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EA" w:rsidRDefault="00603B95" w:rsidP="00603B95">
      <w:pPr>
        <w:spacing w:after="0" w:line="240" w:lineRule="auto"/>
        <w:rPr>
          <w:rFonts w:ascii="Arial" w:hAnsi="Arial" w:cs="Arial"/>
          <w:b/>
          <w:sz w:val="20"/>
          <w:szCs w:val="20"/>
        </w:rPr>
      </w:pPr>
      <w:r>
        <w:rPr>
          <w:rFonts w:ascii="Arial" w:hAnsi="Arial" w:cs="Arial"/>
          <w:b/>
          <w:sz w:val="20"/>
          <w:szCs w:val="20"/>
        </w:rPr>
        <w:t>Report of t</w:t>
      </w:r>
      <w:r w:rsidRPr="00603B95">
        <w:rPr>
          <w:rFonts w:ascii="Arial" w:hAnsi="Arial" w:cs="Arial"/>
          <w:b/>
          <w:sz w:val="20"/>
          <w:szCs w:val="20"/>
        </w:rPr>
        <w:t>he Portfolio Committee on Higher Education, Science and Innovation on</w:t>
      </w:r>
      <w:r>
        <w:rPr>
          <w:rFonts w:ascii="Arial" w:hAnsi="Arial" w:cs="Arial"/>
          <w:b/>
          <w:sz w:val="20"/>
          <w:szCs w:val="20"/>
        </w:rPr>
        <w:t xml:space="preserve"> i</w:t>
      </w:r>
      <w:r w:rsidRPr="00603B95">
        <w:rPr>
          <w:rFonts w:ascii="Arial" w:hAnsi="Arial" w:cs="Arial"/>
          <w:b/>
          <w:sz w:val="20"/>
          <w:szCs w:val="20"/>
        </w:rPr>
        <w:t>ts Assessment of the 2022/23 Fourth Quarter Financial and Non-Financial Performance Report of the Department Of Higher Education and Training, Dated 14 June 2023</w:t>
      </w:r>
    </w:p>
    <w:p w:rsidR="00603B95" w:rsidRPr="00603B95" w:rsidRDefault="00603B95" w:rsidP="00603B95">
      <w:pPr>
        <w:spacing w:after="0" w:line="240" w:lineRule="auto"/>
        <w:rPr>
          <w:rFonts w:ascii="Arial" w:hAnsi="Arial" w:cs="Arial"/>
          <w:b/>
          <w:sz w:val="20"/>
          <w:szCs w:val="20"/>
        </w:rPr>
      </w:pPr>
    </w:p>
    <w:p w:rsidR="00B13982" w:rsidRPr="00603B95" w:rsidRDefault="00D92F6C" w:rsidP="00603B95">
      <w:pPr>
        <w:spacing w:after="0" w:line="240" w:lineRule="auto"/>
        <w:rPr>
          <w:rFonts w:ascii="Arial" w:hAnsi="Arial" w:cs="Arial"/>
          <w:b/>
          <w:sz w:val="20"/>
          <w:szCs w:val="20"/>
        </w:rPr>
      </w:pPr>
      <w:r w:rsidRPr="00603B95">
        <w:rPr>
          <w:rFonts w:ascii="Arial" w:hAnsi="Arial" w:cs="Arial"/>
          <w:sz w:val="20"/>
          <w:szCs w:val="20"/>
        </w:rPr>
        <w:t xml:space="preserve">The Portfolio Committee on </w:t>
      </w:r>
      <w:bookmarkStart w:id="0" w:name="_GoBack"/>
      <w:r w:rsidRPr="00603B95">
        <w:rPr>
          <w:rFonts w:ascii="Arial" w:hAnsi="Arial" w:cs="Arial"/>
          <w:sz w:val="20"/>
          <w:szCs w:val="20"/>
        </w:rPr>
        <w:t xml:space="preserve">Higher Education, Science and </w:t>
      </w:r>
      <w:r w:rsidR="00D55202" w:rsidRPr="00603B95">
        <w:rPr>
          <w:rFonts w:ascii="Arial" w:hAnsi="Arial" w:cs="Arial"/>
          <w:sz w:val="20"/>
          <w:szCs w:val="20"/>
        </w:rPr>
        <w:t>Innovation</w:t>
      </w:r>
      <w:bookmarkEnd w:id="0"/>
      <w:r w:rsidRPr="00603B95">
        <w:rPr>
          <w:rFonts w:ascii="Arial" w:hAnsi="Arial" w:cs="Arial"/>
          <w:sz w:val="20"/>
          <w:szCs w:val="20"/>
        </w:rPr>
        <w:t xml:space="preserve"> (</w:t>
      </w:r>
      <w:r w:rsidR="00D55202" w:rsidRPr="00603B95">
        <w:rPr>
          <w:rFonts w:ascii="Arial" w:hAnsi="Arial" w:cs="Arial"/>
          <w:sz w:val="20"/>
          <w:szCs w:val="20"/>
        </w:rPr>
        <w:t>“</w:t>
      </w:r>
      <w:r w:rsidRPr="00603B95">
        <w:rPr>
          <w:rFonts w:ascii="Arial" w:hAnsi="Arial" w:cs="Arial"/>
          <w:sz w:val="20"/>
          <w:szCs w:val="20"/>
        </w:rPr>
        <w:t>the Committee</w:t>
      </w:r>
      <w:r w:rsidR="00D55202" w:rsidRPr="00603B95">
        <w:rPr>
          <w:rFonts w:ascii="Arial" w:hAnsi="Arial" w:cs="Arial"/>
          <w:sz w:val="20"/>
          <w:szCs w:val="20"/>
        </w:rPr>
        <w:t>”</w:t>
      </w:r>
      <w:r w:rsidRPr="00603B95">
        <w:rPr>
          <w:rFonts w:ascii="Arial" w:hAnsi="Arial" w:cs="Arial"/>
          <w:sz w:val="20"/>
          <w:szCs w:val="20"/>
        </w:rPr>
        <w:t xml:space="preserve">), having </w:t>
      </w:r>
      <w:r w:rsidR="006C368A" w:rsidRPr="00603B95">
        <w:rPr>
          <w:rFonts w:ascii="Arial" w:hAnsi="Arial" w:cs="Arial"/>
          <w:sz w:val="20"/>
          <w:szCs w:val="20"/>
        </w:rPr>
        <w:t xml:space="preserve">assessed </w:t>
      </w:r>
      <w:r w:rsidRPr="00603B95">
        <w:rPr>
          <w:rFonts w:ascii="Arial" w:hAnsi="Arial" w:cs="Arial"/>
          <w:sz w:val="20"/>
          <w:szCs w:val="20"/>
        </w:rPr>
        <w:t xml:space="preserve">the </w:t>
      </w:r>
      <w:r w:rsidR="000140A8" w:rsidRPr="00603B95">
        <w:rPr>
          <w:rFonts w:ascii="Arial" w:hAnsi="Arial" w:cs="Arial"/>
          <w:sz w:val="20"/>
          <w:szCs w:val="20"/>
        </w:rPr>
        <w:t>2022/23</w:t>
      </w:r>
      <w:r w:rsidR="00D55202" w:rsidRPr="00603B95">
        <w:rPr>
          <w:rFonts w:ascii="Arial" w:hAnsi="Arial" w:cs="Arial"/>
          <w:sz w:val="20"/>
          <w:szCs w:val="20"/>
        </w:rPr>
        <w:t xml:space="preserve"> </w:t>
      </w:r>
      <w:r w:rsidR="00967BD9" w:rsidRPr="00603B95">
        <w:rPr>
          <w:rFonts w:ascii="Arial" w:hAnsi="Arial" w:cs="Arial"/>
          <w:sz w:val="20"/>
          <w:szCs w:val="20"/>
        </w:rPr>
        <w:t>Fourth</w:t>
      </w:r>
      <w:r w:rsidR="00D55202" w:rsidRPr="00603B95">
        <w:rPr>
          <w:rFonts w:ascii="Arial" w:hAnsi="Arial" w:cs="Arial"/>
          <w:sz w:val="20"/>
          <w:szCs w:val="20"/>
        </w:rPr>
        <w:t xml:space="preserve"> Quarter</w:t>
      </w:r>
      <w:r w:rsidR="00EC24BE" w:rsidRPr="00603B95">
        <w:rPr>
          <w:rFonts w:ascii="Arial" w:hAnsi="Arial" w:cs="Arial"/>
          <w:sz w:val="20"/>
          <w:szCs w:val="20"/>
        </w:rPr>
        <w:t xml:space="preserve"> financial and non-financial</w:t>
      </w:r>
      <w:r w:rsidR="00D55202" w:rsidRPr="00603B95">
        <w:rPr>
          <w:rFonts w:ascii="Arial" w:hAnsi="Arial" w:cs="Arial"/>
          <w:sz w:val="20"/>
          <w:szCs w:val="20"/>
        </w:rPr>
        <w:t xml:space="preserve"> performance </w:t>
      </w:r>
      <w:r w:rsidRPr="00603B95">
        <w:rPr>
          <w:rFonts w:ascii="Arial" w:hAnsi="Arial" w:cs="Arial"/>
          <w:sz w:val="20"/>
          <w:szCs w:val="20"/>
        </w:rPr>
        <w:t>report</w:t>
      </w:r>
      <w:r w:rsidR="00507B1E" w:rsidRPr="00603B95">
        <w:rPr>
          <w:rFonts w:ascii="Arial" w:hAnsi="Arial" w:cs="Arial"/>
          <w:sz w:val="20"/>
          <w:szCs w:val="20"/>
        </w:rPr>
        <w:t xml:space="preserve"> </w:t>
      </w:r>
      <w:r w:rsidRPr="00603B95">
        <w:rPr>
          <w:rFonts w:ascii="Arial" w:hAnsi="Arial" w:cs="Arial"/>
          <w:sz w:val="20"/>
          <w:szCs w:val="20"/>
        </w:rPr>
        <w:t>of the Department of Higher Education and Training (</w:t>
      </w:r>
      <w:r w:rsidR="00D55202" w:rsidRPr="00603B95">
        <w:rPr>
          <w:rFonts w:ascii="Arial" w:hAnsi="Arial" w:cs="Arial"/>
          <w:sz w:val="20"/>
          <w:szCs w:val="20"/>
        </w:rPr>
        <w:t>“</w:t>
      </w:r>
      <w:r w:rsidRPr="00603B95">
        <w:rPr>
          <w:rFonts w:ascii="Arial" w:hAnsi="Arial" w:cs="Arial"/>
          <w:sz w:val="20"/>
          <w:szCs w:val="20"/>
        </w:rPr>
        <w:t>the Department</w:t>
      </w:r>
      <w:r w:rsidR="00D55202" w:rsidRPr="00603B95">
        <w:rPr>
          <w:rFonts w:ascii="Arial" w:hAnsi="Arial" w:cs="Arial"/>
          <w:sz w:val="20"/>
          <w:szCs w:val="20"/>
        </w:rPr>
        <w:t>”</w:t>
      </w:r>
      <w:r w:rsidRPr="00603B95">
        <w:rPr>
          <w:rFonts w:ascii="Arial" w:hAnsi="Arial" w:cs="Arial"/>
          <w:sz w:val="20"/>
          <w:szCs w:val="20"/>
        </w:rPr>
        <w:t>), reports as follows:</w:t>
      </w:r>
    </w:p>
    <w:p w:rsidR="00D92F6C" w:rsidRPr="00603B95" w:rsidRDefault="00D92F6C" w:rsidP="00603B95">
      <w:pPr>
        <w:pStyle w:val="ListParagraph"/>
        <w:numPr>
          <w:ilvl w:val="0"/>
          <w:numId w:val="1"/>
        </w:numPr>
        <w:spacing w:after="0" w:line="240" w:lineRule="auto"/>
        <w:rPr>
          <w:rFonts w:ascii="Arial" w:hAnsi="Arial" w:cs="Arial"/>
          <w:b/>
          <w:sz w:val="20"/>
          <w:szCs w:val="20"/>
        </w:rPr>
      </w:pPr>
      <w:r w:rsidRPr="00603B95">
        <w:rPr>
          <w:rFonts w:ascii="Arial" w:hAnsi="Arial" w:cs="Arial"/>
          <w:b/>
          <w:sz w:val="20"/>
          <w:szCs w:val="20"/>
        </w:rPr>
        <w:t>INTRODUCTION</w:t>
      </w:r>
    </w:p>
    <w:p w:rsidR="00D92F6C" w:rsidRPr="00603B95" w:rsidRDefault="00D92F6C" w:rsidP="00603B95">
      <w:pPr>
        <w:spacing w:after="0" w:line="240" w:lineRule="auto"/>
        <w:rPr>
          <w:rFonts w:ascii="Arial" w:hAnsi="Arial" w:cs="Arial"/>
          <w:sz w:val="20"/>
          <w:szCs w:val="20"/>
        </w:rPr>
      </w:pPr>
      <w:r w:rsidRPr="00603B95">
        <w:rPr>
          <w:rFonts w:ascii="Arial" w:hAnsi="Arial" w:cs="Arial"/>
          <w:sz w:val="20"/>
          <w:szCs w:val="20"/>
        </w:rPr>
        <w:t>Section 40 (1) (f) of the Public Finance Management Act</w:t>
      </w:r>
      <w:r w:rsidR="0074584F" w:rsidRPr="00603B95">
        <w:rPr>
          <w:rFonts w:ascii="Arial" w:hAnsi="Arial" w:cs="Arial"/>
          <w:sz w:val="20"/>
          <w:szCs w:val="20"/>
        </w:rPr>
        <w:t xml:space="preserve"> (PFMA)</w:t>
      </w:r>
      <w:r w:rsidRPr="00603B95">
        <w:rPr>
          <w:rFonts w:ascii="Arial" w:hAnsi="Arial" w:cs="Arial"/>
          <w:sz w:val="20"/>
          <w:szCs w:val="20"/>
        </w:rPr>
        <w:t xml:space="preserve">, 1999 (Act No.1 of 1999) makes provision for the accounting officer of a department to submit all reports, returns, notices and other information to Parliament. The Act also stresses the need for accounting officers to regularly monitor and report on the performance of their </w:t>
      </w:r>
      <w:r w:rsidR="00EA3FC4" w:rsidRPr="00603B95">
        <w:rPr>
          <w:rFonts w:ascii="Arial" w:hAnsi="Arial" w:cs="Arial"/>
          <w:sz w:val="20"/>
          <w:szCs w:val="20"/>
        </w:rPr>
        <w:t>d</w:t>
      </w:r>
      <w:r w:rsidRPr="00603B95">
        <w:rPr>
          <w:rFonts w:ascii="Arial" w:hAnsi="Arial" w:cs="Arial"/>
          <w:sz w:val="20"/>
          <w:szCs w:val="20"/>
        </w:rPr>
        <w:t xml:space="preserve">epartments against the agreed budget for the year. </w:t>
      </w:r>
    </w:p>
    <w:p w:rsidR="00D92F6C" w:rsidRPr="00603B95" w:rsidRDefault="00D92F6C" w:rsidP="00603B95">
      <w:pPr>
        <w:spacing w:after="0" w:line="240" w:lineRule="auto"/>
        <w:rPr>
          <w:rFonts w:ascii="Arial" w:hAnsi="Arial" w:cs="Arial"/>
          <w:sz w:val="20"/>
          <w:szCs w:val="20"/>
        </w:rPr>
      </w:pPr>
      <w:r w:rsidRPr="00603B95">
        <w:rPr>
          <w:rFonts w:ascii="Arial" w:hAnsi="Arial" w:cs="Arial"/>
          <w:sz w:val="20"/>
          <w:szCs w:val="20"/>
        </w:rPr>
        <w:t xml:space="preserve">Section 5 (1) (c) of the Money Bills Amendment Procedure and Related Matters Act, 2009 (Act No. 9 of 2009) determines that the National Assembly (NA), through its committees, must annually assess the performance of each national department in relation to the expenditure report of </w:t>
      </w:r>
      <w:r w:rsidR="00C7765D" w:rsidRPr="00603B95">
        <w:rPr>
          <w:rFonts w:ascii="Arial" w:hAnsi="Arial" w:cs="Arial"/>
          <w:sz w:val="20"/>
          <w:szCs w:val="20"/>
        </w:rPr>
        <w:t xml:space="preserve">the </w:t>
      </w:r>
      <w:r w:rsidRPr="00603B95">
        <w:rPr>
          <w:rFonts w:ascii="Arial" w:hAnsi="Arial" w:cs="Arial"/>
          <w:sz w:val="20"/>
          <w:szCs w:val="20"/>
        </w:rPr>
        <w:t>said department published by the National Treasury in terms of section 32 of the PFMA.</w:t>
      </w:r>
    </w:p>
    <w:p w:rsidR="00D92F6C" w:rsidRPr="00603B95" w:rsidRDefault="00D92F6C" w:rsidP="00603B95">
      <w:pPr>
        <w:spacing w:after="0" w:line="240" w:lineRule="auto"/>
        <w:rPr>
          <w:rFonts w:ascii="Arial" w:hAnsi="Arial" w:cs="Arial"/>
          <w:sz w:val="20"/>
          <w:szCs w:val="20"/>
        </w:rPr>
      </w:pPr>
      <w:r w:rsidRPr="00603B95">
        <w:rPr>
          <w:rFonts w:ascii="Arial" w:hAnsi="Arial" w:cs="Arial"/>
          <w:sz w:val="20"/>
          <w:szCs w:val="20"/>
        </w:rPr>
        <w:t xml:space="preserve">The Committee </w:t>
      </w:r>
      <w:r w:rsidR="00952048" w:rsidRPr="00603B95">
        <w:rPr>
          <w:rFonts w:ascii="Arial" w:hAnsi="Arial" w:cs="Arial"/>
          <w:sz w:val="20"/>
          <w:szCs w:val="20"/>
        </w:rPr>
        <w:t xml:space="preserve">conducts in-year monitoring and assessment </w:t>
      </w:r>
      <w:r w:rsidR="00C2678F" w:rsidRPr="00603B95">
        <w:rPr>
          <w:rFonts w:ascii="Arial" w:hAnsi="Arial" w:cs="Arial"/>
          <w:sz w:val="20"/>
          <w:szCs w:val="20"/>
        </w:rPr>
        <w:t xml:space="preserve">of </w:t>
      </w:r>
      <w:r w:rsidR="00952048" w:rsidRPr="00603B95">
        <w:rPr>
          <w:rFonts w:ascii="Arial" w:hAnsi="Arial" w:cs="Arial"/>
          <w:sz w:val="20"/>
          <w:szCs w:val="20"/>
        </w:rPr>
        <w:t>the service delivery and financial performance of the Department towards achieving the performance indicators and targets as set out in the Annual Performance Plan.</w:t>
      </w:r>
      <w:r w:rsidRPr="00603B95">
        <w:rPr>
          <w:rFonts w:ascii="Arial" w:hAnsi="Arial" w:cs="Arial"/>
          <w:sz w:val="20"/>
          <w:szCs w:val="20"/>
        </w:rPr>
        <w:t xml:space="preserve"> The quarterly assessments of the Department’s financial and non-financial performance also assist the Committee in its preparation fo</w:t>
      </w:r>
      <w:r w:rsidR="00967BD9" w:rsidRPr="00603B95">
        <w:rPr>
          <w:rFonts w:ascii="Arial" w:hAnsi="Arial" w:cs="Arial"/>
          <w:sz w:val="20"/>
          <w:szCs w:val="20"/>
        </w:rPr>
        <w:t>r the annual submission of the B</w:t>
      </w:r>
      <w:r w:rsidRPr="00603B95">
        <w:rPr>
          <w:rFonts w:ascii="Arial" w:hAnsi="Arial" w:cs="Arial"/>
          <w:sz w:val="20"/>
          <w:szCs w:val="20"/>
        </w:rPr>
        <w:t xml:space="preserve">udgetary </w:t>
      </w:r>
      <w:r w:rsidR="00967BD9" w:rsidRPr="00603B95">
        <w:rPr>
          <w:rFonts w:ascii="Arial" w:hAnsi="Arial" w:cs="Arial"/>
          <w:sz w:val="20"/>
          <w:szCs w:val="20"/>
        </w:rPr>
        <w:t>Review and Recommendation R</w:t>
      </w:r>
      <w:r w:rsidRPr="00603B95">
        <w:rPr>
          <w:rFonts w:ascii="Arial" w:hAnsi="Arial" w:cs="Arial"/>
          <w:sz w:val="20"/>
          <w:szCs w:val="20"/>
        </w:rPr>
        <w:t xml:space="preserve">eport (BRRR) as determined by section 5 (2) of the Money Bills Amendment Procedures and Related Matters Act, 2009 (Act No. 9 of 2009). </w:t>
      </w:r>
    </w:p>
    <w:p w:rsidR="00D92F6C" w:rsidRPr="00603B95" w:rsidRDefault="00F6743B" w:rsidP="00603B95">
      <w:pPr>
        <w:spacing w:after="0" w:line="240" w:lineRule="auto"/>
        <w:rPr>
          <w:rFonts w:ascii="Arial" w:hAnsi="Arial" w:cs="Arial"/>
          <w:sz w:val="20"/>
          <w:szCs w:val="20"/>
        </w:rPr>
      </w:pPr>
      <w:r w:rsidRPr="00603B95">
        <w:rPr>
          <w:rFonts w:ascii="Arial" w:hAnsi="Arial" w:cs="Arial"/>
          <w:sz w:val="20"/>
          <w:szCs w:val="20"/>
        </w:rPr>
        <w:t>T</w:t>
      </w:r>
      <w:r w:rsidR="00D92F6C" w:rsidRPr="00603B95">
        <w:rPr>
          <w:rFonts w:ascii="Arial" w:hAnsi="Arial" w:cs="Arial"/>
          <w:sz w:val="20"/>
          <w:szCs w:val="20"/>
        </w:rPr>
        <w:t xml:space="preserve">he Committee </w:t>
      </w:r>
      <w:r w:rsidR="006C368A" w:rsidRPr="00603B95">
        <w:rPr>
          <w:rFonts w:ascii="Arial" w:hAnsi="Arial" w:cs="Arial"/>
          <w:sz w:val="20"/>
          <w:szCs w:val="20"/>
        </w:rPr>
        <w:t>convened a meeting on 31 May 2023 to assess</w:t>
      </w:r>
      <w:r w:rsidR="00D92F6C" w:rsidRPr="00603B95">
        <w:rPr>
          <w:rFonts w:ascii="Arial" w:hAnsi="Arial" w:cs="Arial"/>
          <w:sz w:val="20"/>
          <w:szCs w:val="20"/>
        </w:rPr>
        <w:t xml:space="preserve"> the </w:t>
      </w:r>
      <w:r w:rsidR="006C368A" w:rsidRPr="00603B95">
        <w:rPr>
          <w:rFonts w:ascii="Arial" w:hAnsi="Arial" w:cs="Arial"/>
          <w:sz w:val="20"/>
          <w:szCs w:val="20"/>
        </w:rPr>
        <w:t xml:space="preserve">Department’s </w:t>
      </w:r>
      <w:r w:rsidR="000140A8" w:rsidRPr="00603B95">
        <w:rPr>
          <w:rFonts w:ascii="Arial" w:hAnsi="Arial" w:cs="Arial"/>
          <w:sz w:val="20"/>
          <w:szCs w:val="20"/>
        </w:rPr>
        <w:t>2022/23</w:t>
      </w:r>
      <w:r w:rsidRPr="00603B95">
        <w:rPr>
          <w:rFonts w:ascii="Arial" w:hAnsi="Arial" w:cs="Arial"/>
          <w:sz w:val="20"/>
          <w:szCs w:val="20"/>
        </w:rPr>
        <w:t xml:space="preserve"> </w:t>
      </w:r>
      <w:r w:rsidR="00967BD9" w:rsidRPr="00603B95">
        <w:rPr>
          <w:rFonts w:ascii="Arial" w:hAnsi="Arial" w:cs="Arial"/>
          <w:sz w:val="20"/>
          <w:szCs w:val="20"/>
        </w:rPr>
        <w:t>Fourth</w:t>
      </w:r>
      <w:r w:rsidR="000140A8" w:rsidRPr="00603B95">
        <w:rPr>
          <w:rFonts w:ascii="Arial" w:hAnsi="Arial" w:cs="Arial"/>
          <w:sz w:val="20"/>
          <w:szCs w:val="20"/>
        </w:rPr>
        <w:t xml:space="preserve">-Quarter </w:t>
      </w:r>
      <w:r w:rsidR="008471EA" w:rsidRPr="00603B95">
        <w:rPr>
          <w:rFonts w:ascii="Arial" w:hAnsi="Arial" w:cs="Arial"/>
          <w:sz w:val="20"/>
          <w:szCs w:val="20"/>
        </w:rPr>
        <w:t xml:space="preserve">performance </w:t>
      </w:r>
      <w:r w:rsidR="0053074D" w:rsidRPr="00603B95">
        <w:rPr>
          <w:rFonts w:ascii="Arial" w:hAnsi="Arial" w:cs="Arial"/>
          <w:sz w:val="20"/>
          <w:szCs w:val="20"/>
        </w:rPr>
        <w:t>report</w:t>
      </w:r>
      <w:r w:rsidR="006C368A" w:rsidRPr="00603B95">
        <w:rPr>
          <w:rFonts w:ascii="Arial" w:hAnsi="Arial" w:cs="Arial"/>
          <w:sz w:val="20"/>
          <w:szCs w:val="20"/>
        </w:rPr>
        <w:t>.</w:t>
      </w:r>
      <w:r w:rsidR="0053074D" w:rsidRPr="00603B95">
        <w:rPr>
          <w:rFonts w:ascii="Arial" w:hAnsi="Arial" w:cs="Arial"/>
          <w:sz w:val="20"/>
          <w:szCs w:val="20"/>
        </w:rPr>
        <w:t xml:space="preserve"> </w:t>
      </w:r>
    </w:p>
    <w:p w:rsidR="00BF2BA5" w:rsidRPr="00603B95" w:rsidRDefault="00BF2BA5" w:rsidP="00603B95">
      <w:pPr>
        <w:spacing w:after="0" w:line="240" w:lineRule="auto"/>
        <w:rPr>
          <w:rFonts w:ascii="Arial" w:hAnsi="Arial" w:cs="Arial"/>
          <w:sz w:val="20"/>
          <w:szCs w:val="20"/>
        </w:rPr>
      </w:pPr>
    </w:p>
    <w:p w:rsidR="00FD5F41" w:rsidRPr="00603B95" w:rsidRDefault="00D92F6C" w:rsidP="00603B95">
      <w:pPr>
        <w:pStyle w:val="ListParagraph"/>
        <w:numPr>
          <w:ilvl w:val="0"/>
          <w:numId w:val="1"/>
        </w:numPr>
        <w:spacing w:after="0" w:line="240" w:lineRule="auto"/>
        <w:rPr>
          <w:rFonts w:ascii="Arial" w:hAnsi="Arial" w:cs="Arial"/>
          <w:b/>
          <w:sz w:val="20"/>
          <w:szCs w:val="20"/>
        </w:rPr>
      </w:pPr>
      <w:r w:rsidRPr="00603B95">
        <w:rPr>
          <w:rFonts w:ascii="Arial" w:hAnsi="Arial" w:cs="Arial"/>
          <w:b/>
          <w:sz w:val="20"/>
          <w:szCs w:val="20"/>
        </w:rPr>
        <w:t xml:space="preserve">OVERVIEW AND ASSESSMENT OF THE DEPARTMENT’S </w:t>
      </w:r>
      <w:r w:rsidR="0074584F" w:rsidRPr="00603B95">
        <w:rPr>
          <w:rFonts w:ascii="Arial" w:hAnsi="Arial" w:cs="Arial"/>
          <w:b/>
          <w:sz w:val="20"/>
          <w:szCs w:val="20"/>
        </w:rPr>
        <w:t xml:space="preserve">QUARTERLY </w:t>
      </w:r>
      <w:r w:rsidR="00643253" w:rsidRPr="00603B95">
        <w:rPr>
          <w:rFonts w:ascii="Arial" w:hAnsi="Arial" w:cs="Arial"/>
          <w:b/>
          <w:sz w:val="20"/>
          <w:szCs w:val="20"/>
        </w:rPr>
        <w:t xml:space="preserve">EXPENDITURE AND </w:t>
      </w:r>
      <w:r w:rsidR="0074584F" w:rsidRPr="00603B95">
        <w:rPr>
          <w:rFonts w:ascii="Arial" w:hAnsi="Arial" w:cs="Arial"/>
          <w:b/>
          <w:sz w:val="20"/>
          <w:szCs w:val="20"/>
        </w:rPr>
        <w:t>PERFORMANCE</w:t>
      </w:r>
    </w:p>
    <w:p w:rsidR="00FD5F41" w:rsidRPr="00603B95" w:rsidRDefault="00FD5F41" w:rsidP="00603B95">
      <w:pPr>
        <w:pStyle w:val="ListParagraph"/>
        <w:spacing w:after="0" w:line="240" w:lineRule="auto"/>
        <w:ind w:left="0"/>
        <w:rPr>
          <w:rFonts w:ascii="Arial" w:hAnsi="Arial" w:cs="Arial"/>
          <w:b/>
          <w:sz w:val="20"/>
          <w:szCs w:val="20"/>
        </w:rPr>
      </w:pPr>
    </w:p>
    <w:p w:rsidR="006003CD" w:rsidRPr="00603B95" w:rsidRDefault="006003CD" w:rsidP="00603B95">
      <w:pPr>
        <w:spacing w:after="0" w:line="240" w:lineRule="auto"/>
        <w:rPr>
          <w:rFonts w:ascii="Arial" w:hAnsi="Arial" w:cs="Arial"/>
          <w:b/>
          <w:sz w:val="20"/>
          <w:szCs w:val="20"/>
        </w:rPr>
      </w:pPr>
      <w:r w:rsidRPr="00603B95">
        <w:rPr>
          <w:rFonts w:ascii="Arial" w:hAnsi="Arial" w:cs="Arial"/>
          <w:b/>
          <w:sz w:val="20"/>
          <w:szCs w:val="20"/>
        </w:rPr>
        <w:t>2.</w:t>
      </w:r>
      <w:r w:rsidR="00845587" w:rsidRPr="00603B95">
        <w:rPr>
          <w:rFonts w:ascii="Arial" w:hAnsi="Arial" w:cs="Arial"/>
          <w:b/>
          <w:sz w:val="20"/>
          <w:szCs w:val="20"/>
        </w:rPr>
        <w:t>1</w:t>
      </w:r>
      <w:r w:rsidRPr="00603B95">
        <w:rPr>
          <w:rFonts w:ascii="Arial" w:hAnsi="Arial" w:cs="Arial"/>
          <w:b/>
          <w:sz w:val="20"/>
          <w:szCs w:val="20"/>
        </w:rPr>
        <w:t>. 202</w:t>
      </w:r>
      <w:r w:rsidR="00845587" w:rsidRPr="00603B95">
        <w:rPr>
          <w:rFonts w:ascii="Arial" w:hAnsi="Arial" w:cs="Arial"/>
          <w:b/>
          <w:sz w:val="20"/>
          <w:szCs w:val="20"/>
        </w:rPr>
        <w:t>2</w:t>
      </w:r>
      <w:r w:rsidRPr="00603B95">
        <w:rPr>
          <w:rFonts w:ascii="Arial" w:hAnsi="Arial" w:cs="Arial"/>
          <w:b/>
          <w:sz w:val="20"/>
          <w:szCs w:val="20"/>
        </w:rPr>
        <w:t>/2</w:t>
      </w:r>
      <w:r w:rsidR="00845587" w:rsidRPr="00603B95">
        <w:rPr>
          <w:rFonts w:ascii="Arial" w:hAnsi="Arial" w:cs="Arial"/>
          <w:b/>
          <w:sz w:val="20"/>
          <w:szCs w:val="20"/>
        </w:rPr>
        <w:t>3</w:t>
      </w:r>
      <w:r w:rsidRPr="00603B95">
        <w:rPr>
          <w:rFonts w:ascii="Arial" w:hAnsi="Arial" w:cs="Arial"/>
          <w:b/>
          <w:sz w:val="20"/>
          <w:szCs w:val="20"/>
        </w:rPr>
        <w:t xml:space="preserve"> </w:t>
      </w:r>
      <w:r w:rsidR="00967BD9" w:rsidRPr="00603B95">
        <w:rPr>
          <w:rFonts w:ascii="Arial" w:hAnsi="Arial" w:cs="Arial"/>
          <w:b/>
          <w:sz w:val="20"/>
          <w:szCs w:val="20"/>
        </w:rPr>
        <w:t>FOURTH</w:t>
      </w:r>
      <w:r w:rsidR="004B16B4" w:rsidRPr="00603B95">
        <w:rPr>
          <w:rFonts w:ascii="Arial" w:hAnsi="Arial" w:cs="Arial"/>
          <w:b/>
          <w:sz w:val="20"/>
          <w:szCs w:val="20"/>
        </w:rPr>
        <w:t>-</w:t>
      </w:r>
      <w:r w:rsidRPr="00603B95">
        <w:rPr>
          <w:rFonts w:ascii="Arial" w:hAnsi="Arial" w:cs="Arial"/>
          <w:b/>
          <w:sz w:val="20"/>
          <w:szCs w:val="20"/>
        </w:rPr>
        <w:t>QUARTER PERFORMANCE</w:t>
      </w:r>
    </w:p>
    <w:p w:rsidR="006003CD" w:rsidRPr="00603B95" w:rsidRDefault="006003CD" w:rsidP="00603B95">
      <w:pPr>
        <w:spacing w:after="0" w:line="240" w:lineRule="auto"/>
        <w:rPr>
          <w:rFonts w:ascii="Arial" w:hAnsi="Arial" w:cs="Arial"/>
          <w:b/>
          <w:sz w:val="20"/>
          <w:szCs w:val="20"/>
        </w:rPr>
      </w:pPr>
      <w:r w:rsidRPr="00603B95">
        <w:rPr>
          <w:rFonts w:ascii="Arial" w:hAnsi="Arial" w:cs="Arial"/>
          <w:b/>
          <w:sz w:val="20"/>
          <w:szCs w:val="20"/>
        </w:rPr>
        <w:t xml:space="preserve">Table </w:t>
      </w:r>
      <w:r w:rsidR="00845587" w:rsidRPr="00603B95">
        <w:rPr>
          <w:rFonts w:ascii="Arial" w:hAnsi="Arial" w:cs="Arial"/>
          <w:b/>
          <w:sz w:val="20"/>
          <w:szCs w:val="20"/>
        </w:rPr>
        <w:t>1</w:t>
      </w:r>
      <w:r w:rsidRPr="00603B95">
        <w:rPr>
          <w:rFonts w:ascii="Arial" w:hAnsi="Arial" w:cs="Arial"/>
          <w:b/>
          <w:sz w:val="20"/>
          <w:szCs w:val="20"/>
        </w:rPr>
        <w:t xml:space="preserve">: Budget allocation and expenditure for the </w:t>
      </w:r>
      <w:r w:rsidR="00967BD9" w:rsidRPr="00603B95">
        <w:rPr>
          <w:rFonts w:ascii="Arial" w:hAnsi="Arial" w:cs="Arial"/>
          <w:b/>
          <w:sz w:val="20"/>
          <w:szCs w:val="20"/>
        </w:rPr>
        <w:t>Fourth</w:t>
      </w:r>
      <w:r w:rsidR="00C706A6" w:rsidRPr="00603B95">
        <w:rPr>
          <w:rFonts w:ascii="Arial" w:hAnsi="Arial" w:cs="Arial"/>
          <w:b/>
          <w:sz w:val="20"/>
          <w:szCs w:val="20"/>
        </w:rPr>
        <w:t xml:space="preserve"> </w:t>
      </w:r>
      <w:r w:rsidRPr="00603B95">
        <w:rPr>
          <w:rFonts w:ascii="Arial" w:hAnsi="Arial" w:cs="Arial"/>
          <w:b/>
          <w:sz w:val="20"/>
          <w:szCs w:val="20"/>
        </w:rPr>
        <w:t>Quarter of the 202</w:t>
      </w:r>
      <w:r w:rsidR="00845587" w:rsidRPr="00603B95">
        <w:rPr>
          <w:rFonts w:ascii="Arial" w:hAnsi="Arial" w:cs="Arial"/>
          <w:b/>
          <w:sz w:val="20"/>
          <w:szCs w:val="20"/>
        </w:rPr>
        <w:t>2</w:t>
      </w:r>
      <w:r w:rsidRPr="00603B95">
        <w:rPr>
          <w:rFonts w:ascii="Arial" w:hAnsi="Arial" w:cs="Arial"/>
          <w:b/>
          <w:sz w:val="20"/>
          <w:szCs w:val="20"/>
        </w:rPr>
        <w:t>/2</w:t>
      </w:r>
      <w:r w:rsidR="00845587" w:rsidRPr="00603B95">
        <w:rPr>
          <w:rFonts w:ascii="Arial" w:hAnsi="Arial" w:cs="Arial"/>
          <w:b/>
          <w:sz w:val="20"/>
          <w:szCs w:val="20"/>
        </w:rPr>
        <w:t>3</w:t>
      </w:r>
      <w:r w:rsidRPr="00603B95">
        <w:rPr>
          <w:rFonts w:ascii="Arial" w:hAnsi="Arial" w:cs="Arial"/>
          <w:b/>
          <w:sz w:val="20"/>
          <w:szCs w:val="20"/>
        </w:rPr>
        <w:t xml:space="preserve"> financial year</w:t>
      </w:r>
    </w:p>
    <w:tbl>
      <w:tblPr>
        <w:tblStyle w:val="TableGrid"/>
        <w:tblW w:w="9498" w:type="dxa"/>
        <w:tblInd w:w="-5" w:type="dxa"/>
        <w:tblLayout w:type="fixed"/>
        <w:tblLook w:val="04A0"/>
      </w:tblPr>
      <w:tblGrid>
        <w:gridCol w:w="1985"/>
        <w:gridCol w:w="1276"/>
        <w:gridCol w:w="1417"/>
        <w:gridCol w:w="1418"/>
        <w:gridCol w:w="1701"/>
        <w:gridCol w:w="1701"/>
      </w:tblGrid>
      <w:tr w:rsidR="00307BDA" w:rsidRPr="00603B95" w:rsidTr="001F474F">
        <w:tc>
          <w:tcPr>
            <w:tcW w:w="9498" w:type="dxa"/>
            <w:gridSpan w:val="6"/>
            <w:shd w:val="clear" w:color="auto" w:fill="E2EFD9" w:themeFill="accent6" w:themeFillTint="33"/>
            <w:vAlign w:val="bottom"/>
          </w:tcPr>
          <w:p w:rsidR="00307BDA" w:rsidRPr="00603B95" w:rsidRDefault="00307BDA" w:rsidP="00603B95">
            <w:pPr>
              <w:rPr>
                <w:rFonts w:ascii="Arial" w:hAnsi="Arial" w:cs="Arial"/>
                <w:b/>
                <w:sz w:val="20"/>
                <w:szCs w:val="20"/>
              </w:rPr>
            </w:pPr>
            <w:r w:rsidRPr="00603B95">
              <w:rPr>
                <w:rFonts w:ascii="Arial" w:hAnsi="Arial" w:cs="Arial"/>
                <w:b/>
                <w:sz w:val="20"/>
                <w:szCs w:val="20"/>
              </w:rPr>
              <w:t>VOTE 17: HIGHER EDUCATION AND TRAINING</w:t>
            </w:r>
          </w:p>
          <w:p w:rsidR="00307BDA" w:rsidRPr="00603B95" w:rsidRDefault="00307BDA" w:rsidP="00603B95">
            <w:pPr>
              <w:rPr>
                <w:rFonts w:ascii="Arial" w:hAnsi="Arial" w:cs="Arial"/>
                <w:b/>
                <w:sz w:val="20"/>
                <w:szCs w:val="20"/>
              </w:rPr>
            </w:pPr>
          </w:p>
        </w:tc>
      </w:tr>
      <w:tr w:rsidR="00307BDA" w:rsidRPr="00603B95" w:rsidTr="001F474F">
        <w:tc>
          <w:tcPr>
            <w:tcW w:w="1985" w:type="dxa"/>
            <w:shd w:val="clear" w:color="auto" w:fill="E2EFD9" w:themeFill="accent6" w:themeFillTint="33"/>
            <w:vAlign w:val="bottom"/>
          </w:tcPr>
          <w:p w:rsidR="00307BDA" w:rsidRPr="00603B95" w:rsidRDefault="00307BDA" w:rsidP="00603B95">
            <w:pPr>
              <w:rPr>
                <w:rFonts w:ascii="Arial" w:eastAsia="Times New Roman" w:hAnsi="Arial" w:cs="Arial"/>
                <w:b/>
                <w:bCs/>
                <w:color w:val="000000"/>
                <w:sz w:val="20"/>
                <w:szCs w:val="20"/>
                <w:lang w:eastAsia="en-ZA"/>
              </w:rPr>
            </w:pPr>
            <w:r w:rsidRPr="00603B95">
              <w:rPr>
                <w:rFonts w:ascii="Arial" w:eastAsia="Times New Roman" w:hAnsi="Arial" w:cs="Arial"/>
                <w:b/>
                <w:bCs/>
                <w:color w:val="000000"/>
                <w:sz w:val="20"/>
                <w:szCs w:val="20"/>
                <w:lang w:eastAsia="en-ZA"/>
              </w:rPr>
              <w:t>R million</w:t>
            </w:r>
          </w:p>
          <w:p w:rsidR="00307BDA" w:rsidRPr="00603B95" w:rsidRDefault="00307BDA" w:rsidP="00603B95">
            <w:pPr>
              <w:rPr>
                <w:rFonts w:ascii="Arial" w:eastAsia="Times New Roman" w:hAnsi="Arial" w:cs="Arial"/>
                <w:b/>
                <w:bCs/>
                <w:color w:val="000000"/>
                <w:sz w:val="20"/>
                <w:szCs w:val="20"/>
                <w:lang w:eastAsia="en-ZA"/>
              </w:rPr>
            </w:pPr>
          </w:p>
          <w:p w:rsidR="00307BDA" w:rsidRPr="00603B95" w:rsidRDefault="00307BDA" w:rsidP="00603B95">
            <w:pPr>
              <w:rPr>
                <w:rFonts w:ascii="Arial" w:eastAsia="Times New Roman" w:hAnsi="Arial" w:cs="Arial"/>
                <w:b/>
                <w:bCs/>
                <w:color w:val="000000"/>
                <w:sz w:val="20"/>
                <w:szCs w:val="20"/>
                <w:lang w:eastAsia="en-ZA"/>
              </w:rPr>
            </w:pPr>
          </w:p>
          <w:p w:rsidR="00307BDA" w:rsidRPr="00603B95" w:rsidRDefault="00307BDA" w:rsidP="00603B95">
            <w:pPr>
              <w:rPr>
                <w:rFonts w:ascii="Arial" w:eastAsia="Times New Roman" w:hAnsi="Arial" w:cs="Arial"/>
                <w:b/>
                <w:bCs/>
                <w:color w:val="000000"/>
                <w:sz w:val="20"/>
                <w:szCs w:val="20"/>
                <w:lang w:eastAsia="en-ZA"/>
              </w:rPr>
            </w:pPr>
          </w:p>
        </w:tc>
        <w:tc>
          <w:tcPr>
            <w:tcW w:w="1276" w:type="dxa"/>
            <w:shd w:val="clear" w:color="auto" w:fill="E2EFD9" w:themeFill="accent6" w:themeFillTint="33"/>
            <w:vAlign w:val="bottom"/>
          </w:tcPr>
          <w:p w:rsidR="00307BDA" w:rsidRPr="00603B95" w:rsidRDefault="00307BDA" w:rsidP="00603B95">
            <w:pPr>
              <w:rPr>
                <w:rFonts w:ascii="Arial" w:eastAsia="Times New Roman" w:hAnsi="Arial" w:cs="Arial"/>
                <w:b/>
                <w:color w:val="000000"/>
                <w:sz w:val="20"/>
                <w:szCs w:val="20"/>
                <w:lang w:eastAsia="en-ZA"/>
              </w:rPr>
            </w:pPr>
            <w:r w:rsidRPr="00603B95">
              <w:rPr>
                <w:rFonts w:ascii="Arial" w:eastAsia="Times New Roman" w:hAnsi="Arial" w:cs="Arial"/>
                <w:b/>
                <w:color w:val="000000"/>
                <w:sz w:val="20"/>
                <w:szCs w:val="20"/>
                <w:lang w:eastAsia="en-ZA"/>
              </w:rPr>
              <w:t>Available budget</w:t>
            </w:r>
          </w:p>
          <w:p w:rsidR="00307BDA" w:rsidRPr="00603B95" w:rsidRDefault="00307BDA" w:rsidP="00603B95">
            <w:pPr>
              <w:rPr>
                <w:rFonts w:ascii="Arial" w:eastAsia="Times New Roman" w:hAnsi="Arial" w:cs="Arial"/>
                <w:b/>
                <w:color w:val="000000"/>
                <w:sz w:val="20"/>
                <w:szCs w:val="20"/>
                <w:lang w:eastAsia="en-ZA"/>
              </w:rPr>
            </w:pPr>
          </w:p>
          <w:p w:rsidR="00307BDA" w:rsidRPr="00603B95" w:rsidRDefault="00307BDA" w:rsidP="00603B95">
            <w:pPr>
              <w:rPr>
                <w:rFonts w:ascii="Arial" w:eastAsia="Times New Roman" w:hAnsi="Arial" w:cs="Arial"/>
                <w:b/>
                <w:color w:val="000000"/>
                <w:sz w:val="20"/>
                <w:szCs w:val="20"/>
                <w:lang w:eastAsia="en-ZA"/>
              </w:rPr>
            </w:pPr>
          </w:p>
        </w:tc>
        <w:tc>
          <w:tcPr>
            <w:tcW w:w="1417" w:type="dxa"/>
            <w:shd w:val="clear" w:color="auto" w:fill="E2EFD9" w:themeFill="accent6" w:themeFillTint="33"/>
          </w:tcPr>
          <w:p w:rsidR="00307BDA" w:rsidRPr="00603B95" w:rsidRDefault="00307BDA" w:rsidP="00603B95">
            <w:pPr>
              <w:rPr>
                <w:rFonts w:ascii="Arial" w:hAnsi="Arial" w:cs="Arial"/>
                <w:b/>
                <w:sz w:val="20"/>
                <w:szCs w:val="20"/>
              </w:rPr>
            </w:pPr>
            <w:r w:rsidRPr="00603B95">
              <w:rPr>
                <w:rFonts w:ascii="Arial" w:hAnsi="Arial" w:cs="Arial"/>
                <w:b/>
                <w:sz w:val="20"/>
                <w:szCs w:val="20"/>
              </w:rPr>
              <w:t>Year End Actual Expenditure</w:t>
            </w:r>
          </w:p>
        </w:tc>
        <w:tc>
          <w:tcPr>
            <w:tcW w:w="1418" w:type="dxa"/>
            <w:shd w:val="clear" w:color="auto" w:fill="E2EFD9" w:themeFill="accent6" w:themeFillTint="33"/>
          </w:tcPr>
          <w:p w:rsidR="00307BDA" w:rsidRPr="00603B95" w:rsidRDefault="00307BDA" w:rsidP="00603B95">
            <w:pPr>
              <w:rPr>
                <w:rFonts w:ascii="Arial" w:hAnsi="Arial" w:cs="Arial"/>
                <w:b/>
                <w:sz w:val="20"/>
                <w:szCs w:val="20"/>
              </w:rPr>
            </w:pPr>
            <w:r w:rsidRPr="00603B95">
              <w:rPr>
                <w:rFonts w:ascii="Arial" w:hAnsi="Arial" w:cs="Arial"/>
                <w:b/>
                <w:sz w:val="20"/>
                <w:szCs w:val="20"/>
              </w:rPr>
              <w:t>Expenditure as % of available budget</w:t>
            </w:r>
          </w:p>
        </w:tc>
        <w:tc>
          <w:tcPr>
            <w:tcW w:w="1701" w:type="dxa"/>
            <w:shd w:val="clear" w:color="auto" w:fill="E2EFD9" w:themeFill="accent6" w:themeFillTint="33"/>
          </w:tcPr>
          <w:p w:rsidR="00307BDA" w:rsidRPr="00603B95" w:rsidRDefault="00307BDA" w:rsidP="00603B95">
            <w:pPr>
              <w:rPr>
                <w:rFonts w:ascii="Arial" w:hAnsi="Arial" w:cs="Arial"/>
                <w:b/>
                <w:sz w:val="20"/>
                <w:szCs w:val="20"/>
              </w:rPr>
            </w:pPr>
            <w:r w:rsidRPr="00603B95">
              <w:rPr>
                <w:rFonts w:ascii="Arial" w:hAnsi="Arial" w:cs="Arial"/>
                <w:b/>
                <w:sz w:val="20"/>
                <w:szCs w:val="20"/>
              </w:rPr>
              <w:t>Underspending/overspending</w:t>
            </w:r>
          </w:p>
        </w:tc>
        <w:tc>
          <w:tcPr>
            <w:tcW w:w="1701" w:type="dxa"/>
            <w:shd w:val="clear" w:color="auto" w:fill="E2EFD9" w:themeFill="accent6" w:themeFillTint="33"/>
          </w:tcPr>
          <w:p w:rsidR="00307BDA" w:rsidRPr="00603B95" w:rsidRDefault="00307BDA" w:rsidP="00603B95">
            <w:pPr>
              <w:rPr>
                <w:rFonts w:ascii="Arial" w:hAnsi="Arial" w:cs="Arial"/>
                <w:b/>
                <w:sz w:val="20"/>
                <w:szCs w:val="20"/>
              </w:rPr>
            </w:pPr>
            <w:r w:rsidRPr="00603B95">
              <w:rPr>
                <w:rFonts w:ascii="Arial" w:hAnsi="Arial" w:cs="Arial"/>
                <w:b/>
                <w:sz w:val="20"/>
                <w:szCs w:val="20"/>
              </w:rPr>
              <w:t>% Underspending/overspending</w:t>
            </w:r>
          </w:p>
        </w:tc>
      </w:tr>
      <w:tr w:rsidR="00307BDA" w:rsidRPr="00603B95" w:rsidTr="001F474F">
        <w:tc>
          <w:tcPr>
            <w:tcW w:w="1985" w:type="dxa"/>
            <w:vAlign w:val="bottom"/>
          </w:tcPr>
          <w:p w:rsidR="00307BDA" w:rsidRPr="00603B95" w:rsidRDefault="00307BDA" w:rsidP="00603B95">
            <w:pPr>
              <w:rPr>
                <w:rFonts w:ascii="Arial" w:eastAsia="Times New Roman" w:hAnsi="Arial" w:cs="Arial"/>
                <w:bCs/>
                <w:color w:val="000000"/>
                <w:sz w:val="20"/>
                <w:szCs w:val="20"/>
                <w:lang w:eastAsia="en-ZA"/>
              </w:rPr>
            </w:pPr>
            <w:r w:rsidRPr="00603B95">
              <w:rPr>
                <w:rFonts w:ascii="Arial" w:eastAsia="Times New Roman" w:hAnsi="Arial" w:cs="Arial"/>
                <w:bCs/>
                <w:color w:val="000000"/>
                <w:sz w:val="20"/>
                <w:szCs w:val="20"/>
                <w:lang w:eastAsia="en-ZA"/>
              </w:rPr>
              <w:t>Administration</w:t>
            </w:r>
          </w:p>
        </w:tc>
        <w:tc>
          <w:tcPr>
            <w:tcW w:w="1276" w:type="dxa"/>
            <w:vAlign w:val="bottom"/>
          </w:tcPr>
          <w:p w:rsidR="00307BDA" w:rsidRPr="00603B95" w:rsidRDefault="00307BDA" w:rsidP="00603B95">
            <w:pPr>
              <w:rPr>
                <w:rFonts w:ascii="Arial" w:eastAsia="Times New Roman" w:hAnsi="Arial" w:cs="Arial"/>
                <w:sz w:val="20"/>
                <w:szCs w:val="20"/>
                <w:lang w:eastAsia="en-ZA"/>
              </w:rPr>
            </w:pPr>
            <w:r w:rsidRPr="00603B95">
              <w:rPr>
                <w:rFonts w:ascii="Arial" w:hAnsi="Arial" w:cs="Arial"/>
                <w:sz w:val="20"/>
                <w:szCs w:val="20"/>
              </w:rPr>
              <w:t>504,7</w:t>
            </w:r>
          </w:p>
        </w:tc>
        <w:tc>
          <w:tcPr>
            <w:tcW w:w="1417" w:type="dxa"/>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452,1</w:t>
            </w:r>
          </w:p>
        </w:tc>
        <w:tc>
          <w:tcPr>
            <w:tcW w:w="1418" w:type="dxa"/>
          </w:tcPr>
          <w:p w:rsidR="00307BDA" w:rsidRPr="00603B95" w:rsidRDefault="00307BDA" w:rsidP="00603B95">
            <w:pPr>
              <w:rPr>
                <w:rFonts w:ascii="Arial" w:hAnsi="Arial" w:cs="Arial"/>
                <w:sz w:val="20"/>
                <w:szCs w:val="20"/>
              </w:rPr>
            </w:pPr>
            <w:r w:rsidRPr="00603B95">
              <w:rPr>
                <w:rFonts w:ascii="Arial" w:hAnsi="Arial" w:cs="Arial"/>
                <w:sz w:val="20"/>
                <w:szCs w:val="20"/>
              </w:rPr>
              <w:t>89.6%</w:t>
            </w:r>
          </w:p>
        </w:tc>
        <w:tc>
          <w:tcPr>
            <w:tcW w:w="1701" w:type="dxa"/>
          </w:tcPr>
          <w:p w:rsidR="00307BDA" w:rsidRPr="00603B95" w:rsidRDefault="00307BDA" w:rsidP="00603B95">
            <w:pPr>
              <w:rPr>
                <w:rFonts w:ascii="Arial" w:hAnsi="Arial" w:cs="Arial"/>
                <w:sz w:val="20"/>
                <w:szCs w:val="20"/>
              </w:rPr>
            </w:pPr>
            <w:r w:rsidRPr="00603B95">
              <w:rPr>
                <w:rFonts w:ascii="Arial" w:hAnsi="Arial" w:cs="Arial"/>
                <w:sz w:val="20"/>
                <w:szCs w:val="20"/>
              </w:rPr>
              <w:t>52,6</w:t>
            </w:r>
          </w:p>
        </w:tc>
        <w:tc>
          <w:tcPr>
            <w:tcW w:w="1701" w:type="dxa"/>
          </w:tcPr>
          <w:p w:rsidR="00307BDA" w:rsidRPr="00603B95" w:rsidRDefault="00307BDA" w:rsidP="00603B95">
            <w:pPr>
              <w:rPr>
                <w:rFonts w:ascii="Arial" w:hAnsi="Arial" w:cs="Arial"/>
                <w:sz w:val="20"/>
                <w:szCs w:val="20"/>
              </w:rPr>
            </w:pPr>
            <w:r w:rsidRPr="00603B95">
              <w:rPr>
                <w:rFonts w:ascii="Arial" w:hAnsi="Arial" w:cs="Arial"/>
                <w:sz w:val="20"/>
                <w:szCs w:val="20"/>
              </w:rPr>
              <w:t>10,4%</w:t>
            </w:r>
          </w:p>
        </w:tc>
      </w:tr>
      <w:tr w:rsidR="00307BDA" w:rsidRPr="00603B95" w:rsidTr="001F474F">
        <w:tc>
          <w:tcPr>
            <w:tcW w:w="1985" w:type="dxa"/>
            <w:vAlign w:val="bottom"/>
          </w:tcPr>
          <w:p w:rsidR="00307BDA" w:rsidRPr="00603B95" w:rsidRDefault="00307BDA" w:rsidP="00603B95">
            <w:pPr>
              <w:rPr>
                <w:rFonts w:ascii="Arial" w:eastAsia="Times New Roman" w:hAnsi="Arial" w:cs="Arial"/>
                <w:bCs/>
                <w:color w:val="000000"/>
                <w:sz w:val="20"/>
                <w:szCs w:val="20"/>
                <w:lang w:eastAsia="en-ZA"/>
              </w:rPr>
            </w:pPr>
            <w:r w:rsidRPr="00603B95">
              <w:rPr>
                <w:rFonts w:ascii="Arial" w:eastAsia="Times New Roman" w:hAnsi="Arial" w:cs="Arial"/>
                <w:bCs/>
                <w:color w:val="000000"/>
                <w:sz w:val="20"/>
                <w:szCs w:val="20"/>
                <w:lang w:eastAsia="en-ZA"/>
              </w:rPr>
              <w:t>Planning, Policy and Strategy</w:t>
            </w:r>
          </w:p>
          <w:p w:rsidR="00307BDA" w:rsidRPr="00603B95" w:rsidRDefault="00307BDA" w:rsidP="00603B95">
            <w:pPr>
              <w:rPr>
                <w:rFonts w:ascii="Arial" w:eastAsia="Times New Roman" w:hAnsi="Arial" w:cs="Arial"/>
                <w:bCs/>
                <w:color w:val="000000"/>
                <w:sz w:val="20"/>
                <w:szCs w:val="20"/>
                <w:lang w:eastAsia="en-ZA"/>
              </w:rPr>
            </w:pPr>
          </w:p>
        </w:tc>
        <w:tc>
          <w:tcPr>
            <w:tcW w:w="1276" w:type="dxa"/>
            <w:vAlign w:val="bottom"/>
          </w:tcPr>
          <w:p w:rsidR="00307BDA" w:rsidRPr="00603B95" w:rsidRDefault="00307BDA" w:rsidP="00603B95">
            <w:pPr>
              <w:rPr>
                <w:rFonts w:ascii="Arial" w:eastAsia="Times New Roman" w:hAnsi="Arial" w:cs="Arial"/>
                <w:sz w:val="20"/>
                <w:szCs w:val="20"/>
                <w:lang w:eastAsia="en-ZA"/>
              </w:rPr>
            </w:pPr>
            <w:r w:rsidRPr="00603B95">
              <w:rPr>
                <w:rFonts w:ascii="Arial" w:hAnsi="Arial" w:cs="Arial"/>
                <w:sz w:val="20"/>
                <w:szCs w:val="20"/>
              </w:rPr>
              <w:t>4 695,9</w:t>
            </w:r>
          </w:p>
        </w:tc>
        <w:tc>
          <w:tcPr>
            <w:tcW w:w="1417" w:type="dxa"/>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4 683,5</w:t>
            </w:r>
          </w:p>
        </w:tc>
        <w:tc>
          <w:tcPr>
            <w:tcW w:w="1418"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99.7%</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12,4</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0.3%</w:t>
            </w:r>
          </w:p>
        </w:tc>
      </w:tr>
      <w:tr w:rsidR="00307BDA" w:rsidRPr="00603B95" w:rsidTr="001F474F">
        <w:tc>
          <w:tcPr>
            <w:tcW w:w="1985" w:type="dxa"/>
            <w:vAlign w:val="bottom"/>
          </w:tcPr>
          <w:p w:rsidR="00307BDA" w:rsidRPr="00603B95" w:rsidRDefault="00307BDA" w:rsidP="00603B95">
            <w:pPr>
              <w:rPr>
                <w:rFonts w:ascii="Arial" w:eastAsia="Times New Roman" w:hAnsi="Arial" w:cs="Arial"/>
                <w:bCs/>
                <w:color w:val="000000"/>
                <w:sz w:val="20"/>
                <w:szCs w:val="20"/>
                <w:lang w:eastAsia="en-ZA"/>
              </w:rPr>
            </w:pPr>
            <w:r w:rsidRPr="00603B95">
              <w:rPr>
                <w:rFonts w:ascii="Arial" w:eastAsia="Times New Roman" w:hAnsi="Arial" w:cs="Arial"/>
                <w:bCs/>
                <w:color w:val="000000"/>
                <w:sz w:val="20"/>
                <w:szCs w:val="20"/>
                <w:lang w:eastAsia="en-ZA"/>
              </w:rPr>
              <w:t>University Education</w:t>
            </w:r>
          </w:p>
        </w:tc>
        <w:tc>
          <w:tcPr>
            <w:tcW w:w="1276" w:type="dxa"/>
            <w:vAlign w:val="bottom"/>
          </w:tcPr>
          <w:p w:rsidR="00307BDA" w:rsidRPr="00603B95" w:rsidRDefault="00307BDA" w:rsidP="00603B95">
            <w:pPr>
              <w:rPr>
                <w:rFonts w:ascii="Arial" w:eastAsia="Times New Roman" w:hAnsi="Arial" w:cs="Arial"/>
                <w:sz w:val="20"/>
                <w:szCs w:val="20"/>
                <w:lang w:eastAsia="en-ZA"/>
              </w:rPr>
            </w:pPr>
            <w:r w:rsidRPr="00603B95">
              <w:rPr>
                <w:rFonts w:ascii="Arial" w:hAnsi="Arial" w:cs="Arial"/>
                <w:sz w:val="20"/>
                <w:szCs w:val="20"/>
              </w:rPr>
              <w:t>88 834,5</w:t>
            </w:r>
          </w:p>
        </w:tc>
        <w:tc>
          <w:tcPr>
            <w:tcW w:w="1417" w:type="dxa"/>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88 818,6</w:t>
            </w:r>
          </w:p>
        </w:tc>
        <w:tc>
          <w:tcPr>
            <w:tcW w:w="1418"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100.0%</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15,9</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0.0%</w:t>
            </w:r>
          </w:p>
        </w:tc>
      </w:tr>
      <w:tr w:rsidR="00307BDA" w:rsidRPr="00603B95" w:rsidTr="001F474F">
        <w:tc>
          <w:tcPr>
            <w:tcW w:w="1985" w:type="dxa"/>
            <w:vAlign w:val="bottom"/>
          </w:tcPr>
          <w:p w:rsidR="00307BDA" w:rsidRPr="00603B95" w:rsidRDefault="00307BDA" w:rsidP="00603B95">
            <w:pPr>
              <w:rPr>
                <w:rFonts w:ascii="Arial" w:eastAsia="Times New Roman" w:hAnsi="Arial" w:cs="Arial"/>
                <w:bCs/>
                <w:color w:val="000000"/>
                <w:sz w:val="20"/>
                <w:szCs w:val="20"/>
                <w:lang w:eastAsia="en-ZA"/>
              </w:rPr>
            </w:pPr>
            <w:r w:rsidRPr="00603B95">
              <w:rPr>
                <w:rFonts w:ascii="Arial" w:eastAsia="Times New Roman" w:hAnsi="Arial" w:cs="Arial"/>
                <w:bCs/>
                <w:color w:val="000000"/>
                <w:sz w:val="20"/>
                <w:szCs w:val="20"/>
                <w:lang w:eastAsia="en-ZA"/>
              </w:rPr>
              <w:t>Technical and Vocational Education and Training</w:t>
            </w:r>
          </w:p>
        </w:tc>
        <w:tc>
          <w:tcPr>
            <w:tcW w:w="1276" w:type="dxa"/>
            <w:vAlign w:val="bottom"/>
          </w:tcPr>
          <w:p w:rsidR="00307BDA" w:rsidRPr="00603B95" w:rsidRDefault="00307BDA" w:rsidP="00603B95">
            <w:pPr>
              <w:rPr>
                <w:rFonts w:ascii="Arial" w:eastAsia="Times New Roman" w:hAnsi="Arial" w:cs="Arial"/>
                <w:sz w:val="20"/>
                <w:szCs w:val="20"/>
                <w:lang w:eastAsia="en-ZA"/>
              </w:rPr>
            </w:pPr>
            <w:r w:rsidRPr="00603B95">
              <w:rPr>
                <w:rFonts w:ascii="Arial" w:hAnsi="Arial" w:cs="Arial"/>
                <w:sz w:val="20"/>
                <w:szCs w:val="20"/>
              </w:rPr>
              <w:t>12 647,8</w:t>
            </w:r>
          </w:p>
        </w:tc>
        <w:tc>
          <w:tcPr>
            <w:tcW w:w="1417" w:type="dxa"/>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12 282,5</w:t>
            </w:r>
          </w:p>
        </w:tc>
        <w:tc>
          <w:tcPr>
            <w:tcW w:w="1418"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97.1%</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365,3</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2.9%</w:t>
            </w:r>
          </w:p>
        </w:tc>
      </w:tr>
      <w:tr w:rsidR="00307BDA" w:rsidRPr="00603B95" w:rsidTr="001F474F">
        <w:tc>
          <w:tcPr>
            <w:tcW w:w="1985" w:type="dxa"/>
            <w:vAlign w:val="bottom"/>
          </w:tcPr>
          <w:p w:rsidR="00307BDA" w:rsidRPr="00603B95" w:rsidRDefault="00307BDA" w:rsidP="00603B95">
            <w:pPr>
              <w:rPr>
                <w:rFonts w:ascii="Arial" w:eastAsia="Times New Roman" w:hAnsi="Arial" w:cs="Arial"/>
                <w:bCs/>
                <w:color w:val="000000"/>
                <w:sz w:val="20"/>
                <w:szCs w:val="20"/>
                <w:lang w:eastAsia="en-ZA"/>
              </w:rPr>
            </w:pPr>
            <w:r w:rsidRPr="00603B95">
              <w:rPr>
                <w:rFonts w:ascii="Arial" w:eastAsia="Times New Roman" w:hAnsi="Arial" w:cs="Arial"/>
                <w:bCs/>
                <w:color w:val="000000"/>
                <w:sz w:val="20"/>
                <w:szCs w:val="20"/>
                <w:lang w:eastAsia="en-ZA"/>
              </w:rPr>
              <w:t>Skills Development</w:t>
            </w:r>
          </w:p>
        </w:tc>
        <w:tc>
          <w:tcPr>
            <w:tcW w:w="1276" w:type="dxa"/>
            <w:vAlign w:val="bottom"/>
          </w:tcPr>
          <w:p w:rsidR="00307BDA" w:rsidRPr="00603B95" w:rsidRDefault="00307BDA" w:rsidP="00603B95">
            <w:pPr>
              <w:rPr>
                <w:rFonts w:ascii="Arial" w:eastAsia="Times New Roman" w:hAnsi="Arial" w:cs="Arial"/>
                <w:sz w:val="20"/>
                <w:szCs w:val="20"/>
                <w:lang w:eastAsia="en-ZA"/>
              </w:rPr>
            </w:pPr>
            <w:r w:rsidRPr="00603B95">
              <w:rPr>
                <w:rFonts w:ascii="Arial" w:hAnsi="Arial" w:cs="Arial"/>
                <w:sz w:val="20"/>
                <w:szCs w:val="20"/>
              </w:rPr>
              <w:t>411,4</w:t>
            </w:r>
          </w:p>
        </w:tc>
        <w:tc>
          <w:tcPr>
            <w:tcW w:w="1417" w:type="dxa"/>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406,0</w:t>
            </w:r>
          </w:p>
        </w:tc>
        <w:tc>
          <w:tcPr>
            <w:tcW w:w="1418"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98.7%</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5,4</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1.3%</w:t>
            </w:r>
          </w:p>
        </w:tc>
      </w:tr>
      <w:tr w:rsidR="00307BDA" w:rsidRPr="00603B95" w:rsidTr="001F474F">
        <w:tc>
          <w:tcPr>
            <w:tcW w:w="1985" w:type="dxa"/>
            <w:vAlign w:val="bottom"/>
          </w:tcPr>
          <w:p w:rsidR="00307BDA" w:rsidRPr="00603B95" w:rsidRDefault="00307BDA" w:rsidP="00603B95">
            <w:pPr>
              <w:rPr>
                <w:rFonts w:ascii="Arial" w:eastAsia="Times New Roman" w:hAnsi="Arial" w:cs="Arial"/>
                <w:bCs/>
                <w:color w:val="000000"/>
                <w:sz w:val="20"/>
                <w:szCs w:val="20"/>
                <w:lang w:eastAsia="en-ZA"/>
              </w:rPr>
            </w:pPr>
            <w:r w:rsidRPr="00603B95">
              <w:rPr>
                <w:rFonts w:ascii="Arial" w:eastAsia="Times New Roman" w:hAnsi="Arial" w:cs="Arial"/>
                <w:bCs/>
                <w:color w:val="000000"/>
                <w:sz w:val="20"/>
                <w:szCs w:val="20"/>
                <w:lang w:eastAsia="en-ZA"/>
              </w:rPr>
              <w:t>Community Education and Training</w:t>
            </w:r>
          </w:p>
        </w:tc>
        <w:tc>
          <w:tcPr>
            <w:tcW w:w="1276" w:type="dxa"/>
            <w:vAlign w:val="bottom"/>
          </w:tcPr>
          <w:p w:rsidR="00307BDA" w:rsidRPr="00603B95" w:rsidRDefault="00307BDA" w:rsidP="00603B95">
            <w:pPr>
              <w:rPr>
                <w:rFonts w:ascii="Arial" w:eastAsia="Times New Roman" w:hAnsi="Arial" w:cs="Arial"/>
                <w:sz w:val="20"/>
                <w:szCs w:val="20"/>
                <w:lang w:eastAsia="en-ZA"/>
              </w:rPr>
            </w:pPr>
            <w:r w:rsidRPr="00603B95">
              <w:rPr>
                <w:rFonts w:ascii="Arial" w:hAnsi="Arial" w:cs="Arial"/>
                <w:sz w:val="20"/>
                <w:szCs w:val="20"/>
              </w:rPr>
              <w:t>2 643,4</w:t>
            </w:r>
          </w:p>
        </w:tc>
        <w:tc>
          <w:tcPr>
            <w:tcW w:w="1417" w:type="dxa"/>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2 632,0</w:t>
            </w:r>
          </w:p>
        </w:tc>
        <w:tc>
          <w:tcPr>
            <w:tcW w:w="1418"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99.6%</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11,3</w:t>
            </w:r>
          </w:p>
        </w:tc>
        <w:tc>
          <w:tcPr>
            <w:tcW w:w="1701" w:type="dxa"/>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0.4%</w:t>
            </w:r>
          </w:p>
        </w:tc>
      </w:tr>
      <w:tr w:rsidR="00307BDA" w:rsidRPr="00603B95" w:rsidTr="001F474F">
        <w:tc>
          <w:tcPr>
            <w:tcW w:w="1985" w:type="dxa"/>
            <w:tcBorders>
              <w:bottom w:val="single" w:sz="4" w:space="0" w:color="auto"/>
            </w:tcBorders>
            <w:shd w:val="clear" w:color="auto" w:fill="D9D9D9" w:themeFill="background1" w:themeFillShade="D9"/>
            <w:vAlign w:val="bottom"/>
          </w:tcPr>
          <w:p w:rsidR="00307BDA" w:rsidRPr="00603B95" w:rsidRDefault="00307BDA" w:rsidP="00603B95">
            <w:pPr>
              <w:rPr>
                <w:rFonts w:ascii="Arial" w:eastAsia="Times New Roman" w:hAnsi="Arial" w:cs="Arial"/>
                <w:b/>
                <w:bCs/>
                <w:color w:val="000000"/>
                <w:sz w:val="20"/>
                <w:szCs w:val="20"/>
                <w:lang w:eastAsia="en-ZA"/>
              </w:rPr>
            </w:pPr>
          </w:p>
          <w:p w:rsidR="00307BDA" w:rsidRPr="00603B95" w:rsidRDefault="00307BDA" w:rsidP="00603B95">
            <w:pPr>
              <w:rPr>
                <w:rFonts w:ascii="Arial" w:eastAsia="Times New Roman" w:hAnsi="Arial" w:cs="Arial"/>
                <w:b/>
                <w:bCs/>
                <w:color w:val="000000"/>
                <w:sz w:val="20"/>
                <w:szCs w:val="20"/>
                <w:lang w:eastAsia="en-ZA"/>
              </w:rPr>
            </w:pPr>
            <w:r w:rsidRPr="00603B95">
              <w:rPr>
                <w:rFonts w:ascii="Arial" w:eastAsia="Times New Roman" w:hAnsi="Arial" w:cs="Arial"/>
                <w:b/>
                <w:bCs/>
                <w:color w:val="000000"/>
                <w:sz w:val="20"/>
                <w:szCs w:val="20"/>
                <w:lang w:eastAsia="en-ZA"/>
              </w:rPr>
              <w:t xml:space="preserve">Sub-total </w:t>
            </w:r>
          </w:p>
        </w:tc>
        <w:tc>
          <w:tcPr>
            <w:tcW w:w="1276" w:type="dxa"/>
            <w:tcBorders>
              <w:bottom w:val="single" w:sz="4" w:space="0" w:color="auto"/>
            </w:tcBorders>
            <w:shd w:val="clear" w:color="auto" w:fill="D9D9D9" w:themeFill="background1" w:themeFillShade="D9"/>
            <w:vAlign w:val="bottom"/>
          </w:tcPr>
          <w:p w:rsidR="00307BDA" w:rsidRPr="00603B95" w:rsidRDefault="00307BDA" w:rsidP="00603B95">
            <w:pPr>
              <w:rPr>
                <w:rFonts w:ascii="Arial" w:eastAsia="Times New Roman" w:hAnsi="Arial" w:cs="Arial"/>
                <w:b/>
                <w:color w:val="000000"/>
                <w:sz w:val="20"/>
                <w:szCs w:val="20"/>
                <w:lang w:eastAsia="en-ZA"/>
              </w:rPr>
            </w:pPr>
            <w:r w:rsidRPr="00603B95">
              <w:rPr>
                <w:rFonts w:ascii="Arial" w:hAnsi="Arial" w:cs="Arial"/>
                <w:b/>
                <w:bCs/>
                <w:sz w:val="20"/>
                <w:szCs w:val="20"/>
              </w:rPr>
              <w:t>109 737,6</w:t>
            </w:r>
          </w:p>
        </w:tc>
        <w:tc>
          <w:tcPr>
            <w:tcW w:w="1417" w:type="dxa"/>
            <w:tcBorders>
              <w:bottom w:val="single" w:sz="4" w:space="0" w:color="auto"/>
            </w:tcBorders>
            <w:shd w:val="clear" w:color="auto" w:fill="D9D9D9" w:themeFill="background1" w:themeFillShade="D9"/>
            <w:vAlign w:val="bottom"/>
          </w:tcPr>
          <w:p w:rsidR="00307BDA" w:rsidRPr="00603B95" w:rsidRDefault="00307BDA" w:rsidP="00603B95">
            <w:pPr>
              <w:rPr>
                <w:rFonts w:ascii="Arial" w:eastAsia="Times New Roman" w:hAnsi="Arial" w:cs="Arial"/>
                <w:b/>
                <w:color w:val="000000"/>
                <w:sz w:val="20"/>
                <w:szCs w:val="20"/>
                <w:lang w:eastAsia="en-ZA"/>
              </w:rPr>
            </w:pPr>
            <w:r w:rsidRPr="00603B95">
              <w:rPr>
                <w:rFonts w:ascii="Arial" w:eastAsia="Times New Roman" w:hAnsi="Arial" w:cs="Arial"/>
                <w:b/>
                <w:color w:val="000000"/>
                <w:sz w:val="20"/>
                <w:szCs w:val="20"/>
                <w:lang w:eastAsia="en-ZA"/>
              </w:rPr>
              <w:t>109 274,7</w:t>
            </w:r>
          </w:p>
        </w:tc>
        <w:tc>
          <w:tcPr>
            <w:tcW w:w="1418" w:type="dxa"/>
            <w:tcBorders>
              <w:bottom w:val="single" w:sz="4" w:space="0" w:color="auto"/>
            </w:tcBorders>
            <w:shd w:val="clear" w:color="auto" w:fill="D9D9D9" w:themeFill="background1" w:themeFillShade="D9"/>
          </w:tcPr>
          <w:p w:rsidR="00307BDA" w:rsidRPr="00603B95" w:rsidRDefault="00307BDA" w:rsidP="00603B95">
            <w:pPr>
              <w:rPr>
                <w:rFonts w:ascii="Arial" w:hAnsi="Arial" w:cs="Arial"/>
                <w:b/>
                <w:sz w:val="20"/>
                <w:szCs w:val="20"/>
              </w:rPr>
            </w:pPr>
          </w:p>
          <w:p w:rsidR="00307BDA" w:rsidRPr="00603B95" w:rsidRDefault="00307BDA" w:rsidP="00603B95">
            <w:pPr>
              <w:rPr>
                <w:rFonts w:ascii="Arial" w:hAnsi="Arial" w:cs="Arial"/>
                <w:b/>
                <w:sz w:val="20"/>
                <w:szCs w:val="20"/>
              </w:rPr>
            </w:pPr>
            <w:r w:rsidRPr="00603B95">
              <w:rPr>
                <w:rFonts w:ascii="Arial" w:hAnsi="Arial" w:cs="Arial"/>
                <w:b/>
                <w:sz w:val="20"/>
                <w:szCs w:val="20"/>
              </w:rPr>
              <w:t>99.6%</w:t>
            </w:r>
          </w:p>
        </w:tc>
        <w:tc>
          <w:tcPr>
            <w:tcW w:w="1701" w:type="dxa"/>
            <w:tcBorders>
              <w:bottom w:val="single" w:sz="4" w:space="0" w:color="auto"/>
            </w:tcBorders>
            <w:shd w:val="clear" w:color="auto" w:fill="D9D9D9" w:themeFill="background1" w:themeFillShade="D9"/>
          </w:tcPr>
          <w:p w:rsidR="00307BDA" w:rsidRPr="00603B95" w:rsidRDefault="00307BDA" w:rsidP="00603B95">
            <w:pPr>
              <w:rPr>
                <w:rFonts w:ascii="Arial" w:hAnsi="Arial" w:cs="Arial"/>
                <w:b/>
                <w:sz w:val="20"/>
                <w:szCs w:val="20"/>
              </w:rPr>
            </w:pPr>
          </w:p>
          <w:p w:rsidR="00307BDA" w:rsidRPr="00603B95" w:rsidRDefault="00307BDA" w:rsidP="00603B95">
            <w:pPr>
              <w:rPr>
                <w:rFonts w:ascii="Arial" w:hAnsi="Arial" w:cs="Arial"/>
                <w:b/>
                <w:sz w:val="20"/>
                <w:szCs w:val="20"/>
              </w:rPr>
            </w:pPr>
            <w:r w:rsidRPr="00603B95">
              <w:rPr>
                <w:rFonts w:ascii="Arial" w:hAnsi="Arial" w:cs="Arial"/>
                <w:b/>
                <w:sz w:val="20"/>
                <w:szCs w:val="20"/>
              </w:rPr>
              <w:t>462,9</w:t>
            </w:r>
          </w:p>
        </w:tc>
        <w:tc>
          <w:tcPr>
            <w:tcW w:w="1701" w:type="dxa"/>
            <w:tcBorders>
              <w:bottom w:val="single" w:sz="4" w:space="0" w:color="auto"/>
            </w:tcBorders>
            <w:shd w:val="clear" w:color="auto" w:fill="D9D9D9" w:themeFill="background1" w:themeFillShade="D9"/>
          </w:tcPr>
          <w:p w:rsidR="00307BDA" w:rsidRPr="00603B95" w:rsidRDefault="00307BDA" w:rsidP="00603B95">
            <w:pPr>
              <w:rPr>
                <w:rFonts w:ascii="Arial" w:hAnsi="Arial" w:cs="Arial"/>
                <w:b/>
                <w:sz w:val="20"/>
                <w:szCs w:val="20"/>
              </w:rPr>
            </w:pPr>
          </w:p>
          <w:p w:rsidR="00307BDA" w:rsidRPr="00603B95" w:rsidRDefault="00307BDA" w:rsidP="00603B95">
            <w:pPr>
              <w:rPr>
                <w:rFonts w:ascii="Arial" w:hAnsi="Arial" w:cs="Arial"/>
                <w:b/>
                <w:sz w:val="20"/>
                <w:szCs w:val="20"/>
              </w:rPr>
            </w:pPr>
            <w:r w:rsidRPr="00603B95">
              <w:rPr>
                <w:rFonts w:ascii="Arial" w:hAnsi="Arial" w:cs="Arial"/>
                <w:b/>
                <w:sz w:val="20"/>
                <w:szCs w:val="20"/>
              </w:rPr>
              <w:t>0.4%</w:t>
            </w:r>
          </w:p>
        </w:tc>
      </w:tr>
      <w:tr w:rsidR="00307BDA" w:rsidRPr="00603B95" w:rsidTr="001F474F">
        <w:tc>
          <w:tcPr>
            <w:tcW w:w="1985" w:type="dxa"/>
            <w:tcBorders>
              <w:bottom w:val="nil"/>
            </w:tcBorders>
            <w:shd w:val="clear" w:color="auto" w:fill="FFFFFF" w:themeFill="background1"/>
            <w:vAlign w:val="bottom"/>
          </w:tcPr>
          <w:p w:rsidR="00307BDA" w:rsidRPr="00603B95" w:rsidRDefault="00307BDA" w:rsidP="00603B95">
            <w:pPr>
              <w:rPr>
                <w:rFonts w:ascii="Arial" w:eastAsia="Times New Roman" w:hAnsi="Arial" w:cs="Arial"/>
                <w:b/>
                <w:bCs/>
                <w:color w:val="000000"/>
                <w:sz w:val="20"/>
                <w:szCs w:val="20"/>
                <w:lang w:eastAsia="en-ZA"/>
              </w:rPr>
            </w:pPr>
          </w:p>
          <w:p w:rsidR="00307BDA" w:rsidRPr="00603B95" w:rsidRDefault="00307BDA" w:rsidP="00603B95">
            <w:pPr>
              <w:rPr>
                <w:rFonts w:ascii="Arial" w:eastAsia="Times New Roman" w:hAnsi="Arial" w:cs="Arial"/>
                <w:b/>
                <w:bCs/>
                <w:color w:val="000000"/>
                <w:sz w:val="20"/>
                <w:szCs w:val="20"/>
                <w:lang w:eastAsia="en-ZA"/>
              </w:rPr>
            </w:pPr>
            <w:r w:rsidRPr="00603B95">
              <w:rPr>
                <w:rFonts w:ascii="Arial" w:eastAsia="Times New Roman" w:hAnsi="Arial" w:cs="Arial"/>
                <w:b/>
                <w:bCs/>
                <w:color w:val="000000"/>
                <w:sz w:val="20"/>
                <w:szCs w:val="20"/>
                <w:lang w:eastAsia="en-ZA"/>
              </w:rPr>
              <w:t>Direct charges</w:t>
            </w:r>
          </w:p>
        </w:tc>
        <w:tc>
          <w:tcPr>
            <w:tcW w:w="1276" w:type="dxa"/>
            <w:tcBorders>
              <w:bottom w:val="nil"/>
            </w:tcBorders>
            <w:shd w:val="clear" w:color="auto" w:fill="FFFFFF" w:themeFill="background1"/>
            <w:vAlign w:val="bottom"/>
          </w:tcPr>
          <w:p w:rsidR="00307BDA" w:rsidRPr="00603B95" w:rsidRDefault="00307BDA" w:rsidP="00603B95">
            <w:pPr>
              <w:rPr>
                <w:rFonts w:ascii="Arial" w:eastAsia="Times New Roman" w:hAnsi="Arial" w:cs="Arial"/>
                <w:b/>
                <w:color w:val="000000"/>
                <w:sz w:val="20"/>
                <w:szCs w:val="20"/>
                <w:lang w:eastAsia="en-ZA"/>
              </w:rPr>
            </w:pPr>
            <w:r w:rsidRPr="00603B95">
              <w:rPr>
                <w:rFonts w:ascii="Arial" w:hAnsi="Arial" w:cs="Arial"/>
                <w:b/>
                <w:bCs/>
                <w:sz w:val="20"/>
                <w:szCs w:val="20"/>
              </w:rPr>
              <w:t>21 238,1</w:t>
            </w:r>
          </w:p>
        </w:tc>
        <w:tc>
          <w:tcPr>
            <w:tcW w:w="1417" w:type="dxa"/>
            <w:tcBorders>
              <w:bottom w:val="nil"/>
            </w:tcBorders>
            <w:shd w:val="clear" w:color="auto" w:fill="FFFFFF" w:themeFill="background1"/>
            <w:vAlign w:val="bottom"/>
          </w:tcPr>
          <w:p w:rsidR="00307BDA" w:rsidRPr="00603B95" w:rsidRDefault="00307BDA" w:rsidP="00603B95">
            <w:pPr>
              <w:rPr>
                <w:rFonts w:ascii="Arial" w:eastAsia="Times New Roman" w:hAnsi="Arial" w:cs="Arial"/>
                <w:b/>
                <w:color w:val="000000"/>
                <w:sz w:val="20"/>
                <w:szCs w:val="20"/>
                <w:lang w:eastAsia="en-ZA"/>
              </w:rPr>
            </w:pPr>
            <w:r w:rsidRPr="00603B95">
              <w:rPr>
                <w:rFonts w:ascii="Arial" w:eastAsia="Times New Roman" w:hAnsi="Arial" w:cs="Arial"/>
                <w:b/>
                <w:color w:val="000000"/>
                <w:sz w:val="20"/>
                <w:szCs w:val="20"/>
                <w:lang w:eastAsia="en-ZA"/>
              </w:rPr>
              <w:t>20 808,8</w:t>
            </w:r>
          </w:p>
        </w:tc>
        <w:tc>
          <w:tcPr>
            <w:tcW w:w="1418" w:type="dxa"/>
            <w:tcBorders>
              <w:bottom w:val="nil"/>
            </w:tcBorders>
            <w:shd w:val="clear" w:color="auto" w:fill="FFFFFF" w:themeFill="background1"/>
          </w:tcPr>
          <w:p w:rsidR="00307BDA" w:rsidRPr="00603B95" w:rsidRDefault="00307BDA" w:rsidP="00603B95">
            <w:pPr>
              <w:rPr>
                <w:rFonts w:ascii="Arial" w:hAnsi="Arial" w:cs="Arial"/>
                <w:b/>
                <w:sz w:val="20"/>
                <w:szCs w:val="20"/>
              </w:rPr>
            </w:pPr>
          </w:p>
          <w:p w:rsidR="00307BDA" w:rsidRPr="00603B95" w:rsidRDefault="00307BDA" w:rsidP="00603B95">
            <w:pPr>
              <w:rPr>
                <w:rFonts w:ascii="Arial" w:hAnsi="Arial" w:cs="Arial"/>
                <w:b/>
                <w:sz w:val="20"/>
                <w:szCs w:val="20"/>
              </w:rPr>
            </w:pPr>
            <w:r w:rsidRPr="00603B95">
              <w:rPr>
                <w:rFonts w:ascii="Arial" w:hAnsi="Arial" w:cs="Arial"/>
                <w:b/>
                <w:sz w:val="20"/>
                <w:szCs w:val="20"/>
              </w:rPr>
              <w:t>98.0%</w:t>
            </w:r>
          </w:p>
        </w:tc>
        <w:tc>
          <w:tcPr>
            <w:tcW w:w="1701" w:type="dxa"/>
            <w:tcBorders>
              <w:bottom w:val="nil"/>
            </w:tcBorders>
            <w:shd w:val="clear" w:color="auto" w:fill="FFFFFF" w:themeFill="background1"/>
          </w:tcPr>
          <w:p w:rsidR="00307BDA" w:rsidRPr="00603B95" w:rsidRDefault="00307BDA" w:rsidP="00603B95">
            <w:pPr>
              <w:rPr>
                <w:rFonts w:ascii="Arial" w:hAnsi="Arial" w:cs="Arial"/>
                <w:b/>
                <w:bCs/>
                <w:sz w:val="20"/>
                <w:szCs w:val="20"/>
              </w:rPr>
            </w:pPr>
          </w:p>
          <w:p w:rsidR="00307BDA" w:rsidRPr="00603B95" w:rsidRDefault="00307BDA" w:rsidP="00603B95">
            <w:pPr>
              <w:rPr>
                <w:rFonts w:ascii="Arial" w:hAnsi="Arial" w:cs="Arial"/>
                <w:b/>
                <w:bCs/>
                <w:sz w:val="20"/>
                <w:szCs w:val="20"/>
              </w:rPr>
            </w:pPr>
            <w:r w:rsidRPr="00603B95">
              <w:rPr>
                <w:rFonts w:ascii="Arial" w:hAnsi="Arial" w:cs="Arial"/>
                <w:b/>
                <w:bCs/>
                <w:sz w:val="20"/>
                <w:szCs w:val="20"/>
              </w:rPr>
              <w:t>429,3</w:t>
            </w:r>
          </w:p>
        </w:tc>
        <w:tc>
          <w:tcPr>
            <w:tcW w:w="1701" w:type="dxa"/>
            <w:tcBorders>
              <w:bottom w:val="nil"/>
            </w:tcBorders>
            <w:shd w:val="clear" w:color="auto" w:fill="FFFFFF" w:themeFill="background1"/>
          </w:tcPr>
          <w:p w:rsidR="00307BDA" w:rsidRPr="00603B95" w:rsidRDefault="00307BDA" w:rsidP="00603B95">
            <w:pPr>
              <w:rPr>
                <w:rFonts w:ascii="Arial" w:hAnsi="Arial" w:cs="Arial"/>
                <w:b/>
                <w:sz w:val="20"/>
                <w:szCs w:val="20"/>
              </w:rPr>
            </w:pPr>
          </w:p>
          <w:p w:rsidR="00307BDA" w:rsidRPr="00603B95" w:rsidRDefault="00307BDA" w:rsidP="00603B95">
            <w:pPr>
              <w:rPr>
                <w:rFonts w:ascii="Arial" w:hAnsi="Arial" w:cs="Arial"/>
                <w:b/>
                <w:sz w:val="20"/>
                <w:szCs w:val="20"/>
              </w:rPr>
            </w:pPr>
            <w:r w:rsidRPr="00603B95">
              <w:rPr>
                <w:rFonts w:ascii="Arial" w:hAnsi="Arial" w:cs="Arial"/>
                <w:b/>
                <w:sz w:val="20"/>
                <w:szCs w:val="20"/>
              </w:rPr>
              <w:t>2.0%</w:t>
            </w:r>
          </w:p>
        </w:tc>
      </w:tr>
      <w:tr w:rsidR="00307BDA" w:rsidRPr="00603B95" w:rsidTr="001F474F">
        <w:tc>
          <w:tcPr>
            <w:tcW w:w="1985" w:type="dxa"/>
            <w:tcBorders>
              <w:top w:val="nil"/>
              <w:bottom w:val="nil"/>
            </w:tcBorders>
            <w:shd w:val="clear" w:color="auto" w:fill="FFFFFF" w:themeFill="background1"/>
            <w:vAlign w:val="bottom"/>
          </w:tcPr>
          <w:p w:rsidR="00307BDA" w:rsidRPr="00603B95" w:rsidRDefault="00307BDA" w:rsidP="00603B95">
            <w:pPr>
              <w:rPr>
                <w:rFonts w:ascii="Arial" w:eastAsia="Times New Roman" w:hAnsi="Arial" w:cs="Arial"/>
                <w:b/>
                <w:bCs/>
                <w:color w:val="000000"/>
                <w:sz w:val="20"/>
                <w:szCs w:val="20"/>
                <w:lang w:eastAsia="en-ZA"/>
              </w:rPr>
            </w:pPr>
            <w:r w:rsidRPr="00603B95">
              <w:rPr>
                <w:rFonts w:ascii="Arial" w:eastAsia="Times New Roman" w:hAnsi="Arial" w:cs="Arial"/>
                <w:b/>
                <w:bCs/>
                <w:color w:val="000000"/>
                <w:sz w:val="20"/>
                <w:szCs w:val="20"/>
                <w:lang w:eastAsia="en-ZA"/>
              </w:rPr>
              <w:t>SETAs</w:t>
            </w:r>
          </w:p>
        </w:tc>
        <w:tc>
          <w:tcPr>
            <w:tcW w:w="1276" w:type="dxa"/>
            <w:tcBorders>
              <w:top w:val="nil"/>
              <w:bottom w:val="nil"/>
            </w:tcBorders>
            <w:shd w:val="clear" w:color="auto" w:fill="FFFFFF" w:themeFill="background1"/>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hAnsi="Arial" w:cs="Arial"/>
                <w:sz w:val="20"/>
                <w:szCs w:val="20"/>
              </w:rPr>
              <w:t>16 990,5</w:t>
            </w:r>
          </w:p>
        </w:tc>
        <w:tc>
          <w:tcPr>
            <w:tcW w:w="1417" w:type="dxa"/>
            <w:tcBorders>
              <w:top w:val="nil"/>
              <w:bottom w:val="nil"/>
            </w:tcBorders>
            <w:shd w:val="clear" w:color="auto" w:fill="FFFFFF" w:themeFill="background1"/>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16 647,1</w:t>
            </w:r>
          </w:p>
        </w:tc>
        <w:tc>
          <w:tcPr>
            <w:tcW w:w="1418" w:type="dxa"/>
            <w:tcBorders>
              <w:top w:val="nil"/>
              <w:bottom w:val="nil"/>
            </w:tcBorders>
            <w:shd w:val="clear" w:color="auto" w:fill="FFFFFF" w:themeFill="background1"/>
          </w:tcPr>
          <w:p w:rsidR="00307BDA" w:rsidRPr="00603B95" w:rsidRDefault="00307BDA" w:rsidP="00603B95">
            <w:pPr>
              <w:rPr>
                <w:rFonts w:ascii="Arial" w:hAnsi="Arial" w:cs="Arial"/>
                <w:sz w:val="20"/>
                <w:szCs w:val="20"/>
              </w:rPr>
            </w:pPr>
            <w:r w:rsidRPr="00603B95">
              <w:rPr>
                <w:rFonts w:ascii="Arial" w:hAnsi="Arial" w:cs="Arial"/>
                <w:sz w:val="20"/>
                <w:szCs w:val="20"/>
              </w:rPr>
              <w:t>98.0%</w:t>
            </w:r>
          </w:p>
        </w:tc>
        <w:tc>
          <w:tcPr>
            <w:tcW w:w="1701" w:type="dxa"/>
            <w:tcBorders>
              <w:top w:val="nil"/>
              <w:bottom w:val="nil"/>
            </w:tcBorders>
            <w:shd w:val="clear" w:color="auto" w:fill="FFFFFF" w:themeFill="background1"/>
          </w:tcPr>
          <w:p w:rsidR="00307BDA" w:rsidRPr="00603B95" w:rsidRDefault="00307BDA" w:rsidP="00603B95">
            <w:pPr>
              <w:rPr>
                <w:rFonts w:ascii="Arial" w:hAnsi="Arial" w:cs="Arial"/>
                <w:bCs/>
                <w:sz w:val="20"/>
                <w:szCs w:val="20"/>
              </w:rPr>
            </w:pPr>
            <w:r w:rsidRPr="00603B95">
              <w:rPr>
                <w:rFonts w:ascii="Arial" w:hAnsi="Arial" w:cs="Arial"/>
                <w:bCs/>
                <w:sz w:val="20"/>
                <w:szCs w:val="20"/>
              </w:rPr>
              <w:t>343,4</w:t>
            </w:r>
          </w:p>
        </w:tc>
        <w:tc>
          <w:tcPr>
            <w:tcW w:w="1701" w:type="dxa"/>
            <w:tcBorders>
              <w:top w:val="nil"/>
              <w:bottom w:val="nil"/>
            </w:tcBorders>
            <w:shd w:val="clear" w:color="auto" w:fill="FFFFFF" w:themeFill="background1"/>
          </w:tcPr>
          <w:p w:rsidR="00307BDA" w:rsidRPr="00603B95" w:rsidRDefault="00307BDA" w:rsidP="00603B95">
            <w:pPr>
              <w:rPr>
                <w:rFonts w:ascii="Arial" w:hAnsi="Arial" w:cs="Arial"/>
                <w:sz w:val="20"/>
                <w:szCs w:val="20"/>
              </w:rPr>
            </w:pPr>
            <w:r w:rsidRPr="00603B95">
              <w:rPr>
                <w:rFonts w:ascii="Arial" w:hAnsi="Arial" w:cs="Arial"/>
                <w:sz w:val="20"/>
                <w:szCs w:val="20"/>
              </w:rPr>
              <w:t>2.0%</w:t>
            </w:r>
          </w:p>
        </w:tc>
      </w:tr>
      <w:tr w:rsidR="00307BDA" w:rsidRPr="00603B95" w:rsidTr="001F474F">
        <w:tc>
          <w:tcPr>
            <w:tcW w:w="1985" w:type="dxa"/>
            <w:tcBorders>
              <w:top w:val="nil"/>
            </w:tcBorders>
            <w:shd w:val="clear" w:color="auto" w:fill="FFFFFF" w:themeFill="background1"/>
            <w:vAlign w:val="bottom"/>
          </w:tcPr>
          <w:p w:rsidR="00307BDA" w:rsidRPr="00603B95" w:rsidRDefault="00307BDA" w:rsidP="00603B95">
            <w:pPr>
              <w:rPr>
                <w:rFonts w:ascii="Arial" w:eastAsia="Times New Roman" w:hAnsi="Arial" w:cs="Arial"/>
                <w:b/>
                <w:bCs/>
                <w:color w:val="000000"/>
                <w:sz w:val="20"/>
                <w:szCs w:val="20"/>
                <w:lang w:eastAsia="en-ZA"/>
              </w:rPr>
            </w:pPr>
            <w:r w:rsidRPr="00603B95">
              <w:rPr>
                <w:rFonts w:ascii="Arial" w:eastAsia="Times New Roman" w:hAnsi="Arial" w:cs="Arial"/>
                <w:b/>
                <w:bCs/>
                <w:color w:val="000000"/>
                <w:sz w:val="20"/>
                <w:szCs w:val="20"/>
                <w:lang w:eastAsia="en-ZA"/>
              </w:rPr>
              <w:t>National Skills Fund</w:t>
            </w:r>
          </w:p>
        </w:tc>
        <w:tc>
          <w:tcPr>
            <w:tcW w:w="1276" w:type="dxa"/>
            <w:tcBorders>
              <w:top w:val="nil"/>
            </w:tcBorders>
            <w:shd w:val="clear" w:color="auto" w:fill="FFFFFF" w:themeFill="background1"/>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hAnsi="Arial" w:cs="Arial"/>
                <w:sz w:val="20"/>
                <w:szCs w:val="20"/>
              </w:rPr>
              <w:t>4 247,6</w:t>
            </w:r>
          </w:p>
        </w:tc>
        <w:tc>
          <w:tcPr>
            <w:tcW w:w="1417" w:type="dxa"/>
            <w:tcBorders>
              <w:top w:val="nil"/>
            </w:tcBorders>
            <w:shd w:val="clear" w:color="auto" w:fill="FFFFFF" w:themeFill="background1"/>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eastAsia="Times New Roman" w:hAnsi="Arial" w:cs="Arial"/>
                <w:color w:val="000000"/>
                <w:sz w:val="20"/>
                <w:szCs w:val="20"/>
                <w:lang w:eastAsia="en-ZA"/>
              </w:rPr>
              <w:t>4 161,8</w:t>
            </w:r>
          </w:p>
        </w:tc>
        <w:tc>
          <w:tcPr>
            <w:tcW w:w="1418" w:type="dxa"/>
            <w:tcBorders>
              <w:top w:val="nil"/>
            </w:tcBorders>
            <w:shd w:val="clear" w:color="auto" w:fill="FFFFFF" w:themeFill="background1"/>
          </w:tcPr>
          <w:p w:rsidR="00307BDA" w:rsidRPr="00603B95" w:rsidRDefault="00307BDA" w:rsidP="00603B95">
            <w:pPr>
              <w:rPr>
                <w:rFonts w:ascii="Arial" w:hAnsi="Arial" w:cs="Arial"/>
                <w:sz w:val="20"/>
                <w:szCs w:val="20"/>
              </w:rPr>
            </w:pPr>
          </w:p>
          <w:p w:rsidR="00307BDA" w:rsidRPr="00603B95" w:rsidRDefault="00307BDA" w:rsidP="00603B95">
            <w:pPr>
              <w:rPr>
                <w:rFonts w:ascii="Arial" w:hAnsi="Arial" w:cs="Arial"/>
                <w:sz w:val="20"/>
                <w:szCs w:val="20"/>
              </w:rPr>
            </w:pPr>
            <w:r w:rsidRPr="00603B95">
              <w:rPr>
                <w:rFonts w:ascii="Arial" w:hAnsi="Arial" w:cs="Arial"/>
                <w:sz w:val="20"/>
                <w:szCs w:val="20"/>
              </w:rPr>
              <w:t>98.0%</w:t>
            </w:r>
          </w:p>
        </w:tc>
        <w:tc>
          <w:tcPr>
            <w:tcW w:w="1701" w:type="dxa"/>
            <w:tcBorders>
              <w:top w:val="nil"/>
            </w:tcBorders>
            <w:shd w:val="clear" w:color="auto" w:fill="FFFFFF" w:themeFill="background1"/>
          </w:tcPr>
          <w:p w:rsidR="00307BDA" w:rsidRPr="00603B95" w:rsidRDefault="00307BDA" w:rsidP="00603B95">
            <w:pPr>
              <w:rPr>
                <w:rFonts w:ascii="Arial" w:hAnsi="Arial" w:cs="Arial"/>
                <w:bCs/>
                <w:sz w:val="20"/>
                <w:szCs w:val="20"/>
              </w:rPr>
            </w:pPr>
          </w:p>
          <w:p w:rsidR="00307BDA" w:rsidRPr="00603B95" w:rsidRDefault="00307BDA" w:rsidP="00603B95">
            <w:pPr>
              <w:rPr>
                <w:rFonts w:ascii="Arial" w:hAnsi="Arial" w:cs="Arial"/>
                <w:bCs/>
                <w:sz w:val="20"/>
                <w:szCs w:val="20"/>
              </w:rPr>
            </w:pPr>
            <w:r w:rsidRPr="00603B95">
              <w:rPr>
                <w:rFonts w:ascii="Arial" w:hAnsi="Arial" w:cs="Arial"/>
                <w:bCs/>
                <w:sz w:val="20"/>
                <w:szCs w:val="20"/>
              </w:rPr>
              <w:t>85,9</w:t>
            </w:r>
          </w:p>
        </w:tc>
        <w:tc>
          <w:tcPr>
            <w:tcW w:w="1701" w:type="dxa"/>
            <w:tcBorders>
              <w:top w:val="nil"/>
            </w:tcBorders>
            <w:shd w:val="clear" w:color="auto" w:fill="FFFFFF" w:themeFill="background1"/>
          </w:tcPr>
          <w:p w:rsidR="00307BDA" w:rsidRPr="00603B95" w:rsidRDefault="00307BDA" w:rsidP="00603B95">
            <w:pPr>
              <w:rPr>
                <w:rFonts w:ascii="Arial" w:hAnsi="Arial" w:cs="Arial"/>
                <w:b/>
                <w:sz w:val="20"/>
                <w:szCs w:val="20"/>
              </w:rPr>
            </w:pPr>
          </w:p>
          <w:p w:rsidR="00307BDA" w:rsidRPr="00603B95" w:rsidRDefault="00307BDA" w:rsidP="00603B95">
            <w:pPr>
              <w:rPr>
                <w:rFonts w:ascii="Arial" w:hAnsi="Arial" w:cs="Arial"/>
                <w:b/>
                <w:sz w:val="20"/>
                <w:szCs w:val="20"/>
              </w:rPr>
            </w:pPr>
            <w:r w:rsidRPr="00603B95">
              <w:rPr>
                <w:rFonts w:ascii="Arial" w:hAnsi="Arial" w:cs="Arial"/>
                <w:b/>
                <w:sz w:val="20"/>
                <w:szCs w:val="20"/>
              </w:rPr>
              <w:t>2.0%</w:t>
            </w:r>
          </w:p>
        </w:tc>
      </w:tr>
      <w:tr w:rsidR="00307BDA" w:rsidRPr="00603B95" w:rsidTr="001F474F">
        <w:tc>
          <w:tcPr>
            <w:tcW w:w="1985" w:type="dxa"/>
            <w:shd w:val="clear" w:color="auto" w:fill="D9D9D9" w:themeFill="background1" w:themeFillShade="D9"/>
            <w:vAlign w:val="bottom"/>
          </w:tcPr>
          <w:p w:rsidR="00307BDA" w:rsidRPr="00603B95" w:rsidRDefault="00307BDA" w:rsidP="00603B95">
            <w:pPr>
              <w:rPr>
                <w:rFonts w:ascii="Arial" w:eastAsia="Times New Roman" w:hAnsi="Arial" w:cs="Arial"/>
                <w:b/>
                <w:bCs/>
                <w:color w:val="000000"/>
                <w:sz w:val="20"/>
                <w:szCs w:val="20"/>
                <w:lang w:eastAsia="en-ZA"/>
              </w:rPr>
            </w:pPr>
            <w:r w:rsidRPr="00603B95">
              <w:rPr>
                <w:rFonts w:ascii="Arial" w:eastAsia="Times New Roman" w:hAnsi="Arial" w:cs="Arial"/>
                <w:b/>
                <w:bCs/>
                <w:color w:val="000000"/>
                <w:sz w:val="20"/>
                <w:szCs w:val="20"/>
                <w:lang w:eastAsia="en-ZA"/>
              </w:rPr>
              <w:t>Total</w:t>
            </w:r>
          </w:p>
        </w:tc>
        <w:tc>
          <w:tcPr>
            <w:tcW w:w="1276" w:type="dxa"/>
            <w:shd w:val="clear" w:color="auto" w:fill="D9D9D9" w:themeFill="background1" w:themeFillShade="D9"/>
            <w:vAlign w:val="bottom"/>
          </w:tcPr>
          <w:p w:rsidR="00307BDA" w:rsidRPr="00603B95" w:rsidRDefault="00307BDA" w:rsidP="00603B95">
            <w:pPr>
              <w:rPr>
                <w:rFonts w:ascii="Arial" w:eastAsia="Times New Roman" w:hAnsi="Arial" w:cs="Arial"/>
                <w:color w:val="000000"/>
                <w:sz w:val="20"/>
                <w:szCs w:val="20"/>
                <w:lang w:eastAsia="en-ZA"/>
              </w:rPr>
            </w:pPr>
            <w:r w:rsidRPr="00603B95">
              <w:rPr>
                <w:rFonts w:ascii="Arial" w:hAnsi="Arial" w:cs="Arial"/>
                <w:b/>
                <w:bCs/>
                <w:sz w:val="20"/>
                <w:szCs w:val="20"/>
              </w:rPr>
              <w:t>130 975,8</w:t>
            </w:r>
          </w:p>
        </w:tc>
        <w:tc>
          <w:tcPr>
            <w:tcW w:w="1417" w:type="dxa"/>
            <w:shd w:val="clear" w:color="auto" w:fill="D9D9D9" w:themeFill="background1" w:themeFillShade="D9"/>
            <w:vAlign w:val="bottom"/>
          </w:tcPr>
          <w:p w:rsidR="00307BDA" w:rsidRPr="00603B95" w:rsidRDefault="00307BDA" w:rsidP="00603B95">
            <w:pPr>
              <w:rPr>
                <w:rFonts w:ascii="Arial" w:eastAsia="Times New Roman" w:hAnsi="Arial" w:cs="Arial"/>
                <w:b/>
                <w:color w:val="000000"/>
                <w:sz w:val="20"/>
                <w:szCs w:val="20"/>
                <w:lang w:eastAsia="en-ZA"/>
              </w:rPr>
            </w:pPr>
            <w:r w:rsidRPr="00603B95">
              <w:rPr>
                <w:rFonts w:ascii="Arial" w:eastAsia="Times New Roman" w:hAnsi="Arial" w:cs="Arial"/>
                <w:b/>
                <w:color w:val="000000"/>
                <w:sz w:val="20"/>
                <w:szCs w:val="20"/>
                <w:lang w:eastAsia="en-ZA"/>
              </w:rPr>
              <w:t>130 083,6</w:t>
            </w:r>
          </w:p>
        </w:tc>
        <w:tc>
          <w:tcPr>
            <w:tcW w:w="1418" w:type="dxa"/>
            <w:shd w:val="clear" w:color="auto" w:fill="D9D9D9" w:themeFill="background1" w:themeFillShade="D9"/>
          </w:tcPr>
          <w:p w:rsidR="00307BDA" w:rsidRPr="00603B95" w:rsidRDefault="00307BDA" w:rsidP="00603B95">
            <w:pPr>
              <w:rPr>
                <w:rFonts w:ascii="Arial" w:hAnsi="Arial" w:cs="Arial"/>
                <w:b/>
                <w:sz w:val="20"/>
                <w:szCs w:val="20"/>
              </w:rPr>
            </w:pPr>
            <w:r w:rsidRPr="00603B95">
              <w:rPr>
                <w:rFonts w:ascii="Arial" w:hAnsi="Arial" w:cs="Arial"/>
                <w:b/>
                <w:sz w:val="20"/>
                <w:szCs w:val="20"/>
              </w:rPr>
              <w:t>99.3%</w:t>
            </w:r>
          </w:p>
        </w:tc>
        <w:tc>
          <w:tcPr>
            <w:tcW w:w="1701" w:type="dxa"/>
            <w:shd w:val="clear" w:color="auto" w:fill="D9D9D9" w:themeFill="background1" w:themeFillShade="D9"/>
          </w:tcPr>
          <w:p w:rsidR="00307BDA" w:rsidRPr="00603B95" w:rsidRDefault="00307BDA" w:rsidP="00603B95">
            <w:pPr>
              <w:rPr>
                <w:rFonts w:ascii="Arial" w:hAnsi="Arial" w:cs="Arial"/>
                <w:b/>
                <w:bCs/>
                <w:sz w:val="20"/>
                <w:szCs w:val="20"/>
              </w:rPr>
            </w:pPr>
            <w:r w:rsidRPr="00603B95">
              <w:rPr>
                <w:rFonts w:ascii="Arial" w:hAnsi="Arial" w:cs="Arial"/>
                <w:b/>
                <w:bCs/>
                <w:sz w:val="20"/>
                <w:szCs w:val="20"/>
              </w:rPr>
              <w:t>892,2</w:t>
            </w:r>
          </w:p>
        </w:tc>
        <w:tc>
          <w:tcPr>
            <w:tcW w:w="1701" w:type="dxa"/>
            <w:shd w:val="clear" w:color="auto" w:fill="D9D9D9" w:themeFill="background1" w:themeFillShade="D9"/>
          </w:tcPr>
          <w:p w:rsidR="00307BDA" w:rsidRPr="00603B95" w:rsidRDefault="00307BDA" w:rsidP="00603B95">
            <w:pPr>
              <w:rPr>
                <w:rFonts w:ascii="Arial" w:hAnsi="Arial" w:cs="Arial"/>
                <w:b/>
                <w:sz w:val="20"/>
                <w:szCs w:val="20"/>
              </w:rPr>
            </w:pPr>
            <w:r w:rsidRPr="00603B95">
              <w:rPr>
                <w:rFonts w:ascii="Arial" w:hAnsi="Arial" w:cs="Arial"/>
                <w:b/>
                <w:sz w:val="20"/>
                <w:szCs w:val="20"/>
              </w:rPr>
              <w:t>0.7%</w:t>
            </w:r>
          </w:p>
        </w:tc>
      </w:tr>
    </w:tbl>
    <w:p w:rsidR="006003CD" w:rsidRPr="00603B95" w:rsidRDefault="006003CD" w:rsidP="00603B95">
      <w:pPr>
        <w:spacing w:after="0" w:line="240" w:lineRule="auto"/>
        <w:rPr>
          <w:rFonts w:ascii="Arial" w:hAnsi="Arial" w:cs="Arial"/>
          <w:sz w:val="20"/>
          <w:szCs w:val="20"/>
        </w:rPr>
      </w:pPr>
      <w:r w:rsidRPr="00603B95">
        <w:rPr>
          <w:rFonts w:ascii="Arial" w:hAnsi="Arial" w:cs="Arial"/>
          <w:sz w:val="20"/>
          <w:szCs w:val="20"/>
        </w:rPr>
        <w:t>Source: National Treasury, 202</w:t>
      </w:r>
      <w:r w:rsidR="00BF2BA5" w:rsidRPr="00603B95">
        <w:rPr>
          <w:rFonts w:ascii="Arial" w:hAnsi="Arial" w:cs="Arial"/>
          <w:sz w:val="20"/>
          <w:szCs w:val="20"/>
        </w:rPr>
        <w:t>3</w:t>
      </w:r>
    </w:p>
    <w:p w:rsidR="0033098A" w:rsidRPr="00603B95" w:rsidRDefault="004A395F" w:rsidP="00603B95">
      <w:pPr>
        <w:spacing w:after="0" w:line="240" w:lineRule="auto"/>
        <w:rPr>
          <w:rFonts w:ascii="Arial" w:hAnsi="Arial" w:cs="Arial"/>
          <w:sz w:val="20"/>
          <w:szCs w:val="20"/>
        </w:rPr>
      </w:pPr>
      <w:r w:rsidRPr="00603B95">
        <w:rPr>
          <w:rFonts w:ascii="Arial" w:hAnsi="Arial" w:cs="Arial"/>
          <w:sz w:val="20"/>
          <w:szCs w:val="20"/>
        </w:rPr>
        <w:lastRenderedPageBreak/>
        <w:t xml:space="preserve">The Department’s adjusted budget for the 2022/23 financial year, inclusive of the direct charges against the National Revenue Fund amounted to R130,975 billion. The Department’s expenditure at the end of </w:t>
      </w:r>
      <w:r w:rsidR="00C706A6" w:rsidRPr="00603B95">
        <w:rPr>
          <w:rFonts w:ascii="Arial" w:hAnsi="Arial" w:cs="Arial"/>
          <w:sz w:val="20"/>
          <w:szCs w:val="20"/>
        </w:rPr>
        <w:t xml:space="preserve">the </w:t>
      </w:r>
      <w:r w:rsidRPr="00603B95">
        <w:rPr>
          <w:rFonts w:ascii="Arial" w:hAnsi="Arial" w:cs="Arial"/>
          <w:sz w:val="20"/>
          <w:szCs w:val="20"/>
        </w:rPr>
        <w:t>Fourth</w:t>
      </w:r>
      <w:r w:rsidR="00C706A6" w:rsidRPr="00603B95">
        <w:rPr>
          <w:rFonts w:ascii="Arial" w:hAnsi="Arial" w:cs="Arial"/>
          <w:sz w:val="20"/>
          <w:szCs w:val="20"/>
        </w:rPr>
        <w:t xml:space="preserve"> </w:t>
      </w:r>
      <w:r w:rsidRPr="00603B95">
        <w:rPr>
          <w:rFonts w:ascii="Arial" w:hAnsi="Arial" w:cs="Arial"/>
          <w:sz w:val="20"/>
          <w:szCs w:val="20"/>
        </w:rPr>
        <w:t xml:space="preserve">Quarter, excluding direct charges, amounted to R109,274 billion or 99.6 per cent of the R109,737 billion. The Department recorded lower than the projected expenditure amounting to R462,9 million, mainly under </w:t>
      </w:r>
      <w:r w:rsidR="001F474F" w:rsidRPr="00603B95">
        <w:rPr>
          <w:rFonts w:ascii="Arial" w:hAnsi="Arial" w:cs="Arial"/>
          <w:sz w:val="20"/>
          <w:szCs w:val="20"/>
        </w:rPr>
        <w:t xml:space="preserve">the </w:t>
      </w:r>
      <w:r w:rsidRPr="00603B95">
        <w:rPr>
          <w:rFonts w:ascii="Arial" w:hAnsi="Arial" w:cs="Arial"/>
          <w:sz w:val="20"/>
          <w:szCs w:val="20"/>
        </w:rPr>
        <w:t>compensation of employees across all programmes. At the end of the 2022/23 Fourth</w:t>
      </w:r>
      <w:r w:rsidR="00C706A6" w:rsidRPr="00603B95">
        <w:rPr>
          <w:rFonts w:ascii="Arial" w:hAnsi="Arial" w:cs="Arial"/>
          <w:sz w:val="20"/>
          <w:szCs w:val="20"/>
        </w:rPr>
        <w:t xml:space="preserve"> </w:t>
      </w:r>
      <w:r w:rsidRPr="00603B95">
        <w:rPr>
          <w:rFonts w:ascii="Arial" w:hAnsi="Arial" w:cs="Arial"/>
          <w:sz w:val="20"/>
          <w:szCs w:val="20"/>
        </w:rPr>
        <w:t xml:space="preserve">Quarter, the Department had spent R10,251 billion or 96.3 per cent on the </w:t>
      </w:r>
      <w:r w:rsidR="001F474F" w:rsidRPr="00603B95">
        <w:rPr>
          <w:rFonts w:ascii="Arial" w:hAnsi="Arial" w:cs="Arial"/>
          <w:sz w:val="20"/>
          <w:szCs w:val="20"/>
        </w:rPr>
        <w:t>c</w:t>
      </w:r>
      <w:r w:rsidRPr="00603B95">
        <w:rPr>
          <w:rFonts w:ascii="Arial" w:hAnsi="Arial" w:cs="Arial"/>
          <w:sz w:val="20"/>
          <w:szCs w:val="20"/>
        </w:rPr>
        <w:t xml:space="preserve">ompensation of </w:t>
      </w:r>
      <w:r w:rsidR="00745D9A" w:rsidRPr="00603B95">
        <w:rPr>
          <w:rFonts w:ascii="Arial" w:hAnsi="Arial" w:cs="Arial"/>
          <w:sz w:val="20"/>
          <w:szCs w:val="20"/>
        </w:rPr>
        <w:t>employees’</w:t>
      </w:r>
      <w:r w:rsidRPr="00603B95">
        <w:rPr>
          <w:rFonts w:ascii="Arial" w:hAnsi="Arial" w:cs="Arial"/>
          <w:sz w:val="20"/>
          <w:szCs w:val="20"/>
        </w:rPr>
        <w:t xml:space="preserve"> available budget, recording lower than the projected spending amounting to R399,4 million or 3.7 per cent</w:t>
      </w:r>
      <w:r w:rsidR="0033098A" w:rsidRPr="00603B95">
        <w:rPr>
          <w:rFonts w:ascii="Arial" w:hAnsi="Arial" w:cs="Arial"/>
          <w:sz w:val="20"/>
          <w:szCs w:val="20"/>
        </w:rPr>
        <w:t>, mainly in Programme 4: Technical and Vocational Education and Training</w:t>
      </w:r>
      <w:r w:rsidRPr="00603B95">
        <w:rPr>
          <w:rFonts w:ascii="Arial" w:hAnsi="Arial" w:cs="Arial"/>
          <w:sz w:val="20"/>
          <w:szCs w:val="20"/>
        </w:rPr>
        <w:t xml:space="preserve">. </w:t>
      </w:r>
      <w:r w:rsidR="001F474F" w:rsidRPr="00603B95">
        <w:rPr>
          <w:rFonts w:ascii="Arial" w:hAnsi="Arial" w:cs="Arial"/>
          <w:sz w:val="20"/>
          <w:szCs w:val="20"/>
        </w:rPr>
        <w:t>U</w:t>
      </w:r>
      <w:r w:rsidR="0033098A" w:rsidRPr="00603B95">
        <w:rPr>
          <w:rFonts w:ascii="Arial" w:hAnsi="Arial" w:cs="Arial"/>
          <w:sz w:val="20"/>
          <w:szCs w:val="20"/>
        </w:rPr>
        <w:t>nderspending in Programme 4 is mainly due to delays in implementing the Post</w:t>
      </w:r>
      <w:r w:rsidR="0033098A" w:rsidRPr="00603B95">
        <w:rPr>
          <w:rFonts w:ascii="Times New Roman" w:hAnsi="Times New Roman" w:cs="Arial"/>
          <w:sz w:val="20"/>
          <w:szCs w:val="20"/>
        </w:rPr>
        <w:t>‐</w:t>
      </w:r>
      <w:r w:rsidR="0033098A" w:rsidRPr="00603B95">
        <w:rPr>
          <w:rFonts w:ascii="Arial" w:hAnsi="Arial" w:cs="Arial"/>
          <w:sz w:val="20"/>
          <w:szCs w:val="20"/>
        </w:rPr>
        <w:t>Provisioning Norms (PPN) at colleges where the required documents were not submitted on time. The Department noted that there were challenges with the matching of staff to posts at some colleges, and some of the staff had criminal records and could not participate in the process pending the finalisation of their cases. The Department also noted that is working closely with TVET college management teams to ensure that all the necessary human resources management requirements needed to implement the PPN are met.</w:t>
      </w:r>
    </w:p>
    <w:p w:rsidR="004A395F" w:rsidRPr="00603B95" w:rsidRDefault="004A395F" w:rsidP="00603B95">
      <w:pPr>
        <w:spacing w:after="0" w:line="240" w:lineRule="auto"/>
        <w:rPr>
          <w:rFonts w:ascii="Arial" w:hAnsi="Arial" w:cs="Arial"/>
          <w:sz w:val="20"/>
          <w:szCs w:val="20"/>
        </w:rPr>
      </w:pPr>
      <w:r w:rsidRPr="00603B95">
        <w:rPr>
          <w:rFonts w:ascii="Arial" w:hAnsi="Arial" w:cs="Arial"/>
          <w:sz w:val="20"/>
          <w:szCs w:val="20"/>
        </w:rPr>
        <w:t>Expenditure on goods and services amounted to R633,1 million or 92.6 per cent of the available budget of R683,5 million. The underspending on goods and services amounted to R50,4 million or 7.4 per cent of the available budget.</w:t>
      </w:r>
    </w:p>
    <w:p w:rsidR="004A395F" w:rsidRPr="00603B95" w:rsidRDefault="004A395F" w:rsidP="00603B95">
      <w:pPr>
        <w:spacing w:after="0" w:line="240" w:lineRule="auto"/>
        <w:rPr>
          <w:rFonts w:ascii="Arial" w:hAnsi="Arial" w:cs="Arial"/>
          <w:sz w:val="20"/>
          <w:szCs w:val="20"/>
        </w:rPr>
      </w:pPr>
      <w:r w:rsidRPr="00603B95">
        <w:rPr>
          <w:rFonts w:ascii="Arial" w:hAnsi="Arial" w:cs="Arial"/>
          <w:sz w:val="20"/>
          <w:szCs w:val="20"/>
        </w:rPr>
        <w:t>Spending on transfers and subsidies at the end of the Quarter under review amounted to R98,</w:t>
      </w:r>
      <w:r w:rsidR="0033098A" w:rsidRPr="00603B95">
        <w:rPr>
          <w:rFonts w:ascii="Arial" w:hAnsi="Arial" w:cs="Arial"/>
          <w:sz w:val="20"/>
          <w:szCs w:val="20"/>
        </w:rPr>
        <w:t>376</w:t>
      </w:r>
      <w:r w:rsidRPr="00603B95">
        <w:rPr>
          <w:rFonts w:ascii="Arial" w:hAnsi="Arial" w:cs="Arial"/>
          <w:sz w:val="20"/>
          <w:szCs w:val="20"/>
        </w:rPr>
        <w:t xml:space="preserve"> billion or 100 per cent of the available budget. Spending on payments for capital assets amounted to R11,5 million or 70 per cent, recording an underspending of R4,9 million or 30 per cent of the available budget of R16,4 million.  </w:t>
      </w:r>
    </w:p>
    <w:p w:rsidR="006003CD" w:rsidRPr="00603B95" w:rsidRDefault="006003CD" w:rsidP="00603B95">
      <w:pPr>
        <w:spacing w:after="0" w:line="240" w:lineRule="auto"/>
        <w:rPr>
          <w:rFonts w:ascii="Arial" w:hAnsi="Arial" w:cs="Arial"/>
          <w:b/>
          <w:sz w:val="20"/>
          <w:szCs w:val="20"/>
        </w:rPr>
      </w:pPr>
      <w:r w:rsidRPr="00603B95">
        <w:rPr>
          <w:rFonts w:ascii="Arial" w:hAnsi="Arial" w:cs="Arial"/>
          <w:b/>
          <w:sz w:val="20"/>
          <w:szCs w:val="20"/>
        </w:rPr>
        <w:t>2.</w:t>
      </w:r>
      <w:r w:rsidR="004B16B4" w:rsidRPr="00603B95">
        <w:rPr>
          <w:rFonts w:ascii="Arial" w:hAnsi="Arial" w:cs="Arial"/>
          <w:b/>
          <w:sz w:val="20"/>
          <w:szCs w:val="20"/>
        </w:rPr>
        <w:t>2</w:t>
      </w:r>
      <w:r w:rsidRPr="00603B95">
        <w:rPr>
          <w:rFonts w:ascii="Arial" w:hAnsi="Arial" w:cs="Arial"/>
          <w:b/>
          <w:sz w:val="20"/>
          <w:szCs w:val="20"/>
        </w:rPr>
        <w:t xml:space="preserve">.  Overview and </w:t>
      </w:r>
      <w:r w:rsidR="00C706A6" w:rsidRPr="00603B95">
        <w:rPr>
          <w:rFonts w:ascii="Arial" w:hAnsi="Arial" w:cs="Arial"/>
          <w:b/>
          <w:sz w:val="20"/>
          <w:szCs w:val="20"/>
        </w:rPr>
        <w:t xml:space="preserve">Assessment </w:t>
      </w:r>
      <w:r w:rsidR="008C48AD" w:rsidRPr="00603B95">
        <w:rPr>
          <w:rFonts w:ascii="Arial" w:hAnsi="Arial" w:cs="Arial"/>
          <w:b/>
          <w:sz w:val="20"/>
          <w:szCs w:val="20"/>
        </w:rPr>
        <w:t>202</w:t>
      </w:r>
      <w:r w:rsidR="008031F5" w:rsidRPr="00603B95">
        <w:rPr>
          <w:rFonts w:ascii="Arial" w:hAnsi="Arial" w:cs="Arial"/>
          <w:b/>
          <w:sz w:val="20"/>
          <w:szCs w:val="20"/>
        </w:rPr>
        <w:t>2</w:t>
      </w:r>
      <w:r w:rsidR="008C48AD" w:rsidRPr="00603B95">
        <w:rPr>
          <w:rFonts w:ascii="Arial" w:hAnsi="Arial" w:cs="Arial"/>
          <w:b/>
          <w:sz w:val="20"/>
          <w:szCs w:val="20"/>
        </w:rPr>
        <w:t>/2</w:t>
      </w:r>
      <w:r w:rsidR="008031F5" w:rsidRPr="00603B95">
        <w:rPr>
          <w:rFonts w:ascii="Arial" w:hAnsi="Arial" w:cs="Arial"/>
          <w:b/>
          <w:sz w:val="20"/>
          <w:szCs w:val="20"/>
        </w:rPr>
        <w:t>3</w:t>
      </w:r>
      <w:r w:rsidR="008C48AD" w:rsidRPr="00603B95">
        <w:rPr>
          <w:rFonts w:ascii="Arial" w:hAnsi="Arial" w:cs="Arial"/>
          <w:b/>
          <w:sz w:val="20"/>
          <w:szCs w:val="20"/>
        </w:rPr>
        <w:t xml:space="preserve"> </w:t>
      </w:r>
      <w:r w:rsidR="000E1D11" w:rsidRPr="00603B95">
        <w:rPr>
          <w:rFonts w:ascii="Arial" w:hAnsi="Arial" w:cs="Arial"/>
          <w:b/>
          <w:sz w:val="20"/>
          <w:szCs w:val="20"/>
        </w:rPr>
        <w:t>Third</w:t>
      </w:r>
      <w:r w:rsidR="004B16B4" w:rsidRPr="00603B95">
        <w:rPr>
          <w:rFonts w:ascii="Arial" w:hAnsi="Arial" w:cs="Arial"/>
          <w:b/>
          <w:sz w:val="20"/>
          <w:szCs w:val="20"/>
        </w:rPr>
        <w:t>-</w:t>
      </w:r>
      <w:r w:rsidR="008031F5" w:rsidRPr="00603B95">
        <w:rPr>
          <w:rFonts w:ascii="Arial" w:hAnsi="Arial" w:cs="Arial"/>
          <w:b/>
          <w:sz w:val="20"/>
          <w:szCs w:val="20"/>
        </w:rPr>
        <w:t>Q</w:t>
      </w:r>
      <w:r w:rsidRPr="00603B95">
        <w:rPr>
          <w:rFonts w:ascii="Arial" w:hAnsi="Arial" w:cs="Arial"/>
          <w:b/>
          <w:sz w:val="20"/>
          <w:szCs w:val="20"/>
        </w:rPr>
        <w:t xml:space="preserve">uarter service delivery performance </w:t>
      </w:r>
    </w:p>
    <w:p w:rsidR="009E02A3" w:rsidRPr="00603B95" w:rsidRDefault="009E02A3" w:rsidP="00603B95">
      <w:pPr>
        <w:spacing w:after="0" w:line="240" w:lineRule="auto"/>
        <w:rPr>
          <w:rFonts w:ascii="Arial" w:hAnsi="Arial" w:cs="Arial"/>
          <w:sz w:val="20"/>
          <w:szCs w:val="20"/>
        </w:rPr>
      </w:pPr>
      <w:r w:rsidRPr="00603B95">
        <w:rPr>
          <w:rFonts w:ascii="Arial" w:hAnsi="Arial" w:cs="Arial"/>
          <w:sz w:val="20"/>
          <w:szCs w:val="20"/>
        </w:rPr>
        <w:t xml:space="preserve">For the </w:t>
      </w:r>
      <w:r w:rsidR="00000B17" w:rsidRPr="00603B95">
        <w:rPr>
          <w:rFonts w:ascii="Arial" w:hAnsi="Arial" w:cs="Arial"/>
          <w:sz w:val="20"/>
          <w:szCs w:val="20"/>
        </w:rPr>
        <w:t xml:space="preserve">2022/23 </w:t>
      </w:r>
      <w:r w:rsidR="002C3C48" w:rsidRPr="00603B95">
        <w:rPr>
          <w:rFonts w:ascii="Arial" w:hAnsi="Arial" w:cs="Arial"/>
          <w:sz w:val="20"/>
          <w:szCs w:val="20"/>
        </w:rPr>
        <w:t>Fourth</w:t>
      </w:r>
      <w:r w:rsidR="00C706A6" w:rsidRPr="00603B95">
        <w:rPr>
          <w:rFonts w:ascii="Arial" w:hAnsi="Arial" w:cs="Arial"/>
          <w:sz w:val="20"/>
          <w:szCs w:val="20"/>
        </w:rPr>
        <w:t xml:space="preserve"> </w:t>
      </w:r>
      <w:r w:rsidR="002C3C48" w:rsidRPr="00603B95">
        <w:rPr>
          <w:rFonts w:ascii="Arial" w:hAnsi="Arial" w:cs="Arial"/>
          <w:sz w:val="20"/>
          <w:szCs w:val="20"/>
        </w:rPr>
        <w:t>Quarter, the Department had 74</w:t>
      </w:r>
      <w:r w:rsidR="00000B17" w:rsidRPr="00603B95">
        <w:rPr>
          <w:rFonts w:ascii="Arial" w:hAnsi="Arial" w:cs="Arial"/>
          <w:sz w:val="20"/>
          <w:szCs w:val="20"/>
        </w:rPr>
        <w:t xml:space="preserve"> </w:t>
      </w:r>
      <w:r w:rsidRPr="00603B95">
        <w:rPr>
          <w:rFonts w:ascii="Arial" w:hAnsi="Arial" w:cs="Arial"/>
          <w:sz w:val="20"/>
          <w:szCs w:val="20"/>
        </w:rPr>
        <w:t xml:space="preserve">targets. The targets were shared among the </w:t>
      </w:r>
      <w:r w:rsidR="00000B17" w:rsidRPr="00603B95">
        <w:rPr>
          <w:rFonts w:ascii="Arial" w:hAnsi="Arial" w:cs="Arial"/>
          <w:sz w:val="20"/>
          <w:szCs w:val="20"/>
        </w:rPr>
        <w:t>six budget</w:t>
      </w:r>
      <w:r w:rsidRPr="00603B95">
        <w:rPr>
          <w:rFonts w:ascii="Arial" w:hAnsi="Arial" w:cs="Arial"/>
          <w:sz w:val="20"/>
          <w:szCs w:val="20"/>
        </w:rPr>
        <w:t xml:space="preserve"> programmes, namely</w:t>
      </w:r>
      <w:r w:rsidR="008A3FE9" w:rsidRPr="00603B95">
        <w:rPr>
          <w:rFonts w:ascii="Arial" w:hAnsi="Arial" w:cs="Arial"/>
          <w:sz w:val="20"/>
          <w:szCs w:val="20"/>
        </w:rPr>
        <w:t>:</w:t>
      </w:r>
      <w:r w:rsidRPr="00603B95">
        <w:rPr>
          <w:rFonts w:ascii="Arial" w:hAnsi="Arial" w:cs="Arial"/>
          <w:sz w:val="20"/>
          <w:szCs w:val="20"/>
        </w:rPr>
        <w:t xml:space="preserve"> Administration, </w:t>
      </w:r>
      <w:r w:rsidR="00000B17" w:rsidRPr="00603B95">
        <w:rPr>
          <w:rFonts w:ascii="Arial" w:hAnsi="Arial" w:cs="Arial"/>
          <w:sz w:val="20"/>
          <w:szCs w:val="20"/>
        </w:rPr>
        <w:t xml:space="preserve">Planning, Policy and Strategy; </w:t>
      </w:r>
      <w:r w:rsidR="008F0A78" w:rsidRPr="00603B95">
        <w:rPr>
          <w:rFonts w:ascii="Arial" w:hAnsi="Arial" w:cs="Arial"/>
          <w:sz w:val="20"/>
          <w:szCs w:val="20"/>
        </w:rPr>
        <w:t xml:space="preserve">University Education, </w:t>
      </w:r>
      <w:r w:rsidRPr="00603B95">
        <w:rPr>
          <w:rFonts w:ascii="Arial" w:hAnsi="Arial" w:cs="Arial"/>
          <w:sz w:val="20"/>
          <w:szCs w:val="20"/>
        </w:rPr>
        <w:t>Technical and Vocational Education and Training</w:t>
      </w:r>
      <w:r w:rsidR="00000B17" w:rsidRPr="00603B95">
        <w:rPr>
          <w:rFonts w:ascii="Arial" w:hAnsi="Arial" w:cs="Arial"/>
          <w:sz w:val="20"/>
          <w:szCs w:val="20"/>
        </w:rPr>
        <w:t xml:space="preserve"> (TVET),</w:t>
      </w:r>
      <w:r w:rsidRPr="00603B95">
        <w:rPr>
          <w:rFonts w:ascii="Arial" w:hAnsi="Arial" w:cs="Arial"/>
          <w:sz w:val="20"/>
          <w:szCs w:val="20"/>
        </w:rPr>
        <w:t xml:space="preserve"> Skills Development</w:t>
      </w:r>
      <w:r w:rsidR="00000B17" w:rsidRPr="00603B95">
        <w:rPr>
          <w:rFonts w:ascii="Arial" w:hAnsi="Arial" w:cs="Arial"/>
          <w:sz w:val="20"/>
          <w:szCs w:val="20"/>
        </w:rPr>
        <w:t xml:space="preserve"> and Community Education and Training (CET)</w:t>
      </w:r>
      <w:r w:rsidR="00DF2021" w:rsidRPr="00603B95">
        <w:rPr>
          <w:rFonts w:ascii="Arial" w:hAnsi="Arial" w:cs="Arial"/>
          <w:sz w:val="20"/>
          <w:szCs w:val="20"/>
        </w:rPr>
        <w:t>.</w:t>
      </w:r>
      <w:r w:rsidRPr="00603B95">
        <w:rPr>
          <w:rFonts w:ascii="Arial" w:hAnsi="Arial" w:cs="Arial"/>
          <w:sz w:val="20"/>
          <w:szCs w:val="20"/>
        </w:rPr>
        <w:t xml:space="preserve"> The Department achieved </w:t>
      </w:r>
      <w:r w:rsidR="002C3C48" w:rsidRPr="00603B95">
        <w:rPr>
          <w:rFonts w:ascii="Arial" w:hAnsi="Arial" w:cs="Arial"/>
          <w:sz w:val="20"/>
          <w:szCs w:val="20"/>
        </w:rPr>
        <w:t>42</w:t>
      </w:r>
      <w:r w:rsidR="00000B17" w:rsidRPr="00603B95">
        <w:rPr>
          <w:rFonts w:ascii="Arial" w:hAnsi="Arial" w:cs="Arial"/>
          <w:sz w:val="20"/>
          <w:szCs w:val="20"/>
        </w:rPr>
        <w:t xml:space="preserve"> targets or </w:t>
      </w:r>
      <w:r w:rsidR="00005F73" w:rsidRPr="00603B95">
        <w:rPr>
          <w:rFonts w:ascii="Arial" w:hAnsi="Arial" w:cs="Arial"/>
          <w:sz w:val="20"/>
          <w:szCs w:val="20"/>
        </w:rPr>
        <w:t xml:space="preserve">57 </w:t>
      </w:r>
      <w:r w:rsidRPr="00603B95">
        <w:rPr>
          <w:rFonts w:ascii="Arial" w:hAnsi="Arial" w:cs="Arial"/>
          <w:sz w:val="20"/>
          <w:szCs w:val="20"/>
        </w:rPr>
        <w:t xml:space="preserve">per cent of the </w:t>
      </w:r>
      <w:r w:rsidR="00000B17" w:rsidRPr="00603B95">
        <w:rPr>
          <w:rFonts w:ascii="Arial" w:hAnsi="Arial" w:cs="Arial"/>
          <w:sz w:val="20"/>
          <w:szCs w:val="20"/>
        </w:rPr>
        <w:t>7</w:t>
      </w:r>
      <w:r w:rsidR="002C3C48" w:rsidRPr="00603B95">
        <w:rPr>
          <w:rFonts w:ascii="Arial" w:hAnsi="Arial" w:cs="Arial"/>
          <w:sz w:val="20"/>
          <w:szCs w:val="20"/>
        </w:rPr>
        <w:t>4</w:t>
      </w:r>
      <w:r w:rsidRPr="00603B95">
        <w:rPr>
          <w:rFonts w:ascii="Arial" w:hAnsi="Arial" w:cs="Arial"/>
          <w:sz w:val="20"/>
          <w:szCs w:val="20"/>
        </w:rPr>
        <w:t xml:space="preserve"> targets.</w:t>
      </w:r>
    </w:p>
    <w:p w:rsidR="006003CD" w:rsidRPr="00603B95" w:rsidRDefault="000E1D11" w:rsidP="00603B95">
      <w:pPr>
        <w:spacing w:after="0" w:line="240" w:lineRule="auto"/>
        <w:rPr>
          <w:rFonts w:ascii="Arial" w:hAnsi="Arial" w:cs="Arial"/>
          <w:b/>
          <w:sz w:val="20"/>
          <w:szCs w:val="20"/>
        </w:rPr>
      </w:pPr>
      <w:r w:rsidRPr="00603B95">
        <w:rPr>
          <w:rFonts w:ascii="Arial" w:hAnsi="Arial" w:cs="Arial"/>
          <w:b/>
          <w:sz w:val="20"/>
          <w:szCs w:val="20"/>
        </w:rPr>
        <w:t xml:space="preserve"> </w:t>
      </w:r>
      <w:r w:rsidR="006003CD" w:rsidRPr="00603B95">
        <w:rPr>
          <w:rFonts w:ascii="Arial" w:hAnsi="Arial" w:cs="Arial"/>
          <w:b/>
          <w:sz w:val="20"/>
          <w:szCs w:val="20"/>
        </w:rPr>
        <w:t>(i) Programme 1: Administration</w:t>
      </w:r>
    </w:p>
    <w:p w:rsidR="00000B17" w:rsidRPr="00603B95" w:rsidRDefault="000D3C55" w:rsidP="00603B95">
      <w:pPr>
        <w:spacing w:after="0" w:line="240" w:lineRule="auto"/>
        <w:rPr>
          <w:rFonts w:ascii="Arial" w:hAnsi="Arial" w:cs="Arial"/>
          <w:sz w:val="20"/>
          <w:szCs w:val="20"/>
        </w:rPr>
      </w:pPr>
      <w:r w:rsidRPr="00603B95">
        <w:rPr>
          <w:rFonts w:ascii="Arial" w:hAnsi="Arial" w:cs="Arial"/>
          <w:sz w:val="20"/>
          <w:szCs w:val="20"/>
        </w:rPr>
        <w:t>The programme provide</w:t>
      </w:r>
      <w:r w:rsidR="00000B17" w:rsidRPr="00603B95">
        <w:rPr>
          <w:rFonts w:ascii="Arial" w:hAnsi="Arial" w:cs="Arial"/>
          <w:sz w:val="20"/>
          <w:szCs w:val="20"/>
        </w:rPr>
        <w:t>s</w:t>
      </w:r>
      <w:r w:rsidRPr="00603B95">
        <w:rPr>
          <w:rFonts w:ascii="Arial" w:hAnsi="Arial" w:cs="Arial"/>
          <w:sz w:val="20"/>
          <w:szCs w:val="20"/>
        </w:rPr>
        <w:t xml:space="preserve"> strategic leadership, management and support services to the Department. </w:t>
      </w:r>
      <w:r w:rsidR="00E522B0" w:rsidRPr="00603B95">
        <w:rPr>
          <w:rFonts w:ascii="Arial" w:hAnsi="Arial" w:cs="Arial"/>
          <w:sz w:val="20"/>
          <w:szCs w:val="20"/>
        </w:rPr>
        <w:t xml:space="preserve">The programme </w:t>
      </w:r>
      <w:r w:rsidR="00C706A6" w:rsidRPr="00603B95">
        <w:rPr>
          <w:rFonts w:ascii="Arial" w:hAnsi="Arial" w:cs="Arial"/>
          <w:sz w:val="20"/>
          <w:szCs w:val="20"/>
        </w:rPr>
        <w:t xml:space="preserve">had </w:t>
      </w:r>
      <w:r w:rsidR="002C3C48" w:rsidRPr="00603B95">
        <w:rPr>
          <w:rFonts w:ascii="Arial" w:hAnsi="Arial" w:cs="Arial"/>
          <w:sz w:val="20"/>
          <w:szCs w:val="20"/>
        </w:rPr>
        <w:t>six (6)</w:t>
      </w:r>
      <w:r w:rsidR="00E522B0" w:rsidRPr="00603B95">
        <w:rPr>
          <w:rFonts w:ascii="Arial" w:hAnsi="Arial" w:cs="Arial"/>
          <w:sz w:val="20"/>
          <w:szCs w:val="20"/>
        </w:rPr>
        <w:t xml:space="preserve"> target</w:t>
      </w:r>
      <w:r w:rsidR="002C3C48" w:rsidRPr="00603B95">
        <w:rPr>
          <w:rFonts w:ascii="Arial" w:hAnsi="Arial" w:cs="Arial"/>
          <w:sz w:val="20"/>
          <w:szCs w:val="20"/>
        </w:rPr>
        <w:t>s and achieved three (3</w:t>
      </w:r>
      <w:r w:rsidR="00000B17" w:rsidRPr="00603B95">
        <w:rPr>
          <w:rFonts w:ascii="Arial" w:hAnsi="Arial" w:cs="Arial"/>
          <w:sz w:val="20"/>
          <w:szCs w:val="20"/>
        </w:rPr>
        <w:t xml:space="preserve">) or </w:t>
      </w:r>
      <w:r w:rsidR="002C3C48" w:rsidRPr="00603B95">
        <w:rPr>
          <w:rFonts w:ascii="Arial" w:hAnsi="Arial" w:cs="Arial"/>
          <w:sz w:val="20"/>
          <w:szCs w:val="20"/>
        </w:rPr>
        <w:t xml:space="preserve">50 </w:t>
      </w:r>
      <w:r w:rsidR="00000B17" w:rsidRPr="00603B95">
        <w:rPr>
          <w:rFonts w:ascii="Arial" w:hAnsi="Arial" w:cs="Arial"/>
          <w:sz w:val="20"/>
          <w:szCs w:val="20"/>
        </w:rPr>
        <w:t>per cent of the targets</w:t>
      </w:r>
      <w:r w:rsidR="002C3C48" w:rsidRPr="00603B95">
        <w:rPr>
          <w:rFonts w:ascii="Arial" w:hAnsi="Arial" w:cs="Arial"/>
          <w:sz w:val="20"/>
          <w:szCs w:val="20"/>
        </w:rPr>
        <w:t xml:space="preserve"> in the Fourth</w:t>
      </w:r>
      <w:r w:rsidR="00C706A6" w:rsidRPr="00603B95">
        <w:rPr>
          <w:rFonts w:ascii="Arial" w:hAnsi="Arial" w:cs="Arial"/>
          <w:sz w:val="20"/>
          <w:szCs w:val="20"/>
        </w:rPr>
        <w:t xml:space="preserve"> </w:t>
      </w:r>
      <w:r w:rsidR="0073166F" w:rsidRPr="00603B95">
        <w:rPr>
          <w:rFonts w:ascii="Arial" w:hAnsi="Arial" w:cs="Arial"/>
          <w:sz w:val="20"/>
          <w:szCs w:val="20"/>
        </w:rPr>
        <w:t>Quarter</w:t>
      </w:r>
      <w:r w:rsidR="002C3C48" w:rsidRPr="00603B95">
        <w:rPr>
          <w:rFonts w:ascii="Arial" w:hAnsi="Arial" w:cs="Arial"/>
          <w:sz w:val="20"/>
          <w:szCs w:val="20"/>
        </w:rPr>
        <w:t>.</w:t>
      </w:r>
    </w:p>
    <w:p w:rsidR="00000B17" w:rsidRPr="00603B95" w:rsidRDefault="00005F73" w:rsidP="00603B95">
      <w:pPr>
        <w:spacing w:after="0" w:line="240" w:lineRule="auto"/>
        <w:rPr>
          <w:rFonts w:ascii="Arial" w:hAnsi="Arial" w:cs="Arial"/>
          <w:sz w:val="20"/>
          <w:szCs w:val="20"/>
        </w:rPr>
      </w:pPr>
      <w:r w:rsidRPr="00603B95">
        <w:rPr>
          <w:rFonts w:ascii="Arial" w:hAnsi="Arial" w:cs="Arial"/>
          <w:sz w:val="20"/>
          <w:szCs w:val="20"/>
        </w:rPr>
        <w:t>The Programme achieved the target to resolve 80 per cent of disciplinary cases within 90 days, the vacancy rate was below 10 per cent and con</w:t>
      </w:r>
      <w:r w:rsidR="00C706A6" w:rsidRPr="00603B95">
        <w:rPr>
          <w:rFonts w:ascii="Arial" w:hAnsi="Arial" w:cs="Arial"/>
          <w:sz w:val="20"/>
          <w:szCs w:val="20"/>
        </w:rPr>
        <w:t>c</w:t>
      </w:r>
      <w:r w:rsidRPr="00603B95">
        <w:rPr>
          <w:rFonts w:ascii="Arial" w:hAnsi="Arial" w:cs="Arial"/>
          <w:sz w:val="20"/>
          <w:szCs w:val="20"/>
        </w:rPr>
        <w:t>luded within 12 months</w:t>
      </w:r>
      <w:r w:rsidR="008A3FE9" w:rsidRPr="00603B95">
        <w:rPr>
          <w:rFonts w:ascii="Arial" w:hAnsi="Arial" w:cs="Arial"/>
          <w:sz w:val="20"/>
          <w:szCs w:val="20"/>
        </w:rPr>
        <w:t>, and</w:t>
      </w:r>
      <w:r w:rsidRPr="00603B95">
        <w:rPr>
          <w:rFonts w:ascii="Arial" w:hAnsi="Arial" w:cs="Arial"/>
          <w:sz w:val="20"/>
          <w:szCs w:val="20"/>
        </w:rPr>
        <w:t xml:space="preserve"> 100 per cent determination tests on irregular, fruitless and wasteful expenditure.</w:t>
      </w:r>
      <w:r w:rsidR="007C22E6" w:rsidRPr="00603B95">
        <w:rPr>
          <w:rFonts w:ascii="Arial" w:hAnsi="Arial" w:cs="Arial"/>
          <w:sz w:val="20"/>
          <w:szCs w:val="20"/>
        </w:rPr>
        <w:t xml:space="preserve"> </w:t>
      </w:r>
      <w:r w:rsidR="00000B17" w:rsidRPr="00603B95">
        <w:rPr>
          <w:rFonts w:ascii="Arial" w:hAnsi="Arial" w:cs="Arial"/>
          <w:sz w:val="20"/>
          <w:szCs w:val="20"/>
        </w:rPr>
        <w:t>Targets not achieved include:</w:t>
      </w:r>
    </w:p>
    <w:p w:rsidR="00000B17" w:rsidRPr="00603B95" w:rsidRDefault="00000B17" w:rsidP="00603B95">
      <w:pPr>
        <w:pStyle w:val="BodyText"/>
        <w:numPr>
          <w:ilvl w:val="0"/>
          <w:numId w:val="2"/>
        </w:numPr>
        <w:rPr>
          <w:rFonts w:ascii="Arial" w:hAnsi="Arial" w:cs="Arial"/>
        </w:rPr>
      </w:pPr>
      <w:r w:rsidRPr="00603B95">
        <w:rPr>
          <w:rFonts w:ascii="Arial" w:hAnsi="Arial" w:cs="Arial"/>
        </w:rPr>
        <w:t xml:space="preserve">Percentage </w:t>
      </w:r>
      <w:r w:rsidRPr="00603B95">
        <w:rPr>
          <w:rFonts w:ascii="Arial" w:hAnsi="Arial" w:cs="Arial"/>
          <w:bCs/>
        </w:rPr>
        <w:t>(100%)</w:t>
      </w:r>
      <w:r w:rsidRPr="00603B95">
        <w:rPr>
          <w:rFonts w:ascii="Arial" w:hAnsi="Arial" w:cs="Arial"/>
        </w:rPr>
        <w:t xml:space="preserve"> of valid invoices received from creditors paid within 30 days</w:t>
      </w:r>
      <w:r w:rsidR="00520976" w:rsidRPr="00603B95">
        <w:rPr>
          <w:rFonts w:ascii="Arial" w:hAnsi="Arial" w:cs="Arial"/>
        </w:rPr>
        <w:t xml:space="preserve"> </w:t>
      </w:r>
      <w:r w:rsidR="0073166F" w:rsidRPr="00603B95">
        <w:rPr>
          <w:rFonts w:ascii="Arial" w:hAnsi="Arial" w:cs="Arial"/>
        </w:rPr>
        <w:t>and actual achievement was 99.54</w:t>
      </w:r>
      <w:r w:rsidR="00520976" w:rsidRPr="00603B95">
        <w:rPr>
          <w:rFonts w:ascii="Arial" w:hAnsi="Arial" w:cs="Arial"/>
        </w:rPr>
        <w:t xml:space="preserve"> per cent</w:t>
      </w:r>
      <w:r w:rsidRPr="00603B95">
        <w:rPr>
          <w:rFonts w:ascii="Arial" w:hAnsi="Arial" w:cs="Arial"/>
        </w:rPr>
        <w:t xml:space="preserve">. The Department cited </w:t>
      </w:r>
      <w:r w:rsidR="0073166F" w:rsidRPr="00603B95">
        <w:rPr>
          <w:rFonts w:ascii="Arial" w:hAnsi="Arial" w:cs="Arial"/>
        </w:rPr>
        <w:t xml:space="preserve">administrative delays relating to purchase order matters </w:t>
      </w:r>
      <w:r w:rsidR="00C706A6" w:rsidRPr="00603B95">
        <w:rPr>
          <w:rFonts w:ascii="Arial" w:hAnsi="Arial" w:cs="Arial"/>
        </w:rPr>
        <w:t xml:space="preserve">that </w:t>
      </w:r>
      <w:r w:rsidR="0073166F" w:rsidRPr="00603B95">
        <w:rPr>
          <w:rFonts w:ascii="Arial" w:hAnsi="Arial" w:cs="Arial"/>
        </w:rPr>
        <w:t>were apparent during the period under review. This affected about 19 invoices.</w:t>
      </w:r>
    </w:p>
    <w:p w:rsidR="00000B17" w:rsidRPr="00603B95" w:rsidRDefault="0073166F" w:rsidP="00603B95">
      <w:pPr>
        <w:pStyle w:val="BodyText"/>
        <w:numPr>
          <w:ilvl w:val="0"/>
          <w:numId w:val="2"/>
        </w:numPr>
        <w:rPr>
          <w:rFonts w:ascii="Arial" w:hAnsi="Arial" w:cs="Arial"/>
        </w:rPr>
      </w:pPr>
      <w:r w:rsidRPr="00603B95">
        <w:rPr>
          <w:rFonts w:ascii="Arial" w:hAnsi="Arial" w:cs="Arial"/>
        </w:rPr>
        <w:t>40 per cent of public procurement spent on women</w:t>
      </w:r>
      <w:r w:rsidR="001F474F" w:rsidRPr="00603B95">
        <w:rPr>
          <w:rFonts w:ascii="Arial" w:hAnsi="Arial" w:cs="Arial"/>
        </w:rPr>
        <w:t>-</w:t>
      </w:r>
      <w:r w:rsidRPr="00603B95">
        <w:rPr>
          <w:rFonts w:ascii="Arial" w:hAnsi="Arial" w:cs="Arial"/>
        </w:rPr>
        <w:t>owned busines</w:t>
      </w:r>
      <w:r w:rsidR="00C706A6" w:rsidRPr="00603B95">
        <w:rPr>
          <w:rFonts w:ascii="Arial" w:hAnsi="Arial" w:cs="Arial"/>
        </w:rPr>
        <w:t>se</w:t>
      </w:r>
      <w:r w:rsidRPr="00603B95">
        <w:rPr>
          <w:rFonts w:ascii="Arial" w:hAnsi="Arial" w:cs="Arial"/>
        </w:rPr>
        <w:t>s an</w:t>
      </w:r>
      <w:r w:rsidR="0032225C" w:rsidRPr="00603B95">
        <w:rPr>
          <w:rFonts w:ascii="Arial" w:hAnsi="Arial" w:cs="Arial"/>
        </w:rPr>
        <w:t>d</w:t>
      </w:r>
      <w:r w:rsidRPr="00603B95">
        <w:rPr>
          <w:rFonts w:ascii="Arial" w:hAnsi="Arial" w:cs="Arial"/>
        </w:rPr>
        <w:t xml:space="preserve"> the actual achievement was 22.9 per cent. The Department cited the lack of enabling </w:t>
      </w:r>
      <w:r w:rsidR="001F474F" w:rsidRPr="00603B95">
        <w:rPr>
          <w:rFonts w:ascii="Arial" w:hAnsi="Arial" w:cs="Arial"/>
        </w:rPr>
        <w:t>p</w:t>
      </w:r>
      <w:r w:rsidRPr="00603B95">
        <w:rPr>
          <w:rFonts w:ascii="Arial" w:hAnsi="Arial" w:cs="Arial"/>
        </w:rPr>
        <w:t xml:space="preserve">referential </w:t>
      </w:r>
      <w:r w:rsidR="001F474F" w:rsidRPr="00603B95">
        <w:rPr>
          <w:rFonts w:ascii="Arial" w:hAnsi="Arial" w:cs="Arial"/>
        </w:rPr>
        <w:t>p</w:t>
      </w:r>
      <w:r w:rsidRPr="00603B95">
        <w:rPr>
          <w:rFonts w:ascii="Arial" w:hAnsi="Arial" w:cs="Arial"/>
        </w:rPr>
        <w:t xml:space="preserve">rocurement legislation as the reason for </w:t>
      </w:r>
      <w:r w:rsidR="00C706A6" w:rsidRPr="00603B95">
        <w:rPr>
          <w:rFonts w:ascii="Arial" w:hAnsi="Arial" w:cs="Arial"/>
        </w:rPr>
        <w:t xml:space="preserve">the </w:t>
      </w:r>
      <w:r w:rsidRPr="00603B95">
        <w:rPr>
          <w:rFonts w:ascii="Arial" w:hAnsi="Arial" w:cs="Arial"/>
        </w:rPr>
        <w:t>non-achievement of this target</w:t>
      </w:r>
      <w:r w:rsidR="00000B17" w:rsidRPr="00603B95">
        <w:rPr>
          <w:rFonts w:ascii="Arial" w:hAnsi="Arial" w:cs="Arial"/>
        </w:rPr>
        <w:t>; and</w:t>
      </w:r>
    </w:p>
    <w:p w:rsidR="00000B17" w:rsidRPr="00603B95" w:rsidRDefault="00000B17" w:rsidP="00603B95">
      <w:pPr>
        <w:pStyle w:val="BodyText"/>
        <w:numPr>
          <w:ilvl w:val="0"/>
          <w:numId w:val="2"/>
        </w:numPr>
        <w:rPr>
          <w:rFonts w:ascii="Arial" w:hAnsi="Arial" w:cs="Arial"/>
        </w:rPr>
      </w:pPr>
      <w:r w:rsidRPr="00603B95">
        <w:rPr>
          <w:rFonts w:ascii="Arial" w:hAnsi="Arial" w:cs="Arial"/>
        </w:rPr>
        <w:t xml:space="preserve">Percentage </w:t>
      </w:r>
      <w:r w:rsidRPr="00603B95">
        <w:rPr>
          <w:rFonts w:ascii="Arial" w:hAnsi="Arial" w:cs="Arial"/>
          <w:bCs/>
        </w:rPr>
        <w:t>(98%)</w:t>
      </w:r>
      <w:r w:rsidRPr="00603B95">
        <w:rPr>
          <w:rFonts w:ascii="Arial" w:hAnsi="Arial" w:cs="Arial"/>
          <w:b/>
        </w:rPr>
        <w:t xml:space="preserve"> </w:t>
      </w:r>
      <w:r w:rsidRPr="00603B95">
        <w:rPr>
          <w:rFonts w:ascii="Arial" w:hAnsi="Arial" w:cs="Arial"/>
        </w:rPr>
        <w:t>of network connectivity uptime per annum</w:t>
      </w:r>
      <w:r w:rsidR="00520976" w:rsidRPr="00603B95">
        <w:rPr>
          <w:rFonts w:ascii="Arial" w:hAnsi="Arial" w:cs="Arial"/>
        </w:rPr>
        <w:t>, actual achievement was 9</w:t>
      </w:r>
      <w:r w:rsidR="0073166F" w:rsidRPr="00603B95">
        <w:rPr>
          <w:rFonts w:ascii="Arial" w:hAnsi="Arial" w:cs="Arial"/>
        </w:rPr>
        <w:t>5</w:t>
      </w:r>
      <w:r w:rsidR="00520976" w:rsidRPr="00603B95">
        <w:rPr>
          <w:rFonts w:ascii="Arial" w:hAnsi="Arial" w:cs="Arial"/>
        </w:rPr>
        <w:t xml:space="preserve"> per cent</w:t>
      </w:r>
      <w:r w:rsidRPr="00603B95">
        <w:rPr>
          <w:rFonts w:ascii="Arial" w:hAnsi="Arial" w:cs="Arial"/>
        </w:rPr>
        <w:t xml:space="preserve">. The Department ascribed the </w:t>
      </w:r>
      <w:r w:rsidR="00520976" w:rsidRPr="00603B95">
        <w:rPr>
          <w:rFonts w:ascii="Arial" w:hAnsi="Arial" w:cs="Arial"/>
        </w:rPr>
        <w:t xml:space="preserve">partial achievement to </w:t>
      </w:r>
      <w:r w:rsidRPr="00603B95">
        <w:rPr>
          <w:rFonts w:ascii="Arial" w:hAnsi="Arial" w:cs="Arial"/>
        </w:rPr>
        <w:t>rolling blackout</w:t>
      </w:r>
      <w:r w:rsidR="00520976" w:rsidRPr="00603B95">
        <w:rPr>
          <w:rFonts w:ascii="Arial" w:hAnsi="Arial" w:cs="Arial"/>
        </w:rPr>
        <w:t xml:space="preserve">s due to ESKOM load shedding </w:t>
      </w:r>
      <w:r w:rsidR="0073166F" w:rsidRPr="00603B95">
        <w:rPr>
          <w:rFonts w:ascii="Arial" w:hAnsi="Arial" w:cs="Arial"/>
        </w:rPr>
        <w:t xml:space="preserve">and State Information Technology Agency (SITA) outages. </w:t>
      </w:r>
      <w:r w:rsidR="00520976" w:rsidRPr="00603B95">
        <w:rPr>
          <w:rFonts w:ascii="Arial" w:hAnsi="Arial" w:cs="Arial"/>
        </w:rPr>
        <w:t xml:space="preserve"> </w:t>
      </w:r>
    </w:p>
    <w:p w:rsidR="00000B17" w:rsidRPr="00603B95" w:rsidRDefault="00000B17" w:rsidP="00603B95">
      <w:pPr>
        <w:pStyle w:val="BodyText"/>
        <w:rPr>
          <w:rFonts w:ascii="Arial" w:hAnsi="Arial" w:cs="Arial"/>
        </w:rPr>
      </w:pPr>
    </w:p>
    <w:p w:rsidR="00FA0302" w:rsidRPr="00603B95" w:rsidRDefault="00FA0302" w:rsidP="00603B95">
      <w:pPr>
        <w:pStyle w:val="BodyText"/>
        <w:rPr>
          <w:rFonts w:ascii="Arial" w:hAnsi="Arial" w:cs="Arial"/>
        </w:rPr>
      </w:pPr>
      <w:r w:rsidRPr="00603B95">
        <w:rPr>
          <w:rFonts w:ascii="Arial" w:hAnsi="Arial" w:cs="Arial"/>
        </w:rPr>
        <w:t xml:space="preserve">At the end of the quarter under review, the </w:t>
      </w:r>
      <w:r w:rsidR="00005F73" w:rsidRPr="00603B95">
        <w:rPr>
          <w:rFonts w:ascii="Arial" w:hAnsi="Arial" w:cs="Arial"/>
        </w:rPr>
        <w:t>P</w:t>
      </w:r>
      <w:r w:rsidRPr="00603B95">
        <w:rPr>
          <w:rFonts w:ascii="Arial" w:hAnsi="Arial" w:cs="Arial"/>
        </w:rPr>
        <w:t>rogramme spent R452</w:t>
      </w:r>
      <w:r w:rsidR="00005F73" w:rsidRPr="00603B95">
        <w:rPr>
          <w:rFonts w:ascii="Arial" w:hAnsi="Arial" w:cs="Arial"/>
        </w:rPr>
        <w:t>,1</w:t>
      </w:r>
      <w:r w:rsidRPr="00603B95">
        <w:rPr>
          <w:rFonts w:ascii="Arial" w:hAnsi="Arial" w:cs="Arial"/>
        </w:rPr>
        <w:t xml:space="preserve"> million, recording lower than projected spending amounting </w:t>
      </w:r>
      <w:r w:rsidR="00C706A6" w:rsidRPr="00603B95">
        <w:rPr>
          <w:rFonts w:ascii="Arial" w:hAnsi="Arial" w:cs="Arial"/>
        </w:rPr>
        <w:t xml:space="preserve">to </w:t>
      </w:r>
      <w:r w:rsidRPr="00603B95">
        <w:rPr>
          <w:rFonts w:ascii="Arial" w:hAnsi="Arial" w:cs="Arial"/>
        </w:rPr>
        <w:t>R52.6 million or 10.4 per</w:t>
      </w:r>
      <w:r w:rsidR="00005F73" w:rsidRPr="00603B95">
        <w:rPr>
          <w:rFonts w:ascii="Arial" w:hAnsi="Arial" w:cs="Arial"/>
        </w:rPr>
        <w:t xml:space="preserve"> </w:t>
      </w:r>
      <w:r w:rsidRPr="00603B95">
        <w:rPr>
          <w:rFonts w:ascii="Arial" w:hAnsi="Arial" w:cs="Arial"/>
        </w:rPr>
        <w:t>cent. The lower</w:t>
      </w:r>
      <w:r w:rsidR="00C706A6" w:rsidRPr="00603B95">
        <w:rPr>
          <w:rFonts w:ascii="Arial" w:hAnsi="Arial" w:cs="Arial"/>
        </w:rPr>
        <w:t>-than-</w:t>
      </w:r>
      <w:r w:rsidRPr="00603B95">
        <w:rPr>
          <w:rFonts w:ascii="Arial" w:hAnsi="Arial" w:cs="Arial"/>
        </w:rPr>
        <w:t>projected spending was under compensation of employees and</w:t>
      </w:r>
      <w:r w:rsidR="00005F73" w:rsidRPr="00603B95">
        <w:rPr>
          <w:rFonts w:ascii="Arial" w:hAnsi="Arial" w:cs="Arial"/>
        </w:rPr>
        <w:t xml:space="preserve"> was</w:t>
      </w:r>
      <w:r w:rsidRPr="00603B95">
        <w:rPr>
          <w:rFonts w:ascii="Arial" w:hAnsi="Arial" w:cs="Arial"/>
        </w:rPr>
        <w:t xml:space="preserve"> ascribed to vacant posts that were not f</w:t>
      </w:r>
      <w:r w:rsidR="00CF4D82" w:rsidRPr="00603B95">
        <w:rPr>
          <w:rFonts w:ascii="Arial" w:hAnsi="Arial" w:cs="Arial"/>
        </w:rPr>
        <w:t xml:space="preserve">illed </w:t>
      </w:r>
      <w:r w:rsidRPr="00603B95">
        <w:rPr>
          <w:rFonts w:ascii="Arial" w:hAnsi="Arial" w:cs="Arial"/>
        </w:rPr>
        <w:t>in time</w:t>
      </w:r>
      <w:r w:rsidR="00CF4D82" w:rsidRPr="00603B95">
        <w:rPr>
          <w:rFonts w:ascii="Arial" w:hAnsi="Arial" w:cs="Arial"/>
        </w:rPr>
        <w:t xml:space="preserve"> due to delays in the processing of </w:t>
      </w:r>
      <w:r w:rsidR="001F474F" w:rsidRPr="00603B95">
        <w:rPr>
          <w:rFonts w:ascii="Arial" w:hAnsi="Arial" w:cs="Arial"/>
        </w:rPr>
        <w:t xml:space="preserve">a </w:t>
      </w:r>
      <w:r w:rsidR="00CF4D82" w:rsidRPr="00603B95">
        <w:rPr>
          <w:rFonts w:ascii="Arial" w:hAnsi="Arial" w:cs="Arial"/>
        </w:rPr>
        <w:t>high number of applicants.</w:t>
      </w:r>
    </w:p>
    <w:p w:rsidR="00FA0302" w:rsidRPr="00603B95" w:rsidRDefault="00FA0302" w:rsidP="00603B95">
      <w:pPr>
        <w:pStyle w:val="BodyText"/>
        <w:ind w:left="360"/>
        <w:rPr>
          <w:rFonts w:ascii="Arial" w:hAnsi="Arial" w:cs="Arial"/>
        </w:rPr>
      </w:pPr>
    </w:p>
    <w:p w:rsidR="006003CD" w:rsidRPr="00603B95" w:rsidRDefault="006003CD" w:rsidP="00603B95">
      <w:pPr>
        <w:spacing w:after="0" w:line="240" w:lineRule="auto"/>
        <w:rPr>
          <w:rFonts w:ascii="Arial" w:hAnsi="Arial" w:cs="Arial"/>
          <w:b/>
          <w:sz w:val="20"/>
          <w:szCs w:val="20"/>
        </w:rPr>
      </w:pPr>
      <w:r w:rsidRPr="00603B95">
        <w:rPr>
          <w:rFonts w:ascii="Arial" w:hAnsi="Arial" w:cs="Arial"/>
          <w:b/>
          <w:sz w:val="20"/>
          <w:szCs w:val="20"/>
        </w:rPr>
        <w:t xml:space="preserve">(ii) Programme 2: Planning, Policy and Strategy </w:t>
      </w:r>
    </w:p>
    <w:p w:rsidR="00092911" w:rsidRPr="00603B95" w:rsidRDefault="00C765F6" w:rsidP="00603B95">
      <w:pPr>
        <w:spacing w:after="0" w:line="240" w:lineRule="auto"/>
        <w:rPr>
          <w:rFonts w:ascii="Arial" w:hAnsi="Arial" w:cs="Arial"/>
          <w:sz w:val="20"/>
          <w:szCs w:val="20"/>
        </w:rPr>
      </w:pPr>
      <w:r w:rsidRPr="00603B95">
        <w:rPr>
          <w:rFonts w:ascii="Arial" w:hAnsi="Arial" w:cs="Arial"/>
          <w:sz w:val="20"/>
          <w:szCs w:val="20"/>
          <w:lang w:val="en-US"/>
        </w:rPr>
        <w:t>The programme provide</w:t>
      </w:r>
      <w:r w:rsidR="00EA3FC4" w:rsidRPr="00603B95">
        <w:rPr>
          <w:rFonts w:ascii="Arial" w:hAnsi="Arial" w:cs="Arial"/>
          <w:sz w:val="20"/>
          <w:szCs w:val="20"/>
          <w:lang w:val="en-US"/>
        </w:rPr>
        <w:t>s</w:t>
      </w:r>
      <w:r w:rsidRPr="00603B95">
        <w:rPr>
          <w:rFonts w:ascii="Arial" w:hAnsi="Arial" w:cs="Arial"/>
          <w:sz w:val="20"/>
          <w:szCs w:val="20"/>
          <w:lang w:val="en-US"/>
        </w:rPr>
        <w:t xml:space="preserve"> </w:t>
      </w:r>
      <w:r w:rsidR="001F474F" w:rsidRPr="00603B95">
        <w:rPr>
          <w:rFonts w:ascii="Arial" w:hAnsi="Arial" w:cs="Arial"/>
          <w:sz w:val="20"/>
          <w:szCs w:val="20"/>
          <w:lang w:val="en-US"/>
        </w:rPr>
        <w:t xml:space="preserve">a </w:t>
      </w:r>
      <w:r w:rsidRPr="00603B95">
        <w:rPr>
          <w:rFonts w:ascii="Arial" w:hAnsi="Arial" w:cs="Arial"/>
          <w:sz w:val="20"/>
          <w:szCs w:val="20"/>
          <w:lang w:val="en-US"/>
        </w:rPr>
        <w:t>strategic direction in the development, implementation and monitoring of departmental policies and the human resource development strategy for South Africa.</w:t>
      </w:r>
      <w:r w:rsidRPr="00603B95">
        <w:rPr>
          <w:rFonts w:ascii="Arial" w:hAnsi="Arial" w:cs="Arial"/>
          <w:sz w:val="20"/>
          <w:szCs w:val="20"/>
        </w:rPr>
        <w:t xml:space="preserve"> </w:t>
      </w:r>
      <w:r w:rsidR="00E522B0" w:rsidRPr="00603B95">
        <w:rPr>
          <w:rFonts w:ascii="Arial" w:hAnsi="Arial" w:cs="Arial"/>
          <w:sz w:val="20"/>
          <w:szCs w:val="20"/>
        </w:rPr>
        <w:t>The programme had</w:t>
      </w:r>
      <w:r w:rsidR="0075472C" w:rsidRPr="00603B95">
        <w:rPr>
          <w:rFonts w:ascii="Arial" w:hAnsi="Arial" w:cs="Arial"/>
          <w:sz w:val="20"/>
          <w:szCs w:val="20"/>
        </w:rPr>
        <w:t xml:space="preserve"> </w:t>
      </w:r>
      <w:r w:rsidR="002C3C48" w:rsidRPr="00603B95">
        <w:rPr>
          <w:rFonts w:ascii="Arial" w:hAnsi="Arial" w:cs="Arial"/>
          <w:sz w:val="20"/>
          <w:szCs w:val="20"/>
        </w:rPr>
        <w:t>23</w:t>
      </w:r>
      <w:r w:rsidR="00CE0E03" w:rsidRPr="00603B95">
        <w:rPr>
          <w:rFonts w:ascii="Arial" w:hAnsi="Arial" w:cs="Arial"/>
          <w:sz w:val="20"/>
          <w:szCs w:val="20"/>
        </w:rPr>
        <w:t xml:space="preserve"> targets and achieved</w:t>
      </w:r>
      <w:r w:rsidR="002C3C48" w:rsidRPr="00603B95">
        <w:rPr>
          <w:rFonts w:ascii="Arial" w:hAnsi="Arial" w:cs="Arial"/>
          <w:sz w:val="20"/>
          <w:szCs w:val="20"/>
        </w:rPr>
        <w:t xml:space="preserve"> 12 or</w:t>
      </w:r>
      <w:r w:rsidR="00CE0E03" w:rsidRPr="00603B95">
        <w:rPr>
          <w:rFonts w:ascii="Arial" w:hAnsi="Arial" w:cs="Arial"/>
          <w:sz w:val="20"/>
          <w:szCs w:val="20"/>
        </w:rPr>
        <w:t xml:space="preserve"> </w:t>
      </w:r>
      <w:r w:rsidR="002C3C48" w:rsidRPr="00603B95">
        <w:rPr>
          <w:rFonts w:ascii="Arial" w:hAnsi="Arial" w:cs="Arial"/>
          <w:sz w:val="20"/>
          <w:szCs w:val="20"/>
        </w:rPr>
        <w:t>52</w:t>
      </w:r>
      <w:r w:rsidR="00CE0E03" w:rsidRPr="00603B95">
        <w:rPr>
          <w:rFonts w:ascii="Arial" w:hAnsi="Arial" w:cs="Arial"/>
          <w:sz w:val="20"/>
          <w:szCs w:val="20"/>
        </w:rPr>
        <w:t xml:space="preserve"> per cent of t</w:t>
      </w:r>
      <w:r w:rsidR="002C3C48" w:rsidRPr="00603B95">
        <w:rPr>
          <w:rFonts w:ascii="Arial" w:hAnsi="Arial" w:cs="Arial"/>
          <w:sz w:val="20"/>
          <w:szCs w:val="20"/>
        </w:rPr>
        <w:t>he planned targets for the Fourth</w:t>
      </w:r>
      <w:r w:rsidR="00C706A6" w:rsidRPr="00603B95">
        <w:rPr>
          <w:rFonts w:ascii="Arial" w:hAnsi="Arial" w:cs="Arial"/>
          <w:sz w:val="20"/>
          <w:szCs w:val="20"/>
        </w:rPr>
        <w:t xml:space="preserve"> </w:t>
      </w:r>
      <w:r w:rsidR="00CE0E03" w:rsidRPr="00603B95">
        <w:rPr>
          <w:rFonts w:ascii="Arial" w:hAnsi="Arial" w:cs="Arial"/>
          <w:sz w:val="20"/>
          <w:szCs w:val="20"/>
        </w:rPr>
        <w:t>Quarter</w:t>
      </w:r>
      <w:r w:rsidR="00E522B0" w:rsidRPr="00603B95">
        <w:rPr>
          <w:rFonts w:ascii="Arial" w:hAnsi="Arial" w:cs="Arial"/>
          <w:sz w:val="20"/>
          <w:szCs w:val="20"/>
        </w:rPr>
        <w:t>.</w:t>
      </w:r>
    </w:p>
    <w:p w:rsidR="003A4C06" w:rsidRPr="00603B95" w:rsidRDefault="00005F73" w:rsidP="00603B95">
      <w:pPr>
        <w:spacing w:after="0" w:line="240" w:lineRule="auto"/>
        <w:rPr>
          <w:rFonts w:ascii="Arial" w:hAnsi="Arial" w:cs="Arial"/>
          <w:sz w:val="20"/>
          <w:szCs w:val="20"/>
        </w:rPr>
      </w:pPr>
      <w:r w:rsidRPr="00603B95">
        <w:rPr>
          <w:rFonts w:ascii="Arial" w:hAnsi="Arial" w:cs="Arial"/>
          <w:sz w:val="20"/>
          <w:szCs w:val="20"/>
        </w:rPr>
        <w:t>Amongst the targets achieved were</w:t>
      </w:r>
      <w:r w:rsidR="00056A54" w:rsidRPr="00603B95">
        <w:rPr>
          <w:rFonts w:ascii="Arial" w:hAnsi="Arial" w:cs="Arial"/>
          <w:sz w:val="20"/>
          <w:szCs w:val="20"/>
        </w:rPr>
        <w:t>:</w:t>
      </w:r>
      <w:r w:rsidRPr="00603B95">
        <w:rPr>
          <w:rFonts w:ascii="Arial" w:hAnsi="Arial" w:cs="Arial"/>
          <w:sz w:val="20"/>
          <w:szCs w:val="20"/>
        </w:rPr>
        <w:t xml:space="preserve"> the </w:t>
      </w:r>
      <w:r w:rsidR="00B051A5" w:rsidRPr="00603B95">
        <w:rPr>
          <w:rFonts w:ascii="Arial" w:hAnsi="Arial" w:cs="Arial"/>
          <w:sz w:val="20"/>
          <w:szCs w:val="20"/>
        </w:rPr>
        <w:t>g</w:t>
      </w:r>
      <w:r w:rsidRPr="00603B95">
        <w:rPr>
          <w:rFonts w:ascii="Arial" w:hAnsi="Arial" w:cs="Arial"/>
          <w:sz w:val="20"/>
          <w:szCs w:val="20"/>
        </w:rPr>
        <w:t xml:space="preserve">azetting of the Revised Recognition of Prior Learning Coordination Policy for public comments; approval by the Minister of the policy brief on articulation between </w:t>
      </w:r>
      <w:r w:rsidR="00BC57CB" w:rsidRPr="00603B95">
        <w:rPr>
          <w:rFonts w:ascii="Arial" w:hAnsi="Arial" w:cs="Arial"/>
          <w:sz w:val="20"/>
          <w:szCs w:val="20"/>
        </w:rPr>
        <w:t xml:space="preserve">TVET </w:t>
      </w:r>
      <w:r w:rsidR="00056A54" w:rsidRPr="00603B95">
        <w:rPr>
          <w:rFonts w:ascii="Arial" w:hAnsi="Arial" w:cs="Arial"/>
          <w:sz w:val="20"/>
          <w:szCs w:val="20"/>
        </w:rPr>
        <w:t xml:space="preserve"> colleges </w:t>
      </w:r>
      <w:r w:rsidR="00BC57CB" w:rsidRPr="00603B95">
        <w:rPr>
          <w:rFonts w:ascii="Arial" w:hAnsi="Arial" w:cs="Arial"/>
          <w:sz w:val="20"/>
          <w:szCs w:val="20"/>
        </w:rPr>
        <w:t>and</w:t>
      </w:r>
      <w:r w:rsidRPr="00603B95">
        <w:rPr>
          <w:rFonts w:ascii="Arial" w:hAnsi="Arial" w:cs="Arial"/>
          <w:sz w:val="20"/>
          <w:szCs w:val="20"/>
        </w:rPr>
        <w:t xml:space="preserve"> Universities; </w:t>
      </w:r>
      <w:r w:rsidR="00BC57CB" w:rsidRPr="00603B95">
        <w:rPr>
          <w:rFonts w:ascii="Arial" w:hAnsi="Arial" w:cs="Arial"/>
          <w:sz w:val="20"/>
          <w:szCs w:val="20"/>
        </w:rPr>
        <w:t>approval by the Director-General of a report on the implementation of Social Inclusion in the PSET system; approval of a report on the implementation of Gender Equality and GBV policy framework for PSET; approval of guidelines on the provision of National Integrated CDS system, guidelines f</w:t>
      </w:r>
      <w:r w:rsidR="00056A54" w:rsidRPr="00603B95">
        <w:rPr>
          <w:rFonts w:ascii="Arial" w:hAnsi="Arial" w:cs="Arial"/>
          <w:sz w:val="20"/>
          <w:szCs w:val="20"/>
        </w:rPr>
        <w:t>or</w:t>
      </w:r>
      <w:r w:rsidR="00BC57CB" w:rsidRPr="00603B95">
        <w:rPr>
          <w:rFonts w:ascii="Arial" w:hAnsi="Arial" w:cs="Arial"/>
          <w:sz w:val="20"/>
          <w:szCs w:val="20"/>
        </w:rPr>
        <w:t xml:space="preserve"> the provision of open access Learner-</w:t>
      </w:r>
      <w:r w:rsidR="00293AAD" w:rsidRPr="00603B95">
        <w:rPr>
          <w:rFonts w:ascii="Arial" w:hAnsi="Arial" w:cs="Arial"/>
          <w:sz w:val="20"/>
          <w:szCs w:val="20"/>
        </w:rPr>
        <w:t>T</w:t>
      </w:r>
      <w:r w:rsidR="00BC57CB" w:rsidRPr="00603B95">
        <w:rPr>
          <w:rFonts w:ascii="Arial" w:hAnsi="Arial" w:cs="Arial"/>
          <w:sz w:val="20"/>
          <w:szCs w:val="20"/>
        </w:rPr>
        <w:t xml:space="preserve">eacher </w:t>
      </w:r>
      <w:r w:rsidR="00BC57CB" w:rsidRPr="00603B95">
        <w:rPr>
          <w:rFonts w:ascii="Arial" w:hAnsi="Arial" w:cs="Arial"/>
          <w:sz w:val="20"/>
          <w:szCs w:val="20"/>
        </w:rPr>
        <w:lastRenderedPageBreak/>
        <w:t>Support Materials (LTSM) for students in TVET colleges; and policy brief on E-Learning/Open Learning Strategy in PSET.</w:t>
      </w:r>
      <w:r w:rsidR="00AB75C9" w:rsidRPr="00603B95">
        <w:rPr>
          <w:rFonts w:ascii="Arial" w:hAnsi="Arial" w:cs="Arial"/>
          <w:sz w:val="20"/>
          <w:szCs w:val="20"/>
        </w:rPr>
        <w:t xml:space="preserve"> </w:t>
      </w:r>
    </w:p>
    <w:p w:rsidR="00AB75C9" w:rsidRPr="00603B95" w:rsidRDefault="00AB75C9" w:rsidP="00603B95">
      <w:pPr>
        <w:spacing w:after="0" w:line="240" w:lineRule="auto"/>
        <w:rPr>
          <w:rFonts w:ascii="Arial" w:hAnsi="Arial" w:cs="Arial"/>
          <w:sz w:val="20"/>
          <w:szCs w:val="20"/>
        </w:rPr>
      </w:pPr>
      <w:r w:rsidRPr="00603B95">
        <w:rPr>
          <w:rFonts w:ascii="Arial" w:hAnsi="Arial" w:cs="Arial"/>
          <w:sz w:val="20"/>
          <w:szCs w:val="20"/>
        </w:rPr>
        <w:t>Targets not achieved include:</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 xml:space="preserve">Two new agreements on cooperation in Higher Education and Training entered with foreign countries. </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 xml:space="preserve">A report on the implementation </w:t>
      </w:r>
      <w:r w:rsidR="00E323BA" w:rsidRPr="00603B95">
        <w:rPr>
          <w:rFonts w:ascii="Arial" w:eastAsiaTheme="minorEastAsia" w:hAnsi="Arial" w:cs="Arial"/>
          <w:color w:val="000000" w:themeColor="text1"/>
          <w:kern w:val="24"/>
          <w:sz w:val="20"/>
          <w:szCs w:val="20"/>
          <w:lang w:eastAsia="en-ZA"/>
        </w:rPr>
        <w:t>of Integrated</w:t>
      </w:r>
      <w:r w:rsidR="005D28E2" w:rsidRPr="00603B95">
        <w:rPr>
          <w:rFonts w:ascii="Arial" w:eastAsiaTheme="minorEastAsia" w:hAnsi="Arial" w:cs="Arial"/>
          <w:color w:val="000000" w:themeColor="text1"/>
          <w:kern w:val="24"/>
          <w:sz w:val="20"/>
          <w:szCs w:val="20"/>
          <w:lang w:eastAsia="en-ZA"/>
        </w:rPr>
        <w:t xml:space="preserve"> Infrastructure Development Support Programme (</w:t>
      </w:r>
      <w:r w:rsidRPr="00603B95">
        <w:rPr>
          <w:rFonts w:ascii="Arial" w:eastAsiaTheme="minorEastAsia" w:hAnsi="Arial" w:cs="Arial"/>
          <w:color w:val="000000" w:themeColor="text1"/>
          <w:kern w:val="24"/>
          <w:sz w:val="20"/>
          <w:szCs w:val="20"/>
          <w:lang w:eastAsia="en-ZA"/>
        </w:rPr>
        <w:t>IIDSP</w:t>
      </w:r>
      <w:r w:rsidR="005D28E2" w:rsidRPr="00603B95">
        <w:rPr>
          <w:rFonts w:ascii="Arial" w:eastAsiaTheme="minorEastAsia" w:hAnsi="Arial" w:cs="Arial"/>
          <w:color w:val="000000" w:themeColor="text1"/>
          <w:kern w:val="24"/>
          <w:sz w:val="20"/>
          <w:szCs w:val="20"/>
          <w:lang w:eastAsia="en-ZA"/>
        </w:rPr>
        <w:t>)</w:t>
      </w:r>
      <w:r w:rsidRPr="00603B95">
        <w:rPr>
          <w:rFonts w:ascii="Arial" w:eastAsiaTheme="minorEastAsia" w:hAnsi="Arial" w:cs="Arial"/>
          <w:color w:val="000000" w:themeColor="text1"/>
          <w:kern w:val="24"/>
          <w:sz w:val="20"/>
          <w:szCs w:val="20"/>
          <w:lang w:eastAsia="en-ZA"/>
        </w:rPr>
        <w:t xml:space="preserve"> for PSET approved by the Director-General by 31 March 2023.</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val="en-US" w:eastAsia="en-ZA"/>
        </w:rPr>
        <w:t xml:space="preserve">Monitoring report on the number of Imbali Precinct projects completed in collaboration with </w:t>
      </w:r>
      <w:r w:rsidR="00293AAD" w:rsidRPr="00603B95">
        <w:rPr>
          <w:rFonts w:ascii="Arial" w:eastAsiaTheme="minorEastAsia" w:hAnsi="Arial" w:cs="Arial"/>
          <w:color w:val="000000" w:themeColor="text1"/>
          <w:kern w:val="24"/>
          <w:sz w:val="20"/>
          <w:szCs w:val="20"/>
          <w:lang w:val="en-US" w:eastAsia="en-ZA"/>
        </w:rPr>
        <w:t>Durban University of Technology (</w:t>
      </w:r>
      <w:r w:rsidRPr="00603B95">
        <w:rPr>
          <w:rFonts w:ascii="Arial" w:eastAsiaTheme="minorEastAsia" w:hAnsi="Arial" w:cs="Arial"/>
          <w:color w:val="000000" w:themeColor="text1"/>
          <w:kern w:val="24"/>
          <w:sz w:val="20"/>
          <w:szCs w:val="20"/>
          <w:lang w:val="en-US" w:eastAsia="en-ZA"/>
        </w:rPr>
        <w:t>DUT</w:t>
      </w:r>
      <w:r w:rsidR="00293AAD" w:rsidRPr="00603B95">
        <w:rPr>
          <w:rFonts w:ascii="Arial" w:eastAsiaTheme="minorEastAsia" w:hAnsi="Arial" w:cs="Arial"/>
          <w:color w:val="000000" w:themeColor="text1"/>
          <w:kern w:val="24"/>
          <w:sz w:val="20"/>
          <w:szCs w:val="20"/>
          <w:lang w:val="en-US" w:eastAsia="en-ZA"/>
        </w:rPr>
        <w:t>)</w:t>
      </w:r>
      <w:r w:rsidRPr="00603B95">
        <w:rPr>
          <w:rFonts w:ascii="Arial" w:eastAsiaTheme="minorEastAsia" w:hAnsi="Arial" w:cs="Arial"/>
          <w:color w:val="000000" w:themeColor="text1"/>
          <w:kern w:val="24"/>
          <w:sz w:val="20"/>
          <w:szCs w:val="20"/>
          <w:lang w:val="en-US" w:eastAsia="en-ZA"/>
        </w:rPr>
        <w:t xml:space="preserve"> approved by the Director-General by 31 March 2023.</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val="en-US" w:eastAsia="en-ZA"/>
        </w:rPr>
        <w:t xml:space="preserve">Monitoring report of a feasibility study to establish </w:t>
      </w:r>
      <w:r w:rsidR="00C706A6" w:rsidRPr="00603B95">
        <w:rPr>
          <w:rFonts w:ascii="Arial" w:eastAsiaTheme="minorEastAsia" w:hAnsi="Arial" w:cs="Arial"/>
          <w:color w:val="000000" w:themeColor="text1"/>
          <w:kern w:val="24"/>
          <w:sz w:val="20"/>
          <w:szCs w:val="20"/>
          <w:lang w:val="en-US" w:eastAsia="en-ZA"/>
        </w:rPr>
        <w:t xml:space="preserve">a </w:t>
      </w:r>
      <w:r w:rsidRPr="00603B95">
        <w:rPr>
          <w:rFonts w:ascii="Arial" w:eastAsiaTheme="minorEastAsia" w:hAnsi="Arial" w:cs="Arial"/>
          <w:color w:val="000000" w:themeColor="text1"/>
          <w:kern w:val="24"/>
          <w:sz w:val="20"/>
          <w:szCs w:val="20"/>
          <w:lang w:val="en-US" w:eastAsia="en-ZA"/>
        </w:rPr>
        <w:t>Multi-Purpose Centre in Giyani, Limpopo approved by the Director-General by 31 March 2023.</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val="en-US" w:eastAsia="en-ZA"/>
        </w:rPr>
        <w:t>A monitoring report on progress towards the achievement of MIF milestones approved by the Director-General by 31 March 2023.</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val="en-US" w:eastAsia="en-ZA"/>
        </w:rPr>
        <w:t>Multifaceted student accommodation strategy approved by the Minister by 31 March 2023.</w:t>
      </w:r>
    </w:p>
    <w:p w:rsidR="00450CDF" w:rsidRPr="00603B95" w:rsidRDefault="00450CDF" w:rsidP="00603B95">
      <w:pPr>
        <w:pStyle w:val="ListParagraph"/>
        <w:numPr>
          <w:ilvl w:val="0"/>
          <w:numId w:val="5"/>
        </w:numPr>
        <w:spacing w:after="0" w:line="240" w:lineRule="auto"/>
        <w:ind w:left="714" w:hanging="357"/>
        <w:rPr>
          <w:rFonts w:ascii="Arial" w:hAnsi="Arial" w:cs="Arial"/>
          <w:sz w:val="20"/>
          <w:szCs w:val="20"/>
        </w:rPr>
      </w:pPr>
      <w:r w:rsidRPr="00603B95">
        <w:rPr>
          <w:rFonts w:ascii="Arial" w:eastAsiaTheme="minorEastAsia" w:hAnsi="Arial" w:cs="Arial"/>
          <w:color w:val="000000" w:themeColor="text1"/>
          <w:kern w:val="24"/>
          <w:sz w:val="20"/>
          <w:szCs w:val="20"/>
          <w:lang w:eastAsia="en-ZA"/>
        </w:rPr>
        <w:t xml:space="preserve">A plan for </w:t>
      </w:r>
      <w:r w:rsidR="001F474F" w:rsidRPr="00603B95">
        <w:rPr>
          <w:rFonts w:ascii="Arial" w:eastAsiaTheme="minorEastAsia" w:hAnsi="Arial" w:cs="Arial"/>
          <w:color w:val="000000" w:themeColor="text1"/>
          <w:kern w:val="24"/>
          <w:sz w:val="20"/>
          <w:szCs w:val="20"/>
          <w:lang w:eastAsia="en-ZA"/>
        </w:rPr>
        <w:t xml:space="preserve">the </w:t>
      </w:r>
      <w:r w:rsidRPr="00603B95">
        <w:rPr>
          <w:rFonts w:ascii="Arial" w:eastAsiaTheme="minorEastAsia" w:hAnsi="Arial" w:cs="Arial"/>
          <w:color w:val="000000" w:themeColor="text1"/>
          <w:kern w:val="24"/>
          <w:sz w:val="20"/>
          <w:szCs w:val="20"/>
          <w:lang w:eastAsia="en-ZA"/>
        </w:rPr>
        <w:t>establishment of the new institutions, based on the feasibility study submitted to the Minister for approval by 31 March 2023.</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val="en-US" w:eastAsia="en-ZA"/>
        </w:rPr>
      </w:pPr>
      <w:r w:rsidRPr="00603B95">
        <w:rPr>
          <w:rFonts w:ascii="Arial" w:eastAsiaTheme="minorEastAsia" w:hAnsi="Arial" w:cs="Arial"/>
          <w:color w:val="000000" w:themeColor="text1"/>
          <w:kern w:val="24"/>
          <w:sz w:val="20"/>
          <w:szCs w:val="20"/>
          <w:lang w:val="en-US" w:eastAsia="en-ZA"/>
        </w:rPr>
        <w:t>Revised Policy on Minimum Norms and Standards for student housing approved by the Director-General for submission to the Minister by 31 March 2023.</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val="en-US" w:eastAsia="en-ZA"/>
        </w:rPr>
      </w:pPr>
      <w:r w:rsidRPr="00603B95">
        <w:rPr>
          <w:rFonts w:ascii="Arial" w:eastAsiaTheme="minorEastAsia" w:hAnsi="Arial" w:cs="Arial"/>
          <w:color w:val="000000" w:themeColor="text1"/>
          <w:kern w:val="24"/>
          <w:sz w:val="20"/>
          <w:szCs w:val="20"/>
          <w:lang w:val="en-US" w:eastAsia="en-ZA"/>
        </w:rPr>
        <w:t>TVET colleges Infrastructure maintenance plans for 2023/24 relating to all (100%) sites of delivery approved by the Director-General by 31 March 2023.</w:t>
      </w:r>
    </w:p>
    <w:p w:rsidR="00450CDF" w:rsidRPr="00603B95" w:rsidRDefault="00450CDF" w:rsidP="00603B95">
      <w:pPr>
        <w:pStyle w:val="ListParagraph"/>
        <w:numPr>
          <w:ilvl w:val="0"/>
          <w:numId w:val="5"/>
        </w:numPr>
        <w:spacing w:after="0" w:line="240" w:lineRule="auto"/>
        <w:ind w:left="714" w:hanging="357"/>
        <w:rPr>
          <w:rFonts w:ascii="Arial" w:eastAsiaTheme="minorEastAsia" w:hAnsi="Arial" w:cs="Arial"/>
          <w:color w:val="000000" w:themeColor="text1"/>
          <w:kern w:val="24"/>
          <w:sz w:val="20"/>
          <w:szCs w:val="20"/>
          <w:lang w:val="en-US" w:eastAsia="en-ZA"/>
        </w:rPr>
      </w:pPr>
      <w:r w:rsidRPr="00603B95">
        <w:rPr>
          <w:rFonts w:ascii="Arial" w:eastAsiaTheme="minorEastAsia" w:hAnsi="Arial" w:cs="Arial"/>
          <w:color w:val="000000" w:themeColor="text1"/>
          <w:kern w:val="24"/>
          <w:sz w:val="20"/>
          <w:szCs w:val="20"/>
          <w:lang w:val="en-US" w:eastAsia="en-ZA"/>
        </w:rPr>
        <w:t>Infrastructure delivery plans for universities approved by the Director-General by 31 March 2023.</w:t>
      </w:r>
    </w:p>
    <w:p w:rsidR="00450CDF" w:rsidRPr="00603B95" w:rsidRDefault="00450CDF" w:rsidP="00603B95">
      <w:pPr>
        <w:pStyle w:val="ListParagraph"/>
        <w:numPr>
          <w:ilvl w:val="0"/>
          <w:numId w:val="5"/>
        </w:numPr>
        <w:spacing w:after="0" w:line="240" w:lineRule="auto"/>
        <w:ind w:left="714" w:hanging="357"/>
        <w:rPr>
          <w:rFonts w:ascii="Arial" w:hAnsi="Arial" w:cs="Arial"/>
          <w:sz w:val="20"/>
          <w:szCs w:val="20"/>
        </w:rPr>
      </w:pPr>
      <w:r w:rsidRPr="00603B95">
        <w:rPr>
          <w:rFonts w:ascii="Arial" w:eastAsiaTheme="minorEastAsia" w:hAnsi="Arial" w:cs="Arial"/>
          <w:color w:val="000000" w:themeColor="text1"/>
          <w:kern w:val="24"/>
          <w:sz w:val="20"/>
          <w:szCs w:val="20"/>
          <w:lang w:val="en-US" w:eastAsia="en-ZA"/>
        </w:rPr>
        <w:t>A report on the implementation of norms for differentiated infrastructure approved by the Director-General by 31 March 2023</w:t>
      </w:r>
      <w:r w:rsidR="00C706A6" w:rsidRPr="00603B95">
        <w:rPr>
          <w:rFonts w:ascii="Arial" w:eastAsiaTheme="minorEastAsia" w:hAnsi="Arial" w:cs="Arial"/>
          <w:color w:val="000000" w:themeColor="text1"/>
          <w:kern w:val="24"/>
          <w:sz w:val="20"/>
          <w:szCs w:val="20"/>
          <w:lang w:val="en-US" w:eastAsia="en-ZA"/>
        </w:rPr>
        <w:t>.</w:t>
      </w:r>
    </w:p>
    <w:p w:rsidR="00D62F6E" w:rsidRPr="00603B95" w:rsidRDefault="00CF4D82" w:rsidP="00603B95">
      <w:pPr>
        <w:spacing w:after="0" w:line="240" w:lineRule="auto"/>
        <w:rPr>
          <w:rFonts w:ascii="Arial" w:hAnsi="Arial" w:cs="Arial"/>
          <w:bCs/>
          <w:sz w:val="20"/>
          <w:szCs w:val="20"/>
        </w:rPr>
      </w:pPr>
      <w:r w:rsidRPr="00603B95">
        <w:rPr>
          <w:rFonts w:ascii="Arial" w:hAnsi="Arial" w:cs="Arial"/>
          <w:sz w:val="20"/>
          <w:szCs w:val="20"/>
        </w:rPr>
        <w:t xml:space="preserve">At the end of the quarter under review, the programme </w:t>
      </w:r>
      <w:r w:rsidR="00B051A5" w:rsidRPr="00603B95">
        <w:rPr>
          <w:rFonts w:ascii="Arial" w:hAnsi="Arial" w:cs="Arial"/>
          <w:sz w:val="20"/>
          <w:szCs w:val="20"/>
        </w:rPr>
        <w:t xml:space="preserve">had </w:t>
      </w:r>
      <w:r w:rsidRPr="00603B95">
        <w:rPr>
          <w:rFonts w:ascii="Arial" w:hAnsi="Arial" w:cs="Arial"/>
          <w:sz w:val="20"/>
          <w:szCs w:val="20"/>
        </w:rPr>
        <w:t>spent R4.683 billion recording an underspending amounting to R12.</w:t>
      </w:r>
      <w:r w:rsidR="00BC57CB" w:rsidRPr="00603B95">
        <w:rPr>
          <w:rFonts w:ascii="Arial" w:hAnsi="Arial" w:cs="Arial"/>
          <w:sz w:val="20"/>
          <w:szCs w:val="20"/>
        </w:rPr>
        <w:t xml:space="preserve">4 </w:t>
      </w:r>
      <w:r w:rsidRPr="00603B95">
        <w:rPr>
          <w:rFonts w:ascii="Arial" w:hAnsi="Arial" w:cs="Arial"/>
          <w:sz w:val="20"/>
          <w:szCs w:val="20"/>
        </w:rPr>
        <w:t>million or 0.26 per</w:t>
      </w:r>
      <w:r w:rsidR="00C706A6" w:rsidRPr="00603B95">
        <w:rPr>
          <w:rFonts w:ascii="Arial" w:hAnsi="Arial" w:cs="Arial"/>
          <w:sz w:val="20"/>
          <w:szCs w:val="20"/>
        </w:rPr>
        <w:t xml:space="preserve"> </w:t>
      </w:r>
      <w:r w:rsidRPr="00603B95">
        <w:rPr>
          <w:rFonts w:ascii="Arial" w:hAnsi="Arial" w:cs="Arial"/>
          <w:sz w:val="20"/>
          <w:szCs w:val="20"/>
        </w:rPr>
        <w:t xml:space="preserve">cent. </w:t>
      </w:r>
      <w:r w:rsidR="001F474F" w:rsidRPr="00603B95">
        <w:rPr>
          <w:rFonts w:ascii="Arial" w:hAnsi="Arial" w:cs="Arial"/>
          <w:sz w:val="20"/>
          <w:szCs w:val="20"/>
        </w:rPr>
        <w:t>U</w:t>
      </w:r>
      <w:r w:rsidRPr="00603B95">
        <w:rPr>
          <w:rFonts w:ascii="Arial" w:hAnsi="Arial" w:cs="Arial"/>
          <w:sz w:val="20"/>
          <w:szCs w:val="20"/>
        </w:rPr>
        <w:t xml:space="preserve">nderspending </w:t>
      </w:r>
      <w:bookmarkStart w:id="1" w:name="_Hlk136536484"/>
      <w:r w:rsidRPr="00603B95">
        <w:rPr>
          <w:rFonts w:ascii="Arial" w:hAnsi="Arial" w:cs="Arial"/>
          <w:sz w:val="20"/>
          <w:szCs w:val="20"/>
        </w:rPr>
        <w:t xml:space="preserve">was mainly under </w:t>
      </w:r>
      <w:r w:rsidR="001F474F" w:rsidRPr="00603B95">
        <w:rPr>
          <w:rFonts w:ascii="Arial" w:hAnsi="Arial" w:cs="Arial"/>
          <w:sz w:val="20"/>
          <w:szCs w:val="20"/>
        </w:rPr>
        <w:t>the c</w:t>
      </w:r>
      <w:r w:rsidRPr="00603B95">
        <w:rPr>
          <w:rFonts w:ascii="Arial" w:hAnsi="Arial" w:cs="Arial"/>
          <w:sz w:val="20"/>
          <w:szCs w:val="20"/>
        </w:rPr>
        <w:t xml:space="preserve">ompensation of </w:t>
      </w:r>
      <w:r w:rsidR="00136C65" w:rsidRPr="00603B95">
        <w:rPr>
          <w:rFonts w:ascii="Arial" w:hAnsi="Arial" w:cs="Arial"/>
          <w:sz w:val="20"/>
          <w:szCs w:val="20"/>
        </w:rPr>
        <w:t xml:space="preserve">employees </w:t>
      </w:r>
      <w:r w:rsidRPr="00603B95">
        <w:rPr>
          <w:rFonts w:ascii="Arial" w:hAnsi="Arial" w:cs="Arial"/>
          <w:sz w:val="20"/>
          <w:szCs w:val="20"/>
        </w:rPr>
        <w:t xml:space="preserve">as the Department struggled to fill vacancies timeously due to the length of time taken to process the high number of applications. </w:t>
      </w:r>
    </w:p>
    <w:bookmarkEnd w:id="1"/>
    <w:p w:rsidR="006003CD" w:rsidRPr="00603B95" w:rsidRDefault="006003CD" w:rsidP="00603B95">
      <w:pPr>
        <w:spacing w:after="0" w:line="240" w:lineRule="auto"/>
        <w:rPr>
          <w:rFonts w:ascii="Arial" w:hAnsi="Arial" w:cs="Arial"/>
          <w:b/>
          <w:sz w:val="20"/>
          <w:szCs w:val="20"/>
        </w:rPr>
      </w:pPr>
      <w:r w:rsidRPr="00603B95">
        <w:rPr>
          <w:rFonts w:ascii="Arial" w:hAnsi="Arial" w:cs="Arial"/>
          <w:b/>
          <w:sz w:val="20"/>
          <w:szCs w:val="20"/>
        </w:rPr>
        <w:t>(iii) Programme 3: University Education</w:t>
      </w:r>
    </w:p>
    <w:p w:rsidR="00F72AF2" w:rsidRPr="00603B95" w:rsidRDefault="00D646A4" w:rsidP="00603B95">
      <w:pPr>
        <w:spacing w:after="0" w:line="240" w:lineRule="auto"/>
        <w:rPr>
          <w:rFonts w:ascii="Arial" w:hAnsi="Arial" w:cs="Arial"/>
          <w:sz w:val="20"/>
          <w:szCs w:val="20"/>
          <w:lang w:val="en-US"/>
        </w:rPr>
      </w:pPr>
      <w:r w:rsidRPr="00603B95">
        <w:rPr>
          <w:rFonts w:ascii="Arial" w:hAnsi="Arial" w:cs="Arial"/>
          <w:sz w:val="20"/>
          <w:szCs w:val="20"/>
          <w:lang w:val="en-US"/>
        </w:rPr>
        <w:t>The programme develop</w:t>
      </w:r>
      <w:r w:rsidR="00265B37" w:rsidRPr="00603B95">
        <w:rPr>
          <w:rFonts w:ascii="Arial" w:hAnsi="Arial" w:cs="Arial"/>
          <w:sz w:val="20"/>
          <w:szCs w:val="20"/>
          <w:lang w:val="en-US"/>
        </w:rPr>
        <w:t>s</w:t>
      </w:r>
      <w:r w:rsidRPr="00603B95">
        <w:rPr>
          <w:rFonts w:ascii="Arial" w:hAnsi="Arial" w:cs="Arial"/>
          <w:sz w:val="20"/>
          <w:szCs w:val="20"/>
          <w:lang w:val="en-US"/>
        </w:rPr>
        <w:t xml:space="preserve"> and coordinate</w:t>
      </w:r>
      <w:r w:rsidR="00EA3FC4" w:rsidRPr="00603B95">
        <w:rPr>
          <w:rFonts w:ascii="Arial" w:hAnsi="Arial" w:cs="Arial"/>
          <w:sz w:val="20"/>
          <w:szCs w:val="20"/>
          <w:lang w:val="en-US"/>
        </w:rPr>
        <w:t>s</w:t>
      </w:r>
      <w:r w:rsidRPr="00603B95">
        <w:rPr>
          <w:rFonts w:ascii="Arial" w:hAnsi="Arial" w:cs="Arial"/>
          <w:sz w:val="20"/>
          <w:szCs w:val="20"/>
          <w:lang w:val="en-US"/>
        </w:rPr>
        <w:t xml:space="preserve"> policy and regulatory frameworks for an effective and efficient university education system and provide</w:t>
      </w:r>
      <w:r w:rsidR="00136C65" w:rsidRPr="00603B95">
        <w:rPr>
          <w:rFonts w:ascii="Arial" w:hAnsi="Arial" w:cs="Arial"/>
          <w:sz w:val="20"/>
          <w:szCs w:val="20"/>
          <w:lang w:val="en-US"/>
        </w:rPr>
        <w:t>s</w:t>
      </w:r>
      <w:r w:rsidRPr="00603B95">
        <w:rPr>
          <w:rFonts w:ascii="Arial" w:hAnsi="Arial" w:cs="Arial"/>
          <w:sz w:val="20"/>
          <w:szCs w:val="20"/>
          <w:lang w:val="en-US"/>
        </w:rPr>
        <w:t xml:space="preserve"> financial and other support to universities, the National Student Financial Aid Scheme</w:t>
      </w:r>
      <w:r w:rsidR="00FF609A" w:rsidRPr="00603B95">
        <w:rPr>
          <w:rFonts w:ascii="Arial" w:hAnsi="Arial" w:cs="Arial"/>
          <w:sz w:val="20"/>
          <w:szCs w:val="20"/>
          <w:lang w:val="en-US"/>
        </w:rPr>
        <w:t xml:space="preserve"> (NSFAS)</w:t>
      </w:r>
      <w:r w:rsidRPr="00603B95">
        <w:rPr>
          <w:rFonts w:ascii="Arial" w:hAnsi="Arial" w:cs="Arial"/>
          <w:sz w:val="20"/>
          <w:szCs w:val="20"/>
          <w:lang w:val="en-US"/>
        </w:rPr>
        <w:t xml:space="preserve"> and national higher education institutions. </w:t>
      </w:r>
    </w:p>
    <w:p w:rsidR="00B051A5" w:rsidRPr="00603B95" w:rsidRDefault="00F72AF2" w:rsidP="00603B95">
      <w:pPr>
        <w:spacing w:after="0" w:line="240" w:lineRule="auto"/>
        <w:rPr>
          <w:rFonts w:ascii="Arial" w:hAnsi="Arial" w:cs="Arial"/>
          <w:sz w:val="20"/>
          <w:szCs w:val="20"/>
          <w:lang w:val="en-US"/>
        </w:rPr>
      </w:pPr>
      <w:r w:rsidRPr="00603B95">
        <w:rPr>
          <w:rFonts w:ascii="Arial" w:hAnsi="Arial" w:cs="Arial"/>
          <w:sz w:val="20"/>
          <w:szCs w:val="20"/>
          <w:lang w:val="en-US"/>
        </w:rPr>
        <w:t>For the Quarter un</w:t>
      </w:r>
      <w:r w:rsidR="002C3C48" w:rsidRPr="00603B95">
        <w:rPr>
          <w:rFonts w:ascii="Arial" w:hAnsi="Arial" w:cs="Arial"/>
          <w:sz w:val="20"/>
          <w:szCs w:val="20"/>
          <w:lang w:val="en-US"/>
        </w:rPr>
        <w:t>der review, the programme had 15 targets and achieved 11 or 73</w:t>
      </w:r>
      <w:r w:rsidRPr="00603B95">
        <w:rPr>
          <w:rFonts w:ascii="Arial" w:hAnsi="Arial" w:cs="Arial"/>
          <w:sz w:val="20"/>
          <w:szCs w:val="20"/>
          <w:lang w:val="en-US"/>
        </w:rPr>
        <w:t xml:space="preserve"> per cent of the targets.</w:t>
      </w:r>
    </w:p>
    <w:p w:rsidR="00A909B6" w:rsidRPr="00603B95" w:rsidRDefault="00A96BA5" w:rsidP="00603B95">
      <w:pPr>
        <w:spacing w:after="0" w:line="240" w:lineRule="auto"/>
        <w:rPr>
          <w:rFonts w:ascii="Arial" w:eastAsia="Times New Roman" w:hAnsi="Arial" w:cs="Arial"/>
          <w:sz w:val="20"/>
          <w:szCs w:val="20"/>
          <w:lang w:val="en-US" w:eastAsia="en-ZA"/>
        </w:rPr>
      </w:pPr>
      <w:r w:rsidRPr="00603B95">
        <w:rPr>
          <w:rFonts w:ascii="Arial" w:hAnsi="Arial" w:cs="Arial"/>
          <w:sz w:val="20"/>
          <w:szCs w:val="20"/>
          <w:lang w:val="en-US"/>
        </w:rPr>
        <w:t>Targets achieved include</w:t>
      </w:r>
      <w:r w:rsidR="00B051A5" w:rsidRPr="00603B95">
        <w:rPr>
          <w:rFonts w:ascii="Arial" w:hAnsi="Arial" w:cs="Arial"/>
          <w:sz w:val="20"/>
          <w:szCs w:val="20"/>
          <w:lang w:val="en-US"/>
        </w:rPr>
        <w:t>d</w:t>
      </w:r>
      <w:r w:rsidR="00FF609A" w:rsidRPr="00603B95">
        <w:rPr>
          <w:rFonts w:ascii="Arial" w:hAnsi="Arial" w:cs="Arial"/>
          <w:sz w:val="20"/>
          <w:szCs w:val="20"/>
          <w:lang w:val="en-US"/>
        </w:rPr>
        <w:t>:</w:t>
      </w:r>
      <w:r w:rsidR="00B051A5" w:rsidRPr="00603B95">
        <w:rPr>
          <w:rFonts w:ascii="Arial" w:hAnsi="Arial" w:cs="Arial"/>
          <w:sz w:val="20"/>
          <w:szCs w:val="20"/>
          <w:lang w:val="en-US"/>
        </w:rPr>
        <w:t xml:space="preserve"> the approval by the Director-General of a</w:t>
      </w:r>
      <w:r w:rsidR="00A909B6" w:rsidRPr="00603B95">
        <w:rPr>
          <w:rFonts w:ascii="Arial" w:eastAsia="Times New Roman" w:hAnsi="Arial" w:cs="Arial"/>
          <w:sz w:val="20"/>
          <w:szCs w:val="20"/>
          <w:lang w:val="en-US" w:eastAsia="en-ZA"/>
        </w:rPr>
        <w:t xml:space="preserve"> report on the achievement of Ministerial enrolment planning targets approved by the Director-General by 31 March 2023</w:t>
      </w:r>
      <w:r w:rsidR="00B051A5" w:rsidRPr="00603B95">
        <w:rPr>
          <w:rFonts w:ascii="Arial" w:eastAsia="Times New Roman" w:hAnsi="Arial" w:cs="Arial"/>
          <w:sz w:val="20"/>
          <w:szCs w:val="20"/>
          <w:lang w:val="en-US" w:eastAsia="en-ZA"/>
        </w:rPr>
        <w:t xml:space="preserve">; achievement of </w:t>
      </w:r>
      <w:r w:rsidR="00A909B6" w:rsidRPr="00603B95">
        <w:rPr>
          <w:rFonts w:ascii="Arial" w:eastAsia="Times New Roman" w:hAnsi="Arial" w:cs="Arial"/>
          <w:sz w:val="20"/>
          <w:szCs w:val="20"/>
          <w:lang w:val="en-US" w:eastAsia="en-ZA"/>
        </w:rPr>
        <w:t>6</w:t>
      </w:r>
      <w:r w:rsidR="00B051A5" w:rsidRPr="00603B95">
        <w:rPr>
          <w:rFonts w:ascii="Arial" w:eastAsia="Times New Roman" w:hAnsi="Arial" w:cs="Arial"/>
          <w:sz w:val="20"/>
          <w:szCs w:val="20"/>
          <w:lang w:val="en-US" w:eastAsia="en-ZA"/>
        </w:rPr>
        <w:t xml:space="preserve">3 per cent </w:t>
      </w:r>
      <w:r w:rsidR="00A909B6" w:rsidRPr="00603B95">
        <w:rPr>
          <w:rFonts w:ascii="Arial" w:eastAsia="Times New Roman" w:hAnsi="Arial" w:cs="Arial"/>
          <w:sz w:val="20"/>
          <w:szCs w:val="20"/>
          <w:lang w:val="en-US" w:eastAsia="en-ZA"/>
        </w:rPr>
        <w:t>throughput rate of 2014 first–time cohort at universities</w:t>
      </w:r>
      <w:r w:rsidR="00B051A5" w:rsidRPr="00603B95">
        <w:rPr>
          <w:rFonts w:ascii="Arial" w:eastAsia="Times New Roman" w:hAnsi="Arial" w:cs="Arial"/>
          <w:sz w:val="20"/>
          <w:szCs w:val="20"/>
          <w:lang w:val="en-US" w:eastAsia="en-ZA"/>
        </w:rPr>
        <w:t xml:space="preserve">; the filling of </w:t>
      </w:r>
      <w:r w:rsidR="00A909B6" w:rsidRPr="00603B95">
        <w:rPr>
          <w:rFonts w:ascii="Arial" w:eastAsia="Times New Roman" w:hAnsi="Arial" w:cs="Arial"/>
          <w:sz w:val="20"/>
          <w:szCs w:val="20"/>
          <w:lang w:val="en-US" w:eastAsia="en-ZA"/>
        </w:rPr>
        <w:t>85</w:t>
      </w:r>
      <w:r w:rsidR="00774FD6" w:rsidRPr="00603B95">
        <w:rPr>
          <w:rFonts w:ascii="Arial" w:eastAsia="Times New Roman" w:hAnsi="Arial" w:cs="Arial"/>
          <w:sz w:val="20"/>
          <w:szCs w:val="20"/>
          <w:lang w:val="en-US" w:eastAsia="en-ZA"/>
        </w:rPr>
        <w:t xml:space="preserve"> new Generation of Academics Project (</w:t>
      </w:r>
      <w:r w:rsidR="00A909B6" w:rsidRPr="00603B95">
        <w:rPr>
          <w:rFonts w:ascii="Arial" w:eastAsia="Times New Roman" w:hAnsi="Arial" w:cs="Arial"/>
          <w:sz w:val="20"/>
          <w:szCs w:val="20"/>
          <w:lang w:val="en-US" w:eastAsia="en-ZA"/>
        </w:rPr>
        <w:t>nGAP</w:t>
      </w:r>
      <w:r w:rsidR="00774FD6" w:rsidRPr="00603B95">
        <w:rPr>
          <w:rFonts w:ascii="Arial" w:eastAsia="Times New Roman" w:hAnsi="Arial" w:cs="Arial"/>
          <w:sz w:val="20"/>
          <w:szCs w:val="20"/>
          <w:lang w:val="en-US" w:eastAsia="en-ZA"/>
        </w:rPr>
        <w:t>)</w:t>
      </w:r>
      <w:r w:rsidR="00A909B6" w:rsidRPr="00603B95">
        <w:rPr>
          <w:rFonts w:ascii="Arial" w:eastAsia="Times New Roman" w:hAnsi="Arial" w:cs="Arial"/>
          <w:sz w:val="20"/>
          <w:szCs w:val="20"/>
          <w:lang w:val="en-US" w:eastAsia="en-ZA"/>
        </w:rPr>
        <w:t xml:space="preserve"> posts at universities</w:t>
      </w:r>
      <w:r w:rsidR="00B051A5" w:rsidRPr="00603B95">
        <w:rPr>
          <w:rFonts w:ascii="Arial" w:eastAsia="Times New Roman" w:hAnsi="Arial" w:cs="Arial"/>
          <w:sz w:val="20"/>
          <w:szCs w:val="20"/>
          <w:lang w:val="en-US" w:eastAsia="en-ZA"/>
        </w:rPr>
        <w:t xml:space="preserve">; the allocation of </w:t>
      </w:r>
      <w:r w:rsidR="00A909B6" w:rsidRPr="00603B95">
        <w:rPr>
          <w:rFonts w:ascii="Arial" w:eastAsia="Times New Roman" w:hAnsi="Arial" w:cs="Arial"/>
          <w:sz w:val="20"/>
          <w:szCs w:val="20"/>
          <w:lang w:val="en-US" w:eastAsia="en-ZA"/>
        </w:rPr>
        <w:t>40 scholarship or internship positions to universities through the Nurturing Emerging Scholars Programme</w:t>
      </w:r>
      <w:r w:rsidR="00B051A5" w:rsidRPr="00603B95">
        <w:rPr>
          <w:rFonts w:ascii="Arial" w:eastAsia="Times New Roman" w:hAnsi="Arial" w:cs="Arial"/>
          <w:sz w:val="20"/>
          <w:szCs w:val="20"/>
          <w:lang w:val="en-US" w:eastAsia="en-ZA"/>
        </w:rPr>
        <w:t>; achievement of 48 per cent of university lecturers (permanent instruction or research staff) who hold doctoral degrees; approval of infrastructure plans for 2023/24 relating to all sites of delivery and approval of a report on the implementation of norms for differentiated infrastructure</w:t>
      </w:r>
      <w:r w:rsidR="00A909B6" w:rsidRPr="00603B95">
        <w:rPr>
          <w:rFonts w:ascii="Arial" w:eastAsia="Times New Roman" w:hAnsi="Arial" w:cs="Arial"/>
          <w:sz w:val="20"/>
          <w:szCs w:val="20"/>
          <w:lang w:val="en-US" w:eastAsia="en-ZA"/>
        </w:rPr>
        <w:t xml:space="preserve">. </w:t>
      </w:r>
    </w:p>
    <w:p w:rsidR="00450CDF" w:rsidRPr="00603B95" w:rsidRDefault="00450CDF" w:rsidP="00603B95">
      <w:pPr>
        <w:spacing w:after="0" w:line="240" w:lineRule="auto"/>
        <w:rPr>
          <w:rFonts w:ascii="Arial" w:hAnsi="Arial" w:cs="Arial"/>
          <w:sz w:val="20"/>
          <w:szCs w:val="20"/>
          <w:lang w:val="en-US"/>
        </w:rPr>
      </w:pPr>
      <w:r w:rsidRPr="00603B95">
        <w:rPr>
          <w:rFonts w:ascii="Arial" w:hAnsi="Arial" w:cs="Arial"/>
          <w:sz w:val="20"/>
          <w:szCs w:val="20"/>
          <w:lang w:val="en-US"/>
        </w:rPr>
        <w:t xml:space="preserve">Targets not achieved include: </w:t>
      </w:r>
    </w:p>
    <w:p w:rsidR="00A909B6" w:rsidRPr="00603B95" w:rsidRDefault="00A909B6" w:rsidP="00603B95">
      <w:pPr>
        <w:pStyle w:val="ListParagraph"/>
        <w:numPr>
          <w:ilvl w:val="0"/>
          <w:numId w:val="7"/>
        </w:numPr>
        <w:spacing w:after="0" w:line="240" w:lineRule="auto"/>
        <w:ind w:left="714" w:hanging="357"/>
        <w:rPr>
          <w:rFonts w:ascii="Arial" w:eastAsia="Calibri" w:hAnsi="Arial" w:cs="Arial"/>
          <w:color w:val="000000" w:themeColor="text1"/>
          <w:kern w:val="24"/>
          <w:sz w:val="20"/>
          <w:szCs w:val="20"/>
          <w:lang w:val="en-US" w:eastAsia="en-ZA"/>
        </w:rPr>
      </w:pPr>
      <w:r w:rsidRPr="00603B95">
        <w:rPr>
          <w:rFonts w:ascii="Arial" w:eastAsia="Calibri" w:hAnsi="Arial" w:cs="Arial"/>
          <w:color w:val="000000" w:themeColor="text1"/>
          <w:kern w:val="24"/>
          <w:sz w:val="20"/>
          <w:szCs w:val="20"/>
          <w:lang w:val="en-US" w:eastAsia="en-ZA"/>
        </w:rPr>
        <w:t xml:space="preserve">A report on the implementation of </w:t>
      </w:r>
      <w:r w:rsidR="00FF609A" w:rsidRPr="00603B95">
        <w:rPr>
          <w:rFonts w:ascii="Arial" w:eastAsia="Calibri" w:hAnsi="Arial" w:cs="Arial"/>
          <w:color w:val="000000" w:themeColor="text1"/>
          <w:kern w:val="24"/>
          <w:sz w:val="20"/>
          <w:szCs w:val="20"/>
          <w:lang w:val="en-US" w:eastAsia="en-ZA"/>
        </w:rPr>
        <w:t>the University Capacity Development Programme (</w:t>
      </w:r>
      <w:r w:rsidRPr="00603B95">
        <w:rPr>
          <w:rFonts w:ascii="Arial" w:eastAsia="Calibri" w:hAnsi="Arial" w:cs="Arial"/>
          <w:color w:val="000000" w:themeColor="text1"/>
          <w:kern w:val="24"/>
          <w:sz w:val="20"/>
          <w:szCs w:val="20"/>
          <w:lang w:val="en-US" w:eastAsia="en-ZA"/>
        </w:rPr>
        <w:t>UCDP</w:t>
      </w:r>
      <w:r w:rsidR="00FF609A" w:rsidRPr="00603B95">
        <w:rPr>
          <w:rFonts w:ascii="Arial" w:eastAsia="Calibri" w:hAnsi="Arial" w:cs="Arial"/>
          <w:color w:val="000000" w:themeColor="text1"/>
          <w:kern w:val="24"/>
          <w:sz w:val="20"/>
          <w:szCs w:val="20"/>
          <w:lang w:val="en-US" w:eastAsia="en-ZA"/>
        </w:rPr>
        <w:t>)</w:t>
      </w:r>
      <w:r w:rsidRPr="00603B95">
        <w:rPr>
          <w:rFonts w:ascii="Arial" w:eastAsia="Calibri" w:hAnsi="Arial" w:cs="Arial"/>
          <w:color w:val="000000" w:themeColor="text1"/>
          <w:kern w:val="24"/>
          <w:sz w:val="20"/>
          <w:szCs w:val="20"/>
          <w:lang w:val="en-US" w:eastAsia="en-ZA"/>
        </w:rPr>
        <w:t xml:space="preserve"> approved </w:t>
      </w:r>
      <w:r w:rsidRPr="00603B95">
        <w:rPr>
          <w:rFonts w:ascii="Arial" w:eastAsiaTheme="minorEastAsia" w:hAnsi="Arial" w:cs="Arial"/>
          <w:color w:val="000000" w:themeColor="text1"/>
          <w:kern w:val="24"/>
          <w:sz w:val="20"/>
          <w:szCs w:val="20"/>
          <w:lang w:eastAsia="en-ZA"/>
        </w:rPr>
        <w:t xml:space="preserve">by the Director-General by 31 March 2023. The Department alluded that there were delays in approving the release of </w:t>
      </w:r>
      <w:r w:rsidR="00FF609A" w:rsidRPr="00603B95">
        <w:rPr>
          <w:rFonts w:ascii="Arial" w:eastAsiaTheme="minorEastAsia" w:hAnsi="Arial" w:cs="Arial"/>
          <w:color w:val="000000" w:themeColor="text1"/>
          <w:kern w:val="24"/>
          <w:sz w:val="20"/>
          <w:szCs w:val="20"/>
          <w:lang w:eastAsia="en-ZA"/>
        </w:rPr>
        <w:t>f</w:t>
      </w:r>
      <w:r w:rsidRPr="00603B95">
        <w:rPr>
          <w:rFonts w:ascii="Arial" w:eastAsiaTheme="minorEastAsia" w:hAnsi="Arial" w:cs="Arial"/>
          <w:color w:val="000000" w:themeColor="text1"/>
          <w:kern w:val="24"/>
          <w:sz w:val="20"/>
          <w:szCs w:val="20"/>
          <w:lang w:eastAsia="en-ZA"/>
        </w:rPr>
        <w:t>un</w:t>
      </w:r>
      <w:r w:rsidR="00FF609A" w:rsidRPr="00603B95">
        <w:rPr>
          <w:rFonts w:ascii="Arial" w:eastAsiaTheme="minorEastAsia" w:hAnsi="Arial" w:cs="Arial"/>
          <w:color w:val="000000" w:themeColor="text1"/>
          <w:kern w:val="24"/>
          <w:sz w:val="20"/>
          <w:szCs w:val="20"/>
          <w:lang w:eastAsia="en-ZA"/>
        </w:rPr>
        <w:t>d</w:t>
      </w:r>
      <w:r w:rsidRPr="00603B95">
        <w:rPr>
          <w:rFonts w:ascii="Arial" w:eastAsiaTheme="minorEastAsia" w:hAnsi="Arial" w:cs="Arial"/>
          <w:color w:val="000000" w:themeColor="text1"/>
          <w:kern w:val="24"/>
          <w:sz w:val="20"/>
          <w:szCs w:val="20"/>
          <w:lang w:eastAsia="en-ZA"/>
        </w:rPr>
        <w:t>s that must form part of the financial component of the UCDP.</w:t>
      </w:r>
    </w:p>
    <w:p w:rsidR="00A909B6" w:rsidRPr="00603B95" w:rsidRDefault="00A909B6" w:rsidP="00603B95">
      <w:pPr>
        <w:pStyle w:val="ListParagraph"/>
        <w:numPr>
          <w:ilvl w:val="0"/>
          <w:numId w:val="7"/>
        </w:numPr>
        <w:spacing w:after="0" w:line="240" w:lineRule="auto"/>
        <w:ind w:left="714" w:hanging="357"/>
        <w:rPr>
          <w:rFonts w:ascii="Arial" w:eastAsia="Calibri" w:hAnsi="Arial" w:cs="Arial"/>
          <w:color w:val="000000" w:themeColor="text1"/>
          <w:kern w:val="24"/>
          <w:sz w:val="20"/>
          <w:szCs w:val="20"/>
          <w:lang w:val="en-US" w:eastAsia="en-ZA"/>
        </w:rPr>
      </w:pPr>
      <w:r w:rsidRPr="00603B95">
        <w:rPr>
          <w:rFonts w:ascii="Arial" w:eastAsiaTheme="minorEastAsia" w:hAnsi="Arial" w:cs="Arial"/>
          <w:color w:val="000000" w:themeColor="text1"/>
          <w:kern w:val="24"/>
          <w:sz w:val="20"/>
          <w:szCs w:val="20"/>
          <w:lang w:val="en-US" w:eastAsia="en-ZA"/>
        </w:rPr>
        <w:t>A report on the compliance of public higher education institutions (PHEIs) to the regulations approved by the Director-General by 31 March 2023. The Department alluded that the draft of the compliance report was not approved due to capacity constraints in the Chief Directorate.</w:t>
      </w:r>
    </w:p>
    <w:p w:rsidR="00A909B6" w:rsidRPr="00603B95" w:rsidRDefault="00A909B6" w:rsidP="00603B95">
      <w:pPr>
        <w:pStyle w:val="ListParagraph"/>
        <w:numPr>
          <w:ilvl w:val="0"/>
          <w:numId w:val="7"/>
        </w:numPr>
        <w:spacing w:after="0" w:line="240" w:lineRule="auto"/>
        <w:ind w:left="714" w:hanging="357"/>
        <w:rPr>
          <w:rFonts w:ascii="Arial" w:eastAsia="Calibri" w:hAnsi="Arial" w:cs="Arial"/>
          <w:color w:val="000000" w:themeColor="text1"/>
          <w:kern w:val="24"/>
          <w:sz w:val="20"/>
          <w:szCs w:val="20"/>
          <w:lang w:val="en-US" w:eastAsia="en-ZA"/>
        </w:rPr>
      </w:pPr>
      <w:r w:rsidRPr="00603B95">
        <w:rPr>
          <w:rFonts w:ascii="Arial" w:eastAsiaTheme="minorEastAsia" w:hAnsi="Arial" w:cs="Arial"/>
          <w:color w:val="000000" w:themeColor="text1"/>
          <w:kern w:val="24"/>
          <w:sz w:val="20"/>
          <w:szCs w:val="20"/>
          <w:lang w:val="en-US" w:eastAsia="en-ZA"/>
        </w:rPr>
        <w:t>A needs analysis report and framework for the university governance programme approved by the Director-General by 31 March 2023. The Department mentioned that the draft needs analysis report needed major revisions and possibly additional research.</w:t>
      </w:r>
    </w:p>
    <w:p w:rsidR="00A909B6" w:rsidRPr="00603B95" w:rsidRDefault="00A909B6" w:rsidP="00603B95">
      <w:pPr>
        <w:pStyle w:val="ListParagraph"/>
        <w:numPr>
          <w:ilvl w:val="0"/>
          <w:numId w:val="7"/>
        </w:numPr>
        <w:spacing w:after="0" w:line="240" w:lineRule="auto"/>
        <w:ind w:left="714" w:hanging="357"/>
        <w:rPr>
          <w:rFonts w:ascii="Arial" w:hAnsi="Arial" w:cs="Arial"/>
          <w:sz w:val="20"/>
          <w:szCs w:val="20"/>
        </w:rPr>
      </w:pPr>
      <w:r w:rsidRPr="00603B95">
        <w:rPr>
          <w:rFonts w:ascii="Arial" w:eastAsiaTheme="minorEastAsia" w:hAnsi="Arial" w:cs="Arial"/>
          <w:color w:val="000000" w:themeColor="text1"/>
          <w:kern w:val="24"/>
          <w:sz w:val="20"/>
          <w:szCs w:val="20"/>
          <w:lang w:val="en-US" w:eastAsia="en-ZA"/>
        </w:rPr>
        <w:t>A report on the evaluation of the 2021 research outputs of public universities approved by the Director-General by 31 March 2023. The Department reported that the report could not be concluded on time due to capacity constraints in the Chief Directorate.</w:t>
      </w:r>
    </w:p>
    <w:p w:rsidR="00CF4D82" w:rsidRPr="00603B95" w:rsidRDefault="00CF4D82" w:rsidP="00603B95">
      <w:pPr>
        <w:spacing w:after="0" w:line="240" w:lineRule="auto"/>
        <w:rPr>
          <w:rFonts w:ascii="Arial" w:hAnsi="Arial" w:cs="Arial"/>
          <w:bCs/>
          <w:sz w:val="20"/>
          <w:szCs w:val="20"/>
        </w:rPr>
      </w:pPr>
      <w:r w:rsidRPr="00603B95">
        <w:rPr>
          <w:rFonts w:ascii="Arial" w:hAnsi="Arial" w:cs="Arial"/>
          <w:sz w:val="20"/>
          <w:szCs w:val="20"/>
        </w:rPr>
        <w:t>At the end of the qu</w:t>
      </w:r>
      <w:r w:rsidR="00F171A4" w:rsidRPr="00603B95">
        <w:rPr>
          <w:rFonts w:ascii="Arial" w:hAnsi="Arial" w:cs="Arial"/>
          <w:sz w:val="20"/>
          <w:szCs w:val="20"/>
        </w:rPr>
        <w:t>ar</w:t>
      </w:r>
      <w:r w:rsidRPr="00603B95">
        <w:rPr>
          <w:rFonts w:ascii="Arial" w:hAnsi="Arial" w:cs="Arial"/>
          <w:sz w:val="20"/>
          <w:szCs w:val="20"/>
        </w:rPr>
        <w:t>ter under review, the programme spent R88.818 billion recording an underspending amounting to R15.</w:t>
      </w:r>
      <w:r w:rsidR="003A4C06" w:rsidRPr="00603B95">
        <w:rPr>
          <w:rFonts w:ascii="Arial" w:hAnsi="Arial" w:cs="Arial"/>
          <w:sz w:val="20"/>
          <w:szCs w:val="20"/>
        </w:rPr>
        <w:t>9</w:t>
      </w:r>
      <w:r w:rsidRPr="00603B95">
        <w:rPr>
          <w:rFonts w:ascii="Arial" w:hAnsi="Arial" w:cs="Arial"/>
          <w:sz w:val="20"/>
          <w:szCs w:val="20"/>
        </w:rPr>
        <w:t xml:space="preserve"> million or 0.</w:t>
      </w:r>
      <w:r w:rsidR="003A4C06" w:rsidRPr="00603B95">
        <w:rPr>
          <w:rFonts w:ascii="Arial" w:hAnsi="Arial" w:cs="Arial"/>
          <w:sz w:val="20"/>
          <w:szCs w:val="20"/>
        </w:rPr>
        <w:t>02</w:t>
      </w:r>
      <w:r w:rsidRPr="00603B95">
        <w:rPr>
          <w:rFonts w:ascii="Arial" w:hAnsi="Arial" w:cs="Arial"/>
          <w:sz w:val="20"/>
          <w:szCs w:val="20"/>
        </w:rPr>
        <w:t xml:space="preserve"> per</w:t>
      </w:r>
      <w:r w:rsidR="003A4C06" w:rsidRPr="00603B95">
        <w:rPr>
          <w:rFonts w:ascii="Arial" w:hAnsi="Arial" w:cs="Arial"/>
          <w:sz w:val="20"/>
          <w:szCs w:val="20"/>
        </w:rPr>
        <w:t xml:space="preserve"> </w:t>
      </w:r>
      <w:r w:rsidRPr="00603B95">
        <w:rPr>
          <w:rFonts w:ascii="Arial" w:hAnsi="Arial" w:cs="Arial"/>
          <w:sz w:val="20"/>
          <w:szCs w:val="20"/>
        </w:rPr>
        <w:t xml:space="preserve">cent. </w:t>
      </w:r>
      <w:bookmarkStart w:id="2" w:name="_Hlk136537166"/>
      <w:r w:rsidR="00136C65" w:rsidRPr="00603B95">
        <w:rPr>
          <w:rFonts w:ascii="Arial" w:hAnsi="Arial" w:cs="Arial"/>
          <w:sz w:val="20"/>
          <w:szCs w:val="20"/>
        </w:rPr>
        <w:t>U</w:t>
      </w:r>
      <w:r w:rsidRPr="00603B95">
        <w:rPr>
          <w:rFonts w:ascii="Arial" w:hAnsi="Arial" w:cs="Arial"/>
          <w:sz w:val="20"/>
          <w:szCs w:val="20"/>
        </w:rPr>
        <w:t xml:space="preserve">nderspending was mainly under </w:t>
      </w:r>
      <w:r w:rsidR="00110FA0" w:rsidRPr="00603B95">
        <w:rPr>
          <w:rFonts w:ascii="Arial" w:hAnsi="Arial" w:cs="Arial"/>
          <w:sz w:val="20"/>
          <w:szCs w:val="20"/>
        </w:rPr>
        <w:lastRenderedPageBreak/>
        <w:t>c</w:t>
      </w:r>
      <w:r w:rsidRPr="00603B95">
        <w:rPr>
          <w:rFonts w:ascii="Arial" w:hAnsi="Arial" w:cs="Arial"/>
          <w:sz w:val="20"/>
          <w:szCs w:val="20"/>
        </w:rPr>
        <w:t xml:space="preserve">ompensation of </w:t>
      </w:r>
      <w:r w:rsidR="00110FA0" w:rsidRPr="00603B95">
        <w:rPr>
          <w:rFonts w:ascii="Arial" w:hAnsi="Arial" w:cs="Arial"/>
          <w:sz w:val="20"/>
          <w:szCs w:val="20"/>
        </w:rPr>
        <w:t>e</w:t>
      </w:r>
      <w:r w:rsidRPr="00603B95">
        <w:rPr>
          <w:rFonts w:ascii="Arial" w:hAnsi="Arial" w:cs="Arial"/>
          <w:sz w:val="20"/>
          <w:szCs w:val="20"/>
        </w:rPr>
        <w:t xml:space="preserve">mployees as the Department struggled to fill vacancies timeously due to the length of time taken to process the high number of applications. </w:t>
      </w:r>
      <w:bookmarkEnd w:id="2"/>
    </w:p>
    <w:p w:rsidR="00F171A4" w:rsidRPr="00603B95" w:rsidRDefault="00F171A4" w:rsidP="00603B95">
      <w:pPr>
        <w:spacing w:after="0" w:line="240" w:lineRule="auto"/>
        <w:rPr>
          <w:rFonts w:ascii="Arial" w:hAnsi="Arial" w:cs="Arial"/>
          <w:b/>
          <w:sz w:val="20"/>
          <w:szCs w:val="20"/>
        </w:rPr>
      </w:pPr>
    </w:p>
    <w:p w:rsidR="00F171A4" w:rsidRPr="00603B95" w:rsidRDefault="00F171A4" w:rsidP="00603B95">
      <w:pPr>
        <w:spacing w:after="0" w:line="240" w:lineRule="auto"/>
        <w:rPr>
          <w:rFonts w:ascii="Arial" w:hAnsi="Arial" w:cs="Arial"/>
          <w:b/>
          <w:sz w:val="20"/>
          <w:szCs w:val="20"/>
        </w:rPr>
      </w:pPr>
    </w:p>
    <w:p w:rsidR="00F171A4" w:rsidRPr="00603B95" w:rsidRDefault="00F171A4" w:rsidP="00603B95">
      <w:pPr>
        <w:spacing w:after="0" w:line="240" w:lineRule="auto"/>
        <w:rPr>
          <w:rFonts w:ascii="Arial" w:hAnsi="Arial" w:cs="Arial"/>
          <w:b/>
          <w:sz w:val="20"/>
          <w:szCs w:val="20"/>
        </w:rPr>
      </w:pPr>
    </w:p>
    <w:p w:rsidR="006003CD" w:rsidRPr="00603B95" w:rsidRDefault="00273115" w:rsidP="00603B95">
      <w:pPr>
        <w:spacing w:after="0" w:line="240" w:lineRule="auto"/>
        <w:rPr>
          <w:rFonts w:ascii="Arial" w:hAnsi="Arial" w:cs="Arial"/>
          <w:b/>
          <w:sz w:val="20"/>
          <w:szCs w:val="20"/>
        </w:rPr>
      </w:pPr>
      <w:r w:rsidRPr="00603B95">
        <w:rPr>
          <w:rFonts w:ascii="Arial" w:hAnsi="Arial" w:cs="Arial"/>
          <w:b/>
          <w:sz w:val="20"/>
          <w:szCs w:val="20"/>
        </w:rPr>
        <w:t xml:space="preserve"> </w:t>
      </w:r>
      <w:r w:rsidR="006003CD" w:rsidRPr="00603B95">
        <w:rPr>
          <w:rFonts w:ascii="Arial" w:hAnsi="Arial" w:cs="Arial"/>
          <w:b/>
          <w:sz w:val="20"/>
          <w:szCs w:val="20"/>
        </w:rPr>
        <w:t>(iv) Programme 4: Technical and Vocational Education and Training</w:t>
      </w:r>
    </w:p>
    <w:p w:rsidR="00314CDE" w:rsidRPr="00603B95" w:rsidRDefault="006003CD" w:rsidP="00603B95">
      <w:pPr>
        <w:spacing w:after="0" w:line="240" w:lineRule="auto"/>
        <w:rPr>
          <w:rFonts w:ascii="Arial" w:hAnsi="Arial" w:cs="Arial"/>
          <w:sz w:val="20"/>
          <w:szCs w:val="20"/>
        </w:rPr>
      </w:pPr>
      <w:r w:rsidRPr="00603B95">
        <w:rPr>
          <w:rFonts w:ascii="Arial" w:hAnsi="Arial" w:cs="Arial"/>
          <w:sz w:val="20"/>
          <w:szCs w:val="20"/>
        </w:rPr>
        <w:t xml:space="preserve">The purpose of this Programme is to plan, develop, implement, monitor, maintain and evaluate national policy, programmes, assessment practices and systems for TVET. </w:t>
      </w:r>
      <w:r w:rsidR="009A33C8" w:rsidRPr="00603B95">
        <w:rPr>
          <w:rFonts w:ascii="Arial" w:hAnsi="Arial" w:cs="Arial"/>
          <w:sz w:val="20"/>
          <w:szCs w:val="20"/>
        </w:rPr>
        <w:t>The programme had</w:t>
      </w:r>
      <w:r w:rsidR="002C3C48" w:rsidRPr="00603B95">
        <w:rPr>
          <w:rFonts w:ascii="Arial" w:hAnsi="Arial" w:cs="Arial"/>
          <w:sz w:val="20"/>
          <w:szCs w:val="20"/>
        </w:rPr>
        <w:t xml:space="preserve"> 13</w:t>
      </w:r>
      <w:r w:rsidR="009A33C8" w:rsidRPr="00603B95">
        <w:rPr>
          <w:rFonts w:ascii="Arial" w:hAnsi="Arial" w:cs="Arial"/>
          <w:sz w:val="20"/>
          <w:szCs w:val="20"/>
        </w:rPr>
        <w:t xml:space="preserve"> targets and </w:t>
      </w:r>
      <w:r w:rsidR="002C3C48" w:rsidRPr="00603B95">
        <w:rPr>
          <w:rFonts w:ascii="Arial" w:hAnsi="Arial" w:cs="Arial"/>
          <w:sz w:val="20"/>
          <w:szCs w:val="20"/>
        </w:rPr>
        <w:t>achieved eight (8) or</w:t>
      </w:r>
      <w:r w:rsidR="0027029A" w:rsidRPr="00603B95">
        <w:rPr>
          <w:rFonts w:ascii="Arial" w:hAnsi="Arial" w:cs="Arial"/>
          <w:sz w:val="20"/>
          <w:szCs w:val="20"/>
        </w:rPr>
        <w:t xml:space="preserve"> 62</w:t>
      </w:r>
      <w:r w:rsidR="002C3C48" w:rsidRPr="00603B95">
        <w:rPr>
          <w:rFonts w:ascii="Arial" w:hAnsi="Arial" w:cs="Arial"/>
          <w:sz w:val="20"/>
          <w:szCs w:val="20"/>
        </w:rPr>
        <w:t xml:space="preserve"> </w:t>
      </w:r>
      <w:r w:rsidR="00314CDE" w:rsidRPr="00603B95">
        <w:rPr>
          <w:rFonts w:ascii="Arial" w:hAnsi="Arial" w:cs="Arial"/>
          <w:sz w:val="20"/>
          <w:szCs w:val="20"/>
        </w:rPr>
        <w:t>per cent of the planned targets</w:t>
      </w:r>
      <w:r w:rsidR="00C706A6" w:rsidRPr="00603B95">
        <w:rPr>
          <w:rFonts w:ascii="Arial" w:hAnsi="Arial" w:cs="Arial"/>
          <w:sz w:val="20"/>
          <w:szCs w:val="20"/>
        </w:rPr>
        <w:t>.</w:t>
      </w:r>
    </w:p>
    <w:p w:rsidR="00A26586" w:rsidRPr="00603B95" w:rsidRDefault="00A26586" w:rsidP="00603B95">
      <w:pPr>
        <w:spacing w:after="0" w:line="240" w:lineRule="auto"/>
        <w:rPr>
          <w:rFonts w:ascii="Arial" w:eastAsia="Times New Roman" w:hAnsi="Arial" w:cs="Arial"/>
          <w:color w:val="000000" w:themeColor="text1"/>
          <w:kern w:val="24"/>
          <w:sz w:val="20"/>
          <w:szCs w:val="20"/>
          <w:lang w:val="en-US" w:eastAsia="en-ZA"/>
        </w:rPr>
      </w:pPr>
      <w:r w:rsidRPr="00603B95">
        <w:rPr>
          <w:rFonts w:ascii="Arial" w:hAnsi="Arial" w:cs="Arial"/>
          <w:sz w:val="20"/>
          <w:szCs w:val="20"/>
        </w:rPr>
        <w:t>Targets</w:t>
      </w:r>
      <w:r w:rsidR="009A33C8" w:rsidRPr="00603B95">
        <w:rPr>
          <w:rFonts w:ascii="Arial" w:hAnsi="Arial" w:cs="Arial"/>
          <w:sz w:val="20"/>
          <w:szCs w:val="20"/>
        </w:rPr>
        <w:t xml:space="preserve"> </w:t>
      </w:r>
      <w:r w:rsidRPr="00603B95">
        <w:rPr>
          <w:rFonts w:ascii="Arial" w:hAnsi="Arial" w:cs="Arial"/>
          <w:sz w:val="20"/>
          <w:szCs w:val="20"/>
        </w:rPr>
        <w:t>achieved include</w:t>
      </w:r>
      <w:r w:rsidR="00F171A4" w:rsidRPr="00603B95">
        <w:rPr>
          <w:rFonts w:ascii="Arial" w:hAnsi="Arial" w:cs="Arial"/>
          <w:sz w:val="20"/>
          <w:szCs w:val="20"/>
        </w:rPr>
        <w:t>:</w:t>
      </w:r>
      <w:r w:rsidR="003A4C06" w:rsidRPr="00603B95">
        <w:rPr>
          <w:rFonts w:ascii="Arial" w:hAnsi="Arial" w:cs="Arial"/>
          <w:sz w:val="20"/>
          <w:szCs w:val="20"/>
        </w:rPr>
        <w:t xml:space="preserve"> the establishment of a Disability Student Unit to support students with disabilities in TVET colleges; placement of 10 000 unemployed TVET students in workplaces; approval of a report on </w:t>
      </w:r>
      <w:r w:rsidR="00C706A6" w:rsidRPr="00603B95">
        <w:rPr>
          <w:rFonts w:ascii="Arial" w:hAnsi="Arial" w:cs="Arial"/>
          <w:sz w:val="20"/>
          <w:szCs w:val="20"/>
        </w:rPr>
        <w:t xml:space="preserve">a </w:t>
      </w:r>
      <w:r w:rsidRPr="00603B95">
        <w:rPr>
          <w:rFonts w:ascii="Arial" w:eastAsia="Times New Roman" w:hAnsi="Arial" w:cs="Arial"/>
          <w:color w:val="000000" w:themeColor="text1"/>
          <w:kern w:val="24"/>
          <w:sz w:val="20"/>
          <w:szCs w:val="20"/>
          <w:lang w:val="en-US" w:eastAsia="en-ZA"/>
        </w:rPr>
        <w:t xml:space="preserve">cooperation agreement with Germany on </w:t>
      </w:r>
      <w:r w:rsidR="00C706A6" w:rsidRPr="00603B95">
        <w:rPr>
          <w:rFonts w:ascii="Arial" w:eastAsia="Times New Roman" w:hAnsi="Arial" w:cs="Arial"/>
          <w:color w:val="000000" w:themeColor="text1"/>
          <w:kern w:val="24"/>
          <w:sz w:val="20"/>
          <w:szCs w:val="20"/>
          <w:lang w:val="en-US" w:eastAsia="en-ZA"/>
        </w:rPr>
        <w:t xml:space="preserve">the </w:t>
      </w:r>
      <w:r w:rsidRPr="00603B95">
        <w:rPr>
          <w:rFonts w:ascii="Arial" w:eastAsia="Times New Roman" w:hAnsi="Arial" w:cs="Arial"/>
          <w:color w:val="000000" w:themeColor="text1"/>
          <w:kern w:val="24"/>
          <w:sz w:val="20"/>
          <w:szCs w:val="20"/>
          <w:lang w:val="en-US" w:eastAsia="en-ZA"/>
        </w:rPr>
        <w:t>South African Institute for Vocational and Continuing Education and Training (SAIVCET) work</w:t>
      </w:r>
      <w:r w:rsidR="003A4C06" w:rsidRPr="00603B95">
        <w:rPr>
          <w:rFonts w:ascii="Arial" w:eastAsia="Times New Roman" w:hAnsi="Arial" w:cs="Arial"/>
          <w:color w:val="000000" w:themeColor="text1"/>
          <w:kern w:val="24"/>
          <w:sz w:val="20"/>
          <w:szCs w:val="20"/>
          <w:lang w:val="en-US" w:eastAsia="en-ZA"/>
        </w:rPr>
        <w:t xml:space="preserve">; enrolment of </w:t>
      </w:r>
      <w:r w:rsidRPr="00603B95">
        <w:rPr>
          <w:rFonts w:ascii="Arial" w:eastAsia="Times New Roman" w:hAnsi="Arial" w:cs="Arial"/>
          <w:color w:val="000000" w:themeColor="text1"/>
          <w:kern w:val="24"/>
          <w:sz w:val="20"/>
          <w:szCs w:val="20"/>
          <w:lang w:val="en-US" w:eastAsia="en-ZA"/>
        </w:rPr>
        <w:t>4</w:t>
      </w:r>
      <w:r w:rsidR="003A4C06" w:rsidRPr="00603B95">
        <w:rPr>
          <w:rFonts w:ascii="Arial" w:eastAsia="Times New Roman" w:hAnsi="Arial" w:cs="Arial"/>
          <w:color w:val="000000" w:themeColor="text1"/>
          <w:kern w:val="24"/>
          <w:sz w:val="20"/>
          <w:szCs w:val="20"/>
          <w:lang w:val="en-US" w:eastAsia="en-ZA"/>
        </w:rPr>
        <w:t xml:space="preserve"> </w:t>
      </w:r>
      <w:r w:rsidRPr="00603B95">
        <w:rPr>
          <w:rFonts w:ascii="Arial" w:eastAsia="Times New Roman" w:hAnsi="Arial" w:cs="Arial"/>
          <w:color w:val="000000" w:themeColor="text1"/>
          <w:kern w:val="24"/>
          <w:sz w:val="20"/>
          <w:szCs w:val="20"/>
          <w:lang w:val="en-US" w:eastAsia="en-ZA"/>
        </w:rPr>
        <w:t>000 students in PLP to improve success</w:t>
      </w:r>
      <w:r w:rsidR="003A4C06" w:rsidRPr="00603B95">
        <w:rPr>
          <w:rFonts w:ascii="Arial" w:eastAsia="Times New Roman" w:hAnsi="Arial" w:cs="Arial"/>
          <w:color w:val="000000" w:themeColor="text1"/>
          <w:kern w:val="24"/>
          <w:sz w:val="20"/>
          <w:szCs w:val="20"/>
          <w:lang w:val="en-US" w:eastAsia="en-ZA"/>
        </w:rPr>
        <w:t>; and approval of 10 new or revised subject curricula for TVET colleges.</w:t>
      </w:r>
    </w:p>
    <w:p w:rsidR="00F65159" w:rsidRPr="00603B95" w:rsidRDefault="00F65159" w:rsidP="00603B95">
      <w:pPr>
        <w:spacing w:after="0" w:line="240" w:lineRule="auto"/>
        <w:rPr>
          <w:rFonts w:ascii="Arial" w:hAnsi="Arial" w:cs="Arial"/>
          <w:sz w:val="20"/>
          <w:szCs w:val="20"/>
        </w:rPr>
      </w:pPr>
      <w:r w:rsidRPr="00603B95">
        <w:rPr>
          <w:rFonts w:ascii="Arial" w:hAnsi="Arial" w:cs="Arial"/>
          <w:sz w:val="20"/>
          <w:szCs w:val="20"/>
        </w:rPr>
        <w:t>Targets not achieved include:</w:t>
      </w:r>
    </w:p>
    <w:p w:rsidR="00570E65" w:rsidRPr="00603B95" w:rsidRDefault="00570E65" w:rsidP="00603B95">
      <w:pPr>
        <w:pStyle w:val="ListParagraph"/>
        <w:numPr>
          <w:ilvl w:val="0"/>
          <w:numId w:val="9"/>
        </w:numPr>
        <w:tabs>
          <w:tab w:val="left" w:pos="0"/>
        </w:tabs>
        <w:spacing w:after="0" w:line="240" w:lineRule="auto"/>
        <w:rPr>
          <w:rFonts w:ascii="Arial" w:eastAsiaTheme="minorEastAsia" w:hAnsi="Arial" w:cs="Arial"/>
          <w:color w:val="000000" w:themeColor="text1"/>
          <w:kern w:val="24"/>
          <w:sz w:val="20"/>
          <w:szCs w:val="20"/>
          <w:lang w:val="en-GB" w:eastAsia="en-ZA"/>
        </w:rPr>
      </w:pPr>
      <w:r w:rsidRPr="00603B95">
        <w:rPr>
          <w:rFonts w:ascii="Arial" w:eastAsiaTheme="minorEastAsia" w:hAnsi="Arial" w:cs="Arial"/>
          <w:color w:val="000000" w:themeColor="text1"/>
          <w:kern w:val="24"/>
          <w:sz w:val="20"/>
          <w:szCs w:val="20"/>
          <w:lang w:val="en-GB" w:eastAsia="en-ZA"/>
        </w:rPr>
        <w:t xml:space="preserve">Period it takes to issue certificates to qualifying candidates following </w:t>
      </w:r>
      <w:r w:rsidR="00136C65" w:rsidRPr="00603B95">
        <w:rPr>
          <w:rFonts w:ascii="Arial" w:eastAsiaTheme="minorEastAsia" w:hAnsi="Arial" w:cs="Arial"/>
          <w:color w:val="000000" w:themeColor="text1"/>
          <w:kern w:val="24"/>
          <w:sz w:val="20"/>
          <w:szCs w:val="20"/>
          <w:lang w:val="en-GB" w:eastAsia="en-ZA"/>
        </w:rPr>
        <w:t xml:space="preserve">the </w:t>
      </w:r>
      <w:r w:rsidRPr="00603B95">
        <w:rPr>
          <w:rFonts w:ascii="Arial" w:eastAsiaTheme="minorEastAsia" w:hAnsi="Arial" w:cs="Arial"/>
          <w:color w:val="000000" w:themeColor="text1"/>
          <w:kern w:val="24"/>
          <w:sz w:val="20"/>
          <w:szCs w:val="20"/>
          <w:lang w:val="en-GB" w:eastAsia="en-ZA"/>
        </w:rPr>
        <w:t xml:space="preserve">publication of results (months). The Department reported that there were no certificates </w:t>
      </w:r>
      <w:r w:rsidR="00E11EE7" w:rsidRPr="00603B95">
        <w:rPr>
          <w:rFonts w:ascii="Arial" w:eastAsiaTheme="minorEastAsia" w:hAnsi="Arial" w:cs="Arial"/>
          <w:color w:val="000000" w:themeColor="text1"/>
          <w:kern w:val="24"/>
          <w:sz w:val="20"/>
          <w:szCs w:val="20"/>
          <w:lang w:val="en-GB" w:eastAsia="en-ZA"/>
        </w:rPr>
        <w:t>released</w:t>
      </w:r>
      <w:r w:rsidRPr="00603B95">
        <w:rPr>
          <w:rFonts w:ascii="Arial" w:eastAsiaTheme="minorEastAsia" w:hAnsi="Arial" w:cs="Arial"/>
          <w:color w:val="000000" w:themeColor="text1"/>
          <w:kern w:val="24"/>
          <w:sz w:val="20"/>
          <w:szCs w:val="20"/>
          <w:lang w:val="en-GB" w:eastAsia="en-ZA"/>
        </w:rPr>
        <w:t xml:space="preserve"> during the quarter under review.</w:t>
      </w:r>
    </w:p>
    <w:p w:rsidR="00570E65" w:rsidRPr="00603B95" w:rsidRDefault="00570E65" w:rsidP="00603B95">
      <w:pPr>
        <w:pStyle w:val="ListParagraph"/>
        <w:numPr>
          <w:ilvl w:val="0"/>
          <w:numId w:val="9"/>
        </w:numPr>
        <w:tabs>
          <w:tab w:val="left" w:pos="0"/>
        </w:tabs>
        <w:spacing w:after="0" w:line="240" w:lineRule="auto"/>
        <w:rPr>
          <w:rFonts w:ascii="Arial" w:eastAsiaTheme="minorEastAsia" w:hAnsi="Arial" w:cs="Arial"/>
          <w:color w:val="000000" w:themeColor="text1"/>
          <w:kern w:val="24"/>
          <w:sz w:val="20"/>
          <w:szCs w:val="20"/>
          <w:lang w:val="en-GB" w:eastAsia="en-ZA"/>
        </w:rPr>
      </w:pPr>
      <w:r w:rsidRPr="00603B95">
        <w:rPr>
          <w:rFonts w:ascii="Arial" w:eastAsiaTheme="minorEastAsia" w:hAnsi="Arial" w:cs="Arial"/>
          <w:color w:val="000000" w:themeColor="text1"/>
          <w:kern w:val="24"/>
          <w:sz w:val="20"/>
          <w:szCs w:val="20"/>
          <w:lang w:val="en-GB" w:eastAsia="en-ZA"/>
        </w:rPr>
        <w:t>Throughput rate of TVET</w:t>
      </w:r>
      <w:r w:rsidR="00D53CEA" w:rsidRPr="00603B95">
        <w:rPr>
          <w:rFonts w:ascii="Arial" w:eastAsiaTheme="minorEastAsia" w:hAnsi="Arial" w:cs="Arial"/>
          <w:color w:val="000000" w:themeColor="text1"/>
          <w:kern w:val="24"/>
          <w:sz w:val="20"/>
          <w:szCs w:val="20"/>
          <w:lang w:val="en-GB" w:eastAsia="en-ZA"/>
        </w:rPr>
        <w:t xml:space="preserve"> National Certificate Vocational</w:t>
      </w:r>
      <w:r w:rsidRPr="00603B95">
        <w:rPr>
          <w:rFonts w:ascii="Arial" w:eastAsiaTheme="minorEastAsia" w:hAnsi="Arial" w:cs="Arial"/>
          <w:color w:val="000000" w:themeColor="text1"/>
          <w:kern w:val="24"/>
          <w:sz w:val="20"/>
          <w:szCs w:val="20"/>
          <w:lang w:val="en-GB" w:eastAsia="en-ZA"/>
        </w:rPr>
        <w:t xml:space="preserve"> NC(V). The Department reported that the impact of COVID-19 affected teaching and learning.</w:t>
      </w:r>
    </w:p>
    <w:p w:rsidR="00570E65" w:rsidRPr="00603B95" w:rsidRDefault="00570E65" w:rsidP="00603B95">
      <w:pPr>
        <w:pStyle w:val="ListParagraph"/>
        <w:numPr>
          <w:ilvl w:val="0"/>
          <w:numId w:val="9"/>
        </w:numPr>
        <w:tabs>
          <w:tab w:val="left" w:pos="0"/>
        </w:tabs>
        <w:spacing w:after="0" w:line="240" w:lineRule="auto"/>
        <w:rPr>
          <w:rFonts w:ascii="Arial" w:eastAsiaTheme="minorEastAsia" w:hAnsi="Arial" w:cs="Arial"/>
          <w:color w:val="000000" w:themeColor="text1"/>
          <w:kern w:val="24"/>
          <w:sz w:val="20"/>
          <w:szCs w:val="20"/>
          <w:lang w:val="en-GB" w:eastAsia="en-ZA"/>
        </w:rPr>
      </w:pPr>
      <w:r w:rsidRPr="00603B95">
        <w:rPr>
          <w:rFonts w:ascii="Arial" w:eastAsiaTheme="minorEastAsia" w:hAnsi="Arial" w:cs="Arial"/>
          <w:color w:val="000000" w:themeColor="text1"/>
          <w:kern w:val="24"/>
          <w:sz w:val="20"/>
          <w:szCs w:val="20"/>
          <w:lang w:val="en-GB" w:eastAsia="en-ZA"/>
        </w:rPr>
        <w:t xml:space="preserve">All 50 public TVET colleges implementing student-focused entrepreneurship development programmes. The Department reported that eight </w:t>
      </w:r>
      <w:r w:rsidR="00D53CEA" w:rsidRPr="00603B95">
        <w:rPr>
          <w:rFonts w:ascii="Arial" w:eastAsiaTheme="minorEastAsia" w:hAnsi="Arial" w:cs="Arial"/>
          <w:color w:val="000000" w:themeColor="text1"/>
          <w:kern w:val="24"/>
          <w:sz w:val="20"/>
          <w:szCs w:val="20"/>
          <w:lang w:val="en-GB" w:eastAsia="en-ZA"/>
        </w:rPr>
        <w:t xml:space="preserve">(8) </w:t>
      </w:r>
      <w:r w:rsidRPr="00603B95">
        <w:rPr>
          <w:rFonts w:ascii="Arial" w:eastAsiaTheme="minorEastAsia" w:hAnsi="Arial" w:cs="Arial"/>
          <w:color w:val="000000" w:themeColor="text1"/>
          <w:kern w:val="24"/>
          <w:sz w:val="20"/>
          <w:szCs w:val="20"/>
          <w:lang w:val="en-GB" w:eastAsia="en-ZA"/>
        </w:rPr>
        <w:t>TVET colleges, namely: Flavius Mareka, Sedi</w:t>
      </w:r>
      <w:r w:rsidR="006233DF" w:rsidRPr="00603B95">
        <w:rPr>
          <w:rFonts w:ascii="Arial" w:eastAsiaTheme="minorEastAsia" w:hAnsi="Arial" w:cs="Arial"/>
          <w:color w:val="000000" w:themeColor="text1"/>
          <w:kern w:val="24"/>
          <w:sz w:val="20"/>
          <w:szCs w:val="20"/>
          <w:lang w:val="en-GB" w:eastAsia="en-ZA"/>
        </w:rPr>
        <w:t>b</w:t>
      </w:r>
      <w:r w:rsidRPr="00603B95">
        <w:rPr>
          <w:rFonts w:ascii="Arial" w:eastAsiaTheme="minorEastAsia" w:hAnsi="Arial" w:cs="Arial"/>
          <w:color w:val="000000" w:themeColor="text1"/>
          <w:kern w:val="24"/>
          <w:sz w:val="20"/>
          <w:szCs w:val="20"/>
          <w:lang w:val="en-GB" w:eastAsia="en-ZA"/>
        </w:rPr>
        <w:t xml:space="preserve">eng, Tshwane South, Western, Mthashana, Thekwini, Letaba and South Cape did not implement </w:t>
      </w:r>
      <w:r w:rsidR="00C706A6" w:rsidRPr="00603B95">
        <w:rPr>
          <w:rFonts w:ascii="Arial" w:eastAsiaTheme="minorEastAsia" w:hAnsi="Arial" w:cs="Arial"/>
          <w:color w:val="000000" w:themeColor="text1"/>
          <w:kern w:val="24"/>
          <w:sz w:val="20"/>
          <w:szCs w:val="20"/>
          <w:lang w:val="en-GB" w:eastAsia="en-ZA"/>
        </w:rPr>
        <w:t>student-</w:t>
      </w:r>
      <w:r w:rsidRPr="00603B95">
        <w:rPr>
          <w:rFonts w:ascii="Arial" w:eastAsiaTheme="minorEastAsia" w:hAnsi="Arial" w:cs="Arial"/>
          <w:color w:val="000000" w:themeColor="text1"/>
          <w:kern w:val="24"/>
          <w:sz w:val="20"/>
          <w:szCs w:val="20"/>
          <w:lang w:val="en-GB" w:eastAsia="en-ZA"/>
        </w:rPr>
        <w:t>focused entrepreneurship development programmes.</w:t>
      </w:r>
    </w:p>
    <w:p w:rsidR="00570E65" w:rsidRPr="00603B95" w:rsidRDefault="00570E65" w:rsidP="00603B95">
      <w:pPr>
        <w:pStyle w:val="ListParagraph"/>
        <w:numPr>
          <w:ilvl w:val="0"/>
          <w:numId w:val="9"/>
        </w:numPr>
        <w:spacing w:after="0" w:line="240" w:lineRule="auto"/>
        <w:rPr>
          <w:rFonts w:ascii="Arial" w:hAnsi="Arial" w:cs="Arial"/>
          <w:sz w:val="20"/>
          <w:szCs w:val="20"/>
        </w:rPr>
      </w:pPr>
      <w:r w:rsidRPr="00603B95">
        <w:rPr>
          <w:rFonts w:ascii="Arial" w:eastAsiaTheme="minorEastAsia" w:hAnsi="Arial" w:cs="Arial"/>
          <w:color w:val="000000" w:themeColor="text1"/>
          <w:kern w:val="24"/>
          <w:sz w:val="20"/>
          <w:szCs w:val="20"/>
          <w:lang w:val="en-GB" w:eastAsia="en-ZA"/>
        </w:rPr>
        <w:t>Number of protocols signed with industry to place TVET college students and lecturers for workplace experience annually. The Department reported that 28 TVET colleges did not submit reports.</w:t>
      </w:r>
    </w:p>
    <w:p w:rsidR="00332C33" w:rsidRPr="00603B95" w:rsidRDefault="00CF4D82" w:rsidP="00603B95">
      <w:pPr>
        <w:spacing w:after="0" w:line="240" w:lineRule="auto"/>
        <w:rPr>
          <w:rFonts w:ascii="Arial" w:eastAsia="Calibri" w:hAnsi="Arial" w:cs="Arial"/>
          <w:color w:val="000000" w:themeColor="text1"/>
          <w:sz w:val="20"/>
          <w:szCs w:val="20"/>
        </w:rPr>
      </w:pPr>
      <w:r w:rsidRPr="00603B95">
        <w:rPr>
          <w:rFonts w:ascii="Arial" w:hAnsi="Arial" w:cs="Arial"/>
          <w:sz w:val="20"/>
          <w:szCs w:val="20"/>
        </w:rPr>
        <w:t xml:space="preserve">At the </w:t>
      </w:r>
      <w:r w:rsidR="005D28E2" w:rsidRPr="00603B95">
        <w:rPr>
          <w:rFonts w:ascii="Arial" w:hAnsi="Arial" w:cs="Arial"/>
          <w:sz w:val="20"/>
          <w:szCs w:val="20"/>
        </w:rPr>
        <w:t>en</w:t>
      </w:r>
      <w:r w:rsidRPr="00603B95">
        <w:rPr>
          <w:rFonts w:ascii="Arial" w:hAnsi="Arial" w:cs="Arial"/>
          <w:sz w:val="20"/>
          <w:szCs w:val="20"/>
        </w:rPr>
        <w:t xml:space="preserve">d of the quarter under review, the programme spent </w:t>
      </w:r>
      <w:r w:rsidR="001856E3" w:rsidRPr="00603B95">
        <w:rPr>
          <w:rFonts w:ascii="Arial" w:hAnsi="Arial" w:cs="Arial"/>
          <w:sz w:val="20"/>
          <w:szCs w:val="20"/>
        </w:rPr>
        <w:t>R12.282 billion recording an underspending amounting to R365.3 million or 2.3 per</w:t>
      </w:r>
      <w:r w:rsidR="00C706A6" w:rsidRPr="00603B95">
        <w:rPr>
          <w:rFonts w:ascii="Arial" w:hAnsi="Arial" w:cs="Arial"/>
          <w:sz w:val="20"/>
          <w:szCs w:val="20"/>
        </w:rPr>
        <w:t xml:space="preserve"> </w:t>
      </w:r>
      <w:r w:rsidR="001856E3" w:rsidRPr="00603B95">
        <w:rPr>
          <w:rFonts w:ascii="Arial" w:hAnsi="Arial" w:cs="Arial"/>
          <w:sz w:val="20"/>
          <w:szCs w:val="20"/>
        </w:rPr>
        <w:t xml:space="preserve">cent. </w:t>
      </w:r>
      <w:r w:rsidR="00136C65" w:rsidRPr="00603B95">
        <w:rPr>
          <w:rFonts w:ascii="Arial" w:hAnsi="Arial" w:cs="Arial"/>
          <w:sz w:val="20"/>
          <w:szCs w:val="20"/>
        </w:rPr>
        <w:t>U</w:t>
      </w:r>
      <w:r w:rsidR="007F50F4" w:rsidRPr="00603B95">
        <w:rPr>
          <w:rFonts w:ascii="Arial" w:hAnsi="Arial" w:cs="Arial"/>
          <w:sz w:val="20"/>
          <w:szCs w:val="20"/>
        </w:rPr>
        <w:t xml:space="preserve">nderspending </w:t>
      </w:r>
      <w:r w:rsidR="007F50F4" w:rsidRPr="00603B95">
        <w:rPr>
          <w:rFonts w:ascii="Arial" w:eastAsia="Calibri" w:hAnsi="Arial" w:cs="Arial"/>
          <w:color w:val="000000" w:themeColor="text1"/>
          <w:sz w:val="20"/>
          <w:szCs w:val="20"/>
        </w:rPr>
        <w:t xml:space="preserve">was mainly </w:t>
      </w:r>
      <w:r w:rsidR="00332C33" w:rsidRPr="00603B95">
        <w:rPr>
          <w:rFonts w:ascii="Arial" w:eastAsia="Calibri" w:hAnsi="Arial" w:cs="Arial"/>
          <w:color w:val="000000" w:themeColor="text1"/>
          <w:sz w:val="20"/>
          <w:szCs w:val="20"/>
        </w:rPr>
        <w:t>under compensation</w:t>
      </w:r>
      <w:r w:rsidR="007F50F4" w:rsidRPr="00603B95">
        <w:rPr>
          <w:rFonts w:ascii="Arial" w:eastAsia="Calibri" w:hAnsi="Arial" w:cs="Arial"/>
          <w:color w:val="000000" w:themeColor="text1"/>
          <w:sz w:val="20"/>
          <w:szCs w:val="20"/>
        </w:rPr>
        <w:t xml:space="preserve"> of employees due to delays in implementing the Post</w:t>
      </w:r>
      <w:r w:rsidR="007F50F4" w:rsidRPr="00603B95">
        <w:rPr>
          <w:rFonts w:ascii="Times New Roman" w:eastAsia="Calibri" w:hAnsi="Times New Roman" w:cs="Arial"/>
          <w:color w:val="000000" w:themeColor="text1"/>
          <w:sz w:val="20"/>
          <w:szCs w:val="20"/>
        </w:rPr>
        <w:t>‐</w:t>
      </w:r>
      <w:r w:rsidR="007F50F4" w:rsidRPr="00603B95">
        <w:rPr>
          <w:rFonts w:ascii="Arial" w:eastAsia="Calibri" w:hAnsi="Arial" w:cs="Arial"/>
          <w:color w:val="000000" w:themeColor="text1"/>
          <w:sz w:val="20"/>
          <w:szCs w:val="20"/>
        </w:rPr>
        <w:t xml:space="preserve">Provisioning Norms (PPN) at TVET colleges where the required documents were not submitted on time. The PPN will see TVET employees paid from the Department’s compensation budget. Goods and services </w:t>
      </w:r>
      <w:r w:rsidR="00136C65" w:rsidRPr="00603B95">
        <w:rPr>
          <w:rFonts w:ascii="Arial" w:eastAsia="Calibri" w:hAnsi="Arial" w:cs="Arial"/>
          <w:color w:val="000000" w:themeColor="text1"/>
          <w:sz w:val="20"/>
          <w:szCs w:val="20"/>
        </w:rPr>
        <w:t xml:space="preserve">had </w:t>
      </w:r>
      <w:r w:rsidR="007F50F4" w:rsidRPr="00603B95">
        <w:rPr>
          <w:rFonts w:ascii="Arial" w:eastAsia="Calibri" w:hAnsi="Arial" w:cs="Arial"/>
          <w:color w:val="000000" w:themeColor="text1"/>
          <w:sz w:val="20"/>
          <w:szCs w:val="20"/>
        </w:rPr>
        <w:t>underspent by R36.7 million because invoices for exam</w:t>
      </w:r>
      <w:r w:rsidR="007F50F4" w:rsidRPr="00603B95">
        <w:rPr>
          <w:rFonts w:ascii="Times New Roman" w:eastAsia="Calibri" w:hAnsi="Times New Roman" w:cs="Arial"/>
          <w:color w:val="000000" w:themeColor="text1"/>
          <w:sz w:val="20"/>
          <w:szCs w:val="20"/>
        </w:rPr>
        <w:t>‐</w:t>
      </w:r>
      <w:r w:rsidR="007F50F4" w:rsidRPr="00603B95">
        <w:rPr>
          <w:rFonts w:ascii="Arial" w:eastAsia="Calibri" w:hAnsi="Arial" w:cs="Arial"/>
          <w:color w:val="000000" w:themeColor="text1"/>
          <w:sz w:val="20"/>
          <w:szCs w:val="20"/>
        </w:rPr>
        <w:t>related goods and services were received too late for payment to be made by 31 March 2023.</w:t>
      </w:r>
    </w:p>
    <w:p w:rsidR="006003CD" w:rsidRPr="00603B95" w:rsidRDefault="006003CD" w:rsidP="00603B95">
      <w:pPr>
        <w:spacing w:after="0" w:line="240" w:lineRule="auto"/>
        <w:rPr>
          <w:rFonts w:ascii="Arial" w:hAnsi="Arial" w:cs="Arial"/>
          <w:b/>
          <w:sz w:val="20"/>
          <w:szCs w:val="20"/>
        </w:rPr>
      </w:pPr>
      <w:r w:rsidRPr="00603B95">
        <w:rPr>
          <w:rFonts w:ascii="Arial" w:hAnsi="Arial" w:cs="Arial"/>
          <w:b/>
          <w:sz w:val="20"/>
          <w:szCs w:val="20"/>
        </w:rPr>
        <w:t>(v) Programme 5: Skills Development</w:t>
      </w:r>
    </w:p>
    <w:p w:rsidR="00C706A6" w:rsidRPr="00603B95" w:rsidRDefault="00230BCF" w:rsidP="00603B95">
      <w:pPr>
        <w:tabs>
          <w:tab w:val="num" w:pos="1440"/>
        </w:tabs>
        <w:spacing w:after="0" w:line="240" w:lineRule="auto"/>
        <w:rPr>
          <w:rFonts w:ascii="Arial" w:hAnsi="Arial" w:cs="Arial"/>
          <w:sz w:val="20"/>
          <w:szCs w:val="20"/>
        </w:rPr>
      </w:pPr>
      <w:r w:rsidRPr="00603B95">
        <w:rPr>
          <w:rFonts w:ascii="Arial" w:hAnsi="Arial" w:cs="Arial"/>
          <w:sz w:val="20"/>
          <w:szCs w:val="20"/>
          <w:lang w:val="en-US"/>
        </w:rPr>
        <w:t>The programme promote</w:t>
      </w:r>
      <w:r w:rsidR="00EA3FC4" w:rsidRPr="00603B95">
        <w:rPr>
          <w:rFonts w:ascii="Arial" w:hAnsi="Arial" w:cs="Arial"/>
          <w:sz w:val="20"/>
          <w:szCs w:val="20"/>
          <w:lang w:val="en-US"/>
        </w:rPr>
        <w:t>s</w:t>
      </w:r>
      <w:r w:rsidRPr="00603B95">
        <w:rPr>
          <w:rFonts w:ascii="Arial" w:hAnsi="Arial" w:cs="Arial"/>
          <w:sz w:val="20"/>
          <w:szCs w:val="20"/>
          <w:lang w:val="en-US"/>
        </w:rPr>
        <w:t xml:space="preserve"> and monitor</w:t>
      </w:r>
      <w:r w:rsidR="00265B37" w:rsidRPr="00603B95">
        <w:rPr>
          <w:rFonts w:ascii="Arial" w:hAnsi="Arial" w:cs="Arial"/>
          <w:sz w:val="20"/>
          <w:szCs w:val="20"/>
          <w:lang w:val="en-US"/>
        </w:rPr>
        <w:t>s</w:t>
      </w:r>
      <w:r w:rsidRPr="00603B95">
        <w:rPr>
          <w:rFonts w:ascii="Arial" w:hAnsi="Arial" w:cs="Arial"/>
          <w:sz w:val="20"/>
          <w:szCs w:val="20"/>
          <w:lang w:val="en-US"/>
        </w:rPr>
        <w:t xml:space="preserve"> the National Skills Development Strategy</w:t>
      </w:r>
      <w:r w:rsidR="00D53CEA" w:rsidRPr="00603B95">
        <w:rPr>
          <w:rFonts w:ascii="Arial" w:hAnsi="Arial" w:cs="Arial"/>
          <w:sz w:val="20"/>
          <w:szCs w:val="20"/>
          <w:lang w:val="en-US"/>
        </w:rPr>
        <w:t xml:space="preserve"> (NSDS)</w:t>
      </w:r>
      <w:r w:rsidRPr="00603B95">
        <w:rPr>
          <w:rFonts w:ascii="Arial" w:hAnsi="Arial" w:cs="Arial"/>
          <w:sz w:val="20"/>
          <w:szCs w:val="20"/>
          <w:lang w:val="en-US"/>
        </w:rPr>
        <w:t>. Develop skills development policies and regulatory frameworks for an effective skills development system.</w:t>
      </w:r>
      <w:r w:rsidRPr="00603B95">
        <w:rPr>
          <w:rFonts w:ascii="Arial" w:hAnsi="Arial" w:cs="Arial"/>
          <w:sz w:val="20"/>
          <w:szCs w:val="20"/>
        </w:rPr>
        <w:t xml:space="preserve"> </w:t>
      </w:r>
      <w:r w:rsidR="00EA3FC4" w:rsidRPr="00603B95">
        <w:rPr>
          <w:rFonts w:ascii="Arial" w:hAnsi="Arial" w:cs="Arial"/>
          <w:sz w:val="20"/>
          <w:szCs w:val="20"/>
        </w:rPr>
        <w:t>F</w:t>
      </w:r>
      <w:r w:rsidR="00D52E60" w:rsidRPr="00603B95">
        <w:rPr>
          <w:rFonts w:ascii="Arial" w:hAnsi="Arial" w:cs="Arial"/>
          <w:sz w:val="20"/>
          <w:szCs w:val="20"/>
        </w:rPr>
        <w:t xml:space="preserve">or the Quarter under review, the programme had </w:t>
      </w:r>
      <w:r w:rsidR="0027029A" w:rsidRPr="00603B95">
        <w:rPr>
          <w:rFonts w:ascii="Arial" w:hAnsi="Arial" w:cs="Arial"/>
          <w:sz w:val="20"/>
          <w:szCs w:val="20"/>
        </w:rPr>
        <w:t>11 targets and</w:t>
      </w:r>
      <w:r w:rsidR="00D52E60" w:rsidRPr="00603B95">
        <w:rPr>
          <w:rFonts w:ascii="Arial" w:hAnsi="Arial" w:cs="Arial"/>
          <w:sz w:val="20"/>
          <w:szCs w:val="20"/>
        </w:rPr>
        <w:t xml:space="preserve"> achieved</w:t>
      </w:r>
      <w:r w:rsidR="0027029A" w:rsidRPr="00603B95">
        <w:rPr>
          <w:rFonts w:ascii="Arial" w:hAnsi="Arial" w:cs="Arial"/>
          <w:sz w:val="20"/>
          <w:szCs w:val="20"/>
        </w:rPr>
        <w:t xml:space="preserve"> three (3)</w:t>
      </w:r>
      <w:r w:rsidR="00D52E60" w:rsidRPr="00603B95">
        <w:rPr>
          <w:rFonts w:ascii="Arial" w:hAnsi="Arial" w:cs="Arial"/>
          <w:sz w:val="20"/>
          <w:szCs w:val="20"/>
        </w:rPr>
        <w:t xml:space="preserve"> </w:t>
      </w:r>
      <w:r w:rsidR="00570E65" w:rsidRPr="00603B95">
        <w:rPr>
          <w:rFonts w:ascii="Arial" w:hAnsi="Arial" w:cs="Arial"/>
          <w:sz w:val="20"/>
          <w:szCs w:val="20"/>
        </w:rPr>
        <w:t>or 2</w:t>
      </w:r>
      <w:r w:rsidR="00C706A6" w:rsidRPr="00603B95">
        <w:rPr>
          <w:rFonts w:ascii="Arial" w:hAnsi="Arial" w:cs="Arial"/>
          <w:sz w:val="20"/>
          <w:szCs w:val="20"/>
        </w:rPr>
        <w:t>7</w:t>
      </w:r>
      <w:r w:rsidR="0027029A" w:rsidRPr="00603B95">
        <w:rPr>
          <w:rFonts w:ascii="Arial" w:hAnsi="Arial" w:cs="Arial"/>
          <w:sz w:val="20"/>
          <w:szCs w:val="20"/>
        </w:rPr>
        <w:t xml:space="preserve"> </w:t>
      </w:r>
      <w:r w:rsidR="00D52E60" w:rsidRPr="00603B95">
        <w:rPr>
          <w:rFonts w:ascii="Arial" w:hAnsi="Arial" w:cs="Arial"/>
          <w:sz w:val="20"/>
          <w:szCs w:val="20"/>
        </w:rPr>
        <w:t xml:space="preserve">per cent of the targets. </w:t>
      </w:r>
    </w:p>
    <w:p w:rsidR="00D52E60" w:rsidRPr="00603B95" w:rsidRDefault="00570E65" w:rsidP="00603B95">
      <w:pPr>
        <w:tabs>
          <w:tab w:val="num" w:pos="1440"/>
        </w:tabs>
        <w:spacing w:after="0" w:line="240" w:lineRule="auto"/>
        <w:rPr>
          <w:rFonts w:ascii="Arial" w:hAnsi="Arial" w:cs="Arial"/>
          <w:sz w:val="20"/>
          <w:szCs w:val="20"/>
        </w:rPr>
      </w:pPr>
      <w:r w:rsidRPr="00603B95">
        <w:rPr>
          <w:rFonts w:ascii="Arial" w:hAnsi="Arial" w:cs="Arial"/>
          <w:sz w:val="20"/>
          <w:szCs w:val="20"/>
        </w:rPr>
        <w:t>Targets achieved include:</w:t>
      </w:r>
    </w:p>
    <w:p w:rsidR="00E97DC6" w:rsidRPr="00603B95" w:rsidRDefault="00E97DC6" w:rsidP="00603B95">
      <w:pPr>
        <w:pStyle w:val="ListParagraph"/>
        <w:numPr>
          <w:ilvl w:val="0"/>
          <w:numId w:val="10"/>
        </w:numPr>
        <w:spacing w:after="0" w:line="240" w:lineRule="auto"/>
        <w:rPr>
          <w:rFonts w:ascii="Arial" w:eastAsia="Times New Roman" w:hAnsi="Arial" w:cs="Arial"/>
          <w:color w:val="000000" w:themeColor="text1"/>
          <w:kern w:val="24"/>
          <w:sz w:val="20"/>
          <w:szCs w:val="20"/>
          <w:lang w:val="en-US" w:eastAsia="en-ZA"/>
        </w:rPr>
      </w:pPr>
      <w:r w:rsidRPr="00603B95">
        <w:rPr>
          <w:rFonts w:ascii="Arial" w:eastAsia="Times New Roman" w:hAnsi="Arial" w:cs="Arial"/>
          <w:color w:val="000000" w:themeColor="text1"/>
          <w:kern w:val="24"/>
          <w:sz w:val="20"/>
          <w:szCs w:val="20"/>
          <w:lang w:val="en-US" w:eastAsia="en-ZA"/>
        </w:rPr>
        <w:t>31 3 00 Learners who completed learnerships annually.</w:t>
      </w:r>
    </w:p>
    <w:p w:rsidR="00E97DC6" w:rsidRPr="00603B95" w:rsidRDefault="00BE11BD" w:rsidP="00603B95">
      <w:pPr>
        <w:pStyle w:val="ListParagraph"/>
        <w:numPr>
          <w:ilvl w:val="0"/>
          <w:numId w:val="10"/>
        </w:numPr>
        <w:spacing w:after="0" w:line="240" w:lineRule="auto"/>
        <w:rPr>
          <w:rFonts w:ascii="Arial" w:eastAsia="Times New Roman" w:hAnsi="Arial" w:cs="Arial"/>
          <w:color w:val="000000" w:themeColor="text1"/>
          <w:kern w:val="24"/>
          <w:sz w:val="20"/>
          <w:szCs w:val="20"/>
          <w:lang w:val="en-US" w:eastAsia="en-ZA"/>
        </w:rPr>
      </w:pPr>
      <w:r w:rsidRPr="00603B95">
        <w:rPr>
          <w:rFonts w:ascii="Arial" w:eastAsia="Times New Roman" w:hAnsi="Arial" w:cs="Arial"/>
          <w:color w:val="000000" w:themeColor="text1"/>
          <w:kern w:val="24"/>
          <w:sz w:val="20"/>
          <w:szCs w:val="20"/>
          <w:lang w:val="en-US" w:eastAsia="en-ZA"/>
        </w:rPr>
        <w:t>40-</w:t>
      </w:r>
      <w:r w:rsidR="00E97DC6" w:rsidRPr="00603B95">
        <w:rPr>
          <w:rFonts w:ascii="Arial" w:eastAsia="Times New Roman" w:hAnsi="Arial" w:cs="Arial"/>
          <w:color w:val="000000" w:themeColor="text1"/>
          <w:kern w:val="24"/>
          <w:sz w:val="20"/>
          <w:szCs w:val="20"/>
          <w:lang w:val="en-US" w:eastAsia="en-ZA"/>
        </w:rPr>
        <w:t xml:space="preserve">day average lead time from qualifying trade test applications received until </w:t>
      </w:r>
      <w:r w:rsidR="00136C65" w:rsidRPr="00603B95">
        <w:rPr>
          <w:rFonts w:ascii="Arial" w:eastAsia="Times New Roman" w:hAnsi="Arial" w:cs="Arial"/>
          <w:color w:val="000000" w:themeColor="text1"/>
          <w:kern w:val="24"/>
          <w:sz w:val="20"/>
          <w:szCs w:val="20"/>
          <w:lang w:val="en-US" w:eastAsia="en-ZA"/>
        </w:rPr>
        <w:t xml:space="preserve">the </w:t>
      </w:r>
      <w:r w:rsidR="00E97DC6" w:rsidRPr="00603B95">
        <w:rPr>
          <w:rFonts w:ascii="Arial" w:eastAsia="Times New Roman" w:hAnsi="Arial" w:cs="Arial"/>
          <w:color w:val="000000" w:themeColor="text1"/>
          <w:kern w:val="24"/>
          <w:sz w:val="20"/>
          <w:szCs w:val="20"/>
          <w:lang w:val="en-US" w:eastAsia="en-ZA"/>
        </w:rPr>
        <w:t>trade test is conducted.</w:t>
      </w:r>
    </w:p>
    <w:p w:rsidR="00E97DC6" w:rsidRPr="00603B95" w:rsidRDefault="00E97DC6" w:rsidP="00603B95">
      <w:pPr>
        <w:pStyle w:val="ListParagraph"/>
        <w:numPr>
          <w:ilvl w:val="0"/>
          <w:numId w:val="10"/>
        </w:numPr>
        <w:spacing w:after="0" w:line="240" w:lineRule="auto"/>
        <w:rPr>
          <w:rFonts w:ascii="Arial" w:hAnsi="Arial" w:cs="Arial"/>
          <w:sz w:val="20"/>
          <w:szCs w:val="20"/>
        </w:rPr>
      </w:pPr>
      <w:r w:rsidRPr="00603B95">
        <w:rPr>
          <w:rFonts w:ascii="Arial" w:eastAsia="Times New Roman" w:hAnsi="Arial" w:cs="Arial"/>
          <w:color w:val="000000" w:themeColor="text1"/>
          <w:kern w:val="24"/>
          <w:sz w:val="20"/>
          <w:szCs w:val="20"/>
          <w:lang w:val="en-US" w:eastAsia="en-ZA"/>
        </w:rPr>
        <w:t xml:space="preserve">A monitoring report on the implementation of </w:t>
      </w:r>
      <w:r w:rsidR="00136C65" w:rsidRPr="00603B95">
        <w:rPr>
          <w:rFonts w:ascii="Arial" w:eastAsia="Times New Roman" w:hAnsi="Arial" w:cs="Arial"/>
          <w:color w:val="000000" w:themeColor="text1"/>
          <w:kern w:val="24"/>
          <w:sz w:val="20"/>
          <w:szCs w:val="20"/>
          <w:lang w:val="en-US" w:eastAsia="en-ZA"/>
        </w:rPr>
        <w:t xml:space="preserve">the </w:t>
      </w:r>
      <w:r w:rsidRPr="00603B95">
        <w:rPr>
          <w:rFonts w:ascii="Arial" w:eastAsia="Times New Roman" w:hAnsi="Arial" w:cs="Arial"/>
          <w:color w:val="000000" w:themeColor="text1"/>
          <w:kern w:val="24"/>
          <w:sz w:val="20"/>
          <w:szCs w:val="20"/>
          <w:lang w:val="en-US" w:eastAsia="en-ZA"/>
        </w:rPr>
        <w:t xml:space="preserve">Skills Strategy </w:t>
      </w:r>
      <w:r w:rsidR="00136C65" w:rsidRPr="00603B95">
        <w:rPr>
          <w:rFonts w:ascii="Arial" w:eastAsia="Times New Roman" w:hAnsi="Arial" w:cs="Arial"/>
          <w:color w:val="000000" w:themeColor="text1"/>
          <w:kern w:val="24"/>
          <w:sz w:val="20"/>
          <w:szCs w:val="20"/>
          <w:lang w:val="en-US" w:eastAsia="en-ZA"/>
        </w:rPr>
        <w:t xml:space="preserve">was </w:t>
      </w:r>
      <w:r w:rsidRPr="00603B95">
        <w:rPr>
          <w:rFonts w:ascii="Arial" w:eastAsia="Times New Roman" w:hAnsi="Arial" w:cs="Arial"/>
          <w:color w:val="000000" w:themeColor="text1"/>
          <w:kern w:val="24"/>
          <w:sz w:val="20"/>
          <w:szCs w:val="20"/>
          <w:lang w:val="en-US" w:eastAsia="en-ZA"/>
        </w:rPr>
        <w:t>approved by the Director-General by 31 March 2023.</w:t>
      </w:r>
    </w:p>
    <w:p w:rsidR="00570E65" w:rsidRPr="00603B95" w:rsidRDefault="00570E65" w:rsidP="00603B95">
      <w:pPr>
        <w:tabs>
          <w:tab w:val="num" w:pos="1440"/>
        </w:tabs>
        <w:spacing w:after="0" w:line="240" w:lineRule="auto"/>
        <w:rPr>
          <w:rFonts w:ascii="Arial" w:hAnsi="Arial" w:cs="Arial"/>
          <w:sz w:val="20"/>
          <w:szCs w:val="20"/>
        </w:rPr>
      </w:pPr>
      <w:r w:rsidRPr="00603B95">
        <w:rPr>
          <w:rFonts w:ascii="Arial" w:hAnsi="Arial" w:cs="Arial"/>
          <w:sz w:val="20"/>
          <w:szCs w:val="20"/>
        </w:rPr>
        <w:t>Targets not achieved include:</w:t>
      </w:r>
    </w:p>
    <w:p w:rsidR="00024482" w:rsidRPr="00603B95" w:rsidRDefault="00024482" w:rsidP="00603B95">
      <w:pPr>
        <w:pStyle w:val="ListParagraph"/>
        <w:numPr>
          <w:ilvl w:val="0"/>
          <w:numId w:val="11"/>
        </w:numPr>
        <w:spacing w:after="0" w:line="240" w:lineRule="auto"/>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 xml:space="preserve">107 000 learners or students placed in work-based learning </w:t>
      </w:r>
      <w:r w:rsidR="00D53CEA" w:rsidRPr="00603B95">
        <w:rPr>
          <w:rFonts w:ascii="Arial" w:eastAsiaTheme="minorEastAsia" w:hAnsi="Arial" w:cs="Arial"/>
          <w:color w:val="000000" w:themeColor="text1"/>
          <w:kern w:val="24"/>
          <w:sz w:val="20"/>
          <w:szCs w:val="20"/>
          <w:lang w:eastAsia="en-ZA"/>
        </w:rPr>
        <w:t>(</w:t>
      </w:r>
      <w:r w:rsidRPr="00603B95">
        <w:rPr>
          <w:rFonts w:ascii="Arial" w:eastAsiaTheme="minorEastAsia" w:hAnsi="Arial" w:cs="Arial"/>
          <w:color w:val="000000" w:themeColor="text1"/>
          <w:kern w:val="24"/>
          <w:sz w:val="20"/>
          <w:szCs w:val="20"/>
          <w:lang w:eastAsia="en-ZA"/>
        </w:rPr>
        <w:t>WBL</w:t>
      </w:r>
      <w:r w:rsidR="00D53CEA" w:rsidRPr="00603B95">
        <w:rPr>
          <w:rFonts w:ascii="Arial" w:eastAsiaTheme="minorEastAsia" w:hAnsi="Arial" w:cs="Arial"/>
          <w:color w:val="000000" w:themeColor="text1"/>
          <w:kern w:val="24"/>
          <w:sz w:val="20"/>
          <w:szCs w:val="20"/>
          <w:lang w:eastAsia="en-ZA"/>
        </w:rPr>
        <w:t>)</w:t>
      </w:r>
      <w:r w:rsidRPr="00603B95">
        <w:rPr>
          <w:rFonts w:ascii="Arial" w:eastAsiaTheme="minorEastAsia" w:hAnsi="Arial" w:cs="Arial"/>
          <w:color w:val="000000" w:themeColor="text1"/>
          <w:kern w:val="24"/>
          <w:sz w:val="20"/>
          <w:szCs w:val="20"/>
          <w:lang w:eastAsia="en-ZA"/>
        </w:rPr>
        <w:t xml:space="preserve"> programmes.</w:t>
      </w:r>
    </w:p>
    <w:p w:rsidR="00024482" w:rsidRPr="00603B95" w:rsidRDefault="00024482" w:rsidP="00603B95">
      <w:pPr>
        <w:pStyle w:val="ListParagraph"/>
        <w:numPr>
          <w:ilvl w:val="0"/>
          <w:numId w:val="11"/>
        </w:numPr>
        <w:spacing w:after="0" w:line="240" w:lineRule="auto"/>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148 000 learners registered in skills development programmes annually.</w:t>
      </w:r>
    </w:p>
    <w:p w:rsidR="00024482" w:rsidRPr="00603B95" w:rsidRDefault="00024482" w:rsidP="00603B95">
      <w:pPr>
        <w:pStyle w:val="ListParagraph"/>
        <w:numPr>
          <w:ilvl w:val="0"/>
          <w:numId w:val="11"/>
        </w:numPr>
        <w:spacing w:after="0" w:line="240" w:lineRule="auto"/>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 xml:space="preserve">22 000 learners entering artisanal programmes annually. </w:t>
      </w:r>
    </w:p>
    <w:p w:rsidR="00024482" w:rsidRPr="00603B95" w:rsidRDefault="00024482" w:rsidP="00603B95">
      <w:pPr>
        <w:pStyle w:val="ListParagraph"/>
        <w:numPr>
          <w:ilvl w:val="0"/>
          <w:numId w:val="11"/>
        </w:numPr>
        <w:spacing w:after="0" w:line="240" w:lineRule="auto"/>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 xml:space="preserve">20 500 artisans found competent annually. </w:t>
      </w:r>
    </w:p>
    <w:p w:rsidR="00024482" w:rsidRPr="00603B95" w:rsidRDefault="00024482" w:rsidP="00603B95">
      <w:pPr>
        <w:pStyle w:val="ListParagraph"/>
        <w:numPr>
          <w:ilvl w:val="0"/>
          <w:numId w:val="11"/>
        </w:numPr>
        <w:spacing w:after="0" w:line="240" w:lineRule="auto"/>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 xml:space="preserve">5 200 learners who completed internships annually. </w:t>
      </w:r>
    </w:p>
    <w:p w:rsidR="00024482" w:rsidRPr="00603B95" w:rsidRDefault="00024482" w:rsidP="00603B95">
      <w:pPr>
        <w:pStyle w:val="ListParagraph"/>
        <w:numPr>
          <w:ilvl w:val="0"/>
          <w:numId w:val="11"/>
        </w:numPr>
        <w:spacing w:after="0" w:line="240" w:lineRule="auto"/>
        <w:rPr>
          <w:rFonts w:ascii="Arial" w:eastAsiaTheme="minorEastAsia" w:hAnsi="Arial" w:cs="Arial"/>
          <w:color w:val="000000" w:themeColor="text1"/>
          <w:kern w:val="24"/>
          <w:sz w:val="20"/>
          <w:szCs w:val="20"/>
          <w:lang w:eastAsia="en-ZA"/>
        </w:rPr>
      </w:pPr>
      <w:r w:rsidRPr="00603B95">
        <w:rPr>
          <w:rFonts w:ascii="Arial" w:eastAsiaTheme="minorEastAsia" w:hAnsi="Arial" w:cs="Arial"/>
          <w:color w:val="000000" w:themeColor="text1"/>
          <w:kern w:val="24"/>
          <w:sz w:val="20"/>
          <w:szCs w:val="20"/>
          <w:lang w:eastAsia="en-ZA"/>
        </w:rPr>
        <w:t xml:space="preserve">100 000 learners who completed skills programmes. </w:t>
      </w:r>
    </w:p>
    <w:p w:rsidR="00024482" w:rsidRPr="00603B95" w:rsidRDefault="00024482" w:rsidP="00603B95">
      <w:pPr>
        <w:pStyle w:val="ListParagraph"/>
        <w:numPr>
          <w:ilvl w:val="0"/>
          <w:numId w:val="11"/>
        </w:numPr>
        <w:spacing w:after="0" w:line="240" w:lineRule="auto"/>
        <w:rPr>
          <w:rFonts w:ascii="Arial" w:hAnsi="Arial" w:cs="Arial"/>
          <w:sz w:val="20"/>
          <w:szCs w:val="20"/>
        </w:rPr>
      </w:pPr>
      <w:r w:rsidRPr="00603B95">
        <w:rPr>
          <w:rFonts w:ascii="Arial" w:hAnsi="Arial" w:cs="Arial"/>
          <w:sz w:val="20"/>
          <w:szCs w:val="20"/>
        </w:rPr>
        <w:t>Percentage of allocated SETA mandatory grants paid to employers.</w:t>
      </w:r>
    </w:p>
    <w:p w:rsidR="00024482" w:rsidRPr="00603B95" w:rsidRDefault="00024482" w:rsidP="00603B95">
      <w:pPr>
        <w:pStyle w:val="ListParagraph"/>
        <w:numPr>
          <w:ilvl w:val="0"/>
          <w:numId w:val="11"/>
        </w:numPr>
        <w:spacing w:after="0" w:line="240" w:lineRule="auto"/>
        <w:rPr>
          <w:rFonts w:ascii="Arial" w:hAnsi="Arial" w:cs="Arial"/>
          <w:sz w:val="20"/>
          <w:szCs w:val="20"/>
        </w:rPr>
      </w:pPr>
      <w:r w:rsidRPr="00603B95">
        <w:rPr>
          <w:rFonts w:ascii="Arial" w:hAnsi="Arial" w:cs="Arial"/>
          <w:sz w:val="20"/>
          <w:szCs w:val="20"/>
          <w:lang w:val="en-US"/>
        </w:rPr>
        <w:t xml:space="preserve">Percentage of SETAs that meet </w:t>
      </w:r>
      <w:r w:rsidR="00136C65" w:rsidRPr="00603B95">
        <w:rPr>
          <w:rFonts w:ascii="Arial" w:hAnsi="Arial" w:cs="Arial"/>
          <w:sz w:val="20"/>
          <w:szCs w:val="20"/>
          <w:lang w:val="en-US"/>
        </w:rPr>
        <w:t xml:space="preserve">the </w:t>
      </w:r>
      <w:r w:rsidRPr="00603B95">
        <w:rPr>
          <w:rFonts w:ascii="Arial" w:hAnsi="Arial" w:cs="Arial"/>
          <w:sz w:val="20"/>
          <w:szCs w:val="20"/>
          <w:lang w:val="en-US"/>
        </w:rPr>
        <w:t>standard</w:t>
      </w:r>
      <w:r w:rsidR="00136C65" w:rsidRPr="00603B95">
        <w:rPr>
          <w:rFonts w:ascii="Arial" w:hAnsi="Arial" w:cs="Arial"/>
          <w:sz w:val="20"/>
          <w:szCs w:val="20"/>
          <w:lang w:val="en-US"/>
        </w:rPr>
        <w:t>s</w:t>
      </w:r>
      <w:r w:rsidRPr="00603B95">
        <w:rPr>
          <w:rFonts w:ascii="Arial" w:hAnsi="Arial" w:cs="Arial"/>
          <w:sz w:val="20"/>
          <w:szCs w:val="20"/>
          <w:lang w:val="en-US"/>
        </w:rPr>
        <w:t xml:space="preserve"> of good governance.</w:t>
      </w:r>
    </w:p>
    <w:p w:rsidR="00E97DC6" w:rsidRPr="00603B95" w:rsidRDefault="00110FA0" w:rsidP="00603B95">
      <w:pPr>
        <w:tabs>
          <w:tab w:val="num" w:pos="1440"/>
        </w:tabs>
        <w:spacing w:after="0" w:line="240" w:lineRule="auto"/>
        <w:rPr>
          <w:rFonts w:ascii="Arial" w:hAnsi="Arial" w:cs="Arial"/>
          <w:color w:val="000000" w:themeColor="text1"/>
          <w:sz w:val="20"/>
          <w:szCs w:val="20"/>
        </w:rPr>
      </w:pPr>
      <w:r w:rsidRPr="00603B95">
        <w:rPr>
          <w:rFonts w:ascii="Arial" w:hAnsi="Arial" w:cs="Arial"/>
          <w:color w:val="000000" w:themeColor="text1"/>
          <w:sz w:val="20"/>
          <w:szCs w:val="20"/>
        </w:rPr>
        <w:t>At the end of the quarter under review, the programme spent R406 million recording an underspending amounting to R5.</w:t>
      </w:r>
      <w:r w:rsidR="00297A28" w:rsidRPr="00603B95">
        <w:rPr>
          <w:rFonts w:ascii="Arial" w:hAnsi="Arial" w:cs="Arial"/>
          <w:color w:val="000000" w:themeColor="text1"/>
          <w:sz w:val="20"/>
          <w:szCs w:val="20"/>
        </w:rPr>
        <w:t>4</w:t>
      </w:r>
      <w:r w:rsidRPr="00603B95">
        <w:rPr>
          <w:rFonts w:ascii="Arial" w:hAnsi="Arial" w:cs="Arial"/>
          <w:color w:val="000000" w:themeColor="text1"/>
          <w:sz w:val="20"/>
          <w:szCs w:val="20"/>
        </w:rPr>
        <w:t xml:space="preserve"> million or 1.3 per</w:t>
      </w:r>
      <w:r w:rsidR="00C706A6" w:rsidRPr="00603B95">
        <w:rPr>
          <w:rFonts w:ascii="Arial" w:hAnsi="Arial" w:cs="Arial"/>
          <w:color w:val="000000" w:themeColor="text1"/>
          <w:sz w:val="20"/>
          <w:szCs w:val="20"/>
        </w:rPr>
        <w:t xml:space="preserve"> </w:t>
      </w:r>
      <w:r w:rsidRPr="00603B95">
        <w:rPr>
          <w:rFonts w:ascii="Arial" w:hAnsi="Arial" w:cs="Arial"/>
          <w:color w:val="000000" w:themeColor="text1"/>
          <w:sz w:val="20"/>
          <w:szCs w:val="20"/>
        </w:rPr>
        <w:t xml:space="preserve">cent. </w:t>
      </w:r>
    </w:p>
    <w:p w:rsidR="006003CD" w:rsidRPr="00603B95" w:rsidRDefault="006003CD" w:rsidP="00603B95">
      <w:pPr>
        <w:spacing w:after="0" w:line="240" w:lineRule="auto"/>
        <w:rPr>
          <w:rFonts w:ascii="Arial" w:hAnsi="Arial" w:cs="Arial"/>
          <w:b/>
          <w:sz w:val="20"/>
          <w:szCs w:val="20"/>
        </w:rPr>
      </w:pPr>
      <w:r w:rsidRPr="00603B95">
        <w:rPr>
          <w:rFonts w:ascii="Arial" w:hAnsi="Arial" w:cs="Arial"/>
          <w:b/>
          <w:sz w:val="20"/>
          <w:szCs w:val="20"/>
        </w:rPr>
        <w:t>(vi) Programme 6: Community Education and Training</w:t>
      </w:r>
    </w:p>
    <w:p w:rsidR="0027029A" w:rsidRPr="00603B95" w:rsidRDefault="006003CD" w:rsidP="00603B95">
      <w:pPr>
        <w:tabs>
          <w:tab w:val="num" w:pos="1440"/>
        </w:tabs>
        <w:spacing w:after="0" w:line="240" w:lineRule="auto"/>
        <w:rPr>
          <w:rFonts w:ascii="Arial" w:hAnsi="Arial" w:cs="Arial"/>
          <w:sz w:val="20"/>
          <w:szCs w:val="20"/>
        </w:rPr>
      </w:pPr>
      <w:r w:rsidRPr="00603B95">
        <w:rPr>
          <w:rFonts w:ascii="Arial" w:hAnsi="Arial" w:cs="Arial"/>
          <w:sz w:val="20"/>
          <w:szCs w:val="20"/>
        </w:rPr>
        <w:t xml:space="preserve">The purpose of this Programme is to plan, develop, implement, monitor, maintain and evaluate national policy, programme assessment practices and systems for community education and training. </w:t>
      </w:r>
      <w:r w:rsidR="0027029A" w:rsidRPr="00603B95">
        <w:rPr>
          <w:rFonts w:ascii="Arial" w:hAnsi="Arial" w:cs="Arial"/>
          <w:sz w:val="20"/>
          <w:szCs w:val="20"/>
        </w:rPr>
        <w:lastRenderedPageBreak/>
        <w:t xml:space="preserve">For the Quarter under review, the programme had six targets and achieved five (5) </w:t>
      </w:r>
      <w:r w:rsidR="001E26EF" w:rsidRPr="00603B95">
        <w:rPr>
          <w:rFonts w:ascii="Arial" w:hAnsi="Arial" w:cs="Arial"/>
          <w:sz w:val="20"/>
          <w:szCs w:val="20"/>
        </w:rPr>
        <w:t>or 83</w:t>
      </w:r>
      <w:r w:rsidR="0027029A" w:rsidRPr="00603B95">
        <w:rPr>
          <w:rFonts w:ascii="Arial" w:hAnsi="Arial" w:cs="Arial"/>
          <w:sz w:val="20"/>
          <w:szCs w:val="20"/>
        </w:rPr>
        <w:t xml:space="preserve"> per cent of the targets. </w:t>
      </w:r>
    </w:p>
    <w:p w:rsidR="00992F07" w:rsidRPr="00603B95" w:rsidRDefault="00992F07" w:rsidP="00603B95">
      <w:pPr>
        <w:spacing w:after="0" w:line="240" w:lineRule="auto"/>
        <w:rPr>
          <w:rFonts w:ascii="Arial" w:hAnsi="Arial" w:cs="Arial"/>
          <w:sz w:val="20"/>
          <w:szCs w:val="20"/>
        </w:rPr>
      </w:pPr>
      <w:r w:rsidRPr="00603B95">
        <w:rPr>
          <w:rFonts w:ascii="Arial" w:hAnsi="Arial" w:cs="Arial"/>
          <w:sz w:val="20"/>
          <w:szCs w:val="20"/>
        </w:rPr>
        <w:t>Targets achieved include:</w:t>
      </w:r>
    </w:p>
    <w:p w:rsidR="00024482" w:rsidRPr="00603B95" w:rsidRDefault="00024482" w:rsidP="00603B95">
      <w:pPr>
        <w:pStyle w:val="ListParagraph"/>
        <w:numPr>
          <w:ilvl w:val="0"/>
          <w:numId w:val="12"/>
        </w:numPr>
        <w:spacing w:after="0" w:line="240" w:lineRule="auto"/>
        <w:rPr>
          <w:rFonts w:ascii="Arial" w:eastAsia="Times New Roman" w:hAnsi="Arial" w:cs="Arial"/>
          <w:color w:val="000000" w:themeColor="text1"/>
          <w:kern w:val="24"/>
          <w:sz w:val="20"/>
          <w:szCs w:val="20"/>
          <w:lang w:val="en-US" w:eastAsia="en-ZA"/>
        </w:rPr>
      </w:pPr>
      <w:r w:rsidRPr="00603B95">
        <w:rPr>
          <w:rFonts w:ascii="Arial" w:eastAsia="Times New Roman" w:hAnsi="Arial" w:cs="Arial"/>
          <w:color w:val="000000" w:themeColor="text1"/>
          <w:kern w:val="24"/>
          <w:sz w:val="20"/>
          <w:szCs w:val="20"/>
          <w:lang w:val="en-US" w:eastAsia="en-ZA"/>
        </w:rPr>
        <w:t xml:space="preserve">Two programmes and qualifications offered in CET colleges. </w:t>
      </w:r>
    </w:p>
    <w:p w:rsidR="00024482" w:rsidRPr="00603B95" w:rsidRDefault="00024482" w:rsidP="00603B95">
      <w:pPr>
        <w:pStyle w:val="ListParagraph"/>
        <w:numPr>
          <w:ilvl w:val="0"/>
          <w:numId w:val="12"/>
        </w:numPr>
        <w:spacing w:after="0" w:line="240" w:lineRule="auto"/>
        <w:rPr>
          <w:rFonts w:ascii="Arial" w:eastAsia="Times New Roman" w:hAnsi="Arial" w:cs="Arial"/>
          <w:color w:val="000000" w:themeColor="text1"/>
          <w:kern w:val="24"/>
          <w:sz w:val="20"/>
          <w:szCs w:val="20"/>
          <w:lang w:val="en-US" w:eastAsia="en-ZA"/>
        </w:rPr>
      </w:pPr>
      <w:r w:rsidRPr="00603B95">
        <w:rPr>
          <w:rFonts w:ascii="Arial" w:eastAsia="Times New Roman" w:hAnsi="Arial" w:cs="Arial"/>
          <w:color w:val="000000" w:themeColor="text1"/>
          <w:kern w:val="24"/>
          <w:sz w:val="20"/>
          <w:szCs w:val="20"/>
          <w:lang w:val="en-US" w:eastAsia="en-ZA"/>
        </w:rPr>
        <w:t>Report on the implementation of open access LTSM for students in CET colleges approved by the Director-General by 31 March 2023.</w:t>
      </w:r>
    </w:p>
    <w:p w:rsidR="00024482" w:rsidRPr="00603B95" w:rsidRDefault="00024482" w:rsidP="00603B95">
      <w:pPr>
        <w:pStyle w:val="ListParagraph"/>
        <w:numPr>
          <w:ilvl w:val="0"/>
          <w:numId w:val="12"/>
        </w:numPr>
        <w:spacing w:after="0" w:line="240" w:lineRule="auto"/>
        <w:rPr>
          <w:rFonts w:ascii="Arial" w:eastAsia="Times New Roman" w:hAnsi="Arial" w:cs="Arial"/>
          <w:color w:val="000000" w:themeColor="text1"/>
          <w:kern w:val="24"/>
          <w:sz w:val="20"/>
          <w:szCs w:val="20"/>
          <w:lang w:val="en-US" w:eastAsia="en-ZA"/>
        </w:rPr>
      </w:pPr>
      <w:r w:rsidRPr="00603B95">
        <w:rPr>
          <w:rFonts w:ascii="Arial" w:eastAsia="Times New Roman" w:hAnsi="Arial" w:cs="Arial"/>
          <w:color w:val="000000" w:themeColor="text1"/>
          <w:kern w:val="24"/>
          <w:sz w:val="20"/>
          <w:szCs w:val="20"/>
          <w:lang w:val="en-US" w:eastAsia="en-ZA"/>
        </w:rPr>
        <w:t>95% of CETCs that meet standards of good governance.</w:t>
      </w:r>
    </w:p>
    <w:p w:rsidR="00024482" w:rsidRPr="00603B95" w:rsidRDefault="00024482" w:rsidP="00603B95">
      <w:pPr>
        <w:pStyle w:val="ListParagraph"/>
        <w:numPr>
          <w:ilvl w:val="0"/>
          <w:numId w:val="12"/>
        </w:numPr>
        <w:spacing w:after="0" w:line="240" w:lineRule="auto"/>
        <w:rPr>
          <w:rFonts w:ascii="Arial" w:eastAsia="Times New Roman" w:hAnsi="Arial" w:cs="Arial"/>
          <w:color w:val="000000" w:themeColor="text1"/>
          <w:kern w:val="24"/>
          <w:sz w:val="20"/>
          <w:szCs w:val="20"/>
          <w:lang w:val="en-US" w:eastAsia="en-ZA"/>
        </w:rPr>
      </w:pPr>
      <w:r w:rsidRPr="00603B95">
        <w:rPr>
          <w:rFonts w:ascii="Arial" w:eastAsia="Times New Roman" w:hAnsi="Arial" w:cs="Arial"/>
          <w:color w:val="000000" w:themeColor="text1"/>
          <w:kern w:val="24"/>
          <w:sz w:val="20"/>
          <w:szCs w:val="20"/>
          <w:lang w:val="en-US" w:eastAsia="en-ZA"/>
        </w:rPr>
        <w:t>900 CET college lecturers trained.</w:t>
      </w:r>
    </w:p>
    <w:p w:rsidR="00024482" w:rsidRPr="00603B95" w:rsidRDefault="00024482" w:rsidP="00603B95">
      <w:pPr>
        <w:pStyle w:val="ListParagraph"/>
        <w:numPr>
          <w:ilvl w:val="0"/>
          <w:numId w:val="12"/>
        </w:numPr>
        <w:spacing w:after="0" w:line="240" w:lineRule="auto"/>
        <w:rPr>
          <w:rFonts w:ascii="Arial" w:hAnsi="Arial" w:cs="Arial"/>
          <w:sz w:val="20"/>
          <w:szCs w:val="20"/>
        </w:rPr>
      </w:pPr>
      <w:r w:rsidRPr="00603B95">
        <w:rPr>
          <w:rFonts w:ascii="Arial" w:eastAsia="Times New Roman" w:hAnsi="Arial" w:cs="Arial"/>
          <w:color w:val="000000" w:themeColor="text1"/>
          <w:kern w:val="24"/>
          <w:sz w:val="20"/>
          <w:szCs w:val="20"/>
          <w:lang w:val="en-US" w:eastAsia="en-ZA"/>
        </w:rPr>
        <w:t>100% CET colleges compliant with the policy on the conduct and management of examination and assessment.</w:t>
      </w:r>
    </w:p>
    <w:p w:rsidR="00024482" w:rsidRPr="00603B95" w:rsidRDefault="00024482" w:rsidP="00603B95">
      <w:pPr>
        <w:spacing w:after="0" w:line="240" w:lineRule="auto"/>
        <w:rPr>
          <w:rFonts w:ascii="Arial" w:hAnsi="Arial" w:cs="Arial"/>
          <w:sz w:val="20"/>
          <w:szCs w:val="20"/>
        </w:rPr>
      </w:pPr>
      <w:r w:rsidRPr="00603B95">
        <w:rPr>
          <w:rFonts w:ascii="Arial" w:hAnsi="Arial" w:cs="Arial"/>
          <w:sz w:val="20"/>
          <w:szCs w:val="20"/>
        </w:rPr>
        <w:t xml:space="preserve">Targets not achieved include: </w:t>
      </w:r>
    </w:p>
    <w:p w:rsidR="00E6676A" w:rsidRPr="00603B95" w:rsidRDefault="00254757" w:rsidP="00603B95">
      <w:pPr>
        <w:pStyle w:val="ListParagraph"/>
        <w:numPr>
          <w:ilvl w:val="0"/>
          <w:numId w:val="13"/>
        </w:numPr>
        <w:spacing w:after="0" w:line="240" w:lineRule="auto"/>
        <w:rPr>
          <w:rFonts w:ascii="Arial" w:eastAsia="Times New Roman" w:hAnsi="Arial" w:cs="Arial"/>
          <w:sz w:val="20"/>
          <w:szCs w:val="20"/>
          <w:lang w:eastAsia="en-ZA"/>
        </w:rPr>
      </w:pPr>
      <w:r w:rsidRPr="00603B95">
        <w:rPr>
          <w:rFonts w:ascii="Arial" w:eastAsiaTheme="minorEastAsia" w:hAnsi="Arial" w:cs="Arial"/>
          <w:color w:val="000000"/>
          <w:kern w:val="24"/>
          <w:sz w:val="20"/>
          <w:szCs w:val="20"/>
          <w:lang w:val="en-GB" w:eastAsia="en-ZA"/>
        </w:rPr>
        <w:t xml:space="preserve">Number of pilot community learning centres </w:t>
      </w:r>
      <w:r w:rsidR="00D53CEA" w:rsidRPr="00603B95">
        <w:rPr>
          <w:rFonts w:ascii="Arial" w:eastAsiaTheme="minorEastAsia" w:hAnsi="Arial" w:cs="Arial"/>
          <w:color w:val="000000"/>
          <w:kern w:val="24"/>
          <w:sz w:val="20"/>
          <w:szCs w:val="20"/>
          <w:lang w:val="en-GB" w:eastAsia="en-ZA"/>
        </w:rPr>
        <w:t xml:space="preserve">(CLCs) </w:t>
      </w:r>
      <w:r w:rsidRPr="00603B95">
        <w:rPr>
          <w:rFonts w:ascii="Arial" w:eastAsiaTheme="minorEastAsia" w:hAnsi="Arial" w:cs="Arial"/>
          <w:color w:val="000000"/>
          <w:kern w:val="24"/>
          <w:sz w:val="20"/>
          <w:szCs w:val="20"/>
          <w:lang w:val="en-GB" w:eastAsia="en-ZA"/>
        </w:rPr>
        <w:t>accredited</w:t>
      </w:r>
      <w:r w:rsidR="00F17E02" w:rsidRPr="00603B95">
        <w:rPr>
          <w:rFonts w:ascii="Arial" w:eastAsiaTheme="minorEastAsia" w:hAnsi="Arial" w:cs="Arial"/>
          <w:color w:val="000000"/>
          <w:kern w:val="24"/>
          <w:sz w:val="20"/>
          <w:szCs w:val="20"/>
          <w:lang w:val="en-GB" w:eastAsia="en-ZA"/>
        </w:rPr>
        <w:t>.</w:t>
      </w:r>
      <w:r w:rsidRPr="00603B95">
        <w:rPr>
          <w:rFonts w:ascii="Arial" w:eastAsiaTheme="minorEastAsia" w:hAnsi="Arial" w:cs="Arial"/>
          <w:color w:val="000000"/>
          <w:kern w:val="24"/>
          <w:sz w:val="20"/>
          <w:szCs w:val="20"/>
          <w:lang w:val="en-GB" w:eastAsia="en-ZA"/>
        </w:rPr>
        <w:t xml:space="preserve"> </w:t>
      </w:r>
      <w:r w:rsidRPr="00603B95">
        <w:rPr>
          <w:rFonts w:ascii="Arial" w:eastAsiaTheme="minorEastAsia" w:hAnsi="Arial" w:cs="Arial"/>
          <w:color w:val="000000"/>
          <w:kern w:val="24"/>
          <w:sz w:val="20"/>
          <w:szCs w:val="20"/>
          <w:lang w:val="en-GB" w:eastAsia="en-ZA"/>
        </w:rPr>
        <w:tab/>
      </w:r>
    </w:p>
    <w:p w:rsidR="00F17E02" w:rsidRPr="00603B95" w:rsidRDefault="00F17E02" w:rsidP="00603B95">
      <w:pPr>
        <w:spacing w:after="0" w:line="240" w:lineRule="auto"/>
        <w:rPr>
          <w:rFonts w:ascii="Arial" w:hAnsi="Arial" w:cs="Arial"/>
          <w:sz w:val="20"/>
          <w:szCs w:val="20"/>
        </w:rPr>
      </w:pPr>
    </w:p>
    <w:p w:rsidR="0053578A" w:rsidRPr="00603B95" w:rsidRDefault="00110FA0" w:rsidP="00603B95">
      <w:pPr>
        <w:spacing w:after="0" w:line="240" w:lineRule="auto"/>
        <w:rPr>
          <w:rFonts w:ascii="Arial" w:hAnsi="Arial" w:cs="Arial"/>
          <w:sz w:val="20"/>
          <w:szCs w:val="20"/>
        </w:rPr>
      </w:pPr>
      <w:r w:rsidRPr="00603B95">
        <w:rPr>
          <w:rFonts w:ascii="Arial" w:hAnsi="Arial" w:cs="Arial"/>
          <w:sz w:val="20"/>
          <w:szCs w:val="20"/>
        </w:rPr>
        <w:t xml:space="preserve">At the </w:t>
      </w:r>
      <w:r w:rsidR="008449A5" w:rsidRPr="00603B95">
        <w:rPr>
          <w:rFonts w:ascii="Arial" w:hAnsi="Arial" w:cs="Arial"/>
          <w:sz w:val="20"/>
          <w:szCs w:val="20"/>
        </w:rPr>
        <w:t>en</w:t>
      </w:r>
      <w:r w:rsidRPr="00603B95">
        <w:rPr>
          <w:rFonts w:ascii="Arial" w:hAnsi="Arial" w:cs="Arial"/>
          <w:sz w:val="20"/>
          <w:szCs w:val="20"/>
        </w:rPr>
        <w:t>d of the quarter under review, the programme spent R2</w:t>
      </w:r>
      <w:r w:rsidR="00C706A6" w:rsidRPr="00603B95">
        <w:rPr>
          <w:rFonts w:ascii="Arial" w:hAnsi="Arial" w:cs="Arial"/>
          <w:sz w:val="20"/>
          <w:szCs w:val="20"/>
        </w:rPr>
        <w:t>,</w:t>
      </w:r>
      <w:r w:rsidRPr="00603B95">
        <w:rPr>
          <w:rFonts w:ascii="Arial" w:hAnsi="Arial" w:cs="Arial"/>
          <w:sz w:val="20"/>
          <w:szCs w:val="20"/>
        </w:rPr>
        <w:t xml:space="preserve">632 billion </w:t>
      </w:r>
      <w:r w:rsidR="00F17123" w:rsidRPr="00603B95">
        <w:rPr>
          <w:rFonts w:ascii="Arial" w:hAnsi="Arial" w:cs="Arial"/>
          <w:sz w:val="20"/>
          <w:szCs w:val="20"/>
        </w:rPr>
        <w:t xml:space="preserve">or 99.6 per cent, </w:t>
      </w:r>
      <w:r w:rsidRPr="00603B95">
        <w:rPr>
          <w:rFonts w:ascii="Arial" w:hAnsi="Arial" w:cs="Arial"/>
          <w:sz w:val="20"/>
          <w:szCs w:val="20"/>
        </w:rPr>
        <w:t>recording an underspending amounting to R11</w:t>
      </w:r>
      <w:r w:rsidR="00C706A6" w:rsidRPr="00603B95">
        <w:rPr>
          <w:rFonts w:ascii="Arial" w:hAnsi="Arial" w:cs="Arial"/>
          <w:sz w:val="20"/>
          <w:szCs w:val="20"/>
        </w:rPr>
        <w:t>,</w:t>
      </w:r>
      <w:r w:rsidRPr="00603B95">
        <w:rPr>
          <w:rFonts w:ascii="Arial" w:hAnsi="Arial" w:cs="Arial"/>
          <w:sz w:val="20"/>
          <w:szCs w:val="20"/>
        </w:rPr>
        <w:t>3 million or 0.4 per</w:t>
      </w:r>
      <w:r w:rsidR="00C706A6" w:rsidRPr="00603B95">
        <w:rPr>
          <w:rFonts w:ascii="Arial" w:hAnsi="Arial" w:cs="Arial"/>
          <w:sz w:val="20"/>
          <w:szCs w:val="20"/>
        </w:rPr>
        <w:t xml:space="preserve"> </w:t>
      </w:r>
      <w:r w:rsidRPr="00603B95">
        <w:rPr>
          <w:rFonts w:ascii="Arial" w:hAnsi="Arial" w:cs="Arial"/>
          <w:sz w:val="20"/>
          <w:szCs w:val="20"/>
        </w:rPr>
        <w:t xml:space="preserve">cent. </w:t>
      </w:r>
      <w:r w:rsidR="00136C65" w:rsidRPr="00603B95">
        <w:rPr>
          <w:rFonts w:ascii="Arial" w:hAnsi="Arial" w:cs="Arial"/>
          <w:sz w:val="20"/>
          <w:szCs w:val="20"/>
        </w:rPr>
        <w:t>U</w:t>
      </w:r>
      <w:r w:rsidR="0053578A" w:rsidRPr="00603B95">
        <w:rPr>
          <w:rFonts w:ascii="Arial" w:hAnsi="Arial" w:cs="Arial"/>
          <w:sz w:val="20"/>
          <w:szCs w:val="20"/>
        </w:rPr>
        <w:t xml:space="preserve">nderspending was mainly under compensation of employees as the Department struggled to fill vacancies timeously due to the length of time taken to process the high number of applications. </w:t>
      </w:r>
    </w:p>
    <w:p w:rsidR="00063744" w:rsidRPr="00603B95" w:rsidRDefault="00063744" w:rsidP="00603B95">
      <w:pPr>
        <w:spacing w:after="0" w:line="240" w:lineRule="auto"/>
        <w:rPr>
          <w:rFonts w:ascii="Arial" w:hAnsi="Arial" w:cs="Arial"/>
          <w:sz w:val="20"/>
          <w:szCs w:val="20"/>
        </w:rPr>
      </w:pPr>
    </w:p>
    <w:p w:rsidR="00986A85" w:rsidRPr="00603B95" w:rsidRDefault="00986A85" w:rsidP="00603B95">
      <w:pPr>
        <w:pStyle w:val="ListParagraph"/>
        <w:numPr>
          <w:ilvl w:val="0"/>
          <w:numId w:val="1"/>
        </w:numPr>
        <w:spacing w:after="0" w:line="240" w:lineRule="auto"/>
        <w:rPr>
          <w:rFonts w:ascii="Arial" w:hAnsi="Arial" w:cs="Arial"/>
          <w:b/>
          <w:sz w:val="20"/>
          <w:szCs w:val="20"/>
        </w:rPr>
      </w:pPr>
      <w:r w:rsidRPr="00603B95">
        <w:rPr>
          <w:rFonts w:ascii="Arial" w:hAnsi="Arial" w:cs="Arial"/>
          <w:b/>
          <w:sz w:val="20"/>
          <w:szCs w:val="20"/>
        </w:rPr>
        <w:t>O</w:t>
      </w:r>
      <w:r w:rsidR="00507B1E" w:rsidRPr="00603B95">
        <w:rPr>
          <w:rFonts w:ascii="Arial" w:hAnsi="Arial" w:cs="Arial"/>
          <w:b/>
          <w:sz w:val="20"/>
          <w:szCs w:val="20"/>
        </w:rPr>
        <w:t>BSERVATIONS</w:t>
      </w:r>
    </w:p>
    <w:p w:rsidR="00F73C0C" w:rsidRPr="00603B95" w:rsidRDefault="00986A85" w:rsidP="00603B95">
      <w:pPr>
        <w:spacing w:after="0" w:line="240" w:lineRule="auto"/>
        <w:rPr>
          <w:rFonts w:ascii="Arial" w:hAnsi="Arial" w:cs="Arial"/>
          <w:sz w:val="20"/>
          <w:szCs w:val="20"/>
        </w:rPr>
      </w:pPr>
      <w:r w:rsidRPr="00603B95">
        <w:rPr>
          <w:rFonts w:ascii="Arial" w:hAnsi="Arial" w:cs="Arial"/>
          <w:sz w:val="20"/>
          <w:szCs w:val="20"/>
        </w:rPr>
        <w:t xml:space="preserve">The Portfolio Committee having considered the </w:t>
      </w:r>
      <w:r w:rsidR="001C3C5A" w:rsidRPr="00603B95">
        <w:rPr>
          <w:rFonts w:ascii="Arial" w:hAnsi="Arial" w:cs="Arial"/>
          <w:sz w:val="20"/>
          <w:szCs w:val="20"/>
        </w:rPr>
        <w:t>2022/23</w:t>
      </w:r>
      <w:r w:rsidR="00CB207F" w:rsidRPr="00603B95">
        <w:rPr>
          <w:rFonts w:ascii="Arial" w:hAnsi="Arial" w:cs="Arial"/>
          <w:sz w:val="20"/>
          <w:szCs w:val="20"/>
        </w:rPr>
        <w:t xml:space="preserve"> </w:t>
      </w:r>
      <w:r w:rsidR="0027029A" w:rsidRPr="00603B95">
        <w:rPr>
          <w:rFonts w:ascii="Arial" w:hAnsi="Arial" w:cs="Arial"/>
          <w:sz w:val="20"/>
          <w:szCs w:val="20"/>
        </w:rPr>
        <w:t>Fourth</w:t>
      </w:r>
      <w:r w:rsidR="000E1D11" w:rsidRPr="00603B95">
        <w:rPr>
          <w:rFonts w:ascii="Arial" w:hAnsi="Arial" w:cs="Arial"/>
          <w:sz w:val="20"/>
          <w:szCs w:val="20"/>
        </w:rPr>
        <w:t xml:space="preserve"> Q</w:t>
      </w:r>
      <w:r w:rsidRPr="00603B95">
        <w:rPr>
          <w:rFonts w:ascii="Arial" w:hAnsi="Arial" w:cs="Arial"/>
          <w:sz w:val="20"/>
          <w:szCs w:val="20"/>
        </w:rPr>
        <w:t>uarter</w:t>
      </w:r>
      <w:r w:rsidR="00B86393" w:rsidRPr="00603B95">
        <w:rPr>
          <w:rFonts w:ascii="Arial" w:hAnsi="Arial" w:cs="Arial"/>
          <w:sz w:val="20"/>
          <w:szCs w:val="20"/>
        </w:rPr>
        <w:t xml:space="preserve"> </w:t>
      </w:r>
      <w:r w:rsidR="001C3C5A" w:rsidRPr="00603B95">
        <w:rPr>
          <w:rFonts w:ascii="Arial" w:hAnsi="Arial" w:cs="Arial"/>
          <w:sz w:val="20"/>
          <w:szCs w:val="20"/>
        </w:rPr>
        <w:t>expenditure and non-financial performance report of the Department of Higher Education and Training</w:t>
      </w:r>
      <w:r w:rsidR="00B86393" w:rsidRPr="00603B95">
        <w:rPr>
          <w:rFonts w:ascii="Arial" w:hAnsi="Arial" w:cs="Arial"/>
          <w:sz w:val="20"/>
          <w:szCs w:val="20"/>
        </w:rPr>
        <w:t>,</w:t>
      </w:r>
      <w:r w:rsidRPr="00603B95">
        <w:rPr>
          <w:rFonts w:ascii="Arial" w:hAnsi="Arial" w:cs="Arial"/>
          <w:sz w:val="20"/>
          <w:szCs w:val="20"/>
        </w:rPr>
        <w:t xml:space="preserve"> ma</w:t>
      </w:r>
      <w:r w:rsidR="000E1D11" w:rsidRPr="00603B95">
        <w:rPr>
          <w:rFonts w:ascii="Arial" w:hAnsi="Arial" w:cs="Arial"/>
          <w:sz w:val="20"/>
          <w:szCs w:val="20"/>
        </w:rPr>
        <w:t>kes</w:t>
      </w:r>
      <w:r w:rsidRPr="00603B95">
        <w:rPr>
          <w:rFonts w:ascii="Arial" w:hAnsi="Arial" w:cs="Arial"/>
          <w:sz w:val="20"/>
          <w:szCs w:val="20"/>
        </w:rPr>
        <w:t xml:space="preserve"> the following observations:</w:t>
      </w:r>
    </w:p>
    <w:p w:rsidR="007B34B8" w:rsidRPr="00603B95" w:rsidRDefault="00B86393" w:rsidP="00603B95">
      <w:pPr>
        <w:spacing w:after="0" w:line="240" w:lineRule="auto"/>
        <w:rPr>
          <w:rFonts w:ascii="Arial" w:hAnsi="Arial" w:cs="Arial"/>
          <w:b/>
          <w:sz w:val="20"/>
          <w:szCs w:val="20"/>
        </w:rPr>
      </w:pPr>
      <w:r w:rsidRPr="00603B95">
        <w:rPr>
          <w:rFonts w:ascii="Arial" w:hAnsi="Arial" w:cs="Arial"/>
          <w:b/>
          <w:sz w:val="20"/>
          <w:szCs w:val="20"/>
        </w:rPr>
        <w:t>3</w:t>
      </w:r>
      <w:r w:rsidR="00986A85" w:rsidRPr="00603B95">
        <w:rPr>
          <w:rFonts w:ascii="Arial" w:hAnsi="Arial" w:cs="Arial"/>
          <w:b/>
          <w:sz w:val="20"/>
          <w:szCs w:val="20"/>
        </w:rPr>
        <w:t>.1.</w:t>
      </w:r>
      <w:r w:rsidR="00986A85" w:rsidRPr="00603B95">
        <w:rPr>
          <w:rFonts w:ascii="Arial" w:hAnsi="Arial" w:cs="Arial"/>
          <w:b/>
          <w:sz w:val="20"/>
          <w:szCs w:val="20"/>
        </w:rPr>
        <w:tab/>
      </w:r>
      <w:r w:rsidR="00A431B5" w:rsidRPr="00603B95">
        <w:rPr>
          <w:rFonts w:ascii="Arial" w:hAnsi="Arial" w:cs="Arial"/>
          <w:b/>
          <w:sz w:val="20"/>
          <w:szCs w:val="20"/>
        </w:rPr>
        <w:t xml:space="preserve">Programme 1: </w:t>
      </w:r>
      <w:r w:rsidR="007B34B8" w:rsidRPr="00603B95">
        <w:rPr>
          <w:rFonts w:ascii="Arial" w:hAnsi="Arial" w:cs="Arial"/>
          <w:b/>
          <w:sz w:val="20"/>
          <w:szCs w:val="20"/>
        </w:rPr>
        <w:t>Administration</w:t>
      </w:r>
    </w:p>
    <w:p w:rsidR="0027029A" w:rsidRPr="00603B95" w:rsidRDefault="007B34B8" w:rsidP="00603B95">
      <w:pPr>
        <w:pStyle w:val="ListParagraph"/>
        <w:spacing w:after="0" w:line="240" w:lineRule="auto"/>
        <w:ind w:left="709" w:hanging="709"/>
        <w:rPr>
          <w:rFonts w:ascii="Arial" w:hAnsi="Arial" w:cs="Arial"/>
          <w:bCs/>
          <w:sz w:val="20"/>
          <w:szCs w:val="20"/>
        </w:rPr>
      </w:pPr>
      <w:r w:rsidRPr="00603B95">
        <w:rPr>
          <w:rFonts w:ascii="Arial" w:hAnsi="Arial" w:cs="Arial"/>
          <w:sz w:val="20"/>
          <w:szCs w:val="20"/>
        </w:rPr>
        <w:t>3.1.1.</w:t>
      </w:r>
      <w:r w:rsidRPr="00603B95">
        <w:rPr>
          <w:rFonts w:ascii="Arial" w:hAnsi="Arial" w:cs="Arial"/>
          <w:b/>
          <w:sz w:val="20"/>
          <w:szCs w:val="20"/>
        </w:rPr>
        <w:tab/>
      </w:r>
      <w:r w:rsidR="00FB32E2" w:rsidRPr="00603B95">
        <w:rPr>
          <w:rFonts w:ascii="Arial" w:hAnsi="Arial" w:cs="Arial"/>
          <w:bCs/>
          <w:sz w:val="20"/>
          <w:szCs w:val="20"/>
        </w:rPr>
        <w:t xml:space="preserve">The Committee expressed its concern regarding human resource capacity constraints in some of the Chief Directorates </w:t>
      </w:r>
      <w:r w:rsidR="00F17123" w:rsidRPr="00603B95">
        <w:rPr>
          <w:rFonts w:ascii="Arial" w:hAnsi="Arial" w:cs="Arial"/>
          <w:bCs/>
          <w:sz w:val="20"/>
          <w:szCs w:val="20"/>
        </w:rPr>
        <w:t xml:space="preserve">within </w:t>
      </w:r>
      <w:r w:rsidR="00FB32E2" w:rsidRPr="00603B95">
        <w:rPr>
          <w:rFonts w:ascii="Arial" w:hAnsi="Arial" w:cs="Arial"/>
          <w:bCs/>
          <w:sz w:val="20"/>
          <w:szCs w:val="20"/>
        </w:rPr>
        <w:t xml:space="preserve">the Department. The inadequate HR capacity impacts the ability of the Department to operate optimally and meet its </w:t>
      </w:r>
      <w:r w:rsidR="00F17123" w:rsidRPr="00603B95">
        <w:rPr>
          <w:rFonts w:ascii="Arial" w:hAnsi="Arial" w:cs="Arial"/>
          <w:bCs/>
          <w:sz w:val="20"/>
          <w:szCs w:val="20"/>
        </w:rPr>
        <w:t xml:space="preserve">APP </w:t>
      </w:r>
      <w:r w:rsidR="00FB32E2" w:rsidRPr="00603B95">
        <w:rPr>
          <w:rFonts w:ascii="Arial" w:hAnsi="Arial" w:cs="Arial"/>
          <w:bCs/>
          <w:sz w:val="20"/>
          <w:szCs w:val="20"/>
        </w:rPr>
        <w:t>targets.</w:t>
      </w:r>
    </w:p>
    <w:p w:rsidR="00FB32E2" w:rsidRPr="00603B95" w:rsidRDefault="00F17123" w:rsidP="00603B95">
      <w:pPr>
        <w:pStyle w:val="ListParagraph"/>
        <w:spacing w:after="0" w:line="240" w:lineRule="auto"/>
        <w:ind w:left="709" w:hanging="709"/>
        <w:rPr>
          <w:rFonts w:ascii="Arial" w:hAnsi="Arial" w:cs="Arial"/>
          <w:bCs/>
          <w:sz w:val="20"/>
          <w:szCs w:val="20"/>
        </w:rPr>
      </w:pPr>
      <w:r w:rsidRPr="00603B95">
        <w:rPr>
          <w:rFonts w:ascii="Arial" w:hAnsi="Arial" w:cs="Arial"/>
          <w:bCs/>
          <w:sz w:val="20"/>
          <w:szCs w:val="20"/>
        </w:rPr>
        <w:t xml:space="preserve">3.1.2 </w:t>
      </w:r>
      <w:r w:rsidRPr="00603B95">
        <w:rPr>
          <w:rFonts w:ascii="Arial" w:hAnsi="Arial" w:cs="Arial"/>
          <w:bCs/>
          <w:sz w:val="20"/>
          <w:szCs w:val="20"/>
        </w:rPr>
        <w:tab/>
        <w:t>The</w:t>
      </w:r>
      <w:r w:rsidR="00FB32E2" w:rsidRPr="00603B95">
        <w:rPr>
          <w:rFonts w:ascii="Arial" w:hAnsi="Arial" w:cs="Arial"/>
          <w:bCs/>
          <w:sz w:val="20"/>
          <w:szCs w:val="20"/>
        </w:rPr>
        <w:t xml:space="preserve"> Committee reiterated its concern with respect to the challenges experienced by the Department in paying 100 per</w:t>
      </w:r>
      <w:r w:rsidR="00136C65" w:rsidRPr="00603B95">
        <w:rPr>
          <w:rFonts w:ascii="Arial" w:hAnsi="Arial" w:cs="Arial"/>
          <w:bCs/>
          <w:sz w:val="20"/>
          <w:szCs w:val="20"/>
        </w:rPr>
        <w:t xml:space="preserve"> </w:t>
      </w:r>
      <w:r w:rsidR="00FB32E2" w:rsidRPr="00603B95">
        <w:rPr>
          <w:rFonts w:ascii="Arial" w:hAnsi="Arial" w:cs="Arial"/>
          <w:bCs/>
          <w:sz w:val="20"/>
          <w:szCs w:val="20"/>
        </w:rPr>
        <w:t>cent</w:t>
      </w:r>
      <w:r w:rsidR="00364CC4" w:rsidRPr="00603B95">
        <w:rPr>
          <w:rFonts w:ascii="Arial" w:hAnsi="Arial" w:cs="Arial"/>
          <w:bCs/>
          <w:sz w:val="20"/>
          <w:szCs w:val="20"/>
        </w:rPr>
        <w:t xml:space="preserve"> of</w:t>
      </w:r>
      <w:r w:rsidR="00FB32E2" w:rsidRPr="00603B95">
        <w:rPr>
          <w:rFonts w:ascii="Arial" w:hAnsi="Arial" w:cs="Arial"/>
          <w:bCs/>
          <w:sz w:val="20"/>
          <w:szCs w:val="20"/>
        </w:rPr>
        <w:t xml:space="preserve"> valid invoices to suppliers within 30 days. It further noted that the delays </w:t>
      </w:r>
      <w:r w:rsidRPr="00603B95">
        <w:rPr>
          <w:rFonts w:ascii="Arial" w:hAnsi="Arial" w:cs="Arial"/>
          <w:bCs/>
          <w:sz w:val="20"/>
          <w:szCs w:val="20"/>
        </w:rPr>
        <w:t xml:space="preserve">in </w:t>
      </w:r>
      <w:r w:rsidR="00FB32E2" w:rsidRPr="00603B95">
        <w:rPr>
          <w:rFonts w:ascii="Arial" w:hAnsi="Arial" w:cs="Arial"/>
          <w:bCs/>
          <w:sz w:val="20"/>
          <w:szCs w:val="20"/>
        </w:rPr>
        <w:t>paying invoices to small and emerging enterprises ha</w:t>
      </w:r>
      <w:r w:rsidR="00136C65" w:rsidRPr="00603B95">
        <w:rPr>
          <w:rFonts w:ascii="Arial" w:hAnsi="Arial" w:cs="Arial"/>
          <w:bCs/>
          <w:sz w:val="20"/>
          <w:szCs w:val="20"/>
        </w:rPr>
        <w:t xml:space="preserve">ve a </w:t>
      </w:r>
      <w:r w:rsidR="00FB32E2" w:rsidRPr="00603B95">
        <w:rPr>
          <w:rFonts w:ascii="Arial" w:hAnsi="Arial" w:cs="Arial"/>
          <w:bCs/>
          <w:sz w:val="20"/>
          <w:szCs w:val="20"/>
        </w:rPr>
        <w:t>detrimental impact on their sustainability.</w:t>
      </w:r>
    </w:p>
    <w:p w:rsidR="00FB32E2" w:rsidRPr="00603B95" w:rsidRDefault="00F17123" w:rsidP="00603B95">
      <w:pPr>
        <w:pStyle w:val="ListParagraph"/>
        <w:spacing w:after="0" w:line="240" w:lineRule="auto"/>
        <w:ind w:left="709" w:hanging="709"/>
        <w:rPr>
          <w:rFonts w:ascii="Arial" w:hAnsi="Arial" w:cs="Arial"/>
          <w:bCs/>
          <w:sz w:val="20"/>
          <w:szCs w:val="20"/>
        </w:rPr>
      </w:pPr>
      <w:r w:rsidRPr="00603B95">
        <w:rPr>
          <w:rFonts w:ascii="Arial" w:hAnsi="Arial" w:cs="Arial"/>
          <w:bCs/>
          <w:sz w:val="20"/>
          <w:szCs w:val="20"/>
        </w:rPr>
        <w:t xml:space="preserve">3.1.3 </w:t>
      </w:r>
      <w:r w:rsidRPr="00603B95">
        <w:rPr>
          <w:rFonts w:ascii="Arial" w:hAnsi="Arial" w:cs="Arial"/>
          <w:bCs/>
          <w:sz w:val="20"/>
          <w:szCs w:val="20"/>
        </w:rPr>
        <w:tab/>
        <w:t>Concerns</w:t>
      </w:r>
      <w:r w:rsidR="00FB32E2" w:rsidRPr="00603B95">
        <w:rPr>
          <w:rFonts w:ascii="Arial" w:hAnsi="Arial" w:cs="Arial"/>
          <w:bCs/>
          <w:sz w:val="20"/>
          <w:szCs w:val="20"/>
        </w:rPr>
        <w:t xml:space="preserve"> were raised in relation to the non-achievement of the target </w:t>
      </w:r>
      <w:r w:rsidR="00C706A6" w:rsidRPr="00603B95">
        <w:rPr>
          <w:rFonts w:ascii="Arial" w:hAnsi="Arial" w:cs="Arial"/>
          <w:bCs/>
          <w:sz w:val="20"/>
          <w:szCs w:val="20"/>
        </w:rPr>
        <w:t xml:space="preserve">of </w:t>
      </w:r>
      <w:r w:rsidR="00FB32E2" w:rsidRPr="00603B95">
        <w:rPr>
          <w:rFonts w:ascii="Arial" w:hAnsi="Arial" w:cs="Arial"/>
          <w:bCs/>
          <w:sz w:val="20"/>
          <w:szCs w:val="20"/>
        </w:rPr>
        <w:t>40 per</w:t>
      </w:r>
      <w:r w:rsidR="00C706A6" w:rsidRPr="00603B95">
        <w:rPr>
          <w:rFonts w:ascii="Arial" w:hAnsi="Arial" w:cs="Arial"/>
          <w:bCs/>
          <w:sz w:val="20"/>
          <w:szCs w:val="20"/>
        </w:rPr>
        <w:t xml:space="preserve"> </w:t>
      </w:r>
      <w:r w:rsidR="00FB32E2" w:rsidRPr="00603B95">
        <w:rPr>
          <w:rFonts w:ascii="Arial" w:hAnsi="Arial" w:cs="Arial"/>
          <w:bCs/>
          <w:sz w:val="20"/>
          <w:szCs w:val="20"/>
        </w:rPr>
        <w:t xml:space="preserve">cent of public procurement spent on </w:t>
      </w:r>
      <w:r w:rsidR="00C706A6" w:rsidRPr="00603B95">
        <w:rPr>
          <w:rFonts w:ascii="Arial" w:hAnsi="Arial" w:cs="Arial"/>
          <w:bCs/>
          <w:sz w:val="20"/>
          <w:szCs w:val="20"/>
        </w:rPr>
        <w:t>women-</w:t>
      </w:r>
      <w:r w:rsidR="00FB32E2" w:rsidRPr="00603B95">
        <w:rPr>
          <w:rFonts w:ascii="Arial" w:hAnsi="Arial" w:cs="Arial"/>
          <w:bCs/>
          <w:sz w:val="20"/>
          <w:szCs w:val="20"/>
        </w:rPr>
        <w:t>owned businesses</w:t>
      </w:r>
      <w:r w:rsidRPr="00603B95">
        <w:rPr>
          <w:rFonts w:ascii="Arial" w:hAnsi="Arial" w:cs="Arial"/>
          <w:bCs/>
          <w:sz w:val="20"/>
          <w:szCs w:val="20"/>
        </w:rPr>
        <w:t>, which was due to the lack of enabling Preferential Procurement legislation and that the current reporting standard is cumbersome and labour intensive to calculate the percentage procurement as it is based on expenditure</w:t>
      </w:r>
      <w:r w:rsidR="00FB32E2" w:rsidRPr="00603B95">
        <w:rPr>
          <w:rFonts w:ascii="Arial" w:hAnsi="Arial" w:cs="Arial"/>
          <w:bCs/>
          <w:sz w:val="20"/>
          <w:szCs w:val="20"/>
        </w:rPr>
        <w:t xml:space="preserve">. </w:t>
      </w:r>
      <w:r w:rsidRPr="00603B95">
        <w:rPr>
          <w:rFonts w:ascii="Arial" w:hAnsi="Arial" w:cs="Arial"/>
          <w:bCs/>
          <w:sz w:val="20"/>
          <w:szCs w:val="20"/>
        </w:rPr>
        <w:t>The Department noted that the legal impediment has been addressed and this will contribute to the achievement of the target.</w:t>
      </w:r>
    </w:p>
    <w:p w:rsidR="00FB32E2" w:rsidRPr="00603B95" w:rsidRDefault="00F17123" w:rsidP="00603B95">
      <w:pPr>
        <w:pStyle w:val="ListParagraph"/>
        <w:spacing w:after="0" w:line="240" w:lineRule="auto"/>
        <w:ind w:left="709" w:hanging="709"/>
        <w:rPr>
          <w:rFonts w:ascii="Arial" w:hAnsi="Arial" w:cs="Arial"/>
          <w:bCs/>
          <w:sz w:val="20"/>
          <w:szCs w:val="20"/>
        </w:rPr>
      </w:pPr>
      <w:r w:rsidRPr="00603B95">
        <w:rPr>
          <w:rFonts w:ascii="Arial" w:hAnsi="Arial" w:cs="Arial"/>
          <w:bCs/>
          <w:sz w:val="20"/>
          <w:szCs w:val="20"/>
        </w:rPr>
        <w:t xml:space="preserve">3.1.4 </w:t>
      </w:r>
      <w:r w:rsidRPr="00603B95">
        <w:rPr>
          <w:rFonts w:ascii="Arial" w:hAnsi="Arial" w:cs="Arial"/>
          <w:bCs/>
          <w:sz w:val="20"/>
          <w:szCs w:val="20"/>
        </w:rPr>
        <w:tab/>
        <w:t>The</w:t>
      </w:r>
      <w:r w:rsidR="00FB32E2" w:rsidRPr="00603B95">
        <w:rPr>
          <w:rFonts w:ascii="Arial" w:hAnsi="Arial" w:cs="Arial"/>
          <w:bCs/>
          <w:sz w:val="20"/>
          <w:szCs w:val="20"/>
        </w:rPr>
        <w:t xml:space="preserve"> Committee was concerned that some of the </w:t>
      </w:r>
      <w:r w:rsidRPr="00603B95">
        <w:rPr>
          <w:rFonts w:ascii="Arial" w:hAnsi="Arial" w:cs="Arial"/>
          <w:bCs/>
          <w:sz w:val="20"/>
          <w:szCs w:val="20"/>
        </w:rPr>
        <w:t>office space</w:t>
      </w:r>
      <w:r w:rsidR="00C306B2" w:rsidRPr="00603B95">
        <w:rPr>
          <w:rFonts w:ascii="Arial" w:hAnsi="Arial" w:cs="Arial"/>
          <w:bCs/>
          <w:sz w:val="20"/>
          <w:szCs w:val="20"/>
        </w:rPr>
        <w:t>s</w:t>
      </w:r>
      <w:r w:rsidRPr="00603B95">
        <w:rPr>
          <w:rFonts w:ascii="Arial" w:hAnsi="Arial" w:cs="Arial"/>
          <w:bCs/>
          <w:sz w:val="20"/>
          <w:szCs w:val="20"/>
        </w:rPr>
        <w:t xml:space="preserve"> </w:t>
      </w:r>
      <w:r w:rsidR="00FB32E2" w:rsidRPr="00603B95">
        <w:rPr>
          <w:rFonts w:ascii="Arial" w:hAnsi="Arial" w:cs="Arial"/>
          <w:bCs/>
          <w:sz w:val="20"/>
          <w:szCs w:val="20"/>
        </w:rPr>
        <w:t>of the Department were not equipped with generators to mitigate against the impact of load shedding</w:t>
      </w:r>
      <w:r w:rsidRPr="00603B95">
        <w:rPr>
          <w:rFonts w:ascii="Arial" w:hAnsi="Arial" w:cs="Arial"/>
          <w:bCs/>
          <w:sz w:val="20"/>
          <w:szCs w:val="20"/>
        </w:rPr>
        <w:t>,</w:t>
      </w:r>
      <w:r w:rsidR="00FB32E2" w:rsidRPr="00603B95">
        <w:rPr>
          <w:rFonts w:ascii="Arial" w:hAnsi="Arial" w:cs="Arial"/>
          <w:bCs/>
          <w:sz w:val="20"/>
          <w:szCs w:val="20"/>
        </w:rPr>
        <w:t xml:space="preserve"> which disrupts network connectivity and other related operations.</w:t>
      </w:r>
      <w:r w:rsidRPr="00603B95">
        <w:rPr>
          <w:rFonts w:ascii="Arial" w:hAnsi="Arial" w:cs="Arial"/>
          <w:bCs/>
          <w:sz w:val="20"/>
          <w:szCs w:val="20"/>
        </w:rPr>
        <w:t xml:space="preserve"> The Department reported that due </w:t>
      </w:r>
      <w:r w:rsidR="00136C65" w:rsidRPr="00603B95">
        <w:rPr>
          <w:rFonts w:ascii="Arial" w:hAnsi="Arial" w:cs="Arial"/>
          <w:bCs/>
          <w:sz w:val="20"/>
          <w:szCs w:val="20"/>
        </w:rPr>
        <w:t xml:space="preserve">to </w:t>
      </w:r>
      <w:r w:rsidRPr="00603B95">
        <w:rPr>
          <w:rFonts w:ascii="Arial" w:hAnsi="Arial" w:cs="Arial"/>
          <w:bCs/>
          <w:sz w:val="20"/>
          <w:szCs w:val="20"/>
        </w:rPr>
        <w:t xml:space="preserve">its planned office relocation to the Council for Scientific </w:t>
      </w:r>
      <w:r w:rsidR="0057430C" w:rsidRPr="00603B95">
        <w:rPr>
          <w:rFonts w:ascii="Arial" w:hAnsi="Arial" w:cs="Arial"/>
          <w:bCs/>
          <w:sz w:val="20"/>
          <w:szCs w:val="20"/>
        </w:rPr>
        <w:t>and Industrial Research (CSIR), it had to halt the purchas</w:t>
      </w:r>
      <w:r w:rsidR="00136C65" w:rsidRPr="00603B95">
        <w:rPr>
          <w:rFonts w:ascii="Arial" w:hAnsi="Arial" w:cs="Arial"/>
          <w:bCs/>
          <w:sz w:val="20"/>
          <w:szCs w:val="20"/>
        </w:rPr>
        <w:t>e</w:t>
      </w:r>
      <w:r w:rsidR="0057430C" w:rsidRPr="00603B95">
        <w:rPr>
          <w:rFonts w:ascii="Arial" w:hAnsi="Arial" w:cs="Arial"/>
          <w:bCs/>
          <w:sz w:val="20"/>
          <w:szCs w:val="20"/>
        </w:rPr>
        <w:t xml:space="preserve"> of generators.</w:t>
      </w:r>
    </w:p>
    <w:p w:rsidR="00B868E2" w:rsidRPr="00603B95" w:rsidRDefault="00B868E2" w:rsidP="00603B95">
      <w:pPr>
        <w:pStyle w:val="ListParagraph"/>
        <w:spacing w:after="0" w:line="240" w:lineRule="auto"/>
        <w:ind w:left="709" w:hanging="709"/>
        <w:rPr>
          <w:rFonts w:ascii="Arial" w:hAnsi="Arial" w:cs="Arial"/>
          <w:bCs/>
          <w:sz w:val="20"/>
          <w:szCs w:val="20"/>
        </w:rPr>
      </w:pPr>
      <w:r w:rsidRPr="00603B95">
        <w:rPr>
          <w:rFonts w:ascii="Arial" w:hAnsi="Arial" w:cs="Arial"/>
          <w:bCs/>
          <w:sz w:val="20"/>
          <w:szCs w:val="20"/>
        </w:rPr>
        <w:t>3.1.5 The Committee was concerned about the Department’s communication strategy to inform the public about its good stories and similar opportunities that are available to young people and adults in the PSET system.</w:t>
      </w:r>
      <w:r w:rsidR="0074518D" w:rsidRPr="00603B95">
        <w:rPr>
          <w:rFonts w:ascii="Arial" w:hAnsi="Arial" w:cs="Arial"/>
          <w:bCs/>
          <w:sz w:val="20"/>
          <w:szCs w:val="20"/>
        </w:rPr>
        <w:t xml:space="preserve"> An example </w:t>
      </w:r>
      <w:r w:rsidR="00136C65" w:rsidRPr="00603B95">
        <w:rPr>
          <w:rFonts w:ascii="Arial" w:hAnsi="Arial" w:cs="Arial"/>
          <w:bCs/>
          <w:sz w:val="20"/>
          <w:szCs w:val="20"/>
        </w:rPr>
        <w:t xml:space="preserve">was </w:t>
      </w:r>
      <w:r w:rsidR="0074518D" w:rsidRPr="00603B95">
        <w:rPr>
          <w:rFonts w:ascii="Arial" w:hAnsi="Arial" w:cs="Arial"/>
          <w:bCs/>
          <w:sz w:val="20"/>
          <w:szCs w:val="20"/>
        </w:rPr>
        <w:t>the National Skills Fund (NSF) bursary programme</w:t>
      </w:r>
      <w:r w:rsidR="0057430C" w:rsidRPr="00603B95">
        <w:rPr>
          <w:rFonts w:ascii="Arial" w:hAnsi="Arial" w:cs="Arial"/>
          <w:bCs/>
          <w:sz w:val="20"/>
          <w:szCs w:val="20"/>
        </w:rPr>
        <w:t>,</w:t>
      </w:r>
      <w:r w:rsidR="0074518D" w:rsidRPr="00603B95">
        <w:rPr>
          <w:rFonts w:ascii="Arial" w:hAnsi="Arial" w:cs="Arial"/>
          <w:bCs/>
          <w:sz w:val="20"/>
          <w:szCs w:val="20"/>
        </w:rPr>
        <w:t xml:space="preserve"> which assisted </w:t>
      </w:r>
      <w:r w:rsidR="00136C65" w:rsidRPr="00603B95">
        <w:rPr>
          <w:rFonts w:ascii="Arial" w:hAnsi="Arial" w:cs="Arial"/>
          <w:bCs/>
          <w:sz w:val="20"/>
          <w:szCs w:val="20"/>
        </w:rPr>
        <w:t xml:space="preserve">a lot of </w:t>
      </w:r>
      <w:r w:rsidR="0074518D" w:rsidRPr="00603B95">
        <w:rPr>
          <w:rFonts w:ascii="Arial" w:hAnsi="Arial" w:cs="Arial"/>
          <w:bCs/>
          <w:sz w:val="20"/>
          <w:szCs w:val="20"/>
        </w:rPr>
        <w:t>beneficiaries from rural areas to achieve their dreams</w:t>
      </w:r>
      <w:r w:rsidR="00136C65" w:rsidRPr="00603B95">
        <w:rPr>
          <w:rFonts w:ascii="Arial" w:hAnsi="Arial" w:cs="Arial"/>
          <w:bCs/>
          <w:sz w:val="20"/>
          <w:szCs w:val="20"/>
        </w:rPr>
        <w:t xml:space="preserve"> and some are accountants</w:t>
      </w:r>
      <w:r w:rsidR="0074518D" w:rsidRPr="00603B95">
        <w:rPr>
          <w:rFonts w:ascii="Arial" w:hAnsi="Arial" w:cs="Arial"/>
          <w:bCs/>
          <w:sz w:val="20"/>
          <w:szCs w:val="20"/>
        </w:rPr>
        <w:t>.</w:t>
      </w:r>
    </w:p>
    <w:p w:rsidR="002E51BF" w:rsidRPr="00603B95" w:rsidRDefault="00F17123" w:rsidP="00603B95">
      <w:pPr>
        <w:pStyle w:val="ListParagraph"/>
        <w:spacing w:after="0" w:line="240" w:lineRule="auto"/>
        <w:ind w:left="709" w:hanging="709"/>
        <w:rPr>
          <w:rFonts w:ascii="Arial" w:hAnsi="Arial" w:cs="Arial"/>
          <w:bCs/>
          <w:sz w:val="20"/>
          <w:szCs w:val="20"/>
        </w:rPr>
      </w:pPr>
      <w:r w:rsidRPr="00603B95">
        <w:rPr>
          <w:rFonts w:ascii="Arial" w:hAnsi="Arial" w:cs="Arial"/>
          <w:bCs/>
          <w:sz w:val="20"/>
          <w:szCs w:val="20"/>
        </w:rPr>
        <w:t xml:space="preserve">3.1.6 </w:t>
      </w:r>
      <w:r w:rsidR="00A26D3A" w:rsidRPr="00603B95">
        <w:rPr>
          <w:rFonts w:ascii="Arial" w:hAnsi="Arial" w:cs="Arial"/>
          <w:bCs/>
          <w:sz w:val="20"/>
          <w:szCs w:val="20"/>
        </w:rPr>
        <w:t xml:space="preserve"> </w:t>
      </w:r>
      <w:r w:rsidRPr="00603B95">
        <w:rPr>
          <w:rFonts w:ascii="Arial" w:hAnsi="Arial" w:cs="Arial"/>
          <w:bCs/>
          <w:sz w:val="20"/>
          <w:szCs w:val="20"/>
        </w:rPr>
        <w:t>The</w:t>
      </w:r>
      <w:r w:rsidR="002E51BF" w:rsidRPr="00603B95">
        <w:rPr>
          <w:rFonts w:ascii="Arial" w:hAnsi="Arial" w:cs="Arial"/>
          <w:bCs/>
          <w:sz w:val="20"/>
          <w:szCs w:val="20"/>
        </w:rPr>
        <w:t xml:space="preserve"> recurring challenge related to the delays in the processing of claims from TVET colleges Examiners and Moderators remain a serious challenge for the Department. This problem further contributes to underspending of the Department’s budget annually. </w:t>
      </w:r>
    </w:p>
    <w:p w:rsidR="00D21150" w:rsidRPr="00603B95" w:rsidRDefault="00D21150" w:rsidP="00603B95">
      <w:pPr>
        <w:pStyle w:val="ListParagraph"/>
        <w:spacing w:after="0" w:line="240" w:lineRule="auto"/>
        <w:ind w:left="709" w:hanging="709"/>
        <w:rPr>
          <w:rFonts w:ascii="Arial" w:hAnsi="Arial" w:cs="Arial"/>
          <w:bCs/>
          <w:sz w:val="20"/>
          <w:szCs w:val="20"/>
        </w:rPr>
      </w:pPr>
    </w:p>
    <w:p w:rsidR="00F73C0C" w:rsidRPr="00603B95" w:rsidRDefault="00F73C0C" w:rsidP="00603B95">
      <w:pPr>
        <w:pStyle w:val="ListParagraph"/>
        <w:spacing w:after="0" w:line="240" w:lineRule="auto"/>
        <w:ind w:left="0"/>
        <w:rPr>
          <w:rFonts w:ascii="Arial" w:hAnsi="Arial" w:cs="Arial"/>
          <w:b/>
          <w:sz w:val="20"/>
          <w:szCs w:val="20"/>
        </w:rPr>
      </w:pPr>
      <w:r w:rsidRPr="00603B95">
        <w:rPr>
          <w:rFonts w:ascii="Arial" w:hAnsi="Arial" w:cs="Arial"/>
          <w:b/>
          <w:sz w:val="20"/>
          <w:szCs w:val="20"/>
        </w:rPr>
        <w:t xml:space="preserve">3.2. </w:t>
      </w:r>
      <w:r w:rsidR="00A431B5" w:rsidRPr="00603B95">
        <w:rPr>
          <w:rFonts w:ascii="Arial" w:hAnsi="Arial" w:cs="Arial"/>
          <w:b/>
          <w:sz w:val="20"/>
          <w:szCs w:val="20"/>
        </w:rPr>
        <w:t xml:space="preserve">Programme 2: </w:t>
      </w:r>
      <w:r w:rsidRPr="00603B95">
        <w:rPr>
          <w:rFonts w:ascii="Arial" w:hAnsi="Arial" w:cs="Arial"/>
          <w:b/>
          <w:sz w:val="20"/>
          <w:szCs w:val="20"/>
        </w:rPr>
        <w:t>Planning, Policy and Strategy</w:t>
      </w:r>
    </w:p>
    <w:p w:rsidR="00192EE8" w:rsidRPr="00603B95" w:rsidRDefault="007B34B8"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3.2.1.</w:t>
      </w:r>
      <w:r w:rsidRPr="00603B95">
        <w:rPr>
          <w:rFonts w:ascii="Arial" w:hAnsi="Arial" w:cs="Arial"/>
          <w:sz w:val="20"/>
          <w:szCs w:val="20"/>
        </w:rPr>
        <w:tab/>
      </w:r>
      <w:r w:rsidR="008664C8" w:rsidRPr="00603B95">
        <w:rPr>
          <w:rFonts w:ascii="Arial" w:hAnsi="Arial" w:cs="Arial"/>
          <w:sz w:val="20"/>
          <w:szCs w:val="20"/>
        </w:rPr>
        <w:t xml:space="preserve">The overall performance of the Department </w:t>
      </w:r>
      <w:r w:rsidR="00612BAC" w:rsidRPr="00603B95">
        <w:rPr>
          <w:rFonts w:ascii="Arial" w:hAnsi="Arial" w:cs="Arial"/>
          <w:sz w:val="20"/>
          <w:szCs w:val="20"/>
        </w:rPr>
        <w:t>(</w:t>
      </w:r>
      <w:r w:rsidR="008664C8" w:rsidRPr="00603B95">
        <w:rPr>
          <w:rFonts w:ascii="Arial" w:hAnsi="Arial" w:cs="Arial"/>
          <w:sz w:val="20"/>
          <w:szCs w:val="20"/>
        </w:rPr>
        <w:t>57 per</w:t>
      </w:r>
      <w:r w:rsidR="0057430C" w:rsidRPr="00603B95">
        <w:rPr>
          <w:rFonts w:ascii="Arial" w:hAnsi="Arial" w:cs="Arial"/>
          <w:sz w:val="20"/>
          <w:szCs w:val="20"/>
        </w:rPr>
        <w:t xml:space="preserve"> </w:t>
      </w:r>
      <w:r w:rsidR="008664C8" w:rsidRPr="00603B95">
        <w:rPr>
          <w:rFonts w:ascii="Arial" w:hAnsi="Arial" w:cs="Arial"/>
          <w:sz w:val="20"/>
          <w:szCs w:val="20"/>
        </w:rPr>
        <w:t>cent</w:t>
      </w:r>
      <w:r w:rsidR="00612BAC" w:rsidRPr="00603B95">
        <w:rPr>
          <w:rFonts w:ascii="Arial" w:hAnsi="Arial" w:cs="Arial"/>
          <w:sz w:val="20"/>
          <w:szCs w:val="20"/>
        </w:rPr>
        <w:t>) during the quarter under review</w:t>
      </w:r>
      <w:r w:rsidR="008664C8" w:rsidRPr="00603B95">
        <w:rPr>
          <w:rFonts w:ascii="Arial" w:hAnsi="Arial" w:cs="Arial"/>
          <w:sz w:val="20"/>
          <w:szCs w:val="20"/>
        </w:rPr>
        <w:t xml:space="preserve"> was noted as a concern by the Committee</w:t>
      </w:r>
      <w:r w:rsidR="00612BAC" w:rsidRPr="00603B95">
        <w:rPr>
          <w:rFonts w:ascii="Arial" w:hAnsi="Arial" w:cs="Arial"/>
          <w:sz w:val="20"/>
          <w:szCs w:val="20"/>
        </w:rPr>
        <w:t>. It was noted that the performance of the Department has been inconsistent during</w:t>
      </w:r>
      <w:r w:rsidR="00A068F3" w:rsidRPr="00603B95">
        <w:rPr>
          <w:rFonts w:ascii="Arial" w:hAnsi="Arial" w:cs="Arial"/>
          <w:sz w:val="20"/>
          <w:szCs w:val="20"/>
        </w:rPr>
        <w:t xml:space="preserve"> the</w:t>
      </w:r>
      <w:r w:rsidR="00612BAC" w:rsidRPr="00603B95">
        <w:rPr>
          <w:rFonts w:ascii="Arial" w:hAnsi="Arial" w:cs="Arial"/>
          <w:sz w:val="20"/>
          <w:szCs w:val="20"/>
        </w:rPr>
        <w:t xml:space="preserve"> 2022/23 financial year, and there were similar reasons for deviations.</w:t>
      </w:r>
    </w:p>
    <w:p w:rsidR="00612BAC" w:rsidRPr="00603B95" w:rsidRDefault="00612BAC"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3.2.2 The Committee noted that there is inadequate consequence management implemented by the Department to combat underperformance in its core delivery programmes.</w:t>
      </w:r>
    </w:p>
    <w:p w:rsidR="00AC03F4" w:rsidRPr="00603B95" w:rsidRDefault="00AC03F4"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3.2.3 The Committee noted that the</w:t>
      </w:r>
      <w:r w:rsidR="00A26D3A" w:rsidRPr="00603B95">
        <w:rPr>
          <w:rFonts w:ascii="Arial" w:hAnsi="Arial" w:cs="Arial"/>
          <w:sz w:val="20"/>
          <w:szCs w:val="20"/>
        </w:rPr>
        <w:t xml:space="preserve"> National Qualifications Framework</w:t>
      </w:r>
      <w:r w:rsidRPr="00603B95">
        <w:rPr>
          <w:rFonts w:ascii="Arial" w:hAnsi="Arial" w:cs="Arial"/>
          <w:sz w:val="20"/>
          <w:szCs w:val="20"/>
        </w:rPr>
        <w:t xml:space="preserve"> </w:t>
      </w:r>
      <w:r w:rsidR="00A26D3A" w:rsidRPr="00603B95">
        <w:rPr>
          <w:rFonts w:ascii="Arial" w:hAnsi="Arial" w:cs="Arial"/>
          <w:sz w:val="20"/>
          <w:szCs w:val="20"/>
        </w:rPr>
        <w:t>(</w:t>
      </w:r>
      <w:r w:rsidRPr="00603B95">
        <w:rPr>
          <w:rFonts w:ascii="Arial" w:hAnsi="Arial" w:cs="Arial"/>
          <w:sz w:val="20"/>
          <w:szCs w:val="20"/>
        </w:rPr>
        <w:t>NQF</w:t>
      </w:r>
      <w:r w:rsidR="00A26D3A" w:rsidRPr="00603B95">
        <w:rPr>
          <w:rFonts w:ascii="Arial" w:hAnsi="Arial" w:cs="Arial"/>
          <w:sz w:val="20"/>
          <w:szCs w:val="20"/>
        </w:rPr>
        <w:t>)</w:t>
      </w:r>
      <w:r w:rsidRPr="00603B95">
        <w:rPr>
          <w:rFonts w:ascii="Arial" w:hAnsi="Arial" w:cs="Arial"/>
          <w:sz w:val="20"/>
          <w:szCs w:val="20"/>
        </w:rPr>
        <w:t xml:space="preserve"> Amendment Bill has been approved by the Minister for amendment. However, the Committee was concerned about the delays in the promulgation of the NQF Amendment Act, 2019 by the President.</w:t>
      </w:r>
    </w:p>
    <w:p w:rsidR="00AC03F4" w:rsidRPr="00603B95" w:rsidRDefault="00A068F3"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lastRenderedPageBreak/>
        <w:t>3.2.4 It</w:t>
      </w:r>
      <w:r w:rsidR="0074518D" w:rsidRPr="00603B95">
        <w:rPr>
          <w:rFonts w:ascii="Arial" w:hAnsi="Arial" w:cs="Arial"/>
          <w:sz w:val="20"/>
          <w:szCs w:val="20"/>
        </w:rPr>
        <w:t xml:space="preserve"> was noted that the planning of some of the Department’s targets was unrealistic and this affect</w:t>
      </w:r>
      <w:r w:rsidRPr="00603B95">
        <w:rPr>
          <w:rFonts w:ascii="Arial" w:hAnsi="Arial" w:cs="Arial"/>
          <w:sz w:val="20"/>
          <w:szCs w:val="20"/>
        </w:rPr>
        <w:t>ed</w:t>
      </w:r>
      <w:r w:rsidR="0074518D" w:rsidRPr="00603B95">
        <w:rPr>
          <w:rFonts w:ascii="Arial" w:hAnsi="Arial" w:cs="Arial"/>
          <w:sz w:val="20"/>
          <w:szCs w:val="20"/>
        </w:rPr>
        <w:t xml:space="preserve"> its </w:t>
      </w:r>
      <w:r w:rsidRPr="00603B95">
        <w:rPr>
          <w:rFonts w:ascii="Arial" w:hAnsi="Arial" w:cs="Arial"/>
          <w:sz w:val="20"/>
          <w:szCs w:val="20"/>
        </w:rPr>
        <w:t xml:space="preserve">quarterly </w:t>
      </w:r>
      <w:r w:rsidR="0074518D" w:rsidRPr="00603B95">
        <w:rPr>
          <w:rFonts w:ascii="Arial" w:hAnsi="Arial" w:cs="Arial"/>
          <w:sz w:val="20"/>
          <w:szCs w:val="20"/>
        </w:rPr>
        <w:t>performance.</w:t>
      </w:r>
    </w:p>
    <w:p w:rsidR="0030053B" w:rsidRPr="00603B95" w:rsidRDefault="0030053B"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3.2.5 The Committee </w:t>
      </w:r>
      <w:r w:rsidR="00BF022C" w:rsidRPr="00603B95">
        <w:rPr>
          <w:rFonts w:ascii="Arial" w:hAnsi="Arial" w:cs="Arial"/>
          <w:sz w:val="20"/>
          <w:szCs w:val="20"/>
        </w:rPr>
        <w:t>note</w:t>
      </w:r>
      <w:r w:rsidRPr="00603B95">
        <w:rPr>
          <w:rFonts w:ascii="Arial" w:hAnsi="Arial" w:cs="Arial"/>
          <w:sz w:val="20"/>
          <w:szCs w:val="20"/>
        </w:rPr>
        <w:t>d the approval of the E-learning/Open Learning Strategy in the PSET system as this will provide guidelines on the roll-out of blended learning in the PSET system. The Committee also requested the Department to brief it on this strategy in the near future.</w:t>
      </w:r>
    </w:p>
    <w:p w:rsidR="00957DDA" w:rsidRPr="00603B95" w:rsidRDefault="00957DDA" w:rsidP="00603B95">
      <w:pPr>
        <w:autoSpaceDN w:val="0"/>
        <w:spacing w:after="0" w:line="240" w:lineRule="auto"/>
        <w:rPr>
          <w:rFonts w:ascii="Arial" w:hAnsi="Arial" w:cs="Arial"/>
          <w:b/>
          <w:sz w:val="20"/>
          <w:szCs w:val="20"/>
        </w:rPr>
      </w:pPr>
      <w:r w:rsidRPr="00603B95">
        <w:rPr>
          <w:rFonts w:ascii="Arial" w:hAnsi="Arial" w:cs="Arial"/>
          <w:b/>
          <w:sz w:val="20"/>
          <w:szCs w:val="20"/>
        </w:rPr>
        <w:t xml:space="preserve">3.3. </w:t>
      </w:r>
      <w:r w:rsidR="00E84951" w:rsidRPr="00603B95">
        <w:rPr>
          <w:rFonts w:ascii="Arial" w:hAnsi="Arial" w:cs="Arial"/>
          <w:b/>
          <w:sz w:val="20"/>
          <w:szCs w:val="20"/>
        </w:rPr>
        <w:t>Programme 3: University Education</w:t>
      </w:r>
    </w:p>
    <w:p w:rsidR="0037523F" w:rsidRPr="00603B95" w:rsidRDefault="00957DDA" w:rsidP="00603B95">
      <w:pPr>
        <w:pStyle w:val="ListParagraph"/>
        <w:spacing w:after="0" w:line="240" w:lineRule="auto"/>
        <w:ind w:left="709" w:hanging="709"/>
        <w:rPr>
          <w:rFonts w:ascii="Arial" w:hAnsi="Arial" w:cs="Arial"/>
          <w:sz w:val="20"/>
          <w:szCs w:val="20"/>
        </w:rPr>
      </w:pPr>
      <w:r w:rsidRPr="00603B95">
        <w:rPr>
          <w:rFonts w:ascii="Arial" w:hAnsi="Arial" w:cs="Arial"/>
          <w:sz w:val="20"/>
          <w:szCs w:val="20"/>
        </w:rPr>
        <w:t>3.</w:t>
      </w:r>
      <w:r w:rsidR="00011753" w:rsidRPr="00603B95">
        <w:rPr>
          <w:rFonts w:ascii="Arial" w:hAnsi="Arial" w:cs="Arial"/>
          <w:sz w:val="20"/>
          <w:szCs w:val="20"/>
        </w:rPr>
        <w:t>3</w:t>
      </w:r>
      <w:r w:rsidRPr="00603B95">
        <w:rPr>
          <w:rFonts w:ascii="Arial" w:hAnsi="Arial" w:cs="Arial"/>
          <w:sz w:val="20"/>
          <w:szCs w:val="20"/>
        </w:rPr>
        <w:t xml:space="preserve">.1. </w:t>
      </w:r>
      <w:r w:rsidR="0074518D" w:rsidRPr="00603B95">
        <w:rPr>
          <w:rFonts w:ascii="Arial" w:hAnsi="Arial" w:cs="Arial"/>
          <w:sz w:val="20"/>
          <w:szCs w:val="20"/>
        </w:rPr>
        <w:t xml:space="preserve">The Committee welcomed the completion of the feasibility studies towards the establishment of </w:t>
      </w:r>
      <w:r w:rsidR="00A068F3" w:rsidRPr="00603B95">
        <w:rPr>
          <w:rFonts w:ascii="Arial" w:hAnsi="Arial" w:cs="Arial"/>
          <w:sz w:val="20"/>
          <w:szCs w:val="20"/>
        </w:rPr>
        <w:t xml:space="preserve">the </w:t>
      </w:r>
      <w:r w:rsidR="0074518D" w:rsidRPr="00603B95">
        <w:rPr>
          <w:rFonts w:ascii="Arial" w:hAnsi="Arial" w:cs="Arial"/>
          <w:sz w:val="20"/>
          <w:szCs w:val="20"/>
        </w:rPr>
        <w:t xml:space="preserve">two new universities (University of Crime Detection </w:t>
      </w:r>
      <w:r w:rsidR="00A068F3" w:rsidRPr="00603B95">
        <w:rPr>
          <w:rFonts w:ascii="Arial" w:hAnsi="Arial" w:cs="Arial"/>
          <w:sz w:val="20"/>
          <w:szCs w:val="20"/>
        </w:rPr>
        <w:t>Hammanskraal</w:t>
      </w:r>
      <w:r w:rsidR="0074518D" w:rsidRPr="00603B95">
        <w:rPr>
          <w:rFonts w:ascii="Arial" w:hAnsi="Arial" w:cs="Arial"/>
          <w:sz w:val="20"/>
          <w:szCs w:val="20"/>
        </w:rPr>
        <w:t xml:space="preserve"> and University </w:t>
      </w:r>
      <w:r w:rsidR="00EF1451" w:rsidRPr="00603B95">
        <w:rPr>
          <w:rFonts w:ascii="Arial" w:hAnsi="Arial" w:cs="Arial"/>
          <w:sz w:val="20"/>
          <w:szCs w:val="20"/>
        </w:rPr>
        <w:t>of</w:t>
      </w:r>
      <w:r w:rsidR="0074518D" w:rsidRPr="00603B95">
        <w:rPr>
          <w:rFonts w:ascii="Arial" w:hAnsi="Arial" w:cs="Arial"/>
          <w:sz w:val="20"/>
          <w:szCs w:val="20"/>
        </w:rPr>
        <w:t xml:space="preserve"> Science and Innovation Ekurhuleni) in Gauteng.</w:t>
      </w:r>
    </w:p>
    <w:p w:rsidR="0074518D" w:rsidRPr="00603B95" w:rsidRDefault="0074518D" w:rsidP="00603B95">
      <w:pPr>
        <w:pStyle w:val="ListParagraph"/>
        <w:spacing w:after="0" w:line="240" w:lineRule="auto"/>
        <w:ind w:left="709" w:hanging="709"/>
        <w:rPr>
          <w:rFonts w:ascii="Arial" w:hAnsi="Arial" w:cs="Arial"/>
          <w:sz w:val="20"/>
          <w:szCs w:val="20"/>
        </w:rPr>
      </w:pPr>
      <w:r w:rsidRPr="00603B95">
        <w:rPr>
          <w:rFonts w:ascii="Arial" w:hAnsi="Arial" w:cs="Arial"/>
          <w:sz w:val="20"/>
          <w:szCs w:val="20"/>
        </w:rPr>
        <w:t xml:space="preserve">3.3.2   The performance of the University Education </w:t>
      </w:r>
      <w:r w:rsidR="00EF1451" w:rsidRPr="00603B95">
        <w:rPr>
          <w:rFonts w:ascii="Arial" w:hAnsi="Arial" w:cs="Arial"/>
          <w:sz w:val="20"/>
          <w:szCs w:val="20"/>
        </w:rPr>
        <w:t>programme</w:t>
      </w:r>
      <w:r w:rsidRPr="00603B95">
        <w:rPr>
          <w:rFonts w:ascii="Arial" w:hAnsi="Arial" w:cs="Arial"/>
          <w:sz w:val="20"/>
          <w:szCs w:val="20"/>
        </w:rPr>
        <w:t xml:space="preserve"> (73 per</w:t>
      </w:r>
      <w:r w:rsidR="00C706A6" w:rsidRPr="00603B95">
        <w:rPr>
          <w:rFonts w:ascii="Arial" w:hAnsi="Arial" w:cs="Arial"/>
          <w:sz w:val="20"/>
          <w:szCs w:val="20"/>
        </w:rPr>
        <w:t xml:space="preserve"> </w:t>
      </w:r>
      <w:r w:rsidRPr="00603B95">
        <w:rPr>
          <w:rFonts w:ascii="Arial" w:hAnsi="Arial" w:cs="Arial"/>
          <w:sz w:val="20"/>
          <w:szCs w:val="20"/>
        </w:rPr>
        <w:t xml:space="preserve">cent) during the quarter under review was </w:t>
      </w:r>
      <w:r w:rsidR="00F62D27" w:rsidRPr="00603B95">
        <w:rPr>
          <w:rFonts w:ascii="Arial" w:hAnsi="Arial" w:cs="Arial"/>
          <w:sz w:val="20"/>
          <w:szCs w:val="20"/>
        </w:rPr>
        <w:t>welcom</w:t>
      </w:r>
      <w:r w:rsidRPr="00603B95">
        <w:rPr>
          <w:rFonts w:ascii="Arial" w:hAnsi="Arial" w:cs="Arial"/>
          <w:sz w:val="20"/>
          <w:szCs w:val="20"/>
        </w:rPr>
        <w:t>ed.</w:t>
      </w:r>
    </w:p>
    <w:p w:rsidR="00F62D27" w:rsidRPr="00603B95" w:rsidRDefault="00F62D27" w:rsidP="00603B95">
      <w:pPr>
        <w:pStyle w:val="ListParagraph"/>
        <w:spacing w:after="0" w:line="240" w:lineRule="auto"/>
        <w:ind w:left="709" w:hanging="709"/>
        <w:rPr>
          <w:rFonts w:ascii="Arial" w:hAnsi="Arial" w:cs="Arial"/>
          <w:b/>
          <w:sz w:val="20"/>
          <w:szCs w:val="20"/>
        </w:rPr>
      </w:pPr>
      <w:r w:rsidRPr="00603B95">
        <w:rPr>
          <w:rFonts w:ascii="Arial" w:hAnsi="Arial" w:cs="Arial"/>
          <w:sz w:val="20"/>
          <w:szCs w:val="20"/>
        </w:rPr>
        <w:t xml:space="preserve">3.3.3   The delays </w:t>
      </w:r>
      <w:r w:rsidR="00A068F3" w:rsidRPr="00603B95">
        <w:rPr>
          <w:rFonts w:ascii="Arial" w:hAnsi="Arial" w:cs="Arial"/>
          <w:sz w:val="20"/>
          <w:szCs w:val="20"/>
        </w:rPr>
        <w:t xml:space="preserve">in </w:t>
      </w:r>
      <w:r w:rsidRPr="00603B95">
        <w:rPr>
          <w:rFonts w:ascii="Arial" w:hAnsi="Arial" w:cs="Arial"/>
          <w:sz w:val="20"/>
          <w:szCs w:val="20"/>
        </w:rPr>
        <w:t xml:space="preserve">the release of funds that must form part of the financial component of the University Capacity Development Programme (UCDP) </w:t>
      </w:r>
      <w:r w:rsidR="00C706A6" w:rsidRPr="00603B95">
        <w:rPr>
          <w:rFonts w:ascii="Arial" w:hAnsi="Arial" w:cs="Arial"/>
          <w:sz w:val="20"/>
          <w:szCs w:val="20"/>
        </w:rPr>
        <w:t xml:space="preserve">were </w:t>
      </w:r>
      <w:r w:rsidRPr="00603B95">
        <w:rPr>
          <w:rFonts w:ascii="Arial" w:hAnsi="Arial" w:cs="Arial"/>
          <w:sz w:val="20"/>
          <w:szCs w:val="20"/>
        </w:rPr>
        <w:t>not</w:t>
      </w:r>
      <w:r w:rsidR="00A068F3" w:rsidRPr="00603B95">
        <w:rPr>
          <w:rFonts w:ascii="Arial" w:hAnsi="Arial" w:cs="Arial"/>
          <w:sz w:val="20"/>
          <w:szCs w:val="20"/>
        </w:rPr>
        <w:t>ed</w:t>
      </w:r>
      <w:r w:rsidRPr="00603B95">
        <w:rPr>
          <w:rFonts w:ascii="Arial" w:hAnsi="Arial" w:cs="Arial"/>
          <w:sz w:val="20"/>
          <w:szCs w:val="20"/>
        </w:rPr>
        <w:t xml:space="preserve"> as a concern</w:t>
      </w:r>
      <w:r w:rsidR="00364CC4" w:rsidRPr="00603B95">
        <w:rPr>
          <w:rFonts w:ascii="Arial" w:hAnsi="Arial" w:cs="Arial"/>
          <w:sz w:val="20"/>
          <w:szCs w:val="20"/>
        </w:rPr>
        <w:t xml:space="preserve"> given the importance of this programme in </w:t>
      </w:r>
      <w:r w:rsidR="00A068F3" w:rsidRPr="00603B95">
        <w:rPr>
          <w:rFonts w:ascii="Arial" w:hAnsi="Arial" w:cs="Arial"/>
          <w:sz w:val="20"/>
          <w:szCs w:val="20"/>
        </w:rPr>
        <w:t xml:space="preserve">improving </w:t>
      </w:r>
      <w:r w:rsidR="00136C65" w:rsidRPr="00603B95">
        <w:rPr>
          <w:rFonts w:ascii="Arial" w:hAnsi="Arial" w:cs="Arial"/>
          <w:sz w:val="20"/>
          <w:szCs w:val="20"/>
        </w:rPr>
        <w:t xml:space="preserve">the </w:t>
      </w:r>
      <w:r w:rsidR="00A068F3" w:rsidRPr="00603B95">
        <w:rPr>
          <w:rFonts w:ascii="Arial" w:hAnsi="Arial" w:cs="Arial"/>
          <w:sz w:val="20"/>
          <w:szCs w:val="20"/>
        </w:rPr>
        <w:t>capacity</w:t>
      </w:r>
      <w:r w:rsidR="00364CC4" w:rsidRPr="00603B95">
        <w:rPr>
          <w:rFonts w:ascii="Arial" w:hAnsi="Arial" w:cs="Arial"/>
          <w:sz w:val="20"/>
          <w:szCs w:val="20"/>
        </w:rPr>
        <w:t xml:space="preserve"> of universities.</w:t>
      </w:r>
    </w:p>
    <w:p w:rsidR="0037523F" w:rsidRPr="00603B95" w:rsidRDefault="0037523F" w:rsidP="00603B95">
      <w:pPr>
        <w:pStyle w:val="ListParagraph"/>
        <w:spacing w:after="0" w:line="240" w:lineRule="auto"/>
        <w:ind w:left="0"/>
        <w:rPr>
          <w:rFonts w:ascii="Arial" w:hAnsi="Arial" w:cs="Arial"/>
          <w:b/>
          <w:sz w:val="20"/>
          <w:szCs w:val="20"/>
        </w:rPr>
      </w:pPr>
    </w:p>
    <w:p w:rsidR="00E84951" w:rsidRPr="00603B95" w:rsidRDefault="00A431B5" w:rsidP="00603B95">
      <w:pPr>
        <w:pStyle w:val="ListParagraph"/>
        <w:spacing w:after="0" w:line="240" w:lineRule="auto"/>
        <w:ind w:left="0"/>
        <w:rPr>
          <w:rFonts w:ascii="Arial" w:hAnsi="Arial" w:cs="Arial"/>
          <w:b/>
          <w:sz w:val="20"/>
          <w:szCs w:val="20"/>
        </w:rPr>
      </w:pPr>
      <w:r w:rsidRPr="00603B95">
        <w:rPr>
          <w:rFonts w:ascii="Arial" w:hAnsi="Arial" w:cs="Arial"/>
          <w:b/>
          <w:sz w:val="20"/>
          <w:szCs w:val="20"/>
        </w:rPr>
        <w:t>3.</w:t>
      </w:r>
      <w:r w:rsidR="00011753" w:rsidRPr="00603B95">
        <w:rPr>
          <w:rFonts w:ascii="Arial" w:hAnsi="Arial" w:cs="Arial"/>
          <w:b/>
          <w:sz w:val="20"/>
          <w:szCs w:val="20"/>
        </w:rPr>
        <w:t>4</w:t>
      </w:r>
      <w:r w:rsidRPr="00603B95">
        <w:rPr>
          <w:rFonts w:ascii="Arial" w:hAnsi="Arial" w:cs="Arial"/>
          <w:b/>
          <w:sz w:val="20"/>
          <w:szCs w:val="20"/>
        </w:rPr>
        <w:t xml:space="preserve">. </w:t>
      </w:r>
      <w:r w:rsidR="00E84951" w:rsidRPr="00603B95">
        <w:rPr>
          <w:rFonts w:ascii="Arial" w:hAnsi="Arial" w:cs="Arial"/>
          <w:b/>
          <w:sz w:val="20"/>
          <w:szCs w:val="20"/>
        </w:rPr>
        <w:t>Programme 4: Technical and Vocational Education and Training</w:t>
      </w:r>
    </w:p>
    <w:p w:rsidR="00A64789" w:rsidRPr="00603B95" w:rsidRDefault="00A64789"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3.4.1. </w:t>
      </w:r>
      <w:r w:rsidR="00A60511" w:rsidRPr="00603B95">
        <w:rPr>
          <w:rFonts w:ascii="Arial" w:hAnsi="Arial" w:cs="Arial"/>
          <w:sz w:val="20"/>
          <w:szCs w:val="20"/>
        </w:rPr>
        <w:t>The Committee expressed its concern regarding some TVET colleges</w:t>
      </w:r>
      <w:r w:rsidR="00A068F3" w:rsidRPr="00603B95">
        <w:rPr>
          <w:rFonts w:ascii="Arial" w:hAnsi="Arial" w:cs="Arial"/>
          <w:sz w:val="20"/>
          <w:szCs w:val="20"/>
        </w:rPr>
        <w:t>’</w:t>
      </w:r>
      <w:r w:rsidR="00A60511" w:rsidRPr="00603B95">
        <w:rPr>
          <w:rFonts w:ascii="Arial" w:hAnsi="Arial" w:cs="Arial"/>
          <w:sz w:val="20"/>
          <w:szCs w:val="20"/>
        </w:rPr>
        <w:t xml:space="preserve"> failure to submit the necessary information required for the full implementation of the post-provisioning norms (PPN). </w:t>
      </w:r>
    </w:p>
    <w:p w:rsidR="00A64789" w:rsidRPr="00603B95" w:rsidRDefault="00800C69"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3.4.</w:t>
      </w:r>
      <w:r w:rsidR="00BF022C" w:rsidRPr="00603B95">
        <w:rPr>
          <w:rFonts w:ascii="Arial" w:hAnsi="Arial" w:cs="Arial"/>
          <w:sz w:val="20"/>
          <w:szCs w:val="20"/>
        </w:rPr>
        <w:t>2</w:t>
      </w:r>
      <w:r w:rsidRPr="00603B95">
        <w:rPr>
          <w:rFonts w:ascii="Arial" w:hAnsi="Arial" w:cs="Arial"/>
          <w:sz w:val="20"/>
          <w:szCs w:val="20"/>
        </w:rPr>
        <w:t>.</w:t>
      </w:r>
      <w:r w:rsidR="0030053B" w:rsidRPr="00603B95">
        <w:rPr>
          <w:rFonts w:ascii="Arial" w:hAnsi="Arial" w:cs="Arial"/>
          <w:sz w:val="20"/>
          <w:szCs w:val="20"/>
        </w:rPr>
        <w:t xml:space="preserve"> The Committee welcomed the approval of 10 revised subjects</w:t>
      </w:r>
      <w:r w:rsidR="00A068F3" w:rsidRPr="00603B95">
        <w:rPr>
          <w:rFonts w:ascii="Arial" w:hAnsi="Arial" w:cs="Arial"/>
          <w:sz w:val="20"/>
          <w:szCs w:val="20"/>
        </w:rPr>
        <w:t>/</w:t>
      </w:r>
      <w:r w:rsidR="0030053B" w:rsidRPr="00603B95">
        <w:rPr>
          <w:rFonts w:ascii="Arial" w:hAnsi="Arial" w:cs="Arial"/>
          <w:sz w:val="20"/>
          <w:szCs w:val="20"/>
        </w:rPr>
        <w:t xml:space="preserve"> curricula for the TVET sector</w:t>
      </w:r>
      <w:r w:rsidR="00A068F3" w:rsidRPr="00603B95">
        <w:rPr>
          <w:rFonts w:ascii="Arial" w:hAnsi="Arial" w:cs="Arial"/>
          <w:sz w:val="20"/>
          <w:szCs w:val="20"/>
        </w:rPr>
        <w:t>,</w:t>
      </w:r>
      <w:r w:rsidR="0030053B" w:rsidRPr="00603B95">
        <w:rPr>
          <w:rFonts w:ascii="Arial" w:hAnsi="Arial" w:cs="Arial"/>
          <w:sz w:val="20"/>
          <w:szCs w:val="20"/>
        </w:rPr>
        <w:t xml:space="preserve"> which </w:t>
      </w:r>
      <w:r w:rsidR="00C706A6" w:rsidRPr="00603B95">
        <w:rPr>
          <w:rFonts w:ascii="Arial" w:hAnsi="Arial" w:cs="Arial"/>
          <w:sz w:val="20"/>
          <w:szCs w:val="20"/>
        </w:rPr>
        <w:t xml:space="preserve">is </w:t>
      </w:r>
      <w:r w:rsidR="0030053B" w:rsidRPr="00603B95">
        <w:rPr>
          <w:rFonts w:ascii="Arial" w:hAnsi="Arial" w:cs="Arial"/>
          <w:sz w:val="20"/>
          <w:szCs w:val="20"/>
        </w:rPr>
        <w:t xml:space="preserve">aimed at </w:t>
      </w:r>
      <w:r w:rsidR="00A068F3" w:rsidRPr="00603B95">
        <w:rPr>
          <w:rFonts w:ascii="Arial" w:hAnsi="Arial" w:cs="Arial"/>
          <w:sz w:val="20"/>
          <w:szCs w:val="20"/>
        </w:rPr>
        <w:t xml:space="preserve">improving the relevance of </w:t>
      </w:r>
      <w:r w:rsidR="0030053B" w:rsidRPr="00603B95">
        <w:rPr>
          <w:rFonts w:ascii="Arial" w:hAnsi="Arial" w:cs="Arial"/>
          <w:sz w:val="20"/>
          <w:szCs w:val="20"/>
        </w:rPr>
        <w:t xml:space="preserve">programmes </w:t>
      </w:r>
      <w:r w:rsidR="00A068F3" w:rsidRPr="00603B95">
        <w:rPr>
          <w:rFonts w:ascii="Arial" w:hAnsi="Arial" w:cs="Arial"/>
          <w:sz w:val="20"/>
          <w:szCs w:val="20"/>
        </w:rPr>
        <w:t>and ensur</w:t>
      </w:r>
      <w:r w:rsidR="00136C65" w:rsidRPr="00603B95">
        <w:rPr>
          <w:rFonts w:ascii="Arial" w:hAnsi="Arial" w:cs="Arial"/>
          <w:sz w:val="20"/>
          <w:szCs w:val="20"/>
        </w:rPr>
        <w:t>ing</w:t>
      </w:r>
      <w:r w:rsidR="00A068F3" w:rsidRPr="00603B95">
        <w:rPr>
          <w:rFonts w:ascii="Arial" w:hAnsi="Arial" w:cs="Arial"/>
          <w:sz w:val="20"/>
          <w:szCs w:val="20"/>
        </w:rPr>
        <w:t xml:space="preserve"> their responsiveness to </w:t>
      </w:r>
      <w:r w:rsidR="0030053B" w:rsidRPr="00603B95">
        <w:rPr>
          <w:rFonts w:ascii="Arial" w:hAnsi="Arial" w:cs="Arial"/>
          <w:sz w:val="20"/>
          <w:szCs w:val="20"/>
        </w:rPr>
        <w:t>industry</w:t>
      </w:r>
      <w:r w:rsidR="00A068F3" w:rsidRPr="00603B95">
        <w:rPr>
          <w:rFonts w:ascii="Arial" w:hAnsi="Arial" w:cs="Arial"/>
          <w:sz w:val="20"/>
          <w:szCs w:val="20"/>
        </w:rPr>
        <w:t xml:space="preserve"> needs</w:t>
      </w:r>
      <w:r w:rsidR="0030053B" w:rsidRPr="00603B95">
        <w:rPr>
          <w:rFonts w:ascii="Arial" w:hAnsi="Arial" w:cs="Arial"/>
          <w:sz w:val="20"/>
          <w:szCs w:val="20"/>
        </w:rPr>
        <w:t xml:space="preserve">. The Committee has been advocating for the revision of the TVET curricula so that students are taught the skills that are needed </w:t>
      </w:r>
      <w:r w:rsidR="00A068F3" w:rsidRPr="00603B95">
        <w:rPr>
          <w:rFonts w:ascii="Arial" w:hAnsi="Arial" w:cs="Arial"/>
          <w:sz w:val="20"/>
          <w:szCs w:val="20"/>
        </w:rPr>
        <w:t xml:space="preserve">in the </w:t>
      </w:r>
      <w:r w:rsidR="0030053B" w:rsidRPr="00603B95">
        <w:rPr>
          <w:rFonts w:ascii="Arial" w:hAnsi="Arial" w:cs="Arial"/>
          <w:sz w:val="20"/>
          <w:szCs w:val="20"/>
        </w:rPr>
        <w:t>workplace. The Committee further requested for the list of the 10 revised subjects to be submitted for information.</w:t>
      </w:r>
    </w:p>
    <w:p w:rsidR="00A64789" w:rsidRPr="00603B95" w:rsidRDefault="00800C69"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3.4.</w:t>
      </w:r>
      <w:r w:rsidR="00BF022C" w:rsidRPr="00603B95">
        <w:rPr>
          <w:rFonts w:ascii="Arial" w:hAnsi="Arial" w:cs="Arial"/>
          <w:sz w:val="20"/>
          <w:szCs w:val="20"/>
        </w:rPr>
        <w:t>3</w:t>
      </w:r>
      <w:r w:rsidRPr="00603B95">
        <w:rPr>
          <w:rFonts w:ascii="Arial" w:hAnsi="Arial" w:cs="Arial"/>
          <w:sz w:val="20"/>
          <w:szCs w:val="20"/>
        </w:rPr>
        <w:t>.</w:t>
      </w:r>
      <w:r w:rsidRPr="00603B95">
        <w:rPr>
          <w:rFonts w:ascii="Arial" w:hAnsi="Arial" w:cs="Arial"/>
          <w:sz w:val="20"/>
          <w:szCs w:val="20"/>
        </w:rPr>
        <w:tab/>
      </w:r>
      <w:r w:rsidR="00364CC4" w:rsidRPr="00603B95">
        <w:rPr>
          <w:rFonts w:ascii="Arial" w:hAnsi="Arial" w:cs="Arial"/>
          <w:sz w:val="20"/>
          <w:szCs w:val="20"/>
        </w:rPr>
        <w:t>The emphasis on the provision of occupational skills in TVET colleges was welcomed by the Committee. However, it was concerned about the low uptake of these programme</w:t>
      </w:r>
      <w:r w:rsidR="00C706A6" w:rsidRPr="00603B95">
        <w:rPr>
          <w:rFonts w:ascii="Arial" w:hAnsi="Arial" w:cs="Arial"/>
          <w:sz w:val="20"/>
          <w:szCs w:val="20"/>
        </w:rPr>
        <w:t>s</w:t>
      </w:r>
      <w:r w:rsidR="00364CC4" w:rsidRPr="00603B95">
        <w:rPr>
          <w:rFonts w:ascii="Arial" w:hAnsi="Arial" w:cs="Arial"/>
          <w:sz w:val="20"/>
          <w:szCs w:val="20"/>
        </w:rPr>
        <w:t xml:space="preserve"> by students. </w:t>
      </w:r>
    </w:p>
    <w:p w:rsidR="00364CC4" w:rsidRPr="00603B95" w:rsidRDefault="00364CC4" w:rsidP="00603B95">
      <w:pPr>
        <w:pStyle w:val="ListParagraph"/>
        <w:spacing w:after="0" w:line="240" w:lineRule="auto"/>
        <w:ind w:left="0"/>
        <w:rPr>
          <w:rFonts w:ascii="Arial" w:hAnsi="Arial" w:cs="Arial"/>
          <w:sz w:val="20"/>
          <w:szCs w:val="20"/>
        </w:rPr>
      </w:pPr>
    </w:p>
    <w:p w:rsidR="00A431B5" w:rsidRPr="00603B95" w:rsidRDefault="00A64789" w:rsidP="00603B95">
      <w:pPr>
        <w:pStyle w:val="ListParagraph"/>
        <w:spacing w:after="0" w:line="240" w:lineRule="auto"/>
        <w:ind w:left="0"/>
        <w:rPr>
          <w:rFonts w:ascii="Arial" w:hAnsi="Arial" w:cs="Arial"/>
          <w:b/>
          <w:sz w:val="20"/>
          <w:szCs w:val="20"/>
        </w:rPr>
      </w:pPr>
      <w:r w:rsidRPr="00603B95">
        <w:rPr>
          <w:rFonts w:ascii="Arial" w:hAnsi="Arial" w:cs="Arial"/>
          <w:b/>
          <w:sz w:val="20"/>
          <w:szCs w:val="20"/>
        </w:rPr>
        <w:t xml:space="preserve">3.5. </w:t>
      </w:r>
      <w:r w:rsidR="00A431B5" w:rsidRPr="00603B95">
        <w:rPr>
          <w:rFonts w:ascii="Arial" w:hAnsi="Arial" w:cs="Arial"/>
          <w:b/>
          <w:sz w:val="20"/>
          <w:szCs w:val="20"/>
        </w:rPr>
        <w:t>Programme 5: Skills Development</w:t>
      </w:r>
    </w:p>
    <w:p w:rsidR="008D0EF0" w:rsidRPr="00603B95" w:rsidRDefault="00A431B5"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3.</w:t>
      </w:r>
      <w:r w:rsidR="00800C69" w:rsidRPr="00603B95">
        <w:rPr>
          <w:rFonts w:ascii="Arial" w:hAnsi="Arial" w:cs="Arial"/>
          <w:sz w:val="20"/>
          <w:szCs w:val="20"/>
        </w:rPr>
        <w:t>5</w:t>
      </w:r>
      <w:r w:rsidRPr="00603B95">
        <w:rPr>
          <w:rFonts w:ascii="Arial" w:hAnsi="Arial" w:cs="Arial"/>
          <w:sz w:val="20"/>
          <w:szCs w:val="20"/>
        </w:rPr>
        <w:t>.1.</w:t>
      </w:r>
      <w:r w:rsidR="00A60511" w:rsidRPr="00603B95">
        <w:rPr>
          <w:rFonts w:ascii="Arial" w:hAnsi="Arial" w:cs="Arial"/>
          <w:sz w:val="20"/>
          <w:szCs w:val="20"/>
        </w:rPr>
        <w:t xml:space="preserve"> The Committee expressed its concern about the delays by two SETAs (EWSETA and PSETA) in submitting the necessary information needed by the Department to report on their </w:t>
      </w:r>
      <w:r w:rsidR="00A068F3" w:rsidRPr="00603B95">
        <w:rPr>
          <w:rFonts w:ascii="Arial" w:hAnsi="Arial" w:cs="Arial"/>
          <w:sz w:val="20"/>
          <w:szCs w:val="20"/>
        </w:rPr>
        <w:t xml:space="preserve">adherence to standards of good </w:t>
      </w:r>
      <w:r w:rsidR="00A60511" w:rsidRPr="00603B95">
        <w:rPr>
          <w:rFonts w:ascii="Arial" w:hAnsi="Arial" w:cs="Arial"/>
          <w:sz w:val="20"/>
          <w:szCs w:val="20"/>
        </w:rPr>
        <w:t xml:space="preserve">governance. </w:t>
      </w:r>
    </w:p>
    <w:p w:rsidR="00364CC4" w:rsidRPr="00603B95" w:rsidRDefault="00364CC4"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3.5.2 </w:t>
      </w:r>
      <w:r w:rsidR="002E51BF" w:rsidRPr="00603B95">
        <w:rPr>
          <w:rFonts w:ascii="Arial" w:hAnsi="Arial" w:cs="Arial"/>
          <w:sz w:val="20"/>
          <w:szCs w:val="20"/>
        </w:rPr>
        <w:t>A c</w:t>
      </w:r>
      <w:r w:rsidRPr="00603B95">
        <w:rPr>
          <w:rFonts w:ascii="Arial" w:hAnsi="Arial" w:cs="Arial"/>
          <w:sz w:val="20"/>
          <w:szCs w:val="20"/>
        </w:rPr>
        <w:t>oncern w</w:t>
      </w:r>
      <w:r w:rsidR="002E51BF" w:rsidRPr="00603B95">
        <w:rPr>
          <w:rFonts w:ascii="Arial" w:hAnsi="Arial" w:cs="Arial"/>
          <w:sz w:val="20"/>
          <w:szCs w:val="20"/>
        </w:rPr>
        <w:t xml:space="preserve">as </w:t>
      </w:r>
      <w:r w:rsidRPr="00603B95">
        <w:rPr>
          <w:rFonts w:ascii="Arial" w:hAnsi="Arial" w:cs="Arial"/>
          <w:sz w:val="20"/>
          <w:szCs w:val="20"/>
        </w:rPr>
        <w:t xml:space="preserve">raised with respect to the number of employers that were closing their businesses due to slow economic growth and related matters. The Committee was concerned about the limited availability of workplaces for students to complete their work-based learning </w:t>
      </w:r>
      <w:r w:rsidR="00C81D9C" w:rsidRPr="00603B95">
        <w:rPr>
          <w:rFonts w:ascii="Arial" w:hAnsi="Arial" w:cs="Arial"/>
          <w:sz w:val="20"/>
          <w:szCs w:val="20"/>
        </w:rPr>
        <w:t>as part of attaining</w:t>
      </w:r>
      <w:r w:rsidRPr="00603B95">
        <w:rPr>
          <w:rFonts w:ascii="Arial" w:hAnsi="Arial" w:cs="Arial"/>
          <w:sz w:val="20"/>
          <w:szCs w:val="20"/>
        </w:rPr>
        <w:t xml:space="preserve"> their qualifications.</w:t>
      </w:r>
    </w:p>
    <w:p w:rsidR="002E51BF" w:rsidRPr="00603B95" w:rsidRDefault="002E51BF"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3.5.3 The Committee noted its concern </w:t>
      </w:r>
      <w:r w:rsidR="008449A5" w:rsidRPr="00603B95">
        <w:rPr>
          <w:rFonts w:ascii="Arial" w:hAnsi="Arial" w:cs="Arial"/>
          <w:sz w:val="20"/>
          <w:szCs w:val="20"/>
        </w:rPr>
        <w:t>regarding</w:t>
      </w:r>
      <w:r w:rsidRPr="00603B95">
        <w:rPr>
          <w:rFonts w:ascii="Arial" w:hAnsi="Arial" w:cs="Arial"/>
          <w:sz w:val="20"/>
          <w:szCs w:val="20"/>
        </w:rPr>
        <w:t xml:space="preserve"> the stipends offered to</w:t>
      </w:r>
      <w:r w:rsidR="00BB7520" w:rsidRPr="00603B95">
        <w:rPr>
          <w:rFonts w:ascii="Arial" w:hAnsi="Arial" w:cs="Arial"/>
          <w:sz w:val="20"/>
          <w:szCs w:val="20"/>
        </w:rPr>
        <w:t xml:space="preserve"> postgraduate</w:t>
      </w:r>
      <w:r w:rsidRPr="00603B95">
        <w:rPr>
          <w:rFonts w:ascii="Arial" w:hAnsi="Arial" w:cs="Arial"/>
          <w:sz w:val="20"/>
          <w:szCs w:val="20"/>
        </w:rPr>
        <w:t xml:space="preserve"> students participating in the learnership</w:t>
      </w:r>
      <w:r w:rsidR="00BB7520" w:rsidRPr="00603B95">
        <w:rPr>
          <w:rFonts w:ascii="Arial" w:hAnsi="Arial" w:cs="Arial"/>
          <w:sz w:val="20"/>
          <w:szCs w:val="20"/>
        </w:rPr>
        <w:t>s</w:t>
      </w:r>
      <w:r w:rsidRPr="00603B95">
        <w:rPr>
          <w:rFonts w:ascii="Arial" w:hAnsi="Arial" w:cs="Arial"/>
          <w:sz w:val="20"/>
          <w:szCs w:val="20"/>
        </w:rPr>
        <w:t xml:space="preserve"> and related skills programmes of the </w:t>
      </w:r>
      <w:r w:rsidR="00D95054" w:rsidRPr="00603B95">
        <w:rPr>
          <w:rFonts w:ascii="Arial" w:hAnsi="Arial" w:cs="Arial"/>
          <w:sz w:val="20"/>
          <w:szCs w:val="20"/>
        </w:rPr>
        <w:t>PSET sector</w:t>
      </w:r>
      <w:r w:rsidRPr="00603B95">
        <w:rPr>
          <w:rFonts w:ascii="Arial" w:hAnsi="Arial" w:cs="Arial"/>
          <w:sz w:val="20"/>
          <w:szCs w:val="20"/>
        </w:rPr>
        <w:t>. It w</w:t>
      </w:r>
      <w:r w:rsidR="00BB7520" w:rsidRPr="00603B95">
        <w:rPr>
          <w:rFonts w:ascii="Arial" w:hAnsi="Arial" w:cs="Arial"/>
          <w:sz w:val="20"/>
          <w:szCs w:val="20"/>
        </w:rPr>
        <w:t>as further noted that these stipends were not attractive to postgraduate students, in particular, those that do not have base income.</w:t>
      </w:r>
    </w:p>
    <w:p w:rsidR="00843DD9" w:rsidRPr="00603B95" w:rsidRDefault="00843DD9" w:rsidP="00603B95">
      <w:pPr>
        <w:pStyle w:val="ListParagraph"/>
        <w:spacing w:after="0" w:line="240" w:lineRule="auto"/>
        <w:ind w:left="567" w:hanging="567"/>
        <w:rPr>
          <w:rFonts w:ascii="Arial" w:hAnsi="Arial" w:cs="Arial"/>
          <w:sz w:val="20"/>
          <w:szCs w:val="20"/>
        </w:rPr>
      </w:pPr>
    </w:p>
    <w:p w:rsidR="00A431B5" w:rsidRPr="00603B95" w:rsidRDefault="00A431B5" w:rsidP="00603B95">
      <w:pPr>
        <w:spacing w:after="0" w:line="240" w:lineRule="auto"/>
        <w:rPr>
          <w:rFonts w:ascii="Arial" w:hAnsi="Arial" w:cs="Arial"/>
          <w:b/>
          <w:sz w:val="20"/>
          <w:szCs w:val="20"/>
        </w:rPr>
      </w:pPr>
      <w:r w:rsidRPr="00603B95">
        <w:rPr>
          <w:rFonts w:ascii="Arial" w:hAnsi="Arial" w:cs="Arial"/>
          <w:b/>
          <w:sz w:val="20"/>
          <w:szCs w:val="20"/>
        </w:rPr>
        <w:t>3.</w:t>
      </w:r>
      <w:r w:rsidR="00011753" w:rsidRPr="00603B95">
        <w:rPr>
          <w:rFonts w:ascii="Arial" w:hAnsi="Arial" w:cs="Arial"/>
          <w:b/>
          <w:sz w:val="20"/>
          <w:szCs w:val="20"/>
        </w:rPr>
        <w:t>5</w:t>
      </w:r>
      <w:r w:rsidRPr="00603B95">
        <w:rPr>
          <w:rFonts w:ascii="Arial" w:hAnsi="Arial" w:cs="Arial"/>
          <w:b/>
          <w:sz w:val="20"/>
          <w:szCs w:val="20"/>
        </w:rPr>
        <w:t>. Programme 6: Community Education and Training</w:t>
      </w:r>
    </w:p>
    <w:p w:rsidR="00F35D9B" w:rsidRPr="00603B95" w:rsidRDefault="00A431B5"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3.</w:t>
      </w:r>
      <w:r w:rsidR="00011753" w:rsidRPr="00603B95">
        <w:rPr>
          <w:rFonts w:ascii="Arial" w:hAnsi="Arial" w:cs="Arial"/>
          <w:sz w:val="20"/>
          <w:szCs w:val="20"/>
        </w:rPr>
        <w:t>5</w:t>
      </w:r>
      <w:r w:rsidRPr="00603B95">
        <w:rPr>
          <w:rFonts w:ascii="Arial" w:hAnsi="Arial" w:cs="Arial"/>
          <w:sz w:val="20"/>
          <w:szCs w:val="20"/>
        </w:rPr>
        <w:t>.1.</w:t>
      </w:r>
      <w:r w:rsidRPr="00603B95">
        <w:rPr>
          <w:rFonts w:ascii="Arial" w:hAnsi="Arial" w:cs="Arial"/>
          <w:sz w:val="20"/>
          <w:szCs w:val="20"/>
        </w:rPr>
        <w:tab/>
      </w:r>
      <w:r w:rsidR="00D21150" w:rsidRPr="00603B95">
        <w:rPr>
          <w:rFonts w:ascii="Arial" w:hAnsi="Arial" w:cs="Arial"/>
          <w:sz w:val="20"/>
          <w:szCs w:val="20"/>
        </w:rPr>
        <w:t xml:space="preserve">Concerns were </w:t>
      </w:r>
      <w:r w:rsidR="00BF022C" w:rsidRPr="00603B95">
        <w:rPr>
          <w:rFonts w:ascii="Arial" w:hAnsi="Arial" w:cs="Arial"/>
          <w:sz w:val="20"/>
          <w:szCs w:val="20"/>
        </w:rPr>
        <w:t>raised</w:t>
      </w:r>
      <w:r w:rsidR="002E51BF" w:rsidRPr="00603B95">
        <w:rPr>
          <w:rFonts w:ascii="Arial" w:hAnsi="Arial" w:cs="Arial"/>
          <w:sz w:val="20"/>
          <w:szCs w:val="20"/>
        </w:rPr>
        <w:t xml:space="preserve"> </w:t>
      </w:r>
      <w:r w:rsidR="00D21150" w:rsidRPr="00603B95">
        <w:rPr>
          <w:rFonts w:ascii="Arial" w:hAnsi="Arial" w:cs="Arial"/>
          <w:sz w:val="20"/>
          <w:szCs w:val="20"/>
        </w:rPr>
        <w:t xml:space="preserve">with respect to the non-compliance </w:t>
      </w:r>
      <w:r w:rsidR="00A26D3A" w:rsidRPr="00603B95">
        <w:rPr>
          <w:rFonts w:ascii="Arial" w:hAnsi="Arial" w:cs="Arial"/>
          <w:sz w:val="20"/>
          <w:szCs w:val="20"/>
        </w:rPr>
        <w:t>by</w:t>
      </w:r>
      <w:r w:rsidR="00136C65" w:rsidRPr="00603B95">
        <w:rPr>
          <w:rFonts w:ascii="Arial" w:hAnsi="Arial" w:cs="Arial"/>
          <w:sz w:val="20"/>
          <w:szCs w:val="20"/>
        </w:rPr>
        <w:t xml:space="preserve"> </w:t>
      </w:r>
      <w:r w:rsidR="00D21150" w:rsidRPr="00603B95">
        <w:rPr>
          <w:rFonts w:ascii="Arial" w:hAnsi="Arial" w:cs="Arial"/>
          <w:sz w:val="20"/>
          <w:szCs w:val="20"/>
        </w:rPr>
        <w:t xml:space="preserve">community learning centres (CLCs) </w:t>
      </w:r>
      <w:r w:rsidR="00136C65" w:rsidRPr="00603B95">
        <w:rPr>
          <w:rFonts w:ascii="Arial" w:hAnsi="Arial" w:cs="Arial"/>
          <w:sz w:val="20"/>
          <w:szCs w:val="20"/>
        </w:rPr>
        <w:t>with</w:t>
      </w:r>
      <w:r w:rsidR="00D21150" w:rsidRPr="00603B95">
        <w:rPr>
          <w:rFonts w:ascii="Arial" w:hAnsi="Arial" w:cs="Arial"/>
          <w:sz w:val="20"/>
          <w:szCs w:val="20"/>
        </w:rPr>
        <w:t xml:space="preserve"> accreditation requirements by the Quality Council for Trades and Occupations (QCTO) and SETAs. It was further noted that CLC</w:t>
      </w:r>
      <w:r w:rsidR="00482AEC" w:rsidRPr="00603B95">
        <w:rPr>
          <w:rFonts w:ascii="Arial" w:hAnsi="Arial" w:cs="Arial"/>
          <w:sz w:val="20"/>
          <w:szCs w:val="20"/>
        </w:rPr>
        <w:t>s</w:t>
      </w:r>
      <w:r w:rsidR="00D21150" w:rsidRPr="00603B95">
        <w:rPr>
          <w:rFonts w:ascii="Arial" w:hAnsi="Arial" w:cs="Arial"/>
          <w:sz w:val="20"/>
          <w:szCs w:val="20"/>
        </w:rPr>
        <w:t xml:space="preserve"> </w:t>
      </w:r>
      <w:r w:rsidR="00136C65" w:rsidRPr="00603B95">
        <w:rPr>
          <w:rFonts w:ascii="Arial" w:hAnsi="Arial" w:cs="Arial"/>
          <w:sz w:val="20"/>
          <w:szCs w:val="20"/>
        </w:rPr>
        <w:t xml:space="preserve">play </w:t>
      </w:r>
      <w:r w:rsidR="00D21150" w:rsidRPr="00603B95">
        <w:rPr>
          <w:rFonts w:ascii="Arial" w:hAnsi="Arial" w:cs="Arial"/>
          <w:sz w:val="20"/>
          <w:szCs w:val="20"/>
        </w:rPr>
        <w:t xml:space="preserve">an important role </w:t>
      </w:r>
      <w:r w:rsidR="00136C65" w:rsidRPr="00603B95">
        <w:rPr>
          <w:rFonts w:ascii="Arial" w:hAnsi="Arial" w:cs="Arial"/>
          <w:sz w:val="20"/>
          <w:szCs w:val="20"/>
        </w:rPr>
        <w:t xml:space="preserve">in </w:t>
      </w:r>
      <w:r w:rsidR="00D21150" w:rsidRPr="00603B95">
        <w:rPr>
          <w:rFonts w:ascii="Arial" w:hAnsi="Arial" w:cs="Arial"/>
          <w:sz w:val="20"/>
          <w:szCs w:val="20"/>
        </w:rPr>
        <w:t>providing basic skills to youth and adults that are not in employment or training. Thus, it is critical for the CLCs to be provided with the necessary support needed to meet the accreditation requirements.</w:t>
      </w:r>
    </w:p>
    <w:p w:rsidR="00C706A6" w:rsidRPr="00603B95" w:rsidRDefault="00C706A6" w:rsidP="00603B95">
      <w:pPr>
        <w:spacing w:after="0" w:line="240" w:lineRule="auto"/>
        <w:rPr>
          <w:rFonts w:ascii="Arial" w:hAnsi="Arial" w:cs="Arial"/>
          <w:b/>
          <w:sz w:val="20"/>
          <w:szCs w:val="20"/>
        </w:rPr>
      </w:pPr>
    </w:p>
    <w:p w:rsidR="00A418ED" w:rsidRPr="00603B95" w:rsidRDefault="000F5259" w:rsidP="00603B95">
      <w:pPr>
        <w:spacing w:after="0" w:line="240" w:lineRule="auto"/>
        <w:rPr>
          <w:rFonts w:ascii="Arial" w:hAnsi="Arial" w:cs="Arial"/>
          <w:b/>
          <w:sz w:val="20"/>
          <w:szCs w:val="20"/>
        </w:rPr>
      </w:pPr>
      <w:r w:rsidRPr="00603B95">
        <w:rPr>
          <w:rFonts w:ascii="Arial" w:hAnsi="Arial" w:cs="Arial"/>
          <w:b/>
          <w:sz w:val="20"/>
          <w:szCs w:val="20"/>
        </w:rPr>
        <w:t>4. SUMMARY</w:t>
      </w:r>
    </w:p>
    <w:p w:rsidR="000F5259" w:rsidRPr="00603B95" w:rsidRDefault="000F5259" w:rsidP="00603B95">
      <w:pPr>
        <w:spacing w:after="0" w:line="240" w:lineRule="auto"/>
        <w:rPr>
          <w:rFonts w:ascii="Arial" w:hAnsi="Arial" w:cs="Arial"/>
          <w:sz w:val="20"/>
          <w:szCs w:val="20"/>
        </w:rPr>
      </w:pPr>
      <w:r w:rsidRPr="00603B95">
        <w:rPr>
          <w:rFonts w:ascii="Arial" w:hAnsi="Arial" w:cs="Arial"/>
          <w:sz w:val="20"/>
          <w:szCs w:val="20"/>
        </w:rPr>
        <w:t xml:space="preserve">The </w:t>
      </w:r>
      <w:r w:rsidR="00EA3FC4" w:rsidRPr="00603B95">
        <w:rPr>
          <w:rFonts w:ascii="Arial" w:hAnsi="Arial" w:cs="Arial"/>
          <w:sz w:val="20"/>
          <w:szCs w:val="20"/>
        </w:rPr>
        <w:t xml:space="preserve">Committee was </w:t>
      </w:r>
      <w:r w:rsidR="00281171" w:rsidRPr="00603B95">
        <w:rPr>
          <w:rFonts w:ascii="Arial" w:hAnsi="Arial" w:cs="Arial"/>
          <w:sz w:val="20"/>
          <w:szCs w:val="20"/>
        </w:rPr>
        <w:t>concern</w:t>
      </w:r>
      <w:r w:rsidR="00EA3FC4" w:rsidRPr="00603B95">
        <w:rPr>
          <w:rFonts w:ascii="Arial" w:hAnsi="Arial" w:cs="Arial"/>
          <w:sz w:val="20"/>
          <w:szCs w:val="20"/>
        </w:rPr>
        <w:t xml:space="preserve">ed with the </w:t>
      </w:r>
      <w:r w:rsidRPr="00603B95">
        <w:rPr>
          <w:rFonts w:ascii="Arial" w:hAnsi="Arial" w:cs="Arial"/>
          <w:sz w:val="20"/>
          <w:szCs w:val="20"/>
        </w:rPr>
        <w:t xml:space="preserve">Department’s overall performance for the </w:t>
      </w:r>
      <w:r w:rsidR="00037963" w:rsidRPr="00603B95">
        <w:rPr>
          <w:rFonts w:ascii="Arial" w:hAnsi="Arial" w:cs="Arial"/>
          <w:sz w:val="20"/>
          <w:szCs w:val="20"/>
        </w:rPr>
        <w:t>q</w:t>
      </w:r>
      <w:r w:rsidRPr="00603B95">
        <w:rPr>
          <w:rFonts w:ascii="Arial" w:hAnsi="Arial" w:cs="Arial"/>
          <w:sz w:val="20"/>
          <w:szCs w:val="20"/>
        </w:rPr>
        <w:t>uarter under review</w:t>
      </w:r>
      <w:r w:rsidR="00136C65" w:rsidRPr="00603B95">
        <w:rPr>
          <w:rFonts w:ascii="Arial" w:hAnsi="Arial" w:cs="Arial"/>
          <w:sz w:val="20"/>
          <w:szCs w:val="20"/>
        </w:rPr>
        <w:t>,</w:t>
      </w:r>
      <w:r w:rsidR="00037963" w:rsidRPr="00603B95">
        <w:rPr>
          <w:rFonts w:ascii="Arial" w:hAnsi="Arial" w:cs="Arial"/>
          <w:sz w:val="20"/>
          <w:szCs w:val="20"/>
        </w:rPr>
        <w:t xml:space="preserve"> where 42 out of the 74 targets were achieved</w:t>
      </w:r>
      <w:r w:rsidR="00482AEC" w:rsidRPr="00603B95">
        <w:rPr>
          <w:rFonts w:ascii="Arial" w:hAnsi="Arial" w:cs="Arial"/>
          <w:sz w:val="20"/>
          <w:szCs w:val="20"/>
        </w:rPr>
        <w:t>,</w:t>
      </w:r>
      <w:r w:rsidR="00037963" w:rsidRPr="00603B95">
        <w:rPr>
          <w:rFonts w:ascii="Arial" w:hAnsi="Arial" w:cs="Arial"/>
          <w:sz w:val="20"/>
          <w:szCs w:val="20"/>
        </w:rPr>
        <w:t xml:space="preserve"> which translates into </w:t>
      </w:r>
      <w:r w:rsidR="00482AEC" w:rsidRPr="00603B95">
        <w:rPr>
          <w:rFonts w:ascii="Arial" w:hAnsi="Arial" w:cs="Arial"/>
          <w:sz w:val="20"/>
          <w:szCs w:val="20"/>
        </w:rPr>
        <w:t xml:space="preserve">57 </w:t>
      </w:r>
      <w:r w:rsidR="00037963" w:rsidRPr="00603B95">
        <w:rPr>
          <w:rFonts w:ascii="Arial" w:hAnsi="Arial" w:cs="Arial"/>
          <w:sz w:val="20"/>
          <w:szCs w:val="20"/>
        </w:rPr>
        <w:t>per</w:t>
      </w:r>
      <w:r w:rsidR="00C706A6" w:rsidRPr="00603B95">
        <w:rPr>
          <w:rFonts w:ascii="Arial" w:hAnsi="Arial" w:cs="Arial"/>
          <w:sz w:val="20"/>
          <w:szCs w:val="20"/>
        </w:rPr>
        <w:t xml:space="preserve"> </w:t>
      </w:r>
      <w:r w:rsidR="00037963" w:rsidRPr="00603B95">
        <w:rPr>
          <w:rFonts w:ascii="Arial" w:hAnsi="Arial" w:cs="Arial"/>
          <w:sz w:val="20"/>
          <w:szCs w:val="20"/>
        </w:rPr>
        <w:t>cent. The performance for the quarter under review was slightly better compar</w:t>
      </w:r>
      <w:r w:rsidR="00482AEC" w:rsidRPr="00603B95">
        <w:rPr>
          <w:rFonts w:ascii="Arial" w:hAnsi="Arial" w:cs="Arial"/>
          <w:sz w:val="20"/>
          <w:szCs w:val="20"/>
        </w:rPr>
        <w:t>ed</w:t>
      </w:r>
      <w:r w:rsidR="00037963" w:rsidRPr="00603B95">
        <w:rPr>
          <w:rFonts w:ascii="Arial" w:hAnsi="Arial" w:cs="Arial"/>
          <w:sz w:val="20"/>
          <w:szCs w:val="20"/>
        </w:rPr>
        <w:t xml:space="preserve"> to the previous quarter where the overall performance was 45 per</w:t>
      </w:r>
      <w:r w:rsidR="00136C65" w:rsidRPr="00603B95">
        <w:rPr>
          <w:rFonts w:ascii="Arial" w:hAnsi="Arial" w:cs="Arial"/>
          <w:sz w:val="20"/>
          <w:szCs w:val="20"/>
        </w:rPr>
        <w:t xml:space="preserve"> </w:t>
      </w:r>
      <w:r w:rsidR="00037963" w:rsidRPr="00603B95">
        <w:rPr>
          <w:rFonts w:ascii="Arial" w:hAnsi="Arial" w:cs="Arial"/>
          <w:sz w:val="20"/>
          <w:szCs w:val="20"/>
        </w:rPr>
        <w:t xml:space="preserve">cent. </w:t>
      </w:r>
      <w:r w:rsidR="0098798D" w:rsidRPr="00603B95">
        <w:rPr>
          <w:rFonts w:ascii="Arial" w:hAnsi="Arial" w:cs="Arial"/>
          <w:sz w:val="20"/>
          <w:szCs w:val="20"/>
        </w:rPr>
        <w:t>The Committee was further concerned about the reasons for underperformance</w:t>
      </w:r>
      <w:r w:rsidR="00482AEC" w:rsidRPr="00603B95">
        <w:rPr>
          <w:rFonts w:ascii="Arial" w:hAnsi="Arial" w:cs="Arial"/>
          <w:sz w:val="20"/>
          <w:szCs w:val="20"/>
        </w:rPr>
        <w:t>,</w:t>
      </w:r>
      <w:r w:rsidR="0098798D" w:rsidRPr="00603B95">
        <w:rPr>
          <w:rFonts w:ascii="Arial" w:hAnsi="Arial" w:cs="Arial"/>
          <w:sz w:val="20"/>
          <w:szCs w:val="20"/>
        </w:rPr>
        <w:t xml:space="preserve"> which were more related to similar issues such as capacity constraints in some of the Chief Directorates within the Department, </w:t>
      </w:r>
      <w:r w:rsidR="00482AEC" w:rsidRPr="00603B95">
        <w:rPr>
          <w:rFonts w:ascii="Arial" w:hAnsi="Arial" w:cs="Arial"/>
          <w:sz w:val="20"/>
          <w:szCs w:val="20"/>
        </w:rPr>
        <w:t xml:space="preserve">poor planning, external factors and process factors. </w:t>
      </w:r>
    </w:p>
    <w:p w:rsidR="0098798D" w:rsidRPr="00603B95" w:rsidRDefault="001859B4" w:rsidP="00603B95">
      <w:pPr>
        <w:spacing w:after="0" w:line="240" w:lineRule="auto"/>
        <w:rPr>
          <w:rFonts w:ascii="Arial" w:hAnsi="Arial" w:cs="Arial"/>
          <w:sz w:val="20"/>
          <w:szCs w:val="20"/>
        </w:rPr>
      </w:pPr>
      <w:r w:rsidRPr="00603B95">
        <w:rPr>
          <w:rFonts w:ascii="Arial" w:hAnsi="Arial" w:cs="Arial"/>
          <w:sz w:val="20"/>
          <w:szCs w:val="20"/>
        </w:rPr>
        <w:t xml:space="preserve">The Committee noted </w:t>
      </w:r>
      <w:r w:rsidR="00B436A8" w:rsidRPr="00603B95">
        <w:rPr>
          <w:rFonts w:ascii="Arial" w:hAnsi="Arial" w:cs="Arial"/>
          <w:sz w:val="20"/>
          <w:szCs w:val="20"/>
        </w:rPr>
        <w:t xml:space="preserve">improvements in the internal control environment of the Department as there was no fruitless, wasteful </w:t>
      </w:r>
      <w:r w:rsidR="00C706A6" w:rsidRPr="00603B95">
        <w:rPr>
          <w:rFonts w:ascii="Arial" w:hAnsi="Arial" w:cs="Arial"/>
          <w:sz w:val="20"/>
          <w:szCs w:val="20"/>
        </w:rPr>
        <w:t xml:space="preserve">or </w:t>
      </w:r>
      <w:r w:rsidR="00B436A8" w:rsidRPr="00603B95">
        <w:rPr>
          <w:rFonts w:ascii="Arial" w:hAnsi="Arial" w:cs="Arial"/>
          <w:sz w:val="20"/>
          <w:szCs w:val="20"/>
        </w:rPr>
        <w:t xml:space="preserve">irregular expenditure during the quarter under review. The </w:t>
      </w:r>
      <w:bookmarkStart w:id="3" w:name="_Hlk136525646"/>
      <w:r w:rsidR="00B436A8" w:rsidRPr="00603B95">
        <w:rPr>
          <w:rFonts w:ascii="Arial" w:hAnsi="Arial" w:cs="Arial"/>
          <w:sz w:val="20"/>
          <w:szCs w:val="20"/>
        </w:rPr>
        <w:t>Department also spent R130 billion representing a spending rate of 99.7 per</w:t>
      </w:r>
      <w:r w:rsidR="00C706A6" w:rsidRPr="00603B95">
        <w:rPr>
          <w:rFonts w:ascii="Arial" w:hAnsi="Arial" w:cs="Arial"/>
          <w:sz w:val="20"/>
          <w:szCs w:val="20"/>
        </w:rPr>
        <w:t xml:space="preserve"> </w:t>
      </w:r>
      <w:r w:rsidR="00B436A8" w:rsidRPr="00603B95">
        <w:rPr>
          <w:rFonts w:ascii="Arial" w:hAnsi="Arial" w:cs="Arial"/>
          <w:sz w:val="20"/>
          <w:szCs w:val="20"/>
        </w:rPr>
        <w:t>cent of its budget</w:t>
      </w:r>
      <w:r w:rsidR="00482AEC" w:rsidRPr="00603B95">
        <w:rPr>
          <w:rFonts w:ascii="Arial" w:hAnsi="Arial" w:cs="Arial"/>
          <w:sz w:val="20"/>
          <w:szCs w:val="20"/>
        </w:rPr>
        <w:t xml:space="preserve"> for the 2022/23 financial year</w:t>
      </w:r>
      <w:r w:rsidR="0002571E" w:rsidRPr="00603B95">
        <w:rPr>
          <w:rFonts w:ascii="Arial" w:hAnsi="Arial" w:cs="Arial"/>
          <w:sz w:val="20"/>
          <w:szCs w:val="20"/>
        </w:rPr>
        <w:t xml:space="preserve">, of which R20 billion </w:t>
      </w:r>
      <w:r w:rsidR="00482AEC" w:rsidRPr="00603B95">
        <w:rPr>
          <w:rFonts w:ascii="Arial" w:hAnsi="Arial" w:cs="Arial"/>
          <w:sz w:val="20"/>
          <w:szCs w:val="20"/>
        </w:rPr>
        <w:t xml:space="preserve">was </w:t>
      </w:r>
      <w:r w:rsidR="0002571E" w:rsidRPr="00603B95">
        <w:rPr>
          <w:rFonts w:ascii="Arial" w:hAnsi="Arial" w:cs="Arial"/>
          <w:sz w:val="20"/>
          <w:szCs w:val="20"/>
        </w:rPr>
        <w:t xml:space="preserve">for skills levy. The variance on underspending amounted to R462 million </w:t>
      </w:r>
      <w:r w:rsidR="00482AEC" w:rsidRPr="00603B95">
        <w:rPr>
          <w:rFonts w:ascii="Arial" w:hAnsi="Arial" w:cs="Arial"/>
          <w:sz w:val="20"/>
          <w:szCs w:val="20"/>
        </w:rPr>
        <w:t xml:space="preserve">or </w:t>
      </w:r>
      <w:r w:rsidR="0002571E" w:rsidRPr="00603B95">
        <w:rPr>
          <w:rFonts w:ascii="Arial" w:hAnsi="Arial" w:cs="Arial"/>
          <w:sz w:val="20"/>
          <w:szCs w:val="20"/>
        </w:rPr>
        <w:t>0.3 per</w:t>
      </w:r>
      <w:r w:rsidR="00C706A6" w:rsidRPr="00603B95">
        <w:rPr>
          <w:rFonts w:ascii="Arial" w:hAnsi="Arial" w:cs="Arial"/>
          <w:sz w:val="20"/>
          <w:szCs w:val="20"/>
        </w:rPr>
        <w:t xml:space="preserve"> </w:t>
      </w:r>
      <w:r w:rsidR="0002571E" w:rsidRPr="00603B95">
        <w:rPr>
          <w:rFonts w:ascii="Arial" w:hAnsi="Arial" w:cs="Arial"/>
          <w:sz w:val="20"/>
          <w:szCs w:val="20"/>
        </w:rPr>
        <w:t>cent of the total budget.</w:t>
      </w:r>
      <w:r w:rsidR="00B436A8" w:rsidRPr="00603B95">
        <w:rPr>
          <w:rFonts w:ascii="Arial" w:hAnsi="Arial" w:cs="Arial"/>
          <w:sz w:val="20"/>
          <w:szCs w:val="20"/>
        </w:rPr>
        <w:t xml:space="preserve"> </w:t>
      </w:r>
      <w:r w:rsidR="006F28D1" w:rsidRPr="00603B95">
        <w:rPr>
          <w:rFonts w:ascii="Arial" w:hAnsi="Arial" w:cs="Arial"/>
          <w:sz w:val="20"/>
          <w:szCs w:val="20"/>
        </w:rPr>
        <w:t xml:space="preserve">The University Education programme remained the </w:t>
      </w:r>
      <w:r w:rsidR="006F28D1" w:rsidRPr="00603B95">
        <w:rPr>
          <w:rFonts w:ascii="Arial" w:hAnsi="Arial" w:cs="Arial"/>
          <w:sz w:val="20"/>
          <w:szCs w:val="20"/>
        </w:rPr>
        <w:lastRenderedPageBreak/>
        <w:t>biggest spending branch at an amount of R88 billion, which includes R45 billion that was transferred to the National Student Financial Aid Scheme (NSFAS).</w:t>
      </w:r>
      <w:bookmarkEnd w:id="3"/>
      <w:r w:rsidR="006F28D1" w:rsidRPr="00603B95">
        <w:rPr>
          <w:rFonts w:ascii="Arial" w:hAnsi="Arial" w:cs="Arial"/>
          <w:sz w:val="20"/>
          <w:szCs w:val="20"/>
        </w:rPr>
        <w:t xml:space="preserve"> </w:t>
      </w:r>
      <w:r w:rsidR="00B436A8" w:rsidRPr="00603B95">
        <w:rPr>
          <w:rFonts w:ascii="Arial" w:hAnsi="Arial" w:cs="Arial"/>
          <w:sz w:val="20"/>
          <w:szCs w:val="20"/>
        </w:rPr>
        <w:t>The Committee also</w:t>
      </w:r>
      <w:r w:rsidR="006F28D1" w:rsidRPr="00603B95">
        <w:rPr>
          <w:rFonts w:ascii="Arial" w:hAnsi="Arial" w:cs="Arial"/>
          <w:sz w:val="20"/>
          <w:szCs w:val="20"/>
        </w:rPr>
        <w:t xml:space="preserve"> welcomed some notable achievements during the quarter under review</w:t>
      </w:r>
      <w:r w:rsidR="00482AEC" w:rsidRPr="00603B95">
        <w:rPr>
          <w:rFonts w:ascii="Arial" w:hAnsi="Arial" w:cs="Arial"/>
          <w:sz w:val="20"/>
          <w:szCs w:val="20"/>
        </w:rPr>
        <w:t>,</w:t>
      </w:r>
      <w:r w:rsidR="006F28D1" w:rsidRPr="00603B95">
        <w:rPr>
          <w:rFonts w:ascii="Arial" w:hAnsi="Arial" w:cs="Arial"/>
          <w:sz w:val="20"/>
          <w:szCs w:val="20"/>
        </w:rPr>
        <w:t xml:space="preserve"> such as the completion of the feasibility studies on the establishment of the two new universities in Gauteng. </w:t>
      </w:r>
    </w:p>
    <w:p w:rsidR="00B17E43" w:rsidRPr="00603B95" w:rsidRDefault="00B17E43" w:rsidP="00603B95">
      <w:pPr>
        <w:autoSpaceDN w:val="0"/>
        <w:spacing w:after="0" w:line="240" w:lineRule="auto"/>
        <w:rPr>
          <w:rFonts w:ascii="Arial" w:hAnsi="Arial" w:cs="Arial"/>
          <w:b/>
          <w:sz w:val="20"/>
          <w:szCs w:val="20"/>
        </w:rPr>
      </w:pPr>
    </w:p>
    <w:p w:rsidR="00A26D3A" w:rsidRPr="00603B95" w:rsidRDefault="00A26D3A" w:rsidP="00603B95">
      <w:pPr>
        <w:autoSpaceDN w:val="0"/>
        <w:spacing w:after="0" w:line="240" w:lineRule="auto"/>
        <w:rPr>
          <w:rFonts w:ascii="Arial" w:hAnsi="Arial" w:cs="Arial"/>
          <w:b/>
          <w:sz w:val="20"/>
          <w:szCs w:val="20"/>
        </w:rPr>
      </w:pPr>
    </w:p>
    <w:p w:rsidR="00986A85" w:rsidRPr="00603B95" w:rsidRDefault="000F5259" w:rsidP="00603B95">
      <w:pPr>
        <w:autoSpaceDN w:val="0"/>
        <w:spacing w:after="0" w:line="240" w:lineRule="auto"/>
        <w:rPr>
          <w:rFonts w:ascii="Arial" w:hAnsi="Arial" w:cs="Arial"/>
          <w:b/>
          <w:sz w:val="20"/>
          <w:szCs w:val="20"/>
        </w:rPr>
      </w:pPr>
      <w:r w:rsidRPr="00603B95">
        <w:rPr>
          <w:rFonts w:ascii="Arial" w:hAnsi="Arial" w:cs="Arial"/>
          <w:b/>
          <w:sz w:val="20"/>
          <w:szCs w:val="20"/>
        </w:rPr>
        <w:t>5</w:t>
      </w:r>
      <w:r w:rsidR="00986A85" w:rsidRPr="00603B95">
        <w:rPr>
          <w:rFonts w:ascii="Arial" w:hAnsi="Arial" w:cs="Arial"/>
          <w:b/>
          <w:sz w:val="20"/>
          <w:szCs w:val="20"/>
        </w:rPr>
        <w:t>.  R</w:t>
      </w:r>
      <w:r w:rsidR="00D43FDC" w:rsidRPr="00603B95">
        <w:rPr>
          <w:rFonts w:ascii="Arial" w:hAnsi="Arial" w:cs="Arial"/>
          <w:b/>
          <w:sz w:val="20"/>
          <w:szCs w:val="20"/>
        </w:rPr>
        <w:t>ECOMMENDATIONS</w:t>
      </w:r>
    </w:p>
    <w:p w:rsidR="00C706A6" w:rsidRPr="00603B95" w:rsidRDefault="00A63B6E" w:rsidP="00603B95">
      <w:pPr>
        <w:spacing w:after="0" w:line="240" w:lineRule="auto"/>
        <w:rPr>
          <w:rFonts w:ascii="Arial" w:hAnsi="Arial" w:cs="Arial"/>
          <w:sz w:val="20"/>
          <w:szCs w:val="20"/>
        </w:rPr>
      </w:pPr>
      <w:r w:rsidRPr="00603B95">
        <w:rPr>
          <w:rFonts w:ascii="Arial" w:hAnsi="Arial" w:cs="Arial"/>
          <w:sz w:val="20"/>
          <w:szCs w:val="20"/>
        </w:rPr>
        <w:t xml:space="preserve">The Committee having assessed the 2022/23 </w:t>
      </w:r>
      <w:r w:rsidR="0027029A" w:rsidRPr="00603B95">
        <w:rPr>
          <w:rFonts w:ascii="Arial" w:hAnsi="Arial" w:cs="Arial"/>
          <w:sz w:val="20"/>
          <w:szCs w:val="20"/>
        </w:rPr>
        <w:t>Fourth</w:t>
      </w:r>
      <w:r w:rsidRPr="00603B95">
        <w:rPr>
          <w:rFonts w:ascii="Arial" w:hAnsi="Arial" w:cs="Arial"/>
          <w:sz w:val="20"/>
          <w:szCs w:val="20"/>
        </w:rPr>
        <w:t>-Quarter expenditure and performance report of the Department makes the following recommendations:</w:t>
      </w:r>
    </w:p>
    <w:p w:rsidR="009E3FDC" w:rsidRPr="00603B95" w:rsidRDefault="009E3FDC" w:rsidP="00603B95">
      <w:pPr>
        <w:spacing w:after="0" w:line="240" w:lineRule="auto"/>
        <w:rPr>
          <w:rFonts w:ascii="Arial" w:hAnsi="Arial" w:cs="Arial"/>
          <w:sz w:val="20"/>
          <w:szCs w:val="20"/>
        </w:rPr>
      </w:pPr>
    </w:p>
    <w:p w:rsidR="00A63B6E" w:rsidRPr="00603B95" w:rsidRDefault="00A63B6E" w:rsidP="00603B95">
      <w:pPr>
        <w:spacing w:after="0" w:line="240" w:lineRule="auto"/>
        <w:rPr>
          <w:rFonts w:ascii="Arial" w:hAnsi="Arial" w:cs="Arial"/>
          <w:sz w:val="20"/>
          <w:szCs w:val="20"/>
        </w:rPr>
      </w:pPr>
      <w:r w:rsidRPr="00603B95">
        <w:rPr>
          <w:rFonts w:ascii="Arial" w:hAnsi="Arial" w:cs="Arial"/>
          <w:b/>
          <w:sz w:val="20"/>
          <w:szCs w:val="20"/>
        </w:rPr>
        <w:t>5.1.</w:t>
      </w:r>
      <w:r w:rsidRPr="00603B95">
        <w:rPr>
          <w:rFonts w:ascii="Arial" w:hAnsi="Arial" w:cs="Arial"/>
          <w:sz w:val="20"/>
          <w:szCs w:val="20"/>
        </w:rPr>
        <w:t xml:space="preserve"> </w:t>
      </w:r>
      <w:r w:rsidRPr="00603B95">
        <w:rPr>
          <w:rFonts w:ascii="Arial" w:hAnsi="Arial" w:cs="Arial"/>
          <w:b/>
          <w:sz w:val="20"/>
          <w:szCs w:val="20"/>
        </w:rPr>
        <w:t>Programme 1: Administration</w:t>
      </w:r>
    </w:p>
    <w:p w:rsidR="0027029A" w:rsidRPr="00603B95" w:rsidRDefault="00A63B6E"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5.1.1.</w:t>
      </w:r>
      <w:r w:rsidRPr="00603B95">
        <w:rPr>
          <w:rFonts w:ascii="Arial" w:hAnsi="Arial" w:cs="Arial"/>
          <w:sz w:val="20"/>
          <w:szCs w:val="20"/>
        </w:rPr>
        <w:tab/>
      </w:r>
      <w:r w:rsidR="00FA09C2" w:rsidRPr="00603B95">
        <w:rPr>
          <w:rFonts w:ascii="Arial" w:hAnsi="Arial" w:cs="Arial"/>
          <w:sz w:val="20"/>
          <w:szCs w:val="20"/>
        </w:rPr>
        <w:t xml:space="preserve">The Department should develop a plan of action with timeframes for filling vacant positions within its Chief Directorates and TVET </w:t>
      </w:r>
      <w:r w:rsidR="00843DD9" w:rsidRPr="00603B95">
        <w:rPr>
          <w:rFonts w:ascii="Arial" w:hAnsi="Arial" w:cs="Arial"/>
          <w:sz w:val="20"/>
          <w:szCs w:val="20"/>
        </w:rPr>
        <w:t>colleges</w:t>
      </w:r>
      <w:r w:rsidR="00FA09C2" w:rsidRPr="00603B95">
        <w:rPr>
          <w:rFonts w:ascii="Arial" w:hAnsi="Arial" w:cs="Arial"/>
          <w:sz w:val="20"/>
          <w:szCs w:val="20"/>
        </w:rPr>
        <w:t xml:space="preserve">. </w:t>
      </w:r>
    </w:p>
    <w:p w:rsidR="00FA09C2" w:rsidRPr="00603B95" w:rsidRDefault="00FA09C2"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5.1.2 The Department should be actively involved in assisting TVET colleges to comply with all the requirements for the implementation of post-provisioning norms (PPN) in the TVET sector.</w:t>
      </w:r>
    </w:p>
    <w:p w:rsidR="00FA09C2" w:rsidRPr="00603B95" w:rsidRDefault="00FA09C2"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5.1.2 The payment of valid invoices to service providers within 30 days should be prioritised.</w:t>
      </w:r>
    </w:p>
    <w:p w:rsidR="001C7395" w:rsidRPr="00603B95" w:rsidRDefault="00FA09C2"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5.1.3 </w:t>
      </w:r>
      <w:r w:rsidR="001C7395" w:rsidRPr="00603B95">
        <w:rPr>
          <w:rFonts w:ascii="Arial" w:hAnsi="Arial" w:cs="Arial"/>
          <w:sz w:val="20"/>
          <w:szCs w:val="20"/>
        </w:rPr>
        <w:t>The Department</w:t>
      </w:r>
      <w:r w:rsidR="00482AEC" w:rsidRPr="00603B95">
        <w:rPr>
          <w:rFonts w:ascii="Arial" w:hAnsi="Arial" w:cs="Arial"/>
          <w:sz w:val="20"/>
          <w:szCs w:val="20"/>
        </w:rPr>
        <w:t xml:space="preserve"> and its entities</w:t>
      </w:r>
      <w:r w:rsidR="001C7395" w:rsidRPr="00603B95">
        <w:rPr>
          <w:rFonts w:ascii="Arial" w:hAnsi="Arial" w:cs="Arial"/>
          <w:sz w:val="20"/>
          <w:szCs w:val="20"/>
        </w:rPr>
        <w:t xml:space="preserve"> should </w:t>
      </w:r>
      <w:r w:rsidR="00332C33" w:rsidRPr="00603B95">
        <w:rPr>
          <w:rFonts w:ascii="Arial" w:hAnsi="Arial" w:cs="Arial"/>
          <w:sz w:val="20"/>
          <w:szCs w:val="20"/>
        </w:rPr>
        <w:t>strengthen partnerships</w:t>
      </w:r>
      <w:r w:rsidR="001C7395" w:rsidRPr="00603B95">
        <w:rPr>
          <w:rFonts w:ascii="Arial" w:hAnsi="Arial" w:cs="Arial"/>
          <w:sz w:val="20"/>
          <w:szCs w:val="20"/>
        </w:rPr>
        <w:t xml:space="preserve"> with the South African Broadcasting Corporation (SABC) to communicate the existing skills development programmes and </w:t>
      </w:r>
      <w:r w:rsidR="00482AEC" w:rsidRPr="00603B95">
        <w:rPr>
          <w:rFonts w:ascii="Arial" w:hAnsi="Arial" w:cs="Arial"/>
          <w:sz w:val="20"/>
          <w:szCs w:val="20"/>
        </w:rPr>
        <w:t xml:space="preserve">share success stories to improve the image of these institutions. </w:t>
      </w:r>
    </w:p>
    <w:p w:rsidR="00332C33" w:rsidRPr="00603B95" w:rsidRDefault="00707DA8" w:rsidP="00603B95">
      <w:pPr>
        <w:spacing w:after="0" w:line="240" w:lineRule="auto"/>
        <w:ind w:left="567" w:hanging="567"/>
        <w:rPr>
          <w:rFonts w:ascii="Arial" w:hAnsi="Arial" w:cs="Arial"/>
          <w:sz w:val="20"/>
          <w:szCs w:val="20"/>
        </w:rPr>
      </w:pPr>
      <w:r w:rsidRPr="00603B95">
        <w:rPr>
          <w:rFonts w:ascii="Arial" w:hAnsi="Arial" w:cs="Arial"/>
          <w:sz w:val="20"/>
          <w:szCs w:val="20"/>
        </w:rPr>
        <w:t>5.1.</w:t>
      </w:r>
      <w:r w:rsidR="00482AEC" w:rsidRPr="00603B95">
        <w:rPr>
          <w:rFonts w:ascii="Arial" w:hAnsi="Arial" w:cs="Arial"/>
          <w:sz w:val="20"/>
          <w:szCs w:val="20"/>
        </w:rPr>
        <w:t>4</w:t>
      </w:r>
      <w:r w:rsidRPr="00603B95">
        <w:rPr>
          <w:rFonts w:ascii="Arial" w:hAnsi="Arial" w:cs="Arial"/>
          <w:sz w:val="20"/>
          <w:szCs w:val="20"/>
        </w:rPr>
        <w:t xml:space="preserve"> The D</w:t>
      </w:r>
      <w:r w:rsidR="00387B15" w:rsidRPr="00603B95">
        <w:rPr>
          <w:rFonts w:ascii="Arial" w:hAnsi="Arial" w:cs="Arial"/>
          <w:sz w:val="20"/>
          <w:szCs w:val="20"/>
        </w:rPr>
        <w:t xml:space="preserve">epartment should put necessary measures in place to achieve the target </w:t>
      </w:r>
      <w:r w:rsidR="00C706A6" w:rsidRPr="00603B95">
        <w:rPr>
          <w:rFonts w:ascii="Arial" w:hAnsi="Arial" w:cs="Arial"/>
          <w:sz w:val="20"/>
          <w:szCs w:val="20"/>
        </w:rPr>
        <w:t xml:space="preserve">of </w:t>
      </w:r>
      <w:r w:rsidR="00387B15" w:rsidRPr="00603B95">
        <w:rPr>
          <w:rFonts w:ascii="Arial" w:hAnsi="Arial" w:cs="Arial"/>
          <w:sz w:val="20"/>
          <w:szCs w:val="20"/>
        </w:rPr>
        <w:t>40 per</w:t>
      </w:r>
      <w:r w:rsidR="00C706A6" w:rsidRPr="00603B95">
        <w:rPr>
          <w:rFonts w:ascii="Arial" w:hAnsi="Arial" w:cs="Arial"/>
          <w:sz w:val="20"/>
          <w:szCs w:val="20"/>
        </w:rPr>
        <w:t xml:space="preserve"> </w:t>
      </w:r>
      <w:r w:rsidR="00387B15" w:rsidRPr="00603B95">
        <w:rPr>
          <w:rFonts w:ascii="Arial" w:hAnsi="Arial" w:cs="Arial"/>
          <w:sz w:val="20"/>
          <w:szCs w:val="20"/>
        </w:rPr>
        <w:t xml:space="preserve">cent </w:t>
      </w:r>
      <w:r w:rsidR="00C706A6" w:rsidRPr="00603B95">
        <w:rPr>
          <w:rFonts w:ascii="Arial" w:hAnsi="Arial" w:cs="Arial"/>
          <w:sz w:val="20"/>
          <w:szCs w:val="20"/>
        </w:rPr>
        <w:t xml:space="preserve">of </w:t>
      </w:r>
      <w:r w:rsidR="00387B15" w:rsidRPr="00603B95">
        <w:rPr>
          <w:rFonts w:ascii="Arial" w:hAnsi="Arial" w:cs="Arial"/>
          <w:sz w:val="20"/>
          <w:szCs w:val="20"/>
        </w:rPr>
        <w:t xml:space="preserve">public procurement spent on </w:t>
      </w:r>
      <w:r w:rsidR="00C706A6" w:rsidRPr="00603B95">
        <w:rPr>
          <w:rFonts w:ascii="Arial" w:hAnsi="Arial" w:cs="Arial"/>
          <w:sz w:val="20"/>
          <w:szCs w:val="20"/>
        </w:rPr>
        <w:t>women-</w:t>
      </w:r>
      <w:r w:rsidR="00387B15" w:rsidRPr="00603B95">
        <w:rPr>
          <w:rFonts w:ascii="Arial" w:hAnsi="Arial" w:cs="Arial"/>
          <w:sz w:val="20"/>
          <w:szCs w:val="20"/>
        </w:rPr>
        <w:t>owned busines</w:t>
      </w:r>
      <w:r w:rsidR="00C706A6" w:rsidRPr="00603B95">
        <w:rPr>
          <w:rFonts w:ascii="Arial" w:hAnsi="Arial" w:cs="Arial"/>
          <w:sz w:val="20"/>
          <w:szCs w:val="20"/>
        </w:rPr>
        <w:t>se</w:t>
      </w:r>
      <w:r w:rsidR="00387B15" w:rsidRPr="00603B95">
        <w:rPr>
          <w:rFonts w:ascii="Arial" w:hAnsi="Arial" w:cs="Arial"/>
          <w:sz w:val="20"/>
          <w:szCs w:val="20"/>
        </w:rPr>
        <w:t>s</w:t>
      </w:r>
      <w:r w:rsidR="0045620C" w:rsidRPr="00603B95">
        <w:rPr>
          <w:rFonts w:ascii="Arial" w:hAnsi="Arial" w:cs="Arial"/>
          <w:sz w:val="20"/>
          <w:szCs w:val="20"/>
        </w:rPr>
        <w:t>.</w:t>
      </w:r>
    </w:p>
    <w:p w:rsidR="00A63B6E" w:rsidRPr="00603B95" w:rsidRDefault="00D67916" w:rsidP="00603B95">
      <w:pPr>
        <w:spacing w:after="0" w:line="240" w:lineRule="auto"/>
        <w:rPr>
          <w:rFonts w:ascii="Arial" w:hAnsi="Arial" w:cs="Arial"/>
          <w:b/>
          <w:sz w:val="20"/>
          <w:szCs w:val="20"/>
        </w:rPr>
      </w:pPr>
      <w:r w:rsidRPr="00603B95">
        <w:rPr>
          <w:rFonts w:ascii="Arial" w:hAnsi="Arial" w:cs="Arial"/>
          <w:b/>
          <w:sz w:val="20"/>
          <w:szCs w:val="20"/>
        </w:rPr>
        <w:t xml:space="preserve">5.2. </w:t>
      </w:r>
      <w:r w:rsidR="00A63B6E" w:rsidRPr="00603B95">
        <w:rPr>
          <w:rFonts w:ascii="Arial" w:hAnsi="Arial" w:cs="Arial"/>
          <w:b/>
          <w:sz w:val="20"/>
          <w:szCs w:val="20"/>
        </w:rPr>
        <w:t>Programme 2: Planning. Policy and Strategy</w:t>
      </w:r>
    </w:p>
    <w:p w:rsidR="00A63B6E" w:rsidRPr="00603B95" w:rsidRDefault="00FA09C2"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5.2.1. The Department working closely with the Presidency should ensure that the process of </w:t>
      </w:r>
      <w:r w:rsidR="00C706A6" w:rsidRPr="00603B95">
        <w:rPr>
          <w:rFonts w:ascii="Arial" w:hAnsi="Arial" w:cs="Arial"/>
          <w:sz w:val="20"/>
          <w:szCs w:val="20"/>
        </w:rPr>
        <w:t xml:space="preserve">the </w:t>
      </w:r>
      <w:r w:rsidR="00482AEC" w:rsidRPr="00603B95">
        <w:rPr>
          <w:rFonts w:ascii="Arial" w:hAnsi="Arial" w:cs="Arial"/>
          <w:sz w:val="20"/>
          <w:szCs w:val="20"/>
        </w:rPr>
        <w:t xml:space="preserve">proclamation of </w:t>
      </w:r>
      <w:r w:rsidRPr="00603B95">
        <w:rPr>
          <w:rFonts w:ascii="Arial" w:hAnsi="Arial" w:cs="Arial"/>
          <w:sz w:val="20"/>
          <w:szCs w:val="20"/>
        </w:rPr>
        <w:t xml:space="preserve">the NQF Amendment </w:t>
      </w:r>
      <w:r w:rsidR="001C7395" w:rsidRPr="00603B95">
        <w:rPr>
          <w:rFonts w:ascii="Arial" w:hAnsi="Arial" w:cs="Arial"/>
          <w:sz w:val="20"/>
          <w:szCs w:val="20"/>
        </w:rPr>
        <w:t>Act</w:t>
      </w:r>
      <w:r w:rsidR="00482AEC" w:rsidRPr="00603B95">
        <w:rPr>
          <w:rFonts w:ascii="Arial" w:hAnsi="Arial" w:cs="Arial"/>
          <w:sz w:val="20"/>
          <w:szCs w:val="20"/>
        </w:rPr>
        <w:t>, 2019</w:t>
      </w:r>
      <w:r w:rsidRPr="00603B95">
        <w:rPr>
          <w:rFonts w:ascii="Arial" w:hAnsi="Arial" w:cs="Arial"/>
          <w:sz w:val="20"/>
          <w:szCs w:val="20"/>
        </w:rPr>
        <w:t xml:space="preserve"> is prioritised</w:t>
      </w:r>
      <w:r w:rsidR="001C7395" w:rsidRPr="00603B95">
        <w:rPr>
          <w:rFonts w:ascii="Arial" w:hAnsi="Arial" w:cs="Arial"/>
          <w:sz w:val="20"/>
          <w:szCs w:val="20"/>
        </w:rPr>
        <w:t>.</w:t>
      </w:r>
    </w:p>
    <w:p w:rsidR="001C7395" w:rsidRPr="00603B95" w:rsidRDefault="001C7395"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5.2.2 The Department should develop a project management plan </w:t>
      </w:r>
      <w:r w:rsidR="00482AEC" w:rsidRPr="00603B95">
        <w:rPr>
          <w:rFonts w:ascii="Arial" w:hAnsi="Arial" w:cs="Arial"/>
          <w:sz w:val="20"/>
          <w:szCs w:val="20"/>
        </w:rPr>
        <w:t xml:space="preserve">to monitor the activities implemented towards achieving the planned targets. </w:t>
      </w:r>
      <w:r w:rsidRPr="00603B95">
        <w:rPr>
          <w:rFonts w:ascii="Arial" w:hAnsi="Arial" w:cs="Arial"/>
          <w:sz w:val="20"/>
          <w:szCs w:val="20"/>
        </w:rPr>
        <w:t xml:space="preserve">Furthermore, there should be a centralised approach to monitor </w:t>
      </w:r>
      <w:r w:rsidR="00C706A6" w:rsidRPr="00603B95">
        <w:rPr>
          <w:rFonts w:ascii="Arial" w:hAnsi="Arial" w:cs="Arial"/>
          <w:sz w:val="20"/>
          <w:szCs w:val="20"/>
        </w:rPr>
        <w:t xml:space="preserve">the </w:t>
      </w:r>
      <w:r w:rsidRPr="00603B95">
        <w:rPr>
          <w:rFonts w:ascii="Arial" w:hAnsi="Arial" w:cs="Arial"/>
          <w:sz w:val="20"/>
          <w:szCs w:val="20"/>
        </w:rPr>
        <w:t>in-year performance of the various programmes of the Department.</w:t>
      </w:r>
    </w:p>
    <w:p w:rsidR="001C7395" w:rsidRPr="00603B95" w:rsidRDefault="001C7395" w:rsidP="00603B95">
      <w:pPr>
        <w:pStyle w:val="ListParagraph"/>
        <w:spacing w:after="0" w:line="240" w:lineRule="auto"/>
        <w:ind w:left="567" w:hanging="567"/>
        <w:rPr>
          <w:rFonts w:ascii="Arial" w:hAnsi="Arial" w:cs="Arial"/>
          <w:b/>
          <w:sz w:val="20"/>
          <w:szCs w:val="20"/>
        </w:rPr>
      </w:pPr>
      <w:r w:rsidRPr="00603B95">
        <w:rPr>
          <w:rFonts w:ascii="Arial" w:hAnsi="Arial" w:cs="Arial"/>
          <w:sz w:val="20"/>
          <w:szCs w:val="20"/>
        </w:rPr>
        <w:t>5.2.3 Consequence management should be implemented against officials responsible for poor performance in some of the programmes of the Department.</w:t>
      </w:r>
    </w:p>
    <w:p w:rsidR="00A63B6E" w:rsidRPr="00603B95" w:rsidRDefault="00D67916" w:rsidP="00603B95">
      <w:pPr>
        <w:spacing w:after="0" w:line="240" w:lineRule="auto"/>
        <w:rPr>
          <w:rFonts w:ascii="Arial" w:hAnsi="Arial" w:cs="Arial"/>
          <w:b/>
          <w:sz w:val="20"/>
          <w:szCs w:val="20"/>
        </w:rPr>
      </w:pPr>
      <w:r w:rsidRPr="00603B95">
        <w:rPr>
          <w:rFonts w:ascii="Arial" w:hAnsi="Arial" w:cs="Arial"/>
          <w:b/>
          <w:sz w:val="20"/>
          <w:szCs w:val="20"/>
        </w:rPr>
        <w:t xml:space="preserve">5.3. </w:t>
      </w:r>
      <w:r w:rsidR="00A63B6E" w:rsidRPr="00603B95">
        <w:rPr>
          <w:rFonts w:ascii="Arial" w:hAnsi="Arial" w:cs="Arial"/>
          <w:b/>
          <w:sz w:val="20"/>
          <w:szCs w:val="20"/>
        </w:rPr>
        <w:t>Programme 3: University Education</w:t>
      </w:r>
    </w:p>
    <w:p w:rsidR="00A63B6E" w:rsidRPr="00603B95" w:rsidRDefault="00387B15" w:rsidP="00603B95">
      <w:pPr>
        <w:pStyle w:val="ListParagraph"/>
        <w:spacing w:after="0" w:line="240" w:lineRule="auto"/>
        <w:ind w:left="709" w:hanging="709"/>
        <w:rPr>
          <w:rFonts w:ascii="Arial" w:hAnsi="Arial" w:cs="Arial"/>
          <w:sz w:val="20"/>
          <w:szCs w:val="20"/>
        </w:rPr>
      </w:pPr>
      <w:r w:rsidRPr="00603B95">
        <w:rPr>
          <w:rFonts w:ascii="Arial" w:hAnsi="Arial" w:cs="Arial"/>
          <w:sz w:val="20"/>
          <w:szCs w:val="20"/>
        </w:rPr>
        <w:t xml:space="preserve">5.3.1. The Department should prioritise </w:t>
      </w:r>
      <w:r w:rsidR="00103B96" w:rsidRPr="00603B95">
        <w:rPr>
          <w:rFonts w:ascii="Arial" w:hAnsi="Arial" w:cs="Arial"/>
          <w:sz w:val="20"/>
          <w:szCs w:val="20"/>
        </w:rPr>
        <w:t xml:space="preserve">the </w:t>
      </w:r>
      <w:r w:rsidRPr="00603B95">
        <w:rPr>
          <w:rFonts w:ascii="Arial" w:hAnsi="Arial" w:cs="Arial"/>
          <w:sz w:val="20"/>
          <w:szCs w:val="20"/>
        </w:rPr>
        <w:t>release of funds for the implementation of the University Capacity Development Programme (UCDP).</w:t>
      </w:r>
    </w:p>
    <w:p w:rsidR="00A26D3A" w:rsidRPr="00603B95" w:rsidRDefault="00A26D3A" w:rsidP="00603B95">
      <w:pPr>
        <w:spacing w:after="0" w:line="240" w:lineRule="auto"/>
        <w:rPr>
          <w:rFonts w:ascii="Arial" w:hAnsi="Arial" w:cs="Arial"/>
          <w:b/>
          <w:sz w:val="20"/>
          <w:szCs w:val="20"/>
        </w:rPr>
      </w:pPr>
    </w:p>
    <w:p w:rsidR="00A26D3A" w:rsidRPr="00603B95" w:rsidRDefault="00A26D3A" w:rsidP="00603B95">
      <w:pPr>
        <w:spacing w:after="0" w:line="240" w:lineRule="auto"/>
        <w:rPr>
          <w:rFonts w:ascii="Arial" w:hAnsi="Arial" w:cs="Arial"/>
          <w:b/>
          <w:sz w:val="20"/>
          <w:szCs w:val="20"/>
        </w:rPr>
      </w:pPr>
    </w:p>
    <w:p w:rsidR="00A63B6E" w:rsidRPr="00603B95" w:rsidRDefault="00D67916" w:rsidP="00603B95">
      <w:pPr>
        <w:spacing w:after="0" w:line="240" w:lineRule="auto"/>
        <w:rPr>
          <w:rFonts w:ascii="Arial" w:hAnsi="Arial" w:cs="Arial"/>
          <w:b/>
          <w:sz w:val="20"/>
          <w:szCs w:val="20"/>
        </w:rPr>
      </w:pPr>
      <w:r w:rsidRPr="00603B95">
        <w:rPr>
          <w:rFonts w:ascii="Arial" w:hAnsi="Arial" w:cs="Arial"/>
          <w:b/>
          <w:sz w:val="20"/>
          <w:szCs w:val="20"/>
        </w:rPr>
        <w:t xml:space="preserve">5.4. </w:t>
      </w:r>
      <w:r w:rsidR="00A63B6E" w:rsidRPr="00603B95">
        <w:rPr>
          <w:rFonts w:ascii="Arial" w:hAnsi="Arial" w:cs="Arial"/>
          <w:b/>
          <w:sz w:val="20"/>
          <w:szCs w:val="20"/>
        </w:rPr>
        <w:t>Programme 4: TVET</w:t>
      </w:r>
    </w:p>
    <w:p w:rsidR="00A63B6E" w:rsidRPr="00603B95" w:rsidRDefault="008119E3"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5.4.1. The Department should prioritise the expansion of the Disability Units to all 50 TVET colleges in line with the principle of promoting universal access to the TVET sector.</w:t>
      </w:r>
    </w:p>
    <w:p w:rsidR="008119E3" w:rsidRPr="00603B95" w:rsidRDefault="00757E5C" w:rsidP="00603B95">
      <w:pPr>
        <w:pStyle w:val="ListParagraph"/>
        <w:spacing w:after="0" w:line="240" w:lineRule="auto"/>
        <w:ind w:left="567" w:hanging="567"/>
        <w:rPr>
          <w:rFonts w:ascii="Arial" w:hAnsi="Arial" w:cs="Arial"/>
          <w:sz w:val="20"/>
          <w:szCs w:val="20"/>
        </w:rPr>
      </w:pPr>
      <w:r w:rsidRPr="00603B95">
        <w:rPr>
          <w:rFonts w:ascii="Arial" w:hAnsi="Arial" w:cs="Arial"/>
          <w:sz w:val="20"/>
          <w:szCs w:val="20"/>
        </w:rPr>
        <w:t xml:space="preserve">5.4.2 </w:t>
      </w:r>
      <w:r w:rsidR="006B2C7A" w:rsidRPr="00603B95">
        <w:rPr>
          <w:rFonts w:ascii="Arial" w:hAnsi="Arial" w:cs="Arial"/>
          <w:sz w:val="20"/>
          <w:szCs w:val="20"/>
        </w:rPr>
        <w:t>The Department should ensure that TVET lecturers are capacitated to improve the learning outcomes and throughput rate in the sector.</w:t>
      </w:r>
    </w:p>
    <w:p w:rsidR="00C706A6" w:rsidRPr="00603B95" w:rsidRDefault="00C706A6" w:rsidP="00603B95">
      <w:pPr>
        <w:pStyle w:val="ListParagraph"/>
        <w:spacing w:after="0" w:line="240" w:lineRule="auto"/>
        <w:ind w:left="567" w:hanging="567"/>
        <w:rPr>
          <w:rFonts w:ascii="Arial" w:hAnsi="Arial" w:cs="Arial"/>
          <w:sz w:val="20"/>
          <w:szCs w:val="20"/>
        </w:rPr>
      </w:pPr>
    </w:p>
    <w:p w:rsidR="00A63B6E" w:rsidRPr="00603B95" w:rsidRDefault="00D67916" w:rsidP="00603B95">
      <w:pPr>
        <w:spacing w:after="0" w:line="240" w:lineRule="auto"/>
        <w:rPr>
          <w:rFonts w:ascii="Arial" w:hAnsi="Arial" w:cs="Arial"/>
          <w:b/>
          <w:sz w:val="20"/>
          <w:szCs w:val="20"/>
        </w:rPr>
      </w:pPr>
      <w:r w:rsidRPr="00603B95">
        <w:rPr>
          <w:rFonts w:ascii="Arial" w:hAnsi="Arial" w:cs="Arial"/>
          <w:b/>
          <w:sz w:val="20"/>
          <w:szCs w:val="20"/>
        </w:rPr>
        <w:t xml:space="preserve">5.5. </w:t>
      </w:r>
      <w:r w:rsidR="00A63B6E" w:rsidRPr="00603B95">
        <w:rPr>
          <w:rFonts w:ascii="Arial" w:hAnsi="Arial" w:cs="Arial"/>
          <w:b/>
          <w:sz w:val="20"/>
          <w:szCs w:val="20"/>
        </w:rPr>
        <w:t>Programme 5: Skills Development</w:t>
      </w:r>
    </w:p>
    <w:p w:rsidR="00A63B6E" w:rsidRPr="00603B95" w:rsidRDefault="00D67916" w:rsidP="00603B95">
      <w:pPr>
        <w:pStyle w:val="ListParagraph"/>
        <w:spacing w:after="0" w:line="240" w:lineRule="auto"/>
        <w:ind w:left="709" w:hanging="709"/>
        <w:rPr>
          <w:rFonts w:ascii="Arial" w:hAnsi="Arial" w:cs="Arial"/>
          <w:sz w:val="20"/>
          <w:szCs w:val="20"/>
        </w:rPr>
      </w:pPr>
      <w:r w:rsidRPr="00603B95">
        <w:rPr>
          <w:rFonts w:ascii="Arial" w:hAnsi="Arial" w:cs="Arial"/>
          <w:sz w:val="20"/>
          <w:szCs w:val="20"/>
        </w:rPr>
        <w:t xml:space="preserve">5.5.1. </w:t>
      </w:r>
      <w:r w:rsidR="00827015" w:rsidRPr="00603B95">
        <w:rPr>
          <w:rFonts w:ascii="Arial" w:hAnsi="Arial" w:cs="Arial"/>
          <w:sz w:val="20"/>
          <w:szCs w:val="20"/>
        </w:rPr>
        <w:t>The Department should ensure that employers, in particular</w:t>
      </w:r>
      <w:r w:rsidR="00A26D3A" w:rsidRPr="00603B95">
        <w:rPr>
          <w:rFonts w:ascii="Arial" w:hAnsi="Arial" w:cs="Arial"/>
          <w:sz w:val="20"/>
          <w:szCs w:val="20"/>
        </w:rPr>
        <w:t>,</w:t>
      </w:r>
      <w:r w:rsidR="00827015" w:rsidRPr="00603B95">
        <w:rPr>
          <w:rFonts w:ascii="Arial" w:hAnsi="Arial" w:cs="Arial"/>
          <w:sz w:val="20"/>
          <w:szCs w:val="20"/>
        </w:rPr>
        <w:t xml:space="preserve"> those hosting students for work-integrated learning</w:t>
      </w:r>
      <w:r w:rsidR="00A26D3A" w:rsidRPr="00603B95">
        <w:rPr>
          <w:rFonts w:ascii="Arial" w:hAnsi="Arial" w:cs="Arial"/>
          <w:sz w:val="20"/>
          <w:szCs w:val="20"/>
        </w:rPr>
        <w:t xml:space="preserve"> (WIL)</w:t>
      </w:r>
      <w:r w:rsidR="00827015" w:rsidRPr="00603B95">
        <w:rPr>
          <w:rFonts w:ascii="Arial" w:hAnsi="Arial" w:cs="Arial"/>
          <w:sz w:val="20"/>
          <w:szCs w:val="20"/>
        </w:rPr>
        <w:t xml:space="preserve"> receive the necessary support needed for students to complete their experiential learning. </w:t>
      </w:r>
    </w:p>
    <w:p w:rsidR="00827015" w:rsidRPr="00603B95" w:rsidRDefault="00827015" w:rsidP="00603B95">
      <w:pPr>
        <w:pStyle w:val="ListParagraph"/>
        <w:spacing w:after="0" w:line="240" w:lineRule="auto"/>
        <w:ind w:left="709" w:hanging="709"/>
        <w:rPr>
          <w:rFonts w:ascii="Arial" w:hAnsi="Arial" w:cs="Arial"/>
          <w:sz w:val="20"/>
          <w:szCs w:val="20"/>
        </w:rPr>
      </w:pPr>
      <w:r w:rsidRPr="00603B95">
        <w:rPr>
          <w:rFonts w:ascii="Arial" w:hAnsi="Arial" w:cs="Arial"/>
          <w:sz w:val="20"/>
          <w:szCs w:val="20"/>
        </w:rPr>
        <w:t xml:space="preserve">5.5.2 The Department should consider reviewing the stipends paid to postgraduate students participating in the learnerships or skills development programmes offered by these entities. </w:t>
      </w:r>
    </w:p>
    <w:p w:rsidR="00A35CE0" w:rsidRPr="00603B95" w:rsidRDefault="00A35CE0" w:rsidP="00603B95">
      <w:pPr>
        <w:pStyle w:val="ListParagraph"/>
        <w:spacing w:after="0" w:line="240" w:lineRule="auto"/>
        <w:ind w:left="709" w:hanging="709"/>
        <w:rPr>
          <w:rFonts w:ascii="Arial" w:hAnsi="Arial" w:cs="Arial"/>
          <w:sz w:val="20"/>
          <w:szCs w:val="20"/>
        </w:rPr>
      </w:pPr>
      <w:r w:rsidRPr="00603B95">
        <w:rPr>
          <w:rFonts w:ascii="Arial" w:hAnsi="Arial" w:cs="Arial"/>
          <w:sz w:val="20"/>
          <w:szCs w:val="20"/>
        </w:rPr>
        <w:t xml:space="preserve">5.5.3 The SETAs and NSF should invest more resources in funding </w:t>
      </w:r>
      <w:r w:rsidR="00C706A6" w:rsidRPr="00603B95">
        <w:rPr>
          <w:rFonts w:ascii="Arial" w:hAnsi="Arial" w:cs="Arial"/>
          <w:sz w:val="20"/>
          <w:szCs w:val="20"/>
        </w:rPr>
        <w:t>higher-</w:t>
      </w:r>
      <w:r w:rsidRPr="00603B95">
        <w:rPr>
          <w:rFonts w:ascii="Arial" w:hAnsi="Arial" w:cs="Arial"/>
          <w:sz w:val="20"/>
          <w:szCs w:val="20"/>
        </w:rPr>
        <w:t>end scarce and critical skills programmes needed to improve the economy.</w:t>
      </w:r>
    </w:p>
    <w:p w:rsidR="00332C33" w:rsidRPr="00603B95" w:rsidRDefault="006B2C7A" w:rsidP="00603B95">
      <w:pPr>
        <w:spacing w:after="0" w:line="240" w:lineRule="auto"/>
        <w:ind w:left="567" w:hanging="567"/>
        <w:rPr>
          <w:rFonts w:ascii="Arial" w:hAnsi="Arial" w:cs="Arial"/>
          <w:sz w:val="20"/>
          <w:szCs w:val="20"/>
        </w:rPr>
      </w:pPr>
      <w:r w:rsidRPr="00603B95">
        <w:rPr>
          <w:rFonts w:ascii="Arial" w:hAnsi="Arial" w:cs="Arial"/>
          <w:sz w:val="20"/>
          <w:szCs w:val="20"/>
        </w:rPr>
        <w:t>5.5.4 The Department should ensure that SETAs adhere to the deadlines in relation to the submission of information required for reporting on their performance.</w:t>
      </w:r>
    </w:p>
    <w:p w:rsidR="00A63B6E" w:rsidRPr="00603B95" w:rsidRDefault="00D67916" w:rsidP="00603B95">
      <w:pPr>
        <w:spacing w:after="0" w:line="240" w:lineRule="auto"/>
        <w:rPr>
          <w:rFonts w:ascii="Arial" w:hAnsi="Arial" w:cs="Arial"/>
          <w:b/>
          <w:sz w:val="20"/>
          <w:szCs w:val="20"/>
        </w:rPr>
      </w:pPr>
      <w:r w:rsidRPr="00603B95">
        <w:rPr>
          <w:rFonts w:ascii="Arial" w:hAnsi="Arial" w:cs="Arial"/>
          <w:b/>
          <w:sz w:val="20"/>
          <w:szCs w:val="20"/>
        </w:rPr>
        <w:t xml:space="preserve">5.6. </w:t>
      </w:r>
      <w:r w:rsidR="00A63B6E" w:rsidRPr="00603B95">
        <w:rPr>
          <w:rFonts w:ascii="Arial" w:hAnsi="Arial" w:cs="Arial"/>
          <w:b/>
          <w:sz w:val="20"/>
          <w:szCs w:val="20"/>
        </w:rPr>
        <w:t>Programme 6: CET</w:t>
      </w:r>
    </w:p>
    <w:p w:rsidR="00A63B6E" w:rsidRPr="00603B95" w:rsidRDefault="00D67916" w:rsidP="00603B95">
      <w:pPr>
        <w:pStyle w:val="ListParagraph"/>
        <w:spacing w:after="0" w:line="240" w:lineRule="auto"/>
        <w:ind w:left="709" w:hanging="709"/>
        <w:rPr>
          <w:rFonts w:ascii="Arial" w:hAnsi="Arial" w:cs="Arial"/>
          <w:sz w:val="20"/>
          <w:szCs w:val="20"/>
        </w:rPr>
      </w:pPr>
      <w:r w:rsidRPr="00603B95">
        <w:rPr>
          <w:rFonts w:ascii="Arial" w:hAnsi="Arial" w:cs="Arial"/>
          <w:sz w:val="20"/>
          <w:szCs w:val="20"/>
        </w:rPr>
        <w:t xml:space="preserve">5.6.1. </w:t>
      </w:r>
      <w:r w:rsidR="0045620C" w:rsidRPr="00603B95">
        <w:rPr>
          <w:rFonts w:ascii="Arial" w:hAnsi="Arial" w:cs="Arial"/>
          <w:sz w:val="20"/>
          <w:szCs w:val="20"/>
        </w:rPr>
        <w:t>The Department should ensure that CET colleges are provided with the necessary support to be fully compliant with the accreditation requirements of the QCTO and SETAs.</w:t>
      </w:r>
    </w:p>
    <w:p w:rsidR="001744F3" w:rsidRPr="00603B95" w:rsidDel="00DB58A0" w:rsidRDefault="001744F3" w:rsidP="00603B95">
      <w:pPr>
        <w:pStyle w:val="ListParagraph"/>
        <w:spacing w:beforeLines="1" w:afterLines="1" w:line="240" w:lineRule="auto"/>
        <w:ind w:left="0"/>
        <w:contextualSpacing w:val="0"/>
        <w:rPr>
          <w:rFonts w:ascii="Arial" w:hAnsi="Arial" w:cs="Arial"/>
          <w:sz w:val="20"/>
          <w:szCs w:val="20"/>
        </w:rPr>
      </w:pPr>
    </w:p>
    <w:p w:rsidR="00451DDC" w:rsidRPr="00603B95" w:rsidRDefault="00986A85" w:rsidP="00603B95">
      <w:pPr>
        <w:autoSpaceDN w:val="0"/>
        <w:spacing w:after="0" w:line="240" w:lineRule="auto"/>
        <w:rPr>
          <w:rFonts w:ascii="Arial" w:hAnsi="Arial" w:cs="Arial"/>
          <w:sz w:val="20"/>
          <w:szCs w:val="20"/>
        </w:rPr>
      </w:pPr>
      <w:r w:rsidRPr="00603B95">
        <w:rPr>
          <w:rFonts w:ascii="Arial" w:hAnsi="Arial" w:cs="Arial"/>
          <w:sz w:val="20"/>
          <w:szCs w:val="20"/>
        </w:rPr>
        <w:t>Report to be considered.</w:t>
      </w:r>
    </w:p>
    <w:sectPr w:rsidR="00451DDC" w:rsidRPr="00603B95" w:rsidSect="00737F6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B6" w:rsidRDefault="00426CB6" w:rsidP="006003CD">
      <w:pPr>
        <w:spacing w:after="0" w:line="240" w:lineRule="auto"/>
      </w:pPr>
      <w:r>
        <w:separator/>
      </w:r>
    </w:p>
  </w:endnote>
  <w:endnote w:type="continuationSeparator" w:id="0">
    <w:p w:rsidR="00426CB6" w:rsidRDefault="00426CB6" w:rsidP="00600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748062"/>
      <w:docPartObj>
        <w:docPartGallery w:val="Page Numbers (Bottom of Page)"/>
        <w:docPartUnique/>
      </w:docPartObj>
    </w:sdtPr>
    <w:sdtEndPr>
      <w:rPr>
        <w:noProof/>
      </w:rPr>
    </w:sdtEndPr>
    <w:sdtContent>
      <w:p w:rsidR="001F474F" w:rsidRDefault="00737F66">
        <w:pPr>
          <w:pStyle w:val="Footer"/>
          <w:jc w:val="right"/>
        </w:pPr>
        <w:r>
          <w:fldChar w:fldCharType="begin"/>
        </w:r>
        <w:r w:rsidR="001F474F">
          <w:instrText xml:space="preserve"> PAGE   \* MERGEFORMAT </w:instrText>
        </w:r>
        <w:r>
          <w:fldChar w:fldCharType="separate"/>
        </w:r>
        <w:r w:rsidR="00603B95">
          <w:rPr>
            <w:noProof/>
          </w:rPr>
          <w:t>1</w:t>
        </w:r>
        <w:r>
          <w:rPr>
            <w:noProof/>
          </w:rPr>
          <w:fldChar w:fldCharType="end"/>
        </w:r>
      </w:p>
    </w:sdtContent>
  </w:sdt>
  <w:p w:rsidR="001F474F" w:rsidRDefault="001F4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B6" w:rsidRDefault="00426CB6" w:rsidP="006003CD">
      <w:pPr>
        <w:spacing w:after="0" w:line="240" w:lineRule="auto"/>
      </w:pPr>
      <w:r>
        <w:separator/>
      </w:r>
    </w:p>
  </w:footnote>
  <w:footnote w:type="continuationSeparator" w:id="0">
    <w:p w:rsidR="00426CB6" w:rsidRDefault="00426CB6" w:rsidP="00600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4E9"/>
    <w:multiLevelType w:val="hybridMultilevel"/>
    <w:tmpl w:val="4672D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A7355F"/>
    <w:multiLevelType w:val="hybridMultilevel"/>
    <w:tmpl w:val="8E8E8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D505AE"/>
    <w:multiLevelType w:val="hybridMultilevel"/>
    <w:tmpl w:val="DDF48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7F2C0D"/>
    <w:multiLevelType w:val="hybridMultilevel"/>
    <w:tmpl w:val="B14AD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0F0F49"/>
    <w:multiLevelType w:val="hybridMultilevel"/>
    <w:tmpl w:val="EB4EC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8B4DCD"/>
    <w:multiLevelType w:val="hybridMultilevel"/>
    <w:tmpl w:val="C2526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CE64858"/>
    <w:multiLevelType w:val="hybridMultilevel"/>
    <w:tmpl w:val="28CA1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AA1F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FD2B9D"/>
    <w:multiLevelType w:val="hybridMultilevel"/>
    <w:tmpl w:val="C8C27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B2412AC"/>
    <w:multiLevelType w:val="hybridMultilevel"/>
    <w:tmpl w:val="51A82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C107BD3"/>
    <w:multiLevelType w:val="hybridMultilevel"/>
    <w:tmpl w:val="A1F02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D9E0BD7"/>
    <w:multiLevelType w:val="hybridMultilevel"/>
    <w:tmpl w:val="AFF251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D0D2F45"/>
    <w:multiLevelType w:val="hybridMultilevel"/>
    <w:tmpl w:val="17B24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12"/>
  </w:num>
  <w:num w:numId="6">
    <w:abstractNumId w:val="6"/>
  </w:num>
  <w:num w:numId="7">
    <w:abstractNumId w:val="4"/>
  </w:num>
  <w:num w:numId="8">
    <w:abstractNumId w:val="9"/>
  </w:num>
  <w:num w:numId="9">
    <w:abstractNumId w:val="5"/>
  </w:num>
  <w:num w:numId="10">
    <w:abstractNumId w:val="2"/>
  </w:num>
  <w:num w:numId="11">
    <w:abstractNumId w:val="10"/>
  </w:num>
  <w:num w:numId="12">
    <w:abstractNumId w:val="0"/>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jA1MTO2MDMzNrM0NjRT0lEKTi0uzszPAykwrAUAtos0+CwAAAA="/>
  </w:docVars>
  <w:rsids>
    <w:rsidRoot w:val="00C47CBE"/>
    <w:rsid w:val="00000B17"/>
    <w:rsid w:val="0000186E"/>
    <w:rsid w:val="00002D08"/>
    <w:rsid w:val="00003155"/>
    <w:rsid w:val="000037AB"/>
    <w:rsid w:val="00005F73"/>
    <w:rsid w:val="00007831"/>
    <w:rsid w:val="00007881"/>
    <w:rsid w:val="00010639"/>
    <w:rsid w:val="00011753"/>
    <w:rsid w:val="000140A8"/>
    <w:rsid w:val="0001440C"/>
    <w:rsid w:val="00014802"/>
    <w:rsid w:val="00015E7C"/>
    <w:rsid w:val="00016351"/>
    <w:rsid w:val="0002002A"/>
    <w:rsid w:val="000213F8"/>
    <w:rsid w:val="00024482"/>
    <w:rsid w:val="000254C6"/>
    <w:rsid w:val="0002571E"/>
    <w:rsid w:val="00027F19"/>
    <w:rsid w:val="000300DA"/>
    <w:rsid w:val="00030A24"/>
    <w:rsid w:val="000318B8"/>
    <w:rsid w:val="00032CAB"/>
    <w:rsid w:val="00034E7F"/>
    <w:rsid w:val="00037963"/>
    <w:rsid w:val="00041E8B"/>
    <w:rsid w:val="000535E1"/>
    <w:rsid w:val="000535E7"/>
    <w:rsid w:val="0005592D"/>
    <w:rsid w:val="000561B5"/>
    <w:rsid w:val="0005671D"/>
    <w:rsid w:val="00056A54"/>
    <w:rsid w:val="000571EF"/>
    <w:rsid w:val="00060F26"/>
    <w:rsid w:val="00063744"/>
    <w:rsid w:val="00065965"/>
    <w:rsid w:val="000662E5"/>
    <w:rsid w:val="000669BB"/>
    <w:rsid w:val="00070150"/>
    <w:rsid w:val="00071C4B"/>
    <w:rsid w:val="00075C6E"/>
    <w:rsid w:val="00075F49"/>
    <w:rsid w:val="00076087"/>
    <w:rsid w:val="00077813"/>
    <w:rsid w:val="00077949"/>
    <w:rsid w:val="00080F9A"/>
    <w:rsid w:val="00082770"/>
    <w:rsid w:val="00083B2B"/>
    <w:rsid w:val="00084434"/>
    <w:rsid w:val="000872E9"/>
    <w:rsid w:val="00091561"/>
    <w:rsid w:val="00091ED4"/>
    <w:rsid w:val="00092549"/>
    <w:rsid w:val="00092911"/>
    <w:rsid w:val="00093598"/>
    <w:rsid w:val="00094884"/>
    <w:rsid w:val="000A0394"/>
    <w:rsid w:val="000A20A4"/>
    <w:rsid w:val="000A2AE9"/>
    <w:rsid w:val="000A598A"/>
    <w:rsid w:val="000B06D7"/>
    <w:rsid w:val="000C3AB6"/>
    <w:rsid w:val="000C54C4"/>
    <w:rsid w:val="000C7996"/>
    <w:rsid w:val="000D0AAC"/>
    <w:rsid w:val="000D303B"/>
    <w:rsid w:val="000D3C55"/>
    <w:rsid w:val="000D3D6C"/>
    <w:rsid w:val="000D4F2E"/>
    <w:rsid w:val="000D55CD"/>
    <w:rsid w:val="000D6C94"/>
    <w:rsid w:val="000E11F3"/>
    <w:rsid w:val="000E1D11"/>
    <w:rsid w:val="000E3700"/>
    <w:rsid w:val="000E3F8B"/>
    <w:rsid w:val="000F0DE8"/>
    <w:rsid w:val="000F1613"/>
    <w:rsid w:val="000F340C"/>
    <w:rsid w:val="000F47BC"/>
    <w:rsid w:val="000F5259"/>
    <w:rsid w:val="000F605D"/>
    <w:rsid w:val="00100849"/>
    <w:rsid w:val="001008D1"/>
    <w:rsid w:val="00100A47"/>
    <w:rsid w:val="0010172A"/>
    <w:rsid w:val="001018A9"/>
    <w:rsid w:val="00101ECF"/>
    <w:rsid w:val="00103B96"/>
    <w:rsid w:val="0010758B"/>
    <w:rsid w:val="00110FA0"/>
    <w:rsid w:val="00111B05"/>
    <w:rsid w:val="00111EF3"/>
    <w:rsid w:val="0011306D"/>
    <w:rsid w:val="00120433"/>
    <w:rsid w:val="0012671A"/>
    <w:rsid w:val="00127500"/>
    <w:rsid w:val="0013202C"/>
    <w:rsid w:val="001323BD"/>
    <w:rsid w:val="001329D7"/>
    <w:rsid w:val="00136C65"/>
    <w:rsid w:val="00137957"/>
    <w:rsid w:val="001414A5"/>
    <w:rsid w:val="0014349A"/>
    <w:rsid w:val="00150714"/>
    <w:rsid w:val="00150755"/>
    <w:rsid w:val="001510B6"/>
    <w:rsid w:val="001533DC"/>
    <w:rsid w:val="0015476C"/>
    <w:rsid w:val="00155F50"/>
    <w:rsid w:val="0015794F"/>
    <w:rsid w:val="00157DE6"/>
    <w:rsid w:val="001610C9"/>
    <w:rsid w:val="001642CF"/>
    <w:rsid w:val="00165EAC"/>
    <w:rsid w:val="001734AC"/>
    <w:rsid w:val="001738A5"/>
    <w:rsid w:val="001744F3"/>
    <w:rsid w:val="00177807"/>
    <w:rsid w:val="0017786C"/>
    <w:rsid w:val="0018508C"/>
    <w:rsid w:val="001856E3"/>
    <w:rsid w:val="00185884"/>
    <w:rsid w:val="001859B4"/>
    <w:rsid w:val="00192E67"/>
    <w:rsid w:val="00192EE8"/>
    <w:rsid w:val="00192FA4"/>
    <w:rsid w:val="001A089F"/>
    <w:rsid w:val="001A3989"/>
    <w:rsid w:val="001A39FE"/>
    <w:rsid w:val="001A6144"/>
    <w:rsid w:val="001A7907"/>
    <w:rsid w:val="001B0D01"/>
    <w:rsid w:val="001B7333"/>
    <w:rsid w:val="001B77C8"/>
    <w:rsid w:val="001C3C5A"/>
    <w:rsid w:val="001C4699"/>
    <w:rsid w:val="001C6A65"/>
    <w:rsid w:val="001C7395"/>
    <w:rsid w:val="001C7A39"/>
    <w:rsid w:val="001E0A28"/>
    <w:rsid w:val="001E26EF"/>
    <w:rsid w:val="001E2778"/>
    <w:rsid w:val="001E516E"/>
    <w:rsid w:val="001F12B3"/>
    <w:rsid w:val="001F474F"/>
    <w:rsid w:val="001F7AE5"/>
    <w:rsid w:val="00200396"/>
    <w:rsid w:val="00201EBD"/>
    <w:rsid w:val="00205BBC"/>
    <w:rsid w:val="00210EC8"/>
    <w:rsid w:val="002134F2"/>
    <w:rsid w:val="00214000"/>
    <w:rsid w:val="00215429"/>
    <w:rsid w:val="002200D3"/>
    <w:rsid w:val="002201C5"/>
    <w:rsid w:val="00220B8B"/>
    <w:rsid w:val="00220F60"/>
    <w:rsid w:val="002271B2"/>
    <w:rsid w:val="00230BCF"/>
    <w:rsid w:val="0023250D"/>
    <w:rsid w:val="002333B0"/>
    <w:rsid w:val="00236AD6"/>
    <w:rsid w:val="00237A8A"/>
    <w:rsid w:val="00237B71"/>
    <w:rsid w:val="00244AA9"/>
    <w:rsid w:val="002460E3"/>
    <w:rsid w:val="00246AC3"/>
    <w:rsid w:val="00250C20"/>
    <w:rsid w:val="00253DDC"/>
    <w:rsid w:val="00253F01"/>
    <w:rsid w:val="00254757"/>
    <w:rsid w:val="00255C6B"/>
    <w:rsid w:val="00255F32"/>
    <w:rsid w:val="0025676C"/>
    <w:rsid w:val="00257946"/>
    <w:rsid w:val="00257EBF"/>
    <w:rsid w:val="002643EF"/>
    <w:rsid w:val="00264DF3"/>
    <w:rsid w:val="0026532E"/>
    <w:rsid w:val="00265B37"/>
    <w:rsid w:val="0026607A"/>
    <w:rsid w:val="00267F7B"/>
    <w:rsid w:val="0027029A"/>
    <w:rsid w:val="00270552"/>
    <w:rsid w:val="002713E1"/>
    <w:rsid w:val="002719D5"/>
    <w:rsid w:val="0027204D"/>
    <w:rsid w:val="0027232C"/>
    <w:rsid w:val="00273115"/>
    <w:rsid w:val="00273B39"/>
    <w:rsid w:val="00275D14"/>
    <w:rsid w:val="00276606"/>
    <w:rsid w:val="002779FE"/>
    <w:rsid w:val="00281171"/>
    <w:rsid w:val="00282F6F"/>
    <w:rsid w:val="00283D0E"/>
    <w:rsid w:val="00290EC8"/>
    <w:rsid w:val="0029157D"/>
    <w:rsid w:val="00293744"/>
    <w:rsid w:val="00293AAD"/>
    <w:rsid w:val="00294DC0"/>
    <w:rsid w:val="0029533C"/>
    <w:rsid w:val="00295689"/>
    <w:rsid w:val="00297A28"/>
    <w:rsid w:val="002A40DA"/>
    <w:rsid w:val="002A7B0C"/>
    <w:rsid w:val="002B212C"/>
    <w:rsid w:val="002B7D8A"/>
    <w:rsid w:val="002B7E4F"/>
    <w:rsid w:val="002C19EA"/>
    <w:rsid w:val="002C1BD2"/>
    <w:rsid w:val="002C1D9A"/>
    <w:rsid w:val="002C3C48"/>
    <w:rsid w:val="002C517B"/>
    <w:rsid w:val="002C6477"/>
    <w:rsid w:val="002C7001"/>
    <w:rsid w:val="002D1E22"/>
    <w:rsid w:val="002D4217"/>
    <w:rsid w:val="002D725F"/>
    <w:rsid w:val="002D7E35"/>
    <w:rsid w:val="002E2AA7"/>
    <w:rsid w:val="002E51BF"/>
    <w:rsid w:val="002E5C94"/>
    <w:rsid w:val="002E65CB"/>
    <w:rsid w:val="002E6DF2"/>
    <w:rsid w:val="002E7B11"/>
    <w:rsid w:val="002F35B6"/>
    <w:rsid w:val="002F42AF"/>
    <w:rsid w:val="002F430E"/>
    <w:rsid w:val="002F5DED"/>
    <w:rsid w:val="0030053B"/>
    <w:rsid w:val="00300A29"/>
    <w:rsid w:val="0030128A"/>
    <w:rsid w:val="003030DD"/>
    <w:rsid w:val="00304887"/>
    <w:rsid w:val="003074D1"/>
    <w:rsid w:val="00307BDA"/>
    <w:rsid w:val="003106B0"/>
    <w:rsid w:val="003113F9"/>
    <w:rsid w:val="0031337C"/>
    <w:rsid w:val="00314B55"/>
    <w:rsid w:val="00314CDE"/>
    <w:rsid w:val="00314EE2"/>
    <w:rsid w:val="0031515F"/>
    <w:rsid w:val="00320707"/>
    <w:rsid w:val="0032103E"/>
    <w:rsid w:val="0032225C"/>
    <w:rsid w:val="0032446B"/>
    <w:rsid w:val="00324F31"/>
    <w:rsid w:val="00325A73"/>
    <w:rsid w:val="00327129"/>
    <w:rsid w:val="00330279"/>
    <w:rsid w:val="0033098A"/>
    <w:rsid w:val="003314E3"/>
    <w:rsid w:val="00332C33"/>
    <w:rsid w:val="00333B1C"/>
    <w:rsid w:val="00333EDF"/>
    <w:rsid w:val="00336D31"/>
    <w:rsid w:val="00342C63"/>
    <w:rsid w:val="00344F04"/>
    <w:rsid w:val="003454E5"/>
    <w:rsid w:val="00347075"/>
    <w:rsid w:val="00347F0F"/>
    <w:rsid w:val="00351F78"/>
    <w:rsid w:val="0035446F"/>
    <w:rsid w:val="00357D48"/>
    <w:rsid w:val="00361587"/>
    <w:rsid w:val="00362BE5"/>
    <w:rsid w:val="00364CC4"/>
    <w:rsid w:val="00367A8D"/>
    <w:rsid w:val="00371148"/>
    <w:rsid w:val="00371AD6"/>
    <w:rsid w:val="0037310C"/>
    <w:rsid w:val="00374B56"/>
    <w:rsid w:val="00374E51"/>
    <w:rsid w:val="0037523F"/>
    <w:rsid w:val="0037758E"/>
    <w:rsid w:val="00380CB9"/>
    <w:rsid w:val="00381172"/>
    <w:rsid w:val="00382617"/>
    <w:rsid w:val="00382834"/>
    <w:rsid w:val="00383378"/>
    <w:rsid w:val="0038488B"/>
    <w:rsid w:val="00387080"/>
    <w:rsid w:val="0038781D"/>
    <w:rsid w:val="00387B15"/>
    <w:rsid w:val="0039120F"/>
    <w:rsid w:val="003940E3"/>
    <w:rsid w:val="003945A7"/>
    <w:rsid w:val="00395F9F"/>
    <w:rsid w:val="003A16A5"/>
    <w:rsid w:val="003A2394"/>
    <w:rsid w:val="003A4C06"/>
    <w:rsid w:val="003A5614"/>
    <w:rsid w:val="003A6AF7"/>
    <w:rsid w:val="003A6FA4"/>
    <w:rsid w:val="003B2FE7"/>
    <w:rsid w:val="003B312B"/>
    <w:rsid w:val="003B36D1"/>
    <w:rsid w:val="003B4069"/>
    <w:rsid w:val="003B7371"/>
    <w:rsid w:val="003C04CE"/>
    <w:rsid w:val="003C16D9"/>
    <w:rsid w:val="003C255F"/>
    <w:rsid w:val="003C62F1"/>
    <w:rsid w:val="003D17ED"/>
    <w:rsid w:val="003D7960"/>
    <w:rsid w:val="003E122A"/>
    <w:rsid w:val="003E45A2"/>
    <w:rsid w:val="003F0377"/>
    <w:rsid w:val="003F2FCC"/>
    <w:rsid w:val="003F4900"/>
    <w:rsid w:val="003F5D39"/>
    <w:rsid w:val="003F5F0D"/>
    <w:rsid w:val="003F6FC6"/>
    <w:rsid w:val="00400C4B"/>
    <w:rsid w:val="00400D96"/>
    <w:rsid w:val="004028C1"/>
    <w:rsid w:val="00403557"/>
    <w:rsid w:val="0040416C"/>
    <w:rsid w:val="00404704"/>
    <w:rsid w:val="00406C3C"/>
    <w:rsid w:val="004139F8"/>
    <w:rsid w:val="00415A60"/>
    <w:rsid w:val="004162DB"/>
    <w:rsid w:val="00423A8E"/>
    <w:rsid w:val="004244F7"/>
    <w:rsid w:val="00426CB6"/>
    <w:rsid w:val="00426D58"/>
    <w:rsid w:val="00434E2B"/>
    <w:rsid w:val="0043528B"/>
    <w:rsid w:val="00436B7B"/>
    <w:rsid w:val="00436CB4"/>
    <w:rsid w:val="00436CE7"/>
    <w:rsid w:val="004415F9"/>
    <w:rsid w:val="00441C24"/>
    <w:rsid w:val="00442990"/>
    <w:rsid w:val="00442C28"/>
    <w:rsid w:val="00442DD8"/>
    <w:rsid w:val="00442EDC"/>
    <w:rsid w:val="00443941"/>
    <w:rsid w:val="00443CE4"/>
    <w:rsid w:val="00446147"/>
    <w:rsid w:val="004462CC"/>
    <w:rsid w:val="00446338"/>
    <w:rsid w:val="00450CDF"/>
    <w:rsid w:val="00451DDC"/>
    <w:rsid w:val="00455EA1"/>
    <w:rsid w:val="0045620C"/>
    <w:rsid w:val="00460228"/>
    <w:rsid w:val="00461679"/>
    <w:rsid w:val="00463FCA"/>
    <w:rsid w:val="00466459"/>
    <w:rsid w:val="004669A0"/>
    <w:rsid w:val="00466C64"/>
    <w:rsid w:val="00470A09"/>
    <w:rsid w:val="004732D0"/>
    <w:rsid w:val="00473A55"/>
    <w:rsid w:val="00474503"/>
    <w:rsid w:val="004757A4"/>
    <w:rsid w:val="00476227"/>
    <w:rsid w:val="00476DF9"/>
    <w:rsid w:val="004810EA"/>
    <w:rsid w:val="00481A85"/>
    <w:rsid w:val="00482AEC"/>
    <w:rsid w:val="00485EF8"/>
    <w:rsid w:val="004907F2"/>
    <w:rsid w:val="004971A6"/>
    <w:rsid w:val="00497D0F"/>
    <w:rsid w:val="004A02B8"/>
    <w:rsid w:val="004A1C0B"/>
    <w:rsid w:val="004A205D"/>
    <w:rsid w:val="004A2BC6"/>
    <w:rsid w:val="004A31A4"/>
    <w:rsid w:val="004A395F"/>
    <w:rsid w:val="004A795A"/>
    <w:rsid w:val="004B16B4"/>
    <w:rsid w:val="004B38F7"/>
    <w:rsid w:val="004B4803"/>
    <w:rsid w:val="004C14E3"/>
    <w:rsid w:val="004C41C5"/>
    <w:rsid w:val="004C4FF5"/>
    <w:rsid w:val="004D2591"/>
    <w:rsid w:val="004D3CFA"/>
    <w:rsid w:val="004D5857"/>
    <w:rsid w:val="004D7FDB"/>
    <w:rsid w:val="004E53DA"/>
    <w:rsid w:val="004E79E8"/>
    <w:rsid w:val="004F2E50"/>
    <w:rsid w:val="004F3D7C"/>
    <w:rsid w:val="004F5A8B"/>
    <w:rsid w:val="004F7A9E"/>
    <w:rsid w:val="00501A8D"/>
    <w:rsid w:val="00502292"/>
    <w:rsid w:val="00507B1E"/>
    <w:rsid w:val="00507BD4"/>
    <w:rsid w:val="00510E6D"/>
    <w:rsid w:val="005143F8"/>
    <w:rsid w:val="005152E2"/>
    <w:rsid w:val="005156D3"/>
    <w:rsid w:val="00520071"/>
    <w:rsid w:val="0052086E"/>
    <w:rsid w:val="00520920"/>
    <w:rsid w:val="00520976"/>
    <w:rsid w:val="00520FD3"/>
    <w:rsid w:val="00521CB3"/>
    <w:rsid w:val="00525A8E"/>
    <w:rsid w:val="00526260"/>
    <w:rsid w:val="005270C2"/>
    <w:rsid w:val="0053074D"/>
    <w:rsid w:val="00530EFC"/>
    <w:rsid w:val="0053253C"/>
    <w:rsid w:val="005356E7"/>
    <w:rsid w:val="0053578A"/>
    <w:rsid w:val="00541A6B"/>
    <w:rsid w:val="00544AE6"/>
    <w:rsid w:val="005454BB"/>
    <w:rsid w:val="00546067"/>
    <w:rsid w:val="00550C08"/>
    <w:rsid w:val="00552006"/>
    <w:rsid w:val="00552470"/>
    <w:rsid w:val="00552FDE"/>
    <w:rsid w:val="005530A7"/>
    <w:rsid w:val="005547E5"/>
    <w:rsid w:val="00560F0E"/>
    <w:rsid w:val="00560F6F"/>
    <w:rsid w:val="00562263"/>
    <w:rsid w:val="00563222"/>
    <w:rsid w:val="0056430F"/>
    <w:rsid w:val="00565A94"/>
    <w:rsid w:val="005675C2"/>
    <w:rsid w:val="00570E65"/>
    <w:rsid w:val="00572EF3"/>
    <w:rsid w:val="0057430C"/>
    <w:rsid w:val="0057552A"/>
    <w:rsid w:val="0057758D"/>
    <w:rsid w:val="00580FD1"/>
    <w:rsid w:val="00582FDC"/>
    <w:rsid w:val="00584E1E"/>
    <w:rsid w:val="00585B54"/>
    <w:rsid w:val="00591B07"/>
    <w:rsid w:val="00596ED0"/>
    <w:rsid w:val="005A1D5C"/>
    <w:rsid w:val="005A5F35"/>
    <w:rsid w:val="005A7743"/>
    <w:rsid w:val="005B1E6D"/>
    <w:rsid w:val="005B6EC8"/>
    <w:rsid w:val="005C1AEF"/>
    <w:rsid w:val="005C217D"/>
    <w:rsid w:val="005C4A32"/>
    <w:rsid w:val="005D28E2"/>
    <w:rsid w:val="005D3D21"/>
    <w:rsid w:val="005D4FA7"/>
    <w:rsid w:val="005D6186"/>
    <w:rsid w:val="005E2297"/>
    <w:rsid w:val="005E68BB"/>
    <w:rsid w:val="005E6BD2"/>
    <w:rsid w:val="005E77C8"/>
    <w:rsid w:val="005F51CA"/>
    <w:rsid w:val="006003CD"/>
    <w:rsid w:val="00603B95"/>
    <w:rsid w:val="00606E66"/>
    <w:rsid w:val="00607C24"/>
    <w:rsid w:val="006100AD"/>
    <w:rsid w:val="0061018D"/>
    <w:rsid w:val="00612BAC"/>
    <w:rsid w:val="00614DFC"/>
    <w:rsid w:val="006159AE"/>
    <w:rsid w:val="006170DF"/>
    <w:rsid w:val="006175E0"/>
    <w:rsid w:val="00621A5A"/>
    <w:rsid w:val="006233DF"/>
    <w:rsid w:val="00635025"/>
    <w:rsid w:val="00640837"/>
    <w:rsid w:val="00641FAA"/>
    <w:rsid w:val="00643253"/>
    <w:rsid w:val="00644F27"/>
    <w:rsid w:val="00646406"/>
    <w:rsid w:val="00647871"/>
    <w:rsid w:val="006479A7"/>
    <w:rsid w:val="00647C69"/>
    <w:rsid w:val="00647CB3"/>
    <w:rsid w:val="00650ECE"/>
    <w:rsid w:val="00653FD8"/>
    <w:rsid w:val="006558D9"/>
    <w:rsid w:val="00656118"/>
    <w:rsid w:val="0066215D"/>
    <w:rsid w:val="00665CC0"/>
    <w:rsid w:val="00666972"/>
    <w:rsid w:val="00666BD9"/>
    <w:rsid w:val="0067470E"/>
    <w:rsid w:val="0067579F"/>
    <w:rsid w:val="00677923"/>
    <w:rsid w:val="00681C18"/>
    <w:rsid w:val="00682785"/>
    <w:rsid w:val="00687486"/>
    <w:rsid w:val="00692D51"/>
    <w:rsid w:val="0069436E"/>
    <w:rsid w:val="00694AD8"/>
    <w:rsid w:val="006972F8"/>
    <w:rsid w:val="006A1BCC"/>
    <w:rsid w:val="006A241B"/>
    <w:rsid w:val="006A6E0D"/>
    <w:rsid w:val="006B039E"/>
    <w:rsid w:val="006B2C7A"/>
    <w:rsid w:val="006B3973"/>
    <w:rsid w:val="006B6160"/>
    <w:rsid w:val="006B67A5"/>
    <w:rsid w:val="006B6952"/>
    <w:rsid w:val="006C11A1"/>
    <w:rsid w:val="006C368A"/>
    <w:rsid w:val="006C4772"/>
    <w:rsid w:val="006C49E6"/>
    <w:rsid w:val="006C771F"/>
    <w:rsid w:val="006D1E17"/>
    <w:rsid w:val="006D6353"/>
    <w:rsid w:val="006D6492"/>
    <w:rsid w:val="006E0A24"/>
    <w:rsid w:val="006E325F"/>
    <w:rsid w:val="006E4104"/>
    <w:rsid w:val="006F0B64"/>
    <w:rsid w:val="006F28D1"/>
    <w:rsid w:val="006F3045"/>
    <w:rsid w:val="00701052"/>
    <w:rsid w:val="00705BA5"/>
    <w:rsid w:val="00707DA8"/>
    <w:rsid w:val="007100FB"/>
    <w:rsid w:val="0071065B"/>
    <w:rsid w:val="007128FD"/>
    <w:rsid w:val="00713B66"/>
    <w:rsid w:val="00716EA1"/>
    <w:rsid w:val="00720456"/>
    <w:rsid w:val="007226F4"/>
    <w:rsid w:val="0072271A"/>
    <w:rsid w:val="00723499"/>
    <w:rsid w:val="00726614"/>
    <w:rsid w:val="0073166F"/>
    <w:rsid w:val="00732423"/>
    <w:rsid w:val="00732B4E"/>
    <w:rsid w:val="00735B7F"/>
    <w:rsid w:val="00736C6E"/>
    <w:rsid w:val="007372A4"/>
    <w:rsid w:val="00737F66"/>
    <w:rsid w:val="00741188"/>
    <w:rsid w:val="007417AD"/>
    <w:rsid w:val="00743F28"/>
    <w:rsid w:val="00745050"/>
    <w:rsid w:val="0074518D"/>
    <w:rsid w:val="007451AD"/>
    <w:rsid w:val="0074584F"/>
    <w:rsid w:val="00745D9A"/>
    <w:rsid w:val="00753EEF"/>
    <w:rsid w:val="0075472C"/>
    <w:rsid w:val="007547DD"/>
    <w:rsid w:val="00754C33"/>
    <w:rsid w:val="00755A13"/>
    <w:rsid w:val="007567E3"/>
    <w:rsid w:val="0075695A"/>
    <w:rsid w:val="00757E5C"/>
    <w:rsid w:val="007600A9"/>
    <w:rsid w:val="00764D82"/>
    <w:rsid w:val="00765240"/>
    <w:rsid w:val="007655E4"/>
    <w:rsid w:val="007670DC"/>
    <w:rsid w:val="0077310E"/>
    <w:rsid w:val="007744D0"/>
    <w:rsid w:val="00774FD6"/>
    <w:rsid w:val="00777AB1"/>
    <w:rsid w:val="007871D0"/>
    <w:rsid w:val="0079304A"/>
    <w:rsid w:val="00797E52"/>
    <w:rsid w:val="007A0BB2"/>
    <w:rsid w:val="007A3E18"/>
    <w:rsid w:val="007B0A5F"/>
    <w:rsid w:val="007B34B8"/>
    <w:rsid w:val="007C0686"/>
    <w:rsid w:val="007C06EB"/>
    <w:rsid w:val="007C1444"/>
    <w:rsid w:val="007C22E6"/>
    <w:rsid w:val="007C3D9E"/>
    <w:rsid w:val="007C72C0"/>
    <w:rsid w:val="007D3C3A"/>
    <w:rsid w:val="007D513B"/>
    <w:rsid w:val="007D5F2D"/>
    <w:rsid w:val="007D6EE9"/>
    <w:rsid w:val="007D7ACD"/>
    <w:rsid w:val="007E3D0B"/>
    <w:rsid w:val="007E5F23"/>
    <w:rsid w:val="007E6B11"/>
    <w:rsid w:val="007F50F4"/>
    <w:rsid w:val="007F58A1"/>
    <w:rsid w:val="00800C69"/>
    <w:rsid w:val="0080214C"/>
    <w:rsid w:val="008031F5"/>
    <w:rsid w:val="008075DA"/>
    <w:rsid w:val="00810224"/>
    <w:rsid w:val="008119E3"/>
    <w:rsid w:val="00812194"/>
    <w:rsid w:val="008129C3"/>
    <w:rsid w:val="00813395"/>
    <w:rsid w:val="008154BD"/>
    <w:rsid w:val="00816FE0"/>
    <w:rsid w:val="00827015"/>
    <w:rsid w:val="00827237"/>
    <w:rsid w:val="008272BD"/>
    <w:rsid w:val="00831E3A"/>
    <w:rsid w:val="00832788"/>
    <w:rsid w:val="0083327C"/>
    <w:rsid w:val="00834CB2"/>
    <w:rsid w:val="00836E54"/>
    <w:rsid w:val="00837B45"/>
    <w:rsid w:val="00843DD9"/>
    <w:rsid w:val="008449A5"/>
    <w:rsid w:val="0084533E"/>
    <w:rsid w:val="00845587"/>
    <w:rsid w:val="00845E45"/>
    <w:rsid w:val="008471EA"/>
    <w:rsid w:val="0085134A"/>
    <w:rsid w:val="00852D30"/>
    <w:rsid w:val="008577EE"/>
    <w:rsid w:val="00857F6F"/>
    <w:rsid w:val="008612CE"/>
    <w:rsid w:val="00861914"/>
    <w:rsid w:val="00864E75"/>
    <w:rsid w:val="008664C8"/>
    <w:rsid w:val="00867A6B"/>
    <w:rsid w:val="0087219B"/>
    <w:rsid w:val="00872DBB"/>
    <w:rsid w:val="0088088D"/>
    <w:rsid w:val="0088359B"/>
    <w:rsid w:val="0089177D"/>
    <w:rsid w:val="008917A8"/>
    <w:rsid w:val="00893F82"/>
    <w:rsid w:val="00893FE7"/>
    <w:rsid w:val="008944EF"/>
    <w:rsid w:val="008952A4"/>
    <w:rsid w:val="008A27B7"/>
    <w:rsid w:val="008A3FE9"/>
    <w:rsid w:val="008A484C"/>
    <w:rsid w:val="008A4CF6"/>
    <w:rsid w:val="008A4E44"/>
    <w:rsid w:val="008A6453"/>
    <w:rsid w:val="008A799C"/>
    <w:rsid w:val="008A7A74"/>
    <w:rsid w:val="008B0E73"/>
    <w:rsid w:val="008B2335"/>
    <w:rsid w:val="008B2F95"/>
    <w:rsid w:val="008B38CC"/>
    <w:rsid w:val="008B4020"/>
    <w:rsid w:val="008B7D85"/>
    <w:rsid w:val="008C09A2"/>
    <w:rsid w:val="008C48AD"/>
    <w:rsid w:val="008D0EF0"/>
    <w:rsid w:val="008D1C33"/>
    <w:rsid w:val="008D3294"/>
    <w:rsid w:val="008D6588"/>
    <w:rsid w:val="008E08BA"/>
    <w:rsid w:val="008F0A78"/>
    <w:rsid w:val="008F0DD9"/>
    <w:rsid w:val="008F0F06"/>
    <w:rsid w:val="008F1490"/>
    <w:rsid w:val="008F1DDD"/>
    <w:rsid w:val="008F274F"/>
    <w:rsid w:val="008F518A"/>
    <w:rsid w:val="008F6758"/>
    <w:rsid w:val="00901E6B"/>
    <w:rsid w:val="009034E8"/>
    <w:rsid w:val="00910C19"/>
    <w:rsid w:val="00913EF8"/>
    <w:rsid w:val="00914127"/>
    <w:rsid w:val="009145C6"/>
    <w:rsid w:val="009159C6"/>
    <w:rsid w:val="00916B85"/>
    <w:rsid w:val="00920B42"/>
    <w:rsid w:val="0092113D"/>
    <w:rsid w:val="009253F9"/>
    <w:rsid w:val="009258A0"/>
    <w:rsid w:val="00932224"/>
    <w:rsid w:val="009332BD"/>
    <w:rsid w:val="00934031"/>
    <w:rsid w:val="00940C39"/>
    <w:rsid w:val="009424DE"/>
    <w:rsid w:val="00944261"/>
    <w:rsid w:val="00944EB1"/>
    <w:rsid w:val="0094501E"/>
    <w:rsid w:val="00952048"/>
    <w:rsid w:val="009570AB"/>
    <w:rsid w:val="00957DDA"/>
    <w:rsid w:val="00961806"/>
    <w:rsid w:val="00967BD9"/>
    <w:rsid w:val="00967EDA"/>
    <w:rsid w:val="00972882"/>
    <w:rsid w:val="00973894"/>
    <w:rsid w:val="009747F6"/>
    <w:rsid w:val="009756F5"/>
    <w:rsid w:val="00976D68"/>
    <w:rsid w:val="0098080F"/>
    <w:rsid w:val="0098554B"/>
    <w:rsid w:val="009864F0"/>
    <w:rsid w:val="00986A85"/>
    <w:rsid w:val="00987470"/>
    <w:rsid w:val="0098798D"/>
    <w:rsid w:val="0099092D"/>
    <w:rsid w:val="00992F07"/>
    <w:rsid w:val="0099373B"/>
    <w:rsid w:val="00994943"/>
    <w:rsid w:val="00996F5F"/>
    <w:rsid w:val="009A2C34"/>
    <w:rsid w:val="009A33C8"/>
    <w:rsid w:val="009A4C81"/>
    <w:rsid w:val="009B3E72"/>
    <w:rsid w:val="009B63A5"/>
    <w:rsid w:val="009C09F8"/>
    <w:rsid w:val="009C363B"/>
    <w:rsid w:val="009C487A"/>
    <w:rsid w:val="009C5FD4"/>
    <w:rsid w:val="009C718F"/>
    <w:rsid w:val="009D21CB"/>
    <w:rsid w:val="009D7B8D"/>
    <w:rsid w:val="009E02A3"/>
    <w:rsid w:val="009E295D"/>
    <w:rsid w:val="009E3FDC"/>
    <w:rsid w:val="009E6400"/>
    <w:rsid w:val="009E780F"/>
    <w:rsid w:val="009F10CD"/>
    <w:rsid w:val="009F53AE"/>
    <w:rsid w:val="009F5978"/>
    <w:rsid w:val="009F6161"/>
    <w:rsid w:val="009F75C1"/>
    <w:rsid w:val="00A01034"/>
    <w:rsid w:val="00A04F18"/>
    <w:rsid w:val="00A06645"/>
    <w:rsid w:val="00A068F3"/>
    <w:rsid w:val="00A10A62"/>
    <w:rsid w:val="00A11E66"/>
    <w:rsid w:val="00A12A5F"/>
    <w:rsid w:val="00A156E6"/>
    <w:rsid w:val="00A15F55"/>
    <w:rsid w:val="00A16156"/>
    <w:rsid w:val="00A177CC"/>
    <w:rsid w:val="00A17911"/>
    <w:rsid w:val="00A26586"/>
    <w:rsid w:val="00A26D3A"/>
    <w:rsid w:val="00A274AA"/>
    <w:rsid w:val="00A30D0A"/>
    <w:rsid w:val="00A33097"/>
    <w:rsid w:val="00A34C05"/>
    <w:rsid w:val="00A35CE0"/>
    <w:rsid w:val="00A369EB"/>
    <w:rsid w:val="00A40F84"/>
    <w:rsid w:val="00A418ED"/>
    <w:rsid w:val="00A41AF9"/>
    <w:rsid w:val="00A42FD1"/>
    <w:rsid w:val="00A431B5"/>
    <w:rsid w:val="00A50FDB"/>
    <w:rsid w:val="00A5652F"/>
    <w:rsid w:val="00A60511"/>
    <w:rsid w:val="00A61154"/>
    <w:rsid w:val="00A61D0E"/>
    <w:rsid w:val="00A63B6E"/>
    <w:rsid w:val="00A64032"/>
    <w:rsid w:val="00A64789"/>
    <w:rsid w:val="00A66ED6"/>
    <w:rsid w:val="00A67450"/>
    <w:rsid w:val="00A70559"/>
    <w:rsid w:val="00A71AA3"/>
    <w:rsid w:val="00A721C0"/>
    <w:rsid w:val="00A73EE5"/>
    <w:rsid w:val="00A74F23"/>
    <w:rsid w:val="00A80685"/>
    <w:rsid w:val="00A8234A"/>
    <w:rsid w:val="00A84B8D"/>
    <w:rsid w:val="00A86740"/>
    <w:rsid w:val="00A909B6"/>
    <w:rsid w:val="00A9246B"/>
    <w:rsid w:val="00A96BA5"/>
    <w:rsid w:val="00AA0432"/>
    <w:rsid w:val="00AA26E7"/>
    <w:rsid w:val="00AA295A"/>
    <w:rsid w:val="00AA3674"/>
    <w:rsid w:val="00AA4898"/>
    <w:rsid w:val="00AA4AD9"/>
    <w:rsid w:val="00AB0C0D"/>
    <w:rsid w:val="00AB3754"/>
    <w:rsid w:val="00AB75C9"/>
    <w:rsid w:val="00AC03F4"/>
    <w:rsid w:val="00AC2B63"/>
    <w:rsid w:val="00AC4D0E"/>
    <w:rsid w:val="00AC7FE6"/>
    <w:rsid w:val="00AD013E"/>
    <w:rsid w:val="00AD3465"/>
    <w:rsid w:val="00AD5EDD"/>
    <w:rsid w:val="00AD6A50"/>
    <w:rsid w:val="00AE2581"/>
    <w:rsid w:val="00AE54A2"/>
    <w:rsid w:val="00AF0144"/>
    <w:rsid w:val="00AF1DA9"/>
    <w:rsid w:val="00AF32FB"/>
    <w:rsid w:val="00AF3AED"/>
    <w:rsid w:val="00AF4EFE"/>
    <w:rsid w:val="00AF7E15"/>
    <w:rsid w:val="00B02822"/>
    <w:rsid w:val="00B050AE"/>
    <w:rsid w:val="00B051A5"/>
    <w:rsid w:val="00B065BF"/>
    <w:rsid w:val="00B06AB9"/>
    <w:rsid w:val="00B10A92"/>
    <w:rsid w:val="00B13982"/>
    <w:rsid w:val="00B13A30"/>
    <w:rsid w:val="00B174A8"/>
    <w:rsid w:val="00B17611"/>
    <w:rsid w:val="00B17E43"/>
    <w:rsid w:val="00B22EB3"/>
    <w:rsid w:val="00B252D3"/>
    <w:rsid w:val="00B27216"/>
    <w:rsid w:val="00B27324"/>
    <w:rsid w:val="00B27728"/>
    <w:rsid w:val="00B3086D"/>
    <w:rsid w:val="00B349F2"/>
    <w:rsid w:val="00B355D3"/>
    <w:rsid w:val="00B37966"/>
    <w:rsid w:val="00B418C4"/>
    <w:rsid w:val="00B436A8"/>
    <w:rsid w:val="00B43A22"/>
    <w:rsid w:val="00B43E01"/>
    <w:rsid w:val="00B51532"/>
    <w:rsid w:val="00B5336D"/>
    <w:rsid w:val="00B537DB"/>
    <w:rsid w:val="00B55283"/>
    <w:rsid w:val="00B61E35"/>
    <w:rsid w:val="00B625E5"/>
    <w:rsid w:val="00B724DA"/>
    <w:rsid w:val="00B73AC2"/>
    <w:rsid w:val="00B779B0"/>
    <w:rsid w:val="00B80B9E"/>
    <w:rsid w:val="00B84C26"/>
    <w:rsid w:val="00B85C12"/>
    <w:rsid w:val="00B86393"/>
    <w:rsid w:val="00B868E2"/>
    <w:rsid w:val="00B87114"/>
    <w:rsid w:val="00B96ACA"/>
    <w:rsid w:val="00BA5B34"/>
    <w:rsid w:val="00BA6032"/>
    <w:rsid w:val="00BA69D7"/>
    <w:rsid w:val="00BB3BC1"/>
    <w:rsid w:val="00BB434B"/>
    <w:rsid w:val="00BB7520"/>
    <w:rsid w:val="00BB76E6"/>
    <w:rsid w:val="00BC00AE"/>
    <w:rsid w:val="00BC2BA0"/>
    <w:rsid w:val="00BC4803"/>
    <w:rsid w:val="00BC57CB"/>
    <w:rsid w:val="00BD03DF"/>
    <w:rsid w:val="00BD0DC7"/>
    <w:rsid w:val="00BD1CE9"/>
    <w:rsid w:val="00BD5168"/>
    <w:rsid w:val="00BE11BD"/>
    <w:rsid w:val="00BE13AF"/>
    <w:rsid w:val="00BE5D92"/>
    <w:rsid w:val="00BE7169"/>
    <w:rsid w:val="00BF022C"/>
    <w:rsid w:val="00BF2BA5"/>
    <w:rsid w:val="00BF542C"/>
    <w:rsid w:val="00C02AFA"/>
    <w:rsid w:val="00C07F19"/>
    <w:rsid w:val="00C15966"/>
    <w:rsid w:val="00C16010"/>
    <w:rsid w:val="00C16993"/>
    <w:rsid w:val="00C17F5A"/>
    <w:rsid w:val="00C259B6"/>
    <w:rsid w:val="00C2678F"/>
    <w:rsid w:val="00C306B2"/>
    <w:rsid w:val="00C30E29"/>
    <w:rsid w:val="00C31163"/>
    <w:rsid w:val="00C31521"/>
    <w:rsid w:val="00C36ABF"/>
    <w:rsid w:val="00C40F96"/>
    <w:rsid w:val="00C45C95"/>
    <w:rsid w:val="00C46D60"/>
    <w:rsid w:val="00C47272"/>
    <w:rsid w:val="00C47A60"/>
    <w:rsid w:val="00C47CBE"/>
    <w:rsid w:val="00C5051D"/>
    <w:rsid w:val="00C64A40"/>
    <w:rsid w:val="00C65E46"/>
    <w:rsid w:val="00C706A6"/>
    <w:rsid w:val="00C7305B"/>
    <w:rsid w:val="00C75240"/>
    <w:rsid w:val="00C75E08"/>
    <w:rsid w:val="00C765F6"/>
    <w:rsid w:val="00C7765D"/>
    <w:rsid w:val="00C77E89"/>
    <w:rsid w:val="00C81C19"/>
    <w:rsid w:val="00C81D9C"/>
    <w:rsid w:val="00C83F48"/>
    <w:rsid w:val="00C8497F"/>
    <w:rsid w:val="00C9246A"/>
    <w:rsid w:val="00C938FE"/>
    <w:rsid w:val="00C95102"/>
    <w:rsid w:val="00C963AC"/>
    <w:rsid w:val="00C964B7"/>
    <w:rsid w:val="00C9765F"/>
    <w:rsid w:val="00CA03A1"/>
    <w:rsid w:val="00CA1B6D"/>
    <w:rsid w:val="00CA349F"/>
    <w:rsid w:val="00CA628B"/>
    <w:rsid w:val="00CA7AB3"/>
    <w:rsid w:val="00CB207F"/>
    <w:rsid w:val="00CB51B3"/>
    <w:rsid w:val="00CB66F1"/>
    <w:rsid w:val="00CC1D96"/>
    <w:rsid w:val="00CC366B"/>
    <w:rsid w:val="00CD2B22"/>
    <w:rsid w:val="00CD2DCC"/>
    <w:rsid w:val="00CD358A"/>
    <w:rsid w:val="00CD5248"/>
    <w:rsid w:val="00CE0E03"/>
    <w:rsid w:val="00CE54AE"/>
    <w:rsid w:val="00CE5824"/>
    <w:rsid w:val="00CE5C88"/>
    <w:rsid w:val="00CE77F4"/>
    <w:rsid w:val="00CF02EB"/>
    <w:rsid w:val="00CF256B"/>
    <w:rsid w:val="00CF2A5A"/>
    <w:rsid w:val="00CF4575"/>
    <w:rsid w:val="00CF4D82"/>
    <w:rsid w:val="00CF684A"/>
    <w:rsid w:val="00D01C1E"/>
    <w:rsid w:val="00D02850"/>
    <w:rsid w:val="00D106A0"/>
    <w:rsid w:val="00D10E7B"/>
    <w:rsid w:val="00D13A49"/>
    <w:rsid w:val="00D142B4"/>
    <w:rsid w:val="00D152A9"/>
    <w:rsid w:val="00D207A9"/>
    <w:rsid w:val="00D21150"/>
    <w:rsid w:val="00D22CFF"/>
    <w:rsid w:val="00D23D6C"/>
    <w:rsid w:val="00D31FDF"/>
    <w:rsid w:val="00D337D2"/>
    <w:rsid w:val="00D37DF3"/>
    <w:rsid w:val="00D43FDC"/>
    <w:rsid w:val="00D45526"/>
    <w:rsid w:val="00D45539"/>
    <w:rsid w:val="00D519CF"/>
    <w:rsid w:val="00D51FA9"/>
    <w:rsid w:val="00D52E60"/>
    <w:rsid w:val="00D53B6A"/>
    <w:rsid w:val="00D53CEA"/>
    <w:rsid w:val="00D54995"/>
    <w:rsid w:val="00D55202"/>
    <w:rsid w:val="00D62F6E"/>
    <w:rsid w:val="00D6376F"/>
    <w:rsid w:val="00D645F3"/>
    <w:rsid w:val="00D646A4"/>
    <w:rsid w:val="00D646EC"/>
    <w:rsid w:val="00D6492E"/>
    <w:rsid w:val="00D66E03"/>
    <w:rsid w:val="00D6745F"/>
    <w:rsid w:val="00D67916"/>
    <w:rsid w:val="00D71686"/>
    <w:rsid w:val="00D821A3"/>
    <w:rsid w:val="00D82DD8"/>
    <w:rsid w:val="00D83B09"/>
    <w:rsid w:val="00D84F69"/>
    <w:rsid w:val="00D85EBA"/>
    <w:rsid w:val="00D87931"/>
    <w:rsid w:val="00D91527"/>
    <w:rsid w:val="00D92F6C"/>
    <w:rsid w:val="00D95054"/>
    <w:rsid w:val="00D97A60"/>
    <w:rsid w:val="00DA51C4"/>
    <w:rsid w:val="00DA55F6"/>
    <w:rsid w:val="00DA6EC4"/>
    <w:rsid w:val="00DA7D3C"/>
    <w:rsid w:val="00DB0FDE"/>
    <w:rsid w:val="00DB2BB6"/>
    <w:rsid w:val="00DB5521"/>
    <w:rsid w:val="00DC4D48"/>
    <w:rsid w:val="00DC783E"/>
    <w:rsid w:val="00DD7A7D"/>
    <w:rsid w:val="00DD7C6B"/>
    <w:rsid w:val="00DE1ECF"/>
    <w:rsid w:val="00DE21A6"/>
    <w:rsid w:val="00DE2AE5"/>
    <w:rsid w:val="00DE4293"/>
    <w:rsid w:val="00DE65BE"/>
    <w:rsid w:val="00DF2021"/>
    <w:rsid w:val="00E032B0"/>
    <w:rsid w:val="00E05FF5"/>
    <w:rsid w:val="00E06669"/>
    <w:rsid w:val="00E100A7"/>
    <w:rsid w:val="00E11EE7"/>
    <w:rsid w:val="00E12C14"/>
    <w:rsid w:val="00E14953"/>
    <w:rsid w:val="00E20615"/>
    <w:rsid w:val="00E20F16"/>
    <w:rsid w:val="00E22E1C"/>
    <w:rsid w:val="00E23482"/>
    <w:rsid w:val="00E249C6"/>
    <w:rsid w:val="00E30BA1"/>
    <w:rsid w:val="00E323BA"/>
    <w:rsid w:val="00E32D20"/>
    <w:rsid w:val="00E34A46"/>
    <w:rsid w:val="00E35DC5"/>
    <w:rsid w:val="00E364A2"/>
    <w:rsid w:val="00E36EFB"/>
    <w:rsid w:val="00E40FF2"/>
    <w:rsid w:val="00E47CBE"/>
    <w:rsid w:val="00E522B0"/>
    <w:rsid w:val="00E5375B"/>
    <w:rsid w:val="00E53FCE"/>
    <w:rsid w:val="00E658CA"/>
    <w:rsid w:val="00E6676A"/>
    <w:rsid w:val="00E75607"/>
    <w:rsid w:val="00E77B3D"/>
    <w:rsid w:val="00E81133"/>
    <w:rsid w:val="00E84951"/>
    <w:rsid w:val="00E86DB5"/>
    <w:rsid w:val="00E870B9"/>
    <w:rsid w:val="00E87E3D"/>
    <w:rsid w:val="00E9109F"/>
    <w:rsid w:val="00E97C0F"/>
    <w:rsid w:val="00E97C44"/>
    <w:rsid w:val="00E97D5B"/>
    <w:rsid w:val="00E97DC6"/>
    <w:rsid w:val="00EA2BB7"/>
    <w:rsid w:val="00EA2E40"/>
    <w:rsid w:val="00EA3FC4"/>
    <w:rsid w:val="00EA568D"/>
    <w:rsid w:val="00EA5E10"/>
    <w:rsid w:val="00EA69CD"/>
    <w:rsid w:val="00EA6FD0"/>
    <w:rsid w:val="00EA7E64"/>
    <w:rsid w:val="00EB2DCD"/>
    <w:rsid w:val="00EB32B4"/>
    <w:rsid w:val="00EB3817"/>
    <w:rsid w:val="00EC103A"/>
    <w:rsid w:val="00EC24BE"/>
    <w:rsid w:val="00EC4665"/>
    <w:rsid w:val="00EC4740"/>
    <w:rsid w:val="00EC57DF"/>
    <w:rsid w:val="00EC6CE4"/>
    <w:rsid w:val="00ED2AA9"/>
    <w:rsid w:val="00ED610E"/>
    <w:rsid w:val="00ED6784"/>
    <w:rsid w:val="00EE3017"/>
    <w:rsid w:val="00EE3E1B"/>
    <w:rsid w:val="00EE42F9"/>
    <w:rsid w:val="00EE6C9B"/>
    <w:rsid w:val="00EE7005"/>
    <w:rsid w:val="00EF1451"/>
    <w:rsid w:val="00EF7C56"/>
    <w:rsid w:val="00EF7CAD"/>
    <w:rsid w:val="00F02A83"/>
    <w:rsid w:val="00F03DB7"/>
    <w:rsid w:val="00F05453"/>
    <w:rsid w:val="00F11421"/>
    <w:rsid w:val="00F17123"/>
    <w:rsid w:val="00F171A4"/>
    <w:rsid w:val="00F17E02"/>
    <w:rsid w:val="00F206EB"/>
    <w:rsid w:val="00F20E00"/>
    <w:rsid w:val="00F23BFE"/>
    <w:rsid w:val="00F25CE2"/>
    <w:rsid w:val="00F337D5"/>
    <w:rsid w:val="00F35D9B"/>
    <w:rsid w:val="00F404CA"/>
    <w:rsid w:val="00F40825"/>
    <w:rsid w:val="00F432F7"/>
    <w:rsid w:val="00F46F2E"/>
    <w:rsid w:val="00F47C95"/>
    <w:rsid w:val="00F50F8D"/>
    <w:rsid w:val="00F516BE"/>
    <w:rsid w:val="00F524FC"/>
    <w:rsid w:val="00F53BE7"/>
    <w:rsid w:val="00F53FE1"/>
    <w:rsid w:val="00F555C9"/>
    <w:rsid w:val="00F56683"/>
    <w:rsid w:val="00F60A59"/>
    <w:rsid w:val="00F612EE"/>
    <w:rsid w:val="00F62D27"/>
    <w:rsid w:val="00F64BA3"/>
    <w:rsid w:val="00F65159"/>
    <w:rsid w:val="00F65634"/>
    <w:rsid w:val="00F6743B"/>
    <w:rsid w:val="00F72308"/>
    <w:rsid w:val="00F72AF2"/>
    <w:rsid w:val="00F73C0C"/>
    <w:rsid w:val="00F75F98"/>
    <w:rsid w:val="00F81724"/>
    <w:rsid w:val="00F8662F"/>
    <w:rsid w:val="00F86A80"/>
    <w:rsid w:val="00F87371"/>
    <w:rsid w:val="00F901CF"/>
    <w:rsid w:val="00F9050E"/>
    <w:rsid w:val="00F924D1"/>
    <w:rsid w:val="00F92957"/>
    <w:rsid w:val="00F97BD2"/>
    <w:rsid w:val="00FA0302"/>
    <w:rsid w:val="00FA03CD"/>
    <w:rsid w:val="00FA09C2"/>
    <w:rsid w:val="00FA137C"/>
    <w:rsid w:val="00FA36FB"/>
    <w:rsid w:val="00FA7315"/>
    <w:rsid w:val="00FB29FA"/>
    <w:rsid w:val="00FB32E2"/>
    <w:rsid w:val="00FB4579"/>
    <w:rsid w:val="00FB4F29"/>
    <w:rsid w:val="00FB5423"/>
    <w:rsid w:val="00FB6661"/>
    <w:rsid w:val="00FC23AB"/>
    <w:rsid w:val="00FC4863"/>
    <w:rsid w:val="00FC5C1B"/>
    <w:rsid w:val="00FC7926"/>
    <w:rsid w:val="00FD0680"/>
    <w:rsid w:val="00FD29BE"/>
    <w:rsid w:val="00FD3B8A"/>
    <w:rsid w:val="00FD4245"/>
    <w:rsid w:val="00FD5F41"/>
    <w:rsid w:val="00FE2740"/>
    <w:rsid w:val="00FE331E"/>
    <w:rsid w:val="00FF2E7A"/>
    <w:rsid w:val="00FF32CD"/>
    <w:rsid w:val="00FF609A"/>
    <w:rsid w:val="00FF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E0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938F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0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3CD"/>
  </w:style>
  <w:style w:type="paragraph" w:styleId="Footer">
    <w:name w:val="footer"/>
    <w:basedOn w:val="Normal"/>
    <w:link w:val="FooterChar"/>
    <w:uiPriority w:val="99"/>
    <w:unhideWhenUsed/>
    <w:rsid w:val="0060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3CD"/>
  </w:style>
  <w:style w:type="paragraph" w:customStyle="1" w:styleId="Pa0">
    <w:name w:val="Pa0"/>
    <w:basedOn w:val="Default"/>
    <w:next w:val="Default"/>
    <w:uiPriority w:val="99"/>
    <w:rsid w:val="00DA7D3C"/>
    <w:pPr>
      <w:spacing w:line="241" w:lineRule="atLeast"/>
    </w:pPr>
    <w:rPr>
      <w:rFonts w:ascii="AvantGarde Bk BT" w:hAnsi="AvantGarde Bk BT" w:cstheme="minorBidi"/>
      <w:color w:val="auto"/>
    </w:rPr>
  </w:style>
  <w:style w:type="character" w:customStyle="1" w:styleId="A5">
    <w:name w:val="A5"/>
    <w:uiPriority w:val="99"/>
    <w:rsid w:val="00DA7D3C"/>
    <w:rPr>
      <w:rFonts w:cs="AvantGarde Bk BT"/>
      <w:color w:val="000000"/>
      <w:sz w:val="18"/>
      <w:szCs w:val="18"/>
    </w:rPr>
  </w:style>
  <w:style w:type="paragraph" w:styleId="ListParagraph">
    <w:name w:val="List Paragraph"/>
    <w:aliases w:val="List Paragraph 1,Bullets,Table of contents numbered,footer text"/>
    <w:basedOn w:val="Normal"/>
    <w:link w:val="ListParagraphChar"/>
    <w:uiPriority w:val="34"/>
    <w:qFormat/>
    <w:rsid w:val="00986A85"/>
    <w:pPr>
      <w:ind w:left="720"/>
      <w:contextualSpacing/>
    </w:pPr>
  </w:style>
  <w:style w:type="character" w:customStyle="1" w:styleId="ListParagraphChar">
    <w:name w:val="List Paragraph Char"/>
    <w:aliases w:val="List Paragraph 1 Char,Bullets Char,Table of contents numbered Char,footer text Char"/>
    <w:link w:val="ListParagraph"/>
    <w:uiPriority w:val="34"/>
    <w:locked/>
    <w:rsid w:val="00986A85"/>
  </w:style>
  <w:style w:type="paragraph" w:styleId="BalloonText">
    <w:name w:val="Balloon Text"/>
    <w:basedOn w:val="Normal"/>
    <w:link w:val="BalloonTextChar"/>
    <w:uiPriority w:val="99"/>
    <w:semiHidden/>
    <w:unhideWhenUsed/>
    <w:rsid w:val="00FD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41"/>
    <w:rPr>
      <w:rFonts w:ascii="Segoe UI" w:hAnsi="Segoe UI" w:cs="Segoe UI"/>
      <w:sz w:val="18"/>
      <w:szCs w:val="18"/>
    </w:rPr>
  </w:style>
  <w:style w:type="character" w:styleId="CommentReference">
    <w:name w:val="annotation reference"/>
    <w:basedOn w:val="DefaultParagraphFont"/>
    <w:uiPriority w:val="99"/>
    <w:semiHidden/>
    <w:unhideWhenUsed/>
    <w:rsid w:val="00940C39"/>
    <w:rPr>
      <w:sz w:val="16"/>
      <w:szCs w:val="16"/>
    </w:rPr>
  </w:style>
  <w:style w:type="paragraph" w:styleId="CommentText">
    <w:name w:val="annotation text"/>
    <w:basedOn w:val="Normal"/>
    <w:link w:val="CommentTextChar"/>
    <w:uiPriority w:val="99"/>
    <w:semiHidden/>
    <w:unhideWhenUsed/>
    <w:rsid w:val="00940C39"/>
    <w:pPr>
      <w:spacing w:line="240" w:lineRule="auto"/>
    </w:pPr>
    <w:rPr>
      <w:sz w:val="20"/>
      <w:szCs w:val="20"/>
    </w:rPr>
  </w:style>
  <w:style w:type="character" w:customStyle="1" w:styleId="CommentTextChar">
    <w:name w:val="Comment Text Char"/>
    <w:basedOn w:val="DefaultParagraphFont"/>
    <w:link w:val="CommentText"/>
    <w:uiPriority w:val="99"/>
    <w:semiHidden/>
    <w:rsid w:val="00940C39"/>
    <w:rPr>
      <w:sz w:val="20"/>
      <w:szCs w:val="20"/>
    </w:rPr>
  </w:style>
  <w:style w:type="paragraph" w:styleId="CommentSubject">
    <w:name w:val="annotation subject"/>
    <w:basedOn w:val="CommentText"/>
    <w:next w:val="CommentText"/>
    <w:link w:val="CommentSubjectChar"/>
    <w:uiPriority w:val="99"/>
    <w:semiHidden/>
    <w:unhideWhenUsed/>
    <w:rsid w:val="00940C39"/>
    <w:rPr>
      <w:b/>
      <w:bCs/>
    </w:rPr>
  </w:style>
  <w:style w:type="character" w:customStyle="1" w:styleId="CommentSubjectChar">
    <w:name w:val="Comment Subject Char"/>
    <w:basedOn w:val="CommentTextChar"/>
    <w:link w:val="CommentSubject"/>
    <w:uiPriority w:val="99"/>
    <w:semiHidden/>
    <w:rsid w:val="00940C39"/>
    <w:rPr>
      <w:b/>
      <w:bCs/>
      <w:sz w:val="20"/>
      <w:szCs w:val="20"/>
    </w:rPr>
  </w:style>
  <w:style w:type="paragraph" w:customStyle="1" w:styleId="ReseachMainHeading">
    <w:name w:val="Reseach Main Heading"/>
    <w:basedOn w:val="Normal"/>
    <w:link w:val="ReseachMainHeadingChar"/>
    <w:rsid w:val="00000B17"/>
    <w:pPr>
      <w:spacing w:after="0" w:line="280" w:lineRule="exact"/>
      <w:jc w:val="both"/>
    </w:pPr>
    <w:rPr>
      <w:rFonts w:ascii="Arial" w:eastAsia="Calibri" w:hAnsi="Arial" w:cs="Times New Roman"/>
      <w:b/>
      <w:caps/>
      <w:color w:val="538135"/>
    </w:rPr>
  </w:style>
  <w:style w:type="character" w:customStyle="1" w:styleId="ReseachMainHeadingChar">
    <w:name w:val="Reseach Main Heading Char"/>
    <w:link w:val="ReseachMainHeading"/>
    <w:rsid w:val="00000B17"/>
    <w:rPr>
      <w:rFonts w:ascii="Arial" w:eastAsia="Calibri" w:hAnsi="Arial" w:cs="Times New Roman"/>
      <w:b/>
      <w:caps/>
      <w:color w:val="538135"/>
    </w:rPr>
  </w:style>
  <w:style w:type="paragraph" w:styleId="BodyText">
    <w:name w:val="Body Text"/>
    <w:basedOn w:val="Normal"/>
    <w:link w:val="BodyTextChar"/>
    <w:uiPriority w:val="1"/>
    <w:qFormat/>
    <w:rsid w:val="00000B17"/>
    <w:pPr>
      <w:widowControl w:val="0"/>
      <w:autoSpaceDE w:val="0"/>
      <w:autoSpaceDN w:val="0"/>
      <w:spacing w:after="0" w:line="240" w:lineRule="auto"/>
    </w:pPr>
    <w:rPr>
      <w:rFonts w:ascii="Carlito" w:eastAsia="Carlito" w:hAnsi="Carlito" w:cs="Carlito"/>
      <w:sz w:val="20"/>
      <w:szCs w:val="20"/>
    </w:rPr>
  </w:style>
  <w:style w:type="character" w:customStyle="1" w:styleId="BodyTextChar">
    <w:name w:val="Body Text Char"/>
    <w:basedOn w:val="DefaultParagraphFont"/>
    <w:link w:val="BodyText"/>
    <w:uiPriority w:val="1"/>
    <w:rsid w:val="00000B17"/>
    <w:rPr>
      <w:rFonts w:ascii="Carlito" w:eastAsia="Carlito" w:hAnsi="Carlito" w:cs="Carlito"/>
      <w:sz w:val="20"/>
      <w:szCs w:val="20"/>
    </w:rPr>
  </w:style>
  <w:style w:type="paragraph" w:styleId="Revision">
    <w:name w:val="Revision"/>
    <w:hidden/>
    <w:uiPriority w:val="99"/>
    <w:semiHidden/>
    <w:rsid w:val="003B36D1"/>
    <w:pPr>
      <w:spacing w:after="0" w:line="240" w:lineRule="auto"/>
    </w:pPr>
  </w:style>
</w:styles>
</file>

<file path=word/webSettings.xml><?xml version="1.0" encoding="utf-8"?>
<w:webSettings xmlns:r="http://schemas.openxmlformats.org/officeDocument/2006/relationships" xmlns:w="http://schemas.openxmlformats.org/wordprocessingml/2006/main">
  <w:divs>
    <w:div w:id="65499701">
      <w:bodyDiv w:val="1"/>
      <w:marLeft w:val="0"/>
      <w:marRight w:val="0"/>
      <w:marTop w:val="0"/>
      <w:marBottom w:val="0"/>
      <w:divBdr>
        <w:top w:val="none" w:sz="0" w:space="0" w:color="auto"/>
        <w:left w:val="none" w:sz="0" w:space="0" w:color="auto"/>
        <w:bottom w:val="none" w:sz="0" w:space="0" w:color="auto"/>
        <w:right w:val="none" w:sz="0" w:space="0" w:color="auto"/>
      </w:divBdr>
      <w:divsChild>
        <w:div w:id="863641509">
          <w:marLeft w:val="360"/>
          <w:marRight w:val="0"/>
          <w:marTop w:val="0"/>
          <w:marBottom w:val="0"/>
          <w:divBdr>
            <w:top w:val="none" w:sz="0" w:space="0" w:color="auto"/>
            <w:left w:val="none" w:sz="0" w:space="0" w:color="auto"/>
            <w:bottom w:val="none" w:sz="0" w:space="0" w:color="auto"/>
            <w:right w:val="none" w:sz="0" w:space="0" w:color="auto"/>
          </w:divBdr>
        </w:div>
      </w:divsChild>
    </w:div>
    <w:div w:id="71051667">
      <w:bodyDiv w:val="1"/>
      <w:marLeft w:val="0"/>
      <w:marRight w:val="0"/>
      <w:marTop w:val="0"/>
      <w:marBottom w:val="0"/>
      <w:divBdr>
        <w:top w:val="none" w:sz="0" w:space="0" w:color="auto"/>
        <w:left w:val="none" w:sz="0" w:space="0" w:color="auto"/>
        <w:bottom w:val="none" w:sz="0" w:space="0" w:color="auto"/>
        <w:right w:val="none" w:sz="0" w:space="0" w:color="auto"/>
      </w:divBdr>
    </w:div>
    <w:div w:id="283462218">
      <w:bodyDiv w:val="1"/>
      <w:marLeft w:val="0"/>
      <w:marRight w:val="0"/>
      <w:marTop w:val="0"/>
      <w:marBottom w:val="0"/>
      <w:divBdr>
        <w:top w:val="none" w:sz="0" w:space="0" w:color="auto"/>
        <w:left w:val="none" w:sz="0" w:space="0" w:color="auto"/>
        <w:bottom w:val="none" w:sz="0" w:space="0" w:color="auto"/>
        <w:right w:val="none" w:sz="0" w:space="0" w:color="auto"/>
      </w:divBdr>
    </w:div>
    <w:div w:id="407311109">
      <w:bodyDiv w:val="1"/>
      <w:marLeft w:val="0"/>
      <w:marRight w:val="0"/>
      <w:marTop w:val="0"/>
      <w:marBottom w:val="0"/>
      <w:divBdr>
        <w:top w:val="none" w:sz="0" w:space="0" w:color="auto"/>
        <w:left w:val="none" w:sz="0" w:space="0" w:color="auto"/>
        <w:bottom w:val="none" w:sz="0" w:space="0" w:color="auto"/>
        <w:right w:val="none" w:sz="0" w:space="0" w:color="auto"/>
      </w:divBdr>
    </w:div>
    <w:div w:id="514927356">
      <w:bodyDiv w:val="1"/>
      <w:marLeft w:val="0"/>
      <w:marRight w:val="0"/>
      <w:marTop w:val="0"/>
      <w:marBottom w:val="0"/>
      <w:divBdr>
        <w:top w:val="none" w:sz="0" w:space="0" w:color="auto"/>
        <w:left w:val="none" w:sz="0" w:space="0" w:color="auto"/>
        <w:bottom w:val="none" w:sz="0" w:space="0" w:color="auto"/>
        <w:right w:val="none" w:sz="0" w:space="0" w:color="auto"/>
      </w:divBdr>
    </w:div>
    <w:div w:id="635061379">
      <w:bodyDiv w:val="1"/>
      <w:marLeft w:val="0"/>
      <w:marRight w:val="0"/>
      <w:marTop w:val="0"/>
      <w:marBottom w:val="0"/>
      <w:divBdr>
        <w:top w:val="none" w:sz="0" w:space="0" w:color="auto"/>
        <w:left w:val="none" w:sz="0" w:space="0" w:color="auto"/>
        <w:bottom w:val="none" w:sz="0" w:space="0" w:color="auto"/>
        <w:right w:val="none" w:sz="0" w:space="0" w:color="auto"/>
      </w:divBdr>
    </w:div>
    <w:div w:id="744307095">
      <w:bodyDiv w:val="1"/>
      <w:marLeft w:val="0"/>
      <w:marRight w:val="0"/>
      <w:marTop w:val="0"/>
      <w:marBottom w:val="0"/>
      <w:divBdr>
        <w:top w:val="none" w:sz="0" w:space="0" w:color="auto"/>
        <w:left w:val="none" w:sz="0" w:space="0" w:color="auto"/>
        <w:bottom w:val="none" w:sz="0" w:space="0" w:color="auto"/>
        <w:right w:val="none" w:sz="0" w:space="0" w:color="auto"/>
      </w:divBdr>
      <w:divsChild>
        <w:div w:id="475996757">
          <w:marLeft w:val="360"/>
          <w:marRight w:val="0"/>
          <w:marTop w:val="0"/>
          <w:marBottom w:val="0"/>
          <w:divBdr>
            <w:top w:val="none" w:sz="0" w:space="0" w:color="auto"/>
            <w:left w:val="none" w:sz="0" w:space="0" w:color="auto"/>
            <w:bottom w:val="none" w:sz="0" w:space="0" w:color="auto"/>
            <w:right w:val="none" w:sz="0" w:space="0" w:color="auto"/>
          </w:divBdr>
        </w:div>
      </w:divsChild>
    </w:div>
    <w:div w:id="810169827">
      <w:bodyDiv w:val="1"/>
      <w:marLeft w:val="0"/>
      <w:marRight w:val="0"/>
      <w:marTop w:val="0"/>
      <w:marBottom w:val="0"/>
      <w:divBdr>
        <w:top w:val="none" w:sz="0" w:space="0" w:color="auto"/>
        <w:left w:val="none" w:sz="0" w:space="0" w:color="auto"/>
        <w:bottom w:val="none" w:sz="0" w:space="0" w:color="auto"/>
        <w:right w:val="none" w:sz="0" w:space="0" w:color="auto"/>
      </w:divBdr>
      <w:divsChild>
        <w:div w:id="1467164349">
          <w:marLeft w:val="547"/>
          <w:marRight w:val="0"/>
          <w:marTop w:val="0"/>
          <w:marBottom w:val="0"/>
          <w:divBdr>
            <w:top w:val="none" w:sz="0" w:space="0" w:color="auto"/>
            <w:left w:val="none" w:sz="0" w:space="0" w:color="auto"/>
            <w:bottom w:val="none" w:sz="0" w:space="0" w:color="auto"/>
            <w:right w:val="none" w:sz="0" w:space="0" w:color="auto"/>
          </w:divBdr>
        </w:div>
      </w:divsChild>
    </w:div>
    <w:div w:id="1129936416">
      <w:bodyDiv w:val="1"/>
      <w:marLeft w:val="0"/>
      <w:marRight w:val="0"/>
      <w:marTop w:val="0"/>
      <w:marBottom w:val="0"/>
      <w:divBdr>
        <w:top w:val="none" w:sz="0" w:space="0" w:color="auto"/>
        <w:left w:val="none" w:sz="0" w:space="0" w:color="auto"/>
        <w:bottom w:val="none" w:sz="0" w:space="0" w:color="auto"/>
        <w:right w:val="none" w:sz="0" w:space="0" w:color="auto"/>
      </w:divBdr>
      <w:divsChild>
        <w:div w:id="1371220853">
          <w:marLeft w:val="446"/>
          <w:marRight w:val="0"/>
          <w:marTop w:val="0"/>
          <w:marBottom w:val="120"/>
          <w:divBdr>
            <w:top w:val="none" w:sz="0" w:space="0" w:color="auto"/>
            <w:left w:val="none" w:sz="0" w:space="0" w:color="auto"/>
            <w:bottom w:val="none" w:sz="0" w:space="0" w:color="auto"/>
            <w:right w:val="none" w:sz="0" w:space="0" w:color="auto"/>
          </w:divBdr>
        </w:div>
      </w:divsChild>
    </w:div>
    <w:div w:id="1157914416">
      <w:bodyDiv w:val="1"/>
      <w:marLeft w:val="0"/>
      <w:marRight w:val="0"/>
      <w:marTop w:val="0"/>
      <w:marBottom w:val="0"/>
      <w:divBdr>
        <w:top w:val="none" w:sz="0" w:space="0" w:color="auto"/>
        <w:left w:val="none" w:sz="0" w:space="0" w:color="auto"/>
        <w:bottom w:val="none" w:sz="0" w:space="0" w:color="auto"/>
        <w:right w:val="none" w:sz="0" w:space="0" w:color="auto"/>
      </w:divBdr>
    </w:div>
    <w:div w:id="1203638624">
      <w:bodyDiv w:val="1"/>
      <w:marLeft w:val="0"/>
      <w:marRight w:val="0"/>
      <w:marTop w:val="0"/>
      <w:marBottom w:val="0"/>
      <w:divBdr>
        <w:top w:val="none" w:sz="0" w:space="0" w:color="auto"/>
        <w:left w:val="none" w:sz="0" w:space="0" w:color="auto"/>
        <w:bottom w:val="none" w:sz="0" w:space="0" w:color="auto"/>
        <w:right w:val="none" w:sz="0" w:space="0" w:color="auto"/>
      </w:divBdr>
    </w:div>
    <w:div w:id="1343044328">
      <w:bodyDiv w:val="1"/>
      <w:marLeft w:val="0"/>
      <w:marRight w:val="0"/>
      <w:marTop w:val="0"/>
      <w:marBottom w:val="0"/>
      <w:divBdr>
        <w:top w:val="none" w:sz="0" w:space="0" w:color="auto"/>
        <w:left w:val="none" w:sz="0" w:space="0" w:color="auto"/>
        <w:bottom w:val="none" w:sz="0" w:space="0" w:color="auto"/>
        <w:right w:val="none" w:sz="0" w:space="0" w:color="auto"/>
      </w:divBdr>
    </w:div>
    <w:div w:id="1448505687">
      <w:bodyDiv w:val="1"/>
      <w:marLeft w:val="0"/>
      <w:marRight w:val="0"/>
      <w:marTop w:val="0"/>
      <w:marBottom w:val="0"/>
      <w:divBdr>
        <w:top w:val="none" w:sz="0" w:space="0" w:color="auto"/>
        <w:left w:val="none" w:sz="0" w:space="0" w:color="auto"/>
        <w:bottom w:val="none" w:sz="0" w:space="0" w:color="auto"/>
        <w:right w:val="none" w:sz="0" w:space="0" w:color="auto"/>
      </w:divBdr>
      <w:divsChild>
        <w:div w:id="377437184">
          <w:marLeft w:val="360"/>
          <w:marRight w:val="0"/>
          <w:marTop w:val="0"/>
          <w:marBottom w:val="0"/>
          <w:divBdr>
            <w:top w:val="none" w:sz="0" w:space="0" w:color="auto"/>
            <w:left w:val="none" w:sz="0" w:space="0" w:color="auto"/>
            <w:bottom w:val="none" w:sz="0" w:space="0" w:color="auto"/>
            <w:right w:val="none" w:sz="0" w:space="0" w:color="auto"/>
          </w:divBdr>
        </w:div>
      </w:divsChild>
    </w:div>
    <w:div w:id="1523935070">
      <w:bodyDiv w:val="1"/>
      <w:marLeft w:val="0"/>
      <w:marRight w:val="0"/>
      <w:marTop w:val="0"/>
      <w:marBottom w:val="0"/>
      <w:divBdr>
        <w:top w:val="none" w:sz="0" w:space="0" w:color="auto"/>
        <w:left w:val="none" w:sz="0" w:space="0" w:color="auto"/>
        <w:bottom w:val="none" w:sz="0" w:space="0" w:color="auto"/>
        <w:right w:val="none" w:sz="0" w:space="0" w:color="auto"/>
      </w:divBdr>
      <w:divsChild>
        <w:div w:id="1164853271">
          <w:marLeft w:val="547"/>
          <w:marRight w:val="0"/>
          <w:marTop w:val="0"/>
          <w:marBottom w:val="0"/>
          <w:divBdr>
            <w:top w:val="none" w:sz="0" w:space="0" w:color="auto"/>
            <w:left w:val="none" w:sz="0" w:space="0" w:color="auto"/>
            <w:bottom w:val="none" w:sz="0" w:space="0" w:color="auto"/>
            <w:right w:val="none" w:sz="0" w:space="0" w:color="auto"/>
          </w:divBdr>
        </w:div>
        <w:div w:id="1928806407">
          <w:marLeft w:val="547"/>
          <w:marRight w:val="0"/>
          <w:marTop w:val="0"/>
          <w:marBottom w:val="0"/>
          <w:divBdr>
            <w:top w:val="none" w:sz="0" w:space="0" w:color="auto"/>
            <w:left w:val="none" w:sz="0" w:space="0" w:color="auto"/>
            <w:bottom w:val="none" w:sz="0" w:space="0" w:color="auto"/>
            <w:right w:val="none" w:sz="0" w:space="0" w:color="auto"/>
          </w:divBdr>
        </w:div>
      </w:divsChild>
    </w:div>
    <w:div w:id="1622569026">
      <w:bodyDiv w:val="1"/>
      <w:marLeft w:val="0"/>
      <w:marRight w:val="0"/>
      <w:marTop w:val="0"/>
      <w:marBottom w:val="0"/>
      <w:divBdr>
        <w:top w:val="none" w:sz="0" w:space="0" w:color="auto"/>
        <w:left w:val="none" w:sz="0" w:space="0" w:color="auto"/>
        <w:bottom w:val="none" w:sz="0" w:space="0" w:color="auto"/>
        <w:right w:val="none" w:sz="0" w:space="0" w:color="auto"/>
      </w:divBdr>
    </w:div>
    <w:div w:id="1649479868">
      <w:bodyDiv w:val="1"/>
      <w:marLeft w:val="0"/>
      <w:marRight w:val="0"/>
      <w:marTop w:val="0"/>
      <w:marBottom w:val="0"/>
      <w:divBdr>
        <w:top w:val="none" w:sz="0" w:space="0" w:color="auto"/>
        <w:left w:val="none" w:sz="0" w:space="0" w:color="auto"/>
        <w:bottom w:val="none" w:sz="0" w:space="0" w:color="auto"/>
        <w:right w:val="none" w:sz="0" w:space="0" w:color="auto"/>
      </w:divBdr>
    </w:div>
    <w:div w:id="1959220475">
      <w:bodyDiv w:val="1"/>
      <w:marLeft w:val="0"/>
      <w:marRight w:val="0"/>
      <w:marTop w:val="0"/>
      <w:marBottom w:val="0"/>
      <w:divBdr>
        <w:top w:val="none" w:sz="0" w:space="0" w:color="auto"/>
        <w:left w:val="none" w:sz="0" w:space="0" w:color="auto"/>
        <w:bottom w:val="none" w:sz="0" w:space="0" w:color="auto"/>
        <w:right w:val="none" w:sz="0" w:space="0" w:color="auto"/>
      </w:divBdr>
    </w:div>
    <w:div w:id="1972124344">
      <w:bodyDiv w:val="1"/>
      <w:marLeft w:val="0"/>
      <w:marRight w:val="0"/>
      <w:marTop w:val="0"/>
      <w:marBottom w:val="0"/>
      <w:divBdr>
        <w:top w:val="none" w:sz="0" w:space="0" w:color="auto"/>
        <w:left w:val="none" w:sz="0" w:space="0" w:color="auto"/>
        <w:bottom w:val="none" w:sz="0" w:space="0" w:color="auto"/>
        <w:right w:val="none" w:sz="0" w:space="0" w:color="auto"/>
      </w:divBdr>
    </w:div>
    <w:div w:id="2081559133">
      <w:bodyDiv w:val="1"/>
      <w:marLeft w:val="0"/>
      <w:marRight w:val="0"/>
      <w:marTop w:val="0"/>
      <w:marBottom w:val="0"/>
      <w:divBdr>
        <w:top w:val="none" w:sz="0" w:space="0" w:color="auto"/>
        <w:left w:val="none" w:sz="0" w:space="0" w:color="auto"/>
        <w:bottom w:val="none" w:sz="0" w:space="0" w:color="auto"/>
        <w:right w:val="none" w:sz="0" w:space="0" w:color="auto"/>
      </w:divBdr>
      <w:divsChild>
        <w:div w:id="125320191">
          <w:marLeft w:val="446"/>
          <w:marRight w:val="0"/>
          <w:marTop w:val="0"/>
          <w:marBottom w:val="120"/>
          <w:divBdr>
            <w:top w:val="none" w:sz="0" w:space="0" w:color="auto"/>
            <w:left w:val="none" w:sz="0" w:space="0" w:color="auto"/>
            <w:bottom w:val="none" w:sz="0" w:space="0" w:color="auto"/>
            <w:right w:val="none" w:sz="0" w:space="0" w:color="auto"/>
          </w:divBdr>
        </w:div>
        <w:div w:id="1020401524">
          <w:marLeft w:val="1166"/>
          <w:marRight w:val="0"/>
          <w:marTop w:val="0"/>
          <w:marBottom w:val="0"/>
          <w:divBdr>
            <w:top w:val="none" w:sz="0" w:space="0" w:color="auto"/>
            <w:left w:val="none" w:sz="0" w:space="0" w:color="auto"/>
            <w:bottom w:val="none" w:sz="0" w:space="0" w:color="auto"/>
            <w:right w:val="none" w:sz="0" w:space="0" w:color="auto"/>
          </w:divBdr>
        </w:div>
        <w:div w:id="1399089969">
          <w:marLeft w:val="446"/>
          <w:marRight w:val="0"/>
          <w:marTop w:val="0"/>
          <w:marBottom w:val="120"/>
          <w:divBdr>
            <w:top w:val="none" w:sz="0" w:space="0" w:color="auto"/>
            <w:left w:val="none" w:sz="0" w:space="0" w:color="auto"/>
            <w:bottom w:val="none" w:sz="0" w:space="0" w:color="auto"/>
            <w:right w:val="none" w:sz="0" w:space="0" w:color="auto"/>
          </w:divBdr>
        </w:div>
        <w:div w:id="1901790432">
          <w:marLeft w:val="1166"/>
          <w:marRight w:val="0"/>
          <w:marTop w:val="0"/>
          <w:marBottom w:val="0"/>
          <w:divBdr>
            <w:top w:val="none" w:sz="0" w:space="0" w:color="auto"/>
            <w:left w:val="none" w:sz="0" w:space="0" w:color="auto"/>
            <w:bottom w:val="none" w:sz="0" w:space="0" w:color="auto"/>
            <w:right w:val="none" w:sz="0" w:space="0" w:color="auto"/>
          </w:divBdr>
        </w:div>
      </w:divsChild>
    </w:div>
    <w:div w:id="2099060641">
      <w:bodyDiv w:val="1"/>
      <w:marLeft w:val="0"/>
      <w:marRight w:val="0"/>
      <w:marTop w:val="0"/>
      <w:marBottom w:val="0"/>
      <w:divBdr>
        <w:top w:val="none" w:sz="0" w:space="0" w:color="auto"/>
        <w:left w:val="none" w:sz="0" w:space="0" w:color="auto"/>
        <w:bottom w:val="none" w:sz="0" w:space="0" w:color="auto"/>
        <w:right w:val="none" w:sz="0" w:space="0" w:color="auto"/>
      </w:divBdr>
      <w:divsChild>
        <w:div w:id="716201200">
          <w:marLeft w:val="14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E1F44-044E-4496-AD00-9974323E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User</cp:lastModifiedBy>
  <cp:revision>2</cp:revision>
  <dcterms:created xsi:type="dcterms:W3CDTF">2023-07-03T17:14:00Z</dcterms:created>
  <dcterms:modified xsi:type="dcterms:W3CDTF">2023-07-03T17:14:00Z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7213a7305cddc5d9526b550e1d804fe7eb31c790b9c3b49ddda433a902f3aa64</vt:lpwstr>
  </property>
</Properties>
</file>