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AF" w:rsidRPr="00B5667A" w:rsidRDefault="00B5667A" w:rsidP="00B5667A">
      <w:pPr>
        <w:spacing w:line="240" w:lineRule="auto"/>
        <w:jc w:val="left"/>
        <w:rPr>
          <w:rFonts w:eastAsia="Times New Roman" w:cs="Arial"/>
          <w:b/>
          <w:color w:val="000000" w:themeColor="text1"/>
          <w:sz w:val="20"/>
          <w:szCs w:val="20"/>
          <w:lang w:eastAsia="en-GB"/>
        </w:rPr>
      </w:pPr>
      <w:r w:rsidRPr="00B5667A">
        <w:rPr>
          <w:rFonts w:cs="Arial"/>
          <w:b/>
          <w:color w:val="000000" w:themeColor="text1"/>
          <w:sz w:val="20"/>
          <w:szCs w:val="20"/>
        </w:rPr>
        <w:t xml:space="preserve">Report of the Portfolio Committee on Transport on the 2022/23 Fourth Quarter Expenditure of the Department Of Transport Dated </w:t>
      </w:r>
      <w:r w:rsidRPr="00B5667A">
        <w:rPr>
          <w:rFonts w:eastAsia="Times New Roman" w:cs="Arial"/>
          <w:b/>
          <w:color w:val="000000" w:themeColor="text1"/>
          <w:sz w:val="20"/>
          <w:szCs w:val="20"/>
          <w:lang w:eastAsia="en-GB"/>
        </w:rPr>
        <w:t>21 June 2023</w:t>
      </w:r>
    </w:p>
    <w:p w:rsidR="00DC40AF" w:rsidRPr="00B5667A" w:rsidRDefault="00DC40AF" w:rsidP="00B5667A">
      <w:pPr>
        <w:spacing w:line="240" w:lineRule="auto"/>
        <w:jc w:val="left"/>
        <w:rPr>
          <w:rFonts w:eastAsia="Times New Roman" w:cs="Arial"/>
          <w:b/>
          <w:color w:val="000000" w:themeColor="text1"/>
          <w:sz w:val="20"/>
          <w:szCs w:val="20"/>
          <w:lang w:eastAsia="en-GB"/>
        </w:rPr>
      </w:pPr>
    </w:p>
    <w:p w:rsidR="00DC40AF" w:rsidRPr="00B5667A" w:rsidRDefault="00DC40AF"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The Portfolio Committee on </w:t>
      </w:r>
      <w:bookmarkStart w:id="0" w:name="_GoBack"/>
      <w:r w:rsidRPr="00B5667A">
        <w:rPr>
          <w:rFonts w:cs="Arial"/>
          <w:color w:val="000000" w:themeColor="text1"/>
          <w:sz w:val="20"/>
          <w:szCs w:val="20"/>
        </w:rPr>
        <w:t>Transport</w:t>
      </w:r>
      <w:bookmarkEnd w:id="0"/>
      <w:r w:rsidRPr="00B5667A">
        <w:rPr>
          <w:rFonts w:cs="Arial"/>
          <w:color w:val="000000" w:themeColor="text1"/>
          <w:sz w:val="20"/>
          <w:szCs w:val="20"/>
        </w:rPr>
        <w:t>, having considered the expenditure of the Department of Transport for the Fourth Quarter of the 2022/23 financial year on 30 May 2023, reports as follows:</w:t>
      </w:r>
    </w:p>
    <w:p w:rsidR="00DC40AF" w:rsidRPr="00B5667A" w:rsidRDefault="00DC40AF" w:rsidP="00B5667A">
      <w:pPr>
        <w:spacing w:line="240" w:lineRule="auto"/>
        <w:jc w:val="left"/>
        <w:rPr>
          <w:rFonts w:cs="Arial"/>
          <w:color w:val="000000" w:themeColor="text1"/>
          <w:sz w:val="20"/>
          <w:szCs w:val="20"/>
        </w:rPr>
      </w:pPr>
    </w:p>
    <w:p w:rsidR="00DC40AF" w:rsidRPr="00B5667A" w:rsidRDefault="00DC40AF" w:rsidP="00B5667A">
      <w:pPr>
        <w:numPr>
          <w:ilvl w:val="0"/>
          <w:numId w:val="12"/>
        </w:numPr>
        <w:spacing w:line="240" w:lineRule="auto"/>
        <w:ind w:hanging="720"/>
        <w:contextualSpacing/>
        <w:jc w:val="left"/>
        <w:rPr>
          <w:rFonts w:cs="Arial"/>
          <w:b/>
          <w:color w:val="000000" w:themeColor="text1"/>
          <w:sz w:val="20"/>
          <w:szCs w:val="20"/>
        </w:rPr>
      </w:pPr>
      <w:r w:rsidRPr="00B5667A">
        <w:rPr>
          <w:rFonts w:cs="Arial"/>
          <w:b/>
          <w:color w:val="000000" w:themeColor="text1"/>
          <w:sz w:val="20"/>
          <w:szCs w:val="20"/>
        </w:rPr>
        <w:t>INTRODUCTION</w:t>
      </w:r>
    </w:p>
    <w:p w:rsidR="0086566C" w:rsidRPr="00B5667A" w:rsidRDefault="0086566C" w:rsidP="00B5667A">
      <w:pPr>
        <w:spacing w:line="240" w:lineRule="auto"/>
        <w:jc w:val="left"/>
        <w:rPr>
          <w:rFonts w:cs="Arial"/>
          <w:color w:val="000000" w:themeColor="text1"/>
          <w:sz w:val="20"/>
          <w:szCs w:val="20"/>
        </w:rPr>
      </w:pPr>
    </w:p>
    <w:p w:rsidR="00DC40AF" w:rsidRPr="00B5667A" w:rsidRDefault="00DC40AF" w:rsidP="00B5667A">
      <w:pPr>
        <w:spacing w:line="240" w:lineRule="auto"/>
        <w:jc w:val="left"/>
        <w:rPr>
          <w:rFonts w:cs="Arial"/>
          <w:color w:val="000000" w:themeColor="text1"/>
          <w:sz w:val="20"/>
          <w:szCs w:val="20"/>
        </w:rPr>
      </w:pPr>
      <w:r w:rsidRPr="00B5667A">
        <w:rPr>
          <w:rFonts w:cs="Arial"/>
          <w:color w:val="000000" w:themeColor="text1"/>
          <w:sz w:val="20"/>
          <w:szCs w:val="20"/>
        </w:rPr>
        <w:t>The prime mandate of the Committee is governed by the Constitution of the Republic of South Africa, 1996 (“the Constitution”), in respect of its legislative and oversight responsibilities as public representatives. It is required to consider legislation referred to it and consider all matters referred to it in terms of the Constitution, the Rules of the National Assembly or resolutions of the House. It is also required to respond to matters referred to it by Government within its mandate. In addition, the Committee is entrusted with considering the budgets, Strategic Plans and Annual Performance Plans of the Department and entities that fall within the transport portfolio. This report provides an overview of the expenditure of the Department of Transport for the Fourth Quarter of the 2022/23 financial year, as presented to the Committee on 30 May 2023.</w:t>
      </w:r>
    </w:p>
    <w:p w:rsidR="00DC40AF" w:rsidRPr="00B5667A" w:rsidRDefault="00DC40AF" w:rsidP="00B5667A">
      <w:pPr>
        <w:spacing w:line="240" w:lineRule="auto"/>
        <w:jc w:val="left"/>
        <w:rPr>
          <w:rFonts w:cs="Arial"/>
          <w:b/>
          <w:color w:val="000000" w:themeColor="text1"/>
          <w:sz w:val="20"/>
          <w:szCs w:val="20"/>
        </w:rPr>
      </w:pPr>
    </w:p>
    <w:p w:rsidR="00DC40AF" w:rsidRPr="00B5667A" w:rsidRDefault="00DC40AF" w:rsidP="00B5667A">
      <w:pPr>
        <w:spacing w:line="240" w:lineRule="auto"/>
        <w:ind w:left="720" w:hanging="720"/>
        <w:jc w:val="left"/>
        <w:rPr>
          <w:rFonts w:cs="Arial"/>
          <w:b/>
          <w:color w:val="000000" w:themeColor="text1"/>
          <w:sz w:val="20"/>
          <w:szCs w:val="20"/>
        </w:rPr>
      </w:pPr>
      <w:r w:rsidRPr="00B5667A">
        <w:rPr>
          <w:rFonts w:cs="Arial"/>
          <w:b/>
          <w:color w:val="000000" w:themeColor="text1"/>
          <w:sz w:val="20"/>
          <w:szCs w:val="20"/>
        </w:rPr>
        <w:t>2.</w:t>
      </w:r>
      <w:r w:rsidRPr="00B5667A">
        <w:rPr>
          <w:rFonts w:cs="Arial"/>
          <w:b/>
          <w:color w:val="000000" w:themeColor="text1"/>
          <w:sz w:val="20"/>
          <w:szCs w:val="20"/>
        </w:rPr>
        <w:tab/>
        <w:t xml:space="preserve">ANALYSIS OF THE 2022/23 </w:t>
      </w:r>
      <w:r w:rsidR="00821FCF" w:rsidRPr="00B5667A">
        <w:rPr>
          <w:rFonts w:cs="Arial"/>
          <w:b/>
          <w:color w:val="000000" w:themeColor="text1"/>
          <w:sz w:val="20"/>
          <w:szCs w:val="20"/>
        </w:rPr>
        <w:t>FOURTH</w:t>
      </w:r>
      <w:r w:rsidRPr="00B5667A">
        <w:rPr>
          <w:rFonts w:cs="Arial"/>
          <w:b/>
          <w:color w:val="000000" w:themeColor="text1"/>
          <w:sz w:val="20"/>
          <w:szCs w:val="20"/>
        </w:rPr>
        <w:t xml:space="preserve"> QUARTER EXPENDITURE OF THE DEPARTMENT OF TRANSPORT</w:t>
      </w:r>
    </w:p>
    <w:p w:rsidR="00DC40AF" w:rsidRPr="00B5667A" w:rsidRDefault="00DC40AF" w:rsidP="00B5667A">
      <w:pPr>
        <w:pStyle w:val="Heading1"/>
        <w:spacing w:before="0" w:line="240" w:lineRule="auto"/>
        <w:jc w:val="left"/>
        <w:rPr>
          <w:rFonts w:cs="Arial"/>
          <w:sz w:val="20"/>
          <w:szCs w:val="20"/>
        </w:rPr>
      </w:pPr>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In 2022/23, the budget allocation of the Department of Transport (“the Department”) stands at R95.1 billion. Of this amount, the Department had spent R94.5 billion (or 99.4%) by the end of the Fourth Quarter of the 2022/23 financial year.</w:t>
      </w:r>
      <w:r w:rsidRPr="00B5667A">
        <w:rPr>
          <w:rStyle w:val="FootnoteReference"/>
          <w:rFonts w:cs="Arial"/>
          <w:color w:val="000000" w:themeColor="text1"/>
          <w:sz w:val="20"/>
          <w:szCs w:val="20"/>
        </w:rPr>
        <w:footnoteReference w:id="1"/>
      </w:r>
      <w:r w:rsidRPr="00B5667A">
        <w:rPr>
          <w:rFonts w:cs="Arial"/>
          <w:color w:val="000000" w:themeColor="text1"/>
          <w:sz w:val="20"/>
          <w:szCs w:val="20"/>
        </w:rPr>
        <w:t xml:space="preserve"> This translated into lower than estimated spending of R591 million (or 0.6%).</w:t>
      </w:r>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By the end of the Fourth Quarter, the Department’s spending on the Compensation of Employees</w:t>
      </w:r>
      <w:r w:rsidRPr="00B5667A">
        <w:rPr>
          <w:rFonts w:cs="Arial"/>
          <w:b/>
          <w:color w:val="000000" w:themeColor="text1"/>
          <w:sz w:val="20"/>
          <w:szCs w:val="20"/>
        </w:rPr>
        <w:t xml:space="preserve"> </w:t>
      </w:r>
      <w:r w:rsidRPr="00B5667A">
        <w:rPr>
          <w:rFonts w:cs="Arial"/>
          <w:color w:val="000000" w:themeColor="text1"/>
          <w:sz w:val="20"/>
          <w:szCs w:val="20"/>
        </w:rPr>
        <w:t>(C</w:t>
      </w:r>
      <w:r w:rsidR="00AA092B" w:rsidRPr="00B5667A">
        <w:rPr>
          <w:rFonts w:cs="Arial"/>
          <w:color w:val="000000" w:themeColor="text1"/>
          <w:sz w:val="20"/>
          <w:szCs w:val="20"/>
        </w:rPr>
        <w:t>o</w:t>
      </w:r>
      <w:r w:rsidRPr="00B5667A">
        <w:rPr>
          <w:rFonts w:cs="Arial"/>
          <w:color w:val="000000" w:themeColor="text1"/>
          <w:sz w:val="20"/>
          <w:szCs w:val="20"/>
        </w:rPr>
        <w:t>E) stood at R505.8 million against the available budget of R558.4 million. The underspending of R52.7 million (or 9.4%) was due to vacant funded posts in the Department. The Department had 705 filled posts against a funded establishment of 813 posts.</w:t>
      </w:r>
      <w:r w:rsidRPr="00B5667A">
        <w:rPr>
          <w:rStyle w:val="FootnoteReference"/>
          <w:rFonts w:cs="Arial"/>
          <w:color w:val="000000" w:themeColor="text1"/>
          <w:sz w:val="20"/>
          <w:szCs w:val="20"/>
        </w:rPr>
        <w:footnoteReference w:id="2"/>
      </w:r>
      <w:r w:rsidRPr="00B5667A">
        <w:rPr>
          <w:rFonts w:cs="Arial"/>
          <w:color w:val="000000" w:themeColor="text1"/>
          <w:sz w:val="20"/>
          <w:szCs w:val="20"/>
        </w:rPr>
        <w:t xml:space="preserve"> This represented a vacancy rate of 13.3% (or 108 vacant posts), up from 9.8% (or 80 vacant posts) by the end of the Third Quarter of 2022/23.</w:t>
      </w:r>
      <w:r w:rsidRPr="00B5667A">
        <w:rPr>
          <w:rStyle w:val="FootnoteReference"/>
          <w:rFonts w:cs="Arial"/>
          <w:color w:val="000000" w:themeColor="text1"/>
          <w:sz w:val="20"/>
          <w:szCs w:val="20"/>
        </w:rPr>
        <w:footnoteReference w:id="3"/>
      </w:r>
    </w:p>
    <w:p w:rsidR="00C77A15" w:rsidRPr="00B5667A" w:rsidRDefault="00C77A15" w:rsidP="00B5667A">
      <w:pPr>
        <w:spacing w:line="240" w:lineRule="auto"/>
        <w:jc w:val="left"/>
        <w:rPr>
          <w:rFonts w:cs="Arial"/>
          <w:color w:val="000000" w:themeColor="text1"/>
          <w:sz w:val="20"/>
          <w:szCs w:val="20"/>
        </w:rPr>
      </w:pPr>
    </w:p>
    <w:p w:rsidR="00C77A15" w:rsidRPr="00B5667A" w:rsidRDefault="009C5650" w:rsidP="00B5667A">
      <w:pPr>
        <w:pStyle w:val="Heading1"/>
        <w:numPr>
          <w:ilvl w:val="1"/>
          <w:numId w:val="13"/>
        </w:numPr>
        <w:spacing w:before="0" w:line="240" w:lineRule="auto"/>
        <w:ind w:hanging="450"/>
        <w:jc w:val="left"/>
        <w:rPr>
          <w:rFonts w:cs="Arial"/>
          <w:color w:val="000000" w:themeColor="text1"/>
          <w:sz w:val="20"/>
          <w:szCs w:val="20"/>
        </w:rPr>
      </w:pPr>
      <w:bookmarkStart w:id="1" w:name="_Toc135994655"/>
      <w:r w:rsidRPr="00B5667A">
        <w:rPr>
          <w:rFonts w:cs="Arial"/>
          <w:color w:val="000000" w:themeColor="text1"/>
          <w:sz w:val="20"/>
          <w:szCs w:val="20"/>
        </w:rPr>
        <w:t xml:space="preserve"> </w:t>
      </w:r>
      <w:r w:rsidRPr="00B5667A">
        <w:rPr>
          <w:rFonts w:cs="Arial"/>
          <w:color w:val="000000" w:themeColor="text1"/>
          <w:sz w:val="20"/>
          <w:szCs w:val="20"/>
        </w:rPr>
        <w:tab/>
      </w:r>
      <w:r w:rsidR="00C77A15" w:rsidRPr="00B5667A">
        <w:rPr>
          <w:rFonts w:cs="Arial"/>
          <w:color w:val="000000" w:themeColor="text1"/>
          <w:sz w:val="20"/>
          <w:szCs w:val="20"/>
        </w:rPr>
        <w:t>budget expenditure per programme</w:t>
      </w:r>
      <w:bookmarkEnd w:id="1"/>
    </w:p>
    <w:p w:rsidR="00C77A15" w:rsidRPr="00B5667A" w:rsidRDefault="00C77A15" w:rsidP="00B5667A">
      <w:pPr>
        <w:spacing w:line="240" w:lineRule="auto"/>
        <w:jc w:val="left"/>
        <w:rPr>
          <w:rFonts w:cs="Arial"/>
          <w:b/>
          <w:color w:val="000000" w:themeColor="text1"/>
          <w:sz w:val="20"/>
          <w:szCs w:val="20"/>
        </w:rPr>
      </w:pPr>
    </w:p>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Table 1: Budget Expenditure per Programme</w:t>
      </w:r>
    </w:p>
    <w:tbl>
      <w:tblPr>
        <w:tblStyle w:val="TableGrid"/>
        <w:tblW w:w="10749" w:type="dxa"/>
        <w:tblInd w:w="-441" w:type="dxa"/>
        <w:tblLook w:val="04A0"/>
      </w:tblPr>
      <w:tblGrid>
        <w:gridCol w:w="1799"/>
        <w:gridCol w:w="1179"/>
        <w:gridCol w:w="1131"/>
        <w:gridCol w:w="1223"/>
        <w:gridCol w:w="1057"/>
        <w:gridCol w:w="876"/>
        <w:gridCol w:w="912"/>
        <w:gridCol w:w="962"/>
        <w:gridCol w:w="636"/>
        <w:gridCol w:w="974"/>
      </w:tblGrid>
      <w:tr w:rsidR="0086566C" w:rsidRPr="00B5667A" w:rsidTr="0086566C">
        <w:trPr>
          <w:cantSplit/>
          <w:trHeight w:val="2741"/>
          <w:tblHeader/>
        </w:trPr>
        <w:tc>
          <w:tcPr>
            <w:tcW w:w="1799"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Programme</w:t>
            </w:r>
          </w:p>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R million</w:t>
            </w:r>
          </w:p>
        </w:tc>
        <w:tc>
          <w:tcPr>
            <w:tcW w:w="1179"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Main Appropriation</w:t>
            </w:r>
          </w:p>
        </w:tc>
        <w:tc>
          <w:tcPr>
            <w:tcW w:w="1131"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Adjusted Budget</w:t>
            </w:r>
          </w:p>
        </w:tc>
        <w:tc>
          <w:tcPr>
            <w:tcW w:w="1223"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Available Budget</w:t>
            </w:r>
          </w:p>
        </w:tc>
        <w:tc>
          <w:tcPr>
            <w:tcW w:w="1057"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Year End Actual Expenditure</w:t>
            </w:r>
          </w:p>
        </w:tc>
        <w:tc>
          <w:tcPr>
            <w:tcW w:w="876"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Expenditure As % of Available Budget</w:t>
            </w:r>
          </w:p>
        </w:tc>
        <w:tc>
          <w:tcPr>
            <w:tcW w:w="912"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Underspending / Overspending</w:t>
            </w:r>
          </w:p>
        </w:tc>
        <w:tc>
          <w:tcPr>
            <w:tcW w:w="962"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 Underspending / Overspending</w:t>
            </w:r>
          </w:p>
        </w:tc>
        <w:tc>
          <w:tcPr>
            <w:tcW w:w="636"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COVID-19 Spending</w:t>
            </w:r>
          </w:p>
        </w:tc>
        <w:tc>
          <w:tcPr>
            <w:tcW w:w="974" w:type="dxa"/>
            <w:tcBorders>
              <w:top w:val="single" w:sz="12" w:space="0" w:color="auto"/>
              <w:left w:val="single" w:sz="12" w:space="0" w:color="auto"/>
              <w:bottom w:val="single" w:sz="12" w:space="0" w:color="auto"/>
              <w:right w:val="single" w:sz="12" w:space="0" w:color="auto"/>
            </w:tcBorders>
            <w:shd w:val="clear" w:color="auto" w:fill="B4C6E7" w:themeFill="accent1" w:themeFillTint="66"/>
            <w:textDirection w:val="btLr"/>
          </w:tcPr>
          <w:p w:rsidR="00C77A15" w:rsidRPr="00B5667A" w:rsidRDefault="00C77A15" w:rsidP="00B5667A">
            <w:pPr>
              <w:spacing w:line="240" w:lineRule="auto"/>
              <w:ind w:left="113" w:right="113"/>
              <w:jc w:val="left"/>
              <w:rPr>
                <w:rFonts w:cs="Arial"/>
                <w:b/>
                <w:color w:val="000000" w:themeColor="text1"/>
                <w:sz w:val="20"/>
                <w:szCs w:val="20"/>
              </w:rPr>
            </w:pPr>
            <w:r w:rsidRPr="00B5667A">
              <w:rPr>
                <w:rFonts w:cs="Arial"/>
                <w:b/>
                <w:color w:val="000000" w:themeColor="text1"/>
                <w:sz w:val="20"/>
                <w:szCs w:val="20"/>
              </w:rPr>
              <w:t>Disaster Spending</w:t>
            </w:r>
          </w:p>
        </w:tc>
      </w:tr>
      <w:tr w:rsidR="00C77A15" w:rsidRPr="00B5667A" w:rsidTr="00E215BE">
        <w:tc>
          <w:tcPr>
            <w:tcW w:w="1799" w:type="dxa"/>
            <w:tcBorders>
              <w:top w:val="single" w:sz="12" w:space="0" w:color="auto"/>
              <w:lef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Administration</w:t>
            </w:r>
          </w:p>
        </w:tc>
        <w:tc>
          <w:tcPr>
            <w:tcW w:w="1179" w:type="dxa"/>
            <w:tcBorders>
              <w:top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507.8 </w:t>
            </w:r>
          </w:p>
        </w:tc>
        <w:tc>
          <w:tcPr>
            <w:tcW w:w="1131" w:type="dxa"/>
            <w:tcBorders>
              <w:top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517.8</w:t>
            </w:r>
          </w:p>
        </w:tc>
        <w:tc>
          <w:tcPr>
            <w:tcW w:w="1223" w:type="dxa"/>
            <w:tcBorders>
              <w:top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517.8</w:t>
            </w:r>
          </w:p>
        </w:tc>
        <w:tc>
          <w:tcPr>
            <w:tcW w:w="1057" w:type="dxa"/>
            <w:tcBorders>
              <w:top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473.1</w:t>
            </w:r>
          </w:p>
        </w:tc>
        <w:tc>
          <w:tcPr>
            <w:tcW w:w="876" w:type="dxa"/>
            <w:tcBorders>
              <w:top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91.4%</w:t>
            </w:r>
          </w:p>
        </w:tc>
        <w:tc>
          <w:tcPr>
            <w:tcW w:w="912" w:type="dxa"/>
            <w:tcBorders>
              <w:top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44.7</w:t>
            </w:r>
          </w:p>
        </w:tc>
        <w:tc>
          <w:tcPr>
            <w:tcW w:w="962" w:type="dxa"/>
            <w:tcBorders>
              <w:top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8.6%</w:t>
            </w:r>
          </w:p>
        </w:tc>
        <w:tc>
          <w:tcPr>
            <w:tcW w:w="636" w:type="dxa"/>
            <w:tcBorders>
              <w:top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0.2</w:t>
            </w:r>
          </w:p>
        </w:tc>
        <w:tc>
          <w:tcPr>
            <w:tcW w:w="974" w:type="dxa"/>
            <w:tcBorders>
              <w:top w:val="single" w:sz="12" w:space="0" w:color="auto"/>
              <w:righ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r>
      <w:tr w:rsidR="00C77A15" w:rsidRPr="00B5667A" w:rsidTr="00E215BE">
        <w:tc>
          <w:tcPr>
            <w:tcW w:w="1799" w:type="dxa"/>
            <w:tcBorders>
              <w:lef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Integrated Transport </w:t>
            </w:r>
            <w:r w:rsidRPr="00B5667A">
              <w:rPr>
                <w:rFonts w:cs="Arial"/>
                <w:color w:val="000000" w:themeColor="text1"/>
                <w:sz w:val="20"/>
                <w:szCs w:val="20"/>
              </w:rPr>
              <w:lastRenderedPageBreak/>
              <w:t>Planning</w:t>
            </w:r>
          </w:p>
        </w:tc>
        <w:tc>
          <w:tcPr>
            <w:tcW w:w="1179"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lastRenderedPageBreak/>
              <w:t>93</w:t>
            </w:r>
          </w:p>
        </w:tc>
        <w:tc>
          <w:tcPr>
            <w:tcW w:w="1131"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93</w:t>
            </w:r>
          </w:p>
        </w:tc>
        <w:tc>
          <w:tcPr>
            <w:tcW w:w="1223"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93</w:t>
            </w:r>
          </w:p>
        </w:tc>
        <w:tc>
          <w:tcPr>
            <w:tcW w:w="1057"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78.5</w:t>
            </w:r>
          </w:p>
        </w:tc>
        <w:tc>
          <w:tcPr>
            <w:tcW w:w="87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84.4%</w:t>
            </w:r>
          </w:p>
        </w:tc>
        <w:tc>
          <w:tcPr>
            <w:tcW w:w="91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14.5</w:t>
            </w:r>
          </w:p>
        </w:tc>
        <w:tc>
          <w:tcPr>
            <w:tcW w:w="96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15.6%</w:t>
            </w:r>
          </w:p>
        </w:tc>
        <w:tc>
          <w:tcPr>
            <w:tcW w:w="63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c>
          <w:tcPr>
            <w:tcW w:w="974" w:type="dxa"/>
            <w:tcBorders>
              <w:righ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r>
      <w:tr w:rsidR="00C77A15" w:rsidRPr="00B5667A" w:rsidTr="00E215BE">
        <w:tc>
          <w:tcPr>
            <w:tcW w:w="1799" w:type="dxa"/>
            <w:tcBorders>
              <w:lef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lastRenderedPageBreak/>
              <w:t>Rail Transport</w:t>
            </w:r>
          </w:p>
        </w:tc>
        <w:tc>
          <w:tcPr>
            <w:tcW w:w="1179"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19 991.8</w:t>
            </w:r>
          </w:p>
        </w:tc>
        <w:tc>
          <w:tcPr>
            <w:tcW w:w="1131"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20 012.4</w:t>
            </w:r>
          </w:p>
        </w:tc>
        <w:tc>
          <w:tcPr>
            <w:tcW w:w="1223"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20 012.4</w:t>
            </w:r>
          </w:p>
        </w:tc>
        <w:tc>
          <w:tcPr>
            <w:tcW w:w="1057"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19 971.6</w:t>
            </w:r>
          </w:p>
        </w:tc>
        <w:tc>
          <w:tcPr>
            <w:tcW w:w="87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99.8%</w:t>
            </w:r>
          </w:p>
        </w:tc>
        <w:tc>
          <w:tcPr>
            <w:tcW w:w="91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40.9</w:t>
            </w:r>
          </w:p>
        </w:tc>
        <w:tc>
          <w:tcPr>
            <w:tcW w:w="96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0.2%</w:t>
            </w:r>
          </w:p>
        </w:tc>
        <w:tc>
          <w:tcPr>
            <w:tcW w:w="63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c>
          <w:tcPr>
            <w:tcW w:w="974" w:type="dxa"/>
            <w:tcBorders>
              <w:righ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r>
      <w:tr w:rsidR="00C77A15" w:rsidRPr="00B5667A" w:rsidTr="00E215BE">
        <w:tc>
          <w:tcPr>
            <w:tcW w:w="1799" w:type="dxa"/>
            <w:tcBorders>
              <w:lef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Road Transport</w:t>
            </w:r>
          </w:p>
        </w:tc>
        <w:tc>
          <w:tcPr>
            <w:tcW w:w="1179"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33 983.4</w:t>
            </w:r>
          </w:p>
        </w:tc>
        <w:tc>
          <w:tcPr>
            <w:tcW w:w="1131"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59 954.5</w:t>
            </w:r>
          </w:p>
        </w:tc>
        <w:tc>
          <w:tcPr>
            <w:tcW w:w="1223"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59 954.5</w:t>
            </w:r>
          </w:p>
        </w:tc>
        <w:tc>
          <w:tcPr>
            <w:tcW w:w="1057"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59 735.8</w:t>
            </w:r>
          </w:p>
        </w:tc>
        <w:tc>
          <w:tcPr>
            <w:tcW w:w="87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99.6%</w:t>
            </w:r>
          </w:p>
        </w:tc>
        <w:tc>
          <w:tcPr>
            <w:tcW w:w="91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218.7</w:t>
            </w:r>
          </w:p>
        </w:tc>
        <w:tc>
          <w:tcPr>
            <w:tcW w:w="96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0.4%</w:t>
            </w:r>
          </w:p>
        </w:tc>
        <w:tc>
          <w:tcPr>
            <w:tcW w:w="63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c>
          <w:tcPr>
            <w:tcW w:w="974" w:type="dxa"/>
            <w:tcBorders>
              <w:righ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1 510.4</w:t>
            </w:r>
          </w:p>
        </w:tc>
      </w:tr>
      <w:tr w:rsidR="00C77A15" w:rsidRPr="00B5667A" w:rsidTr="00E215BE">
        <w:tc>
          <w:tcPr>
            <w:tcW w:w="1799" w:type="dxa"/>
            <w:tcBorders>
              <w:lef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Civil Aviation Transport</w:t>
            </w:r>
          </w:p>
        </w:tc>
        <w:tc>
          <w:tcPr>
            <w:tcW w:w="1179"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424.8</w:t>
            </w:r>
          </w:p>
        </w:tc>
        <w:tc>
          <w:tcPr>
            <w:tcW w:w="1131"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424.8</w:t>
            </w:r>
          </w:p>
        </w:tc>
        <w:tc>
          <w:tcPr>
            <w:tcW w:w="1223"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424.8</w:t>
            </w:r>
          </w:p>
        </w:tc>
        <w:tc>
          <w:tcPr>
            <w:tcW w:w="1057"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414</w:t>
            </w:r>
          </w:p>
        </w:tc>
        <w:tc>
          <w:tcPr>
            <w:tcW w:w="87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97.5%</w:t>
            </w:r>
          </w:p>
        </w:tc>
        <w:tc>
          <w:tcPr>
            <w:tcW w:w="91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10.8</w:t>
            </w:r>
          </w:p>
        </w:tc>
        <w:tc>
          <w:tcPr>
            <w:tcW w:w="96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2.5%</w:t>
            </w:r>
          </w:p>
        </w:tc>
        <w:tc>
          <w:tcPr>
            <w:tcW w:w="63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c>
          <w:tcPr>
            <w:tcW w:w="974" w:type="dxa"/>
            <w:tcBorders>
              <w:righ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r>
      <w:tr w:rsidR="00C77A15" w:rsidRPr="00B5667A" w:rsidTr="00E215BE">
        <w:tc>
          <w:tcPr>
            <w:tcW w:w="1799" w:type="dxa"/>
            <w:tcBorders>
              <w:lef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Maritime Transport</w:t>
            </w:r>
          </w:p>
        </w:tc>
        <w:tc>
          <w:tcPr>
            <w:tcW w:w="1179"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155.4</w:t>
            </w:r>
          </w:p>
        </w:tc>
        <w:tc>
          <w:tcPr>
            <w:tcW w:w="1131"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158.2</w:t>
            </w:r>
          </w:p>
        </w:tc>
        <w:tc>
          <w:tcPr>
            <w:tcW w:w="1223"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158.2</w:t>
            </w:r>
          </w:p>
        </w:tc>
        <w:tc>
          <w:tcPr>
            <w:tcW w:w="1057"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147.3</w:t>
            </w:r>
          </w:p>
        </w:tc>
        <w:tc>
          <w:tcPr>
            <w:tcW w:w="87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93.1%</w:t>
            </w:r>
          </w:p>
        </w:tc>
        <w:tc>
          <w:tcPr>
            <w:tcW w:w="91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10.9</w:t>
            </w:r>
          </w:p>
        </w:tc>
        <w:tc>
          <w:tcPr>
            <w:tcW w:w="962"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6.9%</w:t>
            </w:r>
          </w:p>
        </w:tc>
        <w:tc>
          <w:tcPr>
            <w:tcW w:w="636" w:type="dxa"/>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c>
          <w:tcPr>
            <w:tcW w:w="974" w:type="dxa"/>
            <w:tcBorders>
              <w:righ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r>
      <w:tr w:rsidR="00C77A15" w:rsidRPr="00B5667A" w:rsidTr="00E215BE">
        <w:tc>
          <w:tcPr>
            <w:tcW w:w="1799" w:type="dxa"/>
            <w:tcBorders>
              <w:left w:val="single" w:sz="12" w:space="0" w:color="auto"/>
              <w:bottom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Public Transport</w:t>
            </w:r>
          </w:p>
        </w:tc>
        <w:tc>
          <w:tcPr>
            <w:tcW w:w="1179" w:type="dxa"/>
            <w:tcBorders>
              <w:bottom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13 969.9</w:t>
            </w:r>
          </w:p>
        </w:tc>
        <w:tc>
          <w:tcPr>
            <w:tcW w:w="1131" w:type="dxa"/>
            <w:tcBorders>
              <w:bottom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13 973.6</w:t>
            </w:r>
          </w:p>
        </w:tc>
        <w:tc>
          <w:tcPr>
            <w:tcW w:w="1223" w:type="dxa"/>
            <w:tcBorders>
              <w:bottom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13 973.6</w:t>
            </w:r>
          </w:p>
        </w:tc>
        <w:tc>
          <w:tcPr>
            <w:tcW w:w="1057" w:type="dxa"/>
            <w:tcBorders>
              <w:bottom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13 722.9</w:t>
            </w:r>
          </w:p>
        </w:tc>
        <w:tc>
          <w:tcPr>
            <w:tcW w:w="876" w:type="dxa"/>
            <w:tcBorders>
              <w:bottom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98.2%</w:t>
            </w:r>
          </w:p>
        </w:tc>
        <w:tc>
          <w:tcPr>
            <w:tcW w:w="912" w:type="dxa"/>
            <w:tcBorders>
              <w:bottom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250.7</w:t>
            </w:r>
          </w:p>
        </w:tc>
        <w:tc>
          <w:tcPr>
            <w:tcW w:w="962" w:type="dxa"/>
            <w:tcBorders>
              <w:bottom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1.8%</w:t>
            </w:r>
          </w:p>
        </w:tc>
        <w:tc>
          <w:tcPr>
            <w:tcW w:w="636" w:type="dxa"/>
            <w:tcBorders>
              <w:bottom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c>
          <w:tcPr>
            <w:tcW w:w="974" w:type="dxa"/>
            <w:tcBorders>
              <w:bottom w:val="single" w:sz="12" w:space="0" w:color="auto"/>
              <w:right w:val="single" w:sz="12" w:space="0" w:color="auto"/>
            </w:tcBorders>
          </w:tcPr>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0.0</w:t>
            </w:r>
          </w:p>
        </w:tc>
      </w:tr>
      <w:tr w:rsidR="0086566C" w:rsidRPr="00B5667A" w:rsidTr="0086566C">
        <w:tc>
          <w:tcPr>
            <w:tcW w:w="1799"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Total</w:t>
            </w:r>
          </w:p>
        </w:tc>
        <w:tc>
          <w:tcPr>
            <w:tcW w:w="1179"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69 125.9</w:t>
            </w:r>
          </w:p>
        </w:tc>
        <w:tc>
          <w:tcPr>
            <w:tcW w:w="1131"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95 134.2</w:t>
            </w:r>
          </w:p>
        </w:tc>
        <w:tc>
          <w:tcPr>
            <w:tcW w:w="1223"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95 134.2</w:t>
            </w:r>
          </w:p>
        </w:tc>
        <w:tc>
          <w:tcPr>
            <w:tcW w:w="1057"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94 543.2</w:t>
            </w:r>
          </w:p>
        </w:tc>
        <w:tc>
          <w:tcPr>
            <w:tcW w:w="876"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99.4%</w:t>
            </w:r>
          </w:p>
        </w:tc>
        <w:tc>
          <w:tcPr>
            <w:tcW w:w="912"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591</w:t>
            </w:r>
          </w:p>
        </w:tc>
        <w:tc>
          <w:tcPr>
            <w:tcW w:w="962"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0.6%</w:t>
            </w:r>
          </w:p>
        </w:tc>
        <w:tc>
          <w:tcPr>
            <w:tcW w:w="636"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0.2</w:t>
            </w:r>
          </w:p>
        </w:tc>
        <w:tc>
          <w:tcPr>
            <w:tcW w:w="974"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rsidR="00C77A15" w:rsidRPr="00B5667A" w:rsidRDefault="00C77A15" w:rsidP="00B5667A">
            <w:pPr>
              <w:spacing w:line="240" w:lineRule="auto"/>
              <w:jc w:val="left"/>
              <w:rPr>
                <w:rFonts w:cs="Arial"/>
                <w:b/>
                <w:color w:val="000000" w:themeColor="text1"/>
                <w:sz w:val="20"/>
                <w:szCs w:val="20"/>
              </w:rPr>
            </w:pPr>
            <w:r w:rsidRPr="00B5667A">
              <w:rPr>
                <w:rFonts w:cs="Arial"/>
                <w:b/>
                <w:color w:val="000000" w:themeColor="text1"/>
                <w:sz w:val="20"/>
                <w:szCs w:val="20"/>
              </w:rPr>
              <w:t>1 510.4</w:t>
            </w:r>
          </w:p>
        </w:tc>
      </w:tr>
    </w:tbl>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 (</w:t>
      </w:r>
      <w:r w:rsidRPr="00B5667A">
        <w:rPr>
          <w:rFonts w:cs="Arial"/>
          <w:b/>
          <w:color w:val="000000" w:themeColor="text1"/>
          <w:sz w:val="20"/>
          <w:szCs w:val="20"/>
        </w:rPr>
        <w:t>Source: National Treasury (2023)</w:t>
      </w:r>
      <w:r w:rsidRPr="00B5667A">
        <w:rPr>
          <w:rFonts w:cs="Arial"/>
          <w:color w:val="000000" w:themeColor="text1"/>
          <w:sz w:val="20"/>
          <w:szCs w:val="20"/>
        </w:rPr>
        <w:t>.</w:t>
      </w:r>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pStyle w:val="Heading2"/>
        <w:spacing w:before="0" w:line="240" w:lineRule="auto"/>
        <w:rPr>
          <w:rFonts w:cs="Arial"/>
          <w:color w:val="000000" w:themeColor="text1"/>
          <w:sz w:val="20"/>
          <w:szCs w:val="20"/>
        </w:rPr>
      </w:pPr>
      <w:bookmarkStart w:id="2" w:name="_Toc135994656"/>
      <w:r w:rsidRPr="00B5667A">
        <w:rPr>
          <w:rFonts w:cs="Arial"/>
          <w:color w:val="000000" w:themeColor="text1"/>
          <w:sz w:val="20"/>
          <w:szCs w:val="20"/>
        </w:rPr>
        <w:t>2.</w:t>
      </w:r>
      <w:r w:rsidR="00DC40AF" w:rsidRPr="00B5667A">
        <w:rPr>
          <w:rFonts w:cs="Arial"/>
          <w:color w:val="000000" w:themeColor="text1"/>
          <w:sz w:val="20"/>
          <w:szCs w:val="20"/>
        </w:rPr>
        <w:t>1.1</w:t>
      </w:r>
      <w:r w:rsidRPr="00B5667A">
        <w:rPr>
          <w:rFonts w:cs="Arial"/>
          <w:color w:val="000000" w:themeColor="text1"/>
          <w:sz w:val="20"/>
          <w:szCs w:val="20"/>
        </w:rPr>
        <w:t xml:space="preserve"> Programme 1: Administration</w:t>
      </w:r>
      <w:bookmarkEnd w:id="2"/>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By the end of the Fourth Quarter, the Administration programme spent R473.1 million (or 91.4%) against the available budget of R517.8 million. The underspending of R44.7 million (or 8.6%) was mainly due to delays in the procurement of, among others, </w:t>
      </w:r>
      <w:r w:rsidRPr="00B5667A">
        <w:rPr>
          <w:rFonts w:cs="Arial"/>
          <w:bCs/>
          <w:color w:val="000000" w:themeColor="text1"/>
          <w:sz w:val="20"/>
          <w:szCs w:val="20"/>
        </w:rPr>
        <w:t>office accommodation</w:t>
      </w:r>
      <w:r w:rsidRPr="00B5667A">
        <w:rPr>
          <w:rFonts w:cs="Arial"/>
          <w:color w:val="000000" w:themeColor="text1"/>
          <w:sz w:val="20"/>
          <w:szCs w:val="20"/>
        </w:rPr>
        <w:t xml:space="preserve">, slow filling of </w:t>
      </w:r>
      <w:r w:rsidRPr="00B5667A">
        <w:rPr>
          <w:rFonts w:cs="Arial"/>
          <w:bCs/>
          <w:color w:val="000000" w:themeColor="text1"/>
          <w:sz w:val="20"/>
          <w:szCs w:val="20"/>
        </w:rPr>
        <w:t>vacant posts</w:t>
      </w:r>
      <w:r w:rsidRPr="00B5667A">
        <w:rPr>
          <w:rFonts w:cs="Arial"/>
          <w:color w:val="000000" w:themeColor="text1"/>
          <w:sz w:val="20"/>
          <w:szCs w:val="20"/>
        </w:rPr>
        <w:t xml:space="preserve"> and various operational items such as </w:t>
      </w:r>
      <w:r w:rsidRPr="00B5667A">
        <w:rPr>
          <w:rFonts w:cs="Arial"/>
          <w:bCs/>
          <w:color w:val="000000" w:themeColor="text1"/>
          <w:sz w:val="20"/>
          <w:szCs w:val="20"/>
        </w:rPr>
        <w:t>advertising</w:t>
      </w:r>
      <w:r w:rsidRPr="00B5667A">
        <w:rPr>
          <w:rFonts w:cs="Arial"/>
          <w:color w:val="000000" w:themeColor="text1"/>
          <w:sz w:val="20"/>
          <w:szCs w:val="20"/>
        </w:rPr>
        <w:t xml:space="preserve">, </w:t>
      </w:r>
      <w:r w:rsidRPr="00B5667A">
        <w:rPr>
          <w:rFonts w:cs="Arial"/>
          <w:bCs/>
          <w:color w:val="000000" w:themeColor="text1"/>
          <w:sz w:val="20"/>
          <w:szCs w:val="20"/>
        </w:rPr>
        <w:t>computer services</w:t>
      </w:r>
      <w:r w:rsidRPr="00B5667A">
        <w:rPr>
          <w:rFonts w:cs="Arial"/>
          <w:color w:val="000000" w:themeColor="text1"/>
          <w:sz w:val="20"/>
          <w:szCs w:val="20"/>
        </w:rPr>
        <w:t xml:space="preserve">, </w:t>
      </w:r>
      <w:r w:rsidRPr="00B5667A">
        <w:rPr>
          <w:rFonts w:cs="Arial"/>
          <w:bCs/>
          <w:color w:val="000000" w:themeColor="text1"/>
          <w:sz w:val="20"/>
          <w:szCs w:val="20"/>
        </w:rPr>
        <w:t xml:space="preserve">travel </w:t>
      </w:r>
      <w:r w:rsidRPr="00B5667A">
        <w:rPr>
          <w:rFonts w:cs="Arial"/>
          <w:color w:val="000000" w:themeColor="text1"/>
          <w:sz w:val="20"/>
          <w:szCs w:val="20"/>
        </w:rPr>
        <w:t xml:space="preserve">and </w:t>
      </w:r>
      <w:r w:rsidRPr="00B5667A">
        <w:rPr>
          <w:rFonts w:cs="Arial"/>
          <w:bCs/>
          <w:color w:val="000000" w:themeColor="text1"/>
          <w:sz w:val="20"/>
          <w:szCs w:val="20"/>
        </w:rPr>
        <w:t>subsistence</w:t>
      </w:r>
      <w:r w:rsidRPr="00B5667A">
        <w:rPr>
          <w:rFonts w:cs="Arial"/>
          <w:color w:val="000000" w:themeColor="text1"/>
          <w:sz w:val="20"/>
          <w:szCs w:val="20"/>
        </w:rPr>
        <w:t>.</w:t>
      </w:r>
      <w:r w:rsidRPr="00B5667A">
        <w:rPr>
          <w:rStyle w:val="FootnoteReference"/>
          <w:rFonts w:cs="Arial"/>
          <w:color w:val="000000" w:themeColor="text1"/>
          <w:sz w:val="20"/>
          <w:szCs w:val="20"/>
        </w:rPr>
        <w:footnoteReference w:id="4"/>
      </w:r>
      <w:r w:rsidRPr="00B5667A">
        <w:rPr>
          <w:rFonts w:cs="Arial"/>
          <w:color w:val="000000" w:themeColor="text1"/>
          <w:sz w:val="20"/>
          <w:szCs w:val="20"/>
        </w:rPr>
        <w:t xml:space="preserve"> </w:t>
      </w:r>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pStyle w:val="Heading2"/>
        <w:spacing w:before="0" w:line="240" w:lineRule="auto"/>
        <w:rPr>
          <w:rFonts w:cs="Arial"/>
          <w:color w:val="000000" w:themeColor="text1"/>
          <w:sz w:val="20"/>
          <w:szCs w:val="20"/>
        </w:rPr>
      </w:pPr>
      <w:bookmarkStart w:id="3" w:name="_Toc135994657"/>
      <w:r w:rsidRPr="00B5667A">
        <w:rPr>
          <w:rFonts w:cs="Arial"/>
          <w:color w:val="000000" w:themeColor="text1"/>
          <w:sz w:val="20"/>
          <w:szCs w:val="20"/>
        </w:rPr>
        <w:t>2.</w:t>
      </w:r>
      <w:r w:rsidR="00DC40AF" w:rsidRPr="00B5667A">
        <w:rPr>
          <w:rFonts w:cs="Arial"/>
          <w:color w:val="000000" w:themeColor="text1"/>
          <w:sz w:val="20"/>
          <w:szCs w:val="20"/>
        </w:rPr>
        <w:t>1.</w:t>
      </w:r>
      <w:r w:rsidRPr="00B5667A">
        <w:rPr>
          <w:rFonts w:cs="Arial"/>
          <w:color w:val="000000" w:themeColor="text1"/>
          <w:sz w:val="20"/>
          <w:szCs w:val="20"/>
        </w:rPr>
        <w:t>2 Programme 2: Integrated Transport Planning</w:t>
      </w:r>
      <w:bookmarkEnd w:id="3"/>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In the Integrated Transport Planning programme, the Department spent R78.5 million (or 84.4%) against the available budget of R93 million. The underspending of R14.5 million (or 15.6%) was largely owing to slow spending in projects such as:</w:t>
      </w:r>
      <w:r w:rsidRPr="00B5667A">
        <w:rPr>
          <w:rStyle w:val="FootnoteReference"/>
          <w:rFonts w:cs="Arial"/>
          <w:color w:val="000000" w:themeColor="text1"/>
          <w:sz w:val="20"/>
          <w:szCs w:val="20"/>
        </w:rPr>
        <w:footnoteReference w:id="5"/>
      </w:r>
    </w:p>
    <w:p w:rsidR="00C77A15" w:rsidRPr="00B5667A" w:rsidRDefault="00C77A15" w:rsidP="00B5667A">
      <w:pPr>
        <w:pStyle w:val="ListParagraph"/>
        <w:numPr>
          <w:ilvl w:val="0"/>
          <w:numId w:val="4"/>
        </w:numPr>
        <w:spacing w:line="240" w:lineRule="auto"/>
        <w:jc w:val="left"/>
        <w:rPr>
          <w:rFonts w:cs="Arial"/>
          <w:color w:val="000000" w:themeColor="text1"/>
          <w:sz w:val="20"/>
          <w:szCs w:val="20"/>
        </w:rPr>
      </w:pPr>
      <w:r w:rsidRPr="00B5667A">
        <w:rPr>
          <w:rFonts w:cs="Arial"/>
          <w:bCs/>
          <w:color w:val="000000" w:themeColor="text1"/>
          <w:sz w:val="20"/>
          <w:szCs w:val="20"/>
        </w:rPr>
        <w:t>National Transport Planning Databank</w:t>
      </w:r>
      <w:r w:rsidRPr="00B5667A">
        <w:rPr>
          <w:rFonts w:cs="Arial"/>
          <w:color w:val="000000" w:themeColor="text1"/>
          <w:sz w:val="20"/>
          <w:szCs w:val="20"/>
        </w:rPr>
        <w:t>;</w:t>
      </w:r>
    </w:p>
    <w:p w:rsidR="00C77A15" w:rsidRPr="00B5667A" w:rsidRDefault="00C77A15" w:rsidP="00B5667A">
      <w:pPr>
        <w:pStyle w:val="ListParagraph"/>
        <w:numPr>
          <w:ilvl w:val="0"/>
          <w:numId w:val="4"/>
        </w:numPr>
        <w:spacing w:line="240" w:lineRule="auto"/>
        <w:jc w:val="left"/>
        <w:rPr>
          <w:rFonts w:cs="Arial"/>
          <w:color w:val="000000" w:themeColor="text1"/>
          <w:sz w:val="20"/>
          <w:szCs w:val="20"/>
        </w:rPr>
      </w:pPr>
      <w:r w:rsidRPr="00B5667A">
        <w:rPr>
          <w:rFonts w:cs="Arial"/>
          <w:bCs/>
          <w:color w:val="000000" w:themeColor="text1"/>
          <w:sz w:val="20"/>
          <w:szCs w:val="20"/>
        </w:rPr>
        <w:t>Road Freight Strategy</w:t>
      </w:r>
      <w:r w:rsidRPr="00B5667A">
        <w:rPr>
          <w:rFonts w:cs="Arial"/>
          <w:color w:val="000000" w:themeColor="text1"/>
          <w:sz w:val="20"/>
          <w:szCs w:val="20"/>
        </w:rPr>
        <w:t>;</w:t>
      </w:r>
    </w:p>
    <w:p w:rsidR="00C77A15" w:rsidRPr="00B5667A" w:rsidRDefault="00C77A15" w:rsidP="00B5667A">
      <w:pPr>
        <w:pStyle w:val="ListParagraph"/>
        <w:numPr>
          <w:ilvl w:val="0"/>
          <w:numId w:val="4"/>
        </w:numPr>
        <w:spacing w:line="240" w:lineRule="auto"/>
        <w:jc w:val="left"/>
        <w:rPr>
          <w:rFonts w:cs="Arial"/>
          <w:color w:val="000000" w:themeColor="text1"/>
          <w:sz w:val="20"/>
          <w:szCs w:val="20"/>
        </w:rPr>
      </w:pPr>
      <w:r w:rsidRPr="00B5667A">
        <w:rPr>
          <w:rFonts w:cs="Arial"/>
          <w:bCs/>
          <w:color w:val="000000" w:themeColor="text1"/>
          <w:sz w:val="20"/>
          <w:szCs w:val="20"/>
        </w:rPr>
        <w:t>District Development Model</w:t>
      </w:r>
      <w:r w:rsidRPr="00B5667A">
        <w:rPr>
          <w:rFonts w:cs="Arial"/>
          <w:color w:val="000000" w:themeColor="text1"/>
          <w:sz w:val="20"/>
          <w:szCs w:val="20"/>
        </w:rPr>
        <w:t>;</w:t>
      </w:r>
    </w:p>
    <w:p w:rsidR="00C77A15" w:rsidRPr="00B5667A" w:rsidRDefault="00C77A15" w:rsidP="00B5667A">
      <w:pPr>
        <w:pStyle w:val="ListParagraph"/>
        <w:numPr>
          <w:ilvl w:val="0"/>
          <w:numId w:val="4"/>
        </w:numPr>
        <w:spacing w:line="240" w:lineRule="auto"/>
        <w:jc w:val="left"/>
        <w:rPr>
          <w:rFonts w:cs="Arial"/>
          <w:color w:val="000000" w:themeColor="text1"/>
          <w:sz w:val="20"/>
          <w:szCs w:val="20"/>
        </w:rPr>
      </w:pPr>
      <w:r w:rsidRPr="00B5667A">
        <w:rPr>
          <w:rFonts w:cs="Arial"/>
          <w:bCs/>
          <w:color w:val="000000" w:themeColor="text1"/>
          <w:sz w:val="20"/>
          <w:szCs w:val="20"/>
        </w:rPr>
        <w:t>National Land Transport Strategic Framework;</w:t>
      </w:r>
      <w:r w:rsidRPr="00B5667A">
        <w:rPr>
          <w:rFonts w:cs="Arial"/>
          <w:color w:val="000000" w:themeColor="text1"/>
          <w:sz w:val="20"/>
          <w:szCs w:val="20"/>
        </w:rPr>
        <w:t xml:space="preserve"> and</w:t>
      </w:r>
    </w:p>
    <w:p w:rsidR="00C77A15" w:rsidRPr="00B5667A" w:rsidRDefault="00C77A15" w:rsidP="00B5667A">
      <w:pPr>
        <w:pStyle w:val="ListParagraph"/>
        <w:numPr>
          <w:ilvl w:val="0"/>
          <w:numId w:val="4"/>
        </w:numPr>
        <w:spacing w:line="240" w:lineRule="auto"/>
        <w:jc w:val="left"/>
        <w:rPr>
          <w:rFonts w:cs="Arial"/>
          <w:bCs/>
          <w:color w:val="000000" w:themeColor="text1"/>
          <w:sz w:val="20"/>
          <w:szCs w:val="20"/>
        </w:rPr>
      </w:pPr>
      <w:r w:rsidRPr="00B5667A">
        <w:rPr>
          <w:rFonts w:cs="Arial"/>
          <w:bCs/>
          <w:color w:val="000000" w:themeColor="text1"/>
          <w:sz w:val="20"/>
          <w:szCs w:val="20"/>
        </w:rPr>
        <w:t>Corridor Freight Development.</w:t>
      </w:r>
    </w:p>
    <w:p w:rsidR="00C77A15" w:rsidRPr="00B5667A" w:rsidRDefault="00C77A15" w:rsidP="00B5667A">
      <w:pPr>
        <w:spacing w:line="240" w:lineRule="auto"/>
        <w:jc w:val="left"/>
        <w:rPr>
          <w:rFonts w:cs="Arial"/>
          <w:b/>
          <w:bCs/>
          <w:color w:val="000000" w:themeColor="text1"/>
          <w:sz w:val="20"/>
          <w:szCs w:val="20"/>
        </w:rPr>
      </w:pPr>
    </w:p>
    <w:p w:rsidR="00C77A15" w:rsidRPr="00B5667A" w:rsidRDefault="00C77A15" w:rsidP="00B5667A">
      <w:pPr>
        <w:pStyle w:val="Heading2"/>
        <w:spacing w:before="0" w:line="240" w:lineRule="auto"/>
        <w:rPr>
          <w:rFonts w:cs="Arial"/>
          <w:color w:val="000000" w:themeColor="text1"/>
          <w:sz w:val="20"/>
          <w:szCs w:val="20"/>
        </w:rPr>
      </w:pPr>
      <w:bookmarkStart w:id="4" w:name="_Toc135994658"/>
      <w:r w:rsidRPr="00B5667A">
        <w:rPr>
          <w:rFonts w:cs="Arial"/>
          <w:color w:val="000000" w:themeColor="text1"/>
          <w:sz w:val="20"/>
          <w:szCs w:val="20"/>
        </w:rPr>
        <w:t>2.</w:t>
      </w:r>
      <w:r w:rsidR="00DC40AF" w:rsidRPr="00B5667A">
        <w:rPr>
          <w:rFonts w:cs="Arial"/>
          <w:color w:val="000000" w:themeColor="text1"/>
          <w:sz w:val="20"/>
          <w:szCs w:val="20"/>
        </w:rPr>
        <w:t>1.</w:t>
      </w:r>
      <w:r w:rsidRPr="00B5667A">
        <w:rPr>
          <w:rFonts w:cs="Arial"/>
          <w:color w:val="000000" w:themeColor="text1"/>
          <w:sz w:val="20"/>
          <w:szCs w:val="20"/>
        </w:rPr>
        <w:t>3 Programme 3: Rail Transport</w:t>
      </w:r>
      <w:bookmarkEnd w:id="4"/>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The Department had spent approximately R20 billion (or 99.8%) against the available budget of R20.01 billion in the Rail Transport programme. The underspending of R40.9 million (or 0.2%) was due to delayed spending on the </w:t>
      </w:r>
      <w:r w:rsidRPr="00B5667A">
        <w:rPr>
          <w:rFonts w:cs="Arial"/>
          <w:bCs/>
          <w:color w:val="000000" w:themeColor="text1"/>
          <w:sz w:val="20"/>
          <w:szCs w:val="20"/>
        </w:rPr>
        <w:t xml:space="preserve">National Rail Master Plan </w:t>
      </w:r>
      <w:r w:rsidRPr="00B5667A">
        <w:rPr>
          <w:rFonts w:cs="Arial"/>
          <w:color w:val="000000" w:themeColor="text1"/>
          <w:sz w:val="20"/>
          <w:szCs w:val="20"/>
        </w:rPr>
        <w:t xml:space="preserve">and the </w:t>
      </w:r>
      <w:r w:rsidRPr="00B5667A">
        <w:rPr>
          <w:rFonts w:cs="Arial"/>
          <w:bCs/>
          <w:color w:val="000000" w:themeColor="text1"/>
          <w:sz w:val="20"/>
          <w:szCs w:val="20"/>
        </w:rPr>
        <w:t>Interim Rail Regulator</w:t>
      </w:r>
      <w:r w:rsidRPr="00B5667A">
        <w:rPr>
          <w:rFonts w:cs="Arial"/>
          <w:color w:val="000000" w:themeColor="text1"/>
          <w:sz w:val="20"/>
          <w:szCs w:val="20"/>
        </w:rPr>
        <w:t xml:space="preserve">. In addition to these projects, the Department was unable to proceed with </w:t>
      </w:r>
      <w:r w:rsidRPr="00B5667A">
        <w:rPr>
          <w:rFonts w:cs="Arial"/>
          <w:bCs/>
          <w:color w:val="000000" w:themeColor="text1"/>
          <w:sz w:val="20"/>
          <w:szCs w:val="20"/>
        </w:rPr>
        <w:t>the Housing Development Agency (HDA</w:t>
      </w:r>
      <w:r w:rsidRPr="00B5667A">
        <w:rPr>
          <w:rFonts w:cs="Arial"/>
          <w:color w:val="000000" w:themeColor="text1"/>
          <w:sz w:val="20"/>
          <w:szCs w:val="20"/>
        </w:rPr>
        <w:t>) in order to relocate households living in informal dwellings, and this further contributed to the programme’s underspending.</w:t>
      </w:r>
      <w:r w:rsidRPr="00B5667A">
        <w:rPr>
          <w:rStyle w:val="FootnoteReference"/>
          <w:rFonts w:cs="Arial"/>
          <w:color w:val="000000" w:themeColor="text1"/>
          <w:sz w:val="20"/>
          <w:szCs w:val="20"/>
        </w:rPr>
        <w:footnoteReference w:id="6"/>
      </w:r>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pStyle w:val="Heading2"/>
        <w:spacing w:before="0" w:line="240" w:lineRule="auto"/>
        <w:rPr>
          <w:rFonts w:cs="Arial"/>
          <w:color w:val="000000" w:themeColor="text1"/>
          <w:sz w:val="20"/>
          <w:szCs w:val="20"/>
        </w:rPr>
      </w:pPr>
      <w:bookmarkStart w:id="5" w:name="_Toc135994659"/>
      <w:r w:rsidRPr="00B5667A">
        <w:rPr>
          <w:rFonts w:cs="Arial"/>
          <w:color w:val="000000" w:themeColor="text1"/>
          <w:sz w:val="20"/>
          <w:szCs w:val="20"/>
        </w:rPr>
        <w:lastRenderedPageBreak/>
        <w:t>2.</w:t>
      </w:r>
      <w:r w:rsidR="00DC40AF" w:rsidRPr="00B5667A">
        <w:rPr>
          <w:rFonts w:cs="Arial"/>
          <w:color w:val="000000" w:themeColor="text1"/>
          <w:sz w:val="20"/>
          <w:szCs w:val="20"/>
        </w:rPr>
        <w:t>1.</w:t>
      </w:r>
      <w:r w:rsidRPr="00B5667A">
        <w:rPr>
          <w:rFonts w:cs="Arial"/>
          <w:color w:val="000000" w:themeColor="text1"/>
          <w:sz w:val="20"/>
          <w:szCs w:val="20"/>
        </w:rPr>
        <w:t>4 Programme 4: Road Transport</w:t>
      </w:r>
      <w:bookmarkEnd w:id="5"/>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In the Road Transport programme, the Department had spent R59.7 billion (or 99.6%) against the available budget of approximately R60 billion by the end of the Fourth Quarter of 2022/23. The underspending of R218.7 million (or 0.4%) was attributed to the tender cancellation for the </w:t>
      </w:r>
      <w:r w:rsidRPr="00B5667A">
        <w:rPr>
          <w:rFonts w:cs="Arial"/>
          <w:bCs/>
          <w:i/>
          <w:iCs/>
          <w:color w:val="000000" w:themeColor="text1"/>
          <w:sz w:val="20"/>
          <w:szCs w:val="20"/>
        </w:rPr>
        <w:t>S’hamba Sonke</w:t>
      </w:r>
      <w:r w:rsidRPr="00B5667A">
        <w:rPr>
          <w:rFonts w:cs="Arial"/>
          <w:bCs/>
          <w:color w:val="000000" w:themeColor="text1"/>
          <w:sz w:val="20"/>
          <w:szCs w:val="20"/>
        </w:rPr>
        <w:t xml:space="preserve"> Development Programme</w:t>
      </w:r>
      <w:r w:rsidRPr="00B5667A">
        <w:rPr>
          <w:rFonts w:cs="Arial"/>
          <w:color w:val="000000" w:themeColor="text1"/>
          <w:sz w:val="20"/>
          <w:szCs w:val="20"/>
        </w:rPr>
        <w:t xml:space="preserve"> and the </w:t>
      </w:r>
      <w:r w:rsidRPr="00B5667A">
        <w:rPr>
          <w:rFonts w:cs="Arial"/>
          <w:bCs/>
          <w:color w:val="000000" w:themeColor="text1"/>
          <w:sz w:val="20"/>
          <w:szCs w:val="20"/>
        </w:rPr>
        <w:t>Road Transport Legislative Review</w:t>
      </w:r>
      <w:r w:rsidRPr="00B5667A">
        <w:rPr>
          <w:rFonts w:cs="Arial"/>
          <w:color w:val="000000" w:themeColor="text1"/>
          <w:sz w:val="20"/>
          <w:szCs w:val="20"/>
        </w:rPr>
        <w:t xml:space="preserve"> project.</w:t>
      </w:r>
      <w:r w:rsidRPr="00B5667A">
        <w:rPr>
          <w:rStyle w:val="FootnoteReference"/>
          <w:rFonts w:cs="Arial"/>
          <w:color w:val="000000" w:themeColor="text1"/>
          <w:sz w:val="20"/>
          <w:szCs w:val="20"/>
        </w:rPr>
        <w:footnoteReference w:id="7"/>
      </w:r>
      <w:r w:rsidRPr="00B5667A">
        <w:rPr>
          <w:rFonts w:cs="Arial"/>
          <w:color w:val="000000" w:themeColor="text1"/>
          <w:sz w:val="20"/>
          <w:szCs w:val="20"/>
        </w:rPr>
        <w:t xml:space="preserve"> Moreover, </w:t>
      </w:r>
      <w:r w:rsidRPr="00B5667A">
        <w:rPr>
          <w:rFonts w:cs="Arial"/>
          <w:bCs/>
          <w:color w:val="000000" w:themeColor="text1"/>
          <w:sz w:val="20"/>
          <w:szCs w:val="20"/>
        </w:rPr>
        <w:t>transfers to the Road Traffic Infringement Agency (RTIA</w:t>
      </w:r>
      <w:r w:rsidRPr="00B5667A">
        <w:rPr>
          <w:rFonts w:cs="Arial"/>
          <w:color w:val="000000" w:themeColor="text1"/>
          <w:sz w:val="20"/>
          <w:szCs w:val="20"/>
        </w:rPr>
        <w:t>) for the Administrative Adjudication of Road Traffic Offences (AARTO) had been halted, pending the outcome of the Constitutional Court ruling.</w:t>
      </w:r>
      <w:r w:rsidRPr="00B5667A">
        <w:rPr>
          <w:rStyle w:val="FootnoteReference"/>
          <w:rFonts w:cs="Arial"/>
          <w:color w:val="000000" w:themeColor="text1"/>
          <w:sz w:val="20"/>
          <w:szCs w:val="20"/>
        </w:rPr>
        <w:footnoteReference w:id="8"/>
      </w:r>
    </w:p>
    <w:p w:rsidR="00C77A15" w:rsidRPr="00B5667A" w:rsidRDefault="00C77A15" w:rsidP="00B5667A">
      <w:pPr>
        <w:pStyle w:val="Heading2"/>
        <w:spacing w:before="0" w:line="240" w:lineRule="auto"/>
        <w:rPr>
          <w:rFonts w:cs="Arial"/>
          <w:color w:val="000000" w:themeColor="text1"/>
          <w:sz w:val="20"/>
          <w:szCs w:val="20"/>
        </w:rPr>
      </w:pPr>
      <w:bookmarkStart w:id="6" w:name="_Toc135994660"/>
    </w:p>
    <w:p w:rsidR="00C77A15" w:rsidRPr="00B5667A" w:rsidRDefault="00C77A15" w:rsidP="00B5667A">
      <w:pPr>
        <w:pStyle w:val="Heading2"/>
        <w:spacing w:before="0" w:line="240" w:lineRule="auto"/>
        <w:rPr>
          <w:rFonts w:cs="Arial"/>
          <w:color w:val="000000" w:themeColor="text1"/>
          <w:sz w:val="20"/>
          <w:szCs w:val="20"/>
        </w:rPr>
      </w:pPr>
      <w:r w:rsidRPr="00B5667A">
        <w:rPr>
          <w:rFonts w:cs="Arial"/>
          <w:color w:val="000000" w:themeColor="text1"/>
          <w:sz w:val="20"/>
          <w:szCs w:val="20"/>
        </w:rPr>
        <w:t>2.</w:t>
      </w:r>
      <w:r w:rsidR="00DC40AF" w:rsidRPr="00B5667A">
        <w:rPr>
          <w:rFonts w:cs="Arial"/>
          <w:color w:val="000000" w:themeColor="text1"/>
          <w:sz w:val="20"/>
          <w:szCs w:val="20"/>
        </w:rPr>
        <w:t>1.</w:t>
      </w:r>
      <w:r w:rsidRPr="00B5667A">
        <w:rPr>
          <w:rFonts w:cs="Arial"/>
          <w:color w:val="000000" w:themeColor="text1"/>
          <w:sz w:val="20"/>
          <w:szCs w:val="20"/>
        </w:rPr>
        <w:t>5 Programme 5: Civil Aviation Transport</w:t>
      </w:r>
      <w:bookmarkEnd w:id="6"/>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By the end of the reporting period, the Department had spent R414 million (or 97.5%) against the available budget of R428.4 million in the Civil Aviation Transport programme. The underspending of R10.8 million (or 2.5%) was due to a </w:t>
      </w:r>
      <w:r w:rsidRPr="00B5667A">
        <w:rPr>
          <w:rFonts w:cs="Arial"/>
          <w:bCs/>
          <w:color w:val="000000" w:themeColor="text1"/>
          <w:sz w:val="20"/>
          <w:szCs w:val="20"/>
        </w:rPr>
        <w:t xml:space="preserve">reduction in obligations to foreign governments </w:t>
      </w:r>
      <w:r w:rsidRPr="00B5667A">
        <w:rPr>
          <w:rFonts w:cs="Arial"/>
          <w:color w:val="000000" w:themeColor="text1"/>
          <w:sz w:val="20"/>
          <w:szCs w:val="20"/>
        </w:rPr>
        <w:t xml:space="preserve">and </w:t>
      </w:r>
      <w:r w:rsidRPr="00B5667A">
        <w:rPr>
          <w:rFonts w:cs="Arial"/>
          <w:bCs/>
          <w:color w:val="000000" w:themeColor="text1"/>
          <w:sz w:val="20"/>
          <w:szCs w:val="20"/>
        </w:rPr>
        <w:t>international organisations</w:t>
      </w:r>
      <w:r w:rsidRPr="00B5667A">
        <w:rPr>
          <w:rFonts w:cs="Arial"/>
          <w:color w:val="000000" w:themeColor="text1"/>
          <w:sz w:val="20"/>
          <w:szCs w:val="20"/>
        </w:rPr>
        <w:t>.</w:t>
      </w:r>
      <w:r w:rsidRPr="00B5667A">
        <w:rPr>
          <w:rStyle w:val="FootnoteReference"/>
          <w:rFonts w:cs="Arial"/>
          <w:color w:val="000000" w:themeColor="text1"/>
          <w:sz w:val="20"/>
          <w:szCs w:val="20"/>
        </w:rPr>
        <w:footnoteReference w:id="9"/>
      </w:r>
      <w:r w:rsidRPr="00B5667A">
        <w:rPr>
          <w:rFonts w:cs="Arial"/>
          <w:color w:val="000000" w:themeColor="text1"/>
          <w:sz w:val="20"/>
          <w:szCs w:val="20"/>
        </w:rPr>
        <w:t xml:space="preserve"> The </w:t>
      </w:r>
      <w:r w:rsidRPr="00B5667A">
        <w:rPr>
          <w:rFonts w:cs="Arial"/>
          <w:bCs/>
          <w:color w:val="000000" w:themeColor="text1"/>
          <w:sz w:val="20"/>
          <w:szCs w:val="20"/>
        </w:rPr>
        <w:t>CoE</w:t>
      </w:r>
      <w:r w:rsidRPr="00B5667A">
        <w:rPr>
          <w:rFonts w:cs="Arial"/>
          <w:color w:val="000000" w:themeColor="text1"/>
          <w:sz w:val="20"/>
          <w:szCs w:val="20"/>
        </w:rPr>
        <w:t xml:space="preserve"> further contributed to the underspending by R6.4 million by the end of the Fourth Quarter of 2022/23.</w:t>
      </w:r>
      <w:r w:rsidRPr="00B5667A">
        <w:rPr>
          <w:rStyle w:val="FootnoteReference"/>
          <w:rFonts w:cs="Arial"/>
          <w:color w:val="000000" w:themeColor="text1"/>
          <w:sz w:val="20"/>
          <w:szCs w:val="20"/>
        </w:rPr>
        <w:footnoteReference w:id="10"/>
      </w:r>
      <w:r w:rsidRPr="00B5667A">
        <w:rPr>
          <w:rFonts w:cs="Arial"/>
          <w:color w:val="000000" w:themeColor="text1"/>
          <w:sz w:val="20"/>
          <w:szCs w:val="20"/>
        </w:rPr>
        <w:t xml:space="preserve"> </w:t>
      </w:r>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pStyle w:val="Heading2"/>
        <w:spacing w:before="0" w:line="240" w:lineRule="auto"/>
        <w:rPr>
          <w:rFonts w:cs="Arial"/>
          <w:color w:val="000000" w:themeColor="text1"/>
          <w:sz w:val="20"/>
          <w:szCs w:val="20"/>
        </w:rPr>
      </w:pPr>
      <w:bookmarkStart w:id="7" w:name="_Toc135994661"/>
      <w:r w:rsidRPr="00B5667A">
        <w:rPr>
          <w:rFonts w:cs="Arial"/>
          <w:color w:val="000000" w:themeColor="text1"/>
          <w:sz w:val="20"/>
          <w:szCs w:val="20"/>
        </w:rPr>
        <w:t>2.</w:t>
      </w:r>
      <w:r w:rsidR="00DC40AF" w:rsidRPr="00B5667A">
        <w:rPr>
          <w:rFonts w:cs="Arial"/>
          <w:color w:val="000000" w:themeColor="text1"/>
          <w:sz w:val="20"/>
          <w:szCs w:val="20"/>
        </w:rPr>
        <w:t>1.</w:t>
      </w:r>
      <w:r w:rsidRPr="00B5667A">
        <w:rPr>
          <w:rFonts w:cs="Arial"/>
          <w:color w:val="000000" w:themeColor="text1"/>
          <w:sz w:val="20"/>
          <w:szCs w:val="20"/>
        </w:rPr>
        <w:t>6 Programme 6: Maritime Transport</w:t>
      </w:r>
      <w:bookmarkEnd w:id="7"/>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In the Maritime Transport programme, the Department had spent R147.3 million (or 93.1%) against the available budget of R158.2 million, indicating an underspending of R10.9 million (or 6.9%) by the end of the Fourth Quarter. The underspending was mainly owing to slow progress on the </w:t>
      </w:r>
      <w:r w:rsidRPr="00B5667A">
        <w:rPr>
          <w:rFonts w:cs="Arial"/>
          <w:bCs/>
          <w:color w:val="000000" w:themeColor="text1"/>
          <w:sz w:val="20"/>
          <w:szCs w:val="20"/>
        </w:rPr>
        <w:t>Marine Court of Enquiry</w:t>
      </w:r>
      <w:r w:rsidRPr="00B5667A">
        <w:rPr>
          <w:rFonts w:cs="Arial"/>
          <w:color w:val="000000" w:themeColor="text1"/>
          <w:sz w:val="20"/>
          <w:szCs w:val="20"/>
        </w:rPr>
        <w:t xml:space="preserve"> and the </w:t>
      </w:r>
      <w:r w:rsidRPr="00B5667A">
        <w:rPr>
          <w:rFonts w:cs="Arial"/>
          <w:bCs/>
          <w:color w:val="000000" w:themeColor="text1"/>
          <w:sz w:val="20"/>
          <w:szCs w:val="20"/>
        </w:rPr>
        <w:t>Automated Vessel Clearance</w:t>
      </w:r>
      <w:r w:rsidRPr="00B5667A">
        <w:rPr>
          <w:rFonts w:cs="Arial"/>
          <w:color w:val="000000" w:themeColor="text1"/>
          <w:sz w:val="20"/>
          <w:szCs w:val="20"/>
        </w:rPr>
        <w:t xml:space="preserve"> projects.</w:t>
      </w:r>
      <w:r w:rsidRPr="00B5667A">
        <w:rPr>
          <w:rStyle w:val="FootnoteReference"/>
          <w:rFonts w:cs="Arial"/>
          <w:color w:val="000000" w:themeColor="text1"/>
          <w:sz w:val="20"/>
          <w:szCs w:val="20"/>
        </w:rPr>
        <w:footnoteReference w:id="11"/>
      </w:r>
      <w:r w:rsidRPr="00B5667A">
        <w:rPr>
          <w:rFonts w:cs="Arial"/>
          <w:color w:val="000000" w:themeColor="text1"/>
          <w:sz w:val="20"/>
          <w:szCs w:val="20"/>
        </w:rPr>
        <w:t xml:space="preserve"> Moreover, </w:t>
      </w:r>
      <w:r w:rsidRPr="00B5667A">
        <w:rPr>
          <w:rFonts w:cs="Arial"/>
          <w:bCs/>
          <w:color w:val="000000" w:themeColor="text1"/>
          <w:sz w:val="20"/>
          <w:szCs w:val="20"/>
        </w:rPr>
        <w:t>transfers to foreign governments</w:t>
      </w:r>
      <w:r w:rsidRPr="00B5667A">
        <w:rPr>
          <w:rFonts w:cs="Arial"/>
          <w:color w:val="000000" w:themeColor="text1"/>
          <w:sz w:val="20"/>
          <w:szCs w:val="20"/>
        </w:rPr>
        <w:t xml:space="preserve"> and </w:t>
      </w:r>
      <w:r w:rsidRPr="00B5667A">
        <w:rPr>
          <w:rFonts w:cs="Arial"/>
          <w:bCs/>
          <w:color w:val="000000" w:themeColor="text1"/>
          <w:sz w:val="20"/>
          <w:szCs w:val="20"/>
        </w:rPr>
        <w:t>international organisations</w:t>
      </w:r>
      <w:r w:rsidRPr="00B5667A">
        <w:rPr>
          <w:rFonts w:cs="Arial"/>
          <w:color w:val="000000" w:themeColor="text1"/>
          <w:sz w:val="20"/>
          <w:szCs w:val="20"/>
        </w:rPr>
        <w:t xml:space="preserve"> were lower than estimated, contributing to the programme’s underspending.</w:t>
      </w:r>
      <w:r w:rsidRPr="00B5667A">
        <w:rPr>
          <w:rStyle w:val="FootnoteReference"/>
          <w:rFonts w:cs="Arial"/>
          <w:color w:val="000000" w:themeColor="text1"/>
          <w:sz w:val="20"/>
          <w:szCs w:val="20"/>
        </w:rPr>
        <w:footnoteReference w:id="12"/>
      </w:r>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pStyle w:val="Heading2"/>
        <w:spacing w:before="0" w:line="240" w:lineRule="auto"/>
        <w:rPr>
          <w:rFonts w:cs="Arial"/>
          <w:color w:val="000000" w:themeColor="text1"/>
          <w:sz w:val="20"/>
          <w:szCs w:val="20"/>
        </w:rPr>
      </w:pPr>
      <w:bookmarkStart w:id="8" w:name="_Toc135994662"/>
      <w:r w:rsidRPr="00B5667A">
        <w:rPr>
          <w:rFonts w:cs="Arial"/>
          <w:color w:val="000000" w:themeColor="text1"/>
          <w:sz w:val="20"/>
          <w:szCs w:val="20"/>
        </w:rPr>
        <w:t>2.</w:t>
      </w:r>
      <w:r w:rsidR="00DC40AF" w:rsidRPr="00B5667A">
        <w:rPr>
          <w:rFonts w:cs="Arial"/>
          <w:color w:val="000000" w:themeColor="text1"/>
          <w:sz w:val="20"/>
          <w:szCs w:val="20"/>
        </w:rPr>
        <w:t>1.</w:t>
      </w:r>
      <w:r w:rsidRPr="00B5667A">
        <w:rPr>
          <w:rFonts w:cs="Arial"/>
          <w:color w:val="000000" w:themeColor="text1"/>
          <w:sz w:val="20"/>
          <w:szCs w:val="20"/>
        </w:rPr>
        <w:t>7 Programme 7: Public Transport</w:t>
      </w:r>
      <w:bookmarkEnd w:id="8"/>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By the end of the Fourth Quarter of 2022/23, the Department spent R13.7 billion (or 98.2%) against the appropriated budget of approximately R14 billion, translating into underspending of R250.7 million (or 1.8%). The under-expenditure was due to </w:t>
      </w:r>
      <w:r w:rsidR="00602809" w:rsidRPr="00B5667A">
        <w:rPr>
          <w:rFonts w:cs="Arial"/>
          <w:color w:val="000000" w:themeColor="text1"/>
          <w:sz w:val="20"/>
          <w:szCs w:val="20"/>
        </w:rPr>
        <w:t>lower-than-expected</w:t>
      </w:r>
      <w:r w:rsidRPr="00B5667A">
        <w:rPr>
          <w:rFonts w:cs="Arial"/>
          <w:color w:val="000000" w:themeColor="text1"/>
          <w:sz w:val="20"/>
          <w:szCs w:val="20"/>
        </w:rPr>
        <w:t xml:space="preserve"> expenditure on </w:t>
      </w:r>
      <w:r w:rsidRPr="00B5667A">
        <w:rPr>
          <w:rFonts w:cs="Arial"/>
          <w:bCs/>
          <w:color w:val="000000" w:themeColor="text1"/>
          <w:sz w:val="20"/>
          <w:szCs w:val="20"/>
        </w:rPr>
        <w:t>Goods and Services</w:t>
      </w:r>
      <w:r w:rsidRPr="00B5667A">
        <w:rPr>
          <w:rFonts w:cs="Arial"/>
          <w:color w:val="000000" w:themeColor="text1"/>
          <w:sz w:val="20"/>
          <w:szCs w:val="20"/>
        </w:rPr>
        <w:t xml:space="preserve"> during the reporting period. These included the following:</w:t>
      </w:r>
      <w:r w:rsidRPr="00B5667A">
        <w:rPr>
          <w:rStyle w:val="FootnoteReference"/>
          <w:rFonts w:cs="Arial"/>
          <w:color w:val="000000" w:themeColor="text1"/>
          <w:sz w:val="20"/>
          <w:szCs w:val="20"/>
        </w:rPr>
        <w:footnoteReference w:id="13"/>
      </w:r>
    </w:p>
    <w:p w:rsidR="00C77A15" w:rsidRPr="00B5667A" w:rsidRDefault="00C77A15" w:rsidP="00B5667A">
      <w:pPr>
        <w:pStyle w:val="ListParagraph"/>
        <w:numPr>
          <w:ilvl w:val="0"/>
          <w:numId w:val="8"/>
        </w:numPr>
        <w:spacing w:line="240" w:lineRule="auto"/>
        <w:jc w:val="left"/>
        <w:rPr>
          <w:rFonts w:cs="Arial"/>
          <w:color w:val="000000" w:themeColor="text1"/>
          <w:sz w:val="20"/>
          <w:szCs w:val="20"/>
        </w:rPr>
      </w:pPr>
      <w:r w:rsidRPr="00B5667A">
        <w:rPr>
          <w:rFonts w:cs="Arial"/>
          <w:color w:val="000000" w:themeColor="text1"/>
          <w:sz w:val="20"/>
          <w:szCs w:val="20"/>
        </w:rPr>
        <w:t>National Land Transport Information System (NLTIS) Upgrade;</w:t>
      </w:r>
    </w:p>
    <w:p w:rsidR="00C77A15" w:rsidRPr="00B5667A" w:rsidRDefault="00C77A15" w:rsidP="00B5667A">
      <w:pPr>
        <w:pStyle w:val="ListParagraph"/>
        <w:numPr>
          <w:ilvl w:val="0"/>
          <w:numId w:val="8"/>
        </w:numPr>
        <w:spacing w:line="240" w:lineRule="auto"/>
        <w:jc w:val="left"/>
        <w:rPr>
          <w:rFonts w:cs="Arial"/>
          <w:color w:val="000000" w:themeColor="text1"/>
          <w:sz w:val="20"/>
          <w:szCs w:val="20"/>
        </w:rPr>
      </w:pPr>
      <w:r w:rsidRPr="00B5667A">
        <w:rPr>
          <w:rFonts w:cs="Arial"/>
          <w:color w:val="000000" w:themeColor="text1"/>
          <w:sz w:val="20"/>
          <w:szCs w:val="20"/>
        </w:rPr>
        <w:t xml:space="preserve">National Taxi </w:t>
      </w:r>
      <w:r w:rsidRPr="00B5667A">
        <w:rPr>
          <w:rFonts w:cs="Arial"/>
          <w:i/>
          <w:iCs/>
          <w:color w:val="000000" w:themeColor="text1"/>
          <w:sz w:val="20"/>
          <w:szCs w:val="20"/>
        </w:rPr>
        <w:t>Lekgotla</w:t>
      </w:r>
      <w:r w:rsidRPr="00B5667A">
        <w:rPr>
          <w:rFonts w:cs="Arial"/>
          <w:color w:val="000000" w:themeColor="text1"/>
          <w:sz w:val="20"/>
          <w:szCs w:val="20"/>
        </w:rPr>
        <w:t>; and</w:t>
      </w:r>
    </w:p>
    <w:p w:rsidR="00C77A15" w:rsidRPr="00B5667A" w:rsidRDefault="00C77A15" w:rsidP="00B5667A">
      <w:pPr>
        <w:pStyle w:val="ListParagraph"/>
        <w:numPr>
          <w:ilvl w:val="0"/>
          <w:numId w:val="8"/>
        </w:numPr>
        <w:spacing w:line="240" w:lineRule="auto"/>
        <w:jc w:val="left"/>
        <w:rPr>
          <w:rFonts w:cs="Arial"/>
          <w:color w:val="000000" w:themeColor="text1"/>
          <w:sz w:val="20"/>
          <w:szCs w:val="20"/>
        </w:rPr>
      </w:pPr>
      <w:r w:rsidRPr="00B5667A">
        <w:rPr>
          <w:rFonts w:cs="Arial"/>
          <w:color w:val="000000" w:themeColor="text1"/>
          <w:sz w:val="20"/>
          <w:szCs w:val="20"/>
        </w:rPr>
        <w:t>The capacity for the Public Transport Grant Monitoring Project.</w:t>
      </w:r>
    </w:p>
    <w:p w:rsidR="00C77A15" w:rsidRPr="00B5667A" w:rsidRDefault="00C77A15" w:rsidP="00B5667A">
      <w:pPr>
        <w:spacing w:line="240" w:lineRule="auto"/>
        <w:jc w:val="left"/>
        <w:rPr>
          <w:rFonts w:cs="Arial"/>
          <w:color w:val="000000" w:themeColor="text1"/>
          <w:sz w:val="20"/>
          <w:szCs w:val="20"/>
        </w:rPr>
      </w:pPr>
    </w:p>
    <w:p w:rsidR="00C77A15" w:rsidRPr="00B5667A" w:rsidRDefault="009C5650" w:rsidP="00B5667A">
      <w:pPr>
        <w:pStyle w:val="Heading1"/>
        <w:numPr>
          <w:ilvl w:val="1"/>
          <w:numId w:val="13"/>
        </w:numPr>
        <w:spacing w:before="0" w:line="240" w:lineRule="auto"/>
        <w:jc w:val="left"/>
        <w:rPr>
          <w:rFonts w:cs="Arial"/>
          <w:color w:val="000000" w:themeColor="text1"/>
          <w:sz w:val="20"/>
          <w:szCs w:val="20"/>
        </w:rPr>
      </w:pPr>
      <w:bookmarkStart w:id="9" w:name="_Toc135994663"/>
      <w:r w:rsidRPr="00B5667A">
        <w:rPr>
          <w:rFonts w:cs="Arial"/>
          <w:color w:val="000000" w:themeColor="text1"/>
          <w:sz w:val="20"/>
          <w:szCs w:val="20"/>
        </w:rPr>
        <w:t xml:space="preserve"> </w:t>
      </w:r>
      <w:r w:rsidRPr="00B5667A">
        <w:rPr>
          <w:rFonts w:cs="Arial"/>
          <w:color w:val="000000" w:themeColor="text1"/>
          <w:sz w:val="20"/>
          <w:szCs w:val="20"/>
        </w:rPr>
        <w:tab/>
      </w:r>
      <w:r w:rsidR="00C77A15" w:rsidRPr="00B5667A">
        <w:rPr>
          <w:rFonts w:cs="Arial"/>
          <w:color w:val="000000" w:themeColor="text1"/>
          <w:sz w:val="20"/>
          <w:szCs w:val="20"/>
        </w:rPr>
        <w:t>COVID-19 RESPONSE</w:t>
      </w:r>
      <w:bookmarkEnd w:id="9"/>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t xml:space="preserve">By the end </w:t>
      </w:r>
      <w:r w:rsidR="00AA092B" w:rsidRPr="00B5667A">
        <w:rPr>
          <w:rFonts w:cs="Arial"/>
          <w:color w:val="000000" w:themeColor="text1"/>
          <w:sz w:val="20"/>
          <w:szCs w:val="20"/>
        </w:rPr>
        <w:t xml:space="preserve">of </w:t>
      </w:r>
      <w:r w:rsidRPr="00B5667A">
        <w:rPr>
          <w:rFonts w:cs="Arial"/>
          <w:color w:val="000000" w:themeColor="text1"/>
          <w:sz w:val="20"/>
          <w:szCs w:val="20"/>
        </w:rPr>
        <w:t xml:space="preserve">April 2023, the Department had spent R200, 000 on COVID-19 related projects and business activities. The spending on COVID-19 mostly pertained to the procurement of protective equipment </w:t>
      </w:r>
      <w:r w:rsidRPr="00B5667A">
        <w:rPr>
          <w:rFonts w:cs="Arial"/>
          <w:color w:val="000000" w:themeColor="text1"/>
          <w:sz w:val="20"/>
          <w:szCs w:val="20"/>
          <w:lang w:val="en-ZA"/>
        </w:rPr>
        <w:t xml:space="preserve">and “other interventions” </w:t>
      </w:r>
      <w:r w:rsidRPr="00B5667A">
        <w:rPr>
          <w:rFonts w:cs="Arial"/>
          <w:color w:val="000000" w:themeColor="text1"/>
          <w:sz w:val="20"/>
          <w:szCs w:val="20"/>
        </w:rPr>
        <w:t>within the Department, as well as support to public transport operators in response to the pandemic.</w:t>
      </w:r>
      <w:r w:rsidRPr="00B5667A">
        <w:rPr>
          <w:rStyle w:val="FootnoteReference"/>
          <w:rFonts w:cs="Arial"/>
          <w:color w:val="000000" w:themeColor="text1"/>
          <w:sz w:val="20"/>
          <w:szCs w:val="20"/>
        </w:rPr>
        <w:footnoteReference w:id="14"/>
      </w:r>
    </w:p>
    <w:p w:rsidR="00C77A15" w:rsidRPr="00B5667A" w:rsidRDefault="00C77A15" w:rsidP="00B5667A">
      <w:pPr>
        <w:spacing w:line="240" w:lineRule="auto"/>
        <w:jc w:val="left"/>
        <w:rPr>
          <w:rFonts w:cs="Arial"/>
          <w:color w:val="000000" w:themeColor="text1"/>
          <w:sz w:val="20"/>
          <w:szCs w:val="20"/>
        </w:rPr>
      </w:pPr>
    </w:p>
    <w:p w:rsidR="00C77A15" w:rsidRPr="00B5667A" w:rsidRDefault="009C5650" w:rsidP="00B5667A">
      <w:pPr>
        <w:pStyle w:val="Heading1"/>
        <w:numPr>
          <w:ilvl w:val="1"/>
          <w:numId w:val="13"/>
        </w:numPr>
        <w:spacing w:before="0" w:line="240" w:lineRule="auto"/>
        <w:jc w:val="left"/>
        <w:rPr>
          <w:rFonts w:cs="Arial"/>
          <w:color w:val="000000" w:themeColor="text1"/>
          <w:sz w:val="20"/>
          <w:szCs w:val="20"/>
        </w:rPr>
      </w:pPr>
      <w:bookmarkStart w:id="10" w:name="_Toc135994664"/>
      <w:r w:rsidRPr="00B5667A">
        <w:rPr>
          <w:rFonts w:cs="Arial"/>
          <w:color w:val="000000" w:themeColor="text1"/>
          <w:sz w:val="20"/>
          <w:szCs w:val="20"/>
        </w:rPr>
        <w:t xml:space="preserve"> </w:t>
      </w:r>
      <w:r w:rsidRPr="00B5667A">
        <w:rPr>
          <w:rFonts w:cs="Arial"/>
          <w:color w:val="000000" w:themeColor="text1"/>
          <w:sz w:val="20"/>
          <w:szCs w:val="20"/>
        </w:rPr>
        <w:tab/>
      </w:r>
      <w:r w:rsidR="00C77A15" w:rsidRPr="00B5667A">
        <w:rPr>
          <w:rFonts w:cs="Arial"/>
          <w:color w:val="000000" w:themeColor="text1"/>
          <w:sz w:val="20"/>
          <w:szCs w:val="20"/>
        </w:rPr>
        <w:t>disaster response</w:t>
      </w:r>
      <w:bookmarkEnd w:id="10"/>
    </w:p>
    <w:p w:rsidR="00C77A15" w:rsidRPr="00B5667A" w:rsidRDefault="00C77A15" w:rsidP="00B5667A">
      <w:pPr>
        <w:spacing w:line="240" w:lineRule="auto"/>
        <w:jc w:val="left"/>
        <w:rPr>
          <w:rFonts w:cs="Arial"/>
          <w:color w:val="000000" w:themeColor="text1"/>
          <w:sz w:val="20"/>
          <w:szCs w:val="20"/>
        </w:rPr>
      </w:pPr>
    </w:p>
    <w:p w:rsidR="00C77A15" w:rsidRPr="00B5667A" w:rsidRDefault="00C77A15" w:rsidP="00B5667A">
      <w:pPr>
        <w:spacing w:line="240" w:lineRule="auto"/>
        <w:jc w:val="left"/>
        <w:rPr>
          <w:rFonts w:cs="Arial"/>
          <w:color w:val="000000" w:themeColor="text1"/>
          <w:sz w:val="20"/>
          <w:szCs w:val="20"/>
        </w:rPr>
      </w:pPr>
      <w:r w:rsidRPr="00B5667A">
        <w:rPr>
          <w:rFonts w:cs="Arial"/>
          <w:color w:val="000000" w:themeColor="text1"/>
          <w:sz w:val="20"/>
          <w:szCs w:val="20"/>
        </w:rPr>
        <w:lastRenderedPageBreak/>
        <w:t>By the end of the period under review, the Department had spent R1.5 billion that had been allocated for the disaster relief to repair flood damaged roads.</w:t>
      </w:r>
      <w:r w:rsidRPr="00B5667A">
        <w:rPr>
          <w:rStyle w:val="FootnoteReference"/>
          <w:rFonts w:cs="Arial"/>
          <w:color w:val="000000" w:themeColor="text1"/>
          <w:sz w:val="20"/>
          <w:szCs w:val="20"/>
        </w:rPr>
        <w:footnoteReference w:id="15"/>
      </w:r>
    </w:p>
    <w:p w:rsidR="001E0CBF" w:rsidRPr="00B5667A" w:rsidRDefault="00490CAD" w:rsidP="00B5667A">
      <w:pPr>
        <w:spacing w:line="240" w:lineRule="auto"/>
        <w:jc w:val="left"/>
        <w:rPr>
          <w:rFonts w:cs="Arial"/>
          <w:color w:val="000000" w:themeColor="text1"/>
          <w:sz w:val="20"/>
          <w:szCs w:val="20"/>
        </w:rPr>
      </w:pPr>
    </w:p>
    <w:p w:rsidR="008E5D50" w:rsidRPr="00B5667A" w:rsidRDefault="008E5D50" w:rsidP="00B5667A">
      <w:pPr>
        <w:numPr>
          <w:ilvl w:val="0"/>
          <w:numId w:val="14"/>
        </w:numPr>
        <w:spacing w:line="240" w:lineRule="auto"/>
        <w:ind w:hanging="720"/>
        <w:contextualSpacing/>
        <w:jc w:val="left"/>
        <w:rPr>
          <w:rFonts w:eastAsia="Calibri" w:cs="Arial"/>
          <w:color w:val="000000" w:themeColor="text1"/>
          <w:sz w:val="20"/>
          <w:szCs w:val="20"/>
        </w:rPr>
      </w:pPr>
      <w:r w:rsidRPr="00B5667A">
        <w:rPr>
          <w:rFonts w:eastAsia="Calibri" w:cs="Arial"/>
          <w:b/>
          <w:color w:val="000000" w:themeColor="text1"/>
          <w:sz w:val="20"/>
          <w:szCs w:val="20"/>
        </w:rPr>
        <w:t>COMMITTEE OBSERVATIONS</w:t>
      </w:r>
    </w:p>
    <w:p w:rsidR="009C5650" w:rsidRPr="00B5667A" w:rsidRDefault="009C5650" w:rsidP="00B5667A">
      <w:pPr>
        <w:spacing w:line="240" w:lineRule="auto"/>
        <w:jc w:val="left"/>
        <w:rPr>
          <w:rFonts w:eastAsia="Calibri" w:cs="Arial"/>
          <w:color w:val="000000" w:themeColor="text1"/>
          <w:sz w:val="20"/>
          <w:szCs w:val="20"/>
        </w:rPr>
      </w:pPr>
    </w:p>
    <w:p w:rsidR="008E5D50" w:rsidRPr="00B5667A" w:rsidRDefault="008E5D50" w:rsidP="00B5667A">
      <w:pPr>
        <w:spacing w:line="240" w:lineRule="auto"/>
        <w:jc w:val="left"/>
        <w:rPr>
          <w:rFonts w:eastAsia="Calibri" w:cs="Arial"/>
          <w:color w:val="000000" w:themeColor="text1"/>
          <w:sz w:val="20"/>
          <w:szCs w:val="20"/>
        </w:rPr>
      </w:pPr>
      <w:r w:rsidRPr="00B5667A">
        <w:rPr>
          <w:rFonts w:eastAsia="Calibri" w:cs="Arial"/>
          <w:color w:val="000000" w:themeColor="text1"/>
          <w:sz w:val="20"/>
          <w:szCs w:val="20"/>
        </w:rPr>
        <w:t xml:space="preserve">Members made the following observations during discussions: </w:t>
      </w:r>
    </w:p>
    <w:p w:rsidR="00354993" w:rsidRPr="00B5667A" w:rsidRDefault="00354993" w:rsidP="00B5667A">
      <w:pPr>
        <w:pStyle w:val="ListParagraph"/>
        <w:numPr>
          <w:ilvl w:val="1"/>
          <w:numId w:val="14"/>
        </w:numPr>
        <w:spacing w:line="240" w:lineRule="auto"/>
        <w:ind w:hanging="720"/>
        <w:jc w:val="left"/>
        <w:rPr>
          <w:rFonts w:cs="Arial"/>
          <w:color w:val="000000" w:themeColor="text1"/>
          <w:sz w:val="20"/>
          <w:szCs w:val="20"/>
        </w:rPr>
      </w:pPr>
      <w:r w:rsidRPr="00B5667A">
        <w:rPr>
          <w:rFonts w:cs="Arial"/>
          <w:color w:val="000000" w:themeColor="text1"/>
          <w:sz w:val="20"/>
          <w:szCs w:val="20"/>
        </w:rPr>
        <w:t>The underperformance in meeting targets compared to the indicated expenditure on the programmes despite not meeting the targets remains a concern.</w:t>
      </w:r>
    </w:p>
    <w:p w:rsidR="00354993" w:rsidRPr="00B5667A" w:rsidRDefault="00354993" w:rsidP="00B5667A">
      <w:pPr>
        <w:pStyle w:val="ListParagraph"/>
        <w:numPr>
          <w:ilvl w:val="1"/>
          <w:numId w:val="14"/>
        </w:numPr>
        <w:spacing w:line="240" w:lineRule="auto"/>
        <w:ind w:hanging="720"/>
        <w:jc w:val="left"/>
        <w:rPr>
          <w:rFonts w:cs="Arial"/>
          <w:color w:val="000000" w:themeColor="text1"/>
          <w:sz w:val="20"/>
          <w:szCs w:val="20"/>
        </w:rPr>
      </w:pPr>
      <w:r w:rsidRPr="00B5667A">
        <w:rPr>
          <w:rFonts w:cs="Arial"/>
          <w:color w:val="000000" w:themeColor="text1"/>
          <w:sz w:val="20"/>
          <w:szCs w:val="20"/>
        </w:rPr>
        <w:t>The overall response rate to Parliamentary Questions at 85% was noted</w:t>
      </w:r>
      <w:r w:rsidR="00602809" w:rsidRPr="00B5667A">
        <w:rPr>
          <w:rFonts w:cs="Arial"/>
          <w:color w:val="000000" w:themeColor="text1"/>
          <w:sz w:val="20"/>
          <w:szCs w:val="20"/>
        </w:rPr>
        <w:t>,</w:t>
      </w:r>
      <w:r w:rsidRPr="00B5667A">
        <w:rPr>
          <w:rFonts w:cs="Arial"/>
          <w:color w:val="000000" w:themeColor="text1"/>
          <w:sz w:val="20"/>
          <w:szCs w:val="20"/>
        </w:rPr>
        <w:t xml:space="preserve"> but</w:t>
      </w:r>
      <w:r w:rsidR="00602809" w:rsidRPr="00B5667A">
        <w:rPr>
          <w:rFonts w:cs="Arial"/>
          <w:color w:val="000000" w:themeColor="text1"/>
          <w:sz w:val="20"/>
          <w:szCs w:val="20"/>
        </w:rPr>
        <w:t xml:space="preserve"> it</w:t>
      </w:r>
      <w:r w:rsidRPr="00B5667A">
        <w:rPr>
          <w:rFonts w:cs="Arial"/>
          <w:color w:val="000000" w:themeColor="text1"/>
          <w:sz w:val="20"/>
          <w:szCs w:val="20"/>
        </w:rPr>
        <w:t xml:space="preserve"> did not provide the reasons why the Department was not responding to some Parliamentary questions</w:t>
      </w:r>
      <w:r w:rsidR="00602809" w:rsidRPr="00B5667A">
        <w:rPr>
          <w:rFonts w:cs="Arial"/>
          <w:color w:val="000000" w:themeColor="text1"/>
          <w:sz w:val="20"/>
          <w:szCs w:val="20"/>
        </w:rPr>
        <w:t>,</w:t>
      </w:r>
      <w:r w:rsidRPr="00B5667A">
        <w:rPr>
          <w:rFonts w:cs="Arial"/>
          <w:color w:val="000000" w:themeColor="text1"/>
          <w:sz w:val="20"/>
          <w:szCs w:val="20"/>
        </w:rPr>
        <w:t xml:space="preserve"> </w:t>
      </w:r>
      <w:r w:rsidR="00602809" w:rsidRPr="00B5667A">
        <w:rPr>
          <w:rFonts w:cs="Arial"/>
          <w:color w:val="000000" w:themeColor="text1"/>
          <w:sz w:val="20"/>
          <w:szCs w:val="20"/>
        </w:rPr>
        <w:t xml:space="preserve">this and </w:t>
      </w:r>
      <w:r w:rsidRPr="00B5667A">
        <w:rPr>
          <w:rFonts w:cs="Arial"/>
          <w:color w:val="000000" w:themeColor="text1"/>
          <w:sz w:val="20"/>
          <w:szCs w:val="20"/>
        </w:rPr>
        <w:t xml:space="preserve">the quality of the responses </w:t>
      </w:r>
      <w:r w:rsidR="00602809" w:rsidRPr="00B5667A">
        <w:rPr>
          <w:rFonts w:cs="Arial"/>
          <w:color w:val="000000" w:themeColor="text1"/>
          <w:sz w:val="20"/>
          <w:szCs w:val="20"/>
        </w:rPr>
        <w:t xml:space="preserve">are </w:t>
      </w:r>
      <w:r w:rsidRPr="00B5667A">
        <w:rPr>
          <w:rFonts w:cs="Arial"/>
          <w:color w:val="000000" w:themeColor="text1"/>
          <w:sz w:val="20"/>
          <w:szCs w:val="20"/>
        </w:rPr>
        <w:t>concern</w:t>
      </w:r>
      <w:r w:rsidR="00602809" w:rsidRPr="00B5667A">
        <w:rPr>
          <w:rFonts w:cs="Arial"/>
          <w:color w:val="000000" w:themeColor="text1"/>
          <w:sz w:val="20"/>
          <w:szCs w:val="20"/>
        </w:rPr>
        <w:t>s</w:t>
      </w:r>
      <w:r w:rsidRPr="00B5667A">
        <w:rPr>
          <w:rFonts w:cs="Arial"/>
          <w:color w:val="000000" w:themeColor="text1"/>
          <w:sz w:val="20"/>
          <w:szCs w:val="20"/>
        </w:rPr>
        <w:t xml:space="preserve">. </w:t>
      </w:r>
    </w:p>
    <w:p w:rsidR="00354993" w:rsidRPr="00B5667A" w:rsidRDefault="00354993" w:rsidP="00B5667A">
      <w:pPr>
        <w:spacing w:line="240" w:lineRule="auto"/>
        <w:ind w:left="720" w:hanging="720"/>
        <w:jc w:val="left"/>
        <w:rPr>
          <w:rFonts w:cs="Arial"/>
          <w:color w:val="000000" w:themeColor="text1"/>
          <w:sz w:val="20"/>
          <w:szCs w:val="20"/>
        </w:rPr>
      </w:pPr>
      <w:r w:rsidRPr="00B5667A">
        <w:rPr>
          <w:rFonts w:cs="Arial"/>
          <w:color w:val="000000" w:themeColor="text1"/>
          <w:sz w:val="20"/>
          <w:szCs w:val="20"/>
        </w:rPr>
        <w:t>3.3</w:t>
      </w:r>
      <w:r w:rsidRPr="00B5667A">
        <w:rPr>
          <w:rFonts w:cs="Arial"/>
          <w:color w:val="000000" w:themeColor="text1"/>
          <w:sz w:val="20"/>
          <w:szCs w:val="20"/>
        </w:rPr>
        <w:tab/>
        <w:t xml:space="preserve">Members expressed their concern and disappointment at the vacancy rate that increased from 22,42% (196 vacancies) in December 2022 to 23,62% in March 2023 (211 vacancies) and which contributed to the underspending on compensation of employees. The high turnover rate was questioned, and the Department was asked whether it conducted exit interviews to ascertain the reasons for the high turnover rate. </w:t>
      </w:r>
    </w:p>
    <w:p w:rsidR="00354993" w:rsidRPr="00B5667A" w:rsidRDefault="00354993" w:rsidP="00B5667A">
      <w:pPr>
        <w:spacing w:line="240" w:lineRule="auto"/>
        <w:ind w:left="720" w:hanging="720"/>
        <w:jc w:val="left"/>
        <w:rPr>
          <w:rFonts w:cs="Arial"/>
          <w:color w:val="000000" w:themeColor="text1"/>
          <w:sz w:val="20"/>
          <w:szCs w:val="20"/>
        </w:rPr>
      </w:pPr>
      <w:r w:rsidRPr="00B5667A">
        <w:rPr>
          <w:rFonts w:cs="Arial"/>
          <w:color w:val="000000" w:themeColor="text1"/>
          <w:sz w:val="20"/>
          <w:szCs w:val="20"/>
        </w:rPr>
        <w:t>3.4</w:t>
      </w:r>
      <w:r w:rsidRPr="00B5667A">
        <w:rPr>
          <w:rFonts w:cs="Arial"/>
          <w:color w:val="000000" w:themeColor="text1"/>
          <w:sz w:val="20"/>
          <w:szCs w:val="20"/>
        </w:rPr>
        <w:tab/>
        <w:t xml:space="preserve">The Committee welcomed the development of the Annual Report on the operations of </w:t>
      </w:r>
      <w:r w:rsidR="00602809" w:rsidRPr="00B5667A">
        <w:rPr>
          <w:rFonts w:cs="Arial"/>
          <w:color w:val="000000" w:themeColor="text1"/>
          <w:sz w:val="20"/>
          <w:szCs w:val="20"/>
        </w:rPr>
        <w:t xml:space="preserve">the </w:t>
      </w:r>
      <w:r w:rsidRPr="00B5667A">
        <w:rPr>
          <w:rFonts w:cs="Arial"/>
          <w:color w:val="000000" w:themeColor="text1"/>
          <w:sz w:val="20"/>
          <w:szCs w:val="20"/>
        </w:rPr>
        <w:t>ethics committees in the Department and further noted the ethics risks that were identified as presented by the Department</w:t>
      </w:r>
      <w:r w:rsidR="00821FCF" w:rsidRPr="00B5667A">
        <w:rPr>
          <w:rFonts w:cs="Arial"/>
          <w:color w:val="000000" w:themeColor="text1"/>
          <w:sz w:val="20"/>
          <w:szCs w:val="20"/>
        </w:rPr>
        <w:t xml:space="preserve"> and wanted cl</w:t>
      </w:r>
      <w:r w:rsidRPr="00B5667A">
        <w:rPr>
          <w:rFonts w:cs="Arial"/>
          <w:color w:val="000000" w:themeColor="text1"/>
          <w:sz w:val="20"/>
          <w:szCs w:val="20"/>
        </w:rPr>
        <w:t xml:space="preserve">arity on the scope/terms of reference of the ethics officers, the number of officers and the branches they were from within the Department. In terms of the ethics risks that were identified, the non-disclosure of financial interest by SCM officials was noted as a serious concern. The late coming and early leaving of officials without consequence management was viewed as a reflection of the leadership of the Department. </w:t>
      </w:r>
    </w:p>
    <w:p w:rsidR="00354993" w:rsidRPr="00B5667A" w:rsidRDefault="00354993" w:rsidP="00B5667A">
      <w:pPr>
        <w:spacing w:line="240" w:lineRule="auto"/>
        <w:ind w:left="720" w:hanging="720"/>
        <w:jc w:val="left"/>
        <w:rPr>
          <w:rFonts w:cs="Arial"/>
          <w:color w:val="000000" w:themeColor="text1"/>
          <w:sz w:val="20"/>
          <w:szCs w:val="20"/>
        </w:rPr>
      </w:pPr>
      <w:r w:rsidRPr="00B5667A">
        <w:rPr>
          <w:rFonts w:cs="Arial"/>
          <w:color w:val="000000" w:themeColor="text1"/>
          <w:sz w:val="20"/>
          <w:szCs w:val="20"/>
        </w:rPr>
        <w:t>3.5</w:t>
      </w:r>
      <w:r w:rsidRPr="00B5667A">
        <w:rPr>
          <w:rFonts w:cs="Arial"/>
          <w:color w:val="000000" w:themeColor="text1"/>
          <w:sz w:val="20"/>
          <w:szCs w:val="20"/>
        </w:rPr>
        <w:tab/>
        <w:t>The training interventions were noted, and clarity was sought on whether the training was training exposure or training with the view of obtaining certification. A view was expressed that the completed training be the focus instead of exposure to training.</w:t>
      </w:r>
    </w:p>
    <w:p w:rsidR="00354993" w:rsidRPr="00B5667A" w:rsidRDefault="00354993" w:rsidP="00B5667A">
      <w:pPr>
        <w:spacing w:line="240" w:lineRule="auto"/>
        <w:ind w:left="720" w:hanging="720"/>
        <w:jc w:val="left"/>
        <w:rPr>
          <w:rFonts w:cs="Arial"/>
          <w:color w:val="000000" w:themeColor="text1"/>
          <w:sz w:val="20"/>
          <w:szCs w:val="20"/>
        </w:rPr>
      </w:pPr>
      <w:r w:rsidRPr="00B5667A">
        <w:rPr>
          <w:rFonts w:cs="Arial"/>
          <w:color w:val="000000" w:themeColor="text1"/>
          <w:sz w:val="20"/>
          <w:szCs w:val="20"/>
        </w:rPr>
        <w:t>3.6</w:t>
      </w:r>
      <w:r w:rsidRPr="00B5667A">
        <w:rPr>
          <w:rFonts w:cs="Arial"/>
          <w:color w:val="000000" w:themeColor="text1"/>
          <w:sz w:val="20"/>
          <w:szCs w:val="20"/>
        </w:rPr>
        <w:tab/>
        <w:t>The 209 bursaries allocated and managed within the Department was noted, as well as the increase in the bursary applications during the second bursary intake, but the Department had to provide further information regarding the number of bursary applications received as well as internship applications per the racial demographic breakdown and include applications made by people with disabilities. Members further requested that the criteria applied for the allocations be provided.</w:t>
      </w:r>
    </w:p>
    <w:p w:rsidR="00354993" w:rsidRPr="00B5667A" w:rsidRDefault="00354993" w:rsidP="00B5667A">
      <w:pPr>
        <w:spacing w:line="240" w:lineRule="auto"/>
        <w:ind w:left="720" w:hanging="720"/>
        <w:jc w:val="left"/>
        <w:rPr>
          <w:rFonts w:cs="Arial"/>
          <w:color w:val="000000" w:themeColor="text1"/>
          <w:sz w:val="20"/>
          <w:szCs w:val="20"/>
        </w:rPr>
      </w:pPr>
      <w:r w:rsidRPr="00B5667A">
        <w:rPr>
          <w:rFonts w:cs="Arial"/>
          <w:color w:val="000000" w:themeColor="text1"/>
          <w:sz w:val="20"/>
          <w:szCs w:val="20"/>
        </w:rPr>
        <w:t>3.7</w:t>
      </w:r>
      <w:r w:rsidRPr="00B5667A">
        <w:rPr>
          <w:rFonts w:cs="Arial"/>
          <w:color w:val="000000" w:themeColor="text1"/>
          <w:sz w:val="20"/>
          <w:szCs w:val="20"/>
        </w:rPr>
        <w:tab/>
        <w:t xml:space="preserve">The R44 million rand in Fruitless and Wasteful expenditure during the term was noted. It was further noted that the 39.6% success rate left many cases unresolved and that, by only meeting on a bi-monthly basis the Loss Control Committee (LCC) was not meeting sufficiently to address this large number of Fruitless and Wasteful expenditure cases. </w:t>
      </w:r>
    </w:p>
    <w:p w:rsidR="00354993" w:rsidRPr="00B5667A" w:rsidRDefault="00354993" w:rsidP="00B5667A">
      <w:pPr>
        <w:spacing w:line="240" w:lineRule="auto"/>
        <w:ind w:left="720" w:hanging="720"/>
        <w:jc w:val="left"/>
        <w:rPr>
          <w:rFonts w:cs="Arial"/>
          <w:color w:val="000000" w:themeColor="text1"/>
          <w:sz w:val="20"/>
          <w:szCs w:val="20"/>
        </w:rPr>
      </w:pPr>
      <w:r w:rsidRPr="00B5667A">
        <w:rPr>
          <w:rFonts w:cs="Arial"/>
          <w:color w:val="000000" w:themeColor="text1"/>
          <w:sz w:val="20"/>
          <w:szCs w:val="20"/>
        </w:rPr>
        <w:t>3.8</w:t>
      </w:r>
      <w:r w:rsidRPr="00B5667A">
        <w:rPr>
          <w:rFonts w:cs="Arial"/>
          <w:color w:val="000000" w:themeColor="text1"/>
          <w:sz w:val="20"/>
          <w:szCs w:val="20"/>
        </w:rPr>
        <w:tab/>
        <w:t xml:space="preserve">The Department was asked to indicate the total value of the invoices not paid. It was noted that SMMEs were negatively affected by the Departments’ failure to pay the outstanding invoices and that this were indirectly contributing to killing the economy. One of the reasons for not making payments on time, namely the unavailability of officials to sign off on the invoices, was a major concern and there needed to be consequence management. </w:t>
      </w:r>
    </w:p>
    <w:p w:rsidR="00354993" w:rsidRPr="00B5667A" w:rsidRDefault="00354993" w:rsidP="00B5667A">
      <w:pPr>
        <w:spacing w:line="240" w:lineRule="auto"/>
        <w:ind w:left="720" w:hanging="720"/>
        <w:jc w:val="left"/>
        <w:rPr>
          <w:rFonts w:cs="Arial"/>
          <w:color w:val="000000" w:themeColor="text1"/>
          <w:sz w:val="20"/>
          <w:szCs w:val="20"/>
        </w:rPr>
      </w:pPr>
      <w:r w:rsidRPr="00B5667A">
        <w:rPr>
          <w:rFonts w:cs="Arial"/>
          <w:color w:val="000000" w:themeColor="text1"/>
          <w:sz w:val="20"/>
          <w:szCs w:val="20"/>
        </w:rPr>
        <w:t>3.9</w:t>
      </w:r>
      <w:r w:rsidRPr="00B5667A">
        <w:rPr>
          <w:rFonts w:cs="Arial"/>
          <w:color w:val="000000" w:themeColor="text1"/>
          <w:sz w:val="20"/>
          <w:szCs w:val="20"/>
        </w:rPr>
        <w:tab/>
        <w:t xml:space="preserve">The Taxi Recapitalisation Programme never performed on target, even after the Taxi Indaba and that the uptake in the programme was consistently low.  </w:t>
      </w:r>
    </w:p>
    <w:p w:rsidR="0080341E" w:rsidRPr="00B5667A" w:rsidRDefault="0080341E" w:rsidP="00B5667A">
      <w:pPr>
        <w:spacing w:line="240" w:lineRule="auto"/>
        <w:ind w:left="720" w:hanging="720"/>
        <w:jc w:val="left"/>
        <w:rPr>
          <w:rFonts w:cs="Arial"/>
          <w:color w:val="000000" w:themeColor="text1"/>
          <w:sz w:val="20"/>
          <w:szCs w:val="20"/>
        </w:rPr>
      </w:pPr>
      <w:r w:rsidRPr="00B5667A">
        <w:rPr>
          <w:rFonts w:cs="Arial"/>
          <w:color w:val="000000" w:themeColor="text1"/>
          <w:sz w:val="20"/>
          <w:szCs w:val="20"/>
        </w:rPr>
        <w:t>3.10</w:t>
      </w:r>
      <w:r w:rsidRPr="00B5667A">
        <w:rPr>
          <w:rFonts w:cs="Arial"/>
          <w:color w:val="000000" w:themeColor="text1"/>
          <w:sz w:val="20"/>
          <w:szCs w:val="20"/>
        </w:rPr>
        <w:tab/>
        <w:t>Concerns were once more raised regarding the lack of passenger rail services in the Eastern Cape.</w:t>
      </w:r>
    </w:p>
    <w:p w:rsidR="008E5D50" w:rsidRPr="00B5667A" w:rsidRDefault="008E5D50" w:rsidP="00B5667A">
      <w:pPr>
        <w:spacing w:line="240" w:lineRule="auto"/>
        <w:jc w:val="left"/>
        <w:rPr>
          <w:rFonts w:cs="Arial"/>
          <w:color w:val="000000" w:themeColor="text1"/>
          <w:sz w:val="20"/>
          <w:szCs w:val="20"/>
        </w:rPr>
      </w:pPr>
    </w:p>
    <w:p w:rsidR="008E5D50" w:rsidRPr="00B5667A" w:rsidRDefault="008E5D50" w:rsidP="00B5667A">
      <w:pPr>
        <w:pStyle w:val="ListParagraph"/>
        <w:numPr>
          <w:ilvl w:val="0"/>
          <w:numId w:val="14"/>
        </w:numPr>
        <w:spacing w:line="240" w:lineRule="auto"/>
        <w:ind w:hanging="810"/>
        <w:jc w:val="left"/>
        <w:rPr>
          <w:rFonts w:cs="Arial"/>
          <w:b/>
          <w:sz w:val="20"/>
          <w:szCs w:val="20"/>
        </w:rPr>
      </w:pPr>
      <w:r w:rsidRPr="00B5667A">
        <w:rPr>
          <w:rFonts w:cs="Arial"/>
          <w:b/>
          <w:sz w:val="20"/>
          <w:szCs w:val="20"/>
        </w:rPr>
        <w:t>COMMITTEE RECOMMENDATIONS</w:t>
      </w:r>
    </w:p>
    <w:p w:rsidR="009C5650" w:rsidRPr="00B5667A" w:rsidRDefault="009C5650" w:rsidP="00B5667A">
      <w:pPr>
        <w:spacing w:line="240" w:lineRule="auto"/>
        <w:ind w:left="-90"/>
        <w:jc w:val="left"/>
        <w:rPr>
          <w:rFonts w:cs="Arial"/>
          <w:sz w:val="20"/>
          <w:szCs w:val="20"/>
        </w:rPr>
      </w:pPr>
    </w:p>
    <w:p w:rsidR="008E5D50" w:rsidRPr="00B5667A" w:rsidRDefault="008E5D50" w:rsidP="00B5667A">
      <w:pPr>
        <w:spacing w:line="240" w:lineRule="auto"/>
        <w:ind w:left="-90"/>
        <w:jc w:val="left"/>
        <w:rPr>
          <w:rFonts w:cs="Arial"/>
          <w:sz w:val="20"/>
          <w:szCs w:val="20"/>
        </w:rPr>
      </w:pPr>
      <w:r w:rsidRPr="00B5667A">
        <w:rPr>
          <w:rFonts w:cs="Arial"/>
          <w:sz w:val="20"/>
          <w:szCs w:val="20"/>
        </w:rPr>
        <w:t>The Committee recommends that the Minister, through the Department, ensure the following:</w:t>
      </w:r>
      <w:r w:rsidR="00DA00E6" w:rsidRPr="00B5667A">
        <w:rPr>
          <w:rStyle w:val="FootnoteReference"/>
          <w:rFonts w:cs="Arial"/>
          <w:sz w:val="20"/>
          <w:szCs w:val="20"/>
        </w:rPr>
        <w:footnoteReference w:id="16"/>
      </w:r>
    </w:p>
    <w:p w:rsidR="0080341E" w:rsidRPr="00B5667A" w:rsidRDefault="00830B47" w:rsidP="00B5667A">
      <w:pPr>
        <w:spacing w:line="240" w:lineRule="auto"/>
        <w:ind w:left="720" w:hanging="810"/>
        <w:jc w:val="left"/>
        <w:rPr>
          <w:rFonts w:cs="Arial"/>
          <w:sz w:val="20"/>
          <w:szCs w:val="20"/>
        </w:rPr>
      </w:pPr>
      <w:r w:rsidRPr="00B5667A">
        <w:rPr>
          <w:rFonts w:cs="Arial"/>
          <w:sz w:val="20"/>
          <w:szCs w:val="20"/>
        </w:rPr>
        <w:t>4.1</w:t>
      </w:r>
      <w:r w:rsidRPr="00B5667A">
        <w:rPr>
          <w:rFonts w:cs="Arial"/>
          <w:sz w:val="20"/>
          <w:szCs w:val="20"/>
        </w:rPr>
        <w:tab/>
        <w:t>That all Department staff comply with the requirements per the Public Service Act regulations to submit their annual disclosure of interests</w:t>
      </w:r>
      <w:r w:rsidR="004F7E9F" w:rsidRPr="00B5667A">
        <w:rPr>
          <w:rFonts w:cs="Arial"/>
          <w:sz w:val="20"/>
          <w:szCs w:val="20"/>
        </w:rPr>
        <w:t xml:space="preserve"> on time</w:t>
      </w:r>
      <w:r w:rsidRPr="00B5667A">
        <w:rPr>
          <w:rFonts w:cs="Arial"/>
          <w:sz w:val="20"/>
          <w:szCs w:val="20"/>
        </w:rPr>
        <w:t>.</w:t>
      </w:r>
    </w:p>
    <w:p w:rsidR="00830B47" w:rsidRPr="00B5667A" w:rsidRDefault="00830B47" w:rsidP="00B5667A">
      <w:pPr>
        <w:spacing w:line="240" w:lineRule="auto"/>
        <w:ind w:left="720" w:hanging="810"/>
        <w:jc w:val="left"/>
        <w:rPr>
          <w:rFonts w:cs="Arial"/>
          <w:sz w:val="20"/>
          <w:szCs w:val="20"/>
        </w:rPr>
      </w:pPr>
      <w:r w:rsidRPr="00B5667A">
        <w:rPr>
          <w:rFonts w:cs="Arial"/>
          <w:sz w:val="20"/>
          <w:szCs w:val="20"/>
        </w:rPr>
        <w:lastRenderedPageBreak/>
        <w:t>4.2</w:t>
      </w:r>
      <w:r w:rsidRPr="00B5667A">
        <w:rPr>
          <w:rFonts w:cs="Arial"/>
          <w:sz w:val="20"/>
          <w:szCs w:val="20"/>
        </w:rPr>
        <w:tab/>
        <w:t xml:space="preserve">That </w:t>
      </w:r>
      <w:r w:rsidR="00521117" w:rsidRPr="00B5667A">
        <w:rPr>
          <w:rFonts w:cs="Arial"/>
          <w:sz w:val="20"/>
          <w:szCs w:val="20"/>
        </w:rPr>
        <w:t xml:space="preserve">the Department ensure </w:t>
      </w:r>
      <w:r w:rsidRPr="00B5667A">
        <w:rPr>
          <w:rFonts w:cs="Arial"/>
          <w:sz w:val="20"/>
          <w:szCs w:val="20"/>
        </w:rPr>
        <w:t>there are official acting appointments or alternative delegations in place to ensure that staff absences do not prevent the sign-off of invoices from being done within the required timeframe to allow for payments within the 30-day timeframe.</w:t>
      </w:r>
    </w:p>
    <w:p w:rsidR="003E77AA" w:rsidRPr="00B5667A" w:rsidRDefault="003E77AA" w:rsidP="00B5667A">
      <w:pPr>
        <w:spacing w:line="240" w:lineRule="auto"/>
        <w:ind w:left="720" w:hanging="810"/>
        <w:jc w:val="left"/>
        <w:rPr>
          <w:rFonts w:cs="Arial"/>
          <w:sz w:val="20"/>
          <w:szCs w:val="20"/>
        </w:rPr>
      </w:pPr>
      <w:r w:rsidRPr="00B5667A">
        <w:rPr>
          <w:rFonts w:cs="Arial"/>
          <w:sz w:val="20"/>
          <w:szCs w:val="20"/>
        </w:rPr>
        <w:t xml:space="preserve">4.3 </w:t>
      </w:r>
      <w:r w:rsidRPr="00B5667A">
        <w:rPr>
          <w:rFonts w:cs="Arial"/>
          <w:sz w:val="20"/>
          <w:szCs w:val="20"/>
        </w:rPr>
        <w:tab/>
      </w:r>
      <w:r w:rsidR="00810404" w:rsidRPr="00B5667A">
        <w:rPr>
          <w:rFonts w:cs="Arial"/>
          <w:sz w:val="20"/>
          <w:szCs w:val="20"/>
        </w:rPr>
        <w:t>Quarterly reports must be submitted to the Committee on the progress made to address the concerns raised regarding the on-time responses that must also be quality responses to Parliamentary questions in all forms.</w:t>
      </w:r>
    </w:p>
    <w:p w:rsidR="00810404" w:rsidRPr="00B5667A" w:rsidRDefault="00810404" w:rsidP="00B5667A">
      <w:pPr>
        <w:spacing w:line="240" w:lineRule="auto"/>
        <w:ind w:left="720" w:hanging="810"/>
        <w:jc w:val="left"/>
        <w:rPr>
          <w:rFonts w:cs="Arial"/>
          <w:sz w:val="20"/>
          <w:szCs w:val="20"/>
        </w:rPr>
      </w:pPr>
      <w:r w:rsidRPr="00B5667A">
        <w:rPr>
          <w:rFonts w:cs="Arial"/>
          <w:sz w:val="20"/>
          <w:szCs w:val="20"/>
        </w:rPr>
        <w:t xml:space="preserve">4.4 </w:t>
      </w:r>
      <w:r w:rsidRPr="00B5667A">
        <w:rPr>
          <w:rFonts w:cs="Arial"/>
          <w:sz w:val="20"/>
          <w:szCs w:val="20"/>
        </w:rPr>
        <w:tab/>
        <w:t>Quarterly reports must be submitted to the Committee on the progress made to address the vacancy rate as well as what steps are taken to reduce the number of unfunded posts.</w:t>
      </w:r>
    </w:p>
    <w:p w:rsidR="00024DBF" w:rsidRPr="00B5667A" w:rsidRDefault="00810404" w:rsidP="00B5667A">
      <w:pPr>
        <w:spacing w:line="240" w:lineRule="auto"/>
        <w:ind w:left="720" w:hanging="810"/>
        <w:jc w:val="left"/>
        <w:rPr>
          <w:rFonts w:cs="Arial"/>
          <w:sz w:val="20"/>
          <w:szCs w:val="20"/>
        </w:rPr>
      </w:pPr>
      <w:r w:rsidRPr="00B5667A">
        <w:rPr>
          <w:rFonts w:cs="Arial"/>
          <w:sz w:val="20"/>
          <w:szCs w:val="20"/>
        </w:rPr>
        <w:t xml:space="preserve">4.5 </w:t>
      </w:r>
      <w:r w:rsidRPr="00B5667A">
        <w:rPr>
          <w:rFonts w:cs="Arial"/>
          <w:sz w:val="20"/>
          <w:szCs w:val="20"/>
        </w:rPr>
        <w:tab/>
        <w:t>Quarterly reports must be submitted to the Committee on the progress made to address the incidents of Fruitless and Wasteful expenditure</w:t>
      </w:r>
      <w:r w:rsidR="00024DBF" w:rsidRPr="00B5667A">
        <w:rPr>
          <w:rFonts w:cs="Arial"/>
          <w:sz w:val="20"/>
          <w:szCs w:val="20"/>
        </w:rPr>
        <w:t>, Unauthorised expenditure</w:t>
      </w:r>
      <w:r w:rsidRPr="00B5667A">
        <w:rPr>
          <w:rFonts w:cs="Arial"/>
          <w:sz w:val="20"/>
          <w:szCs w:val="20"/>
        </w:rPr>
        <w:t xml:space="preserve"> or Irregular expenditure as well as progress on investigations linked hereto and disciplinary measures in place to eliminate fruitless, wasteful</w:t>
      </w:r>
      <w:r w:rsidR="00024DBF" w:rsidRPr="00B5667A">
        <w:rPr>
          <w:rFonts w:cs="Arial"/>
          <w:sz w:val="20"/>
          <w:szCs w:val="20"/>
        </w:rPr>
        <w:t>, unauthorised</w:t>
      </w:r>
      <w:r w:rsidRPr="00B5667A">
        <w:rPr>
          <w:rFonts w:cs="Arial"/>
          <w:sz w:val="20"/>
          <w:szCs w:val="20"/>
        </w:rPr>
        <w:t xml:space="preserve"> and</w:t>
      </w:r>
      <w:r w:rsidR="00024DBF" w:rsidRPr="00B5667A">
        <w:rPr>
          <w:rFonts w:cs="Arial"/>
          <w:sz w:val="20"/>
          <w:szCs w:val="20"/>
        </w:rPr>
        <w:t>/or</w:t>
      </w:r>
      <w:r w:rsidRPr="00B5667A">
        <w:rPr>
          <w:rFonts w:cs="Arial"/>
          <w:sz w:val="20"/>
          <w:szCs w:val="20"/>
        </w:rPr>
        <w:t xml:space="preserve"> irregular expenditure. </w:t>
      </w:r>
    </w:p>
    <w:p w:rsidR="00B258D9" w:rsidRPr="00B5667A" w:rsidRDefault="00B258D9" w:rsidP="00B5667A">
      <w:pPr>
        <w:spacing w:line="240" w:lineRule="auto"/>
        <w:ind w:left="720" w:hanging="810"/>
        <w:jc w:val="left"/>
        <w:rPr>
          <w:rFonts w:cs="Arial"/>
          <w:sz w:val="20"/>
          <w:szCs w:val="20"/>
        </w:rPr>
      </w:pPr>
      <w:r w:rsidRPr="00B5667A">
        <w:rPr>
          <w:rFonts w:cs="Arial"/>
          <w:sz w:val="20"/>
          <w:szCs w:val="20"/>
        </w:rPr>
        <w:t xml:space="preserve">4.6 </w:t>
      </w:r>
      <w:r w:rsidRPr="00B5667A">
        <w:rPr>
          <w:rFonts w:cs="Arial"/>
          <w:sz w:val="20"/>
          <w:szCs w:val="20"/>
        </w:rPr>
        <w:tab/>
      </w:r>
      <w:r w:rsidR="00643D43" w:rsidRPr="00B5667A">
        <w:rPr>
          <w:rFonts w:cs="Arial"/>
          <w:sz w:val="20"/>
          <w:szCs w:val="20"/>
        </w:rPr>
        <w:t xml:space="preserve">Quarterly reports must include a </w:t>
      </w:r>
      <w:r w:rsidR="00837284" w:rsidRPr="00B5667A">
        <w:rPr>
          <w:rFonts w:cs="Arial"/>
          <w:sz w:val="20"/>
          <w:szCs w:val="20"/>
        </w:rPr>
        <w:t>detailed</w:t>
      </w:r>
      <w:r w:rsidR="00060594" w:rsidRPr="00B5667A">
        <w:rPr>
          <w:rFonts w:cs="Arial"/>
          <w:sz w:val="20"/>
          <w:szCs w:val="20"/>
        </w:rPr>
        <w:t xml:space="preserve"> status</w:t>
      </w:r>
      <w:r w:rsidR="00837284" w:rsidRPr="00B5667A">
        <w:rPr>
          <w:rFonts w:cs="Arial"/>
          <w:sz w:val="20"/>
          <w:szCs w:val="20"/>
        </w:rPr>
        <w:t xml:space="preserve"> report on the </w:t>
      </w:r>
      <w:r w:rsidR="00060594" w:rsidRPr="00B5667A">
        <w:rPr>
          <w:rFonts w:cs="Arial"/>
          <w:sz w:val="20"/>
          <w:szCs w:val="20"/>
        </w:rPr>
        <w:t>implementation of the</w:t>
      </w:r>
      <w:r w:rsidR="00B56519" w:rsidRPr="00B5667A">
        <w:rPr>
          <w:rFonts w:cs="Arial"/>
          <w:sz w:val="20"/>
          <w:szCs w:val="20"/>
        </w:rPr>
        <w:t xml:space="preserve"> Revised</w:t>
      </w:r>
      <w:r w:rsidR="00060594" w:rsidRPr="00B5667A">
        <w:rPr>
          <w:rFonts w:cs="Arial"/>
          <w:sz w:val="20"/>
          <w:szCs w:val="20"/>
        </w:rPr>
        <w:t xml:space="preserve"> </w:t>
      </w:r>
      <w:r w:rsidR="00837284" w:rsidRPr="00B5667A">
        <w:rPr>
          <w:rFonts w:cs="Arial"/>
          <w:sz w:val="20"/>
          <w:szCs w:val="20"/>
        </w:rPr>
        <w:t>Taxi Recapitalisation Programme.</w:t>
      </w:r>
      <w:r w:rsidR="00137F1A" w:rsidRPr="00B5667A">
        <w:rPr>
          <w:rFonts w:cs="Arial"/>
          <w:sz w:val="20"/>
          <w:szCs w:val="20"/>
        </w:rPr>
        <w:t xml:space="preserve"> </w:t>
      </w:r>
    </w:p>
    <w:p w:rsidR="00830B47" w:rsidRPr="00B5667A" w:rsidRDefault="00830B47" w:rsidP="00B5667A">
      <w:pPr>
        <w:spacing w:line="240" w:lineRule="auto"/>
        <w:ind w:left="-90"/>
        <w:jc w:val="left"/>
        <w:rPr>
          <w:rFonts w:cs="Arial"/>
          <w:b/>
          <w:sz w:val="20"/>
          <w:szCs w:val="20"/>
        </w:rPr>
      </w:pPr>
    </w:p>
    <w:p w:rsidR="00B258D9" w:rsidRPr="00B5667A" w:rsidRDefault="00B258D9" w:rsidP="00B5667A">
      <w:pPr>
        <w:spacing w:line="240" w:lineRule="auto"/>
        <w:ind w:left="-90"/>
        <w:jc w:val="left"/>
        <w:rPr>
          <w:rFonts w:cs="Arial"/>
          <w:b/>
          <w:sz w:val="20"/>
          <w:szCs w:val="20"/>
        </w:rPr>
      </w:pPr>
    </w:p>
    <w:p w:rsidR="00B258D9" w:rsidRPr="00B5667A" w:rsidRDefault="00B258D9" w:rsidP="00B5667A">
      <w:pPr>
        <w:spacing w:line="240" w:lineRule="auto"/>
        <w:ind w:left="-90"/>
        <w:jc w:val="left"/>
        <w:rPr>
          <w:rFonts w:cs="Arial"/>
          <w:bCs/>
          <w:sz w:val="20"/>
          <w:szCs w:val="20"/>
        </w:rPr>
      </w:pPr>
      <w:r w:rsidRPr="00B5667A">
        <w:rPr>
          <w:rFonts w:cs="Arial"/>
          <w:bCs/>
          <w:sz w:val="20"/>
          <w:szCs w:val="20"/>
        </w:rPr>
        <w:t xml:space="preserve">  The Economic Freedom Fighters (EFF) abstained from the adoption of the report.</w:t>
      </w:r>
    </w:p>
    <w:p w:rsidR="00B258D9" w:rsidRPr="00B5667A" w:rsidRDefault="00B258D9" w:rsidP="00B5667A">
      <w:pPr>
        <w:spacing w:line="240" w:lineRule="auto"/>
        <w:jc w:val="left"/>
        <w:rPr>
          <w:rFonts w:cs="Arial"/>
          <w:bCs/>
          <w:color w:val="000000" w:themeColor="text1"/>
          <w:sz w:val="20"/>
          <w:szCs w:val="20"/>
        </w:rPr>
      </w:pPr>
    </w:p>
    <w:p w:rsidR="008E5D50" w:rsidRPr="00B5667A" w:rsidRDefault="008E5D50" w:rsidP="00B5667A">
      <w:pPr>
        <w:spacing w:line="240" w:lineRule="auto"/>
        <w:jc w:val="left"/>
        <w:rPr>
          <w:rFonts w:cs="Arial"/>
          <w:color w:val="000000" w:themeColor="text1"/>
          <w:sz w:val="20"/>
          <w:szCs w:val="20"/>
        </w:rPr>
      </w:pPr>
      <w:r w:rsidRPr="00B5667A">
        <w:rPr>
          <w:rFonts w:cs="Arial"/>
          <w:color w:val="000000" w:themeColor="text1"/>
          <w:sz w:val="20"/>
          <w:szCs w:val="20"/>
        </w:rPr>
        <w:t>Report to be considered.</w:t>
      </w:r>
    </w:p>
    <w:sectPr w:rsidR="008E5D50" w:rsidRPr="00B5667A" w:rsidSect="001C7C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AD" w:rsidRDefault="00490CAD" w:rsidP="00C77A15">
      <w:pPr>
        <w:spacing w:line="240" w:lineRule="auto"/>
      </w:pPr>
      <w:r>
        <w:separator/>
      </w:r>
    </w:p>
  </w:endnote>
  <w:endnote w:type="continuationSeparator" w:id="0">
    <w:p w:rsidR="00490CAD" w:rsidRDefault="00490CAD" w:rsidP="00C77A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AD" w:rsidRDefault="00490CAD" w:rsidP="00C77A15">
      <w:pPr>
        <w:spacing w:line="240" w:lineRule="auto"/>
      </w:pPr>
      <w:r>
        <w:separator/>
      </w:r>
    </w:p>
  </w:footnote>
  <w:footnote w:type="continuationSeparator" w:id="0">
    <w:p w:rsidR="00490CAD" w:rsidRDefault="00490CAD" w:rsidP="00C77A15">
      <w:pPr>
        <w:spacing w:line="240" w:lineRule="auto"/>
      </w:pPr>
      <w:r>
        <w:continuationSeparator/>
      </w:r>
    </w:p>
  </w:footnote>
  <w:footnote w:id="1">
    <w:p w:rsidR="00C77A15" w:rsidRPr="00E215BE" w:rsidRDefault="00C77A15" w:rsidP="00C77A15">
      <w:pPr>
        <w:pStyle w:val="FootnoteText"/>
        <w:spacing w:line="280" w:lineRule="exact"/>
        <w:rPr>
          <w:rFonts w:ascii="Times New Roman" w:hAnsi="Times New Roman" w:cs="Times New Roman"/>
          <w:lang w:val="en-ZA"/>
        </w:rPr>
      </w:pPr>
      <w:r w:rsidRPr="00E215BE">
        <w:rPr>
          <w:rStyle w:val="FootnoteReference"/>
          <w:rFonts w:ascii="Times New Roman" w:hAnsi="Times New Roman" w:cs="Times New Roman"/>
        </w:rPr>
        <w:footnoteRef/>
      </w:r>
      <w:r w:rsidRPr="00E215BE">
        <w:rPr>
          <w:rFonts w:ascii="Times New Roman" w:hAnsi="Times New Roman" w:cs="Times New Roman"/>
        </w:rPr>
        <w:t xml:space="preserve"> National Treasury (2023), p. 154.</w:t>
      </w:r>
    </w:p>
  </w:footnote>
  <w:footnote w:id="2">
    <w:p w:rsidR="00C77A15" w:rsidRPr="00E215BE" w:rsidRDefault="00C77A15" w:rsidP="00C77A15">
      <w:pPr>
        <w:pStyle w:val="FootnoteText"/>
        <w:spacing w:line="280" w:lineRule="exact"/>
        <w:rPr>
          <w:rFonts w:ascii="Times New Roman" w:hAnsi="Times New Roman" w:cs="Times New Roman"/>
          <w:lang w:val="en-ZA"/>
        </w:rPr>
      </w:pPr>
      <w:r w:rsidRPr="00E215BE">
        <w:rPr>
          <w:rStyle w:val="FootnoteReference"/>
          <w:rFonts w:ascii="Times New Roman" w:hAnsi="Times New Roman" w:cs="Times New Roman"/>
        </w:rPr>
        <w:footnoteRef/>
      </w:r>
      <w:r w:rsidRPr="00E215BE">
        <w:rPr>
          <w:rFonts w:ascii="Times New Roman" w:hAnsi="Times New Roman" w:cs="Times New Roman"/>
        </w:rPr>
        <w:t xml:space="preserve"> National Treasury (2023), p. 156.</w:t>
      </w:r>
    </w:p>
  </w:footnote>
  <w:footnote w:id="3">
    <w:p w:rsidR="00C77A15" w:rsidRPr="00E215BE" w:rsidRDefault="00C77A15" w:rsidP="00C77A15">
      <w:pPr>
        <w:pStyle w:val="FootnoteText"/>
        <w:spacing w:line="280" w:lineRule="exact"/>
        <w:rPr>
          <w:rFonts w:ascii="Times New Roman" w:hAnsi="Times New Roman" w:cs="Times New Roman"/>
          <w:lang w:val="en-ZA"/>
        </w:rPr>
      </w:pPr>
      <w:r w:rsidRPr="00E215BE">
        <w:rPr>
          <w:rStyle w:val="FootnoteReference"/>
          <w:rFonts w:ascii="Times New Roman" w:hAnsi="Times New Roman" w:cs="Times New Roman"/>
        </w:rPr>
        <w:footnoteRef/>
      </w:r>
      <w:r w:rsidRPr="00E215BE">
        <w:rPr>
          <w:rFonts w:ascii="Times New Roman" w:hAnsi="Times New Roman" w:cs="Times New Roman"/>
        </w:rPr>
        <w:t xml:space="preserve"> National Treasury (2022), p. 155.</w:t>
      </w:r>
    </w:p>
  </w:footnote>
  <w:footnote w:id="4">
    <w:p w:rsidR="00C77A15" w:rsidRPr="00E215BE" w:rsidRDefault="00C77A15" w:rsidP="00C77A15">
      <w:pPr>
        <w:pStyle w:val="FootnoteText"/>
        <w:spacing w:line="280" w:lineRule="exact"/>
        <w:rPr>
          <w:rFonts w:ascii="Times New Roman" w:hAnsi="Times New Roman" w:cs="Times New Roman"/>
          <w:lang w:val="en-ZA"/>
        </w:rPr>
      </w:pPr>
      <w:r w:rsidRPr="00E215BE">
        <w:rPr>
          <w:rStyle w:val="FootnoteReference"/>
          <w:rFonts w:ascii="Times New Roman" w:hAnsi="Times New Roman" w:cs="Times New Roman"/>
        </w:rPr>
        <w:footnoteRef/>
      </w:r>
      <w:r w:rsidRPr="00E215BE">
        <w:rPr>
          <w:rFonts w:ascii="Times New Roman" w:hAnsi="Times New Roman" w:cs="Times New Roman"/>
        </w:rPr>
        <w:t xml:space="preserve"> National Treasury (2023), p. 155.</w:t>
      </w:r>
    </w:p>
  </w:footnote>
  <w:footnote w:id="5">
    <w:p w:rsidR="00C77A15" w:rsidRPr="00E215BE" w:rsidRDefault="00C77A15" w:rsidP="00C77A15">
      <w:pPr>
        <w:pStyle w:val="FootnoteText"/>
        <w:spacing w:line="280" w:lineRule="exact"/>
        <w:rPr>
          <w:rFonts w:ascii="Times New Roman" w:hAnsi="Times New Roman" w:cs="Times New Roman"/>
        </w:rPr>
      </w:pPr>
      <w:r w:rsidRPr="00E215BE">
        <w:rPr>
          <w:rStyle w:val="FootnoteReference"/>
          <w:rFonts w:ascii="Times New Roman" w:hAnsi="Times New Roman" w:cs="Times New Roman"/>
        </w:rPr>
        <w:footnoteRef/>
      </w:r>
      <w:r w:rsidRPr="00E215BE">
        <w:rPr>
          <w:rFonts w:ascii="Times New Roman" w:hAnsi="Times New Roman" w:cs="Times New Roman"/>
        </w:rPr>
        <w:t xml:space="preserve"> Ibid.</w:t>
      </w:r>
    </w:p>
  </w:footnote>
  <w:footnote w:id="6">
    <w:p w:rsidR="00C77A15" w:rsidRPr="00E215BE" w:rsidRDefault="00C77A15" w:rsidP="00C77A15">
      <w:pPr>
        <w:pStyle w:val="FootnoteText"/>
        <w:spacing w:line="280" w:lineRule="exact"/>
        <w:rPr>
          <w:rFonts w:ascii="Times New Roman" w:hAnsi="Times New Roman" w:cs="Times New Roman"/>
        </w:rPr>
      </w:pPr>
      <w:r w:rsidRPr="00E215BE">
        <w:rPr>
          <w:rStyle w:val="FootnoteReference"/>
          <w:rFonts w:ascii="Times New Roman" w:hAnsi="Times New Roman" w:cs="Times New Roman"/>
        </w:rPr>
        <w:footnoteRef/>
      </w:r>
      <w:r w:rsidRPr="00E215BE">
        <w:rPr>
          <w:rFonts w:ascii="Times New Roman" w:hAnsi="Times New Roman" w:cs="Times New Roman"/>
        </w:rPr>
        <w:t xml:space="preserve"> National Treasury (2023), p. 155.</w:t>
      </w:r>
    </w:p>
  </w:footnote>
  <w:footnote w:id="7">
    <w:p w:rsidR="00C77A15" w:rsidRPr="00E215BE" w:rsidRDefault="00C77A15" w:rsidP="00C77A15">
      <w:pPr>
        <w:pStyle w:val="FootnoteText"/>
        <w:spacing w:line="280" w:lineRule="exact"/>
        <w:rPr>
          <w:rFonts w:ascii="Times New Roman" w:hAnsi="Times New Roman" w:cs="Times New Roman"/>
        </w:rPr>
      </w:pPr>
      <w:r w:rsidRPr="00E215BE">
        <w:rPr>
          <w:rStyle w:val="FootnoteReference"/>
          <w:rFonts w:ascii="Times New Roman" w:hAnsi="Times New Roman" w:cs="Times New Roman"/>
        </w:rPr>
        <w:footnoteRef/>
      </w:r>
      <w:r w:rsidRPr="00E215BE">
        <w:rPr>
          <w:rFonts w:ascii="Times New Roman" w:hAnsi="Times New Roman" w:cs="Times New Roman"/>
        </w:rPr>
        <w:t xml:space="preserve"> </w:t>
      </w:r>
      <w:r w:rsidR="00933279">
        <w:rPr>
          <w:rFonts w:ascii="Times New Roman" w:hAnsi="Times New Roman" w:cs="Times New Roman"/>
        </w:rPr>
        <w:t>Ibid</w:t>
      </w:r>
      <w:r w:rsidRPr="00E215BE">
        <w:rPr>
          <w:rFonts w:ascii="Times New Roman" w:hAnsi="Times New Roman" w:cs="Times New Roman"/>
        </w:rPr>
        <w:t>.</w:t>
      </w:r>
    </w:p>
  </w:footnote>
  <w:footnote w:id="8">
    <w:p w:rsidR="00C77A15" w:rsidRPr="00E215BE" w:rsidRDefault="00C77A15" w:rsidP="00C77A15">
      <w:pPr>
        <w:pStyle w:val="FootnoteText"/>
        <w:spacing w:line="280" w:lineRule="exact"/>
        <w:rPr>
          <w:rFonts w:ascii="Times New Roman" w:hAnsi="Times New Roman" w:cs="Times New Roman"/>
        </w:rPr>
      </w:pPr>
      <w:r w:rsidRPr="00E215BE">
        <w:rPr>
          <w:rStyle w:val="FootnoteReference"/>
          <w:rFonts w:ascii="Times New Roman" w:hAnsi="Times New Roman" w:cs="Times New Roman"/>
        </w:rPr>
        <w:footnoteRef/>
      </w:r>
      <w:r w:rsidRPr="00E215BE">
        <w:rPr>
          <w:rFonts w:ascii="Times New Roman" w:hAnsi="Times New Roman" w:cs="Times New Roman"/>
        </w:rPr>
        <w:t xml:space="preserve"> Ibid.</w:t>
      </w:r>
    </w:p>
  </w:footnote>
  <w:footnote w:id="9">
    <w:p w:rsidR="00C77A15" w:rsidRPr="00E215BE" w:rsidRDefault="00C77A15" w:rsidP="00C77A15">
      <w:pPr>
        <w:pStyle w:val="FootnoteText"/>
        <w:spacing w:line="280" w:lineRule="exact"/>
        <w:rPr>
          <w:rFonts w:ascii="Times New Roman" w:hAnsi="Times New Roman" w:cs="Times New Roman"/>
        </w:rPr>
      </w:pPr>
      <w:r w:rsidRPr="00E215BE">
        <w:rPr>
          <w:rStyle w:val="FootnoteReference"/>
          <w:rFonts w:ascii="Times New Roman" w:hAnsi="Times New Roman" w:cs="Times New Roman"/>
        </w:rPr>
        <w:footnoteRef/>
      </w:r>
      <w:r w:rsidRPr="00E215BE">
        <w:rPr>
          <w:rFonts w:ascii="Times New Roman" w:hAnsi="Times New Roman" w:cs="Times New Roman"/>
        </w:rPr>
        <w:t xml:space="preserve"> </w:t>
      </w:r>
      <w:r w:rsidR="004C1F2A" w:rsidRPr="004C1F2A">
        <w:rPr>
          <w:rFonts w:ascii="Times New Roman" w:hAnsi="Times New Roman" w:cs="Times New Roman"/>
        </w:rPr>
        <w:t>National Treasury (2023), p. 155.</w:t>
      </w:r>
    </w:p>
  </w:footnote>
  <w:footnote w:id="10">
    <w:p w:rsidR="00C77A15" w:rsidRPr="00E215BE" w:rsidRDefault="00C77A15" w:rsidP="00C77A15">
      <w:pPr>
        <w:pStyle w:val="FootnoteText"/>
        <w:spacing w:line="280" w:lineRule="exact"/>
        <w:rPr>
          <w:rFonts w:ascii="Times New Roman" w:hAnsi="Times New Roman" w:cs="Times New Roman"/>
        </w:rPr>
      </w:pPr>
      <w:r w:rsidRPr="00E215BE">
        <w:rPr>
          <w:rStyle w:val="FootnoteReference"/>
          <w:rFonts w:ascii="Times New Roman" w:hAnsi="Times New Roman" w:cs="Times New Roman"/>
        </w:rPr>
        <w:footnoteRef/>
      </w:r>
      <w:r w:rsidRPr="00E215BE">
        <w:rPr>
          <w:rFonts w:ascii="Times New Roman" w:hAnsi="Times New Roman" w:cs="Times New Roman"/>
        </w:rPr>
        <w:t xml:space="preserve"> Ibid.</w:t>
      </w:r>
    </w:p>
  </w:footnote>
  <w:footnote w:id="11">
    <w:p w:rsidR="00C77A15" w:rsidRPr="00E215BE" w:rsidRDefault="00C77A15" w:rsidP="00C77A15">
      <w:pPr>
        <w:pStyle w:val="FootnoteText"/>
        <w:spacing w:line="280" w:lineRule="exact"/>
        <w:rPr>
          <w:rFonts w:ascii="Times New Roman" w:hAnsi="Times New Roman" w:cs="Times New Roman"/>
        </w:rPr>
      </w:pPr>
      <w:r w:rsidRPr="00E215BE">
        <w:rPr>
          <w:rStyle w:val="FootnoteReference"/>
          <w:rFonts w:ascii="Times New Roman" w:hAnsi="Times New Roman" w:cs="Times New Roman"/>
        </w:rPr>
        <w:footnoteRef/>
      </w:r>
      <w:r w:rsidRPr="00E215BE">
        <w:rPr>
          <w:rFonts w:ascii="Times New Roman" w:hAnsi="Times New Roman" w:cs="Times New Roman"/>
        </w:rPr>
        <w:t xml:space="preserve"> Ibid.</w:t>
      </w:r>
    </w:p>
  </w:footnote>
  <w:footnote w:id="12">
    <w:p w:rsidR="00C77A15" w:rsidRPr="00E215BE" w:rsidRDefault="00C77A15" w:rsidP="00C77A15">
      <w:pPr>
        <w:pStyle w:val="FootnoteText"/>
        <w:spacing w:line="280" w:lineRule="exact"/>
        <w:rPr>
          <w:rFonts w:ascii="Times New Roman" w:hAnsi="Times New Roman" w:cs="Times New Roman"/>
        </w:rPr>
      </w:pPr>
      <w:r w:rsidRPr="00E215BE">
        <w:rPr>
          <w:rStyle w:val="FootnoteReference"/>
          <w:rFonts w:ascii="Times New Roman" w:hAnsi="Times New Roman" w:cs="Times New Roman"/>
        </w:rPr>
        <w:footnoteRef/>
      </w:r>
      <w:r w:rsidRPr="00E215BE">
        <w:rPr>
          <w:rFonts w:ascii="Times New Roman" w:hAnsi="Times New Roman" w:cs="Times New Roman"/>
        </w:rPr>
        <w:t xml:space="preserve"> Ibid.</w:t>
      </w:r>
    </w:p>
  </w:footnote>
  <w:footnote w:id="13">
    <w:p w:rsidR="00C77A15" w:rsidRPr="00E215BE" w:rsidRDefault="00C77A15" w:rsidP="00C77A15">
      <w:pPr>
        <w:pStyle w:val="FootnoteText"/>
        <w:spacing w:line="280" w:lineRule="exact"/>
        <w:rPr>
          <w:rFonts w:ascii="Times New Roman" w:hAnsi="Times New Roman" w:cs="Times New Roman"/>
        </w:rPr>
      </w:pPr>
      <w:r w:rsidRPr="00E215BE">
        <w:rPr>
          <w:rStyle w:val="FootnoteReference"/>
          <w:rFonts w:ascii="Times New Roman" w:hAnsi="Times New Roman" w:cs="Times New Roman"/>
        </w:rPr>
        <w:footnoteRef/>
      </w:r>
      <w:r w:rsidRPr="00E215BE">
        <w:rPr>
          <w:rFonts w:ascii="Times New Roman" w:hAnsi="Times New Roman" w:cs="Times New Roman"/>
        </w:rPr>
        <w:t xml:space="preserve"> </w:t>
      </w:r>
      <w:r w:rsidR="004C1F2A">
        <w:rPr>
          <w:rFonts w:ascii="Times New Roman" w:hAnsi="Times New Roman" w:cs="Times New Roman"/>
        </w:rPr>
        <w:t>Ibid</w:t>
      </w:r>
      <w:r w:rsidRPr="00E215BE">
        <w:rPr>
          <w:rFonts w:ascii="Times New Roman" w:hAnsi="Times New Roman" w:cs="Times New Roman"/>
        </w:rPr>
        <w:t>.</w:t>
      </w:r>
    </w:p>
  </w:footnote>
  <w:footnote w:id="14">
    <w:p w:rsidR="00C77A15" w:rsidRPr="00E215BE" w:rsidRDefault="00C77A15" w:rsidP="00C77A15">
      <w:pPr>
        <w:pStyle w:val="FootnoteText"/>
        <w:spacing w:line="280" w:lineRule="exact"/>
        <w:rPr>
          <w:rFonts w:ascii="Times New Roman" w:hAnsi="Times New Roman" w:cs="Times New Roman"/>
          <w:lang w:val="en-ZA"/>
        </w:rPr>
      </w:pPr>
      <w:r w:rsidRPr="00E215BE">
        <w:rPr>
          <w:rStyle w:val="FootnoteReference"/>
          <w:rFonts w:ascii="Times New Roman" w:hAnsi="Times New Roman" w:cs="Times New Roman"/>
        </w:rPr>
        <w:footnoteRef/>
      </w:r>
      <w:r w:rsidRPr="00E215BE">
        <w:rPr>
          <w:rFonts w:ascii="Times New Roman" w:hAnsi="Times New Roman" w:cs="Times New Roman"/>
        </w:rPr>
        <w:t xml:space="preserve"> National Treasury (2023), p. 156.</w:t>
      </w:r>
    </w:p>
  </w:footnote>
  <w:footnote w:id="15">
    <w:p w:rsidR="00C77A15" w:rsidRPr="00E215BE" w:rsidRDefault="00C77A15" w:rsidP="00C77A15">
      <w:pPr>
        <w:pStyle w:val="FootnoteText"/>
        <w:spacing w:line="280" w:lineRule="exact"/>
        <w:rPr>
          <w:rFonts w:ascii="Times New Roman" w:hAnsi="Times New Roman" w:cs="Times New Roman"/>
          <w:lang w:val="en-ZA"/>
        </w:rPr>
      </w:pPr>
      <w:r w:rsidRPr="00E215BE">
        <w:rPr>
          <w:rStyle w:val="FootnoteReference"/>
          <w:rFonts w:ascii="Times New Roman" w:hAnsi="Times New Roman" w:cs="Times New Roman"/>
        </w:rPr>
        <w:footnoteRef/>
      </w:r>
      <w:r w:rsidRPr="00E215BE">
        <w:rPr>
          <w:rFonts w:ascii="Times New Roman" w:hAnsi="Times New Roman" w:cs="Times New Roman"/>
        </w:rPr>
        <w:t xml:space="preserve"> Ibid.</w:t>
      </w:r>
    </w:p>
  </w:footnote>
  <w:footnote w:id="16">
    <w:p w:rsidR="00DA00E6" w:rsidRPr="00DA00E6" w:rsidRDefault="00DA00E6">
      <w:pPr>
        <w:pStyle w:val="FootnoteText"/>
        <w:rPr>
          <w:lang w:val="en-US"/>
        </w:rPr>
      </w:pPr>
      <w:r>
        <w:rPr>
          <w:rStyle w:val="FootnoteReference"/>
        </w:rPr>
        <w:footnoteRef/>
      </w:r>
      <w:r>
        <w:t xml:space="preserve"> </w:t>
      </w:r>
      <w:r w:rsidRPr="004F7748">
        <w:rPr>
          <w:rFonts w:ascii="Times New Roman" w:hAnsi="Times New Roman" w:cs="Times New Roman"/>
        </w:rPr>
        <w:t>Due to the urgent need to receive updated briefings and detailed reports on the issues highlighted in the recommendations, such as the Revised Taxi Recapitalisation Programme, the Department may be required to present these reports to the Committee prior to the scheduled quarterly briefings.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B4A"/>
    <w:multiLevelType w:val="hybridMultilevel"/>
    <w:tmpl w:val="5B8698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F7580"/>
    <w:multiLevelType w:val="hybridMultilevel"/>
    <w:tmpl w:val="AEEE4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142412"/>
    <w:multiLevelType w:val="hybridMultilevel"/>
    <w:tmpl w:val="92729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C813C0"/>
    <w:multiLevelType w:val="hybridMultilevel"/>
    <w:tmpl w:val="C0EE207A"/>
    <w:lvl w:ilvl="0" w:tplc="1C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F52D33"/>
    <w:multiLevelType w:val="multilevel"/>
    <w:tmpl w:val="854881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9C7698"/>
    <w:multiLevelType w:val="hybridMultilevel"/>
    <w:tmpl w:val="FEAC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850031"/>
    <w:multiLevelType w:val="hybridMultilevel"/>
    <w:tmpl w:val="5FF83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AE43C4"/>
    <w:multiLevelType w:val="multilevel"/>
    <w:tmpl w:val="FC5ACEC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D83D0F"/>
    <w:multiLevelType w:val="hybridMultilevel"/>
    <w:tmpl w:val="57D05F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A41FDF"/>
    <w:multiLevelType w:val="hybridMultilevel"/>
    <w:tmpl w:val="89E4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B44908"/>
    <w:multiLevelType w:val="hybridMultilevel"/>
    <w:tmpl w:val="F47AA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2E397C"/>
    <w:multiLevelType w:val="hybridMultilevel"/>
    <w:tmpl w:val="1F8EF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CF7146B"/>
    <w:multiLevelType w:val="hybridMultilevel"/>
    <w:tmpl w:val="A6964A42"/>
    <w:lvl w:ilvl="0" w:tplc="26C0E7A2">
      <w:start w:val="1"/>
      <w:numFmt w:val="decimal"/>
      <w:lvlText w:val="%1."/>
      <w:lvlJc w:val="left"/>
      <w:pPr>
        <w:ind w:left="36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3E558ED"/>
    <w:multiLevelType w:val="hybridMultilevel"/>
    <w:tmpl w:val="7A826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1"/>
  </w:num>
  <w:num w:numId="4">
    <w:abstractNumId w:val="5"/>
  </w:num>
  <w:num w:numId="5">
    <w:abstractNumId w:val="6"/>
  </w:num>
  <w:num w:numId="6">
    <w:abstractNumId w:val="8"/>
  </w:num>
  <w:num w:numId="7">
    <w:abstractNumId w:val="13"/>
  </w:num>
  <w:num w:numId="8">
    <w:abstractNumId w:val="1"/>
  </w:num>
  <w:num w:numId="9">
    <w:abstractNumId w:val="2"/>
  </w:num>
  <w:num w:numId="10">
    <w:abstractNumId w:val="0"/>
  </w:num>
  <w:num w:numId="11">
    <w:abstractNumId w:val="3"/>
  </w:num>
  <w:num w:numId="12">
    <w:abstractNumId w:val="10"/>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1"/>
    <w:footnote w:id="0"/>
  </w:footnotePr>
  <w:endnotePr>
    <w:endnote w:id="-1"/>
    <w:endnote w:id="0"/>
  </w:endnotePr>
  <w:compat/>
  <w:rsids>
    <w:rsidRoot w:val="00C77A15"/>
    <w:rsid w:val="00003B4C"/>
    <w:rsid w:val="00013A3F"/>
    <w:rsid w:val="00024DBF"/>
    <w:rsid w:val="0003682F"/>
    <w:rsid w:val="00040695"/>
    <w:rsid w:val="00060594"/>
    <w:rsid w:val="00137F1A"/>
    <w:rsid w:val="001426D2"/>
    <w:rsid w:val="001C7CDC"/>
    <w:rsid w:val="00217AB6"/>
    <w:rsid w:val="002C67BA"/>
    <w:rsid w:val="00307F6B"/>
    <w:rsid w:val="00354993"/>
    <w:rsid w:val="003E77AA"/>
    <w:rsid w:val="004205F6"/>
    <w:rsid w:val="00434A05"/>
    <w:rsid w:val="00490CAD"/>
    <w:rsid w:val="004C1F2A"/>
    <w:rsid w:val="004F7748"/>
    <w:rsid w:val="004F7E9F"/>
    <w:rsid w:val="00521117"/>
    <w:rsid w:val="00554B2C"/>
    <w:rsid w:val="00564D11"/>
    <w:rsid w:val="005806C0"/>
    <w:rsid w:val="005E58FD"/>
    <w:rsid w:val="005E7810"/>
    <w:rsid w:val="00602809"/>
    <w:rsid w:val="00643D43"/>
    <w:rsid w:val="006465C4"/>
    <w:rsid w:val="0080341E"/>
    <w:rsid w:val="00810404"/>
    <w:rsid w:val="00821FCF"/>
    <w:rsid w:val="00830B47"/>
    <w:rsid w:val="00835821"/>
    <w:rsid w:val="00837284"/>
    <w:rsid w:val="0086566C"/>
    <w:rsid w:val="0089695E"/>
    <w:rsid w:val="008D5E3D"/>
    <w:rsid w:val="008E31F7"/>
    <w:rsid w:val="008E5D50"/>
    <w:rsid w:val="00920BE9"/>
    <w:rsid w:val="00933279"/>
    <w:rsid w:val="009C5650"/>
    <w:rsid w:val="00AA092B"/>
    <w:rsid w:val="00AB7FB3"/>
    <w:rsid w:val="00B258D9"/>
    <w:rsid w:val="00B263C2"/>
    <w:rsid w:val="00B56519"/>
    <w:rsid w:val="00B5667A"/>
    <w:rsid w:val="00B90E3B"/>
    <w:rsid w:val="00BF4BCE"/>
    <w:rsid w:val="00C61C69"/>
    <w:rsid w:val="00C654EF"/>
    <w:rsid w:val="00C7638C"/>
    <w:rsid w:val="00C77A15"/>
    <w:rsid w:val="00C858E0"/>
    <w:rsid w:val="00C86D0F"/>
    <w:rsid w:val="00D933DB"/>
    <w:rsid w:val="00DA00E6"/>
    <w:rsid w:val="00DC40AF"/>
    <w:rsid w:val="00E215BE"/>
    <w:rsid w:val="00E47C7C"/>
    <w:rsid w:val="00F72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15"/>
    <w:pPr>
      <w:spacing w:after="0" w:line="280" w:lineRule="exact"/>
      <w:jc w:val="both"/>
    </w:pPr>
    <w:rPr>
      <w:rFonts w:ascii="Arial" w:hAnsi="Arial"/>
      <w:kern w:val="0"/>
      <w:lang w:val="en-GB"/>
    </w:rPr>
  </w:style>
  <w:style w:type="paragraph" w:styleId="Heading1">
    <w:name w:val="heading 1"/>
    <w:basedOn w:val="Normal"/>
    <w:next w:val="Normal"/>
    <w:link w:val="Heading1Char"/>
    <w:uiPriority w:val="9"/>
    <w:qFormat/>
    <w:rsid w:val="00C77A15"/>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C77A15"/>
    <w:pPr>
      <w:keepNext/>
      <w:keepLines/>
      <w:spacing w:before="40"/>
      <w:jc w:val="left"/>
      <w:outlineLvl w:val="1"/>
    </w:pPr>
    <w:rPr>
      <w:rFonts w:eastAsiaTheme="majorEastAsi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A15"/>
    <w:rPr>
      <w:rFonts w:ascii="Arial" w:eastAsiaTheme="majorEastAsia" w:hAnsi="Arial" w:cstheme="majorBidi"/>
      <w:b/>
      <w:caps/>
      <w:color w:val="538135" w:themeColor="accent6" w:themeShade="BF"/>
      <w:kern w:val="0"/>
      <w:szCs w:val="32"/>
      <w:lang w:val="en-GB"/>
    </w:rPr>
  </w:style>
  <w:style w:type="character" w:customStyle="1" w:styleId="Heading2Char">
    <w:name w:val="Heading 2 Char"/>
    <w:basedOn w:val="DefaultParagraphFont"/>
    <w:link w:val="Heading2"/>
    <w:uiPriority w:val="9"/>
    <w:rsid w:val="00C77A15"/>
    <w:rPr>
      <w:rFonts w:ascii="Arial" w:eastAsiaTheme="majorEastAsia" w:hAnsi="Arial" w:cstheme="majorBidi"/>
      <w:b/>
      <w:color w:val="538135" w:themeColor="accent6" w:themeShade="BF"/>
      <w:kern w:val="0"/>
      <w:szCs w:val="26"/>
      <w:lang w:val="en-GB"/>
    </w:rPr>
  </w:style>
  <w:style w:type="paragraph" w:styleId="ListParagraph">
    <w:name w:val="List Paragraph"/>
    <w:basedOn w:val="Normal"/>
    <w:uiPriority w:val="34"/>
    <w:qFormat/>
    <w:rsid w:val="00C77A15"/>
    <w:pPr>
      <w:ind w:left="720"/>
      <w:contextualSpacing/>
    </w:pPr>
  </w:style>
  <w:style w:type="table" w:styleId="TableGrid">
    <w:name w:val="Table Grid"/>
    <w:basedOn w:val="TableNormal"/>
    <w:rsid w:val="00C77A15"/>
    <w:pPr>
      <w:spacing w:after="0" w:line="240" w:lineRule="auto"/>
    </w:pPr>
    <w:rPr>
      <w:kern w:val="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ootnote Text Char1,fn Char"/>
    <w:basedOn w:val="Normal"/>
    <w:link w:val="FootnoteTextChar"/>
    <w:unhideWhenUsed/>
    <w:rsid w:val="00C77A15"/>
    <w:pPr>
      <w:spacing w:line="240" w:lineRule="auto"/>
    </w:pPr>
    <w:rPr>
      <w:sz w:val="20"/>
      <w:szCs w:val="20"/>
    </w:rPr>
  </w:style>
  <w:style w:type="character" w:customStyle="1" w:styleId="FootnoteTextChar">
    <w:name w:val="Footnote Text Char"/>
    <w:aliases w:val="Footnote Text Char Char Char,Footnote Text Char1 Char,fn Char Char"/>
    <w:basedOn w:val="DefaultParagraphFont"/>
    <w:link w:val="FootnoteText"/>
    <w:rsid w:val="00C77A15"/>
    <w:rPr>
      <w:rFonts w:ascii="Arial" w:hAnsi="Arial"/>
      <w:kern w:val="0"/>
      <w:sz w:val="20"/>
      <w:szCs w:val="20"/>
      <w:lang w:val="en-GB"/>
    </w:rPr>
  </w:style>
  <w:style w:type="character" w:styleId="FootnoteReference">
    <w:name w:val="footnote reference"/>
    <w:aliases w:val="ftref"/>
    <w:basedOn w:val="DefaultParagraphFont"/>
    <w:rsid w:val="00C77A15"/>
    <w:rPr>
      <w:vertAlign w:val="superscript"/>
    </w:rPr>
  </w:style>
  <w:style w:type="paragraph" w:styleId="Header">
    <w:name w:val="header"/>
    <w:basedOn w:val="Normal"/>
    <w:link w:val="HeaderChar"/>
    <w:uiPriority w:val="99"/>
    <w:unhideWhenUsed/>
    <w:rsid w:val="00821FCF"/>
    <w:pPr>
      <w:tabs>
        <w:tab w:val="center" w:pos="4680"/>
        <w:tab w:val="right" w:pos="9360"/>
      </w:tabs>
      <w:spacing w:line="240" w:lineRule="auto"/>
    </w:pPr>
  </w:style>
  <w:style w:type="character" w:customStyle="1" w:styleId="HeaderChar">
    <w:name w:val="Header Char"/>
    <w:basedOn w:val="DefaultParagraphFont"/>
    <w:link w:val="Header"/>
    <w:uiPriority w:val="99"/>
    <w:rsid w:val="00821FCF"/>
    <w:rPr>
      <w:rFonts w:ascii="Arial" w:hAnsi="Arial"/>
      <w:kern w:val="0"/>
      <w:lang w:val="en-GB"/>
    </w:rPr>
  </w:style>
  <w:style w:type="paragraph" w:styleId="Footer">
    <w:name w:val="footer"/>
    <w:basedOn w:val="Normal"/>
    <w:link w:val="FooterChar"/>
    <w:uiPriority w:val="99"/>
    <w:unhideWhenUsed/>
    <w:rsid w:val="00821FCF"/>
    <w:pPr>
      <w:tabs>
        <w:tab w:val="center" w:pos="4680"/>
        <w:tab w:val="right" w:pos="9360"/>
      </w:tabs>
      <w:spacing w:line="240" w:lineRule="auto"/>
    </w:pPr>
  </w:style>
  <w:style w:type="character" w:customStyle="1" w:styleId="FooterChar">
    <w:name w:val="Footer Char"/>
    <w:basedOn w:val="DefaultParagraphFont"/>
    <w:link w:val="Footer"/>
    <w:uiPriority w:val="99"/>
    <w:rsid w:val="00821FCF"/>
    <w:rPr>
      <w:rFonts w:ascii="Arial" w:hAnsi="Arial"/>
      <w:kern w:val="0"/>
      <w:lang w:val="en-GB"/>
    </w:rPr>
  </w:style>
  <w:style w:type="paragraph" w:styleId="Revision">
    <w:name w:val="Revision"/>
    <w:hidden/>
    <w:uiPriority w:val="99"/>
    <w:semiHidden/>
    <w:rsid w:val="00E215BE"/>
    <w:pPr>
      <w:spacing w:after="0" w:line="240" w:lineRule="auto"/>
    </w:pPr>
    <w:rPr>
      <w:rFonts w:ascii="Arial" w:hAnsi="Arial"/>
      <w:kern w:val="0"/>
      <w:lang w:val="en-GB"/>
    </w:rPr>
  </w:style>
  <w:style w:type="character" w:styleId="CommentReference">
    <w:name w:val="annotation reference"/>
    <w:basedOn w:val="DefaultParagraphFont"/>
    <w:uiPriority w:val="99"/>
    <w:semiHidden/>
    <w:unhideWhenUsed/>
    <w:rsid w:val="00920BE9"/>
    <w:rPr>
      <w:sz w:val="16"/>
      <w:szCs w:val="16"/>
    </w:rPr>
  </w:style>
  <w:style w:type="paragraph" w:styleId="CommentText">
    <w:name w:val="annotation text"/>
    <w:basedOn w:val="Normal"/>
    <w:link w:val="CommentTextChar"/>
    <w:uiPriority w:val="99"/>
    <w:unhideWhenUsed/>
    <w:rsid w:val="00920BE9"/>
    <w:pPr>
      <w:spacing w:line="240" w:lineRule="auto"/>
    </w:pPr>
    <w:rPr>
      <w:sz w:val="20"/>
      <w:szCs w:val="20"/>
    </w:rPr>
  </w:style>
  <w:style w:type="character" w:customStyle="1" w:styleId="CommentTextChar">
    <w:name w:val="Comment Text Char"/>
    <w:basedOn w:val="DefaultParagraphFont"/>
    <w:link w:val="CommentText"/>
    <w:uiPriority w:val="99"/>
    <w:rsid w:val="00920BE9"/>
    <w:rPr>
      <w:rFonts w:ascii="Arial" w:hAnsi="Arial"/>
      <w:kern w:val="0"/>
      <w:sz w:val="20"/>
      <w:szCs w:val="20"/>
      <w:lang w:val="en-GB"/>
    </w:rPr>
  </w:style>
  <w:style w:type="paragraph" w:styleId="CommentSubject">
    <w:name w:val="annotation subject"/>
    <w:basedOn w:val="CommentText"/>
    <w:next w:val="CommentText"/>
    <w:link w:val="CommentSubjectChar"/>
    <w:uiPriority w:val="99"/>
    <w:semiHidden/>
    <w:unhideWhenUsed/>
    <w:rsid w:val="00920BE9"/>
    <w:rPr>
      <w:b/>
      <w:bCs/>
    </w:rPr>
  </w:style>
  <w:style w:type="character" w:customStyle="1" w:styleId="CommentSubjectChar">
    <w:name w:val="Comment Subject Char"/>
    <w:basedOn w:val="CommentTextChar"/>
    <w:link w:val="CommentSubject"/>
    <w:uiPriority w:val="99"/>
    <w:semiHidden/>
    <w:rsid w:val="00920BE9"/>
    <w:rPr>
      <w:rFonts w:ascii="Arial" w:hAnsi="Arial"/>
      <w:b/>
      <w:bCs/>
      <w:kern w:val="0"/>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9450-A82E-45D7-B36D-150B207B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2023-06-30T10:40:00Z</dcterms:created>
  <dcterms:modified xsi:type="dcterms:W3CDTF">2023-06-30T10:40:00Z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daa0ab3addd631140530d4b275726491018b5dc60b03f63f7e8d1e969283379b</vt:lpwstr>
  </property>
</Properties>
</file>