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E71" w:rsidRPr="00E808D2" w:rsidRDefault="00E808D2" w:rsidP="00E808D2">
      <w:pPr>
        <w:spacing w:line="240" w:lineRule="auto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Report of the Portfolio Committee on Justice and Correctional Services o</w:t>
      </w:r>
      <w:r w:rsidRPr="00E808D2">
        <w:rPr>
          <w:rFonts w:ascii="Arial" w:hAnsi="Arial" w:cs="Arial"/>
          <w:b/>
          <w:color w:val="000000" w:themeColor="text1"/>
          <w:sz w:val="20"/>
          <w:szCs w:val="20"/>
        </w:rPr>
        <w:t xml:space="preserve">n </w:t>
      </w:r>
      <w:r>
        <w:rPr>
          <w:rFonts w:ascii="Arial" w:hAnsi="Arial" w:cs="Arial"/>
          <w:b/>
          <w:sz w:val="20"/>
          <w:szCs w:val="20"/>
        </w:rPr>
        <w:t>Amendments t</w:t>
      </w:r>
      <w:r w:rsidRPr="00E808D2">
        <w:rPr>
          <w:rFonts w:ascii="Arial" w:hAnsi="Arial" w:cs="Arial"/>
          <w:b/>
          <w:sz w:val="20"/>
          <w:szCs w:val="20"/>
        </w:rPr>
        <w:t>o Prac</w:t>
      </w:r>
      <w:r>
        <w:rPr>
          <w:rFonts w:ascii="Arial" w:hAnsi="Arial" w:cs="Arial"/>
          <w:b/>
          <w:sz w:val="20"/>
          <w:szCs w:val="20"/>
        </w:rPr>
        <w:t>tical Guidelines for Employees f</w:t>
      </w:r>
      <w:r w:rsidRPr="00E808D2">
        <w:rPr>
          <w:rFonts w:ascii="Arial" w:hAnsi="Arial" w:cs="Arial"/>
          <w:b/>
          <w:sz w:val="20"/>
          <w:szCs w:val="20"/>
        </w:rPr>
        <w:t>or Approva</w:t>
      </w:r>
      <w:r>
        <w:rPr>
          <w:rFonts w:ascii="Arial" w:hAnsi="Arial" w:cs="Arial"/>
          <w:b/>
          <w:sz w:val="20"/>
          <w:szCs w:val="20"/>
        </w:rPr>
        <w:t>l in terms of Section 10(4)(B) of t</w:t>
      </w:r>
      <w:r w:rsidRPr="00E808D2">
        <w:rPr>
          <w:rFonts w:ascii="Arial" w:hAnsi="Arial" w:cs="Arial"/>
          <w:b/>
          <w:sz w:val="20"/>
          <w:szCs w:val="20"/>
        </w:rPr>
        <w:t>he Protected Disclosures Act, 2000 (Act No. 26 Of 2000)</w:t>
      </w:r>
      <w:r w:rsidRPr="00E808D2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 w:rsidRPr="00E808D2">
        <w:rPr>
          <w:rFonts w:ascii="Arial" w:hAnsi="Arial" w:cs="Arial"/>
          <w:b/>
          <w:color w:val="000000" w:themeColor="text1"/>
          <w:sz w:val="20"/>
          <w:szCs w:val="20"/>
        </w:rPr>
        <w:t>Dated 13 June 2023</w:t>
      </w:r>
    </w:p>
    <w:p w:rsidR="002D7E71" w:rsidRPr="00E808D2" w:rsidRDefault="002D7E71" w:rsidP="00E808D2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2D7E71" w:rsidRPr="00E808D2" w:rsidRDefault="002D7E71" w:rsidP="00E808D2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808D2">
        <w:rPr>
          <w:rFonts w:ascii="Arial" w:hAnsi="Arial" w:cs="Arial"/>
          <w:color w:val="000000" w:themeColor="text1"/>
          <w:sz w:val="20"/>
          <w:szCs w:val="20"/>
        </w:rPr>
        <w:t>The Portfolio Committee on Justice and Correctional Services, having considered the</w:t>
      </w:r>
      <w:r w:rsidR="00657423" w:rsidRPr="00E808D2">
        <w:rPr>
          <w:rFonts w:ascii="Arial" w:hAnsi="Arial" w:cs="Arial"/>
          <w:sz w:val="20"/>
          <w:szCs w:val="20"/>
        </w:rPr>
        <w:t xml:space="preserve"> amendments to the Practical Guidelines for Employees</w:t>
      </w:r>
      <w:r w:rsidR="002E4213" w:rsidRPr="00E808D2">
        <w:rPr>
          <w:rFonts w:ascii="Arial" w:hAnsi="Arial" w:cs="Arial"/>
          <w:color w:val="000000"/>
          <w:sz w:val="20"/>
          <w:szCs w:val="20"/>
        </w:rPr>
        <w:t xml:space="preserve"> </w:t>
      </w:r>
      <w:r w:rsidR="00DC518B" w:rsidRPr="00E808D2">
        <w:rPr>
          <w:rFonts w:ascii="Arial" w:hAnsi="Arial" w:cs="Arial"/>
          <w:color w:val="000000"/>
          <w:sz w:val="20"/>
          <w:szCs w:val="20"/>
        </w:rPr>
        <w:t xml:space="preserve">submitted in </w:t>
      </w:r>
      <w:r w:rsidR="00CD49A5" w:rsidRPr="00E808D2">
        <w:rPr>
          <w:rFonts w:ascii="Arial" w:hAnsi="Arial" w:cs="Arial"/>
          <w:color w:val="000000"/>
          <w:sz w:val="20"/>
          <w:szCs w:val="20"/>
        </w:rPr>
        <w:t>terms of section 10(4)(</w:t>
      </w:r>
      <w:r w:rsidR="002E4213" w:rsidRPr="00E808D2">
        <w:rPr>
          <w:rFonts w:ascii="Arial" w:hAnsi="Arial" w:cs="Arial"/>
          <w:color w:val="000000"/>
          <w:sz w:val="20"/>
          <w:szCs w:val="20"/>
        </w:rPr>
        <w:t>b</w:t>
      </w:r>
      <w:r w:rsidR="00CD49A5" w:rsidRPr="00E808D2">
        <w:rPr>
          <w:rFonts w:ascii="Arial" w:hAnsi="Arial" w:cs="Arial"/>
          <w:color w:val="000000"/>
          <w:sz w:val="20"/>
          <w:szCs w:val="20"/>
        </w:rPr>
        <w:t xml:space="preserve">) of the Protected Disclosures Act, 2000 (Act No. 26 of 2000), </w:t>
      </w:r>
      <w:r w:rsidR="00CD49A5" w:rsidRPr="00E808D2">
        <w:rPr>
          <w:rFonts w:ascii="Arial" w:hAnsi="Arial" w:cs="Arial"/>
          <w:bCs/>
          <w:sz w:val="20"/>
          <w:szCs w:val="20"/>
        </w:rPr>
        <w:t xml:space="preserve">reports </w:t>
      </w:r>
      <w:r w:rsidRPr="00E808D2">
        <w:rPr>
          <w:rFonts w:ascii="Arial" w:hAnsi="Arial" w:cs="Arial"/>
          <w:bCs/>
          <w:color w:val="000000" w:themeColor="text1"/>
          <w:sz w:val="20"/>
          <w:szCs w:val="20"/>
        </w:rPr>
        <w:t>as f</w:t>
      </w:r>
      <w:r w:rsidRPr="00E808D2">
        <w:rPr>
          <w:rFonts w:ascii="Arial" w:hAnsi="Arial" w:cs="Arial"/>
          <w:color w:val="000000" w:themeColor="text1"/>
          <w:sz w:val="20"/>
          <w:szCs w:val="20"/>
        </w:rPr>
        <w:t>ollows:</w:t>
      </w:r>
    </w:p>
    <w:p w:rsidR="00815BAA" w:rsidRPr="00E808D2" w:rsidRDefault="00815BAA" w:rsidP="00E808D2">
      <w:pPr>
        <w:spacing w:line="240" w:lineRule="auto"/>
        <w:rPr>
          <w:rFonts w:ascii="Arial" w:hAnsi="Arial" w:cs="Arial"/>
          <w:color w:val="000000" w:themeColor="text1"/>
          <w:sz w:val="20"/>
          <w:szCs w:val="20"/>
          <w:lang w:val="en-GB"/>
        </w:rPr>
      </w:pPr>
    </w:p>
    <w:p w:rsidR="00657423" w:rsidRPr="00E808D2" w:rsidRDefault="00CD49A5" w:rsidP="00E808D2">
      <w:pPr>
        <w:pStyle w:val="ListParagraph"/>
        <w:numPr>
          <w:ilvl w:val="0"/>
          <w:numId w:val="1"/>
        </w:numPr>
        <w:spacing w:line="240" w:lineRule="auto"/>
        <w:ind w:hanging="720"/>
        <w:rPr>
          <w:rFonts w:ascii="Arial" w:hAnsi="Arial" w:cs="Arial"/>
          <w:color w:val="000000" w:themeColor="text1"/>
          <w:sz w:val="20"/>
          <w:szCs w:val="20"/>
        </w:rPr>
      </w:pPr>
      <w:r w:rsidRPr="00E808D2">
        <w:rPr>
          <w:rFonts w:ascii="Arial" w:hAnsi="Arial" w:cs="Arial"/>
          <w:color w:val="000000" w:themeColor="text1"/>
          <w:sz w:val="20"/>
          <w:szCs w:val="20"/>
        </w:rPr>
        <w:t>In terms of s</w:t>
      </w:r>
      <w:r w:rsidR="00657423" w:rsidRPr="00E808D2">
        <w:rPr>
          <w:rFonts w:ascii="Arial" w:hAnsi="Arial" w:cs="Arial"/>
          <w:color w:val="000000" w:themeColor="text1"/>
          <w:sz w:val="20"/>
          <w:szCs w:val="20"/>
        </w:rPr>
        <w:t xml:space="preserve">ection 10(4)(a) </w:t>
      </w:r>
      <w:r w:rsidRPr="00E808D2">
        <w:rPr>
          <w:rFonts w:ascii="Arial" w:hAnsi="Arial" w:cs="Arial"/>
          <w:color w:val="000000" w:themeColor="text1"/>
          <w:sz w:val="20"/>
          <w:szCs w:val="20"/>
        </w:rPr>
        <w:t xml:space="preserve">of the Protected Disclosures Act, 2000 (Act No. 26 of 2000), </w:t>
      </w:r>
      <w:r w:rsidR="00657423" w:rsidRPr="00E808D2">
        <w:rPr>
          <w:rFonts w:ascii="Arial" w:hAnsi="Arial" w:cs="Arial"/>
          <w:color w:val="000000" w:themeColor="text1"/>
          <w:sz w:val="20"/>
          <w:szCs w:val="20"/>
        </w:rPr>
        <w:t xml:space="preserve">the Minister of Justice and Correctional Services must issue practical guidelines (Guidelines) which explain (i) the provisions of the Act; and (ii) all procedures which are available in terms of any law to employees or workers who wish to report or otherwise remedy an impropriety. </w:t>
      </w:r>
    </w:p>
    <w:p w:rsidR="00CD49A5" w:rsidRPr="00E808D2" w:rsidRDefault="00CD49A5" w:rsidP="00E808D2">
      <w:pPr>
        <w:pStyle w:val="ListParagraph"/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2E4213" w:rsidRPr="00E808D2" w:rsidRDefault="002E4213" w:rsidP="00E808D2">
      <w:pPr>
        <w:pStyle w:val="ListParagraph"/>
        <w:numPr>
          <w:ilvl w:val="0"/>
          <w:numId w:val="1"/>
        </w:numPr>
        <w:spacing w:line="240" w:lineRule="auto"/>
        <w:ind w:hanging="720"/>
        <w:rPr>
          <w:rFonts w:ascii="Arial" w:hAnsi="Arial" w:cs="Arial"/>
          <w:color w:val="000000" w:themeColor="text1"/>
          <w:sz w:val="20"/>
          <w:szCs w:val="20"/>
        </w:rPr>
      </w:pPr>
      <w:r w:rsidRPr="00E808D2">
        <w:rPr>
          <w:rFonts w:ascii="Arial" w:hAnsi="Arial" w:cs="Arial"/>
          <w:color w:val="000000" w:themeColor="text1"/>
          <w:sz w:val="20"/>
          <w:szCs w:val="20"/>
        </w:rPr>
        <w:t>Section 10(4)(b) of the Act provides that the Guidelines must be approved by Parliament before publication in the Gazette.</w:t>
      </w:r>
    </w:p>
    <w:p w:rsidR="002E4213" w:rsidRPr="00E808D2" w:rsidRDefault="002E4213" w:rsidP="00E808D2">
      <w:pPr>
        <w:pStyle w:val="ListParagraph"/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2E4213" w:rsidRPr="00E808D2" w:rsidRDefault="002E4213" w:rsidP="00E808D2">
      <w:pPr>
        <w:pStyle w:val="ListParagraph"/>
        <w:numPr>
          <w:ilvl w:val="0"/>
          <w:numId w:val="1"/>
        </w:numPr>
        <w:spacing w:line="240" w:lineRule="auto"/>
        <w:ind w:hanging="720"/>
        <w:rPr>
          <w:rFonts w:ascii="Arial" w:eastAsia="Calibri" w:hAnsi="Arial" w:cs="Arial"/>
          <w:color w:val="000000"/>
          <w:sz w:val="20"/>
          <w:szCs w:val="20"/>
        </w:rPr>
      </w:pPr>
      <w:r w:rsidRPr="00E808D2">
        <w:rPr>
          <w:rFonts w:ascii="Arial" w:eastAsia="Calibri" w:hAnsi="Arial" w:cs="Arial"/>
          <w:color w:val="000000"/>
          <w:sz w:val="20"/>
          <w:szCs w:val="20"/>
        </w:rPr>
        <w:t xml:space="preserve">The Guidelines were referred to the Committee for consideration and report on </w:t>
      </w:r>
      <w:r w:rsidR="004B6B54" w:rsidRPr="00E808D2">
        <w:rPr>
          <w:rFonts w:ascii="Arial" w:eastAsia="Calibri" w:hAnsi="Arial" w:cs="Arial"/>
          <w:color w:val="000000"/>
          <w:sz w:val="20"/>
          <w:szCs w:val="20"/>
        </w:rPr>
        <w:t>25 November 2022</w:t>
      </w:r>
      <w:r w:rsidRPr="00E808D2">
        <w:rPr>
          <w:rFonts w:ascii="Arial" w:eastAsia="Calibri" w:hAnsi="Arial" w:cs="Arial"/>
          <w:color w:val="000000"/>
          <w:sz w:val="20"/>
          <w:szCs w:val="20"/>
        </w:rPr>
        <w:t xml:space="preserve"> and the Committee was briefed on the contents on 7 June 2023.</w:t>
      </w:r>
    </w:p>
    <w:p w:rsidR="002E4213" w:rsidRPr="00E808D2" w:rsidRDefault="002E4213" w:rsidP="00E808D2">
      <w:pPr>
        <w:pStyle w:val="ListParagraph"/>
        <w:spacing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657423" w:rsidRPr="00E808D2" w:rsidRDefault="002E4213" w:rsidP="00E808D2">
      <w:pPr>
        <w:pStyle w:val="ListParagraph"/>
        <w:numPr>
          <w:ilvl w:val="0"/>
          <w:numId w:val="1"/>
        </w:numPr>
        <w:spacing w:line="240" w:lineRule="auto"/>
        <w:ind w:hanging="720"/>
        <w:rPr>
          <w:rFonts w:ascii="Arial" w:hAnsi="Arial" w:cs="Arial"/>
          <w:color w:val="000000" w:themeColor="text1"/>
          <w:sz w:val="20"/>
          <w:szCs w:val="20"/>
        </w:rPr>
      </w:pPr>
      <w:r w:rsidRPr="00E808D2"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 w:rsidR="00657423" w:rsidRPr="00E808D2">
        <w:rPr>
          <w:rFonts w:ascii="Arial" w:hAnsi="Arial" w:cs="Arial"/>
          <w:color w:val="000000" w:themeColor="text1"/>
          <w:sz w:val="20"/>
          <w:szCs w:val="20"/>
        </w:rPr>
        <w:t>Guidelines were published in Government Gazette 34572 of 31 August 2011</w:t>
      </w:r>
      <w:r w:rsidR="00BF2DF1" w:rsidRPr="00E808D2">
        <w:rPr>
          <w:rFonts w:ascii="Arial" w:hAnsi="Arial" w:cs="Arial"/>
          <w:color w:val="000000" w:themeColor="text1"/>
          <w:sz w:val="20"/>
          <w:szCs w:val="20"/>
        </w:rPr>
        <w:t xml:space="preserve"> but as t</w:t>
      </w:r>
      <w:r w:rsidR="00657423" w:rsidRPr="00E808D2">
        <w:rPr>
          <w:rFonts w:ascii="Arial" w:hAnsi="Arial" w:cs="Arial"/>
          <w:color w:val="000000" w:themeColor="text1"/>
          <w:sz w:val="20"/>
          <w:szCs w:val="20"/>
        </w:rPr>
        <w:t>he Act</w:t>
      </w:r>
      <w:r w:rsidR="00BF2DF1" w:rsidRPr="00E808D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57423" w:rsidRPr="00E808D2">
        <w:rPr>
          <w:rFonts w:ascii="Arial" w:hAnsi="Arial" w:cs="Arial"/>
          <w:color w:val="000000" w:themeColor="text1"/>
          <w:sz w:val="20"/>
          <w:szCs w:val="20"/>
        </w:rPr>
        <w:t>was amended on 2 August 2017</w:t>
      </w:r>
      <w:r w:rsidR="0048546A" w:rsidRPr="00E808D2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BF2DF1" w:rsidRPr="00E808D2">
        <w:rPr>
          <w:rFonts w:ascii="Arial" w:hAnsi="Arial" w:cs="Arial"/>
          <w:color w:val="000000" w:themeColor="text1"/>
          <w:sz w:val="20"/>
          <w:szCs w:val="20"/>
        </w:rPr>
        <w:t xml:space="preserve">the Guidelines now </w:t>
      </w:r>
      <w:r w:rsidR="0048546A" w:rsidRPr="00E808D2">
        <w:rPr>
          <w:rFonts w:ascii="Arial" w:hAnsi="Arial" w:cs="Arial"/>
          <w:color w:val="000000" w:themeColor="text1"/>
          <w:sz w:val="20"/>
          <w:szCs w:val="20"/>
        </w:rPr>
        <w:t>require amending.</w:t>
      </w:r>
    </w:p>
    <w:p w:rsidR="00657423" w:rsidRPr="00E808D2" w:rsidRDefault="00657423" w:rsidP="00E808D2">
      <w:pPr>
        <w:pStyle w:val="ListParagraph"/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657423" w:rsidRPr="00E808D2" w:rsidRDefault="0048546A" w:rsidP="00E808D2">
      <w:pPr>
        <w:pStyle w:val="ListParagraph"/>
        <w:numPr>
          <w:ilvl w:val="0"/>
          <w:numId w:val="1"/>
        </w:numPr>
        <w:spacing w:line="240" w:lineRule="auto"/>
        <w:ind w:hanging="720"/>
        <w:rPr>
          <w:rFonts w:ascii="Arial" w:hAnsi="Arial" w:cs="Arial"/>
          <w:color w:val="000000" w:themeColor="text1"/>
          <w:sz w:val="20"/>
          <w:szCs w:val="20"/>
        </w:rPr>
      </w:pPr>
      <w:r w:rsidRPr="00E808D2">
        <w:rPr>
          <w:rFonts w:ascii="Arial" w:hAnsi="Arial" w:cs="Arial"/>
          <w:color w:val="000000" w:themeColor="text1"/>
          <w:sz w:val="20"/>
          <w:szCs w:val="20"/>
        </w:rPr>
        <w:t>S</w:t>
      </w:r>
      <w:r w:rsidR="00657423" w:rsidRPr="00E808D2">
        <w:rPr>
          <w:rFonts w:ascii="Arial" w:hAnsi="Arial" w:cs="Arial"/>
          <w:color w:val="000000" w:themeColor="text1"/>
          <w:sz w:val="20"/>
          <w:szCs w:val="20"/>
        </w:rPr>
        <w:t xml:space="preserve">ection 8(1) </w:t>
      </w:r>
      <w:r w:rsidR="00BF2DF1" w:rsidRPr="00E808D2">
        <w:rPr>
          <w:rFonts w:ascii="Arial" w:hAnsi="Arial" w:cs="Arial"/>
          <w:color w:val="000000" w:themeColor="text1"/>
          <w:sz w:val="20"/>
          <w:szCs w:val="20"/>
        </w:rPr>
        <w:t xml:space="preserve">of the Act </w:t>
      </w:r>
      <w:r w:rsidR="00657423" w:rsidRPr="00E808D2">
        <w:rPr>
          <w:rFonts w:ascii="Arial" w:hAnsi="Arial" w:cs="Arial"/>
          <w:color w:val="000000" w:themeColor="text1"/>
          <w:sz w:val="20"/>
          <w:szCs w:val="20"/>
        </w:rPr>
        <w:t>was amended to include</w:t>
      </w:r>
      <w:r w:rsidRPr="00E808D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57423" w:rsidRPr="00E808D2">
        <w:rPr>
          <w:rFonts w:ascii="Arial" w:hAnsi="Arial" w:cs="Arial"/>
          <w:color w:val="000000" w:themeColor="text1"/>
          <w:sz w:val="20"/>
          <w:szCs w:val="20"/>
        </w:rPr>
        <w:t>the South African Human Rights Commission</w:t>
      </w:r>
      <w:r w:rsidR="00BF2DF1" w:rsidRPr="00E808D2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657423" w:rsidRPr="00E808D2">
        <w:rPr>
          <w:rFonts w:ascii="Arial" w:hAnsi="Arial" w:cs="Arial"/>
          <w:color w:val="000000" w:themeColor="text1"/>
          <w:sz w:val="20"/>
          <w:szCs w:val="20"/>
        </w:rPr>
        <w:t>the Commission for Gender Equality</w:t>
      </w:r>
      <w:r w:rsidR="00BF2DF1" w:rsidRPr="00E808D2">
        <w:rPr>
          <w:rFonts w:ascii="Arial" w:hAnsi="Arial" w:cs="Arial"/>
          <w:color w:val="000000" w:themeColor="text1"/>
          <w:sz w:val="20"/>
          <w:szCs w:val="20"/>
        </w:rPr>
        <w:t>,</w:t>
      </w:r>
      <w:r w:rsidR="00657423" w:rsidRPr="00E808D2">
        <w:rPr>
          <w:rFonts w:ascii="Arial" w:hAnsi="Arial" w:cs="Arial"/>
          <w:color w:val="000000" w:themeColor="text1"/>
          <w:sz w:val="20"/>
          <w:szCs w:val="20"/>
        </w:rPr>
        <w:t xml:space="preserve"> the Commission for Promotion and Protection of the Rights of Cultural, Religious and Linguistic Communities</w:t>
      </w:r>
      <w:r w:rsidR="00BF2DF1" w:rsidRPr="00E808D2">
        <w:rPr>
          <w:rFonts w:ascii="Arial" w:hAnsi="Arial" w:cs="Arial"/>
          <w:color w:val="000000" w:themeColor="text1"/>
          <w:sz w:val="20"/>
          <w:szCs w:val="20"/>
        </w:rPr>
        <w:t>,</w:t>
      </w:r>
      <w:r w:rsidR="00657423" w:rsidRPr="00E808D2">
        <w:rPr>
          <w:rFonts w:ascii="Arial" w:hAnsi="Arial" w:cs="Arial"/>
          <w:color w:val="000000" w:themeColor="text1"/>
          <w:sz w:val="20"/>
          <w:szCs w:val="20"/>
        </w:rPr>
        <w:t xml:space="preserve"> and </w:t>
      </w:r>
      <w:r w:rsidRPr="00E808D2">
        <w:rPr>
          <w:rFonts w:ascii="Arial" w:hAnsi="Arial" w:cs="Arial"/>
          <w:color w:val="000000" w:themeColor="text1"/>
          <w:sz w:val="20"/>
          <w:szCs w:val="20"/>
        </w:rPr>
        <w:t>t</w:t>
      </w:r>
      <w:r w:rsidR="00657423" w:rsidRPr="00E808D2">
        <w:rPr>
          <w:rFonts w:ascii="Arial" w:hAnsi="Arial" w:cs="Arial"/>
          <w:color w:val="000000" w:themeColor="text1"/>
          <w:sz w:val="20"/>
          <w:szCs w:val="20"/>
        </w:rPr>
        <w:t xml:space="preserve">he Public Service </w:t>
      </w:r>
      <w:r w:rsidRPr="00E808D2">
        <w:rPr>
          <w:rFonts w:ascii="Arial" w:hAnsi="Arial" w:cs="Arial"/>
          <w:color w:val="000000" w:themeColor="text1"/>
          <w:sz w:val="20"/>
          <w:szCs w:val="20"/>
        </w:rPr>
        <w:t>Commission as</w:t>
      </w:r>
      <w:r w:rsidR="00657423" w:rsidRPr="00E808D2">
        <w:rPr>
          <w:rFonts w:ascii="Arial" w:hAnsi="Arial" w:cs="Arial"/>
          <w:color w:val="000000" w:themeColor="text1"/>
          <w:sz w:val="20"/>
          <w:szCs w:val="20"/>
        </w:rPr>
        <w:t xml:space="preserve"> other institutions to which protected disclosures could also be made</w:t>
      </w:r>
      <w:r w:rsidRPr="00E808D2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BF2DF1" w:rsidRPr="00E808D2">
        <w:rPr>
          <w:rFonts w:ascii="Arial" w:hAnsi="Arial" w:cs="Arial"/>
          <w:color w:val="000000" w:themeColor="text1"/>
          <w:sz w:val="20"/>
          <w:szCs w:val="20"/>
        </w:rPr>
        <w:t>Consequently, t</w:t>
      </w:r>
      <w:r w:rsidR="00657423" w:rsidRPr="00E808D2">
        <w:rPr>
          <w:rFonts w:ascii="Arial" w:hAnsi="Arial" w:cs="Arial"/>
          <w:color w:val="000000" w:themeColor="text1"/>
          <w:sz w:val="20"/>
          <w:szCs w:val="20"/>
        </w:rPr>
        <w:t xml:space="preserve">he </w:t>
      </w:r>
      <w:r w:rsidR="00BF2DF1" w:rsidRPr="00E808D2">
        <w:rPr>
          <w:rFonts w:ascii="Arial" w:hAnsi="Arial" w:cs="Arial"/>
          <w:color w:val="000000" w:themeColor="text1"/>
          <w:sz w:val="20"/>
          <w:szCs w:val="20"/>
        </w:rPr>
        <w:t xml:space="preserve">proposed </w:t>
      </w:r>
      <w:r w:rsidRPr="00E808D2">
        <w:rPr>
          <w:rFonts w:ascii="Arial" w:hAnsi="Arial" w:cs="Arial"/>
          <w:color w:val="000000" w:themeColor="text1"/>
          <w:sz w:val="20"/>
          <w:szCs w:val="20"/>
        </w:rPr>
        <w:t xml:space="preserve">amendments to the Guidelines </w:t>
      </w:r>
      <w:r w:rsidR="00BF2DF1" w:rsidRPr="00E808D2">
        <w:rPr>
          <w:rFonts w:ascii="Arial" w:hAnsi="Arial" w:cs="Arial"/>
          <w:color w:val="000000" w:themeColor="text1"/>
          <w:sz w:val="20"/>
          <w:szCs w:val="20"/>
        </w:rPr>
        <w:t xml:space="preserve">specify that these are also institutions to which protected disclosures can be made. </w:t>
      </w:r>
    </w:p>
    <w:p w:rsidR="00BF2DF1" w:rsidRPr="00E808D2" w:rsidRDefault="00BF2DF1" w:rsidP="00E808D2">
      <w:pPr>
        <w:pStyle w:val="ListParagraph"/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48609C" w:rsidRPr="00E808D2" w:rsidRDefault="0048609C" w:rsidP="00E808D2">
      <w:pPr>
        <w:pStyle w:val="ListParagraph"/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BF2DF1" w:rsidRPr="00E808D2" w:rsidRDefault="00BF2DF1" w:rsidP="00E808D2">
      <w:pPr>
        <w:pStyle w:val="ListParagraph"/>
        <w:numPr>
          <w:ilvl w:val="0"/>
          <w:numId w:val="1"/>
        </w:numPr>
        <w:spacing w:line="240" w:lineRule="auto"/>
        <w:ind w:hanging="720"/>
        <w:rPr>
          <w:rFonts w:ascii="Arial" w:hAnsi="Arial" w:cs="Arial"/>
          <w:color w:val="000000" w:themeColor="text1"/>
          <w:sz w:val="20"/>
          <w:szCs w:val="20"/>
        </w:rPr>
      </w:pPr>
      <w:r w:rsidRPr="00E808D2">
        <w:rPr>
          <w:rFonts w:ascii="Arial" w:hAnsi="Arial" w:cs="Arial"/>
          <w:color w:val="000000" w:themeColor="text1"/>
          <w:sz w:val="20"/>
          <w:szCs w:val="20"/>
        </w:rPr>
        <w:t xml:space="preserve">It is also proposed to amend Part III of the Guidelines </w:t>
      </w:r>
      <w:r w:rsidR="00657423" w:rsidRPr="00E808D2">
        <w:rPr>
          <w:rFonts w:ascii="Arial" w:hAnsi="Arial" w:cs="Arial"/>
          <w:color w:val="000000" w:themeColor="text1"/>
          <w:sz w:val="20"/>
          <w:szCs w:val="20"/>
        </w:rPr>
        <w:t>to</w:t>
      </w:r>
      <w:r w:rsidRPr="00E808D2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BF2DF1" w:rsidRPr="00E808D2" w:rsidRDefault="00BF2DF1" w:rsidP="00E808D2">
      <w:pPr>
        <w:pStyle w:val="ListParagraph"/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657423" w:rsidRPr="00E808D2" w:rsidRDefault="00BF2DF1" w:rsidP="00E808D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808D2">
        <w:rPr>
          <w:rFonts w:ascii="Arial" w:hAnsi="Arial" w:cs="Arial"/>
          <w:color w:val="000000" w:themeColor="text1"/>
          <w:sz w:val="20"/>
          <w:szCs w:val="20"/>
        </w:rPr>
        <w:t>S</w:t>
      </w:r>
      <w:r w:rsidR="00657423" w:rsidRPr="00E808D2">
        <w:rPr>
          <w:rFonts w:ascii="Arial" w:hAnsi="Arial" w:cs="Arial"/>
          <w:color w:val="000000" w:themeColor="text1"/>
          <w:sz w:val="20"/>
          <w:szCs w:val="20"/>
        </w:rPr>
        <w:t>et out the contact details of the Public Protector in all nine Provinces, and not in only four Provinces as the Guidelines currently provide</w:t>
      </w:r>
      <w:r w:rsidR="00A3495D" w:rsidRPr="00E808D2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BF2DF1" w:rsidRPr="00E808D2" w:rsidRDefault="00BF2DF1" w:rsidP="00E808D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808D2">
        <w:rPr>
          <w:rFonts w:ascii="Arial" w:hAnsi="Arial" w:cs="Arial"/>
          <w:color w:val="000000" w:themeColor="text1"/>
          <w:sz w:val="20"/>
          <w:szCs w:val="20"/>
        </w:rPr>
        <w:t>S</w:t>
      </w:r>
      <w:r w:rsidR="00657423" w:rsidRPr="00E808D2">
        <w:rPr>
          <w:rFonts w:ascii="Arial" w:hAnsi="Arial" w:cs="Arial"/>
          <w:color w:val="000000" w:themeColor="text1"/>
          <w:sz w:val="20"/>
          <w:szCs w:val="20"/>
        </w:rPr>
        <w:t>et out the contact details of other persons or bodies contemplated in section 8(1)(c) to whom protected disclosures can be mad</w:t>
      </w:r>
      <w:r w:rsidR="00A3495D" w:rsidRPr="00E808D2">
        <w:rPr>
          <w:rFonts w:ascii="Arial" w:hAnsi="Arial" w:cs="Arial"/>
          <w:color w:val="000000" w:themeColor="text1"/>
          <w:sz w:val="20"/>
          <w:szCs w:val="20"/>
        </w:rPr>
        <w:t>e</w:t>
      </w:r>
      <w:r w:rsidRPr="00E808D2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BF2DF1" w:rsidRPr="00E808D2" w:rsidRDefault="00BF2DF1" w:rsidP="00E808D2">
      <w:pPr>
        <w:pStyle w:val="ListParagraph"/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657423" w:rsidRPr="00E808D2" w:rsidRDefault="00BF2DF1" w:rsidP="00E808D2">
      <w:pPr>
        <w:pStyle w:val="ListParagraph"/>
        <w:numPr>
          <w:ilvl w:val="0"/>
          <w:numId w:val="1"/>
        </w:numPr>
        <w:spacing w:line="240" w:lineRule="auto"/>
        <w:ind w:hanging="720"/>
        <w:rPr>
          <w:rFonts w:ascii="Arial" w:hAnsi="Arial" w:cs="Arial"/>
          <w:color w:val="000000" w:themeColor="text1"/>
          <w:sz w:val="20"/>
          <w:szCs w:val="20"/>
        </w:rPr>
      </w:pPr>
      <w:r w:rsidRPr="00E808D2">
        <w:rPr>
          <w:rFonts w:ascii="Arial" w:hAnsi="Arial" w:cs="Arial"/>
          <w:color w:val="000000" w:themeColor="text1"/>
          <w:sz w:val="20"/>
          <w:szCs w:val="20"/>
        </w:rPr>
        <w:t xml:space="preserve">Finally, it is proposed to delete </w:t>
      </w:r>
      <w:r w:rsidR="00657423" w:rsidRPr="00E808D2">
        <w:rPr>
          <w:rFonts w:ascii="Arial" w:hAnsi="Arial" w:cs="Arial"/>
          <w:color w:val="000000" w:themeColor="text1"/>
          <w:sz w:val="20"/>
          <w:szCs w:val="20"/>
        </w:rPr>
        <w:t>Part IV</w:t>
      </w:r>
      <w:r w:rsidRPr="00E808D2">
        <w:rPr>
          <w:rFonts w:ascii="Arial" w:hAnsi="Arial" w:cs="Arial"/>
          <w:color w:val="000000" w:themeColor="text1"/>
          <w:sz w:val="20"/>
          <w:szCs w:val="20"/>
        </w:rPr>
        <w:t xml:space="preserve">, which </w:t>
      </w:r>
      <w:r w:rsidR="00A3495D" w:rsidRPr="00E808D2">
        <w:rPr>
          <w:rFonts w:ascii="Arial" w:hAnsi="Arial" w:cs="Arial"/>
          <w:color w:val="000000" w:themeColor="text1"/>
          <w:sz w:val="20"/>
          <w:szCs w:val="20"/>
        </w:rPr>
        <w:t xml:space="preserve">includes a copy of </w:t>
      </w:r>
      <w:r w:rsidR="00657423" w:rsidRPr="00E808D2">
        <w:rPr>
          <w:rFonts w:ascii="Arial" w:hAnsi="Arial" w:cs="Arial"/>
          <w:color w:val="000000" w:themeColor="text1"/>
          <w:sz w:val="20"/>
          <w:szCs w:val="20"/>
        </w:rPr>
        <w:t>the Act</w:t>
      </w:r>
      <w:r w:rsidRPr="00E808D2">
        <w:rPr>
          <w:rFonts w:ascii="Arial" w:hAnsi="Arial" w:cs="Arial"/>
          <w:color w:val="000000" w:themeColor="text1"/>
          <w:sz w:val="20"/>
          <w:szCs w:val="20"/>
        </w:rPr>
        <w:t>,</w:t>
      </w:r>
      <w:r w:rsidR="00657423" w:rsidRPr="00E808D2">
        <w:rPr>
          <w:rFonts w:ascii="Arial" w:hAnsi="Arial" w:cs="Arial"/>
          <w:color w:val="000000" w:themeColor="text1"/>
          <w:sz w:val="20"/>
          <w:szCs w:val="20"/>
        </w:rPr>
        <w:t xml:space="preserve"> from the Guidelines. The proposed deletion would </w:t>
      </w:r>
      <w:r w:rsidRPr="00E808D2">
        <w:rPr>
          <w:rFonts w:ascii="Arial" w:hAnsi="Arial" w:cs="Arial"/>
          <w:color w:val="000000" w:themeColor="text1"/>
          <w:sz w:val="20"/>
          <w:szCs w:val="20"/>
        </w:rPr>
        <w:t xml:space="preserve">do away with </w:t>
      </w:r>
      <w:r w:rsidR="00657423" w:rsidRPr="00E808D2">
        <w:rPr>
          <w:rFonts w:ascii="Arial" w:hAnsi="Arial" w:cs="Arial"/>
          <w:color w:val="000000" w:themeColor="text1"/>
          <w:sz w:val="20"/>
          <w:szCs w:val="20"/>
        </w:rPr>
        <w:t>the need to amend the Guidelines by substituting the Act whenever it is amended</w:t>
      </w:r>
      <w:r w:rsidR="0048546A" w:rsidRPr="00E808D2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33D85" w:rsidRPr="00E808D2" w:rsidRDefault="00033D85" w:rsidP="00E808D2">
      <w:pPr>
        <w:pStyle w:val="ListParagraph"/>
        <w:shd w:val="clear" w:color="auto" w:fill="FFFFFF" w:themeFill="background1"/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808D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C4451D" w:rsidRPr="00E808D2" w:rsidRDefault="00C4451D" w:rsidP="00E808D2">
      <w:pPr>
        <w:spacing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E808D2">
        <w:rPr>
          <w:rFonts w:ascii="Arial" w:hAnsi="Arial" w:cs="Arial"/>
          <w:b/>
          <w:color w:val="000000" w:themeColor="text1"/>
          <w:sz w:val="20"/>
          <w:szCs w:val="20"/>
        </w:rPr>
        <w:t>Recommendation</w:t>
      </w:r>
    </w:p>
    <w:p w:rsidR="0071451A" w:rsidRPr="00E808D2" w:rsidRDefault="0071451A" w:rsidP="00E808D2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91108C" w:rsidRPr="00E808D2" w:rsidRDefault="00C4451D" w:rsidP="00E808D2">
      <w:pPr>
        <w:pStyle w:val="ListParagraph"/>
        <w:numPr>
          <w:ilvl w:val="0"/>
          <w:numId w:val="1"/>
        </w:numPr>
        <w:shd w:val="clear" w:color="auto" w:fill="FFFFFF" w:themeFill="background1"/>
        <w:spacing w:line="240" w:lineRule="auto"/>
        <w:ind w:hanging="720"/>
        <w:rPr>
          <w:rFonts w:ascii="Arial" w:hAnsi="Arial" w:cs="Arial"/>
          <w:color w:val="000000"/>
          <w:sz w:val="20"/>
          <w:szCs w:val="20"/>
        </w:rPr>
      </w:pPr>
      <w:r w:rsidRPr="00E808D2">
        <w:rPr>
          <w:rFonts w:ascii="Arial" w:hAnsi="Arial" w:cs="Arial"/>
          <w:sz w:val="20"/>
          <w:szCs w:val="20"/>
        </w:rPr>
        <w:t>The</w:t>
      </w:r>
      <w:r w:rsidRPr="00E808D2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 Committee</w:t>
      </w:r>
      <w:r w:rsidR="00592CD9" w:rsidRPr="00E808D2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 </w:t>
      </w:r>
      <w:r w:rsidRPr="00E808D2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recommends that t</w:t>
      </w:r>
      <w:r w:rsidR="00811C25" w:rsidRPr="00E808D2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he National Assembly approve</w:t>
      </w:r>
      <w:r w:rsidR="0048609C" w:rsidRPr="00E808D2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s</w:t>
      </w:r>
      <w:r w:rsidR="00811C25" w:rsidRPr="00E808D2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 </w:t>
      </w:r>
      <w:r w:rsidR="002E4213" w:rsidRPr="00E808D2">
        <w:rPr>
          <w:rFonts w:ascii="Arial" w:hAnsi="Arial" w:cs="Arial"/>
          <w:sz w:val="20"/>
          <w:szCs w:val="20"/>
        </w:rPr>
        <w:t>the amendments to Practical Guidelines for Employees</w:t>
      </w:r>
      <w:r w:rsidR="002E4213" w:rsidRPr="00E808D2">
        <w:rPr>
          <w:rFonts w:ascii="Arial" w:hAnsi="Arial" w:cs="Arial"/>
          <w:color w:val="000000"/>
          <w:sz w:val="20"/>
          <w:szCs w:val="20"/>
        </w:rPr>
        <w:t xml:space="preserve"> for approval in terms of section 10(4)(b) of the Protected Disclosures Act, 2000 (Act No. 26 of 2000).</w:t>
      </w:r>
    </w:p>
    <w:p w:rsidR="005E612C" w:rsidRPr="00E808D2" w:rsidRDefault="005E612C" w:rsidP="00E808D2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8620D8" w:rsidRPr="00E808D2" w:rsidRDefault="005F4079" w:rsidP="00E808D2">
      <w:pPr>
        <w:spacing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E808D2">
        <w:rPr>
          <w:rFonts w:ascii="Arial" w:hAnsi="Arial" w:cs="Arial"/>
          <w:b/>
          <w:bCs/>
          <w:sz w:val="20"/>
          <w:szCs w:val="20"/>
          <w:lang w:val="en-US"/>
        </w:rPr>
        <w:t>Report to be considered</w:t>
      </w:r>
    </w:p>
    <w:sectPr w:rsidR="008620D8" w:rsidRPr="00E808D2" w:rsidSect="00D96ED9">
      <w:headerReference w:type="even" r:id="rId11"/>
      <w:head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F92" w:rsidRDefault="009C4F92">
      <w:pPr>
        <w:spacing w:line="240" w:lineRule="auto"/>
      </w:pPr>
      <w:r>
        <w:separator/>
      </w:r>
    </w:p>
  </w:endnote>
  <w:endnote w:type="continuationSeparator" w:id="0">
    <w:p w:rsidR="009C4F92" w:rsidRDefault="009C4F9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F92" w:rsidRDefault="009C4F92">
      <w:pPr>
        <w:spacing w:line="240" w:lineRule="auto"/>
      </w:pPr>
      <w:r>
        <w:separator/>
      </w:r>
    </w:p>
  </w:footnote>
  <w:footnote w:type="continuationSeparator" w:id="0">
    <w:p w:rsidR="009C4F92" w:rsidRDefault="009C4F9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784" w:rsidRDefault="00D96ED9">
    <w:pPr>
      <w:pStyle w:val="Header"/>
    </w:pPr>
    <w:r w:rsidRPr="00D96ED9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351407" o:spid="_x0000_s2050" type="#_x0000_t136" style="position:absolute;margin-left:0;margin-top:0;width:363.6pt;height:272.7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Calibri&quot;;font-size:1pt" string="ASAP"/>
          <w10:wrap anchorx="margin" anchory="margin"/>
        </v:shape>
      </w:pict>
    </w:r>
    <w:r w:rsidRPr="00D96ED9">
      <w:rPr>
        <w:noProof/>
        <w:lang w:eastAsia="en-Z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0;margin-top:0;width:462.75pt;height:173.5pt;rotation:-45;z-index:-251657216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Fl49AEAAMUDAAAOAAAAZHJzL2Uyb0RvYy54bWysU02P0zAQvSPxHyzfadJCl27UdFV2WS4L&#10;rLRFe3b90QRijxm7TfrvGbvZFsENkYOVjO037715Wd4MtmMHjaEFV/PppORMOwmqdbuaf9vcv1lw&#10;FqJwSnTgdM2POvCb1etXy95XegYNdEojIxAXqt7XvInRV0URZKOtCBPw2tGmAbQi0ifuCoWiJ3Tb&#10;FbOyvCp6QOURpA6BqnenTb7K+MZoGb8aE3RkXc2JW8wr5nWb1mK1FNUOhW9aOdIQ/8DCitZR0zPU&#10;nYiC7bH9C8q2EiGAiRMJtgBjWqmzBlIzLf9Q89QIr7MWMif4s03h/8HKL4cn/4gsDh9goAFmEcE/&#10;gPwRmIPbRridXiNC32ihqPGUn8uZ3uboaay5utFD/Kha8niafC16H6oRP80jVCF12vafQdEVsY+Q&#10;uw0GLUNI1xbXZXpymbxhxIiGdjwPihowScX54v3V9WzOmaS92ax8+26eR1mIKqGlQXgM8ZMGy9JL&#10;zZGSkGHF4SHExO5yZKSa2J14xmE70JFEeQvqSKR7SkjNw8+9QE0G7O0tUKBItUGwzxTBNWbZL503&#10;w7NAP/aORPuxe0lIJpCjopgTNjmhvhOQ7Sh4B9GxebbgRHE8PJI9oaa7wa/Jvvs2K7nwHJVQVrLA&#10;MdcpjL9/51OXv2/1CwAA//8DAFBLAwQUAAYACAAAACEAS51rs9wAAAAFAQAADwAAAGRycy9kb3du&#10;cmV2LnhtbEyPzU7DMBCE70i8g7VI3KjTlvIT4lQVEYce2yLO23ibhNrrNHaalKfHcIHLSqMZzXyb&#10;LUdrxJk63zhWMJ0kIIhLpxuuFLzv3u6eQPiArNE4JgUX8rDMr68yTLUbeEPnbahELGGfooI6hDaV&#10;0pc1WfQT1xJH7+A6iyHKrpK6wyGWWyNnSfIgLTYcF2ps6bWm8rjtrQL9dbi082HYrdeboj+Zpijo&#10;41Op25tx9QIi0Bj+wvCDH9Ehj0x717P2wiiIj4TfG73n2WIBYq9gfv+YgMwz+Z8+/wYAAP//AwBQ&#10;SwECLQAUAAYACAAAACEAtoM4kv4AAADhAQAAEwAAAAAAAAAAAAAAAAAAAAAAW0NvbnRlbnRfVHlw&#10;ZXNdLnhtbFBLAQItABQABgAIAAAAIQA4/SH/1gAAAJQBAAALAAAAAAAAAAAAAAAAAC8BAABfcmVs&#10;cy8ucmVsc1BLAQItABQABgAIAAAAIQDUeFl49AEAAMUDAAAOAAAAAAAAAAAAAAAAAC4CAABkcnMv&#10;ZTJvRG9jLnhtbFBLAQItABQABgAIAAAAIQBLnWuz3AAAAAUBAAAPAAAAAAAAAAAAAAAAAE4EAABk&#10;cnMvZG93bnJldi54bWxQSwUGAAAAAAQABADzAAAAVwUAAAAA&#10;" o:allowincell="f" filled="f" stroked="f">
          <v:stroke joinstyle="round"/>
          <o:lock v:ext="edit" shapetype="t"/>
          <v:textbox style="mso-fit-shape-to-text:t">
            <w:txbxContent>
              <w:p w:rsidR="00655A9B" w:rsidRDefault="00C4451D" w:rsidP="00655A9B">
                <w:pPr>
                  <w:pStyle w:val="NormalWeb"/>
                  <w:spacing w:before="0" w:beforeAutospacing="0" w:after="0" w:afterAutospacing="0"/>
                  <w:jc w:val="center"/>
                </w:pPr>
                <w:r>
                  <w:rPr>
                    <w:rFonts w:ascii="Calibri" w:hAnsi="Calibri" w:cs="Calibri"/>
                    <w:color w:val="AEAAAA" w:themeColor="background2" w:themeShade="BF"/>
                    <w:sz w:val="2"/>
                    <w:szCs w:val="2"/>
                  </w:rPr>
                  <w:t>1st draft</w:t>
                </w:r>
              </w:p>
            </w:txbxContent>
          </v:textbox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784" w:rsidRDefault="00D96ED9">
    <w:pPr>
      <w:pStyle w:val="Header"/>
    </w:pPr>
    <w:r w:rsidRPr="00D96ED9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351406" o:spid="_x0000_s2049" type="#_x0000_t136" style="position:absolute;margin-left:0;margin-top:0;width:363.6pt;height:272.7pt;rotation:315;z-index:-251656192;mso-position-horizontal:center;mso-position-horizontal-relative:margin;mso-position-vertical:center;mso-position-vertical-relative:margin" o:allowincell="f" fillcolor="white [3212]" stroked="f">
          <v:fill opacity=".5"/>
          <v:textpath style="font-family:&quot;Calibri&quot;;font-size:1pt" string="ASAP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B33F2"/>
    <w:multiLevelType w:val="hybridMultilevel"/>
    <w:tmpl w:val="ABFEC0F6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5A7A10"/>
    <w:multiLevelType w:val="hybridMultilevel"/>
    <w:tmpl w:val="2124A5E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4451D"/>
    <w:rsid w:val="00033268"/>
    <w:rsid w:val="00033D85"/>
    <w:rsid w:val="000508AF"/>
    <w:rsid w:val="00053CCB"/>
    <w:rsid w:val="000F5A8F"/>
    <w:rsid w:val="000F7913"/>
    <w:rsid w:val="00151A3A"/>
    <w:rsid w:val="001A54EF"/>
    <w:rsid w:val="001A6CE4"/>
    <w:rsid w:val="001D20D8"/>
    <w:rsid w:val="001F7DC8"/>
    <w:rsid w:val="002D7E71"/>
    <w:rsid w:val="002E4213"/>
    <w:rsid w:val="00381426"/>
    <w:rsid w:val="003B6CFC"/>
    <w:rsid w:val="003D3A93"/>
    <w:rsid w:val="003E4613"/>
    <w:rsid w:val="00410D95"/>
    <w:rsid w:val="00434DBB"/>
    <w:rsid w:val="00443AC7"/>
    <w:rsid w:val="0048546A"/>
    <w:rsid w:val="0048609C"/>
    <w:rsid w:val="00496F23"/>
    <w:rsid w:val="004A273B"/>
    <w:rsid w:val="004B6B54"/>
    <w:rsid w:val="004C7351"/>
    <w:rsid w:val="005924DE"/>
    <w:rsid w:val="00592CD9"/>
    <w:rsid w:val="005A34BF"/>
    <w:rsid w:val="005C2E1F"/>
    <w:rsid w:val="005E612C"/>
    <w:rsid w:val="005F4079"/>
    <w:rsid w:val="00630789"/>
    <w:rsid w:val="0064111F"/>
    <w:rsid w:val="00657423"/>
    <w:rsid w:val="00682A15"/>
    <w:rsid w:val="00693544"/>
    <w:rsid w:val="006C0D4C"/>
    <w:rsid w:val="006C2677"/>
    <w:rsid w:val="00704FC2"/>
    <w:rsid w:val="0071451A"/>
    <w:rsid w:val="00761502"/>
    <w:rsid w:val="00786D54"/>
    <w:rsid w:val="00786D5D"/>
    <w:rsid w:val="007E2C5C"/>
    <w:rsid w:val="00811C25"/>
    <w:rsid w:val="00815BAA"/>
    <w:rsid w:val="008360C7"/>
    <w:rsid w:val="00837EB7"/>
    <w:rsid w:val="00842F87"/>
    <w:rsid w:val="008620D8"/>
    <w:rsid w:val="008A47F6"/>
    <w:rsid w:val="008A5815"/>
    <w:rsid w:val="008E2F48"/>
    <w:rsid w:val="008E3F1B"/>
    <w:rsid w:val="0091108C"/>
    <w:rsid w:val="00966449"/>
    <w:rsid w:val="00977E34"/>
    <w:rsid w:val="009972BD"/>
    <w:rsid w:val="009B3CC2"/>
    <w:rsid w:val="009C4F92"/>
    <w:rsid w:val="009F09F3"/>
    <w:rsid w:val="00A3495D"/>
    <w:rsid w:val="00A54B26"/>
    <w:rsid w:val="00A6393B"/>
    <w:rsid w:val="00A676C4"/>
    <w:rsid w:val="00A83463"/>
    <w:rsid w:val="00AA581F"/>
    <w:rsid w:val="00AD2064"/>
    <w:rsid w:val="00AE170A"/>
    <w:rsid w:val="00B0557C"/>
    <w:rsid w:val="00B81C6F"/>
    <w:rsid w:val="00BB0356"/>
    <w:rsid w:val="00BF2DF1"/>
    <w:rsid w:val="00C4451D"/>
    <w:rsid w:val="00C7682F"/>
    <w:rsid w:val="00CD2EB0"/>
    <w:rsid w:val="00CD49A5"/>
    <w:rsid w:val="00D2719A"/>
    <w:rsid w:val="00D51327"/>
    <w:rsid w:val="00D55618"/>
    <w:rsid w:val="00D96ED9"/>
    <w:rsid w:val="00DA6C32"/>
    <w:rsid w:val="00DC2525"/>
    <w:rsid w:val="00DC4B34"/>
    <w:rsid w:val="00DC518B"/>
    <w:rsid w:val="00DC7176"/>
    <w:rsid w:val="00DE0517"/>
    <w:rsid w:val="00DE55A0"/>
    <w:rsid w:val="00DF36F4"/>
    <w:rsid w:val="00E04094"/>
    <w:rsid w:val="00E053BA"/>
    <w:rsid w:val="00E808D2"/>
    <w:rsid w:val="00E90332"/>
    <w:rsid w:val="00E96A87"/>
    <w:rsid w:val="00EF62D6"/>
    <w:rsid w:val="00F27446"/>
    <w:rsid w:val="00F64229"/>
    <w:rsid w:val="00F668F0"/>
    <w:rsid w:val="00F76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51D"/>
  </w:style>
  <w:style w:type="paragraph" w:styleId="Heading2">
    <w:name w:val="heading 2"/>
    <w:next w:val="Normal"/>
    <w:link w:val="Heading2Char"/>
    <w:uiPriority w:val="9"/>
    <w:unhideWhenUsed/>
    <w:qFormat/>
    <w:rsid w:val="0064111F"/>
    <w:pPr>
      <w:keepNext/>
      <w:keepLines/>
      <w:spacing w:line="216" w:lineRule="auto"/>
      <w:ind w:left="14" w:right="7881" w:firstLine="14"/>
      <w:jc w:val="center"/>
      <w:outlineLvl w:val="1"/>
    </w:pPr>
    <w:rPr>
      <w:rFonts w:ascii="Calibri" w:eastAsia="Calibri" w:hAnsi="Calibri" w:cs="Calibri"/>
      <w:color w:val="000000"/>
      <w:sz w:val="30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1,Bullets,Table of contents numbered,List Paragraph1,Indent Paragraph,Grey Bullet List,Grey Bullet Style,References,Riana Table Bullets 1,Bullet List,Heading1,Recommendation,Body text,normal,Normal1,Normal2,Normal3,Normal4"/>
    <w:basedOn w:val="Normal"/>
    <w:link w:val="ListParagraphChar"/>
    <w:uiPriority w:val="34"/>
    <w:qFormat/>
    <w:rsid w:val="00C445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451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51D"/>
  </w:style>
  <w:style w:type="paragraph" w:styleId="NormalWeb">
    <w:name w:val="Normal (Web)"/>
    <w:basedOn w:val="Normal"/>
    <w:uiPriority w:val="99"/>
    <w:semiHidden/>
    <w:unhideWhenUsed/>
    <w:rsid w:val="00C445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ZA"/>
    </w:rPr>
  </w:style>
  <w:style w:type="character" w:customStyle="1" w:styleId="Heading2Char">
    <w:name w:val="Heading 2 Char"/>
    <w:basedOn w:val="DefaultParagraphFont"/>
    <w:link w:val="Heading2"/>
    <w:uiPriority w:val="9"/>
    <w:rsid w:val="0064111F"/>
    <w:rPr>
      <w:rFonts w:ascii="Calibri" w:eastAsia="Calibri" w:hAnsi="Calibri" w:cs="Calibri"/>
      <w:color w:val="000000"/>
      <w:sz w:val="30"/>
      <w:lang w:eastAsia="en-ZA"/>
    </w:rPr>
  </w:style>
  <w:style w:type="character" w:customStyle="1" w:styleId="ListParagraphChar">
    <w:name w:val="List Paragraph Char"/>
    <w:aliases w:val="List Paragraph 1 Char,Bullets Char,Table of contents numbered Char,List Paragraph1 Char,Indent Paragraph Char,Grey Bullet List Char,Grey Bullet Style Char,References Char,Riana Table Bullets 1 Char,Bullet List Char,Heading1 Char"/>
    <w:link w:val="ListParagraph"/>
    <w:uiPriority w:val="34"/>
    <w:qFormat/>
    <w:locked/>
    <w:rsid w:val="0091108C"/>
  </w:style>
  <w:style w:type="paragraph" w:styleId="FootnoteText">
    <w:name w:val="footnote text"/>
    <w:aliases w:val="Footnote Text Char1,Footnote Text Char Char,fn Char,ft"/>
    <w:basedOn w:val="Normal"/>
    <w:link w:val="FootnoteTextChar"/>
    <w:uiPriority w:val="99"/>
    <w:unhideWhenUsed/>
    <w:rsid w:val="00815BAA"/>
    <w:pPr>
      <w:spacing w:line="240" w:lineRule="auto"/>
      <w:jc w:val="both"/>
    </w:pPr>
    <w:rPr>
      <w:rFonts w:ascii="Arial" w:hAnsi="Arial"/>
      <w:sz w:val="20"/>
      <w:szCs w:val="20"/>
    </w:rPr>
  </w:style>
  <w:style w:type="character" w:customStyle="1" w:styleId="FootnoteTextChar">
    <w:name w:val="Footnote Text Char"/>
    <w:aliases w:val="Footnote Text Char1 Char,Footnote Text Char Char Char,fn Char Char,ft Char"/>
    <w:basedOn w:val="DefaultParagraphFont"/>
    <w:link w:val="FootnoteText"/>
    <w:uiPriority w:val="99"/>
    <w:rsid w:val="00815BAA"/>
    <w:rPr>
      <w:rFonts w:ascii="Arial" w:hAnsi="Arial"/>
      <w:sz w:val="20"/>
      <w:szCs w:val="20"/>
    </w:rPr>
  </w:style>
  <w:style w:type="character" w:styleId="FootnoteReference">
    <w:name w:val="footnote reference"/>
    <w:aliases w:val="ftref"/>
    <w:basedOn w:val="DefaultParagraphFont"/>
    <w:uiPriority w:val="99"/>
    <w:rsid w:val="00815BAA"/>
    <w:rPr>
      <w:vertAlign w:val="superscript"/>
    </w:rPr>
  </w:style>
  <w:style w:type="table" w:styleId="TableGrid">
    <w:name w:val="Table Grid"/>
    <w:basedOn w:val="TableNormal"/>
    <w:uiPriority w:val="39"/>
    <w:rsid w:val="00033D8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40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696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7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4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9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9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43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1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8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1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1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6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6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2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3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02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2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0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198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6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0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9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1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36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EFFD590F5034BB3E5E515074B26FE" ma:contentTypeVersion="3" ma:contentTypeDescription="Create a new document." ma:contentTypeScope="" ma:versionID="812652041d1cafa6e91c6cc3efd76667">
  <xsd:schema xmlns:xsd="http://www.w3.org/2001/XMLSchema" xmlns:xs="http://www.w3.org/2001/XMLSchema" xmlns:p="http://schemas.microsoft.com/office/2006/metadata/properties" xmlns:ns3="1607c666-9a34-4591-b2e2-697a4e28b7bf" targetNamespace="http://schemas.microsoft.com/office/2006/metadata/properties" ma:root="true" ma:fieldsID="9666140001199d549452a129e36990e5" ns3:_="">
    <xsd:import namespace="1607c666-9a34-4591-b2e2-697a4e28b7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7c666-9a34-4591-b2e2-697a4e28b7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E2D59-C314-425B-903D-C4C1351215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6C48A3-E618-4884-A7A8-910649E615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0DA717-1DC2-4C87-91F1-4D952A322D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07c666-9a34-4591-b2e2-697a4e28b7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B2A4E0-DE82-4E4E-B213-B0E3E8553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the Republic  of South Africa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Silkstone</dc:creator>
  <cp:lastModifiedBy>User</cp:lastModifiedBy>
  <cp:revision>2</cp:revision>
  <dcterms:created xsi:type="dcterms:W3CDTF">2023-06-20T09:07:00Z</dcterms:created>
  <dcterms:modified xsi:type="dcterms:W3CDTF">2023-06-20T09:07:00Z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0x0101005BFEFFD590F5034BB3E5E515074B26FE</vt:lpwstr>
  </property>
</Properties>
</file>