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3A" w:rsidRPr="007037BB" w:rsidRDefault="008F383A" w:rsidP="007037BB">
      <w:pPr>
        <w:spacing w:after="0" w:line="240" w:lineRule="auto"/>
        <w:rPr>
          <w:rFonts w:ascii="Arial" w:eastAsia="Times New Roman" w:hAnsi="Arial" w:cs="Arial"/>
          <w:sz w:val="20"/>
          <w:szCs w:val="20"/>
        </w:rPr>
      </w:pPr>
      <w:r w:rsidRPr="007037BB">
        <w:rPr>
          <w:rFonts w:ascii="Arial" w:eastAsia="Times New Roman" w:hAnsi="Arial" w:cs="Arial"/>
          <w:b/>
          <w:sz w:val="20"/>
          <w:szCs w:val="20"/>
        </w:rPr>
        <w:t>REPORT OF THE STANDING COMMITTEE ON APPROPRIATIONS ON THE APPROPRIATION BILL [B</w:t>
      </w:r>
      <w:r w:rsidR="00621145" w:rsidRPr="007037BB">
        <w:rPr>
          <w:rFonts w:ascii="Arial" w:eastAsia="Times New Roman" w:hAnsi="Arial" w:cs="Arial"/>
          <w:b/>
          <w:sz w:val="20"/>
          <w:szCs w:val="20"/>
        </w:rPr>
        <w:t>3</w:t>
      </w:r>
      <w:r w:rsidRPr="007037BB">
        <w:rPr>
          <w:rFonts w:ascii="Arial" w:eastAsia="Times New Roman" w:hAnsi="Arial" w:cs="Arial"/>
          <w:b/>
          <w:sz w:val="20"/>
          <w:szCs w:val="20"/>
        </w:rPr>
        <w:t xml:space="preserve"> – 202</w:t>
      </w:r>
      <w:r w:rsidR="00621145" w:rsidRPr="007037BB">
        <w:rPr>
          <w:rFonts w:ascii="Arial" w:eastAsia="Times New Roman" w:hAnsi="Arial" w:cs="Arial"/>
          <w:b/>
          <w:sz w:val="20"/>
          <w:szCs w:val="20"/>
        </w:rPr>
        <w:t>3</w:t>
      </w:r>
      <w:r w:rsidRPr="007037BB">
        <w:rPr>
          <w:rFonts w:ascii="Arial" w:eastAsia="Times New Roman" w:hAnsi="Arial" w:cs="Arial"/>
          <w:b/>
          <w:sz w:val="20"/>
          <w:szCs w:val="20"/>
        </w:rPr>
        <w:t>] (NATIONAL ASSEMBLY – SECTION 77), DATED 6 JUNE 2023</w:t>
      </w:r>
    </w:p>
    <w:p w:rsidR="008F383A" w:rsidRPr="007037BB" w:rsidRDefault="008F383A" w:rsidP="007037BB">
      <w:pPr>
        <w:spacing w:after="0" w:line="240" w:lineRule="auto"/>
        <w:rPr>
          <w:rFonts w:ascii="Arial" w:eastAsia="Times New Roman" w:hAnsi="Arial" w:cs="Arial"/>
          <w:sz w:val="20"/>
          <w:szCs w:val="20"/>
        </w:rPr>
      </w:pPr>
    </w:p>
    <w:p w:rsidR="008F383A" w:rsidRPr="007037BB" w:rsidRDefault="008F383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Having considered the Appropriation Bill [B3 – 2023], referred to in terms of section 10(1)(a) of the Money Bills Amendment Procedure and Related Matters Act No. 9 of 2009 (as amended by the Money Bills Amendments Procedure and Related Matters Amendment Act, No. 13 of 2018), the Standing Committee on Appropriations reports as follows</w:t>
      </w:r>
      <w:r w:rsidRPr="007037BB">
        <w:rPr>
          <w:rFonts w:ascii="Arial" w:eastAsia="Times New Roman" w:hAnsi="Arial" w:cs="Arial"/>
          <w:b/>
          <w:sz w:val="20"/>
          <w:szCs w:val="20"/>
        </w:rPr>
        <w:t>:</w:t>
      </w:r>
    </w:p>
    <w:p w:rsidR="008F383A" w:rsidRPr="007037BB" w:rsidRDefault="008F383A" w:rsidP="007037BB">
      <w:pPr>
        <w:spacing w:after="0" w:line="240" w:lineRule="auto"/>
        <w:rPr>
          <w:rFonts w:ascii="Arial" w:eastAsia="Times New Roman" w:hAnsi="Arial" w:cs="Arial"/>
          <w:sz w:val="20"/>
          <w:szCs w:val="20"/>
        </w:rPr>
      </w:pPr>
    </w:p>
    <w:p w:rsidR="008F383A" w:rsidRPr="007037BB" w:rsidRDefault="008F383A" w:rsidP="007037BB">
      <w:pPr>
        <w:numPr>
          <w:ilvl w:val="0"/>
          <w:numId w:val="1"/>
        </w:numPr>
        <w:spacing w:after="0" w:line="240" w:lineRule="auto"/>
        <w:ind w:left="567" w:hanging="567"/>
        <w:contextualSpacing/>
        <w:rPr>
          <w:rFonts w:ascii="Arial" w:eastAsia="Times New Roman" w:hAnsi="Arial" w:cs="Arial"/>
          <w:b/>
          <w:sz w:val="20"/>
          <w:szCs w:val="20"/>
        </w:rPr>
      </w:pPr>
      <w:r w:rsidRPr="007037BB">
        <w:rPr>
          <w:rFonts w:ascii="Arial" w:eastAsia="Times New Roman" w:hAnsi="Arial" w:cs="Arial"/>
          <w:b/>
          <w:sz w:val="20"/>
          <w:szCs w:val="20"/>
        </w:rPr>
        <w:t>Introduction</w:t>
      </w:r>
    </w:p>
    <w:p w:rsidR="008F383A" w:rsidRPr="007037BB" w:rsidRDefault="008F383A" w:rsidP="007037BB">
      <w:pPr>
        <w:spacing w:after="0" w:line="240" w:lineRule="auto"/>
        <w:rPr>
          <w:rFonts w:ascii="Arial" w:eastAsia="Times New Roman" w:hAnsi="Arial" w:cs="Arial"/>
          <w:sz w:val="20"/>
          <w:szCs w:val="20"/>
        </w:rPr>
      </w:pPr>
    </w:p>
    <w:p w:rsidR="008F383A" w:rsidRPr="007037BB" w:rsidRDefault="008F383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Section 27(1) of the Public Finance Management Act No. 29 of 1999 (PFMA) requires that, the Minister of Finance (the Minister) tables the annual budget for a financial year in the National Assembly before the start of that financial year or, in exceptional circumstances, on a date as soon as possible after the start of the financial year, as the Minister may determine. Section 213(2) of the Constitution of the Republic of South Africa, provides that money may be withdrawn from the National Revenue Fund only in terms of an appropriation by an Act of Parliament. The Appropriation Bill proposes to appropriate money from the National Revenue Fund for the requirements of the State and to prescribe conditions for the spending of funds withdrawn. Section 26 of the PFMA requires that Parliament and each Provincial Legislature appropriate money for each financial year for the requirement of the State and the Province, respectively.</w:t>
      </w:r>
    </w:p>
    <w:p w:rsidR="008F383A" w:rsidRPr="007037BB" w:rsidRDefault="008F383A" w:rsidP="007037BB">
      <w:pPr>
        <w:spacing w:after="0" w:line="240" w:lineRule="auto"/>
        <w:rPr>
          <w:rFonts w:ascii="Arial" w:eastAsia="Times New Roman" w:hAnsi="Arial" w:cs="Arial"/>
          <w:sz w:val="20"/>
          <w:szCs w:val="20"/>
        </w:rPr>
      </w:pPr>
    </w:p>
    <w:p w:rsidR="008F383A" w:rsidRPr="007037BB" w:rsidRDefault="008F383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In executing this mandate, the Standing Committee on Appropriations, hereinafter referred to as the Committee, is established in terms of section 4(3) of the Money Bills Amendment Procedure and Related Matters Act, 2009, and herein referred to as the Act. In line with section 10(1)(a) of the Act and after the adoption of the Fiscal Framework, the Act enjoins the Committee with a responsibility to consider the Appropriation Bill, hereinafter referred to as the Bill, and report thereon to the National Assembly.  The national budget for the 2023/24 financial year was tabled on 22 February 2023 by the Minister of Finance. The Bill was referred to the Committee for consideration and report on </w:t>
      </w:r>
      <w:r w:rsidR="008001E5" w:rsidRPr="007037BB">
        <w:rPr>
          <w:rFonts w:ascii="Arial" w:eastAsia="Times New Roman" w:hAnsi="Arial" w:cs="Arial"/>
          <w:sz w:val="20"/>
          <w:szCs w:val="20"/>
        </w:rPr>
        <w:t>8</w:t>
      </w:r>
      <w:r w:rsidRPr="007037BB">
        <w:rPr>
          <w:rFonts w:ascii="Arial" w:eastAsia="Times New Roman" w:hAnsi="Arial" w:cs="Arial"/>
          <w:sz w:val="20"/>
          <w:szCs w:val="20"/>
        </w:rPr>
        <w:t xml:space="preserve"> March 202</w:t>
      </w:r>
      <w:r w:rsidR="008001E5" w:rsidRPr="007037BB">
        <w:rPr>
          <w:rFonts w:ascii="Arial" w:eastAsia="Times New Roman" w:hAnsi="Arial" w:cs="Arial"/>
          <w:sz w:val="20"/>
          <w:szCs w:val="20"/>
        </w:rPr>
        <w:t>3. National Treasury briefed the Committee on the Bill on 18 April 2023</w:t>
      </w:r>
      <w:r w:rsidRPr="007037BB">
        <w:rPr>
          <w:rFonts w:ascii="Arial" w:eastAsia="Times New Roman" w:hAnsi="Arial" w:cs="Arial"/>
          <w:sz w:val="20"/>
          <w:szCs w:val="20"/>
        </w:rPr>
        <w:t xml:space="preserve">. In processing the Bill, section 4(4)(c) of the Act also requires the Committees on Appropriations of both Houses to consult with the Financial and Fiscal Commission (FFC). In addition to the FFC commenting on the Bill, the Committee also invited the Parliamentary Budget Office for comments. Furthermore, the Department of Basic Education, Department of Communications and Digital Technologies, Department of Water and Sanitation, Department of Health, Department of Public Works and Infrastructure, and </w:t>
      </w:r>
      <w:r w:rsidR="00621145" w:rsidRPr="007037BB">
        <w:rPr>
          <w:rFonts w:ascii="Arial" w:eastAsia="Times New Roman" w:hAnsi="Arial" w:cs="Arial"/>
          <w:sz w:val="20"/>
          <w:szCs w:val="20"/>
        </w:rPr>
        <w:t xml:space="preserve">the </w:t>
      </w:r>
      <w:r w:rsidRPr="007037BB">
        <w:rPr>
          <w:rFonts w:ascii="Arial" w:eastAsia="Times New Roman" w:hAnsi="Arial" w:cs="Arial"/>
          <w:sz w:val="20"/>
          <w:szCs w:val="20"/>
        </w:rPr>
        <w:t xml:space="preserve">Department of Transport were invited to comment on the Bill as it affects each department. </w:t>
      </w:r>
    </w:p>
    <w:p w:rsidR="008F383A" w:rsidRPr="007037BB" w:rsidRDefault="008F383A" w:rsidP="007037BB">
      <w:pPr>
        <w:spacing w:after="0" w:line="240" w:lineRule="auto"/>
        <w:rPr>
          <w:rFonts w:ascii="Arial" w:eastAsia="Times New Roman" w:hAnsi="Arial" w:cs="Arial"/>
          <w:sz w:val="20"/>
          <w:szCs w:val="20"/>
        </w:rPr>
      </w:pPr>
    </w:p>
    <w:p w:rsidR="00F37A39" w:rsidRPr="007037BB" w:rsidRDefault="00F37A39"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In terms of sections 10(5) and 10(6) of the Act, Parliamentary Committees may advise the Appropriations Committee on appropriations related matters. Through the Office of the Speaker of the National Assembly, the Committee received recommendations arising from the report of the Portfolio Committee on Tourism, on Budget Vote 38 (Tourism) in terms of sections 10(5) and 10(6) of the Act. The</w:t>
      </w:r>
      <w:r w:rsidR="00621145" w:rsidRPr="007037BB">
        <w:rPr>
          <w:rFonts w:ascii="Arial" w:eastAsia="Times New Roman" w:hAnsi="Arial" w:cs="Arial"/>
          <w:sz w:val="20"/>
          <w:szCs w:val="20"/>
        </w:rPr>
        <w:t>se</w:t>
      </w:r>
      <w:r w:rsidRPr="007037BB">
        <w:rPr>
          <w:rFonts w:ascii="Arial" w:eastAsia="Times New Roman" w:hAnsi="Arial" w:cs="Arial"/>
          <w:sz w:val="20"/>
          <w:szCs w:val="20"/>
        </w:rPr>
        <w:t xml:space="preserve"> recommendations were referred to the Committee on 31 May 2023. </w:t>
      </w:r>
    </w:p>
    <w:p w:rsidR="008F383A" w:rsidRPr="007037BB" w:rsidRDefault="008F383A" w:rsidP="007037BB">
      <w:pPr>
        <w:spacing w:after="0" w:line="240" w:lineRule="auto"/>
        <w:ind w:left="993"/>
        <w:rPr>
          <w:rFonts w:ascii="Arial" w:eastAsia="Times New Roman" w:hAnsi="Arial" w:cs="Arial"/>
          <w:sz w:val="20"/>
          <w:szCs w:val="20"/>
        </w:rPr>
      </w:pPr>
    </w:p>
    <w:p w:rsidR="008F383A" w:rsidRPr="007037BB" w:rsidRDefault="008F383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Section 10(8) (a) and (b) of the Act also requires the Committee to hold public hearings on the Bill and proposed amendments; and for the Committee to report to the House on the comments on and amendments to the Bill. To this end, the Committee sent out invitations to interested parties and published advertisements in national and community newspapers from </w:t>
      </w:r>
      <w:r w:rsidR="003D43D4" w:rsidRPr="007037BB">
        <w:rPr>
          <w:rFonts w:ascii="Arial" w:eastAsia="Times New Roman" w:hAnsi="Arial" w:cs="Arial"/>
          <w:sz w:val="20"/>
          <w:szCs w:val="20"/>
        </w:rPr>
        <w:t>12 to 1</w:t>
      </w:r>
      <w:r w:rsidR="008001E5" w:rsidRPr="007037BB">
        <w:rPr>
          <w:rFonts w:ascii="Arial" w:eastAsia="Times New Roman" w:hAnsi="Arial" w:cs="Arial"/>
          <w:sz w:val="20"/>
          <w:szCs w:val="20"/>
        </w:rPr>
        <w:t>9</w:t>
      </w:r>
      <w:r w:rsidR="003D43D4" w:rsidRPr="007037BB">
        <w:rPr>
          <w:rFonts w:ascii="Arial" w:eastAsia="Times New Roman" w:hAnsi="Arial" w:cs="Arial"/>
          <w:sz w:val="20"/>
          <w:szCs w:val="20"/>
        </w:rPr>
        <w:t xml:space="preserve"> May 2023</w:t>
      </w:r>
      <w:r w:rsidRPr="007037BB">
        <w:rPr>
          <w:rFonts w:ascii="Arial" w:eastAsia="Times New Roman" w:hAnsi="Arial" w:cs="Arial"/>
          <w:color w:val="C00000"/>
          <w:sz w:val="20"/>
          <w:szCs w:val="20"/>
        </w:rPr>
        <w:t xml:space="preserve"> </w:t>
      </w:r>
      <w:r w:rsidRPr="007037BB">
        <w:rPr>
          <w:rFonts w:ascii="Arial" w:eastAsia="Times New Roman" w:hAnsi="Arial" w:cs="Arial"/>
          <w:sz w:val="20"/>
          <w:szCs w:val="20"/>
        </w:rPr>
        <w:t xml:space="preserve">inviting them to provide their inputs/comments on the Bill. </w:t>
      </w:r>
      <w:r w:rsidR="003D43D4" w:rsidRPr="007037BB">
        <w:rPr>
          <w:rFonts w:ascii="Arial" w:eastAsia="Times New Roman" w:hAnsi="Arial" w:cs="Arial"/>
          <w:sz w:val="20"/>
          <w:szCs w:val="20"/>
        </w:rPr>
        <w:t xml:space="preserve">Furthermore, the advertisement was published on Parliament’s website and social media platforms. </w:t>
      </w:r>
      <w:r w:rsidRPr="007037BB">
        <w:rPr>
          <w:rFonts w:ascii="Arial" w:eastAsia="Times New Roman" w:hAnsi="Arial" w:cs="Arial"/>
          <w:sz w:val="20"/>
          <w:szCs w:val="20"/>
        </w:rPr>
        <w:t xml:space="preserve">In response to the Committee’s advertisements, four submissions were received from </w:t>
      </w:r>
      <w:r w:rsidR="003D43D4" w:rsidRPr="007037BB">
        <w:rPr>
          <w:rFonts w:ascii="Arial" w:eastAsia="Times New Roman" w:hAnsi="Arial" w:cs="Arial"/>
          <w:sz w:val="20"/>
          <w:szCs w:val="20"/>
        </w:rPr>
        <w:t xml:space="preserve">Youth Capital, Congress of South African Trade Unions, Public Service Accountability Monitor, and </w:t>
      </w:r>
      <w:r w:rsidRPr="007037BB">
        <w:rPr>
          <w:rFonts w:ascii="Arial" w:eastAsia="Times New Roman" w:hAnsi="Arial" w:cs="Arial"/>
          <w:sz w:val="20"/>
          <w:szCs w:val="20"/>
        </w:rPr>
        <w:t>Equal Education</w:t>
      </w:r>
      <w:r w:rsidR="003D43D4" w:rsidRPr="007037BB">
        <w:rPr>
          <w:rFonts w:ascii="Arial" w:eastAsia="Times New Roman" w:hAnsi="Arial" w:cs="Arial"/>
          <w:sz w:val="20"/>
          <w:szCs w:val="20"/>
        </w:rPr>
        <w:t xml:space="preserve">. </w:t>
      </w:r>
      <w:r w:rsidRPr="007037BB">
        <w:rPr>
          <w:rFonts w:ascii="Arial" w:eastAsia="Times New Roman" w:hAnsi="Arial" w:cs="Arial"/>
          <w:sz w:val="20"/>
          <w:szCs w:val="20"/>
        </w:rPr>
        <w:t xml:space="preserve">The Committee held public hearings on the Bill on </w:t>
      </w:r>
      <w:r w:rsidR="003D43D4" w:rsidRPr="007037BB">
        <w:rPr>
          <w:rFonts w:ascii="Arial" w:eastAsia="Times New Roman" w:hAnsi="Arial" w:cs="Arial"/>
          <w:sz w:val="20"/>
          <w:szCs w:val="20"/>
        </w:rPr>
        <w:t>26</w:t>
      </w:r>
      <w:r w:rsidRPr="007037BB">
        <w:rPr>
          <w:rFonts w:ascii="Arial" w:eastAsia="Times New Roman" w:hAnsi="Arial" w:cs="Arial"/>
          <w:sz w:val="20"/>
          <w:szCs w:val="20"/>
        </w:rPr>
        <w:t xml:space="preserve"> May 202</w:t>
      </w:r>
      <w:r w:rsidR="003D43D4" w:rsidRPr="007037BB">
        <w:rPr>
          <w:rFonts w:ascii="Arial" w:eastAsia="Times New Roman" w:hAnsi="Arial" w:cs="Arial"/>
          <w:sz w:val="20"/>
          <w:szCs w:val="20"/>
        </w:rPr>
        <w:t>3</w:t>
      </w:r>
      <w:r w:rsidRPr="007037BB">
        <w:rPr>
          <w:rFonts w:ascii="Arial" w:eastAsia="Times New Roman" w:hAnsi="Arial" w:cs="Arial"/>
          <w:sz w:val="20"/>
          <w:szCs w:val="20"/>
        </w:rPr>
        <w:t xml:space="preserve"> via the Zoom virtual meeting platform.  </w:t>
      </w:r>
    </w:p>
    <w:p w:rsidR="008F383A" w:rsidRPr="007037BB" w:rsidRDefault="008F383A" w:rsidP="007037BB">
      <w:pPr>
        <w:spacing w:after="0" w:line="240" w:lineRule="auto"/>
        <w:rPr>
          <w:rFonts w:ascii="Arial" w:eastAsia="Times New Roman" w:hAnsi="Arial" w:cs="Arial"/>
          <w:sz w:val="20"/>
          <w:szCs w:val="20"/>
        </w:rPr>
      </w:pPr>
    </w:p>
    <w:p w:rsidR="005F3B76" w:rsidRPr="007037BB" w:rsidRDefault="005F3B76" w:rsidP="007037BB">
      <w:pPr>
        <w:numPr>
          <w:ilvl w:val="0"/>
          <w:numId w:val="1"/>
        </w:numPr>
        <w:spacing w:after="0" w:line="240" w:lineRule="auto"/>
        <w:ind w:left="567" w:hanging="567"/>
        <w:contextualSpacing/>
        <w:rPr>
          <w:rFonts w:ascii="Arial" w:eastAsia="Times New Roman" w:hAnsi="Arial" w:cs="Arial"/>
          <w:b/>
          <w:sz w:val="20"/>
          <w:szCs w:val="20"/>
        </w:rPr>
      </w:pPr>
      <w:bookmarkStart w:id="0" w:name="_Hlk136463219"/>
      <w:r w:rsidRPr="007037BB">
        <w:rPr>
          <w:rFonts w:ascii="Arial" w:eastAsia="Times New Roman" w:hAnsi="Arial" w:cs="Arial"/>
          <w:b/>
          <w:sz w:val="20"/>
          <w:szCs w:val="20"/>
        </w:rPr>
        <w:t xml:space="preserve">Overview of the 2023 Budget proposals </w:t>
      </w:r>
      <w:bookmarkEnd w:id="0"/>
    </w:p>
    <w:p w:rsidR="008F383A" w:rsidRPr="007037BB" w:rsidRDefault="008F383A" w:rsidP="007037BB">
      <w:pPr>
        <w:spacing w:after="0" w:line="240" w:lineRule="auto"/>
        <w:rPr>
          <w:rFonts w:ascii="Arial" w:eastAsia="Times New Roman" w:hAnsi="Arial" w:cs="Arial"/>
          <w:sz w:val="20"/>
          <w:szCs w:val="20"/>
        </w:rPr>
      </w:pPr>
    </w:p>
    <w:p w:rsidR="00C504AA" w:rsidRPr="007037BB" w:rsidRDefault="00C504A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The 2023 budget reiterates government’s priorities as set out in the 2022 Medium Term Budget Policy Statement (MTBPS). </w:t>
      </w:r>
      <w:r w:rsidRPr="007037BB">
        <w:rPr>
          <w:rFonts w:ascii="Arial" w:eastAsia="Times New Roman" w:hAnsi="Arial" w:cs="Arial"/>
          <w:sz w:val="20"/>
          <w:szCs w:val="20"/>
          <w:lang w:val="en-US"/>
        </w:rPr>
        <w:t xml:space="preserve">The 2023 Budget continues to maintain the fiscal consolidation strategy of reducing the budget deficit and stabilizing government debt as percentage of GDP; supporting economic growth by maintaining a prudent fiscal stance while directing resources towards infrastructure investments, strengthening the criminal justice system to fight crime and corruption; and reducing the fiscal and economic risks, including through the Eskom </w:t>
      </w:r>
      <w:r w:rsidRPr="007037BB">
        <w:rPr>
          <w:rFonts w:ascii="Arial" w:eastAsia="Times New Roman" w:hAnsi="Arial" w:cs="Arial"/>
          <w:sz w:val="20"/>
          <w:szCs w:val="20"/>
          <w:lang w:val="en-US"/>
        </w:rPr>
        <w:lastRenderedPageBreak/>
        <w:t xml:space="preserve">debt-relief arrangement. Government has committed to achieve these objectives without resorting to tax rate increases that could harm economic growth. In pursuant of higher economic growth, the 2023 budget remains </w:t>
      </w:r>
      <w:r w:rsidR="00E944D9" w:rsidRPr="007037BB">
        <w:rPr>
          <w:rFonts w:ascii="Arial" w:eastAsia="Times New Roman" w:hAnsi="Arial" w:cs="Arial"/>
          <w:sz w:val="20"/>
          <w:szCs w:val="20"/>
          <w:lang w:val="en-US"/>
        </w:rPr>
        <w:t>anchored</w:t>
      </w:r>
      <w:r w:rsidRPr="007037BB">
        <w:rPr>
          <w:rFonts w:ascii="Arial" w:eastAsia="Times New Roman" w:hAnsi="Arial" w:cs="Arial"/>
          <w:sz w:val="20"/>
          <w:szCs w:val="20"/>
          <w:lang w:val="en-US"/>
        </w:rPr>
        <w:t xml:space="preserve"> on the objectives of ensuring a stable macroeconomic framework to create a conducive environment for savings, investment and growth; the implementation of growth-enhancing reforms in key sectors, particularly in energy, transport and logistics; and strengthening the capacity of the State to deliver quality public services, invest</w:t>
      </w:r>
      <w:r w:rsidR="00E944D9" w:rsidRPr="007037BB">
        <w:rPr>
          <w:rFonts w:ascii="Arial" w:eastAsia="Times New Roman" w:hAnsi="Arial" w:cs="Arial"/>
          <w:sz w:val="20"/>
          <w:szCs w:val="20"/>
          <w:lang w:val="en-US"/>
        </w:rPr>
        <w:t xml:space="preserve">ment </w:t>
      </w:r>
      <w:r w:rsidRPr="007037BB">
        <w:rPr>
          <w:rFonts w:ascii="Arial" w:eastAsia="Times New Roman" w:hAnsi="Arial" w:cs="Arial"/>
          <w:sz w:val="20"/>
          <w:szCs w:val="20"/>
          <w:lang w:val="en-US"/>
        </w:rPr>
        <w:t>in infrastructure and fight</w:t>
      </w:r>
      <w:r w:rsidR="00E944D9" w:rsidRPr="007037BB">
        <w:rPr>
          <w:rFonts w:ascii="Arial" w:eastAsia="Times New Roman" w:hAnsi="Arial" w:cs="Arial"/>
          <w:sz w:val="20"/>
          <w:szCs w:val="20"/>
          <w:lang w:val="en-US"/>
        </w:rPr>
        <w:t>ing</w:t>
      </w:r>
      <w:r w:rsidRPr="007037BB">
        <w:rPr>
          <w:rFonts w:ascii="Arial" w:eastAsia="Times New Roman" w:hAnsi="Arial" w:cs="Arial"/>
          <w:sz w:val="20"/>
          <w:szCs w:val="20"/>
          <w:lang w:val="en-US"/>
        </w:rPr>
        <w:t xml:space="preserve"> crime and corruption.</w:t>
      </w:r>
      <w:r w:rsidRPr="007037BB">
        <w:rPr>
          <w:rFonts w:ascii="Arial" w:eastAsia="Times New Roman" w:hAnsi="Arial" w:cs="Arial"/>
          <w:sz w:val="20"/>
          <w:szCs w:val="20"/>
        </w:rPr>
        <w:t xml:space="preserve"> The 2023 budget proposes adjustment to government spending plans and these adjustments affect the expenditure ceiling as follows:</w:t>
      </w:r>
    </w:p>
    <w:p w:rsidR="00C504AA" w:rsidRPr="007037BB" w:rsidRDefault="00C504AA" w:rsidP="007037BB">
      <w:pPr>
        <w:spacing w:after="0" w:line="240" w:lineRule="auto"/>
        <w:rPr>
          <w:rFonts w:ascii="Arial" w:eastAsia="Times New Roman" w:hAnsi="Arial" w:cs="Arial"/>
          <w:sz w:val="20"/>
          <w:szCs w:val="20"/>
        </w:rPr>
      </w:pPr>
    </w:p>
    <w:p w:rsidR="00C504AA" w:rsidRPr="007037BB" w:rsidRDefault="00C504AA" w:rsidP="007037BB">
      <w:pPr>
        <w:numPr>
          <w:ilvl w:val="0"/>
          <w:numId w:val="17"/>
        </w:numPr>
        <w:spacing w:after="0" w:line="240" w:lineRule="auto"/>
        <w:rPr>
          <w:rFonts w:ascii="Arial" w:eastAsia="Times New Roman" w:hAnsi="Arial" w:cs="Arial"/>
          <w:sz w:val="20"/>
          <w:szCs w:val="20"/>
          <w:lang w:val="en-GB"/>
        </w:rPr>
      </w:pPr>
      <w:bookmarkStart w:id="1" w:name="_Hlk136854639"/>
      <w:r w:rsidRPr="007037BB">
        <w:rPr>
          <w:rFonts w:ascii="Arial" w:eastAsia="Times New Roman" w:hAnsi="Arial" w:cs="Arial"/>
          <w:sz w:val="20"/>
          <w:szCs w:val="20"/>
          <w:lang w:val="en-GB"/>
        </w:rPr>
        <w:t xml:space="preserve">Relative to the 2022 budget, the main budget non-interest spending increases by a net R128.4 billion over the MTEF period, supported by higher than anticipated revenue collection. </w:t>
      </w:r>
    </w:p>
    <w:bookmarkEnd w:id="1"/>
    <w:p w:rsidR="00C504AA" w:rsidRPr="007037BB" w:rsidRDefault="00C504AA" w:rsidP="007037BB">
      <w:pPr>
        <w:numPr>
          <w:ilvl w:val="0"/>
          <w:numId w:val="17"/>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 xml:space="preserve">Consolidated government expenditure increases from R2.17 trillion in 2022/23 to R2.48 trillion in 2025/26, increasing at an annual average rate of 4.5 per cent over the </w:t>
      </w:r>
      <w:r w:rsidR="00621145" w:rsidRPr="007037BB">
        <w:rPr>
          <w:rFonts w:ascii="Arial" w:eastAsia="Times New Roman" w:hAnsi="Arial" w:cs="Arial"/>
          <w:sz w:val="20"/>
          <w:szCs w:val="20"/>
          <w:lang w:val="en-GB"/>
        </w:rPr>
        <w:t>same</w:t>
      </w:r>
      <w:r w:rsidRPr="007037BB">
        <w:rPr>
          <w:rFonts w:ascii="Arial" w:eastAsia="Times New Roman" w:hAnsi="Arial" w:cs="Arial"/>
          <w:sz w:val="20"/>
          <w:szCs w:val="20"/>
          <w:lang w:val="en-GB"/>
        </w:rPr>
        <w:t xml:space="preserve"> period, </w:t>
      </w:r>
      <w:r w:rsidR="00621145" w:rsidRPr="007037BB">
        <w:rPr>
          <w:rFonts w:ascii="Arial" w:eastAsia="Times New Roman" w:hAnsi="Arial" w:cs="Arial"/>
          <w:sz w:val="20"/>
          <w:szCs w:val="20"/>
        </w:rPr>
        <w:t xml:space="preserve">with </w:t>
      </w:r>
      <w:r w:rsidRPr="007037BB">
        <w:rPr>
          <w:rFonts w:ascii="Arial" w:eastAsia="Times New Roman" w:hAnsi="Arial" w:cs="Arial"/>
          <w:sz w:val="20"/>
          <w:szCs w:val="20"/>
        </w:rPr>
        <w:t xml:space="preserve">51 per cent or R3.6 trillion allocated </w:t>
      </w:r>
      <w:r w:rsidR="00DC6E94" w:rsidRPr="007037BB">
        <w:rPr>
          <w:rFonts w:ascii="Arial" w:eastAsia="Times New Roman" w:hAnsi="Arial" w:cs="Arial"/>
          <w:sz w:val="20"/>
          <w:szCs w:val="20"/>
        </w:rPr>
        <w:t xml:space="preserve">towards </w:t>
      </w:r>
      <w:r w:rsidRPr="007037BB">
        <w:rPr>
          <w:rFonts w:ascii="Arial" w:eastAsia="Times New Roman" w:hAnsi="Arial" w:cs="Arial"/>
          <w:sz w:val="20"/>
          <w:szCs w:val="20"/>
        </w:rPr>
        <w:t xml:space="preserve">the social wage. The social wage allocations consist </w:t>
      </w:r>
      <w:r w:rsidRPr="007037BB">
        <w:rPr>
          <w:rFonts w:ascii="Arial" w:eastAsia="Times New Roman" w:hAnsi="Arial" w:cs="Arial"/>
          <w:sz w:val="20"/>
          <w:szCs w:val="20"/>
          <w:lang w:val="en-US"/>
        </w:rPr>
        <w:t xml:space="preserve">of spending allocations for health, education, housing, social protection, transport, employment and local amenities. </w:t>
      </w:r>
    </w:p>
    <w:p w:rsidR="00C504AA" w:rsidRPr="007037BB" w:rsidRDefault="00C504AA" w:rsidP="007037BB">
      <w:pPr>
        <w:numPr>
          <w:ilvl w:val="0"/>
          <w:numId w:val="17"/>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 xml:space="preserve">In addition, </w:t>
      </w:r>
      <w:bookmarkStart w:id="2" w:name="_Hlk136854295"/>
      <w:r w:rsidRPr="007037BB">
        <w:rPr>
          <w:rFonts w:ascii="Arial" w:eastAsia="Times New Roman" w:hAnsi="Arial" w:cs="Arial"/>
          <w:sz w:val="20"/>
          <w:szCs w:val="20"/>
          <w:lang w:val="en-GB"/>
        </w:rPr>
        <w:t xml:space="preserve">the 2023 budget allocates additional funding totalling R227 billion over the MTEF period (R91 billion in 2023/24, R61.3 billion 2024/25 and R74.7 billion in 2025/26). </w:t>
      </w:r>
      <w:bookmarkEnd w:id="2"/>
      <w:r w:rsidRPr="007037BB">
        <w:rPr>
          <w:rFonts w:ascii="Arial" w:eastAsia="Times New Roman" w:hAnsi="Arial" w:cs="Arial"/>
          <w:sz w:val="20"/>
          <w:szCs w:val="20"/>
          <w:lang w:val="en-GB"/>
        </w:rPr>
        <w:t>Over the MTEF period, this additional allocation consists of:</w:t>
      </w:r>
    </w:p>
    <w:p w:rsidR="00C504AA" w:rsidRPr="007037BB" w:rsidRDefault="00C504AA" w:rsidP="007037BB">
      <w:pPr>
        <w:numPr>
          <w:ilvl w:val="0"/>
          <w:numId w:val="31"/>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A proposed total of R45.6 billion to fund the carry-through cost of the 2022/23 public-service wage increase.</w:t>
      </w:r>
    </w:p>
    <w:p w:rsidR="00C504AA" w:rsidRPr="007037BB" w:rsidRDefault="00C504AA" w:rsidP="007037BB">
      <w:pPr>
        <w:numPr>
          <w:ilvl w:val="0"/>
          <w:numId w:val="31"/>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 xml:space="preserve">A proposed total of R42.8 billion in infrastructure related spending. </w:t>
      </w:r>
    </w:p>
    <w:p w:rsidR="00C504AA" w:rsidRPr="007037BB" w:rsidRDefault="00C504AA" w:rsidP="007037BB">
      <w:pPr>
        <w:numPr>
          <w:ilvl w:val="0"/>
          <w:numId w:val="31"/>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 xml:space="preserve">A proposed total of R14.4 billion for the security cluster to fund the hiring of 5 000 additional police trainees per year, the State Capture Commission and Financial Action Task Force, the boarder Management Authority and the Mozambique deployment, prime mission equipment and SA navy defence system.  </w:t>
      </w:r>
    </w:p>
    <w:p w:rsidR="00C504AA" w:rsidRPr="007037BB" w:rsidRDefault="00C504AA" w:rsidP="007037BB">
      <w:pPr>
        <w:numPr>
          <w:ilvl w:val="0"/>
          <w:numId w:val="31"/>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 xml:space="preserve">A proposed total of R1.7 billion towards economic growth and employment (South African Revenue Services and the South African Weather Services. </w:t>
      </w:r>
    </w:p>
    <w:p w:rsidR="00C504AA" w:rsidRPr="007037BB" w:rsidRDefault="00C504AA" w:rsidP="007037BB">
      <w:pPr>
        <w:numPr>
          <w:ilvl w:val="0"/>
          <w:numId w:val="31"/>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 xml:space="preserve">A proposed total of R53.9 billion in service delivery related expenditure (Basic Education Sector, and Health, including the local government equitable share to fund free basic services). </w:t>
      </w:r>
    </w:p>
    <w:p w:rsidR="00C504AA" w:rsidRPr="007037BB" w:rsidRDefault="00C504AA" w:rsidP="007037BB">
      <w:pPr>
        <w:numPr>
          <w:ilvl w:val="0"/>
          <w:numId w:val="31"/>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 xml:space="preserve">A proposed total of R840 million in 2023/24 for the Department of Home Affairs Digitisation project. </w:t>
      </w:r>
    </w:p>
    <w:p w:rsidR="00C504AA" w:rsidRPr="007037BB" w:rsidRDefault="00C504AA" w:rsidP="007037BB">
      <w:pPr>
        <w:numPr>
          <w:ilvl w:val="0"/>
          <w:numId w:val="31"/>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A proposed total of R36.1 billion in 2023/24 for the Covid</w:t>
      </w:r>
      <w:r w:rsidR="00FC494F" w:rsidRPr="007037BB">
        <w:rPr>
          <w:rFonts w:ascii="Arial" w:eastAsia="Times New Roman" w:hAnsi="Arial" w:cs="Arial"/>
          <w:sz w:val="20"/>
          <w:szCs w:val="20"/>
          <w:lang w:val="en-GB"/>
        </w:rPr>
        <w:t>-</w:t>
      </w:r>
      <w:r w:rsidRPr="007037BB">
        <w:rPr>
          <w:rFonts w:ascii="Arial" w:eastAsia="Times New Roman" w:hAnsi="Arial" w:cs="Arial"/>
          <w:sz w:val="20"/>
          <w:szCs w:val="20"/>
          <w:lang w:val="en-GB"/>
        </w:rPr>
        <w:t xml:space="preserve">19 Social Relief of Distress Grant (DRDG). </w:t>
      </w:r>
    </w:p>
    <w:p w:rsidR="00C504AA" w:rsidRPr="007037BB" w:rsidRDefault="00C504AA" w:rsidP="007037BB">
      <w:pPr>
        <w:numPr>
          <w:ilvl w:val="0"/>
          <w:numId w:val="31"/>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 xml:space="preserve">A proposed total of R29.6 billion for social grants increases. </w:t>
      </w:r>
    </w:p>
    <w:p w:rsidR="00C504AA" w:rsidRPr="007037BB" w:rsidRDefault="00C504AA" w:rsidP="007037BB">
      <w:pPr>
        <w:numPr>
          <w:ilvl w:val="0"/>
          <w:numId w:val="31"/>
        </w:numPr>
        <w:spacing w:after="0" w:line="240" w:lineRule="auto"/>
        <w:rPr>
          <w:rFonts w:ascii="Arial" w:eastAsia="Times New Roman" w:hAnsi="Arial" w:cs="Arial"/>
          <w:sz w:val="20"/>
          <w:szCs w:val="20"/>
          <w:lang w:val="en-GB"/>
        </w:rPr>
      </w:pPr>
      <w:r w:rsidRPr="007037BB">
        <w:rPr>
          <w:rFonts w:ascii="Arial" w:eastAsia="Times New Roman" w:hAnsi="Arial" w:cs="Arial"/>
          <w:sz w:val="20"/>
          <w:szCs w:val="20"/>
          <w:lang w:val="en-GB"/>
        </w:rPr>
        <w:t xml:space="preserve">A proposed total of R2.1billion for other spending priorities.  </w:t>
      </w:r>
    </w:p>
    <w:p w:rsidR="008F383A" w:rsidRPr="007037BB" w:rsidRDefault="008F383A" w:rsidP="007037BB">
      <w:pPr>
        <w:spacing w:after="0" w:line="240" w:lineRule="auto"/>
        <w:rPr>
          <w:rFonts w:ascii="Arial" w:eastAsia="Times New Roman" w:hAnsi="Arial" w:cs="Arial"/>
          <w:sz w:val="20"/>
          <w:szCs w:val="20"/>
        </w:rPr>
      </w:pPr>
    </w:p>
    <w:p w:rsidR="005F3B76" w:rsidRPr="007037BB" w:rsidRDefault="005F3B76" w:rsidP="007037BB">
      <w:pPr>
        <w:numPr>
          <w:ilvl w:val="0"/>
          <w:numId w:val="1"/>
        </w:numPr>
        <w:spacing w:after="0" w:line="240" w:lineRule="auto"/>
        <w:ind w:left="360"/>
        <w:contextualSpacing/>
        <w:rPr>
          <w:rFonts w:ascii="Arial" w:eastAsia="Times New Roman" w:hAnsi="Arial" w:cs="Arial"/>
          <w:b/>
          <w:sz w:val="20"/>
          <w:szCs w:val="20"/>
        </w:rPr>
      </w:pPr>
      <w:r w:rsidRPr="007037BB">
        <w:rPr>
          <w:rFonts w:ascii="Arial" w:eastAsia="Times New Roman" w:hAnsi="Arial" w:cs="Arial"/>
          <w:b/>
          <w:sz w:val="20"/>
          <w:szCs w:val="20"/>
        </w:rPr>
        <w:t xml:space="preserve">Overview of the 2023 Appropriation Bill </w:t>
      </w:r>
    </w:p>
    <w:p w:rsidR="005F3B76" w:rsidRPr="007037BB" w:rsidRDefault="005F3B76" w:rsidP="007037BB">
      <w:pPr>
        <w:spacing w:after="0" w:line="240" w:lineRule="auto"/>
        <w:rPr>
          <w:rFonts w:ascii="Arial" w:eastAsia="Times New Roman" w:hAnsi="Arial" w:cs="Arial"/>
          <w:sz w:val="20"/>
          <w:szCs w:val="20"/>
          <w:lang w:val="en-GB"/>
        </w:rPr>
      </w:pPr>
    </w:p>
    <w:p w:rsidR="005F3B76" w:rsidRPr="007037BB" w:rsidRDefault="005F3B76"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The Bill provides for the appropriation of money by Parliament from the National Revenue Fund (NRF) in terms of section 213 of the Constitution of the Republic of South Africa and section 26 of the PFMA. Spending is subject to the PFMA and the provisions of the Appropriation Act. The Bill deals with proposed national appropriations. In order to effect spending on conditional allocations from national’s equitable share to provincial and local government, the Division of Revenue Act sets out specific provisions on spending conditions. </w:t>
      </w:r>
    </w:p>
    <w:p w:rsidR="005F3B76" w:rsidRPr="007037BB" w:rsidRDefault="005F3B76" w:rsidP="007037BB">
      <w:pPr>
        <w:spacing w:after="0" w:line="240" w:lineRule="auto"/>
        <w:rPr>
          <w:rFonts w:ascii="Arial" w:eastAsia="Times New Roman" w:hAnsi="Arial" w:cs="Arial"/>
          <w:sz w:val="20"/>
          <w:szCs w:val="20"/>
        </w:rPr>
      </w:pPr>
    </w:p>
    <w:p w:rsidR="005F3B76" w:rsidRPr="007037BB" w:rsidRDefault="005F3B76" w:rsidP="007037BB">
      <w:pPr>
        <w:spacing w:after="0" w:line="240" w:lineRule="auto"/>
        <w:rPr>
          <w:rFonts w:ascii="Arial" w:eastAsia="Times New Roman" w:hAnsi="Arial" w:cs="Arial"/>
          <w:sz w:val="20"/>
          <w:szCs w:val="20"/>
        </w:rPr>
      </w:pPr>
      <w:bookmarkStart w:id="3" w:name="_Hlk136852940"/>
      <w:r w:rsidRPr="007037BB">
        <w:rPr>
          <w:rFonts w:ascii="Arial" w:eastAsia="Times New Roman" w:hAnsi="Arial" w:cs="Arial"/>
          <w:sz w:val="20"/>
          <w:szCs w:val="20"/>
        </w:rPr>
        <w:t>The Bill proposes a total appropriation by vote of R1.1 trillion in 2023/24 financial year (or R3.3 trillion over the next three years). Total direct charges against the National Revenue Fund (NRF) amounts to R950.6 billion in 20</w:t>
      </w:r>
      <w:r w:rsidR="00E944D9" w:rsidRPr="007037BB">
        <w:rPr>
          <w:rFonts w:ascii="Arial" w:eastAsia="Times New Roman" w:hAnsi="Arial" w:cs="Arial"/>
          <w:sz w:val="20"/>
          <w:szCs w:val="20"/>
        </w:rPr>
        <w:t>2</w:t>
      </w:r>
      <w:r w:rsidRPr="007037BB">
        <w:rPr>
          <w:rFonts w:ascii="Arial" w:eastAsia="Times New Roman" w:hAnsi="Arial" w:cs="Arial"/>
          <w:sz w:val="20"/>
          <w:szCs w:val="20"/>
        </w:rPr>
        <w:t xml:space="preserve">3/24 financial year (or R3 trillion of the MTEF period). </w:t>
      </w:r>
      <w:bookmarkEnd w:id="3"/>
      <w:r w:rsidRPr="007037BB">
        <w:rPr>
          <w:rFonts w:ascii="Arial" w:eastAsia="Times New Roman" w:hAnsi="Arial" w:cs="Arial"/>
          <w:sz w:val="20"/>
          <w:szCs w:val="20"/>
        </w:rPr>
        <w:t>Direct charges against the National Revenue Fund includes amongst others; Members of Parliament’s remuneration, Provincial Equitable Share (PES), debt-services costs, general fuel levy sharing with metropolitan municipalities, and skills levy and sector education and training authorities. Including direct transfers to provinces and local government, direct charges and total vote appropriation, (Appropriation Bill), provisional allocations not assigned to votes and the contingency reserve, total Estimates of National Expenditure amounts to R2.035 trillion for the 2023/24 financial year (see Table 1 below).</w:t>
      </w:r>
    </w:p>
    <w:p w:rsidR="005F3B76" w:rsidRPr="007037BB" w:rsidRDefault="005F3B76" w:rsidP="007037BB">
      <w:pPr>
        <w:spacing w:after="0" w:line="240" w:lineRule="auto"/>
        <w:rPr>
          <w:rFonts w:ascii="Arial" w:eastAsia="Times New Roman" w:hAnsi="Arial" w:cs="Arial"/>
          <w:sz w:val="20"/>
          <w:szCs w:val="20"/>
        </w:rPr>
      </w:pPr>
    </w:p>
    <w:p w:rsidR="005F3B76" w:rsidRPr="007037BB" w:rsidRDefault="005F3B76" w:rsidP="007037BB">
      <w:pPr>
        <w:spacing w:after="0" w:line="240" w:lineRule="auto"/>
        <w:rPr>
          <w:rFonts w:ascii="Arial" w:eastAsia="Times New Roman" w:hAnsi="Arial" w:cs="Arial"/>
          <w:sz w:val="20"/>
          <w:szCs w:val="20"/>
        </w:rPr>
      </w:pPr>
      <w:r w:rsidRPr="007037BB">
        <w:rPr>
          <w:rFonts w:ascii="Arial" w:eastAsia="Times New Roman" w:hAnsi="Arial" w:cs="Arial"/>
          <w:b/>
          <w:bCs/>
          <w:sz w:val="20"/>
          <w:szCs w:val="20"/>
        </w:rPr>
        <w:t xml:space="preserve">Table 1: </w:t>
      </w:r>
      <w:r w:rsidRPr="007037BB">
        <w:rPr>
          <w:rFonts w:ascii="Arial" w:eastAsia="Times New Roman" w:hAnsi="Arial" w:cs="Arial"/>
          <w:sz w:val="20"/>
          <w:szCs w:val="20"/>
        </w:rPr>
        <w:t>Expenditure by national vote: 2023/24</w:t>
      </w:r>
    </w:p>
    <w:tbl>
      <w:tblPr>
        <w:tblW w:w="10070" w:type="dxa"/>
        <w:tblLook w:val="04A0"/>
      </w:tblPr>
      <w:tblGrid>
        <w:gridCol w:w="8540"/>
        <w:gridCol w:w="1530"/>
      </w:tblGrid>
      <w:tr w:rsidR="005F3B76" w:rsidRPr="007037BB" w:rsidTr="00D253CE">
        <w:trPr>
          <w:trHeight w:val="324"/>
        </w:trPr>
        <w:tc>
          <w:tcPr>
            <w:tcW w:w="8540" w:type="dxa"/>
            <w:tcBorders>
              <w:top w:val="single" w:sz="8" w:space="0" w:color="auto"/>
              <w:left w:val="single" w:sz="8" w:space="0" w:color="auto"/>
              <w:bottom w:val="single" w:sz="8" w:space="0" w:color="auto"/>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 xml:space="preserve">R million </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2023/24</w:t>
            </w:r>
          </w:p>
        </w:tc>
      </w:tr>
      <w:tr w:rsidR="005F3B76" w:rsidRPr="007037BB" w:rsidTr="00D253CE">
        <w:trPr>
          <w:trHeight w:val="312"/>
        </w:trPr>
        <w:tc>
          <w:tcPr>
            <w:tcW w:w="8540" w:type="dxa"/>
            <w:tcBorders>
              <w:top w:val="nil"/>
              <w:left w:val="single" w:sz="8" w:space="0" w:color="auto"/>
              <w:bottom w:val="nil"/>
              <w:right w:val="nil"/>
            </w:tcBorders>
            <w:shd w:val="clear" w:color="000000" w:fill="FFFFFF"/>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Total appropriation by vote (Appropriation Bill)</w:t>
            </w:r>
          </w:p>
        </w:tc>
        <w:tc>
          <w:tcPr>
            <w:tcW w:w="1530" w:type="dxa"/>
            <w:tcBorders>
              <w:top w:val="nil"/>
              <w:left w:val="single" w:sz="8" w:space="0" w:color="auto"/>
              <w:bottom w:val="nil"/>
              <w:right w:val="single" w:sz="8" w:space="0" w:color="auto"/>
            </w:tcBorders>
            <w:shd w:val="clear" w:color="000000" w:fill="FFFFFF"/>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1,077,437.8</w:t>
            </w:r>
          </w:p>
        </w:tc>
      </w:tr>
      <w:tr w:rsidR="005F3B76" w:rsidRPr="007037BB" w:rsidTr="00D253CE">
        <w:trPr>
          <w:trHeight w:val="312"/>
        </w:trPr>
        <w:tc>
          <w:tcPr>
            <w:tcW w:w="8540" w:type="dxa"/>
            <w:tcBorders>
              <w:top w:val="nil"/>
              <w:left w:val="single" w:sz="8" w:space="0" w:color="auto"/>
              <w:bottom w:val="nil"/>
              <w:right w:val="nil"/>
            </w:tcBorders>
            <w:shd w:val="clear" w:color="000000" w:fill="FFFFFF"/>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Total direct charges against the National Revenue Fund</w:t>
            </w:r>
          </w:p>
        </w:tc>
        <w:tc>
          <w:tcPr>
            <w:tcW w:w="1530" w:type="dxa"/>
            <w:tcBorders>
              <w:top w:val="nil"/>
              <w:left w:val="single" w:sz="8" w:space="0" w:color="auto"/>
              <w:bottom w:val="nil"/>
              <w:right w:val="single" w:sz="8" w:space="0" w:color="auto"/>
            </w:tcBorders>
            <w:shd w:val="clear" w:color="000000" w:fill="FFFFFF"/>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950,637.6</w:t>
            </w:r>
          </w:p>
        </w:tc>
      </w:tr>
      <w:tr w:rsidR="005F3B76" w:rsidRPr="007037BB" w:rsidTr="00D253CE">
        <w:trPr>
          <w:trHeight w:val="312"/>
        </w:trPr>
        <w:tc>
          <w:tcPr>
            <w:tcW w:w="8540" w:type="dxa"/>
            <w:tcBorders>
              <w:top w:val="nil"/>
              <w:left w:val="single" w:sz="8" w:space="0" w:color="auto"/>
              <w:bottom w:val="nil"/>
              <w:right w:val="nil"/>
            </w:tcBorders>
            <w:shd w:val="clear" w:color="000000" w:fill="FFFFFF"/>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lastRenderedPageBreak/>
              <w:t>Provisional allocation not assigned to votes</w:t>
            </w:r>
          </w:p>
        </w:tc>
        <w:tc>
          <w:tcPr>
            <w:tcW w:w="1530" w:type="dxa"/>
            <w:tcBorders>
              <w:top w:val="nil"/>
              <w:left w:val="single" w:sz="8" w:space="0" w:color="auto"/>
              <w:bottom w:val="nil"/>
              <w:right w:val="single" w:sz="8" w:space="0" w:color="auto"/>
            </w:tcBorders>
            <w:shd w:val="clear" w:color="000000" w:fill="FFFFFF"/>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1,504.7</w:t>
            </w:r>
          </w:p>
        </w:tc>
      </w:tr>
      <w:tr w:rsidR="005F3B76" w:rsidRPr="007037BB" w:rsidTr="00D253CE">
        <w:trPr>
          <w:trHeight w:val="324"/>
        </w:trPr>
        <w:tc>
          <w:tcPr>
            <w:tcW w:w="8540" w:type="dxa"/>
            <w:tcBorders>
              <w:top w:val="nil"/>
              <w:left w:val="single" w:sz="8" w:space="0" w:color="auto"/>
              <w:bottom w:val="nil"/>
              <w:right w:val="nil"/>
            </w:tcBorders>
            <w:shd w:val="clear" w:color="000000" w:fill="FFFFFF"/>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Contingency reserve</w:t>
            </w:r>
          </w:p>
        </w:tc>
        <w:tc>
          <w:tcPr>
            <w:tcW w:w="1530" w:type="dxa"/>
            <w:tcBorders>
              <w:top w:val="nil"/>
              <w:left w:val="single" w:sz="8" w:space="0" w:color="auto"/>
              <w:bottom w:val="nil"/>
              <w:right w:val="single" w:sz="8" w:space="0" w:color="auto"/>
            </w:tcBorders>
            <w:shd w:val="clear" w:color="000000" w:fill="FFFFFF"/>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5,000.0</w:t>
            </w:r>
          </w:p>
        </w:tc>
      </w:tr>
      <w:tr w:rsidR="005F3B76" w:rsidRPr="007037BB" w:rsidTr="00D253CE">
        <w:trPr>
          <w:trHeight w:val="324"/>
        </w:trPr>
        <w:tc>
          <w:tcPr>
            <w:tcW w:w="8540" w:type="dxa"/>
            <w:tcBorders>
              <w:top w:val="single" w:sz="8" w:space="0" w:color="auto"/>
              <w:left w:val="single" w:sz="8" w:space="0" w:color="auto"/>
              <w:bottom w:val="single" w:sz="8" w:space="0" w:color="auto"/>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Total National Expenditure Estimates</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2,034,580.1</w:t>
            </w:r>
          </w:p>
        </w:tc>
      </w:tr>
    </w:tbl>
    <w:p w:rsidR="005F3B76" w:rsidRPr="007037BB" w:rsidRDefault="005F3B76" w:rsidP="007037BB">
      <w:pPr>
        <w:spacing w:after="0" w:line="240" w:lineRule="auto"/>
        <w:rPr>
          <w:rFonts w:ascii="Arial" w:eastAsia="Times New Roman" w:hAnsi="Arial" w:cs="Arial"/>
          <w:i/>
          <w:iCs/>
          <w:sz w:val="20"/>
          <w:szCs w:val="20"/>
        </w:rPr>
      </w:pPr>
      <w:r w:rsidRPr="007037BB">
        <w:rPr>
          <w:rFonts w:ascii="Arial" w:eastAsia="Times New Roman" w:hAnsi="Arial" w:cs="Arial"/>
          <w:i/>
          <w:iCs/>
          <w:sz w:val="20"/>
          <w:szCs w:val="20"/>
        </w:rPr>
        <w:t>Source: National Treasury (2023 Estimates of National Expenditure</w:t>
      </w:r>
    </w:p>
    <w:p w:rsidR="00FC494F" w:rsidRPr="007037BB" w:rsidRDefault="00FC494F" w:rsidP="007037BB">
      <w:pPr>
        <w:spacing w:after="0" w:line="240" w:lineRule="auto"/>
        <w:rPr>
          <w:rFonts w:ascii="Arial" w:hAnsi="Arial" w:cs="Arial"/>
          <w:b/>
          <w:sz w:val="20"/>
          <w:szCs w:val="20"/>
        </w:rPr>
      </w:pPr>
    </w:p>
    <w:p w:rsidR="00130837" w:rsidRPr="007037BB" w:rsidRDefault="00130837" w:rsidP="007037BB">
      <w:pPr>
        <w:spacing w:after="0" w:line="240" w:lineRule="auto"/>
        <w:rPr>
          <w:rFonts w:ascii="Arial" w:hAnsi="Arial" w:cs="Arial"/>
          <w:b/>
          <w:sz w:val="20"/>
          <w:szCs w:val="20"/>
        </w:rPr>
      </w:pPr>
    </w:p>
    <w:p w:rsidR="005F3B76" w:rsidRPr="007037BB" w:rsidRDefault="005F3B76" w:rsidP="007037BB">
      <w:pPr>
        <w:spacing w:after="0" w:line="240" w:lineRule="auto"/>
        <w:rPr>
          <w:rFonts w:ascii="Arial" w:eastAsia="Times New Roman" w:hAnsi="Arial" w:cs="Arial"/>
          <w:i/>
          <w:iCs/>
          <w:sz w:val="20"/>
          <w:szCs w:val="20"/>
        </w:rPr>
      </w:pPr>
      <w:r w:rsidRPr="007037BB">
        <w:rPr>
          <w:rFonts w:ascii="Arial" w:hAnsi="Arial" w:cs="Arial"/>
          <w:b/>
          <w:sz w:val="20"/>
          <w:szCs w:val="20"/>
        </w:rPr>
        <w:t xml:space="preserve">Table 2: </w:t>
      </w:r>
      <w:r w:rsidRPr="007037BB">
        <w:rPr>
          <w:rFonts w:ascii="Arial" w:hAnsi="Arial" w:cs="Arial"/>
          <w:sz w:val="20"/>
          <w:szCs w:val="20"/>
        </w:rPr>
        <w:t>Appropriated funds per vote - 2023 Appropriation Bill</w:t>
      </w:r>
    </w:p>
    <w:tbl>
      <w:tblPr>
        <w:tblW w:w="10070" w:type="dxa"/>
        <w:tblLook w:val="04A0"/>
      </w:tblPr>
      <w:tblGrid>
        <w:gridCol w:w="960"/>
        <w:gridCol w:w="6410"/>
        <w:gridCol w:w="2700"/>
      </w:tblGrid>
      <w:tr w:rsidR="005F3B76" w:rsidRPr="007037BB" w:rsidTr="00D253CE">
        <w:trPr>
          <w:trHeight w:val="324"/>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 xml:space="preserve">Vote </w:t>
            </w:r>
          </w:p>
        </w:tc>
        <w:tc>
          <w:tcPr>
            <w:tcW w:w="6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Department (s)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 xml:space="preserve">Main Division </w:t>
            </w:r>
          </w:p>
        </w:tc>
      </w:tr>
      <w:tr w:rsidR="005F3B76" w:rsidRPr="007037BB" w:rsidTr="00D253CE">
        <w:trPr>
          <w:trHeight w:val="324"/>
        </w:trPr>
        <w:tc>
          <w:tcPr>
            <w:tcW w:w="7370"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 </w:t>
            </w:r>
          </w:p>
        </w:tc>
        <w:tc>
          <w:tcPr>
            <w:tcW w:w="2700" w:type="dxa"/>
            <w:tcBorders>
              <w:top w:val="nil"/>
              <w:left w:val="nil"/>
              <w:bottom w:val="single" w:sz="8" w:space="0" w:color="auto"/>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R'000</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The Presidency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617,192</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Parliament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3,423,486</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3</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Cooperative Governance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121,698,251</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4</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Government Communication and Information System</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750,746</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5</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Home Affairs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10,863,343</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6</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International Relations and Cooperation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6,694,073</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7</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National School of Government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229,018</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8</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National Treasury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34,889,373</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9</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Planning, Monitoring and Evaluation</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475,848</w:t>
            </w:r>
          </w:p>
        </w:tc>
      </w:tr>
      <w:tr w:rsidR="005F3B76" w:rsidRPr="007037BB" w:rsidTr="00D253CE">
        <w:trPr>
          <w:trHeight w:val="324"/>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10</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Public Enterprises</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302,912</w:t>
            </w:r>
          </w:p>
        </w:tc>
      </w:tr>
      <w:tr w:rsidR="005F3B76" w:rsidRPr="007037BB" w:rsidTr="00D253CE">
        <w:trPr>
          <w:trHeight w:val="324"/>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11</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Public Service and Administration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553,460</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12</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Public Service Commission</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292,119</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13</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Public Works and Infrastructure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8,782,105</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14</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Statistics South Africa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2,691,746</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15</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Traditional Affairs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193,121</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16</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Basic Education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31,782,713</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17</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Higher Education and Training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110,781,585</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18</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Health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60,111,434</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19</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Social Development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263,029,199</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20</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Women, Youth and Persons with Disabilities</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1,036,444</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21</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Civilian Secretariat for the Police</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154,152</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22</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Correctional Services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26,026,672</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23</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Defence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51,124,429</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24</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Independent Police Investigative Directorate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364,386</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25</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Justice and Constitutional Development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20,793,904</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26</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Military Veterans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894,704</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27</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Office of the Chief Justice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1,304,530</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28</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Police</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102,137,656</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29</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Agriculture, Land Reform and Rural Development</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17,254,348</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30</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Communications and Digital Technologies</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3,512,185</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31</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Employment and Labour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4,092,225</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32</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Forestry, Fisheries and Environment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9,873,566</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33</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Human Settlements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34,942,401</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lastRenderedPageBreak/>
              <w:t>34</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Mineral Resources and Energy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10,701,218</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35</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Science and Innovation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10,874,221</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36</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Small Business Development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2,574,779</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37</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Sport, Arts and Culture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6,357,683</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38</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Tourism</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2,524,244</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39</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Trade, Industry and Competition </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10,922,547</w:t>
            </w:r>
          </w:p>
        </w:tc>
      </w:tr>
      <w:tr w:rsidR="005F3B76" w:rsidRPr="007037BB" w:rsidTr="00D253CE">
        <w:trPr>
          <w:trHeight w:val="312"/>
        </w:trPr>
        <w:tc>
          <w:tcPr>
            <w:tcW w:w="960" w:type="dxa"/>
            <w:tcBorders>
              <w:top w:val="nil"/>
              <w:left w:val="single" w:sz="8" w:space="0" w:color="auto"/>
              <w:bottom w:val="nil"/>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40</w:t>
            </w:r>
          </w:p>
        </w:tc>
        <w:tc>
          <w:tcPr>
            <w:tcW w:w="6410" w:type="dxa"/>
            <w:tcBorders>
              <w:top w:val="nil"/>
              <w:left w:val="single" w:sz="8" w:space="0" w:color="auto"/>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Transport</w:t>
            </w:r>
          </w:p>
        </w:tc>
        <w:tc>
          <w:tcPr>
            <w:tcW w:w="2700" w:type="dxa"/>
            <w:tcBorders>
              <w:top w:val="nil"/>
              <w:left w:val="nil"/>
              <w:bottom w:val="nil"/>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79,552,447</w:t>
            </w:r>
          </w:p>
        </w:tc>
      </w:tr>
      <w:tr w:rsidR="005F3B76" w:rsidRPr="007037BB" w:rsidTr="00D253CE">
        <w:trPr>
          <w:trHeight w:val="324"/>
        </w:trPr>
        <w:tc>
          <w:tcPr>
            <w:tcW w:w="960" w:type="dxa"/>
            <w:tcBorders>
              <w:top w:val="nil"/>
              <w:left w:val="single" w:sz="8" w:space="0" w:color="auto"/>
              <w:bottom w:val="single" w:sz="8" w:space="0" w:color="auto"/>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41</w:t>
            </w:r>
          </w:p>
        </w:tc>
        <w:tc>
          <w:tcPr>
            <w:tcW w:w="6410" w:type="dxa"/>
            <w:tcBorders>
              <w:top w:val="nil"/>
              <w:left w:val="single" w:sz="8" w:space="0" w:color="auto"/>
              <w:bottom w:val="single" w:sz="8" w:space="0" w:color="auto"/>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 xml:space="preserve">Water and Sanitation </w:t>
            </w:r>
          </w:p>
        </w:tc>
        <w:tc>
          <w:tcPr>
            <w:tcW w:w="2700" w:type="dxa"/>
            <w:tcBorders>
              <w:top w:val="nil"/>
              <w:left w:val="nil"/>
              <w:bottom w:val="single" w:sz="8" w:space="0" w:color="auto"/>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color w:val="000000"/>
                <w:sz w:val="20"/>
                <w:szCs w:val="20"/>
                <w:lang w:val="en-US"/>
              </w:rPr>
            </w:pPr>
            <w:r w:rsidRPr="007037BB">
              <w:rPr>
                <w:rFonts w:ascii="Arial" w:eastAsia="Times New Roman" w:hAnsi="Arial" w:cs="Arial"/>
                <w:color w:val="000000"/>
                <w:sz w:val="20"/>
                <w:szCs w:val="20"/>
                <w:lang w:val="en-US"/>
              </w:rPr>
              <w:t>22,257,306</w:t>
            </w:r>
          </w:p>
        </w:tc>
      </w:tr>
      <w:tr w:rsidR="005F3B76" w:rsidRPr="007037BB" w:rsidTr="00D253CE">
        <w:trPr>
          <w:trHeight w:val="324"/>
        </w:trPr>
        <w:tc>
          <w:tcPr>
            <w:tcW w:w="960" w:type="dxa"/>
            <w:tcBorders>
              <w:top w:val="nil"/>
              <w:left w:val="single" w:sz="8" w:space="0" w:color="auto"/>
              <w:bottom w:val="single" w:sz="8" w:space="0" w:color="auto"/>
              <w:right w:val="nil"/>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 </w:t>
            </w:r>
          </w:p>
        </w:tc>
        <w:tc>
          <w:tcPr>
            <w:tcW w:w="6410" w:type="dxa"/>
            <w:tcBorders>
              <w:top w:val="nil"/>
              <w:left w:val="single" w:sz="8" w:space="0" w:color="auto"/>
              <w:bottom w:val="single" w:sz="8" w:space="0" w:color="auto"/>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 xml:space="preserve">Total </w:t>
            </w:r>
          </w:p>
        </w:tc>
        <w:tc>
          <w:tcPr>
            <w:tcW w:w="2700" w:type="dxa"/>
            <w:tcBorders>
              <w:top w:val="nil"/>
              <w:left w:val="nil"/>
              <w:bottom w:val="single" w:sz="8" w:space="0" w:color="auto"/>
              <w:right w:val="single" w:sz="8"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
                <w:bCs/>
                <w:color w:val="000000"/>
                <w:sz w:val="20"/>
                <w:szCs w:val="20"/>
                <w:lang w:val="en-US"/>
              </w:rPr>
            </w:pPr>
            <w:r w:rsidRPr="007037BB">
              <w:rPr>
                <w:rFonts w:ascii="Arial" w:eastAsia="Times New Roman" w:hAnsi="Arial" w:cs="Arial"/>
                <w:b/>
                <w:bCs/>
                <w:color w:val="000000"/>
                <w:sz w:val="20"/>
                <w:szCs w:val="20"/>
                <w:lang w:val="en-US"/>
              </w:rPr>
              <w:t>1,077,437,771</w:t>
            </w:r>
          </w:p>
        </w:tc>
      </w:tr>
    </w:tbl>
    <w:p w:rsidR="005F3B76" w:rsidRPr="007037BB" w:rsidRDefault="00894207" w:rsidP="007037BB">
      <w:pPr>
        <w:spacing w:after="0" w:line="240" w:lineRule="auto"/>
        <w:mirrorIndents/>
        <w:rPr>
          <w:rFonts w:ascii="Arial" w:hAnsi="Arial" w:cs="Arial"/>
          <w:sz w:val="20"/>
          <w:szCs w:val="20"/>
        </w:rPr>
      </w:pPr>
      <w:r w:rsidRPr="007037BB">
        <w:rPr>
          <w:rFonts w:ascii="Arial" w:hAnsi="Arial" w:cs="Arial"/>
          <w:sz w:val="20"/>
          <w:szCs w:val="20"/>
        </w:rPr>
        <w:fldChar w:fldCharType="begin"/>
      </w:r>
      <w:r w:rsidR="005F3B76" w:rsidRPr="007037BB">
        <w:rPr>
          <w:rFonts w:ascii="Arial" w:hAnsi="Arial" w:cs="Arial"/>
          <w:sz w:val="20"/>
          <w:szCs w:val="20"/>
        </w:rPr>
        <w:instrText xml:space="preserve"> LINK Excel.Sheet.12 "C:\\Users\\smagagula\\Desktop\\Parliament Work\\Appropriations Committee\\2020_ Committee Activities\\Appropriation Bill\\Excel Tables\\ENE2020 Table 2.xlsx" "Table 2!R5C1:R49C12" \a \f 4 \h  \* MERGEFORMAT </w:instrText>
      </w:r>
      <w:r w:rsidRPr="007037BB">
        <w:rPr>
          <w:rFonts w:ascii="Arial" w:hAnsi="Arial" w:cs="Arial"/>
          <w:sz w:val="20"/>
          <w:szCs w:val="20"/>
        </w:rPr>
        <w:fldChar w:fldCharType="end"/>
      </w:r>
      <w:r w:rsidR="005F3B76" w:rsidRPr="007037BB">
        <w:rPr>
          <w:rFonts w:ascii="Arial" w:hAnsi="Arial" w:cs="Arial"/>
          <w:i/>
          <w:sz w:val="20"/>
          <w:szCs w:val="20"/>
        </w:rPr>
        <w:t>Source: National Treasury (2023 Appropriation Bill)</w:t>
      </w:r>
    </w:p>
    <w:p w:rsidR="005F3B76" w:rsidRPr="007037BB" w:rsidRDefault="005F3B76" w:rsidP="007037BB">
      <w:pPr>
        <w:spacing w:after="0" w:line="240" w:lineRule="auto"/>
        <w:rPr>
          <w:rFonts w:ascii="Arial" w:eastAsia="Times New Roman" w:hAnsi="Arial" w:cs="Arial"/>
          <w:sz w:val="20"/>
          <w:szCs w:val="20"/>
        </w:rPr>
      </w:pPr>
    </w:p>
    <w:p w:rsidR="005F3B76" w:rsidRPr="007037BB" w:rsidRDefault="005F3B76"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The Bill also allocates funds in terms of economic classifications. It should be noted that even though the Bill allocates resources across the national sphere of government, 73.6 per cent of these allocations go into transfers and subsidies. These are transfers to provinces, municipalities, public corporations and other non-profit making entities. Current payments, payments for capital assets and payments for financial assets take up 24.3 per cent, 1.6 per cent, and 0.2 per cent respectively. It is worth noting that the economic classifications for Vote 2 (Parliament) are determined by Parliament in terms of the Financial Management of Parliament Act, 2009 as amended. Table 3 below provides an overview of the allocations in terms of economic classification. </w:t>
      </w:r>
    </w:p>
    <w:p w:rsidR="005F3B76" w:rsidRPr="007037BB" w:rsidRDefault="005F3B76" w:rsidP="007037BB">
      <w:pPr>
        <w:spacing w:after="0" w:line="240" w:lineRule="auto"/>
        <w:rPr>
          <w:rFonts w:ascii="Arial" w:eastAsia="Times New Roman" w:hAnsi="Arial" w:cs="Arial"/>
          <w:sz w:val="20"/>
          <w:szCs w:val="20"/>
        </w:rPr>
      </w:pPr>
    </w:p>
    <w:p w:rsidR="005F3B76" w:rsidRPr="007037BB" w:rsidRDefault="005F3B76" w:rsidP="007037BB">
      <w:pPr>
        <w:spacing w:after="0" w:line="240" w:lineRule="auto"/>
        <w:rPr>
          <w:rFonts w:ascii="Arial" w:hAnsi="Arial" w:cs="Arial"/>
          <w:sz w:val="20"/>
          <w:szCs w:val="20"/>
        </w:rPr>
      </w:pPr>
      <w:r w:rsidRPr="007037BB">
        <w:rPr>
          <w:rFonts w:ascii="Arial" w:hAnsi="Arial" w:cs="Arial"/>
          <w:b/>
          <w:sz w:val="20"/>
          <w:szCs w:val="20"/>
        </w:rPr>
        <w:t xml:space="preserve">Table 3: </w:t>
      </w:r>
      <w:r w:rsidRPr="007037BB">
        <w:rPr>
          <w:rFonts w:ascii="Arial" w:hAnsi="Arial" w:cs="Arial"/>
          <w:sz w:val="20"/>
          <w:szCs w:val="20"/>
        </w:rPr>
        <w:t>Allocation per economic classification-2023 Appropriation Bill</w:t>
      </w:r>
      <w:r w:rsidR="00894207" w:rsidRPr="007037BB">
        <w:rPr>
          <w:rFonts w:ascii="Arial" w:hAnsi="Arial" w:cs="Arial"/>
          <w:sz w:val="20"/>
          <w:szCs w:val="20"/>
        </w:rPr>
        <w:fldChar w:fldCharType="begin"/>
      </w:r>
      <w:r w:rsidRPr="007037BB">
        <w:rPr>
          <w:rFonts w:ascii="Arial" w:hAnsi="Arial" w:cs="Arial"/>
          <w:sz w:val="20"/>
          <w:szCs w:val="20"/>
        </w:rPr>
        <w:instrText xml:space="preserve"> LINK Excel.Sheet.12 "C:\\Users\\smagagula\\Desktop\\Parliament Work\\Appropriations Committee\\2020_ Committee Activities\\Appropriation Bill\\Excel Tables\\ENE2020 Table 4.xlsx" "Table 4!R4C1:R10C11" \a \f 4 \h  \* MERGEFORMAT </w:instrText>
      </w:r>
      <w:r w:rsidR="00894207" w:rsidRPr="007037BB">
        <w:rPr>
          <w:rFonts w:ascii="Arial" w:hAnsi="Arial" w:cs="Arial"/>
          <w:sz w:val="20"/>
          <w:szCs w:val="20"/>
        </w:rPr>
        <w:fldChar w:fldCharType="separate"/>
      </w:r>
    </w:p>
    <w:tbl>
      <w:tblPr>
        <w:tblW w:w="10109" w:type="dxa"/>
        <w:tblLook w:val="04A0"/>
      </w:tblPr>
      <w:tblGrid>
        <w:gridCol w:w="805"/>
        <w:gridCol w:w="1440"/>
        <w:gridCol w:w="1530"/>
        <w:gridCol w:w="1260"/>
        <w:gridCol w:w="1080"/>
        <w:gridCol w:w="1260"/>
        <w:gridCol w:w="1260"/>
        <w:gridCol w:w="1474"/>
      </w:tblGrid>
      <w:tr w:rsidR="005F3B76" w:rsidRPr="007037BB" w:rsidTr="00D253CE">
        <w:trPr>
          <w:trHeight w:val="210"/>
        </w:trPr>
        <w:tc>
          <w:tcPr>
            <w:tcW w:w="805" w:type="dxa"/>
            <w:vMerge w:val="restart"/>
            <w:tcBorders>
              <w:top w:val="single" w:sz="4" w:space="0" w:color="auto"/>
              <w:left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sz w:val="20"/>
                <w:szCs w:val="20"/>
              </w:rPr>
            </w:pPr>
          </w:p>
        </w:tc>
        <w:tc>
          <w:tcPr>
            <w:tcW w:w="1440" w:type="dxa"/>
            <w:vMerge w:val="restart"/>
            <w:tcBorders>
              <w:top w:val="single" w:sz="4" w:space="0" w:color="auto"/>
              <w:left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Main Division</w:t>
            </w:r>
          </w:p>
          <w:p w:rsidR="005F3B76" w:rsidRPr="007037BB" w:rsidRDefault="005F3B76" w:rsidP="007037BB">
            <w:pPr>
              <w:spacing w:after="0" w:line="240" w:lineRule="auto"/>
              <w:rPr>
                <w:rFonts w:ascii="Arial" w:eastAsia="Times New Roman" w:hAnsi="Arial" w:cs="Arial"/>
                <w:bCs/>
                <w:sz w:val="20"/>
                <w:szCs w:val="20"/>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Current payments</w:t>
            </w:r>
          </w:p>
        </w:tc>
        <w:tc>
          <w:tcPr>
            <w:tcW w:w="1260" w:type="dxa"/>
            <w:vMerge w:val="restart"/>
            <w:tcBorders>
              <w:top w:val="single" w:sz="4" w:space="0" w:color="auto"/>
              <w:left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p>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Transfers and Subsidies</w:t>
            </w:r>
          </w:p>
        </w:tc>
        <w:tc>
          <w:tcPr>
            <w:tcW w:w="1260" w:type="dxa"/>
            <w:vMerge w:val="restart"/>
            <w:tcBorders>
              <w:top w:val="single" w:sz="4" w:space="0" w:color="auto"/>
              <w:left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Payments for Capital Assets</w:t>
            </w:r>
          </w:p>
        </w:tc>
        <w:tc>
          <w:tcPr>
            <w:tcW w:w="1474" w:type="dxa"/>
            <w:vMerge w:val="restart"/>
            <w:tcBorders>
              <w:top w:val="single" w:sz="4" w:space="0" w:color="auto"/>
              <w:left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p>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Payments for Financial Assets</w:t>
            </w:r>
          </w:p>
        </w:tc>
      </w:tr>
      <w:tr w:rsidR="005F3B76" w:rsidRPr="007037BB" w:rsidTr="00D253CE">
        <w:trPr>
          <w:trHeight w:val="210"/>
        </w:trPr>
        <w:tc>
          <w:tcPr>
            <w:tcW w:w="805" w:type="dxa"/>
            <w:vMerge/>
            <w:tcBorders>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Compensation of employees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Goods and Services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Interest and Rent on Land</w:t>
            </w:r>
          </w:p>
        </w:tc>
        <w:tc>
          <w:tcPr>
            <w:tcW w:w="1260" w:type="dxa"/>
            <w:vMerge/>
            <w:tcBorders>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p>
        </w:tc>
        <w:tc>
          <w:tcPr>
            <w:tcW w:w="1260" w:type="dxa"/>
            <w:vMerge/>
            <w:tcBorders>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p>
        </w:tc>
        <w:tc>
          <w:tcPr>
            <w:tcW w:w="1474" w:type="dxa"/>
            <w:vMerge/>
            <w:tcBorders>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p>
        </w:tc>
      </w:tr>
      <w:tr w:rsidR="005F3B76" w:rsidRPr="007037BB" w:rsidTr="00D253CE">
        <w:trPr>
          <w:trHeight w:val="21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R'000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R'000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R'000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R'000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R'000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R'000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R'000</w:t>
            </w:r>
          </w:p>
        </w:tc>
      </w:tr>
      <w:tr w:rsidR="005F3B76" w:rsidRPr="007037BB" w:rsidTr="00D253CE">
        <w:trPr>
          <w:trHeight w:val="270"/>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F3B76" w:rsidRPr="007037BB" w:rsidRDefault="005F3B76"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Total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1 077 437 771</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F3B76" w:rsidRPr="007037BB" w:rsidRDefault="005F3B76"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178 781 881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F3B76" w:rsidRPr="007037BB" w:rsidRDefault="005F3B76"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82 388 900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F3B76" w:rsidRPr="007037BB" w:rsidRDefault="005F3B76"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233 485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F3B76" w:rsidRPr="007037BB" w:rsidRDefault="005F3B76"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793 318 501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F3B76" w:rsidRPr="007037BB" w:rsidRDefault="005F3B76"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17 374 398</w:t>
            </w:r>
          </w:p>
        </w:tc>
        <w:tc>
          <w:tcPr>
            <w:tcW w:w="1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F3B76" w:rsidRPr="007037BB" w:rsidRDefault="005F3B76"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1 917 120</w:t>
            </w:r>
          </w:p>
        </w:tc>
      </w:tr>
    </w:tbl>
    <w:p w:rsidR="005F3B76" w:rsidRPr="007037BB" w:rsidRDefault="00894207" w:rsidP="007037BB">
      <w:pPr>
        <w:spacing w:after="0" w:line="240" w:lineRule="auto"/>
        <w:rPr>
          <w:rFonts w:ascii="Arial" w:eastAsia="Times New Roman" w:hAnsi="Arial" w:cs="Arial"/>
          <w:i/>
          <w:sz w:val="20"/>
          <w:szCs w:val="20"/>
        </w:rPr>
      </w:pPr>
      <w:r w:rsidRPr="007037BB">
        <w:rPr>
          <w:rFonts w:ascii="Arial" w:eastAsia="Times New Roman" w:hAnsi="Arial" w:cs="Arial"/>
          <w:color w:val="FF0000"/>
          <w:sz w:val="20"/>
          <w:szCs w:val="20"/>
        </w:rPr>
        <w:fldChar w:fldCharType="end"/>
      </w:r>
      <w:r w:rsidR="005F3B76" w:rsidRPr="007037BB">
        <w:rPr>
          <w:rFonts w:ascii="Arial" w:eastAsia="Times New Roman" w:hAnsi="Arial" w:cs="Arial"/>
          <w:i/>
          <w:sz w:val="20"/>
          <w:szCs w:val="20"/>
        </w:rPr>
        <w:t>Source: National Treasury (2023 Appropriation Bill)</w:t>
      </w:r>
    </w:p>
    <w:p w:rsidR="005F3B76" w:rsidRPr="007037BB" w:rsidRDefault="005F3B76" w:rsidP="007037BB">
      <w:pPr>
        <w:spacing w:after="0" w:line="240" w:lineRule="auto"/>
        <w:ind w:left="567"/>
        <w:contextualSpacing/>
        <w:rPr>
          <w:rFonts w:ascii="Arial" w:eastAsia="Times New Roman" w:hAnsi="Arial" w:cs="Arial"/>
          <w:b/>
          <w:sz w:val="20"/>
          <w:szCs w:val="20"/>
        </w:rPr>
      </w:pPr>
    </w:p>
    <w:p w:rsidR="008F383A" w:rsidRPr="007037BB" w:rsidRDefault="008F383A" w:rsidP="007037BB">
      <w:pPr>
        <w:numPr>
          <w:ilvl w:val="0"/>
          <w:numId w:val="4"/>
        </w:numPr>
        <w:spacing w:after="0" w:line="240" w:lineRule="auto"/>
        <w:ind w:left="567" w:hanging="567"/>
        <w:contextualSpacing/>
        <w:rPr>
          <w:rFonts w:ascii="Arial" w:eastAsia="Times New Roman" w:hAnsi="Arial" w:cs="Arial"/>
          <w:b/>
          <w:sz w:val="20"/>
          <w:szCs w:val="20"/>
        </w:rPr>
      </w:pPr>
      <w:r w:rsidRPr="007037BB">
        <w:rPr>
          <w:rFonts w:ascii="Arial" w:eastAsia="Times New Roman" w:hAnsi="Arial" w:cs="Arial"/>
          <w:b/>
          <w:sz w:val="20"/>
          <w:szCs w:val="20"/>
        </w:rPr>
        <w:t>Comments and hearings on 202</w:t>
      </w:r>
      <w:r w:rsidR="008001E5" w:rsidRPr="007037BB">
        <w:rPr>
          <w:rFonts w:ascii="Arial" w:eastAsia="Times New Roman" w:hAnsi="Arial" w:cs="Arial"/>
          <w:b/>
          <w:sz w:val="20"/>
          <w:szCs w:val="20"/>
        </w:rPr>
        <w:t>3</w:t>
      </w:r>
      <w:r w:rsidRPr="007037BB">
        <w:rPr>
          <w:rFonts w:ascii="Arial" w:eastAsia="Times New Roman" w:hAnsi="Arial" w:cs="Arial"/>
          <w:b/>
          <w:sz w:val="20"/>
          <w:szCs w:val="20"/>
        </w:rPr>
        <w:t xml:space="preserve"> Appropriation Bill with identified stakeholders</w:t>
      </w:r>
    </w:p>
    <w:p w:rsidR="008F383A" w:rsidRPr="007037BB" w:rsidRDefault="008F383A" w:rsidP="007037BB">
      <w:pPr>
        <w:spacing w:after="0" w:line="240" w:lineRule="auto"/>
        <w:rPr>
          <w:rFonts w:ascii="Arial" w:eastAsia="Times New Roman" w:hAnsi="Arial" w:cs="Arial"/>
          <w:sz w:val="20"/>
          <w:szCs w:val="20"/>
        </w:rPr>
      </w:pPr>
    </w:p>
    <w:p w:rsidR="005F3B76" w:rsidRPr="007037BB" w:rsidRDefault="008F383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The sections below provide a summary of the comments that were made by the invited stakeholders on the Bill. </w:t>
      </w:r>
    </w:p>
    <w:p w:rsidR="00130837" w:rsidRPr="007037BB" w:rsidRDefault="00130837" w:rsidP="007037BB">
      <w:pPr>
        <w:spacing w:after="0" w:line="240" w:lineRule="auto"/>
        <w:rPr>
          <w:rFonts w:ascii="Arial" w:eastAsia="Times New Roman" w:hAnsi="Arial" w:cs="Arial"/>
          <w:sz w:val="20"/>
          <w:szCs w:val="20"/>
        </w:rPr>
      </w:pPr>
    </w:p>
    <w:p w:rsidR="00130837" w:rsidRPr="007037BB" w:rsidRDefault="00130837" w:rsidP="007037BB">
      <w:pPr>
        <w:spacing w:after="0" w:line="240" w:lineRule="auto"/>
        <w:rPr>
          <w:rFonts w:ascii="Arial" w:eastAsia="Times New Roman" w:hAnsi="Arial" w:cs="Arial"/>
          <w:sz w:val="20"/>
          <w:szCs w:val="20"/>
        </w:rPr>
      </w:pPr>
    </w:p>
    <w:p w:rsidR="00130837" w:rsidRPr="007037BB" w:rsidRDefault="00130837" w:rsidP="007037BB">
      <w:pPr>
        <w:spacing w:after="0" w:line="240" w:lineRule="auto"/>
        <w:rPr>
          <w:rFonts w:ascii="Arial" w:eastAsia="Times New Roman" w:hAnsi="Arial" w:cs="Arial"/>
          <w:sz w:val="20"/>
          <w:szCs w:val="20"/>
        </w:rPr>
      </w:pPr>
    </w:p>
    <w:p w:rsidR="005F3B76" w:rsidRPr="007037BB" w:rsidRDefault="005F3B76" w:rsidP="007037BB">
      <w:pPr>
        <w:spacing w:after="0" w:line="240" w:lineRule="auto"/>
        <w:ind w:left="567"/>
        <w:contextualSpacing/>
        <w:rPr>
          <w:rFonts w:ascii="Arial" w:eastAsia="Times New Roman" w:hAnsi="Arial" w:cs="Arial"/>
          <w:b/>
          <w:color w:val="C00000"/>
          <w:sz w:val="20"/>
          <w:szCs w:val="20"/>
        </w:rPr>
      </w:pPr>
    </w:p>
    <w:p w:rsidR="008F383A" w:rsidRPr="007037BB" w:rsidRDefault="008F383A" w:rsidP="007037BB">
      <w:pPr>
        <w:numPr>
          <w:ilvl w:val="1"/>
          <w:numId w:val="2"/>
        </w:numPr>
        <w:spacing w:after="0" w:line="240" w:lineRule="auto"/>
        <w:ind w:left="567" w:hanging="567"/>
        <w:contextualSpacing/>
        <w:rPr>
          <w:rFonts w:ascii="Arial" w:eastAsia="Times New Roman" w:hAnsi="Arial" w:cs="Arial"/>
          <w:b/>
          <w:sz w:val="20"/>
          <w:szCs w:val="20"/>
        </w:rPr>
      </w:pPr>
      <w:r w:rsidRPr="007037BB">
        <w:rPr>
          <w:rFonts w:ascii="Arial" w:eastAsia="Times New Roman" w:hAnsi="Arial" w:cs="Arial"/>
          <w:b/>
          <w:sz w:val="20"/>
          <w:szCs w:val="20"/>
        </w:rPr>
        <w:t xml:space="preserve">National Treasury  </w:t>
      </w:r>
    </w:p>
    <w:p w:rsidR="008F383A" w:rsidRPr="007037BB" w:rsidRDefault="008F383A" w:rsidP="007037BB">
      <w:pPr>
        <w:spacing w:after="0" w:line="240" w:lineRule="auto"/>
        <w:rPr>
          <w:rFonts w:ascii="Arial" w:eastAsia="Times New Roman" w:hAnsi="Arial" w:cs="Arial"/>
          <w:color w:val="C00000"/>
          <w:sz w:val="20"/>
          <w:szCs w:val="20"/>
        </w:rPr>
      </w:pPr>
    </w:p>
    <w:p w:rsidR="008F383A" w:rsidRPr="007037BB" w:rsidRDefault="008F383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National Treasury outlined the legislative process governing the processes that relates to the passing of the Appropriation Bill as outlined in Money Bills Amendment Procedure and Related Matters Act of 2009, as amended. Furthermore, National Treasury outlined the provisions made in section 29 of the PFMA, which make provision for spending of government funds before the Appropriation Bill is passed. The Bill provides for the appropriation of money from the National Revenue Fund with spending subject to provisions contained in the PFMA (as amended). </w:t>
      </w:r>
      <w:r w:rsidR="00505906" w:rsidRPr="007037BB">
        <w:rPr>
          <w:rFonts w:ascii="Arial" w:eastAsia="Times New Roman" w:hAnsi="Arial" w:cs="Arial"/>
          <w:sz w:val="20"/>
          <w:szCs w:val="20"/>
        </w:rPr>
        <w:t>Additionally</w:t>
      </w:r>
      <w:r w:rsidRPr="007037BB">
        <w:rPr>
          <w:rFonts w:ascii="Arial" w:eastAsia="Times New Roman" w:hAnsi="Arial" w:cs="Arial"/>
          <w:sz w:val="20"/>
          <w:szCs w:val="20"/>
        </w:rPr>
        <w:t>, National Treasury presented an overview of the 202</w:t>
      </w:r>
      <w:r w:rsidR="00505906" w:rsidRPr="007037BB">
        <w:rPr>
          <w:rFonts w:ascii="Arial" w:eastAsia="Times New Roman" w:hAnsi="Arial" w:cs="Arial"/>
          <w:sz w:val="20"/>
          <w:szCs w:val="20"/>
        </w:rPr>
        <w:t>3</w:t>
      </w:r>
      <w:r w:rsidRPr="007037BB">
        <w:rPr>
          <w:rFonts w:ascii="Arial" w:eastAsia="Times New Roman" w:hAnsi="Arial" w:cs="Arial"/>
          <w:sz w:val="20"/>
          <w:szCs w:val="20"/>
        </w:rPr>
        <w:t xml:space="preserve"> Appropriation Bill relative to the 202</w:t>
      </w:r>
      <w:r w:rsidR="00505906" w:rsidRPr="007037BB">
        <w:rPr>
          <w:rFonts w:ascii="Arial" w:eastAsia="Times New Roman" w:hAnsi="Arial" w:cs="Arial"/>
          <w:sz w:val="20"/>
          <w:szCs w:val="20"/>
        </w:rPr>
        <w:t>2</w:t>
      </w:r>
      <w:r w:rsidRPr="007037BB">
        <w:rPr>
          <w:rFonts w:ascii="Arial" w:eastAsia="Times New Roman" w:hAnsi="Arial" w:cs="Arial"/>
          <w:sz w:val="20"/>
          <w:szCs w:val="20"/>
        </w:rPr>
        <w:t xml:space="preserve"> budget estimates. </w:t>
      </w:r>
      <w:r w:rsidR="00505906" w:rsidRPr="007037BB">
        <w:rPr>
          <w:rFonts w:ascii="Arial" w:eastAsia="Times New Roman" w:hAnsi="Arial" w:cs="Arial"/>
          <w:sz w:val="20"/>
          <w:szCs w:val="20"/>
        </w:rPr>
        <w:t xml:space="preserve">Finally, </w:t>
      </w:r>
      <w:r w:rsidRPr="007037BB">
        <w:rPr>
          <w:rFonts w:ascii="Arial" w:eastAsia="Times New Roman" w:hAnsi="Arial" w:cs="Arial"/>
          <w:sz w:val="20"/>
          <w:szCs w:val="20"/>
        </w:rPr>
        <w:t>National Treasury briefed the Committee on the preliminary expenditure outcomes for national departments as at the end of the 202</w:t>
      </w:r>
      <w:r w:rsidR="00505906" w:rsidRPr="007037BB">
        <w:rPr>
          <w:rFonts w:ascii="Arial" w:eastAsia="Times New Roman" w:hAnsi="Arial" w:cs="Arial"/>
          <w:sz w:val="20"/>
          <w:szCs w:val="20"/>
        </w:rPr>
        <w:t>2/23</w:t>
      </w:r>
      <w:r w:rsidRPr="007037BB">
        <w:rPr>
          <w:rFonts w:ascii="Arial" w:eastAsia="Times New Roman" w:hAnsi="Arial" w:cs="Arial"/>
          <w:sz w:val="20"/>
          <w:szCs w:val="20"/>
        </w:rPr>
        <w:t xml:space="preserve"> financial year. </w:t>
      </w:r>
    </w:p>
    <w:p w:rsidR="008F383A" w:rsidRPr="007037BB" w:rsidRDefault="008F383A" w:rsidP="007037BB">
      <w:pPr>
        <w:spacing w:after="0" w:line="240" w:lineRule="auto"/>
        <w:contextualSpacing/>
        <w:rPr>
          <w:rFonts w:ascii="Arial" w:eastAsia="Calibri" w:hAnsi="Arial" w:cs="Arial"/>
          <w:sz w:val="20"/>
          <w:szCs w:val="20"/>
        </w:rPr>
      </w:pPr>
    </w:p>
    <w:p w:rsidR="00CF319A" w:rsidRPr="007037BB" w:rsidRDefault="00CF319A" w:rsidP="007037BB">
      <w:pPr>
        <w:numPr>
          <w:ilvl w:val="1"/>
          <w:numId w:val="2"/>
        </w:numPr>
        <w:spacing w:after="0" w:line="240" w:lineRule="auto"/>
        <w:ind w:left="567" w:hanging="567"/>
        <w:contextualSpacing/>
        <w:rPr>
          <w:rFonts w:ascii="Arial" w:eastAsia="Times New Roman" w:hAnsi="Arial" w:cs="Arial"/>
          <w:b/>
          <w:sz w:val="20"/>
          <w:szCs w:val="20"/>
        </w:rPr>
      </w:pPr>
      <w:r w:rsidRPr="007037BB">
        <w:rPr>
          <w:rFonts w:ascii="Arial" w:eastAsia="Times New Roman" w:hAnsi="Arial" w:cs="Arial"/>
          <w:b/>
          <w:sz w:val="20"/>
          <w:szCs w:val="20"/>
        </w:rPr>
        <w:t xml:space="preserve">Financial and Fiscal Commission </w:t>
      </w:r>
    </w:p>
    <w:p w:rsidR="00CF319A" w:rsidRPr="007037BB" w:rsidRDefault="00CF319A" w:rsidP="007037BB">
      <w:pPr>
        <w:spacing w:after="0" w:line="240" w:lineRule="auto"/>
        <w:ind w:left="540"/>
        <w:contextualSpacing/>
        <w:rPr>
          <w:rFonts w:ascii="Arial" w:eastAsia="Times New Roman" w:hAnsi="Arial" w:cs="Arial"/>
          <w:b/>
          <w:sz w:val="20"/>
          <w:szCs w:val="20"/>
        </w:rPr>
      </w:pP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r w:rsidRPr="007037BB">
        <w:rPr>
          <w:rFonts w:ascii="Arial" w:eastAsia="Times New Roman" w:hAnsi="Arial" w:cs="Arial"/>
          <w:color w:val="000000"/>
          <w:spacing w:val="6"/>
          <w:sz w:val="20"/>
          <w:szCs w:val="20"/>
          <w:lang w:eastAsia="en-GB"/>
        </w:rPr>
        <w:t xml:space="preserve">The Financial and Fiscal Commission (FFC) noted that the largest appropriation at the national sphere was for the Social Development Vote, which would receive R263 billion in 2023/24 (growth of 8.8 percent). This was mainly driven by the extension of the Social Relief of Distress (SRD) Grant and adjustments to the </w:t>
      </w:r>
      <w:r w:rsidRPr="007037BB">
        <w:rPr>
          <w:rFonts w:ascii="Arial" w:eastAsia="Times New Roman" w:hAnsi="Arial" w:cs="Arial"/>
          <w:color w:val="000000"/>
          <w:spacing w:val="6"/>
          <w:sz w:val="20"/>
          <w:szCs w:val="20"/>
          <w:lang w:eastAsia="en-GB"/>
        </w:rPr>
        <w:lastRenderedPageBreak/>
        <w:t>value of social security grants. The FFC indicated that there was still no clarity on sustainable and permanent support for unemployed individuals between the ages of 18 and 59, creating uncertainty for beneficiaries. The FFC continued that while the value of other social security grants had been adjusted, the value of SRD Grant remained unchanged since inception.</w:t>
      </w: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r w:rsidRPr="007037BB">
        <w:rPr>
          <w:rFonts w:ascii="Arial" w:eastAsia="Times New Roman" w:hAnsi="Arial" w:cs="Arial"/>
          <w:color w:val="000000"/>
          <w:spacing w:val="6"/>
          <w:sz w:val="20"/>
          <w:szCs w:val="20"/>
          <w:lang w:eastAsia="en-GB"/>
        </w:rPr>
        <w:t>The FFC noted that the allocation to the Cooperative Governance Vote was projected to increase by 11 percent in 2023/24. The additional funding, that was directed at the Local Government Equitable Share (LGES), was welcomed as it served to protect the funding for basic services that is an integral part of the social wage package.</w:t>
      </w: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r w:rsidRPr="007037BB">
        <w:rPr>
          <w:rFonts w:ascii="Arial" w:eastAsia="Times New Roman" w:hAnsi="Arial" w:cs="Arial"/>
          <w:color w:val="000000"/>
          <w:spacing w:val="6"/>
          <w:sz w:val="20"/>
          <w:szCs w:val="20"/>
          <w:lang w:eastAsia="en-GB"/>
        </w:rPr>
        <w:t xml:space="preserve">The FFC submitted that the Higher Education and Training Vote was projected to grow by 1.1 percent in 2023/24. However, an assessment of national spending by economic classification showed that transfers and subsidies to higher education institutions (HEIs) will decline by 3.7 percent in 2023/24. This decline affects current and capital transfers to HEIs. The FFC further submitted that, while a drive towards support for the development of a new, sustainable funding framework for fee-free higher education was carried through from the 2022 Budget to the 2022 Medium Term Budget Policy Statement (MTBPS) and the 2023 State of the Nation Address (SONA), the 2023 Budget was silent on this. </w:t>
      </w: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r w:rsidRPr="007037BB">
        <w:rPr>
          <w:rFonts w:ascii="Arial" w:eastAsia="Times New Roman" w:hAnsi="Arial" w:cs="Arial"/>
          <w:color w:val="000000"/>
          <w:spacing w:val="6"/>
          <w:sz w:val="20"/>
          <w:szCs w:val="20"/>
          <w:lang w:eastAsia="en-GB"/>
        </w:rPr>
        <w:t xml:space="preserve">The FFC indicated that the Health Vote was projected to decline from R62.1 billion in 2022/23 to R60.1 billion in 2023/24. This included a reduction in the health allocation contained in the social wage package, implying that free healthcare will be affected. The FFC advised Parliament to request an explanation of how this reduction would impact the poor who rely on the public healthcare system. </w:t>
      </w: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r w:rsidRPr="007037BB">
        <w:rPr>
          <w:rFonts w:ascii="Arial" w:eastAsia="Times New Roman" w:hAnsi="Arial" w:cs="Arial"/>
          <w:color w:val="000000"/>
          <w:spacing w:val="6"/>
          <w:sz w:val="20"/>
          <w:szCs w:val="20"/>
          <w:lang w:eastAsia="en-GB"/>
        </w:rPr>
        <w:t xml:space="preserve">The FFC further noted that the Transport Vote would dominate in respect of infrastructure spending over the next three years (R47.2 billion in 2023/24, R51.5 billion in 2024/25 and R56 billion in 2025/26), with the focus on the rehabilitation of provincial roads and reducing the rehabilitation backlog on national roads. However, notwithstanding increased infrastructure spending, the budget allocated to Transport declines from R94.9 billion in 2022/23 to R79.6 billion in 2023/24. The reductions are to the Aviation Oversight sub-programme (responsible for monitoring the performance of the Airports Company of SA, the Air Traffic and Navigation Services Company and the SA Civil Aviation Authority) and the Rural and Scholar Transport sub-programme. As these programmes are critical in ensuring safety in the sector, the FFC recommended that cuts should be focussed on non-essential spending items. In light of the high levels of crime in South Africa, the FFC welcomed the additional resources and recruitment drive being implemented under the Police Vote. </w:t>
      </w: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p>
    <w:p w:rsidR="00CF319A" w:rsidRPr="007037BB" w:rsidRDefault="00CF319A" w:rsidP="007037BB">
      <w:pPr>
        <w:spacing w:after="0" w:line="240" w:lineRule="auto"/>
        <w:rPr>
          <w:rFonts w:ascii="Arial" w:eastAsia="Times New Roman" w:hAnsi="Arial" w:cs="Arial"/>
          <w:color w:val="000000"/>
          <w:spacing w:val="6"/>
          <w:sz w:val="20"/>
          <w:szCs w:val="20"/>
          <w:lang w:eastAsia="en-GB"/>
        </w:rPr>
      </w:pPr>
      <w:r w:rsidRPr="007037BB">
        <w:rPr>
          <w:rFonts w:ascii="Arial" w:eastAsia="Times New Roman" w:hAnsi="Arial" w:cs="Arial"/>
          <w:color w:val="000000"/>
          <w:spacing w:val="6"/>
          <w:sz w:val="20"/>
          <w:szCs w:val="20"/>
          <w:lang w:eastAsia="en-GB"/>
        </w:rPr>
        <w:t xml:space="preserve">The FFC indicated that it was cognisant of government’s efforts to balance the protection of the social wage package with growth-inducing allocations to public infrastructure investment and additions to fight crime and corruption. However, it recommended that, in performing its oversight, Parliament should enquire how strategic departments will absorb reductions in their budgets and how the reductions are likely to affect service delivery; with particular focus on Health, Transport and Higher Education and Training. The departments with reduced allocations should, as far as possible, ensure that reductions are applied to non-essential spending items. The FFC further recommended that timelines needed to be devised for the finalisation of a new funding framework for the Higher Education sector.  </w:t>
      </w:r>
    </w:p>
    <w:p w:rsidR="00CF319A" w:rsidRPr="007037BB" w:rsidRDefault="00CF319A" w:rsidP="007037BB">
      <w:pPr>
        <w:spacing w:after="0" w:line="240" w:lineRule="auto"/>
        <w:contextualSpacing/>
        <w:rPr>
          <w:rFonts w:ascii="Arial" w:eastAsia="Times New Roman" w:hAnsi="Arial" w:cs="Arial"/>
          <w:b/>
          <w:sz w:val="20"/>
          <w:szCs w:val="20"/>
        </w:rPr>
      </w:pPr>
    </w:p>
    <w:p w:rsidR="008F383A" w:rsidRPr="007037BB" w:rsidRDefault="008F383A" w:rsidP="007037BB">
      <w:pPr>
        <w:numPr>
          <w:ilvl w:val="1"/>
          <w:numId w:val="2"/>
        </w:numPr>
        <w:spacing w:after="0" w:line="240" w:lineRule="auto"/>
        <w:ind w:left="540" w:hanging="540"/>
        <w:contextualSpacing/>
        <w:rPr>
          <w:rFonts w:ascii="Arial" w:eastAsia="Times New Roman" w:hAnsi="Arial" w:cs="Arial"/>
          <w:b/>
          <w:sz w:val="20"/>
          <w:szCs w:val="20"/>
        </w:rPr>
      </w:pPr>
      <w:r w:rsidRPr="007037BB">
        <w:rPr>
          <w:rFonts w:ascii="Arial" w:eastAsia="Times New Roman" w:hAnsi="Arial" w:cs="Arial"/>
          <w:b/>
          <w:sz w:val="20"/>
          <w:szCs w:val="20"/>
        </w:rPr>
        <w:t>Parliamentary Budget Office</w:t>
      </w:r>
    </w:p>
    <w:p w:rsidR="008F383A" w:rsidRPr="007037BB" w:rsidRDefault="008F383A" w:rsidP="007037BB">
      <w:pPr>
        <w:spacing w:after="0" w:line="240" w:lineRule="auto"/>
        <w:contextualSpacing/>
        <w:rPr>
          <w:rFonts w:ascii="Arial" w:eastAsia="Times New Roman" w:hAnsi="Arial" w:cs="Arial"/>
          <w:b/>
          <w:sz w:val="20"/>
          <w:szCs w:val="20"/>
        </w:rPr>
      </w:pPr>
    </w:p>
    <w:p w:rsidR="00CF319A" w:rsidRPr="007037BB" w:rsidRDefault="00CF319A" w:rsidP="007037BB">
      <w:pPr>
        <w:spacing w:after="0" w:line="240" w:lineRule="auto"/>
        <w:contextualSpacing/>
        <w:rPr>
          <w:rFonts w:ascii="Arial" w:eastAsia="Times New Roman" w:hAnsi="Arial" w:cs="Arial"/>
          <w:sz w:val="20"/>
          <w:szCs w:val="20"/>
        </w:rPr>
      </w:pPr>
      <w:r w:rsidRPr="007037BB">
        <w:rPr>
          <w:rFonts w:ascii="Arial" w:eastAsia="Times New Roman" w:hAnsi="Arial" w:cs="Arial"/>
          <w:sz w:val="20"/>
          <w:szCs w:val="20"/>
        </w:rPr>
        <w:t>The Parliamentary Budget Office (PBO) identified compensation of employees (COE) and contingent liabilities as possible risks to the 2023 appropriations. The PBO expressed concern over unfunded COE budgets in national departments. It indicated that both the departments of Correctional Services and Defence showed an increase in personnel numbers but a decrease in expenditure between 2022/23 and 2023/24. Furthermore, Police showed an increase of 5 000 police trainees, but a reduction in the expenditure.</w:t>
      </w:r>
    </w:p>
    <w:p w:rsidR="00CF319A" w:rsidRPr="007037BB" w:rsidRDefault="00CF319A" w:rsidP="007037BB">
      <w:pPr>
        <w:spacing w:after="0" w:line="240" w:lineRule="auto"/>
        <w:contextualSpacing/>
        <w:rPr>
          <w:rFonts w:ascii="Arial" w:eastAsia="Times New Roman" w:hAnsi="Arial" w:cs="Arial"/>
          <w:sz w:val="20"/>
          <w:szCs w:val="20"/>
        </w:rPr>
      </w:pPr>
    </w:p>
    <w:p w:rsidR="00CF319A" w:rsidRPr="007037BB" w:rsidRDefault="00CF319A" w:rsidP="007037BB">
      <w:pPr>
        <w:spacing w:after="0" w:line="240" w:lineRule="auto"/>
        <w:contextualSpacing/>
        <w:rPr>
          <w:rFonts w:ascii="Arial" w:eastAsia="Times New Roman" w:hAnsi="Arial" w:cs="Arial"/>
          <w:sz w:val="20"/>
          <w:szCs w:val="20"/>
        </w:rPr>
      </w:pPr>
      <w:r w:rsidRPr="007037BB">
        <w:rPr>
          <w:rFonts w:ascii="Arial" w:eastAsia="Times New Roman" w:hAnsi="Arial" w:cs="Arial"/>
          <w:sz w:val="20"/>
          <w:szCs w:val="20"/>
        </w:rPr>
        <w:t>The PBO indicated that contingent liabilities were set to decline from R1.07 trillion (16.1 percent of GDP) in 2022/23 to R904.1 billion (11.4 percent of GDP) in 2025/26, mainly due to the debt relief to Eskom</w:t>
      </w:r>
      <w:r w:rsidR="009905C7" w:rsidRPr="007037BB">
        <w:rPr>
          <w:rFonts w:ascii="Arial" w:eastAsia="Times New Roman" w:hAnsi="Arial" w:cs="Arial"/>
          <w:sz w:val="20"/>
          <w:szCs w:val="20"/>
        </w:rPr>
        <w:t>,</w:t>
      </w:r>
      <w:r w:rsidRPr="007037BB">
        <w:rPr>
          <w:rFonts w:ascii="Arial" w:eastAsia="Times New Roman" w:hAnsi="Arial" w:cs="Arial"/>
          <w:sz w:val="20"/>
          <w:szCs w:val="20"/>
        </w:rPr>
        <w:t xml:space="preserve"> it was however concerned that many state-owned entities (SOEs) remained unable to adequately fund their operations and debt obligations and were even less able to optimally invest in infrastructure. Furthermore, independent power </w:t>
      </w:r>
      <w:r w:rsidRPr="007037BB">
        <w:rPr>
          <w:rFonts w:ascii="Arial" w:eastAsia="Times New Roman" w:hAnsi="Arial" w:cs="Arial"/>
          <w:sz w:val="20"/>
          <w:szCs w:val="20"/>
        </w:rPr>
        <w:lastRenderedPageBreak/>
        <w:t xml:space="preserve">producers presented a low risk to public finances and exposure was expected to decrease from R187.1 in 2022/23 to R134 billion in 2025/26. Contingent liability exposure from public-private partnerships arose mainly from the early termination of contracts and was expected to decline from R7.1 </w:t>
      </w:r>
      <w:r w:rsidR="00E944D9" w:rsidRPr="007037BB">
        <w:rPr>
          <w:rFonts w:ascii="Arial" w:eastAsia="Times New Roman" w:hAnsi="Arial" w:cs="Arial"/>
          <w:sz w:val="20"/>
          <w:szCs w:val="20"/>
        </w:rPr>
        <w:t xml:space="preserve">billion </w:t>
      </w:r>
      <w:r w:rsidRPr="007037BB">
        <w:rPr>
          <w:rFonts w:ascii="Arial" w:eastAsia="Times New Roman" w:hAnsi="Arial" w:cs="Arial"/>
          <w:sz w:val="20"/>
          <w:szCs w:val="20"/>
        </w:rPr>
        <w:t xml:space="preserve">in 2022/23 to R2.9 billion in 2025/26. The Road Accident Fund guarantee was set to increase to R371.7 billion by 2025/26 from R99.2 billion in 2015/16. </w:t>
      </w:r>
    </w:p>
    <w:p w:rsidR="00CF319A" w:rsidRPr="007037BB" w:rsidRDefault="00CF319A" w:rsidP="007037BB">
      <w:pPr>
        <w:spacing w:after="0" w:line="240" w:lineRule="auto"/>
        <w:contextualSpacing/>
        <w:rPr>
          <w:rFonts w:ascii="Arial" w:eastAsia="Times New Roman" w:hAnsi="Arial" w:cs="Arial"/>
          <w:sz w:val="20"/>
          <w:szCs w:val="20"/>
        </w:rPr>
      </w:pPr>
    </w:p>
    <w:p w:rsidR="008001E5" w:rsidRPr="007037BB" w:rsidRDefault="00CF319A" w:rsidP="007037BB">
      <w:pPr>
        <w:spacing w:after="0" w:line="240" w:lineRule="auto"/>
        <w:contextualSpacing/>
        <w:rPr>
          <w:rFonts w:ascii="Arial" w:eastAsia="Times New Roman" w:hAnsi="Arial" w:cs="Arial"/>
          <w:sz w:val="20"/>
          <w:szCs w:val="20"/>
        </w:rPr>
      </w:pPr>
      <w:r w:rsidRPr="007037BB">
        <w:rPr>
          <w:rFonts w:ascii="Arial" w:eastAsia="Times New Roman" w:hAnsi="Arial" w:cs="Arial"/>
          <w:sz w:val="20"/>
          <w:szCs w:val="20"/>
        </w:rPr>
        <w:t xml:space="preserve">The PBO submitted that it was critical for government to monitor and update contingent liabilities. Furthermore, it was important to improve the management of SOEs to profitability and self-sufficiency as listed under Schedule 2 of the Public Finance Management Act (1999) and Presidential interventions. </w:t>
      </w:r>
    </w:p>
    <w:p w:rsidR="008001E5" w:rsidRPr="007037BB" w:rsidRDefault="008001E5" w:rsidP="007037BB">
      <w:pPr>
        <w:spacing w:after="0" w:line="240" w:lineRule="auto"/>
        <w:rPr>
          <w:rFonts w:ascii="Arial" w:eastAsia="Times New Roman" w:hAnsi="Arial" w:cs="Arial"/>
          <w:sz w:val="20"/>
          <w:szCs w:val="20"/>
        </w:rPr>
      </w:pPr>
    </w:p>
    <w:p w:rsidR="008F383A" w:rsidRPr="007037BB" w:rsidRDefault="008F383A" w:rsidP="007037BB">
      <w:pPr>
        <w:numPr>
          <w:ilvl w:val="0"/>
          <w:numId w:val="3"/>
        </w:numPr>
        <w:spacing w:after="0" w:line="240" w:lineRule="auto"/>
        <w:ind w:left="709" w:hanging="709"/>
        <w:contextualSpacing/>
        <w:rPr>
          <w:rFonts w:ascii="Arial" w:eastAsia="Times New Roman" w:hAnsi="Arial" w:cs="Arial"/>
          <w:b/>
          <w:sz w:val="20"/>
          <w:szCs w:val="20"/>
        </w:rPr>
      </w:pPr>
      <w:r w:rsidRPr="007037BB">
        <w:rPr>
          <w:rFonts w:ascii="Arial" w:eastAsia="Times New Roman" w:hAnsi="Arial" w:cs="Arial"/>
          <w:b/>
          <w:sz w:val="20"/>
          <w:szCs w:val="20"/>
        </w:rPr>
        <w:t xml:space="preserve">Departmental submissions </w:t>
      </w:r>
    </w:p>
    <w:p w:rsidR="008F383A" w:rsidRPr="007037BB" w:rsidRDefault="008F383A" w:rsidP="007037BB">
      <w:pPr>
        <w:spacing w:after="0" w:line="240" w:lineRule="auto"/>
        <w:contextualSpacing/>
        <w:rPr>
          <w:rFonts w:ascii="Arial" w:eastAsia="Times New Roman" w:hAnsi="Arial" w:cs="Arial"/>
          <w:b/>
          <w:sz w:val="20"/>
          <w:szCs w:val="20"/>
        </w:rPr>
      </w:pPr>
    </w:p>
    <w:p w:rsidR="00CF319A" w:rsidRPr="007037BB" w:rsidRDefault="008F383A" w:rsidP="007037BB">
      <w:pPr>
        <w:spacing w:after="0" w:line="240" w:lineRule="auto"/>
        <w:contextualSpacing/>
        <w:rPr>
          <w:rFonts w:ascii="Arial" w:eastAsia="Times New Roman" w:hAnsi="Arial" w:cs="Arial"/>
          <w:sz w:val="20"/>
          <w:szCs w:val="20"/>
        </w:rPr>
      </w:pPr>
      <w:r w:rsidRPr="007037BB">
        <w:rPr>
          <w:rFonts w:ascii="Arial" w:eastAsia="Times New Roman" w:hAnsi="Arial" w:cs="Arial"/>
          <w:sz w:val="20"/>
          <w:szCs w:val="20"/>
        </w:rPr>
        <w:t xml:space="preserve">The sections below provide an overview of the submissions that were made on the Bill by the invited departments. </w:t>
      </w:r>
    </w:p>
    <w:p w:rsidR="00CF319A" w:rsidRPr="007037BB" w:rsidRDefault="00CF319A" w:rsidP="007037BB">
      <w:pPr>
        <w:spacing w:after="0" w:line="240" w:lineRule="auto"/>
        <w:contextualSpacing/>
        <w:rPr>
          <w:rFonts w:ascii="Arial" w:eastAsia="Times New Roman" w:hAnsi="Arial" w:cs="Arial"/>
          <w:b/>
          <w:sz w:val="20"/>
          <w:szCs w:val="20"/>
        </w:rPr>
      </w:pPr>
    </w:p>
    <w:p w:rsidR="003837CA" w:rsidRPr="007037BB" w:rsidRDefault="008F383A" w:rsidP="007037BB">
      <w:pPr>
        <w:pStyle w:val="ListParagraph"/>
        <w:numPr>
          <w:ilvl w:val="1"/>
          <w:numId w:val="3"/>
        </w:numPr>
        <w:spacing w:after="0" w:line="240" w:lineRule="auto"/>
        <w:ind w:left="709" w:hanging="709"/>
        <w:rPr>
          <w:rFonts w:ascii="Arial" w:eastAsia="Times New Roman" w:hAnsi="Arial" w:cs="Arial"/>
          <w:b/>
          <w:sz w:val="20"/>
          <w:szCs w:val="20"/>
        </w:rPr>
      </w:pPr>
      <w:r w:rsidRPr="007037BB">
        <w:rPr>
          <w:rFonts w:ascii="Arial" w:eastAsia="Times New Roman" w:hAnsi="Arial" w:cs="Arial"/>
          <w:b/>
          <w:sz w:val="20"/>
          <w:szCs w:val="20"/>
        </w:rPr>
        <w:t xml:space="preserve">Department of </w:t>
      </w:r>
      <w:r w:rsidR="00CF319A" w:rsidRPr="007037BB">
        <w:rPr>
          <w:rFonts w:ascii="Arial" w:eastAsia="Times New Roman" w:hAnsi="Arial" w:cs="Arial"/>
          <w:b/>
          <w:sz w:val="20"/>
          <w:szCs w:val="20"/>
        </w:rPr>
        <w:t>Basic Education</w:t>
      </w:r>
      <w:r w:rsidRPr="007037BB">
        <w:rPr>
          <w:rFonts w:ascii="Arial" w:eastAsia="Times New Roman" w:hAnsi="Arial" w:cs="Arial"/>
          <w:b/>
          <w:sz w:val="20"/>
          <w:szCs w:val="20"/>
        </w:rPr>
        <w:t xml:space="preserve"> </w:t>
      </w:r>
    </w:p>
    <w:p w:rsidR="00476288" w:rsidRPr="007037BB" w:rsidRDefault="00476288" w:rsidP="007037BB">
      <w:pPr>
        <w:spacing w:after="0" w:line="240" w:lineRule="auto"/>
        <w:rPr>
          <w:rFonts w:ascii="Arial" w:eastAsia="Times New Roman" w:hAnsi="Arial" w:cs="Arial"/>
          <w:b/>
          <w:sz w:val="20"/>
          <w:szCs w:val="20"/>
        </w:rPr>
      </w:pPr>
    </w:p>
    <w:p w:rsidR="00476288" w:rsidRPr="007037BB" w:rsidRDefault="00476288" w:rsidP="007037BB">
      <w:p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lang w:val="en-US"/>
        </w:rPr>
        <w:t xml:space="preserve">The Department </w:t>
      </w:r>
      <w:r w:rsidR="00361BA4" w:rsidRPr="007037BB">
        <w:rPr>
          <w:rFonts w:ascii="Arial" w:eastAsia="Times New Roman" w:hAnsi="Arial" w:cs="Arial"/>
          <w:bCs/>
          <w:sz w:val="20"/>
          <w:szCs w:val="20"/>
          <w:lang w:val="en-US"/>
        </w:rPr>
        <w:t xml:space="preserve">of Basic Education (DBE) </w:t>
      </w:r>
      <w:r w:rsidRPr="007037BB">
        <w:rPr>
          <w:rFonts w:ascii="Arial" w:eastAsia="Times New Roman" w:hAnsi="Arial" w:cs="Arial"/>
          <w:bCs/>
          <w:sz w:val="20"/>
          <w:szCs w:val="20"/>
          <w:lang w:val="en-US"/>
        </w:rPr>
        <w:t>provided highlights on its intended spending plan</w:t>
      </w:r>
      <w:r w:rsidR="00361BA4" w:rsidRPr="007037BB">
        <w:rPr>
          <w:rFonts w:ascii="Arial" w:eastAsia="Times New Roman" w:hAnsi="Arial" w:cs="Arial"/>
          <w:bCs/>
          <w:sz w:val="20"/>
          <w:szCs w:val="20"/>
          <w:lang w:val="en-US"/>
        </w:rPr>
        <w:t>s</w:t>
      </w:r>
      <w:r w:rsidRPr="007037BB">
        <w:rPr>
          <w:rFonts w:ascii="Arial" w:eastAsia="Times New Roman" w:hAnsi="Arial" w:cs="Arial"/>
          <w:bCs/>
          <w:sz w:val="20"/>
          <w:szCs w:val="20"/>
          <w:lang w:val="en-US"/>
        </w:rPr>
        <w:t xml:space="preserve"> for the total allocation of R31</w:t>
      </w:r>
      <w:r w:rsidR="00796456" w:rsidRPr="007037BB">
        <w:rPr>
          <w:rFonts w:ascii="Arial" w:eastAsia="Times New Roman" w:hAnsi="Arial" w:cs="Arial"/>
          <w:bCs/>
          <w:sz w:val="20"/>
          <w:szCs w:val="20"/>
          <w:lang w:val="en-US"/>
        </w:rPr>
        <w:t>.</w:t>
      </w:r>
      <w:r w:rsidRPr="007037BB">
        <w:rPr>
          <w:rFonts w:ascii="Arial" w:eastAsia="Times New Roman" w:hAnsi="Arial" w:cs="Arial"/>
          <w:bCs/>
          <w:sz w:val="20"/>
          <w:szCs w:val="20"/>
          <w:lang w:val="en-US"/>
        </w:rPr>
        <w:t>782 </w:t>
      </w:r>
      <w:r w:rsidR="00796456" w:rsidRPr="007037BB">
        <w:rPr>
          <w:rFonts w:ascii="Arial" w:eastAsia="Times New Roman" w:hAnsi="Arial" w:cs="Arial"/>
          <w:bCs/>
          <w:sz w:val="20"/>
          <w:szCs w:val="20"/>
          <w:lang w:val="en-US"/>
        </w:rPr>
        <w:t>billion</w:t>
      </w:r>
      <w:r w:rsidRPr="007037BB">
        <w:rPr>
          <w:rFonts w:ascii="Arial" w:eastAsia="Times New Roman" w:hAnsi="Arial" w:cs="Arial"/>
          <w:bCs/>
          <w:sz w:val="20"/>
          <w:szCs w:val="20"/>
          <w:lang w:val="en-US"/>
        </w:rPr>
        <w:t xml:space="preserve"> for the 2023/24 financial year. </w:t>
      </w:r>
      <w:r w:rsidR="00796456" w:rsidRPr="007037BB">
        <w:rPr>
          <w:rFonts w:ascii="Arial" w:eastAsia="Times New Roman" w:hAnsi="Arial" w:cs="Arial"/>
          <w:bCs/>
          <w:sz w:val="20"/>
          <w:szCs w:val="20"/>
          <w:lang w:val="en-US"/>
        </w:rPr>
        <w:t>DBE reported that R</w:t>
      </w:r>
      <w:r w:rsidRPr="007037BB">
        <w:rPr>
          <w:rFonts w:ascii="Arial" w:eastAsia="Times New Roman" w:hAnsi="Arial" w:cs="Arial"/>
          <w:bCs/>
          <w:sz w:val="20"/>
          <w:szCs w:val="20"/>
          <w:lang w:val="en-US"/>
        </w:rPr>
        <w:t>538</w:t>
      </w:r>
      <w:r w:rsidR="00796456" w:rsidRPr="007037BB">
        <w:rPr>
          <w:rFonts w:ascii="Arial" w:eastAsia="Times New Roman" w:hAnsi="Arial" w:cs="Arial"/>
          <w:bCs/>
          <w:sz w:val="20"/>
          <w:szCs w:val="20"/>
          <w:lang w:val="en-US"/>
        </w:rPr>
        <w:t>.</w:t>
      </w:r>
      <w:r w:rsidRPr="007037BB">
        <w:rPr>
          <w:rFonts w:ascii="Arial" w:eastAsia="Times New Roman" w:hAnsi="Arial" w:cs="Arial"/>
          <w:bCs/>
          <w:sz w:val="20"/>
          <w:szCs w:val="20"/>
          <w:lang w:val="en-US"/>
        </w:rPr>
        <w:t xml:space="preserve">829 </w:t>
      </w:r>
      <w:r w:rsidR="00D9736D" w:rsidRPr="007037BB">
        <w:rPr>
          <w:rFonts w:ascii="Arial" w:eastAsia="Times New Roman" w:hAnsi="Arial" w:cs="Arial"/>
          <w:bCs/>
          <w:sz w:val="20"/>
          <w:szCs w:val="20"/>
          <w:lang w:val="en-US"/>
        </w:rPr>
        <w:t xml:space="preserve">million </w:t>
      </w:r>
      <w:r w:rsidRPr="007037BB">
        <w:rPr>
          <w:rFonts w:ascii="Arial" w:eastAsia="Times New Roman" w:hAnsi="Arial" w:cs="Arial"/>
          <w:bCs/>
          <w:sz w:val="20"/>
          <w:szCs w:val="20"/>
          <w:lang w:val="en-US"/>
        </w:rPr>
        <w:t>w</w:t>
      </w:r>
      <w:r w:rsidR="00D9736D" w:rsidRPr="007037BB">
        <w:rPr>
          <w:rFonts w:ascii="Arial" w:eastAsia="Times New Roman" w:hAnsi="Arial" w:cs="Arial"/>
          <w:bCs/>
          <w:sz w:val="20"/>
          <w:szCs w:val="20"/>
          <w:lang w:val="en-US"/>
        </w:rPr>
        <w:t>ould</w:t>
      </w:r>
      <w:r w:rsidRPr="007037BB">
        <w:rPr>
          <w:rFonts w:ascii="Arial" w:eastAsia="Times New Roman" w:hAnsi="Arial" w:cs="Arial"/>
          <w:bCs/>
          <w:sz w:val="20"/>
          <w:szCs w:val="20"/>
          <w:lang w:val="en-US"/>
        </w:rPr>
        <w:t xml:space="preserve"> be spen</w:t>
      </w:r>
      <w:r w:rsidR="00E944D9" w:rsidRPr="007037BB">
        <w:rPr>
          <w:rFonts w:ascii="Arial" w:eastAsia="Times New Roman" w:hAnsi="Arial" w:cs="Arial"/>
          <w:bCs/>
          <w:sz w:val="20"/>
          <w:szCs w:val="20"/>
          <w:lang w:val="en-US"/>
        </w:rPr>
        <w:t>t</w:t>
      </w:r>
      <w:r w:rsidRPr="007037BB">
        <w:rPr>
          <w:rFonts w:ascii="Arial" w:eastAsia="Times New Roman" w:hAnsi="Arial" w:cs="Arial"/>
          <w:bCs/>
          <w:sz w:val="20"/>
          <w:szCs w:val="20"/>
          <w:lang w:val="en-US"/>
        </w:rPr>
        <w:t xml:space="preserve"> on Administration; R3</w:t>
      </w:r>
      <w:r w:rsidR="00D9736D" w:rsidRPr="007037BB">
        <w:rPr>
          <w:rFonts w:ascii="Arial" w:eastAsia="Times New Roman" w:hAnsi="Arial" w:cs="Arial"/>
          <w:bCs/>
          <w:sz w:val="20"/>
          <w:szCs w:val="20"/>
          <w:lang w:val="en-US"/>
        </w:rPr>
        <w:t>.</w:t>
      </w:r>
      <w:r w:rsidRPr="007037BB">
        <w:rPr>
          <w:rFonts w:ascii="Arial" w:eastAsia="Times New Roman" w:hAnsi="Arial" w:cs="Arial"/>
          <w:bCs/>
          <w:sz w:val="20"/>
          <w:szCs w:val="20"/>
          <w:lang w:val="en-US"/>
        </w:rPr>
        <w:t>526 </w:t>
      </w:r>
      <w:r w:rsidR="00D9736D" w:rsidRPr="007037BB">
        <w:rPr>
          <w:rFonts w:ascii="Arial" w:eastAsia="Times New Roman" w:hAnsi="Arial" w:cs="Arial"/>
          <w:bCs/>
          <w:sz w:val="20"/>
          <w:szCs w:val="20"/>
          <w:lang w:val="en-US"/>
        </w:rPr>
        <w:t>billion</w:t>
      </w:r>
      <w:r w:rsidRPr="007037BB">
        <w:rPr>
          <w:rFonts w:ascii="Arial" w:eastAsia="Times New Roman" w:hAnsi="Arial" w:cs="Arial"/>
          <w:bCs/>
          <w:sz w:val="20"/>
          <w:szCs w:val="20"/>
          <w:lang w:val="en-US"/>
        </w:rPr>
        <w:t xml:space="preserve"> on Curriculum Policy; R1</w:t>
      </w:r>
      <w:r w:rsidR="00D9736D" w:rsidRPr="007037BB">
        <w:rPr>
          <w:rFonts w:ascii="Arial" w:eastAsia="Times New Roman" w:hAnsi="Arial" w:cs="Arial"/>
          <w:bCs/>
          <w:sz w:val="20"/>
          <w:szCs w:val="20"/>
          <w:lang w:val="en-US"/>
        </w:rPr>
        <w:t>.</w:t>
      </w:r>
      <w:r w:rsidRPr="007037BB">
        <w:rPr>
          <w:rFonts w:ascii="Arial" w:eastAsia="Times New Roman" w:hAnsi="Arial" w:cs="Arial"/>
          <w:bCs/>
          <w:sz w:val="20"/>
          <w:szCs w:val="20"/>
          <w:lang w:val="en-US"/>
        </w:rPr>
        <w:t>507 </w:t>
      </w:r>
      <w:r w:rsidR="00D9736D" w:rsidRPr="007037BB">
        <w:rPr>
          <w:rFonts w:ascii="Arial" w:eastAsia="Times New Roman" w:hAnsi="Arial" w:cs="Arial"/>
          <w:bCs/>
          <w:sz w:val="20"/>
          <w:szCs w:val="20"/>
          <w:lang w:val="en-US"/>
        </w:rPr>
        <w:t>billion on</w:t>
      </w:r>
      <w:r w:rsidRPr="007037BB">
        <w:rPr>
          <w:rFonts w:ascii="Arial" w:eastAsia="Times New Roman" w:hAnsi="Arial" w:cs="Arial"/>
          <w:bCs/>
          <w:sz w:val="20"/>
          <w:szCs w:val="20"/>
          <w:lang w:val="en-US"/>
        </w:rPr>
        <w:t xml:space="preserve"> Teachers, Education Human Resources and Institutional Development; R16</w:t>
      </w:r>
      <w:r w:rsidR="00D9736D" w:rsidRPr="007037BB">
        <w:rPr>
          <w:rFonts w:ascii="Arial" w:eastAsia="Times New Roman" w:hAnsi="Arial" w:cs="Arial"/>
          <w:bCs/>
          <w:sz w:val="20"/>
          <w:szCs w:val="20"/>
          <w:lang w:val="en-US"/>
        </w:rPr>
        <w:t>.</w:t>
      </w:r>
      <w:r w:rsidRPr="007037BB">
        <w:rPr>
          <w:rFonts w:ascii="Arial" w:eastAsia="Times New Roman" w:hAnsi="Arial" w:cs="Arial"/>
          <w:bCs/>
          <w:sz w:val="20"/>
          <w:szCs w:val="20"/>
          <w:lang w:val="en-US"/>
        </w:rPr>
        <w:t>615 </w:t>
      </w:r>
      <w:r w:rsidR="00D9736D" w:rsidRPr="007037BB">
        <w:rPr>
          <w:rFonts w:ascii="Arial" w:eastAsia="Times New Roman" w:hAnsi="Arial" w:cs="Arial"/>
          <w:bCs/>
          <w:sz w:val="20"/>
          <w:szCs w:val="20"/>
          <w:lang w:val="en-US"/>
        </w:rPr>
        <w:t>billion on</w:t>
      </w:r>
      <w:r w:rsidRPr="007037BB">
        <w:rPr>
          <w:rFonts w:ascii="Arial" w:eastAsia="Times New Roman" w:hAnsi="Arial" w:cs="Arial"/>
          <w:bCs/>
          <w:sz w:val="20"/>
          <w:szCs w:val="20"/>
          <w:lang w:val="en-US"/>
        </w:rPr>
        <w:t xml:space="preserve"> Planning, Information and Assessment and R9</w:t>
      </w:r>
      <w:r w:rsidR="00D9736D" w:rsidRPr="007037BB">
        <w:rPr>
          <w:rFonts w:ascii="Arial" w:eastAsia="Times New Roman" w:hAnsi="Arial" w:cs="Arial"/>
          <w:bCs/>
          <w:sz w:val="20"/>
          <w:szCs w:val="20"/>
          <w:lang w:val="en-US"/>
        </w:rPr>
        <w:t>.</w:t>
      </w:r>
      <w:r w:rsidRPr="007037BB">
        <w:rPr>
          <w:rFonts w:ascii="Arial" w:eastAsia="Times New Roman" w:hAnsi="Arial" w:cs="Arial"/>
          <w:bCs/>
          <w:sz w:val="20"/>
          <w:szCs w:val="20"/>
          <w:lang w:val="en-US"/>
        </w:rPr>
        <w:t>594 </w:t>
      </w:r>
      <w:r w:rsidR="00D9736D" w:rsidRPr="007037BB">
        <w:rPr>
          <w:rFonts w:ascii="Arial" w:eastAsia="Times New Roman" w:hAnsi="Arial" w:cs="Arial"/>
          <w:bCs/>
          <w:sz w:val="20"/>
          <w:szCs w:val="20"/>
          <w:lang w:val="en-US"/>
        </w:rPr>
        <w:t>billion would be allocated to</w:t>
      </w:r>
      <w:r w:rsidRPr="007037BB">
        <w:rPr>
          <w:rFonts w:ascii="Arial" w:eastAsia="Times New Roman" w:hAnsi="Arial" w:cs="Arial"/>
          <w:bCs/>
          <w:sz w:val="20"/>
          <w:szCs w:val="20"/>
          <w:lang w:val="en-US"/>
        </w:rPr>
        <w:t xml:space="preserve"> Educational Enrichment Services. </w:t>
      </w:r>
    </w:p>
    <w:p w:rsidR="00476288" w:rsidRPr="007037BB" w:rsidRDefault="00476288" w:rsidP="007037BB">
      <w:pPr>
        <w:spacing w:after="0" w:line="240" w:lineRule="auto"/>
        <w:rPr>
          <w:rFonts w:ascii="Arial" w:eastAsia="Times New Roman" w:hAnsi="Arial" w:cs="Arial"/>
          <w:bCs/>
          <w:sz w:val="20"/>
          <w:szCs w:val="20"/>
          <w:lang w:val="en-US"/>
        </w:rPr>
      </w:pPr>
    </w:p>
    <w:p w:rsidR="00476288" w:rsidRPr="007037BB" w:rsidRDefault="00476288" w:rsidP="007037BB">
      <w:p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lang w:val="en-US"/>
        </w:rPr>
        <w:t xml:space="preserve">Regarding infrastructure, </w:t>
      </w:r>
      <w:r w:rsidR="00D9736D" w:rsidRPr="007037BB">
        <w:rPr>
          <w:rFonts w:ascii="Arial" w:eastAsia="Times New Roman" w:hAnsi="Arial" w:cs="Arial"/>
          <w:bCs/>
          <w:sz w:val="20"/>
          <w:szCs w:val="20"/>
          <w:lang w:val="en-US"/>
        </w:rPr>
        <w:t xml:space="preserve">DBE reported that an </w:t>
      </w:r>
      <w:r w:rsidRPr="007037BB">
        <w:rPr>
          <w:rFonts w:ascii="Arial" w:eastAsia="Times New Roman" w:hAnsi="Arial" w:cs="Arial"/>
          <w:bCs/>
          <w:sz w:val="20"/>
          <w:szCs w:val="20"/>
          <w:lang w:val="en-US"/>
        </w:rPr>
        <w:t>updated the School Register of Needs</w:t>
      </w:r>
      <w:r w:rsidR="00D9736D" w:rsidRPr="007037BB">
        <w:rPr>
          <w:rFonts w:ascii="Arial" w:eastAsia="Times New Roman" w:hAnsi="Arial" w:cs="Arial"/>
          <w:bCs/>
          <w:sz w:val="20"/>
          <w:szCs w:val="20"/>
          <w:lang w:val="en-US"/>
        </w:rPr>
        <w:t xml:space="preserve"> has been compiled. </w:t>
      </w:r>
      <w:r w:rsidRPr="007037BB">
        <w:rPr>
          <w:rFonts w:ascii="Arial" w:eastAsia="Times New Roman" w:hAnsi="Arial" w:cs="Arial"/>
          <w:bCs/>
          <w:sz w:val="20"/>
          <w:szCs w:val="20"/>
          <w:lang w:val="en-US"/>
        </w:rPr>
        <w:t>This register contain</w:t>
      </w:r>
      <w:r w:rsidR="00D9736D" w:rsidRPr="007037BB">
        <w:rPr>
          <w:rFonts w:ascii="Arial" w:eastAsia="Times New Roman" w:hAnsi="Arial" w:cs="Arial"/>
          <w:bCs/>
          <w:sz w:val="20"/>
          <w:szCs w:val="20"/>
          <w:lang w:val="en-US"/>
        </w:rPr>
        <w:t>ed</w:t>
      </w:r>
      <w:r w:rsidRPr="007037BB">
        <w:rPr>
          <w:rFonts w:ascii="Arial" w:eastAsia="Times New Roman" w:hAnsi="Arial" w:cs="Arial"/>
          <w:bCs/>
          <w:sz w:val="20"/>
          <w:szCs w:val="20"/>
          <w:lang w:val="en-US"/>
        </w:rPr>
        <w:t xml:space="preserve"> details on the geographical location of each school in the country and its conditions. Using the data contained in th</w:t>
      </w:r>
      <w:r w:rsidR="00C20C40" w:rsidRPr="007037BB">
        <w:rPr>
          <w:rFonts w:ascii="Arial" w:eastAsia="Times New Roman" w:hAnsi="Arial" w:cs="Arial"/>
          <w:bCs/>
          <w:sz w:val="20"/>
          <w:szCs w:val="20"/>
          <w:lang w:val="en-US"/>
        </w:rPr>
        <w:t xml:space="preserve">is </w:t>
      </w:r>
      <w:r w:rsidR="00D9736D" w:rsidRPr="007037BB">
        <w:rPr>
          <w:rFonts w:ascii="Arial" w:eastAsia="Times New Roman" w:hAnsi="Arial" w:cs="Arial"/>
          <w:bCs/>
          <w:sz w:val="20"/>
          <w:szCs w:val="20"/>
          <w:lang w:val="en-US"/>
        </w:rPr>
        <w:t>r</w:t>
      </w:r>
      <w:r w:rsidRPr="007037BB">
        <w:rPr>
          <w:rFonts w:ascii="Arial" w:eastAsia="Times New Roman" w:hAnsi="Arial" w:cs="Arial"/>
          <w:bCs/>
          <w:sz w:val="20"/>
          <w:szCs w:val="20"/>
          <w:lang w:val="en-US"/>
        </w:rPr>
        <w:t xml:space="preserve">egister, </w:t>
      </w:r>
      <w:r w:rsidR="00D9736D" w:rsidRPr="007037BB">
        <w:rPr>
          <w:rFonts w:ascii="Arial" w:eastAsia="Times New Roman" w:hAnsi="Arial" w:cs="Arial"/>
          <w:bCs/>
          <w:sz w:val="20"/>
          <w:szCs w:val="20"/>
          <w:lang w:val="en-US"/>
        </w:rPr>
        <w:t>DBE reported that</w:t>
      </w:r>
      <w:r w:rsidRPr="007037BB">
        <w:rPr>
          <w:rFonts w:ascii="Arial" w:eastAsia="Times New Roman" w:hAnsi="Arial" w:cs="Arial"/>
          <w:bCs/>
          <w:sz w:val="20"/>
          <w:szCs w:val="20"/>
          <w:lang w:val="en-US"/>
        </w:rPr>
        <w:t xml:space="preserve"> it w</w:t>
      </w:r>
      <w:r w:rsidR="00D9736D" w:rsidRPr="007037BB">
        <w:rPr>
          <w:rFonts w:ascii="Arial" w:eastAsia="Times New Roman" w:hAnsi="Arial" w:cs="Arial"/>
          <w:bCs/>
          <w:sz w:val="20"/>
          <w:szCs w:val="20"/>
          <w:lang w:val="en-US"/>
        </w:rPr>
        <w:t xml:space="preserve">ould </w:t>
      </w:r>
      <w:r w:rsidRPr="007037BB">
        <w:rPr>
          <w:rFonts w:ascii="Arial" w:eastAsia="Times New Roman" w:hAnsi="Arial" w:cs="Arial"/>
          <w:bCs/>
          <w:sz w:val="20"/>
          <w:szCs w:val="20"/>
          <w:lang w:val="en-US"/>
        </w:rPr>
        <w:t>be able to do maintenance and refurbishment of the infrastructure through its Accelerated School Infrastructure Delivery Initiative (ASIDI).</w:t>
      </w:r>
    </w:p>
    <w:p w:rsidR="00D9736D" w:rsidRPr="007037BB" w:rsidRDefault="00D9736D" w:rsidP="007037BB">
      <w:pPr>
        <w:spacing w:after="0" w:line="240" w:lineRule="auto"/>
        <w:rPr>
          <w:rFonts w:ascii="Arial" w:eastAsia="Times New Roman" w:hAnsi="Arial" w:cs="Arial"/>
          <w:bCs/>
          <w:sz w:val="20"/>
          <w:szCs w:val="20"/>
          <w:lang w:val="en-US"/>
        </w:rPr>
      </w:pPr>
    </w:p>
    <w:p w:rsidR="00A746BF" w:rsidRPr="007037BB" w:rsidRDefault="00D9736D"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lang w:val="en-US"/>
        </w:rPr>
        <w:t>DBE reported that according to the Schools Register of Needs (SRN) in 2006,</w:t>
      </w:r>
      <w:r w:rsidR="00476288" w:rsidRPr="007037BB">
        <w:rPr>
          <w:rFonts w:ascii="Arial" w:eastAsia="Times New Roman" w:hAnsi="Arial" w:cs="Arial"/>
          <w:bCs/>
          <w:sz w:val="20"/>
          <w:szCs w:val="20"/>
          <w:lang w:val="en-US"/>
        </w:rPr>
        <w:t xml:space="preserve"> there </w:t>
      </w:r>
      <w:r w:rsidRPr="007037BB">
        <w:rPr>
          <w:rFonts w:ascii="Arial" w:eastAsia="Times New Roman" w:hAnsi="Arial" w:cs="Arial"/>
          <w:bCs/>
          <w:sz w:val="20"/>
          <w:szCs w:val="20"/>
          <w:lang w:val="en-US"/>
        </w:rPr>
        <w:t>w</w:t>
      </w:r>
      <w:r w:rsidR="00E944D9" w:rsidRPr="007037BB">
        <w:rPr>
          <w:rFonts w:ascii="Arial" w:eastAsia="Times New Roman" w:hAnsi="Arial" w:cs="Arial"/>
          <w:bCs/>
          <w:sz w:val="20"/>
          <w:szCs w:val="20"/>
          <w:lang w:val="en-US"/>
        </w:rPr>
        <w:t xml:space="preserve">as </w:t>
      </w:r>
      <w:r w:rsidR="00476288" w:rsidRPr="007037BB">
        <w:rPr>
          <w:rFonts w:ascii="Arial" w:eastAsia="Times New Roman" w:hAnsi="Arial" w:cs="Arial"/>
          <w:bCs/>
          <w:sz w:val="20"/>
          <w:szCs w:val="20"/>
          <w:lang w:val="en-US"/>
        </w:rPr>
        <w:t>a total of 8 823 schools without water supply</w:t>
      </w:r>
      <w:r w:rsidRPr="007037BB">
        <w:rPr>
          <w:rFonts w:ascii="Arial" w:eastAsia="Times New Roman" w:hAnsi="Arial" w:cs="Arial"/>
          <w:bCs/>
          <w:sz w:val="20"/>
          <w:szCs w:val="20"/>
          <w:lang w:val="en-US"/>
        </w:rPr>
        <w:t xml:space="preserve">. A </w:t>
      </w:r>
      <w:r w:rsidR="00476288" w:rsidRPr="007037BB">
        <w:rPr>
          <w:rFonts w:ascii="Arial" w:eastAsia="Times New Roman" w:hAnsi="Arial" w:cs="Arial"/>
          <w:bCs/>
          <w:sz w:val="20"/>
          <w:szCs w:val="20"/>
          <w:lang w:val="en-US"/>
        </w:rPr>
        <w:t xml:space="preserve">total 1 306 </w:t>
      </w:r>
      <w:r w:rsidRPr="007037BB">
        <w:rPr>
          <w:rFonts w:ascii="Arial" w:eastAsia="Times New Roman" w:hAnsi="Arial" w:cs="Arial"/>
          <w:bCs/>
          <w:sz w:val="20"/>
          <w:szCs w:val="20"/>
          <w:lang w:val="en-US"/>
        </w:rPr>
        <w:t>water supply projects through</w:t>
      </w:r>
      <w:r w:rsidR="00476288" w:rsidRPr="007037BB">
        <w:rPr>
          <w:rFonts w:ascii="Arial" w:eastAsia="Times New Roman" w:hAnsi="Arial" w:cs="Arial"/>
          <w:bCs/>
          <w:sz w:val="20"/>
          <w:szCs w:val="20"/>
          <w:lang w:val="en-US"/>
        </w:rPr>
        <w:t xml:space="preserve"> ASIDI</w:t>
      </w:r>
      <w:r w:rsidRPr="007037BB">
        <w:rPr>
          <w:rFonts w:ascii="Arial" w:eastAsia="Times New Roman" w:hAnsi="Arial" w:cs="Arial"/>
          <w:bCs/>
          <w:sz w:val="20"/>
          <w:szCs w:val="20"/>
          <w:lang w:val="en-US"/>
        </w:rPr>
        <w:t xml:space="preserve"> programme were underway</w:t>
      </w:r>
      <w:r w:rsidR="00192223" w:rsidRPr="007037BB">
        <w:rPr>
          <w:rFonts w:ascii="Arial" w:eastAsia="Times New Roman" w:hAnsi="Arial" w:cs="Arial"/>
          <w:bCs/>
          <w:sz w:val="20"/>
          <w:szCs w:val="20"/>
          <w:lang w:val="en-US"/>
        </w:rPr>
        <w:t>,</w:t>
      </w:r>
      <w:r w:rsidRPr="007037BB">
        <w:rPr>
          <w:rFonts w:ascii="Arial" w:eastAsia="Times New Roman" w:hAnsi="Arial" w:cs="Arial"/>
          <w:bCs/>
          <w:sz w:val="20"/>
          <w:szCs w:val="20"/>
          <w:lang w:val="en-US"/>
        </w:rPr>
        <w:t xml:space="preserve"> from which 1 292 have been completed</w:t>
      </w:r>
      <w:r w:rsidR="00192223" w:rsidRPr="007037BB">
        <w:rPr>
          <w:rFonts w:ascii="Arial" w:eastAsia="Times New Roman" w:hAnsi="Arial" w:cs="Arial"/>
          <w:bCs/>
          <w:sz w:val="20"/>
          <w:szCs w:val="20"/>
          <w:lang w:val="en-US"/>
        </w:rPr>
        <w:t>. T</w:t>
      </w:r>
      <w:r w:rsidR="00476288" w:rsidRPr="007037BB">
        <w:rPr>
          <w:rFonts w:ascii="Arial" w:eastAsia="Times New Roman" w:hAnsi="Arial" w:cs="Arial"/>
          <w:bCs/>
          <w:sz w:val="20"/>
          <w:szCs w:val="20"/>
          <w:lang w:val="en-US"/>
        </w:rPr>
        <w:t xml:space="preserve">he remaining 14 schools </w:t>
      </w:r>
      <w:r w:rsidR="00192223" w:rsidRPr="007037BB">
        <w:rPr>
          <w:rFonts w:ascii="Arial" w:eastAsia="Times New Roman" w:hAnsi="Arial" w:cs="Arial"/>
          <w:bCs/>
          <w:sz w:val="20"/>
          <w:szCs w:val="20"/>
          <w:lang w:val="en-US"/>
        </w:rPr>
        <w:t>were</w:t>
      </w:r>
      <w:r w:rsidR="00476288" w:rsidRPr="007037BB">
        <w:rPr>
          <w:rFonts w:ascii="Arial" w:eastAsia="Times New Roman" w:hAnsi="Arial" w:cs="Arial"/>
          <w:bCs/>
          <w:sz w:val="20"/>
          <w:szCs w:val="20"/>
          <w:lang w:val="en-US"/>
        </w:rPr>
        <w:t xml:space="preserve"> scheduled for completion </w:t>
      </w:r>
      <w:r w:rsidR="00192223" w:rsidRPr="007037BB">
        <w:rPr>
          <w:rFonts w:ascii="Arial" w:eastAsia="Times New Roman" w:hAnsi="Arial" w:cs="Arial"/>
          <w:bCs/>
          <w:sz w:val="20"/>
          <w:szCs w:val="20"/>
          <w:lang w:val="en-US"/>
        </w:rPr>
        <w:t>during</w:t>
      </w:r>
      <w:r w:rsidR="00476288" w:rsidRPr="007037BB">
        <w:rPr>
          <w:rFonts w:ascii="Arial" w:eastAsia="Times New Roman" w:hAnsi="Arial" w:cs="Arial"/>
          <w:bCs/>
          <w:sz w:val="20"/>
          <w:szCs w:val="20"/>
          <w:lang w:val="en-US"/>
        </w:rPr>
        <w:t xml:space="preserve"> the 2023/24 financial year. Regarding </w:t>
      </w:r>
      <w:r w:rsidR="00192223" w:rsidRPr="007037BB">
        <w:rPr>
          <w:rFonts w:ascii="Arial" w:eastAsia="Times New Roman" w:hAnsi="Arial" w:cs="Arial"/>
          <w:bCs/>
          <w:sz w:val="20"/>
          <w:szCs w:val="20"/>
          <w:lang w:val="en-US"/>
        </w:rPr>
        <w:t>the electrification of</w:t>
      </w:r>
      <w:r w:rsidR="00476288" w:rsidRPr="007037BB">
        <w:rPr>
          <w:rFonts w:ascii="Arial" w:eastAsia="Times New Roman" w:hAnsi="Arial" w:cs="Arial"/>
          <w:bCs/>
          <w:sz w:val="20"/>
          <w:szCs w:val="20"/>
          <w:lang w:val="en-US"/>
        </w:rPr>
        <w:t xml:space="preserve"> schools, </w:t>
      </w:r>
      <w:r w:rsidR="00192223" w:rsidRPr="007037BB">
        <w:rPr>
          <w:rFonts w:ascii="Arial" w:eastAsia="Times New Roman" w:hAnsi="Arial" w:cs="Arial"/>
          <w:bCs/>
          <w:sz w:val="20"/>
          <w:szCs w:val="20"/>
          <w:lang w:val="en-US"/>
        </w:rPr>
        <w:t>DBE</w:t>
      </w:r>
      <w:r w:rsidR="00476288" w:rsidRPr="007037BB">
        <w:rPr>
          <w:rFonts w:ascii="Arial" w:eastAsia="Times New Roman" w:hAnsi="Arial" w:cs="Arial"/>
          <w:bCs/>
          <w:sz w:val="20"/>
          <w:szCs w:val="20"/>
          <w:lang w:val="en-US"/>
        </w:rPr>
        <w:t xml:space="preserve"> reported that 15 263 schools do not have electricity, however, 372 </w:t>
      </w:r>
      <w:r w:rsidR="00192223" w:rsidRPr="007037BB">
        <w:rPr>
          <w:rFonts w:ascii="Arial" w:eastAsia="Times New Roman" w:hAnsi="Arial" w:cs="Arial"/>
          <w:bCs/>
          <w:sz w:val="20"/>
          <w:szCs w:val="20"/>
          <w:lang w:val="en-US"/>
        </w:rPr>
        <w:t xml:space="preserve">ASIDI </w:t>
      </w:r>
      <w:r w:rsidR="00476288" w:rsidRPr="007037BB">
        <w:rPr>
          <w:rFonts w:ascii="Arial" w:eastAsia="Times New Roman" w:hAnsi="Arial" w:cs="Arial"/>
          <w:bCs/>
          <w:sz w:val="20"/>
          <w:szCs w:val="20"/>
          <w:lang w:val="en-US"/>
        </w:rPr>
        <w:t xml:space="preserve">electricity supply projects have been completed. </w:t>
      </w:r>
      <w:r w:rsidR="00192223" w:rsidRPr="007037BB">
        <w:rPr>
          <w:rFonts w:ascii="Arial" w:eastAsia="Times New Roman" w:hAnsi="Arial" w:cs="Arial"/>
          <w:bCs/>
          <w:sz w:val="20"/>
          <w:szCs w:val="20"/>
          <w:lang w:val="en-US"/>
        </w:rPr>
        <w:t>With regard to</w:t>
      </w:r>
      <w:r w:rsidR="00D915A7" w:rsidRPr="007037BB">
        <w:rPr>
          <w:rFonts w:ascii="Arial" w:eastAsia="Times New Roman" w:hAnsi="Arial" w:cs="Arial"/>
          <w:bCs/>
          <w:sz w:val="20"/>
          <w:szCs w:val="20"/>
          <w:lang w:val="en-US"/>
        </w:rPr>
        <w:t xml:space="preserve"> schools with no</w:t>
      </w:r>
      <w:r w:rsidR="00476288" w:rsidRPr="007037BB">
        <w:rPr>
          <w:rFonts w:ascii="Arial" w:eastAsia="Times New Roman" w:hAnsi="Arial" w:cs="Arial"/>
          <w:bCs/>
          <w:sz w:val="20"/>
          <w:szCs w:val="20"/>
          <w:lang w:val="en-US"/>
        </w:rPr>
        <w:t xml:space="preserve"> toilets</w:t>
      </w:r>
      <w:r w:rsidR="00192223" w:rsidRPr="007037BB">
        <w:rPr>
          <w:rFonts w:ascii="Arial" w:eastAsia="Times New Roman" w:hAnsi="Arial" w:cs="Arial"/>
          <w:bCs/>
          <w:sz w:val="20"/>
          <w:szCs w:val="20"/>
          <w:lang w:val="en-US"/>
        </w:rPr>
        <w:t xml:space="preserve">, DBE </w:t>
      </w:r>
      <w:r w:rsidR="00476288" w:rsidRPr="007037BB">
        <w:rPr>
          <w:rFonts w:ascii="Arial" w:eastAsia="Times New Roman" w:hAnsi="Arial" w:cs="Arial"/>
          <w:bCs/>
          <w:sz w:val="20"/>
          <w:szCs w:val="20"/>
          <w:lang w:val="en-US"/>
        </w:rPr>
        <w:t xml:space="preserve">reported that there </w:t>
      </w:r>
      <w:r w:rsidR="00192223" w:rsidRPr="007037BB">
        <w:rPr>
          <w:rFonts w:ascii="Arial" w:eastAsia="Times New Roman" w:hAnsi="Arial" w:cs="Arial"/>
          <w:bCs/>
          <w:sz w:val="20"/>
          <w:szCs w:val="20"/>
          <w:lang w:val="en-US"/>
        </w:rPr>
        <w:t>were</w:t>
      </w:r>
      <w:r w:rsidR="00476288" w:rsidRPr="007037BB">
        <w:rPr>
          <w:rFonts w:ascii="Arial" w:eastAsia="Times New Roman" w:hAnsi="Arial" w:cs="Arial"/>
          <w:bCs/>
          <w:sz w:val="20"/>
          <w:szCs w:val="20"/>
          <w:lang w:val="en-US"/>
        </w:rPr>
        <w:t xml:space="preserve"> 3 255 schools without proper toilets</w:t>
      </w:r>
      <w:r w:rsidR="00192223" w:rsidRPr="007037BB">
        <w:rPr>
          <w:rFonts w:ascii="Arial" w:eastAsia="Times New Roman" w:hAnsi="Arial" w:cs="Arial"/>
          <w:bCs/>
          <w:sz w:val="20"/>
          <w:szCs w:val="20"/>
          <w:lang w:val="en-US"/>
        </w:rPr>
        <w:t xml:space="preserve"> and that</w:t>
      </w:r>
      <w:r w:rsidR="00476288" w:rsidRPr="007037BB">
        <w:rPr>
          <w:rFonts w:ascii="Arial" w:eastAsia="Times New Roman" w:hAnsi="Arial" w:cs="Arial"/>
          <w:bCs/>
          <w:sz w:val="20"/>
          <w:szCs w:val="20"/>
          <w:lang w:val="en-US"/>
        </w:rPr>
        <w:t xml:space="preserve"> 1</w:t>
      </w:r>
      <w:r w:rsidR="00192223" w:rsidRPr="007037BB">
        <w:rPr>
          <w:rFonts w:ascii="Arial" w:eastAsia="Times New Roman" w:hAnsi="Arial" w:cs="Arial"/>
          <w:bCs/>
          <w:sz w:val="20"/>
          <w:szCs w:val="20"/>
          <w:lang w:val="en-US"/>
        </w:rPr>
        <w:t> </w:t>
      </w:r>
      <w:r w:rsidR="00476288" w:rsidRPr="007037BB">
        <w:rPr>
          <w:rFonts w:ascii="Arial" w:eastAsia="Times New Roman" w:hAnsi="Arial" w:cs="Arial"/>
          <w:bCs/>
          <w:sz w:val="20"/>
          <w:szCs w:val="20"/>
          <w:lang w:val="en-US"/>
        </w:rPr>
        <w:t>08</w:t>
      </w:r>
      <w:r w:rsidR="00192223" w:rsidRPr="007037BB">
        <w:rPr>
          <w:rFonts w:ascii="Arial" w:eastAsia="Times New Roman" w:hAnsi="Arial" w:cs="Arial"/>
          <w:bCs/>
          <w:sz w:val="20"/>
          <w:szCs w:val="20"/>
          <w:lang w:val="en-US"/>
        </w:rPr>
        <w:t xml:space="preserve">5 </w:t>
      </w:r>
      <w:r w:rsidR="00476288" w:rsidRPr="007037BB">
        <w:rPr>
          <w:rFonts w:ascii="Arial" w:eastAsia="Times New Roman" w:hAnsi="Arial" w:cs="Arial"/>
          <w:bCs/>
          <w:sz w:val="20"/>
          <w:szCs w:val="20"/>
          <w:lang w:val="en-US"/>
        </w:rPr>
        <w:t xml:space="preserve">sanitation projects </w:t>
      </w:r>
      <w:r w:rsidR="00D915A7" w:rsidRPr="007037BB">
        <w:rPr>
          <w:rFonts w:ascii="Arial" w:eastAsia="Times New Roman" w:hAnsi="Arial" w:cs="Arial"/>
          <w:bCs/>
          <w:sz w:val="20"/>
          <w:szCs w:val="20"/>
          <w:lang w:val="en-US"/>
        </w:rPr>
        <w:t>from a total of 1</w:t>
      </w:r>
      <w:r w:rsidR="00A746BF" w:rsidRPr="007037BB">
        <w:rPr>
          <w:rFonts w:ascii="Arial" w:eastAsia="Times New Roman" w:hAnsi="Arial" w:cs="Arial"/>
          <w:bCs/>
          <w:sz w:val="20"/>
          <w:szCs w:val="20"/>
          <w:lang w:val="en-US"/>
        </w:rPr>
        <w:t> </w:t>
      </w:r>
      <w:r w:rsidR="00D915A7" w:rsidRPr="007037BB">
        <w:rPr>
          <w:rFonts w:ascii="Arial" w:eastAsia="Times New Roman" w:hAnsi="Arial" w:cs="Arial"/>
          <w:bCs/>
          <w:sz w:val="20"/>
          <w:szCs w:val="20"/>
          <w:lang w:val="en-US"/>
        </w:rPr>
        <w:t>08</w:t>
      </w:r>
      <w:r w:rsidR="00A746BF" w:rsidRPr="007037BB">
        <w:rPr>
          <w:rFonts w:ascii="Arial" w:eastAsia="Times New Roman" w:hAnsi="Arial" w:cs="Arial"/>
          <w:bCs/>
          <w:sz w:val="20"/>
          <w:szCs w:val="20"/>
          <w:lang w:val="en-US"/>
        </w:rPr>
        <w:t xml:space="preserve">7 </w:t>
      </w:r>
      <w:r w:rsidR="00192223" w:rsidRPr="007037BB">
        <w:rPr>
          <w:rFonts w:ascii="Arial" w:eastAsia="Times New Roman" w:hAnsi="Arial" w:cs="Arial"/>
          <w:bCs/>
          <w:sz w:val="20"/>
          <w:szCs w:val="20"/>
          <w:lang w:val="en-US"/>
        </w:rPr>
        <w:t>have been completed through the ASIDI programme while t</w:t>
      </w:r>
      <w:r w:rsidR="00476288" w:rsidRPr="007037BB">
        <w:rPr>
          <w:rFonts w:ascii="Arial" w:eastAsia="Times New Roman" w:hAnsi="Arial" w:cs="Arial"/>
          <w:bCs/>
          <w:sz w:val="20"/>
          <w:szCs w:val="20"/>
          <w:lang w:val="en-US"/>
        </w:rPr>
        <w:t xml:space="preserve">he remaining 2 sanitation projects </w:t>
      </w:r>
      <w:r w:rsidR="00192223" w:rsidRPr="007037BB">
        <w:rPr>
          <w:rFonts w:ascii="Arial" w:eastAsia="Times New Roman" w:hAnsi="Arial" w:cs="Arial"/>
          <w:bCs/>
          <w:sz w:val="20"/>
          <w:szCs w:val="20"/>
          <w:lang w:val="en-US"/>
        </w:rPr>
        <w:t>were</w:t>
      </w:r>
      <w:r w:rsidR="00476288" w:rsidRPr="007037BB">
        <w:rPr>
          <w:rFonts w:ascii="Arial" w:eastAsia="Times New Roman" w:hAnsi="Arial" w:cs="Arial"/>
          <w:bCs/>
          <w:sz w:val="20"/>
          <w:szCs w:val="20"/>
          <w:lang w:val="en-US"/>
        </w:rPr>
        <w:t xml:space="preserve"> planned to be completed in the 2023/24 financial year.</w:t>
      </w:r>
      <w:r w:rsidR="00A746BF" w:rsidRPr="007037BB">
        <w:rPr>
          <w:rFonts w:ascii="Arial" w:eastAsia="Times New Roman" w:hAnsi="Arial" w:cs="Arial"/>
          <w:bCs/>
          <w:sz w:val="20"/>
          <w:szCs w:val="20"/>
          <w:lang w:val="en-US"/>
        </w:rPr>
        <w:t xml:space="preserve"> DBE also reported that the SRN 2006 </w:t>
      </w:r>
      <w:r w:rsidR="00A746BF" w:rsidRPr="007037BB">
        <w:rPr>
          <w:rFonts w:ascii="Arial" w:eastAsia="Times New Roman" w:hAnsi="Arial" w:cs="Arial"/>
          <w:bCs/>
          <w:sz w:val="20"/>
          <w:szCs w:val="20"/>
        </w:rPr>
        <w:t>recorded 9 600 schools were dependent on basic pit toilets.</w:t>
      </w:r>
      <w:r w:rsidR="00361BA4" w:rsidRPr="007037BB">
        <w:rPr>
          <w:rFonts w:ascii="Arial" w:eastAsia="Times New Roman" w:hAnsi="Arial" w:cs="Arial"/>
          <w:bCs/>
          <w:sz w:val="20"/>
          <w:szCs w:val="20"/>
        </w:rPr>
        <w:t xml:space="preserve"> </w:t>
      </w:r>
      <w:r w:rsidR="00A746BF" w:rsidRPr="007037BB">
        <w:rPr>
          <w:rFonts w:ascii="Arial" w:eastAsia="Times New Roman" w:hAnsi="Arial" w:cs="Arial"/>
          <w:bCs/>
          <w:sz w:val="20"/>
          <w:szCs w:val="20"/>
          <w:lang w:val="en-GB"/>
        </w:rPr>
        <w:t>The SAFE programme started with 3 898 school</w:t>
      </w:r>
      <w:r w:rsidR="00361BA4" w:rsidRPr="007037BB">
        <w:rPr>
          <w:rFonts w:ascii="Arial" w:eastAsia="Times New Roman" w:hAnsi="Arial" w:cs="Arial"/>
          <w:bCs/>
          <w:sz w:val="20"/>
          <w:szCs w:val="20"/>
          <w:lang w:val="en-GB"/>
        </w:rPr>
        <w:t xml:space="preserve">s and from the </w:t>
      </w:r>
      <w:r w:rsidR="00A746BF" w:rsidRPr="007037BB">
        <w:rPr>
          <w:rFonts w:ascii="Arial" w:eastAsia="Times New Roman" w:hAnsi="Arial" w:cs="Arial"/>
          <w:bCs/>
          <w:sz w:val="20"/>
          <w:szCs w:val="20"/>
          <w:lang w:val="en-GB"/>
        </w:rPr>
        <w:t xml:space="preserve">3 390 schools </w:t>
      </w:r>
      <w:r w:rsidR="00361BA4" w:rsidRPr="007037BB">
        <w:rPr>
          <w:rFonts w:ascii="Arial" w:eastAsia="Times New Roman" w:hAnsi="Arial" w:cs="Arial"/>
          <w:bCs/>
          <w:sz w:val="20"/>
          <w:szCs w:val="20"/>
          <w:lang w:val="en-GB"/>
        </w:rPr>
        <w:t xml:space="preserve">currently </w:t>
      </w:r>
      <w:r w:rsidR="00A746BF" w:rsidRPr="007037BB">
        <w:rPr>
          <w:rFonts w:ascii="Arial" w:eastAsia="Times New Roman" w:hAnsi="Arial" w:cs="Arial"/>
          <w:bCs/>
          <w:sz w:val="20"/>
          <w:szCs w:val="20"/>
          <w:lang w:val="en-GB"/>
        </w:rPr>
        <w:t xml:space="preserve">on </w:t>
      </w:r>
      <w:r w:rsidR="00361BA4" w:rsidRPr="007037BB">
        <w:rPr>
          <w:rFonts w:ascii="Arial" w:eastAsia="Times New Roman" w:hAnsi="Arial" w:cs="Arial"/>
          <w:bCs/>
          <w:sz w:val="20"/>
          <w:szCs w:val="20"/>
          <w:lang w:val="en-GB"/>
        </w:rPr>
        <w:t>the programme</w:t>
      </w:r>
      <w:r w:rsidR="00A746BF" w:rsidRPr="007037BB">
        <w:rPr>
          <w:rFonts w:ascii="Arial" w:eastAsia="Times New Roman" w:hAnsi="Arial" w:cs="Arial"/>
          <w:bCs/>
          <w:sz w:val="20"/>
          <w:szCs w:val="20"/>
          <w:lang w:val="en-GB"/>
        </w:rPr>
        <w:t>, 2663</w:t>
      </w:r>
      <w:r w:rsidR="00361BA4" w:rsidRPr="007037BB">
        <w:rPr>
          <w:rFonts w:ascii="Arial" w:eastAsia="Times New Roman" w:hAnsi="Arial" w:cs="Arial"/>
          <w:bCs/>
          <w:sz w:val="20"/>
          <w:szCs w:val="20"/>
          <w:lang w:val="en-GB"/>
        </w:rPr>
        <w:t xml:space="preserve"> </w:t>
      </w:r>
      <w:r w:rsidR="00A746BF" w:rsidRPr="007037BB">
        <w:rPr>
          <w:rFonts w:ascii="Arial" w:eastAsia="Times New Roman" w:hAnsi="Arial" w:cs="Arial"/>
          <w:bCs/>
          <w:sz w:val="20"/>
          <w:szCs w:val="20"/>
          <w:lang w:val="en-GB"/>
        </w:rPr>
        <w:t xml:space="preserve">have been completed. The remaining 727 sanitation projects </w:t>
      </w:r>
      <w:r w:rsidR="00361BA4" w:rsidRPr="007037BB">
        <w:rPr>
          <w:rFonts w:ascii="Arial" w:eastAsia="Times New Roman" w:hAnsi="Arial" w:cs="Arial"/>
          <w:bCs/>
          <w:sz w:val="20"/>
          <w:szCs w:val="20"/>
          <w:lang w:val="en-GB"/>
        </w:rPr>
        <w:t>were</w:t>
      </w:r>
      <w:r w:rsidR="00A746BF" w:rsidRPr="007037BB">
        <w:rPr>
          <w:rFonts w:ascii="Arial" w:eastAsia="Times New Roman" w:hAnsi="Arial" w:cs="Arial"/>
          <w:bCs/>
          <w:sz w:val="20"/>
          <w:szCs w:val="20"/>
          <w:lang w:val="en-GB"/>
        </w:rPr>
        <w:t xml:space="preserve"> scheduled for completion in 2023/24.</w:t>
      </w:r>
    </w:p>
    <w:p w:rsidR="00AF5041" w:rsidRPr="007037BB" w:rsidRDefault="00AF5041" w:rsidP="007037BB">
      <w:pPr>
        <w:spacing w:after="0" w:line="240" w:lineRule="auto"/>
        <w:rPr>
          <w:rFonts w:ascii="Arial" w:eastAsia="Times New Roman" w:hAnsi="Arial" w:cs="Arial"/>
          <w:sz w:val="20"/>
          <w:szCs w:val="20"/>
        </w:rPr>
      </w:pPr>
    </w:p>
    <w:p w:rsidR="00361BA4" w:rsidRPr="007037BB" w:rsidRDefault="009C013D"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Regarding</w:t>
      </w:r>
      <w:r w:rsidR="00361BA4" w:rsidRPr="007037BB">
        <w:rPr>
          <w:rFonts w:ascii="Arial" w:eastAsia="Times New Roman" w:hAnsi="Arial" w:cs="Arial"/>
          <w:sz w:val="20"/>
          <w:szCs w:val="20"/>
        </w:rPr>
        <w:t xml:space="preserve"> the preliminary spending </w:t>
      </w:r>
      <w:r w:rsidRPr="007037BB">
        <w:rPr>
          <w:rFonts w:ascii="Arial" w:eastAsia="Times New Roman" w:hAnsi="Arial" w:cs="Arial"/>
          <w:sz w:val="20"/>
          <w:szCs w:val="20"/>
        </w:rPr>
        <w:t>outcomes</w:t>
      </w:r>
      <w:r w:rsidR="00361BA4" w:rsidRPr="007037BB">
        <w:rPr>
          <w:rFonts w:ascii="Arial" w:eastAsia="Times New Roman" w:hAnsi="Arial" w:cs="Arial"/>
          <w:sz w:val="20"/>
          <w:szCs w:val="20"/>
        </w:rPr>
        <w:t xml:space="preserve"> for the 2022/23 financial year, DBE reported that is has spent R29.270 billion or 98.6 per cent of the total adjusted appropriation of R29.693 billion. This translated into a R422.349 million or 1.4 per cent under spending as at the end of the financial year. </w:t>
      </w:r>
    </w:p>
    <w:p w:rsidR="00FC494F" w:rsidRPr="007037BB" w:rsidRDefault="00FC494F" w:rsidP="007037BB">
      <w:pPr>
        <w:spacing w:after="0" w:line="240" w:lineRule="auto"/>
        <w:rPr>
          <w:rFonts w:ascii="Arial" w:eastAsia="Times New Roman" w:hAnsi="Arial" w:cs="Arial"/>
          <w:sz w:val="20"/>
          <w:szCs w:val="20"/>
        </w:rPr>
      </w:pPr>
    </w:p>
    <w:p w:rsidR="009F4E4B" w:rsidRPr="007037BB" w:rsidRDefault="003837CA" w:rsidP="007037BB">
      <w:pPr>
        <w:pStyle w:val="ListParagraph"/>
        <w:numPr>
          <w:ilvl w:val="1"/>
          <w:numId w:val="3"/>
        </w:numPr>
        <w:spacing w:after="0" w:line="240" w:lineRule="auto"/>
        <w:ind w:left="709" w:hanging="709"/>
        <w:rPr>
          <w:rFonts w:ascii="Arial" w:eastAsia="Times New Roman" w:hAnsi="Arial" w:cs="Arial"/>
          <w:b/>
          <w:sz w:val="20"/>
          <w:szCs w:val="20"/>
        </w:rPr>
      </w:pPr>
      <w:r w:rsidRPr="007037BB">
        <w:rPr>
          <w:rFonts w:ascii="Arial" w:eastAsia="Times New Roman" w:hAnsi="Arial" w:cs="Arial"/>
          <w:b/>
          <w:sz w:val="20"/>
          <w:szCs w:val="20"/>
        </w:rPr>
        <w:t>Department of Communications and Digital Technologies</w:t>
      </w:r>
    </w:p>
    <w:p w:rsidR="006C3585" w:rsidRPr="007037BB" w:rsidRDefault="006C3585" w:rsidP="007037BB">
      <w:pPr>
        <w:spacing w:after="0" w:line="240" w:lineRule="auto"/>
        <w:rPr>
          <w:rFonts w:ascii="Arial" w:eastAsia="Times New Roman" w:hAnsi="Arial" w:cs="Arial"/>
          <w:bCs/>
          <w:sz w:val="20"/>
          <w:szCs w:val="20"/>
          <w:lang w:val="en-US"/>
        </w:rPr>
      </w:pPr>
    </w:p>
    <w:p w:rsidR="009F4E4B" w:rsidRPr="007037BB" w:rsidRDefault="00F876C7" w:rsidP="007037BB">
      <w:p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lang w:val="en-US"/>
        </w:rPr>
        <w:t>The Department of Communications and Digital Technologies (DCDT) provided an overview of the</w:t>
      </w:r>
      <w:r w:rsidR="009F4E4B" w:rsidRPr="007037BB">
        <w:rPr>
          <w:rFonts w:ascii="Arial" w:eastAsia="Times New Roman" w:hAnsi="Arial" w:cs="Arial"/>
          <w:bCs/>
          <w:sz w:val="20"/>
          <w:szCs w:val="20"/>
          <w:lang w:val="en-US"/>
        </w:rPr>
        <w:t xml:space="preserve"> spending plans for the </w:t>
      </w:r>
      <w:r w:rsidRPr="007037BB">
        <w:rPr>
          <w:rFonts w:ascii="Arial" w:eastAsia="Times New Roman" w:hAnsi="Arial" w:cs="Arial"/>
          <w:bCs/>
          <w:sz w:val="20"/>
          <w:szCs w:val="20"/>
          <w:lang w:val="en-US"/>
        </w:rPr>
        <w:t xml:space="preserve">proposed budget allocation of R3.512 billion for the </w:t>
      </w:r>
      <w:r w:rsidR="009F4E4B" w:rsidRPr="007037BB">
        <w:rPr>
          <w:rFonts w:ascii="Arial" w:eastAsia="Times New Roman" w:hAnsi="Arial" w:cs="Arial"/>
          <w:bCs/>
          <w:sz w:val="20"/>
          <w:szCs w:val="20"/>
          <w:lang w:val="en-US"/>
        </w:rPr>
        <w:t xml:space="preserve">2023/24 </w:t>
      </w:r>
      <w:r w:rsidRPr="007037BB">
        <w:rPr>
          <w:rFonts w:ascii="Arial" w:eastAsia="Times New Roman" w:hAnsi="Arial" w:cs="Arial"/>
          <w:bCs/>
          <w:sz w:val="20"/>
          <w:szCs w:val="20"/>
          <w:lang w:val="en-US"/>
        </w:rPr>
        <w:t xml:space="preserve">financial year. DCDT </w:t>
      </w:r>
      <w:r w:rsidR="009F4E4B" w:rsidRPr="007037BB">
        <w:rPr>
          <w:rFonts w:ascii="Arial" w:eastAsia="Times New Roman" w:hAnsi="Arial" w:cs="Arial"/>
          <w:bCs/>
          <w:sz w:val="20"/>
          <w:szCs w:val="20"/>
          <w:lang w:val="en-US"/>
        </w:rPr>
        <w:t xml:space="preserve">reported that it will utilize </w:t>
      </w:r>
      <w:r w:rsidRPr="007037BB">
        <w:rPr>
          <w:rFonts w:ascii="Arial" w:eastAsia="Times New Roman" w:hAnsi="Arial" w:cs="Arial"/>
          <w:bCs/>
          <w:sz w:val="20"/>
          <w:szCs w:val="20"/>
          <w:lang w:val="en-US"/>
        </w:rPr>
        <w:t>R</w:t>
      </w:r>
      <w:r w:rsidR="009F4E4B" w:rsidRPr="007037BB">
        <w:rPr>
          <w:rFonts w:ascii="Arial" w:eastAsia="Times New Roman" w:hAnsi="Arial" w:cs="Arial"/>
          <w:bCs/>
          <w:sz w:val="20"/>
          <w:szCs w:val="20"/>
          <w:lang w:val="en-US"/>
        </w:rPr>
        <w:t>302</w:t>
      </w:r>
      <w:r w:rsidRPr="007037BB">
        <w:rPr>
          <w:rFonts w:ascii="Arial" w:eastAsia="Times New Roman" w:hAnsi="Arial" w:cs="Arial"/>
          <w:bCs/>
          <w:sz w:val="20"/>
          <w:szCs w:val="20"/>
          <w:lang w:val="en-US"/>
        </w:rPr>
        <w:t>.</w:t>
      </w:r>
      <w:r w:rsidR="009F4E4B" w:rsidRPr="007037BB">
        <w:rPr>
          <w:rFonts w:ascii="Arial" w:eastAsia="Times New Roman" w:hAnsi="Arial" w:cs="Arial"/>
          <w:bCs/>
          <w:sz w:val="20"/>
          <w:szCs w:val="20"/>
          <w:lang w:val="en-US"/>
        </w:rPr>
        <w:t xml:space="preserve">042 </w:t>
      </w:r>
      <w:r w:rsidRPr="007037BB">
        <w:rPr>
          <w:rFonts w:ascii="Arial" w:eastAsia="Times New Roman" w:hAnsi="Arial" w:cs="Arial"/>
          <w:bCs/>
          <w:sz w:val="20"/>
          <w:szCs w:val="20"/>
          <w:lang w:val="en-US"/>
        </w:rPr>
        <w:t xml:space="preserve">million towards Compensation of </w:t>
      </w:r>
      <w:r w:rsidR="009F4E4B" w:rsidRPr="007037BB">
        <w:rPr>
          <w:rFonts w:ascii="Arial" w:eastAsia="Times New Roman" w:hAnsi="Arial" w:cs="Arial"/>
          <w:bCs/>
          <w:sz w:val="20"/>
          <w:szCs w:val="20"/>
          <w:lang w:val="en-US"/>
        </w:rPr>
        <w:t>Employee</w:t>
      </w:r>
      <w:r w:rsidRPr="007037BB">
        <w:rPr>
          <w:rFonts w:ascii="Arial" w:eastAsia="Times New Roman" w:hAnsi="Arial" w:cs="Arial"/>
          <w:bCs/>
          <w:sz w:val="20"/>
          <w:szCs w:val="20"/>
          <w:lang w:val="en-US"/>
        </w:rPr>
        <w:t>s;</w:t>
      </w:r>
      <w:r w:rsidR="009F4E4B" w:rsidRPr="007037BB">
        <w:rPr>
          <w:rFonts w:ascii="Arial" w:eastAsia="Times New Roman" w:hAnsi="Arial" w:cs="Arial"/>
          <w:bCs/>
          <w:sz w:val="20"/>
          <w:szCs w:val="20"/>
          <w:lang w:val="en-US"/>
        </w:rPr>
        <w:t xml:space="preserve"> R1</w:t>
      </w:r>
      <w:r w:rsidRPr="007037BB">
        <w:rPr>
          <w:rFonts w:ascii="Arial" w:eastAsia="Times New Roman" w:hAnsi="Arial" w:cs="Arial"/>
          <w:bCs/>
          <w:sz w:val="20"/>
          <w:szCs w:val="20"/>
          <w:lang w:val="en-US"/>
        </w:rPr>
        <w:t>.</w:t>
      </w:r>
      <w:r w:rsidR="009F4E4B" w:rsidRPr="007037BB">
        <w:rPr>
          <w:rFonts w:ascii="Arial" w:eastAsia="Times New Roman" w:hAnsi="Arial" w:cs="Arial"/>
          <w:bCs/>
          <w:sz w:val="20"/>
          <w:szCs w:val="20"/>
          <w:lang w:val="en-US"/>
        </w:rPr>
        <w:t>545</w:t>
      </w:r>
      <w:r w:rsidRPr="007037BB">
        <w:rPr>
          <w:rFonts w:ascii="Arial" w:eastAsia="Times New Roman" w:hAnsi="Arial" w:cs="Arial"/>
          <w:bCs/>
          <w:sz w:val="20"/>
          <w:szCs w:val="20"/>
          <w:lang w:val="en-US"/>
        </w:rPr>
        <w:t xml:space="preserve"> billion</w:t>
      </w:r>
      <w:r w:rsidR="009F4E4B" w:rsidRPr="007037BB">
        <w:rPr>
          <w:rFonts w:ascii="Arial" w:eastAsia="Times New Roman" w:hAnsi="Arial" w:cs="Arial"/>
          <w:bCs/>
          <w:sz w:val="20"/>
          <w:szCs w:val="20"/>
          <w:lang w:val="en-US"/>
        </w:rPr>
        <w:t xml:space="preserve"> for Goods and Services; R1</w:t>
      </w:r>
      <w:r w:rsidRPr="007037BB">
        <w:rPr>
          <w:rFonts w:ascii="Arial" w:eastAsia="Times New Roman" w:hAnsi="Arial" w:cs="Arial"/>
          <w:bCs/>
          <w:sz w:val="20"/>
          <w:szCs w:val="20"/>
          <w:lang w:val="en-US"/>
        </w:rPr>
        <w:t>.</w:t>
      </w:r>
      <w:r w:rsidR="009F4E4B" w:rsidRPr="007037BB">
        <w:rPr>
          <w:rFonts w:ascii="Arial" w:eastAsia="Times New Roman" w:hAnsi="Arial" w:cs="Arial"/>
          <w:bCs/>
          <w:sz w:val="20"/>
          <w:szCs w:val="20"/>
          <w:lang w:val="en-US"/>
        </w:rPr>
        <w:t xml:space="preserve">653 </w:t>
      </w:r>
      <w:r w:rsidRPr="007037BB">
        <w:rPr>
          <w:rFonts w:ascii="Arial" w:eastAsia="Times New Roman" w:hAnsi="Arial" w:cs="Arial"/>
          <w:bCs/>
          <w:sz w:val="20"/>
          <w:szCs w:val="20"/>
          <w:lang w:val="en-US"/>
        </w:rPr>
        <w:t>towards</w:t>
      </w:r>
      <w:r w:rsidR="009F4E4B" w:rsidRPr="007037BB">
        <w:rPr>
          <w:rFonts w:ascii="Arial" w:eastAsia="Times New Roman" w:hAnsi="Arial" w:cs="Arial"/>
          <w:bCs/>
          <w:sz w:val="20"/>
          <w:szCs w:val="20"/>
          <w:lang w:val="en-US"/>
        </w:rPr>
        <w:t xml:space="preserve"> Transfers and Subsidies</w:t>
      </w:r>
      <w:r w:rsidRPr="007037BB">
        <w:rPr>
          <w:rFonts w:ascii="Arial" w:eastAsia="Times New Roman" w:hAnsi="Arial" w:cs="Arial"/>
          <w:bCs/>
          <w:sz w:val="20"/>
          <w:szCs w:val="20"/>
          <w:lang w:val="en-US"/>
        </w:rPr>
        <w:t>;</w:t>
      </w:r>
      <w:r w:rsidR="009F4E4B" w:rsidRPr="007037BB">
        <w:rPr>
          <w:rFonts w:ascii="Arial" w:eastAsia="Times New Roman" w:hAnsi="Arial" w:cs="Arial"/>
          <w:bCs/>
          <w:sz w:val="20"/>
          <w:szCs w:val="20"/>
          <w:lang w:val="en-US"/>
        </w:rPr>
        <w:t xml:space="preserve"> and R10</w:t>
      </w:r>
      <w:r w:rsidRPr="007037BB">
        <w:rPr>
          <w:rFonts w:ascii="Arial" w:eastAsia="Times New Roman" w:hAnsi="Arial" w:cs="Arial"/>
          <w:bCs/>
          <w:sz w:val="20"/>
          <w:szCs w:val="20"/>
          <w:lang w:val="en-US"/>
        </w:rPr>
        <w:t>.</w:t>
      </w:r>
      <w:r w:rsidR="009F4E4B" w:rsidRPr="007037BB">
        <w:rPr>
          <w:rFonts w:ascii="Arial" w:eastAsia="Times New Roman" w:hAnsi="Arial" w:cs="Arial"/>
          <w:bCs/>
          <w:sz w:val="20"/>
          <w:szCs w:val="20"/>
          <w:lang w:val="en-US"/>
        </w:rPr>
        <w:t xml:space="preserve">882 </w:t>
      </w:r>
      <w:r w:rsidRPr="007037BB">
        <w:rPr>
          <w:rFonts w:ascii="Arial" w:eastAsia="Times New Roman" w:hAnsi="Arial" w:cs="Arial"/>
          <w:bCs/>
          <w:sz w:val="20"/>
          <w:szCs w:val="20"/>
          <w:lang w:val="en-US"/>
        </w:rPr>
        <w:t xml:space="preserve">million will be allocated towards </w:t>
      </w:r>
      <w:r w:rsidR="009F4E4B" w:rsidRPr="007037BB">
        <w:rPr>
          <w:rFonts w:ascii="Arial" w:eastAsia="Times New Roman" w:hAnsi="Arial" w:cs="Arial"/>
          <w:bCs/>
          <w:sz w:val="20"/>
          <w:szCs w:val="20"/>
          <w:lang w:val="en-US"/>
        </w:rPr>
        <w:t xml:space="preserve">for Payment of Capital Assets. </w:t>
      </w:r>
      <w:r w:rsidRPr="007037BB">
        <w:rPr>
          <w:rFonts w:ascii="Arial" w:eastAsia="Times New Roman" w:hAnsi="Arial" w:cs="Arial"/>
          <w:bCs/>
          <w:sz w:val="20"/>
          <w:szCs w:val="20"/>
          <w:lang w:val="en-US"/>
        </w:rPr>
        <w:t>DCDT</w:t>
      </w:r>
      <w:r w:rsidR="009F4E4B" w:rsidRPr="007037BB">
        <w:rPr>
          <w:rFonts w:ascii="Arial" w:eastAsia="Times New Roman" w:hAnsi="Arial" w:cs="Arial"/>
          <w:bCs/>
          <w:sz w:val="20"/>
          <w:szCs w:val="20"/>
          <w:lang w:val="en-US"/>
        </w:rPr>
        <w:t xml:space="preserve"> reported how each </w:t>
      </w:r>
      <w:r w:rsidR="00DF721F" w:rsidRPr="007037BB">
        <w:rPr>
          <w:rFonts w:ascii="Arial" w:eastAsia="Times New Roman" w:hAnsi="Arial" w:cs="Arial"/>
          <w:bCs/>
          <w:sz w:val="20"/>
          <w:szCs w:val="20"/>
          <w:lang w:val="en-US"/>
        </w:rPr>
        <w:t xml:space="preserve">of </w:t>
      </w:r>
      <w:r w:rsidRPr="007037BB">
        <w:rPr>
          <w:rFonts w:ascii="Arial" w:eastAsia="Times New Roman" w:hAnsi="Arial" w:cs="Arial"/>
          <w:bCs/>
          <w:sz w:val="20"/>
          <w:szCs w:val="20"/>
          <w:lang w:val="en-US"/>
        </w:rPr>
        <w:t>its</w:t>
      </w:r>
      <w:r w:rsidR="009F4E4B" w:rsidRPr="007037BB">
        <w:rPr>
          <w:rFonts w:ascii="Arial" w:eastAsia="Times New Roman" w:hAnsi="Arial" w:cs="Arial"/>
          <w:bCs/>
          <w:sz w:val="20"/>
          <w:szCs w:val="20"/>
          <w:lang w:val="en-US"/>
        </w:rPr>
        <w:t xml:space="preserve"> programmes will be supported </w:t>
      </w:r>
      <w:r w:rsidRPr="007037BB">
        <w:rPr>
          <w:rFonts w:ascii="Arial" w:eastAsia="Times New Roman" w:hAnsi="Arial" w:cs="Arial"/>
          <w:bCs/>
          <w:sz w:val="20"/>
          <w:szCs w:val="20"/>
          <w:lang w:val="en-US"/>
        </w:rPr>
        <w:t>through the</w:t>
      </w:r>
      <w:r w:rsidR="009F4E4B" w:rsidRPr="007037BB">
        <w:rPr>
          <w:rFonts w:ascii="Arial" w:eastAsia="Times New Roman" w:hAnsi="Arial" w:cs="Arial"/>
          <w:bCs/>
          <w:sz w:val="20"/>
          <w:szCs w:val="20"/>
          <w:lang w:val="en-US"/>
        </w:rPr>
        <w:t xml:space="preserve"> specific</w:t>
      </w:r>
      <w:r w:rsidRPr="007037BB">
        <w:rPr>
          <w:rFonts w:ascii="Arial" w:eastAsia="Times New Roman" w:hAnsi="Arial" w:cs="Arial"/>
          <w:bCs/>
          <w:sz w:val="20"/>
          <w:szCs w:val="20"/>
          <w:lang w:val="en-US"/>
        </w:rPr>
        <w:t xml:space="preserve"> budget</w:t>
      </w:r>
      <w:r w:rsidR="009F4E4B" w:rsidRPr="007037BB">
        <w:rPr>
          <w:rFonts w:ascii="Arial" w:eastAsia="Times New Roman" w:hAnsi="Arial" w:cs="Arial"/>
          <w:bCs/>
          <w:sz w:val="20"/>
          <w:szCs w:val="20"/>
          <w:lang w:val="en-US"/>
        </w:rPr>
        <w:t xml:space="preserve"> allocation</w:t>
      </w:r>
      <w:r w:rsidRPr="007037BB">
        <w:rPr>
          <w:rFonts w:ascii="Arial" w:eastAsia="Times New Roman" w:hAnsi="Arial" w:cs="Arial"/>
          <w:bCs/>
          <w:sz w:val="20"/>
          <w:szCs w:val="20"/>
          <w:lang w:val="en-US"/>
        </w:rPr>
        <w:t>s. It</w:t>
      </w:r>
      <w:r w:rsidR="009F4E4B" w:rsidRPr="007037BB">
        <w:rPr>
          <w:rFonts w:ascii="Arial" w:eastAsia="Times New Roman" w:hAnsi="Arial" w:cs="Arial"/>
          <w:bCs/>
          <w:sz w:val="20"/>
          <w:szCs w:val="20"/>
          <w:lang w:val="en-US"/>
        </w:rPr>
        <w:t xml:space="preserve"> highlighted that</w:t>
      </w:r>
      <w:r w:rsidRPr="007037BB">
        <w:rPr>
          <w:rFonts w:ascii="Arial" w:eastAsia="Times New Roman" w:hAnsi="Arial" w:cs="Arial"/>
          <w:bCs/>
          <w:sz w:val="20"/>
          <w:szCs w:val="20"/>
          <w:lang w:val="en-US"/>
        </w:rPr>
        <w:t>,</w:t>
      </w:r>
      <w:r w:rsidR="009F4E4B" w:rsidRPr="007037BB">
        <w:rPr>
          <w:rFonts w:ascii="Arial" w:eastAsia="Times New Roman" w:hAnsi="Arial" w:cs="Arial"/>
          <w:bCs/>
          <w:sz w:val="20"/>
          <w:szCs w:val="20"/>
          <w:lang w:val="en-US"/>
        </w:rPr>
        <w:t xml:space="preserve"> among projected key spending areas of focus, attention will be paid on the achiev</w:t>
      </w:r>
      <w:r w:rsidRPr="007037BB">
        <w:rPr>
          <w:rFonts w:ascii="Arial" w:eastAsia="Times New Roman" w:hAnsi="Arial" w:cs="Arial"/>
          <w:bCs/>
          <w:sz w:val="20"/>
          <w:szCs w:val="20"/>
          <w:lang w:val="en-US"/>
        </w:rPr>
        <w:t>ing</w:t>
      </w:r>
      <w:r w:rsidR="009F4E4B" w:rsidRPr="007037BB">
        <w:rPr>
          <w:rFonts w:ascii="Arial" w:eastAsia="Times New Roman" w:hAnsi="Arial" w:cs="Arial"/>
          <w:bCs/>
          <w:sz w:val="20"/>
          <w:szCs w:val="20"/>
          <w:lang w:val="en-US"/>
        </w:rPr>
        <w:t xml:space="preserve"> 100</w:t>
      </w:r>
      <w:r w:rsidRPr="007037BB">
        <w:rPr>
          <w:rFonts w:ascii="Arial" w:eastAsia="Times New Roman" w:hAnsi="Arial" w:cs="Arial"/>
          <w:bCs/>
          <w:sz w:val="20"/>
          <w:szCs w:val="20"/>
          <w:lang w:val="en-US"/>
        </w:rPr>
        <w:t xml:space="preserve"> per cent</w:t>
      </w:r>
      <w:r w:rsidR="009F4E4B" w:rsidRPr="007037BB">
        <w:rPr>
          <w:rFonts w:ascii="Arial" w:eastAsia="Times New Roman" w:hAnsi="Arial" w:cs="Arial"/>
          <w:bCs/>
          <w:sz w:val="20"/>
          <w:szCs w:val="20"/>
          <w:lang w:val="en-US"/>
        </w:rPr>
        <w:t xml:space="preserve"> on the South Africa Connect Phase 2</w:t>
      </w:r>
      <w:r w:rsidRPr="007037BB">
        <w:rPr>
          <w:rFonts w:ascii="Arial" w:eastAsia="Times New Roman" w:hAnsi="Arial" w:cs="Arial"/>
          <w:bCs/>
          <w:sz w:val="20"/>
          <w:szCs w:val="20"/>
          <w:lang w:val="en-US"/>
        </w:rPr>
        <w:t>,</w:t>
      </w:r>
      <w:r w:rsidR="009F4E4B" w:rsidRPr="007037BB">
        <w:rPr>
          <w:rFonts w:ascii="Arial" w:eastAsia="Times New Roman" w:hAnsi="Arial" w:cs="Arial"/>
          <w:bCs/>
          <w:sz w:val="20"/>
          <w:szCs w:val="20"/>
          <w:lang w:val="en-US"/>
        </w:rPr>
        <w:t xml:space="preserve"> implementation of the Broadband Access Fund</w:t>
      </w:r>
      <w:r w:rsidRPr="007037BB">
        <w:rPr>
          <w:rFonts w:ascii="Arial" w:eastAsia="Times New Roman" w:hAnsi="Arial" w:cs="Arial"/>
          <w:bCs/>
          <w:sz w:val="20"/>
          <w:szCs w:val="20"/>
          <w:lang w:val="en-US"/>
        </w:rPr>
        <w:t>,</w:t>
      </w:r>
      <w:r w:rsidR="009F4E4B" w:rsidRPr="007037BB">
        <w:rPr>
          <w:rFonts w:ascii="Arial" w:eastAsia="Times New Roman" w:hAnsi="Arial" w:cs="Arial"/>
          <w:bCs/>
          <w:sz w:val="20"/>
          <w:szCs w:val="20"/>
          <w:lang w:val="en-US"/>
        </w:rPr>
        <w:t xml:space="preserve"> and the Digitization Programme.</w:t>
      </w:r>
      <w:r w:rsidR="006C3585" w:rsidRPr="007037BB">
        <w:rPr>
          <w:rFonts w:ascii="Arial" w:eastAsia="Times New Roman" w:hAnsi="Arial" w:cs="Arial"/>
          <w:bCs/>
          <w:sz w:val="20"/>
          <w:szCs w:val="20"/>
          <w:lang w:val="en-US"/>
        </w:rPr>
        <w:t xml:space="preserve"> DCDT gave an overview of possible </w:t>
      </w:r>
      <w:r w:rsidR="009F4E4B" w:rsidRPr="007037BB">
        <w:rPr>
          <w:rFonts w:ascii="Arial" w:eastAsia="Times New Roman" w:hAnsi="Arial" w:cs="Arial"/>
          <w:bCs/>
          <w:sz w:val="20"/>
          <w:szCs w:val="20"/>
          <w:lang w:val="en-US"/>
        </w:rPr>
        <w:t xml:space="preserve">impact of the budget </w:t>
      </w:r>
      <w:r w:rsidR="006C3585" w:rsidRPr="007037BB">
        <w:rPr>
          <w:rFonts w:ascii="Arial" w:eastAsia="Times New Roman" w:hAnsi="Arial" w:cs="Arial"/>
          <w:bCs/>
          <w:sz w:val="20"/>
          <w:szCs w:val="20"/>
          <w:lang w:val="en-US"/>
        </w:rPr>
        <w:t>allocation</w:t>
      </w:r>
      <w:r w:rsidR="009F4E4B" w:rsidRPr="007037BB">
        <w:rPr>
          <w:rFonts w:ascii="Arial" w:eastAsia="Times New Roman" w:hAnsi="Arial" w:cs="Arial"/>
          <w:bCs/>
          <w:sz w:val="20"/>
          <w:szCs w:val="20"/>
          <w:lang w:val="en-US"/>
        </w:rPr>
        <w:t xml:space="preserve"> on service </w:t>
      </w:r>
      <w:r w:rsidR="006C3585" w:rsidRPr="007037BB">
        <w:rPr>
          <w:rFonts w:ascii="Arial" w:eastAsia="Times New Roman" w:hAnsi="Arial" w:cs="Arial"/>
          <w:bCs/>
          <w:sz w:val="20"/>
          <w:szCs w:val="20"/>
          <w:lang w:val="en-US"/>
        </w:rPr>
        <w:t xml:space="preserve">delivery and emphasized that </w:t>
      </w:r>
      <w:r w:rsidR="009F4E4B" w:rsidRPr="007037BB">
        <w:rPr>
          <w:rFonts w:ascii="Arial" w:eastAsia="Times New Roman" w:hAnsi="Arial" w:cs="Arial"/>
          <w:bCs/>
          <w:sz w:val="20"/>
          <w:szCs w:val="20"/>
          <w:lang w:val="en-US"/>
        </w:rPr>
        <w:t xml:space="preserve">it will not be able to successfully </w:t>
      </w:r>
      <w:r w:rsidR="006C3585" w:rsidRPr="007037BB">
        <w:rPr>
          <w:rFonts w:ascii="Arial" w:eastAsia="Times New Roman" w:hAnsi="Arial" w:cs="Arial"/>
          <w:bCs/>
          <w:sz w:val="20"/>
          <w:szCs w:val="20"/>
          <w:lang w:val="en-US"/>
        </w:rPr>
        <w:t>implement the</w:t>
      </w:r>
      <w:r w:rsidR="009F4E4B" w:rsidRPr="007037BB">
        <w:rPr>
          <w:rFonts w:ascii="Arial" w:eastAsia="Times New Roman" w:hAnsi="Arial" w:cs="Arial"/>
          <w:bCs/>
          <w:sz w:val="20"/>
          <w:szCs w:val="20"/>
          <w:lang w:val="en-US"/>
        </w:rPr>
        <w:t xml:space="preserve"> recommendations of the Presidential Commission for the Fourth Industrial Revolution (4IR)</w:t>
      </w:r>
      <w:r w:rsidR="006C3585" w:rsidRPr="007037BB">
        <w:rPr>
          <w:rFonts w:ascii="Arial" w:eastAsia="Times New Roman" w:hAnsi="Arial" w:cs="Arial"/>
          <w:bCs/>
          <w:sz w:val="20"/>
          <w:szCs w:val="20"/>
          <w:lang w:val="en-US"/>
        </w:rPr>
        <w:t>, among others</w:t>
      </w:r>
      <w:r w:rsidR="009F4E4B" w:rsidRPr="007037BB">
        <w:rPr>
          <w:rFonts w:ascii="Arial" w:eastAsia="Times New Roman" w:hAnsi="Arial" w:cs="Arial"/>
          <w:bCs/>
          <w:sz w:val="20"/>
          <w:szCs w:val="20"/>
          <w:lang w:val="en-US"/>
        </w:rPr>
        <w:t>. Furthermore, the Department reported that the budget cut will not enable it to bridge the digital divide.</w:t>
      </w:r>
    </w:p>
    <w:p w:rsidR="009F4E4B" w:rsidRPr="007037BB" w:rsidRDefault="009F4E4B" w:rsidP="007037BB">
      <w:pPr>
        <w:spacing w:after="0" w:line="240" w:lineRule="auto"/>
        <w:rPr>
          <w:rFonts w:ascii="Arial" w:eastAsia="Times New Roman" w:hAnsi="Arial" w:cs="Arial"/>
          <w:b/>
          <w:sz w:val="20"/>
          <w:szCs w:val="20"/>
          <w:lang w:val="en-US"/>
        </w:rPr>
      </w:pPr>
    </w:p>
    <w:p w:rsidR="006C3585" w:rsidRPr="007037BB" w:rsidRDefault="009C013D" w:rsidP="007037BB">
      <w:p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lang w:val="en-US"/>
        </w:rPr>
        <w:t>Regarding</w:t>
      </w:r>
      <w:r w:rsidR="006C3585" w:rsidRPr="007037BB">
        <w:rPr>
          <w:rFonts w:ascii="Arial" w:eastAsia="Times New Roman" w:hAnsi="Arial" w:cs="Arial"/>
          <w:bCs/>
          <w:sz w:val="20"/>
          <w:szCs w:val="20"/>
          <w:lang w:val="en-US"/>
        </w:rPr>
        <w:t xml:space="preserve"> the preliminary spending outcomes, DCDT reported that as at the end of the 2022/23 financial year, an adjusted budget of R5.327 billion was allocated from which a total of R5.218 billion was spent. This resulted in an under expenditure of R108.920 million at the end of 2022/23. DCDT reported that it has introduced Budget Advisory Committee to monitor spending to avoid recurrent underspending. </w:t>
      </w:r>
    </w:p>
    <w:p w:rsidR="006C3585" w:rsidRPr="007037BB" w:rsidRDefault="006C3585" w:rsidP="007037BB">
      <w:pPr>
        <w:spacing w:after="0" w:line="240" w:lineRule="auto"/>
        <w:rPr>
          <w:rFonts w:ascii="Arial" w:eastAsia="Times New Roman" w:hAnsi="Arial" w:cs="Arial"/>
          <w:b/>
          <w:sz w:val="20"/>
          <w:szCs w:val="20"/>
          <w:lang w:val="en-US"/>
        </w:rPr>
      </w:pPr>
    </w:p>
    <w:p w:rsidR="003837CA" w:rsidRPr="007037BB" w:rsidRDefault="003837CA" w:rsidP="007037BB">
      <w:pPr>
        <w:pStyle w:val="ListParagraph"/>
        <w:numPr>
          <w:ilvl w:val="1"/>
          <w:numId w:val="3"/>
        </w:numPr>
        <w:spacing w:after="0" w:line="240" w:lineRule="auto"/>
        <w:ind w:left="709" w:hanging="709"/>
        <w:rPr>
          <w:rFonts w:ascii="Arial" w:eastAsia="Times New Roman" w:hAnsi="Arial" w:cs="Arial"/>
          <w:b/>
          <w:sz w:val="20"/>
          <w:szCs w:val="20"/>
        </w:rPr>
      </w:pPr>
      <w:r w:rsidRPr="007037BB">
        <w:rPr>
          <w:rFonts w:ascii="Arial" w:eastAsia="Times New Roman" w:hAnsi="Arial" w:cs="Arial"/>
          <w:b/>
          <w:sz w:val="20"/>
          <w:szCs w:val="20"/>
        </w:rPr>
        <w:t>Department of Water and Sanitation</w:t>
      </w:r>
    </w:p>
    <w:p w:rsidR="00517C19" w:rsidRPr="007037BB" w:rsidRDefault="00517C19" w:rsidP="007037BB">
      <w:pPr>
        <w:spacing w:after="0" w:line="240" w:lineRule="auto"/>
        <w:rPr>
          <w:rFonts w:ascii="Arial" w:eastAsia="Times New Roman" w:hAnsi="Arial" w:cs="Arial"/>
          <w:b/>
          <w:sz w:val="20"/>
          <w:szCs w:val="20"/>
        </w:rPr>
      </w:pPr>
    </w:p>
    <w:p w:rsidR="009B357D" w:rsidRPr="007037BB" w:rsidRDefault="008A3E6A"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lang w:val="en-US"/>
        </w:rPr>
        <w:t xml:space="preserve">The Department of Water and Sanitation (DWS) appraised the Committee on its spending plans for the </w:t>
      </w:r>
      <w:r w:rsidR="000C25A5" w:rsidRPr="007037BB">
        <w:rPr>
          <w:rFonts w:ascii="Arial" w:eastAsia="Times New Roman" w:hAnsi="Arial" w:cs="Arial"/>
          <w:bCs/>
          <w:sz w:val="20"/>
          <w:szCs w:val="20"/>
          <w:lang w:val="en-US"/>
        </w:rPr>
        <w:t>R</w:t>
      </w:r>
      <w:r w:rsidR="009B357D" w:rsidRPr="007037BB">
        <w:rPr>
          <w:rFonts w:ascii="Arial" w:eastAsia="Times New Roman" w:hAnsi="Arial" w:cs="Arial"/>
          <w:bCs/>
          <w:sz w:val="20"/>
          <w:szCs w:val="20"/>
        </w:rPr>
        <w:t>22.257</w:t>
      </w:r>
      <w:r w:rsidRPr="007037BB">
        <w:rPr>
          <w:rFonts w:ascii="Arial" w:eastAsia="Times New Roman" w:hAnsi="Arial" w:cs="Arial"/>
          <w:bCs/>
          <w:sz w:val="20"/>
          <w:szCs w:val="20"/>
        </w:rPr>
        <w:t xml:space="preserve"> </w:t>
      </w:r>
      <w:r w:rsidR="000C25A5" w:rsidRPr="007037BB">
        <w:rPr>
          <w:rFonts w:ascii="Arial" w:eastAsia="Times New Roman" w:hAnsi="Arial" w:cs="Arial"/>
          <w:bCs/>
          <w:sz w:val="20"/>
          <w:szCs w:val="20"/>
          <w:lang w:val="en-US"/>
        </w:rPr>
        <w:t xml:space="preserve">billion </w:t>
      </w:r>
      <w:r w:rsidRPr="007037BB">
        <w:rPr>
          <w:rFonts w:ascii="Arial" w:eastAsia="Times New Roman" w:hAnsi="Arial" w:cs="Arial"/>
          <w:bCs/>
          <w:sz w:val="20"/>
          <w:szCs w:val="20"/>
          <w:lang w:val="en-US"/>
        </w:rPr>
        <w:t>proposed budget allocation for the 2023/24 financial year. DWS reported</w:t>
      </w:r>
      <w:r w:rsidR="000C25A5" w:rsidRPr="007037BB">
        <w:rPr>
          <w:rFonts w:ascii="Arial" w:eastAsia="Times New Roman" w:hAnsi="Arial" w:cs="Arial"/>
          <w:bCs/>
          <w:sz w:val="20"/>
          <w:szCs w:val="20"/>
          <w:lang w:val="en-US"/>
        </w:rPr>
        <w:t xml:space="preserve"> that </w:t>
      </w:r>
      <w:r w:rsidRPr="007037BB">
        <w:rPr>
          <w:rFonts w:ascii="Arial" w:eastAsia="Times New Roman" w:hAnsi="Arial" w:cs="Arial"/>
          <w:bCs/>
          <w:sz w:val="20"/>
          <w:szCs w:val="20"/>
          <w:lang w:val="en-US"/>
        </w:rPr>
        <w:t>over the MTEF</w:t>
      </w:r>
      <w:r w:rsidR="009B357D" w:rsidRPr="007037BB">
        <w:rPr>
          <w:rFonts w:ascii="Arial" w:eastAsia="Times New Roman" w:hAnsi="Arial" w:cs="Arial"/>
          <w:bCs/>
          <w:sz w:val="20"/>
          <w:szCs w:val="20"/>
          <w:lang w:val="en-US"/>
        </w:rPr>
        <w:t xml:space="preserve">, </w:t>
      </w:r>
      <w:r w:rsidR="009B357D" w:rsidRPr="007037BB">
        <w:rPr>
          <w:rFonts w:ascii="Arial" w:eastAsia="Times New Roman" w:hAnsi="Arial" w:cs="Arial"/>
          <w:bCs/>
          <w:sz w:val="20"/>
          <w:szCs w:val="20"/>
        </w:rPr>
        <w:t xml:space="preserve">it has been allocated an amount of R72.322 billion </w:t>
      </w:r>
      <w:r w:rsidR="00386845" w:rsidRPr="007037BB">
        <w:rPr>
          <w:rFonts w:ascii="Arial" w:eastAsia="Times New Roman" w:hAnsi="Arial" w:cs="Arial"/>
          <w:bCs/>
          <w:sz w:val="20"/>
          <w:szCs w:val="20"/>
        </w:rPr>
        <w:t>i.e.,</w:t>
      </w:r>
      <w:r w:rsidR="009B357D" w:rsidRPr="007037BB">
        <w:rPr>
          <w:rFonts w:ascii="Arial" w:eastAsia="Times New Roman" w:hAnsi="Arial" w:cs="Arial"/>
          <w:bCs/>
          <w:sz w:val="20"/>
          <w:szCs w:val="20"/>
        </w:rPr>
        <w:t xml:space="preserve"> R22.257 billion, R24.180 billion and R25.885 billion in 2023/24, 2024/25 and 2025/26 respectively</w:t>
      </w:r>
      <w:r w:rsidR="009B357D" w:rsidRPr="007037BB">
        <w:rPr>
          <w:rFonts w:ascii="Arial" w:eastAsia="Times New Roman" w:hAnsi="Arial" w:cs="Arial"/>
          <w:bCs/>
          <w:sz w:val="20"/>
          <w:szCs w:val="20"/>
          <w:lang w:val="en-US"/>
        </w:rPr>
        <w:t xml:space="preserve">. </w:t>
      </w:r>
      <w:r w:rsidR="009B357D" w:rsidRPr="007037BB">
        <w:rPr>
          <w:rFonts w:ascii="Arial" w:eastAsia="Times New Roman" w:hAnsi="Arial" w:cs="Arial"/>
          <w:bCs/>
          <w:sz w:val="20"/>
          <w:szCs w:val="20"/>
        </w:rPr>
        <w:t xml:space="preserve">DWS reported that, included in the budget allocation over the MTEF are strategic projects funded from the Budget Facility for Infrastructure in various provinces as follows: </w:t>
      </w:r>
    </w:p>
    <w:p w:rsidR="009B357D" w:rsidRPr="007037BB" w:rsidRDefault="009B357D" w:rsidP="007037BB">
      <w:pPr>
        <w:spacing w:after="0" w:line="240" w:lineRule="auto"/>
        <w:rPr>
          <w:rFonts w:ascii="Arial" w:eastAsia="Times New Roman" w:hAnsi="Arial" w:cs="Arial"/>
          <w:bCs/>
          <w:sz w:val="20"/>
          <w:szCs w:val="20"/>
        </w:rPr>
      </w:pPr>
    </w:p>
    <w:p w:rsidR="009B357D" w:rsidRPr="007037BB" w:rsidRDefault="009B357D" w:rsidP="007037BB">
      <w:pPr>
        <w:pStyle w:val="ListParagraph"/>
        <w:numPr>
          <w:ilvl w:val="0"/>
          <w:numId w:val="30"/>
        </w:num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rPr>
        <w:t>R692 million in 2023/24, R673 million 2024/25 and R557 million in 2025/26 to Magalies water to implement the Moretele North Klipvoor Bulk Water supply scheme;</w:t>
      </w:r>
    </w:p>
    <w:p w:rsidR="009B357D" w:rsidRPr="007037BB" w:rsidRDefault="009B357D" w:rsidP="007037BB">
      <w:pPr>
        <w:pStyle w:val="ListParagraph"/>
        <w:numPr>
          <w:ilvl w:val="0"/>
          <w:numId w:val="30"/>
        </w:num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rPr>
        <w:t>R608 million in each year of the 2023 MTEF to Magalies water to implement Phase 2: Pilanesberg Bulk Water Supply Scheme;</w:t>
      </w:r>
    </w:p>
    <w:p w:rsidR="009B357D" w:rsidRPr="007037BB" w:rsidRDefault="009B357D" w:rsidP="007037BB">
      <w:pPr>
        <w:pStyle w:val="ListParagraph"/>
        <w:numPr>
          <w:ilvl w:val="0"/>
          <w:numId w:val="30"/>
        </w:num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rPr>
        <w:t>R150 million in 2023/24, R600 million in 2024/25 and R3.6 billion in 2025/26 to the Water Trading Entity to implement the uMkhomazi Water Project - Raw Water Component (uMWP-1);</w:t>
      </w:r>
    </w:p>
    <w:p w:rsidR="009B357D" w:rsidRPr="007037BB" w:rsidRDefault="009B357D" w:rsidP="007037BB">
      <w:pPr>
        <w:pStyle w:val="ListParagraph"/>
        <w:numPr>
          <w:ilvl w:val="0"/>
          <w:numId w:val="30"/>
        </w:num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rPr>
        <w:t>R305 million in 2023/24, R593 million in 2024/25 and R481 million in 2025/26 to Drakenstein Local Municipality Sanitation to implement the Sanitation Infrastructure Project;</w:t>
      </w:r>
    </w:p>
    <w:p w:rsidR="009B357D" w:rsidRPr="007037BB" w:rsidRDefault="009B357D" w:rsidP="007037BB">
      <w:pPr>
        <w:pStyle w:val="ListParagraph"/>
        <w:numPr>
          <w:ilvl w:val="0"/>
          <w:numId w:val="30"/>
        </w:num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rPr>
        <w:t>R348 million in 2023/24, R250 million in 2024/25 and R390 million in 2025/26 to Nelson Mandela Bay Metropolitan Municipality to implement the Water Security Programme; and</w:t>
      </w:r>
    </w:p>
    <w:p w:rsidR="000C25A5" w:rsidRPr="007037BB" w:rsidRDefault="009B357D" w:rsidP="007037BB">
      <w:pPr>
        <w:pStyle w:val="ListParagraph"/>
        <w:numPr>
          <w:ilvl w:val="0"/>
          <w:numId w:val="30"/>
        </w:num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rPr>
        <w:t>R86 million in 2023/24, R492 million in 2024/25 and R574 million in 2025/26 to Sol Plaaitje Local Municipality to implement the Integrated Bulk Supply System Intervention.</w:t>
      </w:r>
    </w:p>
    <w:p w:rsidR="008A3E6A" w:rsidRPr="007037BB" w:rsidRDefault="008A3E6A" w:rsidP="007037BB">
      <w:pPr>
        <w:spacing w:after="0" w:line="240" w:lineRule="auto"/>
        <w:rPr>
          <w:rFonts w:ascii="Arial" w:eastAsia="Times New Roman" w:hAnsi="Arial" w:cs="Arial"/>
          <w:bCs/>
          <w:sz w:val="20"/>
          <w:szCs w:val="20"/>
          <w:lang w:val="en-US"/>
        </w:rPr>
      </w:pPr>
    </w:p>
    <w:p w:rsidR="000C25A5" w:rsidRPr="007037BB" w:rsidRDefault="00386845"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lang w:val="en-US"/>
        </w:rPr>
        <w:t xml:space="preserve">Regarding </w:t>
      </w:r>
      <w:r w:rsidR="000C25A5" w:rsidRPr="007037BB">
        <w:rPr>
          <w:rFonts w:ascii="Arial" w:eastAsia="Times New Roman" w:hAnsi="Arial" w:cs="Arial"/>
          <w:bCs/>
          <w:sz w:val="20"/>
          <w:szCs w:val="20"/>
          <w:lang w:val="en-US"/>
        </w:rPr>
        <w:t xml:space="preserve">the impact of budget </w:t>
      </w:r>
      <w:r w:rsidR="008A3E6A" w:rsidRPr="007037BB">
        <w:rPr>
          <w:rFonts w:ascii="Arial" w:eastAsia="Times New Roman" w:hAnsi="Arial" w:cs="Arial"/>
          <w:bCs/>
          <w:sz w:val="20"/>
          <w:szCs w:val="20"/>
          <w:lang w:val="en-US"/>
        </w:rPr>
        <w:t>reductions</w:t>
      </w:r>
      <w:r w:rsidR="000C25A5" w:rsidRPr="007037BB">
        <w:rPr>
          <w:rFonts w:ascii="Arial" w:eastAsia="Times New Roman" w:hAnsi="Arial" w:cs="Arial"/>
          <w:bCs/>
          <w:sz w:val="20"/>
          <w:szCs w:val="20"/>
          <w:lang w:val="en-US"/>
        </w:rPr>
        <w:t xml:space="preserve"> on service delivery, </w:t>
      </w:r>
      <w:r w:rsidR="008A3E6A" w:rsidRPr="007037BB">
        <w:rPr>
          <w:rFonts w:ascii="Arial" w:eastAsia="Times New Roman" w:hAnsi="Arial" w:cs="Arial"/>
          <w:bCs/>
          <w:sz w:val="20"/>
          <w:szCs w:val="20"/>
          <w:lang w:val="en-US"/>
        </w:rPr>
        <w:t>DWS reported</w:t>
      </w:r>
      <w:r w:rsidR="000C25A5" w:rsidRPr="007037BB">
        <w:rPr>
          <w:rFonts w:ascii="Arial" w:eastAsia="Times New Roman" w:hAnsi="Arial" w:cs="Arial"/>
          <w:bCs/>
          <w:sz w:val="20"/>
          <w:szCs w:val="20"/>
          <w:lang w:val="en-US"/>
        </w:rPr>
        <w:t xml:space="preserve"> that there will be variance</w:t>
      </w:r>
      <w:r w:rsidR="008A3E6A" w:rsidRPr="007037BB">
        <w:rPr>
          <w:rFonts w:ascii="Arial" w:eastAsia="Times New Roman" w:hAnsi="Arial" w:cs="Arial"/>
          <w:bCs/>
          <w:sz w:val="20"/>
          <w:szCs w:val="20"/>
          <w:lang w:val="en-US"/>
        </w:rPr>
        <w:t>s</w:t>
      </w:r>
      <w:r w:rsidR="000C25A5" w:rsidRPr="007037BB">
        <w:rPr>
          <w:rFonts w:ascii="Arial" w:eastAsia="Times New Roman" w:hAnsi="Arial" w:cs="Arial"/>
          <w:bCs/>
          <w:sz w:val="20"/>
          <w:szCs w:val="20"/>
          <w:lang w:val="en-US"/>
        </w:rPr>
        <w:t xml:space="preserve"> in certain budget items </w:t>
      </w:r>
      <w:r w:rsidR="008A3E6A" w:rsidRPr="007037BB">
        <w:rPr>
          <w:rFonts w:ascii="Arial" w:eastAsia="Times New Roman" w:hAnsi="Arial" w:cs="Arial"/>
          <w:bCs/>
          <w:sz w:val="20"/>
          <w:szCs w:val="20"/>
          <w:lang w:val="en-US"/>
        </w:rPr>
        <w:t xml:space="preserve">however, it </w:t>
      </w:r>
      <w:r w:rsidR="000C25A5" w:rsidRPr="007037BB">
        <w:rPr>
          <w:rFonts w:ascii="Arial" w:eastAsia="Times New Roman" w:hAnsi="Arial" w:cs="Arial"/>
          <w:bCs/>
          <w:sz w:val="20"/>
          <w:szCs w:val="20"/>
          <w:lang w:val="en-US"/>
        </w:rPr>
        <w:t>will endeavor to do its best to operate within the</w:t>
      </w:r>
      <w:r w:rsidR="008A3E6A" w:rsidRPr="007037BB">
        <w:rPr>
          <w:rFonts w:ascii="Arial" w:eastAsia="Times New Roman" w:hAnsi="Arial" w:cs="Arial"/>
          <w:bCs/>
          <w:sz w:val="20"/>
          <w:szCs w:val="20"/>
          <w:lang w:val="en-US"/>
        </w:rPr>
        <w:t xml:space="preserve"> confines of the</w:t>
      </w:r>
      <w:r w:rsidR="000C25A5" w:rsidRPr="007037BB">
        <w:rPr>
          <w:rFonts w:ascii="Arial" w:eastAsia="Times New Roman" w:hAnsi="Arial" w:cs="Arial"/>
          <w:bCs/>
          <w:sz w:val="20"/>
          <w:szCs w:val="20"/>
          <w:lang w:val="en-US"/>
        </w:rPr>
        <w:t xml:space="preserve"> allocated budget. </w:t>
      </w:r>
      <w:r w:rsidR="008A3E6A" w:rsidRPr="007037BB">
        <w:rPr>
          <w:rFonts w:ascii="Arial" w:eastAsia="Times New Roman" w:hAnsi="Arial" w:cs="Arial"/>
          <w:bCs/>
          <w:sz w:val="20"/>
          <w:szCs w:val="20"/>
          <w:lang w:val="en-US"/>
        </w:rPr>
        <w:t>DWS reported</w:t>
      </w:r>
      <w:r w:rsidR="000C25A5" w:rsidRPr="007037BB">
        <w:rPr>
          <w:rFonts w:ascii="Arial" w:eastAsia="Times New Roman" w:hAnsi="Arial" w:cs="Arial"/>
          <w:bCs/>
          <w:sz w:val="20"/>
          <w:szCs w:val="20"/>
          <w:lang w:val="en-US"/>
        </w:rPr>
        <w:t xml:space="preserve"> that the</w:t>
      </w:r>
      <w:r w:rsidR="00DB55E5" w:rsidRPr="007037BB">
        <w:rPr>
          <w:rFonts w:ascii="Arial" w:eastAsia="Times New Roman" w:hAnsi="Arial" w:cs="Arial"/>
          <w:bCs/>
          <w:sz w:val="20"/>
          <w:szCs w:val="20"/>
          <w:lang w:val="en-US"/>
        </w:rPr>
        <w:t xml:space="preserve"> </w:t>
      </w:r>
      <w:r w:rsidR="00DB55E5" w:rsidRPr="007037BB">
        <w:rPr>
          <w:rFonts w:ascii="Arial" w:eastAsia="Times New Roman" w:hAnsi="Arial" w:cs="Arial"/>
          <w:bCs/>
          <w:sz w:val="20"/>
          <w:szCs w:val="20"/>
        </w:rPr>
        <w:t xml:space="preserve">total  Compensation of Employees' budget has been reduced from R1.836 billion to R1.790 billion. The total budget reduction of R46.273 million has affected the department as a whole. Furthermore, the </w:t>
      </w:r>
      <w:r w:rsidR="000C25A5" w:rsidRPr="007037BB">
        <w:rPr>
          <w:rFonts w:ascii="Arial" w:eastAsia="Times New Roman" w:hAnsi="Arial" w:cs="Arial"/>
          <w:bCs/>
          <w:sz w:val="20"/>
          <w:szCs w:val="20"/>
          <w:lang w:val="en-US"/>
        </w:rPr>
        <w:t xml:space="preserve">Minister </w:t>
      </w:r>
      <w:r w:rsidR="008A3E6A" w:rsidRPr="007037BB">
        <w:rPr>
          <w:rFonts w:ascii="Arial" w:eastAsia="Times New Roman" w:hAnsi="Arial" w:cs="Arial"/>
          <w:bCs/>
          <w:sz w:val="20"/>
          <w:szCs w:val="20"/>
          <w:lang w:val="en-US"/>
        </w:rPr>
        <w:t xml:space="preserve">of Water and Sanitation </w:t>
      </w:r>
      <w:r w:rsidR="000C25A5" w:rsidRPr="007037BB">
        <w:rPr>
          <w:rFonts w:ascii="Arial" w:eastAsia="Times New Roman" w:hAnsi="Arial" w:cs="Arial"/>
          <w:bCs/>
          <w:sz w:val="20"/>
          <w:szCs w:val="20"/>
          <w:lang w:val="en-US"/>
        </w:rPr>
        <w:t>approved the new organogram on 26 September 2022</w:t>
      </w:r>
      <w:r w:rsidR="00DB55E5" w:rsidRPr="007037BB">
        <w:rPr>
          <w:rFonts w:ascii="Arial" w:eastAsia="Times New Roman" w:hAnsi="Arial" w:cs="Arial"/>
          <w:bCs/>
          <w:sz w:val="20"/>
          <w:szCs w:val="20"/>
          <w:lang w:val="en-US"/>
        </w:rPr>
        <w:t xml:space="preserve"> and DWS is in the process of implementing</w:t>
      </w:r>
      <w:r w:rsidR="000C25A5" w:rsidRPr="007037BB">
        <w:rPr>
          <w:rFonts w:ascii="Arial" w:eastAsia="Times New Roman" w:hAnsi="Arial" w:cs="Arial"/>
          <w:bCs/>
          <w:sz w:val="20"/>
          <w:szCs w:val="20"/>
          <w:lang w:val="en-US"/>
        </w:rPr>
        <w:t xml:space="preserve"> the structure and this will include the absorption of employees into the PERSAL system.</w:t>
      </w:r>
      <w:r w:rsidR="000C25A5" w:rsidRPr="007037BB">
        <w:rPr>
          <w:rFonts w:ascii="Arial" w:eastAsia="Times New Roman" w:hAnsi="Arial" w:cs="Arial"/>
          <w:bCs/>
          <w:color w:val="C00000"/>
          <w:sz w:val="20"/>
          <w:szCs w:val="20"/>
          <w:lang w:val="en-US"/>
        </w:rPr>
        <w:t xml:space="preserve"> </w:t>
      </w:r>
      <w:r w:rsidR="00DB55E5" w:rsidRPr="007037BB">
        <w:rPr>
          <w:rFonts w:ascii="Arial" w:eastAsia="Times New Roman" w:hAnsi="Arial" w:cs="Arial"/>
          <w:bCs/>
          <w:sz w:val="20"/>
          <w:szCs w:val="20"/>
        </w:rPr>
        <w:t xml:space="preserve">Once the absorption process has been completed, DWS reported that there will be approximately 3000 vacancies on the structure (out of a total of 9485 posts on the new structure). </w:t>
      </w:r>
    </w:p>
    <w:p w:rsidR="00DB55E5" w:rsidRPr="007037BB" w:rsidRDefault="00DB55E5" w:rsidP="007037BB">
      <w:pPr>
        <w:spacing w:after="0" w:line="240" w:lineRule="auto"/>
        <w:rPr>
          <w:rFonts w:ascii="Arial" w:eastAsia="Times New Roman" w:hAnsi="Arial" w:cs="Arial"/>
          <w:b/>
          <w:sz w:val="20"/>
          <w:szCs w:val="20"/>
        </w:rPr>
      </w:pPr>
    </w:p>
    <w:p w:rsidR="008A3E6A" w:rsidRPr="007037BB" w:rsidRDefault="00DB55E5" w:rsidP="007037BB">
      <w:p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lang w:val="en-US"/>
        </w:rPr>
        <w:t>In terms of preliminary spending outcomes, DWS reported that it had spent a</w:t>
      </w:r>
      <w:r w:rsidR="008A3E6A" w:rsidRPr="007037BB">
        <w:rPr>
          <w:rFonts w:ascii="Arial" w:eastAsia="Times New Roman" w:hAnsi="Arial" w:cs="Arial"/>
          <w:bCs/>
          <w:sz w:val="20"/>
          <w:szCs w:val="20"/>
          <w:lang w:val="en-US"/>
        </w:rPr>
        <w:t xml:space="preserve"> total of R17.693 billion </w:t>
      </w:r>
      <w:r w:rsidRPr="007037BB">
        <w:rPr>
          <w:rFonts w:ascii="Arial" w:eastAsia="Times New Roman" w:hAnsi="Arial" w:cs="Arial"/>
          <w:bCs/>
          <w:sz w:val="20"/>
          <w:szCs w:val="20"/>
          <w:lang w:val="en-US"/>
        </w:rPr>
        <w:t xml:space="preserve">or </w:t>
      </w:r>
      <w:r w:rsidR="008A3E6A" w:rsidRPr="007037BB">
        <w:rPr>
          <w:rFonts w:ascii="Arial" w:eastAsia="Times New Roman" w:hAnsi="Arial" w:cs="Arial"/>
          <w:bCs/>
          <w:sz w:val="20"/>
          <w:szCs w:val="20"/>
          <w:lang w:val="en-US"/>
        </w:rPr>
        <w:t>95.4</w:t>
      </w:r>
      <w:r w:rsidRPr="007037BB">
        <w:rPr>
          <w:rFonts w:ascii="Arial" w:eastAsia="Times New Roman" w:hAnsi="Arial" w:cs="Arial"/>
          <w:bCs/>
          <w:sz w:val="20"/>
          <w:szCs w:val="20"/>
          <w:lang w:val="en-US"/>
        </w:rPr>
        <w:t xml:space="preserve"> per cent</w:t>
      </w:r>
      <w:r w:rsidR="008A3E6A" w:rsidRPr="007037BB">
        <w:rPr>
          <w:rFonts w:ascii="Arial" w:eastAsia="Times New Roman" w:hAnsi="Arial" w:cs="Arial"/>
          <w:bCs/>
          <w:sz w:val="20"/>
          <w:szCs w:val="20"/>
          <w:lang w:val="en-US"/>
        </w:rPr>
        <w:t xml:space="preserve"> of </w:t>
      </w:r>
      <w:r w:rsidRPr="007037BB">
        <w:rPr>
          <w:rFonts w:ascii="Arial" w:eastAsia="Times New Roman" w:hAnsi="Arial" w:cs="Arial"/>
          <w:bCs/>
          <w:sz w:val="20"/>
          <w:szCs w:val="20"/>
          <w:lang w:val="en-US"/>
        </w:rPr>
        <w:t>its a</w:t>
      </w:r>
      <w:r w:rsidR="008A3E6A" w:rsidRPr="007037BB">
        <w:rPr>
          <w:rFonts w:ascii="Arial" w:eastAsia="Times New Roman" w:hAnsi="Arial" w:cs="Arial"/>
          <w:bCs/>
          <w:sz w:val="20"/>
          <w:szCs w:val="20"/>
          <w:lang w:val="en-US"/>
        </w:rPr>
        <w:t xml:space="preserve">djusted appropriation of R18.555 billion </w:t>
      </w:r>
      <w:r w:rsidRPr="007037BB">
        <w:rPr>
          <w:rFonts w:ascii="Arial" w:eastAsia="Times New Roman" w:hAnsi="Arial" w:cs="Arial"/>
          <w:bCs/>
          <w:sz w:val="20"/>
          <w:szCs w:val="20"/>
          <w:lang w:val="en-US"/>
        </w:rPr>
        <w:t>as at the end of</w:t>
      </w:r>
      <w:r w:rsidR="008A3E6A" w:rsidRPr="007037BB">
        <w:rPr>
          <w:rFonts w:ascii="Arial" w:eastAsia="Times New Roman" w:hAnsi="Arial" w:cs="Arial"/>
          <w:bCs/>
          <w:sz w:val="20"/>
          <w:szCs w:val="20"/>
          <w:lang w:val="en-US"/>
        </w:rPr>
        <w:t xml:space="preserve"> 2022/23 financial year. </w:t>
      </w:r>
      <w:r w:rsidRPr="007037BB">
        <w:rPr>
          <w:rFonts w:ascii="Arial" w:eastAsia="Times New Roman" w:hAnsi="Arial" w:cs="Arial"/>
          <w:bCs/>
          <w:sz w:val="20"/>
          <w:szCs w:val="20"/>
          <w:lang w:val="en-US"/>
        </w:rPr>
        <w:t>This resulted in a</w:t>
      </w:r>
      <w:r w:rsidR="008A3E6A" w:rsidRPr="007037BB">
        <w:rPr>
          <w:rFonts w:ascii="Arial" w:eastAsia="Times New Roman" w:hAnsi="Arial" w:cs="Arial"/>
          <w:bCs/>
          <w:sz w:val="20"/>
          <w:szCs w:val="20"/>
          <w:lang w:val="en-US"/>
        </w:rPr>
        <w:t xml:space="preserve"> R862 million </w:t>
      </w:r>
      <w:r w:rsidRPr="007037BB">
        <w:rPr>
          <w:rFonts w:ascii="Arial" w:eastAsia="Times New Roman" w:hAnsi="Arial" w:cs="Arial"/>
          <w:bCs/>
          <w:sz w:val="20"/>
          <w:szCs w:val="20"/>
          <w:lang w:val="en-US"/>
        </w:rPr>
        <w:t xml:space="preserve">or </w:t>
      </w:r>
      <w:r w:rsidR="008A3E6A" w:rsidRPr="007037BB">
        <w:rPr>
          <w:rFonts w:ascii="Arial" w:eastAsia="Times New Roman" w:hAnsi="Arial" w:cs="Arial"/>
          <w:bCs/>
          <w:sz w:val="20"/>
          <w:szCs w:val="20"/>
          <w:lang w:val="en-US"/>
        </w:rPr>
        <w:t>5</w:t>
      </w:r>
      <w:r w:rsidRPr="007037BB">
        <w:rPr>
          <w:rFonts w:ascii="Arial" w:eastAsia="Times New Roman" w:hAnsi="Arial" w:cs="Arial"/>
          <w:bCs/>
          <w:sz w:val="20"/>
          <w:szCs w:val="20"/>
          <w:lang w:val="en-US"/>
        </w:rPr>
        <w:t>.4 per cent under expenditure</w:t>
      </w:r>
      <w:r w:rsidR="008A3E6A" w:rsidRPr="007037BB">
        <w:rPr>
          <w:rFonts w:ascii="Arial" w:eastAsia="Times New Roman" w:hAnsi="Arial" w:cs="Arial"/>
          <w:bCs/>
          <w:sz w:val="20"/>
          <w:szCs w:val="20"/>
          <w:lang w:val="en-US"/>
        </w:rPr>
        <w:t xml:space="preserve"> in the previous financial year. </w:t>
      </w:r>
    </w:p>
    <w:p w:rsidR="008A3E6A" w:rsidRPr="007037BB" w:rsidRDefault="008A3E6A" w:rsidP="007037BB">
      <w:pPr>
        <w:spacing w:after="0" w:line="240" w:lineRule="auto"/>
        <w:rPr>
          <w:rFonts w:ascii="Arial" w:eastAsia="Times New Roman" w:hAnsi="Arial" w:cs="Arial"/>
          <w:b/>
          <w:sz w:val="20"/>
          <w:szCs w:val="20"/>
        </w:rPr>
      </w:pPr>
    </w:p>
    <w:p w:rsidR="00C73BDE" w:rsidRPr="007037BB" w:rsidRDefault="00C73BDE" w:rsidP="007037BB">
      <w:pPr>
        <w:pStyle w:val="ListParagraph"/>
        <w:numPr>
          <w:ilvl w:val="1"/>
          <w:numId w:val="3"/>
        </w:numPr>
        <w:spacing w:after="0" w:line="240" w:lineRule="auto"/>
        <w:ind w:left="709" w:hanging="709"/>
        <w:rPr>
          <w:rFonts w:ascii="Arial" w:eastAsia="Times New Roman" w:hAnsi="Arial" w:cs="Arial"/>
          <w:b/>
          <w:sz w:val="20"/>
          <w:szCs w:val="20"/>
        </w:rPr>
      </w:pPr>
      <w:r w:rsidRPr="007037BB">
        <w:rPr>
          <w:rFonts w:ascii="Arial" w:eastAsia="Times New Roman" w:hAnsi="Arial" w:cs="Arial"/>
          <w:b/>
          <w:sz w:val="20"/>
          <w:szCs w:val="20"/>
        </w:rPr>
        <w:t>Department of Health</w:t>
      </w:r>
    </w:p>
    <w:p w:rsidR="00B63651" w:rsidRPr="007037BB" w:rsidRDefault="00B63651" w:rsidP="007037BB">
      <w:pPr>
        <w:spacing w:after="0" w:line="240" w:lineRule="auto"/>
        <w:rPr>
          <w:rFonts w:ascii="Arial" w:eastAsia="Times New Roman" w:hAnsi="Arial" w:cs="Arial"/>
          <w:b/>
          <w:sz w:val="20"/>
          <w:szCs w:val="20"/>
        </w:rPr>
      </w:pPr>
    </w:p>
    <w:p w:rsidR="00B63651" w:rsidRPr="007037BB" w:rsidRDefault="00B63651" w:rsidP="007037BB">
      <w:p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lang w:val="en-US"/>
        </w:rPr>
        <w:t>The Department of Health (DoH) provided an overview on how it planned to utilize the budget allocation of R60.1111 billion during the 2023/24 financial year. DoH reported that the vote baseline has decreased as there was no allocation for Covid-19 Vaccination Programme in 2023/24. Furthermore, there was a reduction in District Health Programme</w:t>
      </w:r>
      <w:r w:rsidR="007A79D8" w:rsidRPr="007037BB">
        <w:rPr>
          <w:rFonts w:ascii="Arial" w:eastAsia="Times New Roman" w:hAnsi="Arial" w:cs="Arial"/>
          <w:bCs/>
          <w:sz w:val="20"/>
          <w:szCs w:val="20"/>
          <w:lang w:val="en-US"/>
        </w:rPr>
        <w:t>’</w:t>
      </w:r>
      <w:r w:rsidRPr="007037BB">
        <w:rPr>
          <w:rFonts w:ascii="Arial" w:eastAsia="Times New Roman" w:hAnsi="Arial" w:cs="Arial"/>
          <w:bCs/>
          <w:sz w:val="20"/>
          <w:szCs w:val="20"/>
          <w:lang w:val="en-US"/>
        </w:rPr>
        <w:t xml:space="preserve">s Conditional Grant: District Health Component. DoH highlighted that the reduced budget would have a negative bearing on service delivery. Programmes that will be impacted are: Affordable Medicine Programme which experienced a decline of 37 percent; Communicable Disease Programme with a 70 percent decline; District Health Service </w:t>
      </w:r>
      <w:r w:rsidR="007A79D8" w:rsidRPr="007037BB">
        <w:rPr>
          <w:rFonts w:ascii="Arial" w:eastAsia="Times New Roman" w:hAnsi="Arial" w:cs="Arial"/>
          <w:bCs/>
          <w:sz w:val="20"/>
          <w:szCs w:val="20"/>
          <w:lang w:val="en-US"/>
        </w:rPr>
        <w:t>Sub-</w:t>
      </w:r>
      <w:r w:rsidRPr="007037BB">
        <w:rPr>
          <w:rFonts w:ascii="Arial" w:eastAsia="Times New Roman" w:hAnsi="Arial" w:cs="Arial"/>
          <w:bCs/>
          <w:sz w:val="20"/>
          <w:szCs w:val="20"/>
          <w:lang w:val="en-US"/>
        </w:rPr>
        <w:t>Programme with 13.1 percent decline; Environmental and Port Health Services Programme at a 42 percent decline.</w:t>
      </w:r>
    </w:p>
    <w:p w:rsidR="00B63651" w:rsidRPr="007037BB" w:rsidRDefault="00B63651" w:rsidP="007037BB">
      <w:pPr>
        <w:spacing w:after="0" w:line="240" w:lineRule="auto"/>
        <w:rPr>
          <w:rFonts w:ascii="Arial" w:eastAsia="Times New Roman" w:hAnsi="Arial" w:cs="Arial"/>
          <w:bCs/>
          <w:sz w:val="20"/>
          <w:szCs w:val="20"/>
          <w:lang w:val="en-US"/>
        </w:rPr>
      </w:pPr>
    </w:p>
    <w:p w:rsidR="00B63651" w:rsidRPr="007037BB" w:rsidRDefault="00B63651" w:rsidP="007037BB">
      <w:p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lang w:val="en-US"/>
        </w:rPr>
        <w:t xml:space="preserve">DoH reported that it had 288 vacancies and that the filling of these posts would require R207.058 million. It gave an update on the progress regarding the filling of vacancies and indicated that its COE allocation for 2023/24 was R685.135 million. DoH reported that the projected shortfall required to fill all vacant positions was R184.335 million and that this situation was exacerbated by the implementation of the PSCBC COLA 2023/24 resolution. DoH emphasized that for the department to deliver on its mandate, it was necessary for functions to be aligned to </w:t>
      </w:r>
      <w:r w:rsidRPr="007037BB">
        <w:rPr>
          <w:rFonts w:ascii="Arial" w:eastAsia="Times New Roman" w:hAnsi="Arial" w:cs="Arial"/>
          <w:bCs/>
          <w:sz w:val="20"/>
          <w:szCs w:val="20"/>
          <w:lang w:val="en-US"/>
        </w:rPr>
        <w:lastRenderedPageBreak/>
        <w:t xml:space="preserve">ensure that some posts are rationalized. DoH further reported that it had ringfenced R1.5 million for the appointment of the newly graduated interns as part of job creation. </w:t>
      </w:r>
    </w:p>
    <w:p w:rsidR="00B63651" w:rsidRPr="007037BB" w:rsidRDefault="00B63651" w:rsidP="007037BB">
      <w:pPr>
        <w:spacing w:after="0" w:line="240" w:lineRule="auto"/>
        <w:rPr>
          <w:rFonts w:ascii="Arial" w:eastAsia="Times New Roman" w:hAnsi="Arial" w:cs="Arial"/>
          <w:bCs/>
          <w:sz w:val="20"/>
          <w:szCs w:val="20"/>
          <w:lang w:val="en-US"/>
        </w:rPr>
      </w:pPr>
    </w:p>
    <w:p w:rsidR="00B63651" w:rsidRPr="007037BB" w:rsidRDefault="00384B4B" w:rsidP="007037BB">
      <w:pPr>
        <w:spacing w:after="0" w:line="240" w:lineRule="auto"/>
        <w:rPr>
          <w:rFonts w:ascii="Arial" w:eastAsia="Times New Roman" w:hAnsi="Arial" w:cs="Arial"/>
          <w:bCs/>
          <w:sz w:val="20"/>
          <w:szCs w:val="20"/>
          <w:lang w:val="en-US"/>
        </w:rPr>
      </w:pPr>
      <w:r w:rsidRPr="007037BB">
        <w:rPr>
          <w:rFonts w:ascii="Arial" w:eastAsia="Times New Roman" w:hAnsi="Arial" w:cs="Arial"/>
          <w:bCs/>
          <w:sz w:val="20"/>
          <w:szCs w:val="20"/>
          <w:lang w:val="en-US"/>
        </w:rPr>
        <w:t xml:space="preserve">Regarding the </w:t>
      </w:r>
      <w:r w:rsidR="00B63651" w:rsidRPr="007037BB">
        <w:rPr>
          <w:rFonts w:ascii="Arial" w:eastAsia="Times New Roman" w:hAnsi="Arial" w:cs="Arial"/>
          <w:bCs/>
          <w:sz w:val="20"/>
          <w:szCs w:val="20"/>
          <w:lang w:val="en-US"/>
        </w:rPr>
        <w:t xml:space="preserve">preliminary spending </w:t>
      </w:r>
      <w:r w:rsidRPr="007037BB">
        <w:rPr>
          <w:rFonts w:ascii="Arial" w:eastAsia="Times New Roman" w:hAnsi="Arial" w:cs="Arial"/>
          <w:bCs/>
          <w:sz w:val="20"/>
          <w:szCs w:val="20"/>
          <w:lang w:val="en-US"/>
        </w:rPr>
        <w:t>outcomes</w:t>
      </w:r>
      <w:r w:rsidR="00B63651" w:rsidRPr="007037BB">
        <w:rPr>
          <w:rFonts w:ascii="Arial" w:eastAsia="Times New Roman" w:hAnsi="Arial" w:cs="Arial"/>
          <w:bCs/>
          <w:sz w:val="20"/>
          <w:szCs w:val="20"/>
          <w:lang w:val="en-US"/>
        </w:rPr>
        <w:t xml:space="preserve">, DoH reported that from a total allocation of R64.555 billion, an amount of R62.876 billion or 97.4 per cent was spent </w:t>
      </w:r>
      <w:r w:rsidRPr="007037BB">
        <w:rPr>
          <w:rFonts w:ascii="Arial" w:eastAsia="Times New Roman" w:hAnsi="Arial" w:cs="Arial"/>
          <w:bCs/>
          <w:sz w:val="20"/>
          <w:szCs w:val="20"/>
          <w:lang w:val="en-US"/>
        </w:rPr>
        <w:t xml:space="preserve">as </w:t>
      </w:r>
      <w:r w:rsidR="00B63651" w:rsidRPr="007037BB">
        <w:rPr>
          <w:rFonts w:ascii="Arial" w:eastAsia="Times New Roman" w:hAnsi="Arial" w:cs="Arial"/>
          <w:bCs/>
          <w:sz w:val="20"/>
          <w:szCs w:val="20"/>
          <w:lang w:val="en-US"/>
        </w:rPr>
        <w:t xml:space="preserve">at the end of the 2022/23 financial year. </w:t>
      </w:r>
      <w:r w:rsidR="00DF057B" w:rsidRPr="007037BB">
        <w:rPr>
          <w:rFonts w:ascii="Arial" w:eastAsia="Times New Roman" w:hAnsi="Arial" w:cs="Arial"/>
          <w:bCs/>
          <w:sz w:val="20"/>
          <w:szCs w:val="20"/>
          <w:lang w:val="en-US"/>
        </w:rPr>
        <w:t xml:space="preserve">This resulted in a variance of R1.679 billion or 2.6 per cent. </w:t>
      </w:r>
    </w:p>
    <w:p w:rsidR="00B63651" w:rsidRPr="007037BB" w:rsidRDefault="00B63651" w:rsidP="007037BB">
      <w:pPr>
        <w:spacing w:after="0" w:line="240" w:lineRule="auto"/>
        <w:rPr>
          <w:rFonts w:ascii="Arial" w:eastAsia="Times New Roman" w:hAnsi="Arial" w:cs="Arial"/>
          <w:b/>
          <w:sz w:val="20"/>
          <w:szCs w:val="20"/>
        </w:rPr>
      </w:pPr>
    </w:p>
    <w:p w:rsidR="00581C71" w:rsidRPr="007037BB" w:rsidRDefault="008F383A" w:rsidP="007037BB">
      <w:pPr>
        <w:spacing w:after="0" w:line="240" w:lineRule="auto"/>
        <w:rPr>
          <w:rFonts w:ascii="Arial" w:eastAsia="Times New Roman" w:hAnsi="Arial" w:cs="Arial"/>
          <w:b/>
          <w:sz w:val="20"/>
          <w:szCs w:val="20"/>
        </w:rPr>
      </w:pPr>
      <w:r w:rsidRPr="007037BB">
        <w:rPr>
          <w:rFonts w:ascii="Arial" w:eastAsia="Times New Roman" w:hAnsi="Arial" w:cs="Arial"/>
          <w:b/>
          <w:sz w:val="20"/>
          <w:szCs w:val="20"/>
        </w:rPr>
        <w:t>4.4</w:t>
      </w:r>
      <w:r w:rsidRPr="007037BB">
        <w:rPr>
          <w:rFonts w:ascii="Arial" w:eastAsia="Times New Roman" w:hAnsi="Arial" w:cs="Arial"/>
          <w:b/>
          <w:sz w:val="20"/>
          <w:szCs w:val="20"/>
        </w:rPr>
        <w:tab/>
        <w:t xml:space="preserve">Department of </w:t>
      </w:r>
      <w:r w:rsidR="00581C71" w:rsidRPr="007037BB">
        <w:rPr>
          <w:rFonts w:ascii="Arial" w:eastAsia="Times New Roman" w:hAnsi="Arial" w:cs="Arial"/>
          <w:b/>
          <w:sz w:val="20"/>
          <w:szCs w:val="20"/>
        </w:rPr>
        <w:t xml:space="preserve">Public Works and Infrastructure </w:t>
      </w:r>
    </w:p>
    <w:p w:rsidR="00581C71" w:rsidRPr="007037BB" w:rsidRDefault="00581C71" w:rsidP="007037BB">
      <w:pPr>
        <w:spacing w:after="0" w:line="240" w:lineRule="auto"/>
        <w:rPr>
          <w:rFonts w:ascii="Arial" w:eastAsia="Times New Roman" w:hAnsi="Arial" w:cs="Arial"/>
          <w:sz w:val="20"/>
          <w:szCs w:val="20"/>
        </w:rPr>
      </w:pPr>
    </w:p>
    <w:p w:rsidR="00581C71" w:rsidRPr="007037BB" w:rsidRDefault="008F383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The Department of </w:t>
      </w:r>
      <w:r w:rsidR="005848E1" w:rsidRPr="007037BB">
        <w:rPr>
          <w:rFonts w:ascii="Arial" w:eastAsia="Times New Roman" w:hAnsi="Arial" w:cs="Arial"/>
          <w:sz w:val="20"/>
          <w:szCs w:val="20"/>
        </w:rPr>
        <w:t xml:space="preserve">Public Works and Infrastructure </w:t>
      </w:r>
      <w:r w:rsidRPr="007037BB">
        <w:rPr>
          <w:rFonts w:ascii="Arial" w:eastAsia="Times New Roman" w:hAnsi="Arial" w:cs="Arial"/>
          <w:sz w:val="20"/>
          <w:szCs w:val="20"/>
        </w:rPr>
        <w:t>(D</w:t>
      </w:r>
      <w:r w:rsidR="00581C71" w:rsidRPr="007037BB">
        <w:rPr>
          <w:rFonts w:ascii="Arial" w:eastAsia="Times New Roman" w:hAnsi="Arial" w:cs="Arial"/>
          <w:sz w:val="20"/>
          <w:szCs w:val="20"/>
        </w:rPr>
        <w:t>PWI</w:t>
      </w:r>
      <w:r w:rsidRPr="007037BB">
        <w:rPr>
          <w:rFonts w:ascii="Arial" w:eastAsia="Times New Roman" w:hAnsi="Arial" w:cs="Arial"/>
          <w:sz w:val="20"/>
          <w:szCs w:val="20"/>
        </w:rPr>
        <w:t>) appraised the Committee on overall possible service delivery implications of the proposed allocation of R</w:t>
      </w:r>
      <w:r w:rsidR="00581C71" w:rsidRPr="007037BB">
        <w:rPr>
          <w:rFonts w:ascii="Arial" w:eastAsia="Times New Roman" w:hAnsi="Arial" w:cs="Arial"/>
          <w:sz w:val="20"/>
          <w:szCs w:val="20"/>
        </w:rPr>
        <w:t>8.782</w:t>
      </w:r>
      <w:r w:rsidRPr="007037BB">
        <w:rPr>
          <w:rFonts w:ascii="Arial" w:eastAsia="Times New Roman" w:hAnsi="Arial" w:cs="Arial"/>
          <w:sz w:val="20"/>
          <w:szCs w:val="20"/>
        </w:rPr>
        <w:t xml:space="preserve"> billion </w:t>
      </w:r>
      <w:r w:rsidR="00581C71" w:rsidRPr="007037BB">
        <w:rPr>
          <w:rFonts w:ascii="Arial" w:eastAsia="Times New Roman" w:hAnsi="Arial" w:cs="Arial"/>
          <w:sz w:val="20"/>
          <w:szCs w:val="20"/>
        </w:rPr>
        <w:t xml:space="preserve">during the 2023/24 financial year. </w:t>
      </w:r>
      <w:r w:rsidRPr="007037BB">
        <w:rPr>
          <w:rFonts w:ascii="Arial" w:eastAsia="Times New Roman" w:hAnsi="Arial" w:cs="Arial"/>
          <w:sz w:val="20"/>
          <w:szCs w:val="20"/>
        </w:rPr>
        <w:t>D</w:t>
      </w:r>
      <w:r w:rsidR="00581C71" w:rsidRPr="007037BB">
        <w:rPr>
          <w:rFonts w:ascii="Arial" w:eastAsia="Times New Roman" w:hAnsi="Arial" w:cs="Arial"/>
          <w:sz w:val="20"/>
          <w:szCs w:val="20"/>
        </w:rPr>
        <w:t>PWI’s budget is expected increase at an annua</w:t>
      </w:r>
      <w:r w:rsidR="00133CEE" w:rsidRPr="007037BB">
        <w:rPr>
          <w:rFonts w:ascii="Arial" w:eastAsia="Times New Roman" w:hAnsi="Arial" w:cs="Arial"/>
          <w:sz w:val="20"/>
          <w:szCs w:val="20"/>
        </w:rPr>
        <w:t>l</w:t>
      </w:r>
      <w:r w:rsidR="00581C71" w:rsidRPr="007037BB">
        <w:rPr>
          <w:rFonts w:ascii="Arial" w:eastAsia="Times New Roman" w:hAnsi="Arial" w:cs="Arial"/>
          <w:sz w:val="20"/>
          <w:szCs w:val="20"/>
        </w:rPr>
        <w:t xml:space="preserve"> rate of about 5.5 per cent over the MTEF to R9.569 billion in 2025/26.</w:t>
      </w:r>
      <w:r w:rsidRPr="007037BB">
        <w:rPr>
          <w:rFonts w:ascii="Arial" w:eastAsia="Times New Roman" w:hAnsi="Arial" w:cs="Arial"/>
          <w:sz w:val="20"/>
          <w:szCs w:val="20"/>
        </w:rPr>
        <w:t xml:space="preserve"> </w:t>
      </w:r>
      <w:r w:rsidR="00581C71" w:rsidRPr="007037BB">
        <w:rPr>
          <w:rFonts w:ascii="Arial" w:eastAsia="Times New Roman" w:hAnsi="Arial" w:cs="Arial"/>
          <w:sz w:val="20"/>
          <w:szCs w:val="20"/>
        </w:rPr>
        <w:t xml:space="preserve">About 85.6 per cent of the DPWI’s total budget over the MTEF will go towards transfers and subsidies </w:t>
      </w:r>
      <w:r w:rsidR="00B561B8" w:rsidRPr="007037BB">
        <w:rPr>
          <w:rFonts w:ascii="Arial" w:eastAsia="Times New Roman" w:hAnsi="Arial" w:cs="Arial"/>
          <w:sz w:val="20"/>
          <w:szCs w:val="20"/>
        </w:rPr>
        <w:t xml:space="preserve">for the operations of entities, conditional grants to provinces and municipalities and to implement the Expanded Public Works Programme (EPWP). DPWI submitted that it will continue to focus on creating work opportunities and to facilitate the development of skills in the construction and built environment sectors. </w:t>
      </w:r>
    </w:p>
    <w:p w:rsidR="00581C71" w:rsidRPr="007037BB" w:rsidRDefault="00581C71" w:rsidP="007037BB">
      <w:pPr>
        <w:spacing w:after="0" w:line="240" w:lineRule="auto"/>
        <w:rPr>
          <w:rFonts w:ascii="Arial" w:eastAsia="Times New Roman" w:hAnsi="Arial" w:cs="Arial"/>
          <w:sz w:val="20"/>
          <w:szCs w:val="20"/>
        </w:rPr>
      </w:pPr>
    </w:p>
    <w:p w:rsidR="00581C71" w:rsidRPr="007037BB" w:rsidRDefault="00B561B8"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DPWI reported that the EPWP ha</w:t>
      </w:r>
      <w:r w:rsidR="00133CEE" w:rsidRPr="007037BB">
        <w:rPr>
          <w:rFonts w:ascii="Arial" w:eastAsia="Times New Roman" w:hAnsi="Arial" w:cs="Arial"/>
          <w:sz w:val="20"/>
          <w:szCs w:val="20"/>
        </w:rPr>
        <w:t>s</w:t>
      </w:r>
      <w:r w:rsidRPr="007037BB">
        <w:rPr>
          <w:rFonts w:ascii="Arial" w:eastAsia="Times New Roman" w:hAnsi="Arial" w:cs="Arial"/>
          <w:sz w:val="20"/>
          <w:szCs w:val="20"/>
        </w:rPr>
        <w:t xml:space="preserve"> a total budget of R9.7 billion over the MTEF, increasing at an average annual rate of 3.6 per cent. Of this amount, R610.6 million was allocated over the medium term towards Compensation of Employees in the programme, and R605.8 million for goods and services. Furthermore, R17.1 billion will be allocated over the medium term towards infrastructure projects for 24 departments, including correctional centres, police stations, courts and office buildings. As part of this, an amount of R19 million over the MTEF will be spent on projects to retrofit buildings to allow access for people with disabilities. DPWI further reported that R41.3 billion was allocated over the MTEF towards property management functions, which include repairs and maintenance of state-owned buildings, payment of municipal services as well as payments for private leases. Of this, R4.6 billion was allocated for ad hoc building maintenance. It was further reported that R8.1 billion was allocated towards the operational expenses of the entity</w:t>
      </w:r>
      <w:r w:rsidR="00C313BC" w:rsidRPr="007037BB">
        <w:rPr>
          <w:rFonts w:ascii="Arial" w:eastAsia="Times New Roman" w:hAnsi="Arial" w:cs="Arial"/>
          <w:sz w:val="20"/>
          <w:szCs w:val="20"/>
        </w:rPr>
        <w:t xml:space="preserve">, </w:t>
      </w:r>
      <w:r w:rsidR="001A77F8" w:rsidRPr="007037BB">
        <w:rPr>
          <w:rFonts w:ascii="Arial" w:eastAsia="Times New Roman" w:hAnsi="Arial" w:cs="Arial"/>
          <w:sz w:val="20"/>
          <w:szCs w:val="20"/>
        </w:rPr>
        <w:t>i.e.,</w:t>
      </w:r>
      <w:r w:rsidR="00C313BC" w:rsidRPr="007037BB">
        <w:rPr>
          <w:rFonts w:ascii="Arial" w:eastAsia="Times New Roman" w:hAnsi="Arial" w:cs="Arial"/>
          <w:sz w:val="20"/>
          <w:szCs w:val="20"/>
        </w:rPr>
        <w:t xml:space="preserve"> </w:t>
      </w:r>
      <w:r w:rsidRPr="007037BB">
        <w:rPr>
          <w:rFonts w:ascii="Arial" w:eastAsia="Times New Roman" w:hAnsi="Arial" w:cs="Arial"/>
          <w:sz w:val="20"/>
          <w:szCs w:val="20"/>
        </w:rPr>
        <w:t xml:space="preserve">compensation of employees, goods and service, machinery and equipment. </w:t>
      </w:r>
      <w:r w:rsidR="00C313BC" w:rsidRPr="007037BB">
        <w:rPr>
          <w:rFonts w:ascii="Arial" w:eastAsia="Times New Roman" w:hAnsi="Arial" w:cs="Arial"/>
          <w:sz w:val="20"/>
          <w:szCs w:val="20"/>
        </w:rPr>
        <w:t>As part of th</w:t>
      </w:r>
      <w:r w:rsidR="001A77F8" w:rsidRPr="007037BB">
        <w:rPr>
          <w:rFonts w:ascii="Arial" w:eastAsia="Times New Roman" w:hAnsi="Arial" w:cs="Arial"/>
          <w:sz w:val="20"/>
          <w:szCs w:val="20"/>
        </w:rPr>
        <w:t>is</w:t>
      </w:r>
      <w:r w:rsidR="00C313BC" w:rsidRPr="007037BB">
        <w:rPr>
          <w:rFonts w:ascii="Arial" w:eastAsia="Times New Roman" w:hAnsi="Arial" w:cs="Arial"/>
          <w:sz w:val="20"/>
          <w:szCs w:val="20"/>
        </w:rPr>
        <w:t xml:space="preserve">, </w:t>
      </w:r>
      <w:r w:rsidRPr="007037BB">
        <w:rPr>
          <w:rFonts w:ascii="Arial" w:eastAsia="Times New Roman" w:hAnsi="Arial" w:cs="Arial"/>
          <w:sz w:val="20"/>
          <w:szCs w:val="20"/>
        </w:rPr>
        <w:t xml:space="preserve">R415 million </w:t>
      </w:r>
      <w:r w:rsidR="00C313BC" w:rsidRPr="007037BB">
        <w:rPr>
          <w:rFonts w:ascii="Arial" w:eastAsia="Times New Roman" w:hAnsi="Arial" w:cs="Arial"/>
          <w:sz w:val="20"/>
          <w:szCs w:val="20"/>
        </w:rPr>
        <w:t>was</w:t>
      </w:r>
      <w:r w:rsidRPr="007037BB">
        <w:rPr>
          <w:rFonts w:ascii="Arial" w:eastAsia="Times New Roman" w:hAnsi="Arial" w:cs="Arial"/>
          <w:sz w:val="20"/>
          <w:szCs w:val="20"/>
        </w:rPr>
        <w:t xml:space="preserve"> allocated towards ICT projects which include</w:t>
      </w:r>
      <w:r w:rsidR="00C313BC" w:rsidRPr="007037BB">
        <w:rPr>
          <w:rFonts w:ascii="Arial" w:eastAsia="Times New Roman" w:hAnsi="Arial" w:cs="Arial"/>
          <w:sz w:val="20"/>
          <w:szCs w:val="20"/>
        </w:rPr>
        <w:t>d</w:t>
      </w:r>
      <w:r w:rsidRPr="007037BB">
        <w:rPr>
          <w:rFonts w:ascii="Arial" w:eastAsia="Times New Roman" w:hAnsi="Arial" w:cs="Arial"/>
          <w:sz w:val="20"/>
          <w:szCs w:val="20"/>
        </w:rPr>
        <w:t xml:space="preserve"> the </w:t>
      </w:r>
      <w:r w:rsidR="00C313BC" w:rsidRPr="007037BB">
        <w:rPr>
          <w:rFonts w:ascii="Arial" w:eastAsia="Times New Roman" w:hAnsi="Arial" w:cs="Arial"/>
          <w:sz w:val="20"/>
          <w:szCs w:val="20"/>
        </w:rPr>
        <w:t>d</w:t>
      </w:r>
      <w:r w:rsidRPr="007037BB">
        <w:rPr>
          <w:rFonts w:ascii="Arial" w:eastAsia="Times New Roman" w:hAnsi="Arial" w:cs="Arial"/>
          <w:sz w:val="20"/>
          <w:szCs w:val="20"/>
        </w:rPr>
        <w:t xml:space="preserve">igitalisation </w:t>
      </w:r>
      <w:r w:rsidR="00C313BC" w:rsidRPr="007037BB">
        <w:rPr>
          <w:rFonts w:ascii="Arial" w:eastAsia="Times New Roman" w:hAnsi="Arial" w:cs="Arial"/>
          <w:sz w:val="20"/>
          <w:szCs w:val="20"/>
        </w:rPr>
        <w:t>and</w:t>
      </w:r>
      <w:r w:rsidRPr="007037BB">
        <w:rPr>
          <w:rFonts w:ascii="Arial" w:eastAsia="Times New Roman" w:hAnsi="Arial" w:cs="Arial"/>
          <w:sz w:val="20"/>
          <w:szCs w:val="20"/>
        </w:rPr>
        <w:t xml:space="preserve"> modernisation </w:t>
      </w:r>
      <w:r w:rsidR="00C313BC" w:rsidRPr="007037BB">
        <w:rPr>
          <w:rFonts w:ascii="Arial" w:eastAsia="Times New Roman" w:hAnsi="Arial" w:cs="Arial"/>
          <w:sz w:val="20"/>
          <w:szCs w:val="20"/>
        </w:rPr>
        <w:t xml:space="preserve">of </w:t>
      </w:r>
      <w:r w:rsidRPr="007037BB">
        <w:rPr>
          <w:rFonts w:ascii="Arial" w:eastAsia="Times New Roman" w:hAnsi="Arial" w:cs="Arial"/>
          <w:sz w:val="20"/>
          <w:szCs w:val="20"/>
        </w:rPr>
        <w:t>projects</w:t>
      </w:r>
      <w:r w:rsidR="00C313BC" w:rsidRPr="007037BB">
        <w:rPr>
          <w:rFonts w:ascii="Arial" w:eastAsia="Times New Roman" w:hAnsi="Arial" w:cs="Arial"/>
          <w:sz w:val="20"/>
          <w:szCs w:val="20"/>
        </w:rPr>
        <w:t xml:space="preserve">. </w:t>
      </w:r>
    </w:p>
    <w:p w:rsidR="00B561B8" w:rsidRPr="007037BB" w:rsidRDefault="00B561B8" w:rsidP="007037BB">
      <w:pPr>
        <w:spacing w:after="0" w:line="240" w:lineRule="auto"/>
        <w:rPr>
          <w:rFonts w:ascii="Arial" w:eastAsia="Times New Roman" w:hAnsi="Arial" w:cs="Arial"/>
          <w:sz w:val="20"/>
          <w:szCs w:val="20"/>
        </w:rPr>
      </w:pPr>
    </w:p>
    <w:p w:rsidR="00266A1A" w:rsidRPr="007037BB" w:rsidRDefault="00266A1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DPWI reported that it had a total of </w:t>
      </w:r>
      <w:r w:rsidR="001A77F8" w:rsidRPr="007037BB">
        <w:rPr>
          <w:rFonts w:ascii="Arial" w:eastAsia="Times New Roman" w:hAnsi="Arial" w:cs="Arial"/>
          <w:sz w:val="20"/>
          <w:szCs w:val="20"/>
        </w:rPr>
        <w:t xml:space="preserve">674 </w:t>
      </w:r>
      <w:r w:rsidR="00817601" w:rsidRPr="007037BB">
        <w:rPr>
          <w:rFonts w:ascii="Arial" w:eastAsia="Times New Roman" w:hAnsi="Arial" w:cs="Arial"/>
          <w:sz w:val="20"/>
          <w:szCs w:val="20"/>
        </w:rPr>
        <w:t xml:space="preserve">or 12 per cent </w:t>
      </w:r>
      <w:r w:rsidR="001A77F8" w:rsidRPr="007037BB">
        <w:rPr>
          <w:rFonts w:ascii="Arial" w:eastAsia="Times New Roman" w:hAnsi="Arial" w:cs="Arial"/>
          <w:sz w:val="20"/>
          <w:szCs w:val="20"/>
        </w:rPr>
        <w:t>vacanc</w:t>
      </w:r>
      <w:r w:rsidR="00817601" w:rsidRPr="007037BB">
        <w:rPr>
          <w:rFonts w:ascii="Arial" w:eastAsia="Times New Roman" w:hAnsi="Arial" w:cs="Arial"/>
          <w:sz w:val="20"/>
          <w:szCs w:val="20"/>
        </w:rPr>
        <w:t>y rate</w:t>
      </w:r>
      <w:r w:rsidR="001A77F8" w:rsidRPr="007037BB">
        <w:rPr>
          <w:rFonts w:ascii="Arial" w:eastAsia="Times New Roman" w:hAnsi="Arial" w:cs="Arial"/>
          <w:sz w:val="20"/>
          <w:szCs w:val="20"/>
        </w:rPr>
        <w:t xml:space="preserve"> </w:t>
      </w:r>
      <w:r w:rsidR="00817601" w:rsidRPr="007037BB">
        <w:rPr>
          <w:rFonts w:ascii="Arial" w:eastAsia="Times New Roman" w:hAnsi="Arial" w:cs="Arial"/>
          <w:sz w:val="20"/>
          <w:szCs w:val="20"/>
        </w:rPr>
        <w:t xml:space="preserve">from a total of 5857 positions. </w:t>
      </w:r>
      <w:r w:rsidR="001A77F8" w:rsidRPr="007037BB">
        <w:rPr>
          <w:rFonts w:ascii="Arial" w:eastAsia="Times New Roman" w:hAnsi="Arial" w:cs="Arial"/>
          <w:sz w:val="20"/>
          <w:szCs w:val="20"/>
        </w:rPr>
        <w:t>Th</w:t>
      </w:r>
      <w:r w:rsidR="00676CC4" w:rsidRPr="007037BB">
        <w:rPr>
          <w:rFonts w:ascii="Arial" w:eastAsia="Times New Roman" w:hAnsi="Arial" w:cs="Arial"/>
          <w:sz w:val="20"/>
          <w:szCs w:val="20"/>
        </w:rPr>
        <w:t>is</w:t>
      </w:r>
      <w:r w:rsidR="001A77F8" w:rsidRPr="007037BB">
        <w:rPr>
          <w:rFonts w:ascii="Arial" w:eastAsia="Times New Roman" w:hAnsi="Arial" w:cs="Arial"/>
          <w:sz w:val="20"/>
          <w:szCs w:val="20"/>
        </w:rPr>
        <w:t xml:space="preserve"> vacancy rate was mainly due to a moratorium that has been imposed in order to brief the Minister and Deputy Minister on current programmes including the organizational structures, capacitation and other critical areas which required Executive intervention.</w:t>
      </w:r>
    </w:p>
    <w:p w:rsidR="001A77F8" w:rsidRPr="007037BB" w:rsidRDefault="001A77F8" w:rsidP="007037BB">
      <w:pPr>
        <w:spacing w:after="0" w:line="240" w:lineRule="auto"/>
        <w:rPr>
          <w:rFonts w:ascii="Arial" w:eastAsia="Times New Roman" w:hAnsi="Arial" w:cs="Arial"/>
          <w:sz w:val="20"/>
          <w:szCs w:val="20"/>
        </w:rPr>
      </w:pPr>
    </w:p>
    <w:p w:rsidR="008F383A" w:rsidRPr="007037BB" w:rsidRDefault="00B60A32"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Regarding</w:t>
      </w:r>
      <w:r w:rsidR="008F383A" w:rsidRPr="007037BB">
        <w:rPr>
          <w:rFonts w:ascii="Arial" w:eastAsia="Times New Roman" w:hAnsi="Arial" w:cs="Arial"/>
          <w:sz w:val="20"/>
          <w:szCs w:val="20"/>
        </w:rPr>
        <w:t xml:space="preserve"> the preliminary spending </w:t>
      </w:r>
      <w:r w:rsidRPr="007037BB">
        <w:rPr>
          <w:rFonts w:ascii="Arial" w:eastAsia="Times New Roman" w:hAnsi="Arial" w:cs="Arial"/>
          <w:sz w:val="20"/>
          <w:szCs w:val="20"/>
        </w:rPr>
        <w:t xml:space="preserve">outcomes </w:t>
      </w:r>
      <w:r w:rsidR="008F383A" w:rsidRPr="007037BB">
        <w:rPr>
          <w:rFonts w:ascii="Arial" w:eastAsia="Times New Roman" w:hAnsi="Arial" w:cs="Arial"/>
          <w:sz w:val="20"/>
          <w:szCs w:val="20"/>
        </w:rPr>
        <w:t>for the 202</w:t>
      </w:r>
      <w:r w:rsidR="00C27020" w:rsidRPr="007037BB">
        <w:rPr>
          <w:rFonts w:ascii="Arial" w:eastAsia="Times New Roman" w:hAnsi="Arial" w:cs="Arial"/>
          <w:sz w:val="20"/>
          <w:szCs w:val="20"/>
        </w:rPr>
        <w:t>2/23</w:t>
      </w:r>
      <w:r w:rsidR="008F383A" w:rsidRPr="007037BB">
        <w:rPr>
          <w:rFonts w:ascii="Arial" w:eastAsia="Times New Roman" w:hAnsi="Arial" w:cs="Arial"/>
          <w:sz w:val="20"/>
          <w:szCs w:val="20"/>
        </w:rPr>
        <w:t xml:space="preserve"> financial year, the D</w:t>
      </w:r>
      <w:r w:rsidR="00C27020" w:rsidRPr="007037BB">
        <w:rPr>
          <w:rFonts w:ascii="Arial" w:eastAsia="Times New Roman" w:hAnsi="Arial" w:cs="Arial"/>
          <w:sz w:val="20"/>
          <w:szCs w:val="20"/>
        </w:rPr>
        <w:t>PWI</w:t>
      </w:r>
      <w:r w:rsidR="008F383A" w:rsidRPr="007037BB">
        <w:rPr>
          <w:rFonts w:ascii="Arial" w:eastAsia="Times New Roman" w:hAnsi="Arial" w:cs="Arial"/>
          <w:sz w:val="20"/>
          <w:szCs w:val="20"/>
        </w:rPr>
        <w:t xml:space="preserve"> reported that i</w:t>
      </w:r>
      <w:r w:rsidR="006B533D" w:rsidRPr="007037BB">
        <w:rPr>
          <w:rFonts w:ascii="Arial" w:eastAsia="Times New Roman" w:hAnsi="Arial" w:cs="Arial"/>
          <w:sz w:val="20"/>
          <w:szCs w:val="20"/>
        </w:rPr>
        <w:t>t</w:t>
      </w:r>
      <w:r w:rsidR="008F383A" w:rsidRPr="007037BB">
        <w:rPr>
          <w:rFonts w:ascii="Arial" w:eastAsia="Times New Roman" w:hAnsi="Arial" w:cs="Arial"/>
          <w:sz w:val="20"/>
          <w:szCs w:val="20"/>
        </w:rPr>
        <w:t xml:space="preserve"> has spent R</w:t>
      </w:r>
      <w:r w:rsidR="00FD4019" w:rsidRPr="007037BB">
        <w:rPr>
          <w:rFonts w:ascii="Arial" w:eastAsia="Times New Roman" w:hAnsi="Arial" w:cs="Arial"/>
          <w:sz w:val="20"/>
          <w:szCs w:val="20"/>
        </w:rPr>
        <w:t>7.910</w:t>
      </w:r>
      <w:r w:rsidR="008F383A" w:rsidRPr="007037BB">
        <w:rPr>
          <w:rFonts w:ascii="Arial" w:eastAsia="Times New Roman" w:hAnsi="Arial" w:cs="Arial"/>
          <w:sz w:val="20"/>
          <w:szCs w:val="20"/>
        </w:rPr>
        <w:t xml:space="preserve"> billion or </w:t>
      </w:r>
      <w:r w:rsidR="00FD4019" w:rsidRPr="007037BB">
        <w:rPr>
          <w:rFonts w:ascii="Arial" w:eastAsia="Times New Roman" w:hAnsi="Arial" w:cs="Arial"/>
          <w:sz w:val="20"/>
          <w:szCs w:val="20"/>
        </w:rPr>
        <w:t>97</w:t>
      </w:r>
      <w:r w:rsidR="008F383A" w:rsidRPr="007037BB">
        <w:rPr>
          <w:rFonts w:ascii="Arial" w:eastAsia="Times New Roman" w:hAnsi="Arial" w:cs="Arial"/>
          <w:sz w:val="20"/>
          <w:szCs w:val="20"/>
        </w:rPr>
        <w:t xml:space="preserve"> per cent of the total adjusted appropriation of R</w:t>
      </w:r>
      <w:r w:rsidR="00FD4019" w:rsidRPr="007037BB">
        <w:rPr>
          <w:rFonts w:ascii="Arial" w:eastAsia="Times New Roman" w:hAnsi="Arial" w:cs="Arial"/>
          <w:sz w:val="20"/>
          <w:szCs w:val="20"/>
        </w:rPr>
        <w:t>8.152</w:t>
      </w:r>
      <w:r w:rsidR="008F383A" w:rsidRPr="007037BB">
        <w:rPr>
          <w:rFonts w:ascii="Arial" w:eastAsia="Times New Roman" w:hAnsi="Arial" w:cs="Arial"/>
          <w:sz w:val="20"/>
          <w:szCs w:val="20"/>
        </w:rPr>
        <w:t xml:space="preserve"> billion. This translated into a R</w:t>
      </w:r>
      <w:r w:rsidR="00FD4019" w:rsidRPr="007037BB">
        <w:rPr>
          <w:rFonts w:ascii="Arial" w:eastAsia="Times New Roman" w:hAnsi="Arial" w:cs="Arial"/>
          <w:sz w:val="20"/>
          <w:szCs w:val="20"/>
        </w:rPr>
        <w:t>242.562</w:t>
      </w:r>
      <w:r w:rsidR="008F383A" w:rsidRPr="007037BB">
        <w:rPr>
          <w:rFonts w:ascii="Arial" w:eastAsia="Times New Roman" w:hAnsi="Arial" w:cs="Arial"/>
          <w:sz w:val="20"/>
          <w:szCs w:val="20"/>
        </w:rPr>
        <w:t xml:space="preserve"> million or </w:t>
      </w:r>
      <w:r w:rsidR="00FD4019" w:rsidRPr="007037BB">
        <w:rPr>
          <w:rFonts w:ascii="Arial" w:eastAsia="Times New Roman" w:hAnsi="Arial" w:cs="Arial"/>
          <w:sz w:val="20"/>
          <w:szCs w:val="20"/>
        </w:rPr>
        <w:t>3</w:t>
      </w:r>
      <w:r w:rsidR="008F383A" w:rsidRPr="007037BB">
        <w:rPr>
          <w:rFonts w:ascii="Arial" w:eastAsia="Times New Roman" w:hAnsi="Arial" w:cs="Arial"/>
          <w:sz w:val="20"/>
          <w:szCs w:val="20"/>
        </w:rPr>
        <w:t xml:space="preserve"> per cent under spending as at the end of the financial year. </w:t>
      </w:r>
    </w:p>
    <w:p w:rsidR="00913805" w:rsidRPr="007037BB" w:rsidRDefault="00913805" w:rsidP="007037BB">
      <w:pPr>
        <w:spacing w:after="0" w:line="240" w:lineRule="auto"/>
        <w:rPr>
          <w:rFonts w:ascii="Arial" w:eastAsia="Times New Roman" w:hAnsi="Arial" w:cs="Arial"/>
          <w:sz w:val="20"/>
          <w:szCs w:val="20"/>
        </w:rPr>
      </w:pPr>
    </w:p>
    <w:p w:rsidR="008F383A" w:rsidRPr="007037BB" w:rsidRDefault="008F383A" w:rsidP="007037BB">
      <w:pPr>
        <w:numPr>
          <w:ilvl w:val="1"/>
          <w:numId w:val="16"/>
        </w:numPr>
        <w:spacing w:after="0" w:line="240" w:lineRule="auto"/>
        <w:contextualSpacing/>
        <w:rPr>
          <w:rFonts w:ascii="Arial" w:eastAsia="Times New Roman" w:hAnsi="Arial" w:cs="Arial"/>
          <w:b/>
          <w:sz w:val="20"/>
          <w:szCs w:val="20"/>
        </w:rPr>
      </w:pPr>
      <w:r w:rsidRPr="007037BB">
        <w:rPr>
          <w:rFonts w:ascii="Arial" w:eastAsia="Times New Roman" w:hAnsi="Arial" w:cs="Arial"/>
          <w:b/>
          <w:sz w:val="20"/>
          <w:szCs w:val="20"/>
          <w:lang w:val="en-GB"/>
        </w:rPr>
        <w:t xml:space="preserve">Department of </w:t>
      </w:r>
      <w:r w:rsidR="000C7F1F" w:rsidRPr="007037BB">
        <w:rPr>
          <w:rFonts w:ascii="Arial" w:eastAsia="Times New Roman" w:hAnsi="Arial" w:cs="Arial"/>
          <w:b/>
          <w:sz w:val="20"/>
          <w:szCs w:val="20"/>
          <w:lang w:val="en-GB"/>
        </w:rPr>
        <w:t>Transport</w:t>
      </w:r>
    </w:p>
    <w:p w:rsidR="008F383A" w:rsidRPr="007037BB" w:rsidRDefault="008F383A" w:rsidP="007037BB">
      <w:pPr>
        <w:spacing w:after="0" w:line="240" w:lineRule="auto"/>
        <w:ind w:left="360"/>
        <w:contextualSpacing/>
        <w:rPr>
          <w:rFonts w:ascii="Arial" w:eastAsia="Times New Roman" w:hAnsi="Arial" w:cs="Arial"/>
          <w:b/>
          <w:sz w:val="20"/>
          <w:szCs w:val="20"/>
        </w:rPr>
      </w:pPr>
    </w:p>
    <w:p w:rsidR="00AE4136" w:rsidRPr="007037BB" w:rsidRDefault="008F383A" w:rsidP="007037BB">
      <w:pPr>
        <w:spacing w:after="0" w:line="240" w:lineRule="auto"/>
        <w:rPr>
          <w:rFonts w:ascii="Arial" w:eastAsia="Times New Roman" w:hAnsi="Arial" w:cs="Arial"/>
          <w:bCs/>
          <w:sz w:val="20"/>
          <w:szCs w:val="20"/>
        </w:rPr>
      </w:pPr>
      <w:r w:rsidRPr="007037BB">
        <w:rPr>
          <w:rFonts w:ascii="Arial" w:eastAsia="Times New Roman" w:hAnsi="Arial" w:cs="Arial"/>
          <w:sz w:val="20"/>
          <w:szCs w:val="20"/>
        </w:rPr>
        <w:t xml:space="preserve">The Department of </w:t>
      </w:r>
      <w:r w:rsidR="000C7F1F" w:rsidRPr="007037BB">
        <w:rPr>
          <w:rFonts w:ascii="Arial" w:eastAsia="Times New Roman" w:hAnsi="Arial" w:cs="Arial"/>
          <w:sz w:val="20"/>
          <w:szCs w:val="20"/>
        </w:rPr>
        <w:t>Transport</w:t>
      </w:r>
      <w:r w:rsidRPr="007037BB">
        <w:rPr>
          <w:rFonts w:ascii="Arial" w:eastAsia="Times New Roman" w:hAnsi="Arial" w:cs="Arial"/>
          <w:sz w:val="20"/>
          <w:szCs w:val="20"/>
        </w:rPr>
        <w:t xml:space="preserve"> (D</w:t>
      </w:r>
      <w:r w:rsidR="000C7F1F" w:rsidRPr="007037BB">
        <w:rPr>
          <w:rFonts w:ascii="Arial" w:eastAsia="Times New Roman" w:hAnsi="Arial" w:cs="Arial"/>
          <w:sz w:val="20"/>
          <w:szCs w:val="20"/>
        </w:rPr>
        <w:t>oT</w:t>
      </w:r>
      <w:r w:rsidRPr="007037BB">
        <w:rPr>
          <w:rFonts w:ascii="Arial" w:eastAsia="Times New Roman" w:hAnsi="Arial" w:cs="Arial"/>
          <w:sz w:val="20"/>
          <w:szCs w:val="20"/>
        </w:rPr>
        <w:t xml:space="preserve">) </w:t>
      </w:r>
      <w:r w:rsidRPr="007037BB">
        <w:rPr>
          <w:rFonts w:ascii="Arial" w:eastAsia="Times New Roman" w:hAnsi="Arial" w:cs="Arial"/>
          <w:bCs/>
          <w:sz w:val="20"/>
          <w:szCs w:val="20"/>
          <w:lang w:val="en-GB"/>
        </w:rPr>
        <w:t xml:space="preserve">appraised the Committee on overall possible service delivery implications of the proposed allocation of </w:t>
      </w:r>
      <w:r w:rsidR="000C7F1F" w:rsidRPr="007037BB">
        <w:rPr>
          <w:rFonts w:ascii="Arial" w:eastAsia="Times New Roman" w:hAnsi="Arial" w:cs="Arial"/>
          <w:bCs/>
          <w:sz w:val="20"/>
          <w:szCs w:val="20"/>
          <w:lang w:val="en-GB"/>
        </w:rPr>
        <w:t xml:space="preserve">the </w:t>
      </w:r>
      <w:r w:rsidRPr="007037BB">
        <w:rPr>
          <w:rFonts w:ascii="Arial" w:eastAsia="Times New Roman" w:hAnsi="Arial" w:cs="Arial"/>
          <w:bCs/>
          <w:sz w:val="20"/>
          <w:szCs w:val="20"/>
          <w:lang w:val="en-GB"/>
        </w:rPr>
        <w:t>R</w:t>
      </w:r>
      <w:r w:rsidR="000C7F1F" w:rsidRPr="007037BB">
        <w:rPr>
          <w:rFonts w:ascii="Arial" w:eastAsia="Times New Roman" w:hAnsi="Arial" w:cs="Arial"/>
          <w:bCs/>
          <w:sz w:val="20"/>
          <w:szCs w:val="20"/>
          <w:lang w:val="en-GB"/>
        </w:rPr>
        <w:t>79.565</w:t>
      </w:r>
      <w:r w:rsidRPr="007037BB">
        <w:rPr>
          <w:rFonts w:ascii="Arial" w:eastAsia="Times New Roman" w:hAnsi="Arial" w:cs="Arial"/>
          <w:bCs/>
          <w:sz w:val="20"/>
          <w:szCs w:val="20"/>
          <w:lang w:val="en-GB"/>
        </w:rPr>
        <w:t xml:space="preserve"> billion </w:t>
      </w:r>
      <w:r w:rsidR="000C7F1F" w:rsidRPr="007037BB">
        <w:rPr>
          <w:rFonts w:ascii="Arial" w:eastAsia="Times New Roman" w:hAnsi="Arial" w:cs="Arial"/>
          <w:bCs/>
          <w:sz w:val="20"/>
          <w:szCs w:val="20"/>
          <w:lang w:val="en-GB"/>
        </w:rPr>
        <w:t>for the 2023/23 financial year</w:t>
      </w:r>
      <w:r w:rsidRPr="007037BB">
        <w:rPr>
          <w:rFonts w:ascii="Arial" w:eastAsia="Times New Roman" w:hAnsi="Arial" w:cs="Arial"/>
          <w:bCs/>
          <w:sz w:val="20"/>
          <w:szCs w:val="20"/>
          <w:lang w:val="en-GB"/>
        </w:rPr>
        <w:t xml:space="preserve">. </w:t>
      </w:r>
      <w:r w:rsidR="00AE4136" w:rsidRPr="007037BB">
        <w:rPr>
          <w:rFonts w:ascii="Arial" w:eastAsia="Times New Roman" w:hAnsi="Arial" w:cs="Arial"/>
          <w:bCs/>
          <w:sz w:val="20"/>
          <w:szCs w:val="20"/>
          <w:lang w:val="en-GB"/>
        </w:rPr>
        <w:t xml:space="preserve">DoT submitted that </w:t>
      </w:r>
      <w:r w:rsidR="00AE4136" w:rsidRPr="007037BB">
        <w:rPr>
          <w:rFonts w:ascii="Arial" w:eastAsia="Times New Roman" w:hAnsi="Arial" w:cs="Arial"/>
          <w:bCs/>
          <w:sz w:val="20"/>
          <w:szCs w:val="20"/>
          <w:lang w:val="en-US"/>
        </w:rPr>
        <w:t>over the medium term, it aimed to streamline efforts towards improving mobility and access to social and economic activities. Transfers and subsidies accounted for an estimated 98 per cent</w:t>
      </w:r>
      <w:r w:rsidR="00790B33" w:rsidRPr="007037BB">
        <w:rPr>
          <w:rFonts w:ascii="Arial" w:eastAsia="Times New Roman" w:hAnsi="Arial" w:cs="Arial"/>
          <w:bCs/>
          <w:sz w:val="20"/>
          <w:szCs w:val="20"/>
          <w:lang w:val="en-US"/>
        </w:rPr>
        <w:t xml:space="preserve"> </w:t>
      </w:r>
      <w:r w:rsidR="00AE4136" w:rsidRPr="007037BB">
        <w:rPr>
          <w:rFonts w:ascii="Arial" w:eastAsia="Times New Roman" w:hAnsi="Arial" w:cs="Arial"/>
          <w:bCs/>
          <w:sz w:val="20"/>
          <w:szCs w:val="20"/>
          <w:lang w:val="en-US"/>
        </w:rPr>
        <w:t>of DoT’s expenditure over the next 3 years, increasing at an average annual rate of 9.7 per cent as follows:</w:t>
      </w:r>
    </w:p>
    <w:p w:rsidR="00AE4136" w:rsidRPr="007037BB" w:rsidRDefault="00AE4136" w:rsidP="007037BB">
      <w:pPr>
        <w:numPr>
          <w:ilvl w:val="0"/>
          <w:numId w:val="28"/>
        </w:numPr>
        <w:spacing w:after="0" w:line="240" w:lineRule="auto"/>
        <w:rPr>
          <w:rFonts w:ascii="Arial" w:eastAsia="Times New Roman" w:hAnsi="Arial" w:cs="Arial"/>
          <w:bCs/>
          <w:sz w:val="20"/>
          <w:szCs w:val="20"/>
        </w:rPr>
      </w:pPr>
      <w:r w:rsidRPr="007037BB">
        <w:rPr>
          <w:rFonts w:ascii="Arial" w:eastAsia="Times New Roman" w:hAnsi="Arial" w:cs="Arial"/>
          <w:bCs/>
          <w:sz w:val="20"/>
          <w:szCs w:val="20"/>
          <w:lang w:val="en-US"/>
        </w:rPr>
        <w:t xml:space="preserve">R155 billion </w:t>
      </w:r>
      <w:r w:rsidR="00893DA2" w:rsidRPr="007037BB">
        <w:rPr>
          <w:rFonts w:ascii="Arial" w:eastAsia="Times New Roman" w:hAnsi="Arial" w:cs="Arial"/>
          <w:bCs/>
          <w:sz w:val="20"/>
          <w:szCs w:val="20"/>
          <w:lang w:val="en-US"/>
        </w:rPr>
        <w:t>will be</w:t>
      </w:r>
      <w:r w:rsidRPr="007037BB">
        <w:rPr>
          <w:rFonts w:ascii="Arial" w:eastAsia="Times New Roman" w:hAnsi="Arial" w:cs="Arial"/>
          <w:bCs/>
          <w:sz w:val="20"/>
          <w:szCs w:val="20"/>
          <w:lang w:val="en-US"/>
        </w:rPr>
        <w:t xml:space="preserve"> directed towards transport public entities and agencies to carry out their mandated functions, and</w:t>
      </w:r>
    </w:p>
    <w:p w:rsidR="00AE4136" w:rsidRPr="007037BB" w:rsidRDefault="00AE4136" w:rsidP="007037BB">
      <w:pPr>
        <w:numPr>
          <w:ilvl w:val="0"/>
          <w:numId w:val="28"/>
        </w:numPr>
        <w:spacing w:after="0" w:line="240" w:lineRule="auto"/>
        <w:rPr>
          <w:rFonts w:ascii="Arial" w:eastAsia="Times New Roman" w:hAnsi="Arial" w:cs="Arial"/>
          <w:bCs/>
          <w:sz w:val="20"/>
          <w:szCs w:val="20"/>
        </w:rPr>
      </w:pPr>
      <w:r w:rsidRPr="007037BB">
        <w:rPr>
          <w:rFonts w:ascii="Arial" w:eastAsia="Times New Roman" w:hAnsi="Arial" w:cs="Arial"/>
          <w:bCs/>
          <w:sz w:val="20"/>
          <w:szCs w:val="20"/>
          <w:lang w:val="en-US"/>
        </w:rPr>
        <w:t xml:space="preserve">R98.5 billion </w:t>
      </w:r>
      <w:r w:rsidR="00893DA2" w:rsidRPr="007037BB">
        <w:rPr>
          <w:rFonts w:ascii="Arial" w:eastAsia="Times New Roman" w:hAnsi="Arial" w:cs="Arial"/>
          <w:bCs/>
          <w:sz w:val="20"/>
          <w:szCs w:val="20"/>
          <w:lang w:val="en-US"/>
        </w:rPr>
        <w:t>will be</w:t>
      </w:r>
      <w:r w:rsidRPr="007037BB">
        <w:rPr>
          <w:rFonts w:ascii="Arial" w:eastAsia="Times New Roman" w:hAnsi="Arial" w:cs="Arial"/>
          <w:bCs/>
          <w:sz w:val="20"/>
          <w:szCs w:val="20"/>
          <w:lang w:val="en-US"/>
        </w:rPr>
        <w:t xml:space="preserve"> transferred to other spheres of government with concurrent transport functions through the </w:t>
      </w:r>
      <w:r w:rsidR="00893DA2" w:rsidRPr="007037BB">
        <w:rPr>
          <w:rFonts w:ascii="Arial" w:eastAsia="Times New Roman" w:hAnsi="Arial" w:cs="Arial"/>
          <w:bCs/>
          <w:sz w:val="20"/>
          <w:szCs w:val="20"/>
          <w:lang w:val="en-US"/>
        </w:rPr>
        <w:t>P</w:t>
      </w:r>
      <w:r w:rsidRPr="007037BB">
        <w:rPr>
          <w:rFonts w:ascii="Arial" w:eastAsia="Times New Roman" w:hAnsi="Arial" w:cs="Arial"/>
          <w:bCs/>
          <w:sz w:val="20"/>
          <w:szCs w:val="20"/>
          <w:lang w:val="en-US"/>
        </w:rPr>
        <w:t xml:space="preserve">rovincial </w:t>
      </w:r>
      <w:r w:rsidR="00893DA2" w:rsidRPr="007037BB">
        <w:rPr>
          <w:rFonts w:ascii="Arial" w:eastAsia="Times New Roman" w:hAnsi="Arial" w:cs="Arial"/>
          <w:bCs/>
          <w:sz w:val="20"/>
          <w:szCs w:val="20"/>
          <w:lang w:val="en-US"/>
        </w:rPr>
        <w:t>R</w:t>
      </w:r>
      <w:r w:rsidRPr="007037BB">
        <w:rPr>
          <w:rFonts w:ascii="Arial" w:eastAsia="Times New Roman" w:hAnsi="Arial" w:cs="Arial"/>
          <w:bCs/>
          <w:sz w:val="20"/>
          <w:szCs w:val="20"/>
          <w:lang w:val="en-US"/>
        </w:rPr>
        <w:t xml:space="preserve">oads </w:t>
      </w:r>
      <w:r w:rsidR="00893DA2" w:rsidRPr="007037BB">
        <w:rPr>
          <w:rFonts w:ascii="Arial" w:eastAsia="Times New Roman" w:hAnsi="Arial" w:cs="Arial"/>
          <w:bCs/>
          <w:sz w:val="20"/>
          <w:szCs w:val="20"/>
          <w:lang w:val="en-US"/>
        </w:rPr>
        <w:t>M</w:t>
      </w:r>
      <w:r w:rsidRPr="007037BB">
        <w:rPr>
          <w:rFonts w:ascii="Arial" w:eastAsia="Times New Roman" w:hAnsi="Arial" w:cs="Arial"/>
          <w:bCs/>
          <w:sz w:val="20"/>
          <w:szCs w:val="20"/>
          <w:lang w:val="en-US"/>
        </w:rPr>
        <w:t xml:space="preserve">aintenance grant, the </w:t>
      </w:r>
      <w:r w:rsidR="00893DA2" w:rsidRPr="007037BB">
        <w:rPr>
          <w:rFonts w:ascii="Arial" w:eastAsia="Times New Roman" w:hAnsi="Arial" w:cs="Arial"/>
          <w:bCs/>
          <w:sz w:val="20"/>
          <w:szCs w:val="20"/>
          <w:lang w:val="en-US"/>
        </w:rPr>
        <w:t>P</w:t>
      </w:r>
      <w:r w:rsidRPr="007037BB">
        <w:rPr>
          <w:rFonts w:ascii="Arial" w:eastAsia="Times New Roman" w:hAnsi="Arial" w:cs="Arial"/>
          <w:bCs/>
          <w:sz w:val="20"/>
          <w:szCs w:val="20"/>
          <w:lang w:val="en-US"/>
        </w:rPr>
        <w:t xml:space="preserve">ublic </w:t>
      </w:r>
      <w:r w:rsidR="00893DA2" w:rsidRPr="007037BB">
        <w:rPr>
          <w:rFonts w:ascii="Arial" w:eastAsia="Times New Roman" w:hAnsi="Arial" w:cs="Arial"/>
          <w:bCs/>
          <w:sz w:val="20"/>
          <w:szCs w:val="20"/>
          <w:lang w:val="en-US"/>
        </w:rPr>
        <w:t>T</w:t>
      </w:r>
      <w:r w:rsidRPr="007037BB">
        <w:rPr>
          <w:rFonts w:ascii="Arial" w:eastAsia="Times New Roman" w:hAnsi="Arial" w:cs="Arial"/>
          <w:bCs/>
          <w:sz w:val="20"/>
          <w:szCs w:val="20"/>
          <w:lang w:val="en-US"/>
        </w:rPr>
        <w:t xml:space="preserve">ransport </w:t>
      </w:r>
      <w:r w:rsidR="00893DA2" w:rsidRPr="007037BB">
        <w:rPr>
          <w:rFonts w:ascii="Arial" w:eastAsia="Times New Roman" w:hAnsi="Arial" w:cs="Arial"/>
          <w:bCs/>
          <w:sz w:val="20"/>
          <w:szCs w:val="20"/>
          <w:lang w:val="en-US"/>
        </w:rPr>
        <w:t>O</w:t>
      </w:r>
      <w:r w:rsidRPr="007037BB">
        <w:rPr>
          <w:rFonts w:ascii="Arial" w:eastAsia="Times New Roman" w:hAnsi="Arial" w:cs="Arial"/>
          <w:bCs/>
          <w:sz w:val="20"/>
          <w:szCs w:val="20"/>
          <w:lang w:val="en-US"/>
        </w:rPr>
        <w:t xml:space="preserve">perations grant, the </w:t>
      </w:r>
      <w:r w:rsidR="00893DA2" w:rsidRPr="007037BB">
        <w:rPr>
          <w:rFonts w:ascii="Arial" w:eastAsia="Times New Roman" w:hAnsi="Arial" w:cs="Arial"/>
          <w:bCs/>
          <w:sz w:val="20"/>
          <w:szCs w:val="20"/>
          <w:lang w:val="en-US"/>
        </w:rPr>
        <w:t>P</w:t>
      </w:r>
      <w:r w:rsidRPr="007037BB">
        <w:rPr>
          <w:rFonts w:ascii="Arial" w:eastAsia="Times New Roman" w:hAnsi="Arial" w:cs="Arial"/>
          <w:bCs/>
          <w:sz w:val="20"/>
          <w:szCs w:val="20"/>
          <w:lang w:val="en-US"/>
        </w:rPr>
        <w:t xml:space="preserve">ublic </w:t>
      </w:r>
      <w:r w:rsidR="00893DA2" w:rsidRPr="007037BB">
        <w:rPr>
          <w:rFonts w:ascii="Arial" w:eastAsia="Times New Roman" w:hAnsi="Arial" w:cs="Arial"/>
          <w:bCs/>
          <w:sz w:val="20"/>
          <w:szCs w:val="20"/>
          <w:lang w:val="en-US"/>
        </w:rPr>
        <w:t>T</w:t>
      </w:r>
      <w:r w:rsidRPr="007037BB">
        <w:rPr>
          <w:rFonts w:ascii="Arial" w:eastAsia="Times New Roman" w:hAnsi="Arial" w:cs="Arial"/>
          <w:bCs/>
          <w:sz w:val="20"/>
          <w:szCs w:val="20"/>
          <w:lang w:val="en-US"/>
        </w:rPr>
        <w:t xml:space="preserve">ransport </w:t>
      </w:r>
      <w:r w:rsidR="00893DA2" w:rsidRPr="007037BB">
        <w:rPr>
          <w:rFonts w:ascii="Arial" w:eastAsia="Times New Roman" w:hAnsi="Arial" w:cs="Arial"/>
          <w:bCs/>
          <w:sz w:val="20"/>
          <w:szCs w:val="20"/>
          <w:lang w:val="en-US"/>
        </w:rPr>
        <w:t>N</w:t>
      </w:r>
      <w:r w:rsidRPr="007037BB">
        <w:rPr>
          <w:rFonts w:ascii="Arial" w:eastAsia="Times New Roman" w:hAnsi="Arial" w:cs="Arial"/>
          <w:bCs/>
          <w:sz w:val="20"/>
          <w:szCs w:val="20"/>
          <w:lang w:val="en-US"/>
        </w:rPr>
        <w:t xml:space="preserve">etwork grant and the </w:t>
      </w:r>
      <w:r w:rsidR="00893DA2" w:rsidRPr="007037BB">
        <w:rPr>
          <w:rFonts w:ascii="Arial" w:eastAsia="Times New Roman" w:hAnsi="Arial" w:cs="Arial"/>
          <w:bCs/>
          <w:sz w:val="20"/>
          <w:szCs w:val="20"/>
          <w:lang w:val="en-US"/>
        </w:rPr>
        <w:t>R</w:t>
      </w:r>
      <w:r w:rsidRPr="007037BB">
        <w:rPr>
          <w:rFonts w:ascii="Arial" w:eastAsia="Times New Roman" w:hAnsi="Arial" w:cs="Arial"/>
          <w:bCs/>
          <w:sz w:val="20"/>
          <w:szCs w:val="20"/>
          <w:lang w:val="en-US"/>
        </w:rPr>
        <w:t xml:space="preserve">ural </w:t>
      </w:r>
      <w:r w:rsidR="00893DA2" w:rsidRPr="007037BB">
        <w:rPr>
          <w:rFonts w:ascii="Arial" w:eastAsia="Times New Roman" w:hAnsi="Arial" w:cs="Arial"/>
          <w:bCs/>
          <w:sz w:val="20"/>
          <w:szCs w:val="20"/>
          <w:lang w:val="en-US"/>
        </w:rPr>
        <w:t>R</w:t>
      </w:r>
      <w:r w:rsidRPr="007037BB">
        <w:rPr>
          <w:rFonts w:ascii="Arial" w:eastAsia="Times New Roman" w:hAnsi="Arial" w:cs="Arial"/>
          <w:bCs/>
          <w:sz w:val="20"/>
          <w:szCs w:val="20"/>
          <w:lang w:val="en-US"/>
        </w:rPr>
        <w:t xml:space="preserve">oads </w:t>
      </w:r>
      <w:r w:rsidR="00893DA2" w:rsidRPr="007037BB">
        <w:rPr>
          <w:rFonts w:ascii="Arial" w:eastAsia="Times New Roman" w:hAnsi="Arial" w:cs="Arial"/>
          <w:bCs/>
          <w:sz w:val="20"/>
          <w:szCs w:val="20"/>
          <w:lang w:val="en-US"/>
        </w:rPr>
        <w:t>A</w:t>
      </w:r>
      <w:r w:rsidRPr="007037BB">
        <w:rPr>
          <w:rFonts w:ascii="Arial" w:eastAsia="Times New Roman" w:hAnsi="Arial" w:cs="Arial"/>
          <w:bCs/>
          <w:sz w:val="20"/>
          <w:szCs w:val="20"/>
          <w:lang w:val="en-US"/>
        </w:rPr>
        <w:t xml:space="preserve">sset </w:t>
      </w:r>
      <w:r w:rsidR="00893DA2" w:rsidRPr="007037BB">
        <w:rPr>
          <w:rFonts w:ascii="Arial" w:eastAsia="Times New Roman" w:hAnsi="Arial" w:cs="Arial"/>
          <w:bCs/>
          <w:sz w:val="20"/>
          <w:szCs w:val="20"/>
          <w:lang w:val="en-US"/>
        </w:rPr>
        <w:t>M</w:t>
      </w:r>
      <w:r w:rsidRPr="007037BB">
        <w:rPr>
          <w:rFonts w:ascii="Arial" w:eastAsia="Times New Roman" w:hAnsi="Arial" w:cs="Arial"/>
          <w:bCs/>
          <w:sz w:val="20"/>
          <w:szCs w:val="20"/>
          <w:lang w:val="en-US"/>
        </w:rPr>
        <w:t xml:space="preserve">anagement </w:t>
      </w:r>
      <w:r w:rsidR="00893DA2" w:rsidRPr="007037BB">
        <w:rPr>
          <w:rFonts w:ascii="Arial" w:eastAsia="Times New Roman" w:hAnsi="Arial" w:cs="Arial"/>
          <w:bCs/>
          <w:sz w:val="20"/>
          <w:szCs w:val="20"/>
          <w:lang w:val="en-US"/>
        </w:rPr>
        <w:t>S</w:t>
      </w:r>
      <w:r w:rsidRPr="007037BB">
        <w:rPr>
          <w:rFonts w:ascii="Arial" w:eastAsia="Times New Roman" w:hAnsi="Arial" w:cs="Arial"/>
          <w:bCs/>
          <w:sz w:val="20"/>
          <w:szCs w:val="20"/>
          <w:lang w:val="en-US"/>
        </w:rPr>
        <w:t>ystems grant.</w:t>
      </w:r>
    </w:p>
    <w:p w:rsidR="008F383A" w:rsidRPr="007037BB" w:rsidRDefault="008F383A" w:rsidP="007037BB">
      <w:pPr>
        <w:spacing w:after="0" w:line="240" w:lineRule="auto"/>
        <w:rPr>
          <w:rFonts w:ascii="Arial" w:eastAsia="Times New Roman" w:hAnsi="Arial" w:cs="Arial"/>
          <w:sz w:val="20"/>
          <w:szCs w:val="20"/>
          <w:lang w:val="en-GB"/>
        </w:rPr>
      </w:pPr>
    </w:p>
    <w:p w:rsidR="008F383A" w:rsidRPr="007037BB" w:rsidRDefault="00C73D98"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 xml:space="preserve">DoT reported that the road maintenance component of the Provincial Roads Maintenance grant provided funds to maintain the provincial road network and prolong its life span. For this purpose, R52 billion was allocated over the medium term through the Road Transport programme. The grant prioritised different elements of road asset preservation strategies including maintenance and rehabilitation. The refurbishment and rural bridges components </w:t>
      </w:r>
      <w:r w:rsidRPr="007037BB">
        <w:rPr>
          <w:rFonts w:ascii="Arial" w:eastAsia="Times New Roman" w:hAnsi="Arial" w:cs="Arial"/>
          <w:bCs/>
          <w:sz w:val="20"/>
          <w:szCs w:val="20"/>
        </w:rPr>
        <w:lastRenderedPageBreak/>
        <w:t>of the grant provided for road refurbishment efforts and the construction of 96 rural bridges, for which R10.9 billion was earmarked. The</w:t>
      </w:r>
      <w:r w:rsidR="00B60A32" w:rsidRPr="007037BB">
        <w:rPr>
          <w:rFonts w:ascii="Arial" w:eastAsia="Times New Roman" w:hAnsi="Arial" w:cs="Arial"/>
          <w:bCs/>
          <w:sz w:val="20"/>
          <w:szCs w:val="20"/>
        </w:rPr>
        <w:t>se</w:t>
      </w:r>
      <w:r w:rsidRPr="007037BB">
        <w:rPr>
          <w:rFonts w:ascii="Arial" w:eastAsia="Times New Roman" w:hAnsi="Arial" w:cs="Arial"/>
          <w:bCs/>
          <w:sz w:val="20"/>
          <w:szCs w:val="20"/>
        </w:rPr>
        <w:t xml:space="preserve"> bridges were planned to be constructed through the Welisizwe Rural Bridges Programme, through the partnership between Department of Public Works </w:t>
      </w:r>
      <w:r w:rsidR="008001E5" w:rsidRPr="007037BB">
        <w:rPr>
          <w:rFonts w:ascii="Arial" w:eastAsia="Times New Roman" w:hAnsi="Arial" w:cs="Arial"/>
          <w:bCs/>
          <w:sz w:val="20"/>
          <w:szCs w:val="20"/>
        </w:rPr>
        <w:t>and</w:t>
      </w:r>
      <w:r w:rsidRPr="007037BB">
        <w:rPr>
          <w:rFonts w:ascii="Arial" w:eastAsia="Times New Roman" w:hAnsi="Arial" w:cs="Arial"/>
          <w:bCs/>
          <w:sz w:val="20"/>
          <w:szCs w:val="20"/>
        </w:rPr>
        <w:t xml:space="preserve"> Infrastructure and the South African National </w:t>
      </w:r>
      <w:r w:rsidR="00B60A32" w:rsidRPr="007037BB">
        <w:rPr>
          <w:rFonts w:ascii="Arial" w:eastAsia="Times New Roman" w:hAnsi="Arial" w:cs="Arial"/>
          <w:bCs/>
          <w:sz w:val="20"/>
          <w:szCs w:val="20"/>
        </w:rPr>
        <w:t>Defence</w:t>
      </w:r>
      <w:r w:rsidRPr="007037BB">
        <w:rPr>
          <w:rFonts w:ascii="Arial" w:eastAsia="Times New Roman" w:hAnsi="Arial" w:cs="Arial"/>
          <w:bCs/>
          <w:sz w:val="20"/>
          <w:szCs w:val="20"/>
        </w:rPr>
        <w:t xml:space="preserve"> Force. DoT further submitted that provinces were expected to use funds from the grant to rehabilitate 9 893 lane kilometers, reseal 13 122 lane kilometers, regravel 19 355 kilometers and blacktop</w:t>
      </w:r>
      <w:r w:rsidRPr="007037BB">
        <w:rPr>
          <w:rFonts w:ascii="Times New Roman" w:eastAsia="Times New Roman" w:hAnsi="Times New Roman" w:cs="Arial"/>
          <w:bCs/>
          <w:sz w:val="20"/>
          <w:szCs w:val="20"/>
        </w:rPr>
        <w:t>‐</w:t>
      </w:r>
      <w:r w:rsidRPr="007037BB">
        <w:rPr>
          <w:rFonts w:ascii="Arial" w:eastAsia="Times New Roman" w:hAnsi="Arial" w:cs="Arial"/>
          <w:bCs/>
          <w:sz w:val="20"/>
          <w:szCs w:val="20"/>
        </w:rPr>
        <w:t>patch 6.5 million square kilometers. Furthermore, DoT reported that it shall accelerate Operation Vala Zonke, through using the South African National Roads Agency Limited (SANRAL) as its implementing agency and address the challenges of fixing potholes and resurfacing of roads where necessary in alignment with the S’hamba Sonke Programme. This will be done through partnerships with the various Road Authorities.</w:t>
      </w:r>
    </w:p>
    <w:p w:rsidR="005A7EE6" w:rsidRPr="007037BB" w:rsidRDefault="005A7EE6" w:rsidP="007037BB">
      <w:pPr>
        <w:spacing w:after="0" w:line="240" w:lineRule="auto"/>
        <w:rPr>
          <w:rFonts w:ascii="Arial" w:eastAsia="Times New Roman" w:hAnsi="Arial" w:cs="Arial"/>
          <w:bCs/>
          <w:sz w:val="20"/>
          <w:szCs w:val="20"/>
        </w:rPr>
      </w:pPr>
    </w:p>
    <w:p w:rsidR="005A7EE6" w:rsidRPr="007037BB" w:rsidRDefault="0073160F"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 xml:space="preserve">Regarding </w:t>
      </w:r>
      <w:r w:rsidR="005A7EE6" w:rsidRPr="007037BB">
        <w:rPr>
          <w:rFonts w:ascii="Arial" w:eastAsia="Times New Roman" w:hAnsi="Arial" w:cs="Arial"/>
          <w:bCs/>
          <w:sz w:val="20"/>
          <w:szCs w:val="20"/>
        </w:rPr>
        <w:t>the national road, DOT reported that allocations to SANRAL were made through the Road Oversight subprogramme, which was responsible for transferring an estimated R89 billion over the MTEF period. SANRAL planned to use R56.5 billion of its departmental transfer to maintain the national non-toll network, R3.9 billion for the N2 Wild Coast project, R2.9 billion for the R573 (Moloto Road) development corridor and R2.2 billion for the Gauteng freeway improvement project. DoT further reported that SANRAL received a special allocation of R23.7 billion in 2022/23, a partial solution to the Gauteng freeway improvement project not generating enough toll revenue, to service the debt raised for its construction. This allocation was expected to provide SANRAL with significant cash to service several large debt redemptions and related maintenance in 2023/24.</w:t>
      </w:r>
    </w:p>
    <w:p w:rsidR="00790B33" w:rsidRPr="007037BB" w:rsidRDefault="00790B33" w:rsidP="007037BB">
      <w:pPr>
        <w:spacing w:after="0" w:line="240" w:lineRule="auto"/>
        <w:rPr>
          <w:rFonts w:ascii="Arial" w:eastAsia="Times New Roman" w:hAnsi="Arial" w:cs="Arial"/>
          <w:bCs/>
          <w:sz w:val="20"/>
          <w:szCs w:val="20"/>
        </w:rPr>
      </w:pPr>
    </w:p>
    <w:p w:rsidR="00790B33" w:rsidRPr="007037BB" w:rsidRDefault="0073160F" w:rsidP="007037BB">
      <w:pPr>
        <w:spacing w:after="0" w:line="240" w:lineRule="auto"/>
        <w:rPr>
          <w:rFonts w:ascii="Arial" w:eastAsia="Times New Roman" w:hAnsi="Arial" w:cs="Arial"/>
          <w:bCs/>
          <w:sz w:val="20"/>
          <w:szCs w:val="20"/>
        </w:rPr>
      </w:pPr>
      <w:r w:rsidRPr="007037BB">
        <w:rPr>
          <w:rFonts w:ascii="Arial" w:eastAsia="Times New Roman" w:hAnsi="Arial" w:cs="Arial"/>
          <w:bCs/>
          <w:sz w:val="20"/>
          <w:szCs w:val="20"/>
        </w:rPr>
        <w:t xml:space="preserve">Regarding the </w:t>
      </w:r>
      <w:r w:rsidR="00790B33" w:rsidRPr="007037BB">
        <w:rPr>
          <w:rFonts w:ascii="Arial" w:eastAsia="Times New Roman" w:hAnsi="Arial" w:cs="Arial"/>
          <w:bCs/>
          <w:sz w:val="20"/>
          <w:szCs w:val="20"/>
        </w:rPr>
        <w:t xml:space="preserve">preliminary spending </w:t>
      </w:r>
      <w:r w:rsidRPr="007037BB">
        <w:rPr>
          <w:rFonts w:ascii="Arial" w:eastAsia="Times New Roman" w:hAnsi="Arial" w:cs="Arial"/>
          <w:bCs/>
          <w:sz w:val="20"/>
          <w:szCs w:val="20"/>
        </w:rPr>
        <w:t>outcomes</w:t>
      </w:r>
      <w:r w:rsidR="00790B33" w:rsidRPr="007037BB">
        <w:rPr>
          <w:rFonts w:ascii="Arial" w:eastAsia="Times New Roman" w:hAnsi="Arial" w:cs="Arial"/>
          <w:bCs/>
          <w:sz w:val="20"/>
          <w:szCs w:val="20"/>
        </w:rPr>
        <w:t xml:space="preserve">, DoT’s expenditure as at the end of the 2022/23 financial year was R94.5 billion against a budget </w:t>
      </w:r>
      <w:r w:rsidR="00133CEE" w:rsidRPr="007037BB">
        <w:rPr>
          <w:rFonts w:ascii="Arial" w:eastAsia="Times New Roman" w:hAnsi="Arial" w:cs="Arial"/>
          <w:bCs/>
          <w:sz w:val="20"/>
          <w:szCs w:val="20"/>
        </w:rPr>
        <w:t xml:space="preserve">of </w:t>
      </w:r>
      <w:r w:rsidR="00790B33" w:rsidRPr="007037BB">
        <w:rPr>
          <w:rFonts w:ascii="Arial" w:eastAsia="Times New Roman" w:hAnsi="Arial" w:cs="Arial"/>
          <w:bCs/>
          <w:sz w:val="20"/>
          <w:szCs w:val="20"/>
        </w:rPr>
        <w:t xml:space="preserve">R96.1 billion. This resulted in a lower than anticipated spending by R591 million or 0.6 per cent. </w:t>
      </w:r>
    </w:p>
    <w:p w:rsidR="00C73D98" w:rsidRPr="007037BB" w:rsidRDefault="00C73D98" w:rsidP="007037BB">
      <w:pPr>
        <w:spacing w:after="0" w:line="240" w:lineRule="auto"/>
        <w:rPr>
          <w:rFonts w:ascii="Arial" w:eastAsia="Times New Roman" w:hAnsi="Arial" w:cs="Arial"/>
          <w:bCs/>
          <w:sz w:val="20"/>
          <w:szCs w:val="20"/>
        </w:rPr>
      </w:pPr>
    </w:p>
    <w:p w:rsidR="008F383A" w:rsidRPr="007037BB" w:rsidRDefault="008F383A" w:rsidP="007037BB">
      <w:pPr>
        <w:numPr>
          <w:ilvl w:val="0"/>
          <w:numId w:val="16"/>
        </w:numPr>
        <w:spacing w:after="0" w:line="240" w:lineRule="auto"/>
        <w:ind w:left="567" w:hanging="567"/>
        <w:contextualSpacing/>
        <w:rPr>
          <w:rFonts w:ascii="Arial" w:eastAsia="Times New Roman" w:hAnsi="Arial" w:cs="Arial"/>
          <w:b/>
          <w:sz w:val="20"/>
          <w:szCs w:val="20"/>
        </w:rPr>
      </w:pPr>
      <w:r w:rsidRPr="007037BB">
        <w:rPr>
          <w:rFonts w:ascii="Arial" w:eastAsia="Times New Roman" w:hAnsi="Arial" w:cs="Arial"/>
          <w:b/>
          <w:sz w:val="20"/>
          <w:szCs w:val="20"/>
        </w:rPr>
        <w:t>Public submissions on the 202</w:t>
      </w:r>
      <w:r w:rsidR="00CF319A" w:rsidRPr="007037BB">
        <w:rPr>
          <w:rFonts w:ascii="Arial" w:eastAsia="Times New Roman" w:hAnsi="Arial" w:cs="Arial"/>
          <w:b/>
          <w:sz w:val="20"/>
          <w:szCs w:val="20"/>
        </w:rPr>
        <w:t>3</w:t>
      </w:r>
      <w:r w:rsidRPr="007037BB">
        <w:rPr>
          <w:rFonts w:ascii="Arial" w:eastAsia="Times New Roman" w:hAnsi="Arial" w:cs="Arial"/>
          <w:b/>
          <w:sz w:val="20"/>
          <w:szCs w:val="20"/>
        </w:rPr>
        <w:t xml:space="preserve"> Appropriation Bill </w:t>
      </w:r>
    </w:p>
    <w:p w:rsidR="008F383A" w:rsidRPr="007037BB" w:rsidRDefault="008F383A" w:rsidP="007037BB">
      <w:pPr>
        <w:spacing w:after="0" w:line="240" w:lineRule="auto"/>
        <w:contextualSpacing/>
        <w:rPr>
          <w:rFonts w:ascii="Arial" w:eastAsia="Times New Roman" w:hAnsi="Arial" w:cs="Arial"/>
          <w:b/>
          <w:sz w:val="20"/>
          <w:szCs w:val="20"/>
        </w:rPr>
      </w:pPr>
    </w:p>
    <w:p w:rsidR="00090778" w:rsidRPr="007037BB" w:rsidRDefault="008F383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The sections below provide an overview of the submissions that were made in response of the advertisement that was published in print media. </w:t>
      </w:r>
    </w:p>
    <w:p w:rsidR="008001E5" w:rsidRPr="007037BB" w:rsidRDefault="008001E5" w:rsidP="007037BB">
      <w:pPr>
        <w:spacing w:after="0" w:line="240" w:lineRule="auto"/>
        <w:rPr>
          <w:rFonts w:ascii="Arial" w:eastAsia="Times New Roman" w:hAnsi="Arial" w:cs="Arial"/>
          <w:sz w:val="20"/>
          <w:szCs w:val="20"/>
        </w:rPr>
      </w:pPr>
    </w:p>
    <w:p w:rsidR="00CF319A" w:rsidRPr="007037BB" w:rsidRDefault="008F383A" w:rsidP="007037BB">
      <w:pPr>
        <w:autoSpaceDE w:val="0"/>
        <w:autoSpaceDN w:val="0"/>
        <w:adjustRightInd w:val="0"/>
        <w:spacing w:after="0" w:line="240" w:lineRule="auto"/>
        <w:rPr>
          <w:rFonts w:ascii="Arial" w:eastAsia="Calibri" w:hAnsi="Arial" w:cs="Arial"/>
          <w:b/>
          <w:sz w:val="20"/>
          <w:szCs w:val="20"/>
        </w:rPr>
      </w:pPr>
      <w:r w:rsidRPr="007037BB">
        <w:rPr>
          <w:rFonts w:ascii="Arial" w:eastAsia="Calibri" w:hAnsi="Arial" w:cs="Arial"/>
          <w:b/>
          <w:sz w:val="20"/>
          <w:szCs w:val="20"/>
        </w:rPr>
        <w:t>5.1</w:t>
      </w:r>
      <w:r w:rsidRPr="007037BB">
        <w:rPr>
          <w:rFonts w:ascii="Arial" w:eastAsia="Calibri" w:hAnsi="Arial" w:cs="Arial"/>
          <w:b/>
          <w:sz w:val="20"/>
          <w:szCs w:val="20"/>
        </w:rPr>
        <w:tab/>
      </w:r>
      <w:r w:rsidR="00CF319A" w:rsidRPr="007037BB">
        <w:rPr>
          <w:rFonts w:ascii="Arial" w:eastAsia="Calibri" w:hAnsi="Arial" w:cs="Arial"/>
          <w:b/>
          <w:sz w:val="20"/>
          <w:szCs w:val="20"/>
        </w:rPr>
        <w:t xml:space="preserve">Youth Capital </w:t>
      </w:r>
    </w:p>
    <w:p w:rsidR="008F383A" w:rsidRPr="007037BB" w:rsidRDefault="008F383A" w:rsidP="007037BB">
      <w:pPr>
        <w:autoSpaceDE w:val="0"/>
        <w:autoSpaceDN w:val="0"/>
        <w:adjustRightInd w:val="0"/>
        <w:spacing w:after="0" w:line="240" w:lineRule="auto"/>
        <w:rPr>
          <w:rFonts w:ascii="Arial" w:eastAsia="Calibri" w:hAnsi="Arial" w:cs="Arial"/>
          <w:sz w:val="20"/>
          <w:szCs w:val="20"/>
        </w:rPr>
      </w:pPr>
    </w:p>
    <w:p w:rsidR="00685203" w:rsidRPr="007037BB" w:rsidRDefault="00685203" w:rsidP="007037BB">
      <w:p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 xml:space="preserve">Youth Capital’s submission focussed on the high levels of unemployment among the youth and it identified the low Gross Domestic Product (GDP) and the sluggish economic growth as the main causes for this unemployment. According to the organisation, the youth should be actively involved in growing the economy, however this was not happening. It made reference to the findings of a recent survey it conducted from which one of the findings was the difficult choice the youth had to make between buying food and looking for job, thus, indicating the state of desperation by the youth. Youth Capital continued </w:t>
      </w:r>
      <w:r w:rsidR="00133CEE" w:rsidRPr="007037BB">
        <w:rPr>
          <w:rFonts w:ascii="Arial" w:eastAsia="Calibri" w:hAnsi="Arial" w:cs="Arial"/>
          <w:sz w:val="20"/>
          <w:szCs w:val="20"/>
        </w:rPr>
        <w:t xml:space="preserve">to say </w:t>
      </w:r>
      <w:r w:rsidRPr="007037BB">
        <w:rPr>
          <w:rFonts w:ascii="Arial" w:eastAsia="Calibri" w:hAnsi="Arial" w:cs="Arial"/>
          <w:sz w:val="20"/>
          <w:szCs w:val="20"/>
        </w:rPr>
        <w:t>that the youth stood a lower chance of absorption into the workforce and therefore, remained outside the employment environment.</w:t>
      </w:r>
      <w:r w:rsidR="00F156ED" w:rsidRPr="007037BB">
        <w:rPr>
          <w:rFonts w:ascii="Arial" w:eastAsia="Calibri" w:hAnsi="Arial" w:cs="Arial"/>
          <w:sz w:val="20"/>
          <w:szCs w:val="20"/>
        </w:rPr>
        <w:t xml:space="preserve"> </w:t>
      </w:r>
      <w:r w:rsidRPr="007037BB">
        <w:rPr>
          <w:rFonts w:ascii="Arial" w:eastAsia="Calibri" w:hAnsi="Arial" w:cs="Arial"/>
          <w:sz w:val="20"/>
          <w:szCs w:val="20"/>
        </w:rPr>
        <w:t>In order to address the problem of unemployment and youth unemployment, Youth Capital recommended the following:</w:t>
      </w:r>
    </w:p>
    <w:p w:rsidR="00F156ED" w:rsidRPr="007037BB" w:rsidRDefault="00F156ED" w:rsidP="007037BB">
      <w:pPr>
        <w:autoSpaceDE w:val="0"/>
        <w:autoSpaceDN w:val="0"/>
        <w:adjustRightInd w:val="0"/>
        <w:spacing w:after="0" w:line="240" w:lineRule="auto"/>
        <w:rPr>
          <w:rFonts w:ascii="Arial" w:eastAsia="Calibri" w:hAnsi="Arial" w:cs="Arial"/>
          <w:sz w:val="20"/>
          <w:szCs w:val="20"/>
        </w:rPr>
      </w:pPr>
    </w:p>
    <w:p w:rsidR="00685203" w:rsidRPr="007037BB" w:rsidRDefault="00685203" w:rsidP="007037BB">
      <w:pPr>
        <w:numPr>
          <w:ilvl w:val="0"/>
          <w:numId w:val="26"/>
        </w:numPr>
        <w:autoSpaceDE w:val="0"/>
        <w:autoSpaceDN w:val="0"/>
        <w:adjustRightInd w:val="0"/>
        <w:spacing w:after="0" w:line="240" w:lineRule="auto"/>
        <w:ind w:left="284" w:hanging="284"/>
        <w:rPr>
          <w:rFonts w:ascii="Arial" w:eastAsia="Calibri" w:hAnsi="Arial" w:cs="Arial"/>
          <w:sz w:val="20"/>
          <w:szCs w:val="20"/>
        </w:rPr>
      </w:pPr>
      <w:r w:rsidRPr="007037BB">
        <w:rPr>
          <w:rFonts w:ascii="Arial" w:eastAsia="Calibri" w:hAnsi="Arial" w:cs="Arial"/>
          <w:sz w:val="20"/>
          <w:szCs w:val="20"/>
        </w:rPr>
        <w:t>Mobilizing vision and plan for the economy</w:t>
      </w:r>
    </w:p>
    <w:p w:rsidR="00685203" w:rsidRPr="007037BB" w:rsidRDefault="00685203" w:rsidP="007037BB">
      <w:pPr>
        <w:numPr>
          <w:ilvl w:val="0"/>
          <w:numId w:val="27"/>
        </w:numPr>
        <w:autoSpaceDE w:val="0"/>
        <w:autoSpaceDN w:val="0"/>
        <w:adjustRightInd w:val="0"/>
        <w:spacing w:after="0" w:line="240" w:lineRule="auto"/>
        <w:ind w:left="709" w:hanging="283"/>
        <w:rPr>
          <w:rFonts w:ascii="Arial" w:eastAsia="Calibri" w:hAnsi="Arial" w:cs="Arial"/>
          <w:sz w:val="20"/>
          <w:szCs w:val="20"/>
        </w:rPr>
      </w:pPr>
      <w:r w:rsidRPr="007037BB">
        <w:rPr>
          <w:rFonts w:ascii="Arial" w:eastAsia="Calibri" w:hAnsi="Arial" w:cs="Arial"/>
          <w:sz w:val="20"/>
          <w:szCs w:val="20"/>
        </w:rPr>
        <w:t>Government should introduce a new macroeconomic policy framework with a binding growth of 6 percent of the GDP for National Treasury and the South African Reserve Bank. This will help in achieving the NDP</w:t>
      </w:r>
      <w:r w:rsidRPr="007037BB">
        <w:rPr>
          <w:rFonts w:ascii="Arial" w:eastAsia="Calibri" w:hAnsi="Arial" w:cs="Arial"/>
          <w:color w:val="C00000"/>
          <w:sz w:val="20"/>
          <w:szCs w:val="20"/>
        </w:rPr>
        <w:t xml:space="preserve"> </w:t>
      </w:r>
      <w:r w:rsidRPr="007037BB">
        <w:rPr>
          <w:rFonts w:ascii="Arial" w:eastAsia="Calibri" w:hAnsi="Arial" w:cs="Arial"/>
          <w:sz w:val="20"/>
          <w:szCs w:val="20"/>
        </w:rPr>
        <w:t>target of 5.4 percent annually.</w:t>
      </w:r>
    </w:p>
    <w:p w:rsidR="00685203" w:rsidRPr="007037BB" w:rsidRDefault="00685203" w:rsidP="007037BB">
      <w:pPr>
        <w:numPr>
          <w:ilvl w:val="0"/>
          <w:numId w:val="27"/>
        </w:numPr>
        <w:autoSpaceDE w:val="0"/>
        <w:autoSpaceDN w:val="0"/>
        <w:adjustRightInd w:val="0"/>
        <w:spacing w:after="0" w:line="240" w:lineRule="auto"/>
        <w:ind w:left="709" w:hanging="283"/>
        <w:rPr>
          <w:rFonts w:ascii="Arial" w:eastAsia="Calibri" w:hAnsi="Arial" w:cs="Arial"/>
          <w:sz w:val="20"/>
          <w:szCs w:val="20"/>
        </w:rPr>
      </w:pPr>
      <w:r w:rsidRPr="007037BB">
        <w:rPr>
          <w:rFonts w:ascii="Arial" w:eastAsia="Calibri" w:hAnsi="Arial" w:cs="Arial"/>
          <w:sz w:val="20"/>
          <w:szCs w:val="20"/>
        </w:rPr>
        <w:t>There should be investment in people and infrastructure to grow the economy.</w:t>
      </w:r>
    </w:p>
    <w:p w:rsidR="00685203" w:rsidRPr="007037BB" w:rsidRDefault="00685203" w:rsidP="007037BB">
      <w:pPr>
        <w:autoSpaceDE w:val="0"/>
        <w:autoSpaceDN w:val="0"/>
        <w:adjustRightInd w:val="0"/>
        <w:spacing w:after="0" w:line="240" w:lineRule="auto"/>
        <w:rPr>
          <w:rFonts w:ascii="Arial" w:eastAsia="Calibri" w:hAnsi="Arial" w:cs="Arial"/>
          <w:sz w:val="20"/>
          <w:szCs w:val="20"/>
        </w:rPr>
      </w:pPr>
    </w:p>
    <w:p w:rsidR="00685203" w:rsidRPr="007037BB" w:rsidRDefault="00685203" w:rsidP="007037BB">
      <w:pPr>
        <w:numPr>
          <w:ilvl w:val="0"/>
          <w:numId w:val="26"/>
        </w:numPr>
        <w:autoSpaceDE w:val="0"/>
        <w:autoSpaceDN w:val="0"/>
        <w:adjustRightInd w:val="0"/>
        <w:spacing w:after="0" w:line="240" w:lineRule="auto"/>
        <w:ind w:left="284" w:hanging="284"/>
        <w:rPr>
          <w:rFonts w:ascii="Arial" w:eastAsia="Calibri" w:hAnsi="Arial" w:cs="Arial"/>
          <w:sz w:val="20"/>
          <w:szCs w:val="20"/>
        </w:rPr>
      </w:pPr>
      <w:r w:rsidRPr="007037BB">
        <w:rPr>
          <w:rFonts w:ascii="Arial" w:eastAsia="Calibri" w:hAnsi="Arial" w:cs="Arial"/>
          <w:sz w:val="20"/>
          <w:szCs w:val="20"/>
        </w:rPr>
        <w:t>Continuation of large-scale public employment programmes with long-term view to provide a job guarantee</w:t>
      </w:r>
    </w:p>
    <w:p w:rsidR="00685203" w:rsidRPr="007037BB" w:rsidRDefault="00F156ED" w:rsidP="007037BB">
      <w:pPr>
        <w:numPr>
          <w:ilvl w:val="0"/>
          <w:numId w:val="27"/>
        </w:numPr>
        <w:autoSpaceDE w:val="0"/>
        <w:autoSpaceDN w:val="0"/>
        <w:adjustRightInd w:val="0"/>
        <w:spacing w:after="0" w:line="240" w:lineRule="auto"/>
        <w:ind w:left="709" w:hanging="283"/>
        <w:rPr>
          <w:rFonts w:ascii="Arial" w:eastAsia="Calibri" w:hAnsi="Arial" w:cs="Arial"/>
          <w:sz w:val="20"/>
          <w:szCs w:val="20"/>
        </w:rPr>
      </w:pPr>
      <w:r w:rsidRPr="007037BB">
        <w:rPr>
          <w:rFonts w:ascii="Arial" w:eastAsia="Calibri" w:hAnsi="Arial" w:cs="Arial"/>
          <w:sz w:val="20"/>
          <w:szCs w:val="20"/>
        </w:rPr>
        <w:t>P</w:t>
      </w:r>
      <w:r w:rsidR="00685203" w:rsidRPr="007037BB">
        <w:rPr>
          <w:rFonts w:ascii="Arial" w:eastAsia="Calibri" w:hAnsi="Arial" w:cs="Arial"/>
          <w:sz w:val="20"/>
          <w:szCs w:val="20"/>
        </w:rPr>
        <w:t>ublic employment programmes should be extended to help the GDP in mitigating the unemployment challenge.</w:t>
      </w:r>
    </w:p>
    <w:p w:rsidR="00685203" w:rsidRPr="007037BB" w:rsidRDefault="00685203" w:rsidP="007037BB">
      <w:pPr>
        <w:numPr>
          <w:ilvl w:val="0"/>
          <w:numId w:val="27"/>
        </w:numPr>
        <w:autoSpaceDE w:val="0"/>
        <w:autoSpaceDN w:val="0"/>
        <w:adjustRightInd w:val="0"/>
        <w:spacing w:after="0" w:line="240" w:lineRule="auto"/>
        <w:ind w:left="709" w:hanging="283"/>
        <w:rPr>
          <w:rFonts w:ascii="Arial" w:eastAsia="Calibri" w:hAnsi="Arial" w:cs="Arial"/>
          <w:sz w:val="20"/>
          <w:szCs w:val="20"/>
        </w:rPr>
      </w:pPr>
      <w:r w:rsidRPr="007037BB">
        <w:rPr>
          <w:rFonts w:ascii="Arial" w:eastAsia="Calibri" w:hAnsi="Arial" w:cs="Arial"/>
          <w:sz w:val="20"/>
          <w:szCs w:val="20"/>
        </w:rPr>
        <w:t xml:space="preserve">Learning from the success </w:t>
      </w:r>
      <w:r w:rsidR="00133CEE" w:rsidRPr="007037BB">
        <w:rPr>
          <w:rFonts w:ascii="Arial" w:eastAsia="Calibri" w:hAnsi="Arial" w:cs="Arial"/>
          <w:sz w:val="20"/>
          <w:szCs w:val="20"/>
        </w:rPr>
        <w:t>of</w:t>
      </w:r>
      <w:r w:rsidRPr="007037BB">
        <w:rPr>
          <w:rFonts w:ascii="Arial" w:eastAsia="Calibri" w:hAnsi="Arial" w:cs="Arial"/>
          <w:sz w:val="20"/>
          <w:szCs w:val="20"/>
        </w:rPr>
        <w:t xml:space="preserve"> the Presidential Employment Stimulus especially in the employment of teacher assistants in the Department of Basic Education.</w:t>
      </w:r>
    </w:p>
    <w:p w:rsidR="00F156ED" w:rsidRPr="007037BB" w:rsidRDefault="00F156ED" w:rsidP="007037BB">
      <w:pPr>
        <w:autoSpaceDE w:val="0"/>
        <w:autoSpaceDN w:val="0"/>
        <w:adjustRightInd w:val="0"/>
        <w:spacing w:after="0" w:line="240" w:lineRule="auto"/>
        <w:ind w:left="709"/>
        <w:rPr>
          <w:rFonts w:ascii="Arial" w:eastAsia="Calibri" w:hAnsi="Arial" w:cs="Arial"/>
          <w:sz w:val="20"/>
          <w:szCs w:val="20"/>
        </w:rPr>
      </w:pPr>
    </w:p>
    <w:p w:rsidR="00685203" w:rsidRPr="007037BB" w:rsidRDefault="00685203" w:rsidP="007037BB">
      <w:pPr>
        <w:numPr>
          <w:ilvl w:val="0"/>
          <w:numId w:val="26"/>
        </w:numPr>
        <w:autoSpaceDE w:val="0"/>
        <w:autoSpaceDN w:val="0"/>
        <w:adjustRightInd w:val="0"/>
        <w:spacing w:after="0" w:line="240" w:lineRule="auto"/>
        <w:ind w:left="284" w:hanging="284"/>
        <w:rPr>
          <w:rFonts w:ascii="Arial" w:eastAsia="Calibri" w:hAnsi="Arial" w:cs="Arial"/>
          <w:sz w:val="20"/>
          <w:szCs w:val="20"/>
        </w:rPr>
      </w:pPr>
      <w:r w:rsidRPr="007037BB">
        <w:rPr>
          <w:rFonts w:ascii="Arial" w:eastAsia="Calibri" w:hAnsi="Arial" w:cs="Arial"/>
          <w:sz w:val="20"/>
          <w:szCs w:val="20"/>
        </w:rPr>
        <w:t>Industrial Policies</w:t>
      </w:r>
    </w:p>
    <w:p w:rsidR="00685203" w:rsidRPr="007037BB" w:rsidRDefault="00685203" w:rsidP="007037BB">
      <w:pPr>
        <w:numPr>
          <w:ilvl w:val="0"/>
          <w:numId w:val="27"/>
        </w:numPr>
        <w:autoSpaceDE w:val="0"/>
        <w:autoSpaceDN w:val="0"/>
        <w:adjustRightInd w:val="0"/>
        <w:spacing w:after="0" w:line="240" w:lineRule="auto"/>
        <w:ind w:left="709" w:hanging="283"/>
        <w:rPr>
          <w:rFonts w:ascii="Arial" w:eastAsia="Calibri" w:hAnsi="Arial" w:cs="Arial"/>
          <w:sz w:val="20"/>
          <w:szCs w:val="20"/>
        </w:rPr>
      </w:pPr>
      <w:r w:rsidRPr="007037BB">
        <w:rPr>
          <w:rFonts w:ascii="Arial" w:eastAsia="Calibri" w:hAnsi="Arial" w:cs="Arial"/>
          <w:sz w:val="20"/>
          <w:szCs w:val="20"/>
        </w:rPr>
        <w:t>New and stronger industrial policies must be introduced to create good environment for job creation and to increase industrial financing.</w:t>
      </w:r>
    </w:p>
    <w:p w:rsidR="00685203" w:rsidRPr="007037BB" w:rsidRDefault="00F156ED" w:rsidP="007037BB">
      <w:pPr>
        <w:numPr>
          <w:ilvl w:val="0"/>
          <w:numId w:val="27"/>
        </w:numPr>
        <w:autoSpaceDE w:val="0"/>
        <w:autoSpaceDN w:val="0"/>
        <w:adjustRightInd w:val="0"/>
        <w:spacing w:after="0" w:line="240" w:lineRule="auto"/>
        <w:ind w:left="709" w:hanging="283"/>
        <w:rPr>
          <w:rFonts w:ascii="Arial" w:eastAsia="Calibri" w:hAnsi="Arial" w:cs="Arial"/>
          <w:sz w:val="20"/>
          <w:szCs w:val="20"/>
        </w:rPr>
      </w:pPr>
      <w:r w:rsidRPr="007037BB">
        <w:rPr>
          <w:rFonts w:ascii="Arial" w:eastAsia="Calibri" w:hAnsi="Arial" w:cs="Arial"/>
          <w:sz w:val="20"/>
          <w:szCs w:val="20"/>
        </w:rPr>
        <w:t>G</w:t>
      </w:r>
      <w:r w:rsidR="00685203" w:rsidRPr="007037BB">
        <w:rPr>
          <w:rFonts w:ascii="Arial" w:eastAsia="Calibri" w:hAnsi="Arial" w:cs="Arial"/>
          <w:sz w:val="20"/>
          <w:szCs w:val="20"/>
        </w:rPr>
        <w:t>overnment needs to increase the annual industrial financing budget to 2.5 percent of the GDP with 1 percent directed towards the SMMEs.</w:t>
      </w:r>
    </w:p>
    <w:p w:rsidR="00F156ED" w:rsidRPr="007037BB" w:rsidRDefault="00F156ED" w:rsidP="007037BB">
      <w:pPr>
        <w:autoSpaceDE w:val="0"/>
        <w:autoSpaceDN w:val="0"/>
        <w:adjustRightInd w:val="0"/>
        <w:spacing w:after="0" w:line="240" w:lineRule="auto"/>
        <w:ind w:left="709"/>
        <w:rPr>
          <w:rFonts w:ascii="Arial" w:eastAsia="Calibri" w:hAnsi="Arial" w:cs="Arial"/>
          <w:sz w:val="20"/>
          <w:szCs w:val="20"/>
        </w:rPr>
      </w:pPr>
    </w:p>
    <w:p w:rsidR="00685203" w:rsidRPr="007037BB" w:rsidRDefault="00685203" w:rsidP="007037BB">
      <w:pPr>
        <w:numPr>
          <w:ilvl w:val="0"/>
          <w:numId w:val="26"/>
        </w:numPr>
        <w:autoSpaceDE w:val="0"/>
        <w:autoSpaceDN w:val="0"/>
        <w:adjustRightInd w:val="0"/>
        <w:spacing w:after="0" w:line="240" w:lineRule="auto"/>
        <w:ind w:left="284" w:hanging="284"/>
        <w:rPr>
          <w:rFonts w:ascii="Arial" w:eastAsia="Calibri" w:hAnsi="Arial" w:cs="Arial"/>
          <w:sz w:val="20"/>
          <w:szCs w:val="20"/>
        </w:rPr>
      </w:pPr>
      <w:r w:rsidRPr="007037BB">
        <w:rPr>
          <w:rFonts w:ascii="Arial" w:eastAsia="Calibri" w:hAnsi="Arial" w:cs="Arial"/>
          <w:sz w:val="20"/>
          <w:szCs w:val="20"/>
        </w:rPr>
        <w:t>Infrastructure investment</w:t>
      </w:r>
    </w:p>
    <w:p w:rsidR="00685203" w:rsidRPr="007037BB" w:rsidRDefault="00685203" w:rsidP="007037BB">
      <w:pPr>
        <w:numPr>
          <w:ilvl w:val="0"/>
          <w:numId w:val="27"/>
        </w:numPr>
        <w:autoSpaceDE w:val="0"/>
        <w:autoSpaceDN w:val="0"/>
        <w:adjustRightInd w:val="0"/>
        <w:spacing w:after="0" w:line="240" w:lineRule="auto"/>
        <w:ind w:left="709" w:hanging="283"/>
        <w:rPr>
          <w:rFonts w:ascii="Arial" w:eastAsia="Calibri" w:hAnsi="Arial" w:cs="Arial"/>
          <w:sz w:val="20"/>
          <w:szCs w:val="20"/>
        </w:rPr>
      </w:pPr>
      <w:r w:rsidRPr="007037BB">
        <w:rPr>
          <w:rFonts w:ascii="Arial" w:eastAsia="Calibri" w:hAnsi="Arial" w:cs="Arial"/>
          <w:sz w:val="20"/>
          <w:szCs w:val="20"/>
        </w:rPr>
        <w:t>Government should recommit to the NDP target on the investment-to-GDP ratio of 30 percent of the GDP. The public sector must increase its investment to between 10 percent and 15 percent of the GDP within the next five years.</w:t>
      </w:r>
    </w:p>
    <w:p w:rsidR="00685203" w:rsidRPr="007037BB" w:rsidRDefault="00685203" w:rsidP="007037BB">
      <w:pPr>
        <w:numPr>
          <w:ilvl w:val="0"/>
          <w:numId w:val="27"/>
        </w:numPr>
        <w:autoSpaceDE w:val="0"/>
        <w:autoSpaceDN w:val="0"/>
        <w:adjustRightInd w:val="0"/>
        <w:spacing w:after="0" w:line="240" w:lineRule="auto"/>
        <w:ind w:left="709" w:hanging="283"/>
        <w:rPr>
          <w:rFonts w:ascii="Arial" w:eastAsia="Calibri" w:hAnsi="Arial" w:cs="Arial"/>
          <w:sz w:val="20"/>
          <w:szCs w:val="20"/>
        </w:rPr>
      </w:pPr>
      <w:r w:rsidRPr="007037BB">
        <w:rPr>
          <w:rFonts w:ascii="Arial" w:eastAsia="Calibri" w:hAnsi="Arial" w:cs="Arial"/>
          <w:sz w:val="20"/>
          <w:szCs w:val="20"/>
        </w:rPr>
        <w:t>National Treasury should assist to get a roadmap on how the NDP target for public investment will be achieved.</w:t>
      </w:r>
    </w:p>
    <w:p w:rsidR="008001E5" w:rsidRPr="007037BB" w:rsidRDefault="008001E5" w:rsidP="007037BB">
      <w:pPr>
        <w:autoSpaceDE w:val="0"/>
        <w:autoSpaceDN w:val="0"/>
        <w:adjustRightInd w:val="0"/>
        <w:spacing w:after="0" w:line="240" w:lineRule="auto"/>
        <w:rPr>
          <w:rFonts w:ascii="Arial" w:eastAsia="Calibri" w:hAnsi="Arial" w:cs="Arial"/>
          <w:sz w:val="20"/>
          <w:szCs w:val="20"/>
        </w:rPr>
      </w:pPr>
    </w:p>
    <w:p w:rsidR="00CF319A" w:rsidRPr="007037BB" w:rsidRDefault="008F383A" w:rsidP="007037BB">
      <w:pPr>
        <w:autoSpaceDE w:val="0"/>
        <w:autoSpaceDN w:val="0"/>
        <w:adjustRightInd w:val="0"/>
        <w:spacing w:after="0" w:line="240" w:lineRule="auto"/>
        <w:rPr>
          <w:rFonts w:ascii="Arial" w:eastAsia="Calibri" w:hAnsi="Arial" w:cs="Arial"/>
          <w:b/>
          <w:sz w:val="20"/>
          <w:szCs w:val="20"/>
        </w:rPr>
      </w:pPr>
      <w:r w:rsidRPr="007037BB">
        <w:rPr>
          <w:rFonts w:ascii="Arial" w:eastAsia="Calibri" w:hAnsi="Arial" w:cs="Arial"/>
          <w:b/>
          <w:sz w:val="20"/>
          <w:szCs w:val="20"/>
        </w:rPr>
        <w:t>5.2</w:t>
      </w:r>
      <w:r w:rsidRPr="007037BB">
        <w:rPr>
          <w:rFonts w:ascii="Arial" w:eastAsia="Calibri" w:hAnsi="Arial" w:cs="Arial"/>
          <w:b/>
          <w:sz w:val="20"/>
          <w:szCs w:val="20"/>
        </w:rPr>
        <w:tab/>
      </w:r>
      <w:r w:rsidR="00CF319A" w:rsidRPr="007037BB">
        <w:rPr>
          <w:rFonts w:ascii="Arial" w:eastAsia="Calibri" w:hAnsi="Arial" w:cs="Arial"/>
          <w:b/>
          <w:sz w:val="20"/>
          <w:szCs w:val="20"/>
        </w:rPr>
        <w:t>Congress of South African Trade Unions</w:t>
      </w:r>
    </w:p>
    <w:p w:rsidR="008F383A" w:rsidRPr="007037BB" w:rsidRDefault="008F383A" w:rsidP="007037BB">
      <w:pPr>
        <w:autoSpaceDE w:val="0"/>
        <w:autoSpaceDN w:val="0"/>
        <w:adjustRightInd w:val="0"/>
        <w:spacing w:after="0" w:line="240" w:lineRule="auto"/>
        <w:rPr>
          <w:rFonts w:ascii="Arial" w:eastAsia="Calibri" w:hAnsi="Arial" w:cs="Arial"/>
          <w:sz w:val="20"/>
          <w:szCs w:val="20"/>
        </w:rPr>
      </w:pPr>
    </w:p>
    <w:p w:rsidR="00CF319A" w:rsidRPr="007037BB" w:rsidRDefault="00CF319A" w:rsidP="007037BB">
      <w:pPr>
        <w:autoSpaceDE w:val="0"/>
        <w:autoSpaceDN w:val="0"/>
        <w:adjustRightInd w:val="0"/>
        <w:spacing w:after="0" w:line="240" w:lineRule="auto"/>
        <w:rPr>
          <w:rFonts w:ascii="Arial" w:eastAsia="Calibri" w:hAnsi="Arial" w:cs="Arial"/>
          <w:sz w:val="20"/>
          <w:szCs w:val="20"/>
          <w:lang w:val="en-US"/>
        </w:rPr>
      </w:pPr>
      <w:r w:rsidRPr="007037BB">
        <w:rPr>
          <w:rFonts w:ascii="Arial" w:eastAsia="Calibri" w:hAnsi="Arial" w:cs="Arial"/>
          <w:sz w:val="20"/>
          <w:szCs w:val="20"/>
          <w:lang w:val="en-US"/>
        </w:rPr>
        <w:t xml:space="preserve">The Congress of South African Trade Unions (COSATU) indicated that it had hoped for a bold Bill that would protect workers from inflation, rebuild the </w:t>
      </w:r>
      <w:r w:rsidR="00F156ED" w:rsidRPr="007037BB">
        <w:rPr>
          <w:rFonts w:ascii="Arial" w:eastAsia="Calibri" w:hAnsi="Arial" w:cs="Arial"/>
          <w:sz w:val="20"/>
          <w:szCs w:val="20"/>
          <w:lang w:val="en-US"/>
        </w:rPr>
        <w:t>s</w:t>
      </w:r>
      <w:r w:rsidRPr="007037BB">
        <w:rPr>
          <w:rFonts w:ascii="Arial" w:eastAsia="Calibri" w:hAnsi="Arial" w:cs="Arial"/>
          <w:sz w:val="20"/>
          <w:szCs w:val="20"/>
          <w:lang w:val="en-US"/>
        </w:rPr>
        <w:t xml:space="preserve">tate, decisively tackle corruption, provide relief to the unemployed and put measures in place to stimulate the economy. However, while acknowledging that there were positive interventions in the Bill at a macro level, it submitted that overall, the Bill failed to address the biggest challenge of economic stagnation. </w:t>
      </w:r>
    </w:p>
    <w:p w:rsidR="00CF319A" w:rsidRPr="007037BB" w:rsidRDefault="00CF319A" w:rsidP="007037BB">
      <w:pPr>
        <w:autoSpaceDE w:val="0"/>
        <w:autoSpaceDN w:val="0"/>
        <w:adjustRightInd w:val="0"/>
        <w:spacing w:after="0" w:line="240" w:lineRule="auto"/>
        <w:rPr>
          <w:rFonts w:ascii="Arial" w:eastAsia="Calibri" w:hAnsi="Arial" w:cs="Arial"/>
          <w:sz w:val="20"/>
          <w:szCs w:val="20"/>
          <w:lang w:val="en-US"/>
        </w:rPr>
      </w:pPr>
    </w:p>
    <w:p w:rsidR="00CF319A" w:rsidRPr="007037BB" w:rsidRDefault="00CF319A" w:rsidP="007037BB">
      <w:p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lang w:val="en-US"/>
        </w:rPr>
        <w:t>COSATU welcomed the additional allocation of R37 billion to key frontline service departments, state-owned-entities (SOEs) and social security</w:t>
      </w:r>
      <w:r w:rsidR="00F156ED" w:rsidRPr="007037BB">
        <w:rPr>
          <w:rFonts w:ascii="Arial" w:eastAsia="Calibri" w:hAnsi="Arial" w:cs="Arial"/>
          <w:sz w:val="20"/>
          <w:szCs w:val="20"/>
          <w:lang w:val="en-US"/>
        </w:rPr>
        <w:t>. However, COSATU</w:t>
      </w:r>
      <w:r w:rsidRPr="007037BB">
        <w:rPr>
          <w:rFonts w:ascii="Arial" w:eastAsia="Calibri" w:hAnsi="Arial" w:cs="Arial"/>
          <w:sz w:val="20"/>
          <w:szCs w:val="20"/>
          <w:lang w:val="en-US"/>
        </w:rPr>
        <w:t xml:space="preserve"> expressed concern over continual under-spending </w:t>
      </w:r>
      <w:r w:rsidR="00F156ED" w:rsidRPr="007037BB">
        <w:rPr>
          <w:rFonts w:ascii="Arial" w:eastAsia="Calibri" w:hAnsi="Arial" w:cs="Arial"/>
          <w:sz w:val="20"/>
          <w:szCs w:val="20"/>
          <w:lang w:val="en-US"/>
        </w:rPr>
        <w:t xml:space="preserve">by national departments </w:t>
      </w:r>
      <w:r w:rsidRPr="007037BB">
        <w:rPr>
          <w:rFonts w:ascii="Arial" w:eastAsia="Calibri" w:hAnsi="Arial" w:cs="Arial"/>
          <w:sz w:val="20"/>
          <w:szCs w:val="20"/>
          <w:lang w:val="en-US"/>
        </w:rPr>
        <w:t xml:space="preserve">in a climate of scarce resources. It further </w:t>
      </w:r>
      <w:r w:rsidRPr="007037BB">
        <w:rPr>
          <w:rFonts w:ascii="Arial" w:eastAsia="Calibri" w:hAnsi="Arial" w:cs="Arial"/>
          <w:sz w:val="20"/>
          <w:szCs w:val="20"/>
        </w:rPr>
        <w:t xml:space="preserve">welcomed the funding increase of 6.1 percent to the National Student Financial Aid Scheme (NSFAS); the 7.7 percent increase in funding for Agriculture and Land Reform; and the 11.4 percent increase in funding for roads.  However, COSATU found the following below-inflation increases, amounting to cuts in real terms, deeply offensive: </w:t>
      </w:r>
    </w:p>
    <w:p w:rsidR="00CF319A" w:rsidRPr="007037BB" w:rsidRDefault="00CF319A" w:rsidP="007037BB">
      <w:pPr>
        <w:autoSpaceDE w:val="0"/>
        <w:autoSpaceDN w:val="0"/>
        <w:adjustRightInd w:val="0"/>
        <w:spacing w:after="0" w:line="240" w:lineRule="auto"/>
        <w:rPr>
          <w:rFonts w:ascii="Arial" w:eastAsia="Calibri" w:hAnsi="Arial" w:cs="Arial"/>
          <w:sz w:val="20"/>
          <w:szCs w:val="20"/>
        </w:rPr>
      </w:pPr>
    </w:p>
    <w:p w:rsidR="00CF319A" w:rsidRPr="007037BB" w:rsidRDefault="00CF319A" w:rsidP="007037BB">
      <w:pPr>
        <w:pStyle w:val="ListParagraph"/>
        <w:numPr>
          <w:ilvl w:val="0"/>
          <w:numId w:val="22"/>
        </w:numPr>
        <w:autoSpaceDE w:val="0"/>
        <w:autoSpaceDN w:val="0"/>
        <w:adjustRightInd w:val="0"/>
        <w:spacing w:after="0" w:line="240" w:lineRule="auto"/>
        <w:rPr>
          <w:rFonts w:ascii="Arial" w:eastAsia="Calibri" w:hAnsi="Arial" w:cs="Arial"/>
          <w:sz w:val="20"/>
          <w:szCs w:val="20"/>
          <w:lang w:val="en-US"/>
        </w:rPr>
      </w:pPr>
      <w:r w:rsidRPr="007037BB">
        <w:rPr>
          <w:rFonts w:ascii="Arial" w:eastAsia="Calibri" w:hAnsi="Arial" w:cs="Arial"/>
          <w:sz w:val="20"/>
          <w:szCs w:val="20"/>
        </w:rPr>
        <w:t>Basic Education (3.1 percent);</w:t>
      </w:r>
    </w:p>
    <w:p w:rsidR="00CF319A" w:rsidRPr="007037BB" w:rsidRDefault="00CF319A" w:rsidP="007037BB">
      <w:pPr>
        <w:pStyle w:val="ListParagraph"/>
        <w:numPr>
          <w:ilvl w:val="0"/>
          <w:numId w:val="22"/>
        </w:numPr>
        <w:autoSpaceDE w:val="0"/>
        <w:autoSpaceDN w:val="0"/>
        <w:adjustRightInd w:val="0"/>
        <w:spacing w:after="0" w:line="240" w:lineRule="auto"/>
        <w:rPr>
          <w:rFonts w:ascii="Arial" w:eastAsia="Calibri" w:hAnsi="Arial" w:cs="Arial"/>
          <w:sz w:val="20"/>
          <w:szCs w:val="20"/>
          <w:lang w:val="en-US"/>
        </w:rPr>
      </w:pPr>
      <w:r w:rsidRPr="007037BB">
        <w:rPr>
          <w:rFonts w:ascii="Arial" w:eastAsia="Calibri" w:hAnsi="Arial" w:cs="Arial"/>
          <w:sz w:val="20"/>
          <w:szCs w:val="20"/>
        </w:rPr>
        <w:t>Health (2.7 percent);</w:t>
      </w:r>
    </w:p>
    <w:p w:rsidR="00CF319A" w:rsidRPr="007037BB" w:rsidRDefault="00CF319A" w:rsidP="007037BB">
      <w:pPr>
        <w:pStyle w:val="ListParagraph"/>
        <w:numPr>
          <w:ilvl w:val="0"/>
          <w:numId w:val="22"/>
        </w:numPr>
        <w:autoSpaceDE w:val="0"/>
        <w:autoSpaceDN w:val="0"/>
        <w:adjustRightInd w:val="0"/>
        <w:spacing w:after="0" w:line="240" w:lineRule="auto"/>
        <w:rPr>
          <w:rFonts w:ascii="Arial" w:eastAsia="Calibri" w:hAnsi="Arial" w:cs="Arial"/>
          <w:sz w:val="20"/>
          <w:szCs w:val="20"/>
          <w:lang w:val="en-US"/>
        </w:rPr>
      </w:pPr>
      <w:r w:rsidRPr="007037BB">
        <w:rPr>
          <w:rFonts w:ascii="Arial" w:eastAsia="Calibri" w:hAnsi="Arial" w:cs="Arial"/>
          <w:sz w:val="20"/>
          <w:szCs w:val="20"/>
        </w:rPr>
        <w:t>Industrial Financing and Exports (2.4 percent);</w:t>
      </w:r>
    </w:p>
    <w:p w:rsidR="00CF319A" w:rsidRPr="007037BB" w:rsidRDefault="00CF319A" w:rsidP="007037BB">
      <w:pPr>
        <w:pStyle w:val="ListParagraph"/>
        <w:numPr>
          <w:ilvl w:val="0"/>
          <w:numId w:val="22"/>
        </w:numPr>
        <w:autoSpaceDE w:val="0"/>
        <w:autoSpaceDN w:val="0"/>
        <w:adjustRightInd w:val="0"/>
        <w:spacing w:after="0" w:line="240" w:lineRule="auto"/>
        <w:rPr>
          <w:rFonts w:ascii="Arial" w:eastAsia="Calibri" w:hAnsi="Arial" w:cs="Arial"/>
          <w:sz w:val="20"/>
          <w:szCs w:val="20"/>
          <w:lang w:val="en-US"/>
        </w:rPr>
      </w:pPr>
      <w:r w:rsidRPr="007037BB">
        <w:rPr>
          <w:rFonts w:ascii="Arial" w:eastAsia="Calibri" w:hAnsi="Arial" w:cs="Arial"/>
          <w:sz w:val="20"/>
          <w:szCs w:val="20"/>
        </w:rPr>
        <w:t>South African Police Service (SAPS) (3.7 percent);</w:t>
      </w:r>
    </w:p>
    <w:p w:rsidR="00CF319A" w:rsidRPr="007037BB" w:rsidRDefault="00CF319A" w:rsidP="007037BB">
      <w:pPr>
        <w:pStyle w:val="ListParagraph"/>
        <w:numPr>
          <w:ilvl w:val="0"/>
          <w:numId w:val="22"/>
        </w:numPr>
        <w:autoSpaceDE w:val="0"/>
        <w:autoSpaceDN w:val="0"/>
        <w:adjustRightInd w:val="0"/>
        <w:spacing w:after="0" w:line="240" w:lineRule="auto"/>
        <w:rPr>
          <w:rFonts w:ascii="Arial" w:eastAsia="Calibri" w:hAnsi="Arial" w:cs="Arial"/>
          <w:sz w:val="20"/>
          <w:szCs w:val="20"/>
          <w:lang w:val="en-US"/>
        </w:rPr>
      </w:pPr>
      <w:r w:rsidRPr="007037BB">
        <w:rPr>
          <w:rFonts w:ascii="Arial" w:eastAsia="Calibri" w:hAnsi="Arial" w:cs="Arial"/>
          <w:sz w:val="20"/>
          <w:szCs w:val="20"/>
        </w:rPr>
        <w:t xml:space="preserve">Courts and Correctional Services (2.9 percent); and </w:t>
      </w:r>
    </w:p>
    <w:p w:rsidR="00CF319A" w:rsidRPr="007037BB" w:rsidRDefault="00CF319A" w:rsidP="007037BB">
      <w:pPr>
        <w:pStyle w:val="ListParagraph"/>
        <w:numPr>
          <w:ilvl w:val="0"/>
          <w:numId w:val="22"/>
        </w:numPr>
        <w:autoSpaceDE w:val="0"/>
        <w:autoSpaceDN w:val="0"/>
        <w:adjustRightInd w:val="0"/>
        <w:spacing w:after="0" w:line="240" w:lineRule="auto"/>
        <w:rPr>
          <w:rFonts w:ascii="Arial" w:eastAsia="Calibri" w:hAnsi="Arial" w:cs="Arial"/>
          <w:sz w:val="20"/>
          <w:szCs w:val="20"/>
          <w:lang w:val="en-US"/>
        </w:rPr>
      </w:pPr>
      <w:r w:rsidRPr="007037BB">
        <w:rPr>
          <w:rFonts w:ascii="Arial" w:eastAsia="Calibri" w:hAnsi="Arial" w:cs="Arial"/>
          <w:sz w:val="20"/>
          <w:szCs w:val="20"/>
        </w:rPr>
        <w:t xml:space="preserve">Home Affairs (-0.8 percent).  </w:t>
      </w:r>
    </w:p>
    <w:p w:rsidR="00CF319A" w:rsidRPr="007037BB" w:rsidRDefault="00CF319A" w:rsidP="007037BB">
      <w:pPr>
        <w:autoSpaceDE w:val="0"/>
        <w:autoSpaceDN w:val="0"/>
        <w:adjustRightInd w:val="0"/>
        <w:spacing w:after="0" w:line="240" w:lineRule="auto"/>
        <w:rPr>
          <w:rFonts w:ascii="Arial" w:eastAsia="Calibri" w:hAnsi="Arial" w:cs="Arial"/>
          <w:sz w:val="20"/>
          <w:szCs w:val="20"/>
        </w:rPr>
      </w:pPr>
    </w:p>
    <w:p w:rsidR="00CF319A" w:rsidRPr="007037BB" w:rsidRDefault="00CF319A" w:rsidP="007037BB">
      <w:pPr>
        <w:autoSpaceDE w:val="0"/>
        <w:autoSpaceDN w:val="0"/>
        <w:adjustRightInd w:val="0"/>
        <w:spacing w:after="0" w:line="240" w:lineRule="auto"/>
        <w:rPr>
          <w:rFonts w:ascii="Arial" w:eastAsia="Calibri" w:hAnsi="Arial" w:cs="Arial"/>
          <w:sz w:val="20"/>
          <w:szCs w:val="20"/>
          <w:lang w:val="en-US"/>
        </w:rPr>
      </w:pPr>
      <w:bookmarkStart w:id="4" w:name="_Hlk136856720"/>
      <w:r w:rsidRPr="007037BB">
        <w:rPr>
          <w:rFonts w:ascii="Arial" w:eastAsia="Calibri" w:hAnsi="Arial" w:cs="Arial"/>
          <w:sz w:val="20"/>
          <w:szCs w:val="20"/>
        </w:rPr>
        <w:t xml:space="preserve">COSATU was of the view that the austerity approach to key public services was reckless and would further weaken the capacity of the </w:t>
      </w:r>
      <w:r w:rsidR="00F156ED" w:rsidRPr="007037BB">
        <w:rPr>
          <w:rFonts w:ascii="Arial" w:eastAsia="Calibri" w:hAnsi="Arial" w:cs="Arial"/>
          <w:sz w:val="20"/>
          <w:szCs w:val="20"/>
        </w:rPr>
        <w:t>s</w:t>
      </w:r>
      <w:r w:rsidRPr="007037BB">
        <w:rPr>
          <w:rFonts w:ascii="Arial" w:eastAsia="Calibri" w:hAnsi="Arial" w:cs="Arial"/>
          <w:sz w:val="20"/>
          <w:szCs w:val="20"/>
        </w:rPr>
        <w:t>tate to provide quality public services, upon which society and the economy depended.</w:t>
      </w:r>
      <w:r w:rsidR="00F156ED" w:rsidRPr="007037BB">
        <w:rPr>
          <w:rFonts w:ascii="Arial" w:eastAsia="Calibri" w:hAnsi="Arial" w:cs="Arial"/>
          <w:sz w:val="20"/>
          <w:szCs w:val="20"/>
        </w:rPr>
        <w:t xml:space="preserve"> </w:t>
      </w:r>
      <w:bookmarkEnd w:id="4"/>
      <w:r w:rsidRPr="007037BB">
        <w:rPr>
          <w:rFonts w:ascii="Arial" w:eastAsia="Calibri" w:hAnsi="Arial" w:cs="Arial"/>
          <w:sz w:val="20"/>
          <w:szCs w:val="20"/>
        </w:rPr>
        <w:t>COSATU further submitted that additional funding to fill critical vacancies at the National Prosecuting Authority (NPA) and the South African Revenue Service (SARS) would boost the fight against corruption and tax evasion.</w:t>
      </w:r>
    </w:p>
    <w:p w:rsidR="008001E5" w:rsidRPr="007037BB" w:rsidRDefault="008001E5" w:rsidP="007037BB">
      <w:pPr>
        <w:autoSpaceDE w:val="0"/>
        <w:autoSpaceDN w:val="0"/>
        <w:adjustRightInd w:val="0"/>
        <w:spacing w:after="0" w:line="240" w:lineRule="auto"/>
        <w:rPr>
          <w:rFonts w:ascii="Arial" w:eastAsia="Calibri" w:hAnsi="Arial" w:cs="Arial"/>
          <w:sz w:val="20"/>
          <w:szCs w:val="20"/>
        </w:rPr>
      </w:pPr>
    </w:p>
    <w:p w:rsidR="008F383A" w:rsidRPr="007037BB" w:rsidRDefault="008F383A" w:rsidP="007037BB">
      <w:pPr>
        <w:autoSpaceDE w:val="0"/>
        <w:autoSpaceDN w:val="0"/>
        <w:adjustRightInd w:val="0"/>
        <w:spacing w:after="0" w:line="240" w:lineRule="auto"/>
        <w:rPr>
          <w:rFonts w:ascii="Arial" w:eastAsia="Calibri" w:hAnsi="Arial" w:cs="Arial"/>
          <w:b/>
          <w:sz w:val="20"/>
          <w:szCs w:val="20"/>
        </w:rPr>
      </w:pPr>
      <w:r w:rsidRPr="007037BB">
        <w:rPr>
          <w:rFonts w:ascii="Arial" w:eastAsia="Calibri" w:hAnsi="Arial" w:cs="Arial"/>
          <w:b/>
          <w:sz w:val="20"/>
          <w:szCs w:val="20"/>
        </w:rPr>
        <w:t>5.3</w:t>
      </w:r>
      <w:r w:rsidRPr="007037BB">
        <w:rPr>
          <w:rFonts w:ascii="Arial" w:eastAsia="Calibri" w:hAnsi="Arial" w:cs="Arial"/>
          <w:b/>
          <w:sz w:val="20"/>
          <w:szCs w:val="20"/>
        </w:rPr>
        <w:tab/>
      </w:r>
      <w:r w:rsidR="00CF319A" w:rsidRPr="007037BB">
        <w:rPr>
          <w:rFonts w:ascii="Arial" w:eastAsia="Calibri" w:hAnsi="Arial" w:cs="Arial"/>
          <w:b/>
          <w:sz w:val="20"/>
          <w:szCs w:val="20"/>
        </w:rPr>
        <w:t xml:space="preserve">Public Service Accountability Monitor </w:t>
      </w:r>
    </w:p>
    <w:p w:rsidR="008F383A" w:rsidRPr="007037BB" w:rsidRDefault="008F383A" w:rsidP="007037BB">
      <w:pPr>
        <w:autoSpaceDE w:val="0"/>
        <w:autoSpaceDN w:val="0"/>
        <w:adjustRightInd w:val="0"/>
        <w:spacing w:after="0" w:line="240" w:lineRule="auto"/>
        <w:rPr>
          <w:rFonts w:ascii="Arial" w:eastAsia="Calibri" w:hAnsi="Arial" w:cs="Arial"/>
          <w:sz w:val="20"/>
          <w:szCs w:val="20"/>
        </w:rPr>
      </w:pPr>
    </w:p>
    <w:p w:rsidR="00CF319A" w:rsidRPr="007037BB" w:rsidRDefault="00CF319A" w:rsidP="007037BB">
      <w:p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The Public Service Accountability Monitor (PSAM) submitted that nearly three decades into South Africa’s democratic era, much had been achieved in alignment with one of the most progressive Bill of Rights in the world. However, many people</w:t>
      </w:r>
      <w:r w:rsidR="00F156ED" w:rsidRPr="007037BB">
        <w:rPr>
          <w:rFonts w:ascii="Arial" w:eastAsia="Calibri" w:hAnsi="Arial" w:cs="Arial"/>
          <w:sz w:val="20"/>
          <w:szCs w:val="20"/>
        </w:rPr>
        <w:t>,</w:t>
      </w:r>
      <w:r w:rsidRPr="007037BB">
        <w:rPr>
          <w:rFonts w:ascii="Arial" w:eastAsia="Calibri" w:hAnsi="Arial" w:cs="Arial"/>
          <w:sz w:val="20"/>
          <w:szCs w:val="20"/>
        </w:rPr>
        <w:t xml:space="preserve"> in particular </w:t>
      </w:r>
      <w:r w:rsidR="00F156ED" w:rsidRPr="007037BB">
        <w:rPr>
          <w:rFonts w:ascii="Arial" w:eastAsia="Calibri" w:hAnsi="Arial" w:cs="Arial"/>
          <w:sz w:val="20"/>
          <w:szCs w:val="20"/>
        </w:rPr>
        <w:t xml:space="preserve">blacks, remained </w:t>
      </w:r>
      <w:r w:rsidRPr="007037BB">
        <w:rPr>
          <w:rFonts w:ascii="Arial" w:eastAsia="Calibri" w:hAnsi="Arial" w:cs="Arial"/>
          <w:sz w:val="20"/>
          <w:szCs w:val="20"/>
        </w:rPr>
        <w:t xml:space="preserve">without adequate housing or sanitation and access to quality healthcare or education. </w:t>
      </w:r>
      <w:bookmarkStart w:id="5" w:name="_Hlk136856991"/>
      <w:r w:rsidRPr="007037BB">
        <w:rPr>
          <w:rFonts w:ascii="Arial" w:eastAsia="Calibri" w:hAnsi="Arial" w:cs="Arial"/>
          <w:sz w:val="20"/>
          <w:szCs w:val="20"/>
        </w:rPr>
        <w:t xml:space="preserve">In addition to weak governance and public administration, </w:t>
      </w:r>
      <w:r w:rsidR="00F156ED" w:rsidRPr="007037BB">
        <w:rPr>
          <w:rFonts w:ascii="Arial" w:eastAsia="Calibri" w:hAnsi="Arial" w:cs="Arial"/>
          <w:sz w:val="20"/>
          <w:szCs w:val="20"/>
        </w:rPr>
        <w:t xml:space="preserve">the </w:t>
      </w:r>
      <w:r w:rsidRPr="007037BB">
        <w:rPr>
          <w:rFonts w:ascii="Arial" w:eastAsia="Calibri" w:hAnsi="Arial" w:cs="Arial"/>
          <w:sz w:val="20"/>
          <w:szCs w:val="20"/>
        </w:rPr>
        <w:t>misuse of public funds constitute</w:t>
      </w:r>
      <w:r w:rsidR="00F156ED" w:rsidRPr="007037BB">
        <w:rPr>
          <w:rFonts w:ascii="Arial" w:eastAsia="Calibri" w:hAnsi="Arial" w:cs="Arial"/>
          <w:sz w:val="20"/>
          <w:szCs w:val="20"/>
        </w:rPr>
        <w:t xml:space="preserve">d </w:t>
      </w:r>
      <w:r w:rsidRPr="007037BB">
        <w:rPr>
          <w:rFonts w:ascii="Arial" w:eastAsia="Calibri" w:hAnsi="Arial" w:cs="Arial"/>
          <w:sz w:val="20"/>
          <w:szCs w:val="20"/>
        </w:rPr>
        <w:t xml:space="preserve">a serious threat to the progressive realisation of human rights and optimal service delivery. Fighting corruption and enhancing governance and accountability should therefore be </w:t>
      </w:r>
      <w:r w:rsidR="00F156ED" w:rsidRPr="007037BB">
        <w:rPr>
          <w:rFonts w:ascii="Arial" w:eastAsia="Calibri" w:hAnsi="Arial" w:cs="Arial"/>
          <w:sz w:val="20"/>
          <w:szCs w:val="20"/>
        </w:rPr>
        <w:t xml:space="preserve">at the </w:t>
      </w:r>
      <w:r w:rsidRPr="007037BB">
        <w:rPr>
          <w:rFonts w:ascii="Arial" w:eastAsia="Calibri" w:hAnsi="Arial" w:cs="Arial"/>
          <w:sz w:val="20"/>
          <w:szCs w:val="20"/>
        </w:rPr>
        <w:t xml:space="preserve">core to realising sustainable and inclusive development and building a capable and developmental state. </w:t>
      </w:r>
      <w:bookmarkEnd w:id="5"/>
      <w:r w:rsidRPr="007037BB">
        <w:rPr>
          <w:rFonts w:ascii="Arial" w:eastAsia="Calibri" w:hAnsi="Arial" w:cs="Arial"/>
          <w:sz w:val="20"/>
          <w:szCs w:val="20"/>
        </w:rPr>
        <w:t>PSAM indicated that, while they were encouraged by the increased resource allocation</w:t>
      </w:r>
      <w:r w:rsidR="00F156ED" w:rsidRPr="007037BB">
        <w:rPr>
          <w:rFonts w:ascii="Arial" w:eastAsia="Calibri" w:hAnsi="Arial" w:cs="Arial"/>
          <w:sz w:val="20"/>
          <w:szCs w:val="20"/>
        </w:rPr>
        <w:t>s</w:t>
      </w:r>
      <w:r w:rsidRPr="007037BB">
        <w:rPr>
          <w:rFonts w:ascii="Arial" w:eastAsia="Calibri" w:hAnsi="Arial" w:cs="Arial"/>
          <w:sz w:val="20"/>
          <w:szCs w:val="20"/>
        </w:rPr>
        <w:t xml:space="preserve"> to institutions established to prevent and eradicate corruption, provide oversight over procurement, manage the country's finances and support constitutional development, significant funding challenges </w:t>
      </w:r>
      <w:r w:rsidR="00F156ED" w:rsidRPr="007037BB">
        <w:rPr>
          <w:rFonts w:ascii="Arial" w:eastAsia="Calibri" w:hAnsi="Arial" w:cs="Arial"/>
          <w:sz w:val="20"/>
          <w:szCs w:val="20"/>
        </w:rPr>
        <w:t>remained.</w:t>
      </w:r>
    </w:p>
    <w:p w:rsidR="00CF319A" w:rsidRPr="007037BB" w:rsidRDefault="00CF319A" w:rsidP="007037BB">
      <w:pPr>
        <w:autoSpaceDE w:val="0"/>
        <w:autoSpaceDN w:val="0"/>
        <w:adjustRightInd w:val="0"/>
        <w:spacing w:after="0" w:line="240" w:lineRule="auto"/>
        <w:rPr>
          <w:rFonts w:ascii="Arial" w:eastAsia="Calibri" w:hAnsi="Arial" w:cs="Arial"/>
          <w:sz w:val="20"/>
          <w:szCs w:val="20"/>
        </w:rPr>
      </w:pPr>
    </w:p>
    <w:p w:rsidR="00CF319A" w:rsidRPr="007037BB" w:rsidRDefault="00CF319A" w:rsidP="007037BB">
      <w:p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 xml:space="preserve">PSAM reported that several challenges existed within the Department of Justice and Constitutional Development, where several crime and corruption fighting entities were located. These included poor internal controls, slow recruitment leading to persistent vacancies, and poor contract and supply chain management, leading to delays in the procurement of goods and services and under-spending. PSAM </w:t>
      </w:r>
      <w:r w:rsidR="00F156ED" w:rsidRPr="007037BB">
        <w:rPr>
          <w:rFonts w:ascii="Arial" w:eastAsia="Calibri" w:hAnsi="Arial" w:cs="Arial"/>
          <w:sz w:val="20"/>
          <w:szCs w:val="20"/>
        </w:rPr>
        <w:t>noted that</w:t>
      </w:r>
      <w:r w:rsidRPr="007037BB">
        <w:rPr>
          <w:rFonts w:ascii="Arial" w:eastAsia="Calibri" w:hAnsi="Arial" w:cs="Arial"/>
          <w:sz w:val="20"/>
          <w:szCs w:val="20"/>
        </w:rPr>
        <w:t xml:space="preserve"> increased allocations to the National Prosecuting Authority (NPA) had enabled it to fill vacancies and take important steps to rebuild capacity</w:t>
      </w:r>
      <w:r w:rsidR="00F156ED" w:rsidRPr="007037BB">
        <w:rPr>
          <w:rFonts w:ascii="Arial" w:eastAsia="Calibri" w:hAnsi="Arial" w:cs="Arial"/>
          <w:sz w:val="20"/>
          <w:szCs w:val="20"/>
        </w:rPr>
        <w:t>. However, NPA’s</w:t>
      </w:r>
      <w:r w:rsidRPr="007037BB">
        <w:rPr>
          <w:rFonts w:ascii="Arial" w:eastAsia="Calibri" w:hAnsi="Arial" w:cs="Arial"/>
          <w:sz w:val="20"/>
          <w:szCs w:val="20"/>
        </w:rPr>
        <w:t xml:space="preserve"> performance had not improved significantly and coordination with other departments remained an </w:t>
      </w:r>
      <w:r w:rsidRPr="007037BB">
        <w:rPr>
          <w:rFonts w:ascii="Arial" w:eastAsia="Calibri" w:hAnsi="Arial" w:cs="Arial"/>
          <w:sz w:val="20"/>
          <w:szCs w:val="20"/>
        </w:rPr>
        <w:lastRenderedPageBreak/>
        <w:t>issue, resulting in outstanding cases and low conviction rates. PSAM noted that performance targets appeared to have been reduced over the MTEF, which it found concerning, given the increased budget allocation.</w:t>
      </w:r>
    </w:p>
    <w:p w:rsidR="00CF319A" w:rsidRPr="007037BB" w:rsidRDefault="00CF319A" w:rsidP="007037BB">
      <w:pPr>
        <w:autoSpaceDE w:val="0"/>
        <w:autoSpaceDN w:val="0"/>
        <w:adjustRightInd w:val="0"/>
        <w:spacing w:after="0" w:line="240" w:lineRule="auto"/>
        <w:rPr>
          <w:rFonts w:ascii="Arial" w:eastAsia="Calibri" w:hAnsi="Arial" w:cs="Arial"/>
          <w:sz w:val="20"/>
          <w:szCs w:val="20"/>
        </w:rPr>
      </w:pPr>
    </w:p>
    <w:p w:rsidR="00CF319A" w:rsidRPr="007037BB" w:rsidRDefault="00CF319A" w:rsidP="007037BB">
      <w:p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PSAM argued that the funding model of the Special Investigating Unit (SIU) and growing debt from departments and entities under investigation, was a threat to the sustainability of the SIU, which had, to date, performed relatively well on its mandate. In addition, PSAM highlighted that the National Anti-Corruption Advisory Council (NACAC) appeared to be funded from the Criminal Assets Recovery Account (CARA)</w:t>
      </w:r>
      <w:r w:rsidR="00F156ED" w:rsidRPr="007037BB">
        <w:rPr>
          <w:rFonts w:ascii="Arial" w:eastAsia="Calibri" w:hAnsi="Arial" w:cs="Arial"/>
          <w:sz w:val="20"/>
          <w:szCs w:val="20"/>
        </w:rPr>
        <w:t>. It</w:t>
      </w:r>
      <w:r w:rsidRPr="007037BB">
        <w:rPr>
          <w:rFonts w:ascii="Arial" w:eastAsia="Calibri" w:hAnsi="Arial" w:cs="Arial"/>
          <w:sz w:val="20"/>
          <w:szCs w:val="20"/>
        </w:rPr>
        <w:t xml:space="preserve"> was unclear how </w:t>
      </w:r>
      <w:r w:rsidR="00DE7761" w:rsidRPr="007037BB">
        <w:rPr>
          <w:rFonts w:ascii="Arial" w:eastAsia="Calibri" w:hAnsi="Arial" w:cs="Arial"/>
          <w:sz w:val="20"/>
          <w:szCs w:val="20"/>
        </w:rPr>
        <w:t xml:space="preserve">the NACAC </w:t>
      </w:r>
      <w:r w:rsidRPr="007037BB">
        <w:rPr>
          <w:rFonts w:ascii="Arial" w:eastAsia="Calibri" w:hAnsi="Arial" w:cs="Arial"/>
          <w:sz w:val="20"/>
          <w:szCs w:val="20"/>
        </w:rPr>
        <w:t xml:space="preserve">funds were allocated or spent, and it appeared that some allocated funds had not yet been spent. NACAC played an important role in supporting further development of the National Anti-Corruption Strategy (NACS) and establishment of a permanent body. </w:t>
      </w:r>
      <w:r w:rsidR="00DE7761" w:rsidRPr="007037BB">
        <w:rPr>
          <w:rFonts w:ascii="Arial" w:eastAsia="Calibri" w:hAnsi="Arial" w:cs="Arial"/>
          <w:sz w:val="20"/>
          <w:szCs w:val="20"/>
        </w:rPr>
        <w:t>PSAM emphasised that t</w:t>
      </w:r>
      <w:r w:rsidRPr="007037BB">
        <w:rPr>
          <w:rFonts w:ascii="Arial" w:eastAsia="Calibri" w:hAnsi="Arial" w:cs="Arial"/>
          <w:sz w:val="20"/>
          <w:szCs w:val="20"/>
        </w:rPr>
        <w:t xml:space="preserve">he funding arrangements should be transparent and funds allocated should be used to ensure coordination and implementation of the NACS. </w:t>
      </w:r>
    </w:p>
    <w:p w:rsidR="00CF319A" w:rsidRPr="007037BB" w:rsidRDefault="00CF319A" w:rsidP="007037BB">
      <w:pPr>
        <w:autoSpaceDE w:val="0"/>
        <w:autoSpaceDN w:val="0"/>
        <w:adjustRightInd w:val="0"/>
        <w:spacing w:after="0" w:line="240" w:lineRule="auto"/>
        <w:rPr>
          <w:rFonts w:ascii="Arial" w:eastAsia="Calibri" w:hAnsi="Arial" w:cs="Arial"/>
          <w:sz w:val="20"/>
          <w:szCs w:val="20"/>
        </w:rPr>
      </w:pPr>
    </w:p>
    <w:p w:rsidR="006C3585" w:rsidRPr="007037BB" w:rsidRDefault="00CF319A" w:rsidP="007037BB">
      <w:p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 xml:space="preserve">PSAM </w:t>
      </w:r>
      <w:r w:rsidR="00DE7761" w:rsidRPr="007037BB">
        <w:rPr>
          <w:rFonts w:ascii="Arial" w:eastAsia="Calibri" w:hAnsi="Arial" w:cs="Arial"/>
          <w:sz w:val="20"/>
          <w:szCs w:val="20"/>
        </w:rPr>
        <w:t>submitted</w:t>
      </w:r>
      <w:r w:rsidRPr="007037BB">
        <w:rPr>
          <w:rFonts w:ascii="Arial" w:eastAsia="Calibri" w:hAnsi="Arial" w:cs="Arial"/>
          <w:sz w:val="20"/>
          <w:szCs w:val="20"/>
        </w:rPr>
        <w:t xml:space="preserve"> that numerous stakeholders were involved in anti-corruption efforts and weaknesses or performance challenges in one entity could impact overall outcomes</w:t>
      </w:r>
      <w:r w:rsidR="00DE7761" w:rsidRPr="007037BB">
        <w:rPr>
          <w:rFonts w:ascii="Arial" w:eastAsia="Calibri" w:hAnsi="Arial" w:cs="Arial"/>
          <w:sz w:val="20"/>
          <w:szCs w:val="20"/>
        </w:rPr>
        <w:t>. It</w:t>
      </w:r>
      <w:r w:rsidRPr="007037BB">
        <w:rPr>
          <w:rFonts w:ascii="Arial" w:eastAsia="Calibri" w:hAnsi="Arial" w:cs="Arial"/>
          <w:sz w:val="20"/>
          <w:szCs w:val="20"/>
        </w:rPr>
        <w:t xml:space="preserve"> was </w:t>
      </w:r>
      <w:r w:rsidR="00DE7761" w:rsidRPr="007037BB">
        <w:rPr>
          <w:rFonts w:ascii="Arial" w:eastAsia="Calibri" w:hAnsi="Arial" w:cs="Arial"/>
          <w:sz w:val="20"/>
          <w:szCs w:val="20"/>
        </w:rPr>
        <w:t xml:space="preserve">therefore </w:t>
      </w:r>
      <w:r w:rsidRPr="007037BB">
        <w:rPr>
          <w:rFonts w:ascii="Arial" w:eastAsia="Calibri" w:hAnsi="Arial" w:cs="Arial"/>
          <w:sz w:val="20"/>
          <w:szCs w:val="20"/>
        </w:rPr>
        <w:t xml:space="preserve">critical that these entities worked collaboratively to improve the efficient use of resources and secure better outcomes.    </w:t>
      </w:r>
    </w:p>
    <w:p w:rsidR="005F3B76" w:rsidRPr="007037BB" w:rsidRDefault="005F3B76" w:rsidP="007037BB">
      <w:pPr>
        <w:autoSpaceDE w:val="0"/>
        <w:autoSpaceDN w:val="0"/>
        <w:adjustRightInd w:val="0"/>
        <w:spacing w:after="0" w:line="240" w:lineRule="auto"/>
        <w:rPr>
          <w:rFonts w:ascii="Arial" w:eastAsia="Calibri" w:hAnsi="Arial" w:cs="Arial"/>
          <w:sz w:val="20"/>
          <w:szCs w:val="20"/>
        </w:rPr>
      </w:pPr>
    </w:p>
    <w:p w:rsidR="008F383A" w:rsidRPr="007037BB" w:rsidRDefault="008F383A" w:rsidP="007037BB">
      <w:pPr>
        <w:autoSpaceDE w:val="0"/>
        <w:autoSpaceDN w:val="0"/>
        <w:adjustRightInd w:val="0"/>
        <w:spacing w:after="0" w:line="240" w:lineRule="auto"/>
        <w:rPr>
          <w:rFonts w:ascii="Arial" w:eastAsia="Calibri" w:hAnsi="Arial" w:cs="Arial"/>
          <w:b/>
          <w:sz w:val="20"/>
          <w:szCs w:val="20"/>
        </w:rPr>
      </w:pPr>
      <w:r w:rsidRPr="007037BB">
        <w:rPr>
          <w:rFonts w:ascii="Arial" w:eastAsia="Calibri" w:hAnsi="Arial" w:cs="Arial"/>
          <w:b/>
          <w:sz w:val="20"/>
          <w:szCs w:val="20"/>
        </w:rPr>
        <w:t>5.5</w:t>
      </w:r>
      <w:r w:rsidRPr="007037BB">
        <w:rPr>
          <w:rFonts w:ascii="Arial" w:eastAsia="Calibri" w:hAnsi="Arial" w:cs="Arial"/>
          <w:b/>
          <w:sz w:val="20"/>
          <w:szCs w:val="20"/>
        </w:rPr>
        <w:tab/>
      </w:r>
      <w:r w:rsidR="00CF319A" w:rsidRPr="007037BB">
        <w:rPr>
          <w:rFonts w:ascii="Arial" w:eastAsia="Calibri" w:hAnsi="Arial" w:cs="Arial"/>
          <w:b/>
          <w:sz w:val="20"/>
          <w:szCs w:val="20"/>
        </w:rPr>
        <w:t>Equal Education</w:t>
      </w:r>
    </w:p>
    <w:p w:rsidR="008F383A" w:rsidRPr="007037BB" w:rsidRDefault="008F383A" w:rsidP="007037BB">
      <w:pPr>
        <w:autoSpaceDE w:val="0"/>
        <w:autoSpaceDN w:val="0"/>
        <w:adjustRightInd w:val="0"/>
        <w:spacing w:after="0" w:line="240" w:lineRule="auto"/>
        <w:rPr>
          <w:rFonts w:ascii="Arial" w:eastAsia="Calibri" w:hAnsi="Arial" w:cs="Arial"/>
          <w:sz w:val="20"/>
          <w:szCs w:val="20"/>
        </w:rPr>
      </w:pPr>
    </w:p>
    <w:p w:rsidR="00685203" w:rsidRPr="007037BB" w:rsidRDefault="00685203" w:rsidP="007037BB">
      <w:p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 xml:space="preserve">Equal Education (EE) submitted that the </w:t>
      </w:r>
      <w:r w:rsidR="008721ED" w:rsidRPr="007037BB">
        <w:rPr>
          <w:rFonts w:ascii="Arial" w:eastAsia="Calibri" w:hAnsi="Arial" w:cs="Arial"/>
          <w:sz w:val="20"/>
          <w:szCs w:val="20"/>
        </w:rPr>
        <w:t>e</w:t>
      </w:r>
      <w:r w:rsidRPr="007037BB">
        <w:rPr>
          <w:rFonts w:ascii="Arial" w:eastAsia="Calibri" w:hAnsi="Arial" w:cs="Arial"/>
          <w:sz w:val="20"/>
          <w:szCs w:val="20"/>
        </w:rPr>
        <w:t>ducation sector was plagued by learning, infrastructure, spending, and governance challenges which could lead to an education blackout. EE listed the national critical infrastructure backlogs, as follows:</w:t>
      </w:r>
    </w:p>
    <w:p w:rsidR="008721ED" w:rsidRPr="007037BB" w:rsidRDefault="008721ED" w:rsidP="007037BB">
      <w:pPr>
        <w:autoSpaceDE w:val="0"/>
        <w:autoSpaceDN w:val="0"/>
        <w:adjustRightInd w:val="0"/>
        <w:spacing w:after="0" w:line="240" w:lineRule="auto"/>
        <w:rPr>
          <w:rFonts w:ascii="Arial" w:eastAsia="Calibri" w:hAnsi="Arial" w:cs="Arial"/>
          <w:sz w:val="20"/>
          <w:szCs w:val="20"/>
        </w:rPr>
      </w:pPr>
    </w:p>
    <w:p w:rsidR="00685203" w:rsidRPr="007037BB" w:rsidRDefault="00685203" w:rsidP="007037BB">
      <w:pPr>
        <w:numPr>
          <w:ilvl w:val="0"/>
          <w:numId w:val="24"/>
        </w:num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3 677 inappropriate schools with an estimated cost of R4.48 billion;</w:t>
      </w:r>
    </w:p>
    <w:p w:rsidR="00685203" w:rsidRPr="007037BB" w:rsidRDefault="00685203" w:rsidP="007037BB">
      <w:pPr>
        <w:numPr>
          <w:ilvl w:val="0"/>
          <w:numId w:val="23"/>
        </w:num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 xml:space="preserve">13 655 schools with no sanitation facilities, projected to cost R17.95 billion to construct; </w:t>
      </w:r>
    </w:p>
    <w:p w:rsidR="00685203" w:rsidRPr="007037BB" w:rsidRDefault="00685203" w:rsidP="007037BB">
      <w:pPr>
        <w:numPr>
          <w:ilvl w:val="0"/>
          <w:numId w:val="23"/>
        </w:num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8 265 schools needing additional classrooms which could cost R44.50 billion; and</w:t>
      </w:r>
    </w:p>
    <w:p w:rsidR="00685203" w:rsidRPr="007037BB" w:rsidRDefault="00685203" w:rsidP="007037BB">
      <w:pPr>
        <w:numPr>
          <w:ilvl w:val="0"/>
          <w:numId w:val="23"/>
        </w:num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 xml:space="preserve">6 310 schools with no water supply, with an estimated R6,67 billion needed for the installation. </w:t>
      </w:r>
    </w:p>
    <w:p w:rsidR="008721ED" w:rsidRPr="007037BB" w:rsidRDefault="008721ED" w:rsidP="007037BB">
      <w:pPr>
        <w:autoSpaceDE w:val="0"/>
        <w:autoSpaceDN w:val="0"/>
        <w:adjustRightInd w:val="0"/>
        <w:spacing w:after="0" w:line="240" w:lineRule="auto"/>
        <w:rPr>
          <w:rFonts w:ascii="Arial" w:eastAsia="Calibri" w:hAnsi="Arial" w:cs="Arial"/>
          <w:sz w:val="20"/>
          <w:szCs w:val="20"/>
        </w:rPr>
      </w:pPr>
    </w:p>
    <w:p w:rsidR="00685203" w:rsidRPr="007037BB" w:rsidRDefault="00685203" w:rsidP="007037BB">
      <w:p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EE emphasised that funding to the sector must address rising inflation and increasing learner enrolment</w:t>
      </w:r>
      <w:r w:rsidR="008721ED" w:rsidRPr="007037BB">
        <w:rPr>
          <w:rFonts w:ascii="Arial" w:eastAsia="Calibri" w:hAnsi="Arial" w:cs="Arial"/>
          <w:sz w:val="20"/>
          <w:szCs w:val="20"/>
        </w:rPr>
        <w:t>. It</w:t>
      </w:r>
      <w:r w:rsidRPr="007037BB">
        <w:rPr>
          <w:rFonts w:ascii="Arial" w:eastAsia="Calibri" w:hAnsi="Arial" w:cs="Arial"/>
          <w:sz w:val="20"/>
          <w:szCs w:val="20"/>
        </w:rPr>
        <w:t xml:space="preserve"> not</w:t>
      </w:r>
      <w:r w:rsidR="008721ED" w:rsidRPr="007037BB">
        <w:rPr>
          <w:rFonts w:ascii="Arial" w:eastAsia="Calibri" w:hAnsi="Arial" w:cs="Arial"/>
          <w:sz w:val="20"/>
          <w:szCs w:val="20"/>
        </w:rPr>
        <w:t>ed</w:t>
      </w:r>
      <w:r w:rsidRPr="007037BB">
        <w:rPr>
          <w:rFonts w:ascii="Arial" w:eastAsia="Calibri" w:hAnsi="Arial" w:cs="Arial"/>
          <w:sz w:val="20"/>
          <w:szCs w:val="20"/>
        </w:rPr>
        <w:t xml:space="preserve"> that the 2023/24 allocation did not meet th</w:t>
      </w:r>
      <w:r w:rsidR="008721ED" w:rsidRPr="007037BB">
        <w:rPr>
          <w:rFonts w:ascii="Arial" w:eastAsia="Calibri" w:hAnsi="Arial" w:cs="Arial"/>
          <w:sz w:val="20"/>
          <w:szCs w:val="20"/>
        </w:rPr>
        <w:t>e aforementioned</w:t>
      </w:r>
      <w:r w:rsidRPr="007037BB">
        <w:rPr>
          <w:rFonts w:ascii="Arial" w:eastAsia="Calibri" w:hAnsi="Arial" w:cs="Arial"/>
          <w:sz w:val="20"/>
          <w:szCs w:val="20"/>
        </w:rPr>
        <w:t xml:space="preserve"> criterion, despite nearly R1 billion being added to the 2022/23 MTEF</w:t>
      </w:r>
      <w:r w:rsidR="008721ED" w:rsidRPr="007037BB">
        <w:rPr>
          <w:rFonts w:ascii="Arial" w:eastAsia="Calibri" w:hAnsi="Arial" w:cs="Arial"/>
          <w:sz w:val="20"/>
          <w:szCs w:val="20"/>
        </w:rPr>
        <w:t xml:space="preserve"> </w:t>
      </w:r>
      <w:r w:rsidRPr="007037BB">
        <w:rPr>
          <w:rFonts w:ascii="Arial" w:eastAsia="Calibri" w:hAnsi="Arial" w:cs="Arial"/>
          <w:sz w:val="20"/>
          <w:szCs w:val="20"/>
        </w:rPr>
        <w:t>projections.</w:t>
      </w:r>
    </w:p>
    <w:p w:rsidR="00675841" w:rsidRPr="007037BB" w:rsidRDefault="00675841" w:rsidP="007037BB">
      <w:pPr>
        <w:autoSpaceDE w:val="0"/>
        <w:autoSpaceDN w:val="0"/>
        <w:adjustRightInd w:val="0"/>
        <w:spacing w:after="0" w:line="240" w:lineRule="auto"/>
        <w:rPr>
          <w:rFonts w:ascii="Arial" w:eastAsia="Calibri" w:hAnsi="Arial" w:cs="Arial"/>
          <w:sz w:val="20"/>
          <w:szCs w:val="20"/>
        </w:rPr>
      </w:pPr>
    </w:p>
    <w:p w:rsidR="00685203" w:rsidRPr="007037BB" w:rsidRDefault="00685203" w:rsidP="007037BB">
      <w:p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rPr>
        <w:t>EE welcomed the additional R1.5 billion for the Education Infrastructure Grant over th</w:t>
      </w:r>
      <w:r w:rsidR="00CC76BE" w:rsidRPr="007037BB">
        <w:rPr>
          <w:rFonts w:ascii="Arial" w:eastAsia="Calibri" w:hAnsi="Arial" w:cs="Arial"/>
          <w:sz w:val="20"/>
          <w:szCs w:val="20"/>
        </w:rPr>
        <w:t>e MTEF</w:t>
      </w:r>
      <w:r w:rsidRPr="007037BB">
        <w:rPr>
          <w:rFonts w:ascii="Arial" w:eastAsia="Calibri" w:hAnsi="Arial" w:cs="Arial"/>
          <w:sz w:val="20"/>
          <w:szCs w:val="20"/>
        </w:rPr>
        <w:t xml:space="preserve"> to address overcrowding in schools a</w:t>
      </w:r>
      <w:r w:rsidR="00CC76BE" w:rsidRPr="007037BB">
        <w:rPr>
          <w:rFonts w:ascii="Arial" w:eastAsia="Calibri" w:hAnsi="Arial" w:cs="Arial"/>
          <w:sz w:val="20"/>
          <w:szCs w:val="20"/>
        </w:rPr>
        <w:t>s well as</w:t>
      </w:r>
      <w:r w:rsidRPr="007037BB">
        <w:rPr>
          <w:rFonts w:ascii="Arial" w:eastAsia="Calibri" w:hAnsi="Arial" w:cs="Arial"/>
          <w:sz w:val="20"/>
          <w:szCs w:val="20"/>
        </w:rPr>
        <w:t xml:space="preserve"> the R283 million added in 2023/24 to repair flood damaged schools in the Eastern Cape and KwaZulu-Natal. However, EE pointed out that the whole sector, from the national Department of Basic Education to school level, suffered from endemic spending </w:t>
      </w:r>
      <w:r w:rsidR="00405748" w:rsidRPr="007037BB">
        <w:rPr>
          <w:rFonts w:ascii="Arial" w:eastAsia="Calibri" w:hAnsi="Arial" w:cs="Arial"/>
          <w:sz w:val="20"/>
          <w:szCs w:val="20"/>
        </w:rPr>
        <w:t>variances</w:t>
      </w:r>
      <w:r w:rsidRPr="007037BB">
        <w:rPr>
          <w:rFonts w:ascii="Arial" w:eastAsia="Calibri" w:hAnsi="Arial" w:cs="Arial"/>
          <w:sz w:val="20"/>
          <w:szCs w:val="20"/>
        </w:rPr>
        <w:t xml:space="preserve"> such as under-spending and irregular, fruitless and wasteful expenditure. The state of schools would be drastically improved if education departments were to spend judiciously. EE emphasised the importance of acknowledging the looming education blackout and ensuring that schools get the </w:t>
      </w:r>
      <w:r w:rsidR="00CC76BE" w:rsidRPr="007037BB">
        <w:rPr>
          <w:rFonts w:ascii="Arial" w:eastAsia="Calibri" w:hAnsi="Arial" w:cs="Arial"/>
          <w:sz w:val="20"/>
          <w:szCs w:val="20"/>
        </w:rPr>
        <w:t xml:space="preserve">funding </w:t>
      </w:r>
      <w:r w:rsidRPr="007037BB">
        <w:rPr>
          <w:rFonts w:ascii="Arial" w:eastAsia="Calibri" w:hAnsi="Arial" w:cs="Arial"/>
          <w:sz w:val="20"/>
          <w:szCs w:val="20"/>
        </w:rPr>
        <w:t xml:space="preserve">they needed to tackle the challenges. To this end, EE called on Parliament to </w:t>
      </w:r>
      <w:r w:rsidR="00CC76BE" w:rsidRPr="007037BB">
        <w:rPr>
          <w:rFonts w:ascii="Arial" w:eastAsia="Calibri" w:hAnsi="Arial" w:cs="Arial"/>
          <w:sz w:val="20"/>
          <w:szCs w:val="20"/>
        </w:rPr>
        <w:t>do the following:</w:t>
      </w:r>
    </w:p>
    <w:p w:rsidR="00CC76BE" w:rsidRPr="007037BB" w:rsidRDefault="00CC76BE" w:rsidP="007037BB">
      <w:pPr>
        <w:autoSpaceDE w:val="0"/>
        <w:autoSpaceDN w:val="0"/>
        <w:adjustRightInd w:val="0"/>
        <w:spacing w:after="0" w:line="240" w:lineRule="auto"/>
        <w:rPr>
          <w:rFonts w:ascii="Arial" w:eastAsia="Calibri" w:hAnsi="Arial" w:cs="Arial"/>
          <w:sz w:val="20"/>
          <w:szCs w:val="20"/>
        </w:rPr>
      </w:pPr>
    </w:p>
    <w:p w:rsidR="00685203" w:rsidRPr="007037BB" w:rsidRDefault="00685203" w:rsidP="007037BB">
      <w:pPr>
        <w:numPr>
          <w:ilvl w:val="0"/>
          <w:numId w:val="25"/>
        </w:num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lang w:val="en-US"/>
        </w:rPr>
        <w:t xml:space="preserve">Reject the 2023/24 </w:t>
      </w:r>
      <w:r w:rsidR="00405748" w:rsidRPr="007037BB">
        <w:rPr>
          <w:rFonts w:ascii="Arial" w:eastAsia="Calibri" w:hAnsi="Arial" w:cs="Arial"/>
          <w:sz w:val="20"/>
          <w:szCs w:val="20"/>
          <w:lang w:val="en-US"/>
        </w:rPr>
        <w:t>b</w:t>
      </w:r>
      <w:r w:rsidRPr="007037BB">
        <w:rPr>
          <w:rFonts w:ascii="Arial" w:eastAsia="Calibri" w:hAnsi="Arial" w:cs="Arial"/>
          <w:sz w:val="20"/>
          <w:szCs w:val="20"/>
          <w:lang w:val="en-US"/>
        </w:rPr>
        <w:t>udget and call for a budget for schooling that grows in line with inflation and learner enrollment;</w:t>
      </w:r>
    </w:p>
    <w:p w:rsidR="00685203" w:rsidRPr="007037BB" w:rsidRDefault="00685203" w:rsidP="007037BB">
      <w:pPr>
        <w:numPr>
          <w:ilvl w:val="0"/>
          <w:numId w:val="25"/>
        </w:num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lang w:val="en-US"/>
        </w:rPr>
        <w:t xml:space="preserve">Take its oversight responsibilities seriously, by actively engaging the Department </w:t>
      </w:r>
      <w:r w:rsidR="00405748" w:rsidRPr="007037BB">
        <w:rPr>
          <w:rFonts w:ascii="Arial" w:eastAsia="Calibri" w:hAnsi="Arial" w:cs="Arial"/>
          <w:sz w:val="20"/>
          <w:szCs w:val="20"/>
          <w:lang w:val="en-US"/>
        </w:rPr>
        <w:t xml:space="preserve">of Basic Education </w:t>
      </w:r>
      <w:r w:rsidRPr="007037BB">
        <w:rPr>
          <w:rFonts w:ascii="Arial" w:eastAsia="Calibri" w:hAnsi="Arial" w:cs="Arial"/>
          <w:sz w:val="20"/>
          <w:szCs w:val="20"/>
          <w:lang w:val="en-US"/>
        </w:rPr>
        <w:t xml:space="preserve">on how it spends </w:t>
      </w:r>
      <w:r w:rsidR="00405748" w:rsidRPr="007037BB">
        <w:rPr>
          <w:rFonts w:ascii="Arial" w:eastAsia="Calibri" w:hAnsi="Arial" w:cs="Arial"/>
          <w:sz w:val="20"/>
          <w:szCs w:val="20"/>
          <w:lang w:val="en-US"/>
        </w:rPr>
        <w:t>budget allocations</w:t>
      </w:r>
      <w:r w:rsidRPr="007037BB">
        <w:rPr>
          <w:rFonts w:ascii="Arial" w:eastAsia="Calibri" w:hAnsi="Arial" w:cs="Arial"/>
          <w:sz w:val="20"/>
          <w:szCs w:val="20"/>
          <w:lang w:val="en-US"/>
        </w:rPr>
        <w:t>, and apply proper consequence management; and  </w:t>
      </w:r>
    </w:p>
    <w:p w:rsidR="00685203" w:rsidRPr="007037BB" w:rsidRDefault="00685203" w:rsidP="007037BB">
      <w:pPr>
        <w:numPr>
          <w:ilvl w:val="0"/>
          <w:numId w:val="25"/>
        </w:numPr>
        <w:autoSpaceDE w:val="0"/>
        <w:autoSpaceDN w:val="0"/>
        <w:adjustRightInd w:val="0"/>
        <w:spacing w:after="0" w:line="240" w:lineRule="auto"/>
        <w:rPr>
          <w:rFonts w:ascii="Arial" w:eastAsia="Calibri" w:hAnsi="Arial" w:cs="Arial"/>
          <w:sz w:val="20"/>
          <w:szCs w:val="20"/>
        </w:rPr>
      </w:pPr>
      <w:r w:rsidRPr="007037BB">
        <w:rPr>
          <w:rFonts w:ascii="Arial" w:eastAsia="Calibri" w:hAnsi="Arial" w:cs="Arial"/>
          <w:sz w:val="20"/>
          <w:szCs w:val="20"/>
          <w:lang w:val="en-US"/>
        </w:rPr>
        <w:t xml:space="preserve">Ensure that proper oversight is provided if and when the norms and standards get brought to Parliament for amendment. </w:t>
      </w:r>
    </w:p>
    <w:p w:rsidR="00685203" w:rsidRPr="007037BB" w:rsidRDefault="00685203" w:rsidP="007037BB">
      <w:pPr>
        <w:autoSpaceDE w:val="0"/>
        <w:autoSpaceDN w:val="0"/>
        <w:adjustRightInd w:val="0"/>
        <w:spacing w:after="0" w:line="240" w:lineRule="auto"/>
        <w:rPr>
          <w:rFonts w:ascii="Arial" w:eastAsia="Calibri" w:hAnsi="Arial" w:cs="Arial"/>
          <w:sz w:val="20"/>
          <w:szCs w:val="20"/>
        </w:rPr>
      </w:pPr>
    </w:p>
    <w:p w:rsidR="008F383A" w:rsidRPr="007037BB" w:rsidRDefault="008F383A" w:rsidP="007037BB">
      <w:pPr>
        <w:numPr>
          <w:ilvl w:val="0"/>
          <w:numId w:val="16"/>
        </w:numPr>
        <w:spacing w:after="0" w:line="240" w:lineRule="auto"/>
        <w:ind w:left="567" w:hanging="567"/>
        <w:contextualSpacing/>
        <w:rPr>
          <w:rFonts w:ascii="Arial" w:eastAsia="Times New Roman" w:hAnsi="Arial" w:cs="Arial"/>
          <w:b/>
          <w:sz w:val="20"/>
          <w:szCs w:val="20"/>
        </w:rPr>
      </w:pPr>
      <w:r w:rsidRPr="007037BB">
        <w:rPr>
          <w:rFonts w:ascii="Arial" w:eastAsia="Times New Roman" w:hAnsi="Arial" w:cs="Arial"/>
          <w:b/>
          <w:sz w:val="20"/>
          <w:szCs w:val="20"/>
        </w:rPr>
        <w:t>Committee Findings and Observations</w:t>
      </w:r>
    </w:p>
    <w:p w:rsidR="008F383A" w:rsidRPr="007037BB" w:rsidRDefault="008F383A" w:rsidP="007037BB">
      <w:pPr>
        <w:tabs>
          <w:tab w:val="num" w:pos="1440"/>
        </w:tabs>
        <w:spacing w:after="0" w:line="240" w:lineRule="auto"/>
        <w:rPr>
          <w:rFonts w:ascii="Arial" w:eastAsia="Times New Roman" w:hAnsi="Arial" w:cs="Arial"/>
          <w:spacing w:val="6"/>
          <w:sz w:val="20"/>
          <w:szCs w:val="20"/>
        </w:rPr>
      </w:pPr>
    </w:p>
    <w:p w:rsidR="008F383A" w:rsidRPr="007037BB" w:rsidRDefault="008F383A" w:rsidP="007037BB">
      <w:pPr>
        <w:spacing w:after="0" w:line="240" w:lineRule="auto"/>
        <w:rPr>
          <w:rFonts w:ascii="Arial" w:eastAsia="Times New Roman" w:hAnsi="Arial" w:cs="Arial"/>
          <w:sz w:val="20"/>
          <w:szCs w:val="20"/>
        </w:rPr>
      </w:pPr>
      <w:r w:rsidRPr="007037BB">
        <w:rPr>
          <w:rFonts w:ascii="Arial" w:eastAsia="Times New Roman" w:hAnsi="Arial" w:cs="Arial"/>
          <w:sz w:val="20"/>
          <w:szCs w:val="20"/>
        </w:rPr>
        <w:t>Having deliberated and considered all the submissions made by the above stakeholders on Appropriation Bill [B</w:t>
      </w:r>
      <w:r w:rsidR="00405748" w:rsidRPr="007037BB">
        <w:rPr>
          <w:rFonts w:ascii="Arial" w:eastAsia="Times New Roman" w:hAnsi="Arial" w:cs="Arial"/>
          <w:sz w:val="20"/>
          <w:szCs w:val="20"/>
        </w:rPr>
        <w:t>3</w:t>
      </w:r>
      <w:r w:rsidR="001F3786" w:rsidRPr="007037BB">
        <w:rPr>
          <w:rFonts w:ascii="Arial" w:eastAsia="Times New Roman" w:hAnsi="Arial" w:cs="Arial"/>
          <w:sz w:val="20"/>
          <w:szCs w:val="20"/>
        </w:rPr>
        <w:t xml:space="preserve"> </w:t>
      </w:r>
      <w:r w:rsidRPr="007037BB">
        <w:rPr>
          <w:rFonts w:ascii="Arial" w:eastAsia="Times New Roman" w:hAnsi="Arial" w:cs="Arial"/>
          <w:sz w:val="20"/>
          <w:szCs w:val="20"/>
        </w:rPr>
        <w:t>-</w:t>
      </w:r>
      <w:r w:rsidR="001F3786" w:rsidRPr="007037BB">
        <w:rPr>
          <w:rFonts w:ascii="Arial" w:eastAsia="Times New Roman" w:hAnsi="Arial" w:cs="Arial"/>
          <w:sz w:val="20"/>
          <w:szCs w:val="20"/>
        </w:rPr>
        <w:t xml:space="preserve"> </w:t>
      </w:r>
      <w:r w:rsidRPr="007037BB">
        <w:rPr>
          <w:rFonts w:ascii="Arial" w:eastAsia="Times New Roman" w:hAnsi="Arial" w:cs="Arial"/>
          <w:sz w:val="20"/>
          <w:szCs w:val="20"/>
        </w:rPr>
        <w:t>202</w:t>
      </w:r>
      <w:r w:rsidR="00405748" w:rsidRPr="007037BB">
        <w:rPr>
          <w:rFonts w:ascii="Arial" w:eastAsia="Times New Roman" w:hAnsi="Arial" w:cs="Arial"/>
          <w:sz w:val="20"/>
          <w:szCs w:val="20"/>
        </w:rPr>
        <w:t>3</w:t>
      </w:r>
      <w:r w:rsidRPr="007037BB">
        <w:rPr>
          <w:rFonts w:ascii="Arial" w:eastAsia="Times New Roman" w:hAnsi="Arial" w:cs="Arial"/>
          <w:sz w:val="20"/>
          <w:szCs w:val="20"/>
        </w:rPr>
        <w:t>], the Standing Committee on Appropriations makes the following findings and observations:</w:t>
      </w:r>
      <w:r w:rsidRPr="007037BB">
        <w:rPr>
          <w:rFonts w:ascii="Arial" w:eastAsia="Times New Roman" w:hAnsi="Arial" w:cs="Arial"/>
          <w:b/>
          <w:spacing w:val="6"/>
          <w:sz w:val="20"/>
          <w:szCs w:val="20"/>
          <w:lang w:eastAsia="en-GB"/>
        </w:rPr>
        <w:t xml:space="preserve"> </w:t>
      </w:r>
    </w:p>
    <w:p w:rsidR="008F383A" w:rsidRPr="007037BB" w:rsidRDefault="008F383A" w:rsidP="007037BB">
      <w:pPr>
        <w:spacing w:after="0" w:line="240" w:lineRule="auto"/>
        <w:contextualSpacing/>
        <w:rPr>
          <w:rFonts w:ascii="Arial" w:eastAsia="Times New Roman" w:hAnsi="Arial" w:cs="Arial"/>
          <w:sz w:val="20"/>
          <w:szCs w:val="20"/>
        </w:rPr>
      </w:pPr>
    </w:p>
    <w:p w:rsidR="00E57B46" w:rsidRPr="007037BB" w:rsidRDefault="00393701" w:rsidP="007037BB">
      <w:pPr>
        <w:numPr>
          <w:ilvl w:val="1"/>
          <w:numId w:val="20"/>
        </w:numPr>
        <w:spacing w:after="0" w:line="240" w:lineRule="auto"/>
        <w:ind w:left="709" w:hanging="709"/>
        <w:contextualSpacing/>
        <w:rPr>
          <w:rFonts w:ascii="Arial" w:eastAsia="Times New Roman" w:hAnsi="Arial" w:cs="Arial"/>
          <w:sz w:val="20"/>
          <w:szCs w:val="20"/>
          <w:lang w:val="en-GB"/>
        </w:rPr>
      </w:pPr>
      <w:r w:rsidRPr="007037BB">
        <w:rPr>
          <w:rFonts w:ascii="Arial" w:eastAsia="Times New Roman" w:hAnsi="Arial" w:cs="Arial"/>
          <w:sz w:val="20"/>
          <w:szCs w:val="20"/>
          <w:lang w:val="en-GB"/>
        </w:rPr>
        <w:t xml:space="preserve">The Committee notes and welcomes the Bill proposed total Vote allocation of R1.077 trillion for the 2023/24 financial year, </w:t>
      </w:r>
      <w:r w:rsidRPr="007037BB">
        <w:rPr>
          <w:rFonts w:ascii="Arial" w:eastAsia="Times New Roman" w:hAnsi="Arial" w:cs="Arial"/>
          <w:sz w:val="20"/>
          <w:szCs w:val="20"/>
        </w:rPr>
        <w:t>excluding direct charges against the National Revenue Fund (NRF), provisional allocation not assigned to votes and the contingency reserves. The Committee</w:t>
      </w:r>
      <w:r w:rsidR="00E57B46" w:rsidRPr="007037BB">
        <w:rPr>
          <w:rFonts w:ascii="Arial" w:eastAsia="Times New Roman" w:hAnsi="Arial" w:cs="Arial"/>
          <w:sz w:val="20"/>
          <w:szCs w:val="20"/>
        </w:rPr>
        <w:t xml:space="preserve"> is of the view that this Bill is crucial if government is to continue to deliver the required basic services to South Africans.</w:t>
      </w:r>
    </w:p>
    <w:p w:rsidR="00E57B46" w:rsidRPr="007037BB" w:rsidRDefault="00E57B46" w:rsidP="007037BB">
      <w:pPr>
        <w:spacing w:after="0" w:line="240" w:lineRule="auto"/>
        <w:ind w:left="709"/>
        <w:contextualSpacing/>
        <w:rPr>
          <w:rFonts w:ascii="Arial" w:eastAsia="Times New Roman" w:hAnsi="Arial" w:cs="Arial"/>
          <w:sz w:val="20"/>
          <w:szCs w:val="20"/>
          <w:lang w:val="en-GB"/>
        </w:rPr>
      </w:pPr>
    </w:p>
    <w:p w:rsidR="00E57B46" w:rsidRPr="007037BB" w:rsidRDefault="00E57B46" w:rsidP="007037BB">
      <w:pPr>
        <w:numPr>
          <w:ilvl w:val="1"/>
          <w:numId w:val="20"/>
        </w:numPr>
        <w:spacing w:after="0" w:line="240" w:lineRule="auto"/>
        <w:ind w:left="709" w:hanging="709"/>
        <w:contextualSpacing/>
        <w:rPr>
          <w:rFonts w:ascii="Arial" w:eastAsia="Times New Roman" w:hAnsi="Arial" w:cs="Arial"/>
          <w:sz w:val="20"/>
          <w:szCs w:val="20"/>
          <w:lang w:val="en-GB"/>
        </w:rPr>
      </w:pPr>
      <w:r w:rsidRPr="007037BB">
        <w:rPr>
          <w:rFonts w:ascii="Arial" w:eastAsia="Times New Roman" w:hAnsi="Arial" w:cs="Arial"/>
          <w:sz w:val="20"/>
          <w:szCs w:val="20"/>
        </w:rPr>
        <w:t>The Committee notes and welcomes that 7</w:t>
      </w:r>
      <w:r w:rsidR="00047594" w:rsidRPr="007037BB">
        <w:rPr>
          <w:rFonts w:ascii="Arial" w:eastAsia="Times New Roman" w:hAnsi="Arial" w:cs="Arial"/>
          <w:sz w:val="20"/>
          <w:szCs w:val="20"/>
        </w:rPr>
        <w:t>4</w:t>
      </w:r>
      <w:r w:rsidRPr="007037BB">
        <w:rPr>
          <w:rFonts w:ascii="Arial" w:eastAsia="Times New Roman" w:hAnsi="Arial" w:cs="Arial"/>
          <w:sz w:val="20"/>
          <w:szCs w:val="20"/>
        </w:rPr>
        <w:t xml:space="preserve"> per cent of these proposed Vote allocations goes </w:t>
      </w:r>
      <w:r w:rsidR="00047594" w:rsidRPr="007037BB">
        <w:rPr>
          <w:rFonts w:ascii="Arial" w:eastAsia="Times New Roman" w:hAnsi="Arial" w:cs="Arial"/>
          <w:sz w:val="20"/>
          <w:szCs w:val="20"/>
        </w:rPr>
        <w:t xml:space="preserve">towards </w:t>
      </w:r>
      <w:r w:rsidRPr="007037BB">
        <w:rPr>
          <w:rFonts w:ascii="Arial" w:eastAsia="Times New Roman" w:hAnsi="Arial" w:cs="Arial"/>
          <w:sz w:val="20"/>
          <w:szCs w:val="20"/>
        </w:rPr>
        <w:t xml:space="preserve">transfers and subsidies. These are transfers to provinces, municipalities, public corporations and other non-profit making entities mainly for the payment of social grants, conditional grants allocations, transfers to public entities, university subsidies and NSFAS. The Committee views provinces and municipalities in particular to be at the centre of service delivery and these proposals are supported by the Committee since they are indicative of the bulk of government services. </w:t>
      </w:r>
    </w:p>
    <w:p w:rsidR="00AB209F" w:rsidRPr="007037BB" w:rsidRDefault="00AB209F" w:rsidP="007037BB">
      <w:pPr>
        <w:pStyle w:val="ListParagraph"/>
        <w:spacing w:after="0" w:line="240" w:lineRule="auto"/>
        <w:rPr>
          <w:rFonts w:ascii="Arial" w:eastAsia="Times New Roman" w:hAnsi="Arial" w:cs="Arial"/>
          <w:sz w:val="20"/>
          <w:szCs w:val="20"/>
          <w:lang w:val="en-GB"/>
        </w:rPr>
      </w:pPr>
    </w:p>
    <w:p w:rsidR="00AB209F" w:rsidRPr="007037BB" w:rsidRDefault="00AB209F" w:rsidP="007037BB">
      <w:pPr>
        <w:numPr>
          <w:ilvl w:val="1"/>
          <w:numId w:val="20"/>
        </w:numPr>
        <w:spacing w:after="0" w:line="240" w:lineRule="auto"/>
        <w:ind w:left="709" w:hanging="709"/>
        <w:contextualSpacing/>
        <w:rPr>
          <w:rFonts w:ascii="Arial" w:eastAsia="Times New Roman" w:hAnsi="Arial" w:cs="Arial"/>
          <w:sz w:val="20"/>
          <w:szCs w:val="20"/>
          <w:lang w:val="en-GB"/>
        </w:rPr>
      </w:pPr>
      <w:r w:rsidRPr="007037BB">
        <w:rPr>
          <w:rFonts w:ascii="Arial" w:eastAsia="Times New Roman" w:hAnsi="Arial" w:cs="Arial"/>
          <w:sz w:val="20"/>
          <w:szCs w:val="20"/>
          <w:lang w:val="en-GB"/>
        </w:rPr>
        <w:t xml:space="preserve">The Committee notes that relative to the 2022 budget, the main budget non-interest spending increases by a net R128.4 billion over the MTEF period, supported by higher than anticipated revenue collection. </w:t>
      </w:r>
    </w:p>
    <w:p w:rsidR="00D218CF" w:rsidRPr="007037BB" w:rsidRDefault="00D218CF" w:rsidP="007037BB">
      <w:pPr>
        <w:spacing w:after="0" w:line="240" w:lineRule="auto"/>
        <w:ind w:left="709"/>
        <w:contextualSpacing/>
        <w:rPr>
          <w:rFonts w:ascii="Arial" w:eastAsia="Times New Roman" w:hAnsi="Arial" w:cs="Arial"/>
          <w:sz w:val="20"/>
          <w:szCs w:val="20"/>
          <w:lang w:val="en-GB"/>
        </w:rPr>
      </w:pPr>
    </w:p>
    <w:p w:rsidR="00D218CF" w:rsidRPr="007037BB" w:rsidRDefault="00D218CF" w:rsidP="007037BB">
      <w:pPr>
        <w:numPr>
          <w:ilvl w:val="1"/>
          <w:numId w:val="20"/>
        </w:numPr>
        <w:spacing w:after="0" w:line="240" w:lineRule="auto"/>
        <w:ind w:left="709" w:hanging="709"/>
        <w:contextualSpacing/>
        <w:rPr>
          <w:rFonts w:ascii="Arial" w:eastAsia="Times New Roman" w:hAnsi="Arial" w:cs="Arial"/>
          <w:sz w:val="20"/>
          <w:szCs w:val="20"/>
          <w:lang w:val="en-GB"/>
        </w:rPr>
      </w:pPr>
      <w:r w:rsidRPr="007037BB">
        <w:rPr>
          <w:rFonts w:ascii="Arial" w:eastAsia="Times New Roman" w:hAnsi="Arial" w:cs="Arial"/>
          <w:sz w:val="20"/>
          <w:szCs w:val="20"/>
          <w:lang w:val="en-GB"/>
        </w:rPr>
        <w:t>The Committee notes and welcomes that the 2023 budget allocates additional funding totalling R227 billion over the MTEF period (R91 billion in 2023/24, R61.3 billion 2024/25 and R74.7 billion in 2025/26) to fund various government programmes, including the extension of the Social Relief of Distress Grant until March 2024</w:t>
      </w:r>
      <w:r w:rsidR="004D3ED0" w:rsidRPr="007037BB">
        <w:rPr>
          <w:rFonts w:ascii="Arial" w:eastAsia="Times New Roman" w:hAnsi="Arial" w:cs="Arial"/>
          <w:sz w:val="20"/>
          <w:szCs w:val="20"/>
          <w:lang w:val="en-GB"/>
        </w:rPr>
        <w:t xml:space="preserve"> and the </w:t>
      </w:r>
      <w:r w:rsidR="004D3ED0" w:rsidRPr="007037BB">
        <w:rPr>
          <w:rFonts w:ascii="Arial" w:eastAsia="Times New Roman" w:hAnsi="Arial" w:cs="Arial"/>
          <w:sz w:val="20"/>
          <w:szCs w:val="20"/>
          <w:lang w:val="en-US"/>
        </w:rPr>
        <w:t>carry-through costs of the 2022/23 publics service wage increase</w:t>
      </w:r>
      <w:r w:rsidRPr="007037BB">
        <w:rPr>
          <w:rFonts w:ascii="Arial" w:eastAsia="Times New Roman" w:hAnsi="Arial" w:cs="Arial"/>
          <w:sz w:val="20"/>
          <w:szCs w:val="20"/>
          <w:lang w:val="en-GB"/>
        </w:rPr>
        <w:t xml:space="preserve">. </w:t>
      </w:r>
      <w:r w:rsidR="004D3ED0" w:rsidRPr="007037BB">
        <w:rPr>
          <w:rFonts w:ascii="Arial" w:eastAsia="Times New Roman" w:hAnsi="Arial" w:cs="Arial"/>
          <w:sz w:val="20"/>
          <w:szCs w:val="20"/>
          <w:lang w:val="en-GB"/>
        </w:rPr>
        <w:t>On the Social relief of Distress Grant, t</w:t>
      </w:r>
      <w:r w:rsidR="00FC5874" w:rsidRPr="007037BB">
        <w:rPr>
          <w:rFonts w:ascii="Arial" w:eastAsia="Times New Roman" w:hAnsi="Arial" w:cs="Arial"/>
          <w:sz w:val="20"/>
          <w:szCs w:val="20"/>
          <w:lang w:val="en-GB"/>
        </w:rPr>
        <w:t xml:space="preserve">he Committee has always emphasised on the need for government to protect the most vulnerable groups against any unexpected shocks that negatively impacts on their livelihoods.  </w:t>
      </w:r>
    </w:p>
    <w:p w:rsidR="00A87035" w:rsidRPr="007037BB" w:rsidRDefault="00A87035" w:rsidP="007037BB">
      <w:pPr>
        <w:pStyle w:val="ListParagraph"/>
        <w:spacing w:after="0" w:line="240" w:lineRule="auto"/>
        <w:rPr>
          <w:rFonts w:ascii="Arial" w:eastAsia="Times New Roman" w:hAnsi="Arial" w:cs="Arial"/>
          <w:sz w:val="20"/>
          <w:szCs w:val="20"/>
          <w:lang w:val="en-GB"/>
        </w:rPr>
      </w:pPr>
    </w:p>
    <w:p w:rsidR="00813778" w:rsidRPr="007037BB" w:rsidRDefault="00813778" w:rsidP="007037BB">
      <w:pPr>
        <w:numPr>
          <w:ilvl w:val="1"/>
          <w:numId w:val="20"/>
        </w:numPr>
        <w:spacing w:after="0" w:line="240" w:lineRule="auto"/>
        <w:ind w:left="709" w:hanging="709"/>
        <w:rPr>
          <w:rFonts w:ascii="Arial" w:eastAsia="Times New Roman" w:hAnsi="Arial" w:cs="Arial"/>
          <w:sz w:val="20"/>
          <w:szCs w:val="20"/>
          <w:lang w:val="en-US"/>
        </w:rPr>
      </w:pPr>
      <w:r w:rsidRPr="007037BB">
        <w:rPr>
          <w:rFonts w:ascii="Arial" w:eastAsia="Times New Roman" w:hAnsi="Arial" w:cs="Arial"/>
          <w:sz w:val="20"/>
          <w:szCs w:val="20"/>
          <w:lang w:val="en-US"/>
        </w:rPr>
        <w:t xml:space="preserve">The Committee notes that the FFC welcomes </w:t>
      </w:r>
      <w:r w:rsidRPr="007037BB">
        <w:rPr>
          <w:rFonts w:ascii="Arial" w:eastAsia="Times New Roman" w:hAnsi="Arial" w:cs="Arial"/>
          <w:sz w:val="20"/>
          <w:szCs w:val="20"/>
        </w:rPr>
        <w:t xml:space="preserve">and appreciates government’s efforts in balancing protection of the social wage package alongside growth inducing allocations to public infrastructure investment and additions to fight crime and corruption. </w:t>
      </w:r>
    </w:p>
    <w:p w:rsidR="00813778" w:rsidRPr="007037BB" w:rsidRDefault="00813778" w:rsidP="007037BB">
      <w:pPr>
        <w:pStyle w:val="ListParagraph"/>
        <w:spacing w:after="0" w:line="240" w:lineRule="auto"/>
        <w:rPr>
          <w:rFonts w:ascii="Arial" w:eastAsia="Times New Roman" w:hAnsi="Arial" w:cs="Arial"/>
          <w:sz w:val="20"/>
          <w:szCs w:val="20"/>
          <w:lang w:val="en-GB"/>
        </w:rPr>
      </w:pPr>
    </w:p>
    <w:p w:rsidR="00A87035" w:rsidRPr="007037BB" w:rsidRDefault="00A87035" w:rsidP="007037BB">
      <w:pPr>
        <w:numPr>
          <w:ilvl w:val="1"/>
          <w:numId w:val="20"/>
        </w:numPr>
        <w:spacing w:after="0" w:line="240" w:lineRule="auto"/>
        <w:ind w:left="709" w:hanging="709"/>
        <w:rPr>
          <w:rFonts w:ascii="Arial" w:eastAsia="Times New Roman" w:hAnsi="Arial" w:cs="Arial"/>
          <w:sz w:val="20"/>
          <w:szCs w:val="20"/>
          <w:lang w:val="en-US"/>
        </w:rPr>
      </w:pPr>
      <w:r w:rsidRPr="007037BB">
        <w:rPr>
          <w:rFonts w:ascii="Arial" w:eastAsia="Times New Roman" w:hAnsi="Arial" w:cs="Arial"/>
          <w:sz w:val="20"/>
          <w:szCs w:val="20"/>
          <w:lang w:val="en-GB"/>
        </w:rPr>
        <w:t>The Committee notes the submission by the FFC who are in support of the increase of 11 per cent</w:t>
      </w:r>
      <w:r w:rsidR="006F3E1C" w:rsidRPr="007037BB">
        <w:rPr>
          <w:rFonts w:ascii="Arial" w:eastAsia="Times New Roman" w:hAnsi="Arial" w:cs="Arial"/>
          <w:sz w:val="20"/>
          <w:szCs w:val="20"/>
          <w:lang w:val="en-GB"/>
        </w:rPr>
        <w:t xml:space="preserve"> (R12.199 billion)</w:t>
      </w:r>
      <w:r w:rsidRPr="007037BB">
        <w:rPr>
          <w:rFonts w:ascii="Arial" w:eastAsia="Times New Roman" w:hAnsi="Arial" w:cs="Arial"/>
          <w:sz w:val="20"/>
          <w:szCs w:val="20"/>
          <w:lang w:val="en-GB"/>
        </w:rPr>
        <w:t xml:space="preserve"> in </w:t>
      </w:r>
      <w:r w:rsidR="00303948" w:rsidRPr="007037BB">
        <w:rPr>
          <w:rFonts w:ascii="Arial" w:eastAsia="Times New Roman" w:hAnsi="Arial" w:cs="Arial"/>
          <w:sz w:val="20"/>
          <w:szCs w:val="20"/>
          <w:lang w:val="en-GB"/>
        </w:rPr>
        <w:t xml:space="preserve">the </w:t>
      </w:r>
      <w:r w:rsidRPr="007037BB">
        <w:rPr>
          <w:rFonts w:ascii="Arial" w:eastAsia="Times New Roman" w:hAnsi="Arial" w:cs="Arial"/>
          <w:sz w:val="20"/>
          <w:szCs w:val="20"/>
          <w:lang w:val="en-GB"/>
        </w:rPr>
        <w:t xml:space="preserve">total </w:t>
      </w:r>
      <w:r w:rsidRPr="007037BB">
        <w:rPr>
          <w:rFonts w:ascii="Arial" w:eastAsia="Times New Roman" w:hAnsi="Arial" w:cs="Arial"/>
          <w:sz w:val="20"/>
          <w:szCs w:val="20"/>
        </w:rPr>
        <w:t>allocation to the Cooperative Governance vote in 2023/24</w:t>
      </w:r>
      <w:r w:rsidR="00511A60" w:rsidRPr="007037BB">
        <w:rPr>
          <w:rFonts w:ascii="Arial" w:eastAsia="Times New Roman" w:hAnsi="Arial" w:cs="Arial"/>
          <w:sz w:val="20"/>
          <w:szCs w:val="20"/>
        </w:rPr>
        <w:t xml:space="preserve">, directed towards the Local Government Equitable share. The </w:t>
      </w:r>
      <w:r w:rsidRPr="007037BB">
        <w:rPr>
          <w:rFonts w:ascii="Arial" w:eastAsia="Times New Roman" w:hAnsi="Arial" w:cs="Arial"/>
          <w:sz w:val="20"/>
          <w:szCs w:val="20"/>
        </w:rPr>
        <w:t>commission welcomes the protection of funding for basic services which is an integral part of the social wage package</w:t>
      </w:r>
      <w:r w:rsidR="00511A60" w:rsidRPr="007037BB">
        <w:rPr>
          <w:rFonts w:ascii="Arial" w:eastAsia="Times New Roman" w:hAnsi="Arial" w:cs="Arial"/>
          <w:sz w:val="20"/>
          <w:szCs w:val="20"/>
        </w:rPr>
        <w:t xml:space="preserve">, a sentiment that is shared by the Committee. </w:t>
      </w:r>
      <w:r w:rsidR="00B70B5C" w:rsidRPr="007037BB">
        <w:rPr>
          <w:rFonts w:ascii="Arial" w:eastAsia="Times New Roman" w:hAnsi="Arial" w:cs="Arial"/>
          <w:sz w:val="20"/>
          <w:szCs w:val="20"/>
        </w:rPr>
        <w:t xml:space="preserve">Moreover, the Committee is encouraged by overall government allocation towards the social wage, wherein </w:t>
      </w:r>
      <w:r w:rsidR="00B70B5C" w:rsidRPr="007037BB">
        <w:rPr>
          <w:rFonts w:ascii="Arial" w:eastAsia="Times New Roman" w:hAnsi="Arial" w:cs="Arial"/>
          <w:sz w:val="20"/>
          <w:szCs w:val="20"/>
          <w:lang w:val="en-US"/>
        </w:rPr>
        <w:t xml:space="preserve">more than 51 per cent (R3.59 trillion) will go towards the social wage, over the MTEF period. </w:t>
      </w:r>
    </w:p>
    <w:p w:rsidR="00A87035" w:rsidRPr="007037BB" w:rsidRDefault="00A87035" w:rsidP="007037BB">
      <w:pPr>
        <w:spacing w:after="0" w:line="240" w:lineRule="auto"/>
        <w:ind w:left="709"/>
        <w:rPr>
          <w:rFonts w:ascii="Arial" w:eastAsia="Times New Roman" w:hAnsi="Arial" w:cs="Arial"/>
          <w:sz w:val="20"/>
          <w:szCs w:val="20"/>
          <w:lang w:val="en-US"/>
        </w:rPr>
      </w:pPr>
    </w:p>
    <w:p w:rsidR="00A87035" w:rsidRPr="007037BB" w:rsidRDefault="002F4EE8" w:rsidP="007037BB">
      <w:pPr>
        <w:numPr>
          <w:ilvl w:val="1"/>
          <w:numId w:val="20"/>
        </w:numPr>
        <w:spacing w:after="0" w:line="240" w:lineRule="auto"/>
        <w:ind w:left="709" w:hanging="709"/>
        <w:rPr>
          <w:rFonts w:ascii="Arial" w:eastAsia="Times New Roman" w:hAnsi="Arial" w:cs="Arial"/>
          <w:sz w:val="20"/>
          <w:szCs w:val="20"/>
          <w:lang w:val="en-US"/>
        </w:rPr>
      </w:pPr>
      <w:r w:rsidRPr="007037BB">
        <w:rPr>
          <w:rFonts w:ascii="Arial" w:eastAsia="Times New Roman" w:hAnsi="Arial" w:cs="Arial"/>
          <w:sz w:val="20"/>
          <w:szCs w:val="20"/>
          <w:lang w:val="en-GB"/>
        </w:rPr>
        <w:t xml:space="preserve">The Committee notes and welcomes the increase in allocation towards the Police vote over the MTEF period for the recruitment of 5000 police trainees per year. Given the </w:t>
      </w:r>
      <w:r w:rsidRPr="007037BB">
        <w:rPr>
          <w:rFonts w:ascii="Arial" w:eastAsia="Times New Roman" w:hAnsi="Arial" w:cs="Arial"/>
          <w:sz w:val="20"/>
          <w:szCs w:val="20"/>
        </w:rPr>
        <w:t>high levels of crime in South Africa, the Committee welcomes the additional resources and recruitment drive being implemented under the Police vote</w:t>
      </w:r>
      <w:r w:rsidR="00F579D1" w:rsidRPr="007037BB">
        <w:rPr>
          <w:rFonts w:ascii="Arial" w:eastAsia="Times New Roman" w:hAnsi="Arial" w:cs="Arial"/>
          <w:sz w:val="20"/>
          <w:szCs w:val="20"/>
        </w:rPr>
        <w:t xml:space="preserve">, a sentiment that is also shared by the FFC. </w:t>
      </w:r>
    </w:p>
    <w:p w:rsidR="00C5631D" w:rsidRPr="007037BB" w:rsidRDefault="00C5631D" w:rsidP="007037BB">
      <w:pPr>
        <w:pStyle w:val="ListParagraph"/>
        <w:spacing w:after="0" w:line="240" w:lineRule="auto"/>
        <w:rPr>
          <w:rFonts w:ascii="Arial" w:eastAsia="Times New Roman" w:hAnsi="Arial" w:cs="Arial"/>
          <w:sz w:val="20"/>
          <w:szCs w:val="20"/>
          <w:lang w:val="en-US"/>
        </w:rPr>
      </w:pPr>
    </w:p>
    <w:p w:rsidR="00C5631D" w:rsidRPr="007037BB" w:rsidRDefault="00B51DCA" w:rsidP="007037BB">
      <w:pPr>
        <w:numPr>
          <w:ilvl w:val="1"/>
          <w:numId w:val="20"/>
        </w:numPr>
        <w:spacing w:after="0" w:line="240" w:lineRule="auto"/>
        <w:ind w:left="709" w:hanging="709"/>
        <w:rPr>
          <w:rFonts w:ascii="Arial" w:eastAsia="Times New Roman" w:hAnsi="Arial" w:cs="Arial"/>
          <w:sz w:val="20"/>
          <w:szCs w:val="20"/>
          <w:lang w:val="en-US"/>
        </w:rPr>
      </w:pPr>
      <w:r w:rsidRPr="007037BB">
        <w:rPr>
          <w:rFonts w:ascii="Arial" w:eastAsia="Times New Roman" w:hAnsi="Arial" w:cs="Arial"/>
          <w:sz w:val="20"/>
          <w:szCs w:val="20"/>
          <w:lang w:val="en-US"/>
        </w:rPr>
        <w:t xml:space="preserve">The Committee notes the submission by COSATU that welcomed the additional allocation of R37 billion to key frontline service departments, state-owned-entities (SOEs) and social security. However, COSATU expressed concern over continual under-spending by national departments in a climate of scarce resources. The Committee has always implored all government institutions to always spend all Parliament’s appropriated funds in a matter that is effective, efficient and economical. The Committee always engages government institutions on spending issues through the section 32 quarterly expenditure reports and as mandated by its founding legislation. </w:t>
      </w:r>
    </w:p>
    <w:p w:rsidR="00706790" w:rsidRPr="007037BB" w:rsidRDefault="00706790" w:rsidP="007037BB">
      <w:pPr>
        <w:pStyle w:val="ListParagraph"/>
        <w:spacing w:after="0" w:line="240" w:lineRule="auto"/>
        <w:rPr>
          <w:rFonts w:ascii="Arial" w:eastAsia="Times New Roman" w:hAnsi="Arial" w:cs="Arial"/>
          <w:sz w:val="20"/>
          <w:szCs w:val="20"/>
          <w:lang w:val="en-US"/>
        </w:rPr>
      </w:pPr>
    </w:p>
    <w:p w:rsidR="00706790" w:rsidRPr="007037BB" w:rsidRDefault="00706790" w:rsidP="007037BB">
      <w:pPr>
        <w:numPr>
          <w:ilvl w:val="1"/>
          <w:numId w:val="20"/>
        </w:numPr>
        <w:spacing w:after="0" w:line="240" w:lineRule="auto"/>
        <w:ind w:left="709" w:hanging="709"/>
        <w:rPr>
          <w:rFonts w:ascii="Arial" w:eastAsia="Times New Roman" w:hAnsi="Arial" w:cs="Arial"/>
          <w:sz w:val="20"/>
          <w:szCs w:val="20"/>
          <w:lang w:val="en-US"/>
        </w:rPr>
      </w:pPr>
      <w:r w:rsidRPr="007037BB">
        <w:rPr>
          <w:rFonts w:ascii="Arial" w:eastAsia="Times New Roman" w:hAnsi="Arial" w:cs="Arial"/>
          <w:sz w:val="20"/>
          <w:szCs w:val="20"/>
          <w:lang w:val="en-US"/>
        </w:rPr>
        <w:t xml:space="preserve">The Committee notes the submission by COSATU that </w:t>
      </w:r>
      <w:r w:rsidRPr="007037BB">
        <w:rPr>
          <w:rFonts w:ascii="Arial" w:eastAsia="Times New Roman" w:hAnsi="Arial" w:cs="Arial"/>
          <w:sz w:val="20"/>
          <w:szCs w:val="20"/>
        </w:rPr>
        <w:t>the austerity approach to key public services was reckless and would further weaken the capacity of the state to provide quality public services, upon which society and the economy depended. However, given the performance of the South African economy over the last decade, the limited available tax revenue, the Covid-19 pandemic, the Committee is of the view that difficult choices have to be made by government wit</w:t>
      </w:r>
      <w:r w:rsidR="00AA4EAF" w:rsidRPr="007037BB">
        <w:rPr>
          <w:rFonts w:ascii="Arial" w:eastAsia="Times New Roman" w:hAnsi="Arial" w:cs="Arial"/>
          <w:sz w:val="20"/>
          <w:szCs w:val="20"/>
        </w:rPr>
        <w:t>h</w:t>
      </w:r>
      <w:r w:rsidRPr="007037BB">
        <w:rPr>
          <w:rFonts w:ascii="Arial" w:eastAsia="Times New Roman" w:hAnsi="Arial" w:cs="Arial"/>
          <w:sz w:val="20"/>
          <w:szCs w:val="20"/>
        </w:rPr>
        <w:t xml:space="preserve"> the limited resources at its disposal. </w:t>
      </w:r>
    </w:p>
    <w:p w:rsidR="004E5BDB" w:rsidRPr="007037BB" w:rsidRDefault="004E5BDB" w:rsidP="007037BB">
      <w:pPr>
        <w:pStyle w:val="ListParagraph"/>
        <w:spacing w:after="0" w:line="240" w:lineRule="auto"/>
        <w:rPr>
          <w:rFonts w:ascii="Arial" w:eastAsia="Times New Roman" w:hAnsi="Arial" w:cs="Arial"/>
          <w:sz w:val="20"/>
          <w:szCs w:val="20"/>
          <w:lang w:val="en-US"/>
        </w:rPr>
      </w:pPr>
    </w:p>
    <w:p w:rsidR="004E5BDB" w:rsidRPr="007037BB" w:rsidRDefault="004E5BDB" w:rsidP="007037BB">
      <w:pPr>
        <w:numPr>
          <w:ilvl w:val="1"/>
          <w:numId w:val="20"/>
        </w:numPr>
        <w:spacing w:after="0" w:line="240" w:lineRule="auto"/>
        <w:ind w:left="709" w:hanging="709"/>
        <w:rPr>
          <w:rFonts w:ascii="Arial" w:eastAsia="Times New Roman" w:hAnsi="Arial" w:cs="Arial"/>
          <w:sz w:val="20"/>
          <w:szCs w:val="20"/>
          <w:lang w:val="en-US"/>
        </w:rPr>
      </w:pPr>
      <w:r w:rsidRPr="007037BB">
        <w:rPr>
          <w:rFonts w:ascii="Arial" w:eastAsia="Times New Roman" w:hAnsi="Arial" w:cs="Arial"/>
          <w:sz w:val="20"/>
          <w:szCs w:val="20"/>
          <w:lang w:val="en-US"/>
        </w:rPr>
        <w:t xml:space="preserve">The Committee notes the submission by PSAM that </w:t>
      </w:r>
      <w:r w:rsidRPr="007037BB">
        <w:rPr>
          <w:rFonts w:ascii="Arial" w:eastAsia="Times New Roman" w:hAnsi="Arial" w:cs="Arial"/>
          <w:sz w:val="20"/>
          <w:szCs w:val="20"/>
        </w:rPr>
        <w:t>in addition to weak governance, the misuse of public funds constituted a serious threat to the progressive realisation of human rights and optimal service delivery. Therefore, fighting corruption and enhancing governance and accountability should therefore be at the core to realising sustainable and inclusive development and building a capable and developmental state.</w:t>
      </w:r>
    </w:p>
    <w:p w:rsidR="00E57B46" w:rsidRPr="007037BB" w:rsidRDefault="00E57B46" w:rsidP="007037BB">
      <w:pPr>
        <w:spacing w:after="0" w:line="240" w:lineRule="auto"/>
        <w:ind w:left="709"/>
        <w:contextualSpacing/>
        <w:rPr>
          <w:rFonts w:ascii="Arial" w:eastAsia="Times New Roman" w:hAnsi="Arial" w:cs="Arial"/>
          <w:sz w:val="20"/>
          <w:szCs w:val="20"/>
          <w:lang w:val="en-GB"/>
        </w:rPr>
      </w:pPr>
    </w:p>
    <w:p w:rsidR="008F383A" w:rsidRPr="007037BB" w:rsidRDefault="008F383A" w:rsidP="007037BB">
      <w:pPr>
        <w:spacing w:after="0" w:line="240" w:lineRule="auto"/>
        <w:ind w:left="567"/>
        <w:contextualSpacing/>
        <w:rPr>
          <w:rFonts w:ascii="Arial" w:eastAsia="Times New Roman" w:hAnsi="Arial" w:cs="Arial"/>
          <w:sz w:val="20"/>
          <w:szCs w:val="20"/>
        </w:rPr>
      </w:pPr>
    </w:p>
    <w:p w:rsidR="00303948" w:rsidRPr="007037BB" w:rsidRDefault="00303948" w:rsidP="007037BB">
      <w:pPr>
        <w:spacing w:after="0" w:line="240" w:lineRule="auto"/>
        <w:ind w:left="567"/>
        <w:contextualSpacing/>
        <w:rPr>
          <w:rFonts w:ascii="Arial" w:eastAsia="Times New Roman" w:hAnsi="Arial" w:cs="Arial"/>
          <w:sz w:val="20"/>
          <w:szCs w:val="20"/>
        </w:rPr>
      </w:pPr>
    </w:p>
    <w:p w:rsidR="008F383A" w:rsidRPr="007037BB" w:rsidRDefault="008F383A" w:rsidP="007037BB">
      <w:pPr>
        <w:pStyle w:val="ListParagraph"/>
        <w:numPr>
          <w:ilvl w:val="0"/>
          <w:numId w:val="20"/>
        </w:numPr>
        <w:spacing w:after="0" w:line="240" w:lineRule="auto"/>
        <w:rPr>
          <w:rFonts w:ascii="Arial" w:eastAsia="Times New Roman" w:hAnsi="Arial" w:cs="Arial"/>
          <w:b/>
          <w:sz w:val="20"/>
          <w:szCs w:val="20"/>
          <w:lang w:val="en-GB"/>
        </w:rPr>
      </w:pPr>
      <w:r w:rsidRPr="007037BB">
        <w:rPr>
          <w:rFonts w:ascii="Arial" w:eastAsia="Times New Roman" w:hAnsi="Arial" w:cs="Arial"/>
          <w:b/>
          <w:sz w:val="20"/>
          <w:szCs w:val="20"/>
          <w:lang w:val="en-GB"/>
        </w:rPr>
        <w:t>Recommendations</w:t>
      </w:r>
    </w:p>
    <w:p w:rsidR="008F383A" w:rsidRPr="007037BB" w:rsidRDefault="008F383A" w:rsidP="007037BB">
      <w:pPr>
        <w:spacing w:after="0" w:line="240" w:lineRule="auto"/>
        <w:contextualSpacing/>
        <w:rPr>
          <w:rFonts w:ascii="Arial" w:eastAsia="Times New Roman" w:hAnsi="Arial" w:cs="Arial"/>
          <w:b/>
          <w:sz w:val="20"/>
          <w:szCs w:val="20"/>
        </w:rPr>
      </w:pPr>
    </w:p>
    <w:p w:rsidR="008F383A" w:rsidRPr="007037BB" w:rsidRDefault="008F383A" w:rsidP="007037BB">
      <w:pPr>
        <w:spacing w:after="0" w:line="240" w:lineRule="auto"/>
        <w:contextualSpacing/>
        <w:rPr>
          <w:rFonts w:ascii="Arial" w:eastAsia="Times New Roman" w:hAnsi="Arial" w:cs="Arial"/>
          <w:sz w:val="20"/>
          <w:szCs w:val="20"/>
        </w:rPr>
      </w:pPr>
      <w:r w:rsidRPr="007037BB">
        <w:rPr>
          <w:rFonts w:ascii="Arial" w:eastAsia="Times New Roman" w:hAnsi="Arial" w:cs="Arial"/>
          <w:sz w:val="20"/>
          <w:szCs w:val="20"/>
        </w:rPr>
        <w:t>The Standing Committee on Appropriations, having considered the above submissions and inputs on the Appropriation Bill [B</w:t>
      </w:r>
      <w:r w:rsidR="00405748" w:rsidRPr="007037BB">
        <w:rPr>
          <w:rFonts w:ascii="Arial" w:eastAsia="Times New Roman" w:hAnsi="Arial" w:cs="Arial"/>
          <w:sz w:val="20"/>
          <w:szCs w:val="20"/>
        </w:rPr>
        <w:t>3</w:t>
      </w:r>
      <w:r w:rsidR="001F3786" w:rsidRPr="007037BB">
        <w:rPr>
          <w:rFonts w:ascii="Arial" w:eastAsia="Times New Roman" w:hAnsi="Arial" w:cs="Arial"/>
          <w:sz w:val="20"/>
          <w:szCs w:val="20"/>
        </w:rPr>
        <w:t xml:space="preserve"> </w:t>
      </w:r>
      <w:r w:rsidRPr="007037BB">
        <w:rPr>
          <w:rFonts w:ascii="Arial" w:eastAsia="Times New Roman" w:hAnsi="Arial" w:cs="Arial"/>
          <w:sz w:val="20"/>
          <w:szCs w:val="20"/>
        </w:rPr>
        <w:t>-</w:t>
      </w:r>
      <w:r w:rsidR="001F3786" w:rsidRPr="007037BB">
        <w:rPr>
          <w:rFonts w:ascii="Arial" w:eastAsia="Times New Roman" w:hAnsi="Arial" w:cs="Arial"/>
          <w:sz w:val="20"/>
          <w:szCs w:val="20"/>
        </w:rPr>
        <w:t xml:space="preserve"> </w:t>
      </w:r>
      <w:r w:rsidRPr="007037BB">
        <w:rPr>
          <w:rFonts w:ascii="Arial" w:eastAsia="Times New Roman" w:hAnsi="Arial" w:cs="Arial"/>
          <w:sz w:val="20"/>
          <w:szCs w:val="20"/>
        </w:rPr>
        <w:t>202</w:t>
      </w:r>
      <w:r w:rsidR="00405748" w:rsidRPr="007037BB">
        <w:rPr>
          <w:rFonts w:ascii="Arial" w:eastAsia="Times New Roman" w:hAnsi="Arial" w:cs="Arial"/>
          <w:sz w:val="20"/>
          <w:szCs w:val="20"/>
        </w:rPr>
        <w:t>3</w:t>
      </w:r>
      <w:r w:rsidRPr="007037BB">
        <w:rPr>
          <w:rFonts w:ascii="Arial" w:eastAsia="Times New Roman" w:hAnsi="Arial" w:cs="Arial"/>
          <w:sz w:val="20"/>
          <w:szCs w:val="20"/>
        </w:rPr>
        <w:t>], recommends as follows:</w:t>
      </w:r>
    </w:p>
    <w:p w:rsidR="008F383A" w:rsidRPr="007037BB" w:rsidRDefault="008F383A" w:rsidP="007037BB">
      <w:pPr>
        <w:spacing w:after="0" w:line="240" w:lineRule="auto"/>
        <w:contextualSpacing/>
        <w:rPr>
          <w:rFonts w:ascii="Arial" w:eastAsia="Times New Roman" w:hAnsi="Arial" w:cs="Arial"/>
          <w:sz w:val="20"/>
          <w:szCs w:val="20"/>
        </w:rPr>
      </w:pPr>
    </w:p>
    <w:p w:rsidR="00130837" w:rsidRPr="007037BB" w:rsidRDefault="00916157" w:rsidP="007037BB">
      <w:pPr>
        <w:pStyle w:val="ListParagraph"/>
        <w:numPr>
          <w:ilvl w:val="1"/>
          <w:numId w:val="20"/>
        </w:numPr>
        <w:spacing w:after="0" w:line="240" w:lineRule="auto"/>
        <w:ind w:left="709" w:hanging="709"/>
        <w:rPr>
          <w:rFonts w:ascii="Arial" w:eastAsia="Times New Roman" w:hAnsi="Arial" w:cs="Arial"/>
          <w:sz w:val="20"/>
          <w:szCs w:val="20"/>
        </w:rPr>
      </w:pPr>
      <w:r w:rsidRPr="007037BB">
        <w:rPr>
          <w:rFonts w:ascii="Arial" w:eastAsia="Times New Roman" w:hAnsi="Arial" w:cs="Arial"/>
          <w:sz w:val="20"/>
          <w:szCs w:val="20"/>
          <w:lang w:val="en-GB"/>
        </w:rPr>
        <w:t xml:space="preserve">That the Minister of Finance ensures </w:t>
      </w:r>
      <w:r w:rsidR="00130837" w:rsidRPr="007037BB">
        <w:rPr>
          <w:rFonts w:ascii="Arial" w:eastAsia="Times New Roman" w:hAnsi="Arial" w:cs="Arial"/>
          <w:sz w:val="20"/>
          <w:szCs w:val="20"/>
          <w:lang w:val="en-GB"/>
        </w:rPr>
        <w:t>the following:</w:t>
      </w:r>
    </w:p>
    <w:p w:rsidR="00130837" w:rsidRPr="007037BB" w:rsidRDefault="00130837" w:rsidP="007037BB">
      <w:pPr>
        <w:pStyle w:val="ListParagraph"/>
        <w:numPr>
          <w:ilvl w:val="2"/>
          <w:numId w:val="20"/>
        </w:numPr>
        <w:spacing w:after="0" w:line="240" w:lineRule="auto"/>
        <w:rPr>
          <w:rFonts w:ascii="Arial" w:eastAsia="Times New Roman" w:hAnsi="Arial" w:cs="Arial"/>
          <w:sz w:val="20"/>
          <w:szCs w:val="20"/>
        </w:rPr>
      </w:pPr>
      <w:r w:rsidRPr="007037BB">
        <w:rPr>
          <w:rFonts w:ascii="Arial" w:eastAsia="Times New Roman" w:hAnsi="Arial" w:cs="Arial"/>
          <w:sz w:val="20"/>
          <w:szCs w:val="20"/>
        </w:rPr>
        <w:t>T</w:t>
      </w:r>
      <w:r w:rsidR="00916157" w:rsidRPr="007037BB">
        <w:rPr>
          <w:rFonts w:ascii="Arial" w:eastAsia="Times New Roman" w:hAnsi="Arial" w:cs="Arial"/>
          <w:sz w:val="20"/>
          <w:szCs w:val="20"/>
        </w:rPr>
        <w:t xml:space="preserve">hat </w:t>
      </w:r>
      <w:r w:rsidR="00A26CC6" w:rsidRPr="007037BB">
        <w:rPr>
          <w:rFonts w:ascii="Arial" w:eastAsia="Times New Roman" w:hAnsi="Arial" w:cs="Arial"/>
          <w:sz w:val="20"/>
          <w:szCs w:val="20"/>
        </w:rPr>
        <w:t xml:space="preserve">Parliament’s appropriated </w:t>
      </w:r>
      <w:r w:rsidR="00916157" w:rsidRPr="007037BB">
        <w:rPr>
          <w:rFonts w:ascii="Arial" w:eastAsia="Times New Roman" w:hAnsi="Arial" w:cs="Arial"/>
          <w:sz w:val="20"/>
          <w:szCs w:val="20"/>
        </w:rPr>
        <w:t xml:space="preserve">funds through this Appropriation Bill are utilised in a manner as envisaged in the </w:t>
      </w:r>
      <w:r w:rsidR="00A26CC6" w:rsidRPr="007037BB">
        <w:rPr>
          <w:rFonts w:ascii="Arial" w:eastAsia="Times New Roman" w:hAnsi="Arial" w:cs="Arial"/>
          <w:sz w:val="20"/>
          <w:szCs w:val="20"/>
        </w:rPr>
        <w:t xml:space="preserve">Constitution, the </w:t>
      </w:r>
      <w:r w:rsidR="00916157" w:rsidRPr="007037BB">
        <w:rPr>
          <w:rFonts w:ascii="Arial" w:eastAsia="Times New Roman" w:hAnsi="Arial" w:cs="Arial"/>
          <w:sz w:val="20"/>
          <w:szCs w:val="20"/>
        </w:rPr>
        <w:t xml:space="preserve">Bill and in compliance with all laws and regulations government the country’s public finances.  </w:t>
      </w:r>
    </w:p>
    <w:p w:rsidR="00130837" w:rsidRPr="007037BB" w:rsidRDefault="00130837" w:rsidP="007037BB">
      <w:pPr>
        <w:pStyle w:val="ListParagraph"/>
        <w:numPr>
          <w:ilvl w:val="2"/>
          <w:numId w:val="20"/>
        </w:numPr>
        <w:spacing w:after="0" w:line="240" w:lineRule="auto"/>
        <w:rPr>
          <w:rFonts w:ascii="Arial" w:eastAsia="Times New Roman" w:hAnsi="Arial" w:cs="Arial"/>
          <w:sz w:val="20"/>
          <w:szCs w:val="20"/>
        </w:rPr>
      </w:pPr>
      <w:r w:rsidRPr="007037BB">
        <w:rPr>
          <w:rFonts w:ascii="Arial" w:eastAsia="Times New Roman" w:hAnsi="Arial" w:cs="Arial"/>
          <w:sz w:val="20"/>
          <w:szCs w:val="20"/>
        </w:rPr>
        <w:t>That National Treasury make it mandatory for all municipalities to report monthly on all contracts that have been awarded including the successful bidders, rand value of contracts and itemised billing on National Treasury’s database.</w:t>
      </w:r>
    </w:p>
    <w:p w:rsidR="00130837" w:rsidRPr="007037BB" w:rsidRDefault="00130837" w:rsidP="007037BB">
      <w:pPr>
        <w:pStyle w:val="ListParagraph"/>
        <w:numPr>
          <w:ilvl w:val="2"/>
          <w:numId w:val="20"/>
        </w:numPr>
        <w:spacing w:after="0" w:line="240" w:lineRule="auto"/>
        <w:rPr>
          <w:rFonts w:ascii="Arial" w:eastAsia="Times New Roman" w:hAnsi="Arial" w:cs="Arial"/>
          <w:sz w:val="20"/>
          <w:szCs w:val="20"/>
        </w:rPr>
      </w:pPr>
      <w:r w:rsidRPr="007037BB">
        <w:rPr>
          <w:rFonts w:ascii="Arial" w:eastAsia="Times New Roman" w:hAnsi="Arial" w:cs="Arial"/>
          <w:sz w:val="20"/>
          <w:szCs w:val="20"/>
        </w:rPr>
        <w:t>That National Treasury, together with local government, create a linked system in order to identify all registered businesses to enhance revenue collection and to prevent tax evasion and illicit financial flows.</w:t>
      </w:r>
    </w:p>
    <w:p w:rsidR="00130837" w:rsidRPr="007037BB" w:rsidRDefault="00130837" w:rsidP="007037BB">
      <w:pPr>
        <w:pStyle w:val="ListParagraph"/>
        <w:numPr>
          <w:ilvl w:val="2"/>
          <w:numId w:val="20"/>
        </w:num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That National Treasury report on a bi-annual basis to the Committee on the financial status of all municipalities including cash reserves. </w:t>
      </w:r>
    </w:p>
    <w:p w:rsidR="00130837" w:rsidRPr="007037BB" w:rsidRDefault="00130837" w:rsidP="007037BB">
      <w:pPr>
        <w:pStyle w:val="ListParagraph"/>
        <w:numPr>
          <w:ilvl w:val="2"/>
          <w:numId w:val="20"/>
        </w:numPr>
        <w:spacing w:after="0" w:line="240" w:lineRule="auto"/>
        <w:rPr>
          <w:rFonts w:ascii="Arial" w:eastAsia="Times New Roman" w:hAnsi="Arial" w:cs="Arial"/>
          <w:sz w:val="20"/>
          <w:szCs w:val="20"/>
        </w:rPr>
      </w:pPr>
      <w:r w:rsidRPr="007037BB">
        <w:rPr>
          <w:rFonts w:ascii="Arial" w:eastAsia="Times New Roman" w:hAnsi="Arial" w:cs="Arial"/>
          <w:sz w:val="20"/>
          <w:szCs w:val="20"/>
        </w:rPr>
        <w:t xml:space="preserve">That National Treasury report to the Committee on the latest developments in respect of the Integrated Financial Management System. This must be inclusive of how many people have been charged, those found guilty of misconduct, and the funds recovered in this regard. </w:t>
      </w:r>
    </w:p>
    <w:p w:rsidR="00130837" w:rsidRPr="007037BB" w:rsidRDefault="00130837" w:rsidP="007037BB">
      <w:pPr>
        <w:pStyle w:val="ListParagraph"/>
        <w:spacing w:after="0" w:line="240" w:lineRule="auto"/>
        <w:rPr>
          <w:rFonts w:ascii="Arial" w:eastAsia="Times New Roman" w:hAnsi="Arial" w:cs="Arial"/>
          <w:sz w:val="20"/>
          <w:szCs w:val="20"/>
        </w:rPr>
      </w:pPr>
    </w:p>
    <w:p w:rsidR="00AF5AF3" w:rsidRPr="007037BB" w:rsidRDefault="00AF5AF3" w:rsidP="007037BB">
      <w:pPr>
        <w:pStyle w:val="ListParagraph"/>
        <w:numPr>
          <w:ilvl w:val="1"/>
          <w:numId w:val="20"/>
        </w:numPr>
        <w:spacing w:after="0" w:line="240" w:lineRule="auto"/>
        <w:ind w:left="567" w:hanging="567"/>
        <w:rPr>
          <w:rFonts w:ascii="Arial" w:eastAsia="Times New Roman" w:hAnsi="Arial" w:cs="Arial"/>
          <w:sz w:val="20"/>
          <w:szCs w:val="20"/>
        </w:rPr>
      </w:pPr>
      <w:r w:rsidRPr="007037BB">
        <w:rPr>
          <w:rFonts w:ascii="Arial" w:eastAsia="Times New Roman" w:hAnsi="Arial" w:cs="Arial"/>
          <w:sz w:val="20"/>
          <w:szCs w:val="20"/>
        </w:rPr>
        <w:t xml:space="preserve">With the experience of </w:t>
      </w:r>
      <w:r w:rsidR="00303948" w:rsidRPr="007037BB">
        <w:rPr>
          <w:rFonts w:ascii="Arial" w:eastAsia="Times New Roman" w:hAnsi="Arial" w:cs="Arial"/>
          <w:sz w:val="20"/>
          <w:szCs w:val="20"/>
        </w:rPr>
        <w:t xml:space="preserve">the </w:t>
      </w:r>
      <w:r w:rsidRPr="007037BB">
        <w:rPr>
          <w:rFonts w:ascii="Arial" w:eastAsia="Times New Roman" w:hAnsi="Arial" w:cs="Arial"/>
          <w:sz w:val="20"/>
          <w:szCs w:val="20"/>
        </w:rPr>
        <w:t>Portfolio Committee</w:t>
      </w:r>
      <w:r w:rsidR="00303948" w:rsidRPr="007037BB">
        <w:rPr>
          <w:rFonts w:ascii="Arial" w:eastAsia="Times New Roman" w:hAnsi="Arial" w:cs="Arial"/>
          <w:sz w:val="20"/>
          <w:szCs w:val="20"/>
        </w:rPr>
        <w:t xml:space="preserve"> on Tourism</w:t>
      </w:r>
      <w:r w:rsidRPr="007037BB">
        <w:rPr>
          <w:rFonts w:ascii="Arial" w:eastAsia="Times New Roman" w:hAnsi="Arial" w:cs="Arial"/>
          <w:sz w:val="20"/>
          <w:szCs w:val="20"/>
        </w:rPr>
        <w:t xml:space="preserve">, the Committee recommends that Parliamentary Budget Office (PBO) develops a </w:t>
      </w:r>
      <w:r w:rsidR="0073330A" w:rsidRPr="007037BB">
        <w:rPr>
          <w:rFonts w:ascii="Arial" w:eastAsia="Times New Roman" w:hAnsi="Arial" w:cs="Arial"/>
          <w:sz w:val="20"/>
          <w:szCs w:val="20"/>
        </w:rPr>
        <w:t>framework</w:t>
      </w:r>
      <w:r w:rsidRPr="007037BB">
        <w:rPr>
          <w:rFonts w:ascii="Arial" w:eastAsia="Times New Roman" w:hAnsi="Arial" w:cs="Arial"/>
          <w:sz w:val="20"/>
          <w:szCs w:val="20"/>
        </w:rPr>
        <w:t xml:space="preserve"> and share with Portfolio and Select Committees, detailing the process to follow when considering something which may result in the amendment of Money Bills, including the Appropriations Bills.</w:t>
      </w:r>
    </w:p>
    <w:p w:rsidR="00AF5AF3" w:rsidRPr="007037BB" w:rsidRDefault="00AF5AF3" w:rsidP="007037BB">
      <w:pPr>
        <w:pStyle w:val="ListParagraph"/>
        <w:numPr>
          <w:ilvl w:val="1"/>
          <w:numId w:val="20"/>
        </w:numPr>
        <w:spacing w:after="0" w:line="240" w:lineRule="auto"/>
        <w:ind w:left="567" w:hanging="567"/>
        <w:rPr>
          <w:rFonts w:ascii="Arial" w:eastAsia="Times New Roman" w:hAnsi="Arial" w:cs="Arial"/>
          <w:sz w:val="20"/>
          <w:szCs w:val="20"/>
        </w:rPr>
      </w:pPr>
      <w:r w:rsidRPr="007037BB">
        <w:rPr>
          <w:rFonts w:ascii="Arial" w:eastAsia="Times New Roman" w:hAnsi="Arial" w:cs="Arial"/>
          <w:sz w:val="20"/>
          <w:szCs w:val="20"/>
        </w:rPr>
        <w:t>Committees must consult the PBO for advice as soon as they realise their action may have impact on the Money Bills. This will assist Parliament in ensuring contemplated changes are done in accordance with the law.</w:t>
      </w:r>
    </w:p>
    <w:p w:rsidR="00AF5AF3" w:rsidRPr="007037BB" w:rsidRDefault="00AF5AF3" w:rsidP="007037BB">
      <w:pPr>
        <w:pStyle w:val="ListParagraph"/>
        <w:numPr>
          <w:ilvl w:val="1"/>
          <w:numId w:val="20"/>
        </w:numPr>
        <w:spacing w:after="0" w:line="240" w:lineRule="auto"/>
        <w:ind w:left="567" w:hanging="567"/>
        <w:rPr>
          <w:rFonts w:ascii="Arial" w:eastAsia="Times New Roman" w:hAnsi="Arial" w:cs="Arial"/>
          <w:sz w:val="20"/>
          <w:szCs w:val="20"/>
        </w:rPr>
      </w:pPr>
      <w:r w:rsidRPr="007037BB">
        <w:rPr>
          <w:rFonts w:ascii="Arial" w:eastAsia="Times New Roman" w:hAnsi="Arial" w:cs="Arial"/>
          <w:sz w:val="20"/>
          <w:szCs w:val="20"/>
        </w:rPr>
        <w:t xml:space="preserve">The state of some provincial and local roads is deteriorating, with huge impact on the cost of doing business and social impact to the citizens. The Committee calls on the </w:t>
      </w:r>
      <w:r w:rsidR="00130837" w:rsidRPr="007037BB">
        <w:rPr>
          <w:rFonts w:ascii="Arial" w:eastAsia="Times New Roman" w:hAnsi="Arial" w:cs="Arial"/>
          <w:sz w:val="20"/>
          <w:szCs w:val="20"/>
        </w:rPr>
        <w:t xml:space="preserve">Minister of Transport </w:t>
      </w:r>
      <w:r w:rsidR="001742B6" w:rsidRPr="007037BB">
        <w:rPr>
          <w:rFonts w:ascii="Arial" w:eastAsia="Times New Roman" w:hAnsi="Arial" w:cs="Arial"/>
          <w:sz w:val="20"/>
          <w:szCs w:val="20"/>
        </w:rPr>
        <w:t xml:space="preserve">and the </w:t>
      </w:r>
      <w:r w:rsidRPr="007037BB">
        <w:rPr>
          <w:rFonts w:ascii="Arial" w:eastAsia="Times New Roman" w:hAnsi="Arial" w:cs="Arial"/>
          <w:sz w:val="20"/>
          <w:szCs w:val="20"/>
        </w:rPr>
        <w:t xml:space="preserve">national Department of Transport to intervene </w:t>
      </w:r>
      <w:r w:rsidR="001742B6" w:rsidRPr="007037BB">
        <w:rPr>
          <w:rFonts w:ascii="Arial" w:eastAsia="Times New Roman" w:hAnsi="Arial" w:cs="Arial"/>
          <w:sz w:val="20"/>
          <w:szCs w:val="20"/>
        </w:rPr>
        <w:t>in</w:t>
      </w:r>
      <w:r w:rsidRPr="007037BB">
        <w:rPr>
          <w:rFonts w:ascii="Arial" w:eastAsia="Times New Roman" w:hAnsi="Arial" w:cs="Arial"/>
          <w:sz w:val="20"/>
          <w:szCs w:val="20"/>
        </w:rPr>
        <w:t xml:space="preserve"> the situation, especially where it is clear that the provincial and local governments have no human or financial capacity.</w:t>
      </w:r>
    </w:p>
    <w:p w:rsidR="00303948" w:rsidRPr="007037BB" w:rsidRDefault="00172BD8" w:rsidP="007037BB">
      <w:pPr>
        <w:pStyle w:val="ListParagraph"/>
        <w:numPr>
          <w:ilvl w:val="1"/>
          <w:numId w:val="20"/>
        </w:numPr>
        <w:spacing w:after="0" w:line="240" w:lineRule="auto"/>
        <w:ind w:left="567" w:hanging="567"/>
        <w:rPr>
          <w:rFonts w:ascii="Arial" w:eastAsia="Times New Roman" w:hAnsi="Arial" w:cs="Arial"/>
          <w:sz w:val="20"/>
          <w:szCs w:val="20"/>
        </w:rPr>
      </w:pPr>
      <w:r w:rsidRPr="007037BB">
        <w:rPr>
          <w:rFonts w:ascii="Arial" w:eastAsia="Times New Roman" w:hAnsi="Arial" w:cs="Arial"/>
          <w:sz w:val="20"/>
          <w:szCs w:val="20"/>
        </w:rPr>
        <w:t>The state of some local municipal</w:t>
      </w:r>
      <w:r w:rsidR="0073330A" w:rsidRPr="007037BB">
        <w:rPr>
          <w:rFonts w:ascii="Arial" w:eastAsia="Times New Roman" w:hAnsi="Arial" w:cs="Arial"/>
          <w:sz w:val="20"/>
          <w:szCs w:val="20"/>
        </w:rPr>
        <w:t xml:space="preserve"> water and sanitation services have become overwhelmed with challenges. The Committee calls on the</w:t>
      </w:r>
      <w:r w:rsidR="00130837" w:rsidRPr="007037BB">
        <w:rPr>
          <w:rFonts w:ascii="Arial" w:eastAsia="Times New Roman" w:hAnsi="Arial" w:cs="Arial"/>
          <w:sz w:val="20"/>
          <w:szCs w:val="20"/>
        </w:rPr>
        <w:t xml:space="preserve"> Minister of Water and Sanitation </w:t>
      </w:r>
      <w:r w:rsidR="001742B6" w:rsidRPr="007037BB">
        <w:rPr>
          <w:rFonts w:ascii="Arial" w:eastAsia="Times New Roman" w:hAnsi="Arial" w:cs="Arial"/>
          <w:sz w:val="20"/>
          <w:szCs w:val="20"/>
        </w:rPr>
        <w:t>and the</w:t>
      </w:r>
      <w:r w:rsidR="0073330A" w:rsidRPr="007037BB">
        <w:rPr>
          <w:rFonts w:ascii="Arial" w:eastAsia="Times New Roman" w:hAnsi="Arial" w:cs="Arial"/>
          <w:sz w:val="20"/>
          <w:szCs w:val="20"/>
        </w:rPr>
        <w:t xml:space="preserve"> Department of Water and Sanitation </w:t>
      </w:r>
      <w:r w:rsidR="001742B6" w:rsidRPr="007037BB">
        <w:rPr>
          <w:rFonts w:ascii="Arial" w:eastAsia="Times New Roman" w:hAnsi="Arial" w:cs="Arial"/>
          <w:sz w:val="20"/>
          <w:szCs w:val="20"/>
        </w:rPr>
        <w:t xml:space="preserve">to </w:t>
      </w:r>
      <w:r w:rsidR="0073330A" w:rsidRPr="007037BB">
        <w:rPr>
          <w:rFonts w:ascii="Arial" w:eastAsia="Times New Roman" w:hAnsi="Arial" w:cs="Arial"/>
          <w:sz w:val="20"/>
          <w:szCs w:val="20"/>
        </w:rPr>
        <w:t>intervene</w:t>
      </w:r>
      <w:r w:rsidR="001742B6" w:rsidRPr="007037BB">
        <w:rPr>
          <w:rFonts w:ascii="Arial" w:eastAsia="Times New Roman" w:hAnsi="Arial" w:cs="Arial"/>
          <w:sz w:val="20"/>
          <w:szCs w:val="20"/>
        </w:rPr>
        <w:t xml:space="preserve">s </w:t>
      </w:r>
      <w:r w:rsidR="0073330A" w:rsidRPr="007037BB">
        <w:rPr>
          <w:rFonts w:ascii="Arial" w:eastAsia="Times New Roman" w:hAnsi="Arial" w:cs="Arial"/>
          <w:sz w:val="20"/>
          <w:szCs w:val="20"/>
        </w:rPr>
        <w:t xml:space="preserve">directly in municipalities in instances that warrant their urgent attention. </w:t>
      </w:r>
    </w:p>
    <w:p w:rsidR="0073174C" w:rsidRPr="007037BB" w:rsidRDefault="0073174C" w:rsidP="007037BB">
      <w:pPr>
        <w:pStyle w:val="ListParagraph"/>
        <w:numPr>
          <w:ilvl w:val="1"/>
          <w:numId w:val="20"/>
        </w:numPr>
        <w:spacing w:after="0" w:line="240" w:lineRule="auto"/>
        <w:ind w:left="567" w:hanging="567"/>
        <w:rPr>
          <w:rFonts w:ascii="Arial" w:eastAsia="Times New Roman" w:hAnsi="Arial" w:cs="Arial"/>
          <w:sz w:val="20"/>
          <w:szCs w:val="20"/>
        </w:rPr>
      </w:pPr>
      <w:r w:rsidRPr="007037BB">
        <w:rPr>
          <w:rFonts w:ascii="Arial" w:eastAsia="Times New Roman" w:hAnsi="Arial" w:cs="Arial"/>
          <w:sz w:val="20"/>
          <w:szCs w:val="20"/>
        </w:rPr>
        <w:t xml:space="preserve">That </w:t>
      </w:r>
      <w:r w:rsidR="00172BD8" w:rsidRPr="007037BB">
        <w:rPr>
          <w:rFonts w:ascii="Arial" w:eastAsia="Times New Roman" w:hAnsi="Arial" w:cs="Arial"/>
          <w:sz w:val="20"/>
          <w:szCs w:val="20"/>
        </w:rPr>
        <w:t xml:space="preserve">the </w:t>
      </w:r>
      <w:r w:rsidR="00130837" w:rsidRPr="007037BB">
        <w:rPr>
          <w:rFonts w:ascii="Arial" w:eastAsia="Times New Roman" w:hAnsi="Arial" w:cs="Arial"/>
          <w:sz w:val="20"/>
          <w:szCs w:val="20"/>
        </w:rPr>
        <w:t>Minister of Public Service and Administration</w:t>
      </w:r>
      <w:r w:rsidR="00C563A0" w:rsidRPr="007037BB">
        <w:rPr>
          <w:rFonts w:ascii="Arial" w:eastAsia="Times New Roman" w:hAnsi="Arial" w:cs="Arial"/>
          <w:sz w:val="20"/>
          <w:szCs w:val="20"/>
        </w:rPr>
        <w:t>,</w:t>
      </w:r>
      <w:r w:rsidR="00130837" w:rsidRPr="007037BB">
        <w:rPr>
          <w:rFonts w:ascii="Arial" w:eastAsia="Times New Roman" w:hAnsi="Arial" w:cs="Arial"/>
          <w:sz w:val="20"/>
          <w:szCs w:val="20"/>
        </w:rPr>
        <w:t xml:space="preserve"> the </w:t>
      </w:r>
      <w:r w:rsidRPr="007037BB">
        <w:rPr>
          <w:rFonts w:ascii="Arial" w:eastAsia="Times New Roman" w:hAnsi="Arial" w:cs="Arial"/>
          <w:sz w:val="20"/>
          <w:szCs w:val="20"/>
        </w:rPr>
        <w:t>D</w:t>
      </w:r>
      <w:r w:rsidR="00172BD8" w:rsidRPr="007037BB">
        <w:rPr>
          <w:rFonts w:ascii="Arial" w:eastAsia="Times New Roman" w:hAnsi="Arial" w:cs="Arial"/>
          <w:sz w:val="20"/>
          <w:szCs w:val="20"/>
        </w:rPr>
        <w:t>epartment of Public Service and Administration</w:t>
      </w:r>
      <w:r w:rsidRPr="007037BB">
        <w:rPr>
          <w:rFonts w:ascii="Arial" w:eastAsia="Times New Roman" w:hAnsi="Arial" w:cs="Arial"/>
          <w:sz w:val="20"/>
          <w:szCs w:val="20"/>
        </w:rPr>
        <w:t xml:space="preserve"> and </w:t>
      </w:r>
      <w:r w:rsidR="00172BD8" w:rsidRPr="007037BB">
        <w:rPr>
          <w:rFonts w:ascii="Arial" w:eastAsia="Times New Roman" w:hAnsi="Arial" w:cs="Arial"/>
          <w:sz w:val="20"/>
          <w:szCs w:val="20"/>
        </w:rPr>
        <w:t xml:space="preserve">the </w:t>
      </w:r>
      <w:r w:rsidRPr="007037BB">
        <w:rPr>
          <w:rFonts w:ascii="Arial" w:eastAsia="Times New Roman" w:hAnsi="Arial" w:cs="Arial"/>
          <w:sz w:val="20"/>
          <w:szCs w:val="20"/>
        </w:rPr>
        <w:t>P</w:t>
      </w:r>
      <w:r w:rsidR="00172BD8" w:rsidRPr="007037BB">
        <w:rPr>
          <w:rFonts w:ascii="Arial" w:eastAsia="Times New Roman" w:hAnsi="Arial" w:cs="Arial"/>
          <w:sz w:val="20"/>
          <w:szCs w:val="20"/>
        </w:rPr>
        <w:t xml:space="preserve">ublic Service Commission </w:t>
      </w:r>
      <w:r w:rsidRPr="007037BB">
        <w:rPr>
          <w:rFonts w:ascii="Arial" w:eastAsia="Times New Roman" w:hAnsi="Arial" w:cs="Arial"/>
          <w:sz w:val="20"/>
          <w:szCs w:val="20"/>
        </w:rPr>
        <w:t xml:space="preserve">identify public servants who </w:t>
      </w:r>
      <w:r w:rsidR="00172BD8" w:rsidRPr="007037BB">
        <w:rPr>
          <w:rFonts w:ascii="Arial" w:eastAsia="Times New Roman" w:hAnsi="Arial" w:cs="Arial"/>
          <w:sz w:val="20"/>
          <w:szCs w:val="20"/>
        </w:rPr>
        <w:t>are employed in mor</w:t>
      </w:r>
      <w:r w:rsidR="00C563A0" w:rsidRPr="007037BB">
        <w:rPr>
          <w:rFonts w:ascii="Arial" w:eastAsia="Times New Roman" w:hAnsi="Arial" w:cs="Arial"/>
          <w:sz w:val="20"/>
          <w:szCs w:val="20"/>
        </w:rPr>
        <w:t xml:space="preserve">e </w:t>
      </w:r>
      <w:r w:rsidR="00172BD8" w:rsidRPr="007037BB">
        <w:rPr>
          <w:rFonts w:ascii="Arial" w:eastAsia="Times New Roman" w:hAnsi="Arial" w:cs="Arial"/>
          <w:sz w:val="20"/>
          <w:szCs w:val="20"/>
        </w:rPr>
        <w:t xml:space="preserve">than one government department and </w:t>
      </w:r>
      <w:r w:rsidRPr="007037BB">
        <w:rPr>
          <w:rFonts w:ascii="Arial" w:eastAsia="Times New Roman" w:hAnsi="Arial" w:cs="Arial"/>
          <w:sz w:val="20"/>
          <w:szCs w:val="20"/>
        </w:rPr>
        <w:t xml:space="preserve">earn </w:t>
      </w:r>
      <w:r w:rsidR="00172BD8" w:rsidRPr="007037BB">
        <w:rPr>
          <w:rFonts w:ascii="Arial" w:eastAsia="Times New Roman" w:hAnsi="Arial" w:cs="Arial"/>
          <w:sz w:val="20"/>
          <w:szCs w:val="20"/>
        </w:rPr>
        <w:t xml:space="preserve">more than one salary. </w:t>
      </w:r>
    </w:p>
    <w:p w:rsidR="006F3E1C" w:rsidRPr="007037BB" w:rsidRDefault="0073174C" w:rsidP="007037BB">
      <w:pPr>
        <w:pStyle w:val="ListParagraph"/>
        <w:spacing w:after="0" w:line="240" w:lineRule="auto"/>
        <w:ind w:left="567"/>
        <w:rPr>
          <w:rFonts w:ascii="Arial" w:eastAsia="Times New Roman" w:hAnsi="Arial" w:cs="Arial"/>
          <w:sz w:val="20"/>
          <w:szCs w:val="20"/>
        </w:rPr>
      </w:pPr>
      <w:r w:rsidRPr="007037BB">
        <w:rPr>
          <w:rFonts w:ascii="Arial" w:eastAsia="Times New Roman" w:hAnsi="Arial" w:cs="Arial"/>
          <w:sz w:val="20"/>
          <w:szCs w:val="20"/>
        </w:rPr>
        <w:t xml:space="preserve"> </w:t>
      </w:r>
    </w:p>
    <w:p w:rsidR="008F383A" w:rsidRPr="007037BB" w:rsidRDefault="008F383A" w:rsidP="007037BB">
      <w:pPr>
        <w:numPr>
          <w:ilvl w:val="0"/>
          <w:numId w:val="20"/>
        </w:numPr>
        <w:spacing w:after="0" w:line="240" w:lineRule="auto"/>
        <w:ind w:left="426" w:hanging="426"/>
        <w:contextualSpacing/>
        <w:rPr>
          <w:rFonts w:ascii="Arial" w:eastAsia="Times New Roman" w:hAnsi="Arial" w:cs="Arial"/>
          <w:b/>
          <w:sz w:val="20"/>
          <w:szCs w:val="20"/>
        </w:rPr>
      </w:pPr>
      <w:r w:rsidRPr="007037BB">
        <w:rPr>
          <w:rFonts w:ascii="Arial" w:eastAsia="Times New Roman" w:hAnsi="Arial" w:cs="Arial"/>
          <w:b/>
          <w:sz w:val="20"/>
          <w:szCs w:val="20"/>
        </w:rPr>
        <w:t>Committee Recommendation on the Bill</w:t>
      </w:r>
    </w:p>
    <w:p w:rsidR="008F383A" w:rsidRPr="007037BB" w:rsidRDefault="008F383A" w:rsidP="007037BB">
      <w:pPr>
        <w:spacing w:after="0" w:line="240" w:lineRule="auto"/>
        <w:ind w:left="567"/>
        <w:contextualSpacing/>
        <w:rPr>
          <w:rFonts w:ascii="Arial" w:eastAsia="Times New Roman" w:hAnsi="Arial" w:cs="Arial"/>
          <w:sz w:val="20"/>
          <w:szCs w:val="20"/>
        </w:rPr>
      </w:pPr>
    </w:p>
    <w:p w:rsidR="008F383A" w:rsidRPr="007037BB" w:rsidRDefault="008F383A" w:rsidP="007037BB">
      <w:pPr>
        <w:spacing w:after="0" w:line="240" w:lineRule="auto"/>
        <w:contextualSpacing/>
        <w:rPr>
          <w:rFonts w:ascii="Arial" w:eastAsia="Calibri" w:hAnsi="Arial" w:cs="Arial"/>
          <w:sz w:val="20"/>
          <w:szCs w:val="20"/>
        </w:rPr>
      </w:pPr>
      <w:r w:rsidRPr="007037BB">
        <w:rPr>
          <w:rFonts w:ascii="Arial" w:eastAsia="Calibri" w:hAnsi="Arial" w:cs="Arial"/>
          <w:sz w:val="20"/>
          <w:szCs w:val="20"/>
        </w:rPr>
        <w:t xml:space="preserve">The Standing Committee on Appropriations, having considered the </w:t>
      </w:r>
      <w:r w:rsidRPr="007037BB">
        <w:rPr>
          <w:rFonts w:ascii="Arial" w:eastAsia="Calibri" w:hAnsi="Arial" w:cs="Arial"/>
          <w:bCs/>
          <w:iCs/>
          <w:sz w:val="20"/>
          <w:szCs w:val="20"/>
        </w:rPr>
        <w:t>Appropriation Bill</w:t>
      </w:r>
      <w:r w:rsidRPr="007037BB">
        <w:rPr>
          <w:rFonts w:ascii="Arial" w:eastAsia="Calibri" w:hAnsi="Arial" w:cs="Arial"/>
          <w:bCs/>
          <w:i/>
          <w:iCs/>
          <w:sz w:val="20"/>
          <w:szCs w:val="20"/>
        </w:rPr>
        <w:t xml:space="preserve"> </w:t>
      </w:r>
      <w:r w:rsidRPr="007037BB">
        <w:rPr>
          <w:rFonts w:ascii="Arial" w:eastAsia="Calibri" w:hAnsi="Arial" w:cs="Arial"/>
          <w:sz w:val="20"/>
          <w:szCs w:val="20"/>
        </w:rPr>
        <w:t>[B</w:t>
      </w:r>
      <w:r w:rsidR="00405748" w:rsidRPr="007037BB">
        <w:rPr>
          <w:rFonts w:ascii="Arial" w:eastAsia="Calibri" w:hAnsi="Arial" w:cs="Arial"/>
          <w:sz w:val="20"/>
          <w:szCs w:val="20"/>
        </w:rPr>
        <w:t>3</w:t>
      </w:r>
      <w:r w:rsidRPr="007037BB">
        <w:rPr>
          <w:rFonts w:ascii="Arial" w:eastAsia="Calibri" w:hAnsi="Arial" w:cs="Arial"/>
          <w:sz w:val="20"/>
          <w:szCs w:val="20"/>
        </w:rPr>
        <w:t>–202</w:t>
      </w:r>
      <w:r w:rsidR="00405748" w:rsidRPr="007037BB">
        <w:rPr>
          <w:rFonts w:ascii="Arial" w:eastAsia="Calibri" w:hAnsi="Arial" w:cs="Arial"/>
          <w:sz w:val="20"/>
          <w:szCs w:val="20"/>
        </w:rPr>
        <w:t>3</w:t>
      </w:r>
      <w:r w:rsidRPr="007037BB">
        <w:rPr>
          <w:rFonts w:ascii="Arial" w:eastAsia="Calibri" w:hAnsi="Arial" w:cs="Arial"/>
          <w:sz w:val="20"/>
          <w:szCs w:val="20"/>
        </w:rPr>
        <w:t xml:space="preserve">] (National Assembly: Section 77) referred to it and classified by the Joint Tagging Mechanism; recommends that the Bill be adopted, without amendments. </w:t>
      </w:r>
    </w:p>
    <w:p w:rsidR="008F383A" w:rsidRPr="007037BB" w:rsidRDefault="008F383A" w:rsidP="007037BB">
      <w:pPr>
        <w:autoSpaceDE w:val="0"/>
        <w:autoSpaceDN w:val="0"/>
        <w:adjustRightInd w:val="0"/>
        <w:spacing w:after="0" w:line="240" w:lineRule="auto"/>
        <w:rPr>
          <w:rFonts w:ascii="Arial" w:eastAsia="Times New Roman" w:hAnsi="Arial" w:cs="Arial"/>
          <w:sz w:val="20"/>
          <w:szCs w:val="20"/>
        </w:rPr>
      </w:pPr>
    </w:p>
    <w:p w:rsidR="008F383A" w:rsidRPr="007037BB" w:rsidRDefault="008F383A" w:rsidP="007037BB">
      <w:pPr>
        <w:numPr>
          <w:ilvl w:val="0"/>
          <w:numId w:val="20"/>
        </w:numPr>
        <w:spacing w:after="0" w:line="240" w:lineRule="auto"/>
        <w:ind w:left="426" w:hanging="426"/>
        <w:contextualSpacing/>
        <w:rPr>
          <w:rFonts w:ascii="Arial" w:eastAsia="Times New Roman" w:hAnsi="Arial" w:cs="Arial"/>
          <w:b/>
          <w:sz w:val="20"/>
          <w:szCs w:val="20"/>
        </w:rPr>
      </w:pPr>
      <w:r w:rsidRPr="007037BB">
        <w:rPr>
          <w:rFonts w:ascii="Arial" w:eastAsia="Times New Roman" w:hAnsi="Arial" w:cs="Arial"/>
          <w:b/>
          <w:sz w:val="20"/>
          <w:szCs w:val="20"/>
        </w:rPr>
        <w:t>Conclusion</w:t>
      </w:r>
    </w:p>
    <w:p w:rsidR="008F383A" w:rsidRPr="007037BB" w:rsidRDefault="008F383A" w:rsidP="007037BB">
      <w:pPr>
        <w:autoSpaceDE w:val="0"/>
        <w:autoSpaceDN w:val="0"/>
        <w:adjustRightInd w:val="0"/>
        <w:spacing w:after="0" w:line="240" w:lineRule="auto"/>
        <w:rPr>
          <w:rFonts w:ascii="Arial" w:eastAsia="Times New Roman" w:hAnsi="Arial" w:cs="Arial"/>
          <w:spacing w:val="6"/>
          <w:sz w:val="20"/>
          <w:szCs w:val="20"/>
          <w:lang w:eastAsia="en-GB"/>
        </w:rPr>
      </w:pPr>
    </w:p>
    <w:p w:rsidR="008F383A" w:rsidRPr="007037BB" w:rsidRDefault="008F383A" w:rsidP="007037BB">
      <w:pPr>
        <w:autoSpaceDE w:val="0"/>
        <w:autoSpaceDN w:val="0"/>
        <w:adjustRightInd w:val="0"/>
        <w:spacing w:after="0" w:line="240" w:lineRule="auto"/>
        <w:rPr>
          <w:rFonts w:ascii="Arial" w:eastAsia="Times New Roman" w:hAnsi="Arial" w:cs="Arial"/>
          <w:spacing w:val="6"/>
          <w:sz w:val="20"/>
          <w:szCs w:val="20"/>
          <w:lang w:eastAsia="en-GB"/>
        </w:rPr>
      </w:pPr>
      <w:r w:rsidRPr="007037BB">
        <w:rPr>
          <w:rFonts w:ascii="Arial" w:eastAsia="Times New Roman" w:hAnsi="Arial" w:cs="Arial"/>
          <w:spacing w:val="6"/>
          <w:sz w:val="20"/>
          <w:szCs w:val="20"/>
          <w:lang w:eastAsia="en-GB"/>
        </w:rPr>
        <w:t>The Committee appreciates the valuable contributions and advices made by the public and different organisations when processing the Bill. The Committee emphasises the need for government departments to always ensure efficient, economic and effective use of appropriated funds in line with the principles set out in Section 195 of the Constitution and other relevant legislations governing the use of public funds, and applicable to the Republic of South Africa.</w:t>
      </w:r>
    </w:p>
    <w:p w:rsidR="008F383A" w:rsidRPr="007037BB" w:rsidRDefault="008F383A" w:rsidP="007037BB">
      <w:pPr>
        <w:spacing w:after="0" w:line="240" w:lineRule="auto"/>
        <w:rPr>
          <w:rFonts w:ascii="Arial" w:eastAsia="Times New Roman" w:hAnsi="Arial" w:cs="Arial"/>
          <w:color w:val="000000"/>
          <w:spacing w:val="6"/>
          <w:sz w:val="20"/>
          <w:szCs w:val="20"/>
          <w:lang w:eastAsia="en-GB"/>
        </w:rPr>
      </w:pPr>
    </w:p>
    <w:p w:rsidR="008F383A" w:rsidRPr="007037BB" w:rsidRDefault="008F383A" w:rsidP="007037BB">
      <w:pPr>
        <w:spacing w:after="0" w:line="240" w:lineRule="auto"/>
        <w:rPr>
          <w:rFonts w:ascii="Arial" w:eastAsia="Times New Roman" w:hAnsi="Arial" w:cs="Arial"/>
          <w:color w:val="000000"/>
          <w:spacing w:val="6"/>
          <w:sz w:val="20"/>
          <w:szCs w:val="20"/>
          <w:lang w:eastAsia="en-GB"/>
        </w:rPr>
      </w:pPr>
      <w:r w:rsidRPr="007037BB">
        <w:rPr>
          <w:rFonts w:ascii="Arial" w:eastAsia="Times New Roman" w:hAnsi="Arial" w:cs="Arial"/>
          <w:color w:val="000000"/>
          <w:spacing w:val="6"/>
          <w:sz w:val="20"/>
          <w:szCs w:val="20"/>
          <w:lang w:eastAsia="en-GB"/>
        </w:rPr>
        <w:t>The relevant Executive Authorities must send the responses to the recommendations as set out in section 7 above to Parliament as well as the Committee within 60 days of the adoption of this report by the National Assembly.</w:t>
      </w:r>
    </w:p>
    <w:p w:rsidR="008F383A" w:rsidRPr="007037BB" w:rsidRDefault="008F383A" w:rsidP="007037BB">
      <w:pPr>
        <w:autoSpaceDE w:val="0"/>
        <w:autoSpaceDN w:val="0"/>
        <w:adjustRightInd w:val="0"/>
        <w:spacing w:after="0" w:line="240" w:lineRule="auto"/>
        <w:rPr>
          <w:rFonts w:ascii="Arial" w:eastAsia="Times New Roman" w:hAnsi="Arial" w:cs="Arial"/>
          <w:spacing w:val="6"/>
          <w:sz w:val="20"/>
          <w:szCs w:val="20"/>
          <w:lang w:eastAsia="en-GB"/>
        </w:rPr>
      </w:pPr>
    </w:p>
    <w:p w:rsidR="009E29A5" w:rsidRPr="007037BB" w:rsidRDefault="009E29A5" w:rsidP="007037BB">
      <w:pPr>
        <w:autoSpaceDE w:val="0"/>
        <w:autoSpaceDN w:val="0"/>
        <w:adjustRightInd w:val="0"/>
        <w:spacing w:after="0" w:line="240" w:lineRule="auto"/>
        <w:rPr>
          <w:rFonts w:ascii="Arial" w:eastAsia="Times New Roman" w:hAnsi="Arial" w:cs="Arial"/>
          <w:spacing w:val="6"/>
          <w:sz w:val="20"/>
          <w:szCs w:val="20"/>
          <w:lang w:eastAsia="en-GB"/>
        </w:rPr>
      </w:pPr>
    </w:p>
    <w:p w:rsidR="008F383A" w:rsidRPr="007037BB" w:rsidRDefault="008F383A" w:rsidP="007037BB">
      <w:pPr>
        <w:spacing w:after="0" w:line="240" w:lineRule="auto"/>
        <w:ind w:left="720" w:hanging="720"/>
        <w:rPr>
          <w:rFonts w:ascii="Arial" w:eastAsia="Times New Roman" w:hAnsi="Arial" w:cs="Arial"/>
          <w:sz w:val="20"/>
          <w:szCs w:val="20"/>
        </w:rPr>
      </w:pPr>
      <w:r w:rsidRPr="007037BB">
        <w:rPr>
          <w:rFonts w:ascii="Arial" w:eastAsia="Times New Roman" w:hAnsi="Arial" w:cs="Arial"/>
          <w:sz w:val="20"/>
          <w:szCs w:val="20"/>
        </w:rPr>
        <w:t xml:space="preserve">Report to be considered. </w:t>
      </w:r>
    </w:p>
    <w:p w:rsidR="00E06FF8" w:rsidRPr="007037BB" w:rsidRDefault="00E06FF8" w:rsidP="007037BB">
      <w:pPr>
        <w:spacing w:after="0" w:line="240" w:lineRule="auto"/>
        <w:rPr>
          <w:rFonts w:ascii="Arial" w:hAnsi="Arial" w:cs="Arial"/>
          <w:sz w:val="20"/>
          <w:szCs w:val="20"/>
        </w:rPr>
      </w:pPr>
    </w:p>
    <w:sectPr w:rsidR="00E06FF8" w:rsidRPr="007037BB" w:rsidSect="00A21D6B">
      <w:headerReference w:type="even" r:id="rId7"/>
      <w:headerReference w:type="default" r:id="rId8"/>
      <w:footerReference w:type="even" r:id="rId9"/>
      <w:footerReference w:type="default" r:id="rId10"/>
      <w:headerReference w:type="first" r:id="rId11"/>
      <w:footerReference w:type="first" r:id="rId12"/>
      <w:pgSz w:w="12240" w:h="15840"/>
      <w:pgMar w:top="1418" w:right="1041"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1A" w:rsidRDefault="007A161A" w:rsidP="008F383A">
      <w:pPr>
        <w:spacing w:after="0" w:line="240" w:lineRule="auto"/>
      </w:pPr>
      <w:r>
        <w:separator/>
      </w:r>
    </w:p>
  </w:endnote>
  <w:endnote w:type="continuationSeparator" w:id="0">
    <w:p w:rsidR="007A161A" w:rsidRDefault="007A161A" w:rsidP="008F3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6B" w:rsidRDefault="00894207" w:rsidP="00A21D6B">
    <w:pPr>
      <w:pStyle w:val="Footer1"/>
      <w:framePr w:wrap="around" w:vAnchor="text" w:hAnchor="margin" w:xAlign="right" w:y="1"/>
      <w:rPr>
        <w:rStyle w:val="PageNumber"/>
      </w:rPr>
    </w:pPr>
    <w:r>
      <w:rPr>
        <w:rStyle w:val="PageNumber"/>
      </w:rPr>
      <w:fldChar w:fldCharType="begin"/>
    </w:r>
    <w:r w:rsidR="00A21D6B">
      <w:rPr>
        <w:rStyle w:val="PageNumber"/>
      </w:rPr>
      <w:instrText xml:space="preserve">PAGE  </w:instrText>
    </w:r>
    <w:r>
      <w:rPr>
        <w:rStyle w:val="PageNumber"/>
      </w:rPr>
      <w:fldChar w:fldCharType="end"/>
    </w:r>
  </w:p>
  <w:p w:rsidR="00A21D6B" w:rsidRDefault="00A21D6B" w:rsidP="00A21D6B">
    <w:pPr>
      <w:pStyle w:val="Footer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6B" w:rsidRDefault="00894207" w:rsidP="00A21D6B">
    <w:pPr>
      <w:pStyle w:val="Footer1"/>
      <w:framePr w:wrap="around" w:vAnchor="text" w:hAnchor="margin" w:xAlign="right" w:y="1"/>
      <w:rPr>
        <w:rStyle w:val="PageNumber"/>
      </w:rPr>
    </w:pPr>
    <w:r>
      <w:rPr>
        <w:rStyle w:val="PageNumber"/>
      </w:rPr>
      <w:fldChar w:fldCharType="begin"/>
    </w:r>
    <w:r w:rsidR="00A21D6B">
      <w:rPr>
        <w:rStyle w:val="PageNumber"/>
      </w:rPr>
      <w:instrText xml:space="preserve">PAGE  </w:instrText>
    </w:r>
    <w:r>
      <w:rPr>
        <w:rStyle w:val="PageNumber"/>
      </w:rPr>
      <w:fldChar w:fldCharType="separate"/>
    </w:r>
    <w:r w:rsidR="007037BB">
      <w:rPr>
        <w:rStyle w:val="PageNumber"/>
        <w:noProof/>
      </w:rPr>
      <w:t>14</w:t>
    </w:r>
    <w:r>
      <w:rPr>
        <w:rStyle w:val="PageNumber"/>
      </w:rPr>
      <w:fldChar w:fldCharType="end"/>
    </w:r>
  </w:p>
  <w:p w:rsidR="00A21D6B" w:rsidRDefault="00A21D6B" w:rsidP="00A21D6B">
    <w:pPr>
      <w:pStyle w:val="Footer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3A" w:rsidRDefault="008F3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1A" w:rsidRDefault="007A161A" w:rsidP="008F383A">
      <w:pPr>
        <w:spacing w:after="0" w:line="240" w:lineRule="auto"/>
      </w:pPr>
      <w:r>
        <w:separator/>
      </w:r>
    </w:p>
  </w:footnote>
  <w:footnote w:type="continuationSeparator" w:id="0">
    <w:p w:rsidR="007A161A" w:rsidRDefault="007A161A" w:rsidP="008F3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3A" w:rsidRDefault="008F3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6B" w:rsidRDefault="00A21D6B">
    <w:pPr>
      <w:pStyle w:val="Header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3A" w:rsidRDefault="008F38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AF0"/>
    <w:multiLevelType w:val="hybridMultilevel"/>
    <w:tmpl w:val="A77CD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F74DB9"/>
    <w:multiLevelType w:val="hybridMultilevel"/>
    <w:tmpl w:val="D4EC235E"/>
    <w:lvl w:ilvl="0" w:tplc="2E0E5B60">
      <w:start w:val="1"/>
      <w:numFmt w:val="bullet"/>
      <w:lvlText w:val="–"/>
      <w:lvlJc w:val="left"/>
      <w:pPr>
        <w:tabs>
          <w:tab w:val="num" w:pos="720"/>
        </w:tabs>
        <w:ind w:left="720" w:hanging="360"/>
      </w:pPr>
      <w:rPr>
        <w:rFonts w:ascii="Arial" w:hAnsi="Arial" w:hint="default"/>
      </w:rPr>
    </w:lvl>
    <w:lvl w:ilvl="1" w:tplc="0D4A381C">
      <w:start w:val="1"/>
      <w:numFmt w:val="bullet"/>
      <w:lvlText w:val="–"/>
      <w:lvlJc w:val="left"/>
      <w:pPr>
        <w:tabs>
          <w:tab w:val="num" w:pos="1440"/>
        </w:tabs>
        <w:ind w:left="1440" w:hanging="360"/>
      </w:pPr>
      <w:rPr>
        <w:rFonts w:ascii="Arial" w:hAnsi="Arial" w:hint="default"/>
      </w:rPr>
    </w:lvl>
    <w:lvl w:ilvl="2" w:tplc="058C1A66" w:tentative="1">
      <w:start w:val="1"/>
      <w:numFmt w:val="bullet"/>
      <w:lvlText w:val="–"/>
      <w:lvlJc w:val="left"/>
      <w:pPr>
        <w:tabs>
          <w:tab w:val="num" w:pos="2160"/>
        </w:tabs>
        <w:ind w:left="2160" w:hanging="360"/>
      </w:pPr>
      <w:rPr>
        <w:rFonts w:ascii="Arial" w:hAnsi="Arial" w:hint="default"/>
      </w:rPr>
    </w:lvl>
    <w:lvl w:ilvl="3" w:tplc="1A662C5C" w:tentative="1">
      <w:start w:val="1"/>
      <w:numFmt w:val="bullet"/>
      <w:lvlText w:val="–"/>
      <w:lvlJc w:val="left"/>
      <w:pPr>
        <w:tabs>
          <w:tab w:val="num" w:pos="2880"/>
        </w:tabs>
        <w:ind w:left="2880" w:hanging="360"/>
      </w:pPr>
      <w:rPr>
        <w:rFonts w:ascii="Arial" w:hAnsi="Arial" w:hint="default"/>
      </w:rPr>
    </w:lvl>
    <w:lvl w:ilvl="4" w:tplc="1F52D494" w:tentative="1">
      <w:start w:val="1"/>
      <w:numFmt w:val="bullet"/>
      <w:lvlText w:val="–"/>
      <w:lvlJc w:val="left"/>
      <w:pPr>
        <w:tabs>
          <w:tab w:val="num" w:pos="3600"/>
        </w:tabs>
        <w:ind w:left="3600" w:hanging="360"/>
      </w:pPr>
      <w:rPr>
        <w:rFonts w:ascii="Arial" w:hAnsi="Arial" w:hint="default"/>
      </w:rPr>
    </w:lvl>
    <w:lvl w:ilvl="5" w:tplc="F09C1DB8" w:tentative="1">
      <w:start w:val="1"/>
      <w:numFmt w:val="bullet"/>
      <w:lvlText w:val="–"/>
      <w:lvlJc w:val="left"/>
      <w:pPr>
        <w:tabs>
          <w:tab w:val="num" w:pos="4320"/>
        </w:tabs>
        <w:ind w:left="4320" w:hanging="360"/>
      </w:pPr>
      <w:rPr>
        <w:rFonts w:ascii="Arial" w:hAnsi="Arial" w:hint="default"/>
      </w:rPr>
    </w:lvl>
    <w:lvl w:ilvl="6" w:tplc="73620D4A" w:tentative="1">
      <w:start w:val="1"/>
      <w:numFmt w:val="bullet"/>
      <w:lvlText w:val="–"/>
      <w:lvlJc w:val="left"/>
      <w:pPr>
        <w:tabs>
          <w:tab w:val="num" w:pos="5040"/>
        </w:tabs>
        <w:ind w:left="5040" w:hanging="360"/>
      </w:pPr>
      <w:rPr>
        <w:rFonts w:ascii="Arial" w:hAnsi="Arial" w:hint="default"/>
      </w:rPr>
    </w:lvl>
    <w:lvl w:ilvl="7" w:tplc="3A2899CC" w:tentative="1">
      <w:start w:val="1"/>
      <w:numFmt w:val="bullet"/>
      <w:lvlText w:val="–"/>
      <w:lvlJc w:val="left"/>
      <w:pPr>
        <w:tabs>
          <w:tab w:val="num" w:pos="5760"/>
        </w:tabs>
        <w:ind w:left="5760" w:hanging="360"/>
      </w:pPr>
      <w:rPr>
        <w:rFonts w:ascii="Arial" w:hAnsi="Arial" w:hint="default"/>
      </w:rPr>
    </w:lvl>
    <w:lvl w:ilvl="8" w:tplc="9A38D11E" w:tentative="1">
      <w:start w:val="1"/>
      <w:numFmt w:val="bullet"/>
      <w:lvlText w:val="–"/>
      <w:lvlJc w:val="left"/>
      <w:pPr>
        <w:tabs>
          <w:tab w:val="num" w:pos="6480"/>
        </w:tabs>
        <w:ind w:left="6480" w:hanging="360"/>
      </w:pPr>
      <w:rPr>
        <w:rFonts w:ascii="Arial" w:hAnsi="Arial" w:hint="default"/>
      </w:rPr>
    </w:lvl>
  </w:abstractNum>
  <w:abstractNum w:abstractNumId="2">
    <w:nsid w:val="16F61D78"/>
    <w:multiLevelType w:val="hybridMultilevel"/>
    <w:tmpl w:val="F49E0830"/>
    <w:lvl w:ilvl="0" w:tplc="1C090017">
      <w:start w:val="1"/>
      <w:numFmt w:val="lowerLetter"/>
      <w:lvlText w:val="%1)"/>
      <w:lvlJc w:val="left"/>
      <w:pPr>
        <w:ind w:left="792" w:hanging="360"/>
      </w:p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3">
    <w:nsid w:val="1A4511EA"/>
    <w:multiLevelType w:val="hybridMultilevel"/>
    <w:tmpl w:val="8AB82A7E"/>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4">
    <w:nsid w:val="1B1D579A"/>
    <w:multiLevelType w:val="multilevel"/>
    <w:tmpl w:val="CC52EC2A"/>
    <w:lvl w:ilvl="0">
      <w:start w:val="4"/>
      <w:numFmt w:val="decimal"/>
      <w:lvlText w:val="%1."/>
      <w:lvlJc w:val="left"/>
      <w:pPr>
        <w:ind w:left="2421" w:hanging="360"/>
      </w:pPr>
      <w:rPr>
        <w:rFonts w:hint="default"/>
        <w:b/>
      </w:rPr>
    </w:lvl>
    <w:lvl w:ilvl="1">
      <w:start w:val="1"/>
      <w:numFmt w:val="decimal"/>
      <w:isLgl/>
      <w:lvlText w:val="%1.%2"/>
      <w:lvlJc w:val="left"/>
      <w:pPr>
        <w:ind w:left="2421" w:hanging="360"/>
      </w:pPr>
      <w:rPr>
        <w:rFonts w:hint="default"/>
        <w:b/>
      </w:rPr>
    </w:lvl>
    <w:lvl w:ilvl="2">
      <w:start w:val="1"/>
      <w:numFmt w:val="decimal"/>
      <w:isLgl/>
      <w:lvlText w:val="%1.%2.%3"/>
      <w:lvlJc w:val="left"/>
      <w:pPr>
        <w:ind w:left="2781" w:hanging="720"/>
      </w:pPr>
      <w:rPr>
        <w:rFonts w:hint="default"/>
        <w:b/>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5">
    <w:nsid w:val="1D2D7580"/>
    <w:multiLevelType w:val="hybridMultilevel"/>
    <w:tmpl w:val="07442F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6766F3"/>
    <w:multiLevelType w:val="hybridMultilevel"/>
    <w:tmpl w:val="6BF280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CC10E8"/>
    <w:multiLevelType w:val="hybridMultilevel"/>
    <w:tmpl w:val="8F181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E25390"/>
    <w:multiLevelType w:val="hybridMultilevel"/>
    <w:tmpl w:val="E54C1706"/>
    <w:lvl w:ilvl="0" w:tplc="B4E8A7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860FA6"/>
    <w:multiLevelType w:val="hybridMultilevel"/>
    <w:tmpl w:val="FC8C11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FF16AC9"/>
    <w:multiLevelType w:val="multilevel"/>
    <w:tmpl w:val="F1EC85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5C4BC8"/>
    <w:multiLevelType w:val="hybridMultilevel"/>
    <w:tmpl w:val="06101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5646E88"/>
    <w:multiLevelType w:val="hybridMultilevel"/>
    <w:tmpl w:val="4B50B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4D357C"/>
    <w:multiLevelType w:val="multilevel"/>
    <w:tmpl w:val="D91477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934477"/>
    <w:multiLevelType w:val="hybridMultilevel"/>
    <w:tmpl w:val="A24A5C6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CB117BA"/>
    <w:multiLevelType w:val="hybridMultilevel"/>
    <w:tmpl w:val="EE222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F722708"/>
    <w:multiLevelType w:val="hybridMultilevel"/>
    <w:tmpl w:val="4B02EF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3D47165"/>
    <w:multiLevelType w:val="hybridMultilevel"/>
    <w:tmpl w:val="F3640E2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8">
    <w:nsid w:val="49CD0380"/>
    <w:multiLevelType w:val="multilevel"/>
    <w:tmpl w:val="D41A9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02383D"/>
    <w:multiLevelType w:val="hybridMultilevel"/>
    <w:tmpl w:val="789C9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BF7772"/>
    <w:multiLevelType w:val="hybridMultilevel"/>
    <w:tmpl w:val="219CCF06"/>
    <w:lvl w:ilvl="0" w:tplc="CB46B5A8">
      <w:start w:val="1"/>
      <w:numFmt w:val="bullet"/>
      <w:lvlText w:val="–"/>
      <w:lvlJc w:val="left"/>
      <w:pPr>
        <w:tabs>
          <w:tab w:val="num" w:pos="720"/>
        </w:tabs>
        <w:ind w:left="720" w:hanging="360"/>
      </w:pPr>
      <w:rPr>
        <w:rFonts w:ascii="Arial" w:hAnsi="Arial" w:hint="default"/>
      </w:rPr>
    </w:lvl>
    <w:lvl w:ilvl="1" w:tplc="93D60318">
      <w:start w:val="1"/>
      <w:numFmt w:val="bullet"/>
      <w:lvlText w:val="–"/>
      <w:lvlJc w:val="left"/>
      <w:pPr>
        <w:tabs>
          <w:tab w:val="num" w:pos="1440"/>
        </w:tabs>
        <w:ind w:left="1440" w:hanging="360"/>
      </w:pPr>
      <w:rPr>
        <w:rFonts w:ascii="Arial" w:hAnsi="Arial" w:hint="default"/>
      </w:rPr>
    </w:lvl>
    <w:lvl w:ilvl="2" w:tplc="241475C4" w:tentative="1">
      <w:start w:val="1"/>
      <w:numFmt w:val="bullet"/>
      <w:lvlText w:val="–"/>
      <w:lvlJc w:val="left"/>
      <w:pPr>
        <w:tabs>
          <w:tab w:val="num" w:pos="2160"/>
        </w:tabs>
        <w:ind w:left="2160" w:hanging="360"/>
      </w:pPr>
      <w:rPr>
        <w:rFonts w:ascii="Arial" w:hAnsi="Arial" w:hint="default"/>
      </w:rPr>
    </w:lvl>
    <w:lvl w:ilvl="3" w:tplc="78AE238C" w:tentative="1">
      <w:start w:val="1"/>
      <w:numFmt w:val="bullet"/>
      <w:lvlText w:val="–"/>
      <w:lvlJc w:val="left"/>
      <w:pPr>
        <w:tabs>
          <w:tab w:val="num" w:pos="2880"/>
        </w:tabs>
        <w:ind w:left="2880" w:hanging="360"/>
      </w:pPr>
      <w:rPr>
        <w:rFonts w:ascii="Arial" w:hAnsi="Arial" w:hint="default"/>
      </w:rPr>
    </w:lvl>
    <w:lvl w:ilvl="4" w:tplc="143ED810" w:tentative="1">
      <w:start w:val="1"/>
      <w:numFmt w:val="bullet"/>
      <w:lvlText w:val="–"/>
      <w:lvlJc w:val="left"/>
      <w:pPr>
        <w:tabs>
          <w:tab w:val="num" w:pos="3600"/>
        </w:tabs>
        <w:ind w:left="3600" w:hanging="360"/>
      </w:pPr>
      <w:rPr>
        <w:rFonts w:ascii="Arial" w:hAnsi="Arial" w:hint="default"/>
      </w:rPr>
    </w:lvl>
    <w:lvl w:ilvl="5" w:tplc="5F689C9C" w:tentative="1">
      <w:start w:val="1"/>
      <w:numFmt w:val="bullet"/>
      <w:lvlText w:val="–"/>
      <w:lvlJc w:val="left"/>
      <w:pPr>
        <w:tabs>
          <w:tab w:val="num" w:pos="4320"/>
        </w:tabs>
        <w:ind w:left="4320" w:hanging="360"/>
      </w:pPr>
      <w:rPr>
        <w:rFonts w:ascii="Arial" w:hAnsi="Arial" w:hint="default"/>
      </w:rPr>
    </w:lvl>
    <w:lvl w:ilvl="6" w:tplc="95009736" w:tentative="1">
      <w:start w:val="1"/>
      <w:numFmt w:val="bullet"/>
      <w:lvlText w:val="–"/>
      <w:lvlJc w:val="left"/>
      <w:pPr>
        <w:tabs>
          <w:tab w:val="num" w:pos="5040"/>
        </w:tabs>
        <w:ind w:left="5040" w:hanging="360"/>
      </w:pPr>
      <w:rPr>
        <w:rFonts w:ascii="Arial" w:hAnsi="Arial" w:hint="default"/>
      </w:rPr>
    </w:lvl>
    <w:lvl w:ilvl="7" w:tplc="5E08C08E" w:tentative="1">
      <w:start w:val="1"/>
      <w:numFmt w:val="bullet"/>
      <w:lvlText w:val="–"/>
      <w:lvlJc w:val="left"/>
      <w:pPr>
        <w:tabs>
          <w:tab w:val="num" w:pos="5760"/>
        </w:tabs>
        <w:ind w:left="5760" w:hanging="360"/>
      </w:pPr>
      <w:rPr>
        <w:rFonts w:ascii="Arial" w:hAnsi="Arial" w:hint="default"/>
      </w:rPr>
    </w:lvl>
    <w:lvl w:ilvl="8" w:tplc="BEA8B1F4" w:tentative="1">
      <w:start w:val="1"/>
      <w:numFmt w:val="bullet"/>
      <w:lvlText w:val="–"/>
      <w:lvlJc w:val="left"/>
      <w:pPr>
        <w:tabs>
          <w:tab w:val="num" w:pos="6480"/>
        </w:tabs>
        <w:ind w:left="6480" w:hanging="360"/>
      </w:pPr>
      <w:rPr>
        <w:rFonts w:ascii="Arial" w:hAnsi="Arial" w:hint="default"/>
      </w:rPr>
    </w:lvl>
  </w:abstractNum>
  <w:abstractNum w:abstractNumId="21">
    <w:nsid w:val="4D24118A"/>
    <w:multiLevelType w:val="hybridMultilevel"/>
    <w:tmpl w:val="3C6C70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572183"/>
    <w:multiLevelType w:val="hybridMultilevel"/>
    <w:tmpl w:val="B7523308"/>
    <w:lvl w:ilvl="0" w:tplc="3590520E">
      <w:start w:val="1"/>
      <w:numFmt w:val="bullet"/>
      <w:lvlText w:val=""/>
      <w:lvlJc w:val="left"/>
      <w:pPr>
        <w:tabs>
          <w:tab w:val="num" w:pos="720"/>
        </w:tabs>
        <w:ind w:left="720" w:hanging="360"/>
      </w:pPr>
      <w:rPr>
        <w:rFonts w:ascii="Symbol" w:hAnsi="Symbol" w:hint="default"/>
      </w:rPr>
    </w:lvl>
    <w:lvl w:ilvl="1" w:tplc="3E943284">
      <w:start w:val="1"/>
      <w:numFmt w:val="bullet"/>
      <w:lvlText w:val=""/>
      <w:lvlJc w:val="left"/>
      <w:pPr>
        <w:tabs>
          <w:tab w:val="num" w:pos="1440"/>
        </w:tabs>
        <w:ind w:left="1440" w:hanging="360"/>
      </w:pPr>
      <w:rPr>
        <w:rFonts w:ascii="Symbol" w:hAnsi="Symbol" w:hint="default"/>
      </w:rPr>
    </w:lvl>
    <w:lvl w:ilvl="2" w:tplc="7D9668DC" w:tentative="1">
      <w:start w:val="1"/>
      <w:numFmt w:val="bullet"/>
      <w:lvlText w:val=""/>
      <w:lvlJc w:val="left"/>
      <w:pPr>
        <w:tabs>
          <w:tab w:val="num" w:pos="2160"/>
        </w:tabs>
        <w:ind w:left="2160" w:hanging="360"/>
      </w:pPr>
      <w:rPr>
        <w:rFonts w:ascii="Symbol" w:hAnsi="Symbol" w:hint="default"/>
      </w:rPr>
    </w:lvl>
    <w:lvl w:ilvl="3" w:tplc="4CF00948" w:tentative="1">
      <w:start w:val="1"/>
      <w:numFmt w:val="bullet"/>
      <w:lvlText w:val=""/>
      <w:lvlJc w:val="left"/>
      <w:pPr>
        <w:tabs>
          <w:tab w:val="num" w:pos="2880"/>
        </w:tabs>
        <w:ind w:left="2880" w:hanging="360"/>
      </w:pPr>
      <w:rPr>
        <w:rFonts w:ascii="Symbol" w:hAnsi="Symbol" w:hint="default"/>
      </w:rPr>
    </w:lvl>
    <w:lvl w:ilvl="4" w:tplc="7CE8350E" w:tentative="1">
      <w:start w:val="1"/>
      <w:numFmt w:val="bullet"/>
      <w:lvlText w:val=""/>
      <w:lvlJc w:val="left"/>
      <w:pPr>
        <w:tabs>
          <w:tab w:val="num" w:pos="3600"/>
        </w:tabs>
        <w:ind w:left="3600" w:hanging="360"/>
      </w:pPr>
      <w:rPr>
        <w:rFonts w:ascii="Symbol" w:hAnsi="Symbol" w:hint="default"/>
      </w:rPr>
    </w:lvl>
    <w:lvl w:ilvl="5" w:tplc="A710C3BE" w:tentative="1">
      <w:start w:val="1"/>
      <w:numFmt w:val="bullet"/>
      <w:lvlText w:val=""/>
      <w:lvlJc w:val="left"/>
      <w:pPr>
        <w:tabs>
          <w:tab w:val="num" w:pos="4320"/>
        </w:tabs>
        <w:ind w:left="4320" w:hanging="360"/>
      </w:pPr>
      <w:rPr>
        <w:rFonts w:ascii="Symbol" w:hAnsi="Symbol" w:hint="default"/>
      </w:rPr>
    </w:lvl>
    <w:lvl w:ilvl="6" w:tplc="C69864DE" w:tentative="1">
      <w:start w:val="1"/>
      <w:numFmt w:val="bullet"/>
      <w:lvlText w:val=""/>
      <w:lvlJc w:val="left"/>
      <w:pPr>
        <w:tabs>
          <w:tab w:val="num" w:pos="5040"/>
        </w:tabs>
        <w:ind w:left="5040" w:hanging="360"/>
      </w:pPr>
      <w:rPr>
        <w:rFonts w:ascii="Symbol" w:hAnsi="Symbol" w:hint="default"/>
      </w:rPr>
    </w:lvl>
    <w:lvl w:ilvl="7" w:tplc="F26E2DD2" w:tentative="1">
      <w:start w:val="1"/>
      <w:numFmt w:val="bullet"/>
      <w:lvlText w:val=""/>
      <w:lvlJc w:val="left"/>
      <w:pPr>
        <w:tabs>
          <w:tab w:val="num" w:pos="5760"/>
        </w:tabs>
        <w:ind w:left="5760" w:hanging="360"/>
      </w:pPr>
      <w:rPr>
        <w:rFonts w:ascii="Symbol" w:hAnsi="Symbol" w:hint="default"/>
      </w:rPr>
    </w:lvl>
    <w:lvl w:ilvl="8" w:tplc="514A0164" w:tentative="1">
      <w:start w:val="1"/>
      <w:numFmt w:val="bullet"/>
      <w:lvlText w:val=""/>
      <w:lvlJc w:val="left"/>
      <w:pPr>
        <w:tabs>
          <w:tab w:val="num" w:pos="6480"/>
        </w:tabs>
        <w:ind w:left="6480" w:hanging="360"/>
      </w:pPr>
      <w:rPr>
        <w:rFonts w:ascii="Symbol" w:hAnsi="Symbol" w:hint="default"/>
      </w:rPr>
    </w:lvl>
  </w:abstractNum>
  <w:abstractNum w:abstractNumId="23">
    <w:nsid w:val="5BD955AF"/>
    <w:multiLevelType w:val="hybridMultilevel"/>
    <w:tmpl w:val="6DDE376A"/>
    <w:lvl w:ilvl="0" w:tplc="1C090001">
      <w:start w:val="1"/>
      <w:numFmt w:val="bullet"/>
      <w:lvlText w:val=""/>
      <w:lvlJc w:val="left"/>
      <w:pPr>
        <w:tabs>
          <w:tab w:val="num" w:pos="720"/>
        </w:tabs>
        <w:ind w:left="720" w:hanging="360"/>
      </w:pPr>
      <w:rPr>
        <w:rFonts w:ascii="Symbol" w:hAnsi="Symbol" w:hint="default"/>
      </w:rPr>
    </w:lvl>
    <w:lvl w:ilvl="1" w:tplc="F26A9578" w:tentative="1">
      <w:start w:val="1"/>
      <w:numFmt w:val="bullet"/>
      <w:lvlText w:val="•"/>
      <w:lvlJc w:val="left"/>
      <w:pPr>
        <w:tabs>
          <w:tab w:val="num" w:pos="1440"/>
        </w:tabs>
        <w:ind w:left="1440" w:hanging="360"/>
      </w:pPr>
      <w:rPr>
        <w:rFonts w:ascii="Arial" w:hAnsi="Arial" w:hint="default"/>
      </w:rPr>
    </w:lvl>
    <w:lvl w:ilvl="2" w:tplc="AAC000C6" w:tentative="1">
      <w:start w:val="1"/>
      <w:numFmt w:val="bullet"/>
      <w:lvlText w:val="•"/>
      <w:lvlJc w:val="left"/>
      <w:pPr>
        <w:tabs>
          <w:tab w:val="num" w:pos="2160"/>
        </w:tabs>
        <w:ind w:left="2160" w:hanging="360"/>
      </w:pPr>
      <w:rPr>
        <w:rFonts w:ascii="Arial" w:hAnsi="Arial" w:hint="default"/>
      </w:rPr>
    </w:lvl>
    <w:lvl w:ilvl="3" w:tplc="01CEA394" w:tentative="1">
      <w:start w:val="1"/>
      <w:numFmt w:val="bullet"/>
      <w:lvlText w:val="•"/>
      <w:lvlJc w:val="left"/>
      <w:pPr>
        <w:tabs>
          <w:tab w:val="num" w:pos="2880"/>
        </w:tabs>
        <w:ind w:left="2880" w:hanging="360"/>
      </w:pPr>
      <w:rPr>
        <w:rFonts w:ascii="Arial" w:hAnsi="Arial" w:hint="default"/>
      </w:rPr>
    </w:lvl>
    <w:lvl w:ilvl="4" w:tplc="1764A206" w:tentative="1">
      <w:start w:val="1"/>
      <w:numFmt w:val="bullet"/>
      <w:lvlText w:val="•"/>
      <w:lvlJc w:val="left"/>
      <w:pPr>
        <w:tabs>
          <w:tab w:val="num" w:pos="3600"/>
        </w:tabs>
        <w:ind w:left="3600" w:hanging="360"/>
      </w:pPr>
      <w:rPr>
        <w:rFonts w:ascii="Arial" w:hAnsi="Arial" w:hint="default"/>
      </w:rPr>
    </w:lvl>
    <w:lvl w:ilvl="5" w:tplc="6A94511C" w:tentative="1">
      <w:start w:val="1"/>
      <w:numFmt w:val="bullet"/>
      <w:lvlText w:val="•"/>
      <w:lvlJc w:val="left"/>
      <w:pPr>
        <w:tabs>
          <w:tab w:val="num" w:pos="4320"/>
        </w:tabs>
        <w:ind w:left="4320" w:hanging="360"/>
      </w:pPr>
      <w:rPr>
        <w:rFonts w:ascii="Arial" w:hAnsi="Arial" w:hint="default"/>
      </w:rPr>
    </w:lvl>
    <w:lvl w:ilvl="6" w:tplc="37C852BC" w:tentative="1">
      <w:start w:val="1"/>
      <w:numFmt w:val="bullet"/>
      <w:lvlText w:val="•"/>
      <w:lvlJc w:val="left"/>
      <w:pPr>
        <w:tabs>
          <w:tab w:val="num" w:pos="5040"/>
        </w:tabs>
        <w:ind w:left="5040" w:hanging="360"/>
      </w:pPr>
      <w:rPr>
        <w:rFonts w:ascii="Arial" w:hAnsi="Arial" w:hint="default"/>
      </w:rPr>
    </w:lvl>
    <w:lvl w:ilvl="7" w:tplc="5BA8D81A" w:tentative="1">
      <w:start w:val="1"/>
      <w:numFmt w:val="bullet"/>
      <w:lvlText w:val="•"/>
      <w:lvlJc w:val="left"/>
      <w:pPr>
        <w:tabs>
          <w:tab w:val="num" w:pos="5760"/>
        </w:tabs>
        <w:ind w:left="5760" w:hanging="360"/>
      </w:pPr>
      <w:rPr>
        <w:rFonts w:ascii="Arial" w:hAnsi="Arial" w:hint="default"/>
      </w:rPr>
    </w:lvl>
    <w:lvl w:ilvl="8" w:tplc="0868E722" w:tentative="1">
      <w:start w:val="1"/>
      <w:numFmt w:val="bullet"/>
      <w:lvlText w:val="•"/>
      <w:lvlJc w:val="left"/>
      <w:pPr>
        <w:tabs>
          <w:tab w:val="num" w:pos="6480"/>
        </w:tabs>
        <w:ind w:left="6480" w:hanging="360"/>
      </w:pPr>
      <w:rPr>
        <w:rFonts w:ascii="Arial" w:hAnsi="Arial" w:hint="default"/>
      </w:rPr>
    </w:lvl>
  </w:abstractNum>
  <w:abstractNum w:abstractNumId="24">
    <w:nsid w:val="5DCD4DFC"/>
    <w:multiLevelType w:val="hybridMultilevel"/>
    <w:tmpl w:val="7B968BD6"/>
    <w:lvl w:ilvl="0" w:tplc="46AA3D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060A1B"/>
    <w:multiLevelType w:val="multilevel"/>
    <w:tmpl w:val="AC1633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7A3811"/>
    <w:multiLevelType w:val="hybridMultilevel"/>
    <w:tmpl w:val="4B92B420"/>
    <w:lvl w:ilvl="0" w:tplc="DE74BE9C">
      <w:start w:val="1"/>
      <w:numFmt w:val="lowerLetter"/>
      <w:lvlText w:val="%1)"/>
      <w:lvlJc w:val="left"/>
      <w:pPr>
        <w:tabs>
          <w:tab w:val="num" w:pos="720"/>
        </w:tabs>
        <w:ind w:left="720" w:hanging="360"/>
      </w:pPr>
    </w:lvl>
    <w:lvl w:ilvl="1" w:tplc="ECE6C822" w:tentative="1">
      <w:start w:val="1"/>
      <w:numFmt w:val="lowerLetter"/>
      <w:lvlText w:val="%2)"/>
      <w:lvlJc w:val="left"/>
      <w:pPr>
        <w:tabs>
          <w:tab w:val="num" w:pos="1440"/>
        </w:tabs>
        <w:ind w:left="1440" w:hanging="360"/>
      </w:pPr>
    </w:lvl>
    <w:lvl w:ilvl="2" w:tplc="641E5A48" w:tentative="1">
      <w:start w:val="1"/>
      <w:numFmt w:val="lowerLetter"/>
      <w:lvlText w:val="%3)"/>
      <w:lvlJc w:val="left"/>
      <w:pPr>
        <w:tabs>
          <w:tab w:val="num" w:pos="2160"/>
        </w:tabs>
        <w:ind w:left="2160" w:hanging="360"/>
      </w:pPr>
    </w:lvl>
    <w:lvl w:ilvl="3" w:tplc="D7B27B9A" w:tentative="1">
      <w:start w:val="1"/>
      <w:numFmt w:val="lowerLetter"/>
      <w:lvlText w:val="%4)"/>
      <w:lvlJc w:val="left"/>
      <w:pPr>
        <w:tabs>
          <w:tab w:val="num" w:pos="2880"/>
        </w:tabs>
        <w:ind w:left="2880" w:hanging="360"/>
      </w:pPr>
    </w:lvl>
    <w:lvl w:ilvl="4" w:tplc="4A8EB00E" w:tentative="1">
      <w:start w:val="1"/>
      <w:numFmt w:val="lowerLetter"/>
      <w:lvlText w:val="%5)"/>
      <w:lvlJc w:val="left"/>
      <w:pPr>
        <w:tabs>
          <w:tab w:val="num" w:pos="3600"/>
        </w:tabs>
        <w:ind w:left="3600" w:hanging="360"/>
      </w:pPr>
    </w:lvl>
    <w:lvl w:ilvl="5" w:tplc="B1EE9492" w:tentative="1">
      <w:start w:val="1"/>
      <w:numFmt w:val="lowerLetter"/>
      <w:lvlText w:val="%6)"/>
      <w:lvlJc w:val="left"/>
      <w:pPr>
        <w:tabs>
          <w:tab w:val="num" w:pos="4320"/>
        </w:tabs>
        <w:ind w:left="4320" w:hanging="360"/>
      </w:pPr>
    </w:lvl>
    <w:lvl w:ilvl="6" w:tplc="42E47A0C" w:tentative="1">
      <w:start w:val="1"/>
      <w:numFmt w:val="lowerLetter"/>
      <w:lvlText w:val="%7)"/>
      <w:lvlJc w:val="left"/>
      <w:pPr>
        <w:tabs>
          <w:tab w:val="num" w:pos="5040"/>
        </w:tabs>
        <w:ind w:left="5040" w:hanging="360"/>
      </w:pPr>
    </w:lvl>
    <w:lvl w:ilvl="7" w:tplc="B0228DF2" w:tentative="1">
      <w:start w:val="1"/>
      <w:numFmt w:val="lowerLetter"/>
      <w:lvlText w:val="%8)"/>
      <w:lvlJc w:val="left"/>
      <w:pPr>
        <w:tabs>
          <w:tab w:val="num" w:pos="5760"/>
        </w:tabs>
        <w:ind w:left="5760" w:hanging="360"/>
      </w:pPr>
    </w:lvl>
    <w:lvl w:ilvl="8" w:tplc="1292BAE8" w:tentative="1">
      <w:start w:val="1"/>
      <w:numFmt w:val="lowerLetter"/>
      <w:lvlText w:val="%9)"/>
      <w:lvlJc w:val="left"/>
      <w:pPr>
        <w:tabs>
          <w:tab w:val="num" w:pos="6480"/>
        </w:tabs>
        <w:ind w:left="6480" w:hanging="360"/>
      </w:pPr>
    </w:lvl>
  </w:abstractNum>
  <w:abstractNum w:abstractNumId="27">
    <w:nsid w:val="6B8471A6"/>
    <w:multiLevelType w:val="hybridMultilevel"/>
    <w:tmpl w:val="97E00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C4D03D4"/>
    <w:multiLevelType w:val="multilevel"/>
    <w:tmpl w:val="D41A9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926568"/>
    <w:multiLevelType w:val="multilevel"/>
    <w:tmpl w:val="C192AF6A"/>
    <w:lvl w:ilvl="0">
      <w:start w:val="3"/>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A10585"/>
    <w:multiLevelType w:val="hybridMultilevel"/>
    <w:tmpl w:val="E8826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86759B7"/>
    <w:multiLevelType w:val="hybridMultilevel"/>
    <w:tmpl w:val="174AB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8FF232F"/>
    <w:multiLevelType w:val="hybridMultilevel"/>
    <w:tmpl w:val="0C32150C"/>
    <w:lvl w:ilvl="0" w:tplc="E48425B2">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99E7FD6"/>
    <w:multiLevelType w:val="hybridMultilevel"/>
    <w:tmpl w:val="33A823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B7C12B6"/>
    <w:multiLevelType w:val="hybridMultilevel"/>
    <w:tmpl w:val="24C86142"/>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num w:numId="1">
    <w:abstractNumId w:val="32"/>
  </w:num>
  <w:num w:numId="2">
    <w:abstractNumId w:val="18"/>
  </w:num>
  <w:num w:numId="3">
    <w:abstractNumId w:val="4"/>
  </w:num>
  <w:num w:numId="4">
    <w:abstractNumId w:val="29"/>
  </w:num>
  <w:num w:numId="5">
    <w:abstractNumId w:val="8"/>
  </w:num>
  <w:num w:numId="6">
    <w:abstractNumId w:val="33"/>
  </w:num>
  <w:num w:numId="7">
    <w:abstractNumId w:val="11"/>
  </w:num>
  <w:num w:numId="8">
    <w:abstractNumId w:val="0"/>
  </w:num>
  <w:num w:numId="9">
    <w:abstractNumId w:val="27"/>
  </w:num>
  <w:num w:numId="10">
    <w:abstractNumId w:val="31"/>
  </w:num>
  <w:num w:numId="11">
    <w:abstractNumId w:val="7"/>
  </w:num>
  <w:num w:numId="12">
    <w:abstractNumId w:val="9"/>
  </w:num>
  <w:num w:numId="13">
    <w:abstractNumId w:val="19"/>
  </w:num>
  <w:num w:numId="14">
    <w:abstractNumId w:val="17"/>
  </w:num>
  <w:num w:numId="15">
    <w:abstractNumId w:val="21"/>
  </w:num>
  <w:num w:numId="16">
    <w:abstractNumId w:val="25"/>
  </w:num>
  <w:num w:numId="17">
    <w:abstractNumId w:val="14"/>
  </w:num>
  <w:num w:numId="18">
    <w:abstractNumId w:val="15"/>
  </w:num>
  <w:num w:numId="19">
    <w:abstractNumId w:val="5"/>
  </w:num>
  <w:num w:numId="20">
    <w:abstractNumId w:val="13"/>
  </w:num>
  <w:num w:numId="21">
    <w:abstractNumId w:val="28"/>
  </w:num>
  <w:num w:numId="22">
    <w:abstractNumId w:val="6"/>
  </w:num>
  <w:num w:numId="23">
    <w:abstractNumId w:val="16"/>
  </w:num>
  <w:num w:numId="24">
    <w:abstractNumId w:val="30"/>
  </w:num>
  <w:num w:numId="25">
    <w:abstractNumId w:val="34"/>
  </w:num>
  <w:num w:numId="26">
    <w:abstractNumId w:val="2"/>
  </w:num>
  <w:num w:numId="27">
    <w:abstractNumId w:val="3"/>
  </w:num>
  <w:num w:numId="28">
    <w:abstractNumId w:val="23"/>
  </w:num>
  <w:num w:numId="29">
    <w:abstractNumId w:val="26"/>
  </w:num>
  <w:num w:numId="30">
    <w:abstractNumId w:val="12"/>
  </w:num>
  <w:num w:numId="31">
    <w:abstractNumId w:val="24"/>
  </w:num>
  <w:num w:numId="32">
    <w:abstractNumId w:val="10"/>
  </w:num>
  <w:num w:numId="33">
    <w:abstractNumId w:val="20"/>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F383A"/>
    <w:rsid w:val="00014C35"/>
    <w:rsid w:val="00042779"/>
    <w:rsid w:val="00047594"/>
    <w:rsid w:val="00090778"/>
    <w:rsid w:val="000C25A5"/>
    <w:rsid w:val="000C7F1F"/>
    <w:rsid w:val="000E3717"/>
    <w:rsid w:val="00130837"/>
    <w:rsid w:val="00131B9B"/>
    <w:rsid w:val="00133CEE"/>
    <w:rsid w:val="00133CF2"/>
    <w:rsid w:val="00170566"/>
    <w:rsid w:val="00172BD8"/>
    <w:rsid w:val="001742B6"/>
    <w:rsid w:val="00184849"/>
    <w:rsid w:val="00192223"/>
    <w:rsid w:val="001A77F8"/>
    <w:rsid w:val="001D75D1"/>
    <w:rsid w:val="001F0215"/>
    <w:rsid w:val="001F3786"/>
    <w:rsid w:val="00223005"/>
    <w:rsid w:val="00266A1A"/>
    <w:rsid w:val="002F4EE8"/>
    <w:rsid w:val="002F640F"/>
    <w:rsid w:val="00303948"/>
    <w:rsid w:val="00361BA4"/>
    <w:rsid w:val="003820EF"/>
    <w:rsid w:val="003837CA"/>
    <w:rsid w:val="00384B4B"/>
    <w:rsid w:val="00386845"/>
    <w:rsid w:val="00393701"/>
    <w:rsid w:val="003A0D04"/>
    <w:rsid w:val="003D43D4"/>
    <w:rsid w:val="00405748"/>
    <w:rsid w:val="00476288"/>
    <w:rsid w:val="004C1B7D"/>
    <w:rsid w:val="004D3ED0"/>
    <w:rsid w:val="004D4D29"/>
    <w:rsid w:val="004E5BDB"/>
    <w:rsid w:val="00505906"/>
    <w:rsid w:val="00511A60"/>
    <w:rsid w:val="00517C19"/>
    <w:rsid w:val="00534206"/>
    <w:rsid w:val="0055550A"/>
    <w:rsid w:val="00581C71"/>
    <w:rsid w:val="005848E1"/>
    <w:rsid w:val="005A7EE6"/>
    <w:rsid w:val="005F3B76"/>
    <w:rsid w:val="00621145"/>
    <w:rsid w:val="00675841"/>
    <w:rsid w:val="00676CC4"/>
    <w:rsid w:val="00685203"/>
    <w:rsid w:val="006B533D"/>
    <w:rsid w:val="006C3585"/>
    <w:rsid w:val="006F3E1C"/>
    <w:rsid w:val="007037BB"/>
    <w:rsid w:val="00706790"/>
    <w:rsid w:val="0073160F"/>
    <w:rsid w:val="0073174C"/>
    <w:rsid w:val="0073330A"/>
    <w:rsid w:val="007520FD"/>
    <w:rsid w:val="007549C7"/>
    <w:rsid w:val="00790B33"/>
    <w:rsid w:val="0079574B"/>
    <w:rsid w:val="00796456"/>
    <w:rsid w:val="007A161A"/>
    <w:rsid w:val="007A79D8"/>
    <w:rsid w:val="008001E5"/>
    <w:rsid w:val="00813778"/>
    <w:rsid w:val="00817601"/>
    <w:rsid w:val="00831DFD"/>
    <w:rsid w:val="00845C0B"/>
    <w:rsid w:val="00851DB2"/>
    <w:rsid w:val="008721ED"/>
    <w:rsid w:val="00893DA2"/>
    <w:rsid w:val="00894207"/>
    <w:rsid w:val="008A3E6A"/>
    <w:rsid w:val="008B1F26"/>
    <w:rsid w:val="008D10E7"/>
    <w:rsid w:val="008F383A"/>
    <w:rsid w:val="00913805"/>
    <w:rsid w:val="00916157"/>
    <w:rsid w:val="00916F02"/>
    <w:rsid w:val="00982AA4"/>
    <w:rsid w:val="00984639"/>
    <w:rsid w:val="009905C7"/>
    <w:rsid w:val="009B357D"/>
    <w:rsid w:val="009C013D"/>
    <w:rsid w:val="009D00BD"/>
    <w:rsid w:val="009E29A5"/>
    <w:rsid w:val="009F4E4B"/>
    <w:rsid w:val="009F59E2"/>
    <w:rsid w:val="00A21D6B"/>
    <w:rsid w:val="00A26CC6"/>
    <w:rsid w:val="00A746BF"/>
    <w:rsid w:val="00A87035"/>
    <w:rsid w:val="00AA4EAF"/>
    <w:rsid w:val="00AB209F"/>
    <w:rsid w:val="00AC0090"/>
    <w:rsid w:val="00AD0F63"/>
    <w:rsid w:val="00AE4136"/>
    <w:rsid w:val="00AF5041"/>
    <w:rsid w:val="00AF5AF3"/>
    <w:rsid w:val="00B06A0C"/>
    <w:rsid w:val="00B500D9"/>
    <w:rsid w:val="00B51DCA"/>
    <w:rsid w:val="00B561B8"/>
    <w:rsid w:val="00B60A32"/>
    <w:rsid w:val="00B63651"/>
    <w:rsid w:val="00B70B5C"/>
    <w:rsid w:val="00B80047"/>
    <w:rsid w:val="00BA4B86"/>
    <w:rsid w:val="00C20C40"/>
    <w:rsid w:val="00C27020"/>
    <w:rsid w:val="00C313BC"/>
    <w:rsid w:val="00C504AA"/>
    <w:rsid w:val="00C5631D"/>
    <w:rsid w:val="00C563A0"/>
    <w:rsid w:val="00C6754F"/>
    <w:rsid w:val="00C73BDE"/>
    <w:rsid w:val="00C73D98"/>
    <w:rsid w:val="00C92C61"/>
    <w:rsid w:val="00CC76BE"/>
    <w:rsid w:val="00CD1CD8"/>
    <w:rsid w:val="00CF319A"/>
    <w:rsid w:val="00D074FB"/>
    <w:rsid w:val="00D218CF"/>
    <w:rsid w:val="00D55CF6"/>
    <w:rsid w:val="00D915A7"/>
    <w:rsid w:val="00D9736D"/>
    <w:rsid w:val="00DB55E5"/>
    <w:rsid w:val="00DC6E94"/>
    <w:rsid w:val="00DE7761"/>
    <w:rsid w:val="00DF057B"/>
    <w:rsid w:val="00DF721F"/>
    <w:rsid w:val="00E06FF8"/>
    <w:rsid w:val="00E47B58"/>
    <w:rsid w:val="00E55D8C"/>
    <w:rsid w:val="00E57B46"/>
    <w:rsid w:val="00E944D9"/>
    <w:rsid w:val="00F156ED"/>
    <w:rsid w:val="00F17305"/>
    <w:rsid w:val="00F30BA2"/>
    <w:rsid w:val="00F37A39"/>
    <w:rsid w:val="00F579D1"/>
    <w:rsid w:val="00F62D50"/>
    <w:rsid w:val="00F85CF6"/>
    <w:rsid w:val="00F876C7"/>
    <w:rsid w:val="00FC494F"/>
    <w:rsid w:val="00FC5874"/>
    <w:rsid w:val="00FD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8F383A"/>
    <w:pPr>
      <w:tabs>
        <w:tab w:val="center" w:pos="4513"/>
        <w:tab w:val="right" w:pos="9026"/>
      </w:tabs>
      <w:spacing w:after="0" w:line="240" w:lineRule="auto"/>
    </w:pPr>
    <w:rPr>
      <w:lang w:val="en-GB"/>
    </w:rPr>
  </w:style>
  <w:style w:type="character" w:customStyle="1" w:styleId="FooterChar">
    <w:name w:val="Footer Char"/>
    <w:basedOn w:val="DefaultParagraphFont"/>
    <w:link w:val="Footer1"/>
    <w:uiPriority w:val="99"/>
    <w:rsid w:val="008F383A"/>
    <w:rPr>
      <w:lang w:val="en-GB"/>
    </w:rPr>
  </w:style>
  <w:style w:type="character" w:styleId="PageNumber">
    <w:name w:val="page number"/>
    <w:basedOn w:val="DefaultParagraphFont"/>
    <w:uiPriority w:val="99"/>
    <w:rsid w:val="008F383A"/>
    <w:rPr>
      <w:rFonts w:cs="Times New Roman"/>
    </w:rPr>
  </w:style>
  <w:style w:type="paragraph" w:customStyle="1" w:styleId="BulletList1">
    <w:name w:val="Bullet List1"/>
    <w:basedOn w:val="Normal"/>
    <w:next w:val="ListParagraph"/>
    <w:link w:val="ListParagraphChar"/>
    <w:uiPriority w:val="34"/>
    <w:qFormat/>
    <w:rsid w:val="008F383A"/>
    <w:pPr>
      <w:ind w:left="720"/>
      <w:contextualSpacing/>
    </w:pPr>
    <w:rPr>
      <w:lang w:val="en-GB"/>
    </w:rPr>
  </w:style>
  <w:style w:type="character" w:customStyle="1" w:styleId="ListParagraphChar">
    <w:name w:val="List Paragraph Char"/>
    <w:aliases w:val="List Paragraph 1 Char,Table of contents numbered Char,Bullets Char,footer text Char,List Paragraph1 Char,Recommendation Char,Bullet List Char"/>
    <w:link w:val="BulletList1"/>
    <w:uiPriority w:val="34"/>
    <w:locked/>
    <w:rsid w:val="008F383A"/>
    <w:rPr>
      <w:lang w:val="en-GB"/>
    </w:rPr>
  </w:style>
  <w:style w:type="table" w:customStyle="1" w:styleId="TableGrid1">
    <w:name w:val="Table Grid1"/>
    <w:basedOn w:val="TableNormal"/>
    <w:next w:val="TableGrid"/>
    <w:uiPriority w:val="39"/>
    <w:rsid w:val="008F3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8F383A"/>
    <w:rPr>
      <w:rFonts w:ascii="Segoe UI" w:hAnsi="Segoe UI" w:cs="Segoe UI"/>
      <w:sz w:val="18"/>
      <w:szCs w:val="18"/>
      <w:lang w:val="en-GB"/>
    </w:rPr>
  </w:style>
  <w:style w:type="paragraph" w:customStyle="1" w:styleId="BalloonText1">
    <w:name w:val="Balloon Text1"/>
    <w:basedOn w:val="Normal"/>
    <w:next w:val="BalloonText"/>
    <w:uiPriority w:val="99"/>
    <w:semiHidden/>
    <w:unhideWhenUsed/>
    <w:rsid w:val="008F383A"/>
    <w:pPr>
      <w:spacing w:after="0" w:line="240" w:lineRule="auto"/>
    </w:pPr>
    <w:rPr>
      <w:rFonts w:ascii="Segoe UI" w:hAnsi="Segoe UI" w:cs="Segoe UI"/>
      <w:sz w:val="18"/>
      <w:szCs w:val="18"/>
      <w:lang w:val="en-GB"/>
    </w:rPr>
  </w:style>
  <w:style w:type="character" w:customStyle="1" w:styleId="BalloonTextChar1">
    <w:name w:val="Balloon Text Char1"/>
    <w:basedOn w:val="DefaultParagraphFont"/>
    <w:uiPriority w:val="99"/>
    <w:semiHidden/>
    <w:rsid w:val="008F383A"/>
    <w:rPr>
      <w:rFonts w:ascii="Segoe UI" w:hAnsi="Segoe UI" w:cs="Segoe UI"/>
      <w:sz w:val="18"/>
      <w:szCs w:val="18"/>
    </w:rPr>
  </w:style>
  <w:style w:type="paragraph" w:customStyle="1" w:styleId="Header1">
    <w:name w:val="Header1"/>
    <w:basedOn w:val="Normal"/>
    <w:next w:val="Header"/>
    <w:link w:val="HeaderChar"/>
    <w:uiPriority w:val="99"/>
    <w:unhideWhenUsed/>
    <w:rsid w:val="008F383A"/>
    <w:pPr>
      <w:tabs>
        <w:tab w:val="center" w:pos="4513"/>
        <w:tab w:val="right" w:pos="9026"/>
      </w:tabs>
      <w:spacing w:after="0" w:line="240" w:lineRule="auto"/>
    </w:pPr>
    <w:rPr>
      <w:lang w:val="en-GB"/>
    </w:rPr>
  </w:style>
  <w:style w:type="character" w:customStyle="1" w:styleId="HeaderChar">
    <w:name w:val="Header Char"/>
    <w:basedOn w:val="DefaultParagraphFont"/>
    <w:link w:val="Header1"/>
    <w:uiPriority w:val="99"/>
    <w:rsid w:val="008F383A"/>
    <w:rPr>
      <w:lang w:val="en-GB"/>
    </w:rPr>
  </w:style>
  <w:style w:type="character" w:customStyle="1" w:styleId="CharAttribute0">
    <w:name w:val="CharAttribute0"/>
    <w:rsid w:val="008F383A"/>
    <w:rPr>
      <w:rFonts w:ascii="Times New Roman" w:eastAsia="Times New Roman"/>
    </w:rPr>
  </w:style>
  <w:style w:type="character" w:customStyle="1" w:styleId="tgc">
    <w:name w:val="_tgc"/>
    <w:basedOn w:val="DefaultParagraphFont"/>
    <w:rsid w:val="008F383A"/>
  </w:style>
  <w:style w:type="paragraph" w:customStyle="1" w:styleId="char">
    <w:name w:val="char"/>
    <w:basedOn w:val="Normal"/>
    <w:uiPriority w:val="99"/>
    <w:rsid w:val="008F383A"/>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customStyle="1" w:styleId="Default">
    <w:name w:val="Default"/>
    <w:rsid w:val="008F383A"/>
    <w:pPr>
      <w:autoSpaceDE w:val="0"/>
      <w:autoSpaceDN w:val="0"/>
      <w:adjustRightInd w:val="0"/>
      <w:spacing w:after="0" w:line="240" w:lineRule="auto"/>
    </w:pPr>
    <w:rPr>
      <w:rFonts w:ascii="Calibri" w:hAnsi="Calibri" w:cs="Calibri"/>
      <w:color w:val="000000"/>
      <w:sz w:val="24"/>
      <w:szCs w:val="24"/>
      <w:lang w:val="en-GB"/>
    </w:rPr>
  </w:style>
  <w:style w:type="character" w:customStyle="1" w:styleId="CommentTextChar">
    <w:name w:val="Comment Text Char"/>
    <w:basedOn w:val="DefaultParagraphFont"/>
    <w:link w:val="CommentText"/>
    <w:uiPriority w:val="99"/>
    <w:rsid w:val="008F383A"/>
    <w:rPr>
      <w:sz w:val="20"/>
      <w:szCs w:val="20"/>
      <w:lang w:val="en-GB"/>
    </w:rPr>
  </w:style>
  <w:style w:type="paragraph" w:customStyle="1" w:styleId="CommentText1">
    <w:name w:val="Comment Text1"/>
    <w:basedOn w:val="Normal"/>
    <w:next w:val="CommentText"/>
    <w:uiPriority w:val="99"/>
    <w:semiHidden/>
    <w:unhideWhenUsed/>
    <w:rsid w:val="008F383A"/>
    <w:pPr>
      <w:spacing w:line="240" w:lineRule="auto"/>
    </w:pPr>
    <w:rPr>
      <w:sz w:val="20"/>
      <w:szCs w:val="20"/>
      <w:lang w:val="en-GB"/>
    </w:rPr>
  </w:style>
  <w:style w:type="character" w:customStyle="1" w:styleId="CommentTextChar1">
    <w:name w:val="Comment Text Char1"/>
    <w:basedOn w:val="DefaultParagraphFont"/>
    <w:uiPriority w:val="99"/>
    <w:semiHidden/>
    <w:rsid w:val="008F383A"/>
    <w:rPr>
      <w:sz w:val="20"/>
      <w:szCs w:val="20"/>
    </w:rPr>
  </w:style>
  <w:style w:type="character" w:customStyle="1" w:styleId="item-title">
    <w:name w:val="item-title"/>
    <w:basedOn w:val="DefaultParagraphFont"/>
    <w:rsid w:val="008F383A"/>
  </w:style>
  <w:style w:type="character" w:customStyle="1" w:styleId="CommentSubjectChar">
    <w:name w:val="Comment Subject Char"/>
    <w:basedOn w:val="CommentTextChar"/>
    <w:link w:val="CommentSubject"/>
    <w:uiPriority w:val="99"/>
    <w:semiHidden/>
    <w:rsid w:val="008F383A"/>
    <w:rPr>
      <w:b/>
      <w:bCs/>
      <w:sz w:val="20"/>
      <w:szCs w:val="20"/>
      <w:lang w:val="en-GB"/>
    </w:rPr>
  </w:style>
  <w:style w:type="paragraph" w:customStyle="1" w:styleId="CommentSubject1">
    <w:name w:val="Comment Subject1"/>
    <w:basedOn w:val="CommentText"/>
    <w:next w:val="CommentText"/>
    <w:uiPriority w:val="99"/>
    <w:semiHidden/>
    <w:unhideWhenUsed/>
    <w:rsid w:val="008F383A"/>
    <w:rPr>
      <w:b/>
      <w:bCs/>
    </w:rPr>
  </w:style>
  <w:style w:type="character" w:customStyle="1" w:styleId="CommentSubjectChar1">
    <w:name w:val="Comment Subject Char1"/>
    <w:basedOn w:val="CommentTextChar1"/>
    <w:uiPriority w:val="99"/>
    <w:semiHidden/>
    <w:rsid w:val="008F383A"/>
    <w:rPr>
      <w:b/>
      <w:bCs/>
      <w:sz w:val="20"/>
      <w:szCs w:val="20"/>
    </w:rPr>
  </w:style>
  <w:style w:type="character" w:customStyle="1" w:styleId="FootnoteTextChar">
    <w:name w:val="Footnote Text Char"/>
    <w:basedOn w:val="DefaultParagraphFont"/>
    <w:link w:val="FootnoteText"/>
    <w:uiPriority w:val="99"/>
    <w:semiHidden/>
    <w:rsid w:val="008F383A"/>
    <w:rPr>
      <w:sz w:val="20"/>
      <w:szCs w:val="20"/>
      <w:lang w:val="en-GB"/>
    </w:rPr>
  </w:style>
  <w:style w:type="paragraph" w:customStyle="1" w:styleId="FootnoteText1">
    <w:name w:val="Footnote Text1"/>
    <w:basedOn w:val="Normal"/>
    <w:next w:val="FootnoteText"/>
    <w:uiPriority w:val="99"/>
    <w:semiHidden/>
    <w:unhideWhenUsed/>
    <w:rsid w:val="008F383A"/>
    <w:pPr>
      <w:spacing w:after="0" w:line="240" w:lineRule="auto"/>
    </w:pPr>
    <w:rPr>
      <w:sz w:val="20"/>
      <w:szCs w:val="20"/>
      <w:lang w:val="en-GB"/>
    </w:rPr>
  </w:style>
  <w:style w:type="character" w:customStyle="1" w:styleId="FootnoteTextChar1">
    <w:name w:val="Footnote Text Char1"/>
    <w:basedOn w:val="DefaultParagraphFont"/>
    <w:uiPriority w:val="99"/>
    <w:semiHidden/>
    <w:rsid w:val="008F383A"/>
    <w:rPr>
      <w:sz w:val="20"/>
      <w:szCs w:val="20"/>
    </w:rPr>
  </w:style>
  <w:style w:type="paragraph" w:customStyle="1" w:styleId="NormalWeb1">
    <w:name w:val="Normal (Web)1"/>
    <w:basedOn w:val="Normal"/>
    <w:next w:val="NormalWeb"/>
    <w:uiPriority w:val="99"/>
    <w:semiHidden/>
    <w:unhideWhenUsed/>
    <w:rsid w:val="008F383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F383A"/>
    <w:rPr>
      <w:sz w:val="16"/>
      <w:szCs w:val="16"/>
    </w:rPr>
  </w:style>
  <w:style w:type="paragraph" w:styleId="Footer">
    <w:name w:val="footer"/>
    <w:basedOn w:val="Normal"/>
    <w:link w:val="FooterChar1"/>
    <w:uiPriority w:val="99"/>
    <w:unhideWhenUsed/>
    <w:rsid w:val="008F383A"/>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F383A"/>
  </w:style>
  <w:style w:type="paragraph" w:styleId="ListParagraph">
    <w:name w:val="List Paragraph"/>
    <w:aliases w:val="List Paragraph 1,Table of contents numbered,Bullets,footer text,List Paragraph1,Recommendation,Bullet List"/>
    <w:basedOn w:val="Normal"/>
    <w:uiPriority w:val="34"/>
    <w:qFormat/>
    <w:rsid w:val="008F383A"/>
    <w:pPr>
      <w:ind w:left="720"/>
      <w:contextualSpacing/>
    </w:pPr>
  </w:style>
  <w:style w:type="table" w:styleId="TableGrid">
    <w:name w:val="Table Grid"/>
    <w:basedOn w:val="TableNormal"/>
    <w:uiPriority w:val="39"/>
    <w:rsid w:val="008F3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83A"/>
    <w:pPr>
      <w:spacing w:after="0" w:line="240" w:lineRule="auto"/>
    </w:pPr>
    <w:rPr>
      <w:rFonts w:ascii="Segoe UI" w:hAnsi="Segoe UI" w:cs="Segoe UI"/>
      <w:sz w:val="18"/>
      <w:szCs w:val="18"/>
      <w:lang w:val="en-GB"/>
    </w:rPr>
  </w:style>
  <w:style w:type="character" w:customStyle="1" w:styleId="BalloonTextChar2">
    <w:name w:val="Balloon Text Char2"/>
    <w:basedOn w:val="DefaultParagraphFont"/>
    <w:uiPriority w:val="99"/>
    <w:semiHidden/>
    <w:rsid w:val="008F383A"/>
    <w:rPr>
      <w:rFonts w:ascii="Segoe UI" w:hAnsi="Segoe UI" w:cs="Segoe UI"/>
      <w:sz w:val="18"/>
      <w:szCs w:val="18"/>
    </w:rPr>
  </w:style>
  <w:style w:type="paragraph" w:styleId="Header">
    <w:name w:val="header"/>
    <w:basedOn w:val="Normal"/>
    <w:link w:val="HeaderChar1"/>
    <w:uiPriority w:val="99"/>
    <w:unhideWhenUsed/>
    <w:rsid w:val="008F383A"/>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F383A"/>
  </w:style>
  <w:style w:type="paragraph" w:styleId="CommentText">
    <w:name w:val="annotation text"/>
    <w:basedOn w:val="Normal"/>
    <w:link w:val="CommentTextChar"/>
    <w:uiPriority w:val="99"/>
    <w:unhideWhenUsed/>
    <w:rsid w:val="008F383A"/>
    <w:pPr>
      <w:spacing w:line="240" w:lineRule="auto"/>
    </w:pPr>
    <w:rPr>
      <w:sz w:val="20"/>
      <w:szCs w:val="20"/>
      <w:lang w:val="en-GB"/>
    </w:rPr>
  </w:style>
  <w:style w:type="character" w:customStyle="1" w:styleId="CommentTextChar2">
    <w:name w:val="Comment Text Char2"/>
    <w:basedOn w:val="DefaultParagraphFont"/>
    <w:uiPriority w:val="99"/>
    <w:semiHidden/>
    <w:rsid w:val="008F383A"/>
    <w:rPr>
      <w:sz w:val="20"/>
      <w:szCs w:val="20"/>
    </w:rPr>
  </w:style>
  <w:style w:type="paragraph" w:styleId="CommentSubject">
    <w:name w:val="annotation subject"/>
    <w:basedOn w:val="CommentText"/>
    <w:next w:val="CommentText"/>
    <w:link w:val="CommentSubjectChar"/>
    <w:uiPriority w:val="99"/>
    <w:semiHidden/>
    <w:unhideWhenUsed/>
    <w:rsid w:val="008F383A"/>
    <w:rPr>
      <w:b/>
      <w:bCs/>
    </w:rPr>
  </w:style>
  <w:style w:type="character" w:customStyle="1" w:styleId="CommentSubjectChar2">
    <w:name w:val="Comment Subject Char2"/>
    <w:basedOn w:val="CommentTextChar"/>
    <w:uiPriority w:val="99"/>
    <w:semiHidden/>
    <w:rsid w:val="008F383A"/>
    <w:rPr>
      <w:b/>
      <w:bCs/>
      <w:sz w:val="20"/>
      <w:szCs w:val="20"/>
      <w:lang w:val="en-GB"/>
    </w:rPr>
  </w:style>
  <w:style w:type="paragraph" w:styleId="FootnoteText">
    <w:name w:val="footnote text"/>
    <w:basedOn w:val="Normal"/>
    <w:link w:val="FootnoteTextChar"/>
    <w:uiPriority w:val="99"/>
    <w:semiHidden/>
    <w:unhideWhenUsed/>
    <w:rsid w:val="008F383A"/>
    <w:pPr>
      <w:spacing w:after="0" w:line="240" w:lineRule="auto"/>
    </w:pPr>
    <w:rPr>
      <w:sz w:val="20"/>
      <w:szCs w:val="20"/>
      <w:lang w:val="en-GB"/>
    </w:rPr>
  </w:style>
  <w:style w:type="character" w:customStyle="1" w:styleId="FootnoteTextChar2">
    <w:name w:val="Footnote Text Char2"/>
    <w:basedOn w:val="DefaultParagraphFont"/>
    <w:uiPriority w:val="99"/>
    <w:semiHidden/>
    <w:rsid w:val="008F383A"/>
    <w:rPr>
      <w:sz w:val="20"/>
      <w:szCs w:val="20"/>
    </w:rPr>
  </w:style>
  <w:style w:type="paragraph" w:styleId="NormalWeb">
    <w:name w:val="Normal (Web)"/>
    <w:basedOn w:val="Normal"/>
    <w:uiPriority w:val="99"/>
    <w:semiHidden/>
    <w:unhideWhenUsed/>
    <w:rsid w:val="008F383A"/>
    <w:rPr>
      <w:rFonts w:ascii="Times New Roman" w:hAnsi="Times New Roman" w:cs="Times New Roman"/>
      <w:sz w:val="24"/>
      <w:szCs w:val="24"/>
    </w:rPr>
  </w:style>
  <w:style w:type="paragraph" w:styleId="Revision">
    <w:name w:val="Revision"/>
    <w:hidden/>
    <w:uiPriority w:val="99"/>
    <w:semiHidden/>
    <w:rsid w:val="00621145"/>
    <w:pPr>
      <w:spacing w:after="0" w:line="240" w:lineRule="auto"/>
    </w:pPr>
  </w:style>
</w:styles>
</file>

<file path=word/webSettings.xml><?xml version="1.0" encoding="utf-8"?>
<w:webSettings xmlns:r="http://schemas.openxmlformats.org/officeDocument/2006/relationships" xmlns:w="http://schemas.openxmlformats.org/wordprocessingml/2006/main">
  <w:divs>
    <w:div w:id="38868962">
      <w:bodyDiv w:val="1"/>
      <w:marLeft w:val="0"/>
      <w:marRight w:val="0"/>
      <w:marTop w:val="0"/>
      <w:marBottom w:val="0"/>
      <w:divBdr>
        <w:top w:val="none" w:sz="0" w:space="0" w:color="auto"/>
        <w:left w:val="none" w:sz="0" w:space="0" w:color="auto"/>
        <w:bottom w:val="none" w:sz="0" w:space="0" w:color="auto"/>
        <w:right w:val="none" w:sz="0" w:space="0" w:color="auto"/>
      </w:divBdr>
      <w:divsChild>
        <w:div w:id="627396917">
          <w:marLeft w:val="360"/>
          <w:marRight w:val="0"/>
          <w:marTop w:val="200"/>
          <w:marBottom w:val="0"/>
          <w:divBdr>
            <w:top w:val="none" w:sz="0" w:space="0" w:color="auto"/>
            <w:left w:val="none" w:sz="0" w:space="0" w:color="auto"/>
            <w:bottom w:val="none" w:sz="0" w:space="0" w:color="auto"/>
            <w:right w:val="none" w:sz="0" w:space="0" w:color="auto"/>
          </w:divBdr>
        </w:div>
        <w:div w:id="87889485">
          <w:marLeft w:val="360"/>
          <w:marRight w:val="0"/>
          <w:marTop w:val="200"/>
          <w:marBottom w:val="0"/>
          <w:divBdr>
            <w:top w:val="none" w:sz="0" w:space="0" w:color="auto"/>
            <w:left w:val="none" w:sz="0" w:space="0" w:color="auto"/>
            <w:bottom w:val="none" w:sz="0" w:space="0" w:color="auto"/>
            <w:right w:val="none" w:sz="0" w:space="0" w:color="auto"/>
          </w:divBdr>
        </w:div>
        <w:div w:id="1539776867">
          <w:marLeft w:val="360"/>
          <w:marRight w:val="0"/>
          <w:marTop w:val="200"/>
          <w:marBottom w:val="0"/>
          <w:divBdr>
            <w:top w:val="none" w:sz="0" w:space="0" w:color="auto"/>
            <w:left w:val="none" w:sz="0" w:space="0" w:color="auto"/>
            <w:bottom w:val="none" w:sz="0" w:space="0" w:color="auto"/>
            <w:right w:val="none" w:sz="0" w:space="0" w:color="auto"/>
          </w:divBdr>
        </w:div>
        <w:div w:id="1228145361">
          <w:marLeft w:val="360"/>
          <w:marRight w:val="0"/>
          <w:marTop w:val="200"/>
          <w:marBottom w:val="0"/>
          <w:divBdr>
            <w:top w:val="none" w:sz="0" w:space="0" w:color="auto"/>
            <w:left w:val="none" w:sz="0" w:space="0" w:color="auto"/>
            <w:bottom w:val="none" w:sz="0" w:space="0" w:color="auto"/>
            <w:right w:val="none" w:sz="0" w:space="0" w:color="auto"/>
          </w:divBdr>
        </w:div>
      </w:divsChild>
    </w:div>
    <w:div w:id="272976819">
      <w:bodyDiv w:val="1"/>
      <w:marLeft w:val="0"/>
      <w:marRight w:val="0"/>
      <w:marTop w:val="0"/>
      <w:marBottom w:val="0"/>
      <w:divBdr>
        <w:top w:val="none" w:sz="0" w:space="0" w:color="auto"/>
        <w:left w:val="none" w:sz="0" w:space="0" w:color="auto"/>
        <w:bottom w:val="none" w:sz="0" w:space="0" w:color="auto"/>
        <w:right w:val="none" w:sz="0" w:space="0" w:color="auto"/>
      </w:divBdr>
      <w:divsChild>
        <w:div w:id="133840724">
          <w:marLeft w:val="403"/>
          <w:marRight w:val="0"/>
          <w:marTop w:val="65"/>
          <w:marBottom w:val="0"/>
          <w:divBdr>
            <w:top w:val="none" w:sz="0" w:space="0" w:color="auto"/>
            <w:left w:val="none" w:sz="0" w:space="0" w:color="auto"/>
            <w:bottom w:val="none" w:sz="0" w:space="0" w:color="auto"/>
            <w:right w:val="none" w:sz="0" w:space="0" w:color="auto"/>
          </w:divBdr>
        </w:div>
        <w:div w:id="257447158">
          <w:marLeft w:val="403"/>
          <w:marRight w:val="0"/>
          <w:marTop w:val="65"/>
          <w:marBottom w:val="0"/>
          <w:divBdr>
            <w:top w:val="none" w:sz="0" w:space="0" w:color="auto"/>
            <w:left w:val="none" w:sz="0" w:space="0" w:color="auto"/>
            <w:bottom w:val="none" w:sz="0" w:space="0" w:color="auto"/>
            <w:right w:val="none" w:sz="0" w:space="0" w:color="auto"/>
          </w:divBdr>
        </w:div>
        <w:div w:id="1386679998">
          <w:marLeft w:val="403"/>
          <w:marRight w:val="0"/>
          <w:marTop w:val="65"/>
          <w:marBottom w:val="0"/>
          <w:divBdr>
            <w:top w:val="none" w:sz="0" w:space="0" w:color="auto"/>
            <w:left w:val="none" w:sz="0" w:space="0" w:color="auto"/>
            <w:bottom w:val="none" w:sz="0" w:space="0" w:color="auto"/>
            <w:right w:val="none" w:sz="0" w:space="0" w:color="auto"/>
          </w:divBdr>
        </w:div>
      </w:divsChild>
    </w:div>
    <w:div w:id="290324692">
      <w:bodyDiv w:val="1"/>
      <w:marLeft w:val="0"/>
      <w:marRight w:val="0"/>
      <w:marTop w:val="0"/>
      <w:marBottom w:val="0"/>
      <w:divBdr>
        <w:top w:val="none" w:sz="0" w:space="0" w:color="auto"/>
        <w:left w:val="none" w:sz="0" w:space="0" w:color="auto"/>
        <w:bottom w:val="none" w:sz="0" w:space="0" w:color="auto"/>
        <w:right w:val="none" w:sz="0" w:space="0" w:color="auto"/>
      </w:divBdr>
      <w:divsChild>
        <w:div w:id="1343314343">
          <w:marLeft w:val="1166"/>
          <w:marRight w:val="0"/>
          <w:marTop w:val="77"/>
          <w:marBottom w:val="0"/>
          <w:divBdr>
            <w:top w:val="none" w:sz="0" w:space="0" w:color="auto"/>
            <w:left w:val="none" w:sz="0" w:space="0" w:color="auto"/>
            <w:bottom w:val="none" w:sz="0" w:space="0" w:color="auto"/>
            <w:right w:val="none" w:sz="0" w:space="0" w:color="auto"/>
          </w:divBdr>
        </w:div>
      </w:divsChild>
    </w:div>
    <w:div w:id="323749430">
      <w:bodyDiv w:val="1"/>
      <w:marLeft w:val="0"/>
      <w:marRight w:val="0"/>
      <w:marTop w:val="0"/>
      <w:marBottom w:val="0"/>
      <w:divBdr>
        <w:top w:val="none" w:sz="0" w:space="0" w:color="auto"/>
        <w:left w:val="none" w:sz="0" w:space="0" w:color="auto"/>
        <w:bottom w:val="none" w:sz="0" w:space="0" w:color="auto"/>
        <w:right w:val="none" w:sz="0" w:space="0" w:color="auto"/>
      </w:divBdr>
      <w:divsChild>
        <w:div w:id="581447604">
          <w:marLeft w:val="1166"/>
          <w:marRight w:val="0"/>
          <w:marTop w:val="0"/>
          <w:marBottom w:val="0"/>
          <w:divBdr>
            <w:top w:val="none" w:sz="0" w:space="0" w:color="auto"/>
            <w:left w:val="none" w:sz="0" w:space="0" w:color="auto"/>
            <w:bottom w:val="none" w:sz="0" w:space="0" w:color="auto"/>
            <w:right w:val="none" w:sz="0" w:space="0" w:color="auto"/>
          </w:divBdr>
        </w:div>
      </w:divsChild>
    </w:div>
    <w:div w:id="1573732891">
      <w:bodyDiv w:val="1"/>
      <w:marLeft w:val="0"/>
      <w:marRight w:val="0"/>
      <w:marTop w:val="0"/>
      <w:marBottom w:val="0"/>
      <w:divBdr>
        <w:top w:val="none" w:sz="0" w:space="0" w:color="auto"/>
        <w:left w:val="none" w:sz="0" w:space="0" w:color="auto"/>
        <w:bottom w:val="none" w:sz="0" w:space="0" w:color="auto"/>
        <w:right w:val="none" w:sz="0" w:space="0" w:color="auto"/>
      </w:divBdr>
      <w:divsChild>
        <w:div w:id="2136606266">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7849</Words>
  <Characters>44744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2023-06-06T18:35:00Z</dcterms:created>
  <dcterms:modified xsi:type="dcterms:W3CDTF">2023-06-06T18:35:00Z</dcterms:modified>
</cp:coreProperties>
</file>