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1F1" w:rsidRPr="00514F5A" w:rsidRDefault="009C5C46" w:rsidP="00514F5A">
      <w:pPr>
        <w:spacing w:after="0" w:line="240" w:lineRule="auto"/>
        <w:rPr>
          <w:rFonts w:ascii="Arial" w:eastAsiaTheme="minorEastAsia" w:hAnsi="Arial" w:cs="Arial"/>
          <w:b/>
          <w:sz w:val="20"/>
          <w:szCs w:val="20"/>
        </w:rPr>
      </w:pPr>
      <w:r w:rsidRPr="00514F5A">
        <w:rPr>
          <w:rFonts w:ascii="Arial" w:eastAsiaTheme="minorEastAsia" w:hAnsi="Arial" w:cs="Arial"/>
          <w:b/>
          <w:sz w:val="20"/>
          <w:szCs w:val="20"/>
        </w:rPr>
        <w:t xml:space="preserve">POLICY ASSESSMENT AND RECOMMENDATION </w:t>
      </w:r>
      <w:r w:rsidR="009C17C5" w:rsidRPr="00514F5A">
        <w:rPr>
          <w:rFonts w:ascii="Arial" w:eastAsiaTheme="minorEastAsia" w:hAnsi="Arial" w:cs="Arial"/>
          <w:b/>
          <w:sz w:val="20"/>
          <w:szCs w:val="20"/>
        </w:rPr>
        <w:t xml:space="preserve">REPORT OF THE SELECT COMMITTEE ON TRADE AND INDUSTRY, ECONOMIC DEVELOPMENT, SMALL BUSINESS DEVELOPMENT, TOURISM, EMPLOYMENT AND LABOUR ON BUDGET </w:t>
      </w:r>
      <w:r w:rsidR="006551F1" w:rsidRPr="00514F5A">
        <w:rPr>
          <w:rFonts w:ascii="Arial" w:eastAsiaTheme="minorEastAsia" w:hAnsi="Arial" w:cs="Arial"/>
          <w:b/>
          <w:sz w:val="20"/>
          <w:szCs w:val="20"/>
        </w:rPr>
        <w:t>VOTE</w:t>
      </w:r>
      <w:r w:rsidR="00535560" w:rsidRPr="00514F5A">
        <w:rPr>
          <w:rFonts w:ascii="Arial" w:eastAsiaTheme="minorEastAsia" w:hAnsi="Arial" w:cs="Arial"/>
          <w:b/>
          <w:sz w:val="20"/>
          <w:szCs w:val="20"/>
        </w:rPr>
        <w:t xml:space="preserve"> 31</w:t>
      </w:r>
      <w:r w:rsidR="006551F1" w:rsidRPr="00514F5A">
        <w:rPr>
          <w:rFonts w:ascii="Arial" w:eastAsiaTheme="minorEastAsia" w:hAnsi="Arial" w:cs="Arial"/>
          <w:b/>
          <w:sz w:val="20"/>
          <w:szCs w:val="20"/>
        </w:rPr>
        <w:t>:</w:t>
      </w:r>
      <w:r w:rsidR="009C17C5" w:rsidRPr="00514F5A">
        <w:rPr>
          <w:rFonts w:ascii="Arial" w:eastAsiaTheme="minorEastAsia" w:hAnsi="Arial" w:cs="Arial"/>
          <w:b/>
          <w:sz w:val="20"/>
          <w:szCs w:val="20"/>
        </w:rPr>
        <w:t xml:space="preserve"> </w:t>
      </w:r>
      <w:r w:rsidR="006551F1" w:rsidRPr="00514F5A">
        <w:rPr>
          <w:rFonts w:ascii="Arial" w:eastAsiaTheme="minorEastAsia" w:hAnsi="Arial" w:cs="Arial"/>
          <w:b/>
          <w:sz w:val="20"/>
          <w:szCs w:val="20"/>
        </w:rPr>
        <w:t xml:space="preserve">EMPLOYMENT AND </w:t>
      </w:r>
      <w:r w:rsidR="00377BAD" w:rsidRPr="00514F5A">
        <w:rPr>
          <w:rFonts w:ascii="Arial" w:eastAsiaTheme="minorEastAsia" w:hAnsi="Arial" w:cs="Arial"/>
          <w:b/>
          <w:sz w:val="20"/>
          <w:szCs w:val="20"/>
        </w:rPr>
        <w:t>LABOUR, 23 MAY 2023.</w:t>
      </w:r>
    </w:p>
    <w:p w:rsidR="00342DC1" w:rsidRPr="00514F5A" w:rsidRDefault="00342DC1" w:rsidP="00514F5A">
      <w:pPr>
        <w:spacing w:after="0" w:line="240" w:lineRule="auto"/>
        <w:rPr>
          <w:rFonts w:ascii="Arial" w:eastAsiaTheme="minorEastAsia" w:hAnsi="Arial" w:cs="Arial"/>
          <w:b/>
          <w:sz w:val="20"/>
          <w:szCs w:val="20"/>
        </w:rPr>
      </w:pPr>
    </w:p>
    <w:p w:rsidR="00D5513A" w:rsidRPr="00514F5A" w:rsidRDefault="00D5513A" w:rsidP="00514F5A">
      <w:pPr>
        <w:spacing w:after="0" w:line="240" w:lineRule="auto"/>
        <w:rPr>
          <w:rFonts w:ascii="Arial" w:hAnsi="Arial" w:cs="Arial"/>
          <w:sz w:val="20"/>
          <w:szCs w:val="20"/>
        </w:rPr>
      </w:pPr>
      <w:r w:rsidRPr="00514F5A">
        <w:rPr>
          <w:rFonts w:ascii="Arial" w:hAnsi="Arial" w:cs="Arial"/>
          <w:sz w:val="20"/>
          <w:szCs w:val="20"/>
        </w:rPr>
        <w:t xml:space="preserve">The Select Committee on Trade and Industry, Economic Development, Small Business Development, Tourism, Employment and Labour, having considered the budgets of the </w:t>
      </w:r>
      <w:r w:rsidR="004934C4" w:rsidRPr="00514F5A">
        <w:rPr>
          <w:rFonts w:ascii="Arial" w:hAnsi="Arial" w:cs="Arial"/>
          <w:sz w:val="20"/>
          <w:szCs w:val="20"/>
        </w:rPr>
        <w:t>Department</w:t>
      </w:r>
      <w:r w:rsidR="007B0A51" w:rsidRPr="00514F5A">
        <w:rPr>
          <w:rFonts w:ascii="Arial" w:hAnsi="Arial" w:cs="Arial"/>
          <w:i/>
          <w:sz w:val="20"/>
          <w:szCs w:val="20"/>
        </w:rPr>
        <w:t xml:space="preserve"> Strategic</w:t>
      </w:r>
      <w:r w:rsidRPr="00514F5A">
        <w:rPr>
          <w:rFonts w:ascii="Arial" w:hAnsi="Arial" w:cs="Arial"/>
          <w:i/>
          <w:sz w:val="20"/>
          <w:szCs w:val="20"/>
        </w:rPr>
        <w:t xml:space="preserve"> Plans and </w:t>
      </w:r>
      <w:r w:rsidR="00162717" w:rsidRPr="00514F5A">
        <w:rPr>
          <w:rFonts w:ascii="Arial" w:hAnsi="Arial" w:cs="Arial"/>
          <w:i/>
          <w:sz w:val="20"/>
          <w:szCs w:val="20"/>
        </w:rPr>
        <w:t>the 2023/24</w:t>
      </w:r>
      <w:r w:rsidR="00EC1EE4" w:rsidRPr="00514F5A">
        <w:rPr>
          <w:rFonts w:ascii="Arial" w:hAnsi="Arial" w:cs="Arial"/>
          <w:i/>
          <w:sz w:val="20"/>
          <w:szCs w:val="20"/>
        </w:rPr>
        <w:t xml:space="preserve"> </w:t>
      </w:r>
      <w:r w:rsidRPr="00514F5A">
        <w:rPr>
          <w:rFonts w:ascii="Arial" w:hAnsi="Arial" w:cs="Arial"/>
          <w:i/>
          <w:sz w:val="20"/>
          <w:szCs w:val="20"/>
        </w:rPr>
        <w:t xml:space="preserve">Annual Performance Plans </w:t>
      </w:r>
      <w:r w:rsidRPr="00514F5A">
        <w:rPr>
          <w:rFonts w:ascii="Arial" w:hAnsi="Arial" w:cs="Arial"/>
          <w:sz w:val="20"/>
          <w:szCs w:val="20"/>
        </w:rPr>
        <w:t>which were</w:t>
      </w:r>
      <w:r w:rsidR="00FE4C9C" w:rsidRPr="00514F5A">
        <w:rPr>
          <w:rFonts w:ascii="Arial" w:hAnsi="Arial" w:cs="Arial"/>
          <w:sz w:val="20"/>
          <w:szCs w:val="20"/>
        </w:rPr>
        <w:t xml:space="preserve"> presented on 25 April 2023</w:t>
      </w:r>
      <w:r w:rsidRPr="00514F5A">
        <w:rPr>
          <w:rFonts w:ascii="Arial" w:hAnsi="Arial" w:cs="Arial"/>
          <w:sz w:val="20"/>
          <w:szCs w:val="20"/>
        </w:rPr>
        <w:t>, reports as follows:</w:t>
      </w:r>
    </w:p>
    <w:p w:rsidR="00925E76" w:rsidRPr="00514F5A" w:rsidRDefault="00925E76" w:rsidP="00514F5A">
      <w:pPr>
        <w:pStyle w:val="ListParagraph"/>
        <w:numPr>
          <w:ilvl w:val="0"/>
          <w:numId w:val="2"/>
        </w:numPr>
        <w:spacing w:after="0" w:line="240" w:lineRule="auto"/>
        <w:rPr>
          <w:rFonts w:ascii="Arial" w:eastAsiaTheme="minorEastAsia" w:hAnsi="Arial" w:cs="Arial"/>
          <w:b/>
          <w:sz w:val="20"/>
          <w:szCs w:val="20"/>
        </w:rPr>
      </w:pPr>
      <w:r w:rsidRPr="00514F5A">
        <w:rPr>
          <w:rFonts w:ascii="Arial" w:eastAsiaTheme="minorEastAsia" w:hAnsi="Arial" w:cs="Arial"/>
          <w:b/>
          <w:sz w:val="20"/>
          <w:szCs w:val="20"/>
        </w:rPr>
        <w:t xml:space="preserve">Introduction </w:t>
      </w:r>
    </w:p>
    <w:p w:rsidR="00FE4C9C" w:rsidRPr="00514F5A" w:rsidRDefault="00FE4C9C" w:rsidP="00514F5A">
      <w:pPr>
        <w:spacing w:after="0" w:line="240" w:lineRule="auto"/>
        <w:rPr>
          <w:rFonts w:ascii="Arial" w:eastAsiaTheme="minorEastAsia" w:hAnsi="Arial" w:cs="Arial"/>
          <w:sz w:val="20"/>
          <w:szCs w:val="20"/>
        </w:rPr>
      </w:pPr>
    </w:p>
    <w:p w:rsidR="00BE1F82" w:rsidRPr="00514F5A" w:rsidRDefault="00BE1F82" w:rsidP="00514F5A">
      <w:pPr>
        <w:spacing w:after="0" w:line="240" w:lineRule="auto"/>
        <w:rPr>
          <w:rFonts w:ascii="Arial" w:eastAsiaTheme="minorEastAsia" w:hAnsi="Arial" w:cs="Arial"/>
          <w:sz w:val="20"/>
          <w:szCs w:val="20"/>
        </w:rPr>
      </w:pPr>
      <w:r w:rsidRPr="00514F5A">
        <w:rPr>
          <w:rFonts w:ascii="Arial" w:eastAsiaTheme="minorEastAsia" w:hAnsi="Arial" w:cs="Arial"/>
          <w:sz w:val="20"/>
          <w:szCs w:val="20"/>
        </w:rPr>
        <w:t xml:space="preserve">Unemployment, </w:t>
      </w:r>
      <w:r w:rsidR="006F521B" w:rsidRPr="00514F5A">
        <w:rPr>
          <w:rFonts w:ascii="Arial" w:eastAsiaTheme="minorEastAsia" w:hAnsi="Arial" w:cs="Arial"/>
          <w:sz w:val="20"/>
          <w:szCs w:val="20"/>
        </w:rPr>
        <w:t>i</w:t>
      </w:r>
      <w:r w:rsidRPr="00514F5A">
        <w:rPr>
          <w:rFonts w:ascii="Arial" w:eastAsiaTheme="minorEastAsia" w:hAnsi="Arial" w:cs="Arial"/>
          <w:sz w:val="20"/>
          <w:szCs w:val="20"/>
        </w:rPr>
        <w:t>nequality and poverty remain key risks that need to be addressed</w:t>
      </w:r>
      <w:r w:rsidR="006F521B" w:rsidRPr="00514F5A">
        <w:rPr>
          <w:rFonts w:ascii="Arial" w:eastAsiaTheme="minorEastAsia" w:hAnsi="Arial" w:cs="Arial"/>
          <w:sz w:val="20"/>
          <w:szCs w:val="20"/>
        </w:rPr>
        <w:t>, as it is noted that y</w:t>
      </w:r>
      <w:r w:rsidRPr="00514F5A">
        <w:rPr>
          <w:rFonts w:ascii="Arial" w:eastAsiaTheme="minorEastAsia" w:hAnsi="Arial" w:cs="Arial"/>
          <w:sz w:val="20"/>
          <w:szCs w:val="20"/>
        </w:rPr>
        <w:t>oung people and women</w:t>
      </w:r>
      <w:r w:rsidR="006F521B" w:rsidRPr="00514F5A">
        <w:rPr>
          <w:rFonts w:ascii="Arial" w:eastAsiaTheme="minorEastAsia" w:hAnsi="Arial" w:cs="Arial"/>
          <w:sz w:val="20"/>
          <w:szCs w:val="20"/>
        </w:rPr>
        <w:t>,</w:t>
      </w:r>
      <w:r w:rsidRPr="00514F5A">
        <w:rPr>
          <w:rFonts w:ascii="Arial" w:eastAsiaTheme="minorEastAsia" w:hAnsi="Arial" w:cs="Arial"/>
          <w:sz w:val="20"/>
          <w:szCs w:val="20"/>
        </w:rPr>
        <w:t xml:space="preserve"> including people with disabilities</w:t>
      </w:r>
      <w:r w:rsidR="006F521B" w:rsidRPr="00514F5A">
        <w:rPr>
          <w:rFonts w:ascii="Arial" w:eastAsiaTheme="minorEastAsia" w:hAnsi="Arial" w:cs="Arial"/>
          <w:sz w:val="20"/>
          <w:szCs w:val="20"/>
        </w:rPr>
        <w:t>,</w:t>
      </w:r>
      <w:r w:rsidRPr="00514F5A">
        <w:rPr>
          <w:rFonts w:ascii="Arial" w:eastAsiaTheme="minorEastAsia" w:hAnsi="Arial" w:cs="Arial"/>
          <w:sz w:val="20"/>
          <w:szCs w:val="20"/>
        </w:rPr>
        <w:t xml:space="preserve"> are the </w:t>
      </w:r>
      <w:r w:rsidR="006F521B" w:rsidRPr="00514F5A">
        <w:rPr>
          <w:rFonts w:ascii="Arial" w:eastAsiaTheme="minorEastAsia" w:hAnsi="Arial" w:cs="Arial"/>
          <w:sz w:val="20"/>
          <w:szCs w:val="20"/>
        </w:rPr>
        <w:t xml:space="preserve">groups most </w:t>
      </w:r>
      <w:r w:rsidRPr="00514F5A">
        <w:rPr>
          <w:rFonts w:ascii="Arial" w:eastAsiaTheme="minorEastAsia" w:hAnsi="Arial" w:cs="Arial"/>
          <w:sz w:val="20"/>
          <w:szCs w:val="20"/>
        </w:rPr>
        <w:t xml:space="preserve">at risk. The National Development Plan (NDP) recognises job creation as a key driver for accelerated growth and a higher standard of living. The NDP has certain targets, including a reduction in the unemployment rate to 14 per cent by 2020 and 6 per cent by 2030. There is a correlation between low economic growth rate experienced by the South African economy and high level of unemployment.  </w:t>
      </w:r>
    </w:p>
    <w:p w:rsidR="00BE1F82" w:rsidRPr="00514F5A" w:rsidRDefault="00BE1F82" w:rsidP="00514F5A">
      <w:pPr>
        <w:spacing w:after="0" w:line="240" w:lineRule="auto"/>
        <w:rPr>
          <w:rFonts w:ascii="Arial" w:eastAsiaTheme="minorEastAsia" w:hAnsi="Arial" w:cs="Arial"/>
          <w:sz w:val="20"/>
          <w:szCs w:val="20"/>
        </w:rPr>
      </w:pPr>
    </w:p>
    <w:p w:rsidR="00BE1F82" w:rsidRPr="00514F5A" w:rsidRDefault="00BE1F82" w:rsidP="00514F5A">
      <w:pPr>
        <w:spacing w:after="0" w:line="240" w:lineRule="auto"/>
        <w:rPr>
          <w:rFonts w:ascii="Arial" w:eastAsiaTheme="minorEastAsia" w:hAnsi="Arial" w:cs="Arial"/>
          <w:sz w:val="20"/>
          <w:szCs w:val="20"/>
        </w:rPr>
      </w:pPr>
      <w:r w:rsidRPr="00514F5A">
        <w:rPr>
          <w:rFonts w:ascii="Arial" w:eastAsiaTheme="minorEastAsia" w:hAnsi="Arial" w:cs="Arial"/>
          <w:sz w:val="20"/>
          <w:szCs w:val="20"/>
        </w:rPr>
        <w:t xml:space="preserve">As noted by various government strategy policy documents including reports by global institutions such as IMF, OECD, </w:t>
      </w:r>
      <w:r w:rsidR="006F521B" w:rsidRPr="00514F5A">
        <w:rPr>
          <w:rFonts w:ascii="Arial" w:eastAsiaTheme="minorEastAsia" w:hAnsi="Arial" w:cs="Arial"/>
          <w:sz w:val="20"/>
          <w:szCs w:val="20"/>
        </w:rPr>
        <w:t xml:space="preserve">as well as </w:t>
      </w:r>
      <w:r w:rsidRPr="00514F5A">
        <w:rPr>
          <w:rFonts w:ascii="Arial" w:eastAsiaTheme="minorEastAsia" w:hAnsi="Arial" w:cs="Arial"/>
          <w:sz w:val="20"/>
          <w:szCs w:val="20"/>
        </w:rPr>
        <w:t>South Africa’s Central Bank, South Africa entered the Covid-19 phase with pre-existing economic and social risk</w:t>
      </w:r>
      <w:r w:rsidR="00716925" w:rsidRPr="00514F5A">
        <w:rPr>
          <w:rFonts w:ascii="Arial" w:eastAsiaTheme="minorEastAsia" w:hAnsi="Arial" w:cs="Arial"/>
          <w:sz w:val="20"/>
          <w:szCs w:val="20"/>
        </w:rPr>
        <w:t>s</w:t>
      </w:r>
      <w:r w:rsidRPr="00514F5A">
        <w:rPr>
          <w:rFonts w:ascii="Arial" w:eastAsiaTheme="minorEastAsia" w:hAnsi="Arial" w:cs="Arial"/>
          <w:sz w:val="20"/>
          <w:szCs w:val="20"/>
        </w:rPr>
        <w:t xml:space="preserve">, such as low economic growth, low investment, high budget deficit, and high debt-to-GDP ratio. </w:t>
      </w:r>
    </w:p>
    <w:p w:rsidR="00BE1F82" w:rsidRPr="00514F5A" w:rsidRDefault="00BE1F82" w:rsidP="00514F5A">
      <w:pPr>
        <w:spacing w:after="0" w:line="240" w:lineRule="auto"/>
        <w:rPr>
          <w:rFonts w:ascii="Arial" w:eastAsiaTheme="minorEastAsia" w:hAnsi="Arial" w:cs="Arial"/>
          <w:sz w:val="20"/>
          <w:szCs w:val="20"/>
        </w:rPr>
      </w:pPr>
    </w:p>
    <w:p w:rsidR="00A86250" w:rsidRPr="00514F5A" w:rsidRDefault="00850216" w:rsidP="00514F5A">
      <w:pPr>
        <w:spacing w:after="0" w:line="240" w:lineRule="auto"/>
        <w:rPr>
          <w:rFonts w:ascii="Arial" w:eastAsiaTheme="minorEastAsia" w:hAnsi="Arial" w:cs="Arial"/>
          <w:sz w:val="20"/>
          <w:szCs w:val="20"/>
        </w:rPr>
      </w:pPr>
      <w:r w:rsidRPr="00514F5A">
        <w:rPr>
          <w:rFonts w:ascii="Arial" w:eastAsiaTheme="minorEastAsia" w:hAnsi="Arial" w:cs="Arial"/>
          <w:sz w:val="20"/>
          <w:szCs w:val="20"/>
        </w:rPr>
        <w:t xml:space="preserve">In 2022, the Financial Fiscal Commission highlighted that to realise some of the </w:t>
      </w:r>
      <w:r w:rsidR="00BE1F82" w:rsidRPr="00514F5A">
        <w:rPr>
          <w:rFonts w:ascii="Arial" w:eastAsiaTheme="minorEastAsia" w:hAnsi="Arial" w:cs="Arial"/>
          <w:sz w:val="20"/>
          <w:szCs w:val="20"/>
        </w:rPr>
        <w:t>NDP</w:t>
      </w:r>
      <w:r w:rsidRPr="00514F5A">
        <w:rPr>
          <w:rFonts w:ascii="Arial" w:eastAsiaTheme="minorEastAsia" w:hAnsi="Arial" w:cs="Arial"/>
          <w:sz w:val="20"/>
          <w:szCs w:val="20"/>
        </w:rPr>
        <w:t xml:space="preserve">’s goals, </w:t>
      </w:r>
      <w:r w:rsidR="00BE1F82" w:rsidRPr="00514F5A">
        <w:rPr>
          <w:rFonts w:ascii="Arial" w:eastAsiaTheme="minorEastAsia" w:hAnsi="Arial" w:cs="Arial"/>
          <w:sz w:val="20"/>
          <w:szCs w:val="20"/>
        </w:rPr>
        <w:t xml:space="preserve">workforce capabilities </w:t>
      </w:r>
      <w:r w:rsidRPr="00514F5A">
        <w:rPr>
          <w:rFonts w:ascii="Arial" w:eastAsiaTheme="minorEastAsia" w:hAnsi="Arial" w:cs="Arial"/>
          <w:sz w:val="20"/>
          <w:szCs w:val="20"/>
        </w:rPr>
        <w:t xml:space="preserve">need to </w:t>
      </w:r>
      <w:r w:rsidR="00BE1F82" w:rsidRPr="00514F5A">
        <w:rPr>
          <w:rFonts w:ascii="Arial" w:eastAsiaTheme="minorEastAsia" w:hAnsi="Arial" w:cs="Arial"/>
          <w:sz w:val="20"/>
          <w:szCs w:val="20"/>
        </w:rPr>
        <w:t xml:space="preserve">improve, bargaining and labour relations should be stabilised, a move away from resource-intensive to more energy-efficient labour-absorptive industries should be promoted and </w:t>
      </w:r>
      <w:r w:rsidRPr="00514F5A">
        <w:rPr>
          <w:rFonts w:ascii="Arial" w:eastAsiaTheme="minorEastAsia" w:hAnsi="Arial" w:cs="Arial"/>
          <w:sz w:val="20"/>
          <w:szCs w:val="20"/>
        </w:rPr>
        <w:t xml:space="preserve">industries </w:t>
      </w:r>
      <w:r w:rsidR="00BE1F82" w:rsidRPr="00514F5A">
        <w:rPr>
          <w:rFonts w:ascii="Arial" w:eastAsiaTheme="minorEastAsia" w:hAnsi="Arial" w:cs="Arial"/>
          <w:sz w:val="20"/>
          <w:szCs w:val="20"/>
        </w:rPr>
        <w:t>with high potential for job creation should be supported.</w:t>
      </w:r>
      <w:r w:rsidRPr="00514F5A">
        <w:rPr>
          <w:rFonts w:ascii="Arial" w:eastAsiaTheme="minorEastAsia" w:hAnsi="Arial" w:cs="Arial"/>
          <w:sz w:val="20"/>
          <w:szCs w:val="20"/>
        </w:rPr>
        <w:t xml:space="preserve"> The 2023 Budget </w:t>
      </w:r>
      <w:r w:rsidR="00716925" w:rsidRPr="00514F5A">
        <w:rPr>
          <w:rFonts w:ascii="Arial" w:eastAsiaTheme="minorEastAsia" w:hAnsi="Arial" w:cs="Arial"/>
          <w:sz w:val="20"/>
          <w:szCs w:val="20"/>
        </w:rPr>
        <w:t>Review</w:t>
      </w:r>
      <w:r w:rsidRPr="00514F5A">
        <w:rPr>
          <w:rFonts w:ascii="Arial" w:eastAsiaTheme="minorEastAsia" w:hAnsi="Arial" w:cs="Arial"/>
          <w:sz w:val="20"/>
          <w:szCs w:val="20"/>
        </w:rPr>
        <w:t xml:space="preserve"> highlighted that t</w:t>
      </w:r>
      <w:r w:rsidR="00A86250" w:rsidRPr="00514F5A">
        <w:rPr>
          <w:rFonts w:ascii="Arial" w:eastAsiaTheme="minorEastAsia" w:hAnsi="Arial" w:cs="Arial"/>
          <w:sz w:val="20"/>
          <w:szCs w:val="20"/>
        </w:rPr>
        <w:t xml:space="preserve">he inadequate supply of electricity remains the most significant constraint to production, investment, and employment. In addition, disruptions to and underinvestment in freight and logistics networks are eroding competitiveness. Rising inflation has also put a strain on household spending and increased the cost of living. Furthermore, global growth is expected to slow down in 2023, and central banks are responding to high inflation through increased interest rates. To address unemployment and poverty, South Africa needs much higher </w:t>
      </w:r>
      <w:r w:rsidR="00716925" w:rsidRPr="00514F5A">
        <w:rPr>
          <w:rFonts w:ascii="Arial" w:eastAsiaTheme="minorEastAsia" w:hAnsi="Arial" w:cs="Arial"/>
          <w:sz w:val="20"/>
          <w:szCs w:val="20"/>
        </w:rPr>
        <w:t xml:space="preserve">economic </w:t>
      </w:r>
      <w:r w:rsidR="00A86250" w:rsidRPr="00514F5A">
        <w:rPr>
          <w:rFonts w:ascii="Arial" w:eastAsiaTheme="minorEastAsia" w:hAnsi="Arial" w:cs="Arial"/>
          <w:sz w:val="20"/>
          <w:szCs w:val="20"/>
        </w:rPr>
        <w:t>growth, which requires a continued commitment to a macroeconomic framework that encourages investment, accelerated progress on reforms, and improved state capability.</w:t>
      </w:r>
    </w:p>
    <w:p w:rsidR="00A86250" w:rsidRPr="00514F5A" w:rsidRDefault="00A86250" w:rsidP="00514F5A">
      <w:pPr>
        <w:spacing w:after="0" w:line="240" w:lineRule="auto"/>
        <w:rPr>
          <w:rFonts w:ascii="Arial" w:eastAsiaTheme="minorEastAsia" w:hAnsi="Arial" w:cs="Arial"/>
          <w:sz w:val="20"/>
          <w:szCs w:val="20"/>
        </w:rPr>
      </w:pPr>
    </w:p>
    <w:p w:rsidR="00A86250" w:rsidRPr="00514F5A" w:rsidRDefault="00A86250" w:rsidP="00514F5A">
      <w:pPr>
        <w:spacing w:after="0" w:line="240" w:lineRule="auto"/>
        <w:rPr>
          <w:rFonts w:ascii="Arial" w:eastAsiaTheme="minorEastAsia" w:hAnsi="Arial" w:cs="Arial"/>
          <w:sz w:val="20"/>
          <w:szCs w:val="20"/>
        </w:rPr>
      </w:pPr>
      <w:r w:rsidRPr="00514F5A">
        <w:rPr>
          <w:rFonts w:ascii="Arial" w:eastAsiaTheme="minorEastAsia" w:hAnsi="Arial" w:cs="Arial"/>
          <w:sz w:val="20"/>
          <w:szCs w:val="20"/>
        </w:rPr>
        <w:t xml:space="preserve">In view of this global economic background, the </w:t>
      </w:r>
      <w:r w:rsidR="004934C4" w:rsidRPr="00514F5A">
        <w:rPr>
          <w:rFonts w:ascii="Arial" w:eastAsiaTheme="minorEastAsia" w:hAnsi="Arial" w:cs="Arial"/>
          <w:sz w:val="20"/>
          <w:szCs w:val="20"/>
        </w:rPr>
        <w:t>Department</w:t>
      </w:r>
      <w:r w:rsidRPr="00514F5A">
        <w:rPr>
          <w:rFonts w:ascii="Arial" w:eastAsiaTheme="minorEastAsia" w:hAnsi="Arial" w:cs="Arial"/>
          <w:sz w:val="20"/>
          <w:szCs w:val="20"/>
        </w:rPr>
        <w:t xml:space="preserve"> has set a goal to eradicate poverty and decrease inequality in the medium term. To support and achieve this vision, the </w:t>
      </w:r>
      <w:r w:rsidR="004934C4" w:rsidRPr="00514F5A">
        <w:rPr>
          <w:rFonts w:ascii="Arial" w:eastAsiaTheme="minorEastAsia" w:hAnsi="Arial" w:cs="Arial"/>
          <w:sz w:val="20"/>
          <w:szCs w:val="20"/>
        </w:rPr>
        <w:t>Department</w:t>
      </w:r>
      <w:r w:rsidR="00716925" w:rsidRPr="00514F5A">
        <w:rPr>
          <w:rFonts w:ascii="Arial" w:eastAsiaTheme="minorEastAsia" w:hAnsi="Arial" w:cs="Arial"/>
          <w:sz w:val="20"/>
          <w:szCs w:val="20"/>
        </w:rPr>
        <w:t xml:space="preserve"> will prioritis</w:t>
      </w:r>
      <w:r w:rsidRPr="00514F5A">
        <w:rPr>
          <w:rFonts w:ascii="Arial" w:eastAsiaTheme="minorEastAsia" w:hAnsi="Arial" w:cs="Arial"/>
          <w:sz w:val="20"/>
          <w:szCs w:val="20"/>
        </w:rPr>
        <w:t>e efforts to improve safety and fairness in the workplace, provide assistance to job seekers, regulate workplaces, and participate in international collaborations like the BRICS</w:t>
      </w:r>
      <w:r w:rsidRPr="00514F5A">
        <w:rPr>
          <w:rFonts w:ascii="Arial" w:eastAsiaTheme="minorEastAsia" w:hAnsi="Arial" w:cs="Arial"/>
          <w:sz w:val="20"/>
          <w:szCs w:val="20"/>
          <w:vertAlign w:val="superscript"/>
        </w:rPr>
        <w:t xml:space="preserve"> </w:t>
      </w:r>
      <w:r w:rsidRPr="00514F5A">
        <w:rPr>
          <w:rFonts w:ascii="Arial" w:eastAsiaTheme="minorEastAsia" w:hAnsi="Arial" w:cs="Arial"/>
          <w:sz w:val="20"/>
          <w:szCs w:val="20"/>
        </w:rPr>
        <w:t>group of countries to influence the future of work and safeguard workers</w:t>
      </w:r>
      <w:r w:rsidR="006B31BE" w:rsidRPr="00514F5A">
        <w:rPr>
          <w:rFonts w:ascii="Arial" w:eastAsiaTheme="minorEastAsia" w:hAnsi="Arial" w:cs="Arial"/>
          <w:sz w:val="20"/>
          <w:szCs w:val="20"/>
        </w:rPr>
        <w:t>’</w:t>
      </w:r>
      <w:r w:rsidRPr="00514F5A">
        <w:rPr>
          <w:rFonts w:ascii="Arial" w:eastAsiaTheme="minorEastAsia" w:hAnsi="Arial" w:cs="Arial"/>
          <w:sz w:val="20"/>
          <w:szCs w:val="20"/>
        </w:rPr>
        <w:t xml:space="preserve"> rights. The </w:t>
      </w:r>
      <w:r w:rsidR="004934C4" w:rsidRPr="00514F5A">
        <w:rPr>
          <w:rFonts w:ascii="Arial" w:eastAsiaTheme="minorEastAsia" w:hAnsi="Arial" w:cs="Arial"/>
          <w:sz w:val="20"/>
          <w:szCs w:val="20"/>
        </w:rPr>
        <w:t>Department</w:t>
      </w:r>
      <w:r w:rsidRPr="00514F5A">
        <w:rPr>
          <w:rFonts w:ascii="Arial" w:eastAsiaTheme="minorEastAsia" w:hAnsi="Arial" w:cs="Arial"/>
          <w:sz w:val="20"/>
          <w:szCs w:val="20"/>
        </w:rPr>
        <w:t xml:space="preserve"> has been allocated a budget of R12.1 billion for the upcoming period, which includes R96.9 million for cost-of-living adjustments. To support the additional mandate (employment component) of the </w:t>
      </w:r>
      <w:r w:rsidR="004934C4" w:rsidRPr="00514F5A">
        <w:rPr>
          <w:rFonts w:ascii="Arial" w:eastAsiaTheme="minorEastAsia" w:hAnsi="Arial" w:cs="Arial"/>
          <w:sz w:val="20"/>
          <w:szCs w:val="20"/>
        </w:rPr>
        <w:t>Department</w:t>
      </w:r>
      <w:r w:rsidRPr="00514F5A">
        <w:rPr>
          <w:rFonts w:ascii="Arial" w:eastAsiaTheme="minorEastAsia" w:hAnsi="Arial" w:cs="Arial"/>
          <w:sz w:val="20"/>
          <w:szCs w:val="20"/>
        </w:rPr>
        <w:t xml:space="preserve">, in the upcoming fiscal year of 2023/24, the </w:t>
      </w:r>
      <w:r w:rsidR="004934C4" w:rsidRPr="00514F5A">
        <w:rPr>
          <w:rFonts w:ascii="Arial" w:eastAsiaTheme="minorEastAsia" w:hAnsi="Arial" w:cs="Arial"/>
          <w:sz w:val="20"/>
          <w:szCs w:val="20"/>
        </w:rPr>
        <w:t>Department</w:t>
      </w:r>
      <w:r w:rsidRPr="00514F5A">
        <w:rPr>
          <w:rFonts w:ascii="Arial" w:eastAsiaTheme="minorEastAsia" w:hAnsi="Arial" w:cs="Arial"/>
          <w:sz w:val="20"/>
          <w:szCs w:val="20"/>
        </w:rPr>
        <w:t xml:space="preserve"> will be granted R372.2 million to sustain the pathway management network, a presidential employment initiative. The network's primary objective is to generate employment prospects, promote easier entry to suitable education and training programs, help young individuals make informed decisions regarding learning and employment opportunities, and pinpoint the hindrances to accessing the job market.</w:t>
      </w:r>
      <w:r w:rsidR="00D85B5B" w:rsidRPr="00514F5A">
        <w:rPr>
          <w:rFonts w:ascii="Arial" w:eastAsiaTheme="minorEastAsia" w:hAnsi="Arial" w:cs="Arial"/>
          <w:sz w:val="20"/>
          <w:szCs w:val="20"/>
        </w:rPr>
        <w:t xml:space="preserve"> </w:t>
      </w:r>
    </w:p>
    <w:p w:rsidR="00A86250" w:rsidRPr="00514F5A" w:rsidRDefault="00A86250" w:rsidP="00514F5A">
      <w:pPr>
        <w:spacing w:after="0" w:line="240" w:lineRule="auto"/>
        <w:rPr>
          <w:rFonts w:ascii="Arial" w:eastAsiaTheme="minorEastAsia" w:hAnsi="Arial" w:cs="Arial"/>
          <w:sz w:val="20"/>
          <w:szCs w:val="20"/>
          <w:lang w:val="en-GB"/>
        </w:rPr>
      </w:pPr>
    </w:p>
    <w:p w:rsidR="00A4607A" w:rsidRPr="00514F5A" w:rsidRDefault="00377329" w:rsidP="00514F5A">
      <w:pPr>
        <w:pStyle w:val="ListParagraph"/>
        <w:numPr>
          <w:ilvl w:val="0"/>
          <w:numId w:val="2"/>
        </w:numPr>
        <w:spacing w:after="0" w:line="240" w:lineRule="auto"/>
        <w:rPr>
          <w:rFonts w:ascii="Arial" w:eastAsiaTheme="minorEastAsia" w:hAnsi="Arial" w:cs="Arial"/>
          <w:b/>
          <w:sz w:val="20"/>
          <w:szCs w:val="20"/>
        </w:rPr>
      </w:pPr>
      <w:r w:rsidRPr="00514F5A">
        <w:rPr>
          <w:rFonts w:ascii="Arial" w:eastAsiaTheme="minorEastAsia" w:hAnsi="Arial" w:cs="Arial"/>
          <w:b/>
          <w:sz w:val="20"/>
          <w:szCs w:val="20"/>
        </w:rPr>
        <w:t xml:space="preserve">Governance and </w:t>
      </w:r>
      <w:r w:rsidR="0082797F" w:rsidRPr="00514F5A">
        <w:rPr>
          <w:rFonts w:ascii="Arial" w:eastAsiaTheme="minorEastAsia" w:hAnsi="Arial" w:cs="Arial"/>
          <w:b/>
          <w:sz w:val="20"/>
          <w:szCs w:val="20"/>
        </w:rPr>
        <w:t>S</w:t>
      </w:r>
      <w:r w:rsidRPr="00514F5A">
        <w:rPr>
          <w:rFonts w:ascii="Arial" w:eastAsiaTheme="minorEastAsia" w:hAnsi="Arial" w:cs="Arial"/>
          <w:b/>
          <w:sz w:val="20"/>
          <w:szCs w:val="20"/>
        </w:rPr>
        <w:t xml:space="preserve">pending </w:t>
      </w:r>
    </w:p>
    <w:p w:rsidR="00716925" w:rsidRPr="00514F5A" w:rsidRDefault="00716925" w:rsidP="00514F5A">
      <w:pPr>
        <w:spacing w:after="0" w:line="240" w:lineRule="auto"/>
        <w:rPr>
          <w:rFonts w:ascii="Arial" w:eastAsia="Calibri" w:hAnsi="Arial" w:cs="Arial"/>
          <w:sz w:val="20"/>
          <w:szCs w:val="20"/>
        </w:rPr>
      </w:pPr>
    </w:p>
    <w:p w:rsidR="00850216" w:rsidRPr="00514F5A" w:rsidRDefault="00A4607A" w:rsidP="00514F5A">
      <w:pPr>
        <w:spacing w:after="0" w:line="240" w:lineRule="auto"/>
        <w:rPr>
          <w:rFonts w:ascii="Arial" w:eastAsia="Calibri" w:hAnsi="Arial" w:cs="Arial"/>
          <w:sz w:val="20"/>
          <w:szCs w:val="20"/>
        </w:rPr>
      </w:pPr>
      <w:r w:rsidRPr="00514F5A">
        <w:rPr>
          <w:rFonts w:ascii="Arial" w:eastAsia="Calibri" w:hAnsi="Arial" w:cs="Arial"/>
          <w:sz w:val="20"/>
          <w:szCs w:val="20"/>
        </w:rPr>
        <w:t xml:space="preserve">The </w:t>
      </w:r>
      <w:r w:rsidR="004934C4" w:rsidRPr="00514F5A">
        <w:rPr>
          <w:rFonts w:ascii="Arial" w:eastAsia="Calibri" w:hAnsi="Arial" w:cs="Arial"/>
          <w:sz w:val="20"/>
          <w:szCs w:val="20"/>
        </w:rPr>
        <w:t>Department</w:t>
      </w:r>
      <w:r w:rsidRPr="00514F5A">
        <w:rPr>
          <w:rFonts w:ascii="Arial" w:eastAsia="Calibri" w:hAnsi="Arial" w:cs="Arial"/>
          <w:sz w:val="20"/>
          <w:szCs w:val="20"/>
        </w:rPr>
        <w:t xml:space="preserve"> administers the following </w:t>
      </w:r>
      <w:r w:rsidR="00716925" w:rsidRPr="00514F5A">
        <w:rPr>
          <w:rFonts w:ascii="Arial" w:eastAsia="Calibri" w:hAnsi="Arial" w:cs="Arial"/>
          <w:sz w:val="20"/>
          <w:szCs w:val="20"/>
        </w:rPr>
        <w:t xml:space="preserve">pieces of </w:t>
      </w:r>
      <w:r w:rsidRPr="00514F5A">
        <w:rPr>
          <w:rFonts w:ascii="Arial" w:eastAsia="Calibri" w:hAnsi="Arial" w:cs="Arial"/>
          <w:sz w:val="20"/>
          <w:szCs w:val="20"/>
        </w:rPr>
        <w:t>legislation</w:t>
      </w:r>
      <w:r w:rsidR="00396D50" w:rsidRPr="00514F5A">
        <w:rPr>
          <w:rFonts w:ascii="Arial" w:eastAsia="Calibri" w:hAnsi="Arial" w:cs="Arial"/>
          <w:sz w:val="20"/>
          <w:szCs w:val="20"/>
        </w:rPr>
        <w:t>:</w:t>
      </w:r>
    </w:p>
    <w:p w:rsidR="00716925" w:rsidRPr="00514F5A" w:rsidRDefault="00716925" w:rsidP="00514F5A">
      <w:pPr>
        <w:spacing w:after="0" w:line="240" w:lineRule="auto"/>
        <w:rPr>
          <w:rFonts w:ascii="Arial" w:eastAsia="Calibri" w:hAnsi="Arial" w:cs="Arial"/>
          <w:sz w:val="20"/>
          <w:szCs w:val="20"/>
        </w:rPr>
      </w:pPr>
    </w:p>
    <w:p w:rsidR="001D1359" w:rsidRPr="00514F5A" w:rsidRDefault="00396D50" w:rsidP="00514F5A">
      <w:pPr>
        <w:pStyle w:val="ListParagraph"/>
        <w:numPr>
          <w:ilvl w:val="0"/>
          <w:numId w:val="1"/>
        </w:numPr>
        <w:spacing w:after="0" w:line="240" w:lineRule="auto"/>
        <w:contextualSpacing w:val="0"/>
        <w:rPr>
          <w:rFonts w:ascii="Arial" w:eastAsia="Calibri" w:hAnsi="Arial" w:cs="Arial"/>
          <w:sz w:val="20"/>
          <w:szCs w:val="20"/>
        </w:rPr>
      </w:pPr>
      <w:r w:rsidRPr="00514F5A">
        <w:rPr>
          <w:rFonts w:ascii="Arial" w:eastAsia="Calibri" w:hAnsi="Arial" w:cs="Arial"/>
          <w:sz w:val="20"/>
          <w:szCs w:val="20"/>
        </w:rPr>
        <w:t xml:space="preserve"> </w:t>
      </w:r>
      <w:r w:rsidR="001D1359" w:rsidRPr="00514F5A">
        <w:rPr>
          <w:rFonts w:ascii="Arial" w:eastAsia="Calibri" w:hAnsi="Arial" w:cs="Arial"/>
          <w:sz w:val="20"/>
          <w:szCs w:val="20"/>
        </w:rPr>
        <w:t>Labour Relations Act, 66 of 1995 (LRA, as amended;</w:t>
      </w:r>
    </w:p>
    <w:p w:rsidR="001D1359" w:rsidRPr="00514F5A" w:rsidRDefault="001D1359" w:rsidP="00514F5A">
      <w:pPr>
        <w:pStyle w:val="ListParagraph"/>
        <w:numPr>
          <w:ilvl w:val="0"/>
          <w:numId w:val="1"/>
        </w:numPr>
        <w:spacing w:after="0" w:line="240" w:lineRule="auto"/>
        <w:contextualSpacing w:val="0"/>
        <w:rPr>
          <w:rFonts w:ascii="Arial" w:eastAsia="Calibri" w:hAnsi="Arial" w:cs="Arial"/>
          <w:sz w:val="20"/>
          <w:szCs w:val="20"/>
        </w:rPr>
      </w:pPr>
      <w:r w:rsidRPr="00514F5A">
        <w:rPr>
          <w:rFonts w:ascii="Arial" w:eastAsia="Calibri" w:hAnsi="Arial" w:cs="Arial"/>
          <w:sz w:val="20"/>
          <w:szCs w:val="20"/>
        </w:rPr>
        <w:t>Basic Conditions of Employment Act, 75 of 1997 (BCEA), as amended;</w:t>
      </w:r>
    </w:p>
    <w:p w:rsidR="001D1359" w:rsidRPr="00514F5A" w:rsidRDefault="001D1359" w:rsidP="00514F5A">
      <w:pPr>
        <w:pStyle w:val="ListParagraph"/>
        <w:numPr>
          <w:ilvl w:val="0"/>
          <w:numId w:val="1"/>
        </w:numPr>
        <w:spacing w:after="0" w:line="240" w:lineRule="auto"/>
        <w:contextualSpacing w:val="0"/>
        <w:rPr>
          <w:rFonts w:ascii="Arial" w:eastAsia="Calibri" w:hAnsi="Arial" w:cs="Arial"/>
          <w:sz w:val="20"/>
          <w:szCs w:val="20"/>
        </w:rPr>
      </w:pPr>
      <w:r w:rsidRPr="00514F5A">
        <w:rPr>
          <w:rFonts w:ascii="Arial" w:eastAsia="Calibri" w:hAnsi="Arial" w:cs="Arial"/>
          <w:sz w:val="20"/>
          <w:szCs w:val="20"/>
        </w:rPr>
        <w:t>Employment Equity Act, 55 of 1998 (EEA), as amended;</w:t>
      </w:r>
    </w:p>
    <w:p w:rsidR="001D1359" w:rsidRPr="00514F5A" w:rsidRDefault="001D1359" w:rsidP="00514F5A">
      <w:pPr>
        <w:pStyle w:val="ListParagraph"/>
        <w:numPr>
          <w:ilvl w:val="0"/>
          <w:numId w:val="1"/>
        </w:numPr>
        <w:spacing w:after="0" w:line="240" w:lineRule="auto"/>
        <w:contextualSpacing w:val="0"/>
        <w:rPr>
          <w:rFonts w:ascii="Arial" w:eastAsia="Calibri" w:hAnsi="Arial" w:cs="Arial"/>
          <w:sz w:val="20"/>
          <w:szCs w:val="20"/>
        </w:rPr>
      </w:pPr>
      <w:r w:rsidRPr="00514F5A">
        <w:rPr>
          <w:rFonts w:ascii="Arial" w:eastAsia="Calibri" w:hAnsi="Arial" w:cs="Arial"/>
          <w:sz w:val="20"/>
          <w:szCs w:val="20"/>
        </w:rPr>
        <w:t>Unemployment Insurance Act, 30 of 2001, as amended (UIA)</w:t>
      </w:r>
      <w:r w:rsidR="00396D50" w:rsidRPr="00514F5A">
        <w:rPr>
          <w:rFonts w:ascii="Arial" w:eastAsia="Calibri" w:hAnsi="Arial" w:cs="Arial"/>
          <w:sz w:val="20"/>
          <w:szCs w:val="20"/>
        </w:rPr>
        <w:t>;</w:t>
      </w:r>
    </w:p>
    <w:p w:rsidR="001D1359" w:rsidRPr="00514F5A" w:rsidRDefault="001D1359" w:rsidP="00514F5A">
      <w:pPr>
        <w:pStyle w:val="ListParagraph"/>
        <w:numPr>
          <w:ilvl w:val="0"/>
          <w:numId w:val="1"/>
        </w:numPr>
        <w:spacing w:after="0" w:line="240" w:lineRule="auto"/>
        <w:contextualSpacing w:val="0"/>
        <w:rPr>
          <w:rFonts w:ascii="Arial" w:eastAsia="Calibri" w:hAnsi="Arial" w:cs="Arial"/>
          <w:sz w:val="20"/>
          <w:szCs w:val="20"/>
        </w:rPr>
      </w:pPr>
      <w:r w:rsidRPr="00514F5A">
        <w:rPr>
          <w:rFonts w:ascii="Arial" w:eastAsia="Calibri" w:hAnsi="Arial" w:cs="Arial"/>
          <w:sz w:val="20"/>
          <w:szCs w:val="20"/>
        </w:rPr>
        <w:t>Occupational Health and Safety Act, 85 of 1993 (OHSA)</w:t>
      </w:r>
      <w:r w:rsidR="00396D50" w:rsidRPr="00514F5A">
        <w:rPr>
          <w:rFonts w:ascii="Arial" w:eastAsia="Calibri" w:hAnsi="Arial" w:cs="Arial"/>
          <w:sz w:val="20"/>
          <w:szCs w:val="20"/>
        </w:rPr>
        <w:t>;</w:t>
      </w:r>
    </w:p>
    <w:p w:rsidR="001D1359" w:rsidRPr="00514F5A" w:rsidRDefault="001D1359" w:rsidP="00514F5A">
      <w:pPr>
        <w:pStyle w:val="ListParagraph"/>
        <w:numPr>
          <w:ilvl w:val="0"/>
          <w:numId w:val="1"/>
        </w:numPr>
        <w:spacing w:after="0" w:line="240" w:lineRule="auto"/>
        <w:contextualSpacing w:val="0"/>
        <w:rPr>
          <w:rFonts w:ascii="Arial" w:eastAsia="Calibri" w:hAnsi="Arial" w:cs="Arial"/>
          <w:sz w:val="20"/>
          <w:szCs w:val="20"/>
        </w:rPr>
      </w:pPr>
      <w:r w:rsidRPr="00514F5A">
        <w:rPr>
          <w:rFonts w:ascii="Arial" w:eastAsia="Calibri" w:hAnsi="Arial" w:cs="Arial"/>
          <w:sz w:val="20"/>
          <w:szCs w:val="20"/>
        </w:rPr>
        <w:t>Compensation for Occupational Injuries and Diseases, Act 130 of 1993 (COIDA</w:t>
      </w:r>
      <w:r w:rsidR="00396D50" w:rsidRPr="00514F5A">
        <w:rPr>
          <w:rFonts w:ascii="Arial" w:eastAsia="Calibri" w:hAnsi="Arial" w:cs="Arial"/>
          <w:sz w:val="20"/>
          <w:szCs w:val="20"/>
        </w:rPr>
        <w:t>;</w:t>
      </w:r>
    </w:p>
    <w:p w:rsidR="001D1359" w:rsidRPr="00514F5A" w:rsidRDefault="001D1359" w:rsidP="00514F5A">
      <w:pPr>
        <w:pStyle w:val="ListParagraph"/>
        <w:numPr>
          <w:ilvl w:val="0"/>
          <w:numId w:val="1"/>
        </w:numPr>
        <w:spacing w:after="0" w:line="240" w:lineRule="auto"/>
        <w:contextualSpacing w:val="0"/>
        <w:rPr>
          <w:rFonts w:ascii="Arial" w:eastAsia="Calibri" w:hAnsi="Arial" w:cs="Arial"/>
          <w:sz w:val="20"/>
          <w:szCs w:val="20"/>
        </w:rPr>
      </w:pPr>
      <w:r w:rsidRPr="00514F5A">
        <w:rPr>
          <w:rFonts w:ascii="Arial" w:eastAsia="Calibri" w:hAnsi="Arial" w:cs="Arial"/>
          <w:sz w:val="20"/>
          <w:szCs w:val="20"/>
        </w:rPr>
        <w:t>National Economic Development and Labour Council Act, 35 of 1994 (NEDLAC)</w:t>
      </w:r>
      <w:r w:rsidR="00396D50" w:rsidRPr="00514F5A">
        <w:rPr>
          <w:rFonts w:ascii="Arial" w:eastAsia="Calibri" w:hAnsi="Arial" w:cs="Arial"/>
          <w:sz w:val="20"/>
          <w:szCs w:val="20"/>
        </w:rPr>
        <w:t>;</w:t>
      </w:r>
    </w:p>
    <w:p w:rsidR="001D1359" w:rsidRPr="00514F5A" w:rsidRDefault="001D1359" w:rsidP="00514F5A">
      <w:pPr>
        <w:pStyle w:val="ListParagraph"/>
        <w:numPr>
          <w:ilvl w:val="0"/>
          <w:numId w:val="1"/>
        </w:numPr>
        <w:spacing w:after="0" w:line="240" w:lineRule="auto"/>
        <w:contextualSpacing w:val="0"/>
        <w:rPr>
          <w:rFonts w:ascii="Arial" w:eastAsia="Calibri" w:hAnsi="Arial" w:cs="Arial"/>
          <w:sz w:val="20"/>
          <w:szCs w:val="20"/>
        </w:rPr>
      </w:pPr>
      <w:r w:rsidRPr="00514F5A">
        <w:rPr>
          <w:rFonts w:ascii="Arial" w:eastAsia="Calibri" w:hAnsi="Arial" w:cs="Arial"/>
          <w:sz w:val="20"/>
          <w:szCs w:val="20"/>
        </w:rPr>
        <w:lastRenderedPageBreak/>
        <w:t>Employment Services Act 4 of 2014 Skills Development Act 97 of 1998 Sections 24– 26</w:t>
      </w:r>
      <w:r w:rsidR="00396D50" w:rsidRPr="00514F5A">
        <w:rPr>
          <w:rFonts w:ascii="Arial" w:eastAsia="Calibri" w:hAnsi="Arial" w:cs="Arial"/>
          <w:sz w:val="20"/>
          <w:szCs w:val="20"/>
        </w:rPr>
        <w:t>;</w:t>
      </w:r>
    </w:p>
    <w:p w:rsidR="001D1359" w:rsidRPr="00514F5A" w:rsidRDefault="001D1359" w:rsidP="00514F5A">
      <w:pPr>
        <w:pStyle w:val="ListParagraph"/>
        <w:numPr>
          <w:ilvl w:val="0"/>
          <w:numId w:val="1"/>
        </w:numPr>
        <w:spacing w:after="0" w:line="240" w:lineRule="auto"/>
        <w:contextualSpacing w:val="0"/>
        <w:rPr>
          <w:rFonts w:ascii="Arial" w:eastAsia="Calibri" w:hAnsi="Arial" w:cs="Arial"/>
          <w:sz w:val="20"/>
          <w:szCs w:val="20"/>
        </w:rPr>
      </w:pPr>
      <w:r w:rsidRPr="00514F5A">
        <w:rPr>
          <w:rFonts w:ascii="Arial" w:eastAsia="Calibri" w:hAnsi="Arial" w:cs="Arial"/>
          <w:sz w:val="20"/>
          <w:szCs w:val="20"/>
        </w:rPr>
        <w:t>Unemployment Insurance Contributions Act, 4 of 2002</w:t>
      </w:r>
      <w:r w:rsidR="00396D50" w:rsidRPr="00514F5A">
        <w:rPr>
          <w:rFonts w:ascii="Arial" w:eastAsia="Calibri" w:hAnsi="Arial" w:cs="Arial"/>
          <w:sz w:val="20"/>
          <w:szCs w:val="20"/>
        </w:rPr>
        <w:t>;</w:t>
      </w:r>
      <w:r w:rsidR="00716925" w:rsidRPr="00514F5A">
        <w:rPr>
          <w:rFonts w:ascii="Arial" w:eastAsia="Calibri" w:hAnsi="Arial" w:cs="Arial"/>
          <w:sz w:val="20"/>
          <w:szCs w:val="20"/>
        </w:rPr>
        <w:t xml:space="preserve"> and</w:t>
      </w:r>
    </w:p>
    <w:p w:rsidR="001D1359" w:rsidRPr="00514F5A" w:rsidRDefault="001D1359" w:rsidP="00514F5A">
      <w:pPr>
        <w:pStyle w:val="ListParagraph"/>
        <w:numPr>
          <w:ilvl w:val="0"/>
          <w:numId w:val="1"/>
        </w:numPr>
        <w:spacing w:after="0" w:line="240" w:lineRule="auto"/>
        <w:contextualSpacing w:val="0"/>
        <w:rPr>
          <w:rFonts w:ascii="Arial" w:eastAsia="Calibri" w:hAnsi="Arial" w:cs="Arial"/>
          <w:sz w:val="20"/>
          <w:szCs w:val="20"/>
        </w:rPr>
      </w:pPr>
      <w:r w:rsidRPr="00514F5A">
        <w:rPr>
          <w:rFonts w:ascii="Arial" w:eastAsia="Calibri" w:hAnsi="Arial" w:cs="Arial"/>
          <w:sz w:val="20"/>
          <w:szCs w:val="20"/>
        </w:rPr>
        <w:t>National Minimum Wage Act, Act 9 of 2018</w:t>
      </w:r>
      <w:r w:rsidR="00396D50" w:rsidRPr="00514F5A">
        <w:rPr>
          <w:rFonts w:ascii="Arial" w:eastAsia="Calibri" w:hAnsi="Arial" w:cs="Arial"/>
          <w:sz w:val="20"/>
          <w:szCs w:val="20"/>
        </w:rPr>
        <w:t>.</w:t>
      </w:r>
    </w:p>
    <w:p w:rsidR="00396D50" w:rsidRPr="00514F5A" w:rsidRDefault="00396D50" w:rsidP="00514F5A">
      <w:pPr>
        <w:autoSpaceDE w:val="0"/>
        <w:autoSpaceDN w:val="0"/>
        <w:adjustRightInd w:val="0"/>
        <w:spacing w:after="0" w:line="240" w:lineRule="auto"/>
        <w:rPr>
          <w:rFonts w:ascii="Arial" w:hAnsi="Arial" w:cs="Arial"/>
          <w:color w:val="4A4A49"/>
          <w:sz w:val="20"/>
          <w:szCs w:val="20"/>
        </w:rPr>
      </w:pPr>
    </w:p>
    <w:p w:rsidR="007100E7" w:rsidRPr="00514F5A" w:rsidRDefault="00396D50" w:rsidP="00514F5A">
      <w:pPr>
        <w:spacing w:after="0" w:line="240" w:lineRule="auto"/>
        <w:rPr>
          <w:rFonts w:ascii="Arial" w:eastAsiaTheme="minorEastAsia" w:hAnsi="Arial" w:cs="Arial"/>
          <w:sz w:val="20"/>
          <w:szCs w:val="20"/>
        </w:rPr>
      </w:pPr>
      <w:r w:rsidRPr="00514F5A">
        <w:rPr>
          <w:rFonts w:ascii="Arial" w:eastAsiaTheme="minorEastAsia" w:hAnsi="Arial" w:cs="Arial"/>
          <w:sz w:val="20"/>
          <w:szCs w:val="20"/>
        </w:rPr>
        <w:t xml:space="preserve">The </w:t>
      </w:r>
      <w:r w:rsidR="004934C4" w:rsidRPr="00514F5A">
        <w:rPr>
          <w:rFonts w:ascii="Arial" w:eastAsiaTheme="minorEastAsia" w:hAnsi="Arial" w:cs="Arial"/>
          <w:sz w:val="20"/>
          <w:szCs w:val="20"/>
        </w:rPr>
        <w:t>Department</w:t>
      </w:r>
      <w:r w:rsidRPr="00514F5A">
        <w:rPr>
          <w:rFonts w:ascii="Arial" w:eastAsiaTheme="minorEastAsia" w:hAnsi="Arial" w:cs="Arial"/>
          <w:sz w:val="20"/>
          <w:szCs w:val="20"/>
        </w:rPr>
        <w:t xml:space="preserve"> reported that over the medium term it will continue to focus of the following policy priorities: </w:t>
      </w:r>
    </w:p>
    <w:p w:rsidR="00716925" w:rsidRPr="00514F5A" w:rsidRDefault="00716925" w:rsidP="00514F5A">
      <w:pPr>
        <w:spacing w:after="0" w:line="240" w:lineRule="auto"/>
        <w:rPr>
          <w:rFonts w:ascii="Arial" w:eastAsiaTheme="minorEastAsia" w:hAnsi="Arial" w:cs="Arial"/>
          <w:sz w:val="20"/>
          <w:szCs w:val="20"/>
        </w:rPr>
      </w:pPr>
    </w:p>
    <w:p w:rsidR="007100E7" w:rsidRPr="00514F5A" w:rsidRDefault="007100E7" w:rsidP="00514F5A">
      <w:pPr>
        <w:pStyle w:val="ListParagraph"/>
        <w:numPr>
          <w:ilvl w:val="0"/>
          <w:numId w:val="1"/>
        </w:numPr>
        <w:spacing w:after="0" w:line="240" w:lineRule="auto"/>
        <w:contextualSpacing w:val="0"/>
        <w:rPr>
          <w:rFonts w:ascii="Arial" w:eastAsia="Calibri" w:hAnsi="Arial" w:cs="Arial"/>
          <w:color w:val="000000"/>
          <w:spacing w:val="6"/>
          <w:sz w:val="20"/>
          <w:szCs w:val="20"/>
        </w:rPr>
      </w:pPr>
      <w:r w:rsidRPr="00514F5A">
        <w:rPr>
          <w:rFonts w:ascii="Arial" w:eastAsia="Calibri" w:hAnsi="Arial" w:cs="Arial"/>
          <w:sz w:val="20"/>
          <w:szCs w:val="20"/>
        </w:rPr>
        <w:t>Priority 1: A capable, ethical and Developmental State</w:t>
      </w:r>
      <w:r w:rsidR="00396D50" w:rsidRPr="00514F5A">
        <w:rPr>
          <w:rFonts w:ascii="Arial" w:eastAsia="Calibri" w:hAnsi="Arial" w:cs="Arial"/>
          <w:sz w:val="20"/>
          <w:szCs w:val="20"/>
        </w:rPr>
        <w:t>;</w:t>
      </w:r>
    </w:p>
    <w:p w:rsidR="007100E7" w:rsidRPr="00514F5A" w:rsidRDefault="007100E7" w:rsidP="00514F5A">
      <w:pPr>
        <w:pStyle w:val="ListParagraph"/>
        <w:numPr>
          <w:ilvl w:val="0"/>
          <w:numId w:val="1"/>
        </w:numPr>
        <w:spacing w:after="0" w:line="240" w:lineRule="auto"/>
        <w:contextualSpacing w:val="0"/>
        <w:rPr>
          <w:rFonts w:ascii="Arial" w:eastAsia="Calibri" w:hAnsi="Arial" w:cs="Arial"/>
          <w:sz w:val="20"/>
          <w:szCs w:val="20"/>
        </w:rPr>
      </w:pPr>
      <w:r w:rsidRPr="00514F5A">
        <w:rPr>
          <w:rFonts w:ascii="Arial" w:eastAsia="Calibri" w:hAnsi="Arial" w:cs="Arial"/>
          <w:sz w:val="20"/>
          <w:szCs w:val="20"/>
        </w:rPr>
        <w:t>Priority 2: Economical transformation and job creation</w:t>
      </w:r>
      <w:r w:rsidR="00396D50" w:rsidRPr="00514F5A">
        <w:rPr>
          <w:rFonts w:ascii="Arial" w:eastAsia="Calibri" w:hAnsi="Arial" w:cs="Arial"/>
          <w:sz w:val="20"/>
          <w:szCs w:val="20"/>
        </w:rPr>
        <w:t>;</w:t>
      </w:r>
    </w:p>
    <w:p w:rsidR="007100E7" w:rsidRPr="00514F5A" w:rsidRDefault="007100E7" w:rsidP="00514F5A">
      <w:pPr>
        <w:pStyle w:val="ListParagraph"/>
        <w:numPr>
          <w:ilvl w:val="0"/>
          <w:numId w:val="1"/>
        </w:numPr>
        <w:spacing w:after="0" w:line="240" w:lineRule="auto"/>
        <w:contextualSpacing w:val="0"/>
        <w:rPr>
          <w:rFonts w:ascii="Arial" w:eastAsia="Calibri" w:hAnsi="Arial" w:cs="Arial"/>
          <w:sz w:val="20"/>
          <w:szCs w:val="20"/>
        </w:rPr>
      </w:pPr>
      <w:r w:rsidRPr="00514F5A">
        <w:rPr>
          <w:rFonts w:ascii="Arial" w:eastAsia="Calibri" w:hAnsi="Arial" w:cs="Arial"/>
          <w:sz w:val="20"/>
          <w:szCs w:val="20"/>
        </w:rPr>
        <w:t>Priority 3: Education, skills and health</w:t>
      </w:r>
      <w:r w:rsidR="00396D50" w:rsidRPr="00514F5A">
        <w:rPr>
          <w:rFonts w:ascii="Arial" w:eastAsia="Calibri" w:hAnsi="Arial" w:cs="Arial"/>
          <w:sz w:val="20"/>
          <w:szCs w:val="20"/>
        </w:rPr>
        <w:t>;</w:t>
      </w:r>
    </w:p>
    <w:p w:rsidR="007100E7" w:rsidRPr="00514F5A" w:rsidRDefault="007100E7" w:rsidP="00514F5A">
      <w:pPr>
        <w:pStyle w:val="ListParagraph"/>
        <w:numPr>
          <w:ilvl w:val="0"/>
          <w:numId w:val="1"/>
        </w:numPr>
        <w:spacing w:after="0" w:line="240" w:lineRule="auto"/>
        <w:contextualSpacing w:val="0"/>
        <w:rPr>
          <w:rFonts w:ascii="Arial" w:eastAsia="Calibri" w:hAnsi="Arial" w:cs="Arial"/>
          <w:sz w:val="20"/>
          <w:szCs w:val="20"/>
        </w:rPr>
      </w:pPr>
      <w:r w:rsidRPr="00514F5A">
        <w:rPr>
          <w:rFonts w:ascii="Arial" w:eastAsia="Calibri" w:hAnsi="Arial" w:cs="Arial"/>
          <w:sz w:val="20"/>
          <w:szCs w:val="20"/>
        </w:rPr>
        <w:t>Priority 4: Consolidating the social wage through reliable and basic services</w:t>
      </w:r>
      <w:r w:rsidR="00396D50" w:rsidRPr="00514F5A">
        <w:rPr>
          <w:rFonts w:ascii="Arial" w:eastAsia="Calibri" w:hAnsi="Arial" w:cs="Arial"/>
          <w:sz w:val="20"/>
          <w:szCs w:val="20"/>
        </w:rPr>
        <w:t>;</w:t>
      </w:r>
    </w:p>
    <w:p w:rsidR="007100E7" w:rsidRPr="00514F5A" w:rsidRDefault="007100E7" w:rsidP="00514F5A">
      <w:pPr>
        <w:pStyle w:val="ListParagraph"/>
        <w:numPr>
          <w:ilvl w:val="0"/>
          <w:numId w:val="1"/>
        </w:numPr>
        <w:spacing w:after="0" w:line="240" w:lineRule="auto"/>
        <w:contextualSpacing w:val="0"/>
        <w:rPr>
          <w:rFonts w:ascii="Arial" w:eastAsia="Calibri" w:hAnsi="Arial" w:cs="Arial"/>
          <w:sz w:val="20"/>
          <w:szCs w:val="20"/>
        </w:rPr>
      </w:pPr>
      <w:r w:rsidRPr="00514F5A">
        <w:rPr>
          <w:rFonts w:ascii="Arial" w:eastAsia="Calibri" w:hAnsi="Arial" w:cs="Arial"/>
          <w:sz w:val="20"/>
          <w:szCs w:val="20"/>
        </w:rPr>
        <w:t>Priority 6: Social cohesion and safer communities</w:t>
      </w:r>
      <w:r w:rsidR="00396D50" w:rsidRPr="00514F5A">
        <w:rPr>
          <w:rFonts w:ascii="Arial" w:eastAsia="Calibri" w:hAnsi="Arial" w:cs="Arial"/>
          <w:sz w:val="20"/>
          <w:szCs w:val="20"/>
        </w:rPr>
        <w:t>;</w:t>
      </w:r>
    </w:p>
    <w:p w:rsidR="007100E7" w:rsidRPr="00514F5A" w:rsidRDefault="007100E7" w:rsidP="00514F5A">
      <w:pPr>
        <w:pStyle w:val="ListParagraph"/>
        <w:numPr>
          <w:ilvl w:val="0"/>
          <w:numId w:val="1"/>
        </w:numPr>
        <w:spacing w:after="0" w:line="240" w:lineRule="auto"/>
        <w:contextualSpacing w:val="0"/>
        <w:rPr>
          <w:rFonts w:ascii="Arial" w:eastAsia="Calibri" w:hAnsi="Arial" w:cs="Arial"/>
          <w:sz w:val="20"/>
          <w:szCs w:val="20"/>
        </w:rPr>
      </w:pPr>
      <w:r w:rsidRPr="00514F5A">
        <w:rPr>
          <w:rFonts w:ascii="Arial" w:eastAsia="Calibri" w:hAnsi="Arial" w:cs="Arial"/>
          <w:sz w:val="20"/>
          <w:szCs w:val="20"/>
        </w:rPr>
        <w:t>Priority 7: A better Africa and a better world</w:t>
      </w:r>
      <w:r w:rsidR="00396D50" w:rsidRPr="00514F5A">
        <w:rPr>
          <w:rFonts w:ascii="Arial" w:eastAsia="Calibri" w:hAnsi="Arial" w:cs="Arial"/>
          <w:sz w:val="20"/>
          <w:szCs w:val="20"/>
        </w:rPr>
        <w:t>;</w:t>
      </w:r>
    </w:p>
    <w:p w:rsidR="0082797F" w:rsidRPr="00514F5A" w:rsidRDefault="0082797F" w:rsidP="00514F5A">
      <w:pPr>
        <w:spacing w:after="0" w:line="240" w:lineRule="auto"/>
        <w:rPr>
          <w:rFonts w:ascii="Arial" w:eastAsia="Calibri" w:hAnsi="Arial" w:cs="Arial"/>
          <w:sz w:val="20"/>
          <w:szCs w:val="20"/>
        </w:rPr>
      </w:pPr>
    </w:p>
    <w:p w:rsidR="00716925" w:rsidRPr="00514F5A" w:rsidRDefault="0082797F" w:rsidP="00514F5A">
      <w:pPr>
        <w:spacing w:after="0" w:line="240" w:lineRule="auto"/>
        <w:rPr>
          <w:rFonts w:ascii="Arial" w:eastAsiaTheme="minorEastAsia" w:hAnsi="Arial" w:cs="Arial"/>
          <w:sz w:val="20"/>
          <w:szCs w:val="20"/>
        </w:rPr>
      </w:pPr>
      <w:r w:rsidRPr="00514F5A">
        <w:rPr>
          <w:rFonts w:ascii="Arial" w:eastAsiaTheme="minorEastAsia" w:hAnsi="Arial" w:cs="Arial"/>
          <w:sz w:val="20"/>
          <w:szCs w:val="20"/>
        </w:rPr>
        <w:t xml:space="preserve">The </w:t>
      </w:r>
      <w:r w:rsidR="004934C4" w:rsidRPr="00514F5A">
        <w:rPr>
          <w:rFonts w:ascii="Arial" w:eastAsiaTheme="minorEastAsia" w:hAnsi="Arial" w:cs="Arial"/>
          <w:sz w:val="20"/>
          <w:szCs w:val="20"/>
        </w:rPr>
        <w:t>Department</w:t>
      </w:r>
      <w:r w:rsidRPr="00514F5A">
        <w:rPr>
          <w:rFonts w:ascii="Arial" w:eastAsiaTheme="minorEastAsia" w:hAnsi="Arial" w:cs="Arial"/>
          <w:sz w:val="20"/>
          <w:szCs w:val="20"/>
        </w:rPr>
        <w:t xml:space="preserve"> delivers its legislative and policy mandate through core functional policy priorities constituted around crucial policy functional areas namely; </w:t>
      </w:r>
      <w:r w:rsidRPr="00514F5A">
        <w:rPr>
          <w:rFonts w:ascii="Arial" w:eastAsiaTheme="minorEastAsia" w:hAnsi="Arial" w:cs="Arial"/>
          <w:i/>
          <w:sz w:val="20"/>
          <w:szCs w:val="20"/>
        </w:rPr>
        <w:t>Programme 2: Inspection and Enforcement Services; Programme 3: Public Employment Services and Programme 4: Labour and Industrial Relations.</w:t>
      </w:r>
      <w:r w:rsidRPr="00514F5A">
        <w:rPr>
          <w:rFonts w:ascii="Arial" w:eastAsiaTheme="minorEastAsia" w:hAnsi="Arial" w:cs="Arial"/>
          <w:sz w:val="20"/>
          <w:szCs w:val="20"/>
        </w:rPr>
        <w:t xml:space="preserve"> </w:t>
      </w:r>
      <w:r w:rsidRPr="00514F5A">
        <w:rPr>
          <w:rFonts w:ascii="Arial" w:eastAsiaTheme="minorEastAsia" w:hAnsi="Arial" w:cs="Arial"/>
          <w:i/>
          <w:sz w:val="20"/>
          <w:szCs w:val="20"/>
        </w:rPr>
        <w:t>Programme 1: Administration</w:t>
      </w:r>
      <w:r w:rsidRPr="00514F5A">
        <w:rPr>
          <w:rFonts w:ascii="Arial" w:eastAsiaTheme="minorEastAsia" w:hAnsi="Arial" w:cs="Arial"/>
          <w:sz w:val="20"/>
          <w:szCs w:val="20"/>
        </w:rPr>
        <w:t xml:space="preserve"> providing overall core administrative support to enable the three functional policy areas to realise their legislative and policy functional requirements. </w:t>
      </w:r>
      <w:r w:rsidR="006E25F1" w:rsidRPr="00514F5A">
        <w:rPr>
          <w:rFonts w:ascii="Arial" w:eastAsiaTheme="minorEastAsia" w:hAnsi="Arial" w:cs="Arial"/>
          <w:sz w:val="20"/>
          <w:szCs w:val="20"/>
        </w:rPr>
        <w:t xml:space="preserve">The </w:t>
      </w:r>
      <w:r w:rsidR="004934C4" w:rsidRPr="00514F5A">
        <w:rPr>
          <w:rFonts w:ascii="Arial" w:eastAsiaTheme="minorEastAsia" w:hAnsi="Arial" w:cs="Arial"/>
          <w:sz w:val="20"/>
          <w:szCs w:val="20"/>
        </w:rPr>
        <w:t>Department</w:t>
      </w:r>
      <w:r w:rsidR="006E25F1" w:rsidRPr="00514F5A">
        <w:rPr>
          <w:rFonts w:ascii="Arial" w:eastAsiaTheme="minorEastAsia" w:hAnsi="Arial" w:cs="Arial"/>
          <w:sz w:val="20"/>
          <w:szCs w:val="20"/>
        </w:rPr>
        <w:t xml:space="preserve"> further play oversight role over the following entities: Commission for Conciliation, Mediation and Arbitration (CCMA); NEDLAC; Productivity of South Africa (PSA); UIF; CF; and Supported Employment Shelter (SEE).</w:t>
      </w:r>
      <w:r w:rsidR="00850216" w:rsidRPr="00514F5A">
        <w:rPr>
          <w:rFonts w:ascii="Arial" w:eastAsiaTheme="minorEastAsia" w:hAnsi="Arial" w:cs="Arial"/>
          <w:sz w:val="20"/>
          <w:szCs w:val="20"/>
        </w:rPr>
        <w:t xml:space="preserve"> </w:t>
      </w:r>
    </w:p>
    <w:p w:rsidR="00716925" w:rsidRPr="00514F5A" w:rsidRDefault="00716925" w:rsidP="00514F5A">
      <w:pPr>
        <w:spacing w:after="0" w:line="240" w:lineRule="auto"/>
        <w:rPr>
          <w:rFonts w:ascii="Arial" w:eastAsiaTheme="minorEastAsia" w:hAnsi="Arial" w:cs="Arial"/>
          <w:sz w:val="20"/>
          <w:szCs w:val="20"/>
        </w:rPr>
      </w:pPr>
    </w:p>
    <w:p w:rsidR="00716925" w:rsidRPr="00514F5A" w:rsidRDefault="00716925" w:rsidP="00514F5A">
      <w:pPr>
        <w:spacing w:after="0" w:line="240" w:lineRule="auto"/>
        <w:rPr>
          <w:rFonts w:ascii="Arial" w:eastAsiaTheme="minorEastAsia" w:hAnsi="Arial" w:cs="Arial"/>
          <w:sz w:val="20"/>
          <w:szCs w:val="20"/>
        </w:rPr>
      </w:pPr>
    </w:p>
    <w:p w:rsidR="00716925" w:rsidRPr="00514F5A" w:rsidRDefault="00716925" w:rsidP="00514F5A">
      <w:pPr>
        <w:spacing w:after="0" w:line="240" w:lineRule="auto"/>
        <w:rPr>
          <w:rFonts w:ascii="Arial" w:eastAsiaTheme="minorEastAsia" w:hAnsi="Arial" w:cs="Arial"/>
          <w:sz w:val="20"/>
          <w:szCs w:val="20"/>
        </w:rPr>
      </w:pPr>
    </w:p>
    <w:p w:rsidR="00716925" w:rsidRPr="00514F5A" w:rsidRDefault="00716925" w:rsidP="00514F5A">
      <w:pPr>
        <w:spacing w:after="0" w:line="240" w:lineRule="auto"/>
        <w:rPr>
          <w:rFonts w:ascii="Arial" w:eastAsiaTheme="minorEastAsia" w:hAnsi="Arial" w:cs="Arial"/>
          <w:sz w:val="20"/>
          <w:szCs w:val="20"/>
        </w:rPr>
      </w:pPr>
    </w:p>
    <w:p w:rsidR="00716925" w:rsidRPr="00514F5A" w:rsidRDefault="00716925" w:rsidP="00514F5A">
      <w:pPr>
        <w:spacing w:after="0" w:line="240" w:lineRule="auto"/>
        <w:rPr>
          <w:rFonts w:ascii="Arial" w:eastAsiaTheme="minorEastAsia" w:hAnsi="Arial" w:cs="Arial"/>
          <w:sz w:val="20"/>
          <w:szCs w:val="20"/>
        </w:rPr>
      </w:pPr>
    </w:p>
    <w:p w:rsidR="00716925" w:rsidRPr="00514F5A" w:rsidRDefault="00716925" w:rsidP="00514F5A">
      <w:pPr>
        <w:spacing w:after="0" w:line="240" w:lineRule="auto"/>
        <w:rPr>
          <w:rFonts w:ascii="Arial" w:eastAsiaTheme="minorEastAsia" w:hAnsi="Arial" w:cs="Arial"/>
          <w:sz w:val="20"/>
          <w:szCs w:val="20"/>
        </w:rPr>
      </w:pPr>
    </w:p>
    <w:p w:rsidR="00716925" w:rsidRPr="00514F5A" w:rsidRDefault="00716925" w:rsidP="00514F5A">
      <w:pPr>
        <w:spacing w:after="0" w:line="240" w:lineRule="auto"/>
        <w:rPr>
          <w:rFonts w:ascii="Arial" w:eastAsiaTheme="minorEastAsia" w:hAnsi="Arial" w:cs="Arial"/>
          <w:sz w:val="20"/>
          <w:szCs w:val="20"/>
        </w:rPr>
      </w:pPr>
    </w:p>
    <w:p w:rsidR="00716925" w:rsidRPr="00514F5A" w:rsidRDefault="00716925" w:rsidP="00514F5A">
      <w:pPr>
        <w:spacing w:after="0" w:line="240" w:lineRule="auto"/>
        <w:rPr>
          <w:rFonts w:ascii="Arial" w:eastAsiaTheme="minorEastAsia" w:hAnsi="Arial" w:cs="Arial"/>
          <w:sz w:val="20"/>
          <w:szCs w:val="20"/>
        </w:rPr>
      </w:pPr>
    </w:p>
    <w:p w:rsidR="00716925" w:rsidRPr="00514F5A" w:rsidRDefault="00716925" w:rsidP="00514F5A">
      <w:pPr>
        <w:spacing w:after="0" w:line="240" w:lineRule="auto"/>
        <w:rPr>
          <w:rFonts w:ascii="Arial" w:eastAsiaTheme="minorEastAsia" w:hAnsi="Arial" w:cs="Arial"/>
          <w:sz w:val="20"/>
          <w:szCs w:val="20"/>
        </w:rPr>
      </w:pPr>
    </w:p>
    <w:p w:rsidR="00716925" w:rsidRPr="00514F5A" w:rsidRDefault="00716925" w:rsidP="00514F5A">
      <w:pPr>
        <w:spacing w:after="0" w:line="240" w:lineRule="auto"/>
        <w:rPr>
          <w:rFonts w:ascii="Arial" w:eastAsiaTheme="minorEastAsia" w:hAnsi="Arial" w:cs="Arial"/>
          <w:sz w:val="20"/>
          <w:szCs w:val="20"/>
        </w:rPr>
      </w:pPr>
    </w:p>
    <w:p w:rsidR="00716925" w:rsidRPr="00514F5A" w:rsidRDefault="00716925" w:rsidP="00514F5A">
      <w:pPr>
        <w:spacing w:after="0" w:line="240" w:lineRule="auto"/>
        <w:rPr>
          <w:rFonts w:ascii="Arial" w:eastAsiaTheme="minorEastAsia" w:hAnsi="Arial" w:cs="Arial"/>
          <w:sz w:val="20"/>
          <w:szCs w:val="20"/>
        </w:rPr>
      </w:pPr>
    </w:p>
    <w:p w:rsidR="00716925" w:rsidRPr="00514F5A" w:rsidRDefault="00716925" w:rsidP="00514F5A">
      <w:pPr>
        <w:spacing w:after="0" w:line="240" w:lineRule="auto"/>
        <w:rPr>
          <w:rFonts w:ascii="Arial" w:eastAsiaTheme="minorEastAsia" w:hAnsi="Arial" w:cs="Arial"/>
          <w:sz w:val="20"/>
          <w:szCs w:val="20"/>
        </w:rPr>
      </w:pPr>
    </w:p>
    <w:p w:rsidR="00716925" w:rsidRPr="00514F5A" w:rsidRDefault="00716925" w:rsidP="00514F5A">
      <w:pPr>
        <w:spacing w:after="0" w:line="240" w:lineRule="auto"/>
        <w:rPr>
          <w:rFonts w:ascii="Arial" w:eastAsiaTheme="minorEastAsia" w:hAnsi="Arial" w:cs="Arial"/>
          <w:sz w:val="20"/>
          <w:szCs w:val="20"/>
        </w:rPr>
      </w:pPr>
    </w:p>
    <w:p w:rsidR="002754C4" w:rsidRPr="00514F5A" w:rsidRDefault="004452DA" w:rsidP="00514F5A">
      <w:pPr>
        <w:spacing w:after="0" w:line="240" w:lineRule="auto"/>
        <w:rPr>
          <w:rFonts w:ascii="Arial" w:eastAsia="Arial" w:hAnsi="Arial" w:cs="Arial"/>
          <w:b/>
          <w:color w:val="000000"/>
          <w:sz w:val="20"/>
          <w:szCs w:val="20"/>
          <w:lang w:eastAsia="en-ZA"/>
        </w:rPr>
      </w:pPr>
      <w:r w:rsidRPr="00514F5A">
        <w:rPr>
          <w:rFonts w:ascii="Arial" w:eastAsia="Arial" w:hAnsi="Arial" w:cs="Arial"/>
          <w:b/>
          <w:color w:val="000000"/>
          <w:sz w:val="20"/>
          <w:szCs w:val="20"/>
          <w:lang w:eastAsia="en-ZA"/>
        </w:rPr>
        <w:t xml:space="preserve">Table 1: </w:t>
      </w:r>
      <w:r w:rsidR="002754C4" w:rsidRPr="00514F5A">
        <w:rPr>
          <w:rFonts w:ascii="Arial" w:eastAsia="Arial" w:hAnsi="Arial" w:cs="Arial"/>
          <w:b/>
          <w:color w:val="000000"/>
          <w:sz w:val="20"/>
          <w:szCs w:val="20"/>
          <w:lang w:eastAsia="en-ZA"/>
        </w:rPr>
        <w:t xml:space="preserve">Medium Term Spending </w:t>
      </w:r>
    </w:p>
    <w:p w:rsidR="002754C4" w:rsidRPr="00514F5A" w:rsidRDefault="006B31BE" w:rsidP="00514F5A">
      <w:pPr>
        <w:spacing w:after="0" w:line="240" w:lineRule="auto"/>
        <w:rPr>
          <w:rFonts w:ascii="Arial" w:eastAsia="Calibri" w:hAnsi="Arial" w:cs="Arial"/>
          <w:color w:val="000000"/>
          <w:spacing w:val="6"/>
          <w:sz w:val="20"/>
          <w:szCs w:val="20"/>
        </w:rPr>
      </w:pPr>
      <w:r w:rsidRPr="00514F5A">
        <w:rPr>
          <w:rFonts w:ascii="Arial" w:eastAsia="Calibri" w:hAnsi="Arial" w:cs="Arial"/>
          <w:noProof/>
          <w:color w:val="000000"/>
          <w:spacing w:val="6"/>
          <w:sz w:val="20"/>
          <w:szCs w:val="20"/>
          <w:lang w:val="en-US"/>
        </w:rPr>
        <w:drawing>
          <wp:inline distT="0" distB="0" distL="0" distR="0">
            <wp:extent cx="5876290" cy="3276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89042" cy="3283710"/>
                    </a:xfrm>
                    <a:prstGeom prst="rect">
                      <a:avLst/>
                    </a:prstGeom>
                    <a:noFill/>
                    <a:ln>
                      <a:noFill/>
                    </a:ln>
                  </pic:spPr>
                </pic:pic>
              </a:graphicData>
            </a:graphic>
          </wp:inline>
        </w:drawing>
      </w:r>
    </w:p>
    <w:p w:rsidR="009B17B5" w:rsidRPr="00514F5A" w:rsidRDefault="00264DDC" w:rsidP="00514F5A">
      <w:pPr>
        <w:spacing w:after="0" w:line="240" w:lineRule="auto"/>
        <w:rPr>
          <w:rFonts w:ascii="Arial" w:eastAsia="MS Mincho" w:hAnsi="Arial" w:cs="Arial"/>
          <w:b/>
          <w:i/>
          <w:sz w:val="20"/>
          <w:szCs w:val="20"/>
          <w:lang w:eastAsia="ja-JP"/>
        </w:rPr>
      </w:pPr>
      <w:r w:rsidRPr="00514F5A">
        <w:rPr>
          <w:rFonts w:ascii="Arial" w:eastAsia="MS Mincho" w:hAnsi="Arial" w:cs="Arial"/>
          <w:b/>
          <w:i/>
          <w:sz w:val="20"/>
          <w:szCs w:val="20"/>
          <w:lang w:eastAsia="ja-JP"/>
        </w:rPr>
        <w:t>Source: 2023</w:t>
      </w:r>
      <w:r w:rsidR="002754C4" w:rsidRPr="00514F5A">
        <w:rPr>
          <w:rFonts w:ascii="Arial" w:eastAsia="MS Mincho" w:hAnsi="Arial" w:cs="Arial"/>
          <w:b/>
          <w:i/>
          <w:sz w:val="20"/>
          <w:szCs w:val="20"/>
          <w:lang w:eastAsia="ja-JP"/>
        </w:rPr>
        <w:t xml:space="preserve"> National Treasury Estimates of National Expenditure</w:t>
      </w:r>
    </w:p>
    <w:p w:rsidR="006B31BE" w:rsidRPr="00514F5A" w:rsidRDefault="006B31BE" w:rsidP="00514F5A">
      <w:pPr>
        <w:spacing w:after="0" w:line="240" w:lineRule="auto"/>
        <w:rPr>
          <w:rFonts w:ascii="Arial" w:eastAsiaTheme="minorEastAsia" w:hAnsi="Arial" w:cs="Arial"/>
          <w:sz w:val="20"/>
          <w:szCs w:val="20"/>
        </w:rPr>
      </w:pPr>
    </w:p>
    <w:p w:rsidR="00836FC2" w:rsidRPr="00514F5A" w:rsidRDefault="00836FC2" w:rsidP="00514F5A">
      <w:pPr>
        <w:spacing w:after="0" w:line="240" w:lineRule="auto"/>
        <w:rPr>
          <w:rFonts w:ascii="Arial" w:eastAsiaTheme="minorEastAsia" w:hAnsi="Arial" w:cs="Arial"/>
          <w:sz w:val="20"/>
          <w:szCs w:val="20"/>
        </w:rPr>
      </w:pPr>
      <w:r w:rsidRPr="00514F5A">
        <w:rPr>
          <w:rFonts w:ascii="Arial" w:eastAsiaTheme="minorEastAsia" w:hAnsi="Arial" w:cs="Arial"/>
          <w:sz w:val="20"/>
          <w:szCs w:val="20"/>
        </w:rPr>
        <w:t xml:space="preserve">In the </w:t>
      </w:r>
      <w:r w:rsidR="006B31BE" w:rsidRPr="00514F5A">
        <w:rPr>
          <w:rFonts w:ascii="Arial" w:eastAsiaTheme="minorEastAsia" w:hAnsi="Arial" w:cs="Arial"/>
          <w:i/>
          <w:sz w:val="20"/>
          <w:szCs w:val="20"/>
        </w:rPr>
        <w:t>2023</w:t>
      </w:r>
      <w:r w:rsidR="00A91036" w:rsidRPr="00514F5A">
        <w:rPr>
          <w:rFonts w:ascii="Arial" w:eastAsiaTheme="minorEastAsia" w:hAnsi="Arial" w:cs="Arial"/>
          <w:i/>
          <w:sz w:val="20"/>
          <w:szCs w:val="20"/>
        </w:rPr>
        <w:t xml:space="preserve"> Estimates of Nat</w:t>
      </w:r>
      <w:r w:rsidRPr="00514F5A">
        <w:rPr>
          <w:rFonts w:ascii="Arial" w:eastAsiaTheme="minorEastAsia" w:hAnsi="Arial" w:cs="Arial"/>
          <w:i/>
          <w:sz w:val="20"/>
          <w:szCs w:val="20"/>
        </w:rPr>
        <w:t>ional Expenditure</w:t>
      </w:r>
      <w:r w:rsidRPr="00514F5A">
        <w:rPr>
          <w:rFonts w:ascii="Arial" w:eastAsiaTheme="minorEastAsia" w:hAnsi="Arial" w:cs="Arial"/>
          <w:sz w:val="20"/>
          <w:szCs w:val="20"/>
        </w:rPr>
        <w:t>, the Department provided an overview of expenditure outlining the following priorities:</w:t>
      </w:r>
    </w:p>
    <w:p w:rsidR="00836FC2" w:rsidRPr="00514F5A" w:rsidRDefault="00836FC2" w:rsidP="00514F5A">
      <w:pPr>
        <w:spacing w:after="0" w:line="240" w:lineRule="auto"/>
        <w:rPr>
          <w:rFonts w:ascii="Arial" w:eastAsiaTheme="minorEastAsia" w:hAnsi="Arial" w:cs="Arial"/>
          <w:sz w:val="20"/>
          <w:szCs w:val="20"/>
        </w:rPr>
      </w:pPr>
    </w:p>
    <w:p w:rsidR="00836FC2" w:rsidRPr="00514F5A" w:rsidRDefault="006B31BE" w:rsidP="00514F5A">
      <w:pPr>
        <w:spacing w:after="0" w:line="240" w:lineRule="auto"/>
        <w:rPr>
          <w:rFonts w:ascii="Arial" w:eastAsiaTheme="minorEastAsia" w:hAnsi="Arial" w:cs="Arial"/>
          <w:b/>
          <w:i/>
          <w:sz w:val="20"/>
          <w:szCs w:val="20"/>
        </w:rPr>
      </w:pPr>
      <w:r w:rsidRPr="00514F5A">
        <w:rPr>
          <w:rFonts w:ascii="Arial" w:eastAsiaTheme="minorEastAsia" w:hAnsi="Arial" w:cs="Arial"/>
          <w:b/>
          <w:i/>
          <w:sz w:val="20"/>
          <w:szCs w:val="20"/>
        </w:rPr>
        <w:t xml:space="preserve">Increasing safety and fairness in the workplace </w:t>
      </w:r>
    </w:p>
    <w:p w:rsidR="006B31BE" w:rsidRPr="00514F5A" w:rsidRDefault="00836FC2" w:rsidP="00514F5A">
      <w:pPr>
        <w:spacing w:after="0" w:line="240" w:lineRule="auto"/>
        <w:rPr>
          <w:rFonts w:ascii="Arial" w:eastAsiaTheme="minorEastAsia" w:hAnsi="Arial" w:cs="Arial"/>
          <w:sz w:val="20"/>
          <w:szCs w:val="20"/>
        </w:rPr>
      </w:pPr>
      <w:r w:rsidRPr="00514F5A">
        <w:rPr>
          <w:rFonts w:ascii="Arial" w:eastAsiaTheme="minorEastAsia" w:hAnsi="Arial" w:cs="Arial"/>
          <w:sz w:val="20"/>
          <w:szCs w:val="20"/>
        </w:rPr>
        <w:t>T</w:t>
      </w:r>
      <w:r w:rsidR="006B31BE" w:rsidRPr="00514F5A">
        <w:rPr>
          <w:rFonts w:ascii="Arial" w:eastAsiaTheme="minorEastAsia" w:hAnsi="Arial" w:cs="Arial"/>
          <w:sz w:val="20"/>
          <w:szCs w:val="20"/>
        </w:rPr>
        <w:t xml:space="preserve">hrough its advocacy programmes, which include 12 seminars and 6 conferences over the medium term, the </w:t>
      </w:r>
      <w:r w:rsidR="004934C4" w:rsidRPr="00514F5A">
        <w:rPr>
          <w:rFonts w:ascii="Arial" w:eastAsiaTheme="minorEastAsia" w:hAnsi="Arial" w:cs="Arial"/>
          <w:sz w:val="20"/>
          <w:szCs w:val="20"/>
        </w:rPr>
        <w:t>Department</w:t>
      </w:r>
      <w:r w:rsidR="006B31BE" w:rsidRPr="00514F5A">
        <w:rPr>
          <w:rFonts w:ascii="Arial" w:eastAsiaTheme="minorEastAsia" w:hAnsi="Arial" w:cs="Arial"/>
          <w:sz w:val="20"/>
          <w:szCs w:val="20"/>
        </w:rPr>
        <w:t xml:space="preserve"> plans to increase its national footprint by ensuring compliance with employment law. This is expected to improve fairness in the workplace, especially for young people, people with disabilities and women, and transition workers from the informal to the formal economy. To ensure compliance with the law and occupational health and safety standards, the </w:t>
      </w:r>
      <w:r w:rsidR="004934C4" w:rsidRPr="00514F5A">
        <w:rPr>
          <w:rFonts w:ascii="Arial" w:eastAsiaTheme="minorEastAsia" w:hAnsi="Arial" w:cs="Arial"/>
          <w:sz w:val="20"/>
          <w:szCs w:val="20"/>
        </w:rPr>
        <w:t>Department</w:t>
      </w:r>
      <w:r w:rsidR="006B31BE" w:rsidRPr="00514F5A">
        <w:rPr>
          <w:rFonts w:ascii="Arial" w:eastAsiaTheme="minorEastAsia" w:hAnsi="Arial" w:cs="Arial"/>
          <w:sz w:val="20"/>
          <w:szCs w:val="20"/>
        </w:rPr>
        <w:t xml:space="preserve"> plans to conduct 894 312 employer inspections over the period ahead.  The implementation of the case management system in 2022/23 is expected to ensure that the </w:t>
      </w:r>
      <w:r w:rsidR="004934C4" w:rsidRPr="00514F5A">
        <w:rPr>
          <w:rFonts w:ascii="Arial" w:eastAsiaTheme="minorEastAsia" w:hAnsi="Arial" w:cs="Arial"/>
          <w:sz w:val="20"/>
          <w:szCs w:val="20"/>
        </w:rPr>
        <w:t>Department</w:t>
      </w:r>
      <w:r w:rsidR="006B31BE" w:rsidRPr="00514F5A">
        <w:rPr>
          <w:rFonts w:ascii="Arial" w:eastAsiaTheme="minorEastAsia" w:hAnsi="Arial" w:cs="Arial"/>
          <w:sz w:val="20"/>
          <w:szCs w:val="20"/>
        </w:rPr>
        <w:t xml:space="preserve">’s business processes are fully modernised, which will lead to, among other things, more focused inspections. Over the medium term, the </w:t>
      </w:r>
      <w:r w:rsidR="004934C4" w:rsidRPr="00514F5A">
        <w:rPr>
          <w:rFonts w:ascii="Arial" w:eastAsiaTheme="minorEastAsia" w:hAnsi="Arial" w:cs="Arial"/>
          <w:sz w:val="20"/>
          <w:szCs w:val="20"/>
        </w:rPr>
        <w:t>Department</w:t>
      </w:r>
      <w:r w:rsidR="006B31BE" w:rsidRPr="00514F5A">
        <w:rPr>
          <w:rFonts w:ascii="Arial" w:eastAsiaTheme="minorEastAsia" w:hAnsi="Arial" w:cs="Arial"/>
          <w:sz w:val="20"/>
          <w:szCs w:val="20"/>
        </w:rPr>
        <w:t xml:space="preserve"> plans to improve and strengthen its enforcement function. This entails ensuring that 65 per cent of employers who fail to comply with served notices are issued with fines and/or penalties and are referred for prosecution within 30 calendar days, and that 95 per cent of noncompliant employers are served with legal notices within 14 calendar days. </w:t>
      </w:r>
    </w:p>
    <w:p w:rsidR="004934C4" w:rsidRPr="00514F5A" w:rsidRDefault="004934C4" w:rsidP="00514F5A">
      <w:pPr>
        <w:spacing w:after="0" w:line="240" w:lineRule="auto"/>
        <w:rPr>
          <w:rFonts w:ascii="Arial" w:eastAsiaTheme="minorEastAsia" w:hAnsi="Arial" w:cs="Arial"/>
          <w:sz w:val="20"/>
          <w:szCs w:val="20"/>
        </w:rPr>
      </w:pPr>
    </w:p>
    <w:p w:rsidR="006B31BE" w:rsidRPr="00514F5A" w:rsidRDefault="006B31BE" w:rsidP="00514F5A">
      <w:pPr>
        <w:spacing w:after="0" w:line="240" w:lineRule="auto"/>
        <w:rPr>
          <w:rFonts w:ascii="Arial" w:eastAsiaTheme="minorEastAsia" w:hAnsi="Arial" w:cs="Arial"/>
          <w:sz w:val="20"/>
          <w:szCs w:val="20"/>
        </w:rPr>
      </w:pPr>
      <w:r w:rsidRPr="00514F5A">
        <w:rPr>
          <w:rFonts w:ascii="Arial" w:eastAsiaTheme="minorEastAsia" w:hAnsi="Arial" w:cs="Arial"/>
          <w:sz w:val="20"/>
          <w:szCs w:val="20"/>
        </w:rPr>
        <w:t xml:space="preserve">Spending for these activities is within the </w:t>
      </w:r>
      <w:r w:rsidRPr="00514F5A">
        <w:rPr>
          <w:rFonts w:ascii="Arial" w:eastAsiaTheme="minorEastAsia" w:hAnsi="Arial" w:cs="Arial"/>
          <w:i/>
          <w:sz w:val="20"/>
          <w:szCs w:val="20"/>
        </w:rPr>
        <w:t>Inspection and Enforcement Services</w:t>
      </w:r>
      <w:r w:rsidRPr="00514F5A">
        <w:rPr>
          <w:rFonts w:ascii="Arial" w:eastAsiaTheme="minorEastAsia" w:hAnsi="Arial" w:cs="Arial"/>
          <w:sz w:val="20"/>
          <w:szCs w:val="20"/>
        </w:rPr>
        <w:t xml:space="preserve"> programme, which is allocated 16.4 per cent (R2 billion) of the </w:t>
      </w:r>
      <w:r w:rsidR="004934C4" w:rsidRPr="00514F5A">
        <w:rPr>
          <w:rFonts w:ascii="Arial" w:eastAsiaTheme="minorEastAsia" w:hAnsi="Arial" w:cs="Arial"/>
          <w:sz w:val="20"/>
          <w:szCs w:val="20"/>
        </w:rPr>
        <w:t>Department</w:t>
      </w:r>
      <w:r w:rsidRPr="00514F5A">
        <w:rPr>
          <w:rFonts w:ascii="Arial" w:eastAsiaTheme="minorEastAsia" w:hAnsi="Arial" w:cs="Arial"/>
          <w:sz w:val="20"/>
          <w:szCs w:val="20"/>
        </w:rPr>
        <w:t xml:space="preserve">’s budget over the medium term. Spending in the programme increases at an average annual rate of 4.9 per cent, from R614.9 million in 2022/23 to R709.2 million in 2025/26. </w:t>
      </w:r>
    </w:p>
    <w:p w:rsidR="006B31BE" w:rsidRPr="00514F5A" w:rsidRDefault="006B31BE" w:rsidP="00514F5A">
      <w:pPr>
        <w:spacing w:after="0" w:line="240" w:lineRule="auto"/>
        <w:rPr>
          <w:rFonts w:ascii="Arial" w:eastAsiaTheme="minorEastAsia" w:hAnsi="Arial" w:cs="Arial"/>
          <w:sz w:val="20"/>
          <w:szCs w:val="20"/>
        </w:rPr>
      </w:pPr>
    </w:p>
    <w:p w:rsidR="006B31BE" w:rsidRPr="00514F5A" w:rsidRDefault="006B31BE" w:rsidP="00514F5A">
      <w:pPr>
        <w:spacing w:after="0" w:line="240" w:lineRule="auto"/>
        <w:rPr>
          <w:rFonts w:ascii="Arial" w:eastAsiaTheme="minorEastAsia" w:hAnsi="Arial" w:cs="Arial"/>
          <w:b/>
          <w:sz w:val="20"/>
          <w:szCs w:val="20"/>
        </w:rPr>
      </w:pPr>
      <w:r w:rsidRPr="00514F5A">
        <w:rPr>
          <w:rFonts w:ascii="Arial" w:eastAsiaTheme="minorEastAsia" w:hAnsi="Arial" w:cs="Arial"/>
          <w:b/>
          <w:i/>
          <w:sz w:val="20"/>
          <w:szCs w:val="20"/>
        </w:rPr>
        <w:t xml:space="preserve">Providing support to work seekers </w:t>
      </w:r>
    </w:p>
    <w:p w:rsidR="006B31BE" w:rsidRPr="00514F5A" w:rsidRDefault="006B31BE" w:rsidP="00514F5A">
      <w:pPr>
        <w:spacing w:after="0" w:line="240" w:lineRule="auto"/>
        <w:rPr>
          <w:rFonts w:ascii="Arial" w:eastAsiaTheme="minorEastAsia" w:hAnsi="Arial" w:cs="Arial"/>
          <w:b/>
          <w:i/>
          <w:sz w:val="20"/>
          <w:szCs w:val="20"/>
        </w:rPr>
      </w:pPr>
      <w:r w:rsidRPr="00514F5A">
        <w:rPr>
          <w:rFonts w:ascii="Arial" w:eastAsiaTheme="minorEastAsia" w:hAnsi="Arial" w:cs="Arial"/>
          <w:sz w:val="20"/>
          <w:szCs w:val="20"/>
        </w:rPr>
        <w:t xml:space="preserve">Facilitating access to decent employment is central to the </w:t>
      </w:r>
      <w:r w:rsidR="004934C4" w:rsidRPr="00514F5A">
        <w:rPr>
          <w:rFonts w:ascii="Arial" w:eastAsiaTheme="minorEastAsia" w:hAnsi="Arial" w:cs="Arial"/>
          <w:sz w:val="20"/>
          <w:szCs w:val="20"/>
        </w:rPr>
        <w:t>Department</w:t>
      </w:r>
      <w:r w:rsidRPr="00514F5A">
        <w:rPr>
          <w:rFonts w:ascii="Arial" w:eastAsiaTheme="minorEastAsia" w:hAnsi="Arial" w:cs="Arial"/>
          <w:sz w:val="20"/>
          <w:szCs w:val="20"/>
        </w:rPr>
        <w:t xml:space="preserve">’s work and is primarily funded through the </w:t>
      </w:r>
      <w:r w:rsidRPr="00514F5A">
        <w:rPr>
          <w:rFonts w:ascii="Arial" w:eastAsiaTheme="minorEastAsia" w:hAnsi="Arial" w:cs="Arial"/>
          <w:i/>
          <w:sz w:val="20"/>
          <w:szCs w:val="20"/>
        </w:rPr>
        <w:t>Public Employment Services</w:t>
      </w:r>
      <w:r w:rsidRPr="00514F5A">
        <w:rPr>
          <w:rFonts w:ascii="Arial" w:eastAsiaTheme="minorEastAsia" w:hAnsi="Arial" w:cs="Arial"/>
          <w:sz w:val="20"/>
          <w:szCs w:val="20"/>
        </w:rPr>
        <w:t xml:space="preserve"> programme. Over the medium term, it plans to register 2.9 million work seekers, provide counselling to 780 000 work seekers and place 195 000 work seekers in registered employment opportunities. </w:t>
      </w:r>
      <w:r w:rsidRPr="00514F5A">
        <w:rPr>
          <w:rFonts w:ascii="Arial" w:eastAsiaTheme="minorEastAsia" w:hAnsi="Arial" w:cs="Arial"/>
          <w:b/>
          <w:i/>
          <w:sz w:val="20"/>
          <w:szCs w:val="20"/>
        </w:rPr>
        <w:t xml:space="preserve"> </w:t>
      </w:r>
    </w:p>
    <w:p w:rsidR="004934C4" w:rsidRPr="00514F5A" w:rsidRDefault="004934C4" w:rsidP="00514F5A">
      <w:pPr>
        <w:spacing w:after="0" w:line="240" w:lineRule="auto"/>
        <w:rPr>
          <w:rFonts w:ascii="Arial" w:eastAsiaTheme="minorEastAsia" w:hAnsi="Arial" w:cs="Arial"/>
          <w:sz w:val="20"/>
          <w:szCs w:val="20"/>
        </w:rPr>
      </w:pPr>
    </w:p>
    <w:p w:rsidR="006B31BE" w:rsidRPr="00514F5A" w:rsidRDefault="006B31BE" w:rsidP="00514F5A">
      <w:pPr>
        <w:spacing w:after="0" w:line="240" w:lineRule="auto"/>
        <w:rPr>
          <w:rFonts w:ascii="Arial" w:eastAsiaTheme="minorEastAsia" w:hAnsi="Arial" w:cs="Arial"/>
          <w:sz w:val="20"/>
          <w:szCs w:val="20"/>
        </w:rPr>
      </w:pPr>
      <w:r w:rsidRPr="00514F5A">
        <w:rPr>
          <w:rFonts w:ascii="Arial" w:eastAsiaTheme="minorEastAsia" w:hAnsi="Arial" w:cs="Arial"/>
          <w:sz w:val="20"/>
          <w:szCs w:val="20"/>
        </w:rPr>
        <w:t xml:space="preserve">In 2022/23, the </w:t>
      </w:r>
      <w:r w:rsidR="004934C4" w:rsidRPr="00514F5A">
        <w:rPr>
          <w:rFonts w:ascii="Arial" w:eastAsiaTheme="minorEastAsia" w:hAnsi="Arial" w:cs="Arial"/>
          <w:sz w:val="20"/>
          <w:szCs w:val="20"/>
        </w:rPr>
        <w:t>Department</w:t>
      </w:r>
      <w:r w:rsidRPr="00514F5A">
        <w:rPr>
          <w:rFonts w:ascii="Arial" w:eastAsiaTheme="minorEastAsia" w:hAnsi="Arial" w:cs="Arial"/>
          <w:sz w:val="20"/>
          <w:szCs w:val="20"/>
        </w:rPr>
        <w:t xml:space="preserve"> drafted the South African national employment policy in partnership with the International Labour Organisation. The purpose of the policy is to determine a sustainable approach to employment growth. In line with the policy, the </w:t>
      </w:r>
      <w:r w:rsidR="004934C4" w:rsidRPr="00514F5A">
        <w:rPr>
          <w:rFonts w:ascii="Arial" w:eastAsiaTheme="minorEastAsia" w:hAnsi="Arial" w:cs="Arial"/>
          <w:sz w:val="20"/>
          <w:szCs w:val="20"/>
        </w:rPr>
        <w:t>Department</w:t>
      </w:r>
      <w:r w:rsidRPr="00514F5A">
        <w:rPr>
          <w:rFonts w:ascii="Arial" w:eastAsiaTheme="minorEastAsia" w:hAnsi="Arial" w:cs="Arial"/>
          <w:sz w:val="20"/>
          <w:szCs w:val="20"/>
        </w:rPr>
        <w:t xml:space="preserve"> plans to establish an employment war room over the medium term. The purpose of this intervention is to bring together government </w:t>
      </w:r>
      <w:r w:rsidR="004934C4" w:rsidRPr="00514F5A">
        <w:rPr>
          <w:rFonts w:ascii="Arial" w:eastAsiaTheme="minorEastAsia" w:hAnsi="Arial" w:cs="Arial"/>
          <w:sz w:val="20"/>
          <w:szCs w:val="20"/>
        </w:rPr>
        <w:t>Department</w:t>
      </w:r>
      <w:r w:rsidRPr="00514F5A">
        <w:rPr>
          <w:rFonts w:ascii="Arial" w:eastAsiaTheme="minorEastAsia" w:hAnsi="Arial" w:cs="Arial"/>
          <w:sz w:val="20"/>
          <w:szCs w:val="20"/>
        </w:rPr>
        <w:t xml:space="preserve">s, business experts, and labour and community organisations. The </w:t>
      </w:r>
      <w:r w:rsidR="004934C4" w:rsidRPr="00514F5A">
        <w:rPr>
          <w:rFonts w:ascii="Arial" w:eastAsiaTheme="minorEastAsia" w:hAnsi="Arial" w:cs="Arial"/>
          <w:sz w:val="20"/>
          <w:szCs w:val="20"/>
        </w:rPr>
        <w:t>Department</w:t>
      </w:r>
      <w:r w:rsidRPr="00514F5A">
        <w:rPr>
          <w:rFonts w:ascii="Arial" w:eastAsiaTheme="minorEastAsia" w:hAnsi="Arial" w:cs="Arial"/>
          <w:sz w:val="20"/>
          <w:szCs w:val="20"/>
        </w:rPr>
        <w:t xml:space="preserve"> will also focus on implementing an accessible framework for active labour market policies that supports work seekers by, among other things, digitising applications for vacancies and providing employment counselling through the Employment Services of South Africa system. This is expected to be done in collaboration with private employment agencies with the aim of facilitating viable pathways to employment. </w:t>
      </w:r>
    </w:p>
    <w:p w:rsidR="004934C4" w:rsidRPr="00514F5A" w:rsidRDefault="004934C4" w:rsidP="00514F5A">
      <w:pPr>
        <w:spacing w:after="0" w:line="240" w:lineRule="auto"/>
        <w:rPr>
          <w:rFonts w:ascii="Arial" w:eastAsiaTheme="minorEastAsia" w:hAnsi="Arial" w:cs="Arial"/>
          <w:sz w:val="20"/>
          <w:szCs w:val="20"/>
        </w:rPr>
      </w:pPr>
    </w:p>
    <w:p w:rsidR="006B31BE" w:rsidRPr="00514F5A" w:rsidRDefault="006B31BE" w:rsidP="00514F5A">
      <w:pPr>
        <w:spacing w:after="0" w:line="240" w:lineRule="auto"/>
        <w:rPr>
          <w:rFonts w:ascii="Arial" w:eastAsiaTheme="minorEastAsia" w:hAnsi="Arial" w:cs="Arial"/>
          <w:sz w:val="20"/>
          <w:szCs w:val="20"/>
        </w:rPr>
      </w:pPr>
      <w:r w:rsidRPr="00514F5A">
        <w:rPr>
          <w:rFonts w:ascii="Arial" w:eastAsiaTheme="minorEastAsia" w:hAnsi="Arial" w:cs="Arial"/>
          <w:sz w:val="20"/>
          <w:szCs w:val="20"/>
        </w:rPr>
        <w:t>The Employment Services of South Africa online app</w:t>
      </w:r>
      <w:r w:rsidR="00716925" w:rsidRPr="00514F5A">
        <w:rPr>
          <w:rFonts w:ascii="Arial" w:eastAsiaTheme="minorEastAsia" w:hAnsi="Arial" w:cs="Arial"/>
          <w:sz w:val="20"/>
          <w:szCs w:val="20"/>
        </w:rPr>
        <w:t xml:space="preserve">lication, </w:t>
      </w:r>
      <w:r w:rsidRPr="00514F5A">
        <w:rPr>
          <w:rFonts w:ascii="Arial" w:eastAsiaTheme="minorEastAsia" w:hAnsi="Arial" w:cs="Arial"/>
          <w:sz w:val="20"/>
          <w:szCs w:val="20"/>
        </w:rPr>
        <w:t>has been developed and w</w:t>
      </w:r>
      <w:r w:rsidR="00716925" w:rsidRPr="00514F5A">
        <w:rPr>
          <w:rFonts w:ascii="Arial" w:eastAsiaTheme="minorEastAsia" w:hAnsi="Arial" w:cs="Arial"/>
          <w:sz w:val="20"/>
          <w:szCs w:val="20"/>
        </w:rPr>
        <w:t xml:space="preserve">as to </w:t>
      </w:r>
      <w:r w:rsidRPr="00514F5A">
        <w:rPr>
          <w:rFonts w:ascii="Arial" w:eastAsiaTheme="minorEastAsia" w:hAnsi="Arial" w:cs="Arial"/>
          <w:sz w:val="20"/>
          <w:szCs w:val="20"/>
        </w:rPr>
        <w:t>go live on 1 April 2023. Limited data and internet access are still hindrances to work seekers. In addition, all youth employment centres that were built in 2022/23 will have free Wi</w:t>
      </w:r>
      <w:r w:rsidRPr="00514F5A">
        <w:rPr>
          <w:rFonts w:ascii="Times New Roman" w:eastAsiaTheme="minorEastAsia" w:hAnsi="Times New Roman" w:cs="Arial"/>
          <w:sz w:val="20"/>
          <w:szCs w:val="20"/>
        </w:rPr>
        <w:t>‐</w:t>
      </w:r>
      <w:r w:rsidRPr="00514F5A">
        <w:rPr>
          <w:rFonts w:ascii="Arial" w:eastAsiaTheme="minorEastAsia" w:hAnsi="Arial" w:cs="Arial"/>
          <w:sz w:val="20"/>
          <w:szCs w:val="20"/>
        </w:rPr>
        <w:t xml:space="preserve">Fi. Internet connectivity will also enable work seekers to access other tools that assist youth to better understand their career aspirations and build capacity. </w:t>
      </w:r>
    </w:p>
    <w:p w:rsidR="006B31BE" w:rsidRPr="00514F5A" w:rsidRDefault="006B31BE" w:rsidP="00514F5A">
      <w:pPr>
        <w:spacing w:after="0" w:line="240" w:lineRule="auto"/>
        <w:rPr>
          <w:rFonts w:ascii="Arial" w:eastAsiaTheme="minorEastAsia" w:hAnsi="Arial" w:cs="Arial"/>
          <w:sz w:val="20"/>
          <w:szCs w:val="20"/>
        </w:rPr>
      </w:pPr>
    </w:p>
    <w:p w:rsidR="006B31BE" w:rsidRPr="00514F5A" w:rsidRDefault="006B31BE" w:rsidP="00514F5A">
      <w:pPr>
        <w:spacing w:after="0" w:line="240" w:lineRule="auto"/>
        <w:rPr>
          <w:rFonts w:ascii="Arial" w:eastAsiaTheme="minorEastAsia" w:hAnsi="Arial" w:cs="Arial"/>
          <w:b/>
          <w:i/>
          <w:sz w:val="20"/>
          <w:szCs w:val="20"/>
        </w:rPr>
      </w:pPr>
      <w:r w:rsidRPr="00514F5A">
        <w:rPr>
          <w:rFonts w:ascii="Arial" w:eastAsiaTheme="minorEastAsia" w:hAnsi="Arial" w:cs="Arial"/>
          <w:sz w:val="20"/>
          <w:szCs w:val="20"/>
        </w:rPr>
        <w:t xml:space="preserve">In 2022/23, the </w:t>
      </w:r>
      <w:r w:rsidR="004934C4" w:rsidRPr="00514F5A">
        <w:rPr>
          <w:rFonts w:ascii="Arial" w:eastAsiaTheme="minorEastAsia" w:hAnsi="Arial" w:cs="Arial"/>
          <w:sz w:val="20"/>
          <w:szCs w:val="20"/>
        </w:rPr>
        <w:t>Department</w:t>
      </w:r>
      <w:r w:rsidRPr="00514F5A">
        <w:rPr>
          <w:rFonts w:ascii="Arial" w:eastAsiaTheme="minorEastAsia" w:hAnsi="Arial" w:cs="Arial"/>
          <w:sz w:val="20"/>
          <w:szCs w:val="20"/>
        </w:rPr>
        <w:t xml:space="preserve"> drafted the new national migration policy and proposed amendments to the Employment Services Act (2014). A strong focus over the MTEF period will be on the rapid implementation of these amendments, which is expected to provide more employment opportunities for young South Africans, particularly in the hospitality, tourism and agriculture sectors.</w:t>
      </w:r>
      <w:r w:rsidRPr="00514F5A">
        <w:rPr>
          <w:rFonts w:ascii="Arial" w:eastAsiaTheme="minorEastAsia" w:hAnsi="Arial" w:cs="Arial"/>
          <w:b/>
          <w:i/>
          <w:sz w:val="20"/>
          <w:szCs w:val="20"/>
        </w:rPr>
        <w:t xml:space="preserve"> </w:t>
      </w:r>
    </w:p>
    <w:p w:rsidR="00264DDC" w:rsidRPr="00514F5A" w:rsidRDefault="00264DDC" w:rsidP="00514F5A">
      <w:pPr>
        <w:spacing w:after="0" w:line="240" w:lineRule="auto"/>
        <w:rPr>
          <w:rFonts w:ascii="Arial" w:eastAsiaTheme="minorEastAsia" w:hAnsi="Arial" w:cs="Arial"/>
          <w:b/>
          <w:i/>
          <w:sz w:val="20"/>
          <w:szCs w:val="20"/>
        </w:rPr>
      </w:pPr>
    </w:p>
    <w:p w:rsidR="006B31BE" w:rsidRPr="00514F5A" w:rsidRDefault="006B31BE" w:rsidP="00514F5A">
      <w:pPr>
        <w:spacing w:after="0" w:line="240" w:lineRule="auto"/>
        <w:rPr>
          <w:rFonts w:ascii="Arial" w:eastAsiaTheme="minorEastAsia" w:hAnsi="Arial" w:cs="Arial"/>
          <w:b/>
          <w:sz w:val="20"/>
          <w:szCs w:val="20"/>
        </w:rPr>
      </w:pPr>
      <w:r w:rsidRPr="00514F5A">
        <w:rPr>
          <w:rFonts w:ascii="Arial" w:eastAsiaTheme="minorEastAsia" w:hAnsi="Arial" w:cs="Arial"/>
          <w:b/>
          <w:i/>
          <w:sz w:val="20"/>
          <w:szCs w:val="20"/>
        </w:rPr>
        <w:t xml:space="preserve">Regulating the workplace </w:t>
      </w:r>
    </w:p>
    <w:p w:rsidR="004934C4" w:rsidRPr="00514F5A" w:rsidRDefault="006B31BE" w:rsidP="00514F5A">
      <w:pPr>
        <w:spacing w:after="0" w:line="240" w:lineRule="auto"/>
        <w:rPr>
          <w:rFonts w:ascii="Arial" w:eastAsiaTheme="minorEastAsia" w:hAnsi="Arial" w:cs="Arial"/>
          <w:sz w:val="20"/>
          <w:szCs w:val="20"/>
        </w:rPr>
      </w:pPr>
      <w:r w:rsidRPr="00514F5A">
        <w:rPr>
          <w:rFonts w:ascii="Arial" w:eastAsiaTheme="minorEastAsia" w:hAnsi="Arial" w:cs="Arial"/>
          <w:sz w:val="20"/>
          <w:szCs w:val="20"/>
        </w:rPr>
        <w:t xml:space="preserve">The </w:t>
      </w:r>
      <w:r w:rsidR="004934C4" w:rsidRPr="00514F5A">
        <w:rPr>
          <w:rFonts w:ascii="Arial" w:eastAsiaTheme="minorEastAsia" w:hAnsi="Arial" w:cs="Arial"/>
          <w:sz w:val="20"/>
          <w:szCs w:val="20"/>
        </w:rPr>
        <w:t>Department</w:t>
      </w:r>
      <w:r w:rsidRPr="00514F5A">
        <w:rPr>
          <w:rFonts w:ascii="Arial" w:eastAsiaTheme="minorEastAsia" w:hAnsi="Arial" w:cs="Arial"/>
          <w:sz w:val="20"/>
          <w:szCs w:val="20"/>
        </w:rPr>
        <w:t xml:space="preserve"> plans to conduct an annual review of the national minimum wage over the medium term. This will include the development of monitoring mechanisms to measure its impact on the economy, collective</w:t>
      </w:r>
      <w:r w:rsidR="004934C4" w:rsidRPr="00514F5A">
        <w:rPr>
          <w:rFonts w:ascii="Arial" w:eastAsiaTheme="minorEastAsia" w:hAnsi="Arial" w:cs="Arial"/>
          <w:sz w:val="20"/>
          <w:szCs w:val="20"/>
        </w:rPr>
        <w:t xml:space="preserve"> bargaining, the reduction of income differentials, and proposed adjustments. The Commission for Conciliation, Mediation and Arbitration spearheads the Department’s efforts in this regard and is set to receive an estimated 77.6 per cent (R3.3 billion) of the </w:t>
      </w:r>
      <w:r w:rsidR="004934C4" w:rsidRPr="00514F5A">
        <w:rPr>
          <w:rFonts w:ascii="Arial" w:eastAsiaTheme="minorEastAsia" w:hAnsi="Arial" w:cs="Arial"/>
          <w:i/>
          <w:sz w:val="20"/>
          <w:szCs w:val="20"/>
        </w:rPr>
        <w:t xml:space="preserve">Labour Policy and Industrial Relations </w:t>
      </w:r>
      <w:r w:rsidR="004934C4" w:rsidRPr="00514F5A">
        <w:rPr>
          <w:rFonts w:ascii="Arial" w:eastAsiaTheme="minorEastAsia" w:hAnsi="Arial" w:cs="Arial"/>
          <w:sz w:val="20"/>
          <w:szCs w:val="20"/>
        </w:rPr>
        <w:t xml:space="preserve">programme’s allocation over the medium term. </w:t>
      </w:r>
    </w:p>
    <w:p w:rsidR="004934C4" w:rsidRPr="00514F5A" w:rsidRDefault="004934C4" w:rsidP="00514F5A">
      <w:pPr>
        <w:spacing w:after="0" w:line="240" w:lineRule="auto"/>
        <w:rPr>
          <w:rFonts w:ascii="Arial" w:eastAsiaTheme="minorEastAsia" w:hAnsi="Arial" w:cs="Arial"/>
          <w:sz w:val="20"/>
          <w:szCs w:val="20"/>
        </w:rPr>
      </w:pPr>
    </w:p>
    <w:p w:rsidR="004934C4" w:rsidRPr="00514F5A" w:rsidRDefault="004934C4" w:rsidP="00514F5A">
      <w:pPr>
        <w:spacing w:after="0" w:line="240" w:lineRule="auto"/>
        <w:rPr>
          <w:rFonts w:ascii="Arial" w:eastAsiaTheme="minorEastAsia" w:hAnsi="Arial" w:cs="Arial"/>
          <w:b/>
          <w:sz w:val="20"/>
          <w:szCs w:val="20"/>
        </w:rPr>
      </w:pPr>
      <w:r w:rsidRPr="00514F5A">
        <w:rPr>
          <w:rFonts w:ascii="Arial" w:eastAsiaTheme="minorEastAsia" w:hAnsi="Arial" w:cs="Arial"/>
          <w:b/>
          <w:i/>
          <w:sz w:val="20"/>
          <w:szCs w:val="20"/>
        </w:rPr>
        <w:t xml:space="preserve">Shaping the future of work and protecting workers’ rights </w:t>
      </w:r>
    </w:p>
    <w:p w:rsidR="00716925" w:rsidRPr="00514F5A" w:rsidRDefault="004934C4" w:rsidP="00514F5A">
      <w:pPr>
        <w:spacing w:after="0" w:line="240" w:lineRule="auto"/>
        <w:rPr>
          <w:rFonts w:ascii="Arial" w:eastAsiaTheme="minorEastAsia" w:hAnsi="Arial" w:cs="Arial"/>
          <w:sz w:val="20"/>
          <w:szCs w:val="20"/>
        </w:rPr>
      </w:pPr>
      <w:r w:rsidRPr="00514F5A">
        <w:rPr>
          <w:rFonts w:ascii="Arial" w:eastAsiaTheme="minorEastAsia" w:hAnsi="Arial" w:cs="Arial"/>
          <w:sz w:val="20"/>
          <w:szCs w:val="20"/>
        </w:rPr>
        <w:lastRenderedPageBreak/>
        <w:t xml:space="preserve">Over the period ahead, South Africa’s key engagement in multinational platforms includes assuming the presidency of the BRICS group of countries for 2023. The Department hopes to use this platform, as well as the ministerial meeting on labour and employment in September 2023, to shape the future of work and protect the rights of workers in new forms of employment. The following priorities are expected to be deliberated on in the BRICS forum: </w:t>
      </w:r>
    </w:p>
    <w:p w:rsidR="00716925" w:rsidRPr="00514F5A" w:rsidRDefault="00716925" w:rsidP="00514F5A">
      <w:pPr>
        <w:spacing w:after="0" w:line="240" w:lineRule="auto"/>
        <w:rPr>
          <w:rFonts w:ascii="Arial" w:eastAsiaTheme="minorEastAsia" w:hAnsi="Arial" w:cs="Arial"/>
          <w:sz w:val="20"/>
          <w:szCs w:val="20"/>
        </w:rPr>
      </w:pPr>
    </w:p>
    <w:p w:rsidR="00716925" w:rsidRPr="00514F5A" w:rsidRDefault="004934C4" w:rsidP="00514F5A">
      <w:pPr>
        <w:pStyle w:val="ListParagraph"/>
        <w:numPr>
          <w:ilvl w:val="0"/>
          <w:numId w:val="13"/>
        </w:numPr>
        <w:spacing w:after="0" w:line="240" w:lineRule="auto"/>
        <w:rPr>
          <w:rFonts w:ascii="Arial" w:eastAsiaTheme="minorEastAsia" w:hAnsi="Arial" w:cs="Arial"/>
          <w:sz w:val="20"/>
          <w:szCs w:val="20"/>
        </w:rPr>
      </w:pPr>
      <w:r w:rsidRPr="00514F5A">
        <w:rPr>
          <w:rFonts w:ascii="Arial" w:eastAsiaTheme="minorEastAsia" w:hAnsi="Arial" w:cs="Arial"/>
          <w:sz w:val="20"/>
          <w:szCs w:val="20"/>
        </w:rPr>
        <w:t>building sustainable enterprises, including new forms of employment; increasing productivity;</w:t>
      </w:r>
    </w:p>
    <w:p w:rsidR="00716925" w:rsidRPr="00514F5A" w:rsidRDefault="004934C4" w:rsidP="00514F5A">
      <w:pPr>
        <w:pStyle w:val="ListParagraph"/>
        <w:numPr>
          <w:ilvl w:val="0"/>
          <w:numId w:val="13"/>
        </w:numPr>
        <w:spacing w:after="0" w:line="240" w:lineRule="auto"/>
        <w:rPr>
          <w:rFonts w:ascii="Arial" w:eastAsiaTheme="minorEastAsia" w:hAnsi="Arial" w:cs="Arial"/>
          <w:sz w:val="20"/>
          <w:szCs w:val="20"/>
        </w:rPr>
      </w:pPr>
      <w:r w:rsidRPr="00514F5A">
        <w:rPr>
          <w:rFonts w:ascii="Arial" w:eastAsiaTheme="minorEastAsia" w:hAnsi="Arial" w:cs="Arial"/>
          <w:sz w:val="20"/>
          <w:szCs w:val="20"/>
        </w:rPr>
        <w:t>promoting labour rights and decreasing decent work deficits in the context of economic recovery after the COVID</w:t>
      </w:r>
      <w:r w:rsidRPr="00514F5A">
        <w:rPr>
          <w:rFonts w:ascii="Times New Roman" w:eastAsiaTheme="minorEastAsia" w:hAnsi="Times New Roman" w:cs="Arial"/>
          <w:sz w:val="20"/>
          <w:szCs w:val="20"/>
        </w:rPr>
        <w:t>‐</w:t>
      </w:r>
      <w:r w:rsidRPr="00514F5A">
        <w:rPr>
          <w:rFonts w:ascii="Arial" w:eastAsiaTheme="minorEastAsia" w:hAnsi="Arial" w:cs="Arial"/>
          <w:sz w:val="20"/>
          <w:szCs w:val="20"/>
        </w:rPr>
        <w:t xml:space="preserve">19 pandemic; </w:t>
      </w:r>
      <w:r w:rsidR="00716925" w:rsidRPr="00514F5A">
        <w:rPr>
          <w:rFonts w:ascii="Arial" w:eastAsiaTheme="minorEastAsia" w:hAnsi="Arial" w:cs="Arial"/>
          <w:sz w:val="20"/>
          <w:szCs w:val="20"/>
        </w:rPr>
        <w:t>and</w:t>
      </w:r>
    </w:p>
    <w:p w:rsidR="004934C4" w:rsidRPr="00514F5A" w:rsidRDefault="004934C4" w:rsidP="00514F5A">
      <w:pPr>
        <w:pStyle w:val="ListParagraph"/>
        <w:numPr>
          <w:ilvl w:val="0"/>
          <w:numId w:val="13"/>
        </w:numPr>
        <w:spacing w:after="0" w:line="240" w:lineRule="auto"/>
        <w:rPr>
          <w:rFonts w:ascii="Arial" w:eastAsiaTheme="minorEastAsia" w:hAnsi="Arial" w:cs="Arial"/>
          <w:sz w:val="20"/>
          <w:szCs w:val="20"/>
        </w:rPr>
      </w:pPr>
      <w:r w:rsidRPr="00514F5A">
        <w:rPr>
          <w:rFonts w:ascii="Arial" w:eastAsiaTheme="minorEastAsia" w:hAnsi="Arial" w:cs="Arial"/>
          <w:sz w:val="20"/>
          <w:szCs w:val="20"/>
        </w:rPr>
        <w:t xml:space="preserve">ensuring universal social protection and minimum basic income; and promoting decent work by closing skills gaps in the informal economy. For this purpose, the Department has budgeted R15 million in the </w:t>
      </w:r>
      <w:r w:rsidRPr="00514F5A">
        <w:rPr>
          <w:rFonts w:ascii="Arial" w:eastAsiaTheme="minorEastAsia" w:hAnsi="Arial" w:cs="Arial"/>
          <w:i/>
          <w:sz w:val="20"/>
          <w:szCs w:val="20"/>
        </w:rPr>
        <w:t>Labour Policy and Industrial Relations</w:t>
      </w:r>
      <w:r w:rsidRPr="00514F5A">
        <w:rPr>
          <w:rFonts w:ascii="Arial" w:eastAsiaTheme="minorEastAsia" w:hAnsi="Arial" w:cs="Arial"/>
          <w:sz w:val="20"/>
          <w:szCs w:val="20"/>
        </w:rPr>
        <w:t xml:space="preserve"> programme. </w:t>
      </w:r>
    </w:p>
    <w:p w:rsidR="00E43E6C" w:rsidRPr="00514F5A" w:rsidRDefault="00E43E6C" w:rsidP="00514F5A">
      <w:pPr>
        <w:spacing w:after="0" w:line="240" w:lineRule="auto"/>
        <w:rPr>
          <w:rFonts w:ascii="Arial" w:eastAsiaTheme="minorEastAsia" w:hAnsi="Arial" w:cs="Arial"/>
          <w:sz w:val="20"/>
          <w:szCs w:val="20"/>
        </w:rPr>
      </w:pPr>
    </w:p>
    <w:p w:rsidR="00271014" w:rsidRPr="00514F5A" w:rsidRDefault="00271014" w:rsidP="00514F5A">
      <w:pPr>
        <w:spacing w:after="0" w:line="240" w:lineRule="auto"/>
        <w:rPr>
          <w:rFonts w:ascii="Arial" w:eastAsiaTheme="minorEastAsia" w:hAnsi="Arial" w:cs="Arial"/>
          <w:sz w:val="20"/>
          <w:szCs w:val="20"/>
          <w:lang w:val="en-GB"/>
        </w:rPr>
      </w:pPr>
      <w:r w:rsidRPr="00514F5A">
        <w:rPr>
          <w:rFonts w:ascii="Arial" w:eastAsiaTheme="minorEastAsia" w:hAnsi="Arial" w:cs="Arial"/>
          <w:sz w:val="20"/>
          <w:szCs w:val="20"/>
          <w:lang w:val="en-GB"/>
        </w:rPr>
        <w:t xml:space="preserve">The purpose of </w:t>
      </w:r>
      <w:r w:rsidRPr="00514F5A">
        <w:rPr>
          <w:rFonts w:ascii="Arial" w:eastAsiaTheme="minorEastAsia" w:hAnsi="Arial" w:cs="Arial"/>
          <w:i/>
          <w:sz w:val="20"/>
          <w:szCs w:val="20"/>
          <w:lang w:val="en-GB"/>
        </w:rPr>
        <w:t>Programme 1: Administration</w:t>
      </w:r>
      <w:r w:rsidRPr="00514F5A">
        <w:rPr>
          <w:rFonts w:ascii="Arial" w:eastAsiaTheme="minorEastAsia" w:hAnsi="Arial" w:cs="Arial"/>
          <w:sz w:val="20"/>
          <w:szCs w:val="20"/>
          <w:lang w:val="en-GB"/>
        </w:rPr>
        <w:t xml:space="preserve"> programme is to provide strategic leadership, management and support to the Department. </w:t>
      </w:r>
      <w:r w:rsidR="003602B6" w:rsidRPr="00514F5A">
        <w:rPr>
          <w:rFonts w:ascii="Arial" w:eastAsiaTheme="minorEastAsia" w:hAnsi="Arial" w:cs="Arial"/>
          <w:sz w:val="20"/>
          <w:szCs w:val="20"/>
          <w:lang w:val="en-GB"/>
        </w:rPr>
        <w:t xml:space="preserve"> </w:t>
      </w:r>
      <w:r w:rsidR="00884DEA" w:rsidRPr="00514F5A">
        <w:rPr>
          <w:rFonts w:ascii="Arial" w:eastAsiaTheme="minorEastAsia" w:hAnsi="Arial" w:cs="Arial"/>
          <w:sz w:val="20"/>
          <w:szCs w:val="20"/>
          <w:lang w:val="en-GB"/>
        </w:rPr>
        <w:t>The key outputs in the Annual Performance Plan (APP) for this programme for the 2023/24 financial year include the following:</w:t>
      </w:r>
    </w:p>
    <w:p w:rsidR="00716925" w:rsidRPr="00514F5A" w:rsidRDefault="00716925" w:rsidP="00514F5A">
      <w:pPr>
        <w:spacing w:after="0" w:line="240" w:lineRule="auto"/>
        <w:rPr>
          <w:rFonts w:ascii="Arial" w:eastAsiaTheme="minorEastAsia" w:hAnsi="Arial" w:cs="Arial"/>
          <w:sz w:val="20"/>
          <w:szCs w:val="20"/>
          <w:lang w:val="en-GB"/>
        </w:rPr>
      </w:pPr>
    </w:p>
    <w:p w:rsidR="00884DEA" w:rsidRPr="00514F5A" w:rsidRDefault="00884DEA" w:rsidP="00514F5A">
      <w:pPr>
        <w:pStyle w:val="ListParagraph"/>
        <w:numPr>
          <w:ilvl w:val="0"/>
          <w:numId w:val="4"/>
        </w:numPr>
        <w:spacing w:after="0" w:line="240" w:lineRule="auto"/>
        <w:rPr>
          <w:rFonts w:ascii="Arial" w:eastAsiaTheme="minorEastAsia" w:hAnsi="Arial" w:cs="Arial"/>
          <w:sz w:val="20"/>
          <w:szCs w:val="20"/>
          <w:lang w:val="en-GB"/>
        </w:rPr>
      </w:pPr>
      <w:r w:rsidRPr="00514F5A">
        <w:rPr>
          <w:rFonts w:ascii="Arial" w:eastAsiaTheme="minorEastAsia" w:hAnsi="Arial" w:cs="Arial"/>
          <w:sz w:val="20"/>
          <w:szCs w:val="20"/>
          <w:lang w:val="en-GB"/>
        </w:rPr>
        <w:t>Percentage of vacant funded posts maintained (7 percent or less per quarter)</w:t>
      </w:r>
    </w:p>
    <w:p w:rsidR="00884DEA" w:rsidRPr="00514F5A" w:rsidRDefault="00884DEA" w:rsidP="00514F5A">
      <w:pPr>
        <w:pStyle w:val="ListParagraph"/>
        <w:numPr>
          <w:ilvl w:val="0"/>
          <w:numId w:val="4"/>
        </w:numPr>
        <w:spacing w:after="0" w:line="240" w:lineRule="auto"/>
        <w:rPr>
          <w:rFonts w:ascii="Arial" w:eastAsiaTheme="minorEastAsia" w:hAnsi="Arial" w:cs="Arial"/>
          <w:sz w:val="20"/>
          <w:szCs w:val="20"/>
          <w:lang w:val="en-GB"/>
        </w:rPr>
      </w:pPr>
      <w:r w:rsidRPr="00514F5A">
        <w:rPr>
          <w:rFonts w:ascii="Arial" w:eastAsiaTheme="minorEastAsia" w:hAnsi="Arial" w:cs="Arial"/>
          <w:sz w:val="20"/>
          <w:szCs w:val="20"/>
          <w:lang w:val="en-GB"/>
        </w:rPr>
        <w:t>Improve the Information Security status of the Department per annum (100 percent implementation of Roadmap Phase 1)</w:t>
      </w:r>
    </w:p>
    <w:p w:rsidR="00884DEA" w:rsidRPr="00514F5A" w:rsidRDefault="00884DEA" w:rsidP="00514F5A">
      <w:pPr>
        <w:pStyle w:val="ListParagraph"/>
        <w:numPr>
          <w:ilvl w:val="0"/>
          <w:numId w:val="4"/>
        </w:numPr>
        <w:spacing w:after="0" w:line="240" w:lineRule="auto"/>
        <w:rPr>
          <w:rFonts w:ascii="Arial" w:eastAsiaTheme="minorEastAsia" w:hAnsi="Arial" w:cs="Arial"/>
          <w:sz w:val="20"/>
          <w:szCs w:val="20"/>
          <w:lang w:val="en-GB"/>
        </w:rPr>
      </w:pPr>
      <w:r w:rsidRPr="00514F5A">
        <w:rPr>
          <w:rFonts w:ascii="Arial" w:eastAsiaTheme="minorEastAsia" w:hAnsi="Arial" w:cs="Arial"/>
          <w:sz w:val="20"/>
          <w:szCs w:val="20"/>
          <w:lang w:val="en-GB"/>
        </w:rPr>
        <w:t xml:space="preserve">Ensure functionality </w:t>
      </w:r>
      <w:r w:rsidR="00752933" w:rsidRPr="00514F5A">
        <w:rPr>
          <w:rFonts w:ascii="Arial" w:eastAsiaTheme="minorEastAsia" w:hAnsi="Arial" w:cs="Arial"/>
          <w:sz w:val="20"/>
          <w:szCs w:val="20"/>
          <w:lang w:val="en-GB"/>
        </w:rPr>
        <w:t>of ethics structures and adequate capacity per annum (Rollout of Ethics Management Plan for the year)</w:t>
      </w:r>
    </w:p>
    <w:p w:rsidR="00752933" w:rsidRPr="00514F5A" w:rsidRDefault="00752933" w:rsidP="00514F5A">
      <w:pPr>
        <w:pStyle w:val="ListParagraph"/>
        <w:numPr>
          <w:ilvl w:val="0"/>
          <w:numId w:val="4"/>
        </w:numPr>
        <w:spacing w:after="0" w:line="240" w:lineRule="auto"/>
        <w:rPr>
          <w:rFonts w:ascii="Arial" w:eastAsiaTheme="minorEastAsia" w:hAnsi="Arial" w:cs="Arial"/>
          <w:sz w:val="20"/>
          <w:szCs w:val="20"/>
          <w:lang w:val="en-GB"/>
        </w:rPr>
      </w:pPr>
      <w:r w:rsidRPr="00514F5A">
        <w:rPr>
          <w:rFonts w:ascii="Arial" w:eastAsiaTheme="minorEastAsia" w:hAnsi="Arial" w:cs="Arial"/>
          <w:sz w:val="20"/>
          <w:szCs w:val="20"/>
          <w:lang w:val="en-GB"/>
        </w:rPr>
        <w:t>Percentage of corruption/ fraud cases finalised by Department through investigations within six months of receipt (75 percent)</w:t>
      </w:r>
    </w:p>
    <w:p w:rsidR="00752933" w:rsidRPr="00514F5A" w:rsidRDefault="00752933" w:rsidP="00514F5A">
      <w:pPr>
        <w:pStyle w:val="ListParagraph"/>
        <w:numPr>
          <w:ilvl w:val="0"/>
          <w:numId w:val="4"/>
        </w:numPr>
        <w:spacing w:after="0" w:line="240" w:lineRule="auto"/>
        <w:rPr>
          <w:rFonts w:ascii="Arial" w:eastAsiaTheme="minorEastAsia" w:hAnsi="Arial" w:cs="Arial"/>
          <w:sz w:val="20"/>
          <w:szCs w:val="20"/>
          <w:lang w:val="en-GB"/>
        </w:rPr>
      </w:pPr>
      <w:r w:rsidRPr="00514F5A">
        <w:rPr>
          <w:rFonts w:ascii="Arial" w:eastAsiaTheme="minorEastAsia" w:hAnsi="Arial" w:cs="Arial"/>
          <w:sz w:val="20"/>
          <w:szCs w:val="20"/>
          <w:lang w:val="en-GB"/>
        </w:rPr>
        <w:t>Percentage of consequence management cases related to corruption cases finalised by Employment Relations (ER) through investigation within 90 days (80 percent)</w:t>
      </w:r>
    </w:p>
    <w:p w:rsidR="004934C4" w:rsidRPr="00514F5A" w:rsidRDefault="004934C4" w:rsidP="00514F5A">
      <w:pPr>
        <w:spacing w:after="0" w:line="240" w:lineRule="auto"/>
        <w:rPr>
          <w:rFonts w:ascii="Arial" w:eastAsiaTheme="minorEastAsia" w:hAnsi="Arial" w:cs="Arial"/>
          <w:sz w:val="20"/>
          <w:szCs w:val="20"/>
        </w:rPr>
      </w:pPr>
    </w:p>
    <w:p w:rsidR="00752933" w:rsidRPr="00514F5A" w:rsidRDefault="00752933" w:rsidP="00514F5A">
      <w:pPr>
        <w:spacing w:after="0" w:line="240" w:lineRule="auto"/>
        <w:rPr>
          <w:rFonts w:ascii="Arial" w:eastAsiaTheme="minorEastAsia" w:hAnsi="Arial" w:cs="Arial"/>
          <w:sz w:val="20"/>
          <w:szCs w:val="20"/>
          <w:lang w:val="en-GB"/>
        </w:rPr>
      </w:pPr>
      <w:r w:rsidRPr="00514F5A">
        <w:rPr>
          <w:rFonts w:ascii="Arial" w:eastAsiaTheme="minorEastAsia" w:hAnsi="Arial" w:cs="Arial"/>
          <w:sz w:val="20"/>
          <w:szCs w:val="20"/>
        </w:rPr>
        <w:t>Programme</w:t>
      </w:r>
      <w:r w:rsidR="00D85B5B" w:rsidRPr="00514F5A">
        <w:rPr>
          <w:rFonts w:ascii="Arial" w:eastAsiaTheme="minorEastAsia" w:hAnsi="Arial" w:cs="Arial"/>
          <w:sz w:val="20"/>
          <w:szCs w:val="20"/>
        </w:rPr>
        <w:t xml:space="preserve"> 1:</w:t>
      </w:r>
      <w:r w:rsidRPr="00514F5A">
        <w:rPr>
          <w:rFonts w:ascii="Arial" w:eastAsiaTheme="minorEastAsia" w:hAnsi="Arial" w:cs="Arial"/>
          <w:sz w:val="20"/>
          <w:szCs w:val="20"/>
        </w:rPr>
        <w:t xml:space="preserve"> Administration will provide support services to the different Branches of the Department in order to achieve the outputs. The Department reported that although the capacity is limited, there should be other innovative ways of ensuring that sufficient support is provided. The experience and lessons learnt from the Covid-19 pandemic has exposed ICT to the urgent need to be more agile in dealing with ICT needs by the clients and the need to have electronic media as the cornerstone of delivering services as well as communication within the Department. The Covid-19 pandemic has accelerated the need for digitisation of the departmental processes and ICT should be provided with resources to enable it to take the Department to greater heights. The Administration programme allocation over MTEF has increased with baseline growth at annual average of 4.5 percent over the MTEF period. In order for the programme to continue providing management support services towards the core functions of the Department, reprioritisation on major line items has been effected. Over the MTEF period, the budget allocation increased from R1.075 billion in first year, R1.132 billion in second year and R1.195 billion in the outer year.  </w:t>
      </w:r>
      <w:r w:rsidRPr="00514F5A">
        <w:rPr>
          <w:rFonts w:ascii="Arial" w:eastAsiaTheme="minorEastAsia" w:hAnsi="Arial" w:cs="Arial"/>
          <w:sz w:val="20"/>
          <w:szCs w:val="20"/>
          <w:lang w:val="en-GB"/>
        </w:rPr>
        <w:t xml:space="preserve">Programme 1: Administration’s overall budgets declined by 6,85 </w:t>
      </w:r>
      <w:r w:rsidR="008236BA" w:rsidRPr="00514F5A">
        <w:rPr>
          <w:rFonts w:ascii="Arial" w:eastAsiaTheme="minorEastAsia" w:hAnsi="Arial" w:cs="Arial"/>
          <w:sz w:val="20"/>
          <w:szCs w:val="20"/>
          <w:lang w:val="en-GB"/>
        </w:rPr>
        <w:t>per</w:t>
      </w:r>
      <w:r w:rsidRPr="00514F5A">
        <w:rPr>
          <w:rFonts w:ascii="Arial" w:eastAsiaTheme="minorEastAsia" w:hAnsi="Arial" w:cs="Arial"/>
          <w:sz w:val="20"/>
          <w:szCs w:val="20"/>
          <w:lang w:val="en-GB"/>
        </w:rPr>
        <w:t xml:space="preserve">cent real decrease in 2023/24 financial period, thus less than R 25,2 million in nominal terms will be spent on this function when compared with the previous financial period. </w:t>
      </w:r>
    </w:p>
    <w:p w:rsidR="00752933" w:rsidRPr="00514F5A" w:rsidRDefault="00752933" w:rsidP="00514F5A">
      <w:pPr>
        <w:spacing w:after="0" w:line="240" w:lineRule="auto"/>
        <w:rPr>
          <w:rFonts w:ascii="Arial" w:eastAsiaTheme="minorEastAsia" w:hAnsi="Arial" w:cs="Arial"/>
          <w:sz w:val="20"/>
          <w:szCs w:val="20"/>
        </w:rPr>
      </w:pPr>
    </w:p>
    <w:p w:rsidR="008236BA" w:rsidRPr="00514F5A" w:rsidRDefault="008236BA" w:rsidP="00514F5A">
      <w:pPr>
        <w:spacing w:after="0" w:line="240" w:lineRule="auto"/>
        <w:rPr>
          <w:rFonts w:ascii="Arial" w:eastAsiaTheme="minorEastAsia" w:hAnsi="Arial" w:cs="Arial"/>
          <w:sz w:val="20"/>
          <w:szCs w:val="20"/>
        </w:rPr>
      </w:pPr>
      <w:r w:rsidRPr="00514F5A">
        <w:rPr>
          <w:rFonts w:ascii="Arial" w:eastAsiaTheme="minorEastAsia" w:hAnsi="Arial" w:cs="Arial"/>
          <w:sz w:val="20"/>
          <w:szCs w:val="20"/>
        </w:rPr>
        <w:t>The purpose of Programme 2:</w:t>
      </w:r>
      <w:r w:rsidRPr="00514F5A">
        <w:rPr>
          <w:rFonts w:ascii="Arial" w:eastAsiaTheme="minorEastAsia" w:hAnsi="Arial" w:cs="Arial"/>
          <w:i/>
          <w:sz w:val="20"/>
          <w:szCs w:val="20"/>
        </w:rPr>
        <w:t xml:space="preserve"> Inspection and Enforcement Services </w:t>
      </w:r>
      <w:r w:rsidRPr="00514F5A">
        <w:rPr>
          <w:rFonts w:ascii="Arial" w:eastAsiaTheme="minorEastAsia" w:hAnsi="Arial" w:cs="Arial"/>
          <w:sz w:val="20"/>
          <w:szCs w:val="20"/>
        </w:rPr>
        <w:t>is to realise decent work by regulating non-employment and employment conditions through inspection and enforcement to achieve compliance with all labour market policies. According to the 2023 APP, key deliverables under this programme include the following:</w:t>
      </w:r>
    </w:p>
    <w:p w:rsidR="00716925" w:rsidRPr="00514F5A" w:rsidRDefault="00716925" w:rsidP="00514F5A">
      <w:pPr>
        <w:spacing w:after="0" w:line="240" w:lineRule="auto"/>
        <w:rPr>
          <w:rFonts w:ascii="Arial" w:eastAsiaTheme="minorEastAsia" w:hAnsi="Arial" w:cs="Arial"/>
          <w:sz w:val="20"/>
          <w:szCs w:val="20"/>
        </w:rPr>
      </w:pPr>
    </w:p>
    <w:p w:rsidR="008236BA" w:rsidRPr="00514F5A" w:rsidRDefault="008236BA" w:rsidP="00514F5A">
      <w:pPr>
        <w:pStyle w:val="ListParagraph"/>
        <w:numPr>
          <w:ilvl w:val="0"/>
          <w:numId w:val="5"/>
        </w:numPr>
        <w:spacing w:after="0" w:line="240" w:lineRule="auto"/>
        <w:rPr>
          <w:rFonts w:ascii="Arial" w:eastAsiaTheme="minorEastAsia" w:hAnsi="Arial" w:cs="Arial"/>
          <w:sz w:val="20"/>
          <w:szCs w:val="20"/>
        </w:rPr>
      </w:pPr>
      <w:r w:rsidRPr="00514F5A">
        <w:rPr>
          <w:rFonts w:ascii="Arial" w:eastAsiaTheme="minorEastAsia" w:hAnsi="Arial" w:cs="Arial"/>
          <w:sz w:val="20"/>
          <w:szCs w:val="20"/>
        </w:rPr>
        <w:t xml:space="preserve">Conducting 298 332 compliance inspections </w:t>
      </w:r>
    </w:p>
    <w:p w:rsidR="008236BA" w:rsidRPr="00514F5A" w:rsidRDefault="008236BA" w:rsidP="00514F5A">
      <w:pPr>
        <w:pStyle w:val="ListParagraph"/>
        <w:numPr>
          <w:ilvl w:val="0"/>
          <w:numId w:val="5"/>
        </w:numPr>
        <w:spacing w:after="0" w:line="240" w:lineRule="auto"/>
        <w:rPr>
          <w:rFonts w:ascii="Arial" w:eastAsiaTheme="minorEastAsia" w:hAnsi="Arial" w:cs="Arial"/>
          <w:sz w:val="20"/>
          <w:szCs w:val="20"/>
        </w:rPr>
      </w:pPr>
      <w:r w:rsidRPr="00514F5A">
        <w:rPr>
          <w:rFonts w:ascii="Arial" w:eastAsiaTheme="minorEastAsia" w:hAnsi="Arial" w:cs="Arial"/>
          <w:sz w:val="20"/>
          <w:szCs w:val="20"/>
        </w:rPr>
        <w:t xml:space="preserve">Serving 95 percent of noncompliant employers inspected with a notice in terms of relevant employment law within 14 calendar days of inspection </w:t>
      </w:r>
    </w:p>
    <w:p w:rsidR="008236BA" w:rsidRPr="00514F5A" w:rsidRDefault="008236BA" w:rsidP="00514F5A">
      <w:pPr>
        <w:pStyle w:val="ListParagraph"/>
        <w:numPr>
          <w:ilvl w:val="0"/>
          <w:numId w:val="5"/>
        </w:numPr>
        <w:spacing w:after="0" w:line="240" w:lineRule="auto"/>
        <w:rPr>
          <w:rFonts w:ascii="Arial" w:eastAsiaTheme="minorEastAsia" w:hAnsi="Arial" w:cs="Arial"/>
          <w:sz w:val="20"/>
          <w:szCs w:val="20"/>
        </w:rPr>
      </w:pPr>
      <w:r w:rsidRPr="00514F5A">
        <w:rPr>
          <w:rFonts w:ascii="Arial" w:eastAsiaTheme="minorEastAsia" w:hAnsi="Arial" w:cs="Arial"/>
          <w:sz w:val="20"/>
          <w:szCs w:val="20"/>
        </w:rPr>
        <w:t xml:space="preserve">Referring for prosecution 65% of employers who fail to comply with a served notice within 30 working days </w:t>
      </w:r>
    </w:p>
    <w:p w:rsidR="008236BA" w:rsidRPr="00514F5A" w:rsidRDefault="008236BA" w:rsidP="00514F5A">
      <w:pPr>
        <w:pStyle w:val="ListParagraph"/>
        <w:numPr>
          <w:ilvl w:val="0"/>
          <w:numId w:val="5"/>
        </w:numPr>
        <w:spacing w:after="0" w:line="240" w:lineRule="auto"/>
        <w:rPr>
          <w:rFonts w:ascii="Arial" w:eastAsiaTheme="minorEastAsia" w:hAnsi="Arial" w:cs="Arial"/>
          <w:sz w:val="20"/>
          <w:szCs w:val="20"/>
        </w:rPr>
      </w:pPr>
      <w:r w:rsidRPr="00514F5A">
        <w:rPr>
          <w:rFonts w:ascii="Arial" w:eastAsiaTheme="minorEastAsia" w:hAnsi="Arial" w:cs="Arial"/>
          <w:sz w:val="20"/>
          <w:szCs w:val="20"/>
        </w:rPr>
        <w:t xml:space="preserve">Increasing awareness of employment law through formal advocacy sessions at 4 seminars and 2 conferences. </w:t>
      </w:r>
    </w:p>
    <w:p w:rsidR="008236BA" w:rsidRPr="00514F5A" w:rsidRDefault="008236BA" w:rsidP="00514F5A">
      <w:pPr>
        <w:spacing w:after="0" w:line="240" w:lineRule="auto"/>
        <w:rPr>
          <w:rFonts w:ascii="Arial" w:eastAsiaTheme="minorEastAsia" w:hAnsi="Arial" w:cs="Arial"/>
          <w:sz w:val="20"/>
          <w:szCs w:val="20"/>
        </w:rPr>
      </w:pPr>
    </w:p>
    <w:p w:rsidR="008236BA" w:rsidRPr="00514F5A" w:rsidRDefault="008236BA" w:rsidP="00514F5A">
      <w:pPr>
        <w:spacing w:after="0" w:line="240" w:lineRule="auto"/>
        <w:rPr>
          <w:rFonts w:ascii="Arial" w:eastAsiaTheme="minorEastAsia" w:hAnsi="Arial" w:cs="Arial"/>
          <w:sz w:val="20"/>
          <w:szCs w:val="20"/>
          <w:lang w:val="en-GB"/>
        </w:rPr>
      </w:pPr>
      <w:r w:rsidRPr="00514F5A">
        <w:rPr>
          <w:rFonts w:ascii="Arial" w:eastAsiaTheme="minorEastAsia" w:hAnsi="Arial" w:cs="Arial"/>
          <w:sz w:val="20"/>
          <w:szCs w:val="20"/>
        </w:rPr>
        <w:t xml:space="preserve">The allocated budget for the Branch to implement its Programmes, is R650.552m, R679.241m and R709.157m respectively, over the medium-term.   </w:t>
      </w:r>
      <w:r w:rsidRPr="00514F5A">
        <w:rPr>
          <w:rFonts w:ascii="Arial" w:eastAsiaTheme="minorEastAsia" w:hAnsi="Arial" w:cs="Arial"/>
          <w:sz w:val="20"/>
          <w:szCs w:val="20"/>
          <w:lang w:val="en-GB"/>
        </w:rPr>
        <w:t xml:space="preserve">Overall, there is an R 5,2 million increase in real </w:t>
      </w:r>
      <w:r w:rsidR="00716925" w:rsidRPr="00514F5A">
        <w:rPr>
          <w:rFonts w:ascii="Arial" w:eastAsiaTheme="minorEastAsia" w:hAnsi="Arial" w:cs="Arial"/>
          <w:sz w:val="20"/>
          <w:szCs w:val="20"/>
          <w:lang w:val="en-GB"/>
        </w:rPr>
        <w:lastRenderedPageBreak/>
        <w:t xml:space="preserve">terms </w:t>
      </w:r>
      <w:r w:rsidRPr="00514F5A">
        <w:rPr>
          <w:rFonts w:ascii="Arial" w:eastAsiaTheme="minorEastAsia" w:hAnsi="Arial" w:cs="Arial"/>
          <w:sz w:val="20"/>
          <w:szCs w:val="20"/>
          <w:lang w:val="en-GB"/>
        </w:rPr>
        <w:t>or 0.85-percentage change in real terms in the budget allocation for the Inspection and Enforcement Services (IES) programme for the financial period 2023/24 compared with the 2022/23 period. Just five of the six sub-programmes in the IES branch saw a decrease in real terms.  The increase in Sub-programme 4: Compliance, Monitoring and Enforcement Services in budget allocation will impact the effectiveness of the Department’s objectives to protect vulnerable workers through the inspection and enforcement of labour legislation. Spending for these activities is within the Inspection and Enforcement Services programme, which is allocated 16.4 per cent (R2 billion) of the Department’s budget over the medium term. Spending in the programme increases at an average annual rate of 4.9 per cent, from R614.9 million in 2022/23 to R709.2 million in 2025/26.</w:t>
      </w:r>
    </w:p>
    <w:p w:rsidR="008236BA" w:rsidRPr="00514F5A" w:rsidRDefault="008236BA" w:rsidP="00514F5A">
      <w:pPr>
        <w:spacing w:after="0" w:line="240" w:lineRule="auto"/>
        <w:rPr>
          <w:rFonts w:ascii="Arial" w:eastAsiaTheme="minorEastAsia" w:hAnsi="Arial" w:cs="Arial"/>
          <w:sz w:val="20"/>
          <w:szCs w:val="20"/>
        </w:rPr>
      </w:pPr>
    </w:p>
    <w:p w:rsidR="004934C4" w:rsidRPr="00514F5A" w:rsidRDefault="008236BA" w:rsidP="00514F5A">
      <w:pPr>
        <w:spacing w:after="0" w:line="240" w:lineRule="auto"/>
        <w:rPr>
          <w:rFonts w:ascii="Arial" w:eastAsiaTheme="minorEastAsia" w:hAnsi="Arial" w:cs="Arial"/>
          <w:sz w:val="20"/>
          <w:szCs w:val="20"/>
        </w:rPr>
      </w:pPr>
      <w:r w:rsidRPr="00514F5A">
        <w:rPr>
          <w:rFonts w:ascii="Arial" w:eastAsiaTheme="minorEastAsia" w:hAnsi="Arial" w:cs="Arial"/>
          <w:sz w:val="20"/>
          <w:szCs w:val="20"/>
        </w:rPr>
        <w:t xml:space="preserve">The purpose of Programme 3: Public Employment Services is assist companies and workers to adjust to the changing labour market conditions. According to the 2023 APP, key objectives within this programme for the year include: </w:t>
      </w:r>
    </w:p>
    <w:p w:rsidR="00716925" w:rsidRPr="00514F5A" w:rsidRDefault="00716925" w:rsidP="00514F5A">
      <w:pPr>
        <w:spacing w:after="0" w:line="240" w:lineRule="auto"/>
        <w:rPr>
          <w:rFonts w:ascii="Arial" w:eastAsiaTheme="minorEastAsia" w:hAnsi="Arial" w:cs="Arial"/>
          <w:sz w:val="20"/>
          <w:szCs w:val="20"/>
        </w:rPr>
      </w:pPr>
    </w:p>
    <w:p w:rsidR="008236BA" w:rsidRPr="00514F5A" w:rsidRDefault="008236BA" w:rsidP="00514F5A">
      <w:pPr>
        <w:pStyle w:val="ListParagraph"/>
        <w:numPr>
          <w:ilvl w:val="0"/>
          <w:numId w:val="6"/>
        </w:numPr>
        <w:spacing w:after="0" w:line="240" w:lineRule="auto"/>
        <w:rPr>
          <w:rFonts w:ascii="Arial" w:eastAsiaTheme="minorEastAsia" w:hAnsi="Arial" w:cs="Arial"/>
          <w:sz w:val="20"/>
          <w:szCs w:val="20"/>
        </w:rPr>
      </w:pPr>
      <w:r w:rsidRPr="00514F5A">
        <w:rPr>
          <w:rFonts w:ascii="Arial" w:eastAsiaTheme="minorEastAsia" w:hAnsi="Arial" w:cs="Arial"/>
          <w:sz w:val="20"/>
          <w:szCs w:val="20"/>
        </w:rPr>
        <w:t>Registering 900 000 work seekers on the Employment Services South Africa (ESSA) website by 31 March 2024;</w:t>
      </w:r>
    </w:p>
    <w:p w:rsidR="008236BA" w:rsidRPr="00514F5A" w:rsidRDefault="008236BA" w:rsidP="00514F5A">
      <w:pPr>
        <w:pStyle w:val="ListParagraph"/>
        <w:numPr>
          <w:ilvl w:val="0"/>
          <w:numId w:val="6"/>
        </w:numPr>
        <w:spacing w:after="0" w:line="240" w:lineRule="auto"/>
        <w:rPr>
          <w:rFonts w:ascii="Arial" w:eastAsiaTheme="minorEastAsia" w:hAnsi="Arial" w:cs="Arial"/>
          <w:sz w:val="20"/>
          <w:szCs w:val="20"/>
        </w:rPr>
      </w:pPr>
      <w:r w:rsidRPr="00514F5A">
        <w:rPr>
          <w:rFonts w:ascii="Arial" w:eastAsiaTheme="minorEastAsia" w:hAnsi="Arial" w:cs="Arial"/>
          <w:sz w:val="20"/>
          <w:szCs w:val="20"/>
        </w:rPr>
        <w:t>Registering 110 000 work opportunities on the Employment Services of South Africa database system by 31 March 2024;</w:t>
      </w:r>
    </w:p>
    <w:p w:rsidR="008236BA" w:rsidRPr="00514F5A" w:rsidRDefault="008236BA" w:rsidP="00514F5A">
      <w:pPr>
        <w:pStyle w:val="ListParagraph"/>
        <w:numPr>
          <w:ilvl w:val="0"/>
          <w:numId w:val="6"/>
        </w:numPr>
        <w:spacing w:after="0" w:line="240" w:lineRule="auto"/>
        <w:rPr>
          <w:rFonts w:ascii="Arial" w:eastAsiaTheme="minorEastAsia" w:hAnsi="Arial" w:cs="Arial"/>
          <w:sz w:val="20"/>
          <w:szCs w:val="20"/>
        </w:rPr>
      </w:pPr>
      <w:r w:rsidRPr="00514F5A">
        <w:rPr>
          <w:rFonts w:ascii="Arial" w:eastAsiaTheme="minorEastAsia" w:hAnsi="Arial" w:cs="Arial"/>
          <w:sz w:val="20"/>
          <w:szCs w:val="20"/>
        </w:rPr>
        <w:t>Filling 60 000 registered employment opportunities by 31 March 2024;</w:t>
      </w:r>
    </w:p>
    <w:p w:rsidR="008236BA" w:rsidRPr="00514F5A" w:rsidRDefault="008236BA" w:rsidP="00514F5A">
      <w:pPr>
        <w:pStyle w:val="ListParagraph"/>
        <w:numPr>
          <w:ilvl w:val="0"/>
          <w:numId w:val="6"/>
        </w:numPr>
        <w:spacing w:after="0" w:line="240" w:lineRule="auto"/>
        <w:rPr>
          <w:rFonts w:ascii="Arial" w:eastAsiaTheme="minorEastAsia" w:hAnsi="Arial" w:cs="Arial"/>
          <w:sz w:val="20"/>
          <w:szCs w:val="20"/>
        </w:rPr>
      </w:pPr>
      <w:r w:rsidRPr="00514F5A">
        <w:rPr>
          <w:rFonts w:ascii="Arial" w:eastAsiaTheme="minorEastAsia" w:hAnsi="Arial" w:cs="Arial"/>
          <w:sz w:val="20"/>
          <w:szCs w:val="20"/>
        </w:rPr>
        <w:t>Conclude 24 partnership agreements with various stakeholders by 31 March 2024</w:t>
      </w:r>
    </w:p>
    <w:p w:rsidR="00264DDC" w:rsidRPr="00514F5A" w:rsidRDefault="00264DDC" w:rsidP="00514F5A">
      <w:pPr>
        <w:spacing w:after="0" w:line="240" w:lineRule="auto"/>
        <w:rPr>
          <w:rFonts w:ascii="Arial" w:eastAsiaTheme="minorEastAsia" w:hAnsi="Arial" w:cs="Arial"/>
          <w:sz w:val="20"/>
          <w:szCs w:val="20"/>
        </w:rPr>
      </w:pPr>
    </w:p>
    <w:p w:rsidR="00A276EF" w:rsidRPr="00514F5A" w:rsidRDefault="00264DDC" w:rsidP="00514F5A">
      <w:pPr>
        <w:spacing w:after="0" w:line="240" w:lineRule="auto"/>
        <w:rPr>
          <w:rFonts w:ascii="Arial" w:eastAsiaTheme="minorEastAsia" w:hAnsi="Arial" w:cs="Arial"/>
          <w:sz w:val="20"/>
          <w:szCs w:val="20"/>
        </w:rPr>
      </w:pPr>
      <w:r w:rsidRPr="00514F5A">
        <w:rPr>
          <w:rFonts w:ascii="Arial" w:eastAsiaTheme="minorEastAsia" w:hAnsi="Arial" w:cs="Arial"/>
          <w:sz w:val="20"/>
          <w:szCs w:val="20"/>
        </w:rPr>
        <w:t xml:space="preserve">The Department receives R372.2 million in 2023/24 to continue the Pathway Management Network, which is a presidential employment initiative. </w:t>
      </w:r>
      <w:r w:rsidR="00D85B5B" w:rsidRPr="00514F5A">
        <w:rPr>
          <w:rFonts w:ascii="Arial" w:eastAsiaTheme="minorEastAsia" w:hAnsi="Arial" w:cs="Arial"/>
          <w:sz w:val="20"/>
          <w:szCs w:val="20"/>
        </w:rPr>
        <w:t xml:space="preserve"> The Department has a collaborative agreement with the Presidency (through the Project Management Office – PMO), National Youth Development Agency (NYDA) and the Government Technical Advisory Centre (GTAC). This is on the establishment and operationalisation of the Pathway Management Network as a central component of the Presidential Youth Employment Intervention through the Presidential Youth Employment Fund, to facilitate and expedite youth employment creation. </w:t>
      </w:r>
      <w:r w:rsidRPr="00514F5A">
        <w:rPr>
          <w:rFonts w:ascii="Arial" w:eastAsiaTheme="minorEastAsia" w:hAnsi="Arial" w:cs="Arial"/>
          <w:sz w:val="20"/>
          <w:szCs w:val="20"/>
        </w:rPr>
        <w:t xml:space="preserve">The network is expected to create opportunities for employment, support increased access to relevant education and training interventions, assist young people in making choices about learning and/or earning, and identify barriers to entry in the labour market. More than 1 million young people are expected to be actively involved in the network over the next 2 years, with the aim of creating 255 000 job opportunities by 2024/25. </w:t>
      </w:r>
    </w:p>
    <w:p w:rsidR="00A276EF" w:rsidRPr="00514F5A" w:rsidRDefault="00A276EF" w:rsidP="00514F5A">
      <w:pPr>
        <w:spacing w:after="0" w:line="240" w:lineRule="auto"/>
        <w:rPr>
          <w:rFonts w:ascii="Arial" w:eastAsiaTheme="minorEastAsia" w:hAnsi="Arial" w:cs="Arial"/>
          <w:sz w:val="20"/>
          <w:szCs w:val="20"/>
        </w:rPr>
      </w:pPr>
    </w:p>
    <w:p w:rsidR="00A276EF" w:rsidRPr="00514F5A" w:rsidRDefault="00264DDC" w:rsidP="00514F5A">
      <w:pPr>
        <w:spacing w:after="0" w:line="240" w:lineRule="auto"/>
        <w:rPr>
          <w:rFonts w:ascii="Arial" w:eastAsiaTheme="minorEastAsia" w:hAnsi="Arial" w:cs="Arial"/>
          <w:sz w:val="20"/>
          <w:szCs w:val="20"/>
        </w:rPr>
      </w:pPr>
      <w:r w:rsidRPr="00514F5A">
        <w:rPr>
          <w:rFonts w:ascii="Arial" w:eastAsiaTheme="minorEastAsia" w:hAnsi="Arial" w:cs="Arial"/>
          <w:sz w:val="20"/>
          <w:szCs w:val="20"/>
        </w:rPr>
        <w:t xml:space="preserve">Different components of the network will be scaled up over the medium term, such as the Innovation Fund, with the introduction of new partners.  </w:t>
      </w:r>
      <w:r w:rsidR="00D85B5B" w:rsidRPr="00514F5A">
        <w:rPr>
          <w:rFonts w:ascii="Arial" w:eastAsiaTheme="minorEastAsia" w:hAnsi="Arial" w:cs="Arial"/>
          <w:sz w:val="20"/>
          <w:szCs w:val="20"/>
        </w:rPr>
        <w:t>It was reported that s</w:t>
      </w:r>
      <w:r w:rsidRPr="00514F5A">
        <w:rPr>
          <w:rFonts w:ascii="Arial" w:eastAsiaTheme="minorEastAsia" w:hAnsi="Arial" w:cs="Arial"/>
          <w:sz w:val="20"/>
          <w:szCs w:val="20"/>
        </w:rPr>
        <w:t xml:space="preserve">pending for these activities is within the Public Employment Services programme, which is allocated 21.3 per cent (R2.4 billion) of the department’s budget over the medium term. Spending in the programme is set to decrease at an average annual rate of 10.4 per cent, from R1 020.826 million in 2023/24 to R725.628 million in 2025/26, as a result of allocations for the presidential employment initiative not continuing over the MTEF period. </w:t>
      </w:r>
    </w:p>
    <w:p w:rsidR="00A276EF" w:rsidRPr="00514F5A" w:rsidRDefault="00A276EF" w:rsidP="00514F5A">
      <w:pPr>
        <w:spacing w:after="0" w:line="240" w:lineRule="auto"/>
        <w:rPr>
          <w:rFonts w:ascii="Arial" w:eastAsiaTheme="minorEastAsia" w:hAnsi="Arial" w:cs="Arial"/>
          <w:sz w:val="20"/>
          <w:szCs w:val="20"/>
        </w:rPr>
      </w:pPr>
    </w:p>
    <w:p w:rsidR="00264DDC" w:rsidRPr="00514F5A" w:rsidRDefault="00264DDC" w:rsidP="00514F5A">
      <w:pPr>
        <w:spacing w:after="0" w:line="240" w:lineRule="auto"/>
        <w:rPr>
          <w:rFonts w:ascii="Arial" w:eastAsiaTheme="minorEastAsia" w:hAnsi="Arial" w:cs="Arial"/>
          <w:sz w:val="20"/>
          <w:szCs w:val="20"/>
        </w:rPr>
      </w:pPr>
      <w:r w:rsidRPr="00514F5A">
        <w:rPr>
          <w:rFonts w:ascii="Arial" w:eastAsiaTheme="minorEastAsia" w:hAnsi="Arial" w:cs="Arial"/>
          <w:sz w:val="20"/>
          <w:szCs w:val="20"/>
        </w:rPr>
        <w:t xml:space="preserve">The </w:t>
      </w:r>
      <w:r w:rsidRPr="00514F5A">
        <w:rPr>
          <w:rFonts w:ascii="Arial" w:eastAsiaTheme="minorEastAsia" w:hAnsi="Arial" w:cs="Arial"/>
          <w:i/>
          <w:sz w:val="20"/>
          <w:szCs w:val="20"/>
        </w:rPr>
        <w:t>Public Employment Services</w:t>
      </w:r>
      <w:r w:rsidRPr="00514F5A">
        <w:rPr>
          <w:rFonts w:ascii="Arial" w:eastAsiaTheme="minorEastAsia" w:hAnsi="Arial" w:cs="Arial"/>
          <w:sz w:val="20"/>
          <w:szCs w:val="20"/>
        </w:rPr>
        <w:t xml:space="preserve"> programme is allocated R2.4 billion over the MTEF period including transfers to Public Entities, in order to implement Employment Services Programmes towards achieving set targets and support the departmental commitment to create decent working conditions. The spending focus over medium term expenditure framework period for Public Employment Services is contributing to employment creation mainly, youth employment.  The expenditure on Public Employment Services programme has increased by an annual average of 0,6 percent from 2019/20 financial year to 2021/22 financial year.  The annual average increase on Compensation of Employees is 3,5 percent during the mention period. Although the overall average increase on the expenditure is 0,6, the goods and services spending has de</w:t>
      </w:r>
      <w:r w:rsidR="00836FC2" w:rsidRPr="00514F5A">
        <w:rPr>
          <w:rFonts w:ascii="Arial" w:eastAsiaTheme="minorEastAsia" w:hAnsi="Arial" w:cs="Arial"/>
          <w:sz w:val="20"/>
          <w:szCs w:val="20"/>
        </w:rPr>
        <w:t>clined by annual average of 4,6 percent</w:t>
      </w:r>
      <w:r w:rsidRPr="00514F5A">
        <w:rPr>
          <w:rFonts w:ascii="Arial" w:eastAsiaTheme="minorEastAsia" w:hAnsi="Arial" w:cs="Arial"/>
          <w:sz w:val="20"/>
          <w:szCs w:val="20"/>
        </w:rPr>
        <w:t xml:space="preserve">.  The spending on transfer and subsidies has also declined by annual average of 3,6 percent. </w:t>
      </w:r>
    </w:p>
    <w:p w:rsidR="00264DDC" w:rsidRPr="00514F5A" w:rsidRDefault="00264DDC" w:rsidP="00514F5A">
      <w:pPr>
        <w:spacing w:after="0" w:line="240" w:lineRule="auto"/>
        <w:rPr>
          <w:rFonts w:ascii="Arial" w:eastAsiaTheme="minorEastAsia" w:hAnsi="Arial" w:cs="Arial"/>
          <w:sz w:val="20"/>
          <w:szCs w:val="20"/>
        </w:rPr>
      </w:pPr>
    </w:p>
    <w:p w:rsidR="00217983" w:rsidRPr="00514F5A" w:rsidRDefault="00A91036" w:rsidP="00514F5A">
      <w:pPr>
        <w:spacing w:after="0" w:line="240" w:lineRule="auto"/>
        <w:rPr>
          <w:rFonts w:ascii="Arial" w:eastAsiaTheme="minorEastAsia" w:hAnsi="Arial" w:cs="Arial"/>
          <w:sz w:val="20"/>
          <w:szCs w:val="20"/>
        </w:rPr>
      </w:pPr>
      <w:r w:rsidRPr="00514F5A">
        <w:rPr>
          <w:rFonts w:ascii="Arial" w:eastAsiaTheme="minorEastAsia" w:hAnsi="Arial" w:cs="Arial"/>
          <w:sz w:val="20"/>
          <w:szCs w:val="20"/>
        </w:rPr>
        <w:t xml:space="preserve">The purpose of </w:t>
      </w:r>
      <w:r w:rsidRPr="00514F5A">
        <w:rPr>
          <w:rFonts w:ascii="Arial" w:eastAsiaTheme="minorEastAsia" w:hAnsi="Arial" w:cs="Arial"/>
          <w:i/>
          <w:sz w:val="20"/>
          <w:szCs w:val="20"/>
        </w:rPr>
        <w:t>Programme 4; Labour and Industrial Relations</w:t>
      </w:r>
      <w:r w:rsidRPr="00514F5A">
        <w:rPr>
          <w:rFonts w:ascii="Arial" w:eastAsiaTheme="minorEastAsia" w:hAnsi="Arial" w:cs="Arial"/>
          <w:sz w:val="20"/>
          <w:szCs w:val="20"/>
        </w:rPr>
        <w:t xml:space="preserve"> is to facilitate the establishment of an equitable and sound labour relations environment. </w:t>
      </w:r>
      <w:r w:rsidR="00264DDC" w:rsidRPr="00514F5A">
        <w:rPr>
          <w:rFonts w:ascii="Arial" w:eastAsiaTheme="minorEastAsia" w:hAnsi="Arial" w:cs="Arial"/>
          <w:sz w:val="20"/>
          <w:szCs w:val="20"/>
        </w:rPr>
        <w:t>According to the 2023 APP, key objectives within Programme 4 include the following:</w:t>
      </w:r>
    </w:p>
    <w:p w:rsidR="00716925" w:rsidRPr="00514F5A" w:rsidRDefault="00716925" w:rsidP="00514F5A">
      <w:pPr>
        <w:spacing w:after="0" w:line="240" w:lineRule="auto"/>
        <w:rPr>
          <w:rFonts w:ascii="Arial" w:eastAsiaTheme="minorEastAsia" w:hAnsi="Arial" w:cs="Arial"/>
          <w:sz w:val="20"/>
          <w:szCs w:val="20"/>
        </w:rPr>
      </w:pPr>
    </w:p>
    <w:p w:rsidR="00264DDC" w:rsidRPr="00514F5A" w:rsidRDefault="00264DDC" w:rsidP="00514F5A">
      <w:pPr>
        <w:pStyle w:val="ListParagraph"/>
        <w:numPr>
          <w:ilvl w:val="0"/>
          <w:numId w:val="7"/>
        </w:numPr>
        <w:spacing w:after="0" w:line="240" w:lineRule="auto"/>
        <w:rPr>
          <w:rFonts w:ascii="Arial" w:eastAsiaTheme="minorEastAsia" w:hAnsi="Arial" w:cs="Arial"/>
          <w:sz w:val="20"/>
          <w:szCs w:val="20"/>
        </w:rPr>
      </w:pPr>
      <w:r w:rsidRPr="00514F5A">
        <w:rPr>
          <w:rFonts w:ascii="Arial" w:eastAsiaTheme="minorEastAsia" w:hAnsi="Arial" w:cs="Arial"/>
          <w:sz w:val="20"/>
          <w:szCs w:val="20"/>
        </w:rPr>
        <w:t xml:space="preserve">Improve employment equity implementation and compliance monitoring mechanisms in the labour market by: </w:t>
      </w:r>
    </w:p>
    <w:p w:rsidR="00264DDC" w:rsidRPr="00514F5A" w:rsidRDefault="00264DDC" w:rsidP="00514F5A">
      <w:pPr>
        <w:pStyle w:val="ListParagraph"/>
        <w:numPr>
          <w:ilvl w:val="0"/>
          <w:numId w:val="7"/>
        </w:numPr>
        <w:spacing w:after="0" w:line="240" w:lineRule="auto"/>
        <w:rPr>
          <w:rFonts w:ascii="Arial" w:eastAsiaTheme="minorEastAsia" w:hAnsi="Arial" w:cs="Arial"/>
          <w:sz w:val="20"/>
          <w:szCs w:val="20"/>
        </w:rPr>
      </w:pPr>
      <w:r w:rsidRPr="00514F5A">
        <w:rPr>
          <w:rFonts w:ascii="Arial" w:eastAsiaTheme="minorEastAsia" w:hAnsi="Arial" w:cs="Arial"/>
          <w:sz w:val="20"/>
          <w:szCs w:val="20"/>
        </w:rPr>
        <w:t xml:space="preserve">Publishing the 2022/2023 employment equity annual report and public register by 30 June 2023; and  </w:t>
      </w:r>
    </w:p>
    <w:p w:rsidR="00264DDC" w:rsidRPr="00514F5A" w:rsidRDefault="00264DDC" w:rsidP="00514F5A">
      <w:pPr>
        <w:pStyle w:val="ListParagraph"/>
        <w:numPr>
          <w:ilvl w:val="0"/>
          <w:numId w:val="7"/>
        </w:numPr>
        <w:spacing w:after="0" w:line="240" w:lineRule="auto"/>
        <w:rPr>
          <w:rFonts w:ascii="Arial" w:eastAsiaTheme="minorEastAsia" w:hAnsi="Arial" w:cs="Arial"/>
          <w:sz w:val="20"/>
          <w:szCs w:val="20"/>
        </w:rPr>
      </w:pPr>
      <w:r w:rsidRPr="00514F5A">
        <w:rPr>
          <w:rFonts w:ascii="Arial" w:eastAsiaTheme="minorEastAsia" w:hAnsi="Arial" w:cs="Arial"/>
          <w:sz w:val="20"/>
          <w:szCs w:val="20"/>
        </w:rPr>
        <w:lastRenderedPageBreak/>
        <w:t xml:space="preserve">Developing the 2023/2024 employment equity annual report and public register by 31 March 2024. </w:t>
      </w:r>
    </w:p>
    <w:p w:rsidR="00264DDC" w:rsidRPr="00514F5A" w:rsidRDefault="00264DDC" w:rsidP="00514F5A">
      <w:pPr>
        <w:pStyle w:val="ListParagraph"/>
        <w:numPr>
          <w:ilvl w:val="0"/>
          <w:numId w:val="7"/>
        </w:numPr>
        <w:spacing w:after="0" w:line="240" w:lineRule="auto"/>
        <w:rPr>
          <w:rFonts w:ascii="Arial" w:eastAsiaTheme="minorEastAsia" w:hAnsi="Arial" w:cs="Arial"/>
          <w:sz w:val="20"/>
          <w:szCs w:val="20"/>
        </w:rPr>
      </w:pPr>
      <w:r w:rsidRPr="00514F5A">
        <w:rPr>
          <w:rFonts w:ascii="Arial" w:eastAsiaTheme="minorEastAsia" w:hAnsi="Arial" w:cs="Arial"/>
          <w:sz w:val="20"/>
          <w:szCs w:val="20"/>
        </w:rPr>
        <w:t xml:space="preserve">Extend protection to vulnerable workers by publishing national minimum wages for all sectors </w:t>
      </w:r>
    </w:p>
    <w:p w:rsidR="00264DDC" w:rsidRPr="00514F5A" w:rsidRDefault="00264DDC" w:rsidP="00514F5A">
      <w:pPr>
        <w:pStyle w:val="ListParagraph"/>
        <w:numPr>
          <w:ilvl w:val="0"/>
          <w:numId w:val="7"/>
        </w:numPr>
        <w:spacing w:after="0" w:line="240" w:lineRule="auto"/>
        <w:rPr>
          <w:rFonts w:ascii="Arial" w:eastAsiaTheme="minorEastAsia" w:hAnsi="Arial" w:cs="Arial"/>
          <w:sz w:val="20"/>
          <w:szCs w:val="20"/>
        </w:rPr>
      </w:pPr>
      <w:r w:rsidRPr="00514F5A">
        <w:rPr>
          <w:rFonts w:ascii="Arial" w:eastAsiaTheme="minorEastAsia" w:hAnsi="Arial" w:cs="Arial"/>
          <w:sz w:val="20"/>
          <w:szCs w:val="20"/>
        </w:rPr>
        <w:t xml:space="preserve">Promote sound labour relations and centralised collective bargaining through the extension of collective agreements and registration of qualifying labour organisations by 31 March 2024 </w:t>
      </w:r>
    </w:p>
    <w:p w:rsidR="00264DDC" w:rsidRPr="00514F5A" w:rsidRDefault="00264DDC" w:rsidP="00514F5A">
      <w:pPr>
        <w:pStyle w:val="ListParagraph"/>
        <w:numPr>
          <w:ilvl w:val="0"/>
          <w:numId w:val="7"/>
        </w:numPr>
        <w:spacing w:after="0" w:line="240" w:lineRule="auto"/>
        <w:rPr>
          <w:rFonts w:ascii="Arial" w:eastAsiaTheme="minorEastAsia" w:hAnsi="Arial" w:cs="Arial"/>
          <w:sz w:val="20"/>
          <w:szCs w:val="20"/>
        </w:rPr>
      </w:pPr>
      <w:r w:rsidRPr="00514F5A">
        <w:rPr>
          <w:rFonts w:ascii="Arial" w:eastAsiaTheme="minorEastAsia" w:hAnsi="Arial" w:cs="Arial"/>
          <w:sz w:val="20"/>
          <w:szCs w:val="20"/>
        </w:rPr>
        <w:t xml:space="preserve">Monitor and evaluate the impact of labour legislation to promote an evidence-based labour policy framework through the production of research and labour market trend reports by 31 March 2024. </w:t>
      </w:r>
    </w:p>
    <w:p w:rsidR="00264DDC" w:rsidRPr="00514F5A" w:rsidRDefault="00264DDC" w:rsidP="00514F5A">
      <w:pPr>
        <w:spacing w:after="0" w:line="240" w:lineRule="auto"/>
        <w:rPr>
          <w:rFonts w:ascii="Arial" w:eastAsiaTheme="minorEastAsia" w:hAnsi="Arial" w:cs="Arial"/>
          <w:sz w:val="20"/>
          <w:szCs w:val="20"/>
        </w:rPr>
      </w:pPr>
    </w:p>
    <w:p w:rsidR="00264DDC" w:rsidRPr="00514F5A" w:rsidRDefault="00D85B5B" w:rsidP="00514F5A">
      <w:pPr>
        <w:spacing w:after="0" w:line="240" w:lineRule="auto"/>
        <w:rPr>
          <w:rFonts w:ascii="Arial" w:eastAsiaTheme="minorEastAsia" w:hAnsi="Arial" w:cs="Arial"/>
          <w:sz w:val="20"/>
          <w:szCs w:val="20"/>
        </w:rPr>
      </w:pPr>
      <w:r w:rsidRPr="00514F5A">
        <w:rPr>
          <w:rFonts w:ascii="Arial" w:eastAsiaTheme="minorEastAsia" w:hAnsi="Arial" w:cs="Arial"/>
          <w:sz w:val="20"/>
          <w:szCs w:val="20"/>
        </w:rPr>
        <w:t>Under Programme 4, t</w:t>
      </w:r>
      <w:r w:rsidR="00264DDC" w:rsidRPr="00514F5A">
        <w:rPr>
          <w:rFonts w:ascii="Arial" w:eastAsiaTheme="minorEastAsia" w:hAnsi="Arial" w:cs="Arial"/>
          <w:sz w:val="20"/>
          <w:szCs w:val="20"/>
        </w:rPr>
        <w:t>he Department intends to carry out a yearly assessment of the national minimum wage in the foreseeable future. This evaluation will involve establishing surveillance tools to gauge its effect on the economy, negotiations among groups, minimising income inequalities, and suggested modifications. The Commission for Conciliation, Mediation and Arbitration (CCMA) is leading the department's endeavour’s in resolving employer-employee disputes and is ex</w:t>
      </w:r>
      <w:r w:rsidR="00836FC2" w:rsidRPr="00514F5A">
        <w:rPr>
          <w:rFonts w:ascii="Arial" w:eastAsiaTheme="minorEastAsia" w:hAnsi="Arial" w:cs="Arial"/>
          <w:sz w:val="20"/>
          <w:szCs w:val="20"/>
        </w:rPr>
        <w:t>pected to obtain about 77.6 per</w:t>
      </w:r>
      <w:r w:rsidR="00264DDC" w:rsidRPr="00514F5A">
        <w:rPr>
          <w:rFonts w:ascii="Arial" w:eastAsiaTheme="minorEastAsia" w:hAnsi="Arial" w:cs="Arial"/>
          <w:sz w:val="20"/>
          <w:szCs w:val="20"/>
        </w:rPr>
        <w:t>cent (R3.3 billion) of the allocation for the Labour Policy and Industrial Relations program during the m</w:t>
      </w:r>
      <w:r w:rsidR="00836FC2" w:rsidRPr="00514F5A">
        <w:rPr>
          <w:rFonts w:ascii="Arial" w:eastAsiaTheme="minorEastAsia" w:hAnsi="Arial" w:cs="Arial"/>
          <w:sz w:val="20"/>
          <w:szCs w:val="20"/>
        </w:rPr>
        <w:t>edium term. A</w:t>
      </w:r>
      <w:r w:rsidR="00264DDC" w:rsidRPr="00514F5A">
        <w:rPr>
          <w:rFonts w:ascii="Arial" w:eastAsiaTheme="minorEastAsia" w:hAnsi="Arial" w:cs="Arial"/>
          <w:sz w:val="20"/>
          <w:szCs w:val="20"/>
        </w:rPr>
        <w:t xml:space="preserve"> total of R1.3 billion was allocated to the Labour Policy and Industrial Relations programme during the 2023/24 financial year, which is a decrease of 6,89 percent in real terms when compared to the previous financial year. The Commission for Conciliation, Mediation and Arbitration (CCMA) received the largest share of the programme budget at R1 billion. However, only </w:t>
      </w:r>
      <w:r w:rsidR="00264DDC" w:rsidRPr="00514F5A">
        <w:rPr>
          <w:rFonts w:ascii="Arial" w:eastAsiaTheme="minorEastAsia" w:hAnsi="Arial" w:cs="Arial"/>
          <w:i/>
          <w:sz w:val="20"/>
          <w:szCs w:val="20"/>
        </w:rPr>
        <w:t>Sub-programme 5: Employment Standards and Sub-programme 10: National Economic Development and Labour Council</w:t>
      </w:r>
      <w:r w:rsidR="00264DDC" w:rsidRPr="00514F5A">
        <w:rPr>
          <w:rFonts w:ascii="Arial" w:eastAsiaTheme="minorEastAsia" w:hAnsi="Arial" w:cs="Arial"/>
          <w:sz w:val="20"/>
          <w:szCs w:val="20"/>
        </w:rPr>
        <w:t xml:space="preserve"> (NEDLAC) budget allocation increased in real terms when comparing 2023/24 a with the previous financial year.</w:t>
      </w:r>
    </w:p>
    <w:p w:rsidR="00C670FC" w:rsidRPr="00514F5A" w:rsidRDefault="00C670FC" w:rsidP="00514F5A">
      <w:pPr>
        <w:spacing w:after="0" w:line="240" w:lineRule="auto"/>
        <w:rPr>
          <w:rFonts w:ascii="Arial" w:eastAsiaTheme="minorEastAsia" w:hAnsi="Arial" w:cs="Arial"/>
          <w:sz w:val="20"/>
          <w:szCs w:val="20"/>
        </w:rPr>
      </w:pPr>
    </w:p>
    <w:p w:rsidR="00C670FC" w:rsidRPr="00514F5A" w:rsidRDefault="00C670FC" w:rsidP="00514F5A">
      <w:pPr>
        <w:spacing w:after="0" w:line="240" w:lineRule="auto"/>
        <w:rPr>
          <w:rFonts w:ascii="Arial" w:eastAsiaTheme="minorEastAsia" w:hAnsi="Arial" w:cs="Arial"/>
          <w:sz w:val="20"/>
          <w:szCs w:val="20"/>
        </w:rPr>
      </w:pPr>
      <w:r w:rsidRPr="00514F5A">
        <w:rPr>
          <w:rFonts w:ascii="Arial" w:eastAsiaTheme="minorEastAsia" w:hAnsi="Arial" w:cs="Arial"/>
          <w:bCs/>
          <w:sz w:val="20"/>
          <w:szCs w:val="20"/>
          <w:lang w:val="en-US"/>
        </w:rPr>
        <w:t xml:space="preserve">The work of the Department should embed the Economic Reconstruction and Recovery Plan including the Re-Imagined Industrial Strategy. </w:t>
      </w:r>
      <w:r w:rsidRPr="00514F5A">
        <w:rPr>
          <w:rFonts w:ascii="Arial" w:eastAsiaTheme="minorEastAsia" w:hAnsi="Arial" w:cs="Arial"/>
          <w:sz w:val="20"/>
          <w:szCs w:val="20"/>
        </w:rPr>
        <w:t xml:space="preserve">The World Banks Report, </w:t>
      </w:r>
      <w:r w:rsidRPr="00514F5A">
        <w:rPr>
          <w:rFonts w:ascii="Arial" w:eastAsiaTheme="minorEastAsia" w:hAnsi="Arial" w:cs="Arial"/>
          <w:i/>
          <w:sz w:val="20"/>
          <w:szCs w:val="20"/>
        </w:rPr>
        <w:t>Africa Pulse</w:t>
      </w:r>
      <w:r w:rsidRPr="00514F5A">
        <w:rPr>
          <w:rFonts w:ascii="Arial" w:eastAsiaTheme="minorEastAsia" w:hAnsi="Arial" w:cs="Arial"/>
          <w:sz w:val="20"/>
          <w:szCs w:val="20"/>
        </w:rPr>
        <w:t xml:space="preserve"> emphasised that the social insurance and </w:t>
      </w:r>
      <w:r w:rsidR="00716925" w:rsidRPr="00514F5A">
        <w:rPr>
          <w:rFonts w:ascii="Arial" w:eastAsiaTheme="minorEastAsia" w:hAnsi="Arial" w:cs="Arial"/>
          <w:sz w:val="20"/>
          <w:szCs w:val="20"/>
        </w:rPr>
        <w:t>labour</w:t>
      </w:r>
      <w:r w:rsidRPr="00514F5A">
        <w:rPr>
          <w:rFonts w:ascii="Arial" w:eastAsiaTheme="minorEastAsia" w:hAnsi="Arial" w:cs="Arial"/>
          <w:sz w:val="20"/>
          <w:szCs w:val="20"/>
        </w:rPr>
        <w:t xml:space="preserve"> market programmes if implemented effectively also contribute to economic resilience by also protecting informal workers. This is the area that the Department need to pay attention</w:t>
      </w:r>
      <w:r w:rsidR="00716925" w:rsidRPr="00514F5A">
        <w:rPr>
          <w:rFonts w:ascii="Arial" w:eastAsiaTheme="minorEastAsia" w:hAnsi="Arial" w:cs="Arial"/>
          <w:sz w:val="20"/>
          <w:szCs w:val="20"/>
        </w:rPr>
        <w:t xml:space="preserve"> to</w:t>
      </w:r>
      <w:r w:rsidRPr="00514F5A">
        <w:rPr>
          <w:rFonts w:ascii="Arial" w:eastAsiaTheme="minorEastAsia" w:hAnsi="Arial" w:cs="Arial"/>
          <w:sz w:val="20"/>
          <w:szCs w:val="20"/>
        </w:rPr>
        <w:t>.  Further, it is advanced that social protection programmes should continue building the resilience of poor and vulnerable households by supporting them in investing in productive assets and human capital. Choosing the right mix of social protection instruments (from cash transfers to public works to productive economic inclusion measures) will be paramount.</w:t>
      </w:r>
    </w:p>
    <w:p w:rsidR="00403B21" w:rsidRPr="00514F5A" w:rsidRDefault="00403B21" w:rsidP="00514F5A">
      <w:pPr>
        <w:spacing w:after="0" w:line="240" w:lineRule="auto"/>
        <w:rPr>
          <w:rFonts w:ascii="Arial" w:eastAsiaTheme="minorEastAsia" w:hAnsi="Arial" w:cs="Arial"/>
          <w:sz w:val="20"/>
          <w:szCs w:val="20"/>
        </w:rPr>
      </w:pPr>
    </w:p>
    <w:p w:rsidR="001D1BB4" w:rsidRPr="00514F5A" w:rsidRDefault="001D1BB4" w:rsidP="00514F5A">
      <w:pPr>
        <w:pStyle w:val="ListParagraph"/>
        <w:numPr>
          <w:ilvl w:val="0"/>
          <w:numId w:val="2"/>
        </w:numPr>
        <w:spacing w:after="0" w:line="240" w:lineRule="auto"/>
        <w:ind w:left="142"/>
        <w:rPr>
          <w:rFonts w:ascii="Arial" w:eastAsiaTheme="minorEastAsia" w:hAnsi="Arial" w:cs="Arial"/>
          <w:b/>
          <w:sz w:val="20"/>
          <w:szCs w:val="20"/>
        </w:rPr>
      </w:pPr>
      <w:r w:rsidRPr="00514F5A">
        <w:rPr>
          <w:rFonts w:ascii="Arial" w:eastAsiaTheme="minorEastAsia" w:hAnsi="Arial" w:cs="Arial"/>
          <w:b/>
          <w:sz w:val="20"/>
          <w:szCs w:val="20"/>
        </w:rPr>
        <w:t xml:space="preserve">Issues from </w:t>
      </w:r>
      <w:r w:rsidR="00863ADE" w:rsidRPr="00514F5A">
        <w:rPr>
          <w:rFonts w:ascii="Arial" w:eastAsiaTheme="minorEastAsia" w:hAnsi="Arial" w:cs="Arial"/>
          <w:b/>
          <w:sz w:val="20"/>
          <w:szCs w:val="20"/>
        </w:rPr>
        <w:t xml:space="preserve">the </w:t>
      </w:r>
      <w:r w:rsidRPr="00514F5A">
        <w:rPr>
          <w:rFonts w:ascii="Arial" w:eastAsiaTheme="minorEastAsia" w:hAnsi="Arial" w:cs="Arial"/>
          <w:b/>
          <w:sz w:val="20"/>
          <w:szCs w:val="20"/>
        </w:rPr>
        <w:t>Engagements</w:t>
      </w:r>
    </w:p>
    <w:p w:rsidR="00C31BB0" w:rsidRPr="00514F5A" w:rsidRDefault="00A87455" w:rsidP="00514F5A">
      <w:pPr>
        <w:pStyle w:val="ListParagraph"/>
        <w:numPr>
          <w:ilvl w:val="0"/>
          <w:numId w:val="11"/>
        </w:numPr>
        <w:spacing w:after="0" w:line="240" w:lineRule="auto"/>
        <w:ind w:left="360"/>
        <w:rPr>
          <w:rFonts w:ascii="Arial" w:hAnsi="Arial" w:cs="Arial"/>
          <w:color w:val="333333"/>
          <w:sz w:val="20"/>
          <w:szCs w:val="20"/>
          <w:shd w:val="clear" w:color="auto" w:fill="FFFFFF"/>
        </w:rPr>
      </w:pPr>
      <w:r w:rsidRPr="00514F5A">
        <w:rPr>
          <w:rFonts w:ascii="Arial" w:hAnsi="Arial" w:cs="Arial"/>
          <w:color w:val="333333"/>
          <w:sz w:val="20"/>
          <w:szCs w:val="20"/>
          <w:shd w:val="clear" w:color="auto" w:fill="FFFFFF"/>
        </w:rPr>
        <w:t>The Department indicated that the Labour Migration Policy has gone through</w:t>
      </w:r>
      <w:r w:rsidR="00716925" w:rsidRPr="00514F5A">
        <w:rPr>
          <w:rFonts w:ascii="Arial" w:hAnsi="Arial" w:cs="Arial"/>
          <w:color w:val="333333"/>
          <w:sz w:val="20"/>
          <w:szCs w:val="20"/>
          <w:shd w:val="clear" w:color="auto" w:fill="FFFFFF"/>
        </w:rPr>
        <w:t xml:space="preserve"> a</w:t>
      </w:r>
      <w:r w:rsidRPr="00514F5A">
        <w:rPr>
          <w:rFonts w:ascii="Arial" w:hAnsi="Arial" w:cs="Arial"/>
          <w:color w:val="333333"/>
          <w:sz w:val="20"/>
          <w:szCs w:val="20"/>
          <w:shd w:val="clear" w:color="auto" w:fill="FFFFFF"/>
        </w:rPr>
        <w:t xml:space="preserve"> public participation </w:t>
      </w:r>
      <w:r w:rsidR="00716925" w:rsidRPr="00514F5A">
        <w:rPr>
          <w:rFonts w:ascii="Arial" w:hAnsi="Arial" w:cs="Arial"/>
          <w:color w:val="333333"/>
          <w:sz w:val="20"/>
          <w:szCs w:val="20"/>
          <w:shd w:val="clear" w:color="auto" w:fill="FFFFFF"/>
        </w:rPr>
        <w:t xml:space="preserve">process </w:t>
      </w:r>
      <w:r w:rsidRPr="00514F5A">
        <w:rPr>
          <w:rFonts w:ascii="Arial" w:hAnsi="Arial" w:cs="Arial"/>
          <w:color w:val="333333"/>
          <w:sz w:val="20"/>
          <w:szCs w:val="20"/>
          <w:shd w:val="clear" w:color="auto" w:fill="FFFFFF"/>
        </w:rPr>
        <w:t xml:space="preserve">and </w:t>
      </w:r>
      <w:r w:rsidR="00863ADE" w:rsidRPr="00514F5A">
        <w:rPr>
          <w:rFonts w:ascii="Arial" w:hAnsi="Arial" w:cs="Arial"/>
          <w:color w:val="333333"/>
          <w:sz w:val="20"/>
          <w:szCs w:val="20"/>
          <w:shd w:val="clear" w:color="auto" w:fill="FFFFFF"/>
        </w:rPr>
        <w:t xml:space="preserve">it </w:t>
      </w:r>
      <w:r w:rsidRPr="00514F5A">
        <w:rPr>
          <w:rFonts w:ascii="Arial" w:hAnsi="Arial" w:cs="Arial"/>
          <w:color w:val="333333"/>
          <w:sz w:val="20"/>
          <w:szCs w:val="20"/>
          <w:shd w:val="clear" w:color="auto" w:fill="FFFFFF"/>
        </w:rPr>
        <w:t>is anticipated to go to NEDLAC in May/June of 2023 and is expected to go back to Cabinet in August of 2023.</w:t>
      </w:r>
    </w:p>
    <w:p w:rsidR="005B39AC" w:rsidRPr="00514F5A" w:rsidRDefault="00A87455" w:rsidP="00514F5A">
      <w:pPr>
        <w:pStyle w:val="ListParagraph"/>
        <w:numPr>
          <w:ilvl w:val="0"/>
          <w:numId w:val="11"/>
        </w:numPr>
        <w:spacing w:after="0" w:line="240" w:lineRule="auto"/>
        <w:ind w:left="360"/>
        <w:rPr>
          <w:rFonts w:ascii="Arial" w:hAnsi="Arial" w:cs="Arial"/>
          <w:color w:val="333333"/>
          <w:sz w:val="20"/>
          <w:szCs w:val="20"/>
          <w:shd w:val="clear" w:color="auto" w:fill="FFFFFF"/>
        </w:rPr>
      </w:pPr>
      <w:r w:rsidRPr="00514F5A">
        <w:rPr>
          <w:rFonts w:ascii="Arial" w:hAnsi="Arial" w:cs="Arial"/>
          <w:color w:val="333333"/>
          <w:sz w:val="20"/>
          <w:szCs w:val="20"/>
          <w:shd w:val="clear" w:color="auto" w:fill="FFFFFF"/>
        </w:rPr>
        <w:t>In responding to concerns regarding the extent of performance evaluation of the Inspection Services Directorate, the Department advanced that in terms of its 2023 APP, the Directorate has a target number of inspections for the year. The work is furthermore quality assured through a case management system where the work of an inspector is overseen by a designated supervisor who provides oversight from planning to execution to ensure that relevant notices as prescribed by statutory requirements are issued within the assigned timeframes</w:t>
      </w:r>
      <w:r w:rsidR="005B39AC" w:rsidRPr="00514F5A">
        <w:rPr>
          <w:rFonts w:ascii="Arial" w:hAnsi="Arial" w:cs="Arial"/>
          <w:color w:val="333333"/>
          <w:sz w:val="20"/>
          <w:szCs w:val="20"/>
          <w:shd w:val="clear" w:color="auto" w:fill="FFFFFF"/>
        </w:rPr>
        <w:t xml:space="preserve">. There is furthermore a portfolio of evidence for every case with an inspection report for every inspection. </w:t>
      </w:r>
    </w:p>
    <w:p w:rsidR="005B39AC" w:rsidRPr="00514F5A" w:rsidRDefault="005B39AC" w:rsidP="00514F5A">
      <w:pPr>
        <w:pStyle w:val="ListParagraph"/>
        <w:numPr>
          <w:ilvl w:val="0"/>
          <w:numId w:val="11"/>
        </w:numPr>
        <w:spacing w:after="0" w:line="240" w:lineRule="auto"/>
        <w:ind w:left="360"/>
        <w:rPr>
          <w:rFonts w:ascii="Arial" w:hAnsi="Arial" w:cs="Arial"/>
          <w:color w:val="333333"/>
          <w:sz w:val="20"/>
          <w:szCs w:val="20"/>
          <w:shd w:val="clear" w:color="auto" w:fill="FFFFFF"/>
        </w:rPr>
      </w:pPr>
      <w:r w:rsidRPr="00514F5A">
        <w:rPr>
          <w:rFonts w:ascii="Arial" w:hAnsi="Arial" w:cs="Arial"/>
          <w:color w:val="333333"/>
          <w:sz w:val="20"/>
          <w:szCs w:val="20"/>
          <w:shd w:val="clear" w:color="auto" w:fill="FFFFFF"/>
        </w:rPr>
        <w:t>The Department reported that in terms of consequence management there were currently 10 officials on suspension related to Unemployment Insurance Fund (UIF) fraud cases in Gauteng. It was reported that out of the 486 corruption cases across the Department 26 had been referred to the South African Police Services (SAPS) and others had been recommended for disciplinary action. In terms of corruption cases, the Department reported that in Quarter 3 of the 2022/23 financial year, the breakdown was as follows:</w:t>
      </w:r>
    </w:p>
    <w:p w:rsidR="00716925" w:rsidRPr="00514F5A" w:rsidRDefault="00716925" w:rsidP="00514F5A">
      <w:pPr>
        <w:pStyle w:val="ListParagraph"/>
        <w:spacing w:after="0" w:line="240" w:lineRule="auto"/>
        <w:ind w:left="360"/>
        <w:rPr>
          <w:rFonts w:ascii="Arial" w:hAnsi="Arial" w:cs="Arial"/>
          <w:color w:val="333333"/>
          <w:sz w:val="20"/>
          <w:szCs w:val="20"/>
          <w:shd w:val="clear" w:color="auto" w:fill="FFFFFF"/>
        </w:rPr>
      </w:pPr>
    </w:p>
    <w:tbl>
      <w:tblPr>
        <w:tblStyle w:val="TableGrid"/>
        <w:tblW w:w="0" w:type="auto"/>
        <w:tblInd w:w="137" w:type="dxa"/>
        <w:tblLook w:val="04A0"/>
      </w:tblPr>
      <w:tblGrid>
        <w:gridCol w:w="2108"/>
        <w:gridCol w:w="2105"/>
        <w:gridCol w:w="2116"/>
        <w:gridCol w:w="2190"/>
      </w:tblGrid>
      <w:tr w:rsidR="005B39AC" w:rsidRPr="00514F5A" w:rsidTr="00863ADE">
        <w:tc>
          <w:tcPr>
            <w:tcW w:w="2108" w:type="dxa"/>
          </w:tcPr>
          <w:p w:rsidR="005B39AC" w:rsidRPr="00514F5A" w:rsidRDefault="005B39AC" w:rsidP="00514F5A">
            <w:pPr>
              <w:spacing w:line="240" w:lineRule="auto"/>
              <w:ind w:left="360"/>
              <w:rPr>
                <w:rFonts w:ascii="Arial" w:hAnsi="Arial" w:cs="Arial"/>
                <w:color w:val="333333"/>
                <w:sz w:val="20"/>
                <w:szCs w:val="20"/>
                <w:shd w:val="clear" w:color="auto" w:fill="FFFFFF"/>
              </w:rPr>
            </w:pPr>
            <w:r w:rsidRPr="00514F5A">
              <w:rPr>
                <w:rFonts w:ascii="Arial" w:hAnsi="Arial" w:cs="Arial"/>
                <w:color w:val="333333"/>
                <w:sz w:val="20"/>
                <w:szCs w:val="20"/>
                <w:shd w:val="clear" w:color="auto" w:fill="FFFFFF"/>
              </w:rPr>
              <w:t>Western Cape – 15 cases</w:t>
            </w:r>
          </w:p>
        </w:tc>
        <w:tc>
          <w:tcPr>
            <w:tcW w:w="2105" w:type="dxa"/>
          </w:tcPr>
          <w:p w:rsidR="005B39AC" w:rsidRPr="00514F5A" w:rsidRDefault="005B39AC" w:rsidP="00514F5A">
            <w:pPr>
              <w:spacing w:line="240" w:lineRule="auto"/>
              <w:ind w:left="360"/>
              <w:rPr>
                <w:rFonts w:ascii="Arial" w:hAnsi="Arial" w:cs="Arial"/>
                <w:color w:val="333333"/>
                <w:sz w:val="20"/>
                <w:szCs w:val="20"/>
                <w:shd w:val="clear" w:color="auto" w:fill="FFFFFF"/>
              </w:rPr>
            </w:pPr>
            <w:r w:rsidRPr="00514F5A">
              <w:rPr>
                <w:rFonts w:ascii="Arial" w:hAnsi="Arial" w:cs="Arial"/>
                <w:color w:val="333333"/>
                <w:sz w:val="20"/>
                <w:szCs w:val="20"/>
                <w:shd w:val="clear" w:color="auto" w:fill="FFFFFF"/>
              </w:rPr>
              <w:t>Northern Cape – 31 cases</w:t>
            </w:r>
          </w:p>
        </w:tc>
        <w:tc>
          <w:tcPr>
            <w:tcW w:w="2116" w:type="dxa"/>
          </w:tcPr>
          <w:p w:rsidR="005B39AC" w:rsidRPr="00514F5A" w:rsidRDefault="005B39AC" w:rsidP="00514F5A">
            <w:pPr>
              <w:spacing w:line="240" w:lineRule="auto"/>
              <w:ind w:left="360"/>
              <w:rPr>
                <w:rFonts w:ascii="Arial" w:hAnsi="Arial" w:cs="Arial"/>
                <w:color w:val="333333"/>
                <w:sz w:val="20"/>
                <w:szCs w:val="20"/>
                <w:shd w:val="clear" w:color="auto" w:fill="FFFFFF"/>
              </w:rPr>
            </w:pPr>
            <w:r w:rsidRPr="00514F5A">
              <w:rPr>
                <w:rFonts w:ascii="Arial" w:hAnsi="Arial" w:cs="Arial"/>
                <w:color w:val="333333"/>
                <w:sz w:val="20"/>
                <w:szCs w:val="20"/>
                <w:shd w:val="clear" w:color="auto" w:fill="FFFFFF"/>
              </w:rPr>
              <w:t>Limpopo- 44 cases</w:t>
            </w:r>
          </w:p>
        </w:tc>
        <w:tc>
          <w:tcPr>
            <w:tcW w:w="2190" w:type="dxa"/>
          </w:tcPr>
          <w:p w:rsidR="005B39AC" w:rsidRPr="00514F5A" w:rsidRDefault="005B39AC" w:rsidP="00514F5A">
            <w:pPr>
              <w:spacing w:line="240" w:lineRule="auto"/>
              <w:ind w:left="360"/>
              <w:rPr>
                <w:rFonts w:ascii="Arial" w:hAnsi="Arial" w:cs="Arial"/>
                <w:color w:val="333333"/>
                <w:sz w:val="20"/>
                <w:szCs w:val="20"/>
                <w:shd w:val="clear" w:color="auto" w:fill="FFFFFF"/>
              </w:rPr>
            </w:pPr>
            <w:r w:rsidRPr="00514F5A">
              <w:rPr>
                <w:rFonts w:ascii="Arial" w:hAnsi="Arial" w:cs="Arial"/>
                <w:color w:val="333333"/>
                <w:sz w:val="20"/>
                <w:szCs w:val="20"/>
                <w:shd w:val="clear" w:color="auto" w:fill="FFFFFF"/>
              </w:rPr>
              <w:t>Mpumalanga- 33 cases</w:t>
            </w:r>
          </w:p>
        </w:tc>
      </w:tr>
      <w:tr w:rsidR="005B39AC" w:rsidRPr="00514F5A" w:rsidTr="00863ADE">
        <w:tc>
          <w:tcPr>
            <w:tcW w:w="2108" w:type="dxa"/>
          </w:tcPr>
          <w:p w:rsidR="005B39AC" w:rsidRPr="00514F5A" w:rsidRDefault="005B39AC" w:rsidP="00514F5A">
            <w:pPr>
              <w:spacing w:line="240" w:lineRule="auto"/>
              <w:ind w:left="360"/>
              <w:rPr>
                <w:rFonts w:ascii="Arial" w:hAnsi="Arial" w:cs="Arial"/>
                <w:color w:val="333333"/>
                <w:sz w:val="20"/>
                <w:szCs w:val="20"/>
                <w:shd w:val="clear" w:color="auto" w:fill="FFFFFF"/>
              </w:rPr>
            </w:pPr>
            <w:r w:rsidRPr="00514F5A">
              <w:rPr>
                <w:rFonts w:ascii="Arial" w:hAnsi="Arial" w:cs="Arial"/>
                <w:color w:val="333333"/>
                <w:sz w:val="20"/>
                <w:szCs w:val="20"/>
                <w:shd w:val="clear" w:color="auto" w:fill="FFFFFF"/>
              </w:rPr>
              <w:t>Free State- 5 cases</w:t>
            </w:r>
          </w:p>
        </w:tc>
        <w:tc>
          <w:tcPr>
            <w:tcW w:w="2105" w:type="dxa"/>
          </w:tcPr>
          <w:p w:rsidR="005B39AC" w:rsidRPr="00514F5A" w:rsidRDefault="005B39AC" w:rsidP="00514F5A">
            <w:pPr>
              <w:spacing w:line="240" w:lineRule="auto"/>
              <w:ind w:left="360"/>
              <w:rPr>
                <w:rFonts w:ascii="Arial" w:hAnsi="Arial" w:cs="Arial"/>
                <w:color w:val="333333"/>
                <w:sz w:val="20"/>
                <w:szCs w:val="20"/>
                <w:shd w:val="clear" w:color="auto" w:fill="FFFFFF"/>
              </w:rPr>
            </w:pPr>
            <w:r w:rsidRPr="00514F5A">
              <w:rPr>
                <w:rFonts w:ascii="Arial" w:hAnsi="Arial" w:cs="Arial"/>
                <w:color w:val="333333"/>
                <w:sz w:val="20"/>
                <w:szCs w:val="20"/>
                <w:shd w:val="clear" w:color="auto" w:fill="FFFFFF"/>
              </w:rPr>
              <w:t>KwaZulu Natal – 146 cases</w:t>
            </w:r>
          </w:p>
        </w:tc>
        <w:tc>
          <w:tcPr>
            <w:tcW w:w="2116" w:type="dxa"/>
          </w:tcPr>
          <w:p w:rsidR="005B39AC" w:rsidRPr="00514F5A" w:rsidRDefault="005B39AC" w:rsidP="00514F5A">
            <w:pPr>
              <w:spacing w:line="240" w:lineRule="auto"/>
              <w:ind w:left="360"/>
              <w:rPr>
                <w:rFonts w:ascii="Arial" w:hAnsi="Arial" w:cs="Arial"/>
                <w:color w:val="333333"/>
                <w:sz w:val="20"/>
                <w:szCs w:val="20"/>
                <w:shd w:val="clear" w:color="auto" w:fill="FFFFFF"/>
              </w:rPr>
            </w:pPr>
            <w:r w:rsidRPr="00514F5A">
              <w:rPr>
                <w:rFonts w:ascii="Arial" w:hAnsi="Arial" w:cs="Arial"/>
                <w:color w:val="333333"/>
                <w:sz w:val="20"/>
                <w:szCs w:val="20"/>
                <w:shd w:val="clear" w:color="auto" w:fill="FFFFFF"/>
              </w:rPr>
              <w:t>Eastern Cape – 8 cases</w:t>
            </w:r>
          </w:p>
        </w:tc>
        <w:tc>
          <w:tcPr>
            <w:tcW w:w="2190" w:type="dxa"/>
          </w:tcPr>
          <w:p w:rsidR="005B39AC" w:rsidRPr="00514F5A" w:rsidRDefault="005B39AC" w:rsidP="00514F5A">
            <w:pPr>
              <w:spacing w:line="240" w:lineRule="auto"/>
              <w:ind w:left="360"/>
              <w:rPr>
                <w:rFonts w:ascii="Arial" w:hAnsi="Arial" w:cs="Arial"/>
                <w:color w:val="333333"/>
                <w:sz w:val="20"/>
                <w:szCs w:val="20"/>
                <w:shd w:val="clear" w:color="auto" w:fill="FFFFFF"/>
              </w:rPr>
            </w:pPr>
            <w:r w:rsidRPr="00514F5A">
              <w:rPr>
                <w:rFonts w:ascii="Arial" w:hAnsi="Arial" w:cs="Arial"/>
                <w:color w:val="333333"/>
                <w:sz w:val="20"/>
                <w:szCs w:val="20"/>
                <w:shd w:val="clear" w:color="auto" w:fill="FFFFFF"/>
              </w:rPr>
              <w:t>North West- 18 cases</w:t>
            </w:r>
          </w:p>
        </w:tc>
      </w:tr>
      <w:tr w:rsidR="00E04376" w:rsidRPr="00514F5A" w:rsidTr="00863ADE">
        <w:tc>
          <w:tcPr>
            <w:tcW w:w="2108" w:type="dxa"/>
          </w:tcPr>
          <w:p w:rsidR="00E04376" w:rsidRPr="00514F5A" w:rsidRDefault="00E04376" w:rsidP="00514F5A">
            <w:pPr>
              <w:spacing w:line="240" w:lineRule="auto"/>
              <w:ind w:left="360"/>
              <w:rPr>
                <w:rFonts w:ascii="Arial" w:hAnsi="Arial" w:cs="Arial"/>
                <w:color w:val="333333"/>
                <w:sz w:val="20"/>
                <w:szCs w:val="20"/>
                <w:shd w:val="clear" w:color="auto" w:fill="FFFFFF"/>
              </w:rPr>
            </w:pPr>
            <w:r w:rsidRPr="00514F5A">
              <w:rPr>
                <w:rFonts w:ascii="Arial" w:hAnsi="Arial" w:cs="Arial"/>
                <w:color w:val="333333"/>
                <w:sz w:val="20"/>
                <w:szCs w:val="20"/>
                <w:shd w:val="clear" w:color="auto" w:fill="FFFFFF"/>
              </w:rPr>
              <w:t>Gauteng-  184 cases</w:t>
            </w:r>
          </w:p>
        </w:tc>
        <w:tc>
          <w:tcPr>
            <w:tcW w:w="6411" w:type="dxa"/>
            <w:gridSpan w:val="3"/>
          </w:tcPr>
          <w:p w:rsidR="00E04376" w:rsidRPr="00514F5A" w:rsidRDefault="00E04376" w:rsidP="00514F5A">
            <w:pPr>
              <w:spacing w:line="240" w:lineRule="auto"/>
              <w:ind w:left="360"/>
              <w:rPr>
                <w:rFonts w:ascii="Arial" w:hAnsi="Arial" w:cs="Arial"/>
                <w:color w:val="333333"/>
                <w:sz w:val="20"/>
                <w:szCs w:val="20"/>
                <w:shd w:val="clear" w:color="auto" w:fill="FFFFFF"/>
              </w:rPr>
            </w:pPr>
            <w:r w:rsidRPr="00514F5A">
              <w:rPr>
                <w:rFonts w:ascii="Arial" w:hAnsi="Arial" w:cs="Arial"/>
                <w:color w:val="333333"/>
                <w:sz w:val="20"/>
                <w:szCs w:val="20"/>
                <w:shd w:val="clear" w:color="auto" w:fill="FFFFFF"/>
              </w:rPr>
              <w:t>Head Office- 2 cases</w:t>
            </w:r>
          </w:p>
        </w:tc>
      </w:tr>
    </w:tbl>
    <w:p w:rsidR="000B6944" w:rsidRPr="00514F5A" w:rsidRDefault="000B6944" w:rsidP="00514F5A">
      <w:pPr>
        <w:pStyle w:val="ListParagraph"/>
        <w:spacing w:after="0" w:line="240" w:lineRule="auto"/>
        <w:ind w:left="142"/>
        <w:rPr>
          <w:rFonts w:ascii="Arial" w:hAnsi="Arial" w:cs="Arial"/>
          <w:color w:val="333333"/>
          <w:sz w:val="20"/>
          <w:szCs w:val="20"/>
          <w:shd w:val="clear" w:color="auto" w:fill="FFFFFF"/>
        </w:rPr>
      </w:pPr>
    </w:p>
    <w:p w:rsidR="00E22FC1" w:rsidRPr="00514F5A" w:rsidRDefault="00A87455" w:rsidP="00514F5A">
      <w:pPr>
        <w:pStyle w:val="ListParagraph"/>
        <w:numPr>
          <w:ilvl w:val="0"/>
          <w:numId w:val="11"/>
        </w:numPr>
        <w:spacing w:after="0" w:line="240" w:lineRule="auto"/>
        <w:ind w:left="360"/>
        <w:rPr>
          <w:rFonts w:ascii="Arial" w:hAnsi="Arial" w:cs="Arial"/>
          <w:color w:val="333333"/>
          <w:sz w:val="20"/>
          <w:szCs w:val="20"/>
          <w:shd w:val="clear" w:color="auto" w:fill="FFFFFF"/>
        </w:rPr>
      </w:pPr>
      <w:r w:rsidRPr="00514F5A">
        <w:rPr>
          <w:rFonts w:ascii="Arial" w:hAnsi="Arial" w:cs="Arial"/>
          <w:color w:val="333333"/>
          <w:sz w:val="20"/>
          <w:szCs w:val="20"/>
          <w:shd w:val="clear" w:color="auto" w:fill="FFFFFF"/>
        </w:rPr>
        <w:t xml:space="preserve"> </w:t>
      </w:r>
      <w:r w:rsidR="005B39AC" w:rsidRPr="00514F5A">
        <w:rPr>
          <w:rFonts w:ascii="Arial" w:hAnsi="Arial" w:cs="Arial"/>
          <w:color w:val="333333"/>
          <w:sz w:val="20"/>
          <w:szCs w:val="20"/>
          <w:shd w:val="clear" w:color="auto" w:fill="FFFFFF"/>
        </w:rPr>
        <w:t xml:space="preserve">The Department noted that Programme 1: Administration was the most effected by budget reductions </w:t>
      </w:r>
      <w:r w:rsidR="00E22FC1" w:rsidRPr="00514F5A">
        <w:rPr>
          <w:rFonts w:ascii="Arial" w:hAnsi="Arial" w:cs="Arial"/>
          <w:color w:val="333333"/>
          <w:sz w:val="20"/>
          <w:szCs w:val="20"/>
          <w:shd w:val="clear" w:color="auto" w:fill="FFFFFF"/>
        </w:rPr>
        <w:t>for the 2023/24 financial year.</w:t>
      </w:r>
      <w:r w:rsidR="00324A0D" w:rsidRPr="00514F5A">
        <w:rPr>
          <w:rFonts w:ascii="Arial" w:hAnsi="Arial" w:cs="Arial"/>
          <w:color w:val="333333"/>
          <w:sz w:val="20"/>
          <w:szCs w:val="20"/>
          <w:shd w:val="clear" w:color="auto" w:fill="FFFFFF"/>
        </w:rPr>
        <w:t xml:space="preserve"> However, it was reported that there will be additional capacity built into investigations cases within risk management to ensure timely completion of the cases either by being referred to the external law enforcement agencies or simple completion </w:t>
      </w:r>
      <w:r w:rsidR="00324A0D" w:rsidRPr="00514F5A">
        <w:rPr>
          <w:rFonts w:ascii="Arial" w:hAnsi="Arial" w:cs="Arial"/>
          <w:color w:val="333333"/>
          <w:sz w:val="20"/>
          <w:szCs w:val="20"/>
          <w:shd w:val="clear" w:color="auto" w:fill="FFFFFF"/>
        </w:rPr>
        <w:lastRenderedPageBreak/>
        <w:t>within the Department.</w:t>
      </w:r>
      <w:r w:rsidR="00E22FC1" w:rsidRPr="00514F5A">
        <w:rPr>
          <w:rFonts w:ascii="Arial" w:hAnsi="Arial" w:cs="Arial"/>
          <w:color w:val="333333"/>
          <w:sz w:val="20"/>
          <w:szCs w:val="20"/>
          <w:shd w:val="clear" w:color="auto" w:fill="FFFFFF"/>
        </w:rPr>
        <w:t xml:space="preserve"> Budget reductions in other Programmes has resulted in the Department working in partnership with other government departments and entities to consolidate resources to conduct a number of coordinated inspections. The Department further </w:t>
      </w:r>
      <w:r w:rsidR="00E33DBA" w:rsidRPr="00514F5A">
        <w:rPr>
          <w:rFonts w:ascii="Arial" w:hAnsi="Arial" w:cs="Arial"/>
          <w:color w:val="333333"/>
          <w:sz w:val="20"/>
          <w:szCs w:val="20"/>
          <w:shd w:val="clear" w:color="auto" w:fill="FFFFFF"/>
        </w:rPr>
        <w:t xml:space="preserve">advanced that it has entered into </w:t>
      </w:r>
      <w:r w:rsidR="00E22FC1" w:rsidRPr="00514F5A">
        <w:rPr>
          <w:rFonts w:ascii="Arial" w:hAnsi="Arial" w:cs="Arial"/>
          <w:color w:val="333333"/>
          <w:sz w:val="20"/>
          <w:szCs w:val="20"/>
          <w:shd w:val="clear" w:color="auto" w:fill="FFFFFF"/>
        </w:rPr>
        <w:t xml:space="preserve">a number of Memorandum of Understandings (MOU’s) </w:t>
      </w:r>
      <w:r w:rsidR="00E33DBA" w:rsidRPr="00514F5A">
        <w:rPr>
          <w:rFonts w:ascii="Arial" w:hAnsi="Arial" w:cs="Arial"/>
          <w:color w:val="333333"/>
          <w:sz w:val="20"/>
          <w:szCs w:val="20"/>
          <w:shd w:val="clear" w:color="auto" w:fill="FFFFFF"/>
        </w:rPr>
        <w:t>both internal</w:t>
      </w:r>
      <w:r w:rsidR="00F73456" w:rsidRPr="00514F5A">
        <w:rPr>
          <w:rFonts w:ascii="Arial" w:hAnsi="Arial" w:cs="Arial"/>
          <w:color w:val="333333"/>
          <w:sz w:val="20"/>
          <w:szCs w:val="20"/>
          <w:shd w:val="clear" w:color="auto" w:fill="FFFFFF"/>
        </w:rPr>
        <w:t xml:space="preserve">- at </w:t>
      </w:r>
      <w:r w:rsidR="00E33DBA" w:rsidRPr="00514F5A">
        <w:rPr>
          <w:rFonts w:ascii="Arial" w:hAnsi="Arial" w:cs="Arial"/>
          <w:color w:val="333333"/>
          <w:sz w:val="20"/>
          <w:szCs w:val="20"/>
          <w:shd w:val="clear" w:color="auto" w:fill="FFFFFF"/>
        </w:rPr>
        <w:t>wide employment and labour portfolio level</w:t>
      </w:r>
      <w:r w:rsidR="00F73456" w:rsidRPr="00514F5A">
        <w:rPr>
          <w:rFonts w:ascii="Arial" w:hAnsi="Arial" w:cs="Arial"/>
          <w:color w:val="333333"/>
          <w:sz w:val="20"/>
          <w:szCs w:val="20"/>
          <w:shd w:val="clear" w:color="auto" w:fill="FFFFFF"/>
        </w:rPr>
        <w:t>;</w:t>
      </w:r>
      <w:r w:rsidR="00E33DBA" w:rsidRPr="00514F5A">
        <w:rPr>
          <w:rFonts w:ascii="Arial" w:hAnsi="Arial" w:cs="Arial"/>
          <w:color w:val="333333"/>
          <w:sz w:val="20"/>
          <w:szCs w:val="20"/>
          <w:shd w:val="clear" w:color="auto" w:fill="FFFFFF"/>
        </w:rPr>
        <w:t xml:space="preserve"> and </w:t>
      </w:r>
      <w:r w:rsidR="00E22FC1" w:rsidRPr="00514F5A">
        <w:rPr>
          <w:rFonts w:ascii="Arial" w:hAnsi="Arial" w:cs="Arial"/>
          <w:color w:val="333333"/>
          <w:sz w:val="20"/>
          <w:szCs w:val="20"/>
          <w:shd w:val="clear" w:color="auto" w:fill="FFFFFF"/>
        </w:rPr>
        <w:t xml:space="preserve">externally to alleviate limited resources and </w:t>
      </w:r>
      <w:r w:rsidR="00E33DBA" w:rsidRPr="00514F5A">
        <w:rPr>
          <w:rFonts w:ascii="Arial" w:hAnsi="Arial" w:cs="Arial"/>
          <w:color w:val="333333"/>
          <w:sz w:val="20"/>
          <w:szCs w:val="20"/>
          <w:shd w:val="clear" w:color="auto" w:fill="FFFFFF"/>
        </w:rPr>
        <w:t xml:space="preserve">it does not </w:t>
      </w:r>
      <w:r w:rsidR="00E22FC1" w:rsidRPr="00514F5A">
        <w:rPr>
          <w:rFonts w:ascii="Arial" w:hAnsi="Arial" w:cs="Arial"/>
          <w:color w:val="333333"/>
          <w:sz w:val="20"/>
          <w:szCs w:val="20"/>
          <w:shd w:val="clear" w:color="auto" w:fill="FFFFFF"/>
        </w:rPr>
        <w:t>anticipate that the budget reduction will have an impact on service.</w:t>
      </w:r>
    </w:p>
    <w:p w:rsidR="00E22FC1" w:rsidRPr="00514F5A" w:rsidRDefault="00E22FC1" w:rsidP="00514F5A">
      <w:pPr>
        <w:pStyle w:val="ListParagraph"/>
        <w:numPr>
          <w:ilvl w:val="0"/>
          <w:numId w:val="11"/>
        </w:numPr>
        <w:spacing w:after="0" w:line="240" w:lineRule="auto"/>
        <w:ind w:left="360"/>
        <w:rPr>
          <w:rFonts w:ascii="Arial" w:hAnsi="Arial" w:cs="Arial"/>
          <w:color w:val="333333"/>
          <w:sz w:val="20"/>
          <w:szCs w:val="20"/>
          <w:shd w:val="clear" w:color="auto" w:fill="FFFFFF"/>
        </w:rPr>
      </w:pPr>
      <w:r w:rsidRPr="00514F5A">
        <w:rPr>
          <w:rFonts w:ascii="Arial" w:hAnsi="Arial" w:cs="Arial"/>
          <w:color w:val="333333"/>
          <w:sz w:val="20"/>
          <w:szCs w:val="20"/>
          <w:shd w:val="clear" w:color="auto" w:fill="FFFFFF"/>
        </w:rPr>
        <w:t xml:space="preserve">The Department noted concerns raised regarding the long queues at Labour Centres and advanced that this was the unintended consequence of load shedding which resulted in the interruption of service. It was reported </w:t>
      </w:r>
      <w:r w:rsidR="00E33DBA" w:rsidRPr="00514F5A">
        <w:rPr>
          <w:rFonts w:ascii="Arial" w:hAnsi="Arial" w:cs="Arial"/>
          <w:color w:val="333333"/>
          <w:sz w:val="20"/>
          <w:szCs w:val="20"/>
          <w:shd w:val="clear" w:color="auto" w:fill="FFFFFF"/>
        </w:rPr>
        <w:t xml:space="preserve">that </w:t>
      </w:r>
      <w:r w:rsidRPr="00514F5A">
        <w:rPr>
          <w:rFonts w:ascii="Arial" w:hAnsi="Arial" w:cs="Arial"/>
          <w:color w:val="333333"/>
          <w:sz w:val="20"/>
          <w:szCs w:val="20"/>
          <w:shd w:val="clear" w:color="auto" w:fill="FFFFFF"/>
        </w:rPr>
        <w:t xml:space="preserve">the UIF </w:t>
      </w:r>
      <w:r w:rsidR="00E33DBA" w:rsidRPr="00514F5A">
        <w:rPr>
          <w:rFonts w:ascii="Arial" w:hAnsi="Arial" w:cs="Arial"/>
          <w:color w:val="333333"/>
          <w:sz w:val="20"/>
          <w:szCs w:val="20"/>
          <w:shd w:val="clear" w:color="auto" w:fill="FFFFFF"/>
        </w:rPr>
        <w:t xml:space="preserve">has </w:t>
      </w:r>
      <w:r w:rsidRPr="00514F5A">
        <w:rPr>
          <w:rFonts w:ascii="Arial" w:hAnsi="Arial" w:cs="Arial"/>
          <w:color w:val="333333"/>
          <w:sz w:val="20"/>
          <w:szCs w:val="20"/>
          <w:shd w:val="clear" w:color="auto" w:fill="FFFFFF"/>
        </w:rPr>
        <w:t xml:space="preserve">approved </w:t>
      </w:r>
      <w:r w:rsidR="00E33DBA" w:rsidRPr="00514F5A">
        <w:rPr>
          <w:rFonts w:ascii="Arial" w:hAnsi="Arial" w:cs="Arial"/>
          <w:color w:val="333333"/>
          <w:sz w:val="20"/>
          <w:szCs w:val="20"/>
          <w:shd w:val="clear" w:color="auto" w:fill="FFFFFF"/>
        </w:rPr>
        <w:t xml:space="preserve">an </w:t>
      </w:r>
      <w:r w:rsidRPr="00514F5A">
        <w:rPr>
          <w:rFonts w:ascii="Arial" w:hAnsi="Arial" w:cs="Arial"/>
          <w:color w:val="333333"/>
          <w:sz w:val="20"/>
          <w:szCs w:val="20"/>
          <w:shd w:val="clear" w:color="auto" w:fill="FFFFFF"/>
        </w:rPr>
        <w:t>increase of staff allocation to 4</w:t>
      </w:r>
      <w:r w:rsidR="00F73456" w:rsidRPr="00514F5A">
        <w:rPr>
          <w:rFonts w:ascii="Arial" w:hAnsi="Arial" w:cs="Arial"/>
          <w:color w:val="333333"/>
          <w:sz w:val="20"/>
          <w:szCs w:val="20"/>
          <w:shd w:val="clear" w:color="auto" w:fill="FFFFFF"/>
        </w:rPr>
        <w:t xml:space="preserve"> </w:t>
      </w:r>
      <w:r w:rsidRPr="00514F5A">
        <w:rPr>
          <w:rFonts w:ascii="Arial" w:hAnsi="Arial" w:cs="Arial"/>
          <w:color w:val="333333"/>
          <w:sz w:val="20"/>
          <w:szCs w:val="20"/>
          <w:shd w:val="clear" w:color="auto" w:fill="FFFFFF"/>
        </w:rPr>
        <w:t>000 to assist clients with service</w:t>
      </w:r>
      <w:r w:rsidR="00F73456" w:rsidRPr="00514F5A">
        <w:rPr>
          <w:rFonts w:ascii="Arial" w:hAnsi="Arial" w:cs="Arial"/>
          <w:color w:val="333333"/>
          <w:sz w:val="20"/>
          <w:szCs w:val="20"/>
          <w:shd w:val="clear" w:color="auto" w:fill="FFFFFF"/>
        </w:rPr>
        <w:t>s</w:t>
      </w:r>
      <w:r w:rsidRPr="00514F5A">
        <w:rPr>
          <w:rFonts w:ascii="Arial" w:hAnsi="Arial" w:cs="Arial"/>
          <w:color w:val="333333"/>
          <w:sz w:val="20"/>
          <w:szCs w:val="20"/>
          <w:shd w:val="clear" w:color="auto" w:fill="FFFFFF"/>
        </w:rPr>
        <w:t xml:space="preserve"> as well as </w:t>
      </w:r>
      <w:r w:rsidR="00E33DBA" w:rsidRPr="00514F5A">
        <w:rPr>
          <w:rFonts w:ascii="Arial" w:hAnsi="Arial" w:cs="Arial"/>
          <w:color w:val="333333"/>
          <w:sz w:val="20"/>
          <w:szCs w:val="20"/>
          <w:shd w:val="clear" w:color="auto" w:fill="FFFFFF"/>
        </w:rPr>
        <w:t xml:space="preserve">deploying resources to improve </w:t>
      </w:r>
      <w:r w:rsidR="00F73456" w:rsidRPr="00514F5A">
        <w:rPr>
          <w:rFonts w:ascii="Arial" w:hAnsi="Arial" w:cs="Arial"/>
          <w:color w:val="333333"/>
          <w:sz w:val="20"/>
          <w:szCs w:val="20"/>
          <w:shd w:val="clear" w:color="auto" w:fill="FFFFFF"/>
        </w:rPr>
        <w:t xml:space="preserve">the </w:t>
      </w:r>
      <w:r w:rsidRPr="00514F5A">
        <w:rPr>
          <w:rFonts w:ascii="Arial" w:hAnsi="Arial" w:cs="Arial"/>
          <w:color w:val="333333"/>
          <w:sz w:val="20"/>
          <w:szCs w:val="20"/>
          <w:shd w:val="clear" w:color="auto" w:fill="FFFFFF"/>
        </w:rPr>
        <w:t xml:space="preserve">queue management system to </w:t>
      </w:r>
      <w:r w:rsidR="00E33DBA" w:rsidRPr="00514F5A">
        <w:rPr>
          <w:rFonts w:ascii="Arial" w:hAnsi="Arial" w:cs="Arial"/>
          <w:color w:val="333333"/>
          <w:sz w:val="20"/>
          <w:szCs w:val="20"/>
          <w:shd w:val="clear" w:color="auto" w:fill="FFFFFF"/>
        </w:rPr>
        <w:t xml:space="preserve">boost capacity. </w:t>
      </w:r>
      <w:r w:rsidRPr="00514F5A">
        <w:rPr>
          <w:rFonts w:ascii="Arial" w:hAnsi="Arial" w:cs="Arial"/>
          <w:color w:val="333333"/>
          <w:sz w:val="20"/>
          <w:szCs w:val="20"/>
          <w:shd w:val="clear" w:color="auto" w:fill="FFFFFF"/>
        </w:rPr>
        <w:t xml:space="preserve">The UIF further intend to invest in </w:t>
      </w:r>
      <w:r w:rsidR="00F73456" w:rsidRPr="00514F5A">
        <w:rPr>
          <w:rFonts w:ascii="Arial" w:hAnsi="Arial" w:cs="Arial"/>
          <w:color w:val="333333"/>
          <w:sz w:val="20"/>
          <w:szCs w:val="20"/>
          <w:shd w:val="clear" w:color="auto" w:fill="FFFFFF"/>
        </w:rPr>
        <w:t>Wi-Fi</w:t>
      </w:r>
      <w:r w:rsidRPr="00514F5A">
        <w:rPr>
          <w:rFonts w:ascii="Arial" w:hAnsi="Arial" w:cs="Arial"/>
          <w:color w:val="333333"/>
          <w:sz w:val="20"/>
          <w:szCs w:val="20"/>
          <w:shd w:val="clear" w:color="auto" w:fill="FFFFFF"/>
        </w:rPr>
        <w:t xml:space="preserve"> routers so that clients may utilise the self-help option in an effort to reduce queue numbers.</w:t>
      </w:r>
    </w:p>
    <w:p w:rsidR="00A87455" w:rsidRPr="00514F5A" w:rsidRDefault="00AA2AFC" w:rsidP="00514F5A">
      <w:pPr>
        <w:pStyle w:val="ListParagraph"/>
        <w:numPr>
          <w:ilvl w:val="0"/>
          <w:numId w:val="11"/>
        </w:numPr>
        <w:spacing w:after="0" w:line="240" w:lineRule="auto"/>
        <w:ind w:left="360"/>
        <w:rPr>
          <w:rFonts w:ascii="Arial" w:hAnsi="Arial" w:cs="Arial"/>
          <w:color w:val="333333"/>
          <w:sz w:val="20"/>
          <w:szCs w:val="20"/>
          <w:shd w:val="clear" w:color="auto" w:fill="FFFFFF"/>
        </w:rPr>
      </w:pPr>
      <w:r w:rsidRPr="00514F5A">
        <w:rPr>
          <w:rFonts w:ascii="Arial" w:hAnsi="Arial" w:cs="Arial"/>
          <w:color w:val="333333"/>
          <w:sz w:val="20"/>
          <w:szCs w:val="20"/>
          <w:shd w:val="clear" w:color="auto" w:fill="FFFFFF"/>
        </w:rPr>
        <w:t xml:space="preserve">It was highlighted that </w:t>
      </w:r>
      <w:r w:rsidR="004452DA" w:rsidRPr="00514F5A">
        <w:rPr>
          <w:rFonts w:ascii="Arial" w:hAnsi="Arial" w:cs="Arial"/>
          <w:color w:val="333333"/>
          <w:sz w:val="20"/>
          <w:szCs w:val="20"/>
          <w:shd w:val="clear" w:color="auto" w:fill="FFFFFF"/>
        </w:rPr>
        <w:t>delays in processing of claims</w:t>
      </w:r>
      <w:r w:rsidRPr="00514F5A">
        <w:rPr>
          <w:rFonts w:ascii="Arial" w:hAnsi="Arial" w:cs="Arial"/>
          <w:color w:val="333333"/>
          <w:sz w:val="20"/>
          <w:szCs w:val="20"/>
          <w:shd w:val="clear" w:color="auto" w:fill="FFFFFF"/>
        </w:rPr>
        <w:t xml:space="preserve"> need to be </w:t>
      </w:r>
      <w:r w:rsidR="00F73456" w:rsidRPr="00514F5A">
        <w:rPr>
          <w:rFonts w:ascii="Arial" w:hAnsi="Arial" w:cs="Arial"/>
          <w:color w:val="333333"/>
          <w:sz w:val="20"/>
          <w:szCs w:val="20"/>
          <w:shd w:val="clear" w:color="auto" w:fill="FFFFFF"/>
        </w:rPr>
        <w:t>enhanced</w:t>
      </w:r>
      <w:r w:rsidRPr="00514F5A">
        <w:rPr>
          <w:rFonts w:ascii="Arial" w:hAnsi="Arial" w:cs="Arial"/>
          <w:color w:val="333333"/>
          <w:sz w:val="20"/>
          <w:szCs w:val="20"/>
          <w:shd w:val="clear" w:color="auto" w:fill="FFFFFF"/>
        </w:rPr>
        <w:t xml:space="preserve">. The Department indicated it was working with </w:t>
      </w:r>
      <w:r w:rsidR="004452DA" w:rsidRPr="00514F5A">
        <w:rPr>
          <w:rFonts w:ascii="Arial" w:hAnsi="Arial" w:cs="Arial"/>
          <w:color w:val="333333"/>
          <w:sz w:val="20"/>
          <w:szCs w:val="20"/>
          <w:shd w:val="clear" w:color="auto" w:fill="FFFFFF"/>
        </w:rPr>
        <w:t xml:space="preserve">Department of Home Affairs </w:t>
      </w:r>
      <w:r w:rsidRPr="00514F5A">
        <w:rPr>
          <w:rFonts w:ascii="Arial" w:hAnsi="Arial" w:cs="Arial"/>
          <w:color w:val="333333"/>
          <w:sz w:val="20"/>
          <w:szCs w:val="20"/>
          <w:shd w:val="clear" w:color="auto" w:fill="FFFFFF"/>
        </w:rPr>
        <w:t xml:space="preserve">to improve the process. </w:t>
      </w:r>
    </w:p>
    <w:p w:rsidR="004452DA" w:rsidRPr="00514F5A" w:rsidRDefault="00DE04DC" w:rsidP="00514F5A">
      <w:pPr>
        <w:pStyle w:val="ListParagraph"/>
        <w:numPr>
          <w:ilvl w:val="0"/>
          <w:numId w:val="11"/>
        </w:numPr>
        <w:spacing w:after="0" w:line="240" w:lineRule="auto"/>
        <w:ind w:left="360"/>
        <w:rPr>
          <w:rFonts w:ascii="Arial" w:hAnsi="Arial" w:cs="Arial"/>
          <w:color w:val="333333"/>
          <w:sz w:val="20"/>
          <w:szCs w:val="20"/>
          <w:shd w:val="clear" w:color="auto" w:fill="FFFFFF"/>
        </w:rPr>
      </w:pPr>
      <w:r w:rsidRPr="00514F5A">
        <w:rPr>
          <w:rFonts w:ascii="Arial" w:hAnsi="Arial" w:cs="Arial"/>
          <w:color w:val="333333"/>
          <w:sz w:val="20"/>
          <w:szCs w:val="20"/>
          <w:shd w:val="clear" w:color="auto" w:fill="FFFFFF"/>
        </w:rPr>
        <w:t xml:space="preserve">Regarding the oversight over </w:t>
      </w:r>
      <w:r w:rsidR="00F73456" w:rsidRPr="00514F5A">
        <w:rPr>
          <w:rFonts w:ascii="Arial" w:hAnsi="Arial" w:cs="Arial"/>
          <w:color w:val="333333"/>
          <w:sz w:val="20"/>
          <w:szCs w:val="20"/>
          <w:shd w:val="clear" w:color="auto" w:fill="FFFFFF"/>
        </w:rPr>
        <w:t>entities that</w:t>
      </w:r>
      <w:r w:rsidRPr="00514F5A">
        <w:rPr>
          <w:rFonts w:ascii="Arial" w:hAnsi="Arial" w:cs="Arial"/>
          <w:color w:val="333333"/>
          <w:sz w:val="20"/>
          <w:szCs w:val="20"/>
          <w:shd w:val="clear" w:color="auto" w:fill="FFFFFF"/>
        </w:rPr>
        <w:t xml:space="preserve"> report to the Department, it was reported that each entity has a </w:t>
      </w:r>
      <w:r w:rsidR="00F73456" w:rsidRPr="00514F5A">
        <w:rPr>
          <w:rFonts w:ascii="Arial" w:hAnsi="Arial" w:cs="Arial"/>
          <w:color w:val="333333"/>
          <w:sz w:val="20"/>
          <w:szCs w:val="20"/>
          <w:shd w:val="clear" w:color="auto" w:fill="FFFFFF"/>
        </w:rPr>
        <w:t>board that</w:t>
      </w:r>
      <w:r w:rsidRPr="00514F5A">
        <w:rPr>
          <w:rFonts w:ascii="Arial" w:hAnsi="Arial" w:cs="Arial"/>
          <w:color w:val="333333"/>
          <w:sz w:val="20"/>
          <w:szCs w:val="20"/>
          <w:shd w:val="clear" w:color="auto" w:fill="FFFFFF"/>
        </w:rPr>
        <w:t xml:space="preserve"> are responsible for providing oversight over the respective entities. When transfers are made, entities sign a Service Level Agreement (SLA) as a basis for transfer.</w:t>
      </w:r>
      <w:r w:rsidR="00335D4A" w:rsidRPr="00514F5A">
        <w:rPr>
          <w:rFonts w:ascii="Arial" w:hAnsi="Arial" w:cs="Arial"/>
          <w:color w:val="333333"/>
          <w:sz w:val="20"/>
          <w:szCs w:val="20"/>
          <w:shd w:val="clear" w:color="auto" w:fill="FFFFFF"/>
        </w:rPr>
        <w:t xml:space="preserve"> The Committee emphasised that the Department need</w:t>
      </w:r>
      <w:r w:rsidR="00F73456" w:rsidRPr="00514F5A">
        <w:rPr>
          <w:rFonts w:ascii="Arial" w:hAnsi="Arial" w:cs="Arial"/>
          <w:color w:val="333333"/>
          <w:sz w:val="20"/>
          <w:szCs w:val="20"/>
          <w:shd w:val="clear" w:color="auto" w:fill="FFFFFF"/>
        </w:rPr>
        <w:t>s</w:t>
      </w:r>
      <w:r w:rsidR="00335D4A" w:rsidRPr="00514F5A">
        <w:rPr>
          <w:rFonts w:ascii="Arial" w:hAnsi="Arial" w:cs="Arial"/>
          <w:color w:val="333333"/>
          <w:sz w:val="20"/>
          <w:szCs w:val="20"/>
          <w:shd w:val="clear" w:color="auto" w:fill="FFFFFF"/>
        </w:rPr>
        <w:t xml:space="preserve"> to play an active oversight </w:t>
      </w:r>
      <w:r w:rsidR="00F73456" w:rsidRPr="00514F5A">
        <w:rPr>
          <w:rFonts w:ascii="Arial" w:hAnsi="Arial" w:cs="Arial"/>
          <w:color w:val="333333"/>
          <w:sz w:val="20"/>
          <w:szCs w:val="20"/>
          <w:shd w:val="clear" w:color="auto" w:fill="FFFFFF"/>
        </w:rPr>
        <w:t xml:space="preserve">role </w:t>
      </w:r>
      <w:r w:rsidR="00335D4A" w:rsidRPr="00514F5A">
        <w:rPr>
          <w:rFonts w:ascii="Arial" w:hAnsi="Arial" w:cs="Arial"/>
          <w:color w:val="333333"/>
          <w:sz w:val="20"/>
          <w:szCs w:val="20"/>
          <w:shd w:val="clear" w:color="auto" w:fill="FFFFFF"/>
        </w:rPr>
        <w:t xml:space="preserve">of the Compensation Fund, including scaling </w:t>
      </w:r>
      <w:r w:rsidR="00AA2AFC" w:rsidRPr="00514F5A">
        <w:rPr>
          <w:rFonts w:ascii="Arial" w:hAnsi="Arial" w:cs="Arial"/>
          <w:color w:val="333333"/>
          <w:sz w:val="20"/>
          <w:szCs w:val="20"/>
          <w:shd w:val="clear" w:color="auto" w:fill="FFFFFF"/>
        </w:rPr>
        <w:t xml:space="preserve">up </w:t>
      </w:r>
      <w:r w:rsidR="00335D4A" w:rsidRPr="00514F5A">
        <w:rPr>
          <w:rFonts w:ascii="Arial" w:hAnsi="Arial" w:cs="Arial"/>
          <w:color w:val="333333"/>
          <w:sz w:val="20"/>
          <w:szCs w:val="20"/>
          <w:shd w:val="clear" w:color="auto" w:fill="FFFFFF"/>
        </w:rPr>
        <w:t xml:space="preserve">support to the </w:t>
      </w:r>
      <w:r w:rsidR="00335D4A" w:rsidRPr="00514F5A">
        <w:rPr>
          <w:rFonts w:ascii="Arial" w:hAnsi="Arial" w:cs="Arial"/>
          <w:i/>
          <w:color w:val="333333"/>
          <w:sz w:val="20"/>
          <w:szCs w:val="20"/>
          <w:shd w:val="clear" w:color="auto" w:fill="FFFFFF"/>
          <w:lang w:val="en-GB"/>
        </w:rPr>
        <w:t>Supported Employment Enterprises</w:t>
      </w:r>
      <w:r w:rsidR="00335D4A" w:rsidRPr="00514F5A">
        <w:rPr>
          <w:rFonts w:ascii="Arial" w:hAnsi="Arial" w:cs="Arial"/>
          <w:color w:val="333333"/>
          <w:sz w:val="20"/>
          <w:szCs w:val="20"/>
          <w:shd w:val="clear" w:color="auto" w:fill="FFFFFF"/>
        </w:rPr>
        <w:t xml:space="preserve">. </w:t>
      </w:r>
    </w:p>
    <w:p w:rsidR="00DE04DC" w:rsidRPr="00514F5A" w:rsidRDefault="00DE04DC" w:rsidP="00514F5A">
      <w:pPr>
        <w:pStyle w:val="ListParagraph"/>
        <w:numPr>
          <w:ilvl w:val="0"/>
          <w:numId w:val="11"/>
        </w:numPr>
        <w:spacing w:after="0" w:line="240" w:lineRule="auto"/>
        <w:ind w:left="360"/>
        <w:rPr>
          <w:rFonts w:ascii="Arial" w:hAnsi="Arial" w:cs="Arial"/>
          <w:color w:val="333333"/>
          <w:sz w:val="20"/>
          <w:szCs w:val="20"/>
          <w:shd w:val="clear" w:color="auto" w:fill="FFFFFF"/>
        </w:rPr>
      </w:pPr>
      <w:r w:rsidRPr="00514F5A">
        <w:rPr>
          <w:rFonts w:ascii="Arial" w:hAnsi="Arial" w:cs="Arial"/>
          <w:color w:val="333333"/>
          <w:sz w:val="20"/>
          <w:szCs w:val="20"/>
          <w:shd w:val="clear" w:color="auto" w:fill="FFFFFF"/>
        </w:rPr>
        <w:t xml:space="preserve">The Department confirmed that it has conducted a number of inspections on farms and </w:t>
      </w:r>
      <w:r w:rsidR="00F73456" w:rsidRPr="00514F5A">
        <w:rPr>
          <w:rFonts w:ascii="Arial" w:hAnsi="Arial" w:cs="Arial"/>
          <w:color w:val="333333"/>
          <w:sz w:val="20"/>
          <w:szCs w:val="20"/>
          <w:shd w:val="clear" w:color="auto" w:fill="FFFFFF"/>
        </w:rPr>
        <w:t xml:space="preserve">that </w:t>
      </w:r>
      <w:r w:rsidRPr="00514F5A">
        <w:rPr>
          <w:rFonts w:ascii="Arial" w:hAnsi="Arial" w:cs="Arial"/>
          <w:color w:val="333333"/>
          <w:sz w:val="20"/>
          <w:szCs w:val="20"/>
          <w:shd w:val="clear" w:color="auto" w:fill="FFFFFF"/>
        </w:rPr>
        <w:t xml:space="preserve">more </w:t>
      </w:r>
      <w:r w:rsidR="00335D4A" w:rsidRPr="00514F5A">
        <w:rPr>
          <w:rFonts w:ascii="Arial" w:hAnsi="Arial" w:cs="Arial"/>
          <w:color w:val="333333"/>
          <w:sz w:val="20"/>
          <w:szCs w:val="20"/>
          <w:shd w:val="clear" w:color="auto" w:fill="FFFFFF"/>
        </w:rPr>
        <w:t xml:space="preserve">collaborative </w:t>
      </w:r>
      <w:r w:rsidRPr="00514F5A">
        <w:rPr>
          <w:rFonts w:ascii="Arial" w:hAnsi="Arial" w:cs="Arial"/>
          <w:color w:val="333333"/>
          <w:sz w:val="20"/>
          <w:szCs w:val="20"/>
          <w:shd w:val="clear" w:color="auto" w:fill="FFFFFF"/>
        </w:rPr>
        <w:t>work with the Department of Agriculture and Rural Development</w:t>
      </w:r>
      <w:r w:rsidR="00F73456" w:rsidRPr="00514F5A">
        <w:rPr>
          <w:rFonts w:ascii="Arial" w:hAnsi="Arial" w:cs="Arial"/>
          <w:color w:val="333333"/>
          <w:sz w:val="20"/>
          <w:szCs w:val="20"/>
          <w:shd w:val="clear" w:color="auto" w:fill="FFFFFF"/>
        </w:rPr>
        <w:t>,</w:t>
      </w:r>
      <w:r w:rsidRPr="00514F5A">
        <w:rPr>
          <w:rFonts w:ascii="Arial" w:hAnsi="Arial" w:cs="Arial"/>
          <w:color w:val="333333"/>
          <w:sz w:val="20"/>
          <w:szCs w:val="20"/>
          <w:shd w:val="clear" w:color="auto" w:fill="FFFFFF"/>
        </w:rPr>
        <w:t xml:space="preserve"> </w:t>
      </w:r>
      <w:r w:rsidR="00335D4A" w:rsidRPr="00514F5A">
        <w:rPr>
          <w:rFonts w:ascii="Arial" w:hAnsi="Arial" w:cs="Arial"/>
          <w:color w:val="333333"/>
          <w:sz w:val="20"/>
          <w:szCs w:val="20"/>
          <w:shd w:val="clear" w:color="auto" w:fill="FFFFFF"/>
        </w:rPr>
        <w:t xml:space="preserve">will enhance the inspection services. </w:t>
      </w:r>
    </w:p>
    <w:p w:rsidR="005068AD" w:rsidRPr="00514F5A" w:rsidRDefault="005068AD" w:rsidP="00514F5A">
      <w:pPr>
        <w:pStyle w:val="ListParagraph"/>
        <w:numPr>
          <w:ilvl w:val="0"/>
          <w:numId w:val="11"/>
        </w:numPr>
        <w:spacing w:after="0" w:line="240" w:lineRule="auto"/>
        <w:ind w:left="360"/>
        <w:rPr>
          <w:rFonts w:ascii="Arial" w:hAnsi="Arial" w:cs="Arial"/>
          <w:color w:val="333333"/>
          <w:sz w:val="20"/>
          <w:szCs w:val="20"/>
          <w:shd w:val="clear" w:color="auto" w:fill="FFFFFF"/>
        </w:rPr>
      </w:pPr>
      <w:r w:rsidRPr="00514F5A">
        <w:rPr>
          <w:rFonts w:ascii="Arial" w:hAnsi="Arial" w:cs="Arial"/>
          <w:color w:val="333333"/>
          <w:sz w:val="20"/>
          <w:szCs w:val="20"/>
          <w:shd w:val="clear" w:color="auto" w:fill="FFFFFF"/>
        </w:rPr>
        <w:t xml:space="preserve">The Committee recognised efforts and outcomes associated with government’s attempts to stimulate employment through numerous public employment interventions. </w:t>
      </w:r>
      <w:r w:rsidR="00264F22" w:rsidRPr="00514F5A">
        <w:rPr>
          <w:rFonts w:ascii="Arial" w:hAnsi="Arial" w:cs="Arial"/>
          <w:color w:val="333333"/>
          <w:sz w:val="20"/>
          <w:szCs w:val="20"/>
          <w:shd w:val="clear" w:color="auto" w:fill="FFFFFF"/>
        </w:rPr>
        <w:t>However,</w:t>
      </w:r>
      <w:r w:rsidRPr="00514F5A">
        <w:rPr>
          <w:rFonts w:ascii="Arial" w:hAnsi="Arial" w:cs="Arial"/>
          <w:color w:val="333333"/>
          <w:sz w:val="20"/>
          <w:szCs w:val="20"/>
          <w:shd w:val="clear" w:color="auto" w:fill="FFFFFF"/>
        </w:rPr>
        <w:t xml:space="preserve"> the impact of the interventions </w:t>
      </w:r>
      <w:r w:rsidR="00264F22" w:rsidRPr="00514F5A">
        <w:rPr>
          <w:rFonts w:ascii="Arial" w:hAnsi="Arial" w:cs="Arial"/>
          <w:color w:val="333333"/>
          <w:sz w:val="20"/>
          <w:szCs w:val="20"/>
          <w:shd w:val="clear" w:color="auto" w:fill="FFFFFF"/>
        </w:rPr>
        <w:t>has</w:t>
      </w:r>
      <w:r w:rsidRPr="00514F5A">
        <w:rPr>
          <w:rFonts w:ascii="Arial" w:hAnsi="Arial" w:cs="Arial"/>
          <w:color w:val="333333"/>
          <w:sz w:val="20"/>
          <w:szCs w:val="20"/>
          <w:shd w:val="clear" w:color="auto" w:fill="FFFFFF"/>
        </w:rPr>
        <w:t xml:space="preserve"> not yet changed the macro-level picture of unemployment. </w:t>
      </w:r>
      <w:r w:rsidR="00264F22" w:rsidRPr="00514F5A">
        <w:rPr>
          <w:rFonts w:ascii="Arial" w:hAnsi="Arial" w:cs="Arial"/>
          <w:color w:val="333333"/>
          <w:sz w:val="20"/>
          <w:szCs w:val="20"/>
          <w:shd w:val="clear" w:color="auto" w:fill="FFFFFF"/>
        </w:rPr>
        <w:t xml:space="preserve">Public-private sector collaboration efforts should be scaled up to change the current unemployment situation. Further, </w:t>
      </w:r>
      <w:r w:rsidRPr="00514F5A">
        <w:rPr>
          <w:rFonts w:ascii="Arial" w:hAnsi="Arial" w:cs="Arial"/>
          <w:color w:val="333333"/>
          <w:sz w:val="20"/>
          <w:szCs w:val="20"/>
          <w:shd w:val="clear" w:color="auto" w:fill="FFFFFF"/>
        </w:rPr>
        <w:t xml:space="preserve">structural reforms </w:t>
      </w:r>
      <w:r w:rsidR="00264F22" w:rsidRPr="00514F5A">
        <w:rPr>
          <w:rFonts w:ascii="Arial" w:hAnsi="Arial" w:cs="Arial"/>
          <w:color w:val="333333"/>
          <w:sz w:val="20"/>
          <w:szCs w:val="20"/>
          <w:shd w:val="clear" w:color="auto" w:fill="FFFFFF"/>
        </w:rPr>
        <w:t xml:space="preserve">identified in previous government economic strategy documents should be rapidly implemented. </w:t>
      </w:r>
    </w:p>
    <w:p w:rsidR="00C670FC" w:rsidRPr="00514F5A" w:rsidRDefault="00C670FC" w:rsidP="00514F5A">
      <w:pPr>
        <w:pStyle w:val="ListParagraph"/>
        <w:numPr>
          <w:ilvl w:val="0"/>
          <w:numId w:val="11"/>
        </w:numPr>
        <w:spacing w:after="0" w:line="240" w:lineRule="auto"/>
        <w:ind w:left="360"/>
        <w:rPr>
          <w:rFonts w:ascii="Arial" w:hAnsi="Arial" w:cs="Arial"/>
          <w:color w:val="333333"/>
          <w:sz w:val="20"/>
          <w:szCs w:val="20"/>
          <w:shd w:val="clear" w:color="auto" w:fill="FFFFFF"/>
        </w:rPr>
      </w:pPr>
      <w:r w:rsidRPr="00514F5A">
        <w:rPr>
          <w:rFonts w:ascii="Arial" w:hAnsi="Arial" w:cs="Arial"/>
          <w:color w:val="333333"/>
          <w:sz w:val="20"/>
          <w:szCs w:val="20"/>
          <w:shd w:val="clear" w:color="auto" w:fill="FFFFFF"/>
        </w:rPr>
        <w:t xml:space="preserve">Committee emphasised the need to </w:t>
      </w:r>
      <w:r w:rsidRPr="00514F5A">
        <w:rPr>
          <w:rFonts w:ascii="Arial" w:eastAsia="Calibri" w:hAnsi="Arial" w:cs="Arial"/>
          <w:bCs/>
          <w:sz w:val="20"/>
          <w:szCs w:val="20"/>
        </w:rPr>
        <w:t xml:space="preserve">reignite growth and job creation. It was underscored that there is a need to advance reforms that address Eskom and other SOEs’ difficulties, strengthen competition and governance, and increase employment initiatives (emphasise on innovation). Further, </w:t>
      </w:r>
      <w:r w:rsidR="00F73456" w:rsidRPr="00514F5A">
        <w:rPr>
          <w:rFonts w:ascii="Arial" w:eastAsia="Calibri" w:hAnsi="Arial" w:cs="Arial"/>
          <w:bCs/>
          <w:sz w:val="20"/>
          <w:szCs w:val="20"/>
        </w:rPr>
        <w:t xml:space="preserve">it should </w:t>
      </w:r>
      <w:r w:rsidRPr="00514F5A">
        <w:rPr>
          <w:rFonts w:ascii="Arial" w:eastAsia="Calibri" w:hAnsi="Arial" w:cs="Arial"/>
          <w:bCs/>
          <w:sz w:val="20"/>
          <w:szCs w:val="20"/>
        </w:rPr>
        <w:t xml:space="preserve">boost and enhance </w:t>
      </w:r>
      <w:r w:rsidR="00F73456" w:rsidRPr="00514F5A">
        <w:rPr>
          <w:rFonts w:ascii="Arial" w:eastAsia="Calibri" w:hAnsi="Arial" w:cs="Arial"/>
          <w:bCs/>
          <w:sz w:val="20"/>
          <w:szCs w:val="20"/>
        </w:rPr>
        <w:t xml:space="preserve">the </w:t>
      </w:r>
      <w:r w:rsidRPr="00514F5A">
        <w:rPr>
          <w:rFonts w:ascii="Arial" w:eastAsia="Calibri" w:hAnsi="Arial" w:cs="Arial"/>
          <w:bCs/>
          <w:sz w:val="20"/>
          <w:szCs w:val="20"/>
        </w:rPr>
        <w:t xml:space="preserve">growth and expansion of the SMMEs in the economy. </w:t>
      </w:r>
    </w:p>
    <w:p w:rsidR="00EC1EE4" w:rsidRPr="00514F5A" w:rsidRDefault="00EC1EE4" w:rsidP="00514F5A">
      <w:pPr>
        <w:pStyle w:val="ListParagraph"/>
        <w:spacing w:after="0" w:line="240" w:lineRule="auto"/>
        <w:rPr>
          <w:rFonts w:ascii="Arial" w:eastAsia="Calibri" w:hAnsi="Arial" w:cs="Arial"/>
          <w:color w:val="000000"/>
          <w:spacing w:val="6"/>
          <w:sz w:val="20"/>
          <w:szCs w:val="20"/>
          <w:lang w:val="en-GB" w:eastAsia="en-GB"/>
        </w:rPr>
      </w:pPr>
    </w:p>
    <w:p w:rsidR="00141B69" w:rsidRPr="00514F5A" w:rsidRDefault="00277935" w:rsidP="00514F5A">
      <w:pPr>
        <w:pStyle w:val="ListParagraph"/>
        <w:numPr>
          <w:ilvl w:val="0"/>
          <w:numId w:val="2"/>
        </w:numPr>
        <w:spacing w:after="0" w:line="240" w:lineRule="auto"/>
        <w:rPr>
          <w:rFonts w:ascii="Arial" w:eastAsiaTheme="minorEastAsia" w:hAnsi="Arial" w:cs="Arial"/>
          <w:b/>
          <w:sz w:val="20"/>
          <w:szCs w:val="20"/>
        </w:rPr>
      </w:pPr>
      <w:r w:rsidRPr="00514F5A">
        <w:rPr>
          <w:rFonts w:ascii="Arial" w:eastAsiaTheme="minorEastAsia" w:hAnsi="Arial" w:cs="Arial"/>
          <w:b/>
          <w:sz w:val="20"/>
          <w:szCs w:val="20"/>
        </w:rPr>
        <w:t>Recommendations</w:t>
      </w:r>
    </w:p>
    <w:p w:rsidR="00B87B6C" w:rsidRPr="00514F5A" w:rsidRDefault="00B87B6C" w:rsidP="00514F5A">
      <w:pPr>
        <w:spacing w:after="0" w:line="240" w:lineRule="auto"/>
        <w:rPr>
          <w:rFonts w:ascii="Arial" w:eastAsiaTheme="minorEastAsia" w:hAnsi="Arial" w:cs="Arial"/>
          <w:b/>
          <w:sz w:val="20"/>
          <w:szCs w:val="20"/>
        </w:rPr>
      </w:pPr>
    </w:p>
    <w:p w:rsidR="008C13BC" w:rsidRPr="00514F5A" w:rsidRDefault="00206830" w:rsidP="00514F5A">
      <w:pPr>
        <w:pStyle w:val="ListParagraph"/>
        <w:numPr>
          <w:ilvl w:val="0"/>
          <w:numId w:val="12"/>
        </w:numPr>
        <w:tabs>
          <w:tab w:val="left" w:pos="2475"/>
        </w:tabs>
        <w:spacing w:after="0" w:line="240" w:lineRule="auto"/>
        <w:rPr>
          <w:rFonts w:ascii="Arial" w:eastAsia="Calibri" w:hAnsi="Arial" w:cs="Arial"/>
          <w:color w:val="000000"/>
          <w:spacing w:val="6"/>
          <w:sz w:val="20"/>
          <w:szCs w:val="20"/>
          <w:lang w:val="en-GB" w:eastAsia="en-GB"/>
        </w:rPr>
      </w:pPr>
      <w:r w:rsidRPr="00514F5A">
        <w:rPr>
          <w:rFonts w:ascii="Arial" w:eastAsia="Calibri" w:hAnsi="Arial" w:cs="Arial"/>
          <w:color w:val="000000"/>
          <w:spacing w:val="6"/>
          <w:sz w:val="20"/>
          <w:szCs w:val="20"/>
          <w:lang w:val="en-GB" w:eastAsia="en-GB"/>
        </w:rPr>
        <w:t xml:space="preserve">The performance environment of the </w:t>
      </w:r>
      <w:r w:rsidRPr="00514F5A">
        <w:rPr>
          <w:rFonts w:ascii="Arial" w:eastAsia="Calibri" w:hAnsi="Arial" w:cs="Arial"/>
          <w:i/>
          <w:color w:val="000000"/>
          <w:spacing w:val="6"/>
          <w:sz w:val="20"/>
          <w:szCs w:val="20"/>
          <w:lang w:val="en-GB" w:eastAsia="en-GB"/>
        </w:rPr>
        <w:t>Supported Employment Enterprises</w:t>
      </w:r>
      <w:r w:rsidRPr="00514F5A">
        <w:rPr>
          <w:rFonts w:ascii="Arial" w:eastAsia="Calibri" w:hAnsi="Arial" w:cs="Arial"/>
          <w:color w:val="000000"/>
          <w:spacing w:val="6"/>
          <w:sz w:val="20"/>
          <w:szCs w:val="20"/>
          <w:lang w:val="en-GB" w:eastAsia="en-GB"/>
        </w:rPr>
        <w:t xml:space="preserve"> (SEEs) remains a challenge. Over the medium term both </w:t>
      </w:r>
      <w:r w:rsidRPr="00514F5A">
        <w:rPr>
          <w:rFonts w:ascii="Arial" w:eastAsia="Calibri" w:hAnsi="Arial" w:cs="Arial"/>
          <w:i/>
          <w:color w:val="000000"/>
          <w:spacing w:val="6"/>
          <w:sz w:val="20"/>
          <w:szCs w:val="20"/>
          <w:lang w:val="en-GB" w:eastAsia="en-GB"/>
        </w:rPr>
        <w:t>the Minister of Finance</w:t>
      </w:r>
      <w:r w:rsidRPr="00514F5A">
        <w:rPr>
          <w:rFonts w:ascii="Arial" w:eastAsia="Calibri" w:hAnsi="Arial" w:cs="Arial"/>
          <w:color w:val="000000"/>
          <w:spacing w:val="6"/>
          <w:sz w:val="20"/>
          <w:szCs w:val="20"/>
          <w:lang w:val="en-GB" w:eastAsia="en-GB"/>
        </w:rPr>
        <w:t xml:space="preserve"> (through </w:t>
      </w:r>
      <w:r w:rsidRPr="00514F5A">
        <w:rPr>
          <w:rFonts w:ascii="Arial" w:eastAsia="Calibri" w:hAnsi="Arial" w:cs="Arial"/>
          <w:i/>
          <w:color w:val="000000"/>
          <w:spacing w:val="6"/>
          <w:sz w:val="20"/>
          <w:szCs w:val="20"/>
          <w:lang w:val="en-GB" w:eastAsia="en-GB"/>
        </w:rPr>
        <w:t>National Treasury)</w:t>
      </w:r>
      <w:r w:rsidRPr="00514F5A">
        <w:rPr>
          <w:rFonts w:ascii="Arial" w:eastAsia="Calibri" w:hAnsi="Arial" w:cs="Arial"/>
          <w:color w:val="000000"/>
          <w:spacing w:val="6"/>
          <w:sz w:val="20"/>
          <w:szCs w:val="20"/>
          <w:lang w:val="en-GB" w:eastAsia="en-GB"/>
        </w:rPr>
        <w:t xml:space="preserve"> and the Minister, through the Department, should explore alternative funding and financing </w:t>
      </w:r>
      <w:r w:rsidR="00F73456" w:rsidRPr="00514F5A">
        <w:rPr>
          <w:rFonts w:ascii="Arial" w:eastAsia="Calibri" w:hAnsi="Arial" w:cs="Arial"/>
          <w:color w:val="000000"/>
          <w:spacing w:val="6"/>
          <w:sz w:val="20"/>
          <w:szCs w:val="20"/>
          <w:lang w:val="en-GB" w:eastAsia="en-GB"/>
        </w:rPr>
        <w:t>re</w:t>
      </w:r>
      <w:r w:rsidRPr="00514F5A">
        <w:rPr>
          <w:rFonts w:ascii="Arial" w:eastAsia="Calibri" w:hAnsi="Arial" w:cs="Arial"/>
          <w:color w:val="000000"/>
          <w:spacing w:val="6"/>
          <w:sz w:val="20"/>
          <w:szCs w:val="20"/>
          <w:lang w:val="en-GB" w:eastAsia="en-GB"/>
        </w:rPr>
        <w:t xml:space="preserve">sources to support </w:t>
      </w:r>
      <w:r w:rsidR="00F73456" w:rsidRPr="00514F5A">
        <w:rPr>
          <w:rFonts w:ascii="Arial" w:eastAsia="Calibri" w:hAnsi="Arial" w:cs="Arial"/>
          <w:color w:val="000000"/>
          <w:spacing w:val="6"/>
          <w:sz w:val="20"/>
          <w:szCs w:val="20"/>
          <w:lang w:val="en-GB" w:eastAsia="en-GB"/>
        </w:rPr>
        <w:t xml:space="preserve">the </w:t>
      </w:r>
      <w:r w:rsidRPr="00514F5A">
        <w:rPr>
          <w:rFonts w:ascii="Arial" w:eastAsia="Calibri" w:hAnsi="Arial" w:cs="Arial"/>
          <w:color w:val="000000"/>
          <w:spacing w:val="6"/>
          <w:sz w:val="20"/>
          <w:szCs w:val="20"/>
          <w:lang w:val="en-GB" w:eastAsia="en-GB"/>
        </w:rPr>
        <w:t>growth and expansion of the SEEs.</w:t>
      </w:r>
      <w:r w:rsidR="00E33DBA" w:rsidRPr="00514F5A">
        <w:rPr>
          <w:rFonts w:ascii="Arial" w:eastAsia="Calibri" w:hAnsi="Arial" w:cs="Arial"/>
          <w:color w:val="000000"/>
          <w:spacing w:val="6"/>
          <w:sz w:val="20"/>
          <w:szCs w:val="20"/>
          <w:lang w:val="en-GB" w:eastAsia="en-GB"/>
        </w:rPr>
        <w:t xml:space="preserve"> </w:t>
      </w:r>
      <w:r w:rsidRPr="00514F5A">
        <w:rPr>
          <w:rFonts w:ascii="Arial" w:eastAsia="Calibri" w:hAnsi="Arial" w:cs="Arial"/>
          <w:color w:val="000000"/>
          <w:spacing w:val="6"/>
          <w:sz w:val="20"/>
          <w:szCs w:val="20"/>
          <w:lang w:val="en-GB" w:eastAsia="en-GB"/>
        </w:rPr>
        <w:t>For the past financial years, the Committee has raised the significant transformative role that SEE play to create work opportunities for</w:t>
      </w:r>
      <w:r w:rsidR="00F73456" w:rsidRPr="00514F5A">
        <w:rPr>
          <w:rFonts w:ascii="Arial" w:eastAsia="Calibri" w:hAnsi="Arial" w:cs="Arial"/>
          <w:color w:val="000000"/>
          <w:spacing w:val="6"/>
          <w:sz w:val="20"/>
          <w:szCs w:val="20"/>
          <w:lang w:val="en-GB" w:eastAsia="en-GB"/>
        </w:rPr>
        <w:t xml:space="preserve"> the</w:t>
      </w:r>
      <w:r w:rsidRPr="00514F5A">
        <w:rPr>
          <w:rFonts w:ascii="Arial" w:eastAsia="Calibri" w:hAnsi="Arial" w:cs="Arial"/>
          <w:color w:val="000000"/>
          <w:spacing w:val="6"/>
          <w:sz w:val="20"/>
          <w:szCs w:val="20"/>
          <w:lang w:val="en-GB" w:eastAsia="en-GB"/>
        </w:rPr>
        <w:t xml:space="preserve"> physical disable</w:t>
      </w:r>
      <w:r w:rsidR="00F73456" w:rsidRPr="00514F5A">
        <w:rPr>
          <w:rFonts w:ascii="Arial" w:eastAsia="Calibri" w:hAnsi="Arial" w:cs="Arial"/>
          <w:color w:val="000000"/>
          <w:spacing w:val="6"/>
          <w:sz w:val="20"/>
          <w:szCs w:val="20"/>
          <w:lang w:val="en-GB" w:eastAsia="en-GB"/>
        </w:rPr>
        <w:t>d</w:t>
      </w:r>
      <w:r w:rsidRPr="00514F5A">
        <w:rPr>
          <w:rFonts w:ascii="Arial" w:eastAsia="Calibri" w:hAnsi="Arial" w:cs="Arial"/>
          <w:color w:val="000000"/>
          <w:spacing w:val="6"/>
          <w:sz w:val="20"/>
          <w:szCs w:val="20"/>
          <w:lang w:val="en-GB" w:eastAsia="en-GB"/>
        </w:rPr>
        <w:t xml:space="preserve"> community. The Committee reiterate</w:t>
      </w:r>
      <w:r w:rsidR="00F73456" w:rsidRPr="00514F5A">
        <w:rPr>
          <w:rFonts w:ascii="Arial" w:eastAsia="Calibri" w:hAnsi="Arial" w:cs="Arial"/>
          <w:color w:val="000000"/>
          <w:spacing w:val="6"/>
          <w:sz w:val="20"/>
          <w:szCs w:val="20"/>
          <w:lang w:val="en-GB" w:eastAsia="en-GB"/>
        </w:rPr>
        <w:t>s</w:t>
      </w:r>
      <w:r w:rsidRPr="00514F5A">
        <w:rPr>
          <w:rFonts w:ascii="Arial" w:eastAsia="Calibri" w:hAnsi="Arial" w:cs="Arial"/>
          <w:color w:val="000000"/>
          <w:spacing w:val="6"/>
          <w:sz w:val="20"/>
          <w:szCs w:val="20"/>
          <w:lang w:val="en-GB" w:eastAsia="en-GB"/>
        </w:rPr>
        <w:t xml:space="preserve"> that the </w:t>
      </w:r>
      <w:r w:rsidR="008C13BC" w:rsidRPr="00514F5A">
        <w:rPr>
          <w:rFonts w:ascii="Arial" w:eastAsia="Calibri" w:hAnsi="Arial" w:cs="Arial"/>
          <w:color w:val="000000"/>
          <w:spacing w:val="6"/>
          <w:sz w:val="20"/>
          <w:szCs w:val="20"/>
          <w:lang w:val="en-GB" w:eastAsia="en-GB"/>
        </w:rPr>
        <w:t>Minister</w:t>
      </w:r>
      <w:r w:rsidR="00F73456" w:rsidRPr="00514F5A">
        <w:rPr>
          <w:rFonts w:ascii="Arial" w:eastAsia="Calibri" w:hAnsi="Arial" w:cs="Arial"/>
          <w:color w:val="000000"/>
          <w:spacing w:val="6"/>
          <w:sz w:val="20"/>
          <w:szCs w:val="20"/>
          <w:lang w:val="en-GB" w:eastAsia="en-GB"/>
        </w:rPr>
        <w:t>,</w:t>
      </w:r>
      <w:r w:rsidR="008C13BC" w:rsidRPr="00514F5A">
        <w:rPr>
          <w:rFonts w:ascii="Arial" w:eastAsia="Calibri" w:hAnsi="Arial" w:cs="Arial"/>
          <w:color w:val="000000"/>
          <w:spacing w:val="6"/>
          <w:sz w:val="20"/>
          <w:szCs w:val="20"/>
          <w:lang w:val="en-GB" w:eastAsia="en-GB"/>
        </w:rPr>
        <w:t xml:space="preserve"> working closely with the Ministers of </w:t>
      </w:r>
      <w:r w:rsidR="008C13BC" w:rsidRPr="00514F5A">
        <w:rPr>
          <w:rFonts w:ascii="Arial" w:eastAsia="Calibri" w:hAnsi="Arial" w:cs="Arial"/>
          <w:i/>
          <w:color w:val="000000"/>
          <w:spacing w:val="6"/>
          <w:sz w:val="20"/>
          <w:szCs w:val="20"/>
          <w:lang w:val="en-GB" w:eastAsia="en-GB"/>
        </w:rPr>
        <w:t>Finance, and of Trade, Industry and Competition, and of Higher Education, Training, Science and Innovation</w:t>
      </w:r>
      <w:r w:rsidR="008C13BC" w:rsidRPr="00514F5A">
        <w:rPr>
          <w:rFonts w:ascii="Arial" w:eastAsia="Calibri" w:hAnsi="Arial" w:cs="Arial"/>
          <w:color w:val="000000"/>
          <w:spacing w:val="6"/>
          <w:sz w:val="20"/>
          <w:szCs w:val="20"/>
          <w:lang w:val="en-GB" w:eastAsia="en-GB"/>
        </w:rPr>
        <w:t xml:space="preserve"> </w:t>
      </w:r>
      <w:r w:rsidRPr="00514F5A">
        <w:rPr>
          <w:rFonts w:ascii="Arial" w:eastAsia="Calibri" w:hAnsi="Arial" w:cs="Arial"/>
          <w:color w:val="000000"/>
          <w:spacing w:val="6"/>
          <w:sz w:val="20"/>
          <w:szCs w:val="20"/>
          <w:lang w:val="en-GB" w:eastAsia="en-GB"/>
        </w:rPr>
        <w:t>including the Minister of Small Business Development</w:t>
      </w:r>
      <w:r w:rsidR="00F73456" w:rsidRPr="00514F5A">
        <w:rPr>
          <w:rFonts w:ascii="Arial" w:eastAsia="Calibri" w:hAnsi="Arial" w:cs="Arial"/>
          <w:color w:val="000000"/>
          <w:spacing w:val="6"/>
          <w:sz w:val="20"/>
          <w:szCs w:val="20"/>
          <w:lang w:val="en-GB" w:eastAsia="en-GB"/>
        </w:rPr>
        <w:t>;</w:t>
      </w:r>
      <w:r w:rsidRPr="00514F5A">
        <w:rPr>
          <w:rFonts w:ascii="Arial" w:eastAsia="Calibri" w:hAnsi="Arial" w:cs="Arial"/>
          <w:color w:val="000000"/>
          <w:spacing w:val="6"/>
          <w:sz w:val="20"/>
          <w:szCs w:val="20"/>
          <w:lang w:val="en-GB" w:eastAsia="en-GB"/>
        </w:rPr>
        <w:t xml:space="preserve"> </w:t>
      </w:r>
      <w:r w:rsidR="008C13BC" w:rsidRPr="00514F5A">
        <w:rPr>
          <w:rFonts w:ascii="Arial" w:eastAsia="Calibri" w:hAnsi="Arial" w:cs="Arial"/>
          <w:color w:val="000000"/>
          <w:spacing w:val="6"/>
          <w:sz w:val="20"/>
          <w:szCs w:val="20"/>
          <w:lang w:val="en-GB" w:eastAsia="en-GB"/>
        </w:rPr>
        <w:t xml:space="preserve">should </w:t>
      </w:r>
      <w:r w:rsidRPr="00514F5A">
        <w:rPr>
          <w:rFonts w:ascii="Arial" w:eastAsia="Calibri" w:hAnsi="Arial" w:cs="Arial"/>
          <w:color w:val="000000"/>
          <w:spacing w:val="6"/>
          <w:sz w:val="20"/>
          <w:szCs w:val="20"/>
          <w:lang w:val="en-GB" w:eastAsia="en-GB"/>
        </w:rPr>
        <w:t>formulate policy, funding and financing action plan</w:t>
      </w:r>
      <w:r w:rsidR="00F73456" w:rsidRPr="00514F5A">
        <w:rPr>
          <w:rFonts w:ascii="Arial" w:eastAsia="Calibri" w:hAnsi="Arial" w:cs="Arial"/>
          <w:color w:val="000000"/>
          <w:spacing w:val="6"/>
          <w:sz w:val="20"/>
          <w:szCs w:val="20"/>
          <w:lang w:val="en-GB" w:eastAsia="en-GB"/>
        </w:rPr>
        <w:t>s</w:t>
      </w:r>
      <w:r w:rsidRPr="00514F5A">
        <w:rPr>
          <w:rFonts w:ascii="Arial" w:eastAsia="Calibri" w:hAnsi="Arial" w:cs="Arial"/>
          <w:color w:val="000000"/>
          <w:spacing w:val="6"/>
          <w:sz w:val="20"/>
          <w:szCs w:val="20"/>
          <w:lang w:val="en-GB" w:eastAsia="en-GB"/>
        </w:rPr>
        <w:t xml:space="preserve"> </w:t>
      </w:r>
      <w:r w:rsidR="008C13BC" w:rsidRPr="00514F5A">
        <w:rPr>
          <w:rFonts w:ascii="Arial" w:eastAsia="Calibri" w:hAnsi="Arial" w:cs="Arial"/>
          <w:color w:val="000000"/>
          <w:spacing w:val="6"/>
          <w:sz w:val="20"/>
          <w:szCs w:val="20"/>
          <w:lang w:val="en-GB" w:eastAsia="en-GB"/>
        </w:rPr>
        <w:t>t</w:t>
      </w:r>
      <w:r w:rsidR="00F73456" w:rsidRPr="00514F5A">
        <w:rPr>
          <w:rFonts w:ascii="Arial" w:eastAsia="Calibri" w:hAnsi="Arial" w:cs="Arial"/>
          <w:color w:val="000000"/>
          <w:spacing w:val="6"/>
          <w:sz w:val="20"/>
          <w:szCs w:val="20"/>
          <w:lang w:val="en-GB" w:eastAsia="en-GB"/>
        </w:rPr>
        <w:t>o</w:t>
      </w:r>
      <w:r w:rsidR="008C13BC" w:rsidRPr="00514F5A">
        <w:rPr>
          <w:rFonts w:ascii="Arial" w:eastAsia="Calibri" w:hAnsi="Arial" w:cs="Arial"/>
          <w:color w:val="000000"/>
          <w:spacing w:val="6"/>
          <w:sz w:val="20"/>
          <w:szCs w:val="20"/>
          <w:lang w:val="en-GB" w:eastAsia="en-GB"/>
        </w:rPr>
        <w:t xml:space="preserve"> ensure that business operations of the </w:t>
      </w:r>
      <w:r w:rsidR="008C13BC" w:rsidRPr="00514F5A">
        <w:rPr>
          <w:rFonts w:ascii="Arial" w:eastAsia="Calibri" w:hAnsi="Arial" w:cs="Arial"/>
          <w:i/>
          <w:color w:val="000000"/>
          <w:spacing w:val="6"/>
          <w:sz w:val="20"/>
          <w:szCs w:val="20"/>
          <w:lang w:val="en-GB" w:eastAsia="en-GB"/>
        </w:rPr>
        <w:t>Supported Employment Enterprises</w:t>
      </w:r>
      <w:r w:rsidR="008C13BC" w:rsidRPr="00514F5A">
        <w:rPr>
          <w:rFonts w:ascii="Arial" w:eastAsia="Calibri" w:hAnsi="Arial" w:cs="Arial"/>
          <w:color w:val="000000"/>
          <w:spacing w:val="6"/>
          <w:sz w:val="20"/>
          <w:szCs w:val="20"/>
          <w:lang w:val="en-GB" w:eastAsia="en-GB"/>
        </w:rPr>
        <w:t xml:space="preserve"> (SEEs) are sustainable.</w:t>
      </w:r>
      <w:r w:rsidR="00E33DBA" w:rsidRPr="00514F5A">
        <w:rPr>
          <w:rFonts w:ascii="Arial" w:eastAsia="Calibri" w:hAnsi="Arial" w:cs="Arial"/>
          <w:color w:val="000000"/>
          <w:spacing w:val="6"/>
          <w:sz w:val="20"/>
          <w:szCs w:val="20"/>
          <w:lang w:val="en-GB" w:eastAsia="en-GB"/>
        </w:rPr>
        <w:t xml:space="preserve"> The action plan</w:t>
      </w:r>
      <w:r w:rsidR="00F73456" w:rsidRPr="00514F5A">
        <w:rPr>
          <w:rFonts w:ascii="Arial" w:eastAsia="Calibri" w:hAnsi="Arial" w:cs="Arial"/>
          <w:color w:val="000000"/>
          <w:spacing w:val="6"/>
          <w:sz w:val="20"/>
          <w:szCs w:val="20"/>
          <w:lang w:val="en-GB" w:eastAsia="en-GB"/>
        </w:rPr>
        <w:t>s</w:t>
      </w:r>
      <w:r w:rsidR="00E33DBA" w:rsidRPr="00514F5A">
        <w:rPr>
          <w:rFonts w:ascii="Arial" w:eastAsia="Calibri" w:hAnsi="Arial" w:cs="Arial"/>
          <w:color w:val="000000"/>
          <w:spacing w:val="6"/>
          <w:sz w:val="20"/>
          <w:szCs w:val="20"/>
          <w:lang w:val="en-GB" w:eastAsia="en-GB"/>
        </w:rPr>
        <w:t xml:space="preserve"> should be submitted to the Committee by the end of 2023 financial year. </w:t>
      </w:r>
      <w:r w:rsidR="008C13BC" w:rsidRPr="00514F5A">
        <w:rPr>
          <w:rFonts w:ascii="Arial" w:eastAsia="Calibri" w:hAnsi="Arial" w:cs="Arial"/>
          <w:color w:val="000000"/>
          <w:spacing w:val="6"/>
          <w:sz w:val="20"/>
          <w:szCs w:val="20"/>
          <w:lang w:val="en-GB" w:eastAsia="en-GB"/>
        </w:rPr>
        <w:t xml:space="preserve"> </w:t>
      </w:r>
    </w:p>
    <w:p w:rsidR="008C13BC" w:rsidRPr="00514F5A" w:rsidRDefault="008C13BC" w:rsidP="00514F5A">
      <w:pPr>
        <w:pStyle w:val="ListParagraph"/>
        <w:numPr>
          <w:ilvl w:val="0"/>
          <w:numId w:val="12"/>
        </w:numPr>
        <w:tabs>
          <w:tab w:val="left" w:pos="2475"/>
        </w:tabs>
        <w:spacing w:after="0" w:line="240" w:lineRule="auto"/>
        <w:rPr>
          <w:rFonts w:ascii="Arial" w:eastAsia="Calibri" w:hAnsi="Arial" w:cs="Arial"/>
          <w:color w:val="000000"/>
          <w:spacing w:val="6"/>
          <w:sz w:val="20"/>
          <w:szCs w:val="20"/>
          <w:lang w:val="en-GB" w:eastAsia="en-GB"/>
        </w:rPr>
      </w:pPr>
      <w:r w:rsidRPr="00514F5A">
        <w:rPr>
          <w:rFonts w:ascii="Arial" w:eastAsia="Calibri" w:hAnsi="Arial" w:cs="Arial"/>
          <w:color w:val="000000"/>
          <w:spacing w:val="6"/>
          <w:sz w:val="20"/>
          <w:szCs w:val="20"/>
          <w:lang w:val="en-GB" w:eastAsia="en-GB"/>
        </w:rPr>
        <w:t xml:space="preserve">Over the 2023 medium term budget process, the Minister should engage the </w:t>
      </w:r>
      <w:r w:rsidRPr="00514F5A">
        <w:rPr>
          <w:rFonts w:ascii="Arial" w:eastAsia="Calibri" w:hAnsi="Arial" w:cs="Arial"/>
          <w:i/>
          <w:color w:val="000000"/>
          <w:spacing w:val="6"/>
          <w:sz w:val="20"/>
          <w:szCs w:val="20"/>
          <w:lang w:val="en-GB" w:eastAsia="en-GB"/>
        </w:rPr>
        <w:t>Minister of Finance</w:t>
      </w:r>
      <w:r w:rsidRPr="00514F5A">
        <w:rPr>
          <w:rFonts w:ascii="Arial" w:eastAsia="Calibri" w:hAnsi="Arial" w:cs="Arial"/>
          <w:color w:val="000000"/>
          <w:spacing w:val="6"/>
          <w:sz w:val="20"/>
          <w:szCs w:val="20"/>
          <w:lang w:val="en-GB" w:eastAsia="en-GB"/>
        </w:rPr>
        <w:t xml:space="preserve"> to consider additional resource allocation to scale-up spending in labour market intervention programmes to address unemployment, poverty and inequality. </w:t>
      </w:r>
    </w:p>
    <w:p w:rsidR="00264DDC" w:rsidRPr="00514F5A" w:rsidRDefault="008C13BC" w:rsidP="00514F5A">
      <w:pPr>
        <w:pStyle w:val="ListParagraph"/>
        <w:numPr>
          <w:ilvl w:val="0"/>
          <w:numId w:val="12"/>
        </w:numPr>
        <w:tabs>
          <w:tab w:val="left" w:pos="2475"/>
        </w:tabs>
        <w:spacing w:after="0" w:line="240" w:lineRule="auto"/>
        <w:rPr>
          <w:rFonts w:ascii="Arial" w:eastAsia="Calibri" w:hAnsi="Arial" w:cs="Arial"/>
          <w:color w:val="000000"/>
          <w:spacing w:val="6"/>
          <w:sz w:val="20"/>
          <w:szCs w:val="20"/>
          <w:lang w:val="en-GB" w:eastAsia="en-GB"/>
        </w:rPr>
      </w:pPr>
      <w:r w:rsidRPr="00514F5A">
        <w:rPr>
          <w:rFonts w:ascii="Arial" w:eastAsia="Calibri" w:hAnsi="Arial" w:cs="Arial"/>
          <w:color w:val="000000"/>
          <w:spacing w:val="6"/>
          <w:sz w:val="20"/>
          <w:szCs w:val="20"/>
          <w:lang w:val="en-GB" w:eastAsia="en-GB"/>
        </w:rPr>
        <w:t>It should be recognised that labour market intervention programmes cannot be solely placed in the public sector. Government should work togethe</w:t>
      </w:r>
      <w:r w:rsidR="00F73456" w:rsidRPr="00514F5A">
        <w:rPr>
          <w:rFonts w:ascii="Arial" w:eastAsia="Calibri" w:hAnsi="Arial" w:cs="Arial"/>
          <w:color w:val="000000"/>
          <w:spacing w:val="6"/>
          <w:sz w:val="20"/>
          <w:szCs w:val="20"/>
          <w:lang w:val="en-GB" w:eastAsia="en-GB"/>
        </w:rPr>
        <w:t>r with the private sector, and p</w:t>
      </w:r>
      <w:r w:rsidRPr="00514F5A">
        <w:rPr>
          <w:rFonts w:ascii="Arial" w:eastAsia="Calibri" w:hAnsi="Arial" w:cs="Arial"/>
          <w:color w:val="000000"/>
          <w:spacing w:val="6"/>
          <w:sz w:val="20"/>
          <w:szCs w:val="20"/>
          <w:lang w:val="en-GB" w:eastAsia="en-GB"/>
        </w:rPr>
        <w:t xml:space="preserve">ost-secondary institutions to identify how to leverage labour and product markets. </w:t>
      </w:r>
      <w:r w:rsidR="00F73456" w:rsidRPr="00514F5A">
        <w:rPr>
          <w:rFonts w:ascii="Arial" w:eastAsia="Calibri" w:hAnsi="Arial" w:cs="Arial"/>
          <w:color w:val="000000"/>
          <w:spacing w:val="6"/>
          <w:sz w:val="20"/>
          <w:szCs w:val="20"/>
          <w:lang w:val="en-GB" w:eastAsia="en-GB"/>
        </w:rPr>
        <w:t xml:space="preserve">The </w:t>
      </w:r>
      <w:r w:rsidR="005068AD" w:rsidRPr="00514F5A">
        <w:rPr>
          <w:rFonts w:ascii="Arial" w:eastAsia="Calibri" w:hAnsi="Arial" w:cs="Arial"/>
          <w:color w:val="000000"/>
          <w:spacing w:val="6"/>
          <w:sz w:val="20"/>
          <w:szCs w:val="20"/>
          <w:lang w:eastAsia="en-GB"/>
        </w:rPr>
        <w:t xml:space="preserve">Committee underscored the need for the Department to scale </w:t>
      </w:r>
      <w:r w:rsidR="00F73456" w:rsidRPr="00514F5A">
        <w:rPr>
          <w:rFonts w:ascii="Arial" w:eastAsia="Calibri" w:hAnsi="Arial" w:cs="Arial"/>
          <w:color w:val="000000"/>
          <w:spacing w:val="6"/>
          <w:sz w:val="20"/>
          <w:szCs w:val="20"/>
          <w:lang w:eastAsia="en-GB"/>
        </w:rPr>
        <w:t xml:space="preserve">up the </w:t>
      </w:r>
      <w:r w:rsidR="005068AD" w:rsidRPr="00514F5A">
        <w:rPr>
          <w:rFonts w:ascii="Arial" w:eastAsia="Calibri" w:hAnsi="Arial" w:cs="Arial"/>
          <w:color w:val="000000"/>
          <w:spacing w:val="6"/>
          <w:sz w:val="20"/>
          <w:szCs w:val="20"/>
          <w:lang w:eastAsia="en-GB"/>
        </w:rPr>
        <w:t xml:space="preserve">coordination of the employment programme. It would require the Department to co-ordinate </w:t>
      </w:r>
      <w:r w:rsidR="00F73456" w:rsidRPr="00514F5A">
        <w:rPr>
          <w:rFonts w:ascii="Arial" w:eastAsia="Calibri" w:hAnsi="Arial" w:cs="Arial"/>
          <w:color w:val="000000"/>
          <w:spacing w:val="6"/>
          <w:sz w:val="20"/>
          <w:szCs w:val="20"/>
          <w:lang w:eastAsia="en-GB"/>
        </w:rPr>
        <w:t xml:space="preserve">the </w:t>
      </w:r>
      <w:r w:rsidR="005068AD" w:rsidRPr="00514F5A">
        <w:rPr>
          <w:rFonts w:ascii="Arial" w:eastAsia="Calibri" w:hAnsi="Arial" w:cs="Arial"/>
          <w:color w:val="000000"/>
          <w:spacing w:val="6"/>
          <w:sz w:val="20"/>
          <w:szCs w:val="20"/>
          <w:lang w:eastAsia="en-GB"/>
        </w:rPr>
        <w:t xml:space="preserve">implementation of </w:t>
      </w:r>
      <w:r w:rsidR="00F73456" w:rsidRPr="00514F5A">
        <w:rPr>
          <w:rFonts w:ascii="Arial" w:eastAsia="Calibri" w:hAnsi="Arial" w:cs="Arial"/>
          <w:color w:val="000000"/>
          <w:spacing w:val="6"/>
          <w:sz w:val="20"/>
          <w:szCs w:val="20"/>
          <w:lang w:eastAsia="en-GB"/>
        </w:rPr>
        <w:t xml:space="preserve">the </w:t>
      </w:r>
      <w:r w:rsidR="005068AD" w:rsidRPr="00514F5A">
        <w:rPr>
          <w:rFonts w:ascii="Arial" w:eastAsia="Calibri" w:hAnsi="Arial" w:cs="Arial"/>
          <w:color w:val="000000"/>
          <w:spacing w:val="6"/>
          <w:sz w:val="20"/>
          <w:szCs w:val="20"/>
          <w:lang w:eastAsia="en-GB"/>
        </w:rPr>
        <w:t xml:space="preserve">employment programme created through </w:t>
      </w:r>
      <w:r w:rsidR="00F73456" w:rsidRPr="00514F5A">
        <w:rPr>
          <w:rFonts w:ascii="Arial" w:eastAsia="Calibri" w:hAnsi="Arial" w:cs="Arial"/>
          <w:color w:val="000000"/>
          <w:spacing w:val="6"/>
          <w:sz w:val="20"/>
          <w:szCs w:val="20"/>
          <w:lang w:eastAsia="en-GB"/>
        </w:rPr>
        <w:t xml:space="preserve">the </w:t>
      </w:r>
      <w:r w:rsidR="005068AD" w:rsidRPr="00514F5A">
        <w:rPr>
          <w:rFonts w:ascii="Arial" w:eastAsia="Calibri" w:hAnsi="Arial" w:cs="Arial"/>
          <w:color w:val="000000"/>
          <w:spacing w:val="6"/>
          <w:sz w:val="20"/>
          <w:szCs w:val="20"/>
          <w:lang w:eastAsia="en-GB"/>
        </w:rPr>
        <w:t>development programme</w:t>
      </w:r>
      <w:r w:rsidR="00F73456" w:rsidRPr="00514F5A">
        <w:rPr>
          <w:rFonts w:ascii="Arial" w:eastAsia="Calibri" w:hAnsi="Arial" w:cs="Arial"/>
          <w:color w:val="000000"/>
          <w:spacing w:val="6"/>
          <w:sz w:val="20"/>
          <w:szCs w:val="20"/>
          <w:lang w:eastAsia="en-GB"/>
        </w:rPr>
        <w:t>s</w:t>
      </w:r>
      <w:r w:rsidR="005068AD" w:rsidRPr="00514F5A">
        <w:rPr>
          <w:rFonts w:ascii="Arial" w:eastAsia="Calibri" w:hAnsi="Arial" w:cs="Arial"/>
          <w:color w:val="000000"/>
          <w:spacing w:val="6"/>
          <w:sz w:val="20"/>
          <w:szCs w:val="20"/>
          <w:lang w:eastAsia="en-GB"/>
        </w:rPr>
        <w:t xml:space="preserve"> such </w:t>
      </w:r>
      <w:r w:rsidR="00F73456" w:rsidRPr="00514F5A">
        <w:rPr>
          <w:rFonts w:ascii="Arial" w:eastAsia="Calibri" w:hAnsi="Arial" w:cs="Arial"/>
          <w:color w:val="000000"/>
          <w:spacing w:val="6"/>
          <w:sz w:val="20"/>
          <w:szCs w:val="20"/>
          <w:lang w:eastAsia="en-GB"/>
        </w:rPr>
        <w:t xml:space="preserve">as the </w:t>
      </w:r>
      <w:r w:rsidR="005068AD" w:rsidRPr="00514F5A">
        <w:rPr>
          <w:rFonts w:ascii="Arial" w:eastAsia="Calibri" w:hAnsi="Arial" w:cs="Arial"/>
          <w:color w:val="000000"/>
          <w:spacing w:val="6"/>
          <w:sz w:val="20"/>
          <w:szCs w:val="20"/>
          <w:lang w:eastAsia="en-GB"/>
        </w:rPr>
        <w:t xml:space="preserve">Jobs Fund. </w:t>
      </w:r>
      <w:r w:rsidRPr="00514F5A">
        <w:rPr>
          <w:rFonts w:ascii="Arial" w:eastAsia="Calibri" w:hAnsi="Arial" w:cs="Arial"/>
          <w:color w:val="000000"/>
          <w:spacing w:val="6"/>
          <w:sz w:val="20"/>
          <w:szCs w:val="20"/>
          <w:lang w:val="en-GB" w:eastAsia="en-GB"/>
        </w:rPr>
        <w:t>Over the 2023 medium term, the Minister through the Department should consider establishing a policy, monitoring, evaluation and reporting unit to coordinate and provide strategic management of employment creation programmes across government and the private sector.</w:t>
      </w:r>
    </w:p>
    <w:p w:rsidR="00863ADE" w:rsidRPr="00514F5A" w:rsidRDefault="00863ADE" w:rsidP="00514F5A">
      <w:pPr>
        <w:tabs>
          <w:tab w:val="left" w:pos="2475"/>
        </w:tabs>
        <w:spacing w:after="0" w:line="240" w:lineRule="auto"/>
        <w:ind w:left="360"/>
        <w:rPr>
          <w:rFonts w:ascii="Arial" w:eastAsia="Calibri" w:hAnsi="Arial" w:cs="Arial"/>
          <w:b/>
          <w:i/>
          <w:color w:val="000000"/>
          <w:spacing w:val="6"/>
          <w:sz w:val="20"/>
          <w:szCs w:val="20"/>
          <w:lang w:val="en-GB" w:eastAsia="en-GB"/>
        </w:rPr>
      </w:pPr>
    </w:p>
    <w:p w:rsidR="007801DE" w:rsidRPr="00514F5A" w:rsidRDefault="00277935" w:rsidP="00514F5A">
      <w:pPr>
        <w:tabs>
          <w:tab w:val="left" w:pos="2475"/>
        </w:tabs>
        <w:spacing w:after="0" w:line="240" w:lineRule="auto"/>
        <w:ind w:left="360"/>
        <w:rPr>
          <w:rFonts w:ascii="Arial" w:eastAsia="Calibri" w:hAnsi="Arial" w:cs="Arial"/>
          <w:color w:val="000000"/>
          <w:spacing w:val="6"/>
          <w:sz w:val="20"/>
          <w:szCs w:val="20"/>
          <w:lang w:val="en-GB" w:eastAsia="en-GB"/>
        </w:rPr>
      </w:pPr>
      <w:r w:rsidRPr="00514F5A">
        <w:rPr>
          <w:rFonts w:ascii="Arial" w:eastAsia="Calibri" w:hAnsi="Arial" w:cs="Arial"/>
          <w:b/>
          <w:i/>
          <w:color w:val="000000"/>
          <w:spacing w:val="6"/>
          <w:sz w:val="20"/>
          <w:szCs w:val="20"/>
          <w:lang w:val="en-GB" w:eastAsia="en-GB"/>
        </w:rPr>
        <w:t>Report to be considered</w:t>
      </w:r>
      <w:r w:rsidR="008836A8" w:rsidRPr="00514F5A">
        <w:rPr>
          <w:rFonts w:ascii="Arial" w:eastAsia="Calibri" w:hAnsi="Arial" w:cs="Arial"/>
          <w:b/>
          <w:i/>
          <w:color w:val="000000"/>
          <w:spacing w:val="6"/>
          <w:sz w:val="20"/>
          <w:szCs w:val="20"/>
          <w:lang w:val="en-GB" w:eastAsia="en-GB"/>
        </w:rPr>
        <w:t xml:space="preserve">. </w:t>
      </w:r>
    </w:p>
    <w:sectPr w:rsidR="007801DE" w:rsidRPr="00514F5A" w:rsidSect="00863ADE">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D10" w:rsidRDefault="00C61D10" w:rsidP="004A17EF">
      <w:pPr>
        <w:spacing w:after="0" w:line="240" w:lineRule="auto"/>
      </w:pPr>
      <w:r>
        <w:separator/>
      </w:r>
    </w:p>
  </w:endnote>
  <w:endnote w:type="continuationSeparator" w:id="0">
    <w:p w:rsidR="00C61D10" w:rsidRDefault="00C61D10" w:rsidP="004A17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033940"/>
      <w:docPartObj>
        <w:docPartGallery w:val="Page Numbers (Bottom of Page)"/>
        <w:docPartUnique/>
      </w:docPartObj>
    </w:sdtPr>
    <w:sdtEndPr>
      <w:rPr>
        <w:noProof/>
      </w:rPr>
    </w:sdtEndPr>
    <w:sdtContent>
      <w:p w:rsidR="00BB1761" w:rsidRDefault="008C5AA4">
        <w:pPr>
          <w:pStyle w:val="Footer"/>
          <w:jc w:val="center"/>
        </w:pPr>
        <w:r>
          <w:fldChar w:fldCharType="begin"/>
        </w:r>
        <w:r w:rsidR="00BB1761">
          <w:instrText xml:space="preserve"> PAGE   \* MERGEFORMAT </w:instrText>
        </w:r>
        <w:r>
          <w:fldChar w:fldCharType="separate"/>
        </w:r>
        <w:r w:rsidR="00514F5A">
          <w:rPr>
            <w:noProof/>
          </w:rPr>
          <w:t>1</w:t>
        </w:r>
        <w:r>
          <w:rPr>
            <w:noProof/>
          </w:rPr>
          <w:fldChar w:fldCharType="end"/>
        </w:r>
      </w:p>
    </w:sdtContent>
  </w:sdt>
  <w:p w:rsidR="002B4487" w:rsidRDefault="002B44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D10" w:rsidRDefault="00C61D10" w:rsidP="004A17EF">
      <w:pPr>
        <w:spacing w:after="0" w:line="240" w:lineRule="auto"/>
      </w:pPr>
      <w:r>
        <w:separator/>
      </w:r>
    </w:p>
  </w:footnote>
  <w:footnote w:type="continuationSeparator" w:id="0">
    <w:p w:rsidR="00C61D10" w:rsidRDefault="00C61D10" w:rsidP="004A17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53230"/>
    <w:multiLevelType w:val="hybridMultilevel"/>
    <w:tmpl w:val="1678430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23426604"/>
    <w:multiLevelType w:val="hybridMultilevel"/>
    <w:tmpl w:val="FE243A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AEF4653"/>
    <w:multiLevelType w:val="hybridMultilevel"/>
    <w:tmpl w:val="39CC90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5F65025"/>
    <w:multiLevelType w:val="hybridMultilevel"/>
    <w:tmpl w:val="BCDA9E38"/>
    <w:lvl w:ilvl="0" w:tplc="1C09000F">
      <w:start w:val="1"/>
      <w:numFmt w:val="decimal"/>
      <w:lvlText w:val="%1."/>
      <w:lvlJc w:val="left"/>
      <w:pPr>
        <w:ind w:left="502"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7FA38BA"/>
    <w:multiLevelType w:val="hybridMultilevel"/>
    <w:tmpl w:val="E214CBA0"/>
    <w:lvl w:ilvl="0" w:tplc="1C09001B">
      <w:start w:val="1"/>
      <w:numFmt w:val="lowerRoman"/>
      <w:lvlText w:val="%1."/>
      <w:lvlJc w:val="righ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44261681"/>
    <w:multiLevelType w:val="hybridMultilevel"/>
    <w:tmpl w:val="A7E46BB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FFF2E34"/>
    <w:multiLevelType w:val="hybridMultilevel"/>
    <w:tmpl w:val="0CD81DE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50B743AC"/>
    <w:multiLevelType w:val="hybridMultilevel"/>
    <w:tmpl w:val="0CD81D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1D35218"/>
    <w:multiLevelType w:val="hybridMultilevel"/>
    <w:tmpl w:val="4792326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C7C2406"/>
    <w:multiLevelType w:val="hybridMultilevel"/>
    <w:tmpl w:val="87AEC2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70CC0BD7"/>
    <w:multiLevelType w:val="hybridMultilevel"/>
    <w:tmpl w:val="D294F5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74C62763"/>
    <w:multiLevelType w:val="hybridMultilevel"/>
    <w:tmpl w:val="5434E01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7ACD5A97"/>
    <w:multiLevelType w:val="hybridMultilevel"/>
    <w:tmpl w:val="3B00E46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3"/>
  </w:num>
  <w:num w:numId="4">
    <w:abstractNumId w:val="2"/>
  </w:num>
  <w:num w:numId="5">
    <w:abstractNumId w:val="1"/>
  </w:num>
  <w:num w:numId="6">
    <w:abstractNumId w:val="10"/>
  </w:num>
  <w:num w:numId="7">
    <w:abstractNumId w:val="0"/>
  </w:num>
  <w:num w:numId="8">
    <w:abstractNumId w:val="11"/>
  </w:num>
  <w:num w:numId="9">
    <w:abstractNumId w:val="7"/>
  </w:num>
  <w:num w:numId="10">
    <w:abstractNumId w:val="5"/>
  </w:num>
  <w:num w:numId="11">
    <w:abstractNumId w:val="8"/>
  </w:num>
  <w:num w:numId="12">
    <w:abstractNumId w:val="4"/>
  </w:num>
  <w:num w:numId="13">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5122"/>
  </w:hdrShapeDefaults>
  <w:footnotePr>
    <w:footnote w:id="-1"/>
    <w:footnote w:id="0"/>
  </w:footnotePr>
  <w:endnotePr>
    <w:endnote w:id="-1"/>
    <w:endnote w:id="0"/>
  </w:endnotePr>
  <w:compat/>
  <w:rsids>
    <w:rsidRoot w:val="004A17EF"/>
    <w:rsid w:val="00015F02"/>
    <w:rsid w:val="000379CD"/>
    <w:rsid w:val="00046B57"/>
    <w:rsid w:val="000519C4"/>
    <w:rsid w:val="00053D54"/>
    <w:rsid w:val="00057A0E"/>
    <w:rsid w:val="00062113"/>
    <w:rsid w:val="00082F8D"/>
    <w:rsid w:val="00091D7C"/>
    <w:rsid w:val="00093B21"/>
    <w:rsid w:val="00095752"/>
    <w:rsid w:val="00097699"/>
    <w:rsid w:val="000A3AD4"/>
    <w:rsid w:val="000A60C7"/>
    <w:rsid w:val="000B6944"/>
    <w:rsid w:val="000D26F1"/>
    <w:rsid w:val="000F573E"/>
    <w:rsid w:val="00104974"/>
    <w:rsid w:val="00110FFF"/>
    <w:rsid w:val="001117CF"/>
    <w:rsid w:val="00117FF3"/>
    <w:rsid w:val="00121570"/>
    <w:rsid w:val="001243AC"/>
    <w:rsid w:val="001257D0"/>
    <w:rsid w:val="00134F98"/>
    <w:rsid w:val="00141B69"/>
    <w:rsid w:val="00145810"/>
    <w:rsid w:val="00150B13"/>
    <w:rsid w:val="00156247"/>
    <w:rsid w:val="00162717"/>
    <w:rsid w:val="00164830"/>
    <w:rsid w:val="00170C56"/>
    <w:rsid w:val="00182FB1"/>
    <w:rsid w:val="00190009"/>
    <w:rsid w:val="0019248D"/>
    <w:rsid w:val="001B5B0B"/>
    <w:rsid w:val="001C1C04"/>
    <w:rsid w:val="001C62C1"/>
    <w:rsid w:val="001C7171"/>
    <w:rsid w:val="001D1359"/>
    <w:rsid w:val="001D1BB4"/>
    <w:rsid w:val="001D5E40"/>
    <w:rsid w:val="001E21E4"/>
    <w:rsid w:val="001E2D2D"/>
    <w:rsid w:val="001E3B1D"/>
    <w:rsid w:val="001E44A2"/>
    <w:rsid w:val="001E4F41"/>
    <w:rsid w:val="001E649B"/>
    <w:rsid w:val="001F0427"/>
    <w:rsid w:val="001F440C"/>
    <w:rsid w:val="00206830"/>
    <w:rsid w:val="00214064"/>
    <w:rsid w:val="002145AD"/>
    <w:rsid w:val="00217983"/>
    <w:rsid w:val="00221468"/>
    <w:rsid w:val="00224A8C"/>
    <w:rsid w:val="00234649"/>
    <w:rsid w:val="00240644"/>
    <w:rsid w:val="00253C08"/>
    <w:rsid w:val="00255687"/>
    <w:rsid w:val="00260988"/>
    <w:rsid w:val="00264DDC"/>
    <w:rsid w:val="00264F22"/>
    <w:rsid w:val="00271014"/>
    <w:rsid w:val="002754C4"/>
    <w:rsid w:val="00277935"/>
    <w:rsid w:val="00280850"/>
    <w:rsid w:val="002810FC"/>
    <w:rsid w:val="002811FF"/>
    <w:rsid w:val="002B34AD"/>
    <w:rsid w:val="002B3CE3"/>
    <w:rsid w:val="002B4487"/>
    <w:rsid w:val="002B6738"/>
    <w:rsid w:val="002D30BF"/>
    <w:rsid w:val="002D609D"/>
    <w:rsid w:val="002E39A1"/>
    <w:rsid w:val="002F04ED"/>
    <w:rsid w:val="003002D8"/>
    <w:rsid w:val="00300407"/>
    <w:rsid w:val="00307178"/>
    <w:rsid w:val="00320C20"/>
    <w:rsid w:val="00324A0D"/>
    <w:rsid w:val="00333422"/>
    <w:rsid w:val="00334C11"/>
    <w:rsid w:val="00335D4A"/>
    <w:rsid w:val="00336C0C"/>
    <w:rsid w:val="00342DC1"/>
    <w:rsid w:val="00343F1E"/>
    <w:rsid w:val="003476C6"/>
    <w:rsid w:val="003602B6"/>
    <w:rsid w:val="003607B3"/>
    <w:rsid w:val="0036571D"/>
    <w:rsid w:val="00365819"/>
    <w:rsid w:val="00365C3C"/>
    <w:rsid w:val="00366CDD"/>
    <w:rsid w:val="00377329"/>
    <w:rsid w:val="00377BAD"/>
    <w:rsid w:val="00377D04"/>
    <w:rsid w:val="003911DA"/>
    <w:rsid w:val="00396D50"/>
    <w:rsid w:val="003A2056"/>
    <w:rsid w:val="003A4B2C"/>
    <w:rsid w:val="003B6D26"/>
    <w:rsid w:val="003B7F9B"/>
    <w:rsid w:val="003D7035"/>
    <w:rsid w:val="003F6C5B"/>
    <w:rsid w:val="00403B21"/>
    <w:rsid w:val="00405381"/>
    <w:rsid w:val="00410D0A"/>
    <w:rsid w:val="00414B39"/>
    <w:rsid w:val="00417036"/>
    <w:rsid w:val="004265DA"/>
    <w:rsid w:val="00434956"/>
    <w:rsid w:val="004375A5"/>
    <w:rsid w:val="004409AB"/>
    <w:rsid w:val="004452DA"/>
    <w:rsid w:val="004551CB"/>
    <w:rsid w:val="0045620C"/>
    <w:rsid w:val="00457E18"/>
    <w:rsid w:val="004635AF"/>
    <w:rsid w:val="00465FD6"/>
    <w:rsid w:val="00483464"/>
    <w:rsid w:val="0049032A"/>
    <w:rsid w:val="004925F3"/>
    <w:rsid w:val="004934C4"/>
    <w:rsid w:val="00496F2A"/>
    <w:rsid w:val="004A17EF"/>
    <w:rsid w:val="004A3225"/>
    <w:rsid w:val="004D1DF5"/>
    <w:rsid w:val="004D2355"/>
    <w:rsid w:val="004D2E11"/>
    <w:rsid w:val="004D3333"/>
    <w:rsid w:val="004F2014"/>
    <w:rsid w:val="004F6CEE"/>
    <w:rsid w:val="0050083E"/>
    <w:rsid w:val="005068AD"/>
    <w:rsid w:val="00514473"/>
    <w:rsid w:val="00514F5A"/>
    <w:rsid w:val="00521C1E"/>
    <w:rsid w:val="00525627"/>
    <w:rsid w:val="00526387"/>
    <w:rsid w:val="0053006C"/>
    <w:rsid w:val="00533411"/>
    <w:rsid w:val="00535560"/>
    <w:rsid w:val="00537CDF"/>
    <w:rsid w:val="005418A7"/>
    <w:rsid w:val="005532AD"/>
    <w:rsid w:val="00564333"/>
    <w:rsid w:val="005674B3"/>
    <w:rsid w:val="00572748"/>
    <w:rsid w:val="005763D3"/>
    <w:rsid w:val="00577285"/>
    <w:rsid w:val="00580ABB"/>
    <w:rsid w:val="005854E4"/>
    <w:rsid w:val="005933CA"/>
    <w:rsid w:val="005A0FE0"/>
    <w:rsid w:val="005B002A"/>
    <w:rsid w:val="005B39AC"/>
    <w:rsid w:val="005C08FD"/>
    <w:rsid w:val="005C217B"/>
    <w:rsid w:val="005D49B6"/>
    <w:rsid w:val="005E4AD3"/>
    <w:rsid w:val="005E7C50"/>
    <w:rsid w:val="005F6273"/>
    <w:rsid w:val="00605B97"/>
    <w:rsid w:val="00606FAC"/>
    <w:rsid w:val="00613B43"/>
    <w:rsid w:val="00620B2F"/>
    <w:rsid w:val="00621C34"/>
    <w:rsid w:val="0062303E"/>
    <w:rsid w:val="006367B1"/>
    <w:rsid w:val="00643F45"/>
    <w:rsid w:val="00646481"/>
    <w:rsid w:val="006551F1"/>
    <w:rsid w:val="006568B6"/>
    <w:rsid w:val="00666696"/>
    <w:rsid w:val="00674A30"/>
    <w:rsid w:val="0067723C"/>
    <w:rsid w:val="006A2A28"/>
    <w:rsid w:val="006A33BA"/>
    <w:rsid w:val="006B149E"/>
    <w:rsid w:val="006B31BE"/>
    <w:rsid w:val="006B509C"/>
    <w:rsid w:val="006C7AC6"/>
    <w:rsid w:val="006D0AE1"/>
    <w:rsid w:val="006D4666"/>
    <w:rsid w:val="006D4A7B"/>
    <w:rsid w:val="006D7E95"/>
    <w:rsid w:val="006E25F1"/>
    <w:rsid w:val="006E2C1F"/>
    <w:rsid w:val="006E2F9B"/>
    <w:rsid w:val="006F187D"/>
    <w:rsid w:val="006F2643"/>
    <w:rsid w:val="006F29B8"/>
    <w:rsid w:val="006F521B"/>
    <w:rsid w:val="00700D0D"/>
    <w:rsid w:val="007038B3"/>
    <w:rsid w:val="007100E7"/>
    <w:rsid w:val="00716925"/>
    <w:rsid w:val="00720ECB"/>
    <w:rsid w:val="00731195"/>
    <w:rsid w:val="00742060"/>
    <w:rsid w:val="0075178F"/>
    <w:rsid w:val="00752933"/>
    <w:rsid w:val="00754543"/>
    <w:rsid w:val="00756D8F"/>
    <w:rsid w:val="007658CA"/>
    <w:rsid w:val="007801DE"/>
    <w:rsid w:val="007A4849"/>
    <w:rsid w:val="007A555F"/>
    <w:rsid w:val="007A67E6"/>
    <w:rsid w:val="007B0A51"/>
    <w:rsid w:val="007B2230"/>
    <w:rsid w:val="007B5921"/>
    <w:rsid w:val="007C4854"/>
    <w:rsid w:val="007C62CF"/>
    <w:rsid w:val="007D10A0"/>
    <w:rsid w:val="007D4B22"/>
    <w:rsid w:val="007E02DE"/>
    <w:rsid w:val="007E1E7C"/>
    <w:rsid w:val="007F1549"/>
    <w:rsid w:val="00813921"/>
    <w:rsid w:val="008236BA"/>
    <w:rsid w:val="0082797F"/>
    <w:rsid w:val="00834FCF"/>
    <w:rsid w:val="00835029"/>
    <w:rsid w:val="0083698F"/>
    <w:rsid w:val="00836FC2"/>
    <w:rsid w:val="00836FE3"/>
    <w:rsid w:val="00837274"/>
    <w:rsid w:val="00842170"/>
    <w:rsid w:val="00850216"/>
    <w:rsid w:val="00863ADE"/>
    <w:rsid w:val="00864999"/>
    <w:rsid w:val="00874BB8"/>
    <w:rsid w:val="00882277"/>
    <w:rsid w:val="008836A8"/>
    <w:rsid w:val="00884DEA"/>
    <w:rsid w:val="008B33B1"/>
    <w:rsid w:val="008B38C3"/>
    <w:rsid w:val="008C13BC"/>
    <w:rsid w:val="008C5AA4"/>
    <w:rsid w:val="008C6DC9"/>
    <w:rsid w:val="008D3A7B"/>
    <w:rsid w:val="008E0F23"/>
    <w:rsid w:val="008E48A7"/>
    <w:rsid w:val="008E76A5"/>
    <w:rsid w:val="008E76EA"/>
    <w:rsid w:val="008F0DC3"/>
    <w:rsid w:val="008F4789"/>
    <w:rsid w:val="008F5198"/>
    <w:rsid w:val="008F5C9C"/>
    <w:rsid w:val="008F7872"/>
    <w:rsid w:val="00901557"/>
    <w:rsid w:val="00917234"/>
    <w:rsid w:val="0091727A"/>
    <w:rsid w:val="0091795A"/>
    <w:rsid w:val="00921589"/>
    <w:rsid w:val="00925E76"/>
    <w:rsid w:val="00931E02"/>
    <w:rsid w:val="00936B79"/>
    <w:rsid w:val="009409F3"/>
    <w:rsid w:val="00945114"/>
    <w:rsid w:val="00945A95"/>
    <w:rsid w:val="009468C3"/>
    <w:rsid w:val="0096734C"/>
    <w:rsid w:val="00967358"/>
    <w:rsid w:val="00972A71"/>
    <w:rsid w:val="00984381"/>
    <w:rsid w:val="00984DA7"/>
    <w:rsid w:val="00992BD2"/>
    <w:rsid w:val="00995961"/>
    <w:rsid w:val="00997BDB"/>
    <w:rsid w:val="009A6F42"/>
    <w:rsid w:val="009B17B5"/>
    <w:rsid w:val="009C17C5"/>
    <w:rsid w:val="009C5C46"/>
    <w:rsid w:val="009D12B8"/>
    <w:rsid w:val="009D2A5C"/>
    <w:rsid w:val="00A202E8"/>
    <w:rsid w:val="00A276EF"/>
    <w:rsid w:val="00A34BFB"/>
    <w:rsid w:val="00A40E66"/>
    <w:rsid w:val="00A4228D"/>
    <w:rsid w:val="00A4443F"/>
    <w:rsid w:val="00A445C0"/>
    <w:rsid w:val="00A4607A"/>
    <w:rsid w:val="00A518E2"/>
    <w:rsid w:val="00A70784"/>
    <w:rsid w:val="00A76E3E"/>
    <w:rsid w:val="00A86250"/>
    <w:rsid w:val="00A87455"/>
    <w:rsid w:val="00A91036"/>
    <w:rsid w:val="00AA2AFC"/>
    <w:rsid w:val="00AA6BF5"/>
    <w:rsid w:val="00AB7F64"/>
    <w:rsid w:val="00AC03A9"/>
    <w:rsid w:val="00AD24BD"/>
    <w:rsid w:val="00AD2746"/>
    <w:rsid w:val="00AD388A"/>
    <w:rsid w:val="00AD7983"/>
    <w:rsid w:val="00AE166E"/>
    <w:rsid w:val="00AE4A4B"/>
    <w:rsid w:val="00AE5618"/>
    <w:rsid w:val="00AE66C3"/>
    <w:rsid w:val="00AE79CC"/>
    <w:rsid w:val="00AF72E9"/>
    <w:rsid w:val="00B07589"/>
    <w:rsid w:val="00B11682"/>
    <w:rsid w:val="00B16C13"/>
    <w:rsid w:val="00B224B6"/>
    <w:rsid w:val="00B2786E"/>
    <w:rsid w:val="00B27F7B"/>
    <w:rsid w:val="00B33028"/>
    <w:rsid w:val="00B358E7"/>
    <w:rsid w:val="00B412F4"/>
    <w:rsid w:val="00B828AD"/>
    <w:rsid w:val="00B83FCB"/>
    <w:rsid w:val="00B8733A"/>
    <w:rsid w:val="00B87B6C"/>
    <w:rsid w:val="00B9650F"/>
    <w:rsid w:val="00BA7ADD"/>
    <w:rsid w:val="00BB1761"/>
    <w:rsid w:val="00BC6814"/>
    <w:rsid w:val="00BD70F7"/>
    <w:rsid w:val="00BE07E8"/>
    <w:rsid w:val="00BE1F82"/>
    <w:rsid w:val="00BE5651"/>
    <w:rsid w:val="00BF3D9A"/>
    <w:rsid w:val="00BF5E10"/>
    <w:rsid w:val="00C00B3A"/>
    <w:rsid w:val="00C10263"/>
    <w:rsid w:val="00C15044"/>
    <w:rsid w:val="00C16C8D"/>
    <w:rsid w:val="00C27956"/>
    <w:rsid w:val="00C31BB0"/>
    <w:rsid w:val="00C401D2"/>
    <w:rsid w:val="00C4490C"/>
    <w:rsid w:val="00C47D68"/>
    <w:rsid w:val="00C551C2"/>
    <w:rsid w:val="00C55514"/>
    <w:rsid w:val="00C5751E"/>
    <w:rsid w:val="00C61D10"/>
    <w:rsid w:val="00C670FC"/>
    <w:rsid w:val="00C67C46"/>
    <w:rsid w:val="00C73A1C"/>
    <w:rsid w:val="00C73A26"/>
    <w:rsid w:val="00C818AF"/>
    <w:rsid w:val="00C83694"/>
    <w:rsid w:val="00C94939"/>
    <w:rsid w:val="00C96F01"/>
    <w:rsid w:val="00CA0929"/>
    <w:rsid w:val="00CA1423"/>
    <w:rsid w:val="00CB2F0A"/>
    <w:rsid w:val="00CB4E8D"/>
    <w:rsid w:val="00CC4EF4"/>
    <w:rsid w:val="00CC7906"/>
    <w:rsid w:val="00CD18B7"/>
    <w:rsid w:val="00CF0B50"/>
    <w:rsid w:val="00CF2591"/>
    <w:rsid w:val="00CF3BA4"/>
    <w:rsid w:val="00CF3E81"/>
    <w:rsid w:val="00CF7D74"/>
    <w:rsid w:val="00D13C30"/>
    <w:rsid w:val="00D21A67"/>
    <w:rsid w:val="00D24738"/>
    <w:rsid w:val="00D24FC5"/>
    <w:rsid w:val="00D25835"/>
    <w:rsid w:val="00D407D4"/>
    <w:rsid w:val="00D432B4"/>
    <w:rsid w:val="00D51BA4"/>
    <w:rsid w:val="00D5513A"/>
    <w:rsid w:val="00D57D71"/>
    <w:rsid w:val="00D6437D"/>
    <w:rsid w:val="00D74CA1"/>
    <w:rsid w:val="00D760B4"/>
    <w:rsid w:val="00D80610"/>
    <w:rsid w:val="00D85B5B"/>
    <w:rsid w:val="00D86A29"/>
    <w:rsid w:val="00D91109"/>
    <w:rsid w:val="00D95108"/>
    <w:rsid w:val="00DB2A0A"/>
    <w:rsid w:val="00DB3FD5"/>
    <w:rsid w:val="00DB6362"/>
    <w:rsid w:val="00DD7A8E"/>
    <w:rsid w:val="00DE04DC"/>
    <w:rsid w:val="00DE72F8"/>
    <w:rsid w:val="00DF184E"/>
    <w:rsid w:val="00DF276B"/>
    <w:rsid w:val="00DF7B72"/>
    <w:rsid w:val="00E0186C"/>
    <w:rsid w:val="00E02BF1"/>
    <w:rsid w:val="00E04376"/>
    <w:rsid w:val="00E12B28"/>
    <w:rsid w:val="00E13205"/>
    <w:rsid w:val="00E136B0"/>
    <w:rsid w:val="00E20FE6"/>
    <w:rsid w:val="00E22FC1"/>
    <w:rsid w:val="00E27228"/>
    <w:rsid w:val="00E33DBA"/>
    <w:rsid w:val="00E41CDC"/>
    <w:rsid w:val="00E43402"/>
    <w:rsid w:val="00E43E6C"/>
    <w:rsid w:val="00E53137"/>
    <w:rsid w:val="00E743D7"/>
    <w:rsid w:val="00E85256"/>
    <w:rsid w:val="00E92BE2"/>
    <w:rsid w:val="00EA0773"/>
    <w:rsid w:val="00EA3A3C"/>
    <w:rsid w:val="00EA5CE8"/>
    <w:rsid w:val="00EC1BF1"/>
    <w:rsid w:val="00EC1EE4"/>
    <w:rsid w:val="00EC6BC3"/>
    <w:rsid w:val="00ED3F8F"/>
    <w:rsid w:val="00ED4792"/>
    <w:rsid w:val="00EE73A4"/>
    <w:rsid w:val="00EE77EE"/>
    <w:rsid w:val="00F00B42"/>
    <w:rsid w:val="00F04F74"/>
    <w:rsid w:val="00F06CB3"/>
    <w:rsid w:val="00F070AB"/>
    <w:rsid w:val="00F22007"/>
    <w:rsid w:val="00F325F7"/>
    <w:rsid w:val="00F36405"/>
    <w:rsid w:val="00F37117"/>
    <w:rsid w:val="00F45DB4"/>
    <w:rsid w:val="00F45DBB"/>
    <w:rsid w:val="00F54155"/>
    <w:rsid w:val="00F677DB"/>
    <w:rsid w:val="00F73456"/>
    <w:rsid w:val="00F746C8"/>
    <w:rsid w:val="00F76A69"/>
    <w:rsid w:val="00F8110A"/>
    <w:rsid w:val="00F87215"/>
    <w:rsid w:val="00FA1013"/>
    <w:rsid w:val="00FA3254"/>
    <w:rsid w:val="00FC7A1D"/>
    <w:rsid w:val="00FD2687"/>
    <w:rsid w:val="00FD3C6F"/>
    <w:rsid w:val="00FD6CFF"/>
    <w:rsid w:val="00FE4A77"/>
    <w:rsid w:val="00FE4C9C"/>
    <w:rsid w:val="00FF03BD"/>
    <w:rsid w:val="00FF483D"/>
    <w:rsid w:val="00FF7D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7EF"/>
    <w:pPr>
      <w:spacing w:line="256" w:lineRule="auto"/>
    </w:pPr>
  </w:style>
  <w:style w:type="paragraph" w:styleId="Heading3">
    <w:name w:val="heading 3"/>
    <w:basedOn w:val="Normal"/>
    <w:next w:val="Normal"/>
    <w:link w:val="Heading3Char"/>
    <w:uiPriority w:val="9"/>
    <w:semiHidden/>
    <w:unhideWhenUsed/>
    <w:qFormat/>
    <w:rsid w:val="006B31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 1 Char,Bullets Char,Table of contents numbered Char,footer text Char,List Paragraph1 Char,Recommendation Char,Bullet List Char"/>
    <w:basedOn w:val="DefaultParagraphFont"/>
    <w:link w:val="ListParagraph"/>
    <w:uiPriority w:val="34"/>
    <w:locked/>
    <w:rsid w:val="004A17EF"/>
  </w:style>
  <w:style w:type="paragraph" w:styleId="ListParagraph">
    <w:name w:val="List Paragraph"/>
    <w:aliases w:val="List Paragraph 1,Bullets,Table of contents numbered,footer text,List Paragraph1,Recommendation,Bullet List"/>
    <w:basedOn w:val="Normal"/>
    <w:link w:val="ListParagraphChar"/>
    <w:uiPriority w:val="34"/>
    <w:qFormat/>
    <w:rsid w:val="004A17EF"/>
    <w:pPr>
      <w:spacing w:line="254" w:lineRule="auto"/>
      <w:ind w:left="720"/>
      <w:contextualSpacing/>
    </w:pPr>
  </w:style>
  <w:style w:type="character" w:styleId="Emphasis">
    <w:name w:val="Emphasis"/>
    <w:basedOn w:val="DefaultParagraphFont"/>
    <w:uiPriority w:val="20"/>
    <w:qFormat/>
    <w:rsid w:val="003A2056"/>
    <w:rPr>
      <w:i/>
      <w:iCs/>
    </w:rPr>
  </w:style>
  <w:style w:type="character" w:styleId="Strong">
    <w:name w:val="Strong"/>
    <w:basedOn w:val="DefaultParagraphFont"/>
    <w:uiPriority w:val="22"/>
    <w:qFormat/>
    <w:rsid w:val="003A2056"/>
    <w:rPr>
      <w:b/>
      <w:bCs/>
    </w:rPr>
  </w:style>
  <w:style w:type="paragraph" w:styleId="NormalWeb">
    <w:name w:val="Normal (Web)"/>
    <w:basedOn w:val="Normal"/>
    <w:uiPriority w:val="99"/>
    <w:unhideWhenUsed/>
    <w:rsid w:val="003A2056"/>
    <w:pPr>
      <w:spacing w:after="150"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3658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819"/>
  </w:style>
  <w:style w:type="paragraph" w:styleId="Footer">
    <w:name w:val="footer"/>
    <w:basedOn w:val="Normal"/>
    <w:link w:val="FooterChar"/>
    <w:uiPriority w:val="99"/>
    <w:unhideWhenUsed/>
    <w:rsid w:val="003658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819"/>
  </w:style>
  <w:style w:type="paragraph" w:styleId="BalloonText">
    <w:name w:val="Balloon Text"/>
    <w:basedOn w:val="Normal"/>
    <w:link w:val="BalloonTextChar"/>
    <w:uiPriority w:val="99"/>
    <w:semiHidden/>
    <w:unhideWhenUsed/>
    <w:rsid w:val="00224A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A8C"/>
    <w:rPr>
      <w:rFonts w:ascii="Segoe UI" w:hAnsi="Segoe UI" w:cs="Segoe UI"/>
      <w:sz w:val="18"/>
      <w:szCs w:val="18"/>
    </w:rPr>
  </w:style>
  <w:style w:type="character" w:styleId="CommentReference">
    <w:name w:val="annotation reference"/>
    <w:basedOn w:val="DefaultParagraphFont"/>
    <w:uiPriority w:val="99"/>
    <w:semiHidden/>
    <w:unhideWhenUsed/>
    <w:rsid w:val="0050083E"/>
    <w:rPr>
      <w:sz w:val="16"/>
      <w:szCs w:val="16"/>
    </w:rPr>
  </w:style>
  <w:style w:type="paragraph" w:styleId="CommentText">
    <w:name w:val="annotation text"/>
    <w:basedOn w:val="Normal"/>
    <w:link w:val="CommentTextChar"/>
    <w:uiPriority w:val="99"/>
    <w:semiHidden/>
    <w:unhideWhenUsed/>
    <w:rsid w:val="0050083E"/>
    <w:pPr>
      <w:spacing w:line="240" w:lineRule="auto"/>
    </w:pPr>
    <w:rPr>
      <w:sz w:val="20"/>
      <w:szCs w:val="20"/>
    </w:rPr>
  </w:style>
  <w:style w:type="character" w:customStyle="1" w:styleId="CommentTextChar">
    <w:name w:val="Comment Text Char"/>
    <w:basedOn w:val="DefaultParagraphFont"/>
    <w:link w:val="CommentText"/>
    <w:uiPriority w:val="99"/>
    <w:semiHidden/>
    <w:rsid w:val="0050083E"/>
    <w:rPr>
      <w:sz w:val="20"/>
      <w:szCs w:val="20"/>
    </w:rPr>
  </w:style>
  <w:style w:type="paragraph" w:styleId="CommentSubject">
    <w:name w:val="annotation subject"/>
    <w:basedOn w:val="CommentText"/>
    <w:next w:val="CommentText"/>
    <w:link w:val="CommentSubjectChar"/>
    <w:uiPriority w:val="99"/>
    <w:semiHidden/>
    <w:unhideWhenUsed/>
    <w:rsid w:val="0050083E"/>
    <w:rPr>
      <w:b/>
      <w:bCs/>
    </w:rPr>
  </w:style>
  <w:style w:type="character" w:customStyle="1" w:styleId="CommentSubjectChar">
    <w:name w:val="Comment Subject Char"/>
    <w:basedOn w:val="CommentTextChar"/>
    <w:link w:val="CommentSubject"/>
    <w:uiPriority w:val="99"/>
    <w:semiHidden/>
    <w:rsid w:val="0050083E"/>
    <w:rPr>
      <w:b/>
      <w:bCs/>
      <w:sz w:val="20"/>
      <w:szCs w:val="20"/>
    </w:rPr>
  </w:style>
  <w:style w:type="paragraph" w:styleId="FootnoteText">
    <w:name w:val="footnote text"/>
    <w:basedOn w:val="Normal"/>
    <w:link w:val="FootnoteTextChar"/>
    <w:rsid w:val="008F0DC3"/>
    <w:pPr>
      <w:spacing w:after="0" w:line="280" w:lineRule="exact"/>
    </w:pPr>
    <w:rPr>
      <w:rFonts w:ascii="Arial" w:eastAsia="Times New Roman" w:hAnsi="Arial" w:cs="Times New Roman"/>
      <w:color w:val="000000"/>
      <w:spacing w:val="6"/>
      <w:sz w:val="20"/>
      <w:szCs w:val="20"/>
      <w:lang w:val="en-GB" w:eastAsia="en-GB"/>
    </w:rPr>
  </w:style>
  <w:style w:type="character" w:customStyle="1" w:styleId="FootnoteTextChar">
    <w:name w:val="Footnote Text Char"/>
    <w:basedOn w:val="DefaultParagraphFont"/>
    <w:link w:val="FootnoteText"/>
    <w:rsid w:val="008F0DC3"/>
    <w:rPr>
      <w:rFonts w:ascii="Arial" w:eastAsia="Times New Roman" w:hAnsi="Arial" w:cs="Times New Roman"/>
      <w:color w:val="000000"/>
      <w:spacing w:val="6"/>
      <w:sz w:val="20"/>
      <w:szCs w:val="20"/>
      <w:lang w:val="en-GB" w:eastAsia="en-GB"/>
    </w:rPr>
  </w:style>
  <w:style w:type="character" w:styleId="FootnoteReference">
    <w:name w:val="footnote reference"/>
    <w:aliases w:val="ftref"/>
    <w:uiPriority w:val="99"/>
    <w:unhideWhenUsed/>
    <w:rsid w:val="008F0DC3"/>
    <w:rPr>
      <w:vertAlign w:val="superscript"/>
    </w:rPr>
  </w:style>
  <w:style w:type="table" w:styleId="TableGrid">
    <w:name w:val="Table Grid"/>
    <w:basedOn w:val="TableNormal"/>
    <w:uiPriority w:val="39"/>
    <w:rsid w:val="00CF3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B4487"/>
    <w:rPr>
      <w:color w:val="0563C1" w:themeColor="hyperlink"/>
      <w:u w:val="single"/>
    </w:rPr>
  </w:style>
  <w:style w:type="character" w:customStyle="1" w:styleId="Heading3Char">
    <w:name w:val="Heading 3 Char"/>
    <w:basedOn w:val="DefaultParagraphFont"/>
    <w:link w:val="Heading3"/>
    <w:uiPriority w:val="9"/>
    <w:semiHidden/>
    <w:rsid w:val="006B31BE"/>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38675114">
      <w:bodyDiv w:val="1"/>
      <w:marLeft w:val="0"/>
      <w:marRight w:val="0"/>
      <w:marTop w:val="0"/>
      <w:marBottom w:val="0"/>
      <w:divBdr>
        <w:top w:val="none" w:sz="0" w:space="0" w:color="auto"/>
        <w:left w:val="none" w:sz="0" w:space="0" w:color="auto"/>
        <w:bottom w:val="none" w:sz="0" w:space="0" w:color="auto"/>
        <w:right w:val="none" w:sz="0" w:space="0" w:color="auto"/>
      </w:divBdr>
    </w:div>
    <w:div w:id="107697274">
      <w:bodyDiv w:val="1"/>
      <w:marLeft w:val="0"/>
      <w:marRight w:val="0"/>
      <w:marTop w:val="0"/>
      <w:marBottom w:val="0"/>
      <w:divBdr>
        <w:top w:val="none" w:sz="0" w:space="0" w:color="auto"/>
        <w:left w:val="none" w:sz="0" w:space="0" w:color="auto"/>
        <w:bottom w:val="none" w:sz="0" w:space="0" w:color="auto"/>
        <w:right w:val="none" w:sz="0" w:space="0" w:color="auto"/>
      </w:divBdr>
    </w:div>
    <w:div w:id="162669400">
      <w:bodyDiv w:val="1"/>
      <w:marLeft w:val="0"/>
      <w:marRight w:val="0"/>
      <w:marTop w:val="0"/>
      <w:marBottom w:val="0"/>
      <w:divBdr>
        <w:top w:val="none" w:sz="0" w:space="0" w:color="auto"/>
        <w:left w:val="none" w:sz="0" w:space="0" w:color="auto"/>
        <w:bottom w:val="none" w:sz="0" w:space="0" w:color="auto"/>
        <w:right w:val="none" w:sz="0" w:space="0" w:color="auto"/>
      </w:divBdr>
    </w:div>
    <w:div w:id="167603549">
      <w:bodyDiv w:val="1"/>
      <w:marLeft w:val="0"/>
      <w:marRight w:val="0"/>
      <w:marTop w:val="0"/>
      <w:marBottom w:val="0"/>
      <w:divBdr>
        <w:top w:val="none" w:sz="0" w:space="0" w:color="auto"/>
        <w:left w:val="none" w:sz="0" w:space="0" w:color="auto"/>
        <w:bottom w:val="none" w:sz="0" w:space="0" w:color="auto"/>
        <w:right w:val="none" w:sz="0" w:space="0" w:color="auto"/>
      </w:divBdr>
    </w:div>
    <w:div w:id="177475544">
      <w:bodyDiv w:val="1"/>
      <w:marLeft w:val="0"/>
      <w:marRight w:val="0"/>
      <w:marTop w:val="0"/>
      <w:marBottom w:val="0"/>
      <w:divBdr>
        <w:top w:val="none" w:sz="0" w:space="0" w:color="auto"/>
        <w:left w:val="none" w:sz="0" w:space="0" w:color="auto"/>
        <w:bottom w:val="none" w:sz="0" w:space="0" w:color="auto"/>
        <w:right w:val="none" w:sz="0" w:space="0" w:color="auto"/>
      </w:divBdr>
    </w:div>
    <w:div w:id="179052318">
      <w:bodyDiv w:val="1"/>
      <w:marLeft w:val="0"/>
      <w:marRight w:val="0"/>
      <w:marTop w:val="0"/>
      <w:marBottom w:val="0"/>
      <w:divBdr>
        <w:top w:val="none" w:sz="0" w:space="0" w:color="auto"/>
        <w:left w:val="none" w:sz="0" w:space="0" w:color="auto"/>
        <w:bottom w:val="none" w:sz="0" w:space="0" w:color="auto"/>
        <w:right w:val="none" w:sz="0" w:space="0" w:color="auto"/>
      </w:divBdr>
    </w:div>
    <w:div w:id="218631947">
      <w:bodyDiv w:val="1"/>
      <w:marLeft w:val="0"/>
      <w:marRight w:val="0"/>
      <w:marTop w:val="0"/>
      <w:marBottom w:val="0"/>
      <w:divBdr>
        <w:top w:val="none" w:sz="0" w:space="0" w:color="auto"/>
        <w:left w:val="none" w:sz="0" w:space="0" w:color="auto"/>
        <w:bottom w:val="none" w:sz="0" w:space="0" w:color="auto"/>
        <w:right w:val="none" w:sz="0" w:space="0" w:color="auto"/>
      </w:divBdr>
    </w:div>
    <w:div w:id="339819050">
      <w:bodyDiv w:val="1"/>
      <w:marLeft w:val="0"/>
      <w:marRight w:val="0"/>
      <w:marTop w:val="0"/>
      <w:marBottom w:val="0"/>
      <w:divBdr>
        <w:top w:val="none" w:sz="0" w:space="0" w:color="auto"/>
        <w:left w:val="none" w:sz="0" w:space="0" w:color="auto"/>
        <w:bottom w:val="none" w:sz="0" w:space="0" w:color="auto"/>
        <w:right w:val="none" w:sz="0" w:space="0" w:color="auto"/>
      </w:divBdr>
    </w:div>
    <w:div w:id="352583989">
      <w:bodyDiv w:val="1"/>
      <w:marLeft w:val="0"/>
      <w:marRight w:val="0"/>
      <w:marTop w:val="0"/>
      <w:marBottom w:val="0"/>
      <w:divBdr>
        <w:top w:val="none" w:sz="0" w:space="0" w:color="auto"/>
        <w:left w:val="none" w:sz="0" w:space="0" w:color="auto"/>
        <w:bottom w:val="none" w:sz="0" w:space="0" w:color="auto"/>
        <w:right w:val="none" w:sz="0" w:space="0" w:color="auto"/>
      </w:divBdr>
    </w:div>
    <w:div w:id="353968199">
      <w:bodyDiv w:val="1"/>
      <w:marLeft w:val="0"/>
      <w:marRight w:val="0"/>
      <w:marTop w:val="0"/>
      <w:marBottom w:val="0"/>
      <w:divBdr>
        <w:top w:val="none" w:sz="0" w:space="0" w:color="auto"/>
        <w:left w:val="none" w:sz="0" w:space="0" w:color="auto"/>
        <w:bottom w:val="none" w:sz="0" w:space="0" w:color="auto"/>
        <w:right w:val="none" w:sz="0" w:space="0" w:color="auto"/>
      </w:divBdr>
    </w:div>
    <w:div w:id="384834339">
      <w:bodyDiv w:val="1"/>
      <w:marLeft w:val="0"/>
      <w:marRight w:val="0"/>
      <w:marTop w:val="0"/>
      <w:marBottom w:val="0"/>
      <w:divBdr>
        <w:top w:val="none" w:sz="0" w:space="0" w:color="auto"/>
        <w:left w:val="none" w:sz="0" w:space="0" w:color="auto"/>
        <w:bottom w:val="none" w:sz="0" w:space="0" w:color="auto"/>
        <w:right w:val="none" w:sz="0" w:space="0" w:color="auto"/>
      </w:divBdr>
    </w:div>
    <w:div w:id="401146180">
      <w:bodyDiv w:val="1"/>
      <w:marLeft w:val="0"/>
      <w:marRight w:val="0"/>
      <w:marTop w:val="0"/>
      <w:marBottom w:val="0"/>
      <w:divBdr>
        <w:top w:val="none" w:sz="0" w:space="0" w:color="auto"/>
        <w:left w:val="none" w:sz="0" w:space="0" w:color="auto"/>
        <w:bottom w:val="none" w:sz="0" w:space="0" w:color="auto"/>
        <w:right w:val="none" w:sz="0" w:space="0" w:color="auto"/>
      </w:divBdr>
      <w:divsChild>
        <w:div w:id="1665039729">
          <w:marLeft w:val="547"/>
          <w:marRight w:val="0"/>
          <w:marTop w:val="77"/>
          <w:marBottom w:val="0"/>
          <w:divBdr>
            <w:top w:val="none" w:sz="0" w:space="0" w:color="auto"/>
            <w:left w:val="none" w:sz="0" w:space="0" w:color="auto"/>
            <w:bottom w:val="none" w:sz="0" w:space="0" w:color="auto"/>
            <w:right w:val="none" w:sz="0" w:space="0" w:color="auto"/>
          </w:divBdr>
        </w:div>
        <w:div w:id="623387647">
          <w:marLeft w:val="547"/>
          <w:marRight w:val="0"/>
          <w:marTop w:val="77"/>
          <w:marBottom w:val="0"/>
          <w:divBdr>
            <w:top w:val="none" w:sz="0" w:space="0" w:color="auto"/>
            <w:left w:val="none" w:sz="0" w:space="0" w:color="auto"/>
            <w:bottom w:val="none" w:sz="0" w:space="0" w:color="auto"/>
            <w:right w:val="none" w:sz="0" w:space="0" w:color="auto"/>
          </w:divBdr>
        </w:div>
        <w:div w:id="121002274">
          <w:marLeft w:val="547"/>
          <w:marRight w:val="0"/>
          <w:marTop w:val="77"/>
          <w:marBottom w:val="0"/>
          <w:divBdr>
            <w:top w:val="none" w:sz="0" w:space="0" w:color="auto"/>
            <w:left w:val="none" w:sz="0" w:space="0" w:color="auto"/>
            <w:bottom w:val="none" w:sz="0" w:space="0" w:color="auto"/>
            <w:right w:val="none" w:sz="0" w:space="0" w:color="auto"/>
          </w:divBdr>
        </w:div>
        <w:div w:id="1212496437">
          <w:marLeft w:val="547"/>
          <w:marRight w:val="0"/>
          <w:marTop w:val="77"/>
          <w:marBottom w:val="0"/>
          <w:divBdr>
            <w:top w:val="none" w:sz="0" w:space="0" w:color="auto"/>
            <w:left w:val="none" w:sz="0" w:space="0" w:color="auto"/>
            <w:bottom w:val="none" w:sz="0" w:space="0" w:color="auto"/>
            <w:right w:val="none" w:sz="0" w:space="0" w:color="auto"/>
          </w:divBdr>
        </w:div>
      </w:divsChild>
    </w:div>
    <w:div w:id="462773807">
      <w:bodyDiv w:val="1"/>
      <w:marLeft w:val="0"/>
      <w:marRight w:val="0"/>
      <w:marTop w:val="0"/>
      <w:marBottom w:val="0"/>
      <w:divBdr>
        <w:top w:val="none" w:sz="0" w:space="0" w:color="auto"/>
        <w:left w:val="none" w:sz="0" w:space="0" w:color="auto"/>
        <w:bottom w:val="none" w:sz="0" w:space="0" w:color="auto"/>
        <w:right w:val="none" w:sz="0" w:space="0" w:color="auto"/>
      </w:divBdr>
    </w:div>
    <w:div w:id="464392001">
      <w:bodyDiv w:val="1"/>
      <w:marLeft w:val="0"/>
      <w:marRight w:val="0"/>
      <w:marTop w:val="0"/>
      <w:marBottom w:val="0"/>
      <w:divBdr>
        <w:top w:val="none" w:sz="0" w:space="0" w:color="auto"/>
        <w:left w:val="none" w:sz="0" w:space="0" w:color="auto"/>
        <w:bottom w:val="none" w:sz="0" w:space="0" w:color="auto"/>
        <w:right w:val="none" w:sz="0" w:space="0" w:color="auto"/>
      </w:divBdr>
    </w:div>
    <w:div w:id="527137844">
      <w:bodyDiv w:val="1"/>
      <w:marLeft w:val="0"/>
      <w:marRight w:val="0"/>
      <w:marTop w:val="0"/>
      <w:marBottom w:val="0"/>
      <w:divBdr>
        <w:top w:val="none" w:sz="0" w:space="0" w:color="auto"/>
        <w:left w:val="none" w:sz="0" w:space="0" w:color="auto"/>
        <w:bottom w:val="none" w:sz="0" w:space="0" w:color="auto"/>
        <w:right w:val="none" w:sz="0" w:space="0" w:color="auto"/>
      </w:divBdr>
    </w:div>
    <w:div w:id="535507561">
      <w:bodyDiv w:val="1"/>
      <w:marLeft w:val="0"/>
      <w:marRight w:val="0"/>
      <w:marTop w:val="0"/>
      <w:marBottom w:val="0"/>
      <w:divBdr>
        <w:top w:val="none" w:sz="0" w:space="0" w:color="auto"/>
        <w:left w:val="none" w:sz="0" w:space="0" w:color="auto"/>
        <w:bottom w:val="none" w:sz="0" w:space="0" w:color="auto"/>
        <w:right w:val="none" w:sz="0" w:space="0" w:color="auto"/>
      </w:divBdr>
    </w:div>
    <w:div w:id="596985852">
      <w:bodyDiv w:val="1"/>
      <w:marLeft w:val="0"/>
      <w:marRight w:val="0"/>
      <w:marTop w:val="0"/>
      <w:marBottom w:val="0"/>
      <w:divBdr>
        <w:top w:val="none" w:sz="0" w:space="0" w:color="auto"/>
        <w:left w:val="none" w:sz="0" w:space="0" w:color="auto"/>
        <w:bottom w:val="none" w:sz="0" w:space="0" w:color="auto"/>
        <w:right w:val="none" w:sz="0" w:space="0" w:color="auto"/>
      </w:divBdr>
    </w:div>
    <w:div w:id="626157370">
      <w:bodyDiv w:val="1"/>
      <w:marLeft w:val="0"/>
      <w:marRight w:val="0"/>
      <w:marTop w:val="0"/>
      <w:marBottom w:val="0"/>
      <w:divBdr>
        <w:top w:val="none" w:sz="0" w:space="0" w:color="auto"/>
        <w:left w:val="none" w:sz="0" w:space="0" w:color="auto"/>
        <w:bottom w:val="none" w:sz="0" w:space="0" w:color="auto"/>
        <w:right w:val="none" w:sz="0" w:space="0" w:color="auto"/>
      </w:divBdr>
      <w:divsChild>
        <w:div w:id="167067501">
          <w:marLeft w:val="547"/>
          <w:marRight w:val="0"/>
          <w:marTop w:val="77"/>
          <w:marBottom w:val="0"/>
          <w:divBdr>
            <w:top w:val="none" w:sz="0" w:space="0" w:color="auto"/>
            <w:left w:val="none" w:sz="0" w:space="0" w:color="auto"/>
            <w:bottom w:val="none" w:sz="0" w:space="0" w:color="auto"/>
            <w:right w:val="none" w:sz="0" w:space="0" w:color="auto"/>
          </w:divBdr>
        </w:div>
        <w:div w:id="2030910183">
          <w:marLeft w:val="547"/>
          <w:marRight w:val="0"/>
          <w:marTop w:val="77"/>
          <w:marBottom w:val="0"/>
          <w:divBdr>
            <w:top w:val="none" w:sz="0" w:space="0" w:color="auto"/>
            <w:left w:val="none" w:sz="0" w:space="0" w:color="auto"/>
            <w:bottom w:val="none" w:sz="0" w:space="0" w:color="auto"/>
            <w:right w:val="none" w:sz="0" w:space="0" w:color="auto"/>
          </w:divBdr>
        </w:div>
        <w:div w:id="74281920">
          <w:marLeft w:val="547"/>
          <w:marRight w:val="0"/>
          <w:marTop w:val="77"/>
          <w:marBottom w:val="0"/>
          <w:divBdr>
            <w:top w:val="none" w:sz="0" w:space="0" w:color="auto"/>
            <w:left w:val="none" w:sz="0" w:space="0" w:color="auto"/>
            <w:bottom w:val="none" w:sz="0" w:space="0" w:color="auto"/>
            <w:right w:val="none" w:sz="0" w:space="0" w:color="auto"/>
          </w:divBdr>
        </w:div>
        <w:div w:id="513569180">
          <w:marLeft w:val="547"/>
          <w:marRight w:val="0"/>
          <w:marTop w:val="77"/>
          <w:marBottom w:val="0"/>
          <w:divBdr>
            <w:top w:val="none" w:sz="0" w:space="0" w:color="auto"/>
            <w:left w:val="none" w:sz="0" w:space="0" w:color="auto"/>
            <w:bottom w:val="none" w:sz="0" w:space="0" w:color="auto"/>
            <w:right w:val="none" w:sz="0" w:space="0" w:color="auto"/>
          </w:divBdr>
        </w:div>
      </w:divsChild>
    </w:div>
    <w:div w:id="702169088">
      <w:bodyDiv w:val="1"/>
      <w:marLeft w:val="0"/>
      <w:marRight w:val="0"/>
      <w:marTop w:val="0"/>
      <w:marBottom w:val="0"/>
      <w:divBdr>
        <w:top w:val="none" w:sz="0" w:space="0" w:color="auto"/>
        <w:left w:val="none" w:sz="0" w:space="0" w:color="auto"/>
        <w:bottom w:val="none" w:sz="0" w:space="0" w:color="auto"/>
        <w:right w:val="none" w:sz="0" w:space="0" w:color="auto"/>
      </w:divBdr>
      <w:divsChild>
        <w:div w:id="1114131887">
          <w:marLeft w:val="720"/>
          <w:marRight w:val="0"/>
          <w:marTop w:val="0"/>
          <w:marBottom w:val="0"/>
          <w:divBdr>
            <w:top w:val="none" w:sz="0" w:space="0" w:color="auto"/>
            <w:left w:val="none" w:sz="0" w:space="0" w:color="auto"/>
            <w:bottom w:val="none" w:sz="0" w:space="0" w:color="auto"/>
            <w:right w:val="none" w:sz="0" w:space="0" w:color="auto"/>
          </w:divBdr>
        </w:div>
        <w:div w:id="219681810">
          <w:marLeft w:val="720"/>
          <w:marRight w:val="0"/>
          <w:marTop w:val="0"/>
          <w:marBottom w:val="0"/>
          <w:divBdr>
            <w:top w:val="none" w:sz="0" w:space="0" w:color="auto"/>
            <w:left w:val="none" w:sz="0" w:space="0" w:color="auto"/>
            <w:bottom w:val="none" w:sz="0" w:space="0" w:color="auto"/>
            <w:right w:val="none" w:sz="0" w:space="0" w:color="auto"/>
          </w:divBdr>
        </w:div>
        <w:div w:id="290137932">
          <w:marLeft w:val="547"/>
          <w:marRight w:val="0"/>
          <w:marTop w:val="0"/>
          <w:marBottom w:val="0"/>
          <w:divBdr>
            <w:top w:val="none" w:sz="0" w:space="0" w:color="auto"/>
            <w:left w:val="none" w:sz="0" w:space="0" w:color="auto"/>
            <w:bottom w:val="none" w:sz="0" w:space="0" w:color="auto"/>
            <w:right w:val="none" w:sz="0" w:space="0" w:color="auto"/>
          </w:divBdr>
        </w:div>
      </w:divsChild>
    </w:div>
    <w:div w:id="713047630">
      <w:bodyDiv w:val="1"/>
      <w:marLeft w:val="0"/>
      <w:marRight w:val="0"/>
      <w:marTop w:val="0"/>
      <w:marBottom w:val="0"/>
      <w:divBdr>
        <w:top w:val="none" w:sz="0" w:space="0" w:color="auto"/>
        <w:left w:val="none" w:sz="0" w:space="0" w:color="auto"/>
        <w:bottom w:val="none" w:sz="0" w:space="0" w:color="auto"/>
        <w:right w:val="none" w:sz="0" w:space="0" w:color="auto"/>
      </w:divBdr>
    </w:div>
    <w:div w:id="747188683">
      <w:bodyDiv w:val="1"/>
      <w:marLeft w:val="0"/>
      <w:marRight w:val="0"/>
      <w:marTop w:val="0"/>
      <w:marBottom w:val="0"/>
      <w:divBdr>
        <w:top w:val="none" w:sz="0" w:space="0" w:color="auto"/>
        <w:left w:val="none" w:sz="0" w:space="0" w:color="auto"/>
        <w:bottom w:val="none" w:sz="0" w:space="0" w:color="auto"/>
        <w:right w:val="none" w:sz="0" w:space="0" w:color="auto"/>
      </w:divBdr>
    </w:div>
    <w:div w:id="800612101">
      <w:bodyDiv w:val="1"/>
      <w:marLeft w:val="0"/>
      <w:marRight w:val="0"/>
      <w:marTop w:val="0"/>
      <w:marBottom w:val="0"/>
      <w:divBdr>
        <w:top w:val="none" w:sz="0" w:space="0" w:color="auto"/>
        <w:left w:val="none" w:sz="0" w:space="0" w:color="auto"/>
        <w:bottom w:val="none" w:sz="0" w:space="0" w:color="auto"/>
        <w:right w:val="none" w:sz="0" w:space="0" w:color="auto"/>
      </w:divBdr>
    </w:div>
    <w:div w:id="833255428">
      <w:bodyDiv w:val="1"/>
      <w:marLeft w:val="0"/>
      <w:marRight w:val="0"/>
      <w:marTop w:val="0"/>
      <w:marBottom w:val="0"/>
      <w:divBdr>
        <w:top w:val="none" w:sz="0" w:space="0" w:color="auto"/>
        <w:left w:val="none" w:sz="0" w:space="0" w:color="auto"/>
        <w:bottom w:val="none" w:sz="0" w:space="0" w:color="auto"/>
        <w:right w:val="none" w:sz="0" w:space="0" w:color="auto"/>
      </w:divBdr>
    </w:div>
    <w:div w:id="844589990">
      <w:bodyDiv w:val="1"/>
      <w:marLeft w:val="0"/>
      <w:marRight w:val="0"/>
      <w:marTop w:val="0"/>
      <w:marBottom w:val="0"/>
      <w:divBdr>
        <w:top w:val="none" w:sz="0" w:space="0" w:color="auto"/>
        <w:left w:val="none" w:sz="0" w:space="0" w:color="auto"/>
        <w:bottom w:val="none" w:sz="0" w:space="0" w:color="auto"/>
        <w:right w:val="none" w:sz="0" w:space="0" w:color="auto"/>
      </w:divBdr>
    </w:div>
    <w:div w:id="917831859">
      <w:bodyDiv w:val="1"/>
      <w:marLeft w:val="0"/>
      <w:marRight w:val="0"/>
      <w:marTop w:val="0"/>
      <w:marBottom w:val="0"/>
      <w:divBdr>
        <w:top w:val="none" w:sz="0" w:space="0" w:color="auto"/>
        <w:left w:val="none" w:sz="0" w:space="0" w:color="auto"/>
        <w:bottom w:val="none" w:sz="0" w:space="0" w:color="auto"/>
        <w:right w:val="none" w:sz="0" w:space="0" w:color="auto"/>
      </w:divBdr>
    </w:div>
    <w:div w:id="946737450">
      <w:bodyDiv w:val="1"/>
      <w:marLeft w:val="0"/>
      <w:marRight w:val="0"/>
      <w:marTop w:val="0"/>
      <w:marBottom w:val="0"/>
      <w:divBdr>
        <w:top w:val="none" w:sz="0" w:space="0" w:color="auto"/>
        <w:left w:val="none" w:sz="0" w:space="0" w:color="auto"/>
        <w:bottom w:val="none" w:sz="0" w:space="0" w:color="auto"/>
        <w:right w:val="none" w:sz="0" w:space="0" w:color="auto"/>
      </w:divBdr>
    </w:div>
    <w:div w:id="998340076">
      <w:bodyDiv w:val="1"/>
      <w:marLeft w:val="0"/>
      <w:marRight w:val="0"/>
      <w:marTop w:val="0"/>
      <w:marBottom w:val="0"/>
      <w:divBdr>
        <w:top w:val="none" w:sz="0" w:space="0" w:color="auto"/>
        <w:left w:val="none" w:sz="0" w:space="0" w:color="auto"/>
        <w:bottom w:val="none" w:sz="0" w:space="0" w:color="auto"/>
        <w:right w:val="none" w:sz="0" w:space="0" w:color="auto"/>
      </w:divBdr>
    </w:div>
    <w:div w:id="1021398901">
      <w:bodyDiv w:val="1"/>
      <w:marLeft w:val="0"/>
      <w:marRight w:val="0"/>
      <w:marTop w:val="0"/>
      <w:marBottom w:val="0"/>
      <w:divBdr>
        <w:top w:val="none" w:sz="0" w:space="0" w:color="auto"/>
        <w:left w:val="none" w:sz="0" w:space="0" w:color="auto"/>
        <w:bottom w:val="none" w:sz="0" w:space="0" w:color="auto"/>
        <w:right w:val="none" w:sz="0" w:space="0" w:color="auto"/>
      </w:divBdr>
    </w:div>
    <w:div w:id="1037270107">
      <w:bodyDiv w:val="1"/>
      <w:marLeft w:val="0"/>
      <w:marRight w:val="0"/>
      <w:marTop w:val="0"/>
      <w:marBottom w:val="0"/>
      <w:divBdr>
        <w:top w:val="none" w:sz="0" w:space="0" w:color="auto"/>
        <w:left w:val="none" w:sz="0" w:space="0" w:color="auto"/>
        <w:bottom w:val="none" w:sz="0" w:space="0" w:color="auto"/>
        <w:right w:val="none" w:sz="0" w:space="0" w:color="auto"/>
      </w:divBdr>
    </w:div>
    <w:div w:id="1069111118">
      <w:bodyDiv w:val="1"/>
      <w:marLeft w:val="0"/>
      <w:marRight w:val="0"/>
      <w:marTop w:val="0"/>
      <w:marBottom w:val="0"/>
      <w:divBdr>
        <w:top w:val="none" w:sz="0" w:space="0" w:color="auto"/>
        <w:left w:val="none" w:sz="0" w:space="0" w:color="auto"/>
        <w:bottom w:val="none" w:sz="0" w:space="0" w:color="auto"/>
        <w:right w:val="none" w:sz="0" w:space="0" w:color="auto"/>
      </w:divBdr>
    </w:div>
    <w:div w:id="1086879555">
      <w:bodyDiv w:val="1"/>
      <w:marLeft w:val="0"/>
      <w:marRight w:val="0"/>
      <w:marTop w:val="0"/>
      <w:marBottom w:val="0"/>
      <w:divBdr>
        <w:top w:val="none" w:sz="0" w:space="0" w:color="auto"/>
        <w:left w:val="none" w:sz="0" w:space="0" w:color="auto"/>
        <w:bottom w:val="none" w:sz="0" w:space="0" w:color="auto"/>
        <w:right w:val="none" w:sz="0" w:space="0" w:color="auto"/>
      </w:divBdr>
    </w:div>
    <w:div w:id="1134062325">
      <w:bodyDiv w:val="1"/>
      <w:marLeft w:val="0"/>
      <w:marRight w:val="0"/>
      <w:marTop w:val="0"/>
      <w:marBottom w:val="0"/>
      <w:divBdr>
        <w:top w:val="none" w:sz="0" w:space="0" w:color="auto"/>
        <w:left w:val="none" w:sz="0" w:space="0" w:color="auto"/>
        <w:bottom w:val="none" w:sz="0" w:space="0" w:color="auto"/>
        <w:right w:val="none" w:sz="0" w:space="0" w:color="auto"/>
      </w:divBdr>
    </w:div>
    <w:div w:id="1143233549">
      <w:bodyDiv w:val="1"/>
      <w:marLeft w:val="0"/>
      <w:marRight w:val="0"/>
      <w:marTop w:val="0"/>
      <w:marBottom w:val="0"/>
      <w:divBdr>
        <w:top w:val="none" w:sz="0" w:space="0" w:color="auto"/>
        <w:left w:val="none" w:sz="0" w:space="0" w:color="auto"/>
        <w:bottom w:val="none" w:sz="0" w:space="0" w:color="auto"/>
        <w:right w:val="none" w:sz="0" w:space="0" w:color="auto"/>
      </w:divBdr>
    </w:div>
    <w:div w:id="1179849990">
      <w:bodyDiv w:val="1"/>
      <w:marLeft w:val="0"/>
      <w:marRight w:val="0"/>
      <w:marTop w:val="0"/>
      <w:marBottom w:val="0"/>
      <w:divBdr>
        <w:top w:val="none" w:sz="0" w:space="0" w:color="auto"/>
        <w:left w:val="none" w:sz="0" w:space="0" w:color="auto"/>
        <w:bottom w:val="none" w:sz="0" w:space="0" w:color="auto"/>
        <w:right w:val="none" w:sz="0" w:space="0" w:color="auto"/>
      </w:divBdr>
    </w:div>
    <w:div w:id="1213616067">
      <w:bodyDiv w:val="1"/>
      <w:marLeft w:val="0"/>
      <w:marRight w:val="0"/>
      <w:marTop w:val="0"/>
      <w:marBottom w:val="0"/>
      <w:divBdr>
        <w:top w:val="none" w:sz="0" w:space="0" w:color="auto"/>
        <w:left w:val="none" w:sz="0" w:space="0" w:color="auto"/>
        <w:bottom w:val="none" w:sz="0" w:space="0" w:color="auto"/>
        <w:right w:val="none" w:sz="0" w:space="0" w:color="auto"/>
      </w:divBdr>
    </w:div>
    <w:div w:id="1232539804">
      <w:bodyDiv w:val="1"/>
      <w:marLeft w:val="0"/>
      <w:marRight w:val="0"/>
      <w:marTop w:val="0"/>
      <w:marBottom w:val="0"/>
      <w:divBdr>
        <w:top w:val="none" w:sz="0" w:space="0" w:color="auto"/>
        <w:left w:val="none" w:sz="0" w:space="0" w:color="auto"/>
        <w:bottom w:val="none" w:sz="0" w:space="0" w:color="auto"/>
        <w:right w:val="none" w:sz="0" w:space="0" w:color="auto"/>
      </w:divBdr>
    </w:div>
    <w:div w:id="1259219895">
      <w:bodyDiv w:val="1"/>
      <w:marLeft w:val="0"/>
      <w:marRight w:val="0"/>
      <w:marTop w:val="0"/>
      <w:marBottom w:val="0"/>
      <w:divBdr>
        <w:top w:val="none" w:sz="0" w:space="0" w:color="auto"/>
        <w:left w:val="none" w:sz="0" w:space="0" w:color="auto"/>
        <w:bottom w:val="none" w:sz="0" w:space="0" w:color="auto"/>
        <w:right w:val="none" w:sz="0" w:space="0" w:color="auto"/>
      </w:divBdr>
    </w:div>
    <w:div w:id="1279683634">
      <w:bodyDiv w:val="1"/>
      <w:marLeft w:val="0"/>
      <w:marRight w:val="0"/>
      <w:marTop w:val="0"/>
      <w:marBottom w:val="0"/>
      <w:divBdr>
        <w:top w:val="none" w:sz="0" w:space="0" w:color="auto"/>
        <w:left w:val="none" w:sz="0" w:space="0" w:color="auto"/>
        <w:bottom w:val="none" w:sz="0" w:space="0" w:color="auto"/>
        <w:right w:val="none" w:sz="0" w:space="0" w:color="auto"/>
      </w:divBdr>
    </w:div>
    <w:div w:id="1357853807">
      <w:bodyDiv w:val="1"/>
      <w:marLeft w:val="0"/>
      <w:marRight w:val="0"/>
      <w:marTop w:val="0"/>
      <w:marBottom w:val="0"/>
      <w:divBdr>
        <w:top w:val="none" w:sz="0" w:space="0" w:color="auto"/>
        <w:left w:val="none" w:sz="0" w:space="0" w:color="auto"/>
        <w:bottom w:val="none" w:sz="0" w:space="0" w:color="auto"/>
        <w:right w:val="none" w:sz="0" w:space="0" w:color="auto"/>
      </w:divBdr>
    </w:div>
    <w:div w:id="1364743427">
      <w:bodyDiv w:val="1"/>
      <w:marLeft w:val="0"/>
      <w:marRight w:val="0"/>
      <w:marTop w:val="0"/>
      <w:marBottom w:val="0"/>
      <w:divBdr>
        <w:top w:val="none" w:sz="0" w:space="0" w:color="auto"/>
        <w:left w:val="none" w:sz="0" w:space="0" w:color="auto"/>
        <w:bottom w:val="none" w:sz="0" w:space="0" w:color="auto"/>
        <w:right w:val="none" w:sz="0" w:space="0" w:color="auto"/>
      </w:divBdr>
      <w:divsChild>
        <w:div w:id="928348316">
          <w:marLeft w:val="547"/>
          <w:marRight w:val="0"/>
          <w:marTop w:val="77"/>
          <w:marBottom w:val="0"/>
          <w:divBdr>
            <w:top w:val="none" w:sz="0" w:space="0" w:color="auto"/>
            <w:left w:val="none" w:sz="0" w:space="0" w:color="auto"/>
            <w:bottom w:val="none" w:sz="0" w:space="0" w:color="auto"/>
            <w:right w:val="none" w:sz="0" w:space="0" w:color="auto"/>
          </w:divBdr>
        </w:div>
        <w:div w:id="1734936119">
          <w:marLeft w:val="547"/>
          <w:marRight w:val="0"/>
          <w:marTop w:val="77"/>
          <w:marBottom w:val="0"/>
          <w:divBdr>
            <w:top w:val="none" w:sz="0" w:space="0" w:color="auto"/>
            <w:left w:val="none" w:sz="0" w:space="0" w:color="auto"/>
            <w:bottom w:val="none" w:sz="0" w:space="0" w:color="auto"/>
            <w:right w:val="none" w:sz="0" w:space="0" w:color="auto"/>
          </w:divBdr>
        </w:div>
        <w:div w:id="228342473">
          <w:marLeft w:val="547"/>
          <w:marRight w:val="0"/>
          <w:marTop w:val="77"/>
          <w:marBottom w:val="0"/>
          <w:divBdr>
            <w:top w:val="none" w:sz="0" w:space="0" w:color="auto"/>
            <w:left w:val="none" w:sz="0" w:space="0" w:color="auto"/>
            <w:bottom w:val="none" w:sz="0" w:space="0" w:color="auto"/>
            <w:right w:val="none" w:sz="0" w:space="0" w:color="auto"/>
          </w:divBdr>
        </w:div>
      </w:divsChild>
    </w:div>
    <w:div w:id="1376153106">
      <w:bodyDiv w:val="1"/>
      <w:marLeft w:val="0"/>
      <w:marRight w:val="0"/>
      <w:marTop w:val="0"/>
      <w:marBottom w:val="0"/>
      <w:divBdr>
        <w:top w:val="none" w:sz="0" w:space="0" w:color="auto"/>
        <w:left w:val="none" w:sz="0" w:space="0" w:color="auto"/>
        <w:bottom w:val="none" w:sz="0" w:space="0" w:color="auto"/>
        <w:right w:val="none" w:sz="0" w:space="0" w:color="auto"/>
      </w:divBdr>
      <w:divsChild>
        <w:div w:id="1049495996">
          <w:marLeft w:val="720"/>
          <w:marRight w:val="0"/>
          <w:marTop w:val="86"/>
          <w:marBottom w:val="0"/>
          <w:divBdr>
            <w:top w:val="none" w:sz="0" w:space="0" w:color="auto"/>
            <w:left w:val="none" w:sz="0" w:space="0" w:color="auto"/>
            <w:bottom w:val="none" w:sz="0" w:space="0" w:color="auto"/>
            <w:right w:val="none" w:sz="0" w:space="0" w:color="auto"/>
          </w:divBdr>
        </w:div>
        <w:div w:id="1552613572">
          <w:marLeft w:val="547"/>
          <w:marRight w:val="0"/>
          <w:marTop w:val="86"/>
          <w:marBottom w:val="0"/>
          <w:divBdr>
            <w:top w:val="none" w:sz="0" w:space="0" w:color="auto"/>
            <w:left w:val="none" w:sz="0" w:space="0" w:color="auto"/>
            <w:bottom w:val="none" w:sz="0" w:space="0" w:color="auto"/>
            <w:right w:val="none" w:sz="0" w:space="0" w:color="auto"/>
          </w:divBdr>
        </w:div>
        <w:div w:id="2073775882">
          <w:marLeft w:val="720"/>
          <w:marRight w:val="0"/>
          <w:marTop w:val="86"/>
          <w:marBottom w:val="0"/>
          <w:divBdr>
            <w:top w:val="none" w:sz="0" w:space="0" w:color="auto"/>
            <w:left w:val="none" w:sz="0" w:space="0" w:color="auto"/>
            <w:bottom w:val="none" w:sz="0" w:space="0" w:color="auto"/>
            <w:right w:val="none" w:sz="0" w:space="0" w:color="auto"/>
          </w:divBdr>
        </w:div>
        <w:div w:id="418990113">
          <w:marLeft w:val="547"/>
          <w:marRight w:val="0"/>
          <w:marTop w:val="86"/>
          <w:marBottom w:val="0"/>
          <w:divBdr>
            <w:top w:val="none" w:sz="0" w:space="0" w:color="auto"/>
            <w:left w:val="none" w:sz="0" w:space="0" w:color="auto"/>
            <w:bottom w:val="none" w:sz="0" w:space="0" w:color="auto"/>
            <w:right w:val="none" w:sz="0" w:space="0" w:color="auto"/>
          </w:divBdr>
        </w:div>
        <w:div w:id="1715884327">
          <w:marLeft w:val="720"/>
          <w:marRight w:val="0"/>
          <w:marTop w:val="86"/>
          <w:marBottom w:val="0"/>
          <w:divBdr>
            <w:top w:val="none" w:sz="0" w:space="0" w:color="auto"/>
            <w:left w:val="none" w:sz="0" w:space="0" w:color="auto"/>
            <w:bottom w:val="none" w:sz="0" w:space="0" w:color="auto"/>
            <w:right w:val="none" w:sz="0" w:space="0" w:color="auto"/>
          </w:divBdr>
        </w:div>
        <w:div w:id="1795054833">
          <w:marLeft w:val="547"/>
          <w:marRight w:val="0"/>
          <w:marTop w:val="86"/>
          <w:marBottom w:val="0"/>
          <w:divBdr>
            <w:top w:val="none" w:sz="0" w:space="0" w:color="auto"/>
            <w:left w:val="none" w:sz="0" w:space="0" w:color="auto"/>
            <w:bottom w:val="none" w:sz="0" w:space="0" w:color="auto"/>
            <w:right w:val="none" w:sz="0" w:space="0" w:color="auto"/>
          </w:divBdr>
        </w:div>
        <w:div w:id="1212227992">
          <w:marLeft w:val="720"/>
          <w:marRight w:val="0"/>
          <w:marTop w:val="86"/>
          <w:marBottom w:val="0"/>
          <w:divBdr>
            <w:top w:val="none" w:sz="0" w:space="0" w:color="auto"/>
            <w:left w:val="none" w:sz="0" w:space="0" w:color="auto"/>
            <w:bottom w:val="none" w:sz="0" w:space="0" w:color="auto"/>
            <w:right w:val="none" w:sz="0" w:space="0" w:color="auto"/>
          </w:divBdr>
        </w:div>
        <w:div w:id="1900628676">
          <w:marLeft w:val="547"/>
          <w:marRight w:val="0"/>
          <w:marTop w:val="86"/>
          <w:marBottom w:val="0"/>
          <w:divBdr>
            <w:top w:val="none" w:sz="0" w:space="0" w:color="auto"/>
            <w:left w:val="none" w:sz="0" w:space="0" w:color="auto"/>
            <w:bottom w:val="none" w:sz="0" w:space="0" w:color="auto"/>
            <w:right w:val="none" w:sz="0" w:space="0" w:color="auto"/>
          </w:divBdr>
        </w:div>
      </w:divsChild>
    </w:div>
    <w:div w:id="1498112997">
      <w:bodyDiv w:val="1"/>
      <w:marLeft w:val="0"/>
      <w:marRight w:val="0"/>
      <w:marTop w:val="0"/>
      <w:marBottom w:val="0"/>
      <w:divBdr>
        <w:top w:val="none" w:sz="0" w:space="0" w:color="auto"/>
        <w:left w:val="none" w:sz="0" w:space="0" w:color="auto"/>
        <w:bottom w:val="none" w:sz="0" w:space="0" w:color="auto"/>
        <w:right w:val="none" w:sz="0" w:space="0" w:color="auto"/>
      </w:divBdr>
    </w:div>
    <w:div w:id="1543902962">
      <w:bodyDiv w:val="1"/>
      <w:marLeft w:val="0"/>
      <w:marRight w:val="0"/>
      <w:marTop w:val="0"/>
      <w:marBottom w:val="0"/>
      <w:divBdr>
        <w:top w:val="none" w:sz="0" w:space="0" w:color="auto"/>
        <w:left w:val="none" w:sz="0" w:space="0" w:color="auto"/>
        <w:bottom w:val="none" w:sz="0" w:space="0" w:color="auto"/>
        <w:right w:val="none" w:sz="0" w:space="0" w:color="auto"/>
      </w:divBdr>
      <w:divsChild>
        <w:div w:id="1499732858">
          <w:marLeft w:val="446"/>
          <w:marRight w:val="547"/>
          <w:marTop w:val="100"/>
          <w:marBottom w:val="0"/>
          <w:divBdr>
            <w:top w:val="none" w:sz="0" w:space="0" w:color="auto"/>
            <w:left w:val="none" w:sz="0" w:space="0" w:color="auto"/>
            <w:bottom w:val="none" w:sz="0" w:space="0" w:color="auto"/>
            <w:right w:val="none" w:sz="0" w:space="0" w:color="auto"/>
          </w:divBdr>
        </w:div>
        <w:div w:id="265624516">
          <w:marLeft w:val="446"/>
          <w:marRight w:val="547"/>
          <w:marTop w:val="100"/>
          <w:marBottom w:val="0"/>
          <w:divBdr>
            <w:top w:val="none" w:sz="0" w:space="0" w:color="auto"/>
            <w:left w:val="none" w:sz="0" w:space="0" w:color="auto"/>
            <w:bottom w:val="none" w:sz="0" w:space="0" w:color="auto"/>
            <w:right w:val="none" w:sz="0" w:space="0" w:color="auto"/>
          </w:divBdr>
        </w:div>
        <w:div w:id="236283114">
          <w:marLeft w:val="446"/>
          <w:marRight w:val="547"/>
          <w:marTop w:val="100"/>
          <w:marBottom w:val="0"/>
          <w:divBdr>
            <w:top w:val="none" w:sz="0" w:space="0" w:color="auto"/>
            <w:left w:val="none" w:sz="0" w:space="0" w:color="auto"/>
            <w:bottom w:val="none" w:sz="0" w:space="0" w:color="auto"/>
            <w:right w:val="none" w:sz="0" w:space="0" w:color="auto"/>
          </w:divBdr>
        </w:div>
        <w:div w:id="1231847412">
          <w:marLeft w:val="446"/>
          <w:marRight w:val="547"/>
          <w:marTop w:val="100"/>
          <w:marBottom w:val="0"/>
          <w:divBdr>
            <w:top w:val="none" w:sz="0" w:space="0" w:color="auto"/>
            <w:left w:val="none" w:sz="0" w:space="0" w:color="auto"/>
            <w:bottom w:val="none" w:sz="0" w:space="0" w:color="auto"/>
            <w:right w:val="none" w:sz="0" w:space="0" w:color="auto"/>
          </w:divBdr>
        </w:div>
        <w:div w:id="2042975994">
          <w:marLeft w:val="446"/>
          <w:marRight w:val="0"/>
          <w:marTop w:val="100"/>
          <w:marBottom w:val="0"/>
          <w:divBdr>
            <w:top w:val="none" w:sz="0" w:space="0" w:color="auto"/>
            <w:left w:val="none" w:sz="0" w:space="0" w:color="auto"/>
            <w:bottom w:val="none" w:sz="0" w:space="0" w:color="auto"/>
            <w:right w:val="none" w:sz="0" w:space="0" w:color="auto"/>
          </w:divBdr>
        </w:div>
      </w:divsChild>
    </w:div>
    <w:div w:id="1600986458">
      <w:bodyDiv w:val="1"/>
      <w:marLeft w:val="0"/>
      <w:marRight w:val="0"/>
      <w:marTop w:val="0"/>
      <w:marBottom w:val="0"/>
      <w:divBdr>
        <w:top w:val="none" w:sz="0" w:space="0" w:color="auto"/>
        <w:left w:val="none" w:sz="0" w:space="0" w:color="auto"/>
        <w:bottom w:val="none" w:sz="0" w:space="0" w:color="auto"/>
        <w:right w:val="none" w:sz="0" w:space="0" w:color="auto"/>
      </w:divBdr>
      <w:divsChild>
        <w:div w:id="1766420347">
          <w:marLeft w:val="0"/>
          <w:marRight w:val="0"/>
          <w:marTop w:val="0"/>
          <w:marBottom w:val="0"/>
          <w:divBdr>
            <w:top w:val="none" w:sz="0" w:space="0" w:color="auto"/>
            <w:left w:val="none" w:sz="0" w:space="0" w:color="auto"/>
            <w:bottom w:val="none" w:sz="0" w:space="0" w:color="auto"/>
            <w:right w:val="none" w:sz="0" w:space="0" w:color="auto"/>
          </w:divBdr>
          <w:divsChild>
            <w:div w:id="1283535224">
              <w:marLeft w:val="0"/>
              <w:marRight w:val="0"/>
              <w:marTop w:val="0"/>
              <w:marBottom w:val="0"/>
              <w:divBdr>
                <w:top w:val="none" w:sz="0" w:space="0" w:color="auto"/>
                <w:left w:val="none" w:sz="0" w:space="0" w:color="auto"/>
                <w:bottom w:val="none" w:sz="0" w:space="0" w:color="auto"/>
                <w:right w:val="none" w:sz="0" w:space="0" w:color="auto"/>
              </w:divBdr>
              <w:divsChild>
                <w:div w:id="153763439">
                  <w:marLeft w:val="-225"/>
                  <w:marRight w:val="-225"/>
                  <w:marTop w:val="0"/>
                  <w:marBottom w:val="0"/>
                  <w:divBdr>
                    <w:top w:val="none" w:sz="0" w:space="0" w:color="auto"/>
                    <w:left w:val="none" w:sz="0" w:space="0" w:color="auto"/>
                    <w:bottom w:val="none" w:sz="0" w:space="0" w:color="auto"/>
                    <w:right w:val="none" w:sz="0" w:space="0" w:color="auto"/>
                  </w:divBdr>
                  <w:divsChild>
                    <w:div w:id="644161288">
                      <w:marLeft w:val="0"/>
                      <w:marRight w:val="0"/>
                      <w:marTop w:val="0"/>
                      <w:marBottom w:val="0"/>
                      <w:divBdr>
                        <w:top w:val="none" w:sz="0" w:space="0" w:color="auto"/>
                        <w:left w:val="none" w:sz="0" w:space="0" w:color="auto"/>
                        <w:bottom w:val="none" w:sz="0" w:space="0" w:color="auto"/>
                        <w:right w:val="none" w:sz="0" w:space="0" w:color="auto"/>
                      </w:divBdr>
                      <w:divsChild>
                        <w:div w:id="469178391">
                          <w:marLeft w:val="0"/>
                          <w:marRight w:val="0"/>
                          <w:marTop w:val="0"/>
                          <w:marBottom w:val="0"/>
                          <w:divBdr>
                            <w:top w:val="none" w:sz="0" w:space="0" w:color="auto"/>
                            <w:left w:val="none" w:sz="0" w:space="0" w:color="auto"/>
                            <w:bottom w:val="none" w:sz="0" w:space="0" w:color="auto"/>
                            <w:right w:val="none" w:sz="0" w:space="0" w:color="auto"/>
                          </w:divBdr>
                          <w:divsChild>
                            <w:div w:id="1395468265">
                              <w:marLeft w:val="0"/>
                              <w:marRight w:val="0"/>
                              <w:marTop w:val="0"/>
                              <w:marBottom w:val="0"/>
                              <w:divBdr>
                                <w:top w:val="none" w:sz="0" w:space="0" w:color="auto"/>
                                <w:left w:val="none" w:sz="0" w:space="0" w:color="auto"/>
                                <w:bottom w:val="none" w:sz="0" w:space="0" w:color="auto"/>
                                <w:right w:val="none" w:sz="0" w:space="0" w:color="auto"/>
                              </w:divBdr>
                              <w:divsChild>
                                <w:div w:id="51761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066972">
      <w:bodyDiv w:val="1"/>
      <w:marLeft w:val="0"/>
      <w:marRight w:val="0"/>
      <w:marTop w:val="0"/>
      <w:marBottom w:val="0"/>
      <w:divBdr>
        <w:top w:val="none" w:sz="0" w:space="0" w:color="auto"/>
        <w:left w:val="none" w:sz="0" w:space="0" w:color="auto"/>
        <w:bottom w:val="none" w:sz="0" w:space="0" w:color="auto"/>
        <w:right w:val="none" w:sz="0" w:space="0" w:color="auto"/>
      </w:divBdr>
    </w:div>
    <w:div w:id="1663121061">
      <w:bodyDiv w:val="1"/>
      <w:marLeft w:val="0"/>
      <w:marRight w:val="0"/>
      <w:marTop w:val="0"/>
      <w:marBottom w:val="0"/>
      <w:divBdr>
        <w:top w:val="none" w:sz="0" w:space="0" w:color="auto"/>
        <w:left w:val="none" w:sz="0" w:space="0" w:color="auto"/>
        <w:bottom w:val="none" w:sz="0" w:space="0" w:color="auto"/>
        <w:right w:val="none" w:sz="0" w:space="0" w:color="auto"/>
      </w:divBdr>
    </w:div>
    <w:div w:id="1684741268">
      <w:bodyDiv w:val="1"/>
      <w:marLeft w:val="0"/>
      <w:marRight w:val="0"/>
      <w:marTop w:val="0"/>
      <w:marBottom w:val="0"/>
      <w:divBdr>
        <w:top w:val="none" w:sz="0" w:space="0" w:color="auto"/>
        <w:left w:val="none" w:sz="0" w:space="0" w:color="auto"/>
        <w:bottom w:val="none" w:sz="0" w:space="0" w:color="auto"/>
        <w:right w:val="none" w:sz="0" w:space="0" w:color="auto"/>
      </w:divBdr>
    </w:div>
    <w:div w:id="1703020966">
      <w:bodyDiv w:val="1"/>
      <w:marLeft w:val="0"/>
      <w:marRight w:val="0"/>
      <w:marTop w:val="0"/>
      <w:marBottom w:val="0"/>
      <w:divBdr>
        <w:top w:val="none" w:sz="0" w:space="0" w:color="auto"/>
        <w:left w:val="none" w:sz="0" w:space="0" w:color="auto"/>
        <w:bottom w:val="none" w:sz="0" w:space="0" w:color="auto"/>
        <w:right w:val="none" w:sz="0" w:space="0" w:color="auto"/>
      </w:divBdr>
    </w:div>
    <w:div w:id="1830097325">
      <w:bodyDiv w:val="1"/>
      <w:marLeft w:val="0"/>
      <w:marRight w:val="0"/>
      <w:marTop w:val="0"/>
      <w:marBottom w:val="0"/>
      <w:divBdr>
        <w:top w:val="none" w:sz="0" w:space="0" w:color="auto"/>
        <w:left w:val="none" w:sz="0" w:space="0" w:color="auto"/>
        <w:bottom w:val="none" w:sz="0" w:space="0" w:color="auto"/>
        <w:right w:val="none" w:sz="0" w:space="0" w:color="auto"/>
      </w:divBdr>
    </w:div>
    <w:div w:id="1860778418">
      <w:bodyDiv w:val="1"/>
      <w:marLeft w:val="0"/>
      <w:marRight w:val="0"/>
      <w:marTop w:val="0"/>
      <w:marBottom w:val="0"/>
      <w:divBdr>
        <w:top w:val="none" w:sz="0" w:space="0" w:color="auto"/>
        <w:left w:val="none" w:sz="0" w:space="0" w:color="auto"/>
        <w:bottom w:val="none" w:sz="0" w:space="0" w:color="auto"/>
        <w:right w:val="none" w:sz="0" w:space="0" w:color="auto"/>
      </w:divBdr>
    </w:div>
    <w:div w:id="1896354468">
      <w:bodyDiv w:val="1"/>
      <w:marLeft w:val="0"/>
      <w:marRight w:val="0"/>
      <w:marTop w:val="0"/>
      <w:marBottom w:val="0"/>
      <w:divBdr>
        <w:top w:val="none" w:sz="0" w:space="0" w:color="auto"/>
        <w:left w:val="none" w:sz="0" w:space="0" w:color="auto"/>
        <w:bottom w:val="none" w:sz="0" w:space="0" w:color="auto"/>
        <w:right w:val="none" w:sz="0" w:space="0" w:color="auto"/>
      </w:divBdr>
    </w:div>
    <w:div w:id="2013024237">
      <w:bodyDiv w:val="1"/>
      <w:marLeft w:val="0"/>
      <w:marRight w:val="0"/>
      <w:marTop w:val="0"/>
      <w:marBottom w:val="0"/>
      <w:divBdr>
        <w:top w:val="none" w:sz="0" w:space="0" w:color="auto"/>
        <w:left w:val="none" w:sz="0" w:space="0" w:color="auto"/>
        <w:bottom w:val="none" w:sz="0" w:space="0" w:color="auto"/>
        <w:right w:val="none" w:sz="0" w:space="0" w:color="auto"/>
      </w:divBdr>
    </w:div>
    <w:div w:id="2091806664">
      <w:bodyDiv w:val="1"/>
      <w:marLeft w:val="0"/>
      <w:marRight w:val="0"/>
      <w:marTop w:val="0"/>
      <w:marBottom w:val="0"/>
      <w:divBdr>
        <w:top w:val="none" w:sz="0" w:space="0" w:color="auto"/>
        <w:left w:val="none" w:sz="0" w:space="0" w:color="auto"/>
        <w:bottom w:val="none" w:sz="0" w:space="0" w:color="auto"/>
        <w:right w:val="none" w:sz="0" w:space="0" w:color="auto"/>
      </w:divBdr>
    </w:div>
    <w:div w:id="2137945615">
      <w:bodyDiv w:val="1"/>
      <w:marLeft w:val="0"/>
      <w:marRight w:val="0"/>
      <w:marTop w:val="0"/>
      <w:marBottom w:val="0"/>
      <w:divBdr>
        <w:top w:val="none" w:sz="0" w:space="0" w:color="auto"/>
        <w:left w:val="none" w:sz="0" w:space="0" w:color="auto"/>
        <w:bottom w:val="none" w:sz="0" w:space="0" w:color="auto"/>
        <w:right w:val="none" w:sz="0" w:space="0" w:color="auto"/>
      </w:divBdr>
    </w:div>
    <w:div w:id="214172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2F938-5DC0-4B38-9E62-6B471311E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4206</Words>
  <Characters>23978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Zibele Ngxishe</dc:creator>
  <cp:lastModifiedBy>User</cp:lastModifiedBy>
  <cp:revision>2</cp:revision>
  <dcterms:created xsi:type="dcterms:W3CDTF">2023-05-24T18:00:00Z</dcterms:created>
  <dcterms:modified xsi:type="dcterms:W3CDTF">2023-05-24T18:00:00Z</dcterms:modified>
</cp:coreProperties>
</file>