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15" w:rsidRPr="00896EEE" w:rsidRDefault="00896EEE" w:rsidP="00896EEE">
      <w:pPr>
        <w:spacing w:after="0" w:line="240" w:lineRule="auto"/>
        <w:rPr>
          <w:rFonts w:ascii="Arial" w:hAnsi="Arial" w:cs="Arial"/>
          <w:b/>
          <w:sz w:val="20"/>
          <w:szCs w:val="20"/>
        </w:rPr>
      </w:pPr>
      <w:r>
        <w:rPr>
          <w:rFonts w:ascii="Arial" w:hAnsi="Arial" w:cs="Arial"/>
          <w:b/>
          <w:sz w:val="20"/>
          <w:szCs w:val="20"/>
        </w:rPr>
        <w:t>Policy Assessment and Recommendation Report of the Select Committee on Trade a</w:t>
      </w:r>
      <w:r w:rsidRPr="00896EEE">
        <w:rPr>
          <w:rFonts w:ascii="Arial" w:hAnsi="Arial" w:cs="Arial"/>
          <w:b/>
          <w:sz w:val="20"/>
          <w:szCs w:val="20"/>
        </w:rPr>
        <w:t>nd Industry, Economic Development, Small Business Develo</w:t>
      </w:r>
      <w:r>
        <w:rPr>
          <w:rFonts w:ascii="Arial" w:hAnsi="Arial" w:cs="Arial"/>
          <w:b/>
          <w:sz w:val="20"/>
          <w:szCs w:val="20"/>
        </w:rPr>
        <w:t>pment, Tourism, Employment and Labour o</w:t>
      </w:r>
      <w:r w:rsidRPr="00896EEE">
        <w:rPr>
          <w:rFonts w:ascii="Arial" w:hAnsi="Arial" w:cs="Arial"/>
          <w:b/>
          <w:sz w:val="20"/>
          <w:szCs w:val="20"/>
        </w:rPr>
        <w:t>n Budget Vote 39, Strategic Plan, 202</w:t>
      </w:r>
      <w:r>
        <w:rPr>
          <w:rFonts w:ascii="Arial" w:hAnsi="Arial" w:cs="Arial"/>
          <w:b/>
          <w:sz w:val="20"/>
          <w:szCs w:val="20"/>
        </w:rPr>
        <w:t>3/2024 Annual Performance Plan of t</w:t>
      </w:r>
      <w:r w:rsidRPr="00896EEE">
        <w:rPr>
          <w:rFonts w:ascii="Arial" w:hAnsi="Arial" w:cs="Arial"/>
          <w:b/>
          <w:sz w:val="20"/>
          <w:szCs w:val="20"/>
        </w:rPr>
        <w:t>he</w:t>
      </w:r>
      <w:r>
        <w:rPr>
          <w:rFonts w:ascii="Arial" w:hAnsi="Arial" w:cs="Arial"/>
          <w:b/>
          <w:sz w:val="20"/>
          <w:szCs w:val="20"/>
        </w:rPr>
        <w:t xml:space="preserve"> Department of Trade, Industry a</w:t>
      </w:r>
      <w:r w:rsidRPr="00896EEE">
        <w:rPr>
          <w:rFonts w:ascii="Arial" w:hAnsi="Arial" w:cs="Arial"/>
          <w:b/>
          <w:sz w:val="20"/>
          <w:szCs w:val="20"/>
        </w:rPr>
        <w:t>nd Competition, 23 May 2023.</w:t>
      </w:r>
    </w:p>
    <w:p w:rsidR="00991915" w:rsidRPr="00896EEE" w:rsidRDefault="00991915" w:rsidP="00896EEE">
      <w:pPr>
        <w:spacing w:after="0" w:line="240" w:lineRule="auto"/>
        <w:rPr>
          <w:rFonts w:ascii="Arial" w:hAnsi="Arial" w:cs="Arial"/>
          <w:b/>
          <w:sz w:val="20"/>
          <w:szCs w:val="20"/>
        </w:rPr>
      </w:pPr>
    </w:p>
    <w:p w:rsidR="00991915" w:rsidRPr="00896EEE" w:rsidRDefault="00991915" w:rsidP="00896EEE">
      <w:pPr>
        <w:pStyle w:val="ListParagraph"/>
        <w:numPr>
          <w:ilvl w:val="0"/>
          <w:numId w:val="30"/>
        </w:numPr>
        <w:spacing w:after="0" w:line="240" w:lineRule="auto"/>
        <w:rPr>
          <w:rFonts w:ascii="Arial" w:hAnsi="Arial" w:cs="Arial"/>
          <w:b/>
          <w:sz w:val="20"/>
          <w:szCs w:val="20"/>
        </w:rPr>
      </w:pPr>
      <w:r w:rsidRPr="00896EEE">
        <w:rPr>
          <w:rFonts w:ascii="Arial" w:hAnsi="Arial" w:cs="Arial"/>
          <w:b/>
          <w:sz w:val="20"/>
          <w:szCs w:val="20"/>
        </w:rPr>
        <w:t>B</w:t>
      </w:r>
      <w:r w:rsidR="008F6F29" w:rsidRPr="00896EEE">
        <w:rPr>
          <w:rFonts w:ascii="Arial" w:hAnsi="Arial" w:cs="Arial"/>
          <w:b/>
          <w:sz w:val="20"/>
          <w:szCs w:val="20"/>
        </w:rPr>
        <w:t xml:space="preserve">ackground </w:t>
      </w:r>
    </w:p>
    <w:p w:rsidR="00991915" w:rsidRPr="00896EEE" w:rsidRDefault="00991915" w:rsidP="00896EEE">
      <w:pPr>
        <w:spacing w:after="0" w:line="240" w:lineRule="auto"/>
        <w:rPr>
          <w:rFonts w:ascii="Arial" w:hAnsi="Arial" w:cs="Arial"/>
          <w:sz w:val="20"/>
          <w:szCs w:val="20"/>
        </w:rPr>
      </w:pPr>
    </w:p>
    <w:p w:rsidR="00991915" w:rsidRPr="00896EEE" w:rsidRDefault="00991915" w:rsidP="00896EEE">
      <w:pPr>
        <w:spacing w:after="0" w:line="240" w:lineRule="auto"/>
        <w:rPr>
          <w:rFonts w:ascii="Arial" w:hAnsi="Arial" w:cs="Arial"/>
          <w:sz w:val="20"/>
          <w:szCs w:val="20"/>
        </w:rPr>
      </w:pPr>
      <w:r w:rsidRPr="00896EEE">
        <w:rPr>
          <w:rFonts w:ascii="Arial" w:hAnsi="Arial" w:cs="Arial"/>
          <w:sz w:val="20"/>
          <w:szCs w:val="20"/>
        </w:rPr>
        <w:t xml:space="preserve">The Select Committee on </w:t>
      </w:r>
      <w:r w:rsidRPr="00896EEE">
        <w:rPr>
          <w:rFonts w:ascii="Arial" w:hAnsi="Arial" w:cs="Arial"/>
          <w:i/>
          <w:sz w:val="20"/>
          <w:szCs w:val="20"/>
        </w:rPr>
        <w:t xml:space="preserve">Trade and Industry, Economic Development, Small Business Development, Tourism and Employment and Labour </w:t>
      </w:r>
      <w:r w:rsidRPr="00896EEE">
        <w:rPr>
          <w:rFonts w:ascii="Arial" w:hAnsi="Arial" w:cs="Arial"/>
          <w:sz w:val="20"/>
          <w:szCs w:val="20"/>
        </w:rPr>
        <w:t>(the Select Committee)</w:t>
      </w:r>
      <w:r w:rsidR="00AC184E" w:rsidRPr="00896EEE">
        <w:rPr>
          <w:rFonts w:ascii="Arial" w:hAnsi="Arial" w:cs="Arial"/>
          <w:sz w:val="20"/>
          <w:szCs w:val="20"/>
        </w:rPr>
        <w:t>,</w:t>
      </w:r>
      <w:r w:rsidRPr="00896EEE">
        <w:rPr>
          <w:rFonts w:ascii="Arial" w:hAnsi="Arial" w:cs="Arial"/>
          <w:sz w:val="20"/>
          <w:szCs w:val="20"/>
        </w:rPr>
        <w:t xml:space="preserve"> having considered the request of the </w:t>
      </w:r>
      <w:r w:rsidRPr="00896EEE">
        <w:rPr>
          <w:rFonts w:ascii="Arial" w:hAnsi="Arial" w:cs="Arial"/>
          <w:i/>
          <w:sz w:val="20"/>
          <w:szCs w:val="20"/>
        </w:rPr>
        <w:t>National Council of Provinces</w:t>
      </w:r>
      <w:r w:rsidRPr="00896EEE">
        <w:rPr>
          <w:rFonts w:ascii="Arial" w:hAnsi="Arial" w:cs="Arial"/>
          <w:sz w:val="20"/>
          <w:szCs w:val="20"/>
        </w:rPr>
        <w:t xml:space="preserve"> to analyse and report on </w:t>
      </w:r>
      <w:r w:rsidRPr="00896EEE">
        <w:rPr>
          <w:rFonts w:ascii="Arial" w:hAnsi="Arial" w:cs="Arial"/>
          <w:i/>
          <w:sz w:val="20"/>
          <w:szCs w:val="20"/>
        </w:rPr>
        <w:t>the Strategic Plans, Annual Performance Plans and budget allocations of the Department of Trade, Industry and Competition</w:t>
      </w:r>
      <w:r w:rsidRPr="00896EEE">
        <w:rPr>
          <w:rFonts w:ascii="Arial" w:hAnsi="Arial" w:cs="Arial"/>
          <w:sz w:val="20"/>
          <w:szCs w:val="20"/>
        </w:rPr>
        <w:t xml:space="preserve"> (the Department), tabled by the </w:t>
      </w:r>
      <w:r w:rsidRPr="00896EEE">
        <w:rPr>
          <w:rFonts w:ascii="Arial" w:hAnsi="Arial" w:cs="Arial"/>
          <w:i/>
          <w:sz w:val="20"/>
          <w:szCs w:val="20"/>
        </w:rPr>
        <w:t>Minister of Trade, Industry and Competition</w:t>
      </w:r>
      <w:r w:rsidRPr="00896EEE">
        <w:rPr>
          <w:rFonts w:ascii="Arial" w:hAnsi="Arial" w:cs="Arial"/>
          <w:sz w:val="20"/>
          <w:szCs w:val="20"/>
        </w:rPr>
        <w:t xml:space="preserve"> (the Minister), and in terms of the </w:t>
      </w:r>
      <w:r w:rsidRPr="00896EEE">
        <w:rPr>
          <w:rFonts w:ascii="Arial" w:hAnsi="Arial" w:cs="Arial"/>
          <w:i/>
          <w:sz w:val="20"/>
          <w:szCs w:val="20"/>
        </w:rPr>
        <w:t>Public Finance Management Act of 1999</w:t>
      </w:r>
      <w:r w:rsidRPr="00896EEE">
        <w:rPr>
          <w:rFonts w:ascii="Arial" w:hAnsi="Arial" w:cs="Arial"/>
          <w:sz w:val="20"/>
          <w:szCs w:val="20"/>
        </w:rPr>
        <w:t xml:space="preserve"> (PFMA), as well as the </w:t>
      </w:r>
      <w:r w:rsidRPr="00896EEE">
        <w:rPr>
          <w:rFonts w:ascii="Arial" w:hAnsi="Arial" w:cs="Arial"/>
          <w:i/>
          <w:sz w:val="20"/>
          <w:szCs w:val="20"/>
        </w:rPr>
        <w:t>Money Bills Amendment Procedure and Related Matters Act, 2009</w:t>
      </w:r>
      <w:r w:rsidRPr="00896EEE">
        <w:rPr>
          <w:rFonts w:ascii="Arial" w:hAnsi="Arial" w:cs="Arial"/>
          <w:sz w:val="20"/>
          <w:szCs w:val="20"/>
        </w:rPr>
        <w:t xml:space="preserve">, </w:t>
      </w:r>
      <w:r w:rsidR="004D516A" w:rsidRPr="00896EEE">
        <w:rPr>
          <w:rFonts w:ascii="Arial" w:hAnsi="Arial" w:cs="Arial"/>
          <w:sz w:val="20"/>
          <w:szCs w:val="20"/>
        </w:rPr>
        <w:t>reports on its Policy Assessment and Recommendation Report</w:t>
      </w:r>
      <w:r w:rsidRPr="00896EEE">
        <w:rPr>
          <w:rFonts w:ascii="Arial" w:hAnsi="Arial" w:cs="Arial"/>
          <w:sz w:val="20"/>
          <w:szCs w:val="20"/>
        </w:rPr>
        <w:t xml:space="preserve"> as follows:</w:t>
      </w:r>
    </w:p>
    <w:p w:rsidR="00991915" w:rsidRPr="00896EEE" w:rsidRDefault="00991915" w:rsidP="00896EEE">
      <w:pPr>
        <w:spacing w:after="0" w:line="240" w:lineRule="auto"/>
        <w:rPr>
          <w:rFonts w:ascii="Arial" w:hAnsi="Arial" w:cs="Arial"/>
          <w:b/>
          <w:sz w:val="20"/>
          <w:szCs w:val="20"/>
        </w:rPr>
      </w:pPr>
    </w:p>
    <w:p w:rsidR="008F6F29" w:rsidRPr="00896EEE" w:rsidRDefault="008F6F29" w:rsidP="00896EEE">
      <w:pPr>
        <w:pStyle w:val="ListParagraph"/>
        <w:numPr>
          <w:ilvl w:val="0"/>
          <w:numId w:val="30"/>
        </w:numPr>
        <w:spacing w:after="0" w:line="240" w:lineRule="auto"/>
        <w:rPr>
          <w:rFonts w:ascii="Arial" w:hAnsi="Arial" w:cs="Arial"/>
          <w:b/>
          <w:sz w:val="20"/>
          <w:szCs w:val="20"/>
        </w:rPr>
      </w:pPr>
      <w:r w:rsidRPr="00896EEE">
        <w:rPr>
          <w:rFonts w:ascii="Arial" w:hAnsi="Arial" w:cs="Arial"/>
          <w:b/>
          <w:sz w:val="20"/>
          <w:szCs w:val="20"/>
        </w:rPr>
        <w:t>Committee Process</w:t>
      </w:r>
    </w:p>
    <w:p w:rsidR="00991915" w:rsidRPr="00896EEE" w:rsidRDefault="00991915" w:rsidP="00896EEE">
      <w:pPr>
        <w:spacing w:after="0" w:line="240" w:lineRule="auto"/>
        <w:rPr>
          <w:rFonts w:ascii="Arial" w:hAnsi="Arial" w:cs="Arial"/>
          <w:b/>
          <w:sz w:val="20"/>
          <w:szCs w:val="20"/>
        </w:rPr>
      </w:pPr>
    </w:p>
    <w:p w:rsidR="008F6F29" w:rsidRPr="00896EEE" w:rsidRDefault="00991915" w:rsidP="00896EEE">
      <w:pPr>
        <w:spacing w:after="0" w:line="240" w:lineRule="auto"/>
        <w:rPr>
          <w:rFonts w:ascii="Arial" w:hAnsi="Arial" w:cs="Arial"/>
          <w:sz w:val="20"/>
          <w:szCs w:val="20"/>
        </w:rPr>
      </w:pPr>
      <w:r w:rsidRPr="00896EEE">
        <w:rPr>
          <w:rFonts w:ascii="Arial" w:hAnsi="Arial" w:cs="Arial"/>
          <w:sz w:val="20"/>
          <w:szCs w:val="20"/>
        </w:rPr>
        <w:t xml:space="preserve">The Select Committee considered the Strategic Plans for the </w:t>
      </w:r>
      <w:r w:rsidR="00060343" w:rsidRPr="00896EEE">
        <w:rPr>
          <w:rFonts w:ascii="Arial" w:hAnsi="Arial" w:cs="Arial"/>
          <w:sz w:val="20"/>
          <w:szCs w:val="20"/>
        </w:rPr>
        <w:t>202</w:t>
      </w:r>
      <w:r w:rsidR="00CE5244" w:rsidRPr="00896EEE">
        <w:rPr>
          <w:rFonts w:ascii="Arial" w:hAnsi="Arial" w:cs="Arial"/>
          <w:sz w:val="20"/>
          <w:szCs w:val="20"/>
        </w:rPr>
        <w:t>3</w:t>
      </w:r>
      <w:r w:rsidR="00060343" w:rsidRPr="00896EEE">
        <w:rPr>
          <w:rFonts w:ascii="Arial" w:hAnsi="Arial" w:cs="Arial"/>
          <w:sz w:val="20"/>
          <w:szCs w:val="20"/>
        </w:rPr>
        <w:t xml:space="preserve"> medium term </w:t>
      </w:r>
      <w:r w:rsidRPr="00896EEE">
        <w:rPr>
          <w:rFonts w:ascii="Arial" w:hAnsi="Arial" w:cs="Arial"/>
          <w:sz w:val="20"/>
          <w:szCs w:val="20"/>
        </w:rPr>
        <w:t xml:space="preserve">period and the </w:t>
      </w:r>
      <w:r w:rsidRPr="00896EEE">
        <w:rPr>
          <w:rFonts w:ascii="Arial" w:hAnsi="Arial" w:cs="Arial"/>
          <w:i/>
          <w:sz w:val="20"/>
          <w:szCs w:val="20"/>
        </w:rPr>
        <w:t xml:space="preserve">Annual Performance Plan of the Department of Trade, Industry and </w:t>
      </w:r>
      <w:r w:rsidR="004E7DCE" w:rsidRPr="00896EEE">
        <w:rPr>
          <w:rFonts w:ascii="Arial" w:hAnsi="Arial" w:cs="Arial"/>
          <w:i/>
          <w:sz w:val="20"/>
          <w:szCs w:val="20"/>
        </w:rPr>
        <w:t>Competition</w:t>
      </w:r>
      <w:r w:rsidR="004E7DCE" w:rsidRPr="00896EEE">
        <w:rPr>
          <w:rFonts w:ascii="Arial" w:hAnsi="Arial" w:cs="Arial"/>
          <w:sz w:val="20"/>
          <w:szCs w:val="20"/>
        </w:rPr>
        <w:t xml:space="preserve"> (</w:t>
      </w:r>
      <w:r w:rsidR="00060343" w:rsidRPr="00896EEE">
        <w:rPr>
          <w:rFonts w:ascii="Arial" w:hAnsi="Arial" w:cs="Arial"/>
          <w:sz w:val="20"/>
          <w:szCs w:val="20"/>
        </w:rPr>
        <w:t xml:space="preserve">the Department) </w:t>
      </w:r>
      <w:r w:rsidR="004E7DCE" w:rsidRPr="00896EEE">
        <w:rPr>
          <w:rFonts w:ascii="Arial" w:hAnsi="Arial" w:cs="Arial"/>
          <w:sz w:val="20"/>
          <w:szCs w:val="20"/>
        </w:rPr>
        <w:t xml:space="preserve">on </w:t>
      </w:r>
      <w:r w:rsidR="00CE5244" w:rsidRPr="00896EEE">
        <w:rPr>
          <w:rFonts w:ascii="Arial" w:hAnsi="Arial" w:cs="Arial"/>
          <w:sz w:val="20"/>
          <w:szCs w:val="20"/>
        </w:rPr>
        <w:t>9 May 2023</w:t>
      </w:r>
      <w:r w:rsidRPr="00896EEE">
        <w:rPr>
          <w:rFonts w:ascii="Arial" w:hAnsi="Arial" w:cs="Arial"/>
          <w:sz w:val="20"/>
          <w:szCs w:val="20"/>
        </w:rPr>
        <w:t xml:space="preserve">. The </w:t>
      </w:r>
      <w:r w:rsidR="008F6F29" w:rsidRPr="00896EEE">
        <w:rPr>
          <w:rFonts w:ascii="Arial" w:hAnsi="Arial" w:cs="Arial"/>
          <w:sz w:val="20"/>
          <w:szCs w:val="20"/>
        </w:rPr>
        <w:t xml:space="preserve">Committee </w:t>
      </w:r>
      <w:r w:rsidRPr="00896EEE">
        <w:rPr>
          <w:rFonts w:ascii="Arial" w:hAnsi="Arial" w:cs="Arial"/>
          <w:sz w:val="20"/>
          <w:szCs w:val="20"/>
        </w:rPr>
        <w:t xml:space="preserve">has further considered the adequacy of financial resources </w:t>
      </w:r>
      <w:r w:rsidR="008F6F29" w:rsidRPr="00896EEE">
        <w:rPr>
          <w:rFonts w:ascii="Arial" w:hAnsi="Arial" w:cs="Arial"/>
          <w:sz w:val="20"/>
          <w:szCs w:val="20"/>
        </w:rPr>
        <w:t xml:space="preserve">deployed </w:t>
      </w:r>
      <w:r w:rsidRPr="00896EEE">
        <w:rPr>
          <w:rFonts w:ascii="Arial" w:hAnsi="Arial" w:cs="Arial"/>
          <w:sz w:val="20"/>
          <w:szCs w:val="20"/>
        </w:rPr>
        <w:t>for the implementation of the</w:t>
      </w:r>
      <w:r w:rsidR="008F6F29" w:rsidRPr="00896EEE">
        <w:rPr>
          <w:rFonts w:ascii="Arial" w:hAnsi="Arial" w:cs="Arial"/>
          <w:sz w:val="20"/>
          <w:szCs w:val="20"/>
        </w:rPr>
        <w:t xml:space="preserve"> </w:t>
      </w:r>
      <w:r w:rsidRPr="00896EEE">
        <w:rPr>
          <w:rFonts w:ascii="Arial" w:hAnsi="Arial" w:cs="Arial"/>
          <w:sz w:val="20"/>
          <w:szCs w:val="20"/>
        </w:rPr>
        <w:t>plans</w:t>
      </w:r>
      <w:r w:rsidR="008F6F29" w:rsidRPr="00896EEE">
        <w:rPr>
          <w:rFonts w:ascii="Arial" w:hAnsi="Arial" w:cs="Arial"/>
          <w:sz w:val="20"/>
          <w:szCs w:val="20"/>
        </w:rPr>
        <w:t xml:space="preserve">. </w:t>
      </w:r>
    </w:p>
    <w:p w:rsidR="008F6F29" w:rsidRPr="00896EEE" w:rsidRDefault="008F6F29" w:rsidP="00896EEE">
      <w:pPr>
        <w:spacing w:after="0" w:line="240" w:lineRule="auto"/>
        <w:rPr>
          <w:rFonts w:ascii="Arial" w:hAnsi="Arial" w:cs="Arial"/>
          <w:sz w:val="20"/>
          <w:szCs w:val="20"/>
        </w:rPr>
      </w:pPr>
    </w:p>
    <w:p w:rsidR="008F6F29" w:rsidRPr="00896EEE" w:rsidRDefault="008F6F29" w:rsidP="00896EEE">
      <w:pPr>
        <w:pStyle w:val="ListParagraph"/>
        <w:numPr>
          <w:ilvl w:val="0"/>
          <w:numId w:val="30"/>
        </w:numPr>
        <w:spacing w:after="0" w:line="240" w:lineRule="auto"/>
        <w:rPr>
          <w:rFonts w:ascii="Arial" w:hAnsi="Arial" w:cs="Arial"/>
          <w:b/>
          <w:sz w:val="20"/>
          <w:szCs w:val="20"/>
        </w:rPr>
      </w:pPr>
      <w:r w:rsidRPr="00896EEE">
        <w:rPr>
          <w:rFonts w:ascii="Arial" w:hAnsi="Arial" w:cs="Arial"/>
          <w:b/>
          <w:sz w:val="20"/>
          <w:szCs w:val="20"/>
        </w:rPr>
        <w:t xml:space="preserve">Introduction </w:t>
      </w:r>
    </w:p>
    <w:p w:rsidR="008F6F29" w:rsidRPr="00896EEE" w:rsidRDefault="008F6F29" w:rsidP="00896EEE">
      <w:pPr>
        <w:spacing w:after="0" w:line="240" w:lineRule="auto"/>
        <w:rPr>
          <w:rFonts w:ascii="Arial" w:hAnsi="Arial" w:cs="Arial"/>
          <w:b/>
          <w:sz w:val="20"/>
          <w:szCs w:val="20"/>
        </w:rPr>
      </w:pPr>
    </w:p>
    <w:p w:rsidR="00904A0B" w:rsidRPr="00896EEE" w:rsidRDefault="00904A0B" w:rsidP="00896EEE">
      <w:pPr>
        <w:spacing w:after="0" w:line="240" w:lineRule="auto"/>
        <w:rPr>
          <w:rFonts w:ascii="Arial" w:hAnsi="Arial" w:cs="Arial"/>
          <w:sz w:val="20"/>
          <w:szCs w:val="20"/>
        </w:rPr>
      </w:pPr>
      <w:r w:rsidRPr="00896EEE">
        <w:rPr>
          <w:rFonts w:ascii="Arial" w:hAnsi="Arial" w:cs="Arial"/>
          <w:sz w:val="20"/>
          <w:szCs w:val="20"/>
        </w:rPr>
        <w:t xml:space="preserve">Recent past government economic policy strategy documents have underscored that global uncertainties and an uneven domestic recovery will weigh on the economic outlook over the medium term. Economic growth, low investment, job creation remains key risks in the South African economy. 2023 SONA, including the </w:t>
      </w:r>
      <w:r w:rsidRPr="00896EEE">
        <w:rPr>
          <w:rFonts w:ascii="Arial" w:hAnsi="Arial" w:cs="Arial"/>
          <w:i/>
          <w:sz w:val="20"/>
          <w:szCs w:val="20"/>
        </w:rPr>
        <w:t>2023 Budget Review</w:t>
      </w:r>
      <w:r w:rsidRPr="00896EEE">
        <w:rPr>
          <w:rFonts w:ascii="Arial" w:hAnsi="Arial" w:cs="Arial"/>
          <w:sz w:val="20"/>
          <w:szCs w:val="20"/>
        </w:rPr>
        <w:t xml:space="preserve"> highlighted that the main focus of government is to revive economic growth and create jobs. So far the economy is not performing as expected. Previous government policy strategy documents have highlighted that persistent structural constraints remain a challenge for South Africa economic growth prospects. </w:t>
      </w:r>
      <w:r w:rsidR="003373DA" w:rsidRPr="00896EEE">
        <w:rPr>
          <w:rFonts w:ascii="Arial" w:hAnsi="Arial" w:cs="Arial"/>
          <w:sz w:val="20"/>
          <w:szCs w:val="20"/>
        </w:rPr>
        <w:t xml:space="preserve">Over the medium term, </w:t>
      </w:r>
      <w:r w:rsidRPr="00896EEE">
        <w:rPr>
          <w:rFonts w:ascii="Arial" w:hAnsi="Arial" w:cs="Arial"/>
          <w:i/>
          <w:sz w:val="20"/>
          <w:szCs w:val="20"/>
        </w:rPr>
        <w:t>2023 Budget Review</w:t>
      </w:r>
      <w:r w:rsidRPr="00896EEE">
        <w:rPr>
          <w:rFonts w:ascii="Arial" w:hAnsi="Arial" w:cs="Arial"/>
          <w:sz w:val="20"/>
          <w:szCs w:val="20"/>
        </w:rPr>
        <w:t xml:space="preserve">, including </w:t>
      </w:r>
      <w:r w:rsidR="003373DA" w:rsidRPr="00896EEE">
        <w:rPr>
          <w:rFonts w:ascii="Arial" w:hAnsi="Arial" w:cs="Arial"/>
          <w:sz w:val="20"/>
          <w:szCs w:val="20"/>
        </w:rPr>
        <w:t xml:space="preserve">reports by the </w:t>
      </w:r>
      <w:r w:rsidRPr="00896EEE">
        <w:rPr>
          <w:rFonts w:ascii="Arial" w:hAnsi="Arial" w:cs="Arial"/>
          <w:i/>
          <w:sz w:val="20"/>
          <w:szCs w:val="20"/>
        </w:rPr>
        <w:t>World Bank</w:t>
      </w:r>
      <w:r w:rsidR="003373DA" w:rsidRPr="00896EEE">
        <w:rPr>
          <w:rFonts w:ascii="Arial" w:hAnsi="Arial" w:cs="Arial"/>
          <w:sz w:val="20"/>
          <w:szCs w:val="20"/>
        </w:rPr>
        <w:t xml:space="preserve"> and </w:t>
      </w:r>
      <w:r w:rsidRPr="00896EEE">
        <w:rPr>
          <w:rFonts w:ascii="Arial" w:hAnsi="Arial" w:cs="Arial"/>
          <w:sz w:val="20"/>
          <w:szCs w:val="20"/>
        </w:rPr>
        <w:t xml:space="preserve">the </w:t>
      </w:r>
      <w:r w:rsidRPr="00896EEE">
        <w:rPr>
          <w:rFonts w:ascii="Arial" w:hAnsi="Arial" w:cs="Arial"/>
          <w:i/>
          <w:sz w:val="20"/>
          <w:szCs w:val="20"/>
        </w:rPr>
        <w:t>South African Reserve Banks</w:t>
      </w:r>
      <w:r w:rsidRPr="00896EEE">
        <w:rPr>
          <w:rFonts w:ascii="Arial" w:hAnsi="Arial" w:cs="Arial"/>
          <w:sz w:val="20"/>
          <w:szCs w:val="20"/>
        </w:rPr>
        <w:t xml:space="preserve"> underscored a need for South Africa to accelerate major economic reforms in order to create necessary jobs and encourage investment over the medium term.</w:t>
      </w:r>
    </w:p>
    <w:p w:rsidR="00904A0B" w:rsidRPr="00896EEE" w:rsidRDefault="00904A0B" w:rsidP="00896EEE">
      <w:pPr>
        <w:spacing w:after="0" w:line="240" w:lineRule="auto"/>
        <w:rPr>
          <w:rFonts w:ascii="Arial" w:hAnsi="Arial" w:cs="Arial"/>
          <w:sz w:val="20"/>
          <w:szCs w:val="20"/>
        </w:rPr>
      </w:pPr>
    </w:p>
    <w:p w:rsidR="00904A0B" w:rsidRPr="00896EEE" w:rsidRDefault="00904A0B" w:rsidP="00896EEE">
      <w:pPr>
        <w:spacing w:after="0" w:line="240" w:lineRule="auto"/>
        <w:rPr>
          <w:rFonts w:ascii="Arial" w:hAnsi="Arial" w:cs="Arial"/>
          <w:sz w:val="20"/>
          <w:szCs w:val="20"/>
        </w:rPr>
      </w:pPr>
      <w:r w:rsidRPr="00896EEE">
        <w:rPr>
          <w:rFonts w:ascii="Arial" w:hAnsi="Arial" w:cs="Arial"/>
          <w:sz w:val="20"/>
          <w:szCs w:val="20"/>
        </w:rPr>
        <w:t xml:space="preserve">South Africa is one of the biggest economies in Africa. </w:t>
      </w:r>
      <w:r w:rsidR="003373DA" w:rsidRPr="00896EEE">
        <w:rPr>
          <w:rFonts w:ascii="Arial" w:hAnsi="Arial" w:cs="Arial"/>
          <w:sz w:val="20"/>
          <w:szCs w:val="20"/>
        </w:rPr>
        <w:t>T</w:t>
      </w:r>
      <w:r w:rsidRPr="00896EEE">
        <w:rPr>
          <w:rFonts w:ascii="Arial" w:hAnsi="Arial" w:cs="Arial"/>
          <w:sz w:val="20"/>
          <w:szCs w:val="20"/>
        </w:rPr>
        <w:t xml:space="preserve">he </w:t>
      </w:r>
      <w:r w:rsidR="003373DA" w:rsidRPr="00896EEE">
        <w:rPr>
          <w:rFonts w:ascii="Arial" w:hAnsi="Arial" w:cs="Arial"/>
          <w:sz w:val="20"/>
          <w:szCs w:val="20"/>
        </w:rPr>
        <w:t xml:space="preserve">Committee highlighted that in terms of </w:t>
      </w:r>
      <w:r w:rsidRPr="00896EEE">
        <w:rPr>
          <w:rFonts w:ascii="Arial" w:hAnsi="Arial" w:cs="Arial"/>
          <w:sz w:val="20"/>
          <w:szCs w:val="20"/>
        </w:rPr>
        <w:t>distribution of resources, jobs and opportunities are concentrated in three main provinces, Gauteng (Johannesburg), Western Cape (Cape Town), and KwaZulu Natal (Durban). There is a need for government to close the gap in terms of economic growth, investment and employment.</w:t>
      </w:r>
      <w:r w:rsidR="003373DA" w:rsidRPr="00896EEE">
        <w:rPr>
          <w:rFonts w:ascii="Arial" w:hAnsi="Arial" w:cs="Arial"/>
          <w:sz w:val="20"/>
          <w:szCs w:val="20"/>
        </w:rPr>
        <w:t xml:space="preserve"> </w:t>
      </w:r>
      <w:r w:rsidR="009A74F5" w:rsidRPr="00896EEE">
        <w:rPr>
          <w:rFonts w:ascii="Arial" w:hAnsi="Arial" w:cs="Arial"/>
          <w:sz w:val="20"/>
          <w:szCs w:val="20"/>
        </w:rPr>
        <w:t>In addition</w:t>
      </w:r>
      <w:r w:rsidR="003373DA" w:rsidRPr="00896EEE">
        <w:rPr>
          <w:rFonts w:ascii="Arial" w:hAnsi="Arial" w:cs="Arial"/>
          <w:sz w:val="20"/>
          <w:szCs w:val="20"/>
        </w:rPr>
        <w:t xml:space="preserve">, rural economies need urgent interventions to increase rural economies and incomes. </w:t>
      </w:r>
      <w:r w:rsidRPr="00896EEE">
        <w:rPr>
          <w:rFonts w:ascii="Arial" w:hAnsi="Arial" w:cs="Arial"/>
          <w:sz w:val="20"/>
          <w:szCs w:val="20"/>
        </w:rPr>
        <w:t xml:space="preserve"> </w:t>
      </w:r>
    </w:p>
    <w:p w:rsidR="00904A0B" w:rsidRPr="00896EEE" w:rsidRDefault="00904A0B" w:rsidP="00896EEE">
      <w:pPr>
        <w:spacing w:after="0" w:line="240" w:lineRule="auto"/>
        <w:rPr>
          <w:rFonts w:ascii="Arial" w:hAnsi="Arial" w:cs="Arial"/>
          <w:sz w:val="20"/>
          <w:szCs w:val="20"/>
        </w:rPr>
      </w:pPr>
    </w:p>
    <w:p w:rsidR="00CE44F4" w:rsidRPr="00896EEE" w:rsidRDefault="003373DA" w:rsidP="00896EEE">
      <w:pPr>
        <w:spacing w:after="0" w:line="240" w:lineRule="auto"/>
        <w:rPr>
          <w:rFonts w:ascii="Arial" w:hAnsi="Arial" w:cs="Arial"/>
          <w:sz w:val="20"/>
          <w:szCs w:val="20"/>
        </w:rPr>
      </w:pPr>
      <w:r w:rsidRPr="00896EEE">
        <w:rPr>
          <w:rFonts w:ascii="Arial" w:hAnsi="Arial" w:cs="Arial"/>
          <w:sz w:val="20"/>
          <w:szCs w:val="20"/>
        </w:rPr>
        <w:t>Further, Covid-19 has exposed the vulnerability of the South African economy</w:t>
      </w:r>
      <w:r w:rsidR="009A74F5" w:rsidRPr="00896EEE">
        <w:rPr>
          <w:rFonts w:ascii="Arial" w:hAnsi="Arial" w:cs="Arial"/>
          <w:sz w:val="20"/>
          <w:szCs w:val="20"/>
        </w:rPr>
        <w:t>, even t</w:t>
      </w:r>
      <w:r w:rsidRPr="00896EEE">
        <w:rPr>
          <w:rFonts w:ascii="Arial" w:hAnsi="Arial" w:cs="Arial"/>
          <w:sz w:val="20"/>
          <w:szCs w:val="20"/>
        </w:rPr>
        <w:t xml:space="preserve">hough the government implemented </w:t>
      </w:r>
      <w:r w:rsidR="009A74F5" w:rsidRPr="00896EEE">
        <w:rPr>
          <w:rFonts w:ascii="Arial" w:hAnsi="Arial" w:cs="Arial"/>
          <w:sz w:val="20"/>
          <w:szCs w:val="20"/>
        </w:rPr>
        <w:t xml:space="preserve">a </w:t>
      </w:r>
      <w:r w:rsidRPr="00896EEE">
        <w:rPr>
          <w:rFonts w:ascii="Arial" w:hAnsi="Arial" w:cs="Arial"/>
          <w:sz w:val="20"/>
          <w:szCs w:val="20"/>
        </w:rPr>
        <w:t xml:space="preserve">stimulus economic package to support lives and livelihoods, cushion businesses and save jobs. Too many households remain vulnerable. Securing electricity supply remain a major risk to the overall commerce, economy </w:t>
      </w:r>
      <w:r w:rsidR="009A74F5" w:rsidRPr="00896EEE">
        <w:rPr>
          <w:rFonts w:ascii="Arial" w:hAnsi="Arial" w:cs="Arial"/>
          <w:sz w:val="20"/>
          <w:szCs w:val="20"/>
        </w:rPr>
        <w:t xml:space="preserve">as these have been </w:t>
      </w:r>
      <w:r w:rsidRPr="00896EEE">
        <w:rPr>
          <w:rFonts w:ascii="Arial" w:hAnsi="Arial" w:cs="Arial"/>
          <w:sz w:val="20"/>
          <w:szCs w:val="20"/>
        </w:rPr>
        <w:t>hard hit.</w:t>
      </w:r>
      <w:r w:rsidR="00CE44F4" w:rsidRPr="00896EEE">
        <w:rPr>
          <w:rFonts w:ascii="Arial" w:hAnsi="Arial" w:cs="Arial"/>
          <w:sz w:val="20"/>
          <w:szCs w:val="20"/>
        </w:rPr>
        <w:t xml:space="preserve"> </w:t>
      </w:r>
      <w:r w:rsidRPr="00896EEE">
        <w:rPr>
          <w:rFonts w:ascii="Arial" w:hAnsi="Arial" w:cs="Arial"/>
          <w:sz w:val="20"/>
          <w:szCs w:val="20"/>
        </w:rPr>
        <w:t xml:space="preserve">Further, clean and safe drinking water, efficient freight transport for goods to reach global markets, remains a concern. </w:t>
      </w:r>
    </w:p>
    <w:p w:rsidR="00CE44F4" w:rsidRPr="00896EEE" w:rsidRDefault="00CE44F4" w:rsidP="00896EEE">
      <w:pPr>
        <w:spacing w:after="0" w:line="240" w:lineRule="auto"/>
        <w:rPr>
          <w:rFonts w:ascii="Arial" w:hAnsi="Arial" w:cs="Arial"/>
          <w:sz w:val="20"/>
          <w:szCs w:val="20"/>
        </w:rPr>
      </w:pPr>
    </w:p>
    <w:p w:rsidR="00CE44F4" w:rsidRPr="00896EEE" w:rsidRDefault="009A74F5" w:rsidP="00896EEE">
      <w:pPr>
        <w:spacing w:after="0" w:line="240" w:lineRule="auto"/>
        <w:rPr>
          <w:rFonts w:ascii="Arial" w:hAnsi="Arial" w:cs="Arial"/>
          <w:sz w:val="20"/>
          <w:szCs w:val="20"/>
        </w:rPr>
      </w:pPr>
      <w:r w:rsidRPr="00896EEE">
        <w:rPr>
          <w:rFonts w:ascii="Arial" w:hAnsi="Arial" w:cs="Arial"/>
          <w:sz w:val="20"/>
          <w:szCs w:val="20"/>
        </w:rPr>
        <w:t>Further c</w:t>
      </w:r>
      <w:r w:rsidR="00CE44F4" w:rsidRPr="00896EEE">
        <w:rPr>
          <w:rFonts w:ascii="Arial" w:hAnsi="Arial" w:cs="Arial"/>
          <w:sz w:val="20"/>
          <w:szCs w:val="20"/>
        </w:rPr>
        <w:t xml:space="preserve">onstraining </w:t>
      </w:r>
      <w:r w:rsidRPr="00896EEE">
        <w:rPr>
          <w:rFonts w:ascii="Arial" w:hAnsi="Arial" w:cs="Arial"/>
          <w:sz w:val="20"/>
          <w:szCs w:val="20"/>
        </w:rPr>
        <w:t xml:space="preserve">the </w:t>
      </w:r>
      <w:r w:rsidR="00CE44F4" w:rsidRPr="00896EEE">
        <w:rPr>
          <w:rFonts w:ascii="Arial" w:hAnsi="Arial" w:cs="Arial"/>
          <w:sz w:val="20"/>
          <w:szCs w:val="20"/>
        </w:rPr>
        <w:t xml:space="preserve">South Africa economic growth trajectory, </w:t>
      </w:r>
      <w:r w:rsidRPr="00896EEE">
        <w:rPr>
          <w:rFonts w:ascii="Arial" w:hAnsi="Arial" w:cs="Arial"/>
          <w:sz w:val="20"/>
          <w:szCs w:val="20"/>
        </w:rPr>
        <w:t xml:space="preserve">is the </w:t>
      </w:r>
      <w:r w:rsidR="00CE44F4" w:rsidRPr="00896EEE">
        <w:rPr>
          <w:rFonts w:ascii="Arial" w:hAnsi="Arial" w:cs="Arial"/>
          <w:sz w:val="20"/>
          <w:szCs w:val="20"/>
        </w:rPr>
        <w:t xml:space="preserve">deterioration of the </w:t>
      </w:r>
      <w:r w:rsidR="00CE5244" w:rsidRPr="00896EEE">
        <w:rPr>
          <w:rFonts w:ascii="Arial" w:hAnsi="Arial" w:cs="Arial"/>
          <w:sz w:val="20"/>
          <w:szCs w:val="20"/>
        </w:rPr>
        <w:t>global econom</w:t>
      </w:r>
      <w:r w:rsidR="00CE44F4" w:rsidRPr="00896EEE">
        <w:rPr>
          <w:rFonts w:ascii="Arial" w:hAnsi="Arial" w:cs="Arial"/>
          <w:sz w:val="20"/>
          <w:szCs w:val="20"/>
        </w:rPr>
        <w:t xml:space="preserve">y with </w:t>
      </w:r>
      <w:r w:rsidRPr="00896EEE">
        <w:rPr>
          <w:rFonts w:ascii="Arial" w:hAnsi="Arial" w:cs="Arial"/>
          <w:sz w:val="20"/>
          <w:szCs w:val="20"/>
        </w:rPr>
        <w:t xml:space="preserve">its </w:t>
      </w:r>
      <w:r w:rsidR="00CE44F4" w:rsidRPr="00896EEE">
        <w:rPr>
          <w:rFonts w:ascii="Arial" w:hAnsi="Arial" w:cs="Arial"/>
          <w:sz w:val="20"/>
          <w:szCs w:val="20"/>
        </w:rPr>
        <w:t xml:space="preserve">high inflationary pressure resulting to </w:t>
      </w:r>
      <w:r w:rsidR="00CE5244" w:rsidRPr="00896EEE">
        <w:rPr>
          <w:rFonts w:ascii="Arial" w:hAnsi="Arial" w:cs="Arial"/>
          <w:sz w:val="20"/>
          <w:szCs w:val="20"/>
        </w:rPr>
        <w:t>monetary policy tightening aimed at containing high inflation across a range of advanced economies and emerging markets</w:t>
      </w:r>
      <w:r w:rsidR="00CE44F4" w:rsidRPr="00896EEE">
        <w:rPr>
          <w:rFonts w:ascii="Arial" w:hAnsi="Arial" w:cs="Arial"/>
          <w:sz w:val="20"/>
          <w:szCs w:val="20"/>
        </w:rPr>
        <w:t xml:space="preserve">. </w:t>
      </w:r>
      <w:r w:rsidRPr="00896EEE">
        <w:rPr>
          <w:rFonts w:ascii="Arial" w:hAnsi="Arial" w:cs="Arial"/>
          <w:sz w:val="20"/>
          <w:szCs w:val="20"/>
        </w:rPr>
        <w:t xml:space="preserve">In addition, there are </w:t>
      </w:r>
      <w:r w:rsidR="00CE44F4" w:rsidRPr="00896EEE">
        <w:rPr>
          <w:rFonts w:ascii="Arial" w:hAnsi="Arial" w:cs="Arial"/>
          <w:sz w:val="20"/>
          <w:szCs w:val="20"/>
        </w:rPr>
        <w:t xml:space="preserve">major uncertainties relating to </w:t>
      </w:r>
      <w:r w:rsidR="00CE5244" w:rsidRPr="00896EEE">
        <w:rPr>
          <w:rFonts w:ascii="Arial" w:hAnsi="Arial" w:cs="Arial"/>
          <w:sz w:val="20"/>
          <w:szCs w:val="20"/>
        </w:rPr>
        <w:t>energy and food market disruptions caused by the Russia-Ukraine conflict</w:t>
      </w:r>
      <w:r w:rsidR="00CE44F4" w:rsidRPr="00896EEE">
        <w:rPr>
          <w:rFonts w:ascii="Arial" w:hAnsi="Arial" w:cs="Arial"/>
          <w:sz w:val="20"/>
          <w:szCs w:val="20"/>
        </w:rPr>
        <w:t xml:space="preserve">, US-China trade wars, and intensity of </w:t>
      </w:r>
      <w:r w:rsidR="00CE5244" w:rsidRPr="00896EEE">
        <w:rPr>
          <w:rFonts w:ascii="Arial" w:hAnsi="Arial" w:cs="Arial"/>
          <w:sz w:val="20"/>
          <w:szCs w:val="20"/>
        </w:rPr>
        <w:t xml:space="preserve">geo-political </w:t>
      </w:r>
      <w:r w:rsidR="00CE44F4" w:rsidRPr="00896EEE">
        <w:rPr>
          <w:rFonts w:ascii="Arial" w:hAnsi="Arial" w:cs="Arial"/>
          <w:sz w:val="20"/>
          <w:szCs w:val="20"/>
        </w:rPr>
        <w:t xml:space="preserve">risks. </w:t>
      </w:r>
    </w:p>
    <w:p w:rsidR="00CE44F4" w:rsidRPr="00896EEE" w:rsidRDefault="00CE44F4" w:rsidP="00896EEE">
      <w:pPr>
        <w:spacing w:after="0" w:line="240" w:lineRule="auto"/>
        <w:rPr>
          <w:rFonts w:ascii="Arial" w:hAnsi="Arial" w:cs="Arial"/>
          <w:sz w:val="20"/>
          <w:szCs w:val="20"/>
        </w:rPr>
      </w:pPr>
    </w:p>
    <w:p w:rsidR="008B511D" w:rsidRPr="00896EEE" w:rsidRDefault="00CE44F4" w:rsidP="00896EEE">
      <w:pPr>
        <w:spacing w:after="0" w:line="240" w:lineRule="auto"/>
        <w:rPr>
          <w:rFonts w:ascii="Arial" w:hAnsi="Arial" w:cs="Arial"/>
          <w:sz w:val="20"/>
          <w:szCs w:val="20"/>
        </w:rPr>
      </w:pPr>
      <w:r w:rsidRPr="00896EEE">
        <w:rPr>
          <w:rFonts w:ascii="Arial" w:hAnsi="Arial" w:cs="Arial"/>
          <w:sz w:val="20"/>
          <w:szCs w:val="20"/>
        </w:rPr>
        <w:t xml:space="preserve">It was highlighted that </w:t>
      </w:r>
      <w:r w:rsidR="00CE5244" w:rsidRPr="00896EEE">
        <w:rPr>
          <w:rFonts w:ascii="Arial" w:hAnsi="Arial" w:cs="Arial"/>
          <w:sz w:val="20"/>
          <w:szCs w:val="20"/>
        </w:rPr>
        <w:t xml:space="preserve">South Africa’s structural economic constraints, including unreliable electricity, high levels of market concentration, inefficiencies in network industries and </w:t>
      </w:r>
      <w:r w:rsidR="009A74F5" w:rsidRPr="00896EEE">
        <w:rPr>
          <w:rFonts w:ascii="Arial" w:hAnsi="Arial" w:cs="Arial"/>
          <w:sz w:val="20"/>
          <w:szCs w:val="20"/>
        </w:rPr>
        <w:t>the high cost of doing business;</w:t>
      </w:r>
      <w:r w:rsidR="00CE5244" w:rsidRPr="00896EEE">
        <w:rPr>
          <w:rFonts w:ascii="Arial" w:hAnsi="Arial" w:cs="Arial"/>
          <w:sz w:val="20"/>
          <w:szCs w:val="20"/>
        </w:rPr>
        <w:t xml:space="preserve"> limit the rate at which the economy can grow and create jobs. </w:t>
      </w:r>
    </w:p>
    <w:p w:rsidR="008A7E2E" w:rsidRPr="00896EEE" w:rsidRDefault="008A7E2E" w:rsidP="00896EEE">
      <w:pPr>
        <w:spacing w:after="0" w:line="240" w:lineRule="auto"/>
        <w:rPr>
          <w:rFonts w:ascii="Arial" w:hAnsi="Arial" w:cs="Arial"/>
          <w:sz w:val="20"/>
          <w:szCs w:val="20"/>
        </w:rPr>
      </w:pPr>
    </w:p>
    <w:p w:rsidR="008A7E2E" w:rsidRPr="00896EEE" w:rsidRDefault="008A7E2E" w:rsidP="00896EEE">
      <w:pPr>
        <w:spacing w:after="0" w:line="240" w:lineRule="auto"/>
        <w:rPr>
          <w:rFonts w:ascii="Arial" w:hAnsi="Arial" w:cs="Arial"/>
          <w:sz w:val="20"/>
          <w:szCs w:val="20"/>
        </w:rPr>
      </w:pPr>
      <w:r w:rsidRPr="00896EEE">
        <w:rPr>
          <w:rFonts w:ascii="Arial" w:hAnsi="Arial" w:cs="Arial"/>
          <w:sz w:val="20"/>
          <w:szCs w:val="20"/>
        </w:rPr>
        <w:t xml:space="preserve">It was underscored that cutting red tape and supporting small businesses, remains a priority. However, execution remains a challenge. Investing in small business remains high on government </w:t>
      </w:r>
      <w:r w:rsidRPr="00896EEE">
        <w:rPr>
          <w:rFonts w:ascii="Arial" w:hAnsi="Arial" w:cs="Arial"/>
          <w:sz w:val="20"/>
          <w:szCs w:val="20"/>
        </w:rPr>
        <w:lastRenderedPageBreak/>
        <w:t>policy agenda</w:t>
      </w:r>
      <w:r w:rsidR="009A74F5" w:rsidRPr="00896EEE">
        <w:rPr>
          <w:rFonts w:ascii="Arial" w:hAnsi="Arial" w:cs="Arial"/>
          <w:sz w:val="20"/>
          <w:szCs w:val="20"/>
        </w:rPr>
        <w:t>, n</w:t>
      </w:r>
      <w:r w:rsidRPr="00896EEE">
        <w:rPr>
          <w:rFonts w:ascii="Arial" w:hAnsi="Arial" w:cs="Arial"/>
          <w:sz w:val="20"/>
          <w:szCs w:val="20"/>
        </w:rPr>
        <w:t>ot only</w:t>
      </w:r>
      <w:r w:rsidR="009A74F5" w:rsidRPr="00896EEE">
        <w:rPr>
          <w:rFonts w:ascii="Arial" w:hAnsi="Arial" w:cs="Arial"/>
          <w:sz w:val="20"/>
          <w:szCs w:val="20"/>
        </w:rPr>
        <w:t xml:space="preserve"> for</w:t>
      </w:r>
      <w:r w:rsidRPr="00896EEE">
        <w:rPr>
          <w:rFonts w:ascii="Arial" w:hAnsi="Arial" w:cs="Arial"/>
          <w:sz w:val="20"/>
          <w:szCs w:val="20"/>
        </w:rPr>
        <w:t xml:space="preserve"> businesses in urban economies, </w:t>
      </w:r>
      <w:r w:rsidR="009A74F5" w:rsidRPr="00896EEE">
        <w:rPr>
          <w:rFonts w:ascii="Arial" w:hAnsi="Arial" w:cs="Arial"/>
          <w:sz w:val="20"/>
          <w:szCs w:val="20"/>
        </w:rPr>
        <w:t xml:space="preserve">but also for </w:t>
      </w:r>
      <w:r w:rsidRPr="00896EEE">
        <w:rPr>
          <w:rFonts w:ascii="Arial" w:hAnsi="Arial" w:cs="Arial"/>
          <w:sz w:val="20"/>
          <w:szCs w:val="20"/>
        </w:rPr>
        <w:t>rural and township economies. The growth of the South African economy is largely depende</w:t>
      </w:r>
      <w:r w:rsidR="009A74F5" w:rsidRPr="00896EEE">
        <w:rPr>
          <w:rFonts w:ascii="Arial" w:hAnsi="Arial" w:cs="Arial"/>
          <w:sz w:val="20"/>
          <w:szCs w:val="20"/>
        </w:rPr>
        <w:t>nt o</w:t>
      </w:r>
      <w:r w:rsidRPr="00896EEE">
        <w:rPr>
          <w:rFonts w:ascii="Arial" w:hAnsi="Arial" w:cs="Arial"/>
          <w:sz w:val="20"/>
          <w:szCs w:val="20"/>
        </w:rPr>
        <w:t>n the growth and expansion of businesses, and attraction of both domestic and foreign investment.</w:t>
      </w:r>
      <w:r w:rsidR="00516369" w:rsidRPr="00896EEE">
        <w:rPr>
          <w:rFonts w:ascii="Arial" w:hAnsi="Arial" w:cs="Arial"/>
          <w:sz w:val="20"/>
          <w:szCs w:val="20"/>
        </w:rPr>
        <w:t xml:space="preserve"> The 2023 Budget Review highlighted that gross fixed-capital formation grew in the third quarter of 2022, led by the public sector. Total investment remains R59.9 billion below pre-pandemic levels – with private investment accounting for R50.7 billion of the shortfall.</w:t>
      </w:r>
      <w:r w:rsidRPr="00896EEE">
        <w:rPr>
          <w:rFonts w:ascii="Arial" w:hAnsi="Arial" w:cs="Arial"/>
          <w:sz w:val="20"/>
          <w:szCs w:val="20"/>
        </w:rPr>
        <w:t xml:space="preserve"> Further, investment in skills remains pivotal to getting the economy moving (point emphasised by the World Bank in various reports)</w:t>
      </w:r>
    </w:p>
    <w:p w:rsidR="008B511D" w:rsidRPr="00896EEE" w:rsidRDefault="008B511D" w:rsidP="00896EEE">
      <w:pPr>
        <w:spacing w:after="0" w:line="240" w:lineRule="auto"/>
        <w:rPr>
          <w:rFonts w:ascii="Arial" w:hAnsi="Arial" w:cs="Arial"/>
          <w:sz w:val="20"/>
          <w:szCs w:val="20"/>
        </w:rPr>
      </w:pPr>
    </w:p>
    <w:p w:rsidR="00740C89" w:rsidRPr="00896EEE" w:rsidRDefault="008B511D" w:rsidP="00896EEE">
      <w:pPr>
        <w:spacing w:after="0" w:line="240" w:lineRule="auto"/>
        <w:rPr>
          <w:rFonts w:ascii="Arial" w:hAnsi="Arial" w:cs="Arial"/>
          <w:sz w:val="20"/>
          <w:szCs w:val="20"/>
        </w:rPr>
      </w:pPr>
      <w:r w:rsidRPr="00896EEE">
        <w:rPr>
          <w:rFonts w:ascii="Arial" w:hAnsi="Arial" w:cs="Arial"/>
          <w:sz w:val="20"/>
          <w:szCs w:val="20"/>
        </w:rPr>
        <w:t>It was reported that consistent with forecast downgrade, South Africa’s international trade in 2022 registered a surplus of R193 billion, down from R432 billion in the previous year. The exports that kept the trade balance positive inc</w:t>
      </w:r>
      <w:r w:rsidR="00234CBF" w:rsidRPr="00896EEE">
        <w:rPr>
          <w:rFonts w:ascii="Arial" w:hAnsi="Arial" w:cs="Arial"/>
          <w:sz w:val="20"/>
          <w:szCs w:val="20"/>
        </w:rPr>
        <w:t>luded rapid growth in coal exports, which expanded 121 percent in 2022, as compared to the previous year, followed by iron and steel (16 percent) and vehicles (12 percent).</w:t>
      </w:r>
      <w:r w:rsidRPr="00896EEE">
        <w:rPr>
          <w:rFonts w:ascii="Arial" w:hAnsi="Arial" w:cs="Arial"/>
          <w:sz w:val="20"/>
          <w:szCs w:val="20"/>
        </w:rPr>
        <w:t xml:space="preserve">   </w:t>
      </w:r>
      <w:r w:rsidR="008A7E2E" w:rsidRPr="00896EEE">
        <w:rPr>
          <w:rFonts w:ascii="Arial" w:hAnsi="Arial" w:cs="Arial"/>
          <w:sz w:val="20"/>
          <w:szCs w:val="20"/>
        </w:rPr>
        <w:t xml:space="preserve">It was highlighted that </w:t>
      </w:r>
      <w:r w:rsidR="00516369" w:rsidRPr="00896EEE">
        <w:rPr>
          <w:rFonts w:ascii="Arial" w:hAnsi="Arial" w:cs="Arial"/>
          <w:sz w:val="20"/>
          <w:szCs w:val="20"/>
        </w:rPr>
        <w:t>t</w:t>
      </w:r>
      <w:r w:rsidR="008A7E2E" w:rsidRPr="00896EEE">
        <w:rPr>
          <w:rFonts w:ascii="Arial" w:hAnsi="Arial" w:cs="Arial"/>
          <w:sz w:val="20"/>
          <w:szCs w:val="20"/>
        </w:rPr>
        <w:t>rade opportunities both in the African continent and the global village should be used strategical to support the economy, and further access global talent to boost skills base, and access new markets.</w:t>
      </w:r>
      <w:r w:rsidR="00516369" w:rsidRPr="00896EEE">
        <w:rPr>
          <w:rFonts w:ascii="Arial" w:hAnsi="Arial" w:cs="Arial"/>
          <w:sz w:val="20"/>
          <w:szCs w:val="20"/>
        </w:rPr>
        <w:t xml:space="preserve"> It was advanced that the </w:t>
      </w:r>
      <w:r w:rsidR="00234CBF" w:rsidRPr="00896EEE">
        <w:rPr>
          <w:rFonts w:ascii="Arial" w:hAnsi="Arial" w:cs="Arial"/>
          <w:sz w:val="20"/>
          <w:szCs w:val="20"/>
        </w:rPr>
        <w:t xml:space="preserve">African Continental Free Trade Area (AfCFTA) </w:t>
      </w:r>
      <w:r w:rsidR="00977870" w:rsidRPr="00896EEE">
        <w:rPr>
          <w:rFonts w:ascii="Arial" w:hAnsi="Arial" w:cs="Arial"/>
          <w:sz w:val="20"/>
          <w:szCs w:val="20"/>
        </w:rPr>
        <w:t>if implemented</w:t>
      </w:r>
      <w:r w:rsidR="00516369" w:rsidRPr="00896EEE">
        <w:rPr>
          <w:rFonts w:ascii="Arial" w:hAnsi="Arial" w:cs="Arial"/>
          <w:sz w:val="20"/>
          <w:szCs w:val="20"/>
        </w:rPr>
        <w:t xml:space="preserve"> successful, </w:t>
      </w:r>
      <w:r w:rsidR="009A74F5" w:rsidRPr="00896EEE">
        <w:rPr>
          <w:rFonts w:ascii="Arial" w:hAnsi="Arial" w:cs="Arial"/>
          <w:sz w:val="20"/>
          <w:szCs w:val="20"/>
        </w:rPr>
        <w:t xml:space="preserve">will </w:t>
      </w:r>
      <w:r w:rsidR="00516369" w:rsidRPr="00896EEE">
        <w:rPr>
          <w:rFonts w:ascii="Arial" w:hAnsi="Arial" w:cs="Arial"/>
          <w:sz w:val="20"/>
          <w:szCs w:val="20"/>
        </w:rPr>
        <w:t xml:space="preserve">present good growth opportunities for South Africa and the African region. </w:t>
      </w:r>
    </w:p>
    <w:p w:rsidR="00740C89" w:rsidRPr="00896EEE" w:rsidRDefault="00740C89" w:rsidP="00896EEE">
      <w:pPr>
        <w:spacing w:after="0" w:line="240" w:lineRule="auto"/>
        <w:rPr>
          <w:rFonts w:ascii="Arial" w:hAnsi="Arial" w:cs="Arial"/>
          <w:sz w:val="20"/>
          <w:szCs w:val="20"/>
        </w:rPr>
      </w:pPr>
    </w:p>
    <w:p w:rsidR="00A0578B" w:rsidRPr="00896EEE" w:rsidRDefault="00753B72" w:rsidP="00896EEE">
      <w:pPr>
        <w:pStyle w:val="ListParagraph"/>
        <w:numPr>
          <w:ilvl w:val="0"/>
          <w:numId w:val="30"/>
        </w:numPr>
        <w:spacing w:after="0" w:line="240" w:lineRule="auto"/>
        <w:rPr>
          <w:rFonts w:ascii="Arial" w:hAnsi="Arial" w:cs="Arial"/>
          <w:b/>
          <w:sz w:val="20"/>
          <w:szCs w:val="20"/>
        </w:rPr>
      </w:pPr>
      <w:r w:rsidRPr="00896EEE">
        <w:rPr>
          <w:rFonts w:ascii="Arial" w:hAnsi="Arial" w:cs="Arial"/>
          <w:b/>
          <w:sz w:val="20"/>
          <w:szCs w:val="20"/>
        </w:rPr>
        <w:t>Overview of the Legislative and Policy Mandate of the Department</w:t>
      </w:r>
    </w:p>
    <w:p w:rsidR="00A0578B" w:rsidRPr="00896EEE" w:rsidRDefault="00A0578B" w:rsidP="00896EEE">
      <w:pPr>
        <w:spacing w:after="0" w:line="240" w:lineRule="auto"/>
        <w:rPr>
          <w:rFonts w:ascii="Arial" w:hAnsi="Arial" w:cs="Arial"/>
          <w:b/>
          <w:sz w:val="20"/>
          <w:szCs w:val="20"/>
        </w:rPr>
      </w:pPr>
    </w:p>
    <w:p w:rsidR="00A0578B" w:rsidRPr="00896EEE" w:rsidRDefault="00A0578B" w:rsidP="00896EEE">
      <w:pPr>
        <w:spacing w:after="0" w:line="240" w:lineRule="auto"/>
        <w:rPr>
          <w:rFonts w:ascii="Arial" w:hAnsi="Arial" w:cs="Arial"/>
          <w:sz w:val="20"/>
          <w:szCs w:val="20"/>
        </w:rPr>
      </w:pPr>
      <w:r w:rsidRPr="00896EEE">
        <w:rPr>
          <w:rFonts w:ascii="Arial" w:hAnsi="Arial" w:cs="Arial"/>
          <w:sz w:val="20"/>
          <w:szCs w:val="20"/>
        </w:rPr>
        <w:t xml:space="preserve">The aim of the </w:t>
      </w:r>
      <w:r w:rsidR="00A3265A" w:rsidRPr="00896EEE">
        <w:rPr>
          <w:rFonts w:ascii="Arial" w:hAnsi="Arial" w:cs="Arial"/>
          <w:sz w:val="20"/>
          <w:szCs w:val="20"/>
        </w:rPr>
        <w:t>D</w:t>
      </w:r>
      <w:r w:rsidRPr="00896EEE">
        <w:rPr>
          <w:rFonts w:ascii="Arial" w:hAnsi="Arial" w:cs="Arial"/>
          <w:sz w:val="20"/>
          <w:szCs w:val="20"/>
        </w:rPr>
        <w:t xml:space="preserve">epartment is to foster a dynamic industrial, globally competitive South African economy, characterised by meaningful economic transformation, inclusive growth and development, decent employment and equity, built on the full potential of all citizens. Apart from the Constitution of the Republic, the legislative framework which informs the work of the department constituted by the following legislative Acts: </w:t>
      </w:r>
    </w:p>
    <w:p w:rsidR="00A0578B" w:rsidRPr="00896EEE" w:rsidRDefault="00A0578B" w:rsidP="00896EEE">
      <w:pPr>
        <w:pStyle w:val="ListParagraph"/>
        <w:numPr>
          <w:ilvl w:val="0"/>
          <w:numId w:val="33"/>
        </w:numPr>
        <w:spacing w:after="0" w:line="240" w:lineRule="auto"/>
        <w:rPr>
          <w:rFonts w:ascii="Arial" w:hAnsi="Arial" w:cs="Arial"/>
          <w:sz w:val="20"/>
          <w:szCs w:val="20"/>
        </w:rPr>
      </w:pPr>
      <w:r w:rsidRPr="00896EEE">
        <w:rPr>
          <w:rFonts w:ascii="Arial" w:hAnsi="Arial" w:cs="Arial"/>
          <w:sz w:val="20"/>
          <w:szCs w:val="20"/>
        </w:rPr>
        <w:t>Companies Act (2008); </w:t>
      </w:r>
    </w:p>
    <w:p w:rsidR="00A0578B" w:rsidRPr="00896EEE" w:rsidRDefault="00A0578B" w:rsidP="00896EEE">
      <w:pPr>
        <w:pStyle w:val="ListParagraph"/>
        <w:numPr>
          <w:ilvl w:val="0"/>
          <w:numId w:val="33"/>
        </w:numPr>
        <w:spacing w:after="0" w:line="240" w:lineRule="auto"/>
        <w:rPr>
          <w:rFonts w:ascii="Arial" w:hAnsi="Arial" w:cs="Arial"/>
          <w:sz w:val="20"/>
          <w:szCs w:val="20"/>
        </w:rPr>
      </w:pPr>
      <w:r w:rsidRPr="00896EEE">
        <w:rPr>
          <w:rFonts w:ascii="Arial" w:hAnsi="Arial" w:cs="Arial"/>
          <w:sz w:val="20"/>
          <w:szCs w:val="20"/>
        </w:rPr>
        <w:t xml:space="preserve">Manufacturing Development Act (1993);  </w:t>
      </w:r>
    </w:p>
    <w:p w:rsidR="00A0578B" w:rsidRPr="00896EEE" w:rsidRDefault="00A0578B" w:rsidP="00896EEE">
      <w:pPr>
        <w:pStyle w:val="ListParagraph"/>
        <w:numPr>
          <w:ilvl w:val="0"/>
          <w:numId w:val="33"/>
        </w:numPr>
        <w:spacing w:after="0" w:line="240" w:lineRule="auto"/>
        <w:rPr>
          <w:rFonts w:ascii="Arial" w:hAnsi="Arial" w:cs="Arial"/>
          <w:sz w:val="20"/>
          <w:szCs w:val="20"/>
        </w:rPr>
      </w:pPr>
      <w:r w:rsidRPr="00896EEE">
        <w:rPr>
          <w:rFonts w:ascii="Arial" w:hAnsi="Arial" w:cs="Arial"/>
          <w:sz w:val="20"/>
          <w:szCs w:val="20"/>
        </w:rPr>
        <w:t>Broad</w:t>
      </w:r>
      <w:r w:rsidRPr="00896EEE">
        <w:rPr>
          <w:rFonts w:ascii="Times New Roman" w:hAnsi="Times New Roman" w:cs="Arial"/>
          <w:sz w:val="20"/>
          <w:szCs w:val="20"/>
        </w:rPr>
        <w:t>‐</w:t>
      </w:r>
      <w:r w:rsidRPr="00896EEE">
        <w:rPr>
          <w:rFonts w:ascii="Arial" w:hAnsi="Arial" w:cs="Arial"/>
          <w:sz w:val="20"/>
          <w:szCs w:val="20"/>
        </w:rPr>
        <w:t xml:space="preserve">Based Black Economic Empowerment Act (2003);  </w:t>
      </w:r>
    </w:p>
    <w:p w:rsidR="00A0578B" w:rsidRPr="00896EEE" w:rsidRDefault="00A0578B" w:rsidP="00896EEE">
      <w:pPr>
        <w:pStyle w:val="ListParagraph"/>
        <w:numPr>
          <w:ilvl w:val="0"/>
          <w:numId w:val="33"/>
        </w:numPr>
        <w:spacing w:after="0" w:line="240" w:lineRule="auto"/>
        <w:rPr>
          <w:rFonts w:ascii="Arial" w:hAnsi="Arial" w:cs="Arial"/>
          <w:sz w:val="20"/>
          <w:szCs w:val="20"/>
        </w:rPr>
      </w:pPr>
      <w:r w:rsidRPr="00896EEE">
        <w:rPr>
          <w:rFonts w:ascii="Arial" w:hAnsi="Arial" w:cs="Arial"/>
          <w:sz w:val="20"/>
          <w:szCs w:val="20"/>
        </w:rPr>
        <w:t xml:space="preserve">Consumer Protection Act (2008);  </w:t>
      </w:r>
    </w:p>
    <w:p w:rsidR="00A0578B" w:rsidRPr="00896EEE" w:rsidRDefault="00A0578B" w:rsidP="00896EEE">
      <w:pPr>
        <w:pStyle w:val="ListParagraph"/>
        <w:numPr>
          <w:ilvl w:val="0"/>
          <w:numId w:val="33"/>
        </w:numPr>
        <w:spacing w:after="0" w:line="240" w:lineRule="auto"/>
        <w:rPr>
          <w:rFonts w:ascii="Arial" w:hAnsi="Arial" w:cs="Arial"/>
          <w:sz w:val="20"/>
          <w:szCs w:val="20"/>
        </w:rPr>
      </w:pPr>
      <w:r w:rsidRPr="00896EEE">
        <w:rPr>
          <w:rFonts w:ascii="Arial" w:hAnsi="Arial" w:cs="Arial"/>
          <w:sz w:val="20"/>
          <w:szCs w:val="20"/>
        </w:rPr>
        <w:t xml:space="preserve">Industrial Development Corporation Act (1940);  </w:t>
      </w:r>
    </w:p>
    <w:p w:rsidR="00A0578B" w:rsidRPr="00896EEE" w:rsidRDefault="00A0578B" w:rsidP="00896EEE">
      <w:pPr>
        <w:pStyle w:val="ListParagraph"/>
        <w:numPr>
          <w:ilvl w:val="0"/>
          <w:numId w:val="33"/>
        </w:numPr>
        <w:spacing w:after="0" w:line="240" w:lineRule="auto"/>
        <w:rPr>
          <w:rFonts w:ascii="Arial" w:hAnsi="Arial" w:cs="Arial"/>
          <w:sz w:val="20"/>
          <w:szCs w:val="20"/>
        </w:rPr>
      </w:pPr>
      <w:r w:rsidRPr="00896EEE">
        <w:rPr>
          <w:rFonts w:ascii="Arial" w:hAnsi="Arial" w:cs="Arial"/>
          <w:sz w:val="20"/>
          <w:szCs w:val="20"/>
        </w:rPr>
        <w:t xml:space="preserve">Competition Act (1998), as amended;  </w:t>
      </w:r>
    </w:p>
    <w:p w:rsidR="00A0578B" w:rsidRPr="00896EEE" w:rsidRDefault="00A0578B" w:rsidP="00896EEE">
      <w:pPr>
        <w:pStyle w:val="ListParagraph"/>
        <w:numPr>
          <w:ilvl w:val="0"/>
          <w:numId w:val="33"/>
        </w:numPr>
        <w:spacing w:after="0" w:line="240" w:lineRule="auto"/>
        <w:rPr>
          <w:rFonts w:ascii="Arial" w:hAnsi="Arial" w:cs="Arial"/>
          <w:sz w:val="20"/>
          <w:szCs w:val="20"/>
        </w:rPr>
      </w:pPr>
      <w:r w:rsidRPr="00896EEE">
        <w:rPr>
          <w:rFonts w:ascii="Arial" w:hAnsi="Arial" w:cs="Arial"/>
          <w:sz w:val="20"/>
          <w:szCs w:val="20"/>
        </w:rPr>
        <w:t>International Trade Administration Act (2002).</w:t>
      </w:r>
    </w:p>
    <w:p w:rsidR="00A0578B" w:rsidRPr="00896EEE" w:rsidRDefault="00A0578B" w:rsidP="00896EEE">
      <w:pPr>
        <w:spacing w:after="0" w:line="240" w:lineRule="auto"/>
        <w:rPr>
          <w:rFonts w:ascii="Arial" w:hAnsi="Arial" w:cs="Arial"/>
          <w:sz w:val="20"/>
          <w:szCs w:val="20"/>
        </w:rPr>
      </w:pPr>
    </w:p>
    <w:p w:rsidR="004D4B52" w:rsidRPr="00896EEE" w:rsidRDefault="004D4B52" w:rsidP="00896EEE">
      <w:pPr>
        <w:spacing w:after="0" w:line="240" w:lineRule="auto"/>
        <w:rPr>
          <w:rFonts w:ascii="Arial" w:hAnsi="Arial" w:cs="Arial"/>
          <w:sz w:val="20"/>
          <w:szCs w:val="20"/>
        </w:rPr>
      </w:pPr>
      <w:r w:rsidRPr="00896EEE">
        <w:rPr>
          <w:rFonts w:ascii="Arial" w:hAnsi="Arial" w:cs="Arial"/>
          <w:sz w:val="20"/>
          <w:szCs w:val="20"/>
        </w:rPr>
        <w:t>The Department has 16 public entities over which it performs oversight, namely:</w:t>
      </w:r>
    </w:p>
    <w:p w:rsidR="004D4B52" w:rsidRPr="00896EEE" w:rsidRDefault="004D4B52" w:rsidP="00896EEE">
      <w:pPr>
        <w:pStyle w:val="ListParagraph"/>
        <w:numPr>
          <w:ilvl w:val="0"/>
          <w:numId w:val="89"/>
        </w:numPr>
        <w:spacing w:after="0" w:line="240" w:lineRule="auto"/>
        <w:rPr>
          <w:rFonts w:ascii="Arial" w:hAnsi="Arial" w:cs="Arial"/>
          <w:sz w:val="20"/>
          <w:szCs w:val="20"/>
        </w:rPr>
      </w:pPr>
      <w:r w:rsidRPr="00896EEE">
        <w:rPr>
          <w:rFonts w:ascii="Arial" w:hAnsi="Arial" w:cs="Arial"/>
          <w:sz w:val="20"/>
          <w:szCs w:val="20"/>
        </w:rPr>
        <w:t>Companies and Intellectual Properties Commission (CIPC);</w:t>
      </w:r>
    </w:p>
    <w:p w:rsidR="004D4B52" w:rsidRPr="00896EEE" w:rsidRDefault="004D4B52" w:rsidP="00896EEE">
      <w:pPr>
        <w:pStyle w:val="ListParagraph"/>
        <w:numPr>
          <w:ilvl w:val="0"/>
          <w:numId w:val="89"/>
        </w:numPr>
        <w:spacing w:after="0" w:line="240" w:lineRule="auto"/>
        <w:rPr>
          <w:rFonts w:ascii="Arial" w:hAnsi="Arial" w:cs="Arial"/>
          <w:sz w:val="20"/>
          <w:szCs w:val="20"/>
        </w:rPr>
      </w:pPr>
      <w:r w:rsidRPr="00896EEE">
        <w:rPr>
          <w:rFonts w:ascii="Arial" w:hAnsi="Arial" w:cs="Arial"/>
          <w:sz w:val="20"/>
          <w:szCs w:val="20"/>
        </w:rPr>
        <w:t>Export Credit Insurance Corporation (ECIC);</w:t>
      </w:r>
    </w:p>
    <w:p w:rsidR="004D4B52" w:rsidRPr="00896EEE" w:rsidRDefault="004D4B52" w:rsidP="00896EEE">
      <w:pPr>
        <w:pStyle w:val="ListParagraph"/>
        <w:numPr>
          <w:ilvl w:val="0"/>
          <w:numId w:val="89"/>
        </w:numPr>
        <w:spacing w:after="0" w:line="240" w:lineRule="auto"/>
        <w:rPr>
          <w:rFonts w:ascii="Arial" w:hAnsi="Arial" w:cs="Arial"/>
          <w:sz w:val="20"/>
          <w:szCs w:val="20"/>
        </w:rPr>
      </w:pPr>
      <w:r w:rsidRPr="00896EEE">
        <w:rPr>
          <w:rFonts w:ascii="Arial" w:hAnsi="Arial" w:cs="Arial"/>
          <w:sz w:val="20"/>
          <w:szCs w:val="20"/>
        </w:rPr>
        <w:t>National Consumer Commission (NCC);</w:t>
      </w:r>
    </w:p>
    <w:p w:rsidR="004D4B52" w:rsidRPr="00896EEE" w:rsidRDefault="004D4B52" w:rsidP="00896EEE">
      <w:pPr>
        <w:pStyle w:val="ListParagraph"/>
        <w:numPr>
          <w:ilvl w:val="0"/>
          <w:numId w:val="89"/>
        </w:numPr>
        <w:spacing w:after="0" w:line="240" w:lineRule="auto"/>
        <w:rPr>
          <w:rFonts w:ascii="Arial" w:hAnsi="Arial" w:cs="Arial"/>
          <w:sz w:val="20"/>
          <w:szCs w:val="20"/>
        </w:rPr>
      </w:pPr>
      <w:r w:rsidRPr="00896EEE">
        <w:rPr>
          <w:rFonts w:ascii="Arial" w:hAnsi="Arial" w:cs="Arial"/>
          <w:sz w:val="20"/>
          <w:szCs w:val="20"/>
        </w:rPr>
        <w:t>National Consumer Tribunal (NCT);</w:t>
      </w:r>
    </w:p>
    <w:p w:rsidR="004D4B52" w:rsidRPr="00896EEE" w:rsidRDefault="004D4B52" w:rsidP="00896EEE">
      <w:pPr>
        <w:pStyle w:val="ListParagraph"/>
        <w:numPr>
          <w:ilvl w:val="0"/>
          <w:numId w:val="89"/>
        </w:numPr>
        <w:spacing w:after="0" w:line="240" w:lineRule="auto"/>
        <w:rPr>
          <w:rFonts w:ascii="Arial" w:hAnsi="Arial" w:cs="Arial"/>
          <w:sz w:val="20"/>
          <w:szCs w:val="20"/>
        </w:rPr>
      </w:pPr>
      <w:r w:rsidRPr="00896EEE">
        <w:rPr>
          <w:rFonts w:ascii="Arial" w:hAnsi="Arial" w:cs="Arial"/>
          <w:sz w:val="20"/>
          <w:szCs w:val="20"/>
        </w:rPr>
        <w:t>Companies Tribunal (CT);</w:t>
      </w:r>
    </w:p>
    <w:p w:rsidR="004D4B52" w:rsidRPr="00896EEE" w:rsidRDefault="004D4B52" w:rsidP="00896EEE">
      <w:pPr>
        <w:pStyle w:val="ListParagraph"/>
        <w:numPr>
          <w:ilvl w:val="0"/>
          <w:numId w:val="89"/>
        </w:numPr>
        <w:spacing w:after="0" w:line="240" w:lineRule="auto"/>
        <w:rPr>
          <w:rFonts w:ascii="Arial" w:hAnsi="Arial" w:cs="Arial"/>
          <w:sz w:val="20"/>
          <w:szCs w:val="20"/>
        </w:rPr>
      </w:pPr>
      <w:r w:rsidRPr="00896EEE">
        <w:rPr>
          <w:rFonts w:ascii="Arial" w:hAnsi="Arial" w:cs="Arial"/>
          <w:sz w:val="20"/>
          <w:szCs w:val="20"/>
        </w:rPr>
        <w:t>National Credit Regulator (NCR);</w:t>
      </w:r>
    </w:p>
    <w:p w:rsidR="004D4B52" w:rsidRPr="00896EEE" w:rsidRDefault="004D4B52" w:rsidP="00896EEE">
      <w:pPr>
        <w:pStyle w:val="ListParagraph"/>
        <w:numPr>
          <w:ilvl w:val="0"/>
          <w:numId w:val="89"/>
        </w:numPr>
        <w:spacing w:after="0" w:line="240" w:lineRule="auto"/>
        <w:rPr>
          <w:rFonts w:ascii="Arial" w:hAnsi="Arial" w:cs="Arial"/>
          <w:sz w:val="20"/>
          <w:szCs w:val="20"/>
        </w:rPr>
      </w:pPr>
      <w:r w:rsidRPr="00896EEE">
        <w:rPr>
          <w:rFonts w:ascii="Arial" w:hAnsi="Arial" w:cs="Arial"/>
          <w:sz w:val="20"/>
          <w:szCs w:val="20"/>
        </w:rPr>
        <w:t>National Empowerment Fund (NEF);</w:t>
      </w:r>
    </w:p>
    <w:p w:rsidR="004D4B52" w:rsidRPr="00896EEE" w:rsidRDefault="004D4B52" w:rsidP="00896EEE">
      <w:pPr>
        <w:pStyle w:val="ListParagraph"/>
        <w:numPr>
          <w:ilvl w:val="0"/>
          <w:numId w:val="89"/>
        </w:numPr>
        <w:spacing w:after="0" w:line="240" w:lineRule="auto"/>
        <w:rPr>
          <w:rFonts w:ascii="Arial" w:hAnsi="Arial" w:cs="Arial"/>
          <w:sz w:val="20"/>
          <w:szCs w:val="20"/>
        </w:rPr>
      </w:pPr>
      <w:r w:rsidRPr="00896EEE">
        <w:rPr>
          <w:rFonts w:ascii="Arial" w:hAnsi="Arial" w:cs="Arial"/>
          <w:sz w:val="20"/>
          <w:szCs w:val="20"/>
        </w:rPr>
        <w:t>National Gambling Board (NGB);</w:t>
      </w:r>
    </w:p>
    <w:p w:rsidR="004D4B52" w:rsidRPr="00896EEE" w:rsidRDefault="004D4B52" w:rsidP="00896EEE">
      <w:pPr>
        <w:pStyle w:val="ListParagraph"/>
        <w:numPr>
          <w:ilvl w:val="0"/>
          <w:numId w:val="89"/>
        </w:numPr>
        <w:spacing w:after="0" w:line="240" w:lineRule="auto"/>
        <w:rPr>
          <w:rFonts w:ascii="Arial" w:hAnsi="Arial" w:cs="Arial"/>
          <w:sz w:val="20"/>
          <w:szCs w:val="20"/>
        </w:rPr>
      </w:pPr>
      <w:r w:rsidRPr="00896EEE">
        <w:rPr>
          <w:rFonts w:ascii="Arial" w:hAnsi="Arial" w:cs="Arial"/>
          <w:sz w:val="20"/>
          <w:szCs w:val="20"/>
        </w:rPr>
        <w:t>National Lotteries Commission (NLC);</w:t>
      </w:r>
    </w:p>
    <w:p w:rsidR="004D4B52" w:rsidRPr="00896EEE" w:rsidRDefault="004D4B52" w:rsidP="00896EEE">
      <w:pPr>
        <w:pStyle w:val="ListParagraph"/>
        <w:numPr>
          <w:ilvl w:val="0"/>
          <w:numId w:val="89"/>
        </w:numPr>
        <w:spacing w:after="0" w:line="240" w:lineRule="auto"/>
        <w:rPr>
          <w:rFonts w:ascii="Arial" w:hAnsi="Arial" w:cs="Arial"/>
          <w:sz w:val="20"/>
          <w:szCs w:val="20"/>
        </w:rPr>
      </w:pPr>
      <w:r w:rsidRPr="00896EEE">
        <w:rPr>
          <w:rFonts w:ascii="Arial" w:hAnsi="Arial" w:cs="Arial"/>
          <w:sz w:val="20"/>
          <w:szCs w:val="20"/>
        </w:rPr>
        <w:t>National Metrology Institute of South Africa (NMISA);</w:t>
      </w:r>
    </w:p>
    <w:p w:rsidR="004D4B52" w:rsidRPr="00896EEE" w:rsidRDefault="004D4B52" w:rsidP="00896EEE">
      <w:pPr>
        <w:pStyle w:val="ListParagraph"/>
        <w:numPr>
          <w:ilvl w:val="0"/>
          <w:numId w:val="89"/>
        </w:numPr>
        <w:spacing w:after="0" w:line="240" w:lineRule="auto"/>
        <w:rPr>
          <w:rFonts w:ascii="Arial" w:hAnsi="Arial" w:cs="Arial"/>
          <w:sz w:val="20"/>
          <w:szCs w:val="20"/>
        </w:rPr>
      </w:pPr>
      <w:r w:rsidRPr="00896EEE">
        <w:rPr>
          <w:rFonts w:ascii="Arial" w:hAnsi="Arial" w:cs="Arial"/>
          <w:sz w:val="20"/>
          <w:szCs w:val="20"/>
        </w:rPr>
        <w:t>The International Trade Administration Commission (ITAC);</w:t>
      </w:r>
    </w:p>
    <w:p w:rsidR="004D4B52" w:rsidRPr="00896EEE" w:rsidRDefault="004D4B52" w:rsidP="00896EEE">
      <w:pPr>
        <w:pStyle w:val="ListParagraph"/>
        <w:numPr>
          <w:ilvl w:val="0"/>
          <w:numId w:val="89"/>
        </w:numPr>
        <w:spacing w:after="0" w:line="240" w:lineRule="auto"/>
        <w:rPr>
          <w:rFonts w:ascii="Arial" w:hAnsi="Arial" w:cs="Arial"/>
          <w:sz w:val="20"/>
          <w:szCs w:val="20"/>
        </w:rPr>
      </w:pPr>
      <w:r w:rsidRPr="00896EEE">
        <w:rPr>
          <w:rFonts w:ascii="Arial" w:hAnsi="Arial" w:cs="Arial"/>
          <w:sz w:val="20"/>
          <w:szCs w:val="20"/>
        </w:rPr>
        <w:t>National Regulator for Compulsory Specifications (NRCS);</w:t>
      </w:r>
    </w:p>
    <w:p w:rsidR="004D4B52" w:rsidRPr="00896EEE" w:rsidRDefault="004D4B52" w:rsidP="00896EEE">
      <w:pPr>
        <w:pStyle w:val="ListParagraph"/>
        <w:numPr>
          <w:ilvl w:val="0"/>
          <w:numId w:val="89"/>
        </w:numPr>
        <w:spacing w:after="0" w:line="240" w:lineRule="auto"/>
        <w:rPr>
          <w:rFonts w:ascii="Arial" w:hAnsi="Arial" w:cs="Arial"/>
          <w:sz w:val="20"/>
          <w:szCs w:val="20"/>
        </w:rPr>
      </w:pPr>
      <w:r w:rsidRPr="00896EEE">
        <w:rPr>
          <w:rFonts w:ascii="Arial" w:hAnsi="Arial" w:cs="Arial"/>
          <w:sz w:val="20"/>
          <w:szCs w:val="20"/>
        </w:rPr>
        <w:t>South African Bureau of Standards (SABS);</w:t>
      </w:r>
    </w:p>
    <w:p w:rsidR="004D4B52" w:rsidRPr="00896EEE" w:rsidRDefault="004D4B52" w:rsidP="00896EEE">
      <w:pPr>
        <w:pStyle w:val="ListParagraph"/>
        <w:numPr>
          <w:ilvl w:val="0"/>
          <w:numId w:val="89"/>
        </w:numPr>
        <w:spacing w:after="0" w:line="240" w:lineRule="auto"/>
        <w:rPr>
          <w:rFonts w:ascii="Arial" w:hAnsi="Arial" w:cs="Arial"/>
          <w:sz w:val="20"/>
          <w:szCs w:val="20"/>
        </w:rPr>
      </w:pPr>
      <w:r w:rsidRPr="00896EEE">
        <w:rPr>
          <w:rFonts w:ascii="Arial" w:hAnsi="Arial" w:cs="Arial"/>
          <w:sz w:val="20"/>
          <w:szCs w:val="20"/>
        </w:rPr>
        <w:t>South African National Accreditation System (SANAS);</w:t>
      </w:r>
    </w:p>
    <w:p w:rsidR="004D4B52" w:rsidRPr="00896EEE" w:rsidRDefault="004D4B52" w:rsidP="00896EEE">
      <w:pPr>
        <w:pStyle w:val="ListParagraph"/>
        <w:numPr>
          <w:ilvl w:val="0"/>
          <w:numId w:val="89"/>
        </w:numPr>
        <w:spacing w:after="0" w:line="240" w:lineRule="auto"/>
        <w:rPr>
          <w:rFonts w:ascii="Arial" w:hAnsi="Arial" w:cs="Arial"/>
          <w:sz w:val="20"/>
          <w:szCs w:val="20"/>
        </w:rPr>
      </w:pPr>
      <w:r w:rsidRPr="00896EEE">
        <w:rPr>
          <w:rFonts w:ascii="Arial" w:hAnsi="Arial" w:cs="Arial"/>
          <w:sz w:val="20"/>
          <w:szCs w:val="20"/>
        </w:rPr>
        <w:t>The Competition Commission (CC);</w:t>
      </w:r>
    </w:p>
    <w:p w:rsidR="004D4B52" w:rsidRPr="00896EEE" w:rsidRDefault="004D4B52" w:rsidP="00896EEE">
      <w:pPr>
        <w:pStyle w:val="ListParagraph"/>
        <w:numPr>
          <w:ilvl w:val="0"/>
          <w:numId w:val="89"/>
        </w:numPr>
        <w:spacing w:after="0" w:line="240" w:lineRule="auto"/>
        <w:rPr>
          <w:rFonts w:ascii="Arial" w:hAnsi="Arial" w:cs="Arial"/>
          <w:sz w:val="20"/>
          <w:szCs w:val="20"/>
        </w:rPr>
      </w:pPr>
      <w:r w:rsidRPr="00896EEE">
        <w:rPr>
          <w:rFonts w:ascii="Arial" w:hAnsi="Arial" w:cs="Arial"/>
          <w:sz w:val="20"/>
          <w:szCs w:val="20"/>
        </w:rPr>
        <w:t>The Competition Tribunal (CT);</w:t>
      </w:r>
    </w:p>
    <w:p w:rsidR="004D4B52" w:rsidRPr="00896EEE" w:rsidRDefault="004D4B52" w:rsidP="00896EEE">
      <w:pPr>
        <w:pStyle w:val="ListParagraph"/>
        <w:numPr>
          <w:ilvl w:val="0"/>
          <w:numId w:val="89"/>
        </w:numPr>
        <w:spacing w:after="0" w:line="240" w:lineRule="auto"/>
        <w:rPr>
          <w:rFonts w:ascii="Arial" w:hAnsi="Arial" w:cs="Arial"/>
          <w:sz w:val="20"/>
          <w:szCs w:val="20"/>
        </w:rPr>
      </w:pPr>
      <w:r w:rsidRPr="00896EEE">
        <w:rPr>
          <w:rFonts w:ascii="Arial" w:hAnsi="Arial" w:cs="Arial"/>
          <w:sz w:val="20"/>
          <w:szCs w:val="20"/>
        </w:rPr>
        <w:t>The Industrial Development Corporation (IDC);</w:t>
      </w:r>
    </w:p>
    <w:p w:rsidR="004D4B52" w:rsidRPr="00896EEE" w:rsidRDefault="004D4B52" w:rsidP="00896EEE">
      <w:pPr>
        <w:spacing w:after="0" w:line="240" w:lineRule="auto"/>
        <w:rPr>
          <w:rFonts w:ascii="Arial" w:hAnsi="Arial" w:cs="Arial"/>
          <w:sz w:val="20"/>
          <w:szCs w:val="20"/>
        </w:rPr>
      </w:pPr>
    </w:p>
    <w:p w:rsidR="004D4B52" w:rsidRPr="00896EEE" w:rsidRDefault="004D4B52" w:rsidP="00896EEE">
      <w:pPr>
        <w:spacing w:after="0" w:line="240" w:lineRule="auto"/>
        <w:rPr>
          <w:rFonts w:ascii="Arial" w:hAnsi="Arial" w:cs="Arial"/>
          <w:sz w:val="20"/>
          <w:szCs w:val="20"/>
        </w:rPr>
      </w:pPr>
      <w:r w:rsidRPr="00896EEE">
        <w:rPr>
          <w:rFonts w:ascii="Arial" w:hAnsi="Arial" w:cs="Arial"/>
          <w:sz w:val="20"/>
          <w:szCs w:val="20"/>
        </w:rPr>
        <w:t xml:space="preserve">Of the 16 public entities reporting to the Department, three are self-funded, namely – </w:t>
      </w:r>
      <w:r w:rsidRPr="00896EEE">
        <w:rPr>
          <w:rFonts w:ascii="Arial" w:hAnsi="Arial" w:cs="Arial"/>
          <w:i/>
          <w:sz w:val="20"/>
          <w:szCs w:val="20"/>
        </w:rPr>
        <w:t>Companies and Intellectual Properties Commission</w:t>
      </w:r>
      <w:r w:rsidRPr="00896EEE">
        <w:rPr>
          <w:rFonts w:ascii="Arial" w:hAnsi="Arial" w:cs="Arial"/>
          <w:sz w:val="20"/>
          <w:szCs w:val="20"/>
        </w:rPr>
        <w:t xml:space="preserve"> (CIPC); </w:t>
      </w:r>
      <w:r w:rsidRPr="00896EEE">
        <w:rPr>
          <w:rFonts w:ascii="Arial" w:hAnsi="Arial" w:cs="Arial"/>
          <w:i/>
          <w:sz w:val="20"/>
          <w:szCs w:val="20"/>
        </w:rPr>
        <w:t>National Empowerment Fund</w:t>
      </w:r>
      <w:r w:rsidRPr="00896EEE">
        <w:rPr>
          <w:rFonts w:ascii="Arial" w:hAnsi="Arial" w:cs="Arial"/>
          <w:sz w:val="20"/>
          <w:szCs w:val="20"/>
        </w:rPr>
        <w:t xml:space="preserve"> (N</w:t>
      </w:r>
      <w:r w:rsidR="00516369" w:rsidRPr="00896EEE">
        <w:rPr>
          <w:rFonts w:ascii="Arial" w:hAnsi="Arial" w:cs="Arial"/>
          <w:sz w:val="20"/>
          <w:szCs w:val="20"/>
        </w:rPr>
        <w:t>E</w:t>
      </w:r>
      <w:r w:rsidRPr="00896EEE">
        <w:rPr>
          <w:rFonts w:ascii="Arial" w:hAnsi="Arial" w:cs="Arial"/>
          <w:sz w:val="20"/>
          <w:szCs w:val="20"/>
        </w:rPr>
        <w:t xml:space="preserve">F) and </w:t>
      </w:r>
      <w:r w:rsidRPr="00896EEE">
        <w:rPr>
          <w:rFonts w:ascii="Arial" w:hAnsi="Arial" w:cs="Arial"/>
          <w:i/>
          <w:sz w:val="20"/>
          <w:szCs w:val="20"/>
        </w:rPr>
        <w:t>National Lotteries Commission</w:t>
      </w:r>
      <w:r w:rsidRPr="00896EEE">
        <w:rPr>
          <w:rFonts w:ascii="Arial" w:hAnsi="Arial" w:cs="Arial"/>
          <w:sz w:val="20"/>
          <w:szCs w:val="20"/>
        </w:rPr>
        <w:t xml:space="preserve"> (NLC). The Department further makes transfers to the </w:t>
      </w:r>
      <w:r w:rsidRPr="00896EEE">
        <w:rPr>
          <w:rFonts w:ascii="Arial" w:hAnsi="Arial" w:cs="Arial"/>
          <w:i/>
          <w:sz w:val="20"/>
          <w:szCs w:val="20"/>
        </w:rPr>
        <w:t>Industrial Development Corporation</w:t>
      </w:r>
      <w:r w:rsidRPr="00896EEE">
        <w:rPr>
          <w:rFonts w:ascii="Arial" w:hAnsi="Arial" w:cs="Arial"/>
          <w:sz w:val="20"/>
          <w:szCs w:val="20"/>
        </w:rPr>
        <w:t xml:space="preserve"> (IDC) which administers some of the incentive</w:t>
      </w:r>
      <w:r w:rsidR="00516369" w:rsidRPr="00896EEE">
        <w:rPr>
          <w:rFonts w:ascii="Arial" w:hAnsi="Arial" w:cs="Arial"/>
          <w:sz w:val="20"/>
          <w:szCs w:val="20"/>
        </w:rPr>
        <w:t xml:space="preserve">s. </w:t>
      </w:r>
      <w:r w:rsidR="009A74F5" w:rsidRPr="00896EEE">
        <w:rPr>
          <w:rFonts w:ascii="Arial" w:hAnsi="Arial" w:cs="Arial"/>
          <w:sz w:val="20"/>
          <w:szCs w:val="20"/>
        </w:rPr>
        <w:t xml:space="preserve"> </w:t>
      </w:r>
      <w:r w:rsidRPr="00896EEE">
        <w:rPr>
          <w:rFonts w:ascii="Arial" w:hAnsi="Arial" w:cs="Arial"/>
          <w:sz w:val="20"/>
          <w:szCs w:val="20"/>
        </w:rPr>
        <w:t>The Department’s vision is to support the development of a dynamic, industrialised South African economy, characterised by meaningful economic transformation, inclusive growth and development, decent employment and equity. Further, the Department aims to build South African citizens to realise their full potential.</w:t>
      </w:r>
    </w:p>
    <w:p w:rsidR="004D4B52" w:rsidRPr="00896EEE" w:rsidRDefault="004D4B52" w:rsidP="00896EEE">
      <w:pPr>
        <w:spacing w:after="0" w:line="240" w:lineRule="auto"/>
        <w:rPr>
          <w:rFonts w:ascii="Arial" w:hAnsi="Arial" w:cs="Arial"/>
          <w:sz w:val="20"/>
          <w:szCs w:val="20"/>
        </w:rPr>
      </w:pPr>
    </w:p>
    <w:p w:rsidR="009A74F5" w:rsidRPr="00896EEE" w:rsidRDefault="009A74F5" w:rsidP="00896EEE">
      <w:pPr>
        <w:spacing w:after="0" w:line="240" w:lineRule="auto"/>
        <w:rPr>
          <w:rFonts w:ascii="Arial" w:hAnsi="Arial" w:cs="Arial"/>
          <w:sz w:val="20"/>
          <w:szCs w:val="20"/>
        </w:rPr>
      </w:pPr>
    </w:p>
    <w:p w:rsidR="009A74F5" w:rsidRPr="00896EEE" w:rsidRDefault="009A74F5" w:rsidP="00896EEE">
      <w:pPr>
        <w:spacing w:after="0" w:line="240" w:lineRule="auto"/>
        <w:rPr>
          <w:rFonts w:ascii="Arial" w:hAnsi="Arial" w:cs="Arial"/>
          <w:sz w:val="20"/>
          <w:szCs w:val="20"/>
        </w:rPr>
      </w:pPr>
    </w:p>
    <w:p w:rsidR="008813D6" w:rsidRPr="00896EEE" w:rsidRDefault="008813D6" w:rsidP="00896EEE">
      <w:pPr>
        <w:spacing w:after="0" w:line="240" w:lineRule="auto"/>
        <w:rPr>
          <w:rFonts w:ascii="Arial" w:hAnsi="Arial" w:cs="Arial"/>
          <w:b/>
          <w:sz w:val="20"/>
          <w:szCs w:val="20"/>
        </w:rPr>
      </w:pPr>
      <w:r w:rsidRPr="00896EEE">
        <w:rPr>
          <w:rFonts w:ascii="Arial" w:hAnsi="Arial" w:cs="Arial"/>
          <w:b/>
          <w:sz w:val="20"/>
          <w:szCs w:val="20"/>
        </w:rPr>
        <w:t>Updates</w:t>
      </w:r>
      <w:r w:rsidR="00327C07" w:rsidRPr="00896EEE">
        <w:rPr>
          <w:rFonts w:ascii="Arial" w:hAnsi="Arial" w:cs="Arial"/>
          <w:b/>
          <w:sz w:val="20"/>
          <w:szCs w:val="20"/>
        </w:rPr>
        <w:t xml:space="preserve"> to institutional policies and strategies</w:t>
      </w:r>
    </w:p>
    <w:p w:rsidR="00327C07" w:rsidRPr="00896EEE" w:rsidRDefault="00327C07" w:rsidP="00896EEE">
      <w:pPr>
        <w:spacing w:after="0" w:line="240" w:lineRule="auto"/>
        <w:rPr>
          <w:rFonts w:ascii="Arial" w:hAnsi="Arial" w:cs="Arial"/>
          <w:sz w:val="20"/>
          <w:szCs w:val="20"/>
        </w:rPr>
      </w:pPr>
      <w:r w:rsidRPr="00896EEE">
        <w:rPr>
          <w:rFonts w:ascii="Arial" w:hAnsi="Arial" w:cs="Arial"/>
          <w:sz w:val="20"/>
          <w:szCs w:val="20"/>
        </w:rPr>
        <w:t xml:space="preserve">It was reported that the Department’s industrial strategy </w:t>
      </w:r>
      <w:r w:rsidR="00516369" w:rsidRPr="00896EEE">
        <w:rPr>
          <w:rFonts w:ascii="Arial" w:hAnsi="Arial" w:cs="Arial"/>
          <w:sz w:val="20"/>
          <w:szCs w:val="20"/>
        </w:rPr>
        <w:t xml:space="preserve">is </w:t>
      </w:r>
      <w:r w:rsidR="005D7DEE" w:rsidRPr="00896EEE">
        <w:rPr>
          <w:rFonts w:ascii="Arial" w:hAnsi="Arial" w:cs="Arial"/>
          <w:sz w:val="20"/>
          <w:szCs w:val="20"/>
        </w:rPr>
        <w:t xml:space="preserve">designed </w:t>
      </w:r>
      <w:r w:rsidRPr="00896EEE">
        <w:rPr>
          <w:rFonts w:ascii="Arial" w:hAnsi="Arial" w:cs="Arial"/>
          <w:sz w:val="20"/>
          <w:szCs w:val="20"/>
        </w:rPr>
        <w:t xml:space="preserve">to promote industrialisation </w:t>
      </w:r>
      <w:r w:rsidR="00516369" w:rsidRPr="00896EEE">
        <w:rPr>
          <w:rFonts w:ascii="Arial" w:hAnsi="Arial" w:cs="Arial"/>
          <w:sz w:val="20"/>
          <w:szCs w:val="20"/>
        </w:rPr>
        <w:t xml:space="preserve">to propel </w:t>
      </w:r>
      <w:r w:rsidRPr="00896EEE">
        <w:rPr>
          <w:rFonts w:ascii="Arial" w:hAnsi="Arial" w:cs="Arial"/>
          <w:sz w:val="20"/>
          <w:szCs w:val="20"/>
        </w:rPr>
        <w:t xml:space="preserve">higher levels of growth and investment. Simultaneously, it has to overcome the core socio-economic challenges </w:t>
      </w:r>
      <w:r w:rsidR="005D7DEE" w:rsidRPr="00896EEE">
        <w:rPr>
          <w:rFonts w:ascii="Arial" w:hAnsi="Arial" w:cs="Arial"/>
          <w:sz w:val="20"/>
          <w:szCs w:val="20"/>
        </w:rPr>
        <w:t xml:space="preserve">such as </w:t>
      </w:r>
      <w:r w:rsidRPr="00896EEE">
        <w:rPr>
          <w:rFonts w:ascii="Arial" w:hAnsi="Arial" w:cs="Arial"/>
          <w:sz w:val="20"/>
          <w:szCs w:val="20"/>
        </w:rPr>
        <w:t>deep levels of inequality and</w:t>
      </w:r>
      <w:r w:rsidR="005D7DEE" w:rsidRPr="00896EEE">
        <w:rPr>
          <w:rFonts w:ascii="Arial" w:hAnsi="Arial" w:cs="Arial"/>
          <w:sz w:val="20"/>
          <w:szCs w:val="20"/>
        </w:rPr>
        <w:t xml:space="preserve"> </w:t>
      </w:r>
      <w:r w:rsidRPr="00896EEE">
        <w:rPr>
          <w:rFonts w:ascii="Arial" w:hAnsi="Arial" w:cs="Arial"/>
          <w:sz w:val="20"/>
          <w:szCs w:val="20"/>
        </w:rPr>
        <w:t xml:space="preserve">joblessness. These changes all require disruptive and far-reaching structural changes in long standing economic systems. At the same time, the profound changes wrought by the </w:t>
      </w:r>
      <w:r w:rsidR="005D7DEE" w:rsidRPr="00896EEE">
        <w:rPr>
          <w:rFonts w:ascii="Arial" w:hAnsi="Arial" w:cs="Arial"/>
          <w:sz w:val="20"/>
          <w:szCs w:val="20"/>
        </w:rPr>
        <w:t xml:space="preserve">Covid-19 </w:t>
      </w:r>
      <w:r w:rsidRPr="00896EEE">
        <w:rPr>
          <w:rFonts w:ascii="Arial" w:hAnsi="Arial" w:cs="Arial"/>
          <w:sz w:val="20"/>
          <w:szCs w:val="20"/>
        </w:rPr>
        <w:t xml:space="preserve">pandemic, slower international trade growth and heightened tensions amongst major economies is </w:t>
      </w:r>
      <w:r w:rsidR="005D7DEE" w:rsidRPr="00896EEE">
        <w:rPr>
          <w:rFonts w:ascii="Arial" w:hAnsi="Arial" w:cs="Arial"/>
          <w:sz w:val="20"/>
          <w:szCs w:val="20"/>
        </w:rPr>
        <w:t>deeply</w:t>
      </w:r>
      <w:r w:rsidRPr="00896EEE">
        <w:rPr>
          <w:rFonts w:ascii="Arial" w:hAnsi="Arial" w:cs="Arial"/>
          <w:sz w:val="20"/>
          <w:szCs w:val="20"/>
        </w:rPr>
        <w:t xml:space="preserve"> changing the context of industrial policy. The </w:t>
      </w:r>
      <w:r w:rsidRPr="00896EEE">
        <w:rPr>
          <w:rFonts w:ascii="Arial" w:hAnsi="Arial" w:cs="Arial"/>
          <w:i/>
          <w:sz w:val="20"/>
          <w:szCs w:val="20"/>
        </w:rPr>
        <w:t>Economic Reconstruction and Recovery Programme</w:t>
      </w:r>
      <w:r w:rsidRPr="00896EEE">
        <w:rPr>
          <w:rFonts w:ascii="Arial" w:hAnsi="Arial" w:cs="Arial"/>
          <w:sz w:val="20"/>
          <w:szCs w:val="20"/>
        </w:rPr>
        <w:t xml:space="preserve"> (ERRP) resulted in </w:t>
      </w:r>
      <w:r w:rsidR="005D7DEE" w:rsidRPr="00896EEE">
        <w:rPr>
          <w:rFonts w:ascii="Arial" w:hAnsi="Arial" w:cs="Arial"/>
          <w:sz w:val="20"/>
          <w:szCs w:val="20"/>
        </w:rPr>
        <w:t xml:space="preserve">the formulation of the </w:t>
      </w:r>
      <w:r w:rsidRPr="00896EEE">
        <w:rPr>
          <w:rFonts w:ascii="Arial" w:hAnsi="Arial" w:cs="Arial"/>
          <w:sz w:val="20"/>
          <w:szCs w:val="20"/>
        </w:rPr>
        <w:t xml:space="preserve">re-imagined industrial policy which also builds on </w:t>
      </w:r>
      <w:r w:rsidR="005D7DEE" w:rsidRPr="00896EEE">
        <w:rPr>
          <w:rFonts w:ascii="Arial" w:hAnsi="Arial" w:cs="Arial"/>
          <w:sz w:val="20"/>
          <w:szCs w:val="20"/>
        </w:rPr>
        <w:t xml:space="preserve">various </w:t>
      </w:r>
      <w:r w:rsidRPr="00896EEE">
        <w:rPr>
          <w:rFonts w:ascii="Arial" w:hAnsi="Arial" w:cs="Arial"/>
          <w:sz w:val="20"/>
          <w:szCs w:val="20"/>
        </w:rPr>
        <w:t xml:space="preserve">national key </w:t>
      </w:r>
      <w:r w:rsidR="005D7DEE" w:rsidRPr="00896EEE">
        <w:rPr>
          <w:rFonts w:ascii="Arial" w:hAnsi="Arial" w:cs="Arial"/>
          <w:sz w:val="20"/>
          <w:szCs w:val="20"/>
        </w:rPr>
        <w:t xml:space="preserve">strategic economic policy </w:t>
      </w:r>
      <w:r w:rsidRPr="00896EEE">
        <w:rPr>
          <w:rFonts w:ascii="Arial" w:hAnsi="Arial" w:cs="Arial"/>
          <w:sz w:val="20"/>
          <w:szCs w:val="20"/>
        </w:rPr>
        <w:t xml:space="preserve">documents </w:t>
      </w:r>
      <w:r w:rsidR="005D7DEE" w:rsidRPr="00896EEE">
        <w:rPr>
          <w:rFonts w:ascii="Arial" w:hAnsi="Arial" w:cs="Arial"/>
          <w:sz w:val="20"/>
          <w:szCs w:val="20"/>
        </w:rPr>
        <w:t xml:space="preserve">such as </w:t>
      </w:r>
      <w:r w:rsidRPr="00896EEE">
        <w:rPr>
          <w:rFonts w:ascii="Arial" w:hAnsi="Arial" w:cs="Arial"/>
          <w:sz w:val="20"/>
          <w:szCs w:val="20"/>
        </w:rPr>
        <w:t xml:space="preserve">the </w:t>
      </w:r>
      <w:r w:rsidRPr="00896EEE">
        <w:rPr>
          <w:rFonts w:ascii="Arial" w:hAnsi="Arial" w:cs="Arial"/>
          <w:i/>
          <w:sz w:val="20"/>
          <w:szCs w:val="20"/>
        </w:rPr>
        <w:t xml:space="preserve">National Development Plan, </w:t>
      </w:r>
      <w:r w:rsidRPr="00896EEE">
        <w:rPr>
          <w:rFonts w:ascii="Arial" w:hAnsi="Arial" w:cs="Arial"/>
          <w:sz w:val="20"/>
          <w:szCs w:val="20"/>
        </w:rPr>
        <w:t xml:space="preserve">the </w:t>
      </w:r>
      <w:r w:rsidRPr="00896EEE">
        <w:rPr>
          <w:rFonts w:ascii="Arial" w:hAnsi="Arial" w:cs="Arial"/>
          <w:i/>
          <w:sz w:val="20"/>
          <w:szCs w:val="20"/>
        </w:rPr>
        <w:t>New Growth Path Framework and the Industrial Policy Action Plans</w:t>
      </w:r>
      <w:r w:rsidRPr="00896EEE">
        <w:rPr>
          <w:rFonts w:ascii="Arial" w:hAnsi="Arial" w:cs="Arial"/>
          <w:sz w:val="20"/>
          <w:szCs w:val="20"/>
        </w:rPr>
        <w:t>. The re-imagined industrial policy seeks to deepen the domestic market by growing employment, increasing outcomes and undertaking other measures to improve equity and income distribution, and to widen the market for South African goods and services through a stronger focus on exports to the region and other rapidly growing economies.</w:t>
      </w:r>
      <w:r w:rsidR="005E23C8" w:rsidRPr="00896EEE">
        <w:rPr>
          <w:rFonts w:ascii="Arial" w:hAnsi="Arial" w:cs="Arial"/>
          <w:sz w:val="20"/>
          <w:szCs w:val="20"/>
        </w:rPr>
        <w:t xml:space="preserve"> The three apex outcomes introduced by the Department in its 202</w:t>
      </w:r>
      <w:r w:rsidR="005D7DEE" w:rsidRPr="00896EEE">
        <w:rPr>
          <w:rFonts w:ascii="Arial" w:hAnsi="Arial" w:cs="Arial"/>
          <w:sz w:val="20"/>
          <w:szCs w:val="20"/>
        </w:rPr>
        <w:t xml:space="preserve">3 spending plan </w:t>
      </w:r>
      <w:r w:rsidR="005E23C8" w:rsidRPr="00896EEE">
        <w:rPr>
          <w:rFonts w:ascii="Arial" w:hAnsi="Arial" w:cs="Arial"/>
          <w:sz w:val="20"/>
          <w:szCs w:val="20"/>
        </w:rPr>
        <w:t xml:space="preserve">to consolidate the efforts of all programmes and entities </w:t>
      </w:r>
      <w:r w:rsidR="005D7DEE" w:rsidRPr="00896EEE">
        <w:rPr>
          <w:rFonts w:ascii="Arial" w:hAnsi="Arial" w:cs="Arial"/>
          <w:sz w:val="20"/>
          <w:szCs w:val="20"/>
        </w:rPr>
        <w:t xml:space="preserve">cover the following areas: </w:t>
      </w:r>
    </w:p>
    <w:p w:rsidR="005E23C8" w:rsidRPr="00896EEE" w:rsidRDefault="005E23C8" w:rsidP="00896EEE">
      <w:pPr>
        <w:pStyle w:val="ListParagraph"/>
        <w:numPr>
          <w:ilvl w:val="0"/>
          <w:numId w:val="79"/>
        </w:numPr>
        <w:spacing w:after="0" w:line="240" w:lineRule="auto"/>
        <w:rPr>
          <w:rFonts w:ascii="Arial" w:hAnsi="Arial" w:cs="Arial"/>
          <w:sz w:val="20"/>
          <w:szCs w:val="20"/>
        </w:rPr>
      </w:pPr>
      <w:r w:rsidRPr="00896EEE">
        <w:rPr>
          <w:rFonts w:ascii="Arial" w:hAnsi="Arial" w:cs="Arial"/>
          <w:sz w:val="20"/>
          <w:szCs w:val="20"/>
        </w:rPr>
        <w:t>Industrialisation to promote jobs and rising incomes;</w:t>
      </w:r>
    </w:p>
    <w:p w:rsidR="005E23C8" w:rsidRPr="00896EEE" w:rsidRDefault="005E23C8" w:rsidP="00896EEE">
      <w:pPr>
        <w:pStyle w:val="ListParagraph"/>
        <w:numPr>
          <w:ilvl w:val="0"/>
          <w:numId w:val="79"/>
        </w:numPr>
        <w:spacing w:after="0" w:line="240" w:lineRule="auto"/>
        <w:rPr>
          <w:rFonts w:ascii="Arial" w:hAnsi="Arial" w:cs="Arial"/>
          <w:sz w:val="20"/>
          <w:szCs w:val="20"/>
        </w:rPr>
      </w:pPr>
      <w:r w:rsidRPr="00896EEE">
        <w:rPr>
          <w:rFonts w:ascii="Arial" w:hAnsi="Arial" w:cs="Arial"/>
          <w:sz w:val="20"/>
          <w:szCs w:val="20"/>
        </w:rPr>
        <w:t xml:space="preserve">Transformation to build an inclusive economy and </w:t>
      </w:r>
    </w:p>
    <w:p w:rsidR="005E23C8" w:rsidRPr="00896EEE" w:rsidRDefault="005E23C8" w:rsidP="00896EEE">
      <w:pPr>
        <w:pStyle w:val="ListParagraph"/>
        <w:numPr>
          <w:ilvl w:val="0"/>
          <w:numId w:val="79"/>
        </w:numPr>
        <w:spacing w:after="0" w:line="240" w:lineRule="auto"/>
        <w:rPr>
          <w:rFonts w:ascii="Arial" w:hAnsi="Arial" w:cs="Arial"/>
          <w:sz w:val="20"/>
          <w:szCs w:val="20"/>
        </w:rPr>
      </w:pPr>
      <w:r w:rsidRPr="00896EEE">
        <w:rPr>
          <w:rFonts w:ascii="Arial" w:hAnsi="Arial" w:cs="Arial"/>
          <w:sz w:val="20"/>
          <w:szCs w:val="20"/>
        </w:rPr>
        <w:t xml:space="preserve">A capable state to ensure improved impact of public policies. </w:t>
      </w:r>
    </w:p>
    <w:p w:rsidR="008813D6" w:rsidRPr="00896EEE" w:rsidRDefault="008813D6" w:rsidP="00896EEE">
      <w:pPr>
        <w:spacing w:after="0" w:line="240" w:lineRule="auto"/>
        <w:rPr>
          <w:rFonts w:ascii="Arial" w:hAnsi="Arial" w:cs="Arial"/>
          <w:sz w:val="20"/>
          <w:szCs w:val="20"/>
        </w:rPr>
      </w:pPr>
    </w:p>
    <w:p w:rsidR="005E23C8" w:rsidRPr="00896EEE" w:rsidRDefault="005E23C8" w:rsidP="00896EEE">
      <w:pPr>
        <w:spacing w:after="0" w:line="240" w:lineRule="auto"/>
        <w:rPr>
          <w:rFonts w:ascii="Arial" w:hAnsi="Arial" w:cs="Arial"/>
          <w:sz w:val="20"/>
          <w:szCs w:val="20"/>
        </w:rPr>
      </w:pPr>
      <w:r w:rsidRPr="00896EEE">
        <w:rPr>
          <w:rFonts w:ascii="Arial" w:hAnsi="Arial" w:cs="Arial"/>
          <w:sz w:val="20"/>
          <w:szCs w:val="20"/>
        </w:rPr>
        <w:t>The three apex outcomes have six underlying pillars that reflect the core aims of the re-imagined industrial strategy:</w:t>
      </w:r>
    </w:p>
    <w:p w:rsidR="005E23C8" w:rsidRPr="00896EEE" w:rsidRDefault="005E23C8" w:rsidP="00896EEE">
      <w:pPr>
        <w:pStyle w:val="ListParagraph"/>
        <w:numPr>
          <w:ilvl w:val="0"/>
          <w:numId w:val="80"/>
        </w:numPr>
        <w:spacing w:after="0" w:line="240" w:lineRule="auto"/>
        <w:rPr>
          <w:rFonts w:ascii="Arial" w:hAnsi="Arial" w:cs="Arial"/>
          <w:sz w:val="20"/>
          <w:szCs w:val="20"/>
        </w:rPr>
      </w:pPr>
      <w:r w:rsidRPr="00896EEE">
        <w:rPr>
          <w:rFonts w:ascii="Arial" w:hAnsi="Arial" w:cs="Arial"/>
          <w:sz w:val="20"/>
          <w:szCs w:val="20"/>
        </w:rPr>
        <w:t>To combine growth with transformation;</w:t>
      </w:r>
    </w:p>
    <w:p w:rsidR="005E23C8" w:rsidRPr="00896EEE" w:rsidRDefault="005E23C8" w:rsidP="00896EEE">
      <w:pPr>
        <w:pStyle w:val="ListParagraph"/>
        <w:numPr>
          <w:ilvl w:val="0"/>
          <w:numId w:val="80"/>
        </w:numPr>
        <w:spacing w:after="0" w:line="240" w:lineRule="auto"/>
        <w:rPr>
          <w:rFonts w:ascii="Arial" w:hAnsi="Arial" w:cs="Arial"/>
          <w:sz w:val="20"/>
          <w:szCs w:val="20"/>
        </w:rPr>
      </w:pPr>
      <w:r w:rsidRPr="00896EEE">
        <w:rPr>
          <w:rFonts w:ascii="Arial" w:hAnsi="Arial" w:cs="Arial"/>
          <w:sz w:val="20"/>
          <w:szCs w:val="20"/>
        </w:rPr>
        <w:t>To boost local production;</w:t>
      </w:r>
    </w:p>
    <w:p w:rsidR="005E23C8" w:rsidRPr="00896EEE" w:rsidRDefault="005E23C8" w:rsidP="00896EEE">
      <w:pPr>
        <w:pStyle w:val="ListParagraph"/>
        <w:numPr>
          <w:ilvl w:val="0"/>
          <w:numId w:val="80"/>
        </w:numPr>
        <w:spacing w:after="0" w:line="240" w:lineRule="auto"/>
        <w:rPr>
          <w:rFonts w:ascii="Arial" w:hAnsi="Arial" w:cs="Arial"/>
          <w:sz w:val="20"/>
          <w:szCs w:val="20"/>
        </w:rPr>
      </w:pPr>
      <w:r w:rsidRPr="00896EEE">
        <w:rPr>
          <w:rFonts w:ascii="Arial" w:hAnsi="Arial" w:cs="Arial"/>
          <w:sz w:val="20"/>
          <w:szCs w:val="20"/>
        </w:rPr>
        <w:t>To grow exports and expand African trade;</w:t>
      </w:r>
    </w:p>
    <w:p w:rsidR="005E23C8" w:rsidRPr="00896EEE" w:rsidRDefault="004D4B52" w:rsidP="00896EEE">
      <w:pPr>
        <w:pStyle w:val="ListParagraph"/>
        <w:numPr>
          <w:ilvl w:val="0"/>
          <w:numId w:val="80"/>
        </w:numPr>
        <w:spacing w:after="0" w:line="240" w:lineRule="auto"/>
        <w:rPr>
          <w:rFonts w:ascii="Arial" w:hAnsi="Arial" w:cs="Arial"/>
          <w:sz w:val="20"/>
          <w:szCs w:val="20"/>
        </w:rPr>
      </w:pPr>
      <w:r w:rsidRPr="00896EEE">
        <w:rPr>
          <w:rFonts w:ascii="Arial" w:hAnsi="Arial" w:cs="Arial"/>
          <w:sz w:val="20"/>
          <w:szCs w:val="20"/>
        </w:rPr>
        <w:t>To increase investment;</w:t>
      </w:r>
    </w:p>
    <w:p w:rsidR="00A0578B" w:rsidRPr="00896EEE" w:rsidRDefault="004D4B52" w:rsidP="00896EEE">
      <w:pPr>
        <w:pStyle w:val="ListParagraph"/>
        <w:numPr>
          <w:ilvl w:val="0"/>
          <w:numId w:val="80"/>
        </w:numPr>
        <w:spacing w:after="0" w:line="240" w:lineRule="auto"/>
        <w:rPr>
          <w:rFonts w:ascii="Arial" w:hAnsi="Arial" w:cs="Arial"/>
          <w:sz w:val="20"/>
          <w:szCs w:val="20"/>
        </w:rPr>
      </w:pPr>
      <w:r w:rsidRPr="00896EEE">
        <w:rPr>
          <w:rFonts w:ascii="Arial" w:hAnsi="Arial" w:cs="Arial"/>
          <w:sz w:val="20"/>
          <w:szCs w:val="20"/>
        </w:rPr>
        <w:t xml:space="preserve">To establish a more reliable and low-cost energy system while greening the </w:t>
      </w:r>
      <w:r w:rsidR="005D7DEE" w:rsidRPr="00896EEE">
        <w:rPr>
          <w:rFonts w:ascii="Arial" w:hAnsi="Arial" w:cs="Arial"/>
          <w:sz w:val="20"/>
          <w:szCs w:val="20"/>
        </w:rPr>
        <w:t xml:space="preserve">overall </w:t>
      </w:r>
      <w:r w:rsidRPr="00896EEE">
        <w:rPr>
          <w:rFonts w:ascii="Arial" w:hAnsi="Arial" w:cs="Arial"/>
          <w:sz w:val="20"/>
          <w:szCs w:val="20"/>
        </w:rPr>
        <w:t xml:space="preserve">economy </w:t>
      </w:r>
      <w:r w:rsidR="005D7DEE" w:rsidRPr="00896EEE">
        <w:rPr>
          <w:rFonts w:ascii="Arial" w:hAnsi="Arial" w:cs="Arial"/>
          <w:sz w:val="20"/>
          <w:szCs w:val="20"/>
        </w:rPr>
        <w:t>and t</w:t>
      </w:r>
      <w:r w:rsidRPr="00896EEE">
        <w:rPr>
          <w:rFonts w:ascii="Arial" w:hAnsi="Arial" w:cs="Arial"/>
          <w:sz w:val="20"/>
          <w:szCs w:val="20"/>
        </w:rPr>
        <w:t>o grow employment.</w:t>
      </w:r>
    </w:p>
    <w:p w:rsidR="009A74F5" w:rsidRPr="00896EEE" w:rsidRDefault="009A74F5" w:rsidP="00896EEE">
      <w:pPr>
        <w:spacing w:after="0" w:line="240" w:lineRule="auto"/>
        <w:rPr>
          <w:rFonts w:ascii="Arial" w:hAnsi="Arial" w:cs="Arial"/>
          <w:sz w:val="20"/>
          <w:szCs w:val="20"/>
        </w:rPr>
      </w:pPr>
    </w:p>
    <w:p w:rsidR="00BF11C8" w:rsidRPr="00896EEE" w:rsidRDefault="00BF11C8" w:rsidP="00896EEE">
      <w:pPr>
        <w:spacing w:after="0" w:line="240" w:lineRule="auto"/>
        <w:rPr>
          <w:rFonts w:ascii="Arial" w:hAnsi="Arial" w:cs="Arial"/>
          <w:sz w:val="20"/>
          <w:szCs w:val="20"/>
        </w:rPr>
      </w:pPr>
      <w:r w:rsidRPr="00896EEE">
        <w:rPr>
          <w:rFonts w:ascii="Arial" w:hAnsi="Arial" w:cs="Arial"/>
          <w:sz w:val="20"/>
          <w:szCs w:val="20"/>
        </w:rPr>
        <w:t>The 2023 Budget Review stressed that firms remain under strain given challenging domestic business conditions. Gross fixed-capital formation is estimated to slow to 1.3 per cent in 2023 as weaker global demand and tighter global financial conditions constrain foreign investment. The electricity crisis will weigh on investment decisions and reduce profitability through lost production and increased operating costs. Transport freight and logistics operations, delays in the rollout of infrastructure through the independent power producer programmes will affect the overall performance of the economy. The Department’s strategic policy direction should be mindful of the policy sentiment outline in the 2023 Budget Review.</w:t>
      </w:r>
    </w:p>
    <w:p w:rsidR="009A74F5" w:rsidRPr="00896EEE" w:rsidRDefault="009A74F5" w:rsidP="00896EEE">
      <w:pPr>
        <w:spacing w:after="0" w:line="240" w:lineRule="auto"/>
        <w:rPr>
          <w:rFonts w:ascii="Arial" w:hAnsi="Arial" w:cs="Arial"/>
          <w:sz w:val="20"/>
          <w:szCs w:val="20"/>
        </w:rPr>
      </w:pPr>
    </w:p>
    <w:p w:rsidR="00BF11C8" w:rsidRPr="00896EEE" w:rsidRDefault="009A74F5" w:rsidP="00896EEE">
      <w:pPr>
        <w:spacing w:after="0" w:line="240" w:lineRule="auto"/>
        <w:rPr>
          <w:rFonts w:ascii="Arial" w:hAnsi="Arial" w:cs="Arial"/>
          <w:sz w:val="20"/>
          <w:szCs w:val="20"/>
        </w:rPr>
      </w:pPr>
      <w:r w:rsidRPr="00896EEE">
        <w:rPr>
          <w:rFonts w:ascii="Arial" w:hAnsi="Arial" w:cs="Arial"/>
          <w:sz w:val="20"/>
          <w:szCs w:val="20"/>
        </w:rPr>
        <w:t xml:space="preserve">The </w:t>
      </w:r>
      <w:r w:rsidR="00BF11C8" w:rsidRPr="00896EEE">
        <w:rPr>
          <w:rFonts w:ascii="Arial" w:hAnsi="Arial" w:cs="Arial"/>
          <w:sz w:val="20"/>
          <w:szCs w:val="20"/>
        </w:rPr>
        <w:t xml:space="preserve">2023 Budget Review </w:t>
      </w:r>
      <w:r w:rsidRPr="00896EEE">
        <w:rPr>
          <w:rFonts w:ascii="Arial" w:hAnsi="Arial" w:cs="Arial"/>
          <w:sz w:val="20"/>
          <w:szCs w:val="20"/>
        </w:rPr>
        <w:t xml:space="preserve">indicates </w:t>
      </w:r>
      <w:r w:rsidR="00BF11C8" w:rsidRPr="00896EEE">
        <w:rPr>
          <w:rFonts w:ascii="Arial" w:hAnsi="Arial" w:cs="Arial"/>
          <w:sz w:val="20"/>
          <w:szCs w:val="20"/>
        </w:rPr>
        <w:t xml:space="preserve">that widespread criminal activity poses a threat to economic growth and national security. In addition, a deterioration of the fiscal outlook due to unfunded spending pressures or the materialisation of contingent liabilities could increase borrowing costs, </w:t>
      </w:r>
      <w:r w:rsidR="00BF11C8" w:rsidRPr="00896EEE">
        <w:rPr>
          <w:rFonts w:ascii="Arial" w:hAnsi="Arial" w:cs="Arial"/>
          <w:i/>
          <w:sz w:val="20"/>
          <w:szCs w:val="20"/>
        </w:rPr>
        <w:t>and crowd out both private and public investment</w:t>
      </w:r>
      <w:r w:rsidR="00BF11C8" w:rsidRPr="00896EEE">
        <w:rPr>
          <w:rFonts w:ascii="Arial" w:hAnsi="Arial" w:cs="Arial"/>
          <w:sz w:val="20"/>
          <w:szCs w:val="20"/>
        </w:rPr>
        <w:t>.</w:t>
      </w:r>
    </w:p>
    <w:p w:rsidR="00BF11C8" w:rsidRPr="00896EEE" w:rsidRDefault="00BF11C8" w:rsidP="00896EEE">
      <w:pPr>
        <w:spacing w:after="0" w:line="240" w:lineRule="auto"/>
        <w:rPr>
          <w:rFonts w:ascii="Arial" w:hAnsi="Arial" w:cs="Arial"/>
          <w:sz w:val="20"/>
          <w:szCs w:val="20"/>
        </w:rPr>
      </w:pPr>
    </w:p>
    <w:p w:rsidR="008B6809" w:rsidRPr="00896EEE" w:rsidRDefault="009056CE" w:rsidP="00896EEE">
      <w:pPr>
        <w:spacing w:after="0" w:line="240" w:lineRule="auto"/>
        <w:rPr>
          <w:rFonts w:ascii="Arial" w:hAnsi="Arial" w:cs="Arial"/>
          <w:sz w:val="20"/>
          <w:szCs w:val="20"/>
        </w:rPr>
      </w:pPr>
      <w:r w:rsidRPr="00896EEE">
        <w:rPr>
          <w:rFonts w:ascii="Arial" w:hAnsi="Arial" w:cs="Arial"/>
          <w:sz w:val="20"/>
          <w:szCs w:val="20"/>
        </w:rPr>
        <w:t>Investment in water, roads, port and energy infrastructure is pivotal to the recovery and growth of the economy. The Committee emphasised that provincial and municipal capital spending should be scaled up. Lack of capital spending at both provincial and local government would have a direct impact to the success of the Special Economic Zones and Industrial Parks. Local government capacity and capability would need to be geared-up. This would need crucial investment facilitation and cluster-oriented management capabilities.</w:t>
      </w:r>
    </w:p>
    <w:p w:rsidR="00CC4481" w:rsidRPr="00896EEE" w:rsidRDefault="00CC4481" w:rsidP="00896EEE">
      <w:pPr>
        <w:spacing w:after="0" w:line="240" w:lineRule="auto"/>
        <w:rPr>
          <w:rFonts w:ascii="Arial" w:hAnsi="Arial" w:cs="Arial"/>
          <w:sz w:val="20"/>
          <w:szCs w:val="20"/>
        </w:rPr>
      </w:pPr>
    </w:p>
    <w:p w:rsidR="00412BE6" w:rsidRPr="00896EEE" w:rsidRDefault="00412BE6" w:rsidP="00896EEE">
      <w:pPr>
        <w:pStyle w:val="ListParagraph"/>
        <w:numPr>
          <w:ilvl w:val="0"/>
          <w:numId w:val="30"/>
        </w:numPr>
        <w:spacing w:after="0" w:line="240" w:lineRule="auto"/>
        <w:rPr>
          <w:rFonts w:ascii="Arial" w:hAnsi="Arial" w:cs="Arial"/>
          <w:b/>
          <w:sz w:val="20"/>
          <w:szCs w:val="20"/>
        </w:rPr>
      </w:pPr>
      <w:r w:rsidRPr="00896EEE">
        <w:rPr>
          <w:rFonts w:ascii="Arial" w:hAnsi="Arial" w:cs="Arial"/>
          <w:b/>
          <w:sz w:val="20"/>
          <w:szCs w:val="20"/>
        </w:rPr>
        <w:t>Budget Policy Area</w:t>
      </w:r>
    </w:p>
    <w:p w:rsidR="008B6809" w:rsidRPr="00896EEE" w:rsidRDefault="008B6809" w:rsidP="00896EEE">
      <w:pPr>
        <w:pStyle w:val="Default"/>
        <w:rPr>
          <w:sz w:val="20"/>
          <w:szCs w:val="20"/>
        </w:rPr>
      </w:pPr>
    </w:p>
    <w:p w:rsidR="004D4B52" w:rsidRPr="00896EEE" w:rsidRDefault="004D4B52" w:rsidP="00896EEE">
      <w:pPr>
        <w:pStyle w:val="Default"/>
        <w:rPr>
          <w:i/>
          <w:sz w:val="20"/>
          <w:szCs w:val="20"/>
        </w:rPr>
      </w:pPr>
      <w:r w:rsidRPr="00896EEE">
        <w:rPr>
          <w:sz w:val="20"/>
          <w:szCs w:val="20"/>
        </w:rPr>
        <w:t xml:space="preserve">The Department will continue to develop and implement various sectoral master plans over the MTEF period. These key components of the </w:t>
      </w:r>
      <w:r w:rsidRPr="00896EEE">
        <w:rPr>
          <w:i/>
          <w:sz w:val="20"/>
          <w:szCs w:val="20"/>
        </w:rPr>
        <w:t>Re-Imagined Industrial Strategy</w:t>
      </w:r>
      <w:r w:rsidRPr="00896EEE">
        <w:rPr>
          <w:sz w:val="20"/>
          <w:szCs w:val="20"/>
        </w:rPr>
        <w:t xml:space="preserve">, which presents a multi-pronged approach to industrial development, with an emphasis on building partnerships with the private sector to secure investment to create jobs. Over the period ahead, this entails focussing on supporting the implementation of key interventions </w:t>
      </w:r>
      <w:r w:rsidR="00802394" w:rsidRPr="00896EEE">
        <w:rPr>
          <w:sz w:val="20"/>
          <w:szCs w:val="20"/>
        </w:rPr>
        <w:t xml:space="preserve">outlined by the </w:t>
      </w:r>
      <w:r w:rsidRPr="00896EEE">
        <w:rPr>
          <w:sz w:val="20"/>
          <w:szCs w:val="20"/>
        </w:rPr>
        <w:t xml:space="preserve">ERRP, particularly by providing </w:t>
      </w:r>
      <w:r w:rsidRPr="00896EEE">
        <w:rPr>
          <w:sz w:val="20"/>
          <w:szCs w:val="20"/>
        </w:rPr>
        <w:lastRenderedPageBreak/>
        <w:t xml:space="preserve">industrial finance, developing industrial infrastructure and enhancing competitiveness and localisation. According to the </w:t>
      </w:r>
      <w:r w:rsidRPr="00896EEE">
        <w:rPr>
          <w:i/>
          <w:sz w:val="20"/>
          <w:szCs w:val="20"/>
        </w:rPr>
        <w:t>2023 National Treasury Estimates of National Expenditure</w:t>
      </w:r>
      <w:r w:rsidRPr="00896EEE">
        <w:rPr>
          <w:sz w:val="20"/>
          <w:szCs w:val="20"/>
        </w:rPr>
        <w:t xml:space="preserve">, the Department’s total expenditure is expected to increase at an average annual rate of 0.5 percent, from R10.9 billion in 2022/23 to R11.1 billion in 2025/26. Spending in the </w:t>
      </w:r>
      <w:r w:rsidRPr="00896EEE">
        <w:rPr>
          <w:i/>
          <w:sz w:val="20"/>
          <w:szCs w:val="20"/>
        </w:rPr>
        <w:t>Incentives Programme</w:t>
      </w:r>
      <w:r w:rsidRPr="00896EEE">
        <w:rPr>
          <w:sz w:val="20"/>
          <w:szCs w:val="20"/>
        </w:rPr>
        <w:t xml:space="preserve">, mainly to disburse funds for industrial financial assistance, is expected to increase at an average annual rate of 3.2 percent, from R5.3 billion in 2022/23 to R5.8 billion in 2025/26. Allocations to the programme account for an estimated 51.1 percent (R16.9 billion) of the Department’s expenditure over the MTEF period. The </w:t>
      </w:r>
      <w:r w:rsidRPr="00896EEE">
        <w:rPr>
          <w:i/>
          <w:sz w:val="20"/>
          <w:szCs w:val="20"/>
        </w:rPr>
        <w:t>Transformation and Competition Progra</w:t>
      </w:r>
      <w:r w:rsidRPr="00896EEE">
        <w:rPr>
          <w:sz w:val="20"/>
          <w:szCs w:val="20"/>
        </w:rPr>
        <w:t>mme</w:t>
      </w:r>
      <w:r w:rsidR="00DD26AC" w:rsidRPr="00896EEE">
        <w:rPr>
          <w:sz w:val="20"/>
          <w:szCs w:val="20"/>
        </w:rPr>
        <w:t xml:space="preserve">’s baseline is expected to decrease at an average annual rate of 17.3 percent due to the </w:t>
      </w:r>
      <w:r w:rsidR="00DD26AC" w:rsidRPr="00896EEE">
        <w:rPr>
          <w:i/>
          <w:sz w:val="20"/>
          <w:szCs w:val="20"/>
        </w:rPr>
        <w:t>Social Employment Fund</w:t>
      </w:r>
      <w:r w:rsidR="00DD26AC" w:rsidRPr="00896EEE">
        <w:rPr>
          <w:sz w:val="20"/>
          <w:szCs w:val="20"/>
        </w:rPr>
        <w:t xml:space="preserve"> for the </w:t>
      </w:r>
      <w:r w:rsidR="00DD26AC" w:rsidRPr="00896EEE">
        <w:rPr>
          <w:i/>
          <w:sz w:val="20"/>
          <w:szCs w:val="20"/>
        </w:rPr>
        <w:t>Presidential Employment Initiative</w:t>
      </w:r>
      <w:r w:rsidR="00DD26AC" w:rsidRPr="00896EEE">
        <w:rPr>
          <w:sz w:val="20"/>
          <w:szCs w:val="20"/>
        </w:rPr>
        <w:t xml:space="preserve"> not being extended beyond 2023/24.</w:t>
      </w:r>
      <w:r w:rsidRPr="00896EEE">
        <w:rPr>
          <w:i/>
          <w:sz w:val="20"/>
          <w:szCs w:val="20"/>
        </w:rPr>
        <w:t xml:space="preserve">  </w:t>
      </w:r>
    </w:p>
    <w:p w:rsidR="00DD26AC" w:rsidRPr="00896EEE" w:rsidRDefault="00E064B5" w:rsidP="00896EEE">
      <w:pPr>
        <w:spacing w:after="0" w:line="240" w:lineRule="auto"/>
        <w:rPr>
          <w:rFonts w:ascii="Arial" w:hAnsi="Arial" w:cs="Arial"/>
          <w:sz w:val="20"/>
          <w:szCs w:val="20"/>
        </w:rPr>
      </w:pPr>
      <w:r w:rsidRPr="00896EEE">
        <w:rPr>
          <w:rFonts w:ascii="Arial" w:hAnsi="Arial" w:cs="Arial"/>
          <w:sz w:val="20"/>
          <w:szCs w:val="20"/>
        </w:rPr>
        <w:t xml:space="preserve"> </w:t>
      </w:r>
    </w:p>
    <w:p w:rsidR="006A7D76" w:rsidRPr="00896EEE" w:rsidRDefault="00DD26AC" w:rsidP="00896EEE">
      <w:pPr>
        <w:spacing w:after="0" w:line="240" w:lineRule="auto"/>
        <w:rPr>
          <w:rFonts w:ascii="Arial" w:hAnsi="Arial" w:cs="Arial"/>
          <w:b/>
          <w:i/>
          <w:sz w:val="20"/>
          <w:szCs w:val="20"/>
        </w:rPr>
      </w:pPr>
      <w:r w:rsidRPr="00896EEE">
        <w:rPr>
          <w:rFonts w:ascii="Arial" w:hAnsi="Arial" w:cs="Arial"/>
          <w:b/>
          <w:i/>
          <w:sz w:val="20"/>
          <w:szCs w:val="20"/>
        </w:rPr>
        <w:t>Providing industrial finance</w:t>
      </w:r>
    </w:p>
    <w:p w:rsidR="00802394" w:rsidRPr="00896EEE" w:rsidRDefault="00DD26AC" w:rsidP="00896EEE">
      <w:pPr>
        <w:spacing w:after="0" w:line="240" w:lineRule="auto"/>
        <w:rPr>
          <w:rFonts w:ascii="Arial" w:hAnsi="Arial" w:cs="Arial"/>
          <w:sz w:val="20"/>
          <w:szCs w:val="20"/>
        </w:rPr>
      </w:pPr>
      <w:r w:rsidRPr="00896EEE">
        <w:rPr>
          <w:rFonts w:ascii="Arial" w:hAnsi="Arial" w:cs="Arial"/>
          <w:sz w:val="20"/>
          <w:szCs w:val="20"/>
        </w:rPr>
        <w:t>In support of the ERRP, initiatives in the Incentives Programme are aimed at growing sustainable and competitive enterprises through providing direct or indirect industrial financing. Over the next three years, the Department will continue to provide financial support to the Automotive Incentive Scheme, the Black Industrialists Programme, the Agro-Processing Support Scheme, the Strategic Partnership Programme and the Aquaculture Development and Enhancement Programme. Allocations to the Manufacturing Incentives sub-pro</w:t>
      </w:r>
      <w:r w:rsidR="005D4261" w:rsidRPr="00896EEE">
        <w:rPr>
          <w:rFonts w:ascii="Arial" w:hAnsi="Arial" w:cs="Arial"/>
          <w:sz w:val="20"/>
          <w:szCs w:val="20"/>
        </w:rPr>
        <w:t xml:space="preserve">gramme account for an estimated 51 percent (R8.8 billion) of the Incentives programme’s budget over the medium term. </w:t>
      </w:r>
    </w:p>
    <w:p w:rsidR="00802394" w:rsidRPr="00896EEE" w:rsidRDefault="00802394" w:rsidP="00896EEE">
      <w:pPr>
        <w:spacing w:after="0" w:line="240" w:lineRule="auto"/>
        <w:rPr>
          <w:rFonts w:ascii="Arial" w:hAnsi="Arial" w:cs="Arial"/>
          <w:sz w:val="20"/>
          <w:szCs w:val="20"/>
        </w:rPr>
      </w:pPr>
    </w:p>
    <w:p w:rsidR="00DD26AC" w:rsidRPr="00896EEE" w:rsidRDefault="005D4261" w:rsidP="00896EEE">
      <w:pPr>
        <w:spacing w:after="0" w:line="240" w:lineRule="auto"/>
        <w:rPr>
          <w:rFonts w:ascii="Arial" w:hAnsi="Arial" w:cs="Arial"/>
          <w:sz w:val="20"/>
          <w:szCs w:val="20"/>
        </w:rPr>
      </w:pPr>
      <w:r w:rsidRPr="00896EEE">
        <w:rPr>
          <w:rFonts w:ascii="Arial" w:hAnsi="Arial" w:cs="Arial"/>
          <w:sz w:val="20"/>
          <w:szCs w:val="20"/>
        </w:rPr>
        <w:t xml:space="preserve">The </w:t>
      </w:r>
      <w:r w:rsidR="00802394" w:rsidRPr="00896EEE">
        <w:rPr>
          <w:rFonts w:ascii="Arial" w:hAnsi="Arial" w:cs="Arial"/>
          <w:sz w:val="20"/>
          <w:szCs w:val="20"/>
        </w:rPr>
        <w:t>D</w:t>
      </w:r>
      <w:r w:rsidRPr="00896EEE">
        <w:rPr>
          <w:rFonts w:ascii="Arial" w:hAnsi="Arial" w:cs="Arial"/>
          <w:sz w:val="20"/>
          <w:szCs w:val="20"/>
        </w:rPr>
        <w:t xml:space="preserve">epartment will also provide financial assistance or support to 300 clothing and textile firms through the clothing and textiles competitiveness programme, which has a budget of R1.8 billion over the period ahead in the Sectors programme. Through these incentive programmes, the department expects to leverage R83 billion in private sector investment. A further R728.8 million over the medium term is reprioritised, mainly from the </w:t>
      </w:r>
      <w:r w:rsidR="00802394" w:rsidRPr="00896EEE">
        <w:rPr>
          <w:rFonts w:ascii="Arial" w:hAnsi="Arial" w:cs="Arial"/>
          <w:sz w:val="20"/>
          <w:szCs w:val="20"/>
        </w:rPr>
        <w:t>D</w:t>
      </w:r>
      <w:r w:rsidRPr="00896EEE">
        <w:rPr>
          <w:rFonts w:ascii="Arial" w:hAnsi="Arial" w:cs="Arial"/>
          <w:sz w:val="20"/>
          <w:szCs w:val="20"/>
        </w:rPr>
        <w:t>epartment’s operational budget, as it implements the new energy vehicle roadmap. The roadmap is intended to enhance the transitioning of the automotive industry in South Africa from internal combustion engines to electric motors, in line with global trends.</w:t>
      </w:r>
    </w:p>
    <w:p w:rsidR="005D4261" w:rsidRPr="00896EEE" w:rsidRDefault="005D4261" w:rsidP="00896EEE">
      <w:pPr>
        <w:spacing w:after="0" w:line="240" w:lineRule="auto"/>
        <w:rPr>
          <w:rFonts w:ascii="Arial" w:hAnsi="Arial" w:cs="Arial"/>
          <w:sz w:val="20"/>
          <w:szCs w:val="20"/>
        </w:rPr>
      </w:pPr>
    </w:p>
    <w:p w:rsidR="005D4261" w:rsidRPr="00896EEE" w:rsidRDefault="005D4261" w:rsidP="00896EEE">
      <w:pPr>
        <w:spacing w:after="0" w:line="240" w:lineRule="auto"/>
        <w:rPr>
          <w:rFonts w:ascii="Arial" w:hAnsi="Arial" w:cs="Arial"/>
          <w:b/>
          <w:sz w:val="20"/>
          <w:szCs w:val="20"/>
        </w:rPr>
      </w:pPr>
      <w:r w:rsidRPr="00896EEE">
        <w:rPr>
          <w:rFonts w:ascii="Arial" w:hAnsi="Arial" w:cs="Arial"/>
          <w:b/>
          <w:i/>
          <w:sz w:val="20"/>
          <w:szCs w:val="20"/>
        </w:rPr>
        <w:t xml:space="preserve">Developing industrial infrastructure </w:t>
      </w:r>
    </w:p>
    <w:p w:rsidR="005D4261" w:rsidRPr="00896EEE" w:rsidRDefault="005D4261" w:rsidP="00896EEE">
      <w:pPr>
        <w:spacing w:after="0" w:line="240" w:lineRule="auto"/>
        <w:rPr>
          <w:rFonts w:ascii="Arial" w:hAnsi="Arial" w:cs="Arial"/>
          <w:sz w:val="20"/>
          <w:szCs w:val="20"/>
        </w:rPr>
      </w:pPr>
      <w:r w:rsidRPr="00896EEE">
        <w:rPr>
          <w:rFonts w:ascii="Arial" w:hAnsi="Arial" w:cs="Arial"/>
          <w:sz w:val="20"/>
          <w:szCs w:val="20"/>
        </w:rPr>
        <w:t xml:space="preserve">A critical part of the economic reconstruction and recovery plan includes interventions to catalyse investment through infrastructure development. This includes subsidising bulk infrastructure and top structures (factories) in special economic zones, and rolling out infrastructure to revitalise a targeted 16 industrial parks over the medium term. These subsidies are provided mainly through the </w:t>
      </w:r>
      <w:r w:rsidRPr="00896EEE">
        <w:rPr>
          <w:rFonts w:ascii="Arial" w:hAnsi="Arial" w:cs="Arial"/>
          <w:i/>
          <w:sz w:val="20"/>
          <w:szCs w:val="20"/>
        </w:rPr>
        <w:t xml:space="preserve">Infrastructure Investment Support </w:t>
      </w:r>
      <w:r w:rsidRPr="00896EEE">
        <w:rPr>
          <w:rFonts w:ascii="Arial" w:hAnsi="Arial" w:cs="Arial"/>
          <w:sz w:val="20"/>
          <w:szCs w:val="20"/>
        </w:rPr>
        <w:t xml:space="preserve">subprogramme in the </w:t>
      </w:r>
      <w:r w:rsidRPr="00896EEE">
        <w:rPr>
          <w:rFonts w:ascii="Arial" w:hAnsi="Arial" w:cs="Arial"/>
          <w:i/>
          <w:sz w:val="20"/>
          <w:szCs w:val="20"/>
        </w:rPr>
        <w:t xml:space="preserve">Incentives </w:t>
      </w:r>
      <w:r w:rsidRPr="00896EEE">
        <w:rPr>
          <w:rFonts w:ascii="Arial" w:hAnsi="Arial" w:cs="Arial"/>
          <w:sz w:val="20"/>
          <w:szCs w:val="20"/>
        </w:rPr>
        <w:t xml:space="preserve">programme, with R4.5 billion over the MTEF period allocated for special economic zones, R443.4 million for industrial parks and R372.7 million for critical bulk infrastructure such as water, electricity and sewerage connections. </w:t>
      </w:r>
    </w:p>
    <w:p w:rsidR="005D4261" w:rsidRPr="00896EEE" w:rsidRDefault="005D4261" w:rsidP="00896EEE">
      <w:pPr>
        <w:spacing w:after="0" w:line="240" w:lineRule="auto"/>
        <w:rPr>
          <w:rFonts w:ascii="Arial" w:hAnsi="Arial" w:cs="Arial"/>
          <w:sz w:val="20"/>
          <w:szCs w:val="20"/>
        </w:rPr>
      </w:pPr>
    </w:p>
    <w:p w:rsidR="005D4261" w:rsidRPr="00896EEE" w:rsidRDefault="005D4261" w:rsidP="00896EEE">
      <w:pPr>
        <w:spacing w:after="0" w:line="240" w:lineRule="auto"/>
        <w:rPr>
          <w:rFonts w:ascii="Arial" w:hAnsi="Arial" w:cs="Arial"/>
          <w:b/>
          <w:sz w:val="20"/>
          <w:szCs w:val="20"/>
        </w:rPr>
      </w:pPr>
      <w:r w:rsidRPr="00896EEE">
        <w:rPr>
          <w:rFonts w:ascii="Arial" w:hAnsi="Arial" w:cs="Arial"/>
          <w:b/>
          <w:i/>
          <w:sz w:val="20"/>
          <w:szCs w:val="20"/>
        </w:rPr>
        <w:t xml:space="preserve">Enhancing industrial competitiveness and localisation </w:t>
      </w:r>
    </w:p>
    <w:p w:rsidR="005D4261" w:rsidRPr="00896EEE" w:rsidRDefault="005D4261" w:rsidP="00896EEE">
      <w:pPr>
        <w:spacing w:after="0" w:line="240" w:lineRule="auto"/>
        <w:rPr>
          <w:rFonts w:ascii="Arial" w:hAnsi="Arial" w:cs="Arial"/>
          <w:sz w:val="20"/>
          <w:szCs w:val="20"/>
        </w:rPr>
      </w:pPr>
      <w:r w:rsidRPr="00896EEE">
        <w:rPr>
          <w:rFonts w:ascii="Arial" w:hAnsi="Arial" w:cs="Arial"/>
          <w:sz w:val="20"/>
          <w:szCs w:val="20"/>
        </w:rPr>
        <w:t xml:space="preserve">The department aims to enhance industrial competitiveness at firm and sector level through conditions on financial incentives and local procurement policies that encourage industry to use local products. This entails disbursing funds to technical institutions such as the Proudly South African campaign to support sectoral work on master plans and projects that aim to improve industrialisation and competitiveness, and increase localisation. Through collaboration between government, business and labour, these policy interventions are aimed at building local industrial capacity for the domestic and export markets. Expenditure for this work is within allocations amounting to R2.5 billion over the medium term in the </w:t>
      </w:r>
      <w:r w:rsidRPr="00896EEE">
        <w:rPr>
          <w:rFonts w:ascii="Arial" w:hAnsi="Arial" w:cs="Arial"/>
          <w:i/>
          <w:sz w:val="20"/>
          <w:szCs w:val="20"/>
        </w:rPr>
        <w:t xml:space="preserve">Industrial Competitiveness </w:t>
      </w:r>
      <w:r w:rsidRPr="00896EEE">
        <w:rPr>
          <w:rFonts w:ascii="Arial" w:hAnsi="Arial" w:cs="Arial"/>
          <w:sz w:val="20"/>
          <w:szCs w:val="20"/>
        </w:rPr>
        <w:t>sub</w:t>
      </w:r>
      <w:r w:rsidR="00942F7A" w:rsidRPr="00896EEE">
        <w:rPr>
          <w:rFonts w:ascii="Arial" w:hAnsi="Arial" w:cs="Arial"/>
          <w:sz w:val="20"/>
          <w:szCs w:val="20"/>
        </w:rPr>
        <w:t>-</w:t>
      </w:r>
      <w:r w:rsidRPr="00896EEE">
        <w:rPr>
          <w:rFonts w:ascii="Arial" w:hAnsi="Arial" w:cs="Arial"/>
          <w:sz w:val="20"/>
          <w:szCs w:val="20"/>
        </w:rPr>
        <w:t xml:space="preserve">programme in the </w:t>
      </w:r>
      <w:r w:rsidRPr="00896EEE">
        <w:rPr>
          <w:rFonts w:ascii="Arial" w:hAnsi="Arial" w:cs="Arial"/>
          <w:i/>
          <w:sz w:val="20"/>
          <w:szCs w:val="20"/>
        </w:rPr>
        <w:t xml:space="preserve">Sectors </w:t>
      </w:r>
      <w:r w:rsidRPr="00896EEE">
        <w:rPr>
          <w:rFonts w:ascii="Arial" w:hAnsi="Arial" w:cs="Arial"/>
          <w:sz w:val="20"/>
          <w:szCs w:val="20"/>
        </w:rPr>
        <w:t xml:space="preserve">programme. A further R30 million over the period ahead is allocated to the South African Bureau of Standards for local content verifications.  </w:t>
      </w:r>
    </w:p>
    <w:p w:rsidR="00977870" w:rsidRPr="00896EEE" w:rsidRDefault="00977870" w:rsidP="00896EEE">
      <w:pPr>
        <w:spacing w:after="0" w:line="240" w:lineRule="auto"/>
        <w:rPr>
          <w:rFonts w:ascii="Arial" w:hAnsi="Arial" w:cs="Arial"/>
          <w:sz w:val="20"/>
          <w:szCs w:val="20"/>
        </w:rPr>
      </w:pPr>
    </w:p>
    <w:p w:rsidR="00867935" w:rsidRPr="00896EEE" w:rsidRDefault="00867935" w:rsidP="00896EEE">
      <w:pPr>
        <w:pStyle w:val="ListParagraph"/>
        <w:numPr>
          <w:ilvl w:val="0"/>
          <w:numId w:val="30"/>
        </w:numPr>
        <w:spacing w:after="0" w:line="240" w:lineRule="auto"/>
        <w:rPr>
          <w:rFonts w:ascii="Arial" w:hAnsi="Arial" w:cs="Arial"/>
          <w:b/>
          <w:sz w:val="20"/>
          <w:szCs w:val="20"/>
        </w:rPr>
      </w:pPr>
      <w:r w:rsidRPr="00896EEE">
        <w:rPr>
          <w:rFonts w:ascii="Arial" w:hAnsi="Arial" w:cs="Arial"/>
          <w:b/>
          <w:sz w:val="20"/>
          <w:szCs w:val="20"/>
        </w:rPr>
        <w:t>Changes to the Department’s Strategic Outcomes</w:t>
      </w:r>
    </w:p>
    <w:p w:rsidR="00867935" w:rsidRPr="00896EEE" w:rsidRDefault="00867935" w:rsidP="00896EEE">
      <w:pPr>
        <w:spacing w:after="0" w:line="240" w:lineRule="auto"/>
        <w:rPr>
          <w:rFonts w:ascii="Arial" w:hAnsi="Arial" w:cs="Arial"/>
          <w:sz w:val="20"/>
          <w:szCs w:val="20"/>
        </w:rPr>
      </w:pPr>
    </w:p>
    <w:p w:rsidR="003F3A7B" w:rsidRPr="00896EEE" w:rsidRDefault="003F3A7B" w:rsidP="00896EEE">
      <w:pPr>
        <w:spacing w:after="0" w:line="240" w:lineRule="auto"/>
        <w:rPr>
          <w:rFonts w:ascii="Arial" w:hAnsi="Arial" w:cs="Arial"/>
          <w:sz w:val="20"/>
          <w:szCs w:val="20"/>
        </w:rPr>
      </w:pPr>
      <w:r w:rsidRPr="00896EEE">
        <w:rPr>
          <w:rFonts w:ascii="Arial" w:hAnsi="Arial" w:cs="Arial"/>
          <w:sz w:val="20"/>
          <w:szCs w:val="20"/>
        </w:rPr>
        <w:t>The Department</w:t>
      </w:r>
      <w:r w:rsidRPr="00896EEE">
        <w:rPr>
          <w:rFonts w:ascii="Arial" w:hAnsi="Arial" w:cs="Arial"/>
          <w:b/>
          <w:sz w:val="20"/>
          <w:szCs w:val="20"/>
        </w:rPr>
        <w:t xml:space="preserve"> </w:t>
      </w:r>
      <w:r w:rsidRPr="00896EEE">
        <w:rPr>
          <w:rFonts w:ascii="Arial" w:hAnsi="Arial" w:cs="Arial"/>
          <w:sz w:val="20"/>
          <w:szCs w:val="20"/>
        </w:rPr>
        <w:t xml:space="preserve">in previous APPs targeted </w:t>
      </w:r>
      <w:r w:rsidRPr="00896EEE">
        <w:rPr>
          <w:rFonts w:ascii="Arial" w:hAnsi="Arial" w:cs="Arial"/>
          <w:i/>
          <w:sz w:val="20"/>
          <w:szCs w:val="20"/>
        </w:rPr>
        <w:t xml:space="preserve">inputs and activities </w:t>
      </w:r>
      <w:r w:rsidRPr="00896EEE">
        <w:rPr>
          <w:rFonts w:ascii="Arial" w:hAnsi="Arial" w:cs="Arial"/>
          <w:sz w:val="20"/>
          <w:szCs w:val="20"/>
        </w:rPr>
        <w:t xml:space="preserve">that would have a beneficial outcome and impact on jobs, industrial output, exports, and investment. This was done because many external factors driving the outcomes were outside the control or influence of the Department and the entities within its portfolio. The Department highlighted that a focus on inputs/ activities can distort resource allocation, it also limits accountability on the impact of the use of public resources. To address both these concerns, a new high impact based and outcome focussed approach was developed. For the 2023/24 financial, building on progress made since 2019, the Department’s APP has a significant new element – meaningful outputs that more closely track to the three outcomes to measure success of </w:t>
      </w:r>
      <w:r w:rsidRPr="00896EEE">
        <w:rPr>
          <w:rFonts w:ascii="Arial" w:hAnsi="Arial" w:cs="Arial"/>
          <w:sz w:val="20"/>
          <w:szCs w:val="20"/>
        </w:rPr>
        <w:lastRenderedPageBreak/>
        <w:t>the Department and its entities</w:t>
      </w:r>
      <w:r w:rsidR="00802394" w:rsidRPr="00896EEE">
        <w:rPr>
          <w:rFonts w:ascii="Arial" w:hAnsi="Arial" w:cs="Arial"/>
          <w:sz w:val="20"/>
          <w:szCs w:val="20"/>
        </w:rPr>
        <w:t>’</w:t>
      </w:r>
      <w:r w:rsidRPr="00896EEE">
        <w:rPr>
          <w:rFonts w:ascii="Arial" w:hAnsi="Arial" w:cs="Arial"/>
          <w:sz w:val="20"/>
          <w:szCs w:val="20"/>
        </w:rPr>
        <w:t xml:space="preserve"> work. The new approach focusses on meaningful outputs (referred to targets).</w:t>
      </w:r>
    </w:p>
    <w:p w:rsidR="005D4261" w:rsidRPr="00896EEE" w:rsidRDefault="005D4261" w:rsidP="00896EEE">
      <w:pPr>
        <w:spacing w:after="0" w:line="240" w:lineRule="auto"/>
        <w:rPr>
          <w:rFonts w:ascii="Arial" w:hAnsi="Arial" w:cs="Arial"/>
          <w:sz w:val="20"/>
          <w:szCs w:val="20"/>
        </w:rPr>
      </w:pPr>
    </w:p>
    <w:p w:rsidR="003F3A7B" w:rsidRPr="00896EEE" w:rsidRDefault="00802394" w:rsidP="00896EEE">
      <w:pPr>
        <w:spacing w:after="0" w:line="240" w:lineRule="auto"/>
        <w:rPr>
          <w:rFonts w:ascii="Arial" w:hAnsi="Arial" w:cs="Arial"/>
          <w:sz w:val="20"/>
          <w:szCs w:val="20"/>
        </w:rPr>
      </w:pPr>
      <w:r w:rsidRPr="00896EEE">
        <w:rPr>
          <w:rFonts w:ascii="Arial" w:hAnsi="Arial" w:cs="Arial"/>
          <w:sz w:val="20"/>
          <w:szCs w:val="20"/>
        </w:rPr>
        <w:t xml:space="preserve">It was reported that the 10 </w:t>
      </w:r>
      <w:r w:rsidR="003F3A7B" w:rsidRPr="00896EEE">
        <w:rPr>
          <w:rFonts w:ascii="Arial" w:hAnsi="Arial" w:cs="Arial"/>
          <w:sz w:val="20"/>
          <w:szCs w:val="20"/>
        </w:rPr>
        <w:t>core targets represent the real impact the Department aims to achieve in the economy, and measure crucial indicators like local output, job creation and the performance of black industrialists. While all the Department’s targets are important, the following core targets are the apex priorities</w:t>
      </w:r>
      <w:r w:rsidRPr="00896EEE">
        <w:rPr>
          <w:rFonts w:ascii="Arial" w:hAnsi="Arial" w:cs="Arial"/>
          <w:sz w:val="20"/>
          <w:szCs w:val="20"/>
        </w:rPr>
        <w:t xml:space="preserve">, </w:t>
      </w:r>
      <w:r w:rsidR="003F3A7B" w:rsidRPr="00896EEE">
        <w:rPr>
          <w:rFonts w:ascii="Arial" w:hAnsi="Arial" w:cs="Arial"/>
          <w:sz w:val="20"/>
          <w:szCs w:val="20"/>
        </w:rPr>
        <w:t>and all programmes are expected to contribute to the achievement of the following essential outputs:</w:t>
      </w:r>
    </w:p>
    <w:p w:rsidR="009A74F5" w:rsidRPr="00896EEE" w:rsidRDefault="009A74F5" w:rsidP="00896EEE">
      <w:pPr>
        <w:spacing w:after="0" w:line="240" w:lineRule="auto"/>
        <w:rPr>
          <w:rFonts w:ascii="Arial" w:hAnsi="Arial" w:cs="Arial"/>
          <w:sz w:val="20"/>
          <w:szCs w:val="20"/>
        </w:rPr>
      </w:pPr>
    </w:p>
    <w:p w:rsidR="009A74F5" w:rsidRPr="00896EEE" w:rsidRDefault="009A74F5" w:rsidP="00896EEE">
      <w:pPr>
        <w:spacing w:after="0" w:line="240" w:lineRule="auto"/>
        <w:rPr>
          <w:rFonts w:ascii="Arial" w:hAnsi="Arial" w:cs="Arial"/>
          <w:sz w:val="20"/>
          <w:szCs w:val="20"/>
        </w:rPr>
      </w:pPr>
    </w:p>
    <w:p w:rsidR="003F3A7B" w:rsidRPr="00896EEE" w:rsidRDefault="003F3A7B" w:rsidP="00896EEE">
      <w:pPr>
        <w:spacing w:after="0" w:line="240" w:lineRule="auto"/>
        <w:rPr>
          <w:rFonts w:ascii="Arial" w:hAnsi="Arial" w:cs="Arial"/>
          <w:sz w:val="20"/>
          <w:szCs w:val="20"/>
        </w:rPr>
      </w:pPr>
    </w:p>
    <w:tbl>
      <w:tblPr>
        <w:tblStyle w:val="TableGrid0"/>
        <w:tblW w:w="0" w:type="auto"/>
        <w:tblLook w:val="04A0"/>
      </w:tblPr>
      <w:tblGrid>
        <w:gridCol w:w="1803"/>
        <w:gridCol w:w="1803"/>
        <w:gridCol w:w="1803"/>
        <w:gridCol w:w="1803"/>
        <w:gridCol w:w="1804"/>
      </w:tblGrid>
      <w:tr w:rsidR="003F3A7B" w:rsidRPr="00896EEE" w:rsidTr="003F3A7B">
        <w:tc>
          <w:tcPr>
            <w:tcW w:w="1803" w:type="dxa"/>
          </w:tcPr>
          <w:p w:rsidR="003F3A7B" w:rsidRPr="00896EEE" w:rsidRDefault="003F3A7B" w:rsidP="00896EEE">
            <w:pPr>
              <w:rPr>
                <w:rFonts w:ascii="Arial" w:hAnsi="Arial" w:cs="Arial"/>
                <w:b/>
                <w:sz w:val="20"/>
                <w:szCs w:val="20"/>
              </w:rPr>
            </w:pPr>
            <w:r w:rsidRPr="00896EEE">
              <w:rPr>
                <w:rFonts w:ascii="Arial" w:hAnsi="Arial" w:cs="Arial"/>
                <w:b/>
                <w:sz w:val="20"/>
                <w:szCs w:val="20"/>
              </w:rPr>
              <w:t>R200 billion</w:t>
            </w:r>
          </w:p>
          <w:p w:rsidR="003F3A7B" w:rsidRPr="00896EEE" w:rsidRDefault="003F3A7B" w:rsidP="00896EEE">
            <w:pPr>
              <w:rPr>
                <w:rFonts w:ascii="Arial" w:hAnsi="Arial" w:cs="Arial"/>
                <w:sz w:val="20"/>
                <w:szCs w:val="20"/>
              </w:rPr>
            </w:pPr>
            <w:r w:rsidRPr="00896EEE">
              <w:rPr>
                <w:rFonts w:ascii="Arial" w:hAnsi="Arial" w:cs="Arial"/>
                <w:sz w:val="20"/>
                <w:szCs w:val="20"/>
              </w:rPr>
              <w:t xml:space="preserve">In investment pledges secured across the state </w:t>
            </w:r>
          </w:p>
        </w:tc>
        <w:tc>
          <w:tcPr>
            <w:tcW w:w="1803" w:type="dxa"/>
          </w:tcPr>
          <w:p w:rsidR="003F3A7B" w:rsidRPr="00896EEE" w:rsidRDefault="003F3A7B" w:rsidP="00896EEE">
            <w:pPr>
              <w:rPr>
                <w:rFonts w:ascii="Arial" w:hAnsi="Arial" w:cs="Arial"/>
                <w:b/>
                <w:sz w:val="20"/>
                <w:szCs w:val="20"/>
              </w:rPr>
            </w:pPr>
            <w:r w:rsidRPr="00896EEE">
              <w:rPr>
                <w:rFonts w:ascii="Arial" w:hAnsi="Arial" w:cs="Arial"/>
                <w:b/>
                <w:sz w:val="20"/>
                <w:szCs w:val="20"/>
              </w:rPr>
              <w:t xml:space="preserve">R40 billion </w:t>
            </w:r>
          </w:p>
          <w:p w:rsidR="003F3A7B" w:rsidRPr="00896EEE" w:rsidRDefault="003F3A7B" w:rsidP="00896EEE">
            <w:pPr>
              <w:rPr>
                <w:rFonts w:ascii="Arial" w:hAnsi="Arial" w:cs="Arial"/>
                <w:sz w:val="20"/>
                <w:szCs w:val="20"/>
              </w:rPr>
            </w:pPr>
            <w:r w:rsidRPr="00896EEE">
              <w:rPr>
                <w:rFonts w:ascii="Arial" w:hAnsi="Arial" w:cs="Arial"/>
                <w:sz w:val="20"/>
                <w:szCs w:val="20"/>
              </w:rPr>
              <w:t>In additional local output committed to achieved</w:t>
            </w:r>
          </w:p>
        </w:tc>
        <w:tc>
          <w:tcPr>
            <w:tcW w:w="1803" w:type="dxa"/>
          </w:tcPr>
          <w:p w:rsidR="003F3A7B" w:rsidRPr="00896EEE" w:rsidRDefault="003F3A7B" w:rsidP="00896EEE">
            <w:pPr>
              <w:rPr>
                <w:rFonts w:ascii="Arial" w:hAnsi="Arial" w:cs="Arial"/>
                <w:b/>
                <w:sz w:val="20"/>
                <w:szCs w:val="20"/>
              </w:rPr>
            </w:pPr>
            <w:r w:rsidRPr="00896EEE">
              <w:rPr>
                <w:rFonts w:ascii="Arial" w:hAnsi="Arial" w:cs="Arial"/>
                <w:b/>
                <w:sz w:val="20"/>
                <w:szCs w:val="20"/>
              </w:rPr>
              <w:t>R700 billion</w:t>
            </w:r>
          </w:p>
          <w:p w:rsidR="003F3A7B" w:rsidRPr="00896EEE" w:rsidRDefault="003F3A7B" w:rsidP="00896EEE">
            <w:pPr>
              <w:rPr>
                <w:rFonts w:ascii="Arial" w:hAnsi="Arial" w:cs="Arial"/>
                <w:sz w:val="20"/>
                <w:szCs w:val="20"/>
              </w:rPr>
            </w:pPr>
            <w:r w:rsidRPr="00896EEE">
              <w:rPr>
                <w:rFonts w:ascii="Arial" w:hAnsi="Arial" w:cs="Arial"/>
                <w:sz w:val="20"/>
                <w:szCs w:val="20"/>
              </w:rPr>
              <w:t>In manufacturing exports</w:t>
            </w:r>
          </w:p>
        </w:tc>
        <w:tc>
          <w:tcPr>
            <w:tcW w:w="1803" w:type="dxa"/>
          </w:tcPr>
          <w:p w:rsidR="003F3A7B" w:rsidRPr="00896EEE" w:rsidRDefault="003F3A7B" w:rsidP="00896EEE">
            <w:pPr>
              <w:rPr>
                <w:rFonts w:ascii="Arial" w:hAnsi="Arial" w:cs="Arial"/>
                <w:b/>
                <w:sz w:val="20"/>
                <w:szCs w:val="20"/>
              </w:rPr>
            </w:pPr>
            <w:r w:rsidRPr="00896EEE">
              <w:rPr>
                <w:rFonts w:ascii="Arial" w:hAnsi="Arial" w:cs="Arial"/>
                <w:b/>
                <w:sz w:val="20"/>
                <w:szCs w:val="20"/>
              </w:rPr>
              <w:t>R300 billion</w:t>
            </w:r>
          </w:p>
          <w:p w:rsidR="003F3A7B" w:rsidRPr="00896EEE" w:rsidRDefault="003F3A7B" w:rsidP="00896EEE">
            <w:pPr>
              <w:rPr>
                <w:rFonts w:ascii="Arial" w:hAnsi="Arial" w:cs="Arial"/>
                <w:sz w:val="20"/>
                <w:szCs w:val="20"/>
              </w:rPr>
            </w:pPr>
            <w:r w:rsidRPr="00896EEE">
              <w:rPr>
                <w:rFonts w:ascii="Arial" w:hAnsi="Arial" w:cs="Arial"/>
                <w:sz w:val="20"/>
                <w:szCs w:val="20"/>
              </w:rPr>
              <w:t>In manufacturing exports to other African countries</w:t>
            </w:r>
          </w:p>
        </w:tc>
        <w:tc>
          <w:tcPr>
            <w:tcW w:w="1804" w:type="dxa"/>
          </w:tcPr>
          <w:p w:rsidR="003F3A7B" w:rsidRPr="00896EEE" w:rsidRDefault="003F3A7B" w:rsidP="00896EEE">
            <w:pPr>
              <w:rPr>
                <w:rFonts w:ascii="Arial" w:hAnsi="Arial" w:cs="Arial"/>
                <w:b/>
                <w:sz w:val="20"/>
                <w:szCs w:val="20"/>
              </w:rPr>
            </w:pPr>
            <w:r w:rsidRPr="00896EEE">
              <w:rPr>
                <w:rFonts w:ascii="Arial" w:hAnsi="Arial" w:cs="Arial"/>
                <w:b/>
                <w:sz w:val="20"/>
                <w:szCs w:val="20"/>
              </w:rPr>
              <w:t>R25 billion</w:t>
            </w:r>
          </w:p>
          <w:p w:rsidR="003F3A7B" w:rsidRPr="00896EEE" w:rsidRDefault="003F3A7B" w:rsidP="00896EEE">
            <w:pPr>
              <w:rPr>
                <w:rFonts w:ascii="Arial" w:hAnsi="Arial" w:cs="Arial"/>
                <w:sz w:val="20"/>
                <w:szCs w:val="20"/>
              </w:rPr>
            </w:pPr>
            <w:r w:rsidRPr="00896EEE">
              <w:rPr>
                <w:rFonts w:ascii="Arial" w:hAnsi="Arial" w:cs="Arial"/>
                <w:sz w:val="20"/>
                <w:szCs w:val="20"/>
              </w:rPr>
              <w:t>In exports to Global Business Services (GBS)</w:t>
            </w:r>
          </w:p>
        </w:tc>
      </w:tr>
      <w:tr w:rsidR="003F3A7B" w:rsidRPr="00896EEE" w:rsidTr="003F3A7B">
        <w:tc>
          <w:tcPr>
            <w:tcW w:w="1803" w:type="dxa"/>
          </w:tcPr>
          <w:p w:rsidR="003F3A7B" w:rsidRPr="00896EEE" w:rsidRDefault="003F3A7B" w:rsidP="00896EEE">
            <w:pPr>
              <w:rPr>
                <w:rFonts w:ascii="Arial" w:hAnsi="Arial" w:cs="Arial"/>
                <w:b/>
                <w:sz w:val="20"/>
                <w:szCs w:val="20"/>
              </w:rPr>
            </w:pPr>
            <w:r w:rsidRPr="00896EEE">
              <w:rPr>
                <w:rFonts w:ascii="Arial" w:hAnsi="Arial" w:cs="Arial"/>
                <w:b/>
                <w:sz w:val="20"/>
                <w:szCs w:val="20"/>
              </w:rPr>
              <w:t>R40 billion</w:t>
            </w:r>
          </w:p>
          <w:p w:rsidR="003F3A7B" w:rsidRPr="00896EEE" w:rsidRDefault="003F3A7B" w:rsidP="00896EEE">
            <w:pPr>
              <w:rPr>
                <w:rFonts w:ascii="Arial" w:hAnsi="Arial" w:cs="Arial"/>
                <w:sz w:val="20"/>
                <w:szCs w:val="20"/>
              </w:rPr>
            </w:pPr>
            <w:r w:rsidRPr="00896EEE">
              <w:rPr>
                <w:rFonts w:ascii="Arial" w:hAnsi="Arial" w:cs="Arial"/>
                <w:sz w:val="20"/>
                <w:szCs w:val="20"/>
              </w:rPr>
              <w:t>In Black Industrialist Output achieved</w:t>
            </w:r>
          </w:p>
        </w:tc>
        <w:tc>
          <w:tcPr>
            <w:tcW w:w="1803" w:type="dxa"/>
          </w:tcPr>
          <w:p w:rsidR="003F3A7B" w:rsidRPr="00896EEE" w:rsidRDefault="003F3A7B" w:rsidP="00896EEE">
            <w:pPr>
              <w:rPr>
                <w:rFonts w:ascii="Arial" w:hAnsi="Arial" w:cs="Arial"/>
                <w:b/>
                <w:sz w:val="20"/>
                <w:szCs w:val="20"/>
              </w:rPr>
            </w:pPr>
            <w:r w:rsidRPr="00896EEE">
              <w:rPr>
                <w:rFonts w:ascii="Arial" w:hAnsi="Arial" w:cs="Arial"/>
                <w:b/>
                <w:sz w:val="20"/>
                <w:szCs w:val="20"/>
              </w:rPr>
              <w:t>1 million</w:t>
            </w:r>
          </w:p>
          <w:p w:rsidR="003F3A7B" w:rsidRPr="00896EEE" w:rsidRDefault="003F3A7B" w:rsidP="00896EEE">
            <w:pPr>
              <w:rPr>
                <w:rFonts w:ascii="Arial" w:hAnsi="Arial" w:cs="Arial"/>
                <w:sz w:val="20"/>
                <w:szCs w:val="20"/>
              </w:rPr>
            </w:pPr>
            <w:r w:rsidRPr="00896EEE">
              <w:rPr>
                <w:rFonts w:ascii="Arial" w:hAnsi="Arial" w:cs="Arial"/>
                <w:sz w:val="20"/>
                <w:szCs w:val="20"/>
              </w:rPr>
              <w:t>Jobs supported or covered by Master Plans</w:t>
            </w:r>
          </w:p>
        </w:tc>
        <w:tc>
          <w:tcPr>
            <w:tcW w:w="1803" w:type="dxa"/>
          </w:tcPr>
          <w:p w:rsidR="003F3A7B" w:rsidRPr="00896EEE" w:rsidRDefault="003F3A7B" w:rsidP="00896EEE">
            <w:pPr>
              <w:rPr>
                <w:rFonts w:ascii="Arial" w:hAnsi="Arial" w:cs="Arial"/>
                <w:b/>
                <w:sz w:val="20"/>
                <w:szCs w:val="20"/>
              </w:rPr>
            </w:pPr>
            <w:r w:rsidRPr="00896EEE">
              <w:rPr>
                <w:rFonts w:ascii="Arial" w:hAnsi="Arial" w:cs="Arial"/>
                <w:b/>
                <w:sz w:val="20"/>
                <w:szCs w:val="20"/>
              </w:rPr>
              <w:t>100 000</w:t>
            </w:r>
          </w:p>
          <w:p w:rsidR="003F3A7B" w:rsidRPr="00896EEE" w:rsidRDefault="003F3A7B" w:rsidP="00896EEE">
            <w:pPr>
              <w:rPr>
                <w:rFonts w:ascii="Arial" w:hAnsi="Arial" w:cs="Arial"/>
                <w:sz w:val="20"/>
                <w:szCs w:val="20"/>
              </w:rPr>
            </w:pPr>
            <w:r w:rsidRPr="00896EEE">
              <w:rPr>
                <w:rFonts w:ascii="Arial" w:hAnsi="Arial" w:cs="Arial"/>
                <w:sz w:val="20"/>
                <w:szCs w:val="20"/>
              </w:rPr>
              <w:t>Jobs to be created</w:t>
            </w:r>
          </w:p>
        </w:tc>
        <w:tc>
          <w:tcPr>
            <w:tcW w:w="1803" w:type="dxa"/>
          </w:tcPr>
          <w:p w:rsidR="003F3A7B" w:rsidRPr="00896EEE" w:rsidRDefault="00264A92" w:rsidP="00896EEE">
            <w:pPr>
              <w:rPr>
                <w:rFonts w:ascii="Arial" w:hAnsi="Arial" w:cs="Arial"/>
                <w:b/>
                <w:sz w:val="20"/>
                <w:szCs w:val="20"/>
              </w:rPr>
            </w:pPr>
            <w:r w:rsidRPr="00896EEE">
              <w:rPr>
                <w:rFonts w:ascii="Arial" w:hAnsi="Arial" w:cs="Arial"/>
                <w:b/>
                <w:sz w:val="20"/>
                <w:szCs w:val="20"/>
              </w:rPr>
              <w:t>23 000</w:t>
            </w:r>
          </w:p>
          <w:p w:rsidR="00264A92" w:rsidRPr="00896EEE" w:rsidRDefault="00264A92" w:rsidP="00896EEE">
            <w:pPr>
              <w:rPr>
                <w:rFonts w:ascii="Arial" w:hAnsi="Arial" w:cs="Arial"/>
                <w:sz w:val="20"/>
                <w:szCs w:val="20"/>
              </w:rPr>
            </w:pPr>
            <w:r w:rsidRPr="00896EEE">
              <w:rPr>
                <w:rFonts w:ascii="Arial" w:hAnsi="Arial" w:cs="Arial"/>
                <w:sz w:val="20"/>
                <w:szCs w:val="20"/>
              </w:rPr>
              <w:t>Jobs in black industrialists firms</w:t>
            </w:r>
          </w:p>
        </w:tc>
        <w:tc>
          <w:tcPr>
            <w:tcW w:w="1804" w:type="dxa"/>
          </w:tcPr>
          <w:p w:rsidR="00264A92" w:rsidRPr="00896EEE" w:rsidRDefault="00264A92" w:rsidP="00896EEE">
            <w:pPr>
              <w:rPr>
                <w:rFonts w:ascii="Arial" w:hAnsi="Arial" w:cs="Arial"/>
                <w:b/>
                <w:sz w:val="20"/>
                <w:szCs w:val="20"/>
              </w:rPr>
            </w:pPr>
            <w:r w:rsidRPr="00896EEE">
              <w:rPr>
                <w:rFonts w:ascii="Arial" w:hAnsi="Arial" w:cs="Arial"/>
                <w:b/>
                <w:sz w:val="20"/>
                <w:szCs w:val="20"/>
              </w:rPr>
              <w:t xml:space="preserve">20 000 </w:t>
            </w:r>
          </w:p>
          <w:p w:rsidR="00264A92" w:rsidRPr="00896EEE" w:rsidRDefault="00264A92" w:rsidP="00896EEE">
            <w:pPr>
              <w:rPr>
                <w:rFonts w:ascii="Arial" w:hAnsi="Arial" w:cs="Arial"/>
                <w:sz w:val="20"/>
                <w:szCs w:val="20"/>
              </w:rPr>
            </w:pPr>
            <w:r w:rsidRPr="00896EEE">
              <w:rPr>
                <w:rFonts w:ascii="Arial" w:hAnsi="Arial" w:cs="Arial"/>
                <w:sz w:val="20"/>
                <w:szCs w:val="20"/>
              </w:rPr>
              <w:t>Additional workers with shares in their companies</w:t>
            </w:r>
          </w:p>
        </w:tc>
      </w:tr>
    </w:tbl>
    <w:p w:rsidR="003F3A7B" w:rsidRPr="00896EEE" w:rsidRDefault="003F3A7B" w:rsidP="00896EEE">
      <w:pPr>
        <w:spacing w:after="0" w:line="240" w:lineRule="auto"/>
        <w:rPr>
          <w:rFonts w:ascii="Arial" w:hAnsi="Arial" w:cs="Arial"/>
          <w:sz w:val="20"/>
          <w:szCs w:val="20"/>
        </w:rPr>
      </w:pPr>
    </w:p>
    <w:p w:rsidR="00264A92" w:rsidRPr="00896EEE" w:rsidRDefault="00264A92" w:rsidP="00896EEE">
      <w:pPr>
        <w:spacing w:after="0" w:line="240" w:lineRule="auto"/>
        <w:rPr>
          <w:rFonts w:ascii="Arial" w:hAnsi="Arial" w:cs="Arial"/>
          <w:sz w:val="20"/>
          <w:szCs w:val="20"/>
        </w:rPr>
      </w:pPr>
      <w:r w:rsidRPr="00896EEE">
        <w:rPr>
          <w:rFonts w:ascii="Arial" w:hAnsi="Arial" w:cs="Arial"/>
          <w:sz w:val="20"/>
          <w:szCs w:val="20"/>
        </w:rPr>
        <w:t>These 10 core outputs are part of 45 output and targets which have been clustered into the following 12 functional focus areas:</w:t>
      </w:r>
    </w:p>
    <w:p w:rsidR="00264A92" w:rsidRPr="00896EEE" w:rsidRDefault="00264A92" w:rsidP="00896EEE">
      <w:pPr>
        <w:spacing w:after="0" w:line="240" w:lineRule="auto"/>
        <w:rPr>
          <w:rFonts w:ascii="Arial" w:hAnsi="Arial" w:cs="Arial"/>
          <w:sz w:val="20"/>
          <w:szCs w:val="20"/>
        </w:rPr>
      </w:pPr>
    </w:p>
    <w:tbl>
      <w:tblPr>
        <w:tblStyle w:val="TableGrid0"/>
        <w:tblW w:w="0" w:type="auto"/>
        <w:tblLook w:val="04A0"/>
      </w:tblPr>
      <w:tblGrid>
        <w:gridCol w:w="4508"/>
        <w:gridCol w:w="4508"/>
      </w:tblGrid>
      <w:tr w:rsidR="00264A92" w:rsidRPr="00896EEE" w:rsidTr="00264A92">
        <w:tc>
          <w:tcPr>
            <w:tcW w:w="4508" w:type="dxa"/>
          </w:tcPr>
          <w:p w:rsidR="00264A92" w:rsidRPr="00896EEE" w:rsidRDefault="00264A92" w:rsidP="00896EEE">
            <w:pPr>
              <w:pStyle w:val="ListParagraph"/>
              <w:numPr>
                <w:ilvl w:val="0"/>
                <w:numId w:val="81"/>
              </w:numPr>
              <w:rPr>
                <w:rFonts w:ascii="Arial" w:hAnsi="Arial" w:cs="Arial"/>
                <w:sz w:val="20"/>
                <w:szCs w:val="20"/>
              </w:rPr>
            </w:pPr>
            <w:r w:rsidRPr="00896EEE">
              <w:rPr>
                <w:rFonts w:ascii="Arial" w:hAnsi="Arial" w:cs="Arial"/>
                <w:sz w:val="20"/>
                <w:szCs w:val="20"/>
              </w:rPr>
              <w:t>Investment</w:t>
            </w:r>
          </w:p>
        </w:tc>
        <w:tc>
          <w:tcPr>
            <w:tcW w:w="4508" w:type="dxa"/>
          </w:tcPr>
          <w:p w:rsidR="00264A92" w:rsidRPr="00896EEE" w:rsidRDefault="00264A92" w:rsidP="00896EEE">
            <w:pPr>
              <w:pStyle w:val="ListParagraph"/>
              <w:numPr>
                <w:ilvl w:val="0"/>
                <w:numId w:val="30"/>
              </w:numPr>
              <w:rPr>
                <w:rFonts w:ascii="Arial" w:hAnsi="Arial" w:cs="Arial"/>
                <w:sz w:val="20"/>
                <w:szCs w:val="20"/>
              </w:rPr>
            </w:pPr>
            <w:r w:rsidRPr="00896EEE">
              <w:rPr>
                <w:rFonts w:ascii="Arial" w:hAnsi="Arial" w:cs="Arial"/>
                <w:sz w:val="20"/>
                <w:szCs w:val="20"/>
              </w:rPr>
              <w:t>Energy</w:t>
            </w:r>
          </w:p>
        </w:tc>
      </w:tr>
      <w:tr w:rsidR="00264A92" w:rsidRPr="00896EEE" w:rsidTr="00264A92">
        <w:tc>
          <w:tcPr>
            <w:tcW w:w="4508" w:type="dxa"/>
          </w:tcPr>
          <w:p w:rsidR="00264A92" w:rsidRPr="00896EEE" w:rsidRDefault="00264A92" w:rsidP="00896EEE">
            <w:pPr>
              <w:pStyle w:val="ListParagraph"/>
              <w:numPr>
                <w:ilvl w:val="0"/>
                <w:numId w:val="81"/>
              </w:numPr>
              <w:rPr>
                <w:rFonts w:ascii="Arial" w:hAnsi="Arial" w:cs="Arial"/>
                <w:sz w:val="20"/>
                <w:szCs w:val="20"/>
              </w:rPr>
            </w:pPr>
            <w:r w:rsidRPr="00896EEE">
              <w:rPr>
                <w:rFonts w:ascii="Arial" w:hAnsi="Arial" w:cs="Arial"/>
                <w:sz w:val="20"/>
                <w:szCs w:val="20"/>
              </w:rPr>
              <w:t>Industrial production</w:t>
            </w:r>
          </w:p>
        </w:tc>
        <w:tc>
          <w:tcPr>
            <w:tcW w:w="4508" w:type="dxa"/>
          </w:tcPr>
          <w:p w:rsidR="00264A92" w:rsidRPr="00896EEE" w:rsidRDefault="00264A92" w:rsidP="00896EEE">
            <w:pPr>
              <w:pStyle w:val="ListParagraph"/>
              <w:numPr>
                <w:ilvl w:val="0"/>
                <w:numId w:val="30"/>
              </w:numPr>
              <w:rPr>
                <w:rFonts w:ascii="Arial" w:hAnsi="Arial" w:cs="Arial"/>
                <w:sz w:val="20"/>
                <w:szCs w:val="20"/>
              </w:rPr>
            </w:pPr>
            <w:r w:rsidRPr="00896EEE">
              <w:rPr>
                <w:rFonts w:ascii="Arial" w:hAnsi="Arial" w:cs="Arial"/>
                <w:sz w:val="20"/>
                <w:szCs w:val="20"/>
              </w:rPr>
              <w:t xml:space="preserve">Green Economy targets </w:t>
            </w:r>
          </w:p>
        </w:tc>
      </w:tr>
      <w:tr w:rsidR="00264A92" w:rsidRPr="00896EEE" w:rsidTr="00264A92">
        <w:tc>
          <w:tcPr>
            <w:tcW w:w="4508" w:type="dxa"/>
          </w:tcPr>
          <w:p w:rsidR="00264A92" w:rsidRPr="00896EEE" w:rsidRDefault="00264A92" w:rsidP="00896EEE">
            <w:pPr>
              <w:pStyle w:val="ListParagraph"/>
              <w:numPr>
                <w:ilvl w:val="0"/>
                <w:numId w:val="81"/>
              </w:numPr>
              <w:rPr>
                <w:rFonts w:ascii="Arial" w:hAnsi="Arial" w:cs="Arial"/>
                <w:sz w:val="20"/>
                <w:szCs w:val="20"/>
              </w:rPr>
            </w:pPr>
            <w:r w:rsidRPr="00896EEE">
              <w:rPr>
                <w:rFonts w:ascii="Arial" w:hAnsi="Arial" w:cs="Arial"/>
                <w:sz w:val="20"/>
                <w:szCs w:val="20"/>
              </w:rPr>
              <w:t>Exports</w:t>
            </w:r>
          </w:p>
        </w:tc>
        <w:tc>
          <w:tcPr>
            <w:tcW w:w="4508" w:type="dxa"/>
          </w:tcPr>
          <w:p w:rsidR="00264A92" w:rsidRPr="00896EEE" w:rsidRDefault="00264A92" w:rsidP="00896EEE">
            <w:pPr>
              <w:pStyle w:val="ListParagraph"/>
              <w:numPr>
                <w:ilvl w:val="0"/>
                <w:numId w:val="30"/>
              </w:numPr>
              <w:rPr>
                <w:rFonts w:ascii="Arial" w:hAnsi="Arial" w:cs="Arial"/>
                <w:sz w:val="20"/>
                <w:szCs w:val="20"/>
              </w:rPr>
            </w:pPr>
            <w:r w:rsidRPr="00896EEE">
              <w:rPr>
                <w:rFonts w:ascii="Arial" w:hAnsi="Arial" w:cs="Arial"/>
                <w:sz w:val="20"/>
                <w:szCs w:val="20"/>
              </w:rPr>
              <w:t>Stakeholder engagement and impacts</w:t>
            </w:r>
          </w:p>
        </w:tc>
      </w:tr>
      <w:tr w:rsidR="00264A92" w:rsidRPr="00896EEE" w:rsidTr="00264A92">
        <w:tc>
          <w:tcPr>
            <w:tcW w:w="4508" w:type="dxa"/>
          </w:tcPr>
          <w:p w:rsidR="00264A92" w:rsidRPr="00896EEE" w:rsidRDefault="00264A92" w:rsidP="00896EEE">
            <w:pPr>
              <w:pStyle w:val="ListParagraph"/>
              <w:numPr>
                <w:ilvl w:val="0"/>
                <w:numId w:val="81"/>
              </w:numPr>
              <w:rPr>
                <w:rFonts w:ascii="Arial" w:hAnsi="Arial" w:cs="Arial"/>
                <w:sz w:val="20"/>
                <w:szCs w:val="20"/>
              </w:rPr>
            </w:pPr>
            <w:r w:rsidRPr="00896EEE">
              <w:rPr>
                <w:rFonts w:ascii="Arial" w:hAnsi="Arial" w:cs="Arial"/>
                <w:sz w:val="20"/>
                <w:szCs w:val="20"/>
              </w:rPr>
              <w:t>Industrial support</w:t>
            </w:r>
          </w:p>
        </w:tc>
        <w:tc>
          <w:tcPr>
            <w:tcW w:w="4508" w:type="dxa"/>
          </w:tcPr>
          <w:p w:rsidR="00264A92" w:rsidRPr="00896EEE" w:rsidRDefault="00264A92" w:rsidP="00896EEE">
            <w:pPr>
              <w:pStyle w:val="ListParagraph"/>
              <w:numPr>
                <w:ilvl w:val="0"/>
                <w:numId w:val="30"/>
              </w:numPr>
              <w:rPr>
                <w:rFonts w:ascii="Arial" w:hAnsi="Arial" w:cs="Arial"/>
                <w:sz w:val="20"/>
                <w:szCs w:val="20"/>
              </w:rPr>
            </w:pPr>
            <w:r w:rsidRPr="00896EEE">
              <w:rPr>
                <w:rFonts w:ascii="Arial" w:hAnsi="Arial" w:cs="Arial"/>
                <w:sz w:val="20"/>
                <w:szCs w:val="20"/>
              </w:rPr>
              <w:t>Addressing crime</w:t>
            </w:r>
          </w:p>
        </w:tc>
      </w:tr>
      <w:tr w:rsidR="00264A92" w:rsidRPr="00896EEE" w:rsidTr="00264A92">
        <w:tc>
          <w:tcPr>
            <w:tcW w:w="4508" w:type="dxa"/>
          </w:tcPr>
          <w:p w:rsidR="00264A92" w:rsidRPr="00896EEE" w:rsidRDefault="00264A92" w:rsidP="00896EEE">
            <w:pPr>
              <w:pStyle w:val="ListParagraph"/>
              <w:numPr>
                <w:ilvl w:val="0"/>
                <w:numId w:val="81"/>
              </w:numPr>
              <w:rPr>
                <w:rFonts w:ascii="Arial" w:hAnsi="Arial" w:cs="Arial"/>
                <w:sz w:val="20"/>
                <w:szCs w:val="20"/>
              </w:rPr>
            </w:pPr>
            <w:r w:rsidRPr="00896EEE">
              <w:rPr>
                <w:rFonts w:ascii="Arial" w:hAnsi="Arial" w:cs="Arial"/>
                <w:sz w:val="20"/>
                <w:szCs w:val="20"/>
              </w:rPr>
              <w:t xml:space="preserve">Transformation </w:t>
            </w:r>
          </w:p>
        </w:tc>
        <w:tc>
          <w:tcPr>
            <w:tcW w:w="4508" w:type="dxa"/>
          </w:tcPr>
          <w:p w:rsidR="00264A92" w:rsidRPr="00896EEE" w:rsidRDefault="00264A92" w:rsidP="00896EEE">
            <w:pPr>
              <w:pStyle w:val="ListParagraph"/>
              <w:numPr>
                <w:ilvl w:val="0"/>
                <w:numId w:val="30"/>
              </w:numPr>
              <w:rPr>
                <w:rFonts w:ascii="Arial" w:hAnsi="Arial" w:cs="Arial"/>
                <w:sz w:val="20"/>
                <w:szCs w:val="20"/>
              </w:rPr>
            </w:pPr>
            <w:r w:rsidRPr="00896EEE">
              <w:rPr>
                <w:rFonts w:ascii="Arial" w:hAnsi="Arial" w:cs="Arial"/>
                <w:sz w:val="20"/>
                <w:szCs w:val="20"/>
              </w:rPr>
              <w:t>Red tape and state capability targets</w:t>
            </w:r>
          </w:p>
        </w:tc>
      </w:tr>
      <w:tr w:rsidR="00264A92" w:rsidRPr="00896EEE" w:rsidTr="00264A92">
        <w:tc>
          <w:tcPr>
            <w:tcW w:w="4508" w:type="dxa"/>
          </w:tcPr>
          <w:p w:rsidR="00264A92" w:rsidRPr="00896EEE" w:rsidRDefault="00264A92" w:rsidP="00896EEE">
            <w:pPr>
              <w:pStyle w:val="ListParagraph"/>
              <w:numPr>
                <w:ilvl w:val="0"/>
                <w:numId w:val="81"/>
              </w:numPr>
              <w:rPr>
                <w:rFonts w:ascii="Arial" w:hAnsi="Arial" w:cs="Arial"/>
                <w:sz w:val="20"/>
                <w:szCs w:val="20"/>
              </w:rPr>
            </w:pPr>
            <w:r w:rsidRPr="00896EEE">
              <w:rPr>
                <w:rFonts w:ascii="Arial" w:hAnsi="Arial" w:cs="Arial"/>
                <w:sz w:val="20"/>
                <w:szCs w:val="20"/>
              </w:rPr>
              <w:t>Jobs</w:t>
            </w:r>
          </w:p>
        </w:tc>
        <w:tc>
          <w:tcPr>
            <w:tcW w:w="4508" w:type="dxa"/>
          </w:tcPr>
          <w:p w:rsidR="00264A92" w:rsidRPr="00896EEE" w:rsidRDefault="00264A92" w:rsidP="00896EEE">
            <w:pPr>
              <w:pStyle w:val="ListParagraph"/>
              <w:numPr>
                <w:ilvl w:val="0"/>
                <w:numId w:val="30"/>
              </w:numPr>
              <w:rPr>
                <w:rFonts w:ascii="Arial" w:hAnsi="Arial" w:cs="Arial"/>
                <w:sz w:val="20"/>
                <w:szCs w:val="20"/>
              </w:rPr>
            </w:pPr>
            <w:r w:rsidRPr="00896EEE">
              <w:rPr>
                <w:rFonts w:ascii="Arial" w:hAnsi="Arial" w:cs="Arial"/>
                <w:sz w:val="20"/>
                <w:szCs w:val="20"/>
              </w:rPr>
              <w:t>Improving the capacity and responsiveness of the state and social partnership</w:t>
            </w:r>
          </w:p>
        </w:tc>
      </w:tr>
    </w:tbl>
    <w:p w:rsidR="00264A92" w:rsidRPr="00896EEE" w:rsidRDefault="00264A92" w:rsidP="00896EEE">
      <w:pPr>
        <w:spacing w:after="0" w:line="240" w:lineRule="auto"/>
        <w:rPr>
          <w:rFonts w:ascii="Arial" w:hAnsi="Arial" w:cs="Arial"/>
          <w:sz w:val="20"/>
          <w:szCs w:val="20"/>
        </w:rPr>
      </w:pPr>
    </w:p>
    <w:p w:rsidR="005D4261" w:rsidRPr="00896EEE" w:rsidRDefault="00264A92" w:rsidP="00896EEE">
      <w:pPr>
        <w:spacing w:after="0" w:line="240" w:lineRule="auto"/>
        <w:rPr>
          <w:rFonts w:ascii="Arial" w:hAnsi="Arial" w:cs="Arial"/>
          <w:sz w:val="20"/>
          <w:szCs w:val="20"/>
        </w:rPr>
      </w:pPr>
      <w:r w:rsidRPr="00896EEE">
        <w:rPr>
          <w:rFonts w:ascii="Arial" w:hAnsi="Arial" w:cs="Arial"/>
          <w:sz w:val="20"/>
          <w:szCs w:val="20"/>
        </w:rPr>
        <w:t>The 45 outputs have been divided into four types, mainly:</w:t>
      </w:r>
    </w:p>
    <w:p w:rsidR="00264A92" w:rsidRPr="00896EEE" w:rsidRDefault="00264A92" w:rsidP="00896EEE">
      <w:pPr>
        <w:pStyle w:val="ListParagraph"/>
        <w:numPr>
          <w:ilvl w:val="0"/>
          <w:numId w:val="82"/>
        </w:numPr>
        <w:spacing w:after="0" w:line="240" w:lineRule="auto"/>
        <w:rPr>
          <w:rFonts w:ascii="Arial" w:hAnsi="Arial" w:cs="Arial"/>
          <w:sz w:val="20"/>
          <w:szCs w:val="20"/>
        </w:rPr>
      </w:pPr>
      <w:r w:rsidRPr="00896EEE">
        <w:rPr>
          <w:rFonts w:ascii="Arial" w:hAnsi="Arial" w:cs="Arial"/>
          <w:sz w:val="20"/>
          <w:szCs w:val="20"/>
        </w:rPr>
        <w:t>10 Core Targets – Measure the performance and transformation of the economy and reflect some of the ultimate objectives the Department trying to achieve;</w:t>
      </w:r>
    </w:p>
    <w:p w:rsidR="00264A92" w:rsidRPr="00896EEE" w:rsidRDefault="00264A92" w:rsidP="00896EEE">
      <w:pPr>
        <w:pStyle w:val="ListParagraph"/>
        <w:numPr>
          <w:ilvl w:val="0"/>
          <w:numId w:val="82"/>
        </w:numPr>
        <w:spacing w:after="0" w:line="240" w:lineRule="auto"/>
        <w:rPr>
          <w:rFonts w:ascii="Arial" w:hAnsi="Arial" w:cs="Arial"/>
          <w:sz w:val="20"/>
          <w:szCs w:val="20"/>
        </w:rPr>
      </w:pPr>
      <w:r w:rsidRPr="00896EEE">
        <w:rPr>
          <w:rFonts w:ascii="Arial" w:hAnsi="Arial" w:cs="Arial"/>
          <w:sz w:val="20"/>
          <w:szCs w:val="20"/>
        </w:rPr>
        <w:t>13 Programmatic Targets- Help achieve the aims of the core targets, but directly measure the impact of specific activities, such as providing industrial finance;</w:t>
      </w:r>
    </w:p>
    <w:p w:rsidR="00264A92" w:rsidRPr="00896EEE" w:rsidRDefault="00264A92" w:rsidP="00896EEE">
      <w:pPr>
        <w:pStyle w:val="ListParagraph"/>
        <w:numPr>
          <w:ilvl w:val="0"/>
          <w:numId w:val="82"/>
        </w:numPr>
        <w:spacing w:after="0" w:line="240" w:lineRule="auto"/>
        <w:rPr>
          <w:rFonts w:ascii="Arial" w:hAnsi="Arial" w:cs="Arial"/>
          <w:sz w:val="20"/>
          <w:szCs w:val="20"/>
        </w:rPr>
      </w:pPr>
      <w:r w:rsidRPr="00896EEE">
        <w:rPr>
          <w:rFonts w:ascii="Arial" w:hAnsi="Arial" w:cs="Arial"/>
          <w:sz w:val="20"/>
          <w:szCs w:val="20"/>
        </w:rPr>
        <w:t>15 Enabling Targets- Enable the achievement of Programmatic targets by creating the systems and environment that make Departmental activities work and</w:t>
      </w:r>
    </w:p>
    <w:p w:rsidR="00264A92" w:rsidRPr="00896EEE" w:rsidRDefault="00264A92" w:rsidP="00896EEE">
      <w:pPr>
        <w:pStyle w:val="ListParagraph"/>
        <w:numPr>
          <w:ilvl w:val="0"/>
          <w:numId w:val="82"/>
        </w:numPr>
        <w:spacing w:after="0" w:line="240" w:lineRule="auto"/>
        <w:rPr>
          <w:rFonts w:ascii="Arial" w:hAnsi="Arial" w:cs="Arial"/>
          <w:sz w:val="20"/>
          <w:szCs w:val="20"/>
        </w:rPr>
      </w:pPr>
      <w:r w:rsidRPr="00896EEE">
        <w:rPr>
          <w:rFonts w:ascii="Arial" w:hAnsi="Arial" w:cs="Arial"/>
          <w:sz w:val="20"/>
          <w:szCs w:val="20"/>
        </w:rPr>
        <w:t>7 Contextual Responsive Targets- Often involve work outside of core programmes and are designed to respond to pressing needs in the economy and to encourage the Department to be flexible and agile in its work.</w:t>
      </w:r>
    </w:p>
    <w:p w:rsidR="00370843" w:rsidRPr="00896EEE" w:rsidRDefault="00370843" w:rsidP="00896EEE">
      <w:pPr>
        <w:pStyle w:val="ListParagraph"/>
        <w:spacing w:after="0" w:line="240" w:lineRule="auto"/>
        <w:rPr>
          <w:rFonts w:ascii="Arial" w:hAnsi="Arial" w:cs="Arial"/>
          <w:sz w:val="20"/>
          <w:szCs w:val="20"/>
        </w:rPr>
      </w:pPr>
    </w:p>
    <w:p w:rsidR="00436646" w:rsidRPr="00896EEE" w:rsidRDefault="00436646" w:rsidP="00896EEE">
      <w:pPr>
        <w:pStyle w:val="ListParagraph"/>
        <w:spacing w:after="0" w:line="240" w:lineRule="auto"/>
        <w:ind w:left="0"/>
        <w:rPr>
          <w:rFonts w:ascii="Arial" w:hAnsi="Arial" w:cs="Arial"/>
          <w:sz w:val="20"/>
          <w:szCs w:val="20"/>
        </w:rPr>
      </w:pPr>
      <w:r w:rsidRPr="00896EEE">
        <w:rPr>
          <w:rFonts w:ascii="Arial" w:hAnsi="Arial" w:cs="Arial"/>
          <w:sz w:val="20"/>
          <w:szCs w:val="20"/>
        </w:rPr>
        <w:t xml:space="preserve">The new approach:   </w:t>
      </w:r>
    </w:p>
    <w:p w:rsidR="00436646" w:rsidRPr="00896EEE" w:rsidRDefault="00436646" w:rsidP="00896EEE">
      <w:pPr>
        <w:pStyle w:val="ListParagraph"/>
        <w:numPr>
          <w:ilvl w:val="0"/>
          <w:numId w:val="83"/>
        </w:numPr>
        <w:spacing w:after="0" w:line="240" w:lineRule="auto"/>
        <w:rPr>
          <w:rFonts w:ascii="Arial" w:hAnsi="Arial" w:cs="Arial"/>
          <w:sz w:val="20"/>
          <w:szCs w:val="20"/>
        </w:rPr>
      </w:pPr>
      <w:r w:rsidRPr="00896EEE">
        <w:rPr>
          <w:rFonts w:ascii="Arial" w:hAnsi="Arial" w:cs="Arial"/>
          <w:sz w:val="20"/>
          <w:szCs w:val="20"/>
        </w:rPr>
        <w:t>Plans for results and impact; and not for audit outcomes</w:t>
      </w:r>
      <w:r w:rsidR="00802394" w:rsidRPr="00896EEE">
        <w:rPr>
          <w:rFonts w:ascii="Arial" w:hAnsi="Arial" w:cs="Arial"/>
          <w:sz w:val="20"/>
          <w:szCs w:val="20"/>
        </w:rPr>
        <w:t>;</w:t>
      </w:r>
      <w:r w:rsidRPr="00896EEE">
        <w:rPr>
          <w:rFonts w:ascii="Arial" w:hAnsi="Arial" w:cs="Arial"/>
          <w:sz w:val="20"/>
          <w:szCs w:val="20"/>
        </w:rPr>
        <w:t xml:space="preserve"> </w:t>
      </w:r>
    </w:p>
    <w:p w:rsidR="00370843" w:rsidRPr="00896EEE" w:rsidRDefault="00436646" w:rsidP="00896EEE">
      <w:pPr>
        <w:pStyle w:val="ListParagraph"/>
        <w:numPr>
          <w:ilvl w:val="0"/>
          <w:numId w:val="83"/>
        </w:numPr>
        <w:spacing w:after="0" w:line="240" w:lineRule="auto"/>
        <w:rPr>
          <w:rFonts w:ascii="Arial" w:hAnsi="Arial" w:cs="Arial"/>
          <w:sz w:val="20"/>
          <w:szCs w:val="20"/>
        </w:rPr>
      </w:pPr>
      <w:r w:rsidRPr="00896EEE">
        <w:rPr>
          <w:rFonts w:ascii="Arial" w:hAnsi="Arial" w:cs="Arial"/>
          <w:sz w:val="20"/>
          <w:szCs w:val="20"/>
        </w:rPr>
        <w:t>Sets out the sensitivities, co-dependencies or external fac</w:t>
      </w:r>
      <w:r w:rsidR="00370843" w:rsidRPr="00896EEE">
        <w:rPr>
          <w:rFonts w:ascii="Arial" w:hAnsi="Arial" w:cs="Arial"/>
          <w:sz w:val="20"/>
          <w:szCs w:val="20"/>
        </w:rPr>
        <w:t>tors that may affect outputs</w:t>
      </w:r>
      <w:r w:rsidR="00802394" w:rsidRPr="00896EEE">
        <w:rPr>
          <w:rFonts w:ascii="Arial" w:hAnsi="Arial" w:cs="Arial"/>
          <w:sz w:val="20"/>
          <w:szCs w:val="20"/>
        </w:rPr>
        <w:t>;</w:t>
      </w:r>
      <w:r w:rsidR="00370843" w:rsidRPr="00896EEE">
        <w:rPr>
          <w:rFonts w:ascii="Arial" w:hAnsi="Arial" w:cs="Arial"/>
          <w:sz w:val="20"/>
          <w:szCs w:val="20"/>
        </w:rPr>
        <w:t xml:space="preserve"> </w:t>
      </w:r>
    </w:p>
    <w:p w:rsidR="00436646" w:rsidRPr="00896EEE" w:rsidRDefault="00436646" w:rsidP="00896EEE">
      <w:pPr>
        <w:pStyle w:val="ListParagraph"/>
        <w:numPr>
          <w:ilvl w:val="0"/>
          <w:numId w:val="83"/>
        </w:numPr>
        <w:spacing w:after="0" w:line="240" w:lineRule="auto"/>
        <w:rPr>
          <w:rFonts w:ascii="Arial" w:hAnsi="Arial" w:cs="Arial"/>
          <w:sz w:val="20"/>
          <w:szCs w:val="20"/>
        </w:rPr>
      </w:pPr>
      <w:r w:rsidRPr="00896EEE">
        <w:rPr>
          <w:rFonts w:ascii="Arial" w:hAnsi="Arial" w:cs="Arial"/>
          <w:sz w:val="20"/>
          <w:szCs w:val="20"/>
        </w:rPr>
        <w:t>Is ambitious and wi</w:t>
      </w:r>
      <w:r w:rsidR="00370843" w:rsidRPr="00896EEE">
        <w:rPr>
          <w:rFonts w:ascii="Arial" w:hAnsi="Arial" w:cs="Arial"/>
          <w:sz w:val="20"/>
          <w:szCs w:val="20"/>
        </w:rPr>
        <w:t>ll require a break in the Department’s</w:t>
      </w:r>
      <w:r w:rsidRPr="00896EEE">
        <w:rPr>
          <w:rFonts w:ascii="Arial" w:hAnsi="Arial" w:cs="Arial"/>
          <w:sz w:val="20"/>
          <w:szCs w:val="20"/>
        </w:rPr>
        <w:t xml:space="preserve"> traditional ways of working</w:t>
      </w:r>
      <w:r w:rsidR="00802394" w:rsidRPr="00896EEE">
        <w:rPr>
          <w:rFonts w:ascii="Arial" w:hAnsi="Arial" w:cs="Arial"/>
          <w:sz w:val="20"/>
          <w:szCs w:val="20"/>
        </w:rPr>
        <w:t>;</w:t>
      </w:r>
    </w:p>
    <w:p w:rsidR="00436646" w:rsidRPr="00896EEE" w:rsidRDefault="00436646" w:rsidP="00896EEE">
      <w:pPr>
        <w:pStyle w:val="ListParagraph"/>
        <w:numPr>
          <w:ilvl w:val="0"/>
          <w:numId w:val="83"/>
        </w:numPr>
        <w:spacing w:after="0" w:line="240" w:lineRule="auto"/>
        <w:rPr>
          <w:rFonts w:ascii="Arial" w:hAnsi="Arial" w:cs="Arial"/>
          <w:sz w:val="20"/>
          <w:szCs w:val="20"/>
        </w:rPr>
      </w:pPr>
      <w:r w:rsidRPr="00896EEE">
        <w:rPr>
          <w:rFonts w:ascii="Arial" w:hAnsi="Arial" w:cs="Arial"/>
          <w:sz w:val="20"/>
          <w:szCs w:val="20"/>
        </w:rPr>
        <w:t>Requires that some existing activities be discontinued or reduced to refocus resources</w:t>
      </w:r>
      <w:r w:rsidR="00802394" w:rsidRPr="00896EEE">
        <w:rPr>
          <w:rFonts w:ascii="Arial" w:hAnsi="Arial" w:cs="Arial"/>
          <w:sz w:val="20"/>
          <w:szCs w:val="20"/>
        </w:rPr>
        <w:t>;</w:t>
      </w:r>
    </w:p>
    <w:p w:rsidR="00436646" w:rsidRPr="00896EEE" w:rsidRDefault="00370843" w:rsidP="00896EEE">
      <w:pPr>
        <w:pStyle w:val="ListParagraph"/>
        <w:numPr>
          <w:ilvl w:val="0"/>
          <w:numId w:val="83"/>
        </w:numPr>
        <w:spacing w:after="0" w:line="240" w:lineRule="auto"/>
        <w:rPr>
          <w:rFonts w:ascii="Arial" w:hAnsi="Arial" w:cs="Arial"/>
          <w:sz w:val="20"/>
          <w:szCs w:val="20"/>
        </w:rPr>
      </w:pPr>
      <w:r w:rsidRPr="00896EEE">
        <w:rPr>
          <w:rFonts w:ascii="Arial" w:hAnsi="Arial" w:cs="Arial"/>
          <w:sz w:val="20"/>
          <w:szCs w:val="20"/>
        </w:rPr>
        <w:t>Ensures that the Departmental</w:t>
      </w:r>
      <w:r w:rsidR="00436646" w:rsidRPr="00896EEE">
        <w:rPr>
          <w:rFonts w:ascii="Arial" w:hAnsi="Arial" w:cs="Arial"/>
          <w:sz w:val="20"/>
          <w:szCs w:val="20"/>
        </w:rPr>
        <w:t xml:space="preserve"> plans and functions account for the economic returns against public resources invested in pursuit of those goals</w:t>
      </w:r>
      <w:r w:rsidR="00802394" w:rsidRPr="00896EEE">
        <w:rPr>
          <w:rFonts w:ascii="Arial" w:hAnsi="Arial" w:cs="Arial"/>
          <w:sz w:val="20"/>
          <w:szCs w:val="20"/>
        </w:rPr>
        <w:t>;</w:t>
      </w:r>
      <w:r w:rsidR="00436646" w:rsidRPr="00896EEE">
        <w:rPr>
          <w:rFonts w:ascii="Arial" w:hAnsi="Arial" w:cs="Arial"/>
          <w:sz w:val="20"/>
          <w:szCs w:val="20"/>
        </w:rPr>
        <w:t xml:space="preserve"> </w:t>
      </w:r>
    </w:p>
    <w:p w:rsidR="00436646" w:rsidRPr="00896EEE" w:rsidRDefault="00436646" w:rsidP="00896EEE">
      <w:pPr>
        <w:pStyle w:val="ListParagraph"/>
        <w:numPr>
          <w:ilvl w:val="0"/>
          <w:numId w:val="83"/>
        </w:numPr>
        <w:spacing w:after="0" w:line="240" w:lineRule="auto"/>
        <w:rPr>
          <w:rFonts w:ascii="Arial" w:hAnsi="Arial" w:cs="Arial"/>
          <w:sz w:val="20"/>
          <w:szCs w:val="20"/>
        </w:rPr>
      </w:pPr>
      <w:r w:rsidRPr="00896EEE">
        <w:rPr>
          <w:rFonts w:ascii="Arial" w:hAnsi="Arial" w:cs="Arial"/>
          <w:sz w:val="20"/>
          <w:szCs w:val="20"/>
        </w:rPr>
        <w:t>Requires active engagement not just about what has been achieved (or not), but about what we are doing, what we are learning, how we are responding when we miss targets, and about the quality of the decision-making and resource allocation.</w:t>
      </w:r>
    </w:p>
    <w:p w:rsidR="00A178A9" w:rsidRPr="00896EEE" w:rsidRDefault="00A178A9" w:rsidP="00896EEE">
      <w:pPr>
        <w:pStyle w:val="ListParagraph"/>
        <w:spacing w:after="0" w:line="240" w:lineRule="auto"/>
        <w:ind w:left="0"/>
        <w:rPr>
          <w:rFonts w:ascii="Arial" w:hAnsi="Arial" w:cs="Arial"/>
          <w:sz w:val="20"/>
          <w:szCs w:val="20"/>
        </w:rPr>
      </w:pPr>
    </w:p>
    <w:p w:rsidR="00370843" w:rsidRPr="00896EEE" w:rsidRDefault="00370843" w:rsidP="00896EEE">
      <w:pPr>
        <w:pStyle w:val="ListParagraph"/>
        <w:spacing w:after="0" w:line="240" w:lineRule="auto"/>
        <w:ind w:left="0"/>
        <w:rPr>
          <w:rFonts w:ascii="Arial" w:hAnsi="Arial" w:cs="Arial"/>
          <w:sz w:val="20"/>
          <w:szCs w:val="20"/>
        </w:rPr>
      </w:pPr>
      <w:r w:rsidRPr="00896EEE">
        <w:rPr>
          <w:rFonts w:ascii="Arial" w:hAnsi="Arial" w:cs="Arial"/>
          <w:sz w:val="20"/>
          <w:szCs w:val="20"/>
        </w:rPr>
        <w:t>To enhance the delivery, a number of internal refinements of functions and resources will be made:</w:t>
      </w:r>
    </w:p>
    <w:p w:rsidR="00370843" w:rsidRPr="00896EEE" w:rsidRDefault="00370843" w:rsidP="00896EEE">
      <w:pPr>
        <w:pStyle w:val="ListParagraph"/>
        <w:numPr>
          <w:ilvl w:val="0"/>
          <w:numId w:val="83"/>
        </w:numPr>
        <w:spacing w:after="0" w:line="240" w:lineRule="auto"/>
        <w:rPr>
          <w:rFonts w:ascii="Arial" w:hAnsi="Arial" w:cs="Arial"/>
          <w:sz w:val="20"/>
          <w:szCs w:val="20"/>
        </w:rPr>
      </w:pPr>
      <w:r w:rsidRPr="00896EEE">
        <w:rPr>
          <w:rFonts w:ascii="Arial" w:hAnsi="Arial" w:cs="Arial"/>
          <w:sz w:val="20"/>
          <w:szCs w:val="20"/>
        </w:rPr>
        <w:t>Staffing: re-assignment of human resources and provision of specialists for identified core outputs</w:t>
      </w:r>
      <w:r w:rsidR="00802394" w:rsidRPr="00896EEE">
        <w:rPr>
          <w:rFonts w:ascii="Arial" w:hAnsi="Arial" w:cs="Arial"/>
          <w:sz w:val="20"/>
          <w:szCs w:val="20"/>
        </w:rPr>
        <w:t xml:space="preserve">; </w:t>
      </w:r>
    </w:p>
    <w:p w:rsidR="00370843" w:rsidRPr="00896EEE" w:rsidRDefault="00370843" w:rsidP="00896EEE">
      <w:pPr>
        <w:pStyle w:val="ListParagraph"/>
        <w:numPr>
          <w:ilvl w:val="0"/>
          <w:numId w:val="83"/>
        </w:numPr>
        <w:spacing w:after="0" w:line="240" w:lineRule="auto"/>
        <w:rPr>
          <w:rFonts w:ascii="Arial" w:hAnsi="Arial" w:cs="Arial"/>
          <w:sz w:val="20"/>
          <w:szCs w:val="20"/>
        </w:rPr>
      </w:pPr>
      <w:r w:rsidRPr="00896EEE">
        <w:rPr>
          <w:rFonts w:ascii="Arial" w:hAnsi="Arial" w:cs="Arial"/>
          <w:sz w:val="20"/>
          <w:szCs w:val="20"/>
        </w:rPr>
        <w:t xml:space="preserve">Skills needs: focus on skills in key areas </w:t>
      </w:r>
      <w:r w:rsidR="00977870" w:rsidRPr="00896EEE">
        <w:rPr>
          <w:rFonts w:ascii="Arial" w:hAnsi="Arial" w:cs="Arial"/>
          <w:sz w:val="20"/>
          <w:szCs w:val="20"/>
        </w:rPr>
        <w:t>e.g.</w:t>
      </w:r>
      <w:r w:rsidRPr="00896EEE">
        <w:rPr>
          <w:rFonts w:ascii="Arial" w:hAnsi="Arial" w:cs="Arial"/>
          <w:sz w:val="20"/>
          <w:szCs w:val="20"/>
        </w:rPr>
        <w:t xml:space="preserve"> project management, monitoring, financial evaluation</w:t>
      </w:r>
      <w:r w:rsidR="00802394" w:rsidRPr="00896EEE">
        <w:rPr>
          <w:rFonts w:ascii="Arial" w:hAnsi="Arial" w:cs="Arial"/>
          <w:sz w:val="20"/>
          <w:szCs w:val="20"/>
        </w:rPr>
        <w:t>;</w:t>
      </w:r>
    </w:p>
    <w:p w:rsidR="00370843" w:rsidRPr="00896EEE" w:rsidRDefault="00370843" w:rsidP="00896EEE">
      <w:pPr>
        <w:pStyle w:val="ListParagraph"/>
        <w:numPr>
          <w:ilvl w:val="0"/>
          <w:numId w:val="83"/>
        </w:numPr>
        <w:spacing w:after="0" w:line="240" w:lineRule="auto"/>
        <w:rPr>
          <w:rFonts w:ascii="Arial" w:hAnsi="Arial" w:cs="Arial"/>
          <w:sz w:val="20"/>
          <w:szCs w:val="20"/>
        </w:rPr>
      </w:pPr>
      <w:r w:rsidRPr="00896EEE">
        <w:rPr>
          <w:rFonts w:ascii="Arial" w:hAnsi="Arial" w:cs="Arial"/>
          <w:sz w:val="20"/>
          <w:szCs w:val="20"/>
        </w:rPr>
        <w:lastRenderedPageBreak/>
        <w:t>Vacancies: 25 percent of critical vacancies to be filled per quarter, based on new skills required</w:t>
      </w:r>
      <w:r w:rsidR="00802394" w:rsidRPr="00896EEE">
        <w:rPr>
          <w:rFonts w:ascii="Arial" w:hAnsi="Arial" w:cs="Arial"/>
          <w:sz w:val="20"/>
          <w:szCs w:val="20"/>
        </w:rPr>
        <w:t>;</w:t>
      </w:r>
    </w:p>
    <w:p w:rsidR="00370843" w:rsidRPr="00896EEE" w:rsidRDefault="00370843" w:rsidP="00896EEE">
      <w:pPr>
        <w:pStyle w:val="ListParagraph"/>
        <w:numPr>
          <w:ilvl w:val="0"/>
          <w:numId w:val="83"/>
        </w:numPr>
        <w:spacing w:after="0" w:line="240" w:lineRule="auto"/>
        <w:rPr>
          <w:rFonts w:ascii="Arial" w:hAnsi="Arial" w:cs="Arial"/>
          <w:sz w:val="20"/>
          <w:szCs w:val="20"/>
        </w:rPr>
      </w:pPr>
      <w:r w:rsidRPr="00896EEE">
        <w:rPr>
          <w:rFonts w:ascii="Arial" w:hAnsi="Arial" w:cs="Arial"/>
          <w:sz w:val="20"/>
          <w:szCs w:val="20"/>
        </w:rPr>
        <w:t>Funding: Re-prioritisation of the funding through shifting and virements of the budget to the core programme</w:t>
      </w:r>
      <w:r w:rsidR="00802394" w:rsidRPr="00896EEE">
        <w:rPr>
          <w:rFonts w:ascii="Arial" w:hAnsi="Arial" w:cs="Arial"/>
          <w:sz w:val="20"/>
          <w:szCs w:val="20"/>
        </w:rPr>
        <w:t>;</w:t>
      </w:r>
    </w:p>
    <w:p w:rsidR="00370843" w:rsidRPr="00896EEE" w:rsidRDefault="00370843" w:rsidP="00896EEE">
      <w:pPr>
        <w:pStyle w:val="ListParagraph"/>
        <w:numPr>
          <w:ilvl w:val="0"/>
          <w:numId w:val="83"/>
        </w:numPr>
        <w:spacing w:after="0" w:line="240" w:lineRule="auto"/>
        <w:rPr>
          <w:rFonts w:ascii="Arial" w:hAnsi="Arial" w:cs="Arial"/>
          <w:sz w:val="20"/>
          <w:szCs w:val="20"/>
        </w:rPr>
      </w:pPr>
      <w:r w:rsidRPr="00896EEE">
        <w:rPr>
          <w:rFonts w:ascii="Arial" w:hAnsi="Arial" w:cs="Arial"/>
          <w:sz w:val="20"/>
          <w:szCs w:val="20"/>
        </w:rPr>
        <w:t>ICT: Automation of manual customer-facing systems and provision of reliable internet capability</w:t>
      </w:r>
      <w:r w:rsidR="00802394" w:rsidRPr="00896EEE">
        <w:rPr>
          <w:rFonts w:ascii="Arial" w:hAnsi="Arial" w:cs="Arial"/>
          <w:sz w:val="20"/>
          <w:szCs w:val="20"/>
        </w:rPr>
        <w:t>;</w:t>
      </w:r>
    </w:p>
    <w:p w:rsidR="00370843" w:rsidRPr="00896EEE" w:rsidRDefault="00370843" w:rsidP="00896EEE">
      <w:pPr>
        <w:pStyle w:val="ListParagraph"/>
        <w:numPr>
          <w:ilvl w:val="0"/>
          <w:numId w:val="83"/>
        </w:numPr>
        <w:spacing w:after="0" w:line="240" w:lineRule="auto"/>
        <w:rPr>
          <w:rFonts w:ascii="Arial" w:hAnsi="Arial" w:cs="Arial"/>
          <w:sz w:val="20"/>
          <w:szCs w:val="20"/>
        </w:rPr>
      </w:pPr>
      <w:r w:rsidRPr="00896EEE">
        <w:rPr>
          <w:rFonts w:ascii="Arial" w:hAnsi="Arial" w:cs="Arial"/>
          <w:sz w:val="20"/>
          <w:szCs w:val="20"/>
        </w:rPr>
        <w:t>Programmes: consolidate from 10 to 9 programmes</w:t>
      </w:r>
      <w:r w:rsidR="00802394" w:rsidRPr="00896EEE">
        <w:rPr>
          <w:rFonts w:ascii="Arial" w:hAnsi="Arial" w:cs="Arial"/>
          <w:sz w:val="20"/>
          <w:szCs w:val="20"/>
        </w:rPr>
        <w:t>;</w:t>
      </w:r>
    </w:p>
    <w:p w:rsidR="00370843" w:rsidRPr="00896EEE" w:rsidRDefault="00370843" w:rsidP="00896EEE">
      <w:pPr>
        <w:pStyle w:val="ListParagraph"/>
        <w:numPr>
          <w:ilvl w:val="0"/>
          <w:numId w:val="83"/>
        </w:numPr>
        <w:spacing w:after="0" w:line="240" w:lineRule="auto"/>
        <w:rPr>
          <w:rFonts w:ascii="Arial" w:hAnsi="Arial" w:cs="Arial"/>
          <w:sz w:val="20"/>
          <w:szCs w:val="20"/>
        </w:rPr>
      </w:pPr>
      <w:r w:rsidRPr="00896EEE">
        <w:rPr>
          <w:rFonts w:ascii="Arial" w:hAnsi="Arial" w:cs="Arial"/>
          <w:sz w:val="20"/>
          <w:szCs w:val="20"/>
        </w:rPr>
        <w:t>Accommodation: a new Ops Centre as the implementation coordinating space for managers</w:t>
      </w:r>
      <w:r w:rsidR="00802394" w:rsidRPr="00896EEE">
        <w:rPr>
          <w:rFonts w:ascii="Arial" w:hAnsi="Arial" w:cs="Arial"/>
          <w:sz w:val="20"/>
          <w:szCs w:val="20"/>
        </w:rPr>
        <w:t>;</w:t>
      </w:r>
    </w:p>
    <w:p w:rsidR="00370843" w:rsidRPr="00896EEE" w:rsidRDefault="00370843" w:rsidP="00896EEE">
      <w:pPr>
        <w:pStyle w:val="ListParagraph"/>
        <w:numPr>
          <w:ilvl w:val="0"/>
          <w:numId w:val="83"/>
        </w:numPr>
        <w:spacing w:after="0" w:line="240" w:lineRule="auto"/>
        <w:rPr>
          <w:rFonts w:ascii="Arial" w:hAnsi="Arial" w:cs="Arial"/>
          <w:sz w:val="20"/>
          <w:szCs w:val="20"/>
        </w:rPr>
      </w:pPr>
      <w:r w:rsidRPr="00896EEE">
        <w:rPr>
          <w:rFonts w:ascii="Arial" w:hAnsi="Arial" w:cs="Arial"/>
          <w:sz w:val="20"/>
          <w:szCs w:val="20"/>
        </w:rPr>
        <w:t>Systems: Reduced bureaucracy on staffing and finance</w:t>
      </w:r>
      <w:r w:rsidR="00802394" w:rsidRPr="00896EEE">
        <w:rPr>
          <w:rFonts w:ascii="Arial" w:hAnsi="Arial" w:cs="Arial"/>
          <w:sz w:val="20"/>
          <w:szCs w:val="20"/>
        </w:rPr>
        <w:t xml:space="preserve">. </w:t>
      </w:r>
    </w:p>
    <w:p w:rsidR="00370843" w:rsidRPr="00896EEE" w:rsidRDefault="00370843" w:rsidP="00896EEE">
      <w:pPr>
        <w:spacing w:after="0" w:line="240" w:lineRule="auto"/>
        <w:rPr>
          <w:rFonts w:ascii="Arial" w:hAnsi="Arial" w:cs="Arial"/>
          <w:sz w:val="20"/>
          <w:szCs w:val="20"/>
        </w:rPr>
      </w:pPr>
    </w:p>
    <w:p w:rsidR="00370843" w:rsidRPr="00896EEE" w:rsidRDefault="00370843" w:rsidP="00896EEE">
      <w:pPr>
        <w:spacing w:after="0" w:line="240" w:lineRule="auto"/>
        <w:rPr>
          <w:rFonts w:ascii="Arial" w:hAnsi="Arial" w:cs="Arial"/>
          <w:b/>
          <w:i/>
          <w:sz w:val="20"/>
          <w:szCs w:val="20"/>
        </w:rPr>
      </w:pPr>
      <w:r w:rsidRPr="00896EEE">
        <w:rPr>
          <w:rFonts w:ascii="Arial" w:hAnsi="Arial" w:cs="Arial"/>
          <w:b/>
          <w:i/>
          <w:sz w:val="20"/>
          <w:szCs w:val="20"/>
        </w:rPr>
        <w:t>Role of Programmes</w:t>
      </w:r>
    </w:p>
    <w:p w:rsidR="00370843" w:rsidRPr="00896EEE" w:rsidRDefault="00370843" w:rsidP="00896EEE">
      <w:pPr>
        <w:spacing w:after="0" w:line="240" w:lineRule="auto"/>
        <w:rPr>
          <w:rFonts w:ascii="Arial" w:hAnsi="Arial" w:cs="Arial"/>
          <w:sz w:val="20"/>
          <w:szCs w:val="20"/>
        </w:rPr>
      </w:pPr>
      <w:r w:rsidRPr="00896EEE">
        <w:rPr>
          <w:rFonts w:ascii="Arial" w:hAnsi="Arial" w:cs="Arial"/>
          <w:sz w:val="20"/>
          <w:szCs w:val="20"/>
        </w:rPr>
        <w:t xml:space="preserve">Of the nine Programmes, six are core drivers of the targets, namely the </w:t>
      </w:r>
      <w:r w:rsidR="00802394" w:rsidRPr="00896EEE">
        <w:rPr>
          <w:rFonts w:ascii="Arial" w:hAnsi="Arial" w:cs="Arial"/>
          <w:sz w:val="20"/>
          <w:szCs w:val="20"/>
        </w:rPr>
        <w:t xml:space="preserve">Trade, </w:t>
      </w:r>
      <w:r w:rsidRPr="00896EEE">
        <w:rPr>
          <w:rFonts w:ascii="Arial" w:hAnsi="Arial" w:cs="Arial"/>
          <w:sz w:val="20"/>
          <w:szCs w:val="20"/>
        </w:rPr>
        <w:t>Investment/Spatial Industrial Development;</w:t>
      </w:r>
      <w:r w:rsidR="00802394" w:rsidRPr="00896EEE">
        <w:rPr>
          <w:rFonts w:ascii="Arial" w:hAnsi="Arial" w:cs="Arial"/>
          <w:sz w:val="20"/>
          <w:szCs w:val="20"/>
        </w:rPr>
        <w:t xml:space="preserve"> </w:t>
      </w:r>
      <w:r w:rsidRPr="00896EEE">
        <w:rPr>
          <w:rFonts w:ascii="Arial" w:hAnsi="Arial" w:cs="Arial"/>
          <w:sz w:val="20"/>
          <w:szCs w:val="20"/>
        </w:rPr>
        <w:t>Sectors; Incentives;</w:t>
      </w:r>
      <w:r w:rsidR="00802394" w:rsidRPr="00896EEE">
        <w:rPr>
          <w:rFonts w:ascii="Arial" w:hAnsi="Arial" w:cs="Arial"/>
          <w:sz w:val="20"/>
          <w:szCs w:val="20"/>
        </w:rPr>
        <w:t xml:space="preserve"> </w:t>
      </w:r>
      <w:r w:rsidRPr="00896EEE">
        <w:rPr>
          <w:rFonts w:ascii="Arial" w:hAnsi="Arial" w:cs="Arial"/>
          <w:sz w:val="20"/>
          <w:szCs w:val="20"/>
        </w:rPr>
        <w:t>Exports</w:t>
      </w:r>
      <w:r w:rsidR="00802394" w:rsidRPr="00896EEE">
        <w:rPr>
          <w:rFonts w:ascii="Arial" w:hAnsi="Arial" w:cs="Arial"/>
          <w:sz w:val="20"/>
          <w:szCs w:val="20"/>
        </w:rPr>
        <w:t xml:space="preserve">, and </w:t>
      </w:r>
      <w:r w:rsidRPr="00896EEE">
        <w:rPr>
          <w:rFonts w:ascii="Arial" w:hAnsi="Arial" w:cs="Arial"/>
          <w:sz w:val="20"/>
          <w:szCs w:val="20"/>
        </w:rPr>
        <w:t>Competition/ Transformation.</w:t>
      </w:r>
    </w:p>
    <w:p w:rsidR="00370843" w:rsidRPr="00896EEE" w:rsidRDefault="00802394" w:rsidP="00896EEE">
      <w:pPr>
        <w:spacing w:after="0" w:line="240" w:lineRule="auto"/>
        <w:rPr>
          <w:rFonts w:ascii="Arial" w:hAnsi="Arial" w:cs="Arial"/>
          <w:sz w:val="20"/>
          <w:szCs w:val="20"/>
        </w:rPr>
      </w:pPr>
      <w:r w:rsidRPr="00896EEE">
        <w:rPr>
          <w:rFonts w:ascii="Arial" w:hAnsi="Arial" w:cs="Arial"/>
          <w:sz w:val="20"/>
          <w:szCs w:val="20"/>
        </w:rPr>
        <w:t>It was highlighted that t</w:t>
      </w:r>
      <w:r w:rsidR="00370843" w:rsidRPr="00896EEE">
        <w:rPr>
          <w:rFonts w:ascii="Arial" w:hAnsi="Arial" w:cs="Arial"/>
          <w:sz w:val="20"/>
          <w:szCs w:val="20"/>
        </w:rPr>
        <w:t xml:space="preserve">he integrated approach requires that each </w:t>
      </w:r>
      <w:r w:rsidRPr="00896EEE">
        <w:rPr>
          <w:rFonts w:ascii="Arial" w:hAnsi="Arial" w:cs="Arial"/>
          <w:sz w:val="20"/>
          <w:szCs w:val="20"/>
        </w:rPr>
        <w:t xml:space="preserve">functional policy programme </w:t>
      </w:r>
      <w:r w:rsidR="00370843" w:rsidRPr="00896EEE">
        <w:rPr>
          <w:rFonts w:ascii="Arial" w:hAnsi="Arial" w:cs="Arial"/>
          <w:sz w:val="20"/>
          <w:szCs w:val="20"/>
        </w:rPr>
        <w:t xml:space="preserve">contributes outside its traditional core area. For example, the Trade branch will not focus only on negotiation and administration of trade agreements, but will also have a mandate to contribute to jobs, investment, community outreach and writing up of case studies of impact of trade policies on the lives of South Africans. The Sector Programme’s targets will be reviewed to shift the programme from notionally a ‘coordinating role’, to a programme of more active front-line company support across different sectors. Two Programmes </w:t>
      </w:r>
      <w:r w:rsidR="005F0F42" w:rsidRPr="00896EEE">
        <w:rPr>
          <w:rFonts w:ascii="Arial" w:hAnsi="Arial" w:cs="Arial"/>
          <w:sz w:val="20"/>
          <w:szCs w:val="20"/>
        </w:rPr>
        <w:t xml:space="preserve">provide </w:t>
      </w:r>
      <w:r w:rsidR="00370843" w:rsidRPr="00896EEE">
        <w:rPr>
          <w:rFonts w:ascii="Arial" w:hAnsi="Arial" w:cs="Arial"/>
          <w:sz w:val="20"/>
          <w:szCs w:val="20"/>
        </w:rPr>
        <w:t>essential support services to the core programmes: Administration; and Research. They provide overall coordination, external</w:t>
      </w:r>
      <w:r w:rsidR="005F0F42" w:rsidRPr="00896EEE">
        <w:rPr>
          <w:rFonts w:ascii="Arial" w:hAnsi="Arial" w:cs="Arial"/>
          <w:sz w:val="20"/>
          <w:szCs w:val="20"/>
        </w:rPr>
        <w:t xml:space="preserve"> </w:t>
      </w:r>
      <w:r w:rsidR="00370843" w:rsidRPr="00896EEE">
        <w:rPr>
          <w:rFonts w:ascii="Arial" w:hAnsi="Arial" w:cs="Arial"/>
          <w:sz w:val="20"/>
          <w:szCs w:val="20"/>
        </w:rPr>
        <w:t>stakeholder management, monitoring and evaluation, human resource enabling, financial management, ICT, legal, office facilities and fit-for-purpose research, all to be provided in innovative ways to support the new targets. In addition, the Administration Programme, through the Office of the Director General provides oversight support on all entities that report to the Ministry.</w:t>
      </w:r>
    </w:p>
    <w:p w:rsidR="004F69BE" w:rsidRPr="00896EEE" w:rsidRDefault="00F85F2C" w:rsidP="00896EEE">
      <w:pPr>
        <w:spacing w:after="0" w:line="240" w:lineRule="auto"/>
        <w:rPr>
          <w:rFonts w:ascii="Arial" w:eastAsiaTheme="minorHAnsi" w:hAnsi="Arial" w:cs="Arial"/>
          <w:b/>
          <w:sz w:val="20"/>
          <w:szCs w:val="20"/>
        </w:rPr>
      </w:pPr>
      <w:r w:rsidRPr="00896EEE">
        <w:rPr>
          <w:rFonts w:ascii="Arial" w:hAnsi="Arial" w:cs="Arial"/>
          <w:b/>
          <w:sz w:val="20"/>
          <w:szCs w:val="20"/>
        </w:rPr>
        <w:t>7</w:t>
      </w:r>
      <w:r w:rsidR="00C63D62" w:rsidRPr="00896EEE">
        <w:rPr>
          <w:rFonts w:ascii="Arial" w:hAnsi="Arial" w:cs="Arial"/>
          <w:b/>
          <w:sz w:val="20"/>
          <w:szCs w:val="20"/>
        </w:rPr>
        <w:t>. Departmental</w:t>
      </w:r>
      <w:r w:rsidR="00832CC1" w:rsidRPr="00896EEE">
        <w:rPr>
          <w:rFonts w:ascii="Arial" w:hAnsi="Arial" w:cs="Arial"/>
          <w:b/>
          <w:sz w:val="20"/>
          <w:szCs w:val="20"/>
        </w:rPr>
        <w:t xml:space="preserve"> Spending Over 202</w:t>
      </w:r>
      <w:r w:rsidR="00370843" w:rsidRPr="00896EEE">
        <w:rPr>
          <w:rFonts w:ascii="Arial" w:hAnsi="Arial" w:cs="Arial"/>
          <w:b/>
          <w:sz w:val="20"/>
          <w:szCs w:val="20"/>
        </w:rPr>
        <w:t>3</w:t>
      </w:r>
      <w:r w:rsidR="00832CC1" w:rsidRPr="00896EEE">
        <w:rPr>
          <w:rFonts w:ascii="Arial" w:hAnsi="Arial" w:cs="Arial"/>
          <w:b/>
          <w:sz w:val="20"/>
          <w:szCs w:val="20"/>
        </w:rPr>
        <w:t xml:space="preserve"> Medium Term </w:t>
      </w:r>
    </w:p>
    <w:p w:rsidR="001636F7" w:rsidRPr="00896EEE" w:rsidRDefault="00676A54" w:rsidP="00896EEE">
      <w:pPr>
        <w:spacing w:after="0" w:line="240" w:lineRule="auto"/>
        <w:rPr>
          <w:rFonts w:ascii="Arial" w:eastAsiaTheme="minorHAnsi" w:hAnsi="Arial" w:cs="Arial"/>
          <w:b/>
          <w:sz w:val="20"/>
          <w:szCs w:val="20"/>
        </w:rPr>
      </w:pPr>
      <w:r w:rsidRPr="00896EEE">
        <w:rPr>
          <w:rFonts w:ascii="Arial" w:eastAsiaTheme="minorHAnsi" w:hAnsi="Arial" w:cs="Arial"/>
          <w:b/>
          <w:noProof/>
          <w:sz w:val="20"/>
          <w:szCs w:val="20"/>
          <w:lang w:val="en-US"/>
        </w:rPr>
        <w:drawing>
          <wp:inline distT="0" distB="0" distL="0" distR="0">
            <wp:extent cx="6061075" cy="3228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88047" cy="3243344"/>
                    </a:xfrm>
                    <a:prstGeom prst="rect">
                      <a:avLst/>
                    </a:prstGeom>
                    <a:noFill/>
                    <a:ln>
                      <a:noFill/>
                    </a:ln>
                  </pic:spPr>
                </pic:pic>
              </a:graphicData>
            </a:graphic>
          </wp:inline>
        </w:drawing>
      </w:r>
    </w:p>
    <w:p w:rsidR="00676A54" w:rsidRPr="00896EEE" w:rsidRDefault="00676A54" w:rsidP="00896EEE">
      <w:pPr>
        <w:spacing w:after="0" w:line="240" w:lineRule="auto"/>
        <w:rPr>
          <w:rFonts w:ascii="Arial" w:eastAsiaTheme="minorHAnsi" w:hAnsi="Arial" w:cs="Arial"/>
          <w:b/>
          <w:i/>
          <w:sz w:val="20"/>
          <w:szCs w:val="20"/>
        </w:rPr>
      </w:pPr>
      <w:r w:rsidRPr="00896EEE">
        <w:rPr>
          <w:rFonts w:ascii="Arial" w:eastAsiaTheme="minorHAnsi" w:hAnsi="Arial" w:cs="Arial"/>
          <w:b/>
          <w:i/>
          <w:sz w:val="20"/>
          <w:szCs w:val="20"/>
        </w:rPr>
        <w:t>Source: 2023 Estimates of National Expenditure</w:t>
      </w:r>
    </w:p>
    <w:p w:rsidR="005F0F42" w:rsidRPr="00896EEE" w:rsidRDefault="00F85F2C" w:rsidP="00896EEE">
      <w:pPr>
        <w:spacing w:after="0" w:line="240" w:lineRule="auto"/>
        <w:rPr>
          <w:rFonts w:ascii="Arial" w:hAnsi="Arial" w:cs="Arial"/>
          <w:sz w:val="20"/>
          <w:szCs w:val="20"/>
        </w:rPr>
      </w:pPr>
      <w:r w:rsidRPr="00896EEE">
        <w:rPr>
          <w:rFonts w:ascii="Arial" w:hAnsi="Arial" w:cs="Arial"/>
          <w:sz w:val="20"/>
          <w:szCs w:val="20"/>
        </w:rPr>
        <w:t>Of the total budget of R10,9 billion for the 2023/24 financial year, approximately R1,7 billion (16,0 percent of the total budget) is the operational budget of the D</w:t>
      </w:r>
      <w:r w:rsidR="005F0F42" w:rsidRPr="00896EEE">
        <w:rPr>
          <w:rFonts w:ascii="Arial" w:hAnsi="Arial" w:cs="Arial"/>
          <w:sz w:val="20"/>
          <w:szCs w:val="20"/>
        </w:rPr>
        <w:t xml:space="preserve">epartment </w:t>
      </w:r>
      <w:r w:rsidRPr="00896EEE">
        <w:rPr>
          <w:rFonts w:ascii="Arial" w:hAnsi="Arial" w:cs="Arial"/>
          <w:sz w:val="20"/>
          <w:szCs w:val="20"/>
        </w:rPr>
        <w:t xml:space="preserve">(compensation of employees, and goods and services), and a bulk of the budget R9,16 billion (83,9 percent of the total budget) is allocated to transfers and subsidies to departmental entities and private enterprises, among others. While R15,7 million (0,1 per cent) of the budget is allocated to payments for capital assets (machinery and software). Of the operational budget, a large proportion is allocated for compensation of employees (R1,06 billion or 61,1 percent of the operational budget or 9,8 per cent of the Department’s total budget). </w:t>
      </w:r>
    </w:p>
    <w:p w:rsidR="00F85F2C" w:rsidRPr="00896EEE" w:rsidRDefault="00F85F2C" w:rsidP="00896EEE">
      <w:pPr>
        <w:spacing w:after="0" w:line="240" w:lineRule="auto"/>
        <w:rPr>
          <w:rFonts w:ascii="Arial" w:hAnsi="Arial" w:cs="Arial"/>
          <w:sz w:val="20"/>
          <w:szCs w:val="20"/>
        </w:rPr>
      </w:pPr>
      <w:r w:rsidRPr="00896EEE">
        <w:rPr>
          <w:rFonts w:ascii="Arial" w:hAnsi="Arial" w:cs="Arial"/>
          <w:sz w:val="20"/>
          <w:szCs w:val="20"/>
        </w:rPr>
        <w:t xml:space="preserve">It should be noted that the compensation of employees’ budget will decrease by 1,4 percent between the 2022/23 and the 2023/24 financial years due to the estimated reduction in the number of employees from 1 325 employees to 1 300 employees. In the medium term (2024/25 and 2025/26 </w:t>
      </w:r>
      <w:r w:rsidRPr="00896EEE">
        <w:rPr>
          <w:rFonts w:ascii="Arial" w:hAnsi="Arial" w:cs="Arial"/>
          <w:sz w:val="20"/>
          <w:szCs w:val="20"/>
        </w:rPr>
        <w:lastRenderedPageBreak/>
        <w:t>financial years), the compensation of employees’ budget is expected to increase to R1,08 billion in 2024/25 with 1 243 employees and R1,13 billion in 2025/26 with 1 264 employees.</w:t>
      </w:r>
      <w:r w:rsidR="005F0F42" w:rsidRPr="00896EEE">
        <w:rPr>
          <w:rFonts w:ascii="Arial" w:hAnsi="Arial" w:cs="Arial"/>
          <w:sz w:val="20"/>
          <w:szCs w:val="20"/>
        </w:rPr>
        <w:t xml:space="preserve"> </w:t>
      </w:r>
      <w:r w:rsidRPr="00896EEE">
        <w:rPr>
          <w:rFonts w:ascii="Arial" w:hAnsi="Arial" w:cs="Arial"/>
          <w:sz w:val="20"/>
          <w:szCs w:val="20"/>
        </w:rPr>
        <w:t xml:space="preserve"> </w:t>
      </w:r>
    </w:p>
    <w:p w:rsidR="00CD5136" w:rsidRPr="00896EEE" w:rsidRDefault="00CD5136" w:rsidP="00896EEE">
      <w:pPr>
        <w:spacing w:after="0" w:line="240" w:lineRule="auto"/>
        <w:rPr>
          <w:rFonts w:ascii="Arial" w:hAnsi="Arial" w:cs="Arial"/>
          <w:sz w:val="20"/>
          <w:szCs w:val="20"/>
        </w:rPr>
      </w:pPr>
      <w:r w:rsidRPr="00896EEE">
        <w:rPr>
          <w:rFonts w:ascii="Arial" w:hAnsi="Arial" w:cs="Arial"/>
          <w:sz w:val="20"/>
          <w:szCs w:val="20"/>
        </w:rPr>
        <w:t>For the 2023/24 financial year, the Department has made significant changes to its targets and some changes to its programmes. The changes to the Programme names is reflected as follows:</w:t>
      </w:r>
    </w:p>
    <w:tbl>
      <w:tblPr>
        <w:tblStyle w:val="TableGrid3"/>
        <w:tblW w:w="9149" w:type="dxa"/>
        <w:tblInd w:w="0" w:type="dxa"/>
        <w:tblCellMar>
          <w:top w:w="47" w:type="dxa"/>
          <w:left w:w="106" w:type="dxa"/>
        </w:tblCellMar>
        <w:tblLook w:val="04A0"/>
      </w:tblPr>
      <w:tblGrid>
        <w:gridCol w:w="5598"/>
        <w:gridCol w:w="3551"/>
      </w:tblGrid>
      <w:tr w:rsidR="00CD5136" w:rsidRPr="00896EEE" w:rsidTr="00780A17">
        <w:trPr>
          <w:trHeight w:val="204"/>
        </w:trPr>
        <w:tc>
          <w:tcPr>
            <w:tcW w:w="55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D5136" w:rsidRPr="00896EEE" w:rsidRDefault="00CD5136" w:rsidP="00896EEE">
            <w:pPr>
              <w:ind w:right="118"/>
              <w:rPr>
                <w:rFonts w:ascii="Arial" w:eastAsia="Arial" w:hAnsi="Arial" w:cs="Arial"/>
                <w:sz w:val="20"/>
                <w:szCs w:val="20"/>
              </w:rPr>
            </w:pPr>
            <w:r w:rsidRPr="00896EEE">
              <w:rPr>
                <w:rFonts w:ascii="Arial" w:eastAsia="Arial" w:hAnsi="Arial" w:cs="Arial"/>
                <w:b/>
                <w:sz w:val="20"/>
                <w:szCs w:val="20"/>
              </w:rPr>
              <w:t xml:space="preserve">Programmes (2022/23) </w:t>
            </w:r>
          </w:p>
        </w:tc>
        <w:tc>
          <w:tcPr>
            <w:tcW w:w="3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D5136" w:rsidRPr="00896EEE" w:rsidRDefault="00CD5136" w:rsidP="00896EEE">
            <w:pPr>
              <w:ind w:left="94"/>
              <w:rPr>
                <w:rFonts w:ascii="Arial" w:eastAsia="Arial" w:hAnsi="Arial" w:cs="Arial"/>
                <w:sz w:val="20"/>
                <w:szCs w:val="20"/>
              </w:rPr>
            </w:pPr>
            <w:r w:rsidRPr="00896EEE">
              <w:rPr>
                <w:rFonts w:ascii="Arial" w:eastAsia="Arial" w:hAnsi="Arial" w:cs="Arial"/>
                <w:b/>
                <w:sz w:val="20"/>
                <w:szCs w:val="20"/>
              </w:rPr>
              <w:t xml:space="preserve">New Programme Names (2023/24) </w:t>
            </w:r>
          </w:p>
        </w:tc>
      </w:tr>
      <w:tr w:rsidR="00CD5136" w:rsidRPr="00896EEE" w:rsidTr="00780A17">
        <w:trPr>
          <w:trHeight w:val="205"/>
        </w:trPr>
        <w:tc>
          <w:tcPr>
            <w:tcW w:w="5598" w:type="dxa"/>
            <w:tcBorders>
              <w:top w:val="single" w:sz="4" w:space="0" w:color="000000"/>
              <w:left w:val="single" w:sz="4" w:space="0" w:color="000000"/>
              <w:bottom w:val="single" w:sz="4" w:space="0" w:color="000000"/>
              <w:right w:val="single" w:sz="4" w:space="0" w:color="000000"/>
            </w:tcBorders>
          </w:tcPr>
          <w:p w:rsidR="00CD5136" w:rsidRPr="00896EEE" w:rsidRDefault="00CD5136" w:rsidP="00896EEE">
            <w:pPr>
              <w:rPr>
                <w:rFonts w:ascii="Arial" w:eastAsia="Arial" w:hAnsi="Arial" w:cs="Arial"/>
                <w:color w:val="000000"/>
                <w:sz w:val="20"/>
                <w:szCs w:val="20"/>
              </w:rPr>
            </w:pPr>
            <w:r w:rsidRPr="00896EEE">
              <w:rPr>
                <w:rFonts w:ascii="Arial" w:eastAsia="Arial" w:hAnsi="Arial" w:cs="Arial"/>
                <w:b/>
                <w:color w:val="000000"/>
                <w:sz w:val="20"/>
                <w:szCs w:val="20"/>
              </w:rPr>
              <w:t>Programme 2:</w:t>
            </w:r>
            <w:r w:rsidRPr="00896EEE">
              <w:rPr>
                <w:rFonts w:ascii="Arial" w:eastAsia="Arial" w:hAnsi="Arial" w:cs="Arial"/>
                <w:color w:val="000000"/>
                <w:sz w:val="20"/>
                <w:szCs w:val="20"/>
              </w:rPr>
              <w:t xml:space="preserve"> Trade Policy </w:t>
            </w:r>
          </w:p>
        </w:tc>
        <w:tc>
          <w:tcPr>
            <w:tcW w:w="3551" w:type="dxa"/>
            <w:tcBorders>
              <w:top w:val="single" w:sz="4" w:space="0" w:color="000000"/>
              <w:left w:val="single" w:sz="4" w:space="0" w:color="000000"/>
              <w:bottom w:val="single" w:sz="4" w:space="0" w:color="000000"/>
              <w:right w:val="single" w:sz="4" w:space="0" w:color="000000"/>
            </w:tcBorders>
          </w:tcPr>
          <w:p w:rsidR="00CD5136" w:rsidRPr="00896EEE" w:rsidRDefault="00CD5136" w:rsidP="00896EEE">
            <w:pPr>
              <w:ind w:left="2"/>
              <w:rPr>
                <w:rFonts w:ascii="Arial" w:eastAsia="Arial" w:hAnsi="Arial" w:cs="Arial"/>
                <w:color w:val="000000"/>
                <w:sz w:val="20"/>
                <w:szCs w:val="20"/>
              </w:rPr>
            </w:pPr>
            <w:r w:rsidRPr="00896EEE">
              <w:rPr>
                <w:rFonts w:ascii="Arial" w:eastAsia="Arial" w:hAnsi="Arial" w:cs="Arial"/>
                <w:color w:val="000000"/>
                <w:sz w:val="20"/>
                <w:szCs w:val="20"/>
              </w:rPr>
              <w:t xml:space="preserve">Trade </w:t>
            </w:r>
          </w:p>
        </w:tc>
      </w:tr>
      <w:tr w:rsidR="00CD5136" w:rsidRPr="00896EEE" w:rsidTr="00780A17">
        <w:trPr>
          <w:trHeight w:val="407"/>
        </w:trPr>
        <w:tc>
          <w:tcPr>
            <w:tcW w:w="5598" w:type="dxa"/>
            <w:tcBorders>
              <w:top w:val="single" w:sz="4" w:space="0" w:color="000000"/>
              <w:left w:val="single" w:sz="4" w:space="0" w:color="000000"/>
              <w:bottom w:val="single" w:sz="4" w:space="0" w:color="000000"/>
              <w:right w:val="single" w:sz="4" w:space="0" w:color="000000"/>
            </w:tcBorders>
          </w:tcPr>
          <w:p w:rsidR="00CD5136" w:rsidRPr="00896EEE" w:rsidRDefault="00CD5136" w:rsidP="00896EEE">
            <w:pPr>
              <w:rPr>
                <w:rFonts w:ascii="Arial" w:eastAsia="Arial" w:hAnsi="Arial" w:cs="Arial"/>
                <w:color w:val="000000"/>
                <w:sz w:val="20"/>
                <w:szCs w:val="20"/>
              </w:rPr>
            </w:pPr>
            <w:r w:rsidRPr="00896EEE">
              <w:rPr>
                <w:rFonts w:ascii="Arial" w:eastAsia="Arial" w:hAnsi="Arial" w:cs="Arial"/>
                <w:b/>
                <w:color w:val="000000"/>
                <w:sz w:val="20"/>
                <w:szCs w:val="20"/>
              </w:rPr>
              <w:t>Programme 3:</w:t>
            </w:r>
            <w:r w:rsidRPr="00896EEE">
              <w:rPr>
                <w:rFonts w:ascii="Arial" w:eastAsia="Arial" w:hAnsi="Arial" w:cs="Arial"/>
                <w:color w:val="000000"/>
                <w:sz w:val="20"/>
                <w:szCs w:val="20"/>
              </w:rPr>
              <w:t xml:space="preserve"> Spatial Industrial Development </w:t>
            </w:r>
          </w:p>
        </w:tc>
        <w:tc>
          <w:tcPr>
            <w:tcW w:w="3551" w:type="dxa"/>
            <w:tcBorders>
              <w:top w:val="single" w:sz="4" w:space="0" w:color="000000"/>
              <w:left w:val="single" w:sz="4" w:space="0" w:color="000000"/>
              <w:bottom w:val="single" w:sz="4" w:space="0" w:color="000000"/>
              <w:right w:val="single" w:sz="4" w:space="0" w:color="000000"/>
            </w:tcBorders>
          </w:tcPr>
          <w:p w:rsidR="00CD5136" w:rsidRPr="00896EEE" w:rsidRDefault="00CD5136" w:rsidP="00896EEE">
            <w:pPr>
              <w:ind w:left="2"/>
              <w:rPr>
                <w:rFonts w:ascii="Arial" w:eastAsia="Arial" w:hAnsi="Arial" w:cs="Arial"/>
                <w:color w:val="000000"/>
                <w:sz w:val="20"/>
                <w:szCs w:val="20"/>
              </w:rPr>
            </w:pPr>
            <w:r w:rsidRPr="00896EEE">
              <w:rPr>
                <w:rFonts w:ascii="Arial" w:eastAsia="Arial" w:hAnsi="Arial" w:cs="Arial"/>
                <w:color w:val="000000"/>
                <w:sz w:val="20"/>
                <w:szCs w:val="20"/>
              </w:rPr>
              <w:t xml:space="preserve">Investment </w:t>
            </w:r>
            <w:r w:rsidRPr="00896EEE">
              <w:rPr>
                <w:rFonts w:ascii="Arial" w:eastAsia="Arial" w:hAnsi="Arial" w:cs="Arial"/>
                <w:color w:val="000000"/>
                <w:sz w:val="20"/>
                <w:szCs w:val="20"/>
              </w:rPr>
              <w:tab/>
              <w:t xml:space="preserve">and </w:t>
            </w:r>
            <w:r w:rsidRPr="00896EEE">
              <w:rPr>
                <w:rFonts w:ascii="Arial" w:eastAsia="Arial" w:hAnsi="Arial" w:cs="Arial"/>
                <w:color w:val="000000"/>
                <w:sz w:val="20"/>
                <w:szCs w:val="20"/>
              </w:rPr>
              <w:tab/>
              <w:t xml:space="preserve">Spatial </w:t>
            </w:r>
            <w:r w:rsidRPr="00896EEE">
              <w:rPr>
                <w:rFonts w:ascii="Arial" w:eastAsia="Arial" w:hAnsi="Arial" w:cs="Arial"/>
                <w:color w:val="000000"/>
                <w:sz w:val="20"/>
                <w:szCs w:val="20"/>
              </w:rPr>
              <w:tab/>
              <w:t xml:space="preserve">Industrial Development </w:t>
            </w:r>
          </w:p>
        </w:tc>
      </w:tr>
      <w:tr w:rsidR="00CD5136" w:rsidRPr="00896EEE" w:rsidTr="00780A17">
        <w:trPr>
          <w:trHeight w:val="206"/>
        </w:trPr>
        <w:tc>
          <w:tcPr>
            <w:tcW w:w="5598" w:type="dxa"/>
            <w:tcBorders>
              <w:top w:val="single" w:sz="4" w:space="0" w:color="000000"/>
              <w:left w:val="single" w:sz="4" w:space="0" w:color="000000"/>
              <w:bottom w:val="single" w:sz="4" w:space="0" w:color="000000"/>
              <w:right w:val="single" w:sz="4" w:space="0" w:color="000000"/>
            </w:tcBorders>
          </w:tcPr>
          <w:p w:rsidR="00CD5136" w:rsidRPr="00896EEE" w:rsidRDefault="00CD5136" w:rsidP="00896EEE">
            <w:pPr>
              <w:rPr>
                <w:rFonts w:ascii="Arial" w:eastAsia="Arial" w:hAnsi="Arial" w:cs="Arial"/>
                <w:color w:val="000000"/>
                <w:sz w:val="20"/>
                <w:szCs w:val="20"/>
              </w:rPr>
            </w:pPr>
            <w:r w:rsidRPr="00896EEE">
              <w:rPr>
                <w:rFonts w:ascii="Arial" w:eastAsia="Arial" w:hAnsi="Arial" w:cs="Arial"/>
                <w:b/>
                <w:color w:val="000000"/>
                <w:sz w:val="20"/>
                <w:szCs w:val="20"/>
              </w:rPr>
              <w:t>Programme 4:</w:t>
            </w:r>
            <w:r w:rsidRPr="00896EEE">
              <w:rPr>
                <w:rFonts w:ascii="Arial" w:eastAsia="Arial" w:hAnsi="Arial" w:cs="Arial"/>
                <w:color w:val="000000"/>
                <w:sz w:val="20"/>
                <w:szCs w:val="20"/>
              </w:rPr>
              <w:t xml:space="preserve"> Industrial Policy </w:t>
            </w:r>
          </w:p>
        </w:tc>
        <w:tc>
          <w:tcPr>
            <w:tcW w:w="3551" w:type="dxa"/>
            <w:tcBorders>
              <w:top w:val="single" w:sz="4" w:space="0" w:color="000000"/>
              <w:left w:val="single" w:sz="4" w:space="0" w:color="000000"/>
              <w:bottom w:val="single" w:sz="4" w:space="0" w:color="000000"/>
              <w:right w:val="single" w:sz="4" w:space="0" w:color="000000"/>
            </w:tcBorders>
          </w:tcPr>
          <w:p w:rsidR="00CD5136" w:rsidRPr="00896EEE" w:rsidRDefault="00CD5136" w:rsidP="00896EEE">
            <w:pPr>
              <w:ind w:left="2"/>
              <w:rPr>
                <w:rFonts w:ascii="Arial" w:eastAsia="Arial" w:hAnsi="Arial" w:cs="Arial"/>
                <w:color w:val="000000"/>
                <w:sz w:val="20"/>
                <w:szCs w:val="20"/>
              </w:rPr>
            </w:pPr>
            <w:r w:rsidRPr="00896EEE">
              <w:rPr>
                <w:rFonts w:ascii="Arial" w:eastAsia="Arial" w:hAnsi="Arial" w:cs="Arial"/>
                <w:color w:val="000000"/>
                <w:sz w:val="20"/>
                <w:szCs w:val="20"/>
              </w:rPr>
              <w:t xml:space="preserve">Sectors </w:t>
            </w:r>
          </w:p>
        </w:tc>
      </w:tr>
      <w:tr w:rsidR="00CD5136" w:rsidRPr="00896EEE" w:rsidTr="00780A17">
        <w:trPr>
          <w:trHeight w:val="206"/>
        </w:trPr>
        <w:tc>
          <w:tcPr>
            <w:tcW w:w="5598" w:type="dxa"/>
            <w:tcBorders>
              <w:top w:val="single" w:sz="4" w:space="0" w:color="000000"/>
              <w:left w:val="single" w:sz="4" w:space="0" w:color="000000"/>
              <w:bottom w:val="single" w:sz="4" w:space="0" w:color="000000"/>
              <w:right w:val="single" w:sz="4" w:space="0" w:color="000000"/>
            </w:tcBorders>
          </w:tcPr>
          <w:p w:rsidR="00CD5136" w:rsidRPr="00896EEE" w:rsidRDefault="00CD5136" w:rsidP="00896EEE">
            <w:pPr>
              <w:rPr>
                <w:rFonts w:ascii="Arial" w:eastAsia="Arial" w:hAnsi="Arial" w:cs="Arial"/>
                <w:color w:val="000000"/>
                <w:sz w:val="20"/>
                <w:szCs w:val="20"/>
              </w:rPr>
            </w:pPr>
            <w:r w:rsidRPr="00896EEE">
              <w:rPr>
                <w:rFonts w:ascii="Arial" w:eastAsia="Arial" w:hAnsi="Arial" w:cs="Arial"/>
                <w:b/>
                <w:color w:val="000000"/>
                <w:sz w:val="20"/>
                <w:szCs w:val="20"/>
              </w:rPr>
              <w:t>Programme 5:</w:t>
            </w:r>
            <w:r w:rsidRPr="00896EEE">
              <w:rPr>
                <w:rFonts w:ascii="Arial" w:eastAsia="Arial" w:hAnsi="Arial" w:cs="Arial"/>
                <w:color w:val="000000"/>
                <w:sz w:val="20"/>
                <w:szCs w:val="20"/>
              </w:rPr>
              <w:t xml:space="preserve"> Consumer and Corporate Regulation Division        </w:t>
            </w:r>
          </w:p>
        </w:tc>
        <w:tc>
          <w:tcPr>
            <w:tcW w:w="3551" w:type="dxa"/>
            <w:tcBorders>
              <w:top w:val="single" w:sz="4" w:space="0" w:color="000000"/>
              <w:left w:val="single" w:sz="4" w:space="0" w:color="000000"/>
              <w:bottom w:val="single" w:sz="4" w:space="0" w:color="000000"/>
              <w:right w:val="single" w:sz="4" w:space="0" w:color="000000"/>
            </w:tcBorders>
          </w:tcPr>
          <w:p w:rsidR="00CD5136" w:rsidRPr="00896EEE" w:rsidRDefault="00CD5136" w:rsidP="00896EEE">
            <w:pPr>
              <w:ind w:left="2"/>
              <w:rPr>
                <w:rFonts w:ascii="Arial" w:eastAsia="Arial" w:hAnsi="Arial" w:cs="Arial"/>
                <w:color w:val="000000"/>
                <w:sz w:val="20"/>
                <w:szCs w:val="20"/>
              </w:rPr>
            </w:pPr>
            <w:r w:rsidRPr="00896EEE">
              <w:rPr>
                <w:rFonts w:ascii="Arial" w:eastAsia="Arial" w:hAnsi="Arial" w:cs="Arial"/>
                <w:color w:val="000000"/>
                <w:sz w:val="20"/>
                <w:szCs w:val="20"/>
              </w:rPr>
              <w:t xml:space="preserve">Regulation </w:t>
            </w:r>
          </w:p>
        </w:tc>
      </w:tr>
      <w:tr w:rsidR="00CD5136" w:rsidRPr="00896EEE" w:rsidTr="00780A17">
        <w:trPr>
          <w:trHeight w:val="204"/>
        </w:trPr>
        <w:tc>
          <w:tcPr>
            <w:tcW w:w="5598" w:type="dxa"/>
            <w:tcBorders>
              <w:top w:val="single" w:sz="4" w:space="0" w:color="000000"/>
              <w:left w:val="single" w:sz="4" w:space="0" w:color="000000"/>
              <w:bottom w:val="single" w:sz="4" w:space="0" w:color="000000"/>
              <w:right w:val="single" w:sz="4" w:space="0" w:color="000000"/>
            </w:tcBorders>
          </w:tcPr>
          <w:p w:rsidR="00CD5136" w:rsidRPr="00896EEE" w:rsidRDefault="00CD5136" w:rsidP="00896EEE">
            <w:pPr>
              <w:rPr>
                <w:rFonts w:ascii="Arial" w:eastAsia="Arial" w:hAnsi="Arial" w:cs="Arial"/>
                <w:color w:val="000000"/>
                <w:sz w:val="20"/>
                <w:szCs w:val="20"/>
              </w:rPr>
            </w:pPr>
            <w:r w:rsidRPr="00896EEE">
              <w:rPr>
                <w:rFonts w:ascii="Arial" w:eastAsia="Arial" w:hAnsi="Arial" w:cs="Arial"/>
                <w:b/>
                <w:color w:val="000000"/>
                <w:sz w:val="20"/>
                <w:szCs w:val="20"/>
              </w:rPr>
              <w:t>Programme 6:</w:t>
            </w:r>
            <w:r w:rsidRPr="00896EEE">
              <w:rPr>
                <w:rFonts w:ascii="Arial" w:eastAsia="Arial" w:hAnsi="Arial" w:cs="Arial"/>
                <w:color w:val="000000"/>
                <w:sz w:val="20"/>
                <w:szCs w:val="20"/>
              </w:rPr>
              <w:t xml:space="preserve"> Industrial Financing                                      </w:t>
            </w:r>
          </w:p>
        </w:tc>
        <w:tc>
          <w:tcPr>
            <w:tcW w:w="3551" w:type="dxa"/>
            <w:tcBorders>
              <w:top w:val="single" w:sz="4" w:space="0" w:color="000000"/>
              <w:left w:val="single" w:sz="4" w:space="0" w:color="000000"/>
              <w:bottom w:val="single" w:sz="4" w:space="0" w:color="000000"/>
              <w:right w:val="single" w:sz="4" w:space="0" w:color="000000"/>
            </w:tcBorders>
          </w:tcPr>
          <w:p w:rsidR="00CD5136" w:rsidRPr="00896EEE" w:rsidRDefault="00CD5136" w:rsidP="00896EEE">
            <w:pPr>
              <w:ind w:left="2"/>
              <w:rPr>
                <w:rFonts w:ascii="Arial" w:eastAsia="Arial" w:hAnsi="Arial" w:cs="Arial"/>
                <w:color w:val="000000"/>
                <w:sz w:val="20"/>
                <w:szCs w:val="20"/>
              </w:rPr>
            </w:pPr>
            <w:r w:rsidRPr="00896EEE">
              <w:rPr>
                <w:rFonts w:ascii="Arial" w:eastAsia="Arial" w:hAnsi="Arial" w:cs="Arial"/>
                <w:color w:val="000000"/>
                <w:sz w:val="20"/>
                <w:szCs w:val="20"/>
              </w:rPr>
              <w:t xml:space="preserve">Incentives </w:t>
            </w:r>
          </w:p>
        </w:tc>
      </w:tr>
      <w:tr w:rsidR="00CD5136" w:rsidRPr="00896EEE" w:rsidTr="00780A17">
        <w:trPr>
          <w:trHeight w:val="206"/>
        </w:trPr>
        <w:tc>
          <w:tcPr>
            <w:tcW w:w="5598" w:type="dxa"/>
            <w:tcBorders>
              <w:top w:val="single" w:sz="4" w:space="0" w:color="000000"/>
              <w:left w:val="single" w:sz="4" w:space="0" w:color="000000"/>
              <w:bottom w:val="single" w:sz="4" w:space="0" w:color="000000"/>
              <w:right w:val="single" w:sz="4" w:space="0" w:color="000000"/>
            </w:tcBorders>
          </w:tcPr>
          <w:p w:rsidR="00CD5136" w:rsidRPr="00896EEE" w:rsidRDefault="00CD5136" w:rsidP="00896EEE">
            <w:pPr>
              <w:rPr>
                <w:rFonts w:ascii="Arial" w:eastAsia="Arial" w:hAnsi="Arial" w:cs="Arial"/>
                <w:color w:val="000000"/>
                <w:sz w:val="20"/>
                <w:szCs w:val="20"/>
              </w:rPr>
            </w:pPr>
            <w:r w:rsidRPr="00896EEE">
              <w:rPr>
                <w:rFonts w:ascii="Arial" w:eastAsia="Arial" w:hAnsi="Arial" w:cs="Arial"/>
                <w:b/>
                <w:color w:val="000000"/>
                <w:sz w:val="20"/>
                <w:szCs w:val="20"/>
              </w:rPr>
              <w:t>Programme 7:</w:t>
            </w:r>
            <w:r w:rsidRPr="00896EEE">
              <w:rPr>
                <w:rFonts w:ascii="Arial" w:eastAsia="Arial" w:hAnsi="Arial" w:cs="Arial"/>
                <w:color w:val="000000"/>
                <w:sz w:val="20"/>
                <w:szCs w:val="20"/>
              </w:rPr>
              <w:t xml:space="preserve"> Trade and Investment South Africa </w:t>
            </w:r>
          </w:p>
        </w:tc>
        <w:tc>
          <w:tcPr>
            <w:tcW w:w="3551" w:type="dxa"/>
            <w:tcBorders>
              <w:top w:val="single" w:sz="4" w:space="0" w:color="000000"/>
              <w:left w:val="single" w:sz="4" w:space="0" w:color="000000"/>
              <w:bottom w:val="single" w:sz="4" w:space="0" w:color="000000"/>
              <w:right w:val="single" w:sz="4" w:space="0" w:color="000000"/>
            </w:tcBorders>
          </w:tcPr>
          <w:p w:rsidR="00CD5136" w:rsidRPr="00896EEE" w:rsidRDefault="00CD5136" w:rsidP="00896EEE">
            <w:pPr>
              <w:ind w:left="2"/>
              <w:rPr>
                <w:rFonts w:ascii="Arial" w:eastAsia="Arial" w:hAnsi="Arial" w:cs="Arial"/>
                <w:color w:val="000000"/>
                <w:sz w:val="20"/>
                <w:szCs w:val="20"/>
              </w:rPr>
            </w:pPr>
            <w:r w:rsidRPr="00896EEE">
              <w:rPr>
                <w:rFonts w:ascii="Arial" w:eastAsia="Arial" w:hAnsi="Arial" w:cs="Arial"/>
                <w:color w:val="000000"/>
                <w:sz w:val="20"/>
                <w:szCs w:val="20"/>
              </w:rPr>
              <w:t xml:space="preserve">Export </w:t>
            </w:r>
          </w:p>
        </w:tc>
      </w:tr>
      <w:tr w:rsidR="00CD5136" w:rsidRPr="00896EEE" w:rsidTr="00780A17">
        <w:trPr>
          <w:trHeight w:val="407"/>
        </w:trPr>
        <w:tc>
          <w:tcPr>
            <w:tcW w:w="5598" w:type="dxa"/>
            <w:tcBorders>
              <w:top w:val="single" w:sz="4" w:space="0" w:color="000000"/>
              <w:left w:val="single" w:sz="4" w:space="0" w:color="000000"/>
              <w:bottom w:val="single" w:sz="4" w:space="0" w:color="000000"/>
              <w:right w:val="single" w:sz="4" w:space="0" w:color="000000"/>
            </w:tcBorders>
          </w:tcPr>
          <w:p w:rsidR="00CD5136" w:rsidRPr="00896EEE" w:rsidRDefault="00CD5136" w:rsidP="00896EEE">
            <w:pPr>
              <w:rPr>
                <w:rFonts w:ascii="Arial" w:eastAsia="Arial" w:hAnsi="Arial" w:cs="Arial"/>
                <w:color w:val="000000"/>
                <w:sz w:val="20"/>
                <w:szCs w:val="20"/>
              </w:rPr>
            </w:pPr>
            <w:r w:rsidRPr="00896EEE">
              <w:rPr>
                <w:rFonts w:ascii="Arial" w:eastAsia="Arial" w:hAnsi="Arial" w:cs="Arial"/>
                <w:b/>
                <w:color w:val="000000"/>
                <w:sz w:val="20"/>
                <w:szCs w:val="20"/>
              </w:rPr>
              <w:t>Programme 8:</w:t>
            </w:r>
            <w:r w:rsidRPr="00896EEE">
              <w:rPr>
                <w:rFonts w:ascii="Arial" w:eastAsia="Arial" w:hAnsi="Arial" w:cs="Arial"/>
                <w:color w:val="000000"/>
                <w:sz w:val="20"/>
                <w:szCs w:val="20"/>
              </w:rPr>
              <w:t xml:space="preserve"> Invest South Africa </w:t>
            </w:r>
          </w:p>
        </w:tc>
        <w:tc>
          <w:tcPr>
            <w:tcW w:w="3551" w:type="dxa"/>
            <w:tcBorders>
              <w:top w:val="single" w:sz="4" w:space="0" w:color="000000"/>
              <w:left w:val="single" w:sz="4" w:space="0" w:color="000000"/>
              <w:bottom w:val="single" w:sz="4" w:space="0" w:color="000000"/>
              <w:right w:val="single" w:sz="4" w:space="0" w:color="000000"/>
            </w:tcBorders>
          </w:tcPr>
          <w:p w:rsidR="00CD5136" w:rsidRPr="00896EEE" w:rsidRDefault="00CD5136" w:rsidP="00896EEE">
            <w:pPr>
              <w:ind w:left="2"/>
              <w:rPr>
                <w:rFonts w:ascii="Arial" w:eastAsia="Arial" w:hAnsi="Arial" w:cs="Arial"/>
                <w:color w:val="000000"/>
                <w:sz w:val="20"/>
                <w:szCs w:val="20"/>
              </w:rPr>
            </w:pPr>
            <w:r w:rsidRPr="00896EEE">
              <w:rPr>
                <w:rFonts w:ascii="Arial" w:eastAsia="Arial" w:hAnsi="Arial" w:cs="Arial"/>
                <w:color w:val="000000"/>
                <w:sz w:val="20"/>
                <w:szCs w:val="20"/>
              </w:rPr>
              <w:t xml:space="preserve">(Combined with previous Programme </w:t>
            </w:r>
          </w:p>
          <w:p w:rsidR="00CD5136" w:rsidRPr="00896EEE" w:rsidRDefault="00CD5136" w:rsidP="00896EEE">
            <w:pPr>
              <w:ind w:left="2"/>
              <w:rPr>
                <w:rFonts w:ascii="Arial" w:eastAsia="Arial" w:hAnsi="Arial" w:cs="Arial"/>
                <w:color w:val="000000"/>
                <w:sz w:val="20"/>
                <w:szCs w:val="20"/>
              </w:rPr>
            </w:pPr>
            <w:r w:rsidRPr="00896EEE">
              <w:rPr>
                <w:rFonts w:ascii="Arial" w:eastAsia="Arial" w:hAnsi="Arial" w:cs="Arial"/>
                <w:color w:val="000000"/>
                <w:sz w:val="20"/>
                <w:szCs w:val="20"/>
              </w:rPr>
              <w:t xml:space="preserve">3) </w:t>
            </w:r>
          </w:p>
        </w:tc>
      </w:tr>
      <w:tr w:rsidR="00CD5136" w:rsidRPr="00896EEE" w:rsidTr="00780A17">
        <w:trPr>
          <w:trHeight w:val="206"/>
        </w:trPr>
        <w:tc>
          <w:tcPr>
            <w:tcW w:w="5598" w:type="dxa"/>
            <w:tcBorders>
              <w:top w:val="single" w:sz="4" w:space="0" w:color="000000"/>
              <w:left w:val="single" w:sz="4" w:space="0" w:color="000000"/>
              <w:bottom w:val="single" w:sz="4" w:space="0" w:color="000000"/>
              <w:right w:val="single" w:sz="4" w:space="0" w:color="000000"/>
            </w:tcBorders>
          </w:tcPr>
          <w:p w:rsidR="00CD5136" w:rsidRPr="00896EEE" w:rsidRDefault="00CD5136" w:rsidP="00896EEE">
            <w:pPr>
              <w:rPr>
                <w:rFonts w:ascii="Arial" w:eastAsia="Arial" w:hAnsi="Arial" w:cs="Arial"/>
                <w:color w:val="000000"/>
                <w:sz w:val="20"/>
                <w:szCs w:val="20"/>
              </w:rPr>
            </w:pPr>
            <w:r w:rsidRPr="00896EEE">
              <w:rPr>
                <w:rFonts w:ascii="Arial" w:eastAsia="Arial" w:hAnsi="Arial" w:cs="Arial"/>
                <w:b/>
                <w:color w:val="000000"/>
                <w:sz w:val="20"/>
                <w:szCs w:val="20"/>
              </w:rPr>
              <w:t xml:space="preserve">Programme 9: </w:t>
            </w:r>
            <w:r w:rsidRPr="00896EEE">
              <w:rPr>
                <w:rFonts w:ascii="Arial" w:eastAsia="Arial" w:hAnsi="Arial" w:cs="Arial"/>
                <w:color w:val="000000"/>
                <w:sz w:val="20"/>
                <w:szCs w:val="20"/>
              </w:rPr>
              <w:t xml:space="preserve">Competition Policy </w:t>
            </w:r>
          </w:p>
        </w:tc>
        <w:tc>
          <w:tcPr>
            <w:tcW w:w="3551" w:type="dxa"/>
            <w:tcBorders>
              <w:top w:val="single" w:sz="4" w:space="0" w:color="000000"/>
              <w:left w:val="single" w:sz="4" w:space="0" w:color="000000"/>
              <w:bottom w:val="single" w:sz="4" w:space="0" w:color="000000"/>
              <w:right w:val="single" w:sz="4" w:space="0" w:color="000000"/>
            </w:tcBorders>
          </w:tcPr>
          <w:p w:rsidR="00CD5136" w:rsidRPr="00896EEE" w:rsidRDefault="00CD5136" w:rsidP="00896EEE">
            <w:pPr>
              <w:ind w:left="2"/>
              <w:rPr>
                <w:rFonts w:ascii="Arial" w:eastAsia="Arial" w:hAnsi="Arial" w:cs="Arial"/>
                <w:color w:val="000000"/>
                <w:sz w:val="20"/>
                <w:szCs w:val="20"/>
              </w:rPr>
            </w:pPr>
            <w:r w:rsidRPr="00896EEE">
              <w:rPr>
                <w:rFonts w:ascii="Arial" w:eastAsia="Arial" w:hAnsi="Arial" w:cs="Arial"/>
                <w:color w:val="000000"/>
                <w:sz w:val="20"/>
                <w:szCs w:val="20"/>
              </w:rPr>
              <w:t xml:space="preserve">Transformation and Competition </w:t>
            </w:r>
          </w:p>
        </w:tc>
      </w:tr>
      <w:tr w:rsidR="00CD5136" w:rsidRPr="00896EEE" w:rsidTr="00780A17">
        <w:trPr>
          <w:trHeight w:val="206"/>
        </w:trPr>
        <w:tc>
          <w:tcPr>
            <w:tcW w:w="5598" w:type="dxa"/>
            <w:tcBorders>
              <w:top w:val="single" w:sz="4" w:space="0" w:color="000000"/>
              <w:left w:val="single" w:sz="4" w:space="0" w:color="000000"/>
              <w:bottom w:val="single" w:sz="4" w:space="0" w:color="000000"/>
              <w:right w:val="single" w:sz="4" w:space="0" w:color="000000"/>
            </w:tcBorders>
          </w:tcPr>
          <w:p w:rsidR="00CD5136" w:rsidRPr="00896EEE" w:rsidRDefault="00CD5136" w:rsidP="00896EEE">
            <w:pPr>
              <w:rPr>
                <w:rFonts w:ascii="Arial" w:eastAsia="Arial" w:hAnsi="Arial" w:cs="Arial"/>
                <w:color w:val="000000"/>
                <w:sz w:val="20"/>
                <w:szCs w:val="20"/>
              </w:rPr>
            </w:pPr>
            <w:r w:rsidRPr="00896EEE">
              <w:rPr>
                <w:rFonts w:ascii="Arial" w:eastAsia="Arial" w:hAnsi="Arial" w:cs="Arial"/>
                <w:b/>
                <w:color w:val="000000"/>
                <w:sz w:val="20"/>
                <w:szCs w:val="20"/>
              </w:rPr>
              <w:t>Programme 10:</w:t>
            </w:r>
            <w:r w:rsidRPr="00896EEE">
              <w:rPr>
                <w:rFonts w:ascii="Arial" w:eastAsia="Arial" w:hAnsi="Arial" w:cs="Arial"/>
                <w:color w:val="000000"/>
                <w:sz w:val="20"/>
                <w:szCs w:val="20"/>
              </w:rPr>
              <w:t xml:space="preserve"> Economic Research </w:t>
            </w:r>
          </w:p>
        </w:tc>
        <w:tc>
          <w:tcPr>
            <w:tcW w:w="3551" w:type="dxa"/>
            <w:tcBorders>
              <w:top w:val="single" w:sz="4" w:space="0" w:color="000000"/>
              <w:left w:val="single" w:sz="4" w:space="0" w:color="000000"/>
              <w:bottom w:val="single" w:sz="4" w:space="0" w:color="000000"/>
              <w:right w:val="single" w:sz="4" w:space="0" w:color="000000"/>
            </w:tcBorders>
          </w:tcPr>
          <w:p w:rsidR="00CD5136" w:rsidRPr="00896EEE" w:rsidRDefault="00CD5136" w:rsidP="00896EEE">
            <w:pPr>
              <w:ind w:left="2"/>
              <w:rPr>
                <w:rFonts w:ascii="Arial" w:eastAsia="Arial" w:hAnsi="Arial" w:cs="Arial"/>
                <w:color w:val="000000"/>
                <w:sz w:val="20"/>
                <w:szCs w:val="20"/>
              </w:rPr>
            </w:pPr>
            <w:r w:rsidRPr="00896EEE">
              <w:rPr>
                <w:rFonts w:ascii="Arial" w:eastAsia="Arial" w:hAnsi="Arial" w:cs="Arial"/>
                <w:color w:val="000000"/>
                <w:sz w:val="20"/>
                <w:szCs w:val="20"/>
              </w:rPr>
              <w:t xml:space="preserve">Research </w:t>
            </w:r>
          </w:p>
        </w:tc>
      </w:tr>
    </w:tbl>
    <w:p w:rsidR="00CD5136" w:rsidRPr="00896EEE" w:rsidRDefault="00CD5136" w:rsidP="00896EEE">
      <w:pPr>
        <w:spacing w:after="0" w:line="240" w:lineRule="auto"/>
        <w:rPr>
          <w:rFonts w:ascii="Arial" w:hAnsi="Arial" w:cs="Arial"/>
          <w:sz w:val="20"/>
          <w:szCs w:val="20"/>
        </w:rPr>
      </w:pPr>
    </w:p>
    <w:p w:rsidR="00721F5E" w:rsidRPr="00896EEE" w:rsidRDefault="00B85249" w:rsidP="00896EEE">
      <w:pPr>
        <w:spacing w:after="0" w:line="240" w:lineRule="auto"/>
        <w:rPr>
          <w:rFonts w:ascii="Arial" w:hAnsi="Arial" w:cs="Arial"/>
          <w:sz w:val="20"/>
          <w:szCs w:val="20"/>
        </w:rPr>
      </w:pPr>
      <w:r w:rsidRPr="00896EEE">
        <w:rPr>
          <w:rFonts w:ascii="Arial" w:hAnsi="Arial" w:cs="Arial"/>
          <w:bCs/>
          <w:sz w:val="20"/>
          <w:szCs w:val="20"/>
        </w:rPr>
        <w:t xml:space="preserve">The purpose of </w:t>
      </w:r>
      <w:r w:rsidRPr="00896EEE">
        <w:rPr>
          <w:rFonts w:ascii="Arial" w:hAnsi="Arial" w:cs="Arial"/>
          <w:bCs/>
          <w:i/>
          <w:sz w:val="20"/>
          <w:szCs w:val="20"/>
        </w:rPr>
        <w:t>Programme 1: Administration</w:t>
      </w:r>
      <w:r w:rsidRPr="00896EEE">
        <w:rPr>
          <w:rFonts w:ascii="Arial" w:hAnsi="Arial" w:cs="Arial"/>
          <w:bCs/>
          <w:sz w:val="20"/>
          <w:szCs w:val="20"/>
        </w:rPr>
        <w:t xml:space="preserve"> is to provide strategic leadership, management and support services to the Department. </w:t>
      </w:r>
      <w:r w:rsidR="00CD5136" w:rsidRPr="00896EEE">
        <w:rPr>
          <w:rFonts w:ascii="Arial" w:hAnsi="Arial" w:cs="Arial"/>
          <w:bCs/>
          <w:sz w:val="20"/>
          <w:szCs w:val="20"/>
        </w:rPr>
        <w:t xml:space="preserve"> The programme accounts for 7.7 percent of the total budget with an allocation of </w:t>
      </w:r>
      <w:r w:rsidR="007B2B59" w:rsidRPr="00896EEE">
        <w:rPr>
          <w:rFonts w:ascii="Arial" w:hAnsi="Arial" w:cs="Arial"/>
          <w:bCs/>
          <w:sz w:val="20"/>
          <w:szCs w:val="20"/>
        </w:rPr>
        <w:t>R840.3 million, resulting in a R23.7 million decrease from the previous financial year.</w:t>
      </w:r>
      <w:r w:rsidR="00CD5136" w:rsidRPr="00896EEE">
        <w:rPr>
          <w:rFonts w:ascii="Arial" w:hAnsi="Arial" w:cs="Arial"/>
          <w:bCs/>
          <w:sz w:val="20"/>
          <w:szCs w:val="20"/>
        </w:rPr>
        <w:t xml:space="preserve">  In the 2022/23 financial year, the programme had set itself 26 indicators/targets, for the 2023/24 financial year these targets have been reduced to four.</w:t>
      </w:r>
    </w:p>
    <w:p w:rsidR="00947CFD" w:rsidRPr="00896EEE" w:rsidRDefault="002E2E52" w:rsidP="00896EEE">
      <w:pPr>
        <w:spacing w:after="0" w:line="240" w:lineRule="auto"/>
        <w:rPr>
          <w:rFonts w:ascii="Arial" w:hAnsi="Arial" w:cs="Arial"/>
          <w:bCs/>
          <w:sz w:val="20"/>
          <w:szCs w:val="20"/>
        </w:rPr>
      </w:pPr>
      <w:r w:rsidRPr="00896EEE">
        <w:rPr>
          <w:rFonts w:ascii="Arial" w:hAnsi="Arial" w:cs="Arial"/>
          <w:bCs/>
          <w:sz w:val="20"/>
          <w:szCs w:val="20"/>
        </w:rPr>
        <w:t xml:space="preserve">In terms of </w:t>
      </w:r>
      <w:r w:rsidR="00AA5934" w:rsidRPr="00896EEE">
        <w:rPr>
          <w:rFonts w:ascii="Arial" w:hAnsi="Arial" w:cs="Arial"/>
          <w:bCs/>
          <w:i/>
          <w:sz w:val="20"/>
          <w:szCs w:val="20"/>
        </w:rPr>
        <w:t>Programme 2: Trade</w:t>
      </w:r>
      <w:r w:rsidR="00CD5136" w:rsidRPr="00896EEE">
        <w:rPr>
          <w:rFonts w:ascii="Arial" w:hAnsi="Arial" w:cs="Arial"/>
          <w:bCs/>
          <w:sz w:val="20"/>
          <w:szCs w:val="20"/>
        </w:rPr>
        <w:t xml:space="preserve"> is to build an equitable global trading system that facilitates development by strengthening trade and investment with key economies and fostering African development, </w:t>
      </w:r>
      <w:r w:rsidR="007B2B59" w:rsidRPr="00896EEE">
        <w:rPr>
          <w:rFonts w:ascii="Arial" w:hAnsi="Arial" w:cs="Arial"/>
          <w:bCs/>
          <w:sz w:val="20"/>
          <w:szCs w:val="20"/>
        </w:rPr>
        <w:t>including regional and continental integration and development and cooperation in line with the African Union Agenda 2063.</w:t>
      </w:r>
      <w:r w:rsidRPr="00896EEE">
        <w:rPr>
          <w:rFonts w:ascii="Arial" w:hAnsi="Arial" w:cs="Arial"/>
          <w:bCs/>
          <w:sz w:val="20"/>
          <w:szCs w:val="20"/>
        </w:rPr>
        <w:t xml:space="preserve"> </w:t>
      </w:r>
      <w:r w:rsidR="007B2B59" w:rsidRPr="00896EEE">
        <w:rPr>
          <w:rFonts w:ascii="Arial" w:hAnsi="Arial" w:cs="Arial"/>
          <w:bCs/>
          <w:sz w:val="20"/>
          <w:szCs w:val="20"/>
        </w:rPr>
        <w:t>The programme accounts for 2.2 percent of the total budget and receives an allocation of R244.2 million for the 2023/24 financial year.</w:t>
      </w:r>
    </w:p>
    <w:p w:rsidR="009338B4" w:rsidRPr="00896EEE" w:rsidRDefault="009338B4" w:rsidP="00896EEE">
      <w:pPr>
        <w:spacing w:after="0" w:line="240" w:lineRule="auto"/>
        <w:rPr>
          <w:rFonts w:ascii="Arial" w:hAnsi="Arial" w:cs="Arial"/>
          <w:bCs/>
          <w:sz w:val="20"/>
          <w:szCs w:val="20"/>
        </w:rPr>
      </w:pPr>
    </w:p>
    <w:p w:rsidR="00111A37" w:rsidRPr="00896EEE" w:rsidRDefault="00AA5934" w:rsidP="00896EEE">
      <w:pPr>
        <w:spacing w:after="0" w:line="240" w:lineRule="auto"/>
        <w:ind w:left="6" w:right="11" w:hanging="6"/>
        <w:rPr>
          <w:rFonts w:ascii="Arial" w:eastAsia="Arial" w:hAnsi="Arial" w:cs="Arial"/>
          <w:color w:val="000000"/>
          <w:sz w:val="20"/>
          <w:szCs w:val="20"/>
          <w:lang w:eastAsia="en-ZA"/>
        </w:rPr>
      </w:pPr>
      <w:r w:rsidRPr="00896EEE">
        <w:rPr>
          <w:rFonts w:ascii="Arial" w:eastAsia="Arial" w:hAnsi="Arial" w:cs="Arial"/>
          <w:color w:val="000000"/>
          <w:sz w:val="20"/>
          <w:szCs w:val="20"/>
          <w:lang w:eastAsia="en-ZA"/>
        </w:rPr>
        <w:t xml:space="preserve">The purpose of </w:t>
      </w:r>
      <w:r w:rsidRPr="00896EEE">
        <w:rPr>
          <w:rFonts w:ascii="Arial" w:eastAsia="Arial" w:hAnsi="Arial" w:cs="Arial"/>
          <w:i/>
          <w:color w:val="000000"/>
          <w:sz w:val="20"/>
          <w:szCs w:val="20"/>
          <w:lang w:eastAsia="en-ZA"/>
        </w:rPr>
        <w:t xml:space="preserve">Programme 3: </w:t>
      </w:r>
      <w:r w:rsidR="007B2B59" w:rsidRPr="00896EEE">
        <w:rPr>
          <w:rFonts w:ascii="Arial" w:eastAsia="Arial" w:hAnsi="Arial" w:cs="Arial"/>
          <w:i/>
          <w:color w:val="000000"/>
          <w:sz w:val="20"/>
          <w:szCs w:val="20"/>
          <w:lang w:eastAsia="en-ZA"/>
        </w:rPr>
        <w:t>Investment and Spatial Industrial Development</w:t>
      </w:r>
      <w:r w:rsidR="007B2B59" w:rsidRPr="00896EEE">
        <w:rPr>
          <w:rFonts w:ascii="Arial" w:eastAsia="Arial" w:hAnsi="Arial" w:cs="Arial"/>
          <w:color w:val="000000"/>
          <w:sz w:val="20"/>
          <w:szCs w:val="20"/>
          <w:lang w:eastAsia="en-ZA"/>
        </w:rPr>
        <w:t xml:space="preserve"> is to support foreign direct investment </w:t>
      </w:r>
      <w:r w:rsidR="006A5788" w:rsidRPr="00896EEE">
        <w:rPr>
          <w:rFonts w:ascii="Arial" w:eastAsia="Arial" w:hAnsi="Arial" w:cs="Arial"/>
          <w:color w:val="000000"/>
          <w:sz w:val="20"/>
          <w:szCs w:val="20"/>
          <w:lang w:eastAsia="en-ZA"/>
        </w:rPr>
        <w:t xml:space="preserve">flows and promote domestic investment by providing a one-stop shop for investment promotion, investor facilitation and aftercare support for investors as well as increase participation in industrialisation. For the 2023/24 financial year, this programme received an allocation of R168.6 million which is 1.5 percent of the total budget and is an increase of R8.4 million from the previous financial year. </w:t>
      </w:r>
    </w:p>
    <w:p w:rsidR="00AA5934" w:rsidRPr="00896EEE" w:rsidRDefault="00AA5934" w:rsidP="00896EEE">
      <w:pPr>
        <w:spacing w:after="0" w:line="240" w:lineRule="auto"/>
        <w:ind w:right="11"/>
        <w:rPr>
          <w:rFonts w:ascii="Arial" w:eastAsia="Arial" w:hAnsi="Arial" w:cs="Arial"/>
          <w:color w:val="000000"/>
          <w:sz w:val="20"/>
          <w:szCs w:val="20"/>
          <w:lang w:eastAsia="en-ZA"/>
        </w:rPr>
      </w:pPr>
    </w:p>
    <w:p w:rsidR="00FA1280" w:rsidRPr="00896EEE" w:rsidRDefault="006A5788" w:rsidP="00896EEE">
      <w:pPr>
        <w:spacing w:after="0" w:line="240" w:lineRule="auto"/>
        <w:ind w:left="6" w:right="11" w:hanging="6"/>
        <w:rPr>
          <w:rFonts w:ascii="Arial" w:eastAsia="Arial" w:hAnsi="Arial" w:cs="Arial"/>
          <w:color w:val="000000"/>
          <w:sz w:val="20"/>
          <w:szCs w:val="20"/>
          <w:lang w:eastAsia="en-ZA"/>
        </w:rPr>
      </w:pPr>
      <w:r w:rsidRPr="00896EEE">
        <w:rPr>
          <w:rFonts w:ascii="Arial" w:eastAsia="Arial" w:hAnsi="Arial" w:cs="Arial"/>
          <w:color w:val="000000"/>
          <w:sz w:val="20"/>
          <w:szCs w:val="20"/>
          <w:lang w:eastAsia="en-ZA"/>
        </w:rPr>
        <w:t xml:space="preserve">The purpose of </w:t>
      </w:r>
      <w:r w:rsidRPr="00896EEE">
        <w:rPr>
          <w:rFonts w:ascii="Arial" w:eastAsia="Arial" w:hAnsi="Arial" w:cs="Arial"/>
          <w:i/>
          <w:color w:val="000000"/>
          <w:sz w:val="20"/>
          <w:szCs w:val="20"/>
          <w:lang w:eastAsia="en-ZA"/>
        </w:rPr>
        <w:t>Programme 4:</w:t>
      </w:r>
      <w:r w:rsidRPr="00896EEE">
        <w:rPr>
          <w:rFonts w:ascii="Arial" w:eastAsia="Arial" w:hAnsi="Arial" w:cs="Arial"/>
          <w:color w:val="000000"/>
          <w:sz w:val="20"/>
          <w:szCs w:val="20"/>
          <w:lang w:eastAsia="en-ZA"/>
        </w:rPr>
        <w:t xml:space="preserve"> </w:t>
      </w:r>
      <w:r w:rsidRPr="00896EEE">
        <w:rPr>
          <w:rFonts w:ascii="Arial" w:eastAsia="Arial" w:hAnsi="Arial" w:cs="Arial"/>
          <w:i/>
          <w:color w:val="000000"/>
          <w:sz w:val="20"/>
          <w:szCs w:val="20"/>
          <w:lang w:eastAsia="en-ZA"/>
        </w:rPr>
        <w:t xml:space="preserve">Sectors </w:t>
      </w:r>
      <w:r w:rsidRPr="00896EEE">
        <w:rPr>
          <w:rFonts w:ascii="Arial" w:eastAsia="Arial" w:hAnsi="Arial" w:cs="Arial"/>
          <w:color w:val="000000"/>
          <w:sz w:val="20"/>
          <w:szCs w:val="20"/>
          <w:lang w:eastAsia="en-ZA"/>
        </w:rPr>
        <w:t xml:space="preserve">is to design and implement policies, strategies and programmes to strengthen the ability of manufacturing and other sectors of the economy to create decent jobs, promote inclusion and increase value addition and competitiveness, in both domestic and export markets. For the 2023/24 financial year, this programme received an allocation of R1.72 billion which accounts for 15.7 percent of the total budget. </w:t>
      </w:r>
      <w:r w:rsidR="00AA5934" w:rsidRPr="00896EEE">
        <w:rPr>
          <w:rFonts w:ascii="Arial" w:eastAsia="Arial" w:hAnsi="Arial" w:cs="Arial"/>
          <w:i/>
          <w:color w:val="000000"/>
          <w:sz w:val="20"/>
          <w:szCs w:val="20"/>
          <w:lang w:eastAsia="en-ZA"/>
        </w:rPr>
        <w:t xml:space="preserve"> </w:t>
      </w:r>
    </w:p>
    <w:p w:rsidR="005E286A" w:rsidRPr="00896EEE" w:rsidRDefault="005E286A" w:rsidP="00896EEE">
      <w:pPr>
        <w:spacing w:after="0" w:line="240" w:lineRule="auto"/>
        <w:ind w:left="6" w:right="11" w:hanging="6"/>
        <w:rPr>
          <w:rFonts w:ascii="Arial" w:eastAsia="Arial" w:hAnsi="Arial" w:cs="Arial"/>
          <w:color w:val="000000"/>
          <w:sz w:val="20"/>
          <w:szCs w:val="20"/>
          <w:lang w:eastAsia="en-ZA"/>
        </w:rPr>
      </w:pPr>
    </w:p>
    <w:p w:rsidR="005E286A" w:rsidRPr="00896EEE" w:rsidRDefault="00AA5934" w:rsidP="00896EEE">
      <w:pPr>
        <w:spacing w:after="0" w:line="240" w:lineRule="auto"/>
        <w:ind w:left="6" w:right="11" w:hanging="6"/>
        <w:rPr>
          <w:rFonts w:ascii="Arial" w:hAnsi="Arial" w:cs="Arial"/>
          <w:bCs/>
          <w:sz w:val="20"/>
          <w:szCs w:val="20"/>
        </w:rPr>
      </w:pPr>
      <w:r w:rsidRPr="00896EEE">
        <w:rPr>
          <w:rFonts w:ascii="Arial" w:eastAsia="Arial" w:hAnsi="Arial" w:cs="Arial"/>
          <w:i/>
          <w:color w:val="000000"/>
          <w:sz w:val="20"/>
          <w:szCs w:val="20"/>
          <w:lang w:eastAsia="en-ZA"/>
        </w:rPr>
        <w:t>Programme 5: Regulation</w:t>
      </w:r>
      <w:r w:rsidRPr="00896EEE">
        <w:rPr>
          <w:rFonts w:ascii="Arial" w:eastAsia="Arial" w:hAnsi="Arial" w:cs="Arial"/>
          <w:color w:val="000000"/>
          <w:sz w:val="20"/>
          <w:szCs w:val="20"/>
          <w:lang w:eastAsia="en-ZA"/>
        </w:rPr>
        <w:t xml:space="preserve"> is </w:t>
      </w:r>
      <w:r w:rsidR="00D117BA" w:rsidRPr="00896EEE">
        <w:rPr>
          <w:rFonts w:ascii="Arial" w:eastAsia="Arial" w:hAnsi="Arial" w:cs="Arial"/>
          <w:color w:val="000000"/>
          <w:sz w:val="20"/>
          <w:szCs w:val="20"/>
          <w:lang w:eastAsia="en-ZA"/>
        </w:rPr>
        <w:t>to develop and implement coherent, predictable and transparent regulatory solutions that facilitate easy access to redress and efficient regulation for economic citizens.</w:t>
      </w:r>
      <w:r w:rsidR="00B821B1" w:rsidRPr="00896EEE">
        <w:rPr>
          <w:rFonts w:ascii="Arial" w:eastAsia="Arial" w:hAnsi="Arial" w:cs="Arial"/>
          <w:color w:val="000000"/>
          <w:sz w:val="20"/>
          <w:szCs w:val="20"/>
          <w:lang w:eastAsia="en-ZA"/>
        </w:rPr>
        <w:t xml:space="preserve"> For the 2023/24 financial year, this programme received an allocation of R359.6 million which is 3.3 percent of the total budget. This is an increase of R15.8 million from the 2022/23 financial year. </w:t>
      </w:r>
    </w:p>
    <w:p w:rsidR="00AA5934" w:rsidRPr="00896EEE" w:rsidRDefault="00AA5934" w:rsidP="00896EEE">
      <w:pPr>
        <w:spacing w:after="0" w:line="240" w:lineRule="auto"/>
        <w:ind w:left="6" w:right="11" w:hanging="6"/>
        <w:rPr>
          <w:rFonts w:ascii="Arial" w:eastAsia="Arial" w:hAnsi="Arial" w:cs="Arial"/>
          <w:color w:val="000000"/>
          <w:sz w:val="20"/>
          <w:szCs w:val="20"/>
          <w:lang w:eastAsia="en-ZA"/>
        </w:rPr>
      </w:pPr>
    </w:p>
    <w:p w:rsidR="00857E45" w:rsidRPr="00896EEE" w:rsidRDefault="00AA5934" w:rsidP="00896EEE">
      <w:pPr>
        <w:spacing w:after="0" w:line="240" w:lineRule="auto"/>
        <w:ind w:right="11"/>
        <w:rPr>
          <w:rFonts w:ascii="Arial" w:hAnsi="Arial" w:cs="Arial"/>
          <w:bCs/>
          <w:sz w:val="20"/>
          <w:szCs w:val="20"/>
        </w:rPr>
      </w:pPr>
      <w:r w:rsidRPr="00896EEE">
        <w:rPr>
          <w:rFonts w:ascii="Arial" w:eastAsia="Arial" w:hAnsi="Arial" w:cs="Arial"/>
          <w:i/>
          <w:color w:val="000000"/>
          <w:sz w:val="20"/>
          <w:szCs w:val="20"/>
          <w:lang w:eastAsia="en-ZA"/>
        </w:rPr>
        <w:t>Programme 6: In</w:t>
      </w:r>
      <w:r w:rsidR="00B821B1" w:rsidRPr="00896EEE">
        <w:rPr>
          <w:rFonts w:ascii="Arial" w:eastAsia="Arial" w:hAnsi="Arial" w:cs="Arial"/>
          <w:i/>
          <w:color w:val="000000"/>
          <w:sz w:val="20"/>
          <w:szCs w:val="20"/>
          <w:lang w:eastAsia="en-ZA"/>
        </w:rPr>
        <w:t>centives</w:t>
      </w:r>
      <w:r w:rsidRPr="00896EEE">
        <w:rPr>
          <w:rFonts w:ascii="Arial" w:eastAsia="Arial" w:hAnsi="Arial" w:cs="Arial"/>
          <w:color w:val="000000"/>
          <w:sz w:val="20"/>
          <w:szCs w:val="20"/>
          <w:lang w:eastAsia="en-ZA"/>
        </w:rPr>
        <w:t xml:space="preserve"> seeks to </w:t>
      </w:r>
      <w:r w:rsidR="00B821B1" w:rsidRPr="00896EEE">
        <w:rPr>
          <w:rFonts w:ascii="Arial" w:eastAsia="Arial" w:hAnsi="Arial" w:cs="Arial"/>
          <w:color w:val="000000"/>
          <w:sz w:val="20"/>
          <w:szCs w:val="20"/>
          <w:lang w:eastAsia="en-ZA"/>
        </w:rPr>
        <w:t xml:space="preserve">stimulate and support the development of sustainable and competitive enterprises, through the efficient provision of effective and accessible incentive measures that support national priorities. This programme captures the core mandate of the Department and receives the largest allocation of R5.4 billion accounting for 49.4 percent of the total budget. This R74.4 million increase from the previous financial year and is attributed to expected increases in spending in the Incentives Programme, mainly to disburse funds for industrial financial assistance. </w:t>
      </w:r>
    </w:p>
    <w:p w:rsidR="00B821B1" w:rsidRPr="00896EEE" w:rsidRDefault="00B821B1" w:rsidP="00896EEE">
      <w:pPr>
        <w:spacing w:after="0" w:line="240" w:lineRule="auto"/>
        <w:ind w:right="11"/>
        <w:rPr>
          <w:rFonts w:ascii="Arial" w:hAnsi="Arial" w:cs="Arial"/>
          <w:bCs/>
          <w:sz w:val="20"/>
          <w:szCs w:val="20"/>
        </w:rPr>
      </w:pPr>
    </w:p>
    <w:p w:rsidR="004670F0" w:rsidRPr="00896EEE" w:rsidRDefault="00AA5934" w:rsidP="00896EEE">
      <w:pPr>
        <w:spacing w:after="0" w:line="240" w:lineRule="auto"/>
        <w:rPr>
          <w:rFonts w:ascii="Arial" w:hAnsi="Arial" w:cs="Arial"/>
          <w:sz w:val="20"/>
          <w:szCs w:val="20"/>
        </w:rPr>
      </w:pPr>
      <w:r w:rsidRPr="00896EEE">
        <w:rPr>
          <w:rFonts w:ascii="Arial" w:hAnsi="Arial" w:cs="Arial"/>
          <w:i/>
          <w:sz w:val="20"/>
          <w:szCs w:val="20"/>
        </w:rPr>
        <w:t>Programme 7:</w:t>
      </w:r>
      <w:r w:rsidR="004670F0" w:rsidRPr="00896EEE">
        <w:rPr>
          <w:rFonts w:ascii="Arial" w:hAnsi="Arial" w:cs="Arial"/>
          <w:i/>
          <w:sz w:val="20"/>
          <w:szCs w:val="20"/>
        </w:rPr>
        <w:t xml:space="preserve"> </w:t>
      </w:r>
      <w:r w:rsidR="00B821B1" w:rsidRPr="00896EEE">
        <w:rPr>
          <w:rFonts w:ascii="Arial" w:hAnsi="Arial" w:cs="Arial"/>
          <w:i/>
          <w:sz w:val="20"/>
          <w:szCs w:val="20"/>
        </w:rPr>
        <w:t>Exports</w:t>
      </w:r>
      <w:r w:rsidR="00B821B1" w:rsidRPr="00896EEE">
        <w:rPr>
          <w:rFonts w:ascii="Arial" w:hAnsi="Arial" w:cs="Arial"/>
          <w:sz w:val="20"/>
          <w:szCs w:val="20"/>
        </w:rPr>
        <w:t xml:space="preserve">, seeks to increase export capacity and support direct investment flows, through targeted strategies, and an effectively managed network of foreign trade and investment offices. The programme has been allocated R244.2 million for the 2023/24 financial year which account for 3.7 percent of the total budget. </w:t>
      </w:r>
      <w:r w:rsidR="001156D6" w:rsidRPr="00896EEE">
        <w:rPr>
          <w:rFonts w:ascii="Arial" w:hAnsi="Arial" w:cs="Arial"/>
          <w:sz w:val="20"/>
          <w:szCs w:val="20"/>
        </w:rPr>
        <w:t xml:space="preserve">This allocation is a decrease of R77.7 million from the </w:t>
      </w:r>
      <w:r w:rsidR="001156D6" w:rsidRPr="00896EEE">
        <w:rPr>
          <w:rFonts w:ascii="Arial" w:hAnsi="Arial" w:cs="Arial"/>
          <w:sz w:val="20"/>
          <w:szCs w:val="20"/>
        </w:rPr>
        <w:lastRenderedPageBreak/>
        <w:t xml:space="preserve">previous financial year. The decrease is as a result of the Presidential initiative - Social Employment Fund, not being extended beyond the 2023/24 financial year and was part of the COVID-19 ERRP interventions. </w:t>
      </w:r>
    </w:p>
    <w:p w:rsidR="00AA5934" w:rsidRPr="00896EEE" w:rsidRDefault="00AA5934" w:rsidP="00896EEE">
      <w:pPr>
        <w:spacing w:after="0" w:line="240" w:lineRule="auto"/>
        <w:rPr>
          <w:rFonts w:ascii="Arial" w:hAnsi="Arial" w:cs="Arial"/>
          <w:sz w:val="20"/>
          <w:szCs w:val="20"/>
        </w:rPr>
      </w:pPr>
    </w:p>
    <w:p w:rsidR="00AA5934" w:rsidRPr="00896EEE" w:rsidRDefault="00AA5934" w:rsidP="00896EEE">
      <w:pPr>
        <w:spacing w:after="0" w:line="240" w:lineRule="auto"/>
        <w:rPr>
          <w:rFonts w:ascii="Arial" w:hAnsi="Arial" w:cs="Arial"/>
          <w:sz w:val="20"/>
          <w:szCs w:val="20"/>
        </w:rPr>
      </w:pPr>
      <w:r w:rsidRPr="00896EEE">
        <w:rPr>
          <w:rFonts w:ascii="Arial" w:hAnsi="Arial" w:cs="Arial"/>
          <w:i/>
          <w:sz w:val="20"/>
          <w:szCs w:val="20"/>
        </w:rPr>
        <w:t xml:space="preserve">Programme 8: </w:t>
      </w:r>
      <w:r w:rsidR="001156D6" w:rsidRPr="00896EEE">
        <w:rPr>
          <w:rFonts w:ascii="Arial" w:hAnsi="Arial" w:cs="Arial"/>
          <w:i/>
          <w:sz w:val="20"/>
          <w:szCs w:val="20"/>
        </w:rPr>
        <w:t xml:space="preserve">Transformation and Competition </w:t>
      </w:r>
      <w:r w:rsidR="001156D6" w:rsidRPr="00896EEE">
        <w:rPr>
          <w:rFonts w:ascii="Arial" w:hAnsi="Arial" w:cs="Arial"/>
          <w:sz w:val="20"/>
          <w:szCs w:val="20"/>
        </w:rPr>
        <w:t xml:space="preserve">seeks to develop and roll out policy interventions that promote transformation and competition issues through effective economic planning, aligned investment and development policy tools. The allocation for the 2023/24 financial year is R1.7 billion which accounts for 15.8 percent of the total budget and is the second largest programme of the Department according to budget allocation. </w:t>
      </w:r>
    </w:p>
    <w:p w:rsidR="001156D6" w:rsidRPr="00896EEE" w:rsidRDefault="001156D6" w:rsidP="00896EEE">
      <w:pPr>
        <w:spacing w:after="0" w:line="240" w:lineRule="auto"/>
        <w:rPr>
          <w:rFonts w:ascii="Arial" w:hAnsi="Arial" w:cs="Arial"/>
          <w:sz w:val="20"/>
          <w:szCs w:val="20"/>
        </w:rPr>
      </w:pPr>
    </w:p>
    <w:p w:rsidR="00AA5934" w:rsidRPr="00896EEE" w:rsidRDefault="00AA5934" w:rsidP="00896EEE">
      <w:pPr>
        <w:spacing w:after="0" w:line="240" w:lineRule="auto"/>
        <w:rPr>
          <w:rFonts w:ascii="Arial" w:hAnsi="Arial" w:cs="Arial"/>
          <w:sz w:val="20"/>
          <w:szCs w:val="20"/>
        </w:rPr>
      </w:pPr>
      <w:r w:rsidRPr="00896EEE">
        <w:rPr>
          <w:rFonts w:ascii="Arial" w:hAnsi="Arial" w:cs="Arial"/>
          <w:i/>
          <w:sz w:val="20"/>
          <w:szCs w:val="20"/>
        </w:rPr>
        <w:t xml:space="preserve">Programme 9: </w:t>
      </w:r>
      <w:r w:rsidR="001156D6" w:rsidRPr="00896EEE">
        <w:rPr>
          <w:rFonts w:ascii="Arial" w:hAnsi="Arial" w:cs="Arial"/>
          <w:i/>
          <w:sz w:val="20"/>
          <w:szCs w:val="20"/>
        </w:rPr>
        <w:t>Research</w:t>
      </w:r>
      <w:r w:rsidR="00073B9D" w:rsidRPr="00896EEE">
        <w:rPr>
          <w:rFonts w:ascii="Arial" w:hAnsi="Arial" w:cs="Arial"/>
          <w:i/>
          <w:sz w:val="20"/>
          <w:szCs w:val="20"/>
        </w:rPr>
        <w:t>,</w:t>
      </w:r>
      <w:r w:rsidR="001156D6" w:rsidRPr="00896EEE">
        <w:rPr>
          <w:rFonts w:ascii="Arial" w:hAnsi="Arial" w:cs="Arial"/>
          <w:i/>
          <w:sz w:val="20"/>
          <w:szCs w:val="20"/>
        </w:rPr>
        <w:t xml:space="preserve"> </w:t>
      </w:r>
      <w:r w:rsidR="001156D6" w:rsidRPr="00896EEE">
        <w:rPr>
          <w:rFonts w:ascii="Arial" w:hAnsi="Arial" w:cs="Arial"/>
          <w:sz w:val="20"/>
          <w:szCs w:val="20"/>
        </w:rPr>
        <w:t>seeks to undertake economic research, contribute to development of trade and industrial policies and guide policy, legislative and strategy processes to facilitate inclusive growth. For the 2023/24 financial year, this programme received an allocation of R60.4 million</w:t>
      </w:r>
      <w:r w:rsidR="009338B4" w:rsidRPr="00896EEE">
        <w:rPr>
          <w:rFonts w:ascii="Arial" w:hAnsi="Arial" w:cs="Arial"/>
          <w:sz w:val="20"/>
          <w:szCs w:val="20"/>
        </w:rPr>
        <w:t xml:space="preserve"> and accounts for 0.55 percent of the total budget, this is an increase of R9.8 million from the previous financial year. </w:t>
      </w:r>
    </w:p>
    <w:p w:rsidR="00F1155D" w:rsidRPr="00896EEE" w:rsidRDefault="00F1155D" w:rsidP="00896EEE">
      <w:pPr>
        <w:spacing w:after="0" w:line="240" w:lineRule="auto"/>
        <w:rPr>
          <w:rFonts w:ascii="Arial" w:hAnsi="Arial" w:cs="Arial"/>
          <w:sz w:val="20"/>
          <w:szCs w:val="20"/>
        </w:rPr>
      </w:pPr>
    </w:p>
    <w:p w:rsidR="00DA28E8" w:rsidRPr="00896EEE" w:rsidRDefault="006A7D76" w:rsidP="00896EEE">
      <w:pPr>
        <w:spacing w:after="0" w:line="240" w:lineRule="auto"/>
        <w:rPr>
          <w:rFonts w:ascii="Arial" w:hAnsi="Arial" w:cs="Arial"/>
          <w:b/>
          <w:sz w:val="20"/>
          <w:szCs w:val="20"/>
        </w:rPr>
      </w:pPr>
      <w:r w:rsidRPr="00896EEE">
        <w:rPr>
          <w:rFonts w:ascii="Arial" w:hAnsi="Arial" w:cs="Arial"/>
          <w:b/>
          <w:sz w:val="20"/>
          <w:szCs w:val="20"/>
        </w:rPr>
        <w:t xml:space="preserve">8. </w:t>
      </w:r>
      <w:r w:rsidR="00771682" w:rsidRPr="00896EEE">
        <w:rPr>
          <w:rFonts w:ascii="Arial" w:hAnsi="Arial" w:cs="Arial"/>
          <w:b/>
          <w:sz w:val="20"/>
          <w:szCs w:val="20"/>
        </w:rPr>
        <w:t>Transfers to entities</w:t>
      </w:r>
    </w:p>
    <w:p w:rsidR="00870E07" w:rsidRPr="00896EEE" w:rsidRDefault="00DA28E8" w:rsidP="00896EEE">
      <w:pPr>
        <w:spacing w:after="0" w:line="240" w:lineRule="auto"/>
        <w:rPr>
          <w:rFonts w:ascii="Arial" w:hAnsi="Arial" w:cs="Arial"/>
          <w:b/>
          <w:sz w:val="20"/>
          <w:szCs w:val="20"/>
        </w:rPr>
      </w:pPr>
      <w:r w:rsidRPr="00896EEE">
        <w:rPr>
          <w:rFonts w:ascii="Arial" w:hAnsi="Arial" w:cs="Arial"/>
          <w:sz w:val="20"/>
          <w:szCs w:val="20"/>
        </w:rPr>
        <w:t xml:space="preserve"> </w:t>
      </w:r>
      <w:r w:rsidR="006A7D76" w:rsidRPr="00896EEE">
        <w:rPr>
          <w:rFonts w:ascii="Arial" w:hAnsi="Arial" w:cs="Arial"/>
          <w:b/>
          <w:sz w:val="20"/>
          <w:szCs w:val="20"/>
        </w:rPr>
        <w:t>Summary of Departmental Transfers to Entities</w:t>
      </w:r>
    </w:p>
    <w:p w:rsidR="00870E07" w:rsidRPr="00896EEE" w:rsidRDefault="00870E07" w:rsidP="00896EEE">
      <w:pPr>
        <w:spacing w:after="0" w:line="240" w:lineRule="auto"/>
        <w:rPr>
          <w:rFonts w:ascii="Arial" w:hAnsi="Arial" w:cs="Arial"/>
          <w:i/>
          <w:sz w:val="20"/>
          <w:szCs w:val="20"/>
        </w:rPr>
      </w:pPr>
    </w:p>
    <w:tbl>
      <w:tblPr>
        <w:tblStyle w:val="TableGrid4"/>
        <w:tblW w:w="8904" w:type="dxa"/>
        <w:tblInd w:w="-5" w:type="dxa"/>
        <w:tblCellMar>
          <w:top w:w="6" w:type="dxa"/>
          <w:left w:w="107" w:type="dxa"/>
        </w:tblCellMar>
        <w:tblLook w:val="04A0"/>
      </w:tblPr>
      <w:tblGrid>
        <w:gridCol w:w="2888"/>
        <w:gridCol w:w="1203"/>
        <w:gridCol w:w="1203"/>
        <w:gridCol w:w="1205"/>
        <w:gridCol w:w="1203"/>
        <w:gridCol w:w="1202"/>
      </w:tblGrid>
      <w:tr w:rsidR="00F85F2C" w:rsidRPr="00896EEE" w:rsidTr="00F85F2C">
        <w:trPr>
          <w:trHeight w:val="459"/>
        </w:trPr>
        <w:tc>
          <w:tcPr>
            <w:tcW w:w="28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85F2C" w:rsidRPr="00896EEE" w:rsidRDefault="00F85F2C" w:rsidP="00896EEE">
            <w:pPr>
              <w:ind w:right="113"/>
              <w:rPr>
                <w:rFonts w:ascii="Arial" w:eastAsia="Arial" w:hAnsi="Arial" w:cs="Arial"/>
                <w:sz w:val="20"/>
                <w:szCs w:val="20"/>
              </w:rPr>
            </w:pPr>
            <w:r w:rsidRPr="00896EEE">
              <w:rPr>
                <w:rFonts w:ascii="Arial" w:eastAsia="Arial" w:hAnsi="Arial" w:cs="Arial"/>
                <w:b/>
                <w:sz w:val="20"/>
                <w:szCs w:val="20"/>
              </w:rPr>
              <w:t xml:space="preserve">Entities </w:t>
            </w:r>
          </w:p>
        </w:tc>
        <w:tc>
          <w:tcPr>
            <w:tcW w:w="12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85F2C" w:rsidRPr="00896EEE" w:rsidRDefault="00F85F2C" w:rsidP="00896EEE">
            <w:pPr>
              <w:rPr>
                <w:rFonts w:ascii="Arial" w:eastAsia="Arial" w:hAnsi="Arial" w:cs="Arial"/>
                <w:sz w:val="20"/>
                <w:szCs w:val="20"/>
              </w:rPr>
            </w:pPr>
            <w:r w:rsidRPr="00896EEE">
              <w:rPr>
                <w:rFonts w:ascii="Arial" w:eastAsia="Arial" w:hAnsi="Arial" w:cs="Arial"/>
                <w:b/>
                <w:sz w:val="20"/>
                <w:szCs w:val="20"/>
              </w:rPr>
              <w:t xml:space="preserve">2019/20 (R'000) </w:t>
            </w:r>
          </w:p>
        </w:tc>
        <w:tc>
          <w:tcPr>
            <w:tcW w:w="12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85F2C" w:rsidRPr="00896EEE" w:rsidRDefault="00F85F2C" w:rsidP="00896EEE">
            <w:pPr>
              <w:rPr>
                <w:rFonts w:ascii="Arial" w:eastAsia="Arial" w:hAnsi="Arial" w:cs="Arial"/>
                <w:sz w:val="20"/>
                <w:szCs w:val="20"/>
              </w:rPr>
            </w:pPr>
            <w:r w:rsidRPr="00896EEE">
              <w:rPr>
                <w:rFonts w:ascii="Arial" w:eastAsia="Arial" w:hAnsi="Arial" w:cs="Arial"/>
                <w:b/>
                <w:sz w:val="20"/>
                <w:szCs w:val="20"/>
              </w:rPr>
              <w:t xml:space="preserve">2020/21 (R'000) </w:t>
            </w:r>
          </w:p>
        </w:tc>
        <w:tc>
          <w:tcPr>
            <w:tcW w:w="12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85F2C" w:rsidRPr="00896EEE" w:rsidRDefault="00F85F2C" w:rsidP="00896EEE">
            <w:pPr>
              <w:rPr>
                <w:rFonts w:ascii="Arial" w:eastAsia="Arial" w:hAnsi="Arial" w:cs="Arial"/>
                <w:sz w:val="20"/>
                <w:szCs w:val="20"/>
              </w:rPr>
            </w:pPr>
            <w:r w:rsidRPr="00896EEE">
              <w:rPr>
                <w:rFonts w:ascii="Arial" w:eastAsia="Arial" w:hAnsi="Arial" w:cs="Arial"/>
                <w:b/>
                <w:sz w:val="20"/>
                <w:szCs w:val="20"/>
              </w:rPr>
              <w:t xml:space="preserve">2021/22 (R'000) </w:t>
            </w:r>
          </w:p>
        </w:tc>
        <w:tc>
          <w:tcPr>
            <w:tcW w:w="12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85F2C" w:rsidRPr="00896EEE" w:rsidRDefault="00F85F2C" w:rsidP="00896EEE">
            <w:pPr>
              <w:rPr>
                <w:rFonts w:ascii="Arial" w:eastAsia="Arial" w:hAnsi="Arial" w:cs="Arial"/>
                <w:sz w:val="20"/>
                <w:szCs w:val="20"/>
              </w:rPr>
            </w:pPr>
            <w:r w:rsidRPr="00896EEE">
              <w:rPr>
                <w:rFonts w:ascii="Arial" w:eastAsia="Arial" w:hAnsi="Arial" w:cs="Arial"/>
                <w:b/>
                <w:sz w:val="20"/>
                <w:szCs w:val="20"/>
              </w:rPr>
              <w:t xml:space="preserve">2022/23 (R'000) </w:t>
            </w:r>
          </w:p>
        </w:tc>
        <w:tc>
          <w:tcPr>
            <w:tcW w:w="12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85F2C" w:rsidRPr="00896EEE" w:rsidRDefault="00F85F2C" w:rsidP="00896EEE">
            <w:pPr>
              <w:rPr>
                <w:rFonts w:ascii="Arial" w:eastAsia="Arial" w:hAnsi="Arial" w:cs="Arial"/>
                <w:sz w:val="20"/>
                <w:szCs w:val="20"/>
              </w:rPr>
            </w:pPr>
            <w:r w:rsidRPr="00896EEE">
              <w:rPr>
                <w:rFonts w:ascii="Arial" w:eastAsia="Arial" w:hAnsi="Arial" w:cs="Arial"/>
                <w:b/>
                <w:sz w:val="20"/>
                <w:szCs w:val="20"/>
              </w:rPr>
              <w:t xml:space="preserve">2023/24 (R'000) </w:t>
            </w:r>
          </w:p>
        </w:tc>
      </w:tr>
      <w:tr w:rsidR="00F85F2C" w:rsidRPr="00896EEE" w:rsidTr="00780A17">
        <w:trPr>
          <w:trHeight w:val="270"/>
        </w:trPr>
        <w:tc>
          <w:tcPr>
            <w:tcW w:w="2888"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rPr>
                <w:rFonts w:ascii="Arial" w:eastAsia="Arial" w:hAnsi="Arial" w:cs="Arial"/>
                <w:color w:val="000000"/>
                <w:sz w:val="20"/>
                <w:szCs w:val="20"/>
              </w:rPr>
            </w:pPr>
            <w:r w:rsidRPr="00896EEE">
              <w:rPr>
                <w:rFonts w:ascii="Arial" w:eastAsia="Arial" w:hAnsi="Arial" w:cs="Arial"/>
                <w:color w:val="000000"/>
                <w:sz w:val="20"/>
                <w:szCs w:val="20"/>
              </w:rPr>
              <w:t xml:space="preserve">Companies Tribunal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17 352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20 752 </w:t>
            </w:r>
          </w:p>
        </w:tc>
        <w:tc>
          <w:tcPr>
            <w:tcW w:w="1205"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2"/>
              <w:rPr>
                <w:rFonts w:ascii="Arial" w:eastAsia="Arial" w:hAnsi="Arial" w:cs="Arial"/>
                <w:color w:val="000000"/>
                <w:sz w:val="20"/>
                <w:szCs w:val="20"/>
              </w:rPr>
            </w:pPr>
            <w:r w:rsidRPr="00896EEE">
              <w:rPr>
                <w:rFonts w:ascii="Arial" w:eastAsia="Arial" w:hAnsi="Arial" w:cs="Arial"/>
                <w:color w:val="000000"/>
                <w:sz w:val="20"/>
                <w:szCs w:val="20"/>
              </w:rPr>
              <w:t xml:space="preserve">20 313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24 529 </w:t>
            </w:r>
          </w:p>
        </w:tc>
        <w:tc>
          <w:tcPr>
            <w:tcW w:w="1202"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9"/>
              <w:rPr>
                <w:rFonts w:ascii="Arial" w:eastAsia="Arial" w:hAnsi="Arial" w:cs="Arial"/>
                <w:color w:val="000000"/>
                <w:sz w:val="20"/>
                <w:szCs w:val="20"/>
              </w:rPr>
            </w:pPr>
            <w:r w:rsidRPr="00896EEE">
              <w:rPr>
                <w:rFonts w:ascii="Arial" w:eastAsia="Arial" w:hAnsi="Arial" w:cs="Arial"/>
                <w:color w:val="000000"/>
                <w:sz w:val="20"/>
                <w:szCs w:val="20"/>
              </w:rPr>
              <w:t xml:space="preserve">28 202 </w:t>
            </w:r>
          </w:p>
        </w:tc>
      </w:tr>
      <w:tr w:rsidR="00F85F2C" w:rsidRPr="00896EEE" w:rsidTr="00780A17">
        <w:trPr>
          <w:trHeight w:val="269"/>
        </w:trPr>
        <w:tc>
          <w:tcPr>
            <w:tcW w:w="2888"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rPr>
                <w:rFonts w:ascii="Arial" w:eastAsia="Arial" w:hAnsi="Arial" w:cs="Arial"/>
                <w:color w:val="000000"/>
                <w:sz w:val="20"/>
                <w:szCs w:val="20"/>
              </w:rPr>
            </w:pPr>
            <w:r w:rsidRPr="00896EEE">
              <w:rPr>
                <w:rFonts w:ascii="Arial" w:eastAsia="Arial" w:hAnsi="Arial" w:cs="Arial"/>
                <w:color w:val="000000"/>
                <w:sz w:val="20"/>
                <w:szCs w:val="20"/>
              </w:rPr>
              <w:t xml:space="preserve">Competition Commission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295 438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302 586 </w:t>
            </w:r>
          </w:p>
        </w:tc>
        <w:tc>
          <w:tcPr>
            <w:tcW w:w="1205"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3"/>
              <w:rPr>
                <w:rFonts w:ascii="Arial" w:eastAsia="Arial" w:hAnsi="Arial" w:cs="Arial"/>
                <w:color w:val="000000"/>
                <w:sz w:val="20"/>
                <w:szCs w:val="20"/>
              </w:rPr>
            </w:pPr>
            <w:r w:rsidRPr="00896EEE">
              <w:rPr>
                <w:rFonts w:ascii="Arial" w:eastAsia="Arial" w:hAnsi="Arial" w:cs="Arial"/>
                <w:color w:val="000000"/>
                <w:sz w:val="20"/>
                <w:szCs w:val="20"/>
              </w:rPr>
              <w:t xml:space="preserve">439 550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449 518 </w:t>
            </w:r>
          </w:p>
        </w:tc>
        <w:tc>
          <w:tcPr>
            <w:tcW w:w="1202"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9"/>
              <w:rPr>
                <w:rFonts w:ascii="Arial" w:eastAsia="Arial" w:hAnsi="Arial" w:cs="Arial"/>
                <w:color w:val="000000"/>
                <w:sz w:val="20"/>
                <w:szCs w:val="20"/>
              </w:rPr>
            </w:pPr>
            <w:r w:rsidRPr="00896EEE">
              <w:rPr>
                <w:rFonts w:ascii="Arial" w:eastAsia="Arial" w:hAnsi="Arial" w:cs="Arial"/>
                <w:color w:val="000000"/>
                <w:sz w:val="20"/>
                <w:szCs w:val="20"/>
              </w:rPr>
              <w:t xml:space="preserve">453 195 </w:t>
            </w:r>
          </w:p>
        </w:tc>
      </w:tr>
      <w:tr w:rsidR="00F85F2C" w:rsidRPr="00896EEE" w:rsidTr="00780A17">
        <w:trPr>
          <w:trHeight w:val="269"/>
        </w:trPr>
        <w:tc>
          <w:tcPr>
            <w:tcW w:w="2888"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rPr>
                <w:rFonts w:ascii="Arial" w:eastAsia="Arial" w:hAnsi="Arial" w:cs="Arial"/>
                <w:color w:val="000000"/>
                <w:sz w:val="20"/>
                <w:szCs w:val="20"/>
              </w:rPr>
            </w:pPr>
            <w:r w:rsidRPr="00896EEE">
              <w:rPr>
                <w:rFonts w:ascii="Arial" w:eastAsia="Arial" w:hAnsi="Arial" w:cs="Arial"/>
                <w:color w:val="000000"/>
                <w:sz w:val="20"/>
                <w:szCs w:val="20"/>
              </w:rPr>
              <w:t xml:space="preserve">Competition Tribunal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36 172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32 342 </w:t>
            </w:r>
          </w:p>
        </w:tc>
        <w:tc>
          <w:tcPr>
            <w:tcW w:w="1205"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2"/>
              <w:rPr>
                <w:rFonts w:ascii="Arial" w:eastAsia="Arial" w:hAnsi="Arial" w:cs="Arial"/>
                <w:color w:val="000000"/>
                <w:sz w:val="20"/>
                <w:szCs w:val="20"/>
              </w:rPr>
            </w:pPr>
            <w:r w:rsidRPr="00896EEE">
              <w:rPr>
                <w:rFonts w:ascii="Arial" w:eastAsia="Arial" w:hAnsi="Arial" w:cs="Arial"/>
                <w:color w:val="000000"/>
                <w:sz w:val="20"/>
                <w:szCs w:val="20"/>
              </w:rPr>
              <w:t xml:space="preserve">36 970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42 286 </w:t>
            </w:r>
          </w:p>
        </w:tc>
        <w:tc>
          <w:tcPr>
            <w:tcW w:w="1202"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9"/>
              <w:rPr>
                <w:rFonts w:ascii="Arial" w:eastAsia="Arial" w:hAnsi="Arial" w:cs="Arial"/>
                <w:color w:val="000000"/>
                <w:sz w:val="20"/>
                <w:szCs w:val="20"/>
              </w:rPr>
            </w:pPr>
            <w:r w:rsidRPr="00896EEE">
              <w:rPr>
                <w:rFonts w:ascii="Arial" w:eastAsia="Arial" w:hAnsi="Arial" w:cs="Arial"/>
                <w:color w:val="000000"/>
                <w:sz w:val="20"/>
                <w:szCs w:val="20"/>
              </w:rPr>
              <w:t xml:space="preserve">42 703 </w:t>
            </w:r>
          </w:p>
        </w:tc>
      </w:tr>
      <w:tr w:rsidR="00F85F2C" w:rsidRPr="00896EEE" w:rsidTr="00780A17">
        <w:trPr>
          <w:trHeight w:val="530"/>
        </w:trPr>
        <w:tc>
          <w:tcPr>
            <w:tcW w:w="2888"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rPr>
                <w:rFonts w:ascii="Arial" w:eastAsia="Arial" w:hAnsi="Arial" w:cs="Arial"/>
                <w:color w:val="000000"/>
                <w:sz w:val="20"/>
                <w:szCs w:val="20"/>
              </w:rPr>
            </w:pPr>
            <w:r w:rsidRPr="00896EEE">
              <w:rPr>
                <w:rFonts w:ascii="Arial" w:eastAsia="Arial" w:hAnsi="Arial" w:cs="Arial"/>
                <w:color w:val="000000"/>
                <w:sz w:val="20"/>
                <w:szCs w:val="20"/>
              </w:rPr>
              <w:t xml:space="preserve">Export Credit Insurance </w:t>
            </w:r>
          </w:p>
          <w:p w:rsidR="00F85F2C" w:rsidRPr="00896EEE" w:rsidRDefault="00F85F2C" w:rsidP="00896EEE">
            <w:pPr>
              <w:rPr>
                <w:rFonts w:ascii="Arial" w:eastAsia="Arial" w:hAnsi="Arial" w:cs="Arial"/>
                <w:color w:val="000000"/>
                <w:sz w:val="20"/>
                <w:szCs w:val="20"/>
              </w:rPr>
            </w:pPr>
            <w:r w:rsidRPr="00896EEE">
              <w:rPr>
                <w:rFonts w:ascii="Arial" w:eastAsia="Arial" w:hAnsi="Arial" w:cs="Arial"/>
                <w:color w:val="000000"/>
                <w:sz w:val="20"/>
                <w:szCs w:val="20"/>
              </w:rPr>
              <w:t xml:space="preserve">Corporation of South Africa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233 511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162 710 </w:t>
            </w:r>
          </w:p>
        </w:tc>
        <w:tc>
          <w:tcPr>
            <w:tcW w:w="1205"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3"/>
              <w:rPr>
                <w:rFonts w:ascii="Arial" w:eastAsia="Arial" w:hAnsi="Arial" w:cs="Arial"/>
                <w:color w:val="000000"/>
                <w:sz w:val="20"/>
                <w:szCs w:val="20"/>
              </w:rPr>
            </w:pPr>
            <w:r w:rsidRPr="00896EEE">
              <w:rPr>
                <w:rFonts w:ascii="Arial" w:eastAsia="Arial" w:hAnsi="Arial" w:cs="Arial"/>
                <w:color w:val="000000"/>
                <w:sz w:val="20"/>
                <w:szCs w:val="20"/>
              </w:rPr>
              <w:t xml:space="preserve">208 078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150 000 </w:t>
            </w:r>
          </w:p>
        </w:tc>
        <w:tc>
          <w:tcPr>
            <w:tcW w:w="1202"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9"/>
              <w:rPr>
                <w:rFonts w:ascii="Arial" w:eastAsia="Arial" w:hAnsi="Arial" w:cs="Arial"/>
                <w:color w:val="000000"/>
                <w:sz w:val="20"/>
                <w:szCs w:val="20"/>
              </w:rPr>
            </w:pPr>
            <w:r w:rsidRPr="00896EEE">
              <w:rPr>
                <w:rFonts w:ascii="Arial" w:eastAsia="Arial" w:hAnsi="Arial" w:cs="Arial"/>
                <w:color w:val="000000"/>
                <w:sz w:val="20"/>
                <w:szCs w:val="20"/>
              </w:rPr>
              <w:t xml:space="preserve">172 783 </w:t>
            </w:r>
          </w:p>
        </w:tc>
      </w:tr>
      <w:tr w:rsidR="00F85F2C" w:rsidRPr="00896EEE" w:rsidTr="00780A17">
        <w:trPr>
          <w:trHeight w:val="528"/>
        </w:trPr>
        <w:tc>
          <w:tcPr>
            <w:tcW w:w="2888"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rPr>
                <w:rFonts w:ascii="Arial" w:eastAsia="Arial" w:hAnsi="Arial" w:cs="Arial"/>
                <w:color w:val="000000"/>
                <w:sz w:val="20"/>
                <w:szCs w:val="20"/>
              </w:rPr>
            </w:pPr>
            <w:r w:rsidRPr="00896EEE">
              <w:rPr>
                <w:rFonts w:ascii="Arial" w:eastAsia="Arial" w:hAnsi="Arial" w:cs="Arial"/>
                <w:color w:val="000000"/>
                <w:sz w:val="20"/>
                <w:szCs w:val="20"/>
              </w:rPr>
              <w:t xml:space="preserve">International Trade Administration </w:t>
            </w:r>
          </w:p>
          <w:p w:rsidR="00F85F2C" w:rsidRPr="00896EEE" w:rsidRDefault="00F85F2C" w:rsidP="00896EEE">
            <w:pPr>
              <w:rPr>
                <w:rFonts w:ascii="Arial" w:eastAsia="Arial" w:hAnsi="Arial" w:cs="Arial"/>
                <w:color w:val="000000"/>
                <w:sz w:val="20"/>
                <w:szCs w:val="20"/>
              </w:rPr>
            </w:pPr>
            <w:r w:rsidRPr="00896EEE">
              <w:rPr>
                <w:rFonts w:ascii="Arial" w:eastAsia="Arial" w:hAnsi="Arial" w:cs="Arial"/>
                <w:color w:val="000000"/>
                <w:sz w:val="20"/>
                <w:szCs w:val="20"/>
              </w:rPr>
              <w:t xml:space="preserve">Commission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111 428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95 998 </w:t>
            </w:r>
          </w:p>
        </w:tc>
        <w:tc>
          <w:tcPr>
            <w:tcW w:w="1205"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3"/>
              <w:rPr>
                <w:rFonts w:ascii="Arial" w:eastAsia="Arial" w:hAnsi="Arial" w:cs="Arial"/>
                <w:color w:val="000000"/>
                <w:sz w:val="20"/>
                <w:szCs w:val="20"/>
              </w:rPr>
            </w:pPr>
            <w:r w:rsidRPr="00896EEE">
              <w:rPr>
                <w:rFonts w:ascii="Arial" w:eastAsia="Arial" w:hAnsi="Arial" w:cs="Arial"/>
                <w:color w:val="000000"/>
                <w:sz w:val="20"/>
                <w:szCs w:val="20"/>
              </w:rPr>
              <w:t xml:space="preserve">112 478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108 559 </w:t>
            </w:r>
          </w:p>
        </w:tc>
        <w:tc>
          <w:tcPr>
            <w:tcW w:w="1202"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9"/>
              <w:rPr>
                <w:rFonts w:ascii="Arial" w:eastAsia="Arial" w:hAnsi="Arial" w:cs="Arial"/>
                <w:color w:val="000000"/>
                <w:sz w:val="20"/>
                <w:szCs w:val="20"/>
              </w:rPr>
            </w:pPr>
            <w:r w:rsidRPr="00896EEE">
              <w:rPr>
                <w:rFonts w:ascii="Arial" w:eastAsia="Arial" w:hAnsi="Arial" w:cs="Arial"/>
                <w:color w:val="000000"/>
                <w:sz w:val="20"/>
                <w:szCs w:val="20"/>
              </w:rPr>
              <w:t xml:space="preserve">121 427 </w:t>
            </w:r>
          </w:p>
        </w:tc>
      </w:tr>
      <w:tr w:rsidR="00F85F2C" w:rsidRPr="00896EEE" w:rsidTr="00780A17">
        <w:trPr>
          <w:trHeight w:val="269"/>
        </w:trPr>
        <w:tc>
          <w:tcPr>
            <w:tcW w:w="2888"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rPr>
                <w:rFonts w:ascii="Arial" w:eastAsia="Arial" w:hAnsi="Arial" w:cs="Arial"/>
                <w:color w:val="000000"/>
                <w:sz w:val="20"/>
                <w:szCs w:val="20"/>
              </w:rPr>
            </w:pPr>
            <w:r w:rsidRPr="00896EEE">
              <w:rPr>
                <w:rFonts w:ascii="Arial" w:eastAsia="Arial" w:hAnsi="Arial" w:cs="Arial"/>
                <w:color w:val="000000"/>
                <w:sz w:val="20"/>
                <w:szCs w:val="20"/>
              </w:rPr>
              <w:t xml:space="preserve">National Consumer Commission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58 304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51 530 </w:t>
            </w:r>
          </w:p>
        </w:tc>
        <w:tc>
          <w:tcPr>
            <w:tcW w:w="1205"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2"/>
              <w:rPr>
                <w:rFonts w:ascii="Arial" w:eastAsia="Arial" w:hAnsi="Arial" w:cs="Arial"/>
                <w:color w:val="000000"/>
                <w:sz w:val="20"/>
                <w:szCs w:val="20"/>
              </w:rPr>
            </w:pPr>
            <w:r w:rsidRPr="00896EEE">
              <w:rPr>
                <w:rFonts w:ascii="Arial" w:eastAsia="Arial" w:hAnsi="Arial" w:cs="Arial"/>
                <w:color w:val="000000"/>
                <w:sz w:val="20"/>
                <w:szCs w:val="20"/>
              </w:rPr>
              <w:t xml:space="preserve">58 505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59 388 </w:t>
            </w:r>
          </w:p>
        </w:tc>
        <w:tc>
          <w:tcPr>
            <w:tcW w:w="1202"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9"/>
              <w:rPr>
                <w:rFonts w:ascii="Arial" w:eastAsia="Arial" w:hAnsi="Arial" w:cs="Arial"/>
                <w:color w:val="000000"/>
                <w:sz w:val="20"/>
                <w:szCs w:val="20"/>
              </w:rPr>
            </w:pPr>
            <w:r w:rsidRPr="00896EEE">
              <w:rPr>
                <w:rFonts w:ascii="Arial" w:eastAsia="Arial" w:hAnsi="Arial" w:cs="Arial"/>
                <w:color w:val="000000"/>
                <w:sz w:val="20"/>
                <w:szCs w:val="20"/>
              </w:rPr>
              <w:t xml:space="preserve">73 566 </w:t>
            </w:r>
          </w:p>
        </w:tc>
      </w:tr>
      <w:tr w:rsidR="00F85F2C" w:rsidRPr="00896EEE" w:rsidTr="00780A17">
        <w:trPr>
          <w:trHeight w:val="269"/>
        </w:trPr>
        <w:tc>
          <w:tcPr>
            <w:tcW w:w="2888"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rPr>
                <w:rFonts w:ascii="Arial" w:eastAsia="Arial" w:hAnsi="Arial" w:cs="Arial"/>
                <w:color w:val="000000"/>
                <w:sz w:val="20"/>
                <w:szCs w:val="20"/>
              </w:rPr>
            </w:pPr>
            <w:r w:rsidRPr="00896EEE">
              <w:rPr>
                <w:rFonts w:ascii="Arial" w:eastAsia="Arial" w:hAnsi="Arial" w:cs="Arial"/>
                <w:color w:val="000000"/>
                <w:sz w:val="20"/>
                <w:szCs w:val="20"/>
              </w:rPr>
              <w:t xml:space="preserve">National Consumer Tribunal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56 639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47 492 </w:t>
            </w:r>
          </w:p>
        </w:tc>
        <w:tc>
          <w:tcPr>
            <w:tcW w:w="1205"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2"/>
              <w:rPr>
                <w:rFonts w:ascii="Arial" w:eastAsia="Arial" w:hAnsi="Arial" w:cs="Arial"/>
                <w:color w:val="000000"/>
                <w:sz w:val="20"/>
                <w:szCs w:val="20"/>
              </w:rPr>
            </w:pPr>
            <w:r w:rsidRPr="00896EEE">
              <w:rPr>
                <w:rFonts w:ascii="Arial" w:eastAsia="Arial" w:hAnsi="Arial" w:cs="Arial"/>
                <w:color w:val="000000"/>
                <w:sz w:val="20"/>
                <w:szCs w:val="20"/>
              </w:rPr>
              <w:t xml:space="preserve">53 515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54 756 </w:t>
            </w:r>
          </w:p>
        </w:tc>
        <w:tc>
          <w:tcPr>
            <w:tcW w:w="1202"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9"/>
              <w:rPr>
                <w:rFonts w:ascii="Arial" w:eastAsia="Arial" w:hAnsi="Arial" w:cs="Arial"/>
                <w:color w:val="000000"/>
                <w:sz w:val="20"/>
                <w:szCs w:val="20"/>
              </w:rPr>
            </w:pPr>
            <w:r w:rsidRPr="00896EEE">
              <w:rPr>
                <w:rFonts w:ascii="Arial" w:eastAsia="Arial" w:hAnsi="Arial" w:cs="Arial"/>
                <w:color w:val="000000"/>
                <w:sz w:val="20"/>
                <w:szCs w:val="20"/>
              </w:rPr>
              <w:t xml:space="preserve">55 295 </w:t>
            </w:r>
          </w:p>
        </w:tc>
      </w:tr>
      <w:tr w:rsidR="00F85F2C" w:rsidRPr="00896EEE" w:rsidTr="00780A17">
        <w:trPr>
          <w:trHeight w:val="269"/>
        </w:trPr>
        <w:tc>
          <w:tcPr>
            <w:tcW w:w="2888"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rPr>
                <w:rFonts w:ascii="Arial" w:eastAsia="Arial" w:hAnsi="Arial" w:cs="Arial"/>
                <w:color w:val="000000"/>
                <w:sz w:val="20"/>
                <w:szCs w:val="20"/>
              </w:rPr>
            </w:pPr>
            <w:r w:rsidRPr="00896EEE">
              <w:rPr>
                <w:rFonts w:ascii="Arial" w:eastAsia="Arial" w:hAnsi="Arial" w:cs="Arial"/>
                <w:color w:val="000000"/>
                <w:sz w:val="20"/>
                <w:szCs w:val="20"/>
              </w:rPr>
              <w:t xml:space="preserve">National Credit Regulator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86 580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71 272 </w:t>
            </w:r>
          </w:p>
        </w:tc>
        <w:tc>
          <w:tcPr>
            <w:tcW w:w="1205"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2"/>
              <w:rPr>
                <w:rFonts w:ascii="Arial" w:eastAsia="Arial" w:hAnsi="Arial" w:cs="Arial"/>
                <w:color w:val="000000"/>
                <w:sz w:val="20"/>
                <w:szCs w:val="20"/>
              </w:rPr>
            </w:pPr>
            <w:r w:rsidRPr="00896EEE">
              <w:rPr>
                <w:rFonts w:ascii="Arial" w:eastAsia="Arial" w:hAnsi="Arial" w:cs="Arial"/>
                <w:color w:val="000000"/>
                <w:sz w:val="20"/>
                <w:szCs w:val="20"/>
              </w:rPr>
              <w:t xml:space="preserve">82 632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83 241 </w:t>
            </w:r>
          </w:p>
        </w:tc>
        <w:tc>
          <w:tcPr>
            <w:tcW w:w="1202"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9"/>
              <w:rPr>
                <w:rFonts w:ascii="Arial" w:eastAsia="Arial" w:hAnsi="Arial" w:cs="Arial"/>
                <w:color w:val="000000"/>
                <w:sz w:val="20"/>
                <w:szCs w:val="20"/>
              </w:rPr>
            </w:pPr>
            <w:r w:rsidRPr="00896EEE">
              <w:rPr>
                <w:rFonts w:ascii="Arial" w:eastAsia="Arial" w:hAnsi="Arial" w:cs="Arial"/>
                <w:color w:val="000000"/>
                <w:sz w:val="20"/>
                <w:szCs w:val="20"/>
              </w:rPr>
              <w:t xml:space="preserve">84 060 </w:t>
            </w:r>
          </w:p>
        </w:tc>
      </w:tr>
      <w:tr w:rsidR="00F85F2C" w:rsidRPr="00896EEE" w:rsidTr="00780A17">
        <w:trPr>
          <w:trHeight w:val="269"/>
        </w:trPr>
        <w:tc>
          <w:tcPr>
            <w:tcW w:w="2888"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rPr>
                <w:rFonts w:ascii="Arial" w:eastAsia="Arial" w:hAnsi="Arial" w:cs="Arial"/>
                <w:color w:val="000000"/>
                <w:sz w:val="20"/>
                <w:szCs w:val="20"/>
              </w:rPr>
            </w:pPr>
            <w:r w:rsidRPr="00896EEE">
              <w:rPr>
                <w:rFonts w:ascii="Arial" w:eastAsia="Arial" w:hAnsi="Arial" w:cs="Arial"/>
                <w:color w:val="000000"/>
                <w:sz w:val="20"/>
                <w:szCs w:val="20"/>
              </w:rPr>
              <w:t xml:space="preserve">National Gambling Board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33 797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31 027 </w:t>
            </w:r>
          </w:p>
        </w:tc>
        <w:tc>
          <w:tcPr>
            <w:tcW w:w="1205"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2"/>
              <w:rPr>
                <w:rFonts w:ascii="Arial" w:eastAsia="Arial" w:hAnsi="Arial" w:cs="Arial"/>
                <w:color w:val="000000"/>
                <w:sz w:val="20"/>
                <w:szCs w:val="20"/>
              </w:rPr>
            </w:pPr>
            <w:r w:rsidRPr="00896EEE">
              <w:rPr>
                <w:rFonts w:ascii="Arial" w:eastAsia="Arial" w:hAnsi="Arial" w:cs="Arial"/>
                <w:color w:val="000000"/>
                <w:sz w:val="20"/>
                <w:szCs w:val="20"/>
              </w:rPr>
              <w:t xml:space="preserve">35 928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36 477 </w:t>
            </w:r>
          </w:p>
        </w:tc>
        <w:tc>
          <w:tcPr>
            <w:tcW w:w="1202"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9"/>
              <w:rPr>
                <w:rFonts w:ascii="Arial" w:eastAsia="Arial" w:hAnsi="Arial" w:cs="Arial"/>
                <w:color w:val="000000"/>
                <w:sz w:val="20"/>
                <w:szCs w:val="20"/>
              </w:rPr>
            </w:pPr>
            <w:r w:rsidRPr="00896EEE">
              <w:rPr>
                <w:rFonts w:ascii="Arial" w:eastAsia="Arial" w:hAnsi="Arial" w:cs="Arial"/>
                <w:color w:val="000000"/>
                <w:sz w:val="20"/>
                <w:szCs w:val="20"/>
              </w:rPr>
              <w:t xml:space="preserve">36 836 </w:t>
            </w:r>
          </w:p>
        </w:tc>
      </w:tr>
      <w:tr w:rsidR="00F85F2C" w:rsidRPr="00896EEE" w:rsidTr="00780A17">
        <w:trPr>
          <w:trHeight w:val="530"/>
        </w:trPr>
        <w:tc>
          <w:tcPr>
            <w:tcW w:w="2888"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32"/>
              <w:rPr>
                <w:rFonts w:ascii="Arial" w:eastAsia="Arial" w:hAnsi="Arial" w:cs="Arial"/>
                <w:color w:val="000000"/>
                <w:sz w:val="20"/>
                <w:szCs w:val="20"/>
              </w:rPr>
            </w:pPr>
            <w:r w:rsidRPr="00896EEE">
              <w:rPr>
                <w:rFonts w:ascii="Arial" w:eastAsia="Arial" w:hAnsi="Arial" w:cs="Arial"/>
                <w:color w:val="000000"/>
                <w:sz w:val="20"/>
                <w:szCs w:val="20"/>
              </w:rPr>
              <w:t xml:space="preserve">National Metrology Institute of South Africa: Operations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115 057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103 550 </w:t>
            </w:r>
          </w:p>
        </w:tc>
        <w:tc>
          <w:tcPr>
            <w:tcW w:w="1205"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3"/>
              <w:rPr>
                <w:rFonts w:ascii="Arial" w:eastAsia="Arial" w:hAnsi="Arial" w:cs="Arial"/>
                <w:color w:val="000000"/>
                <w:sz w:val="20"/>
                <w:szCs w:val="20"/>
              </w:rPr>
            </w:pPr>
            <w:r w:rsidRPr="00896EEE">
              <w:rPr>
                <w:rFonts w:ascii="Arial" w:eastAsia="Arial" w:hAnsi="Arial" w:cs="Arial"/>
                <w:color w:val="000000"/>
                <w:sz w:val="20"/>
                <w:szCs w:val="20"/>
              </w:rPr>
              <w:t xml:space="preserve">121 061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122 832 </w:t>
            </w:r>
          </w:p>
        </w:tc>
        <w:tc>
          <w:tcPr>
            <w:tcW w:w="1202"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9"/>
              <w:rPr>
                <w:rFonts w:ascii="Arial" w:eastAsia="Arial" w:hAnsi="Arial" w:cs="Arial"/>
                <w:color w:val="000000"/>
                <w:sz w:val="20"/>
                <w:szCs w:val="20"/>
              </w:rPr>
            </w:pPr>
            <w:r w:rsidRPr="00896EEE">
              <w:rPr>
                <w:rFonts w:ascii="Arial" w:eastAsia="Arial" w:hAnsi="Arial" w:cs="Arial"/>
                <w:color w:val="000000"/>
                <w:sz w:val="20"/>
                <w:szCs w:val="20"/>
              </w:rPr>
              <w:t xml:space="preserve">124 041 </w:t>
            </w:r>
          </w:p>
        </w:tc>
      </w:tr>
      <w:tr w:rsidR="00F85F2C" w:rsidRPr="00896EEE" w:rsidTr="00780A17">
        <w:trPr>
          <w:trHeight w:val="528"/>
        </w:trPr>
        <w:tc>
          <w:tcPr>
            <w:tcW w:w="2888"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rPr>
                <w:rFonts w:ascii="Arial" w:eastAsia="Arial" w:hAnsi="Arial" w:cs="Arial"/>
                <w:color w:val="000000"/>
                <w:sz w:val="20"/>
                <w:szCs w:val="20"/>
              </w:rPr>
            </w:pPr>
            <w:r w:rsidRPr="00896EEE">
              <w:rPr>
                <w:rFonts w:ascii="Arial" w:eastAsia="Arial" w:hAnsi="Arial" w:cs="Arial"/>
                <w:color w:val="000000"/>
                <w:sz w:val="20"/>
                <w:szCs w:val="20"/>
              </w:rPr>
              <w:t xml:space="preserve">National Regulator for Compulsory Specifications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139 501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126 126 </w:t>
            </w:r>
          </w:p>
        </w:tc>
        <w:tc>
          <w:tcPr>
            <w:tcW w:w="1205"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2"/>
              <w:rPr>
                <w:rFonts w:ascii="Arial" w:eastAsia="Arial" w:hAnsi="Arial" w:cs="Arial"/>
                <w:color w:val="000000"/>
                <w:sz w:val="20"/>
                <w:szCs w:val="20"/>
              </w:rPr>
            </w:pPr>
            <w:r w:rsidRPr="00896EEE">
              <w:rPr>
                <w:rFonts w:ascii="Arial" w:eastAsia="Arial" w:hAnsi="Arial" w:cs="Arial"/>
                <w:color w:val="000000"/>
                <w:sz w:val="20"/>
                <w:szCs w:val="20"/>
              </w:rPr>
              <w:t xml:space="preserve">144 099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147 560 </w:t>
            </w:r>
          </w:p>
        </w:tc>
        <w:tc>
          <w:tcPr>
            <w:tcW w:w="1202"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9"/>
              <w:rPr>
                <w:rFonts w:ascii="Arial" w:eastAsia="Arial" w:hAnsi="Arial" w:cs="Arial"/>
                <w:color w:val="000000"/>
                <w:sz w:val="20"/>
                <w:szCs w:val="20"/>
              </w:rPr>
            </w:pPr>
            <w:r w:rsidRPr="00896EEE">
              <w:rPr>
                <w:rFonts w:ascii="Arial" w:eastAsia="Arial" w:hAnsi="Arial" w:cs="Arial"/>
                <w:color w:val="000000"/>
                <w:sz w:val="20"/>
                <w:szCs w:val="20"/>
              </w:rPr>
              <w:t xml:space="preserve">154 012 </w:t>
            </w:r>
          </w:p>
        </w:tc>
      </w:tr>
      <w:tr w:rsidR="00F85F2C" w:rsidRPr="00896EEE" w:rsidTr="00780A17">
        <w:trPr>
          <w:trHeight w:val="269"/>
        </w:trPr>
        <w:tc>
          <w:tcPr>
            <w:tcW w:w="2888"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rPr>
                <w:rFonts w:ascii="Arial" w:eastAsia="Arial" w:hAnsi="Arial" w:cs="Arial"/>
                <w:color w:val="000000"/>
                <w:sz w:val="20"/>
                <w:szCs w:val="20"/>
              </w:rPr>
            </w:pPr>
            <w:r w:rsidRPr="00896EEE">
              <w:rPr>
                <w:rFonts w:ascii="Arial" w:eastAsia="Arial" w:hAnsi="Arial" w:cs="Arial"/>
                <w:color w:val="000000"/>
                <w:sz w:val="20"/>
                <w:szCs w:val="20"/>
              </w:rPr>
              <w:t xml:space="preserve">South African Bureau of Standards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420 384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270 421 </w:t>
            </w:r>
          </w:p>
        </w:tc>
        <w:tc>
          <w:tcPr>
            <w:tcW w:w="1205"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3"/>
              <w:rPr>
                <w:rFonts w:ascii="Arial" w:eastAsia="Arial" w:hAnsi="Arial" w:cs="Arial"/>
                <w:color w:val="000000"/>
                <w:sz w:val="20"/>
                <w:szCs w:val="20"/>
              </w:rPr>
            </w:pPr>
            <w:r w:rsidRPr="00896EEE">
              <w:rPr>
                <w:rFonts w:ascii="Arial" w:eastAsia="Arial" w:hAnsi="Arial" w:cs="Arial"/>
                <w:color w:val="000000"/>
                <w:sz w:val="20"/>
                <w:szCs w:val="20"/>
              </w:rPr>
              <w:t xml:space="preserve">328 819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361 248 </w:t>
            </w:r>
          </w:p>
        </w:tc>
        <w:tc>
          <w:tcPr>
            <w:tcW w:w="1202"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9"/>
              <w:rPr>
                <w:rFonts w:ascii="Arial" w:eastAsia="Arial" w:hAnsi="Arial" w:cs="Arial"/>
                <w:color w:val="000000"/>
                <w:sz w:val="20"/>
                <w:szCs w:val="20"/>
              </w:rPr>
            </w:pPr>
            <w:r w:rsidRPr="00896EEE">
              <w:rPr>
                <w:rFonts w:ascii="Arial" w:eastAsia="Arial" w:hAnsi="Arial" w:cs="Arial"/>
                <w:color w:val="000000"/>
                <w:sz w:val="20"/>
                <w:szCs w:val="20"/>
              </w:rPr>
              <w:t xml:space="preserve">379 471 </w:t>
            </w:r>
          </w:p>
        </w:tc>
      </w:tr>
      <w:tr w:rsidR="00F85F2C" w:rsidRPr="00896EEE" w:rsidTr="00780A17">
        <w:trPr>
          <w:trHeight w:val="528"/>
        </w:trPr>
        <w:tc>
          <w:tcPr>
            <w:tcW w:w="2888"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59"/>
              <w:rPr>
                <w:rFonts w:ascii="Arial" w:eastAsia="Arial" w:hAnsi="Arial" w:cs="Arial"/>
                <w:color w:val="000000"/>
                <w:sz w:val="20"/>
                <w:szCs w:val="20"/>
              </w:rPr>
            </w:pPr>
            <w:r w:rsidRPr="00896EEE">
              <w:rPr>
                <w:rFonts w:ascii="Arial" w:eastAsia="Arial" w:hAnsi="Arial" w:cs="Arial"/>
                <w:color w:val="000000"/>
                <w:sz w:val="20"/>
                <w:szCs w:val="20"/>
              </w:rPr>
              <w:t xml:space="preserve">South African National Accreditation System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31 669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28 748 </w:t>
            </w:r>
          </w:p>
        </w:tc>
        <w:tc>
          <w:tcPr>
            <w:tcW w:w="1205"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2"/>
              <w:rPr>
                <w:rFonts w:ascii="Arial" w:eastAsia="Arial" w:hAnsi="Arial" w:cs="Arial"/>
                <w:color w:val="000000"/>
                <w:sz w:val="20"/>
                <w:szCs w:val="20"/>
              </w:rPr>
            </w:pPr>
            <w:r w:rsidRPr="00896EEE">
              <w:rPr>
                <w:rFonts w:ascii="Arial" w:eastAsia="Arial" w:hAnsi="Arial" w:cs="Arial"/>
                <w:color w:val="000000"/>
                <w:sz w:val="20"/>
                <w:szCs w:val="20"/>
              </w:rPr>
              <w:t xml:space="preserve">32 967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33 820 </w:t>
            </w:r>
          </w:p>
        </w:tc>
        <w:tc>
          <w:tcPr>
            <w:tcW w:w="1202"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9"/>
              <w:rPr>
                <w:rFonts w:ascii="Arial" w:eastAsia="Arial" w:hAnsi="Arial" w:cs="Arial"/>
                <w:color w:val="000000"/>
                <w:sz w:val="20"/>
                <w:szCs w:val="20"/>
              </w:rPr>
            </w:pPr>
            <w:r w:rsidRPr="00896EEE">
              <w:rPr>
                <w:rFonts w:ascii="Arial" w:eastAsia="Arial" w:hAnsi="Arial" w:cs="Arial"/>
                <w:color w:val="000000"/>
                <w:sz w:val="20"/>
                <w:szCs w:val="20"/>
              </w:rPr>
              <w:t xml:space="preserve">34 153 </w:t>
            </w:r>
          </w:p>
        </w:tc>
      </w:tr>
      <w:tr w:rsidR="00F85F2C" w:rsidRPr="00896EEE" w:rsidTr="00780A17">
        <w:trPr>
          <w:trHeight w:val="269"/>
        </w:trPr>
        <w:tc>
          <w:tcPr>
            <w:tcW w:w="4091" w:type="dxa"/>
            <w:gridSpan w:val="2"/>
            <w:tcBorders>
              <w:top w:val="single" w:sz="4" w:space="0" w:color="000000"/>
              <w:left w:val="single" w:sz="4" w:space="0" w:color="000000"/>
              <w:bottom w:val="single" w:sz="4" w:space="0" w:color="000000"/>
              <w:right w:val="nil"/>
            </w:tcBorders>
          </w:tcPr>
          <w:p w:rsidR="00F85F2C" w:rsidRPr="00896EEE" w:rsidRDefault="00F85F2C" w:rsidP="00896EEE">
            <w:pPr>
              <w:rPr>
                <w:rFonts w:ascii="Arial" w:eastAsia="Arial" w:hAnsi="Arial" w:cs="Arial"/>
                <w:color w:val="000000"/>
                <w:sz w:val="20"/>
                <w:szCs w:val="20"/>
              </w:rPr>
            </w:pPr>
            <w:r w:rsidRPr="00896EEE">
              <w:rPr>
                <w:rFonts w:ascii="Arial" w:eastAsia="Arial" w:hAnsi="Arial" w:cs="Arial"/>
                <w:b/>
                <w:color w:val="000000"/>
                <w:sz w:val="20"/>
                <w:szCs w:val="20"/>
              </w:rPr>
              <w:t xml:space="preserve">Industrial Development Corporation </w:t>
            </w:r>
          </w:p>
        </w:tc>
        <w:tc>
          <w:tcPr>
            <w:tcW w:w="1203" w:type="dxa"/>
            <w:tcBorders>
              <w:top w:val="single" w:sz="4" w:space="0" w:color="000000"/>
              <w:left w:val="nil"/>
              <w:bottom w:val="single" w:sz="4" w:space="0" w:color="000000"/>
              <w:right w:val="nil"/>
            </w:tcBorders>
          </w:tcPr>
          <w:p w:rsidR="00F85F2C" w:rsidRPr="00896EEE" w:rsidRDefault="00F85F2C" w:rsidP="00896EEE">
            <w:pPr>
              <w:rPr>
                <w:rFonts w:ascii="Arial" w:eastAsia="Arial" w:hAnsi="Arial" w:cs="Arial"/>
                <w:color w:val="000000"/>
                <w:sz w:val="20"/>
                <w:szCs w:val="20"/>
              </w:rPr>
            </w:pPr>
          </w:p>
        </w:tc>
        <w:tc>
          <w:tcPr>
            <w:tcW w:w="1205" w:type="dxa"/>
            <w:tcBorders>
              <w:top w:val="single" w:sz="4" w:space="0" w:color="000000"/>
              <w:left w:val="nil"/>
              <w:bottom w:val="single" w:sz="4" w:space="0" w:color="000000"/>
              <w:right w:val="nil"/>
            </w:tcBorders>
          </w:tcPr>
          <w:p w:rsidR="00F85F2C" w:rsidRPr="00896EEE" w:rsidRDefault="00F85F2C" w:rsidP="00896EEE">
            <w:pPr>
              <w:rPr>
                <w:rFonts w:ascii="Arial" w:eastAsia="Arial" w:hAnsi="Arial" w:cs="Arial"/>
                <w:color w:val="000000"/>
                <w:sz w:val="20"/>
                <w:szCs w:val="20"/>
              </w:rPr>
            </w:pPr>
          </w:p>
        </w:tc>
        <w:tc>
          <w:tcPr>
            <w:tcW w:w="1203" w:type="dxa"/>
            <w:tcBorders>
              <w:top w:val="single" w:sz="4" w:space="0" w:color="000000"/>
              <w:left w:val="nil"/>
              <w:bottom w:val="single" w:sz="4" w:space="0" w:color="000000"/>
              <w:right w:val="nil"/>
            </w:tcBorders>
          </w:tcPr>
          <w:p w:rsidR="00F85F2C" w:rsidRPr="00896EEE" w:rsidRDefault="00F85F2C" w:rsidP="00896EEE">
            <w:pPr>
              <w:rPr>
                <w:rFonts w:ascii="Arial" w:eastAsia="Arial" w:hAnsi="Arial" w:cs="Arial"/>
                <w:color w:val="000000"/>
                <w:sz w:val="20"/>
                <w:szCs w:val="20"/>
              </w:rPr>
            </w:pPr>
          </w:p>
        </w:tc>
        <w:tc>
          <w:tcPr>
            <w:tcW w:w="1202" w:type="dxa"/>
            <w:tcBorders>
              <w:top w:val="single" w:sz="4" w:space="0" w:color="000000"/>
              <w:left w:val="nil"/>
              <w:bottom w:val="single" w:sz="4" w:space="0" w:color="000000"/>
              <w:right w:val="single" w:sz="4" w:space="0" w:color="000000"/>
            </w:tcBorders>
          </w:tcPr>
          <w:p w:rsidR="00F85F2C" w:rsidRPr="00896EEE" w:rsidRDefault="00F85F2C" w:rsidP="00896EEE">
            <w:pPr>
              <w:rPr>
                <w:rFonts w:ascii="Arial" w:eastAsia="Arial" w:hAnsi="Arial" w:cs="Arial"/>
                <w:color w:val="000000"/>
                <w:sz w:val="20"/>
                <w:szCs w:val="20"/>
              </w:rPr>
            </w:pPr>
          </w:p>
        </w:tc>
      </w:tr>
      <w:tr w:rsidR="00F85F2C" w:rsidRPr="00896EEE" w:rsidTr="00780A17">
        <w:trPr>
          <w:trHeight w:val="269"/>
        </w:trPr>
        <w:tc>
          <w:tcPr>
            <w:tcW w:w="2888"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rPr>
                <w:rFonts w:ascii="Arial" w:eastAsia="Arial" w:hAnsi="Arial" w:cs="Arial"/>
                <w:color w:val="000000"/>
                <w:sz w:val="20"/>
                <w:szCs w:val="20"/>
              </w:rPr>
            </w:pPr>
            <w:r w:rsidRPr="00896EEE">
              <w:rPr>
                <w:rFonts w:ascii="Arial" w:eastAsia="Arial" w:hAnsi="Arial" w:cs="Arial"/>
                <w:color w:val="000000"/>
                <w:sz w:val="20"/>
                <w:szCs w:val="20"/>
              </w:rPr>
              <w:t xml:space="preserve">Regional Industrial Development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8"/>
              <w:rPr>
                <w:rFonts w:ascii="Arial" w:eastAsia="Arial" w:hAnsi="Arial" w:cs="Arial"/>
                <w:color w:val="000000"/>
                <w:sz w:val="20"/>
                <w:szCs w:val="20"/>
              </w:rPr>
            </w:pPr>
            <w:r w:rsidRPr="00896EEE">
              <w:rPr>
                <w:rFonts w:ascii="Arial" w:eastAsia="Arial" w:hAnsi="Arial" w:cs="Arial"/>
                <w:color w:val="000000"/>
                <w:sz w:val="20"/>
                <w:szCs w:val="20"/>
              </w:rPr>
              <w:t xml:space="preserve">–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8"/>
              <w:rPr>
                <w:rFonts w:ascii="Arial" w:eastAsia="Arial" w:hAnsi="Arial" w:cs="Arial"/>
                <w:color w:val="000000"/>
                <w:sz w:val="20"/>
                <w:szCs w:val="20"/>
              </w:rPr>
            </w:pPr>
            <w:r w:rsidRPr="00896EEE">
              <w:rPr>
                <w:rFonts w:ascii="Arial" w:eastAsia="Arial" w:hAnsi="Arial" w:cs="Arial"/>
                <w:color w:val="000000"/>
                <w:sz w:val="20"/>
                <w:szCs w:val="20"/>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15 000 </w:t>
            </w:r>
          </w:p>
        </w:tc>
        <w:tc>
          <w:tcPr>
            <w:tcW w:w="1202"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9"/>
              <w:rPr>
                <w:rFonts w:ascii="Arial" w:eastAsia="Arial" w:hAnsi="Arial" w:cs="Arial"/>
                <w:color w:val="000000"/>
                <w:sz w:val="20"/>
                <w:szCs w:val="20"/>
              </w:rPr>
            </w:pPr>
            <w:r w:rsidRPr="00896EEE">
              <w:rPr>
                <w:rFonts w:ascii="Arial" w:eastAsia="Arial" w:hAnsi="Arial" w:cs="Arial"/>
                <w:color w:val="000000"/>
                <w:sz w:val="20"/>
                <w:szCs w:val="20"/>
              </w:rPr>
              <w:t xml:space="preserve">21 000 </w:t>
            </w:r>
          </w:p>
        </w:tc>
      </w:tr>
      <w:tr w:rsidR="00F85F2C" w:rsidRPr="00896EEE" w:rsidTr="00780A17">
        <w:trPr>
          <w:trHeight w:val="272"/>
        </w:trPr>
        <w:tc>
          <w:tcPr>
            <w:tcW w:w="2888"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rPr>
                <w:rFonts w:ascii="Arial" w:eastAsia="Arial" w:hAnsi="Arial" w:cs="Arial"/>
                <w:color w:val="000000"/>
                <w:sz w:val="20"/>
                <w:szCs w:val="20"/>
              </w:rPr>
            </w:pPr>
            <w:r w:rsidRPr="00896EEE">
              <w:rPr>
                <w:rFonts w:ascii="Arial" w:eastAsia="Arial" w:hAnsi="Arial" w:cs="Arial"/>
                <w:color w:val="000000"/>
                <w:sz w:val="20"/>
                <w:szCs w:val="20"/>
              </w:rPr>
              <w:t xml:space="preserve">Sector programmes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838 399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637 029 </w:t>
            </w:r>
          </w:p>
        </w:tc>
        <w:tc>
          <w:tcPr>
            <w:tcW w:w="1205"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3"/>
              <w:rPr>
                <w:rFonts w:ascii="Arial" w:eastAsia="Arial" w:hAnsi="Arial" w:cs="Arial"/>
                <w:color w:val="000000"/>
                <w:sz w:val="20"/>
                <w:szCs w:val="20"/>
              </w:rPr>
            </w:pPr>
            <w:r w:rsidRPr="00896EEE">
              <w:rPr>
                <w:rFonts w:ascii="Arial" w:eastAsia="Arial" w:hAnsi="Arial" w:cs="Arial"/>
                <w:color w:val="000000"/>
                <w:sz w:val="20"/>
                <w:szCs w:val="20"/>
              </w:rPr>
              <w:t xml:space="preserve">487 363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599 483 </w:t>
            </w:r>
          </w:p>
        </w:tc>
        <w:tc>
          <w:tcPr>
            <w:tcW w:w="1202"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9"/>
              <w:rPr>
                <w:rFonts w:ascii="Arial" w:eastAsia="Arial" w:hAnsi="Arial" w:cs="Arial"/>
                <w:color w:val="000000"/>
                <w:sz w:val="20"/>
                <w:szCs w:val="20"/>
              </w:rPr>
            </w:pPr>
            <w:r w:rsidRPr="00896EEE">
              <w:rPr>
                <w:rFonts w:ascii="Arial" w:eastAsia="Arial" w:hAnsi="Arial" w:cs="Arial"/>
                <w:color w:val="000000"/>
                <w:sz w:val="20"/>
                <w:szCs w:val="20"/>
              </w:rPr>
              <w:t xml:space="preserve">564 050 </w:t>
            </w:r>
          </w:p>
        </w:tc>
      </w:tr>
      <w:tr w:rsidR="00F85F2C" w:rsidRPr="00896EEE" w:rsidTr="00780A17">
        <w:trPr>
          <w:trHeight w:val="269"/>
        </w:trPr>
        <w:tc>
          <w:tcPr>
            <w:tcW w:w="2888"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rPr>
                <w:rFonts w:ascii="Arial" w:eastAsia="Arial" w:hAnsi="Arial" w:cs="Arial"/>
                <w:color w:val="000000"/>
                <w:sz w:val="20"/>
                <w:szCs w:val="20"/>
              </w:rPr>
            </w:pPr>
            <w:r w:rsidRPr="00896EEE">
              <w:rPr>
                <w:rFonts w:ascii="Arial" w:eastAsia="Arial" w:hAnsi="Arial" w:cs="Arial"/>
                <w:color w:val="000000"/>
                <w:sz w:val="20"/>
                <w:szCs w:val="20"/>
              </w:rPr>
              <w:t xml:space="preserve">Industrial financing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700 000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892 000 </w:t>
            </w:r>
          </w:p>
        </w:tc>
        <w:tc>
          <w:tcPr>
            <w:tcW w:w="1205"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3"/>
              <w:rPr>
                <w:rFonts w:ascii="Arial" w:eastAsia="Arial" w:hAnsi="Arial" w:cs="Arial"/>
                <w:color w:val="000000"/>
                <w:sz w:val="20"/>
                <w:szCs w:val="20"/>
              </w:rPr>
            </w:pPr>
            <w:r w:rsidRPr="00896EEE">
              <w:rPr>
                <w:rFonts w:ascii="Arial" w:eastAsia="Arial" w:hAnsi="Arial" w:cs="Arial"/>
                <w:color w:val="000000"/>
                <w:sz w:val="20"/>
                <w:szCs w:val="20"/>
              </w:rPr>
              <w:t xml:space="preserve">1 997 500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8"/>
              <w:rPr>
                <w:rFonts w:ascii="Arial" w:eastAsia="Arial" w:hAnsi="Arial" w:cs="Arial"/>
                <w:color w:val="000000"/>
                <w:sz w:val="20"/>
                <w:szCs w:val="20"/>
              </w:rPr>
            </w:pPr>
            <w:r w:rsidRPr="00896EEE">
              <w:rPr>
                <w:rFonts w:ascii="Arial" w:eastAsia="Arial" w:hAnsi="Arial" w:cs="Arial"/>
                <w:color w:val="000000"/>
                <w:sz w:val="20"/>
                <w:szCs w:val="20"/>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6"/>
              <w:rPr>
                <w:rFonts w:ascii="Arial" w:eastAsia="Arial" w:hAnsi="Arial" w:cs="Arial"/>
                <w:color w:val="000000"/>
                <w:sz w:val="20"/>
                <w:szCs w:val="20"/>
              </w:rPr>
            </w:pPr>
            <w:r w:rsidRPr="00896EEE">
              <w:rPr>
                <w:rFonts w:ascii="Arial" w:eastAsia="Arial" w:hAnsi="Arial" w:cs="Arial"/>
                <w:color w:val="000000"/>
                <w:sz w:val="20"/>
                <w:szCs w:val="20"/>
              </w:rPr>
              <w:t xml:space="preserve">–  </w:t>
            </w:r>
          </w:p>
        </w:tc>
      </w:tr>
      <w:tr w:rsidR="00F85F2C" w:rsidRPr="00896EEE" w:rsidTr="00780A17">
        <w:trPr>
          <w:trHeight w:val="269"/>
        </w:trPr>
        <w:tc>
          <w:tcPr>
            <w:tcW w:w="2888"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rPr>
                <w:rFonts w:ascii="Arial" w:eastAsia="Arial" w:hAnsi="Arial" w:cs="Arial"/>
                <w:color w:val="000000"/>
                <w:sz w:val="20"/>
                <w:szCs w:val="20"/>
              </w:rPr>
            </w:pPr>
            <w:r w:rsidRPr="00896EEE">
              <w:rPr>
                <w:rFonts w:ascii="Arial" w:eastAsia="Arial" w:hAnsi="Arial" w:cs="Arial"/>
                <w:color w:val="000000"/>
                <w:sz w:val="20"/>
                <w:szCs w:val="20"/>
              </w:rPr>
              <w:t xml:space="preserve">Social employment fund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8"/>
              <w:rPr>
                <w:rFonts w:ascii="Arial" w:eastAsia="Arial" w:hAnsi="Arial" w:cs="Arial"/>
                <w:color w:val="000000"/>
                <w:sz w:val="20"/>
                <w:szCs w:val="20"/>
              </w:rPr>
            </w:pPr>
            <w:r w:rsidRPr="00896EEE">
              <w:rPr>
                <w:rFonts w:ascii="Arial" w:eastAsia="Arial" w:hAnsi="Arial" w:cs="Arial"/>
                <w:color w:val="000000"/>
                <w:sz w:val="20"/>
                <w:szCs w:val="20"/>
              </w:rPr>
              <w:t xml:space="preserve">–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8"/>
              <w:rPr>
                <w:rFonts w:ascii="Arial" w:eastAsia="Arial" w:hAnsi="Arial" w:cs="Arial"/>
                <w:color w:val="000000"/>
                <w:sz w:val="20"/>
                <w:szCs w:val="20"/>
              </w:rPr>
            </w:pPr>
            <w:r w:rsidRPr="00896EEE">
              <w:rPr>
                <w:rFonts w:ascii="Arial" w:eastAsia="Arial" w:hAnsi="Arial" w:cs="Arial"/>
                <w:color w:val="000000"/>
                <w:sz w:val="20"/>
                <w:szCs w:val="20"/>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3"/>
              <w:rPr>
                <w:rFonts w:ascii="Arial" w:eastAsia="Arial" w:hAnsi="Arial" w:cs="Arial"/>
                <w:color w:val="000000"/>
                <w:sz w:val="20"/>
                <w:szCs w:val="20"/>
              </w:rPr>
            </w:pPr>
            <w:r w:rsidRPr="00896EEE">
              <w:rPr>
                <w:rFonts w:ascii="Arial" w:eastAsia="Arial" w:hAnsi="Arial" w:cs="Arial"/>
                <w:color w:val="000000"/>
                <w:sz w:val="20"/>
                <w:szCs w:val="20"/>
              </w:rPr>
              <w:t xml:space="preserve">800 000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861 566 </w:t>
            </w:r>
          </w:p>
        </w:tc>
        <w:tc>
          <w:tcPr>
            <w:tcW w:w="1202"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9"/>
              <w:rPr>
                <w:rFonts w:ascii="Arial" w:eastAsia="Arial" w:hAnsi="Arial" w:cs="Arial"/>
                <w:color w:val="000000"/>
                <w:sz w:val="20"/>
                <w:szCs w:val="20"/>
              </w:rPr>
            </w:pPr>
            <w:r w:rsidRPr="00896EEE">
              <w:rPr>
                <w:rFonts w:ascii="Arial" w:eastAsia="Arial" w:hAnsi="Arial" w:cs="Arial"/>
                <w:color w:val="000000"/>
                <w:sz w:val="20"/>
                <w:szCs w:val="20"/>
              </w:rPr>
              <w:t xml:space="preserve">787 941 </w:t>
            </w:r>
          </w:p>
        </w:tc>
      </w:tr>
      <w:tr w:rsidR="00F85F2C" w:rsidRPr="00896EEE" w:rsidTr="00780A17">
        <w:trPr>
          <w:trHeight w:val="269"/>
        </w:trPr>
        <w:tc>
          <w:tcPr>
            <w:tcW w:w="2888"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rPr>
                <w:rFonts w:ascii="Arial" w:eastAsia="Arial" w:hAnsi="Arial" w:cs="Arial"/>
                <w:color w:val="000000"/>
                <w:sz w:val="20"/>
                <w:szCs w:val="20"/>
              </w:rPr>
            </w:pPr>
            <w:r w:rsidRPr="00896EEE">
              <w:rPr>
                <w:rFonts w:ascii="Arial" w:eastAsia="Arial" w:hAnsi="Arial" w:cs="Arial"/>
                <w:color w:val="000000"/>
                <w:sz w:val="20"/>
                <w:szCs w:val="20"/>
              </w:rPr>
              <w:t xml:space="preserve">Tirisano construction fund trust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61 250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36 279 </w:t>
            </w:r>
          </w:p>
        </w:tc>
        <w:tc>
          <w:tcPr>
            <w:tcW w:w="1205"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2"/>
              <w:rPr>
                <w:rFonts w:ascii="Arial" w:eastAsia="Arial" w:hAnsi="Arial" w:cs="Arial"/>
                <w:color w:val="000000"/>
                <w:sz w:val="20"/>
                <w:szCs w:val="20"/>
              </w:rPr>
            </w:pPr>
            <w:r w:rsidRPr="00896EEE">
              <w:rPr>
                <w:rFonts w:ascii="Arial" w:eastAsia="Arial" w:hAnsi="Arial" w:cs="Arial"/>
                <w:color w:val="000000"/>
                <w:sz w:val="20"/>
                <w:szCs w:val="20"/>
              </w:rPr>
              <w:t xml:space="preserve">46 222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64 375 </w:t>
            </w:r>
          </w:p>
        </w:tc>
        <w:tc>
          <w:tcPr>
            <w:tcW w:w="1202"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9"/>
              <w:rPr>
                <w:rFonts w:ascii="Arial" w:eastAsia="Arial" w:hAnsi="Arial" w:cs="Arial"/>
                <w:color w:val="000000"/>
                <w:sz w:val="20"/>
                <w:szCs w:val="20"/>
              </w:rPr>
            </w:pPr>
            <w:r w:rsidRPr="00896EEE">
              <w:rPr>
                <w:rFonts w:ascii="Arial" w:eastAsia="Arial" w:hAnsi="Arial" w:cs="Arial"/>
                <w:color w:val="000000"/>
                <w:sz w:val="20"/>
                <w:szCs w:val="20"/>
              </w:rPr>
              <w:t xml:space="preserve">53 750 </w:t>
            </w:r>
          </w:p>
        </w:tc>
      </w:tr>
      <w:tr w:rsidR="00F85F2C" w:rsidRPr="00896EEE" w:rsidTr="00780A17">
        <w:trPr>
          <w:trHeight w:val="528"/>
        </w:trPr>
        <w:tc>
          <w:tcPr>
            <w:tcW w:w="2888"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rPr>
                <w:rFonts w:ascii="Arial" w:eastAsia="Arial" w:hAnsi="Arial" w:cs="Arial"/>
                <w:color w:val="000000"/>
                <w:sz w:val="20"/>
                <w:szCs w:val="20"/>
              </w:rPr>
            </w:pPr>
            <w:r w:rsidRPr="00896EEE">
              <w:rPr>
                <w:rFonts w:ascii="Arial" w:eastAsia="Arial" w:hAnsi="Arial" w:cs="Arial"/>
                <w:color w:val="000000"/>
                <w:sz w:val="20"/>
                <w:szCs w:val="20"/>
              </w:rPr>
              <w:t xml:space="preserve">Downstream steel industry competitiveness fund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35 000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0"/>
              <w:rPr>
                <w:rFonts w:ascii="Arial" w:eastAsia="Arial" w:hAnsi="Arial" w:cs="Arial"/>
                <w:color w:val="000000"/>
                <w:sz w:val="20"/>
                <w:szCs w:val="20"/>
              </w:rPr>
            </w:pPr>
            <w:r w:rsidRPr="00896EEE">
              <w:rPr>
                <w:rFonts w:ascii="Arial" w:eastAsia="Arial" w:hAnsi="Arial" w:cs="Arial"/>
                <w:color w:val="000000"/>
                <w:sz w:val="20"/>
                <w:szCs w:val="20"/>
              </w:rPr>
              <w:t xml:space="preserve">29 449 </w:t>
            </w:r>
          </w:p>
        </w:tc>
        <w:tc>
          <w:tcPr>
            <w:tcW w:w="1205"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2"/>
              <w:rPr>
                <w:rFonts w:ascii="Arial" w:eastAsia="Arial" w:hAnsi="Arial" w:cs="Arial"/>
                <w:color w:val="000000"/>
                <w:sz w:val="20"/>
                <w:szCs w:val="20"/>
              </w:rPr>
            </w:pPr>
            <w:r w:rsidRPr="00896EEE">
              <w:rPr>
                <w:rFonts w:ascii="Arial" w:eastAsia="Arial" w:hAnsi="Arial" w:cs="Arial"/>
                <w:color w:val="000000"/>
                <w:sz w:val="20"/>
                <w:szCs w:val="20"/>
              </w:rPr>
              <w:t xml:space="preserve">37 727 </w:t>
            </w:r>
          </w:p>
        </w:tc>
        <w:tc>
          <w:tcPr>
            <w:tcW w:w="1203"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11"/>
              <w:rPr>
                <w:rFonts w:ascii="Arial" w:eastAsia="Arial" w:hAnsi="Arial" w:cs="Arial"/>
                <w:color w:val="000000"/>
                <w:sz w:val="20"/>
                <w:szCs w:val="20"/>
              </w:rPr>
            </w:pPr>
            <w:r w:rsidRPr="00896EEE">
              <w:rPr>
                <w:rFonts w:ascii="Arial" w:eastAsia="Arial" w:hAnsi="Arial" w:cs="Arial"/>
                <w:color w:val="000000"/>
                <w:sz w:val="20"/>
                <w:szCs w:val="20"/>
              </w:rPr>
              <w:t xml:space="preserve">39 550 </w:t>
            </w:r>
          </w:p>
        </w:tc>
        <w:tc>
          <w:tcPr>
            <w:tcW w:w="1202" w:type="dxa"/>
            <w:tcBorders>
              <w:top w:val="single" w:sz="4" w:space="0" w:color="000000"/>
              <w:left w:val="single" w:sz="4" w:space="0" w:color="000000"/>
              <w:bottom w:val="single" w:sz="4" w:space="0" w:color="000000"/>
              <w:right w:val="single" w:sz="4" w:space="0" w:color="000000"/>
            </w:tcBorders>
          </w:tcPr>
          <w:p w:rsidR="00F85F2C" w:rsidRPr="00896EEE" w:rsidRDefault="00F85F2C" w:rsidP="00896EEE">
            <w:pPr>
              <w:ind w:right="109"/>
              <w:rPr>
                <w:rFonts w:ascii="Arial" w:eastAsia="Arial" w:hAnsi="Arial" w:cs="Arial"/>
                <w:color w:val="000000"/>
                <w:sz w:val="20"/>
                <w:szCs w:val="20"/>
              </w:rPr>
            </w:pPr>
            <w:r w:rsidRPr="00896EEE">
              <w:rPr>
                <w:rFonts w:ascii="Arial" w:eastAsia="Arial" w:hAnsi="Arial" w:cs="Arial"/>
                <w:color w:val="000000"/>
                <w:sz w:val="20"/>
                <w:szCs w:val="20"/>
              </w:rPr>
              <w:t xml:space="preserve">39 939 </w:t>
            </w:r>
          </w:p>
        </w:tc>
      </w:tr>
    </w:tbl>
    <w:p w:rsidR="00F85F2C" w:rsidRPr="00896EEE" w:rsidRDefault="00F85F2C" w:rsidP="00896EEE">
      <w:pPr>
        <w:spacing w:after="0" w:line="240" w:lineRule="auto"/>
        <w:rPr>
          <w:rFonts w:ascii="Arial" w:hAnsi="Arial" w:cs="Arial"/>
          <w:i/>
          <w:sz w:val="20"/>
          <w:szCs w:val="20"/>
        </w:rPr>
      </w:pPr>
      <w:r w:rsidRPr="00896EEE">
        <w:rPr>
          <w:rFonts w:ascii="Arial" w:hAnsi="Arial" w:cs="Arial"/>
          <w:i/>
          <w:sz w:val="20"/>
          <w:szCs w:val="20"/>
        </w:rPr>
        <w:t>Source: National Treasury</w:t>
      </w:r>
    </w:p>
    <w:p w:rsidR="00977870" w:rsidRPr="00896EEE" w:rsidRDefault="00870E07" w:rsidP="00896EEE">
      <w:pPr>
        <w:spacing w:after="0" w:line="240" w:lineRule="auto"/>
        <w:rPr>
          <w:rFonts w:ascii="Arial" w:hAnsi="Arial" w:cs="Arial"/>
          <w:sz w:val="20"/>
          <w:szCs w:val="20"/>
        </w:rPr>
      </w:pPr>
      <w:r w:rsidRPr="00896EEE">
        <w:rPr>
          <w:rFonts w:ascii="Arial" w:hAnsi="Arial" w:cs="Arial"/>
          <w:sz w:val="20"/>
          <w:szCs w:val="20"/>
        </w:rPr>
        <w:t>The Department has</w:t>
      </w:r>
      <w:r w:rsidR="00B05E13" w:rsidRPr="00896EEE">
        <w:rPr>
          <w:rFonts w:ascii="Arial" w:hAnsi="Arial" w:cs="Arial"/>
          <w:b/>
          <w:color w:val="FF0000"/>
          <w:sz w:val="20"/>
          <w:szCs w:val="20"/>
        </w:rPr>
        <w:t xml:space="preserve"> </w:t>
      </w:r>
      <w:r w:rsidR="00B05E13" w:rsidRPr="00896EEE">
        <w:rPr>
          <w:rFonts w:ascii="Arial" w:hAnsi="Arial" w:cs="Arial"/>
          <w:sz w:val="20"/>
          <w:szCs w:val="20"/>
        </w:rPr>
        <w:t>16 entities</w:t>
      </w:r>
      <w:r w:rsidR="00B05E13" w:rsidRPr="00896EEE">
        <w:rPr>
          <w:rFonts w:ascii="Arial" w:hAnsi="Arial" w:cs="Arial"/>
          <w:b/>
          <w:sz w:val="20"/>
          <w:szCs w:val="20"/>
        </w:rPr>
        <w:t>,</w:t>
      </w:r>
      <w:r w:rsidRPr="00896EEE">
        <w:rPr>
          <w:rFonts w:ascii="Arial" w:hAnsi="Arial" w:cs="Arial"/>
          <w:b/>
          <w:sz w:val="20"/>
          <w:szCs w:val="20"/>
        </w:rPr>
        <w:t xml:space="preserve"> </w:t>
      </w:r>
      <w:r w:rsidR="00B05E13" w:rsidRPr="00896EEE">
        <w:rPr>
          <w:rFonts w:ascii="Arial" w:hAnsi="Arial" w:cs="Arial"/>
          <w:sz w:val="20"/>
          <w:szCs w:val="20"/>
        </w:rPr>
        <w:t>o</w:t>
      </w:r>
      <w:r w:rsidR="00AE59DD" w:rsidRPr="00896EEE">
        <w:rPr>
          <w:rFonts w:ascii="Arial" w:hAnsi="Arial" w:cs="Arial"/>
          <w:sz w:val="20"/>
          <w:szCs w:val="20"/>
        </w:rPr>
        <w:t>f which</w:t>
      </w:r>
      <w:r w:rsidRPr="00896EEE">
        <w:rPr>
          <w:rFonts w:ascii="Arial" w:hAnsi="Arial" w:cs="Arial"/>
          <w:sz w:val="20"/>
          <w:szCs w:val="20"/>
        </w:rPr>
        <w:t>, three are self-funded, these are the Companies and Intellectual Property Commission (CIPC), the National Empowerment Fund (NEF), and the National Lotteries Commission (NLC).</w:t>
      </w:r>
      <w:r w:rsidR="00F85F2C" w:rsidRPr="00896EEE">
        <w:rPr>
          <w:rFonts w:ascii="Arial" w:hAnsi="Arial" w:cs="Arial"/>
          <w:sz w:val="20"/>
          <w:szCs w:val="20"/>
        </w:rPr>
        <w:t xml:space="preserve"> Transfers to most of the entities will not increase during the financial </w:t>
      </w:r>
      <w:r w:rsidR="00F85F2C" w:rsidRPr="00896EEE">
        <w:rPr>
          <w:rFonts w:ascii="Arial" w:hAnsi="Arial" w:cs="Arial"/>
          <w:sz w:val="20"/>
          <w:szCs w:val="20"/>
        </w:rPr>
        <w:lastRenderedPageBreak/>
        <w:t xml:space="preserve">year compared to the previous financial year. Entities whose transfers will increase include National Consumer Commission (24 per cent increase), Export Credit Insurance Corporation of South Africa (15 percent increase), Companies Tribunal (15 percent increase), International Trade Administration Commission (12 per cent increase), South African Bureau of Standards (5 percent increase), and National Regulator for Compulsory Specifications (5 percent increase). </w:t>
      </w:r>
    </w:p>
    <w:p w:rsidR="005968CC" w:rsidRPr="00896EEE" w:rsidRDefault="006A7D76" w:rsidP="00896EEE">
      <w:pPr>
        <w:spacing w:after="0" w:line="240" w:lineRule="auto"/>
        <w:rPr>
          <w:rFonts w:ascii="Arial" w:hAnsi="Arial" w:cs="Arial"/>
          <w:b/>
          <w:sz w:val="20"/>
          <w:szCs w:val="20"/>
        </w:rPr>
      </w:pPr>
      <w:r w:rsidRPr="00896EEE">
        <w:rPr>
          <w:rFonts w:ascii="Arial" w:hAnsi="Arial" w:cs="Arial"/>
          <w:b/>
          <w:sz w:val="20"/>
          <w:szCs w:val="20"/>
        </w:rPr>
        <w:t>9</w:t>
      </w:r>
      <w:r w:rsidR="00B93D0A" w:rsidRPr="00896EEE">
        <w:rPr>
          <w:rFonts w:ascii="Arial" w:hAnsi="Arial" w:cs="Arial"/>
          <w:b/>
          <w:sz w:val="20"/>
          <w:szCs w:val="20"/>
        </w:rPr>
        <w:t xml:space="preserve">.  </w:t>
      </w:r>
      <w:r w:rsidR="005968CC" w:rsidRPr="00896EEE">
        <w:rPr>
          <w:rFonts w:ascii="Arial" w:hAnsi="Arial" w:cs="Arial"/>
          <w:b/>
          <w:sz w:val="20"/>
          <w:szCs w:val="20"/>
        </w:rPr>
        <w:t xml:space="preserve">Issues Arising from Engagement </w:t>
      </w:r>
    </w:p>
    <w:p w:rsidR="003719EE" w:rsidRPr="00896EEE" w:rsidRDefault="003719EE" w:rsidP="00896EEE">
      <w:pPr>
        <w:spacing w:after="0" w:line="240" w:lineRule="auto"/>
        <w:rPr>
          <w:rFonts w:ascii="Arial" w:hAnsi="Arial" w:cs="Arial"/>
          <w:sz w:val="20"/>
          <w:szCs w:val="20"/>
        </w:rPr>
      </w:pPr>
      <w:r w:rsidRPr="00896EEE">
        <w:rPr>
          <w:rFonts w:ascii="Arial" w:hAnsi="Arial" w:cs="Arial"/>
          <w:sz w:val="20"/>
          <w:szCs w:val="20"/>
        </w:rPr>
        <w:t xml:space="preserve">The following are the </w:t>
      </w:r>
      <w:r w:rsidR="002B6278" w:rsidRPr="00896EEE">
        <w:rPr>
          <w:rFonts w:ascii="Arial" w:hAnsi="Arial" w:cs="Arial"/>
          <w:sz w:val="20"/>
          <w:szCs w:val="20"/>
        </w:rPr>
        <w:t>key issues raised by Members</w:t>
      </w:r>
      <w:r w:rsidR="008E441E" w:rsidRPr="00896EEE">
        <w:rPr>
          <w:rFonts w:ascii="Arial" w:hAnsi="Arial" w:cs="Arial"/>
          <w:sz w:val="20"/>
          <w:szCs w:val="20"/>
        </w:rPr>
        <w:t xml:space="preserve"> and responses from the Department</w:t>
      </w:r>
      <w:r w:rsidR="002B6278" w:rsidRPr="00896EEE">
        <w:rPr>
          <w:rFonts w:ascii="Arial" w:hAnsi="Arial" w:cs="Arial"/>
          <w:sz w:val="20"/>
          <w:szCs w:val="20"/>
        </w:rPr>
        <w:t xml:space="preserve"> during deliberations:</w:t>
      </w:r>
    </w:p>
    <w:p w:rsidR="00AE59DD" w:rsidRPr="00896EEE" w:rsidRDefault="00AE59DD" w:rsidP="00896EEE">
      <w:pPr>
        <w:spacing w:after="0" w:line="240" w:lineRule="auto"/>
        <w:rPr>
          <w:rFonts w:ascii="Arial" w:hAnsi="Arial" w:cs="Arial"/>
          <w:sz w:val="20"/>
          <w:szCs w:val="20"/>
        </w:rPr>
      </w:pPr>
    </w:p>
    <w:p w:rsidR="005F1401" w:rsidRPr="00896EEE" w:rsidRDefault="005062D8" w:rsidP="00896EEE">
      <w:pPr>
        <w:pStyle w:val="ListParagraph"/>
        <w:numPr>
          <w:ilvl w:val="0"/>
          <w:numId w:val="91"/>
        </w:numPr>
        <w:spacing w:after="0" w:line="240" w:lineRule="auto"/>
        <w:rPr>
          <w:rFonts w:ascii="Arial" w:hAnsi="Arial" w:cs="Arial"/>
          <w:sz w:val="20"/>
          <w:szCs w:val="20"/>
        </w:rPr>
      </w:pPr>
      <w:r w:rsidRPr="00896EEE">
        <w:rPr>
          <w:rFonts w:ascii="Arial" w:hAnsi="Arial" w:cs="Arial"/>
          <w:sz w:val="20"/>
          <w:szCs w:val="20"/>
        </w:rPr>
        <w:t>The Co</w:t>
      </w:r>
      <w:r w:rsidR="00DA28E8" w:rsidRPr="00896EEE">
        <w:rPr>
          <w:rFonts w:ascii="Arial" w:hAnsi="Arial" w:cs="Arial"/>
          <w:sz w:val="20"/>
          <w:szCs w:val="20"/>
        </w:rPr>
        <w:t xml:space="preserve">mmittee welcomes the Department’s </w:t>
      </w:r>
      <w:r w:rsidR="005F1401" w:rsidRPr="00896EEE">
        <w:rPr>
          <w:rFonts w:ascii="Arial" w:hAnsi="Arial" w:cs="Arial"/>
          <w:sz w:val="20"/>
          <w:szCs w:val="20"/>
        </w:rPr>
        <w:t xml:space="preserve">new approach and revised APP, particularly how it translates to outputs. </w:t>
      </w:r>
    </w:p>
    <w:p w:rsidR="00AE59DD" w:rsidRPr="00896EEE" w:rsidRDefault="005F1401" w:rsidP="00896EEE">
      <w:pPr>
        <w:pStyle w:val="ListParagraph"/>
        <w:numPr>
          <w:ilvl w:val="0"/>
          <w:numId w:val="91"/>
        </w:numPr>
        <w:spacing w:after="0" w:line="240" w:lineRule="auto"/>
        <w:rPr>
          <w:rFonts w:ascii="Arial" w:hAnsi="Arial" w:cs="Arial"/>
          <w:sz w:val="20"/>
          <w:szCs w:val="20"/>
        </w:rPr>
      </w:pPr>
      <w:r w:rsidRPr="00896EEE">
        <w:rPr>
          <w:rFonts w:ascii="Arial" w:hAnsi="Arial" w:cs="Arial"/>
          <w:sz w:val="20"/>
          <w:szCs w:val="20"/>
        </w:rPr>
        <w:t>In response to concerns by Members that the focus on outputs would compromise audit compliance, the Minister indicated that previously, in order to meet audit targets the outputs were simplified</w:t>
      </w:r>
      <w:r w:rsidR="00E872A6" w:rsidRPr="00896EEE">
        <w:rPr>
          <w:rFonts w:ascii="Arial" w:hAnsi="Arial" w:cs="Arial"/>
          <w:sz w:val="20"/>
          <w:szCs w:val="20"/>
        </w:rPr>
        <w:t xml:space="preserve"> (SMART targets)</w:t>
      </w:r>
      <w:r w:rsidRPr="00896EEE">
        <w:rPr>
          <w:rFonts w:ascii="Arial" w:hAnsi="Arial" w:cs="Arial"/>
          <w:sz w:val="20"/>
          <w:szCs w:val="20"/>
        </w:rPr>
        <w:t xml:space="preserve"> and focussed on factors that were within the control of the Department. This was done at the expense of output which are impacted by external factors. The revised way of work takes some degree of risk, however, it was noted that there is a strong connection between what is happening in the economy and the work of the Department. Outputs could no longer only focus factors within the control of the Department and </w:t>
      </w:r>
      <w:r w:rsidR="00E872A6" w:rsidRPr="00896EEE">
        <w:rPr>
          <w:rFonts w:ascii="Arial" w:hAnsi="Arial" w:cs="Arial"/>
          <w:sz w:val="20"/>
          <w:szCs w:val="20"/>
        </w:rPr>
        <w:t xml:space="preserve">its internal environment </w:t>
      </w:r>
      <w:r w:rsidRPr="00896EEE">
        <w:rPr>
          <w:rFonts w:ascii="Arial" w:hAnsi="Arial" w:cs="Arial"/>
          <w:sz w:val="20"/>
          <w:szCs w:val="20"/>
        </w:rPr>
        <w:t xml:space="preserve">just meet performance targets. This old way of working usually compromised impact for the attainment of targets. However, the Minister expressed confidence that this better </w:t>
      </w:r>
      <w:r w:rsidR="00E872A6" w:rsidRPr="00896EEE">
        <w:rPr>
          <w:rFonts w:ascii="Arial" w:hAnsi="Arial" w:cs="Arial"/>
          <w:sz w:val="20"/>
          <w:szCs w:val="20"/>
        </w:rPr>
        <w:t xml:space="preserve">framework </w:t>
      </w:r>
      <w:r w:rsidRPr="00896EEE">
        <w:rPr>
          <w:rFonts w:ascii="Arial" w:hAnsi="Arial" w:cs="Arial"/>
          <w:sz w:val="20"/>
          <w:szCs w:val="20"/>
        </w:rPr>
        <w:t xml:space="preserve">would enhance impact and performance whilst not compromising audit compliance. </w:t>
      </w:r>
    </w:p>
    <w:p w:rsidR="00E872A6" w:rsidRPr="00896EEE" w:rsidRDefault="00E872A6" w:rsidP="00896EEE">
      <w:pPr>
        <w:pStyle w:val="ListParagraph"/>
        <w:numPr>
          <w:ilvl w:val="0"/>
          <w:numId w:val="91"/>
        </w:numPr>
        <w:spacing w:after="0" w:line="240" w:lineRule="auto"/>
        <w:rPr>
          <w:rFonts w:ascii="Arial" w:hAnsi="Arial" w:cs="Arial"/>
          <w:sz w:val="20"/>
          <w:szCs w:val="20"/>
        </w:rPr>
      </w:pPr>
      <w:r w:rsidRPr="00896EEE">
        <w:rPr>
          <w:rFonts w:ascii="Arial" w:hAnsi="Arial" w:cs="Arial"/>
          <w:sz w:val="20"/>
          <w:szCs w:val="20"/>
        </w:rPr>
        <w:t>Members raised concerns regarding the high number of acting positions, particularly in senior administration.</w:t>
      </w:r>
    </w:p>
    <w:p w:rsidR="00405EC3" w:rsidRPr="00896EEE" w:rsidRDefault="00E872A6" w:rsidP="00896EEE">
      <w:pPr>
        <w:pStyle w:val="ListParagraph"/>
        <w:numPr>
          <w:ilvl w:val="0"/>
          <w:numId w:val="91"/>
        </w:numPr>
        <w:spacing w:after="0" w:line="240" w:lineRule="auto"/>
        <w:rPr>
          <w:rFonts w:ascii="Arial" w:hAnsi="Arial" w:cs="Arial"/>
          <w:sz w:val="20"/>
          <w:szCs w:val="20"/>
        </w:rPr>
      </w:pPr>
      <w:r w:rsidRPr="00896EEE">
        <w:rPr>
          <w:rFonts w:ascii="Arial" w:hAnsi="Arial" w:cs="Arial"/>
          <w:sz w:val="20"/>
          <w:szCs w:val="20"/>
        </w:rPr>
        <w:t>Members raised concerns that the temporary ban on scrap metal exports had no impact on reducing theft and vandalism of public infrastructure and queried the interventions the Department had in place to address this.</w:t>
      </w:r>
      <w:r w:rsidR="00861316" w:rsidRPr="00896EEE">
        <w:rPr>
          <w:rFonts w:ascii="Arial" w:hAnsi="Arial" w:cs="Arial"/>
          <w:sz w:val="20"/>
          <w:szCs w:val="20"/>
        </w:rPr>
        <w:t xml:space="preserve"> </w:t>
      </w:r>
      <w:r w:rsidR="00405EC3" w:rsidRPr="00896EEE">
        <w:rPr>
          <w:rFonts w:ascii="Arial" w:hAnsi="Arial" w:cs="Arial"/>
          <w:sz w:val="20"/>
          <w:szCs w:val="20"/>
        </w:rPr>
        <w:t>In response to concerns raised by Members regarding the impact of the temporary scrap metal ban, it was reported that the Department is constantly monitoring its effectiveness however noted that export permits granted prior to the</w:t>
      </w:r>
      <w:r w:rsidR="00C91DC7" w:rsidRPr="00896EEE">
        <w:rPr>
          <w:rFonts w:ascii="Arial" w:hAnsi="Arial" w:cs="Arial"/>
          <w:sz w:val="20"/>
          <w:szCs w:val="20"/>
        </w:rPr>
        <w:t xml:space="preserve"> application of the ban were not cancelled.</w:t>
      </w:r>
    </w:p>
    <w:p w:rsidR="00E872A6" w:rsidRPr="00896EEE" w:rsidRDefault="00E872A6" w:rsidP="00896EEE">
      <w:pPr>
        <w:pStyle w:val="ListParagraph"/>
        <w:numPr>
          <w:ilvl w:val="0"/>
          <w:numId w:val="91"/>
        </w:numPr>
        <w:spacing w:after="0" w:line="240" w:lineRule="auto"/>
        <w:rPr>
          <w:rFonts w:ascii="Arial" w:hAnsi="Arial" w:cs="Arial"/>
          <w:sz w:val="20"/>
          <w:szCs w:val="20"/>
        </w:rPr>
      </w:pPr>
      <w:r w:rsidRPr="00896EEE">
        <w:rPr>
          <w:rFonts w:ascii="Arial" w:hAnsi="Arial" w:cs="Arial"/>
          <w:sz w:val="20"/>
          <w:szCs w:val="20"/>
        </w:rPr>
        <w:t>Members raised concerns that with 12 months left in the Sixth Administration, the degree to which the new framework of working and revised APP would be carried forward by the next administration.</w:t>
      </w:r>
    </w:p>
    <w:p w:rsidR="00DA28E8" w:rsidRPr="00896EEE" w:rsidRDefault="00E872A6" w:rsidP="00896EEE">
      <w:pPr>
        <w:pStyle w:val="ListParagraph"/>
        <w:numPr>
          <w:ilvl w:val="0"/>
          <w:numId w:val="91"/>
        </w:numPr>
        <w:spacing w:after="0" w:line="240" w:lineRule="auto"/>
        <w:rPr>
          <w:rFonts w:ascii="Arial" w:hAnsi="Arial" w:cs="Arial"/>
          <w:sz w:val="20"/>
          <w:szCs w:val="20"/>
        </w:rPr>
      </w:pPr>
      <w:r w:rsidRPr="00896EEE">
        <w:rPr>
          <w:rFonts w:ascii="Arial" w:hAnsi="Arial" w:cs="Arial"/>
          <w:sz w:val="20"/>
          <w:szCs w:val="20"/>
        </w:rPr>
        <w:t>In response to concerns from Members regarding interventions with the European Union (EU) stringent regulations on citrus imported from South Africa and the Department’s interventions in this regard. It was reported that the new measures require South African farmers to apply extreme cold treatment to all Europe-bound oranges and to keep fruits at temperatures of 2 degrees or lower for 25 days.</w:t>
      </w:r>
      <w:r w:rsidR="00491AD0" w:rsidRPr="00896EEE">
        <w:rPr>
          <w:rFonts w:ascii="Arial" w:hAnsi="Arial" w:cs="Arial"/>
          <w:sz w:val="20"/>
          <w:szCs w:val="20"/>
        </w:rPr>
        <w:t xml:space="preserve"> This has damaging implications for cold storage costs for citrus farmers and is meant to address </w:t>
      </w:r>
      <w:r w:rsidR="00E235F6" w:rsidRPr="00896EEE">
        <w:rPr>
          <w:rFonts w:ascii="Arial" w:hAnsi="Arial" w:cs="Arial"/>
          <w:sz w:val="20"/>
          <w:szCs w:val="20"/>
        </w:rPr>
        <w:t xml:space="preserve">phyto-sanitary and </w:t>
      </w:r>
      <w:r w:rsidR="00491AD0" w:rsidRPr="00896EEE">
        <w:rPr>
          <w:rFonts w:ascii="Arial" w:hAnsi="Arial" w:cs="Arial"/>
          <w:sz w:val="20"/>
          <w:szCs w:val="20"/>
        </w:rPr>
        <w:t>new plant health and safety requirements.</w:t>
      </w:r>
      <w:r w:rsidR="00526DD3" w:rsidRPr="00896EEE">
        <w:rPr>
          <w:rFonts w:ascii="Arial" w:hAnsi="Arial" w:cs="Arial"/>
          <w:sz w:val="20"/>
          <w:szCs w:val="20"/>
        </w:rPr>
        <w:t xml:space="preserve"> South Africa has continuously argued that regulation is inappropriately applied and unjustifiable. </w:t>
      </w:r>
      <w:r w:rsidR="00491AD0" w:rsidRPr="00896EEE">
        <w:rPr>
          <w:rFonts w:ascii="Arial" w:hAnsi="Arial" w:cs="Arial"/>
          <w:sz w:val="20"/>
          <w:szCs w:val="20"/>
        </w:rPr>
        <w:t xml:space="preserve"> </w:t>
      </w:r>
      <w:r w:rsidR="00E235F6" w:rsidRPr="00896EEE">
        <w:rPr>
          <w:rFonts w:ascii="Arial" w:hAnsi="Arial" w:cs="Arial"/>
          <w:sz w:val="20"/>
          <w:szCs w:val="20"/>
        </w:rPr>
        <w:t>The Department highlighted the success of South African citrus exports which has grown to be the second largest global exporter of citrus</w:t>
      </w:r>
      <w:r w:rsidR="00526DD3" w:rsidRPr="00896EEE">
        <w:rPr>
          <w:rFonts w:ascii="Arial" w:hAnsi="Arial" w:cs="Arial"/>
          <w:sz w:val="20"/>
          <w:szCs w:val="20"/>
        </w:rPr>
        <w:t xml:space="preserve">, of which approximately 40 percent is destined for the EU. </w:t>
      </w:r>
      <w:r w:rsidR="00977870" w:rsidRPr="00896EEE">
        <w:rPr>
          <w:rFonts w:ascii="Arial" w:hAnsi="Arial" w:cs="Arial"/>
          <w:sz w:val="20"/>
          <w:szCs w:val="20"/>
        </w:rPr>
        <w:t xml:space="preserve"> </w:t>
      </w:r>
      <w:r w:rsidR="00E235F6" w:rsidRPr="00896EEE">
        <w:rPr>
          <w:rFonts w:ascii="Arial" w:hAnsi="Arial" w:cs="Arial"/>
          <w:sz w:val="20"/>
          <w:szCs w:val="20"/>
        </w:rPr>
        <w:t xml:space="preserve">The Department </w:t>
      </w:r>
      <w:r w:rsidR="00526DD3" w:rsidRPr="00896EEE">
        <w:rPr>
          <w:rFonts w:ascii="Arial" w:hAnsi="Arial" w:cs="Arial"/>
          <w:sz w:val="20"/>
          <w:szCs w:val="20"/>
        </w:rPr>
        <w:t>reported that South African’s government approach for a resolution on the matter is to intensify bilateral engagements with the EU at various levels:</w:t>
      </w:r>
    </w:p>
    <w:p w:rsidR="00526DD3" w:rsidRPr="00896EEE" w:rsidRDefault="00526DD3" w:rsidP="00896EEE">
      <w:pPr>
        <w:pStyle w:val="ListParagraph"/>
        <w:numPr>
          <w:ilvl w:val="1"/>
          <w:numId w:val="29"/>
        </w:numPr>
        <w:spacing w:after="0" w:line="240" w:lineRule="auto"/>
        <w:rPr>
          <w:rFonts w:ascii="Arial" w:hAnsi="Arial" w:cs="Arial"/>
          <w:sz w:val="20"/>
          <w:szCs w:val="20"/>
        </w:rPr>
      </w:pPr>
      <w:r w:rsidRPr="00896EEE">
        <w:rPr>
          <w:rFonts w:ascii="Arial" w:hAnsi="Arial" w:cs="Arial"/>
          <w:sz w:val="20"/>
          <w:szCs w:val="20"/>
        </w:rPr>
        <w:t>Political: The President met with the EU Council President in July 2022 and with the Spanish Prime Minister in October 2022. DTIC and DALRRD Ministers also raised it with their EU counterparts, including at the 15</w:t>
      </w:r>
      <w:r w:rsidRPr="00896EEE">
        <w:rPr>
          <w:rFonts w:ascii="Arial" w:hAnsi="Arial" w:cs="Arial"/>
          <w:sz w:val="20"/>
          <w:szCs w:val="20"/>
          <w:vertAlign w:val="superscript"/>
        </w:rPr>
        <w:t>th</w:t>
      </w:r>
      <w:r w:rsidRPr="00896EEE">
        <w:rPr>
          <w:rFonts w:ascii="Arial" w:hAnsi="Arial" w:cs="Arial"/>
          <w:sz w:val="20"/>
          <w:szCs w:val="20"/>
        </w:rPr>
        <w:t xml:space="preserve"> SA-EU Ministerial Political Dialogue Partnership held in January 2023. </w:t>
      </w:r>
    </w:p>
    <w:p w:rsidR="00526DD3" w:rsidRPr="00896EEE" w:rsidRDefault="00526DD3" w:rsidP="00896EEE">
      <w:pPr>
        <w:pStyle w:val="ListParagraph"/>
        <w:numPr>
          <w:ilvl w:val="1"/>
          <w:numId w:val="29"/>
        </w:numPr>
        <w:spacing w:after="0" w:line="240" w:lineRule="auto"/>
        <w:rPr>
          <w:rFonts w:ascii="Arial" w:hAnsi="Arial" w:cs="Arial"/>
          <w:sz w:val="20"/>
          <w:szCs w:val="20"/>
        </w:rPr>
      </w:pPr>
      <w:r w:rsidRPr="00896EEE">
        <w:rPr>
          <w:rFonts w:ascii="Arial" w:hAnsi="Arial" w:cs="Arial"/>
          <w:sz w:val="20"/>
          <w:szCs w:val="20"/>
        </w:rPr>
        <w:t xml:space="preserve">Legal: A WTO dispute settlement process was initiated in July 2022 by way of a letter to the EU requesting formal WTO consultations. Formal </w:t>
      </w:r>
      <w:r w:rsidRPr="00896EEE">
        <w:rPr>
          <w:rFonts w:ascii="Arial" w:hAnsi="Arial" w:cs="Arial"/>
          <w:sz w:val="20"/>
          <w:szCs w:val="20"/>
          <w:lang w:val="en-US"/>
        </w:rPr>
        <w:t xml:space="preserve">WTO </w:t>
      </w:r>
      <w:r w:rsidRPr="00896EEE">
        <w:rPr>
          <w:rFonts w:ascii="Arial" w:hAnsi="Arial" w:cs="Arial"/>
          <w:sz w:val="20"/>
          <w:szCs w:val="20"/>
        </w:rPr>
        <w:t>Consultations were held in September 2022. The next step is a request by South Africa for the establishment of a dispute settlement panel in the WTO if an amicable solution can’t be found.</w:t>
      </w:r>
    </w:p>
    <w:p w:rsidR="00526DD3" w:rsidRPr="00896EEE" w:rsidRDefault="00526DD3" w:rsidP="00896EEE">
      <w:pPr>
        <w:pStyle w:val="ListParagraph"/>
        <w:numPr>
          <w:ilvl w:val="1"/>
          <w:numId w:val="29"/>
        </w:numPr>
        <w:spacing w:after="0" w:line="240" w:lineRule="auto"/>
        <w:rPr>
          <w:rFonts w:ascii="Arial" w:hAnsi="Arial" w:cs="Arial"/>
          <w:sz w:val="20"/>
          <w:szCs w:val="20"/>
        </w:rPr>
      </w:pPr>
      <w:r w:rsidRPr="00896EEE">
        <w:rPr>
          <w:rFonts w:ascii="Arial" w:hAnsi="Arial" w:cs="Arial"/>
          <w:sz w:val="20"/>
          <w:szCs w:val="20"/>
        </w:rPr>
        <w:t xml:space="preserve">Technical: Meetings during 2022 and 2023 of SA-EU agriculture and trade technical officials. </w:t>
      </w:r>
    </w:p>
    <w:p w:rsidR="00DA28E8" w:rsidRPr="00896EEE" w:rsidRDefault="00DA28E8" w:rsidP="00896EEE">
      <w:pPr>
        <w:pStyle w:val="ListParagraph"/>
        <w:numPr>
          <w:ilvl w:val="0"/>
          <w:numId w:val="91"/>
        </w:numPr>
        <w:spacing w:after="0" w:line="240" w:lineRule="auto"/>
        <w:rPr>
          <w:rFonts w:ascii="Arial" w:hAnsi="Arial" w:cs="Arial"/>
          <w:sz w:val="20"/>
          <w:szCs w:val="20"/>
        </w:rPr>
      </w:pPr>
      <w:r w:rsidRPr="00896EEE">
        <w:rPr>
          <w:rFonts w:ascii="Arial" w:hAnsi="Arial" w:cs="Arial"/>
          <w:sz w:val="20"/>
          <w:szCs w:val="20"/>
        </w:rPr>
        <w:t>Members raised serious concerns regarding the lack of progress regarding SEZs and Industrial Parks, in particular, the Nkomazi SEZ in Mpumalanga</w:t>
      </w:r>
      <w:r w:rsidR="0077638F" w:rsidRPr="00896EEE">
        <w:rPr>
          <w:rFonts w:ascii="Arial" w:hAnsi="Arial" w:cs="Arial"/>
          <w:sz w:val="20"/>
          <w:szCs w:val="20"/>
        </w:rPr>
        <w:t xml:space="preserve"> which</w:t>
      </w:r>
      <w:r w:rsidRPr="00896EEE">
        <w:rPr>
          <w:rFonts w:ascii="Arial" w:hAnsi="Arial" w:cs="Arial"/>
          <w:sz w:val="20"/>
          <w:szCs w:val="20"/>
        </w:rPr>
        <w:t xml:space="preserve"> ha</w:t>
      </w:r>
      <w:r w:rsidR="0077638F" w:rsidRPr="00896EEE">
        <w:rPr>
          <w:rFonts w:ascii="Arial" w:hAnsi="Arial" w:cs="Arial"/>
          <w:sz w:val="20"/>
          <w:szCs w:val="20"/>
        </w:rPr>
        <w:t>s seen little progress to date.</w:t>
      </w:r>
    </w:p>
    <w:p w:rsidR="00405EC3" w:rsidRPr="00896EEE" w:rsidRDefault="0077638F" w:rsidP="00896EEE">
      <w:pPr>
        <w:pStyle w:val="ListParagraph"/>
        <w:numPr>
          <w:ilvl w:val="0"/>
          <w:numId w:val="91"/>
        </w:numPr>
        <w:spacing w:after="0" w:line="240" w:lineRule="auto"/>
        <w:rPr>
          <w:rFonts w:ascii="Arial" w:hAnsi="Arial" w:cs="Arial"/>
          <w:sz w:val="20"/>
          <w:szCs w:val="20"/>
        </w:rPr>
      </w:pPr>
      <w:r w:rsidRPr="00896EEE">
        <w:rPr>
          <w:rFonts w:ascii="Arial" w:hAnsi="Arial" w:cs="Arial"/>
          <w:sz w:val="20"/>
          <w:szCs w:val="20"/>
        </w:rPr>
        <w:lastRenderedPageBreak/>
        <w:t>In respect of the SEZ</w:t>
      </w:r>
      <w:r w:rsidR="00D05DB6" w:rsidRPr="00896EEE">
        <w:rPr>
          <w:rFonts w:ascii="Arial" w:hAnsi="Arial" w:cs="Arial"/>
          <w:sz w:val="20"/>
          <w:szCs w:val="20"/>
        </w:rPr>
        <w:t>’s</w:t>
      </w:r>
      <w:r w:rsidRPr="00896EEE">
        <w:rPr>
          <w:rFonts w:ascii="Arial" w:hAnsi="Arial" w:cs="Arial"/>
          <w:sz w:val="20"/>
          <w:szCs w:val="20"/>
        </w:rPr>
        <w:t xml:space="preserve">, the Department submitted that this has highlighted the weaknesses in the SEZ </w:t>
      </w:r>
      <w:r w:rsidR="00BB1758" w:rsidRPr="00896EEE">
        <w:rPr>
          <w:rFonts w:ascii="Arial" w:hAnsi="Arial" w:cs="Arial"/>
          <w:sz w:val="20"/>
          <w:szCs w:val="20"/>
        </w:rPr>
        <w:t xml:space="preserve">model. </w:t>
      </w:r>
      <w:r w:rsidR="00A824CD" w:rsidRPr="00896EEE">
        <w:rPr>
          <w:rFonts w:ascii="Arial" w:hAnsi="Arial" w:cs="Arial"/>
          <w:sz w:val="20"/>
          <w:szCs w:val="20"/>
        </w:rPr>
        <w:t xml:space="preserve">Currently, </w:t>
      </w:r>
      <w:r w:rsidRPr="00896EEE">
        <w:rPr>
          <w:rFonts w:ascii="Arial" w:hAnsi="Arial" w:cs="Arial"/>
          <w:sz w:val="20"/>
          <w:szCs w:val="20"/>
        </w:rPr>
        <w:t>spatial industrial development interventions are a provincial responsibility with limited managerial input from national government</w:t>
      </w:r>
      <w:r w:rsidR="00861316" w:rsidRPr="00896EEE">
        <w:rPr>
          <w:rFonts w:ascii="Arial" w:hAnsi="Arial" w:cs="Arial"/>
          <w:sz w:val="20"/>
          <w:szCs w:val="20"/>
        </w:rPr>
        <w:t>. T</w:t>
      </w:r>
      <w:r w:rsidRPr="00896EEE">
        <w:rPr>
          <w:rFonts w:ascii="Arial" w:hAnsi="Arial" w:cs="Arial"/>
          <w:sz w:val="20"/>
          <w:szCs w:val="20"/>
        </w:rPr>
        <w:t>his approach has not yielded the desired results. In addressing this, the Department introduced a new approach</w:t>
      </w:r>
      <w:r w:rsidR="00405EC3" w:rsidRPr="00896EEE">
        <w:rPr>
          <w:rFonts w:ascii="Arial" w:hAnsi="Arial" w:cs="Arial"/>
          <w:sz w:val="20"/>
          <w:szCs w:val="20"/>
        </w:rPr>
        <w:t xml:space="preserve"> wherein business plans for SEZ’s are rechecked, proper governance arrangements are put in place and there is more is being done by provinces and municipalities to co-fund the SEZ’s as well as investment by the private sector. Announcements will be made by the Minister i</w:t>
      </w:r>
      <w:r w:rsidR="005F0F42" w:rsidRPr="00896EEE">
        <w:rPr>
          <w:rFonts w:ascii="Arial" w:hAnsi="Arial" w:cs="Arial"/>
          <w:sz w:val="20"/>
          <w:szCs w:val="20"/>
        </w:rPr>
        <w:t xml:space="preserve">n </w:t>
      </w:r>
      <w:r w:rsidR="00405EC3" w:rsidRPr="00896EEE">
        <w:rPr>
          <w:rFonts w:ascii="Arial" w:hAnsi="Arial" w:cs="Arial"/>
          <w:sz w:val="20"/>
          <w:szCs w:val="20"/>
        </w:rPr>
        <w:t xml:space="preserve">the coming weeks regarding the SEZ’s that will be prioritized for the 2023/24 financial year. </w:t>
      </w:r>
    </w:p>
    <w:p w:rsidR="0077638F" w:rsidRPr="00896EEE" w:rsidRDefault="00405EC3" w:rsidP="00896EEE">
      <w:pPr>
        <w:pStyle w:val="ListParagraph"/>
        <w:numPr>
          <w:ilvl w:val="0"/>
          <w:numId w:val="91"/>
        </w:numPr>
        <w:spacing w:after="0" w:line="240" w:lineRule="auto"/>
        <w:rPr>
          <w:rFonts w:ascii="Arial" w:hAnsi="Arial" w:cs="Arial"/>
          <w:sz w:val="20"/>
          <w:szCs w:val="20"/>
        </w:rPr>
      </w:pPr>
      <w:r w:rsidRPr="00896EEE">
        <w:rPr>
          <w:rFonts w:ascii="Arial" w:hAnsi="Arial" w:cs="Arial"/>
          <w:sz w:val="20"/>
          <w:szCs w:val="20"/>
        </w:rPr>
        <w:t xml:space="preserve">In response to queries from </w:t>
      </w:r>
      <w:r w:rsidR="00C91DC7" w:rsidRPr="00896EEE">
        <w:rPr>
          <w:rFonts w:ascii="Arial" w:hAnsi="Arial" w:cs="Arial"/>
          <w:sz w:val="20"/>
          <w:szCs w:val="20"/>
        </w:rPr>
        <w:t>Members regarding the</w:t>
      </w:r>
      <w:r w:rsidRPr="00896EEE">
        <w:rPr>
          <w:rFonts w:ascii="Arial" w:hAnsi="Arial" w:cs="Arial"/>
          <w:sz w:val="20"/>
          <w:szCs w:val="20"/>
        </w:rPr>
        <w:t xml:space="preserve"> Energy Action Plan, the Department responded that its work would support that of the Energy Minister</w:t>
      </w:r>
      <w:r w:rsidR="00FB5FB0" w:rsidRPr="00896EEE">
        <w:rPr>
          <w:rFonts w:ascii="Arial" w:hAnsi="Arial" w:cs="Arial"/>
          <w:sz w:val="20"/>
          <w:szCs w:val="20"/>
        </w:rPr>
        <w:t xml:space="preserve"> and Output 23 (Investor Facilitation) was aligned to </w:t>
      </w:r>
      <w:r w:rsidR="005F0F42" w:rsidRPr="00896EEE">
        <w:rPr>
          <w:rFonts w:ascii="Arial" w:hAnsi="Arial" w:cs="Arial"/>
          <w:sz w:val="20"/>
          <w:szCs w:val="20"/>
        </w:rPr>
        <w:t xml:space="preserve">the energy initiatives </w:t>
      </w:r>
      <w:r w:rsidR="00FB5FB0" w:rsidRPr="00896EEE">
        <w:rPr>
          <w:rFonts w:ascii="Arial" w:hAnsi="Arial" w:cs="Arial"/>
          <w:sz w:val="20"/>
          <w:szCs w:val="20"/>
        </w:rPr>
        <w:t xml:space="preserve">and the </w:t>
      </w:r>
      <w:r w:rsidR="00770294" w:rsidRPr="00896EEE">
        <w:rPr>
          <w:rFonts w:ascii="Arial" w:hAnsi="Arial" w:cs="Arial"/>
          <w:sz w:val="20"/>
          <w:szCs w:val="20"/>
        </w:rPr>
        <w:t xml:space="preserve">2023 </w:t>
      </w:r>
      <w:r w:rsidR="00FB5FB0" w:rsidRPr="00896EEE">
        <w:rPr>
          <w:rFonts w:ascii="Arial" w:hAnsi="Arial" w:cs="Arial"/>
          <w:sz w:val="20"/>
          <w:szCs w:val="20"/>
        </w:rPr>
        <w:t>State of the Nation Address</w:t>
      </w:r>
      <w:r w:rsidR="00770294" w:rsidRPr="00896EEE">
        <w:rPr>
          <w:rFonts w:ascii="Arial" w:hAnsi="Arial" w:cs="Arial"/>
          <w:sz w:val="20"/>
          <w:szCs w:val="20"/>
        </w:rPr>
        <w:t xml:space="preserve"> policy</w:t>
      </w:r>
      <w:r w:rsidR="00FB5FB0" w:rsidRPr="00896EEE">
        <w:rPr>
          <w:rFonts w:ascii="Arial" w:hAnsi="Arial" w:cs="Arial"/>
          <w:sz w:val="20"/>
          <w:szCs w:val="20"/>
        </w:rPr>
        <w:t xml:space="preserve"> priorities</w:t>
      </w:r>
      <w:r w:rsidR="00C91DC7" w:rsidRPr="00896EEE">
        <w:rPr>
          <w:rFonts w:ascii="Arial" w:hAnsi="Arial" w:cs="Arial"/>
          <w:sz w:val="20"/>
          <w:szCs w:val="20"/>
        </w:rPr>
        <w:t>.</w:t>
      </w:r>
      <w:r w:rsidRPr="00896EEE">
        <w:rPr>
          <w:rFonts w:ascii="Arial" w:hAnsi="Arial" w:cs="Arial"/>
          <w:sz w:val="20"/>
          <w:szCs w:val="20"/>
        </w:rPr>
        <w:t xml:space="preserve"> </w:t>
      </w:r>
      <w:r w:rsidR="00C91DC7" w:rsidRPr="00896EEE">
        <w:rPr>
          <w:rFonts w:ascii="Arial" w:hAnsi="Arial" w:cs="Arial"/>
          <w:sz w:val="20"/>
          <w:szCs w:val="20"/>
        </w:rPr>
        <w:t>W</w:t>
      </w:r>
      <w:r w:rsidRPr="00896EEE">
        <w:rPr>
          <w:rFonts w:ascii="Arial" w:hAnsi="Arial" w:cs="Arial"/>
          <w:sz w:val="20"/>
          <w:szCs w:val="20"/>
        </w:rPr>
        <w:t xml:space="preserve">ork is being done </w:t>
      </w:r>
      <w:r w:rsidR="00770294" w:rsidRPr="00896EEE">
        <w:rPr>
          <w:rFonts w:ascii="Arial" w:hAnsi="Arial" w:cs="Arial"/>
          <w:sz w:val="20"/>
          <w:szCs w:val="20"/>
        </w:rPr>
        <w:t xml:space="preserve">to </w:t>
      </w:r>
      <w:r w:rsidRPr="00896EEE">
        <w:rPr>
          <w:rFonts w:ascii="Arial" w:hAnsi="Arial" w:cs="Arial"/>
          <w:sz w:val="20"/>
          <w:szCs w:val="20"/>
        </w:rPr>
        <w:t xml:space="preserve">unlock opportunity for job creation and localizing job opportunities as the country builds new energy infrastructure. </w:t>
      </w:r>
      <w:r w:rsidR="0077638F" w:rsidRPr="00896EEE">
        <w:rPr>
          <w:rFonts w:ascii="Arial" w:hAnsi="Arial" w:cs="Arial"/>
          <w:sz w:val="20"/>
          <w:szCs w:val="20"/>
        </w:rPr>
        <w:t xml:space="preserve"> </w:t>
      </w:r>
      <w:r w:rsidR="00C91DC7" w:rsidRPr="00896EEE">
        <w:rPr>
          <w:rFonts w:ascii="Arial" w:hAnsi="Arial" w:cs="Arial"/>
          <w:sz w:val="20"/>
          <w:szCs w:val="20"/>
        </w:rPr>
        <w:t xml:space="preserve">Furthermore, the Department is working towards facilitating investment in energy and </w:t>
      </w:r>
      <w:r w:rsidR="00770294" w:rsidRPr="00896EEE">
        <w:rPr>
          <w:rFonts w:ascii="Arial" w:hAnsi="Arial" w:cs="Arial"/>
          <w:sz w:val="20"/>
          <w:szCs w:val="20"/>
        </w:rPr>
        <w:t xml:space="preserve">is </w:t>
      </w:r>
      <w:r w:rsidR="00C91DC7" w:rsidRPr="00896EEE">
        <w:rPr>
          <w:rFonts w:ascii="Arial" w:hAnsi="Arial" w:cs="Arial"/>
          <w:sz w:val="20"/>
          <w:szCs w:val="20"/>
        </w:rPr>
        <w:t>working towards the creation of a one-stop-shop for private energy producers to assist them in managing regulatory chall</w:t>
      </w:r>
      <w:r w:rsidR="00C15F70" w:rsidRPr="00896EEE">
        <w:rPr>
          <w:rFonts w:ascii="Arial" w:hAnsi="Arial" w:cs="Arial"/>
          <w:sz w:val="20"/>
          <w:szCs w:val="20"/>
        </w:rPr>
        <w:t>enges and improving energy efficiency.</w:t>
      </w:r>
    </w:p>
    <w:p w:rsidR="00672975" w:rsidRPr="00896EEE" w:rsidRDefault="00A824CD" w:rsidP="00896EEE">
      <w:pPr>
        <w:pStyle w:val="ListParagraph"/>
        <w:numPr>
          <w:ilvl w:val="0"/>
          <w:numId w:val="91"/>
        </w:numPr>
        <w:spacing w:after="0" w:line="240" w:lineRule="auto"/>
        <w:rPr>
          <w:rFonts w:ascii="Arial" w:hAnsi="Arial" w:cs="Arial"/>
          <w:sz w:val="20"/>
          <w:szCs w:val="20"/>
        </w:rPr>
      </w:pPr>
      <w:r w:rsidRPr="00896EEE">
        <w:rPr>
          <w:rFonts w:ascii="Arial" w:hAnsi="Arial" w:cs="Arial"/>
          <w:sz w:val="20"/>
          <w:szCs w:val="20"/>
        </w:rPr>
        <w:t>Members raised c</w:t>
      </w:r>
      <w:r w:rsidR="00672975" w:rsidRPr="00896EEE">
        <w:rPr>
          <w:rFonts w:ascii="Arial" w:hAnsi="Arial" w:cs="Arial"/>
          <w:sz w:val="20"/>
          <w:szCs w:val="20"/>
        </w:rPr>
        <w:t>oncerns regarding the ongoing changes to the organisational structure of the Department and the high potential</w:t>
      </w:r>
      <w:r w:rsidR="0077638F" w:rsidRPr="00896EEE">
        <w:rPr>
          <w:rFonts w:ascii="Arial" w:hAnsi="Arial" w:cs="Arial"/>
          <w:sz w:val="20"/>
          <w:szCs w:val="20"/>
        </w:rPr>
        <w:t xml:space="preserve"> for anxiety this can create</w:t>
      </w:r>
      <w:r w:rsidR="00672975" w:rsidRPr="00896EEE">
        <w:rPr>
          <w:rFonts w:ascii="Arial" w:hAnsi="Arial" w:cs="Arial"/>
          <w:sz w:val="20"/>
          <w:szCs w:val="20"/>
        </w:rPr>
        <w:t xml:space="preserve"> for personnel.</w:t>
      </w:r>
    </w:p>
    <w:p w:rsidR="00A824CD" w:rsidRPr="00896EEE" w:rsidRDefault="00A824CD" w:rsidP="00896EEE">
      <w:pPr>
        <w:pStyle w:val="ListParagraph"/>
        <w:numPr>
          <w:ilvl w:val="0"/>
          <w:numId w:val="91"/>
        </w:numPr>
        <w:spacing w:after="0" w:line="240" w:lineRule="auto"/>
        <w:rPr>
          <w:rFonts w:ascii="Arial" w:hAnsi="Arial" w:cs="Arial"/>
          <w:sz w:val="20"/>
          <w:szCs w:val="20"/>
        </w:rPr>
      </w:pPr>
      <w:r w:rsidRPr="00896EEE">
        <w:rPr>
          <w:rFonts w:ascii="Arial" w:hAnsi="Arial" w:cs="Arial"/>
          <w:sz w:val="20"/>
          <w:szCs w:val="20"/>
        </w:rPr>
        <w:t>The Department submitted that measures in place to assist small businesses in respect of red tape</w:t>
      </w:r>
      <w:r w:rsidR="00C91DC7" w:rsidRPr="00896EEE">
        <w:rPr>
          <w:rFonts w:ascii="Arial" w:hAnsi="Arial" w:cs="Arial"/>
          <w:sz w:val="20"/>
          <w:szCs w:val="20"/>
        </w:rPr>
        <w:t xml:space="preserve"> and are working in conjunction with the Department of Small Business Development in this regard and working with vulnerable small businesses- criteria in this regard will be announced shortly.</w:t>
      </w:r>
    </w:p>
    <w:p w:rsidR="00C15F70" w:rsidRPr="00896EEE" w:rsidRDefault="00E44F80" w:rsidP="00896EEE">
      <w:pPr>
        <w:pStyle w:val="ListParagraph"/>
        <w:numPr>
          <w:ilvl w:val="0"/>
          <w:numId w:val="91"/>
        </w:numPr>
        <w:spacing w:after="0" w:line="240" w:lineRule="auto"/>
        <w:rPr>
          <w:rFonts w:ascii="Arial" w:hAnsi="Arial" w:cs="Arial"/>
          <w:sz w:val="20"/>
          <w:szCs w:val="20"/>
        </w:rPr>
      </w:pPr>
      <w:r w:rsidRPr="00896EEE">
        <w:rPr>
          <w:rFonts w:ascii="Arial" w:hAnsi="Arial" w:cs="Arial"/>
          <w:sz w:val="20"/>
          <w:szCs w:val="20"/>
        </w:rPr>
        <w:t>In respect of economic diplomacy</w:t>
      </w:r>
      <w:r w:rsidR="00C91DC7" w:rsidRPr="00896EEE">
        <w:rPr>
          <w:rFonts w:ascii="Arial" w:hAnsi="Arial" w:cs="Arial"/>
          <w:sz w:val="20"/>
          <w:szCs w:val="20"/>
        </w:rPr>
        <w:t xml:space="preserve"> and navigating the complexities of a polarizing world, particularly in relation to the Russia-Ukraine conflict, it was </w:t>
      </w:r>
      <w:r w:rsidR="00770294" w:rsidRPr="00896EEE">
        <w:rPr>
          <w:rFonts w:ascii="Arial" w:hAnsi="Arial" w:cs="Arial"/>
          <w:sz w:val="20"/>
          <w:szCs w:val="20"/>
        </w:rPr>
        <w:t>highlighted that South Africa remains committed to the non-alignment global affairs mission. Further, AfCTA present trade opportunities within the African region.</w:t>
      </w:r>
      <w:r w:rsidR="00C91DC7" w:rsidRPr="00896EEE">
        <w:rPr>
          <w:rFonts w:ascii="Arial" w:hAnsi="Arial" w:cs="Arial"/>
          <w:sz w:val="20"/>
          <w:szCs w:val="20"/>
        </w:rPr>
        <w:t xml:space="preserve"> </w:t>
      </w:r>
      <w:r w:rsidRPr="00896EEE">
        <w:rPr>
          <w:rFonts w:ascii="Arial" w:hAnsi="Arial" w:cs="Arial"/>
          <w:sz w:val="20"/>
          <w:szCs w:val="20"/>
        </w:rPr>
        <w:t xml:space="preserve"> </w:t>
      </w:r>
    </w:p>
    <w:p w:rsidR="00C15F70" w:rsidRPr="00896EEE" w:rsidRDefault="00C15F70" w:rsidP="00896EEE">
      <w:pPr>
        <w:pStyle w:val="ListParagraph"/>
        <w:numPr>
          <w:ilvl w:val="0"/>
          <w:numId w:val="91"/>
        </w:numPr>
        <w:spacing w:after="0" w:line="240" w:lineRule="auto"/>
        <w:rPr>
          <w:rFonts w:ascii="Arial" w:hAnsi="Arial" w:cs="Arial"/>
          <w:sz w:val="20"/>
          <w:szCs w:val="20"/>
        </w:rPr>
      </w:pPr>
      <w:r w:rsidRPr="00896EEE">
        <w:rPr>
          <w:rFonts w:ascii="Arial" w:hAnsi="Arial" w:cs="Arial"/>
          <w:sz w:val="20"/>
          <w:szCs w:val="20"/>
        </w:rPr>
        <w:t xml:space="preserve">The Department reported that the </w:t>
      </w:r>
      <w:r w:rsidRPr="00896EEE">
        <w:rPr>
          <w:rFonts w:ascii="Arial" w:hAnsi="Arial" w:cs="Arial"/>
          <w:i/>
          <w:sz w:val="20"/>
          <w:szCs w:val="20"/>
        </w:rPr>
        <w:t>Companies Amendment Bill</w:t>
      </w:r>
      <w:r w:rsidRPr="00896EEE">
        <w:rPr>
          <w:rFonts w:ascii="Arial" w:hAnsi="Arial" w:cs="Arial"/>
          <w:sz w:val="20"/>
          <w:szCs w:val="20"/>
        </w:rPr>
        <w:t xml:space="preserve"> will be processed for Cabinet, and focussed on ease of doing business, indicators on wage differentials and where necessary, measures to combat money laundering and terrorism. The amendments will further give effect to the President’s Zondo Commission Report:</w:t>
      </w:r>
    </w:p>
    <w:p w:rsidR="00C15F70" w:rsidRPr="00896EEE" w:rsidRDefault="00942F7A" w:rsidP="00896EEE">
      <w:pPr>
        <w:spacing w:after="0" w:line="240" w:lineRule="auto"/>
        <w:ind w:left="720"/>
        <w:rPr>
          <w:rFonts w:ascii="Arial" w:hAnsi="Arial" w:cs="Arial"/>
          <w:i/>
          <w:sz w:val="20"/>
          <w:szCs w:val="20"/>
        </w:rPr>
      </w:pPr>
      <w:r w:rsidRPr="00896EEE">
        <w:rPr>
          <w:rFonts w:ascii="Arial" w:hAnsi="Arial" w:cs="Arial"/>
          <w:i/>
          <w:sz w:val="20"/>
          <w:szCs w:val="20"/>
        </w:rPr>
        <w:t>“</w:t>
      </w:r>
      <w:r w:rsidR="00C15F70" w:rsidRPr="00896EEE">
        <w:rPr>
          <w:rFonts w:ascii="Arial" w:hAnsi="Arial" w:cs="Arial"/>
          <w:i/>
          <w:sz w:val="20"/>
          <w:szCs w:val="20"/>
        </w:rPr>
        <w:t>The recommendation to amend the Companies Act so as to permit applications for a director to be declared delinquent to be brought after two years is accepted and will form part of the review of the Companies Act”</w:t>
      </w:r>
    </w:p>
    <w:p w:rsidR="00C15F70" w:rsidRPr="00896EEE" w:rsidRDefault="009A74F5" w:rsidP="00896EEE">
      <w:pPr>
        <w:spacing w:after="0" w:line="240" w:lineRule="auto"/>
        <w:ind w:left="720" w:hanging="720"/>
        <w:rPr>
          <w:rFonts w:ascii="Arial" w:hAnsi="Arial" w:cs="Arial"/>
          <w:sz w:val="20"/>
          <w:szCs w:val="20"/>
        </w:rPr>
      </w:pPr>
      <w:r w:rsidRPr="00896EEE">
        <w:rPr>
          <w:rFonts w:ascii="Arial" w:hAnsi="Arial" w:cs="Arial"/>
          <w:sz w:val="20"/>
          <w:szCs w:val="20"/>
        </w:rPr>
        <w:t xml:space="preserve">xv. </w:t>
      </w:r>
      <w:r w:rsidR="00861316" w:rsidRPr="00896EEE">
        <w:rPr>
          <w:rFonts w:ascii="Arial" w:hAnsi="Arial" w:cs="Arial"/>
          <w:sz w:val="20"/>
          <w:szCs w:val="20"/>
        </w:rPr>
        <w:tab/>
      </w:r>
      <w:r w:rsidRPr="00896EEE">
        <w:rPr>
          <w:rFonts w:ascii="Arial" w:hAnsi="Arial" w:cs="Arial"/>
          <w:sz w:val="20"/>
          <w:szCs w:val="20"/>
        </w:rPr>
        <w:t>T</w:t>
      </w:r>
      <w:r w:rsidR="00C15F70" w:rsidRPr="00896EEE">
        <w:rPr>
          <w:rFonts w:ascii="Arial" w:hAnsi="Arial" w:cs="Arial"/>
          <w:sz w:val="20"/>
          <w:szCs w:val="20"/>
        </w:rPr>
        <w:t xml:space="preserve">he Department reported that as part of the </w:t>
      </w:r>
      <w:r w:rsidR="00C15F70" w:rsidRPr="00896EEE">
        <w:rPr>
          <w:rFonts w:ascii="Arial" w:hAnsi="Arial" w:cs="Arial"/>
          <w:i/>
          <w:sz w:val="20"/>
          <w:szCs w:val="20"/>
        </w:rPr>
        <w:t>Re-Imagined Industrial Strategy</w:t>
      </w:r>
      <w:r w:rsidR="00C15F70" w:rsidRPr="00896EEE">
        <w:rPr>
          <w:rFonts w:ascii="Arial" w:hAnsi="Arial" w:cs="Arial"/>
          <w:sz w:val="20"/>
          <w:szCs w:val="20"/>
        </w:rPr>
        <w:t xml:space="preserve">, </w:t>
      </w:r>
      <w:r w:rsidR="00770294" w:rsidRPr="00896EEE">
        <w:rPr>
          <w:rFonts w:ascii="Arial" w:hAnsi="Arial" w:cs="Arial"/>
          <w:sz w:val="20"/>
          <w:szCs w:val="20"/>
        </w:rPr>
        <w:t>l</w:t>
      </w:r>
      <w:r w:rsidR="00C15F70" w:rsidRPr="00896EEE">
        <w:rPr>
          <w:rFonts w:ascii="Arial" w:hAnsi="Arial" w:cs="Arial"/>
          <w:sz w:val="20"/>
          <w:szCs w:val="20"/>
        </w:rPr>
        <w:t>ocalisation is key and must be rooted in building dynamic firms and an inclusive economy. A localisation social compact was reached at NEDLAC that identified a number of key value chains</w:t>
      </w:r>
      <w:r w:rsidR="00770294" w:rsidRPr="00896EEE">
        <w:rPr>
          <w:rFonts w:ascii="Arial" w:hAnsi="Arial" w:cs="Arial"/>
          <w:sz w:val="20"/>
          <w:szCs w:val="20"/>
        </w:rPr>
        <w:t xml:space="preserve">, where </w:t>
      </w:r>
      <w:r w:rsidR="00C15F70" w:rsidRPr="00896EEE">
        <w:rPr>
          <w:rFonts w:ascii="Arial" w:hAnsi="Arial" w:cs="Arial"/>
          <w:sz w:val="20"/>
          <w:szCs w:val="20"/>
        </w:rPr>
        <w:t xml:space="preserve">opportunities exist. Sector Master Plans developed and implemented in partnership with </w:t>
      </w:r>
      <w:r w:rsidR="00942F7A" w:rsidRPr="00896EEE">
        <w:rPr>
          <w:rFonts w:ascii="Arial" w:hAnsi="Arial" w:cs="Arial"/>
          <w:sz w:val="20"/>
          <w:szCs w:val="20"/>
        </w:rPr>
        <w:t xml:space="preserve">business and unions contain details on how </w:t>
      </w:r>
      <w:r w:rsidR="00770294" w:rsidRPr="00896EEE">
        <w:rPr>
          <w:rFonts w:ascii="Arial" w:hAnsi="Arial" w:cs="Arial"/>
          <w:sz w:val="20"/>
          <w:szCs w:val="20"/>
        </w:rPr>
        <w:t xml:space="preserve">actions plans will be executed. </w:t>
      </w:r>
    </w:p>
    <w:p w:rsidR="00526DD3" w:rsidRPr="00896EEE" w:rsidRDefault="00526DD3" w:rsidP="00896EEE">
      <w:pPr>
        <w:pStyle w:val="ListParagraph"/>
        <w:numPr>
          <w:ilvl w:val="0"/>
          <w:numId w:val="91"/>
        </w:numPr>
        <w:spacing w:after="0" w:line="240" w:lineRule="auto"/>
        <w:rPr>
          <w:rFonts w:ascii="Arial" w:hAnsi="Arial" w:cs="Arial"/>
          <w:sz w:val="20"/>
          <w:szCs w:val="20"/>
          <w:lang w:val="en-US"/>
        </w:rPr>
      </w:pPr>
      <w:r w:rsidRPr="00896EEE">
        <w:rPr>
          <w:rFonts w:ascii="Arial" w:hAnsi="Arial" w:cs="Arial"/>
          <w:sz w:val="20"/>
          <w:szCs w:val="20"/>
        </w:rPr>
        <w:t xml:space="preserve">In relation to AGOA, the Department reported that </w:t>
      </w:r>
      <w:r w:rsidRPr="00896EEE">
        <w:rPr>
          <w:rFonts w:ascii="Arial" w:hAnsi="Arial" w:cs="Arial"/>
          <w:sz w:val="20"/>
          <w:szCs w:val="20"/>
          <w:lang w:val="en-US"/>
        </w:rPr>
        <w:t xml:space="preserve">South Africa remains a beneficiary country under African Growth and Opportunities Act (AGOA) and also under the Generalised System of Preferences (GSP). The two programs provide duty-free quota-free access into the US market. South Africa, together with other AGOA-eligible countries are lobbying US Congress to consider renewing AGOA beyond 2025 for another 10 years.  South Africa will be hosting the AGOA Forum later this year. The Forum will bring together Ministers from Africa AGOA-beneficiary countries, the US Trade Representative and other high-level US Administration officials, Members of US Congress, private sector, civil society and organised labour. The programme will include, among others, a “Made in Africa” trade exhibition aimed at showcasing the industrial capacity of countries in the continent to major US buyers. </w:t>
      </w:r>
    </w:p>
    <w:p w:rsidR="00526DD3" w:rsidRPr="00896EEE" w:rsidRDefault="00526DD3" w:rsidP="00896EEE">
      <w:pPr>
        <w:pStyle w:val="ListParagraph"/>
        <w:numPr>
          <w:ilvl w:val="0"/>
          <w:numId w:val="91"/>
        </w:numPr>
        <w:tabs>
          <w:tab w:val="left" w:pos="567"/>
        </w:tabs>
        <w:spacing w:after="0" w:line="240" w:lineRule="auto"/>
        <w:rPr>
          <w:rFonts w:ascii="Arial" w:hAnsi="Arial" w:cs="Arial"/>
          <w:sz w:val="20"/>
          <w:szCs w:val="20"/>
          <w:lang w:val="en-US"/>
        </w:rPr>
      </w:pPr>
      <w:r w:rsidRPr="00896EEE">
        <w:rPr>
          <w:rFonts w:ascii="Arial" w:hAnsi="Arial" w:cs="Arial"/>
          <w:sz w:val="20"/>
          <w:szCs w:val="20"/>
          <w:lang w:val="en-US"/>
        </w:rPr>
        <w:t xml:space="preserve">South Africa’s exports enter the United States market under three regimes: most favoured nation (MFN) clause of the World Trade Organisation (WTO), AGOA and GSP: </w:t>
      </w:r>
    </w:p>
    <w:p w:rsidR="00526DD3" w:rsidRPr="00896EEE" w:rsidRDefault="00526DD3" w:rsidP="00896EEE">
      <w:pPr>
        <w:numPr>
          <w:ilvl w:val="0"/>
          <w:numId w:val="90"/>
        </w:numPr>
        <w:spacing w:after="0" w:line="240" w:lineRule="auto"/>
        <w:rPr>
          <w:rFonts w:ascii="Arial" w:hAnsi="Arial" w:cs="Arial"/>
          <w:sz w:val="20"/>
          <w:szCs w:val="20"/>
        </w:rPr>
      </w:pPr>
      <w:r w:rsidRPr="00896EEE">
        <w:rPr>
          <w:rFonts w:ascii="Arial" w:hAnsi="Arial" w:cs="Arial"/>
          <w:sz w:val="20"/>
          <w:szCs w:val="20"/>
        </w:rPr>
        <w:t xml:space="preserve">South Africa’s AGOA exports equalled US$2 billion in 2021, up from US$1.2 billion in 2020 and US$1.2 billion in 2019. The share of AGOA exports in total SA exports to the US experienced a downward trend: 31 percent in 2013; 16 percent in 2019; 10 percent in 2020, and then increased to 13 percent in 2021.  </w:t>
      </w:r>
    </w:p>
    <w:p w:rsidR="00526DD3" w:rsidRPr="00896EEE" w:rsidRDefault="00526DD3" w:rsidP="00896EEE">
      <w:pPr>
        <w:numPr>
          <w:ilvl w:val="0"/>
          <w:numId w:val="90"/>
        </w:numPr>
        <w:spacing w:after="0" w:line="240" w:lineRule="auto"/>
        <w:rPr>
          <w:rFonts w:ascii="Arial" w:hAnsi="Arial" w:cs="Arial"/>
          <w:sz w:val="20"/>
          <w:szCs w:val="20"/>
        </w:rPr>
      </w:pPr>
      <w:r w:rsidRPr="00896EEE">
        <w:rPr>
          <w:rFonts w:ascii="Arial" w:hAnsi="Arial" w:cs="Arial"/>
          <w:sz w:val="20"/>
          <w:szCs w:val="20"/>
        </w:rPr>
        <w:t>South Africa’s GSP exports equalled US$625 billion in 2021, down from US$714 billion in 2020 and US$755 billion in 2019. The share of GSP exports in total SA exports to the US also experienced a downward trend: 13 percent in 2013; 10 percent in 2019; 6 percent in 2020 and 4 percent in 2021.</w:t>
      </w:r>
    </w:p>
    <w:p w:rsidR="00526DD3" w:rsidRPr="00896EEE" w:rsidRDefault="00526DD3" w:rsidP="00896EEE">
      <w:pPr>
        <w:numPr>
          <w:ilvl w:val="0"/>
          <w:numId w:val="90"/>
        </w:numPr>
        <w:spacing w:after="0" w:line="240" w:lineRule="auto"/>
        <w:rPr>
          <w:rFonts w:ascii="Arial" w:hAnsi="Arial" w:cs="Arial"/>
          <w:sz w:val="20"/>
          <w:szCs w:val="20"/>
        </w:rPr>
      </w:pPr>
      <w:r w:rsidRPr="00896EEE">
        <w:rPr>
          <w:rFonts w:ascii="Arial" w:hAnsi="Arial" w:cs="Arial"/>
          <w:sz w:val="20"/>
          <w:szCs w:val="20"/>
        </w:rPr>
        <w:t xml:space="preserve">South Africa’s MFN exports enter the US under terms no more favourable that those accorded by the US to all other WTO members. These exports from SA equalled US$12.7 </w:t>
      </w:r>
      <w:r w:rsidRPr="00896EEE">
        <w:rPr>
          <w:rFonts w:ascii="Arial" w:hAnsi="Arial" w:cs="Arial"/>
          <w:sz w:val="20"/>
          <w:szCs w:val="20"/>
        </w:rPr>
        <w:lastRenderedPageBreak/>
        <w:t xml:space="preserve">billion in 2021, up from US$9.3 billion in 2020 and US$5.6 billion in 2019. The share of MFN exports in total SA exports to the US enjoyed an upward trend: 56 percent in 2013; 74 percent in 2019; and remained at 83 percent in 2020 and in 2021. </w:t>
      </w:r>
    </w:p>
    <w:p w:rsidR="00977870" w:rsidRPr="00896EEE" w:rsidRDefault="00977870" w:rsidP="00896EEE">
      <w:pPr>
        <w:spacing w:after="0" w:line="240" w:lineRule="auto"/>
        <w:rPr>
          <w:rFonts w:ascii="Arial" w:hAnsi="Arial" w:cs="Arial"/>
          <w:b/>
          <w:sz w:val="20"/>
          <w:szCs w:val="20"/>
        </w:rPr>
      </w:pPr>
    </w:p>
    <w:p w:rsidR="00861316" w:rsidRPr="00896EEE" w:rsidRDefault="00861316" w:rsidP="00896EEE">
      <w:pPr>
        <w:spacing w:after="0" w:line="240" w:lineRule="auto"/>
        <w:rPr>
          <w:rFonts w:ascii="Arial" w:hAnsi="Arial" w:cs="Arial"/>
          <w:b/>
          <w:sz w:val="20"/>
          <w:szCs w:val="20"/>
        </w:rPr>
      </w:pPr>
    </w:p>
    <w:p w:rsidR="00C23A5E" w:rsidRPr="00896EEE" w:rsidRDefault="006A7D76" w:rsidP="00896EEE">
      <w:pPr>
        <w:spacing w:after="0" w:line="240" w:lineRule="auto"/>
        <w:rPr>
          <w:rFonts w:ascii="Arial" w:hAnsi="Arial" w:cs="Arial"/>
          <w:b/>
          <w:sz w:val="20"/>
          <w:szCs w:val="20"/>
        </w:rPr>
      </w:pPr>
      <w:r w:rsidRPr="00896EEE">
        <w:rPr>
          <w:rFonts w:ascii="Arial" w:hAnsi="Arial" w:cs="Arial"/>
          <w:b/>
          <w:sz w:val="20"/>
          <w:szCs w:val="20"/>
        </w:rPr>
        <w:t xml:space="preserve">10. </w:t>
      </w:r>
      <w:r w:rsidR="00C23A5E" w:rsidRPr="00896EEE">
        <w:rPr>
          <w:rFonts w:ascii="Arial" w:hAnsi="Arial" w:cs="Arial"/>
          <w:b/>
          <w:sz w:val="20"/>
          <w:szCs w:val="20"/>
        </w:rPr>
        <w:t>Recommendations</w:t>
      </w:r>
    </w:p>
    <w:p w:rsidR="00A76DD6" w:rsidRPr="00896EEE" w:rsidRDefault="00A76DD6" w:rsidP="00896EEE">
      <w:pPr>
        <w:spacing w:after="0" w:line="240" w:lineRule="auto"/>
        <w:rPr>
          <w:rFonts w:ascii="Arial" w:hAnsi="Arial" w:cs="Arial"/>
          <w:b/>
          <w:sz w:val="20"/>
          <w:szCs w:val="20"/>
        </w:rPr>
      </w:pPr>
    </w:p>
    <w:p w:rsidR="00A76DD6" w:rsidRPr="00896EEE" w:rsidRDefault="00A76DD6" w:rsidP="00896EEE">
      <w:pPr>
        <w:spacing w:after="0" w:line="240" w:lineRule="auto"/>
        <w:rPr>
          <w:rFonts w:ascii="Arial" w:hAnsi="Arial" w:cs="Arial"/>
          <w:sz w:val="20"/>
          <w:szCs w:val="20"/>
        </w:rPr>
      </w:pPr>
      <w:r w:rsidRPr="00896EEE">
        <w:rPr>
          <w:rFonts w:ascii="Arial" w:hAnsi="Arial" w:cs="Arial"/>
          <w:sz w:val="20"/>
          <w:szCs w:val="20"/>
        </w:rPr>
        <w:t>Following the engagements with the Department, the Committee proposed the following recommendations to the Minister</w:t>
      </w:r>
      <w:r w:rsidR="0088044D" w:rsidRPr="00896EEE">
        <w:rPr>
          <w:rFonts w:ascii="Arial" w:hAnsi="Arial" w:cs="Arial"/>
          <w:sz w:val="20"/>
          <w:szCs w:val="20"/>
        </w:rPr>
        <w:t xml:space="preserve"> to be implemented </w:t>
      </w:r>
      <w:r w:rsidR="0088044D" w:rsidRPr="00896EEE">
        <w:rPr>
          <w:rFonts w:ascii="Arial" w:hAnsi="Arial" w:cs="Arial"/>
          <w:i/>
          <w:sz w:val="20"/>
          <w:szCs w:val="20"/>
        </w:rPr>
        <w:t>over the 202</w:t>
      </w:r>
      <w:r w:rsidR="00926D15" w:rsidRPr="00896EEE">
        <w:rPr>
          <w:rFonts w:ascii="Arial" w:hAnsi="Arial" w:cs="Arial"/>
          <w:i/>
          <w:sz w:val="20"/>
          <w:szCs w:val="20"/>
        </w:rPr>
        <w:t>3</w:t>
      </w:r>
      <w:r w:rsidR="0088044D" w:rsidRPr="00896EEE">
        <w:rPr>
          <w:rFonts w:ascii="Arial" w:hAnsi="Arial" w:cs="Arial"/>
          <w:i/>
          <w:sz w:val="20"/>
          <w:szCs w:val="20"/>
        </w:rPr>
        <w:t xml:space="preserve"> medium term</w:t>
      </w:r>
      <w:r w:rsidRPr="00896EEE">
        <w:rPr>
          <w:rFonts w:ascii="Arial" w:hAnsi="Arial" w:cs="Arial"/>
          <w:sz w:val="20"/>
          <w:szCs w:val="20"/>
        </w:rPr>
        <w:t>:</w:t>
      </w:r>
    </w:p>
    <w:p w:rsidR="00816091" w:rsidRPr="00896EEE" w:rsidRDefault="00816091" w:rsidP="00896EEE">
      <w:pPr>
        <w:pStyle w:val="ListParagraph"/>
        <w:numPr>
          <w:ilvl w:val="0"/>
          <w:numId w:val="92"/>
        </w:numPr>
        <w:spacing w:after="0" w:line="240" w:lineRule="auto"/>
        <w:rPr>
          <w:rFonts w:ascii="Arial" w:hAnsi="Arial" w:cs="Arial"/>
          <w:sz w:val="20"/>
          <w:szCs w:val="20"/>
        </w:rPr>
      </w:pPr>
      <w:r w:rsidRPr="00896EEE">
        <w:rPr>
          <w:rFonts w:ascii="Arial" w:hAnsi="Arial" w:cs="Arial"/>
          <w:sz w:val="20"/>
          <w:szCs w:val="20"/>
        </w:rPr>
        <w:t xml:space="preserve">Committee emphasised that organisational health and capability is critical in the execution of government strategic economic policies. By the end of the 2023 financial year, </w:t>
      </w:r>
      <w:r w:rsidR="0057280E" w:rsidRPr="00896EEE">
        <w:rPr>
          <w:rFonts w:ascii="Arial" w:hAnsi="Arial" w:cs="Arial"/>
          <w:sz w:val="20"/>
          <w:szCs w:val="20"/>
        </w:rPr>
        <w:t xml:space="preserve">the Minister </w:t>
      </w:r>
      <w:r w:rsidRPr="00896EEE">
        <w:rPr>
          <w:rFonts w:ascii="Arial" w:hAnsi="Arial" w:cs="Arial"/>
          <w:sz w:val="20"/>
          <w:szCs w:val="20"/>
        </w:rPr>
        <w:t>through the Department</w:t>
      </w:r>
      <w:r w:rsidR="00861316" w:rsidRPr="00896EEE">
        <w:rPr>
          <w:rFonts w:ascii="Arial" w:hAnsi="Arial" w:cs="Arial"/>
          <w:sz w:val="20"/>
          <w:szCs w:val="20"/>
        </w:rPr>
        <w:t>,</w:t>
      </w:r>
      <w:r w:rsidRPr="00896EEE">
        <w:rPr>
          <w:rFonts w:ascii="Arial" w:hAnsi="Arial" w:cs="Arial"/>
          <w:sz w:val="20"/>
          <w:szCs w:val="20"/>
        </w:rPr>
        <w:t xml:space="preserve"> should design and </w:t>
      </w:r>
      <w:r w:rsidR="0057280E" w:rsidRPr="00896EEE">
        <w:rPr>
          <w:rFonts w:ascii="Arial" w:hAnsi="Arial" w:cs="Arial"/>
          <w:sz w:val="20"/>
          <w:szCs w:val="20"/>
        </w:rPr>
        <w:t xml:space="preserve">execute </w:t>
      </w:r>
      <w:r w:rsidRPr="00896EEE">
        <w:rPr>
          <w:rFonts w:ascii="Arial" w:hAnsi="Arial" w:cs="Arial"/>
          <w:sz w:val="20"/>
          <w:szCs w:val="20"/>
        </w:rPr>
        <w:t xml:space="preserve">a </w:t>
      </w:r>
      <w:r w:rsidR="0057280E" w:rsidRPr="00896EEE">
        <w:rPr>
          <w:rFonts w:ascii="Arial" w:hAnsi="Arial" w:cs="Arial"/>
          <w:sz w:val="20"/>
          <w:szCs w:val="20"/>
        </w:rPr>
        <w:t>plan</w:t>
      </w:r>
      <w:r w:rsidRPr="00896EEE">
        <w:rPr>
          <w:rFonts w:ascii="Arial" w:hAnsi="Arial" w:cs="Arial"/>
          <w:sz w:val="20"/>
          <w:szCs w:val="20"/>
        </w:rPr>
        <w:t xml:space="preserve"> </w:t>
      </w:r>
      <w:r w:rsidR="0057280E" w:rsidRPr="00896EEE">
        <w:rPr>
          <w:rFonts w:ascii="Arial" w:hAnsi="Arial" w:cs="Arial"/>
          <w:sz w:val="20"/>
          <w:szCs w:val="20"/>
        </w:rPr>
        <w:t xml:space="preserve">that would ensure that critical </w:t>
      </w:r>
      <w:r w:rsidRPr="00896EEE">
        <w:rPr>
          <w:rFonts w:ascii="Arial" w:hAnsi="Arial" w:cs="Arial"/>
          <w:sz w:val="20"/>
          <w:szCs w:val="20"/>
        </w:rPr>
        <w:t xml:space="preserve">posts are filled. </w:t>
      </w:r>
    </w:p>
    <w:p w:rsidR="000C1E1C" w:rsidRPr="00896EEE" w:rsidRDefault="00816091" w:rsidP="00896EEE">
      <w:pPr>
        <w:pStyle w:val="ListParagraph"/>
        <w:numPr>
          <w:ilvl w:val="0"/>
          <w:numId w:val="92"/>
        </w:numPr>
        <w:spacing w:after="0" w:line="240" w:lineRule="auto"/>
        <w:rPr>
          <w:rFonts w:ascii="Arial" w:hAnsi="Arial" w:cs="Arial"/>
          <w:sz w:val="20"/>
          <w:szCs w:val="20"/>
        </w:rPr>
      </w:pPr>
      <w:r w:rsidRPr="00896EEE">
        <w:rPr>
          <w:rFonts w:ascii="Arial" w:hAnsi="Arial" w:cs="Arial"/>
          <w:sz w:val="20"/>
          <w:szCs w:val="20"/>
        </w:rPr>
        <w:t>Over the 2023 medium term, the Committee urged the Minister with the support of Minister of Finance in collaboration with the Minister Cooperative and Traditional Affairs</w:t>
      </w:r>
      <w:r w:rsidR="00861316" w:rsidRPr="00896EEE">
        <w:rPr>
          <w:rFonts w:ascii="Arial" w:hAnsi="Arial" w:cs="Arial"/>
          <w:sz w:val="20"/>
          <w:szCs w:val="20"/>
        </w:rPr>
        <w:t>, that it</w:t>
      </w:r>
      <w:r w:rsidRPr="00896EEE">
        <w:rPr>
          <w:rFonts w:ascii="Arial" w:hAnsi="Arial" w:cs="Arial"/>
          <w:sz w:val="20"/>
          <w:szCs w:val="20"/>
        </w:rPr>
        <w:t xml:space="preserve"> should establish the </w:t>
      </w:r>
      <w:r w:rsidRPr="00896EEE">
        <w:rPr>
          <w:rFonts w:ascii="Arial" w:hAnsi="Arial" w:cs="Arial"/>
          <w:i/>
          <w:sz w:val="20"/>
          <w:szCs w:val="20"/>
        </w:rPr>
        <w:t xml:space="preserve">National Regional Economic Development Fund </w:t>
      </w:r>
      <w:r w:rsidRPr="00896EEE">
        <w:rPr>
          <w:rFonts w:ascii="Arial" w:hAnsi="Arial" w:cs="Arial"/>
          <w:sz w:val="20"/>
          <w:szCs w:val="20"/>
        </w:rPr>
        <w:t xml:space="preserve">to support economic growth, investment, enterprise development and employment in </w:t>
      </w:r>
      <w:r w:rsidR="00BC02F6" w:rsidRPr="00896EEE">
        <w:rPr>
          <w:rFonts w:ascii="Arial" w:hAnsi="Arial" w:cs="Arial"/>
          <w:sz w:val="20"/>
          <w:szCs w:val="20"/>
        </w:rPr>
        <w:t xml:space="preserve">provinces that lag behind in terms of economic development. </w:t>
      </w:r>
    </w:p>
    <w:p w:rsidR="000C1E1C" w:rsidRPr="00896EEE" w:rsidRDefault="000C1E1C" w:rsidP="00896EEE">
      <w:pPr>
        <w:pStyle w:val="ListParagraph"/>
        <w:numPr>
          <w:ilvl w:val="0"/>
          <w:numId w:val="92"/>
        </w:numPr>
        <w:spacing w:after="0" w:line="240" w:lineRule="auto"/>
        <w:rPr>
          <w:rFonts w:ascii="Arial" w:hAnsi="Arial" w:cs="Arial"/>
          <w:sz w:val="20"/>
          <w:szCs w:val="20"/>
        </w:rPr>
      </w:pPr>
      <w:r w:rsidRPr="00896EEE">
        <w:rPr>
          <w:rFonts w:ascii="Arial" w:hAnsi="Arial" w:cs="Arial"/>
          <w:sz w:val="20"/>
          <w:szCs w:val="20"/>
        </w:rPr>
        <w:t xml:space="preserve">The Minister should over the medium term ensure that all planned SEZs in other provinces are operational. To this end, the Committee would expect the Minister to submit </w:t>
      </w:r>
      <w:r w:rsidR="00861316" w:rsidRPr="00896EEE">
        <w:rPr>
          <w:rFonts w:ascii="Arial" w:hAnsi="Arial" w:cs="Arial"/>
          <w:sz w:val="20"/>
          <w:szCs w:val="20"/>
        </w:rPr>
        <w:t xml:space="preserve">annually </w:t>
      </w:r>
      <w:r w:rsidRPr="00896EEE">
        <w:rPr>
          <w:rFonts w:ascii="Arial" w:hAnsi="Arial" w:cs="Arial"/>
          <w:sz w:val="20"/>
          <w:szCs w:val="20"/>
        </w:rPr>
        <w:t xml:space="preserve">a mid-term progress report in relation to the implementation of the SEZs.   </w:t>
      </w:r>
    </w:p>
    <w:p w:rsidR="002A62BB" w:rsidRPr="00896EEE" w:rsidRDefault="00F3413A" w:rsidP="00896EEE">
      <w:pPr>
        <w:pStyle w:val="ListParagraph"/>
        <w:numPr>
          <w:ilvl w:val="0"/>
          <w:numId w:val="92"/>
        </w:numPr>
        <w:spacing w:after="0" w:line="240" w:lineRule="auto"/>
        <w:rPr>
          <w:rFonts w:ascii="Arial" w:hAnsi="Arial" w:cs="Arial"/>
          <w:sz w:val="20"/>
          <w:szCs w:val="20"/>
        </w:rPr>
      </w:pPr>
      <w:r w:rsidRPr="00896EEE">
        <w:rPr>
          <w:rFonts w:ascii="Arial" w:hAnsi="Arial" w:cs="Arial"/>
          <w:sz w:val="20"/>
          <w:szCs w:val="20"/>
        </w:rPr>
        <w:t xml:space="preserve">Over the 2023 medium term, the Minister in collaboration with </w:t>
      </w:r>
      <w:r w:rsidR="002A62BB" w:rsidRPr="00896EEE">
        <w:rPr>
          <w:rFonts w:ascii="Arial" w:hAnsi="Arial" w:cs="Arial"/>
          <w:sz w:val="20"/>
          <w:szCs w:val="20"/>
        </w:rPr>
        <w:t>other spheres o</w:t>
      </w:r>
      <w:r w:rsidR="00977870" w:rsidRPr="00896EEE">
        <w:rPr>
          <w:rFonts w:ascii="Arial" w:hAnsi="Arial" w:cs="Arial"/>
          <w:sz w:val="20"/>
          <w:szCs w:val="20"/>
        </w:rPr>
        <w:t>f</w:t>
      </w:r>
      <w:r w:rsidR="002A62BB" w:rsidRPr="00896EEE">
        <w:rPr>
          <w:rFonts w:ascii="Arial" w:hAnsi="Arial" w:cs="Arial"/>
          <w:sz w:val="20"/>
          <w:szCs w:val="20"/>
        </w:rPr>
        <w:t xml:space="preserve"> government must design strategy and action plans that would spur regional economic growth by creating investment-friendly conditions and streamlining regulations to accelerate investments. </w:t>
      </w:r>
    </w:p>
    <w:p w:rsidR="000C1E1C" w:rsidRPr="00896EEE" w:rsidRDefault="00340921" w:rsidP="00896EEE">
      <w:pPr>
        <w:pStyle w:val="ListParagraph"/>
        <w:numPr>
          <w:ilvl w:val="0"/>
          <w:numId w:val="92"/>
        </w:numPr>
        <w:spacing w:after="0" w:line="240" w:lineRule="auto"/>
        <w:rPr>
          <w:rFonts w:ascii="Arial" w:hAnsi="Arial" w:cs="Arial"/>
          <w:sz w:val="20"/>
          <w:szCs w:val="20"/>
        </w:rPr>
      </w:pPr>
      <w:r w:rsidRPr="00896EEE">
        <w:rPr>
          <w:rFonts w:ascii="Arial" w:hAnsi="Arial" w:cs="Arial"/>
          <w:sz w:val="20"/>
          <w:szCs w:val="20"/>
        </w:rPr>
        <w:t xml:space="preserve">The Committee reiterate that </w:t>
      </w:r>
      <w:r w:rsidR="000C1E1C" w:rsidRPr="00896EEE">
        <w:rPr>
          <w:rFonts w:ascii="Arial" w:hAnsi="Arial" w:cs="Arial"/>
          <w:i/>
          <w:sz w:val="20"/>
          <w:szCs w:val="20"/>
        </w:rPr>
        <w:t>Research</w:t>
      </w:r>
      <w:r w:rsidRPr="00896EEE">
        <w:rPr>
          <w:rFonts w:ascii="Arial" w:hAnsi="Arial" w:cs="Arial"/>
          <w:i/>
          <w:sz w:val="20"/>
          <w:szCs w:val="20"/>
        </w:rPr>
        <w:t xml:space="preserve">, </w:t>
      </w:r>
      <w:r w:rsidR="000C1E1C" w:rsidRPr="00896EEE">
        <w:rPr>
          <w:rFonts w:ascii="Arial" w:hAnsi="Arial" w:cs="Arial"/>
          <w:i/>
          <w:sz w:val="20"/>
          <w:szCs w:val="20"/>
        </w:rPr>
        <w:t>Development</w:t>
      </w:r>
      <w:r w:rsidR="000C1E1C" w:rsidRPr="00896EEE">
        <w:rPr>
          <w:rFonts w:ascii="Arial" w:hAnsi="Arial" w:cs="Arial"/>
          <w:sz w:val="20"/>
          <w:szCs w:val="20"/>
        </w:rPr>
        <w:t xml:space="preserve"> </w:t>
      </w:r>
      <w:r w:rsidRPr="00896EEE">
        <w:rPr>
          <w:rFonts w:ascii="Arial" w:hAnsi="Arial" w:cs="Arial"/>
          <w:i/>
          <w:sz w:val="20"/>
          <w:szCs w:val="20"/>
        </w:rPr>
        <w:t>and Innovation</w:t>
      </w:r>
      <w:r w:rsidRPr="00896EEE">
        <w:rPr>
          <w:rFonts w:ascii="Arial" w:hAnsi="Arial" w:cs="Arial"/>
          <w:sz w:val="20"/>
          <w:szCs w:val="20"/>
        </w:rPr>
        <w:t xml:space="preserve"> </w:t>
      </w:r>
      <w:r w:rsidR="000C1E1C" w:rsidRPr="00896EEE">
        <w:rPr>
          <w:rFonts w:ascii="Arial" w:hAnsi="Arial" w:cs="Arial"/>
          <w:sz w:val="20"/>
          <w:szCs w:val="20"/>
        </w:rPr>
        <w:t>remains a pivotal element in efforts to boost productivity and competitiveness of the economy. Over the medium term</w:t>
      </w:r>
      <w:r w:rsidRPr="00896EEE">
        <w:rPr>
          <w:rFonts w:ascii="Arial" w:hAnsi="Arial" w:cs="Arial"/>
          <w:sz w:val="20"/>
          <w:szCs w:val="20"/>
        </w:rPr>
        <w:t xml:space="preserve">, </w:t>
      </w:r>
      <w:r w:rsidR="000C1E1C" w:rsidRPr="00896EEE">
        <w:rPr>
          <w:rFonts w:ascii="Arial" w:hAnsi="Arial" w:cs="Arial"/>
          <w:sz w:val="20"/>
          <w:szCs w:val="20"/>
        </w:rPr>
        <w:t xml:space="preserve">the Minister, working jointly with the Minister responsible for Science and Innovation, should develop an action plan with necessary funding requirements to </w:t>
      </w:r>
      <w:r w:rsidRPr="00896EEE">
        <w:rPr>
          <w:rFonts w:ascii="Arial" w:hAnsi="Arial" w:cs="Arial"/>
          <w:sz w:val="20"/>
          <w:szCs w:val="20"/>
        </w:rPr>
        <w:t xml:space="preserve">boost </w:t>
      </w:r>
      <w:r w:rsidR="000C1E1C" w:rsidRPr="00896EEE">
        <w:rPr>
          <w:rFonts w:ascii="Arial" w:hAnsi="Arial" w:cs="Arial"/>
          <w:sz w:val="20"/>
          <w:szCs w:val="20"/>
        </w:rPr>
        <w:t>invest</w:t>
      </w:r>
      <w:r w:rsidRPr="00896EEE">
        <w:rPr>
          <w:rFonts w:ascii="Arial" w:hAnsi="Arial" w:cs="Arial"/>
          <w:sz w:val="20"/>
          <w:szCs w:val="20"/>
        </w:rPr>
        <w:t xml:space="preserve">ment </w:t>
      </w:r>
      <w:r w:rsidR="000C1E1C" w:rsidRPr="00896EEE">
        <w:rPr>
          <w:rFonts w:ascii="Arial" w:hAnsi="Arial" w:cs="Arial"/>
          <w:sz w:val="20"/>
          <w:szCs w:val="20"/>
        </w:rPr>
        <w:t xml:space="preserve">in </w:t>
      </w:r>
      <w:r w:rsidRPr="00896EEE">
        <w:rPr>
          <w:rFonts w:ascii="Arial" w:hAnsi="Arial" w:cs="Arial"/>
          <w:sz w:val="20"/>
          <w:szCs w:val="20"/>
        </w:rPr>
        <w:t xml:space="preserve">research, development and innovation </w:t>
      </w:r>
      <w:r w:rsidR="000C1E1C" w:rsidRPr="00896EEE">
        <w:rPr>
          <w:rFonts w:ascii="Arial" w:hAnsi="Arial" w:cs="Arial"/>
          <w:sz w:val="20"/>
          <w:szCs w:val="20"/>
        </w:rPr>
        <w:t>in the provinces, in particular those which are lagging in terms of economic development. The Committee expect</w:t>
      </w:r>
      <w:r w:rsidR="00861316" w:rsidRPr="00896EEE">
        <w:rPr>
          <w:rFonts w:ascii="Arial" w:hAnsi="Arial" w:cs="Arial"/>
          <w:sz w:val="20"/>
          <w:szCs w:val="20"/>
        </w:rPr>
        <w:t>s</w:t>
      </w:r>
      <w:r w:rsidR="000C1E1C" w:rsidRPr="00896EEE">
        <w:rPr>
          <w:rFonts w:ascii="Arial" w:hAnsi="Arial" w:cs="Arial"/>
          <w:sz w:val="20"/>
          <w:szCs w:val="20"/>
        </w:rPr>
        <w:t xml:space="preserve"> t</w:t>
      </w:r>
      <w:r w:rsidR="00861316" w:rsidRPr="00896EEE">
        <w:rPr>
          <w:rFonts w:ascii="Arial" w:hAnsi="Arial" w:cs="Arial"/>
          <w:sz w:val="20"/>
          <w:szCs w:val="20"/>
        </w:rPr>
        <w:t xml:space="preserve">he </w:t>
      </w:r>
      <w:r w:rsidR="000C1E1C" w:rsidRPr="00896EEE">
        <w:rPr>
          <w:rFonts w:ascii="Arial" w:hAnsi="Arial" w:cs="Arial"/>
          <w:sz w:val="20"/>
          <w:szCs w:val="20"/>
        </w:rPr>
        <w:t>recei</w:t>
      </w:r>
      <w:r w:rsidR="00861316" w:rsidRPr="00896EEE">
        <w:rPr>
          <w:rFonts w:ascii="Arial" w:hAnsi="Arial" w:cs="Arial"/>
          <w:sz w:val="20"/>
          <w:szCs w:val="20"/>
        </w:rPr>
        <w:t xml:space="preserve">pt of </w:t>
      </w:r>
      <w:r w:rsidR="000C1E1C" w:rsidRPr="00896EEE">
        <w:rPr>
          <w:rFonts w:ascii="Arial" w:hAnsi="Arial" w:cs="Arial"/>
          <w:sz w:val="20"/>
          <w:szCs w:val="20"/>
        </w:rPr>
        <w:t>the report by the end of the 202</w:t>
      </w:r>
      <w:r w:rsidRPr="00896EEE">
        <w:rPr>
          <w:rFonts w:ascii="Arial" w:hAnsi="Arial" w:cs="Arial"/>
          <w:sz w:val="20"/>
          <w:szCs w:val="20"/>
        </w:rPr>
        <w:t xml:space="preserve">3/24 </w:t>
      </w:r>
      <w:r w:rsidR="000C1E1C" w:rsidRPr="00896EEE">
        <w:rPr>
          <w:rFonts w:ascii="Arial" w:hAnsi="Arial" w:cs="Arial"/>
          <w:sz w:val="20"/>
          <w:szCs w:val="20"/>
        </w:rPr>
        <w:t>financial year.</w:t>
      </w:r>
    </w:p>
    <w:p w:rsidR="006F533B" w:rsidRPr="00896EEE" w:rsidRDefault="006F533B" w:rsidP="00896EEE">
      <w:pPr>
        <w:spacing w:after="0" w:line="240" w:lineRule="auto"/>
        <w:rPr>
          <w:rFonts w:ascii="Arial" w:hAnsi="Arial" w:cs="Arial"/>
          <w:sz w:val="20"/>
          <w:szCs w:val="20"/>
          <w:highlight w:val="yellow"/>
        </w:rPr>
      </w:pPr>
    </w:p>
    <w:p w:rsidR="00A76DD6" w:rsidRPr="00896EEE" w:rsidRDefault="002A46F4" w:rsidP="00896EEE">
      <w:pPr>
        <w:spacing w:after="0" w:line="240" w:lineRule="auto"/>
        <w:rPr>
          <w:rFonts w:ascii="Arial" w:hAnsi="Arial" w:cs="Arial"/>
          <w:b/>
          <w:i/>
          <w:sz w:val="20"/>
          <w:szCs w:val="20"/>
        </w:rPr>
      </w:pPr>
      <w:r w:rsidRPr="00896EEE">
        <w:rPr>
          <w:rFonts w:ascii="Arial" w:hAnsi="Arial" w:cs="Arial"/>
          <w:b/>
          <w:i/>
          <w:sz w:val="20"/>
          <w:szCs w:val="20"/>
        </w:rPr>
        <w:t>Report to be considered.</w:t>
      </w:r>
    </w:p>
    <w:p w:rsidR="00EE618D" w:rsidRPr="00896EEE" w:rsidRDefault="00EE618D" w:rsidP="00896EEE">
      <w:pPr>
        <w:spacing w:after="0" w:line="240" w:lineRule="auto"/>
        <w:rPr>
          <w:rFonts w:ascii="Arial" w:hAnsi="Arial" w:cs="Arial"/>
          <w:b/>
          <w:sz w:val="20"/>
          <w:szCs w:val="20"/>
        </w:rPr>
      </w:pPr>
    </w:p>
    <w:sectPr w:rsidR="00EE618D" w:rsidRPr="00896EEE" w:rsidSect="0043026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F2F" w:rsidRDefault="006D0F2F" w:rsidP="00F1155D">
      <w:pPr>
        <w:spacing w:after="0" w:line="240" w:lineRule="auto"/>
      </w:pPr>
      <w:r>
        <w:separator/>
      </w:r>
    </w:p>
  </w:endnote>
  <w:endnote w:type="continuationSeparator" w:id="0">
    <w:p w:rsidR="006D0F2F" w:rsidRDefault="006D0F2F" w:rsidP="00F11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67098"/>
      <w:docPartObj>
        <w:docPartGallery w:val="Page Numbers (Bottom of Page)"/>
        <w:docPartUnique/>
      </w:docPartObj>
    </w:sdtPr>
    <w:sdtEndPr>
      <w:rPr>
        <w:noProof/>
      </w:rPr>
    </w:sdtEndPr>
    <w:sdtContent>
      <w:p w:rsidR="005D7DEE" w:rsidRDefault="00843B16">
        <w:pPr>
          <w:pStyle w:val="Footer"/>
          <w:jc w:val="right"/>
        </w:pPr>
        <w:r>
          <w:fldChar w:fldCharType="begin"/>
        </w:r>
        <w:r w:rsidR="005D7DEE">
          <w:instrText xml:space="preserve"> PAGE   \* MERGEFORMAT </w:instrText>
        </w:r>
        <w:r>
          <w:fldChar w:fldCharType="separate"/>
        </w:r>
        <w:r w:rsidR="00896EEE">
          <w:rPr>
            <w:noProof/>
          </w:rPr>
          <w:t>1</w:t>
        </w:r>
        <w:r>
          <w:rPr>
            <w:noProof/>
          </w:rPr>
          <w:fldChar w:fldCharType="end"/>
        </w:r>
      </w:p>
    </w:sdtContent>
  </w:sdt>
  <w:p w:rsidR="005D7DEE" w:rsidRDefault="005D7D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F2F" w:rsidRDefault="006D0F2F" w:rsidP="00F1155D">
      <w:pPr>
        <w:spacing w:after="0" w:line="240" w:lineRule="auto"/>
      </w:pPr>
      <w:r>
        <w:separator/>
      </w:r>
    </w:p>
  </w:footnote>
  <w:footnote w:type="continuationSeparator" w:id="0">
    <w:p w:rsidR="006D0F2F" w:rsidRDefault="006D0F2F" w:rsidP="00F115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E51"/>
    <w:multiLevelType w:val="hybridMultilevel"/>
    <w:tmpl w:val="CE02B8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1E13E0"/>
    <w:multiLevelType w:val="hybridMultilevel"/>
    <w:tmpl w:val="6BCE5BA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nsid w:val="05582A31"/>
    <w:multiLevelType w:val="hybridMultilevel"/>
    <w:tmpl w:val="08AC1668"/>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5AA0D33"/>
    <w:multiLevelType w:val="hybridMultilevel"/>
    <w:tmpl w:val="288034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B3F2638"/>
    <w:multiLevelType w:val="hybridMultilevel"/>
    <w:tmpl w:val="615EBC6A"/>
    <w:lvl w:ilvl="0" w:tplc="0AD87E0E">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E670EF"/>
    <w:multiLevelType w:val="multilevel"/>
    <w:tmpl w:val="8BB8B33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EC4B1A"/>
    <w:multiLevelType w:val="hybridMultilevel"/>
    <w:tmpl w:val="E48676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21E2C16"/>
    <w:multiLevelType w:val="hybridMultilevel"/>
    <w:tmpl w:val="E3AE091A"/>
    <w:lvl w:ilvl="0" w:tplc="958487A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2224526"/>
    <w:multiLevelType w:val="hybridMultilevel"/>
    <w:tmpl w:val="082E0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4693442"/>
    <w:multiLevelType w:val="hybridMultilevel"/>
    <w:tmpl w:val="F6AE268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7BE7750"/>
    <w:multiLevelType w:val="hybridMultilevel"/>
    <w:tmpl w:val="9E4A206A"/>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8676C21"/>
    <w:multiLevelType w:val="hybridMultilevel"/>
    <w:tmpl w:val="FD08A2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CE359AC"/>
    <w:multiLevelType w:val="hybridMultilevel"/>
    <w:tmpl w:val="A8540FE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D283F6B"/>
    <w:multiLevelType w:val="hybridMultilevel"/>
    <w:tmpl w:val="5B5654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1D904C5C"/>
    <w:multiLevelType w:val="hybridMultilevel"/>
    <w:tmpl w:val="050E3830"/>
    <w:lvl w:ilvl="0" w:tplc="1C090001">
      <w:start w:val="1"/>
      <w:numFmt w:val="bullet"/>
      <w:lvlText w:val=""/>
      <w:lvlJc w:val="left"/>
      <w:pPr>
        <w:ind w:left="366" w:hanging="360"/>
      </w:pPr>
      <w:rPr>
        <w:rFonts w:ascii="Symbol" w:hAnsi="Symbol" w:hint="default"/>
      </w:rPr>
    </w:lvl>
    <w:lvl w:ilvl="1" w:tplc="1C090003">
      <w:start w:val="1"/>
      <w:numFmt w:val="bullet"/>
      <w:lvlText w:val="o"/>
      <w:lvlJc w:val="left"/>
      <w:pPr>
        <w:ind w:left="1086" w:hanging="360"/>
      </w:pPr>
      <w:rPr>
        <w:rFonts w:ascii="Courier New" w:hAnsi="Courier New" w:cs="Courier New" w:hint="default"/>
      </w:rPr>
    </w:lvl>
    <w:lvl w:ilvl="2" w:tplc="1C090005" w:tentative="1">
      <w:start w:val="1"/>
      <w:numFmt w:val="bullet"/>
      <w:lvlText w:val=""/>
      <w:lvlJc w:val="left"/>
      <w:pPr>
        <w:ind w:left="1806" w:hanging="360"/>
      </w:pPr>
      <w:rPr>
        <w:rFonts w:ascii="Wingdings" w:hAnsi="Wingdings" w:hint="default"/>
      </w:rPr>
    </w:lvl>
    <w:lvl w:ilvl="3" w:tplc="1C090001" w:tentative="1">
      <w:start w:val="1"/>
      <w:numFmt w:val="bullet"/>
      <w:lvlText w:val=""/>
      <w:lvlJc w:val="left"/>
      <w:pPr>
        <w:ind w:left="2526" w:hanging="360"/>
      </w:pPr>
      <w:rPr>
        <w:rFonts w:ascii="Symbol" w:hAnsi="Symbol" w:hint="default"/>
      </w:rPr>
    </w:lvl>
    <w:lvl w:ilvl="4" w:tplc="1C090003" w:tentative="1">
      <w:start w:val="1"/>
      <w:numFmt w:val="bullet"/>
      <w:lvlText w:val="o"/>
      <w:lvlJc w:val="left"/>
      <w:pPr>
        <w:ind w:left="3246" w:hanging="360"/>
      </w:pPr>
      <w:rPr>
        <w:rFonts w:ascii="Courier New" w:hAnsi="Courier New" w:cs="Courier New" w:hint="default"/>
      </w:rPr>
    </w:lvl>
    <w:lvl w:ilvl="5" w:tplc="1C090005" w:tentative="1">
      <w:start w:val="1"/>
      <w:numFmt w:val="bullet"/>
      <w:lvlText w:val=""/>
      <w:lvlJc w:val="left"/>
      <w:pPr>
        <w:ind w:left="3966" w:hanging="360"/>
      </w:pPr>
      <w:rPr>
        <w:rFonts w:ascii="Wingdings" w:hAnsi="Wingdings" w:hint="default"/>
      </w:rPr>
    </w:lvl>
    <w:lvl w:ilvl="6" w:tplc="1C090001" w:tentative="1">
      <w:start w:val="1"/>
      <w:numFmt w:val="bullet"/>
      <w:lvlText w:val=""/>
      <w:lvlJc w:val="left"/>
      <w:pPr>
        <w:ind w:left="4686" w:hanging="360"/>
      </w:pPr>
      <w:rPr>
        <w:rFonts w:ascii="Symbol" w:hAnsi="Symbol" w:hint="default"/>
      </w:rPr>
    </w:lvl>
    <w:lvl w:ilvl="7" w:tplc="1C090003" w:tentative="1">
      <w:start w:val="1"/>
      <w:numFmt w:val="bullet"/>
      <w:lvlText w:val="o"/>
      <w:lvlJc w:val="left"/>
      <w:pPr>
        <w:ind w:left="5406" w:hanging="360"/>
      </w:pPr>
      <w:rPr>
        <w:rFonts w:ascii="Courier New" w:hAnsi="Courier New" w:cs="Courier New" w:hint="default"/>
      </w:rPr>
    </w:lvl>
    <w:lvl w:ilvl="8" w:tplc="1C090005" w:tentative="1">
      <w:start w:val="1"/>
      <w:numFmt w:val="bullet"/>
      <w:lvlText w:val=""/>
      <w:lvlJc w:val="left"/>
      <w:pPr>
        <w:ind w:left="6126" w:hanging="360"/>
      </w:pPr>
      <w:rPr>
        <w:rFonts w:ascii="Wingdings" w:hAnsi="Wingdings" w:hint="default"/>
      </w:rPr>
    </w:lvl>
  </w:abstractNum>
  <w:abstractNum w:abstractNumId="15">
    <w:nsid w:val="1E6F46B5"/>
    <w:multiLevelType w:val="hybridMultilevel"/>
    <w:tmpl w:val="308E1EB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1F647300"/>
    <w:multiLevelType w:val="hybridMultilevel"/>
    <w:tmpl w:val="24F2C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216649A"/>
    <w:multiLevelType w:val="hybridMultilevel"/>
    <w:tmpl w:val="7192640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233A1607"/>
    <w:multiLevelType w:val="hybridMultilevel"/>
    <w:tmpl w:val="88CCA5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3F409EB"/>
    <w:multiLevelType w:val="hybridMultilevel"/>
    <w:tmpl w:val="7092F2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242C5916"/>
    <w:multiLevelType w:val="hybridMultilevel"/>
    <w:tmpl w:val="C0947CAE"/>
    <w:lvl w:ilvl="0" w:tplc="958487A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4B2087B"/>
    <w:multiLevelType w:val="hybridMultilevel"/>
    <w:tmpl w:val="08AC1668"/>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26B5261D"/>
    <w:multiLevelType w:val="hybridMultilevel"/>
    <w:tmpl w:val="E50EFE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A2173CC"/>
    <w:multiLevelType w:val="hybridMultilevel"/>
    <w:tmpl w:val="4A9825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2C4D4DDF"/>
    <w:multiLevelType w:val="hybridMultilevel"/>
    <w:tmpl w:val="2E06F9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2C946892"/>
    <w:multiLevelType w:val="hybridMultilevel"/>
    <w:tmpl w:val="EC7AA96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2EA35058"/>
    <w:multiLevelType w:val="hybridMultilevel"/>
    <w:tmpl w:val="13EE11EE"/>
    <w:lvl w:ilvl="0" w:tplc="1C090001">
      <w:start w:val="1"/>
      <w:numFmt w:val="bullet"/>
      <w:lvlText w:val=""/>
      <w:lvlJc w:val="left"/>
      <w:pPr>
        <w:ind w:left="366" w:hanging="360"/>
      </w:pPr>
      <w:rPr>
        <w:rFonts w:ascii="Symbol" w:hAnsi="Symbol" w:hint="default"/>
      </w:rPr>
    </w:lvl>
    <w:lvl w:ilvl="1" w:tplc="1C090003" w:tentative="1">
      <w:start w:val="1"/>
      <w:numFmt w:val="bullet"/>
      <w:lvlText w:val="o"/>
      <w:lvlJc w:val="left"/>
      <w:pPr>
        <w:ind w:left="1086" w:hanging="360"/>
      </w:pPr>
      <w:rPr>
        <w:rFonts w:ascii="Courier New" w:hAnsi="Courier New" w:cs="Courier New" w:hint="default"/>
      </w:rPr>
    </w:lvl>
    <w:lvl w:ilvl="2" w:tplc="1C090005" w:tentative="1">
      <w:start w:val="1"/>
      <w:numFmt w:val="bullet"/>
      <w:lvlText w:val=""/>
      <w:lvlJc w:val="left"/>
      <w:pPr>
        <w:ind w:left="1806" w:hanging="360"/>
      </w:pPr>
      <w:rPr>
        <w:rFonts w:ascii="Wingdings" w:hAnsi="Wingdings" w:hint="default"/>
      </w:rPr>
    </w:lvl>
    <w:lvl w:ilvl="3" w:tplc="1C090001" w:tentative="1">
      <w:start w:val="1"/>
      <w:numFmt w:val="bullet"/>
      <w:lvlText w:val=""/>
      <w:lvlJc w:val="left"/>
      <w:pPr>
        <w:ind w:left="2526" w:hanging="360"/>
      </w:pPr>
      <w:rPr>
        <w:rFonts w:ascii="Symbol" w:hAnsi="Symbol" w:hint="default"/>
      </w:rPr>
    </w:lvl>
    <w:lvl w:ilvl="4" w:tplc="1C090003" w:tentative="1">
      <w:start w:val="1"/>
      <w:numFmt w:val="bullet"/>
      <w:lvlText w:val="o"/>
      <w:lvlJc w:val="left"/>
      <w:pPr>
        <w:ind w:left="3246" w:hanging="360"/>
      </w:pPr>
      <w:rPr>
        <w:rFonts w:ascii="Courier New" w:hAnsi="Courier New" w:cs="Courier New" w:hint="default"/>
      </w:rPr>
    </w:lvl>
    <w:lvl w:ilvl="5" w:tplc="1C090005" w:tentative="1">
      <w:start w:val="1"/>
      <w:numFmt w:val="bullet"/>
      <w:lvlText w:val=""/>
      <w:lvlJc w:val="left"/>
      <w:pPr>
        <w:ind w:left="3966" w:hanging="360"/>
      </w:pPr>
      <w:rPr>
        <w:rFonts w:ascii="Wingdings" w:hAnsi="Wingdings" w:hint="default"/>
      </w:rPr>
    </w:lvl>
    <w:lvl w:ilvl="6" w:tplc="1C090001" w:tentative="1">
      <w:start w:val="1"/>
      <w:numFmt w:val="bullet"/>
      <w:lvlText w:val=""/>
      <w:lvlJc w:val="left"/>
      <w:pPr>
        <w:ind w:left="4686" w:hanging="360"/>
      </w:pPr>
      <w:rPr>
        <w:rFonts w:ascii="Symbol" w:hAnsi="Symbol" w:hint="default"/>
      </w:rPr>
    </w:lvl>
    <w:lvl w:ilvl="7" w:tplc="1C090003" w:tentative="1">
      <w:start w:val="1"/>
      <w:numFmt w:val="bullet"/>
      <w:lvlText w:val="o"/>
      <w:lvlJc w:val="left"/>
      <w:pPr>
        <w:ind w:left="5406" w:hanging="360"/>
      </w:pPr>
      <w:rPr>
        <w:rFonts w:ascii="Courier New" w:hAnsi="Courier New" w:cs="Courier New" w:hint="default"/>
      </w:rPr>
    </w:lvl>
    <w:lvl w:ilvl="8" w:tplc="1C090005" w:tentative="1">
      <w:start w:val="1"/>
      <w:numFmt w:val="bullet"/>
      <w:lvlText w:val=""/>
      <w:lvlJc w:val="left"/>
      <w:pPr>
        <w:ind w:left="6126" w:hanging="360"/>
      </w:pPr>
      <w:rPr>
        <w:rFonts w:ascii="Wingdings" w:hAnsi="Wingdings" w:hint="default"/>
      </w:rPr>
    </w:lvl>
  </w:abstractNum>
  <w:abstractNum w:abstractNumId="27">
    <w:nsid w:val="2F5C26E8"/>
    <w:multiLevelType w:val="hybridMultilevel"/>
    <w:tmpl w:val="7F0E9B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2080CFB"/>
    <w:multiLevelType w:val="hybridMultilevel"/>
    <w:tmpl w:val="6150BE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322C0CAF"/>
    <w:multiLevelType w:val="hybridMultilevel"/>
    <w:tmpl w:val="7DBCFD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34E03139"/>
    <w:multiLevelType w:val="hybridMultilevel"/>
    <w:tmpl w:val="D6CA7EA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35EF5AC7"/>
    <w:multiLevelType w:val="hybridMultilevel"/>
    <w:tmpl w:val="A2C4E766"/>
    <w:lvl w:ilvl="0" w:tplc="D66A3A88">
      <w:start w:val="1"/>
      <w:numFmt w:val="bullet"/>
      <w:lvlText w:val=""/>
      <w:lvlJc w:val="left"/>
      <w:pPr>
        <w:ind w:left="20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FBA972A">
      <w:start w:val="1"/>
      <w:numFmt w:val="bullet"/>
      <w:lvlText w:val="o"/>
      <w:lvlJc w:val="left"/>
      <w:pPr>
        <w:ind w:left="68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1928C64">
      <w:start w:val="1"/>
      <w:numFmt w:val="bullet"/>
      <w:lvlText w:val="▪"/>
      <w:lvlJc w:val="left"/>
      <w:pPr>
        <w:ind w:left="7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E624A2">
      <w:start w:val="1"/>
      <w:numFmt w:val="bullet"/>
      <w:lvlText w:val="•"/>
      <w:lvlJc w:val="left"/>
      <w:pPr>
        <w:ind w:left="8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E4C316E">
      <w:start w:val="1"/>
      <w:numFmt w:val="bullet"/>
      <w:lvlText w:val="o"/>
      <w:lvlJc w:val="left"/>
      <w:pPr>
        <w:ind w:left="8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9E274A">
      <w:start w:val="1"/>
      <w:numFmt w:val="bullet"/>
      <w:lvlText w:val="▪"/>
      <w:lvlJc w:val="left"/>
      <w:pPr>
        <w:ind w:left="9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0602ABC">
      <w:start w:val="1"/>
      <w:numFmt w:val="bullet"/>
      <w:lvlText w:val="•"/>
      <w:lvlJc w:val="left"/>
      <w:pPr>
        <w:ind w:left="10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098038A">
      <w:start w:val="1"/>
      <w:numFmt w:val="bullet"/>
      <w:lvlText w:val="o"/>
      <w:lvlJc w:val="left"/>
      <w:pPr>
        <w:ind w:left="11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49CC294">
      <w:start w:val="1"/>
      <w:numFmt w:val="bullet"/>
      <w:lvlText w:val="▪"/>
      <w:lvlJc w:val="left"/>
      <w:pPr>
        <w:ind w:left="11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nsid w:val="36453F49"/>
    <w:multiLevelType w:val="hybridMultilevel"/>
    <w:tmpl w:val="13AC12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37FC6F98"/>
    <w:multiLevelType w:val="hybridMultilevel"/>
    <w:tmpl w:val="C5DE4D3E"/>
    <w:lvl w:ilvl="0" w:tplc="1C090001">
      <w:start w:val="1"/>
      <w:numFmt w:val="bullet"/>
      <w:lvlText w:val=""/>
      <w:lvlJc w:val="left"/>
      <w:pPr>
        <w:ind w:left="366" w:hanging="360"/>
      </w:pPr>
      <w:rPr>
        <w:rFonts w:ascii="Symbol" w:hAnsi="Symbol" w:hint="default"/>
      </w:rPr>
    </w:lvl>
    <w:lvl w:ilvl="1" w:tplc="1C090003" w:tentative="1">
      <w:start w:val="1"/>
      <w:numFmt w:val="bullet"/>
      <w:lvlText w:val="o"/>
      <w:lvlJc w:val="left"/>
      <w:pPr>
        <w:ind w:left="1086" w:hanging="360"/>
      </w:pPr>
      <w:rPr>
        <w:rFonts w:ascii="Courier New" w:hAnsi="Courier New" w:cs="Courier New" w:hint="default"/>
      </w:rPr>
    </w:lvl>
    <w:lvl w:ilvl="2" w:tplc="1C090005" w:tentative="1">
      <w:start w:val="1"/>
      <w:numFmt w:val="bullet"/>
      <w:lvlText w:val=""/>
      <w:lvlJc w:val="left"/>
      <w:pPr>
        <w:ind w:left="1806" w:hanging="360"/>
      </w:pPr>
      <w:rPr>
        <w:rFonts w:ascii="Wingdings" w:hAnsi="Wingdings" w:hint="default"/>
      </w:rPr>
    </w:lvl>
    <w:lvl w:ilvl="3" w:tplc="1C090001" w:tentative="1">
      <w:start w:val="1"/>
      <w:numFmt w:val="bullet"/>
      <w:lvlText w:val=""/>
      <w:lvlJc w:val="left"/>
      <w:pPr>
        <w:ind w:left="2526" w:hanging="360"/>
      </w:pPr>
      <w:rPr>
        <w:rFonts w:ascii="Symbol" w:hAnsi="Symbol" w:hint="default"/>
      </w:rPr>
    </w:lvl>
    <w:lvl w:ilvl="4" w:tplc="1C090003" w:tentative="1">
      <w:start w:val="1"/>
      <w:numFmt w:val="bullet"/>
      <w:lvlText w:val="o"/>
      <w:lvlJc w:val="left"/>
      <w:pPr>
        <w:ind w:left="3246" w:hanging="360"/>
      </w:pPr>
      <w:rPr>
        <w:rFonts w:ascii="Courier New" w:hAnsi="Courier New" w:cs="Courier New" w:hint="default"/>
      </w:rPr>
    </w:lvl>
    <w:lvl w:ilvl="5" w:tplc="1C090005" w:tentative="1">
      <w:start w:val="1"/>
      <w:numFmt w:val="bullet"/>
      <w:lvlText w:val=""/>
      <w:lvlJc w:val="left"/>
      <w:pPr>
        <w:ind w:left="3966" w:hanging="360"/>
      </w:pPr>
      <w:rPr>
        <w:rFonts w:ascii="Wingdings" w:hAnsi="Wingdings" w:hint="default"/>
      </w:rPr>
    </w:lvl>
    <w:lvl w:ilvl="6" w:tplc="1C090001" w:tentative="1">
      <w:start w:val="1"/>
      <w:numFmt w:val="bullet"/>
      <w:lvlText w:val=""/>
      <w:lvlJc w:val="left"/>
      <w:pPr>
        <w:ind w:left="4686" w:hanging="360"/>
      </w:pPr>
      <w:rPr>
        <w:rFonts w:ascii="Symbol" w:hAnsi="Symbol" w:hint="default"/>
      </w:rPr>
    </w:lvl>
    <w:lvl w:ilvl="7" w:tplc="1C090003" w:tentative="1">
      <w:start w:val="1"/>
      <w:numFmt w:val="bullet"/>
      <w:lvlText w:val="o"/>
      <w:lvlJc w:val="left"/>
      <w:pPr>
        <w:ind w:left="5406" w:hanging="360"/>
      </w:pPr>
      <w:rPr>
        <w:rFonts w:ascii="Courier New" w:hAnsi="Courier New" w:cs="Courier New" w:hint="default"/>
      </w:rPr>
    </w:lvl>
    <w:lvl w:ilvl="8" w:tplc="1C090005" w:tentative="1">
      <w:start w:val="1"/>
      <w:numFmt w:val="bullet"/>
      <w:lvlText w:val=""/>
      <w:lvlJc w:val="left"/>
      <w:pPr>
        <w:ind w:left="6126" w:hanging="360"/>
      </w:pPr>
      <w:rPr>
        <w:rFonts w:ascii="Wingdings" w:hAnsi="Wingdings" w:hint="default"/>
      </w:rPr>
    </w:lvl>
  </w:abstractNum>
  <w:abstractNum w:abstractNumId="34">
    <w:nsid w:val="38044025"/>
    <w:multiLevelType w:val="hybridMultilevel"/>
    <w:tmpl w:val="64D26860"/>
    <w:lvl w:ilvl="0" w:tplc="E590569E">
      <w:start w:val="1"/>
      <w:numFmt w:val="decimal"/>
      <w:lvlText w:val="%1."/>
      <w:lvlJc w:val="left"/>
      <w:pPr>
        <w:ind w:left="720" w:hanging="360"/>
      </w:pPr>
      <w:rPr>
        <w:rFonts w:eastAsiaTheme="minorHAnsi"/>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nsid w:val="38066D59"/>
    <w:multiLevelType w:val="multilevel"/>
    <w:tmpl w:val="7C9E47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8106D37"/>
    <w:multiLevelType w:val="hybridMultilevel"/>
    <w:tmpl w:val="540CB8F0"/>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3D617B18"/>
    <w:multiLevelType w:val="hybridMultilevel"/>
    <w:tmpl w:val="538EC072"/>
    <w:lvl w:ilvl="0" w:tplc="1C09001B">
      <w:start w:val="1"/>
      <w:numFmt w:val="low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3FD87791"/>
    <w:multiLevelType w:val="hybridMultilevel"/>
    <w:tmpl w:val="A64081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40646DF7"/>
    <w:multiLevelType w:val="hybridMultilevel"/>
    <w:tmpl w:val="C10A1B9E"/>
    <w:lvl w:ilvl="0" w:tplc="1C090001">
      <w:start w:val="1"/>
      <w:numFmt w:val="bullet"/>
      <w:lvlText w:val=""/>
      <w:lvlJc w:val="left"/>
      <w:pPr>
        <w:ind w:left="501" w:hanging="360"/>
      </w:pPr>
      <w:rPr>
        <w:rFonts w:ascii="Symbol" w:hAnsi="Symbol" w:hint="default"/>
        <w:sz w:val="24"/>
        <w:szCs w:val="24"/>
      </w:rPr>
    </w:lvl>
    <w:lvl w:ilvl="1" w:tplc="1C090019">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40">
    <w:nsid w:val="407B74DA"/>
    <w:multiLevelType w:val="hybridMultilevel"/>
    <w:tmpl w:val="65E67FAE"/>
    <w:lvl w:ilvl="0" w:tplc="958487A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411457F9"/>
    <w:multiLevelType w:val="hybridMultilevel"/>
    <w:tmpl w:val="7C6A57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425D241F"/>
    <w:multiLevelType w:val="hybridMultilevel"/>
    <w:tmpl w:val="E67844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42BE4360"/>
    <w:multiLevelType w:val="hybridMultilevel"/>
    <w:tmpl w:val="E206BD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5B14A48"/>
    <w:multiLevelType w:val="hybridMultilevel"/>
    <w:tmpl w:val="B85E9758"/>
    <w:lvl w:ilvl="0" w:tplc="B38225B0">
      <w:start w:val="1"/>
      <w:numFmt w:val="lowerLetter"/>
      <w:lvlText w:val="%1)"/>
      <w:lvlJc w:val="left"/>
      <w:pPr>
        <w:ind w:left="360" w:hanging="360"/>
      </w:pPr>
      <w:rPr>
        <w:rFonts w:hint="default"/>
        <w:b w:val="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46CB1650"/>
    <w:multiLevelType w:val="hybridMultilevel"/>
    <w:tmpl w:val="7A0CA6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nsid w:val="47B706A7"/>
    <w:multiLevelType w:val="hybridMultilevel"/>
    <w:tmpl w:val="A64065FC"/>
    <w:lvl w:ilvl="0" w:tplc="958487A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4BAD5FEE"/>
    <w:multiLevelType w:val="hybridMultilevel"/>
    <w:tmpl w:val="1068E45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nsid w:val="4C71547B"/>
    <w:multiLevelType w:val="hybridMultilevel"/>
    <w:tmpl w:val="8AE884FC"/>
    <w:lvl w:ilvl="0" w:tplc="958487A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4C871865"/>
    <w:multiLevelType w:val="hybridMultilevel"/>
    <w:tmpl w:val="3EA49B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4CA81B8D"/>
    <w:multiLevelType w:val="multilevel"/>
    <w:tmpl w:val="3FDC280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nsid w:val="4D87069D"/>
    <w:multiLevelType w:val="hybridMultilevel"/>
    <w:tmpl w:val="08AC1668"/>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4DED3A4D"/>
    <w:multiLevelType w:val="hybridMultilevel"/>
    <w:tmpl w:val="B29EE908"/>
    <w:lvl w:ilvl="0" w:tplc="1C09000F">
      <w:start w:val="1"/>
      <w:numFmt w:val="decimal"/>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50C26D89"/>
    <w:multiLevelType w:val="multilevel"/>
    <w:tmpl w:val="D6CA7EA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55E90317"/>
    <w:multiLevelType w:val="hybridMultilevel"/>
    <w:tmpl w:val="73F627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56DA34A0"/>
    <w:multiLevelType w:val="hybridMultilevel"/>
    <w:tmpl w:val="3176CE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6">
    <w:nsid w:val="571808AB"/>
    <w:multiLevelType w:val="hybridMultilevel"/>
    <w:tmpl w:val="5DD064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580179D5"/>
    <w:multiLevelType w:val="hybridMultilevel"/>
    <w:tmpl w:val="5088E7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58B96C55"/>
    <w:multiLevelType w:val="hybridMultilevel"/>
    <w:tmpl w:val="A740F3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nsid w:val="5AAC407B"/>
    <w:multiLevelType w:val="hybridMultilevel"/>
    <w:tmpl w:val="E23804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5C7B2A8B"/>
    <w:multiLevelType w:val="hybridMultilevel"/>
    <w:tmpl w:val="A21CB2A0"/>
    <w:lvl w:ilvl="0" w:tplc="1C09001B">
      <w:start w:val="1"/>
      <w:numFmt w:val="lowerRoman"/>
      <w:lvlText w:val="%1."/>
      <w:lvlJc w:val="righ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5ECB544E"/>
    <w:multiLevelType w:val="hybridMultilevel"/>
    <w:tmpl w:val="D440367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2">
    <w:nsid w:val="5F18677D"/>
    <w:multiLevelType w:val="hybridMultilevel"/>
    <w:tmpl w:val="740A1880"/>
    <w:lvl w:ilvl="0" w:tplc="6E54F2CA">
      <w:start w:val="1"/>
      <w:numFmt w:val="decimal"/>
      <w:lvlText w:val="%1."/>
      <w:lvlJc w:val="left"/>
      <w:pPr>
        <w:ind w:left="501" w:hanging="360"/>
      </w:pPr>
      <w:rPr>
        <w:rFonts w:ascii="Times New Roman" w:hAnsi="Times New Roman" w:cs="Times New Roman" w:hint="default"/>
        <w:sz w:val="24"/>
        <w:szCs w:val="24"/>
      </w:rPr>
    </w:lvl>
    <w:lvl w:ilvl="1" w:tplc="1C090019">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63">
    <w:nsid w:val="5F325B6A"/>
    <w:multiLevelType w:val="hybridMultilevel"/>
    <w:tmpl w:val="991C2BB6"/>
    <w:lvl w:ilvl="0" w:tplc="958487A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4">
    <w:nsid w:val="5F3F5175"/>
    <w:multiLevelType w:val="multilevel"/>
    <w:tmpl w:val="EA520A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nsid w:val="5F5B7912"/>
    <w:multiLevelType w:val="hybridMultilevel"/>
    <w:tmpl w:val="E61EB21A"/>
    <w:lvl w:ilvl="0" w:tplc="958487A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nsid w:val="61BB7BAF"/>
    <w:multiLevelType w:val="hybridMultilevel"/>
    <w:tmpl w:val="9788D2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62035C82"/>
    <w:multiLevelType w:val="hybridMultilevel"/>
    <w:tmpl w:val="B3DCAD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62FF197D"/>
    <w:multiLevelType w:val="hybridMultilevel"/>
    <w:tmpl w:val="C754858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nsid w:val="63934FC8"/>
    <w:multiLevelType w:val="hybridMultilevel"/>
    <w:tmpl w:val="24D0B0DE"/>
    <w:lvl w:ilvl="0" w:tplc="1C090001">
      <w:start w:val="1"/>
      <w:numFmt w:val="bullet"/>
      <w:lvlText w:val=""/>
      <w:lvlJc w:val="left"/>
      <w:pPr>
        <w:ind w:left="720" w:hanging="360"/>
      </w:pPr>
      <w:rPr>
        <w:rFonts w:ascii="Symbol" w:hAnsi="Symbol" w:hint="default"/>
      </w:rPr>
    </w:lvl>
    <w:lvl w:ilvl="1" w:tplc="B0181216">
      <w:numFmt w:val="bullet"/>
      <w:lvlText w:val="–"/>
      <w:lvlJc w:val="left"/>
      <w:pPr>
        <w:ind w:left="1440" w:hanging="360"/>
      </w:pPr>
      <w:rPr>
        <w:rFonts w:ascii="Times New Roman" w:eastAsiaTheme="minorEastAsia"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63BD0EA7"/>
    <w:multiLevelType w:val="hybridMultilevel"/>
    <w:tmpl w:val="B3A665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nsid w:val="65F64925"/>
    <w:multiLevelType w:val="hybridMultilevel"/>
    <w:tmpl w:val="76A65C32"/>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6AB85480"/>
    <w:multiLevelType w:val="hybridMultilevel"/>
    <w:tmpl w:val="82707BCC"/>
    <w:lvl w:ilvl="0" w:tplc="4FC46DE8">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nsid w:val="6ACE2AEB"/>
    <w:multiLevelType w:val="hybridMultilevel"/>
    <w:tmpl w:val="726AE08A"/>
    <w:lvl w:ilvl="0" w:tplc="1C090001">
      <w:start w:val="1"/>
      <w:numFmt w:val="bullet"/>
      <w:lvlText w:val=""/>
      <w:lvlJc w:val="left"/>
      <w:pPr>
        <w:ind w:left="366" w:hanging="360"/>
      </w:pPr>
      <w:rPr>
        <w:rFonts w:ascii="Symbol" w:hAnsi="Symbol" w:hint="default"/>
      </w:rPr>
    </w:lvl>
    <w:lvl w:ilvl="1" w:tplc="1C090003" w:tentative="1">
      <w:start w:val="1"/>
      <w:numFmt w:val="bullet"/>
      <w:lvlText w:val="o"/>
      <w:lvlJc w:val="left"/>
      <w:pPr>
        <w:ind w:left="1086" w:hanging="360"/>
      </w:pPr>
      <w:rPr>
        <w:rFonts w:ascii="Courier New" w:hAnsi="Courier New" w:cs="Courier New" w:hint="default"/>
      </w:rPr>
    </w:lvl>
    <w:lvl w:ilvl="2" w:tplc="1C090005" w:tentative="1">
      <w:start w:val="1"/>
      <w:numFmt w:val="bullet"/>
      <w:lvlText w:val=""/>
      <w:lvlJc w:val="left"/>
      <w:pPr>
        <w:ind w:left="1806" w:hanging="360"/>
      </w:pPr>
      <w:rPr>
        <w:rFonts w:ascii="Wingdings" w:hAnsi="Wingdings" w:hint="default"/>
      </w:rPr>
    </w:lvl>
    <w:lvl w:ilvl="3" w:tplc="1C090001" w:tentative="1">
      <w:start w:val="1"/>
      <w:numFmt w:val="bullet"/>
      <w:lvlText w:val=""/>
      <w:lvlJc w:val="left"/>
      <w:pPr>
        <w:ind w:left="2526" w:hanging="360"/>
      </w:pPr>
      <w:rPr>
        <w:rFonts w:ascii="Symbol" w:hAnsi="Symbol" w:hint="default"/>
      </w:rPr>
    </w:lvl>
    <w:lvl w:ilvl="4" w:tplc="1C090003" w:tentative="1">
      <w:start w:val="1"/>
      <w:numFmt w:val="bullet"/>
      <w:lvlText w:val="o"/>
      <w:lvlJc w:val="left"/>
      <w:pPr>
        <w:ind w:left="3246" w:hanging="360"/>
      </w:pPr>
      <w:rPr>
        <w:rFonts w:ascii="Courier New" w:hAnsi="Courier New" w:cs="Courier New" w:hint="default"/>
      </w:rPr>
    </w:lvl>
    <w:lvl w:ilvl="5" w:tplc="1C090005" w:tentative="1">
      <w:start w:val="1"/>
      <w:numFmt w:val="bullet"/>
      <w:lvlText w:val=""/>
      <w:lvlJc w:val="left"/>
      <w:pPr>
        <w:ind w:left="3966" w:hanging="360"/>
      </w:pPr>
      <w:rPr>
        <w:rFonts w:ascii="Wingdings" w:hAnsi="Wingdings" w:hint="default"/>
      </w:rPr>
    </w:lvl>
    <w:lvl w:ilvl="6" w:tplc="1C090001" w:tentative="1">
      <w:start w:val="1"/>
      <w:numFmt w:val="bullet"/>
      <w:lvlText w:val=""/>
      <w:lvlJc w:val="left"/>
      <w:pPr>
        <w:ind w:left="4686" w:hanging="360"/>
      </w:pPr>
      <w:rPr>
        <w:rFonts w:ascii="Symbol" w:hAnsi="Symbol" w:hint="default"/>
      </w:rPr>
    </w:lvl>
    <w:lvl w:ilvl="7" w:tplc="1C090003" w:tentative="1">
      <w:start w:val="1"/>
      <w:numFmt w:val="bullet"/>
      <w:lvlText w:val="o"/>
      <w:lvlJc w:val="left"/>
      <w:pPr>
        <w:ind w:left="5406" w:hanging="360"/>
      </w:pPr>
      <w:rPr>
        <w:rFonts w:ascii="Courier New" w:hAnsi="Courier New" w:cs="Courier New" w:hint="default"/>
      </w:rPr>
    </w:lvl>
    <w:lvl w:ilvl="8" w:tplc="1C090005" w:tentative="1">
      <w:start w:val="1"/>
      <w:numFmt w:val="bullet"/>
      <w:lvlText w:val=""/>
      <w:lvlJc w:val="left"/>
      <w:pPr>
        <w:ind w:left="6126" w:hanging="360"/>
      </w:pPr>
      <w:rPr>
        <w:rFonts w:ascii="Wingdings" w:hAnsi="Wingdings" w:hint="default"/>
      </w:rPr>
    </w:lvl>
  </w:abstractNum>
  <w:abstractNum w:abstractNumId="74">
    <w:nsid w:val="6AF74431"/>
    <w:multiLevelType w:val="hybridMultilevel"/>
    <w:tmpl w:val="0F4066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nsid w:val="6B7C54B6"/>
    <w:multiLevelType w:val="hybridMultilevel"/>
    <w:tmpl w:val="34B46A5E"/>
    <w:lvl w:ilvl="0" w:tplc="958487A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6">
    <w:nsid w:val="6C350AED"/>
    <w:multiLevelType w:val="hybridMultilevel"/>
    <w:tmpl w:val="ACC69B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6D1A3B52"/>
    <w:multiLevelType w:val="hybridMultilevel"/>
    <w:tmpl w:val="E8FA7B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6E742165"/>
    <w:multiLevelType w:val="hybridMultilevel"/>
    <w:tmpl w:val="941A341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nsid w:val="71CF747C"/>
    <w:multiLevelType w:val="hybridMultilevel"/>
    <w:tmpl w:val="00C25B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71D662AD"/>
    <w:multiLevelType w:val="hybridMultilevel"/>
    <w:tmpl w:val="93AEED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1">
    <w:nsid w:val="738579C7"/>
    <w:multiLevelType w:val="hybridMultilevel"/>
    <w:tmpl w:val="44D4F850"/>
    <w:lvl w:ilvl="0" w:tplc="958487A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2">
    <w:nsid w:val="73B94894"/>
    <w:multiLevelType w:val="hybridMultilevel"/>
    <w:tmpl w:val="4C8873A4"/>
    <w:lvl w:ilvl="0" w:tplc="958487A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3">
    <w:nsid w:val="752570B4"/>
    <w:multiLevelType w:val="hybridMultilevel"/>
    <w:tmpl w:val="08F4B8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4">
    <w:nsid w:val="76CC374A"/>
    <w:multiLevelType w:val="hybridMultilevel"/>
    <w:tmpl w:val="9D3ED884"/>
    <w:lvl w:ilvl="0" w:tplc="958487A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5">
    <w:nsid w:val="78BE5ECD"/>
    <w:multiLevelType w:val="hybridMultilevel"/>
    <w:tmpl w:val="42F410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6">
    <w:nsid w:val="795D3372"/>
    <w:multiLevelType w:val="hybridMultilevel"/>
    <w:tmpl w:val="A5B0FC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7">
    <w:nsid w:val="7B1D5D03"/>
    <w:multiLevelType w:val="hybridMultilevel"/>
    <w:tmpl w:val="F59AA4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8">
    <w:nsid w:val="7C935566"/>
    <w:multiLevelType w:val="hybridMultilevel"/>
    <w:tmpl w:val="D98682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9">
    <w:nsid w:val="7CC7291A"/>
    <w:multiLevelType w:val="hybridMultilevel"/>
    <w:tmpl w:val="0C78B3C0"/>
    <w:lvl w:ilvl="0" w:tplc="7FD6D64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0">
    <w:nsid w:val="7E98691C"/>
    <w:multiLevelType w:val="hybridMultilevel"/>
    <w:tmpl w:val="381ABB4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1">
    <w:nsid w:val="7F5A775B"/>
    <w:multiLevelType w:val="hybridMultilevel"/>
    <w:tmpl w:val="6C429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4"/>
  </w:num>
  <w:num w:numId="2">
    <w:abstractNumId w:val="44"/>
  </w:num>
  <w:num w:numId="3">
    <w:abstractNumId w:val="69"/>
  </w:num>
  <w:num w:numId="4">
    <w:abstractNumId w:val="54"/>
  </w:num>
  <w:num w:numId="5">
    <w:abstractNumId w:val="12"/>
  </w:num>
  <w:num w:numId="6">
    <w:abstractNumId w:val="46"/>
  </w:num>
  <w:num w:numId="7">
    <w:abstractNumId w:val="23"/>
  </w:num>
  <w:num w:numId="8">
    <w:abstractNumId w:val="38"/>
  </w:num>
  <w:num w:numId="9">
    <w:abstractNumId w:val="88"/>
  </w:num>
  <w:num w:numId="10">
    <w:abstractNumId w:val="20"/>
  </w:num>
  <w:num w:numId="11">
    <w:abstractNumId w:val="32"/>
  </w:num>
  <w:num w:numId="12">
    <w:abstractNumId w:val="86"/>
  </w:num>
  <w:num w:numId="13">
    <w:abstractNumId w:val="91"/>
  </w:num>
  <w:num w:numId="14">
    <w:abstractNumId w:val="22"/>
  </w:num>
  <w:num w:numId="15">
    <w:abstractNumId w:val="29"/>
  </w:num>
  <w:num w:numId="16">
    <w:abstractNumId w:val="49"/>
  </w:num>
  <w:num w:numId="17">
    <w:abstractNumId w:val="59"/>
  </w:num>
  <w:num w:numId="18">
    <w:abstractNumId w:val="18"/>
  </w:num>
  <w:num w:numId="19">
    <w:abstractNumId w:val="30"/>
  </w:num>
  <w:num w:numId="20">
    <w:abstractNumId w:val="7"/>
  </w:num>
  <w:num w:numId="21">
    <w:abstractNumId w:val="40"/>
  </w:num>
  <w:num w:numId="22">
    <w:abstractNumId w:val="82"/>
  </w:num>
  <w:num w:numId="23">
    <w:abstractNumId w:val="53"/>
  </w:num>
  <w:num w:numId="24">
    <w:abstractNumId w:val="81"/>
  </w:num>
  <w:num w:numId="25">
    <w:abstractNumId w:val="84"/>
  </w:num>
  <w:num w:numId="26">
    <w:abstractNumId w:val="75"/>
  </w:num>
  <w:num w:numId="27">
    <w:abstractNumId w:val="63"/>
  </w:num>
  <w:num w:numId="28">
    <w:abstractNumId w:val="47"/>
  </w:num>
  <w:num w:numId="29">
    <w:abstractNumId w:val="71"/>
  </w:num>
  <w:num w:numId="30">
    <w:abstractNumId w:val="64"/>
  </w:num>
  <w:num w:numId="31">
    <w:abstractNumId w:val="11"/>
  </w:num>
  <w:num w:numId="32">
    <w:abstractNumId w:val="72"/>
  </w:num>
  <w:num w:numId="33">
    <w:abstractNumId w:val="5"/>
  </w:num>
  <w:num w:numId="34">
    <w:abstractNumId w:val="50"/>
  </w:num>
  <w:num w:numId="35">
    <w:abstractNumId w:val="90"/>
  </w:num>
  <w:num w:numId="36">
    <w:abstractNumId w:val="35"/>
  </w:num>
  <w:num w:numId="37">
    <w:abstractNumId w:val="52"/>
  </w:num>
  <w:num w:numId="38">
    <w:abstractNumId w:val="10"/>
  </w:num>
  <w:num w:numId="39">
    <w:abstractNumId w:val="0"/>
  </w:num>
  <w:num w:numId="40">
    <w:abstractNumId w:val="79"/>
  </w:num>
  <w:num w:numId="41">
    <w:abstractNumId w:val="42"/>
  </w:num>
  <w:num w:numId="42">
    <w:abstractNumId w:val="62"/>
  </w:num>
  <w:num w:numId="43">
    <w:abstractNumId w:val="85"/>
  </w:num>
  <w:num w:numId="44">
    <w:abstractNumId w:val="9"/>
  </w:num>
  <w:num w:numId="45">
    <w:abstractNumId w:val="6"/>
  </w:num>
  <w:num w:numId="46">
    <w:abstractNumId w:val="17"/>
  </w:num>
  <w:num w:numId="47">
    <w:abstractNumId w:val="74"/>
  </w:num>
  <w:num w:numId="48">
    <w:abstractNumId w:val="76"/>
  </w:num>
  <w:num w:numId="49">
    <w:abstractNumId w:val="56"/>
  </w:num>
  <w:num w:numId="50">
    <w:abstractNumId w:val="77"/>
  </w:num>
  <w:num w:numId="51">
    <w:abstractNumId w:val="61"/>
  </w:num>
  <w:num w:numId="52">
    <w:abstractNumId w:val="25"/>
  </w:num>
  <w:num w:numId="53">
    <w:abstractNumId w:val="14"/>
  </w:num>
  <w:num w:numId="54">
    <w:abstractNumId w:val="36"/>
  </w:num>
  <w:num w:numId="55">
    <w:abstractNumId w:val="26"/>
  </w:num>
  <w:num w:numId="56">
    <w:abstractNumId w:val="33"/>
  </w:num>
  <w:num w:numId="57">
    <w:abstractNumId w:val="73"/>
  </w:num>
  <w:num w:numId="58">
    <w:abstractNumId w:val="57"/>
  </w:num>
  <w:num w:numId="59">
    <w:abstractNumId w:val="16"/>
  </w:num>
  <w:num w:numId="60">
    <w:abstractNumId w:val="65"/>
  </w:num>
  <w:num w:numId="61">
    <w:abstractNumId w:val="13"/>
  </w:num>
  <w:num w:numId="62">
    <w:abstractNumId w:val="48"/>
  </w:num>
  <w:num w:numId="63">
    <w:abstractNumId w:val="28"/>
  </w:num>
  <w:num w:numId="64">
    <w:abstractNumId w:val="31"/>
  </w:num>
  <w:num w:numId="65">
    <w:abstractNumId w:val="55"/>
  </w:num>
  <w:num w:numId="66">
    <w:abstractNumId w:val="83"/>
  </w:num>
  <w:num w:numId="67">
    <w:abstractNumId w:val="80"/>
  </w:num>
  <w:num w:numId="68">
    <w:abstractNumId w:val="3"/>
  </w:num>
  <w:num w:numId="69">
    <w:abstractNumId w:val="58"/>
  </w:num>
  <w:num w:numId="70">
    <w:abstractNumId w:val="41"/>
  </w:num>
  <w:num w:numId="71">
    <w:abstractNumId w:val="2"/>
  </w:num>
  <w:num w:numId="72">
    <w:abstractNumId w:val="51"/>
  </w:num>
  <w:num w:numId="73">
    <w:abstractNumId w:val="39"/>
  </w:num>
  <w:num w:numId="74">
    <w:abstractNumId w:val="66"/>
  </w:num>
  <w:num w:numId="75">
    <w:abstractNumId w:val="1"/>
  </w:num>
  <w:num w:numId="76">
    <w:abstractNumId w:val="68"/>
  </w:num>
  <w:num w:numId="77">
    <w:abstractNumId w:val="21"/>
  </w:num>
  <w:num w:numId="78">
    <w:abstractNumId w:val="4"/>
  </w:num>
  <w:num w:numId="79">
    <w:abstractNumId w:val="27"/>
  </w:num>
  <w:num w:numId="80">
    <w:abstractNumId w:val="70"/>
  </w:num>
  <w:num w:numId="81">
    <w:abstractNumId w:val="15"/>
  </w:num>
  <w:num w:numId="82">
    <w:abstractNumId w:val="19"/>
  </w:num>
  <w:num w:numId="83">
    <w:abstractNumId w:val="87"/>
  </w:num>
  <w:num w:numId="84">
    <w:abstractNumId w:val="45"/>
  </w:num>
  <w:num w:numId="85">
    <w:abstractNumId w:val="67"/>
  </w:num>
  <w:num w:numId="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9"/>
  </w:num>
  <w:num w:numId="88">
    <w:abstractNumId w:val="8"/>
  </w:num>
  <w:num w:numId="89">
    <w:abstractNumId w:val="43"/>
  </w:num>
  <w:num w:numId="90">
    <w:abstractNumId w:val="78"/>
  </w:num>
  <w:num w:numId="91">
    <w:abstractNumId w:val="60"/>
  </w:num>
  <w:num w:numId="92">
    <w:abstractNumId w:val="37"/>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91915"/>
    <w:rsid w:val="00006308"/>
    <w:rsid w:val="00006940"/>
    <w:rsid w:val="000155E8"/>
    <w:rsid w:val="00017BE2"/>
    <w:rsid w:val="000223DB"/>
    <w:rsid w:val="000412B9"/>
    <w:rsid w:val="00041BEE"/>
    <w:rsid w:val="000448D8"/>
    <w:rsid w:val="000470E9"/>
    <w:rsid w:val="00054C7F"/>
    <w:rsid w:val="00060343"/>
    <w:rsid w:val="00073B9D"/>
    <w:rsid w:val="000A2B5F"/>
    <w:rsid w:val="000B75C9"/>
    <w:rsid w:val="000C1E1C"/>
    <w:rsid w:val="000E5B52"/>
    <w:rsid w:val="000E5CF2"/>
    <w:rsid w:val="000F0019"/>
    <w:rsid w:val="000F02E4"/>
    <w:rsid w:val="000F4B23"/>
    <w:rsid w:val="00110B7E"/>
    <w:rsid w:val="00111A37"/>
    <w:rsid w:val="0011450F"/>
    <w:rsid w:val="001156D6"/>
    <w:rsid w:val="00124600"/>
    <w:rsid w:val="001312FD"/>
    <w:rsid w:val="00152F23"/>
    <w:rsid w:val="00154A24"/>
    <w:rsid w:val="00157269"/>
    <w:rsid w:val="001636F7"/>
    <w:rsid w:val="001705A2"/>
    <w:rsid w:val="0018708E"/>
    <w:rsid w:val="00187253"/>
    <w:rsid w:val="001964AE"/>
    <w:rsid w:val="001A2E15"/>
    <w:rsid w:val="001A4505"/>
    <w:rsid w:val="001B2E92"/>
    <w:rsid w:val="001C3E36"/>
    <w:rsid w:val="001D5EAC"/>
    <w:rsid w:val="001E01BD"/>
    <w:rsid w:val="001E21CF"/>
    <w:rsid w:val="001F2A37"/>
    <w:rsid w:val="001F55C0"/>
    <w:rsid w:val="002113CA"/>
    <w:rsid w:val="00230F7D"/>
    <w:rsid w:val="002327F2"/>
    <w:rsid w:val="00234CBF"/>
    <w:rsid w:val="00235939"/>
    <w:rsid w:val="00240559"/>
    <w:rsid w:val="002447C5"/>
    <w:rsid w:val="002469DB"/>
    <w:rsid w:val="0025557B"/>
    <w:rsid w:val="0026288F"/>
    <w:rsid w:val="00264A92"/>
    <w:rsid w:val="00267874"/>
    <w:rsid w:val="00274253"/>
    <w:rsid w:val="002762E8"/>
    <w:rsid w:val="0028726A"/>
    <w:rsid w:val="00296E7A"/>
    <w:rsid w:val="002973A4"/>
    <w:rsid w:val="002A1D52"/>
    <w:rsid w:val="002A46F4"/>
    <w:rsid w:val="002A62BB"/>
    <w:rsid w:val="002B6278"/>
    <w:rsid w:val="002C2EE5"/>
    <w:rsid w:val="002D7ABE"/>
    <w:rsid w:val="002E2E52"/>
    <w:rsid w:val="002F5D6A"/>
    <w:rsid w:val="002F6D6E"/>
    <w:rsid w:val="002F78CD"/>
    <w:rsid w:val="003128E5"/>
    <w:rsid w:val="00315FAE"/>
    <w:rsid w:val="00320AB8"/>
    <w:rsid w:val="00327BF7"/>
    <w:rsid w:val="00327C07"/>
    <w:rsid w:val="003352FE"/>
    <w:rsid w:val="003373DA"/>
    <w:rsid w:val="00340921"/>
    <w:rsid w:val="00343356"/>
    <w:rsid w:val="003516A0"/>
    <w:rsid w:val="00353A27"/>
    <w:rsid w:val="003554C6"/>
    <w:rsid w:val="003578A3"/>
    <w:rsid w:val="00370843"/>
    <w:rsid w:val="003719EE"/>
    <w:rsid w:val="00394621"/>
    <w:rsid w:val="003A106A"/>
    <w:rsid w:val="003B5021"/>
    <w:rsid w:val="003E1172"/>
    <w:rsid w:val="003F3A7B"/>
    <w:rsid w:val="00402E9D"/>
    <w:rsid w:val="00405EC3"/>
    <w:rsid w:val="00412BE6"/>
    <w:rsid w:val="004244D5"/>
    <w:rsid w:val="00430268"/>
    <w:rsid w:val="00436646"/>
    <w:rsid w:val="004610CB"/>
    <w:rsid w:val="00463EA0"/>
    <w:rsid w:val="0046695A"/>
    <w:rsid w:val="004670F0"/>
    <w:rsid w:val="00470F7C"/>
    <w:rsid w:val="004808A7"/>
    <w:rsid w:val="00487BEA"/>
    <w:rsid w:val="0049104D"/>
    <w:rsid w:val="00491AD0"/>
    <w:rsid w:val="004A5A9E"/>
    <w:rsid w:val="004A5E4D"/>
    <w:rsid w:val="004B0971"/>
    <w:rsid w:val="004B6FBF"/>
    <w:rsid w:val="004C7A48"/>
    <w:rsid w:val="004D4B52"/>
    <w:rsid w:val="004D516A"/>
    <w:rsid w:val="004E7DCE"/>
    <w:rsid w:val="004F69BE"/>
    <w:rsid w:val="004F7033"/>
    <w:rsid w:val="005062D8"/>
    <w:rsid w:val="00516369"/>
    <w:rsid w:val="00526DD3"/>
    <w:rsid w:val="00531D7C"/>
    <w:rsid w:val="0053236C"/>
    <w:rsid w:val="00542A00"/>
    <w:rsid w:val="0054436A"/>
    <w:rsid w:val="00545205"/>
    <w:rsid w:val="0056263B"/>
    <w:rsid w:val="0057280E"/>
    <w:rsid w:val="00576CEF"/>
    <w:rsid w:val="00587E62"/>
    <w:rsid w:val="005968CC"/>
    <w:rsid w:val="00597C1C"/>
    <w:rsid w:val="005B4605"/>
    <w:rsid w:val="005C5E12"/>
    <w:rsid w:val="005D4261"/>
    <w:rsid w:val="005D7DEE"/>
    <w:rsid w:val="005E23C8"/>
    <w:rsid w:val="005E286A"/>
    <w:rsid w:val="005E3073"/>
    <w:rsid w:val="005E3B7D"/>
    <w:rsid w:val="005F0F42"/>
    <w:rsid w:val="005F1401"/>
    <w:rsid w:val="00614261"/>
    <w:rsid w:val="00627932"/>
    <w:rsid w:val="00653461"/>
    <w:rsid w:val="00656D5C"/>
    <w:rsid w:val="006606DE"/>
    <w:rsid w:val="0066138B"/>
    <w:rsid w:val="00670473"/>
    <w:rsid w:val="00672975"/>
    <w:rsid w:val="00672FE9"/>
    <w:rsid w:val="00674D00"/>
    <w:rsid w:val="00676A54"/>
    <w:rsid w:val="006964EA"/>
    <w:rsid w:val="006A5788"/>
    <w:rsid w:val="006A7D76"/>
    <w:rsid w:val="006B3D5B"/>
    <w:rsid w:val="006C2A8C"/>
    <w:rsid w:val="006C2BD8"/>
    <w:rsid w:val="006C3E54"/>
    <w:rsid w:val="006D0F2F"/>
    <w:rsid w:val="006D6B41"/>
    <w:rsid w:val="006E02CE"/>
    <w:rsid w:val="006E310A"/>
    <w:rsid w:val="006E3566"/>
    <w:rsid w:val="006E6F1C"/>
    <w:rsid w:val="006F2E9A"/>
    <w:rsid w:val="006F33BE"/>
    <w:rsid w:val="006F37C8"/>
    <w:rsid w:val="006F4A20"/>
    <w:rsid w:val="006F533B"/>
    <w:rsid w:val="006F56B4"/>
    <w:rsid w:val="00701676"/>
    <w:rsid w:val="00721F5E"/>
    <w:rsid w:val="0073504A"/>
    <w:rsid w:val="00740C89"/>
    <w:rsid w:val="00753B72"/>
    <w:rsid w:val="0076102B"/>
    <w:rsid w:val="0076282C"/>
    <w:rsid w:val="007673C8"/>
    <w:rsid w:val="00770294"/>
    <w:rsid w:val="00771682"/>
    <w:rsid w:val="0077638F"/>
    <w:rsid w:val="00776A5E"/>
    <w:rsid w:val="00780A17"/>
    <w:rsid w:val="007840E0"/>
    <w:rsid w:val="00790CF6"/>
    <w:rsid w:val="00791569"/>
    <w:rsid w:val="0079539D"/>
    <w:rsid w:val="007B2B59"/>
    <w:rsid w:val="007C3C77"/>
    <w:rsid w:val="007D0BFF"/>
    <w:rsid w:val="007D46CE"/>
    <w:rsid w:val="007E04A5"/>
    <w:rsid w:val="007E0706"/>
    <w:rsid w:val="007F442A"/>
    <w:rsid w:val="007F633A"/>
    <w:rsid w:val="00802394"/>
    <w:rsid w:val="00816091"/>
    <w:rsid w:val="008160CD"/>
    <w:rsid w:val="00821B79"/>
    <w:rsid w:val="00822B76"/>
    <w:rsid w:val="00823594"/>
    <w:rsid w:val="00832CC1"/>
    <w:rsid w:val="00840D4C"/>
    <w:rsid w:val="00843B16"/>
    <w:rsid w:val="0085310A"/>
    <w:rsid w:val="0085464B"/>
    <w:rsid w:val="00855FFA"/>
    <w:rsid w:val="00857E45"/>
    <w:rsid w:val="00861316"/>
    <w:rsid w:val="0086721A"/>
    <w:rsid w:val="00867935"/>
    <w:rsid w:val="00870147"/>
    <w:rsid w:val="00870E07"/>
    <w:rsid w:val="0088044D"/>
    <w:rsid w:val="008813D6"/>
    <w:rsid w:val="00882415"/>
    <w:rsid w:val="0088682B"/>
    <w:rsid w:val="00891648"/>
    <w:rsid w:val="0089536D"/>
    <w:rsid w:val="00896EEE"/>
    <w:rsid w:val="008A7E2E"/>
    <w:rsid w:val="008B4C4B"/>
    <w:rsid w:val="008B511D"/>
    <w:rsid w:val="008B6809"/>
    <w:rsid w:val="008C0BD1"/>
    <w:rsid w:val="008D3164"/>
    <w:rsid w:val="008E1B03"/>
    <w:rsid w:val="008E441E"/>
    <w:rsid w:val="008F6F29"/>
    <w:rsid w:val="00904A0B"/>
    <w:rsid w:val="009056CE"/>
    <w:rsid w:val="0091091D"/>
    <w:rsid w:val="00913545"/>
    <w:rsid w:val="00920B87"/>
    <w:rsid w:val="00923DD7"/>
    <w:rsid w:val="00926D15"/>
    <w:rsid w:val="009338B4"/>
    <w:rsid w:val="00934A03"/>
    <w:rsid w:val="00942F7A"/>
    <w:rsid w:val="00947CFD"/>
    <w:rsid w:val="009537E5"/>
    <w:rsid w:val="009557CB"/>
    <w:rsid w:val="009617F9"/>
    <w:rsid w:val="009668AC"/>
    <w:rsid w:val="00966E91"/>
    <w:rsid w:val="009746BD"/>
    <w:rsid w:val="0097510A"/>
    <w:rsid w:val="009758FD"/>
    <w:rsid w:val="00977870"/>
    <w:rsid w:val="00984A4E"/>
    <w:rsid w:val="00991915"/>
    <w:rsid w:val="00996114"/>
    <w:rsid w:val="009A0EF4"/>
    <w:rsid w:val="009A1A6C"/>
    <w:rsid w:val="009A74F5"/>
    <w:rsid w:val="009C2795"/>
    <w:rsid w:val="009D415B"/>
    <w:rsid w:val="009D709D"/>
    <w:rsid w:val="009D78BC"/>
    <w:rsid w:val="009E5E96"/>
    <w:rsid w:val="009E7829"/>
    <w:rsid w:val="00A03143"/>
    <w:rsid w:val="00A0578B"/>
    <w:rsid w:val="00A138D0"/>
    <w:rsid w:val="00A148BA"/>
    <w:rsid w:val="00A178A9"/>
    <w:rsid w:val="00A239BF"/>
    <w:rsid w:val="00A3265A"/>
    <w:rsid w:val="00A6135B"/>
    <w:rsid w:val="00A71FF9"/>
    <w:rsid w:val="00A76DD6"/>
    <w:rsid w:val="00A824CD"/>
    <w:rsid w:val="00A84B33"/>
    <w:rsid w:val="00AA36D4"/>
    <w:rsid w:val="00AA5934"/>
    <w:rsid w:val="00AB51E5"/>
    <w:rsid w:val="00AC0459"/>
    <w:rsid w:val="00AC184E"/>
    <w:rsid w:val="00AC62BA"/>
    <w:rsid w:val="00AD31B8"/>
    <w:rsid w:val="00AD58D9"/>
    <w:rsid w:val="00AD7C6C"/>
    <w:rsid w:val="00AE3807"/>
    <w:rsid w:val="00AE59DD"/>
    <w:rsid w:val="00AF0556"/>
    <w:rsid w:val="00AF50C1"/>
    <w:rsid w:val="00B014DE"/>
    <w:rsid w:val="00B05E13"/>
    <w:rsid w:val="00B137C2"/>
    <w:rsid w:val="00B15548"/>
    <w:rsid w:val="00B15E0E"/>
    <w:rsid w:val="00B171F6"/>
    <w:rsid w:val="00B21F1F"/>
    <w:rsid w:val="00B3058F"/>
    <w:rsid w:val="00B30DB2"/>
    <w:rsid w:val="00B32F66"/>
    <w:rsid w:val="00B42024"/>
    <w:rsid w:val="00B46C94"/>
    <w:rsid w:val="00B575A5"/>
    <w:rsid w:val="00B62559"/>
    <w:rsid w:val="00B628FB"/>
    <w:rsid w:val="00B6558C"/>
    <w:rsid w:val="00B72E12"/>
    <w:rsid w:val="00B821B1"/>
    <w:rsid w:val="00B83746"/>
    <w:rsid w:val="00B84455"/>
    <w:rsid w:val="00B85249"/>
    <w:rsid w:val="00B90F69"/>
    <w:rsid w:val="00B93D0A"/>
    <w:rsid w:val="00BA38D4"/>
    <w:rsid w:val="00BA464B"/>
    <w:rsid w:val="00BB1758"/>
    <w:rsid w:val="00BC02F6"/>
    <w:rsid w:val="00BD0124"/>
    <w:rsid w:val="00BD2675"/>
    <w:rsid w:val="00BF11C8"/>
    <w:rsid w:val="00BF7ED2"/>
    <w:rsid w:val="00C15945"/>
    <w:rsid w:val="00C15F70"/>
    <w:rsid w:val="00C23A5E"/>
    <w:rsid w:val="00C6377D"/>
    <w:rsid w:val="00C63D62"/>
    <w:rsid w:val="00C7671C"/>
    <w:rsid w:val="00C91DC7"/>
    <w:rsid w:val="00C940C8"/>
    <w:rsid w:val="00CA2788"/>
    <w:rsid w:val="00CA6768"/>
    <w:rsid w:val="00CA7F77"/>
    <w:rsid w:val="00CC4481"/>
    <w:rsid w:val="00CD5136"/>
    <w:rsid w:val="00CE44F4"/>
    <w:rsid w:val="00CE5244"/>
    <w:rsid w:val="00CF4045"/>
    <w:rsid w:val="00CF65CE"/>
    <w:rsid w:val="00D05DB6"/>
    <w:rsid w:val="00D06732"/>
    <w:rsid w:val="00D117BA"/>
    <w:rsid w:val="00D34961"/>
    <w:rsid w:val="00D41032"/>
    <w:rsid w:val="00D43299"/>
    <w:rsid w:val="00D47D1E"/>
    <w:rsid w:val="00D53A3F"/>
    <w:rsid w:val="00D562D5"/>
    <w:rsid w:val="00D723CC"/>
    <w:rsid w:val="00D82B8D"/>
    <w:rsid w:val="00D82C3B"/>
    <w:rsid w:val="00D905F4"/>
    <w:rsid w:val="00DA073E"/>
    <w:rsid w:val="00DA28E8"/>
    <w:rsid w:val="00DA58CD"/>
    <w:rsid w:val="00DB4CE8"/>
    <w:rsid w:val="00DC6D11"/>
    <w:rsid w:val="00DD26AC"/>
    <w:rsid w:val="00DE1EF7"/>
    <w:rsid w:val="00DE529F"/>
    <w:rsid w:val="00DE6F9A"/>
    <w:rsid w:val="00DE7ECA"/>
    <w:rsid w:val="00DF784A"/>
    <w:rsid w:val="00E064B5"/>
    <w:rsid w:val="00E159F7"/>
    <w:rsid w:val="00E22ADD"/>
    <w:rsid w:val="00E235F6"/>
    <w:rsid w:val="00E3718E"/>
    <w:rsid w:val="00E42808"/>
    <w:rsid w:val="00E44F80"/>
    <w:rsid w:val="00E47B1A"/>
    <w:rsid w:val="00E74DB1"/>
    <w:rsid w:val="00E872A6"/>
    <w:rsid w:val="00E97E9B"/>
    <w:rsid w:val="00EB349F"/>
    <w:rsid w:val="00EB6A1E"/>
    <w:rsid w:val="00EC30AA"/>
    <w:rsid w:val="00EC75BE"/>
    <w:rsid w:val="00ED14D3"/>
    <w:rsid w:val="00EE0204"/>
    <w:rsid w:val="00EE378F"/>
    <w:rsid w:val="00EE3DDA"/>
    <w:rsid w:val="00EE618D"/>
    <w:rsid w:val="00EE701D"/>
    <w:rsid w:val="00EF28E3"/>
    <w:rsid w:val="00EF4043"/>
    <w:rsid w:val="00F04E3F"/>
    <w:rsid w:val="00F1065B"/>
    <w:rsid w:val="00F1155D"/>
    <w:rsid w:val="00F15607"/>
    <w:rsid w:val="00F15F17"/>
    <w:rsid w:val="00F23B18"/>
    <w:rsid w:val="00F25D24"/>
    <w:rsid w:val="00F3413A"/>
    <w:rsid w:val="00F37A63"/>
    <w:rsid w:val="00F41B12"/>
    <w:rsid w:val="00F43357"/>
    <w:rsid w:val="00F446E4"/>
    <w:rsid w:val="00F450DA"/>
    <w:rsid w:val="00F55A2B"/>
    <w:rsid w:val="00F64AA5"/>
    <w:rsid w:val="00F65D28"/>
    <w:rsid w:val="00F85F2C"/>
    <w:rsid w:val="00FA1280"/>
    <w:rsid w:val="00FB03EB"/>
    <w:rsid w:val="00FB23DD"/>
    <w:rsid w:val="00FB5308"/>
    <w:rsid w:val="00FB5FB0"/>
    <w:rsid w:val="00FC14A0"/>
    <w:rsid w:val="00FC2B9F"/>
    <w:rsid w:val="00FD1396"/>
    <w:rsid w:val="00FD3177"/>
    <w:rsid w:val="00FF46D4"/>
    <w:rsid w:val="00FF7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15"/>
    <w:rPr>
      <w:rFonts w:eastAsiaTheme="minorEastAsia"/>
    </w:rPr>
  </w:style>
  <w:style w:type="paragraph" w:styleId="Heading3">
    <w:name w:val="heading 3"/>
    <w:basedOn w:val="Normal"/>
    <w:next w:val="Normal"/>
    <w:link w:val="Heading3Char"/>
    <w:uiPriority w:val="9"/>
    <w:unhideWhenUsed/>
    <w:qFormat/>
    <w:rsid w:val="003B50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List Paragraph1,Recommendation,Bullet List"/>
    <w:basedOn w:val="Normal"/>
    <w:link w:val="ListParagraphChar"/>
    <w:uiPriority w:val="34"/>
    <w:qFormat/>
    <w:rsid w:val="00991915"/>
    <w:pPr>
      <w:ind w:left="720"/>
      <w:contextualSpacing/>
    </w:pPr>
  </w:style>
  <w:style w:type="character" w:customStyle="1" w:styleId="ListParagraphChar">
    <w:name w:val="List Paragraph Char"/>
    <w:aliases w:val="List Paragraph 1 Char,Bullets Char,Table of contents numbered Char,footer text Char,List Paragraph1 Char,Recommendation Char,Bullet List Char"/>
    <w:basedOn w:val="DefaultParagraphFont"/>
    <w:link w:val="ListParagraph"/>
    <w:uiPriority w:val="34"/>
    <w:rsid w:val="00991915"/>
    <w:rPr>
      <w:rFonts w:eastAsiaTheme="minorEastAsia"/>
    </w:rPr>
  </w:style>
  <w:style w:type="paragraph" w:customStyle="1" w:styleId="Default">
    <w:name w:val="Default"/>
    <w:rsid w:val="008B680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3B5021"/>
    <w:rPr>
      <w:rFonts w:asciiTheme="majorHAnsi" w:eastAsiaTheme="majorEastAsia" w:hAnsiTheme="majorHAnsi" w:cstheme="majorBidi"/>
      <w:color w:val="1F4D78" w:themeColor="accent1" w:themeShade="7F"/>
      <w:sz w:val="24"/>
      <w:szCs w:val="24"/>
    </w:rPr>
  </w:style>
  <w:style w:type="table" w:customStyle="1" w:styleId="TableGrid">
    <w:name w:val="TableGrid"/>
    <w:rsid w:val="00006308"/>
    <w:pPr>
      <w:spacing w:after="0" w:line="240" w:lineRule="auto"/>
    </w:pPr>
    <w:rPr>
      <w:rFonts w:eastAsiaTheme="minorEastAsia"/>
      <w:lang w:eastAsia="en-Z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A1A6C"/>
    <w:rPr>
      <w:sz w:val="16"/>
      <w:szCs w:val="16"/>
    </w:rPr>
  </w:style>
  <w:style w:type="paragraph" w:styleId="CommentText">
    <w:name w:val="annotation text"/>
    <w:basedOn w:val="Normal"/>
    <w:link w:val="CommentTextChar"/>
    <w:uiPriority w:val="99"/>
    <w:semiHidden/>
    <w:unhideWhenUsed/>
    <w:rsid w:val="009A1A6C"/>
    <w:pPr>
      <w:spacing w:line="240" w:lineRule="auto"/>
    </w:pPr>
    <w:rPr>
      <w:sz w:val="20"/>
      <w:szCs w:val="20"/>
    </w:rPr>
  </w:style>
  <w:style w:type="character" w:customStyle="1" w:styleId="CommentTextChar">
    <w:name w:val="Comment Text Char"/>
    <w:basedOn w:val="DefaultParagraphFont"/>
    <w:link w:val="CommentText"/>
    <w:uiPriority w:val="99"/>
    <w:semiHidden/>
    <w:rsid w:val="009A1A6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A1A6C"/>
    <w:rPr>
      <w:b/>
      <w:bCs/>
    </w:rPr>
  </w:style>
  <w:style w:type="character" w:customStyle="1" w:styleId="CommentSubjectChar">
    <w:name w:val="Comment Subject Char"/>
    <w:basedOn w:val="CommentTextChar"/>
    <w:link w:val="CommentSubject"/>
    <w:uiPriority w:val="99"/>
    <w:semiHidden/>
    <w:rsid w:val="009A1A6C"/>
    <w:rPr>
      <w:rFonts w:eastAsiaTheme="minorEastAsia"/>
      <w:b/>
      <w:bCs/>
      <w:sz w:val="20"/>
      <w:szCs w:val="20"/>
    </w:rPr>
  </w:style>
  <w:style w:type="paragraph" w:styleId="BalloonText">
    <w:name w:val="Balloon Text"/>
    <w:basedOn w:val="Normal"/>
    <w:link w:val="BalloonTextChar"/>
    <w:uiPriority w:val="99"/>
    <w:semiHidden/>
    <w:unhideWhenUsed/>
    <w:rsid w:val="009A1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A6C"/>
    <w:rPr>
      <w:rFonts w:ascii="Segoe UI" w:eastAsiaTheme="minorEastAsia" w:hAnsi="Segoe UI" w:cs="Segoe UI"/>
      <w:sz w:val="18"/>
      <w:szCs w:val="18"/>
    </w:rPr>
  </w:style>
  <w:style w:type="table" w:styleId="TableGrid0">
    <w:name w:val="Table Grid"/>
    <w:basedOn w:val="TableNormal"/>
    <w:uiPriority w:val="39"/>
    <w:rsid w:val="00674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B3058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11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55D"/>
    <w:rPr>
      <w:rFonts w:eastAsiaTheme="minorEastAsia"/>
    </w:rPr>
  </w:style>
  <w:style w:type="paragraph" w:styleId="Footer">
    <w:name w:val="footer"/>
    <w:basedOn w:val="Normal"/>
    <w:link w:val="FooterChar"/>
    <w:uiPriority w:val="99"/>
    <w:unhideWhenUsed/>
    <w:rsid w:val="00F11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55D"/>
    <w:rPr>
      <w:rFonts w:eastAsiaTheme="minorEastAsia"/>
    </w:rPr>
  </w:style>
  <w:style w:type="paragraph" w:styleId="NormalWeb">
    <w:name w:val="Normal (Web)"/>
    <w:basedOn w:val="Normal"/>
    <w:uiPriority w:val="99"/>
    <w:unhideWhenUsed/>
    <w:rsid w:val="004244D5"/>
    <w:pPr>
      <w:spacing w:before="100" w:beforeAutospacing="1" w:after="100" w:afterAutospacing="1" w:line="240" w:lineRule="auto"/>
    </w:pPr>
    <w:rPr>
      <w:rFonts w:ascii="Times New Roman" w:eastAsia="Times New Roman" w:hAnsi="Times New Roman" w:cs="Times New Roman"/>
      <w:sz w:val="24"/>
      <w:szCs w:val="24"/>
      <w:lang w:eastAsia="en-ZA"/>
    </w:rPr>
  </w:style>
  <w:style w:type="table" w:customStyle="1" w:styleId="TableGrid1">
    <w:name w:val="TableGrid1"/>
    <w:rsid w:val="004808A7"/>
    <w:pPr>
      <w:spacing w:after="0" w:line="240" w:lineRule="auto"/>
    </w:pPr>
    <w:rPr>
      <w:rFonts w:eastAsiaTheme="minorEastAsia"/>
      <w:lang w:eastAsia="en-ZA"/>
    </w:rPr>
    <w:tblPr>
      <w:tblCellMar>
        <w:top w:w="0" w:type="dxa"/>
        <w:left w:w="0" w:type="dxa"/>
        <w:bottom w:w="0" w:type="dxa"/>
        <w:right w:w="0" w:type="dxa"/>
      </w:tblCellMar>
    </w:tblPr>
  </w:style>
  <w:style w:type="table" w:customStyle="1" w:styleId="TableGrid2">
    <w:name w:val="TableGrid2"/>
    <w:rsid w:val="00470F7C"/>
    <w:pPr>
      <w:spacing w:after="0" w:line="240" w:lineRule="auto"/>
    </w:pPr>
    <w:rPr>
      <w:rFonts w:eastAsiaTheme="minorEastAsia"/>
      <w:lang w:eastAsia="en-ZA"/>
    </w:rPr>
    <w:tblPr>
      <w:tblCellMar>
        <w:top w:w="0" w:type="dxa"/>
        <w:left w:w="0" w:type="dxa"/>
        <w:bottom w:w="0" w:type="dxa"/>
        <w:right w:w="0" w:type="dxa"/>
      </w:tblCellMar>
    </w:tblPr>
  </w:style>
  <w:style w:type="table" w:customStyle="1" w:styleId="TableGrid3">
    <w:name w:val="TableGrid3"/>
    <w:rsid w:val="00CD5136"/>
    <w:pPr>
      <w:spacing w:after="0" w:line="240" w:lineRule="auto"/>
    </w:pPr>
    <w:rPr>
      <w:rFonts w:eastAsiaTheme="minorEastAsia"/>
      <w:lang w:eastAsia="en-ZA"/>
    </w:rPr>
    <w:tblPr>
      <w:tblCellMar>
        <w:top w:w="0" w:type="dxa"/>
        <w:left w:w="0" w:type="dxa"/>
        <w:bottom w:w="0" w:type="dxa"/>
        <w:right w:w="0" w:type="dxa"/>
      </w:tblCellMar>
    </w:tblPr>
  </w:style>
  <w:style w:type="table" w:customStyle="1" w:styleId="TableGrid4">
    <w:name w:val="TableGrid4"/>
    <w:rsid w:val="00F85F2C"/>
    <w:pPr>
      <w:spacing w:after="0" w:line="240" w:lineRule="auto"/>
    </w:pPr>
    <w:rPr>
      <w:rFonts w:eastAsiaTheme="minorEastAsia"/>
      <w:lang w:eastAsia="en-Z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2744912">
      <w:bodyDiv w:val="1"/>
      <w:marLeft w:val="0"/>
      <w:marRight w:val="0"/>
      <w:marTop w:val="0"/>
      <w:marBottom w:val="0"/>
      <w:divBdr>
        <w:top w:val="none" w:sz="0" w:space="0" w:color="auto"/>
        <w:left w:val="none" w:sz="0" w:space="0" w:color="auto"/>
        <w:bottom w:val="none" w:sz="0" w:space="0" w:color="auto"/>
        <w:right w:val="none" w:sz="0" w:space="0" w:color="auto"/>
      </w:divBdr>
    </w:div>
    <w:div w:id="438188077">
      <w:bodyDiv w:val="1"/>
      <w:marLeft w:val="0"/>
      <w:marRight w:val="0"/>
      <w:marTop w:val="0"/>
      <w:marBottom w:val="0"/>
      <w:divBdr>
        <w:top w:val="none" w:sz="0" w:space="0" w:color="auto"/>
        <w:left w:val="none" w:sz="0" w:space="0" w:color="auto"/>
        <w:bottom w:val="none" w:sz="0" w:space="0" w:color="auto"/>
        <w:right w:val="none" w:sz="0" w:space="0" w:color="auto"/>
      </w:divBdr>
    </w:div>
    <w:div w:id="640962665">
      <w:bodyDiv w:val="1"/>
      <w:marLeft w:val="0"/>
      <w:marRight w:val="0"/>
      <w:marTop w:val="0"/>
      <w:marBottom w:val="0"/>
      <w:divBdr>
        <w:top w:val="none" w:sz="0" w:space="0" w:color="auto"/>
        <w:left w:val="none" w:sz="0" w:space="0" w:color="auto"/>
        <w:bottom w:val="none" w:sz="0" w:space="0" w:color="auto"/>
        <w:right w:val="none" w:sz="0" w:space="0" w:color="auto"/>
      </w:divBdr>
    </w:div>
    <w:div w:id="718481346">
      <w:bodyDiv w:val="1"/>
      <w:marLeft w:val="0"/>
      <w:marRight w:val="0"/>
      <w:marTop w:val="0"/>
      <w:marBottom w:val="0"/>
      <w:divBdr>
        <w:top w:val="none" w:sz="0" w:space="0" w:color="auto"/>
        <w:left w:val="none" w:sz="0" w:space="0" w:color="auto"/>
        <w:bottom w:val="none" w:sz="0" w:space="0" w:color="auto"/>
        <w:right w:val="none" w:sz="0" w:space="0" w:color="auto"/>
      </w:divBdr>
    </w:div>
    <w:div w:id="1719739332">
      <w:bodyDiv w:val="1"/>
      <w:marLeft w:val="0"/>
      <w:marRight w:val="0"/>
      <w:marTop w:val="0"/>
      <w:marBottom w:val="0"/>
      <w:divBdr>
        <w:top w:val="none" w:sz="0" w:space="0" w:color="auto"/>
        <w:left w:val="none" w:sz="0" w:space="0" w:color="auto"/>
        <w:bottom w:val="none" w:sz="0" w:space="0" w:color="auto"/>
        <w:right w:val="none" w:sz="0" w:space="0" w:color="auto"/>
      </w:divBdr>
    </w:div>
    <w:div w:id="1726947528">
      <w:bodyDiv w:val="1"/>
      <w:marLeft w:val="0"/>
      <w:marRight w:val="0"/>
      <w:marTop w:val="0"/>
      <w:marBottom w:val="0"/>
      <w:divBdr>
        <w:top w:val="none" w:sz="0" w:space="0" w:color="auto"/>
        <w:left w:val="none" w:sz="0" w:space="0" w:color="auto"/>
        <w:bottom w:val="none" w:sz="0" w:space="0" w:color="auto"/>
        <w:right w:val="none" w:sz="0" w:space="0" w:color="auto"/>
      </w:divBdr>
    </w:div>
    <w:div w:id="200960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6EC30-507A-4C52-B26E-EA8D3420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6245</Words>
  <Characters>35601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Mahdiyah Koff</dc:creator>
  <cp:lastModifiedBy>User</cp:lastModifiedBy>
  <cp:revision>2</cp:revision>
  <dcterms:created xsi:type="dcterms:W3CDTF">2023-05-24T17:57:00Z</dcterms:created>
  <dcterms:modified xsi:type="dcterms:W3CDTF">2023-05-24T17:57:00Z</dcterms:modified>
</cp:coreProperties>
</file>