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5C" w:rsidRPr="00892F76" w:rsidRDefault="00292186" w:rsidP="00892F76">
      <w:pPr>
        <w:spacing w:after="0" w:line="240" w:lineRule="auto"/>
        <w:rPr>
          <w:rFonts w:ascii="Arial" w:eastAsia="Calibri" w:hAnsi="Arial" w:cs="Arial"/>
          <w:b/>
          <w:sz w:val="20"/>
          <w:szCs w:val="20"/>
          <w:lang w:val="en-ZA"/>
        </w:rPr>
      </w:pPr>
      <w:r w:rsidRPr="00892F76">
        <w:rPr>
          <w:rFonts w:ascii="Arial" w:eastAsia="Calibri" w:hAnsi="Arial" w:cs="Arial"/>
          <w:b/>
          <w:sz w:val="20"/>
          <w:szCs w:val="20"/>
          <w:lang w:val="en-ZA"/>
        </w:rPr>
        <w:t>Report of the Joint Standing Committee on the Financial Management o</w:t>
      </w:r>
      <w:r w:rsidR="002563F2" w:rsidRPr="00892F76">
        <w:rPr>
          <w:rFonts w:ascii="Arial" w:eastAsia="Calibri" w:hAnsi="Arial" w:cs="Arial"/>
          <w:b/>
          <w:sz w:val="20"/>
          <w:szCs w:val="20"/>
          <w:lang w:val="en-ZA"/>
        </w:rPr>
        <w:t>f</w:t>
      </w:r>
      <w:r w:rsidR="00702B77" w:rsidRPr="00892F76">
        <w:rPr>
          <w:rFonts w:ascii="Arial" w:eastAsia="Calibri" w:hAnsi="Arial" w:cs="Arial"/>
          <w:b/>
          <w:sz w:val="20"/>
          <w:szCs w:val="20"/>
          <w:lang w:val="en-ZA"/>
        </w:rPr>
        <w:t xml:space="preserve"> Parliament on the Parl</w:t>
      </w:r>
      <w:r w:rsidRPr="00892F76">
        <w:rPr>
          <w:rFonts w:ascii="Arial" w:eastAsia="Calibri" w:hAnsi="Arial" w:cs="Arial"/>
          <w:b/>
          <w:sz w:val="20"/>
          <w:szCs w:val="20"/>
          <w:lang w:val="en-ZA"/>
        </w:rPr>
        <w:t>iament of the Republic of South Africa’s</w:t>
      </w:r>
      <w:r w:rsidR="00256B5F" w:rsidRPr="00892F76">
        <w:rPr>
          <w:rFonts w:ascii="Arial" w:eastAsia="Calibri" w:hAnsi="Arial" w:cs="Arial"/>
          <w:b/>
          <w:sz w:val="20"/>
          <w:szCs w:val="20"/>
          <w:lang w:val="en-ZA"/>
        </w:rPr>
        <w:t xml:space="preserve"> 2022/23</w:t>
      </w:r>
      <w:r w:rsidRPr="00892F76">
        <w:rPr>
          <w:rFonts w:ascii="Arial" w:eastAsia="Calibri" w:hAnsi="Arial" w:cs="Arial"/>
          <w:b/>
          <w:sz w:val="20"/>
          <w:szCs w:val="20"/>
          <w:lang w:val="en-ZA"/>
        </w:rPr>
        <w:t xml:space="preserve"> Mid-Year Performance, dated </w:t>
      </w:r>
      <w:r w:rsidR="00077418" w:rsidRPr="00892F76">
        <w:rPr>
          <w:rFonts w:ascii="Arial" w:eastAsia="Calibri" w:hAnsi="Arial" w:cs="Arial"/>
          <w:b/>
          <w:sz w:val="20"/>
          <w:szCs w:val="20"/>
          <w:lang w:val="en-ZA"/>
        </w:rPr>
        <w:t>19</w:t>
      </w:r>
      <w:r w:rsidR="0018213C" w:rsidRPr="00892F76">
        <w:rPr>
          <w:rFonts w:ascii="Arial" w:eastAsia="Calibri" w:hAnsi="Arial" w:cs="Arial"/>
          <w:b/>
          <w:sz w:val="20"/>
          <w:szCs w:val="20"/>
          <w:lang w:val="en-ZA"/>
        </w:rPr>
        <w:t xml:space="preserve"> May 2023</w:t>
      </w:r>
    </w:p>
    <w:p w:rsidR="003F283C" w:rsidRPr="00892F76" w:rsidRDefault="003F283C" w:rsidP="00892F76">
      <w:pPr>
        <w:autoSpaceDE w:val="0"/>
        <w:autoSpaceDN w:val="0"/>
        <w:adjustRightInd w:val="0"/>
        <w:spacing w:after="0" w:line="240" w:lineRule="auto"/>
        <w:rPr>
          <w:rFonts w:ascii="Arial" w:eastAsia="Calibri" w:hAnsi="Arial" w:cs="Arial"/>
          <w:sz w:val="20"/>
          <w:szCs w:val="20"/>
          <w:lang w:val="en-ZA"/>
        </w:rPr>
      </w:pPr>
    </w:p>
    <w:p w:rsidR="00CC7C5C" w:rsidRPr="00892F76" w:rsidRDefault="00CC7C5C" w:rsidP="00892F76">
      <w:pPr>
        <w:autoSpaceDE w:val="0"/>
        <w:autoSpaceDN w:val="0"/>
        <w:adjustRightInd w:val="0"/>
        <w:spacing w:after="0" w:line="240" w:lineRule="auto"/>
        <w:rPr>
          <w:rFonts w:ascii="Arial" w:eastAsia="Calibri" w:hAnsi="Arial" w:cs="Arial"/>
          <w:sz w:val="20"/>
          <w:szCs w:val="20"/>
          <w:lang w:val="en-ZA"/>
        </w:rPr>
      </w:pPr>
      <w:r w:rsidRPr="00892F76">
        <w:rPr>
          <w:rFonts w:ascii="Arial" w:eastAsia="Calibri" w:hAnsi="Arial" w:cs="Arial"/>
          <w:sz w:val="20"/>
          <w:szCs w:val="20"/>
          <w:lang w:val="en-ZA"/>
        </w:rPr>
        <w:t xml:space="preserve">The Joint Standing Committee on the Financial </w:t>
      </w:r>
      <w:r w:rsidR="00702B77" w:rsidRPr="00892F76">
        <w:rPr>
          <w:rFonts w:ascii="Arial" w:eastAsia="Calibri" w:hAnsi="Arial" w:cs="Arial"/>
          <w:sz w:val="20"/>
          <w:szCs w:val="20"/>
          <w:lang w:val="en-ZA"/>
        </w:rPr>
        <w:t xml:space="preserve">Management of Parliament </w:t>
      </w:r>
      <w:r w:rsidRPr="00892F76">
        <w:rPr>
          <w:rFonts w:ascii="Arial" w:eastAsia="Calibri" w:hAnsi="Arial" w:cs="Arial"/>
          <w:sz w:val="20"/>
          <w:szCs w:val="20"/>
          <w:lang w:val="en-ZA"/>
        </w:rPr>
        <w:t>having considered the Parliament of the</w:t>
      </w:r>
      <w:r w:rsidR="00256B5F" w:rsidRPr="00892F76">
        <w:rPr>
          <w:rFonts w:ascii="Arial" w:eastAsia="Calibri" w:hAnsi="Arial" w:cs="Arial"/>
          <w:sz w:val="20"/>
          <w:szCs w:val="20"/>
          <w:lang w:val="en-ZA"/>
        </w:rPr>
        <w:t xml:space="preserve"> Republic of South Africa’s 2022/23</w:t>
      </w:r>
      <w:r w:rsidR="00702B77" w:rsidRPr="00892F76">
        <w:rPr>
          <w:rFonts w:ascii="Arial" w:eastAsia="Calibri" w:hAnsi="Arial" w:cs="Arial"/>
          <w:sz w:val="20"/>
          <w:szCs w:val="20"/>
          <w:lang w:val="en-ZA"/>
        </w:rPr>
        <w:t xml:space="preserve"> mid-year performance</w:t>
      </w:r>
      <w:r w:rsidRPr="00892F76">
        <w:rPr>
          <w:rFonts w:ascii="Arial" w:eastAsia="Calibri" w:hAnsi="Arial" w:cs="Arial"/>
          <w:sz w:val="20"/>
          <w:szCs w:val="20"/>
          <w:lang w:val="en-ZA"/>
        </w:rPr>
        <w:t>, reports as follows:</w:t>
      </w:r>
    </w:p>
    <w:p w:rsidR="004826C1" w:rsidRPr="00892F76" w:rsidRDefault="004826C1" w:rsidP="00892F76">
      <w:pPr>
        <w:autoSpaceDE w:val="0"/>
        <w:autoSpaceDN w:val="0"/>
        <w:adjustRightInd w:val="0"/>
        <w:spacing w:after="0" w:line="240" w:lineRule="auto"/>
        <w:rPr>
          <w:rFonts w:ascii="Arial" w:eastAsia="Calibri" w:hAnsi="Arial" w:cs="Arial"/>
          <w:sz w:val="20"/>
          <w:szCs w:val="20"/>
          <w:lang w:val="en-ZA"/>
        </w:rPr>
      </w:pPr>
    </w:p>
    <w:p w:rsidR="00CC7C5C" w:rsidRPr="00892F76" w:rsidRDefault="00CC7C5C" w:rsidP="00892F76">
      <w:pPr>
        <w:spacing w:after="0" w:line="240" w:lineRule="auto"/>
        <w:contextualSpacing/>
        <w:rPr>
          <w:rFonts w:ascii="Arial" w:eastAsia="Calibri" w:hAnsi="Arial" w:cs="Arial"/>
          <w:b/>
          <w:sz w:val="20"/>
          <w:szCs w:val="20"/>
          <w:lang w:val="en-ZA"/>
        </w:rPr>
      </w:pPr>
      <w:r w:rsidRPr="00892F76">
        <w:rPr>
          <w:rFonts w:ascii="Arial" w:eastAsia="Calibri" w:hAnsi="Arial" w:cs="Arial"/>
          <w:b/>
          <w:sz w:val="20"/>
          <w:szCs w:val="20"/>
          <w:lang w:val="en-ZA"/>
        </w:rPr>
        <w:t>1.</w:t>
      </w:r>
      <w:r w:rsidRPr="00892F76">
        <w:rPr>
          <w:rFonts w:ascii="Arial" w:eastAsia="Calibri" w:hAnsi="Arial" w:cs="Arial"/>
          <w:b/>
          <w:sz w:val="20"/>
          <w:szCs w:val="20"/>
          <w:lang w:val="en-ZA"/>
        </w:rPr>
        <w:tab/>
      </w:r>
      <w:r w:rsidR="001C4E9F" w:rsidRPr="00892F76">
        <w:rPr>
          <w:rFonts w:ascii="Arial" w:eastAsia="Calibri" w:hAnsi="Arial" w:cs="Arial"/>
          <w:b/>
          <w:sz w:val="20"/>
          <w:szCs w:val="20"/>
          <w:lang w:val="en-ZA"/>
        </w:rPr>
        <w:t>Introduction</w:t>
      </w:r>
    </w:p>
    <w:p w:rsidR="00CC7C5C" w:rsidRPr="00892F76" w:rsidRDefault="00CC7C5C"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1.1</w:t>
      </w:r>
      <w:r w:rsidRPr="00892F76">
        <w:rPr>
          <w:rFonts w:ascii="Arial" w:eastAsia="Calibri" w:hAnsi="Arial" w:cs="Arial"/>
          <w:sz w:val="20"/>
          <w:szCs w:val="20"/>
          <w:lang w:val="en-ZA"/>
        </w:rPr>
        <w:tab/>
        <w:t>Section 4 of the Financial Management of Parliament a</w:t>
      </w:r>
      <w:r w:rsidR="00DF53BA" w:rsidRPr="00892F76">
        <w:rPr>
          <w:rFonts w:ascii="Arial" w:eastAsia="Calibri" w:hAnsi="Arial" w:cs="Arial"/>
          <w:sz w:val="20"/>
          <w:szCs w:val="20"/>
          <w:lang w:val="en-ZA"/>
        </w:rPr>
        <w:t>nd Provincial Legislatures Act, No</w:t>
      </w:r>
      <w:r w:rsidR="00891ED2" w:rsidRPr="00892F76">
        <w:rPr>
          <w:rFonts w:ascii="Arial" w:eastAsia="Calibri" w:hAnsi="Arial" w:cs="Arial"/>
          <w:sz w:val="20"/>
          <w:szCs w:val="20"/>
          <w:lang w:val="en-ZA"/>
        </w:rPr>
        <w:t>.</w:t>
      </w:r>
      <w:r w:rsidR="00DF53BA" w:rsidRPr="00892F76">
        <w:rPr>
          <w:rFonts w:ascii="Arial" w:eastAsia="Calibri" w:hAnsi="Arial" w:cs="Arial"/>
          <w:sz w:val="20"/>
          <w:szCs w:val="20"/>
          <w:lang w:val="en-ZA"/>
        </w:rPr>
        <w:t xml:space="preserve"> 10 of 2009 (the FMPPLA)</w:t>
      </w:r>
      <w:r w:rsidRPr="00892F76">
        <w:rPr>
          <w:rFonts w:ascii="Arial" w:eastAsia="Calibri" w:hAnsi="Arial" w:cs="Arial"/>
          <w:sz w:val="20"/>
          <w:szCs w:val="20"/>
          <w:lang w:val="en-ZA"/>
        </w:rPr>
        <w:t xml:space="preserve"> provides for the establishment of an oversight mechanism to maintain oversight of the financial management of Parliament. The Joint Standing Committee on the Financial Management of Parliament (the Committee) was established in terms of the Joint Rules of Parliament. The Committee has the powers afforded to parliamentary committees under sections 56 and 69 of the Constitution. </w:t>
      </w:r>
    </w:p>
    <w:p w:rsidR="00702B77" w:rsidRPr="00892F76" w:rsidRDefault="00702B77"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1.2</w:t>
      </w:r>
      <w:r w:rsidRPr="00892F76">
        <w:rPr>
          <w:rFonts w:ascii="Arial" w:eastAsia="Calibri" w:hAnsi="Arial" w:cs="Arial"/>
          <w:sz w:val="20"/>
          <w:szCs w:val="20"/>
          <w:lang w:val="en-ZA"/>
        </w:rPr>
        <w:tab/>
        <w:t>Section 52 of the FMPPLA requires that the accounting officer must, within 30 days of the end of each quarter, report to the Executive Authority on Parliament’s quarterly performance in respect of the implementation of the Annual Performance Plan (APP). The Executive Authority in turn, and in terms of section 54 of the FMPPLA, must table each quarterly report five working days of receiving it for the consideration of the oversight mechanism i.e. the JSC Financial Ma</w:t>
      </w:r>
      <w:r w:rsidR="00256B5F" w:rsidRPr="00892F76">
        <w:rPr>
          <w:rFonts w:ascii="Arial" w:eastAsia="Calibri" w:hAnsi="Arial" w:cs="Arial"/>
          <w:sz w:val="20"/>
          <w:szCs w:val="20"/>
          <w:lang w:val="en-ZA"/>
        </w:rPr>
        <w:t>nagement of Parliament. The 2022/23</w:t>
      </w:r>
      <w:r w:rsidRPr="00892F76">
        <w:rPr>
          <w:rFonts w:ascii="Arial" w:eastAsia="Calibri" w:hAnsi="Arial" w:cs="Arial"/>
          <w:sz w:val="20"/>
          <w:szCs w:val="20"/>
          <w:lang w:val="en-ZA"/>
        </w:rPr>
        <w:t xml:space="preserve"> Quart</w:t>
      </w:r>
      <w:r w:rsidR="00825CB7" w:rsidRPr="00892F76">
        <w:rPr>
          <w:rFonts w:ascii="Arial" w:eastAsia="Calibri" w:hAnsi="Arial" w:cs="Arial"/>
          <w:sz w:val="20"/>
          <w:szCs w:val="20"/>
          <w:lang w:val="en-ZA"/>
        </w:rPr>
        <w:t>er 2 report was duly tabled,</w:t>
      </w:r>
      <w:r w:rsidRPr="00892F76">
        <w:rPr>
          <w:rFonts w:ascii="Arial" w:eastAsia="Calibri" w:hAnsi="Arial" w:cs="Arial"/>
          <w:sz w:val="20"/>
          <w:szCs w:val="20"/>
          <w:lang w:val="en-ZA"/>
        </w:rPr>
        <w:t xml:space="preserve"> on </w:t>
      </w:r>
      <w:r w:rsidR="000415D4" w:rsidRPr="00892F76">
        <w:rPr>
          <w:rFonts w:ascii="Arial" w:eastAsia="Calibri" w:hAnsi="Arial" w:cs="Arial"/>
          <w:sz w:val="20"/>
          <w:szCs w:val="20"/>
          <w:lang w:val="en-ZA"/>
        </w:rPr>
        <w:t>2 November 2022, and referred on 3 November 2022</w:t>
      </w:r>
      <w:r w:rsidRPr="00892F76">
        <w:rPr>
          <w:rFonts w:ascii="Arial" w:eastAsia="Calibri" w:hAnsi="Arial" w:cs="Arial"/>
          <w:sz w:val="20"/>
          <w:szCs w:val="20"/>
          <w:lang w:val="en-ZA"/>
        </w:rPr>
        <w:t>.</w:t>
      </w:r>
    </w:p>
    <w:p w:rsidR="00CC7C5C" w:rsidRPr="00892F76" w:rsidRDefault="00256B5F"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1.3</w:t>
      </w:r>
      <w:r w:rsidRPr="00892F76">
        <w:rPr>
          <w:rFonts w:ascii="Arial" w:eastAsia="Calibri" w:hAnsi="Arial" w:cs="Arial"/>
          <w:sz w:val="20"/>
          <w:szCs w:val="20"/>
          <w:lang w:val="en-ZA"/>
        </w:rPr>
        <w:tab/>
        <w:t>Parliament’s 2022/23</w:t>
      </w:r>
      <w:r w:rsidR="00CC7C5C" w:rsidRPr="00892F76">
        <w:rPr>
          <w:rFonts w:ascii="Arial" w:eastAsia="Calibri" w:hAnsi="Arial" w:cs="Arial"/>
          <w:sz w:val="20"/>
          <w:szCs w:val="20"/>
          <w:lang w:val="en-ZA"/>
        </w:rPr>
        <w:t xml:space="preserve"> mid-year performance report was tabled</w:t>
      </w:r>
      <w:r w:rsidR="00057CD9" w:rsidRPr="00892F76">
        <w:rPr>
          <w:rFonts w:ascii="Arial" w:eastAsia="Calibri" w:hAnsi="Arial" w:cs="Arial"/>
          <w:sz w:val="20"/>
          <w:szCs w:val="20"/>
          <w:lang w:val="en-ZA"/>
        </w:rPr>
        <w:t xml:space="preserve"> on</w:t>
      </w:r>
      <w:r w:rsidR="00CC7C5C" w:rsidRPr="00892F76">
        <w:rPr>
          <w:rFonts w:ascii="Arial" w:eastAsia="Calibri" w:hAnsi="Arial" w:cs="Arial"/>
          <w:sz w:val="20"/>
          <w:szCs w:val="20"/>
          <w:lang w:val="en-ZA"/>
        </w:rPr>
        <w:t xml:space="preserve"> </w:t>
      </w:r>
      <w:r w:rsidR="000415D4" w:rsidRPr="00892F76">
        <w:rPr>
          <w:rFonts w:ascii="Arial" w:eastAsia="Calibri" w:hAnsi="Arial" w:cs="Arial"/>
          <w:sz w:val="20"/>
          <w:szCs w:val="20"/>
          <w:lang w:val="en-ZA"/>
        </w:rPr>
        <w:t>2</w:t>
      </w:r>
      <w:r w:rsidR="009E67F5" w:rsidRPr="00892F76">
        <w:rPr>
          <w:rFonts w:ascii="Arial" w:eastAsia="Calibri" w:hAnsi="Arial" w:cs="Arial"/>
          <w:sz w:val="20"/>
          <w:szCs w:val="20"/>
          <w:lang w:val="en-ZA"/>
        </w:rPr>
        <w:t xml:space="preserve"> November</w:t>
      </w:r>
      <w:r w:rsidR="00825CB7" w:rsidRPr="00892F76">
        <w:rPr>
          <w:rFonts w:ascii="Arial" w:eastAsia="Calibri" w:hAnsi="Arial" w:cs="Arial"/>
          <w:sz w:val="20"/>
          <w:szCs w:val="20"/>
          <w:lang w:val="en-ZA"/>
        </w:rPr>
        <w:t xml:space="preserve"> 20</w:t>
      </w:r>
      <w:r w:rsidR="000415D4" w:rsidRPr="00892F76">
        <w:rPr>
          <w:rFonts w:ascii="Arial" w:eastAsia="Calibri" w:hAnsi="Arial" w:cs="Arial"/>
          <w:sz w:val="20"/>
          <w:szCs w:val="20"/>
          <w:lang w:val="en-ZA"/>
        </w:rPr>
        <w:t>22, and referred to the Committee on 3 November 2022</w:t>
      </w:r>
      <w:r w:rsidR="00DF53BA" w:rsidRPr="00892F76">
        <w:rPr>
          <w:rFonts w:ascii="Arial" w:eastAsia="Calibri" w:hAnsi="Arial" w:cs="Arial"/>
          <w:sz w:val="20"/>
          <w:szCs w:val="20"/>
          <w:lang w:val="en-ZA"/>
        </w:rPr>
        <w:t xml:space="preserve"> </w:t>
      </w:r>
      <w:r w:rsidR="00CC7C5C" w:rsidRPr="00892F76">
        <w:rPr>
          <w:rFonts w:ascii="Arial" w:eastAsia="Calibri" w:hAnsi="Arial" w:cs="Arial"/>
          <w:sz w:val="20"/>
          <w:szCs w:val="20"/>
          <w:lang w:val="en-ZA"/>
        </w:rPr>
        <w:t>for consideration in terms of</w:t>
      </w:r>
      <w:r w:rsidR="00DF53BA" w:rsidRPr="00892F76">
        <w:rPr>
          <w:rFonts w:ascii="Arial" w:eastAsia="Calibri" w:hAnsi="Arial" w:cs="Arial"/>
          <w:sz w:val="20"/>
          <w:szCs w:val="20"/>
          <w:lang w:val="en-ZA"/>
        </w:rPr>
        <w:t xml:space="preserve"> se</w:t>
      </w:r>
      <w:r w:rsidR="001515DA" w:rsidRPr="00892F76">
        <w:rPr>
          <w:rFonts w:ascii="Arial" w:eastAsia="Calibri" w:hAnsi="Arial" w:cs="Arial"/>
          <w:sz w:val="20"/>
          <w:szCs w:val="20"/>
          <w:lang w:val="en-ZA"/>
        </w:rPr>
        <w:t xml:space="preserve">ction 54(2) of the FMPPLA. The senior management team </w:t>
      </w:r>
      <w:r w:rsidR="00CC7C5C" w:rsidRPr="00892F76">
        <w:rPr>
          <w:rFonts w:ascii="Arial" w:eastAsia="Calibri" w:hAnsi="Arial" w:cs="Arial"/>
          <w:sz w:val="20"/>
          <w:szCs w:val="20"/>
          <w:lang w:val="en-ZA"/>
        </w:rPr>
        <w:t xml:space="preserve">appeared before the Committee in a meeting held on </w:t>
      </w:r>
      <w:r w:rsidRPr="00892F76">
        <w:rPr>
          <w:rFonts w:ascii="Arial" w:eastAsia="Calibri" w:hAnsi="Arial" w:cs="Arial"/>
          <w:sz w:val="20"/>
          <w:szCs w:val="20"/>
          <w:lang w:val="en-ZA"/>
        </w:rPr>
        <w:t>2 December 2022</w:t>
      </w:r>
      <w:r w:rsidR="00825CB7" w:rsidRPr="00892F76">
        <w:rPr>
          <w:rFonts w:ascii="Arial" w:eastAsia="Calibri" w:hAnsi="Arial" w:cs="Arial"/>
          <w:sz w:val="20"/>
          <w:szCs w:val="20"/>
          <w:lang w:val="en-ZA"/>
        </w:rPr>
        <w:t xml:space="preserve"> where the institution’s performance in the period under review was interrogated</w:t>
      </w:r>
      <w:r w:rsidRPr="00892F76">
        <w:rPr>
          <w:rFonts w:ascii="Arial" w:eastAsia="Calibri" w:hAnsi="Arial" w:cs="Arial"/>
          <w:sz w:val="20"/>
          <w:szCs w:val="20"/>
          <w:lang w:val="en-ZA"/>
        </w:rPr>
        <w:t>.</w:t>
      </w:r>
    </w:p>
    <w:p w:rsidR="00CC7C5C" w:rsidRPr="00892F76" w:rsidRDefault="00702B77"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1.4</w:t>
      </w:r>
      <w:r w:rsidR="00CC7C5C" w:rsidRPr="00892F76">
        <w:rPr>
          <w:rFonts w:ascii="Arial" w:eastAsia="Calibri" w:hAnsi="Arial" w:cs="Arial"/>
          <w:sz w:val="20"/>
          <w:szCs w:val="20"/>
          <w:lang w:val="en-ZA"/>
        </w:rPr>
        <w:tab/>
        <w:t>This report should be read along with Parliament’s 20</w:t>
      </w:r>
      <w:r w:rsidR="00256B5F" w:rsidRPr="00892F76">
        <w:rPr>
          <w:rFonts w:ascii="Arial" w:eastAsia="Calibri" w:hAnsi="Arial" w:cs="Arial"/>
          <w:sz w:val="20"/>
          <w:szCs w:val="20"/>
          <w:lang w:val="en-ZA"/>
        </w:rPr>
        <w:t>19-2024 Strategic Plan, the 2022/23</w:t>
      </w:r>
      <w:r w:rsidR="00CC7C5C" w:rsidRPr="00892F76">
        <w:rPr>
          <w:rFonts w:ascii="Arial" w:eastAsia="Calibri" w:hAnsi="Arial" w:cs="Arial"/>
          <w:sz w:val="20"/>
          <w:szCs w:val="20"/>
          <w:lang w:val="en-ZA"/>
        </w:rPr>
        <w:t xml:space="preserve"> </w:t>
      </w:r>
      <w:r w:rsidR="00256B5F" w:rsidRPr="00892F76">
        <w:rPr>
          <w:rFonts w:ascii="Arial" w:eastAsia="Calibri" w:hAnsi="Arial" w:cs="Arial"/>
          <w:sz w:val="20"/>
          <w:szCs w:val="20"/>
          <w:lang w:val="en-ZA"/>
        </w:rPr>
        <w:t xml:space="preserve">Annual Performance Plan (APP) </w:t>
      </w:r>
      <w:r w:rsidRPr="00892F76">
        <w:rPr>
          <w:rFonts w:ascii="Arial" w:eastAsia="Calibri" w:hAnsi="Arial" w:cs="Arial"/>
          <w:sz w:val="20"/>
          <w:szCs w:val="20"/>
          <w:lang w:val="en-ZA"/>
        </w:rPr>
        <w:t>and budget, and the Committee’s report</w:t>
      </w:r>
      <w:r w:rsidR="00D17DD4" w:rsidRPr="00892F76">
        <w:rPr>
          <w:rFonts w:ascii="Arial" w:eastAsia="Calibri" w:hAnsi="Arial" w:cs="Arial"/>
          <w:sz w:val="20"/>
          <w:szCs w:val="20"/>
          <w:lang w:val="en-ZA"/>
        </w:rPr>
        <w:t>s</w:t>
      </w:r>
      <w:r w:rsidRPr="00892F76">
        <w:rPr>
          <w:rFonts w:ascii="Arial" w:eastAsia="Calibri" w:hAnsi="Arial" w:cs="Arial"/>
          <w:sz w:val="20"/>
          <w:szCs w:val="20"/>
          <w:lang w:val="en-ZA"/>
        </w:rPr>
        <w:t xml:space="preserve"> in respect thereof.</w:t>
      </w:r>
    </w:p>
    <w:p w:rsidR="00CC7C5C" w:rsidRPr="00892F76" w:rsidRDefault="009E67F5"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1.5</w:t>
      </w:r>
      <w:r w:rsidR="00702B77" w:rsidRPr="00892F76">
        <w:rPr>
          <w:rFonts w:ascii="Arial" w:eastAsia="Calibri" w:hAnsi="Arial" w:cs="Arial"/>
          <w:sz w:val="20"/>
          <w:szCs w:val="20"/>
          <w:lang w:val="en-ZA"/>
        </w:rPr>
        <w:tab/>
        <w:t>The</w:t>
      </w:r>
      <w:r w:rsidR="00CC7C5C" w:rsidRPr="00892F76">
        <w:rPr>
          <w:rFonts w:ascii="Arial" w:eastAsia="Calibri" w:hAnsi="Arial" w:cs="Arial"/>
          <w:sz w:val="20"/>
          <w:szCs w:val="20"/>
          <w:lang w:val="en-ZA"/>
        </w:rPr>
        <w:t xml:space="preserve"> report comprises three parts: Part A</w:t>
      </w:r>
      <w:r w:rsidR="00365DCC" w:rsidRPr="00892F76">
        <w:rPr>
          <w:rFonts w:ascii="Arial" w:eastAsia="Calibri" w:hAnsi="Arial" w:cs="Arial"/>
          <w:sz w:val="20"/>
          <w:szCs w:val="20"/>
          <w:lang w:val="en-ZA"/>
        </w:rPr>
        <w:t>,</w:t>
      </w:r>
      <w:r w:rsidR="00CC7C5C" w:rsidRPr="00892F76">
        <w:rPr>
          <w:rFonts w:ascii="Arial" w:eastAsia="Calibri" w:hAnsi="Arial" w:cs="Arial"/>
          <w:sz w:val="20"/>
          <w:szCs w:val="20"/>
          <w:lang w:val="en-ZA"/>
        </w:rPr>
        <w:t xml:space="preserve"> </w:t>
      </w:r>
      <w:r w:rsidR="00292186" w:rsidRPr="00892F76">
        <w:rPr>
          <w:rFonts w:ascii="Arial" w:eastAsia="Calibri" w:hAnsi="Arial" w:cs="Arial"/>
          <w:sz w:val="20"/>
          <w:szCs w:val="20"/>
          <w:lang w:val="en-ZA"/>
        </w:rPr>
        <w:t xml:space="preserve">containing </w:t>
      </w:r>
      <w:r w:rsidR="004E5B1E" w:rsidRPr="00892F76">
        <w:rPr>
          <w:rFonts w:ascii="Arial" w:eastAsia="Calibri" w:hAnsi="Arial" w:cs="Arial"/>
          <w:sz w:val="20"/>
          <w:szCs w:val="20"/>
          <w:lang w:val="en-ZA"/>
        </w:rPr>
        <w:t>the background to the mid-year performance report; Part B</w:t>
      </w:r>
      <w:r w:rsidR="00256B5F" w:rsidRPr="00892F76">
        <w:rPr>
          <w:rFonts w:ascii="Arial" w:eastAsia="Calibri" w:hAnsi="Arial" w:cs="Arial"/>
          <w:sz w:val="20"/>
          <w:szCs w:val="20"/>
          <w:lang w:val="en-ZA"/>
        </w:rPr>
        <w:t>, the</w:t>
      </w:r>
      <w:r w:rsidR="004E5B1E" w:rsidRPr="00892F76">
        <w:rPr>
          <w:rFonts w:ascii="Arial" w:eastAsia="Calibri" w:hAnsi="Arial" w:cs="Arial"/>
          <w:sz w:val="20"/>
          <w:szCs w:val="20"/>
          <w:lang w:val="en-ZA"/>
        </w:rPr>
        <w:t xml:space="preserve"> </w:t>
      </w:r>
      <w:r w:rsidR="00CC7C5C" w:rsidRPr="00892F76">
        <w:rPr>
          <w:rFonts w:ascii="Arial" w:eastAsia="Calibri" w:hAnsi="Arial" w:cs="Arial"/>
          <w:sz w:val="20"/>
          <w:szCs w:val="20"/>
          <w:lang w:val="en-ZA"/>
        </w:rPr>
        <w:t>summary of the institution’s financial and performance information for</w:t>
      </w:r>
      <w:r w:rsidRPr="00892F76">
        <w:rPr>
          <w:rFonts w:ascii="Arial" w:eastAsia="Calibri" w:hAnsi="Arial" w:cs="Arial"/>
          <w:sz w:val="20"/>
          <w:szCs w:val="20"/>
          <w:lang w:val="en-ZA"/>
        </w:rPr>
        <w:t xml:space="preserve"> the period under review; Part C</w:t>
      </w:r>
      <w:r w:rsidR="00365DCC" w:rsidRPr="00892F76">
        <w:rPr>
          <w:rFonts w:ascii="Arial" w:eastAsia="Calibri" w:hAnsi="Arial" w:cs="Arial"/>
          <w:sz w:val="20"/>
          <w:szCs w:val="20"/>
          <w:lang w:val="en-ZA"/>
        </w:rPr>
        <w:t>,</w:t>
      </w:r>
      <w:r w:rsidR="00CC7C5C" w:rsidRPr="00892F76">
        <w:rPr>
          <w:rFonts w:ascii="Arial" w:eastAsia="Calibri" w:hAnsi="Arial" w:cs="Arial"/>
          <w:sz w:val="20"/>
          <w:szCs w:val="20"/>
          <w:lang w:val="en-ZA"/>
        </w:rPr>
        <w:t xml:space="preserve"> </w:t>
      </w:r>
      <w:r w:rsidR="00EE4AEA" w:rsidRPr="00892F76">
        <w:rPr>
          <w:rFonts w:ascii="Arial" w:eastAsia="Calibri" w:hAnsi="Arial" w:cs="Arial"/>
          <w:sz w:val="20"/>
          <w:szCs w:val="20"/>
          <w:lang w:val="en-ZA"/>
        </w:rPr>
        <w:t>contain</w:t>
      </w:r>
      <w:r w:rsidR="00365DCC" w:rsidRPr="00892F76">
        <w:rPr>
          <w:rFonts w:ascii="Arial" w:eastAsia="Calibri" w:hAnsi="Arial" w:cs="Arial"/>
          <w:sz w:val="20"/>
          <w:szCs w:val="20"/>
          <w:lang w:val="en-ZA"/>
        </w:rPr>
        <w:t>ing</w:t>
      </w:r>
      <w:r w:rsidR="00EE4AEA" w:rsidRPr="00892F76">
        <w:rPr>
          <w:rFonts w:ascii="Arial" w:eastAsia="Calibri" w:hAnsi="Arial" w:cs="Arial"/>
          <w:sz w:val="20"/>
          <w:szCs w:val="20"/>
          <w:lang w:val="en-ZA"/>
        </w:rPr>
        <w:t xml:space="preserve"> the</w:t>
      </w:r>
      <w:r w:rsidR="00CC7C5C" w:rsidRPr="00892F76">
        <w:rPr>
          <w:rFonts w:ascii="Arial" w:eastAsia="Calibri" w:hAnsi="Arial" w:cs="Arial"/>
          <w:sz w:val="20"/>
          <w:szCs w:val="20"/>
          <w:lang w:val="en-ZA"/>
        </w:rPr>
        <w:t xml:space="preserve"> Comm</w:t>
      </w:r>
      <w:r w:rsidRPr="00892F76">
        <w:rPr>
          <w:rFonts w:ascii="Arial" w:eastAsia="Calibri" w:hAnsi="Arial" w:cs="Arial"/>
          <w:sz w:val="20"/>
          <w:szCs w:val="20"/>
          <w:lang w:val="en-ZA"/>
        </w:rPr>
        <w:t>ittee’s observations; and Part D</w:t>
      </w:r>
      <w:r w:rsidR="00365DCC" w:rsidRPr="00892F76">
        <w:rPr>
          <w:rFonts w:ascii="Arial" w:eastAsia="Calibri" w:hAnsi="Arial" w:cs="Arial"/>
          <w:sz w:val="20"/>
          <w:szCs w:val="20"/>
          <w:lang w:val="en-ZA"/>
        </w:rPr>
        <w:t>,</w:t>
      </w:r>
      <w:r w:rsidR="00CC7C5C" w:rsidRPr="00892F76">
        <w:rPr>
          <w:rFonts w:ascii="Arial" w:eastAsia="Calibri" w:hAnsi="Arial" w:cs="Arial"/>
          <w:sz w:val="20"/>
          <w:szCs w:val="20"/>
          <w:lang w:val="en-ZA"/>
        </w:rPr>
        <w:t xml:space="preserve"> containing </w:t>
      </w:r>
      <w:r w:rsidR="00EE4AEA" w:rsidRPr="00892F76">
        <w:rPr>
          <w:rFonts w:ascii="Arial" w:eastAsia="Calibri" w:hAnsi="Arial" w:cs="Arial"/>
          <w:sz w:val="20"/>
          <w:szCs w:val="20"/>
          <w:lang w:val="en-ZA"/>
        </w:rPr>
        <w:t xml:space="preserve">the Committee’s </w:t>
      </w:r>
      <w:r w:rsidR="00CC7C5C" w:rsidRPr="00892F76">
        <w:rPr>
          <w:rFonts w:ascii="Arial" w:eastAsia="Calibri" w:hAnsi="Arial" w:cs="Arial"/>
          <w:sz w:val="20"/>
          <w:szCs w:val="20"/>
          <w:lang w:val="en-ZA"/>
        </w:rPr>
        <w:t>recommendations.</w:t>
      </w:r>
    </w:p>
    <w:p w:rsidR="00256B5F" w:rsidRPr="00892F76" w:rsidRDefault="00256B5F" w:rsidP="00892F76">
      <w:pPr>
        <w:autoSpaceDE w:val="0"/>
        <w:autoSpaceDN w:val="0"/>
        <w:adjustRightInd w:val="0"/>
        <w:spacing w:after="0" w:line="240" w:lineRule="auto"/>
        <w:rPr>
          <w:rFonts w:ascii="Arial" w:eastAsia="Calibri" w:hAnsi="Arial" w:cs="Arial"/>
          <w:b/>
          <w:bCs/>
          <w:sz w:val="20"/>
          <w:szCs w:val="20"/>
          <w:lang w:val="en-ZA"/>
        </w:rPr>
      </w:pPr>
    </w:p>
    <w:p w:rsidR="00D375ED" w:rsidRPr="00892F76" w:rsidRDefault="00D375ED" w:rsidP="00892F76">
      <w:pPr>
        <w:autoSpaceDE w:val="0"/>
        <w:autoSpaceDN w:val="0"/>
        <w:adjustRightInd w:val="0"/>
        <w:spacing w:after="0" w:line="240" w:lineRule="auto"/>
        <w:rPr>
          <w:rFonts w:ascii="Arial" w:eastAsia="Calibri" w:hAnsi="Arial" w:cs="Arial"/>
          <w:b/>
          <w:bCs/>
          <w:sz w:val="20"/>
          <w:szCs w:val="20"/>
          <w:lang w:val="en-ZA"/>
        </w:rPr>
      </w:pPr>
      <w:r w:rsidRPr="00892F76">
        <w:rPr>
          <w:rFonts w:ascii="Arial" w:eastAsia="Calibri" w:hAnsi="Arial" w:cs="Arial"/>
          <w:b/>
          <w:bCs/>
          <w:sz w:val="20"/>
          <w:szCs w:val="20"/>
          <w:lang w:val="en-ZA"/>
        </w:rPr>
        <w:t>Part A</w:t>
      </w:r>
    </w:p>
    <w:p w:rsidR="003F283C" w:rsidRPr="00892F76" w:rsidRDefault="003F283C" w:rsidP="00892F76">
      <w:pPr>
        <w:autoSpaceDE w:val="0"/>
        <w:autoSpaceDN w:val="0"/>
        <w:adjustRightInd w:val="0"/>
        <w:spacing w:after="0" w:line="240" w:lineRule="auto"/>
        <w:rPr>
          <w:rFonts w:ascii="Arial" w:eastAsia="Calibri" w:hAnsi="Arial" w:cs="Arial"/>
          <w:b/>
          <w:bCs/>
          <w:sz w:val="20"/>
          <w:szCs w:val="20"/>
          <w:lang w:val="en-ZA"/>
        </w:rPr>
      </w:pPr>
    </w:p>
    <w:p w:rsidR="00FD461F" w:rsidRPr="00892F76" w:rsidRDefault="00057CD9" w:rsidP="00892F76">
      <w:pPr>
        <w:autoSpaceDE w:val="0"/>
        <w:autoSpaceDN w:val="0"/>
        <w:adjustRightInd w:val="0"/>
        <w:spacing w:after="0" w:line="240" w:lineRule="auto"/>
        <w:rPr>
          <w:rFonts w:ascii="Arial" w:eastAsia="Calibri" w:hAnsi="Arial" w:cs="Arial"/>
          <w:b/>
          <w:bCs/>
          <w:sz w:val="20"/>
          <w:szCs w:val="20"/>
          <w:lang w:val="en-ZA"/>
        </w:rPr>
      </w:pPr>
      <w:r w:rsidRPr="00892F76">
        <w:rPr>
          <w:rFonts w:ascii="Arial" w:eastAsia="Calibri" w:hAnsi="Arial" w:cs="Arial"/>
          <w:b/>
          <w:bCs/>
          <w:sz w:val="20"/>
          <w:szCs w:val="20"/>
          <w:lang w:val="en-ZA"/>
        </w:rPr>
        <w:t>2.</w:t>
      </w:r>
      <w:r w:rsidRPr="00892F76">
        <w:rPr>
          <w:rFonts w:ascii="Arial" w:eastAsia="Calibri" w:hAnsi="Arial" w:cs="Arial"/>
          <w:b/>
          <w:bCs/>
          <w:sz w:val="20"/>
          <w:szCs w:val="20"/>
          <w:lang w:val="en-ZA"/>
        </w:rPr>
        <w:tab/>
      </w:r>
      <w:r w:rsidR="00FD461F" w:rsidRPr="00892F76">
        <w:rPr>
          <w:rFonts w:ascii="Arial" w:eastAsia="Calibri" w:hAnsi="Arial" w:cs="Arial"/>
          <w:b/>
          <w:bCs/>
          <w:sz w:val="20"/>
          <w:szCs w:val="20"/>
          <w:lang w:val="en-ZA"/>
        </w:rPr>
        <w:t>Background</w:t>
      </w:r>
    </w:p>
    <w:p w:rsidR="00057CD9" w:rsidRPr="00892F76" w:rsidRDefault="00057CD9" w:rsidP="00892F76">
      <w:pPr>
        <w:spacing w:after="0" w:line="240" w:lineRule="auto"/>
        <w:rPr>
          <w:rFonts w:ascii="Arial" w:eastAsia="Calibri" w:hAnsi="Arial" w:cs="Arial"/>
          <w:b/>
          <w:sz w:val="20"/>
          <w:szCs w:val="20"/>
          <w:lang w:val="en-ZA"/>
        </w:rPr>
      </w:pPr>
    </w:p>
    <w:p w:rsidR="00057CD9" w:rsidRPr="00892F76" w:rsidRDefault="00057CD9" w:rsidP="00892F76">
      <w:pPr>
        <w:spacing w:after="0" w:line="240" w:lineRule="auto"/>
        <w:rPr>
          <w:rFonts w:ascii="Arial" w:eastAsia="Calibri" w:hAnsi="Arial" w:cs="Arial"/>
          <w:b/>
          <w:sz w:val="20"/>
          <w:szCs w:val="20"/>
          <w:lang w:val="en-ZA"/>
        </w:rPr>
      </w:pPr>
      <w:r w:rsidRPr="00892F76">
        <w:rPr>
          <w:rFonts w:ascii="Arial" w:eastAsia="Calibri" w:hAnsi="Arial" w:cs="Arial"/>
          <w:b/>
          <w:sz w:val="20"/>
          <w:szCs w:val="20"/>
          <w:lang w:val="en-ZA"/>
        </w:rPr>
        <w:t>2.1</w:t>
      </w:r>
      <w:r w:rsidRPr="00892F76">
        <w:rPr>
          <w:rFonts w:ascii="Arial" w:eastAsia="Calibri" w:hAnsi="Arial" w:cs="Arial"/>
          <w:b/>
          <w:sz w:val="20"/>
          <w:szCs w:val="20"/>
          <w:lang w:val="en-ZA"/>
        </w:rPr>
        <w:tab/>
        <w:t>Mandate</w:t>
      </w:r>
    </w:p>
    <w:p w:rsidR="00057CD9" w:rsidRPr="00892F76" w:rsidRDefault="00057CD9" w:rsidP="00892F76">
      <w:pPr>
        <w:spacing w:after="0" w:line="240" w:lineRule="auto"/>
        <w:rPr>
          <w:rFonts w:ascii="Arial" w:eastAsia="Calibri" w:hAnsi="Arial" w:cs="Arial"/>
          <w:sz w:val="20"/>
          <w:szCs w:val="20"/>
          <w:lang w:val="en-ZA"/>
        </w:rPr>
      </w:pPr>
      <w:r w:rsidRPr="00892F76">
        <w:rPr>
          <w:rFonts w:ascii="Arial" w:eastAsia="Calibri" w:hAnsi="Arial" w:cs="Arial"/>
          <w:sz w:val="20"/>
          <w:szCs w:val="20"/>
          <w:lang w:val="en-ZA"/>
        </w:rPr>
        <w:t>2.1.1</w:t>
      </w:r>
      <w:r w:rsidRPr="00892F76">
        <w:rPr>
          <w:rFonts w:ascii="Arial" w:eastAsia="Calibri" w:hAnsi="Arial" w:cs="Arial"/>
          <w:sz w:val="20"/>
          <w:szCs w:val="20"/>
          <w:lang w:val="en-ZA"/>
        </w:rPr>
        <w:tab/>
        <w:t>Parliament derives its mandate from:</w:t>
      </w:r>
    </w:p>
    <w:p w:rsidR="00057CD9" w:rsidRPr="00892F76" w:rsidRDefault="009E67F5" w:rsidP="00892F76">
      <w:pPr>
        <w:spacing w:after="0" w:line="240" w:lineRule="auto"/>
        <w:ind w:left="2160" w:hanging="720"/>
        <w:rPr>
          <w:rFonts w:ascii="Arial" w:eastAsia="Calibri" w:hAnsi="Arial" w:cs="Arial"/>
          <w:sz w:val="20"/>
          <w:szCs w:val="20"/>
          <w:lang w:val="en-ZA"/>
        </w:rPr>
      </w:pPr>
      <w:r w:rsidRPr="00892F76">
        <w:rPr>
          <w:rFonts w:ascii="Arial" w:eastAsia="Calibri" w:hAnsi="Arial" w:cs="Arial"/>
          <w:sz w:val="20"/>
          <w:szCs w:val="20"/>
          <w:lang w:val="en-ZA"/>
        </w:rPr>
        <w:t>-</w:t>
      </w:r>
      <w:r w:rsidRPr="00892F76">
        <w:rPr>
          <w:rFonts w:ascii="Arial" w:eastAsia="Calibri" w:hAnsi="Arial" w:cs="Arial"/>
          <w:sz w:val="20"/>
          <w:szCs w:val="20"/>
          <w:lang w:val="en-ZA"/>
        </w:rPr>
        <w:tab/>
        <w:t>C</w:t>
      </w:r>
      <w:r w:rsidR="00057CD9" w:rsidRPr="00892F76">
        <w:rPr>
          <w:rFonts w:ascii="Arial" w:eastAsia="Calibri" w:hAnsi="Arial" w:cs="Arial"/>
          <w:sz w:val="20"/>
          <w:szCs w:val="20"/>
          <w:lang w:val="en-ZA"/>
        </w:rPr>
        <w:t>hapter 4 of the Constitution of the Republic of South Africa, No</w:t>
      </w:r>
      <w:r w:rsidR="00891ED2" w:rsidRPr="00892F76">
        <w:rPr>
          <w:rFonts w:ascii="Arial" w:eastAsia="Calibri" w:hAnsi="Arial" w:cs="Arial"/>
          <w:sz w:val="20"/>
          <w:szCs w:val="20"/>
          <w:lang w:val="en-ZA"/>
        </w:rPr>
        <w:t>.</w:t>
      </w:r>
      <w:r w:rsidR="00057CD9" w:rsidRPr="00892F76">
        <w:rPr>
          <w:rFonts w:ascii="Arial" w:eastAsia="Calibri" w:hAnsi="Arial" w:cs="Arial"/>
          <w:sz w:val="20"/>
          <w:szCs w:val="20"/>
          <w:lang w:val="en-ZA"/>
        </w:rPr>
        <w:t xml:space="preserve"> 108 of 1996, which sets out its composition, powers and functions;</w:t>
      </w:r>
    </w:p>
    <w:p w:rsidR="00057CD9" w:rsidRPr="00892F76" w:rsidRDefault="00057CD9" w:rsidP="00892F76">
      <w:pPr>
        <w:spacing w:after="0" w:line="240" w:lineRule="auto"/>
        <w:ind w:left="720" w:firstLine="720"/>
        <w:rPr>
          <w:rFonts w:ascii="Arial" w:eastAsia="Calibri" w:hAnsi="Arial" w:cs="Arial"/>
          <w:sz w:val="20"/>
          <w:szCs w:val="20"/>
          <w:lang w:val="en-ZA"/>
        </w:rPr>
      </w:pPr>
      <w:r w:rsidRPr="00892F76">
        <w:rPr>
          <w:rFonts w:ascii="Arial" w:eastAsia="Calibri" w:hAnsi="Arial" w:cs="Arial"/>
          <w:sz w:val="20"/>
          <w:szCs w:val="20"/>
          <w:lang w:val="en-ZA"/>
        </w:rPr>
        <w:t>-</w:t>
      </w:r>
      <w:r w:rsidRPr="00892F76">
        <w:rPr>
          <w:rFonts w:ascii="Arial" w:eastAsia="Calibri" w:hAnsi="Arial" w:cs="Arial"/>
          <w:sz w:val="20"/>
          <w:szCs w:val="20"/>
          <w:lang w:val="en-ZA"/>
        </w:rPr>
        <w:tab/>
        <w:t>the FMPPLA which regulates the institution’s financial management;</w:t>
      </w:r>
    </w:p>
    <w:p w:rsidR="00057CD9" w:rsidRPr="00892F76" w:rsidRDefault="00057CD9" w:rsidP="00892F76">
      <w:pPr>
        <w:spacing w:after="0" w:line="240" w:lineRule="auto"/>
        <w:ind w:left="2160" w:hanging="720"/>
        <w:rPr>
          <w:rFonts w:ascii="Arial" w:eastAsia="Calibri" w:hAnsi="Arial" w:cs="Arial"/>
          <w:sz w:val="20"/>
          <w:szCs w:val="20"/>
          <w:lang w:val="en-ZA"/>
        </w:rPr>
      </w:pPr>
      <w:r w:rsidRPr="00892F76">
        <w:rPr>
          <w:rFonts w:ascii="Arial" w:eastAsia="Calibri" w:hAnsi="Arial" w:cs="Arial"/>
          <w:sz w:val="20"/>
          <w:szCs w:val="20"/>
          <w:lang w:val="en-ZA"/>
        </w:rPr>
        <w:t>-</w:t>
      </w:r>
      <w:r w:rsidRPr="00892F76">
        <w:rPr>
          <w:rFonts w:ascii="Arial" w:eastAsia="Calibri" w:hAnsi="Arial" w:cs="Arial"/>
          <w:sz w:val="20"/>
          <w:szCs w:val="20"/>
          <w:lang w:val="en-ZA"/>
        </w:rPr>
        <w:tab/>
        <w:t xml:space="preserve">the Money Bills Amendment Procedure and Related Matters Act, 2009 No 9 of 2009 which provides procedures to amend money bills; and </w:t>
      </w:r>
    </w:p>
    <w:p w:rsidR="00057CD9" w:rsidRPr="00892F76" w:rsidRDefault="00057CD9" w:rsidP="00892F76">
      <w:pPr>
        <w:spacing w:after="0" w:line="240" w:lineRule="auto"/>
        <w:ind w:left="2160" w:hanging="720"/>
        <w:rPr>
          <w:rFonts w:ascii="Arial" w:eastAsia="Calibri" w:hAnsi="Arial" w:cs="Arial"/>
          <w:sz w:val="20"/>
          <w:szCs w:val="20"/>
          <w:lang w:val="en-ZA"/>
        </w:rPr>
      </w:pPr>
      <w:r w:rsidRPr="00892F76">
        <w:rPr>
          <w:rFonts w:ascii="Arial" w:eastAsia="Calibri" w:hAnsi="Arial" w:cs="Arial"/>
          <w:sz w:val="20"/>
          <w:szCs w:val="20"/>
          <w:lang w:val="en-ZA"/>
        </w:rPr>
        <w:t>-</w:t>
      </w:r>
      <w:r w:rsidRPr="00892F76">
        <w:rPr>
          <w:rFonts w:ascii="Arial" w:eastAsia="Calibri" w:hAnsi="Arial" w:cs="Arial"/>
          <w:sz w:val="20"/>
          <w:szCs w:val="20"/>
          <w:lang w:val="en-ZA"/>
        </w:rPr>
        <w:tab/>
        <w:t>the Powers, Privileges and Immunities of Parliament and Provincial Legislatures Act No 4 of 2004 which defines and declares the national and provincial legislatures’ powers, privileges and immunities.</w:t>
      </w:r>
    </w:p>
    <w:p w:rsidR="003F283C" w:rsidRPr="00892F76" w:rsidRDefault="003F283C" w:rsidP="00892F76">
      <w:pPr>
        <w:spacing w:after="0" w:line="240" w:lineRule="auto"/>
        <w:ind w:left="720" w:hanging="720"/>
        <w:rPr>
          <w:rFonts w:ascii="Arial" w:eastAsia="Calibri" w:hAnsi="Arial" w:cs="Arial"/>
          <w:sz w:val="20"/>
          <w:szCs w:val="20"/>
          <w:lang w:val="en-ZA"/>
        </w:rPr>
      </w:pPr>
    </w:p>
    <w:p w:rsidR="00E37FA8" w:rsidRPr="00892F76" w:rsidRDefault="00057CD9"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2.1.2</w:t>
      </w:r>
      <w:r w:rsidRPr="00892F76">
        <w:rPr>
          <w:rFonts w:ascii="Arial" w:eastAsia="Calibri" w:hAnsi="Arial" w:cs="Arial"/>
          <w:sz w:val="20"/>
          <w:szCs w:val="20"/>
          <w:lang w:val="en-ZA"/>
        </w:rPr>
        <w:tab/>
        <w:t xml:space="preserve">Section 53 of the FMPPLA provides for Parliament’s mid-year expenditure and performance </w:t>
      </w:r>
      <w:r w:rsidR="00E37FA8" w:rsidRPr="00892F76">
        <w:rPr>
          <w:rFonts w:ascii="Arial" w:eastAsia="Calibri" w:hAnsi="Arial" w:cs="Arial"/>
          <w:sz w:val="20"/>
          <w:szCs w:val="20"/>
          <w:lang w:val="en-ZA"/>
        </w:rPr>
        <w:t>to be assessed. S</w:t>
      </w:r>
      <w:r w:rsidRPr="00892F76">
        <w:rPr>
          <w:rFonts w:ascii="Arial" w:eastAsia="Calibri" w:hAnsi="Arial" w:cs="Arial"/>
          <w:sz w:val="20"/>
          <w:szCs w:val="20"/>
          <w:lang w:val="en-ZA"/>
        </w:rPr>
        <w:t>ection 53(1) requires that the Secretary to Pa</w:t>
      </w:r>
      <w:r w:rsidR="00E37FA8" w:rsidRPr="00892F76">
        <w:rPr>
          <w:rFonts w:ascii="Arial" w:eastAsia="Calibri" w:hAnsi="Arial" w:cs="Arial"/>
          <w:sz w:val="20"/>
          <w:szCs w:val="20"/>
          <w:lang w:val="en-ZA"/>
        </w:rPr>
        <w:t xml:space="preserve">rliament must submit a report assessing the administration’s performance during the first half of the financial year to the Executive Authority by 31 October each year. The report must take into account: the monthly financial statements for the first half of the financial year, the past year’s annual report and progress made in addressing challenges identified in that year, and progress made in the implementation of the current year’s annual performance plan. The Secretary to Parliament should also recommend whether an adjustments budget may be necessary; and whether </w:t>
      </w:r>
      <w:r w:rsidR="00932B57" w:rsidRPr="00892F76">
        <w:rPr>
          <w:rFonts w:ascii="Arial" w:eastAsia="Calibri" w:hAnsi="Arial" w:cs="Arial"/>
          <w:sz w:val="20"/>
          <w:szCs w:val="20"/>
          <w:lang w:val="en-ZA"/>
        </w:rPr>
        <w:t xml:space="preserve">to </w:t>
      </w:r>
      <w:r w:rsidR="00E37FA8" w:rsidRPr="00892F76">
        <w:rPr>
          <w:rFonts w:ascii="Arial" w:eastAsia="Calibri" w:hAnsi="Arial" w:cs="Arial"/>
          <w:sz w:val="20"/>
          <w:szCs w:val="20"/>
          <w:lang w:val="en-ZA"/>
        </w:rPr>
        <w:t>revise projections for revenue and expenditure to the extent that this may be necessary.</w:t>
      </w:r>
    </w:p>
    <w:p w:rsidR="003F283C" w:rsidRPr="00892F76" w:rsidRDefault="003F283C" w:rsidP="00892F76">
      <w:pPr>
        <w:spacing w:after="0" w:line="240" w:lineRule="auto"/>
        <w:ind w:left="720" w:hanging="720"/>
        <w:rPr>
          <w:rFonts w:ascii="Arial" w:eastAsia="Calibri" w:hAnsi="Arial" w:cs="Arial"/>
          <w:sz w:val="20"/>
          <w:szCs w:val="20"/>
          <w:lang w:val="en-ZA"/>
        </w:rPr>
      </w:pPr>
    </w:p>
    <w:p w:rsidR="00E37FA8" w:rsidRPr="00892F76" w:rsidRDefault="00E37FA8"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2.1.3</w:t>
      </w:r>
      <w:r w:rsidRPr="00892F76">
        <w:rPr>
          <w:rFonts w:ascii="Arial" w:eastAsia="Calibri" w:hAnsi="Arial" w:cs="Arial"/>
          <w:sz w:val="20"/>
          <w:szCs w:val="20"/>
          <w:lang w:val="en-ZA"/>
        </w:rPr>
        <w:tab/>
        <w:t>Section 54 of the FMPPLA requires that the Executive Authority must table the above-mentioned mid-year reports within five days of receiving the reports from the Secretary to Parliament, and that the reports must be referred promptly to t</w:t>
      </w:r>
      <w:r w:rsidR="00825CB7" w:rsidRPr="00892F76">
        <w:rPr>
          <w:rFonts w:ascii="Arial" w:eastAsia="Calibri" w:hAnsi="Arial" w:cs="Arial"/>
          <w:sz w:val="20"/>
          <w:szCs w:val="20"/>
          <w:lang w:val="en-ZA"/>
        </w:rPr>
        <w:t>he oversight mechanism.</w:t>
      </w:r>
    </w:p>
    <w:p w:rsidR="00057CD9" w:rsidRPr="00892F76" w:rsidRDefault="00057CD9" w:rsidP="00892F76">
      <w:pPr>
        <w:spacing w:after="0" w:line="240" w:lineRule="auto"/>
        <w:rPr>
          <w:rFonts w:ascii="Arial" w:eastAsia="Calibri" w:hAnsi="Arial" w:cs="Arial"/>
          <w:sz w:val="20"/>
          <w:szCs w:val="20"/>
          <w:lang w:val="en-ZA"/>
        </w:rPr>
      </w:pPr>
    </w:p>
    <w:p w:rsidR="00057CD9" w:rsidRPr="00892F76" w:rsidRDefault="00057CD9" w:rsidP="00892F76">
      <w:pPr>
        <w:spacing w:after="0" w:line="240" w:lineRule="auto"/>
        <w:rPr>
          <w:rFonts w:ascii="Arial" w:eastAsia="Calibri" w:hAnsi="Arial" w:cs="Arial"/>
          <w:b/>
          <w:sz w:val="20"/>
          <w:szCs w:val="20"/>
          <w:lang w:val="en-ZA"/>
        </w:rPr>
      </w:pPr>
      <w:r w:rsidRPr="00892F76">
        <w:rPr>
          <w:rFonts w:ascii="Arial" w:eastAsia="Calibri" w:hAnsi="Arial" w:cs="Arial"/>
          <w:b/>
          <w:sz w:val="20"/>
          <w:szCs w:val="20"/>
          <w:lang w:val="en-ZA"/>
        </w:rPr>
        <w:t>2.2</w:t>
      </w:r>
      <w:r w:rsidRPr="00892F76">
        <w:rPr>
          <w:rFonts w:ascii="Arial" w:eastAsia="Calibri" w:hAnsi="Arial" w:cs="Arial"/>
          <w:b/>
          <w:sz w:val="20"/>
          <w:szCs w:val="20"/>
          <w:lang w:val="en-ZA"/>
        </w:rPr>
        <w:tab/>
        <w:t>Mission and vision</w:t>
      </w:r>
    </w:p>
    <w:p w:rsidR="00057CD9" w:rsidRPr="00892F76" w:rsidRDefault="00E37FA8"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2.2.1</w:t>
      </w:r>
      <w:r w:rsidRPr="00892F76">
        <w:rPr>
          <w:rFonts w:ascii="Arial" w:eastAsia="Calibri" w:hAnsi="Arial" w:cs="Arial"/>
          <w:sz w:val="20"/>
          <w:szCs w:val="20"/>
          <w:lang w:val="en-ZA"/>
        </w:rPr>
        <w:tab/>
        <w:t>Parliament has as its vision to be an activist and responsive people’s Parliament that improves the quality of life of South Africans and ensures enduring equality in our society. Its mission is to represent the people and to ensure government by the people in fulfilling its constitutional functions of passing laws and overseeing executive action. To this end, the institution conducts its business in line with the following values: openness, responsiveness, accountability, teamwork, professionalism, and integrity.</w:t>
      </w:r>
    </w:p>
    <w:p w:rsidR="00825CB7" w:rsidRPr="00892F76" w:rsidRDefault="00825CB7" w:rsidP="00892F76">
      <w:pPr>
        <w:spacing w:after="0" w:line="240" w:lineRule="auto"/>
        <w:rPr>
          <w:rFonts w:ascii="Arial" w:eastAsia="Calibri" w:hAnsi="Arial" w:cs="Arial"/>
          <w:b/>
          <w:sz w:val="20"/>
          <w:szCs w:val="20"/>
          <w:lang w:val="en-ZA"/>
        </w:rPr>
      </w:pPr>
    </w:p>
    <w:p w:rsidR="002B2833" w:rsidRPr="00892F76" w:rsidRDefault="00A52347" w:rsidP="00892F76">
      <w:pPr>
        <w:spacing w:after="0" w:line="240" w:lineRule="auto"/>
        <w:rPr>
          <w:rFonts w:ascii="Arial" w:eastAsia="Calibri" w:hAnsi="Arial" w:cs="Arial"/>
          <w:b/>
          <w:sz w:val="20"/>
          <w:szCs w:val="20"/>
          <w:lang w:val="en-ZA"/>
        </w:rPr>
      </w:pPr>
      <w:r w:rsidRPr="00892F76">
        <w:rPr>
          <w:rFonts w:ascii="Arial" w:eastAsia="Calibri" w:hAnsi="Arial" w:cs="Arial"/>
          <w:b/>
          <w:sz w:val="20"/>
          <w:szCs w:val="20"/>
          <w:lang w:val="en-ZA"/>
        </w:rPr>
        <w:t>2.3</w:t>
      </w:r>
      <w:r w:rsidR="002B2833" w:rsidRPr="00892F76">
        <w:rPr>
          <w:rFonts w:ascii="Arial" w:eastAsia="Calibri" w:hAnsi="Arial" w:cs="Arial"/>
          <w:b/>
          <w:sz w:val="20"/>
          <w:szCs w:val="20"/>
          <w:lang w:val="en-ZA"/>
        </w:rPr>
        <w:tab/>
        <w:t>Strategic Priorities</w:t>
      </w:r>
    </w:p>
    <w:p w:rsidR="002B2833" w:rsidRPr="00892F76" w:rsidRDefault="00A52347"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2.3</w:t>
      </w:r>
      <w:r w:rsidR="002B2833" w:rsidRPr="00892F76">
        <w:rPr>
          <w:rFonts w:ascii="Arial" w:eastAsia="Calibri" w:hAnsi="Arial" w:cs="Arial"/>
          <w:sz w:val="20"/>
          <w:szCs w:val="20"/>
          <w:lang w:val="en-ZA"/>
        </w:rPr>
        <w:t>.1</w:t>
      </w:r>
      <w:r w:rsidR="002B2833" w:rsidRPr="00892F76">
        <w:rPr>
          <w:rFonts w:ascii="Arial" w:eastAsia="Calibri" w:hAnsi="Arial" w:cs="Arial"/>
          <w:sz w:val="20"/>
          <w:szCs w:val="20"/>
          <w:lang w:val="en-ZA"/>
        </w:rPr>
        <w:tab/>
        <w:t>Parliament has identified only two strategic priorities for the Sixth Parliament</w:t>
      </w:r>
      <w:r w:rsidR="00932B57" w:rsidRPr="00892F76">
        <w:rPr>
          <w:rFonts w:ascii="Arial" w:eastAsia="Calibri" w:hAnsi="Arial" w:cs="Arial"/>
          <w:sz w:val="20"/>
          <w:szCs w:val="20"/>
          <w:lang w:val="en-ZA"/>
        </w:rPr>
        <w:t>,</w:t>
      </w:r>
      <w:r w:rsidR="002B2833" w:rsidRPr="00892F76">
        <w:rPr>
          <w:rFonts w:ascii="Arial" w:eastAsia="Calibri" w:hAnsi="Arial" w:cs="Arial"/>
          <w:sz w:val="20"/>
          <w:szCs w:val="20"/>
          <w:lang w:val="en-ZA"/>
        </w:rPr>
        <w:t xml:space="preserve"> i.e. to strengthen oversight, and to enhance public involvement in Parliament’s activities.</w:t>
      </w:r>
    </w:p>
    <w:p w:rsidR="002B2833" w:rsidRPr="00892F76" w:rsidRDefault="00A52347" w:rsidP="00892F76">
      <w:pPr>
        <w:spacing w:after="0" w:line="240" w:lineRule="auto"/>
        <w:rPr>
          <w:rFonts w:ascii="Arial" w:eastAsia="Calibri" w:hAnsi="Arial" w:cs="Arial"/>
          <w:sz w:val="20"/>
          <w:szCs w:val="20"/>
          <w:lang w:val="en-ZA"/>
        </w:rPr>
      </w:pPr>
      <w:r w:rsidRPr="00892F76">
        <w:rPr>
          <w:rFonts w:ascii="Arial" w:eastAsia="Calibri" w:hAnsi="Arial" w:cs="Arial"/>
          <w:sz w:val="20"/>
          <w:szCs w:val="20"/>
          <w:lang w:val="en-ZA"/>
        </w:rPr>
        <w:t>2.3</w:t>
      </w:r>
      <w:r w:rsidR="002B2833" w:rsidRPr="00892F76">
        <w:rPr>
          <w:rFonts w:ascii="Arial" w:eastAsia="Calibri" w:hAnsi="Arial" w:cs="Arial"/>
          <w:sz w:val="20"/>
          <w:szCs w:val="20"/>
          <w:lang w:val="en-ZA"/>
        </w:rPr>
        <w:t>.2</w:t>
      </w:r>
      <w:r w:rsidR="002B2833" w:rsidRPr="00892F76">
        <w:rPr>
          <w:rFonts w:ascii="Arial" w:eastAsia="Calibri" w:hAnsi="Arial" w:cs="Arial"/>
          <w:sz w:val="20"/>
          <w:szCs w:val="20"/>
          <w:lang w:val="en-ZA"/>
        </w:rPr>
        <w:tab/>
        <w:t>In order to achieve the above outcome, the Sixth Parliament will:</w:t>
      </w:r>
    </w:p>
    <w:p w:rsidR="002B2833" w:rsidRPr="00892F76" w:rsidRDefault="002B2833" w:rsidP="00892F76">
      <w:pPr>
        <w:spacing w:after="0" w:line="240" w:lineRule="auto"/>
        <w:ind w:left="2160" w:hanging="720"/>
        <w:rPr>
          <w:rFonts w:ascii="Arial" w:eastAsia="Calibri" w:hAnsi="Arial" w:cs="Arial"/>
          <w:sz w:val="20"/>
          <w:szCs w:val="20"/>
          <w:lang w:val="en-ZA"/>
        </w:rPr>
      </w:pPr>
      <w:r w:rsidRPr="00892F76">
        <w:rPr>
          <w:rFonts w:ascii="Arial" w:eastAsia="Calibri" w:hAnsi="Arial" w:cs="Arial"/>
          <w:sz w:val="20"/>
          <w:szCs w:val="20"/>
          <w:lang w:val="en-ZA"/>
        </w:rPr>
        <w:t>-</w:t>
      </w:r>
      <w:r w:rsidRPr="00892F76">
        <w:rPr>
          <w:rFonts w:ascii="Arial" w:eastAsia="Calibri" w:hAnsi="Arial" w:cs="Arial"/>
          <w:sz w:val="20"/>
          <w:szCs w:val="20"/>
          <w:lang w:val="en-ZA"/>
        </w:rPr>
        <w:tab/>
      </w:r>
      <w:r w:rsidRPr="00892F76">
        <w:rPr>
          <w:rFonts w:ascii="Arial" w:eastAsia="Calibri" w:hAnsi="Arial" w:cs="Arial"/>
          <w:i/>
          <w:sz w:val="20"/>
          <w:szCs w:val="20"/>
          <w:lang w:val="en-ZA"/>
        </w:rPr>
        <w:t>improve committee oversight work</w:t>
      </w:r>
      <w:r w:rsidRPr="00892F76">
        <w:rPr>
          <w:rFonts w:ascii="Arial" w:eastAsia="Calibri" w:hAnsi="Arial" w:cs="Arial"/>
          <w:sz w:val="20"/>
          <w:szCs w:val="20"/>
          <w:lang w:val="en-ZA"/>
        </w:rPr>
        <w:t xml:space="preserve"> in relation to the budget cycle in particular, through allowing more time in the parliamentary programme for oversight activities and encouraging committees to undertake joint oversight activities. Joint the need for more time allocated to committee oversight activities, and the possibility of holding joint briefings and meetings; and</w:t>
      </w:r>
    </w:p>
    <w:p w:rsidR="002B2833" w:rsidRPr="00892F76" w:rsidRDefault="002B2833" w:rsidP="00892F76">
      <w:pPr>
        <w:spacing w:after="0" w:line="240" w:lineRule="auto"/>
        <w:ind w:left="2160" w:hanging="720"/>
        <w:rPr>
          <w:rFonts w:ascii="Arial" w:eastAsia="Calibri" w:hAnsi="Arial" w:cs="Arial"/>
          <w:sz w:val="20"/>
          <w:szCs w:val="20"/>
          <w:lang w:val="en-ZA"/>
        </w:rPr>
      </w:pPr>
      <w:r w:rsidRPr="00892F76">
        <w:rPr>
          <w:rFonts w:ascii="Arial" w:eastAsia="Calibri" w:hAnsi="Arial" w:cs="Arial"/>
          <w:sz w:val="20"/>
          <w:szCs w:val="20"/>
          <w:lang w:val="en-ZA"/>
        </w:rPr>
        <w:t>-</w:t>
      </w:r>
      <w:r w:rsidRPr="00892F76">
        <w:rPr>
          <w:rFonts w:ascii="Arial" w:eastAsia="Calibri" w:hAnsi="Arial" w:cs="Arial"/>
          <w:sz w:val="20"/>
          <w:szCs w:val="20"/>
          <w:lang w:val="en-ZA"/>
        </w:rPr>
        <w:tab/>
      </w:r>
      <w:r w:rsidRPr="00892F76">
        <w:rPr>
          <w:rFonts w:ascii="Arial" w:eastAsia="Calibri" w:hAnsi="Arial" w:cs="Arial"/>
          <w:i/>
          <w:sz w:val="20"/>
          <w:szCs w:val="20"/>
          <w:lang w:val="en-ZA"/>
        </w:rPr>
        <w:t>improve the effectiveness of public hearings</w:t>
      </w:r>
      <w:r w:rsidRPr="00892F76">
        <w:rPr>
          <w:rFonts w:ascii="Arial" w:eastAsia="Calibri" w:hAnsi="Arial" w:cs="Arial"/>
          <w:sz w:val="20"/>
          <w:szCs w:val="20"/>
          <w:lang w:val="en-ZA"/>
        </w:rPr>
        <w:t xml:space="preserve"> through greater public participation by expanding public education, better dissemination of information, effective use of broadcasting, technology and social media, the use of more official languages, and encouraging committees to undertake joint public hearings.</w:t>
      </w:r>
    </w:p>
    <w:p w:rsidR="002B2833" w:rsidRPr="00892F76" w:rsidRDefault="00A52347" w:rsidP="00892F76">
      <w:pPr>
        <w:spacing w:after="0" w:line="240" w:lineRule="auto"/>
        <w:rPr>
          <w:rFonts w:ascii="Arial" w:eastAsia="Calibri" w:hAnsi="Arial" w:cs="Arial"/>
          <w:sz w:val="20"/>
          <w:szCs w:val="20"/>
          <w:lang w:val="en-ZA"/>
        </w:rPr>
      </w:pPr>
      <w:r w:rsidRPr="00892F76">
        <w:rPr>
          <w:rFonts w:ascii="Arial" w:eastAsia="Calibri" w:hAnsi="Arial" w:cs="Arial"/>
          <w:sz w:val="20"/>
          <w:szCs w:val="20"/>
          <w:lang w:val="en-ZA"/>
        </w:rPr>
        <w:t>2.3</w:t>
      </w:r>
      <w:r w:rsidR="002B2833" w:rsidRPr="00892F76">
        <w:rPr>
          <w:rFonts w:ascii="Arial" w:eastAsia="Calibri" w:hAnsi="Arial" w:cs="Arial"/>
          <w:sz w:val="20"/>
          <w:szCs w:val="20"/>
          <w:lang w:val="en-ZA"/>
        </w:rPr>
        <w:t>.3</w:t>
      </w:r>
      <w:r w:rsidR="002B2833" w:rsidRPr="00892F76">
        <w:rPr>
          <w:rFonts w:ascii="Arial" w:eastAsia="Calibri" w:hAnsi="Arial" w:cs="Arial"/>
          <w:sz w:val="20"/>
          <w:szCs w:val="20"/>
          <w:lang w:val="en-ZA"/>
        </w:rPr>
        <w:tab/>
        <w:t>To aid the above activities, the institution will:</w:t>
      </w:r>
    </w:p>
    <w:p w:rsidR="002B2833" w:rsidRPr="00892F76" w:rsidRDefault="002B2833" w:rsidP="00892F76">
      <w:pPr>
        <w:spacing w:after="0" w:line="240" w:lineRule="auto"/>
        <w:ind w:left="720" w:firstLine="720"/>
        <w:rPr>
          <w:rFonts w:ascii="Arial" w:eastAsia="Calibri" w:hAnsi="Arial" w:cs="Arial"/>
          <w:sz w:val="20"/>
          <w:szCs w:val="20"/>
          <w:lang w:val="en-ZA"/>
        </w:rPr>
      </w:pPr>
      <w:r w:rsidRPr="00892F76">
        <w:rPr>
          <w:rFonts w:ascii="Arial" w:eastAsia="Calibri" w:hAnsi="Arial" w:cs="Arial"/>
          <w:sz w:val="20"/>
          <w:szCs w:val="20"/>
          <w:lang w:val="en-ZA"/>
        </w:rPr>
        <w:t>-</w:t>
      </w:r>
      <w:r w:rsidRPr="00892F76">
        <w:rPr>
          <w:rFonts w:ascii="Arial" w:eastAsia="Calibri" w:hAnsi="Arial" w:cs="Arial"/>
          <w:sz w:val="20"/>
          <w:szCs w:val="20"/>
          <w:lang w:val="en-ZA"/>
        </w:rPr>
        <w:tab/>
        <w:t>enhance research and legal support in respect of oversight activities;</w:t>
      </w:r>
    </w:p>
    <w:p w:rsidR="002B2833" w:rsidRPr="00892F76" w:rsidRDefault="002B2833" w:rsidP="00892F76">
      <w:pPr>
        <w:spacing w:after="0" w:line="240" w:lineRule="auto"/>
        <w:ind w:left="2160" w:hanging="720"/>
        <w:rPr>
          <w:rFonts w:ascii="Arial" w:eastAsia="Calibri" w:hAnsi="Arial" w:cs="Arial"/>
          <w:sz w:val="20"/>
          <w:szCs w:val="20"/>
          <w:lang w:val="en-ZA"/>
        </w:rPr>
      </w:pPr>
      <w:r w:rsidRPr="00892F76">
        <w:rPr>
          <w:rFonts w:ascii="Arial" w:eastAsia="Calibri" w:hAnsi="Arial" w:cs="Arial"/>
          <w:sz w:val="20"/>
          <w:szCs w:val="20"/>
          <w:lang w:val="en-ZA"/>
        </w:rPr>
        <w:t>-</w:t>
      </w:r>
      <w:r w:rsidRPr="00892F76">
        <w:rPr>
          <w:rFonts w:ascii="Arial" w:eastAsia="Calibri" w:hAnsi="Arial" w:cs="Arial"/>
          <w:sz w:val="20"/>
          <w:szCs w:val="20"/>
          <w:lang w:val="en-ZA"/>
        </w:rPr>
        <w:tab/>
        <w:t>improve members’ capacity through capacity-building programmes that will empower parliamentarians to be effective and efficient in executing their oversight responsibilities;</w:t>
      </w:r>
    </w:p>
    <w:p w:rsidR="002B2833" w:rsidRPr="00892F76" w:rsidRDefault="002B2833" w:rsidP="00892F76">
      <w:pPr>
        <w:spacing w:after="0" w:line="240" w:lineRule="auto"/>
        <w:ind w:left="2160" w:hanging="720"/>
        <w:rPr>
          <w:rFonts w:ascii="Arial" w:eastAsia="Calibri" w:hAnsi="Arial" w:cs="Arial"/>
          <w:sz w:val="20"/>
          <w:szCs w:val="20"/>
          <w:lang w:val="en-ZA"/>
        </w:rPr>
      </w:pPr>
      <w:r w:rsidRPr="00892F76">
        <w:rPr>
          <w:rFonts w:ascii="Arial" w:eastAsia="Calibri" w:hAnsi="Arial" w:cs="Arial"/>
          <w:sz w:val="20"/>
          <w:szCs w:val="20"/>
          <w:lang w:val="en-ZA"/>
        </w:rPr>
        <w:t>-</w:t>
      </w:r>
      <w:r w:rsidRPr="00892F76">
        <w:rPr>
          <w:rFonts w:ascii="Arial" w:eastAsia="Calibri" w:hAnsi="Arial" w:cs="Arial"/>
          <w:sz w:val="20"/>
          <w:szCs w:val="20"/>
          <w:lang w:val="en-ZA"/>
        </w:rPr>
        <w:tab/>
        <w:t>improve oversight and accountability through better monitoring, tracking and evaluation in respect of Parliament’s own work, as well as the work of the Executive;</w:t>
      </w:r>
    </w:p>
    <w:p w:rsidR="002B2833" w:rsidRPr="00892F76" w:rsidRDefault="002B2833" w:rsidP="00892F76">
      <w:pPr>
        <w:spacing w:after="0" w:line="240" w:lineRule="auto"/>
        <w:ind w:left="2160" w:hanging="720"/>
        <w:rPr>
          <w:rFonts w:ascii="Arial" w:eastAsia="Calibri" w:hAnsi="Arial" w:cs="Arial"/>
          <w:sz w:val="20"/>
          <w:szCs w:val="20"/>
          <w:lang w:val="en-ZA"/>
        </w:rPr>
      </w:pPr>
      <w:r w:rsidRPr="00892F76">
        <w:rPr>
          <w:rFonts w:ascii="Arial" w:eastAsia="Calibri" w:hAnsi="Arial" w:cs="Arial"/>
          <w:sz w:val="20"/>
          <w:szCs w:val="20"/>
          <w:lang w:val="en-ZA"/>
        </w:rPr>
        <w:t>-</w:t>
      </w:r>
      <w:r w:rsidRPr="00892F76">
        <w:rPr>
          <w:rFonts w:ascii="Arial" w:eastAsia="Calibri" w:hAnsi="Arial" w:cs="Arial"/>
          <w:sz w:val="20"/>
          <w:szCs w:val="20"/>
          <w:lang w:val="en-ZA"/>
        </w:rPr>
        <w:tab/>
        <w:t>ensure openness and accessibility through the use of modern technology in respect of social media, tools-of-trade, workflows and automation; and</w:t>
      </w:r>
    </w:p>
    <w:p w:rsidR="005B59F5" w:rsidRPr="00892F76" w:rsidRDefault="002B2833" w:rsidP="00892F76">
      <w:pPr>
        <w:spacing w:after="0" w:line="240" w:lineRule="auto"/>
        <w:ind w:left="2160" w:hanging="720"/>
        <w:rPr>
          <w:rFonts w:ascii="Arial" w:eastAsia="Calibri" w:hAnsi="Arial" w:cs="Arial"/>
          <w:sz w:val="20"/>
          <w:szCs w:val="20"/>
          <w:lang w:val="en-ZA"/>
        </w:rPr>
      </w:pPr>
      <w:r w:rsidRPr="00892F76">
        <w:rPr>
          <w:rFonts w:ascii="Arial" w:eastAsia="Calibri" w:hAnsi="Arial" w:cs="Arial"/>
          <w:sz w:val="20"/>
          <w:szCs w:val="20"/>
          <w:lang w:val="en-ZA"/>
        </w:rPr>
        <w:t>-</w:t>
      </w:r>
      <w:r w:rsidRPr="00892F76">
        <w:rPr>
          <w:rFonts w:ascii="Arial" w:eastAsia="Calibri" w:hAnsi="Arial" w:cs="Arial"/>
          <w:sz w:val="20"/>
          <w:szCs w:val="20"/>
          <w:lang w:val="en-ZA"/>
        </w:rPr>
        <w:tab/>
        <w:t>cut costs to allow for operational sustainability.</w:t>
      </w:r>
    </w:p>
    <w:p w:rsidR="00077418" w:rsidRPr="00892F76" w:rsidRDefault="00077418" w:rsidP="00892F76">
      <w:pPr>
        <w:spacing w:after="0" w:line="240" w:lineRule="auto"/>
        <w:ind w:left="2160" w:hanging="720"/>
        <w:rPr>
          <w:rFonts w:ascii="Arial" w:eastAsia="Calibri" w:hAnsi="Arial" w:cs="Arial"/>
          <w:sz w:val="20"/>
          <w:szCs w:val="20"/>
          <w:lang w:val="en-ZA"/>
        </w:rPr>
      </w:pPr>
    </w:p>
    <w:p w:rsidR="00077418" w:rsidRPr="00892F76" w:rsidRDefault="00077418" w:rsidP="00892F76">
      <w:pPr>
        <w:spacing w:after="0" w:line="240" w:lineRule="auto"/>
        <w:ind w:left="2160" w:hanging="720"/>
        <w:rPr>
          <w:rFonts w:ascii="Arial" w:eastAsia="Calibri" w:hAnsi="Arial" w:cs="Arial"/>
          <w:sz w:val="20"/>
          <w:szCs w:val="20"/>
          <w:lang w:val="en-ZA"/>
        </w:rPr>
      </w:pPr>
    </w:p>
    <w:p w:rsidR="00077418" w:rsidRPr="00892F76" w:rsidRDefault="00077418" w:rsidP="00892F76">
      <w:pPr>
        <w:spacing w:after="0" w:line="240" w:lineRule="auto"/>
        <w:ind w:left="2160" w:hanging="720"/>
        <w:rPr>
          <w:rFonts w:ascii="Arial" w:eastAsia="Calibri" w:hAnsi="Arial" w:cs="Arial"/>
          <w:sz w:val="20"/>
          <w:szCs w:val="20"/>
          <w:lang w:val="en-ZA"/>
        </w:rPr>
      </w:pPr>
    </w:p>
    <w:p w:rsidR="00077418" w:rsidRPr="00892F76" w:rsidRDefault="00077418" w:rsidP="00892F76">
      <w:pPr>
        <w:spacing w:after="0" w:line="240" w:lineRule="auto"/>
        <w:ind w:left="2160" w:hanging="720"/>
        <w:rPr>
          <w:rFonts w:ascii="Arial" w:eastAsia="Calibri" w:hAnsi="Arial" w:cs="Arial"/>
          <w:sz w:val="20"/>
          <w:szCs w:val="20"/>
          <w:lang w:val="en-ZA"/>
        </w:rPr>
      </w:pPr>
    </w:p>
    <w:p w:rsidR="00057CD9" w:rsidRPr="00892F76" w:rsidRDefault="00D17DD4" w:rsidP="00892F76">
      <w:pPr>
        <w:autoSpaceDE w:val="0"/>
        <w:autoSpaceDN w:val="0"/>
        <w:adjustRightInd w:val="0"/>
        <w:spacing w:after="0" w:line="240" w:lineRule="auto"/>
        <w:rPr>
          <w:rFonts w:ascii="Arial" w:eastAsia="Calibri" w:hAnsi="Arial" w:cs="Arial"/>
          <w:b/>
          <w:bCs/>
          <w:sz w:val="20"/>
          <w:szCs w:val="20"/>
          <w:lang w:val="en-ZA"/>
        </w:rPr>
      </w:pPr>
      <w:r w:rsidRPr="00892F76">
        <w:rPr>
          <w:rFonts w:ascii="Arial" w:eastAsia="Calibri" w:hAnsi="Arial" w:cs="Arial"/>
          <w:b/>
          <w:bCs/>
          <w:sz w:val="20"/>
          <w:szCs w:val="20"/>
          <w:lang w:val="en-ZA"/>
        </w:rPr>
        <w:t>Part B</w:t>
      </w:r>
    </w:p>
    <w:p w:rsidR="00092216" w:rsidRPr="00892F76" w:rsidRDefault="00092216" w:rsidP="00892F76">
      <w:pPr>
        <w:spacing w:after="0" w:line="240" w:lineRule="auto"/>
        <w:rPr>
          <w:rFonts w:ascii="Arial" w:eastAsia="Times New Roman" w:hAnsi="Arial" w:cs="Arial"/>
          <w:b/>
          <w:spacing w:val="6"/>
          <w:sz w:val="20"/>
          <w:szCs w:val="20"/>
          <w:lang w:val="en-GB" w:eastAsia="en-GB"/>
        </w:rPr>
      </w:pPr>
    </w:p>
    <w:p w:rsidR="003F283C" w:rsidRPr="00892F76" w:rsidRDefault="003F283C" w:rsidP="00892F76">
      <w:pPr>
        <w:spacing w:after="0" w:line="240" w:lineRule="auto"/>
        <w:rPr>
          <w:rFonts w:ascii="Arial" w:eastAsia="Times New Roman" w:hAnsi="Arial" w:cs="Arial"/>
          <w:b/>
          <w:spacing w:val="6"/>
          <w:sz w:val="20"/>
          <w:szCs w:val="20"/>
          <w:lang w:val="en-GB" w:eastAsia="en-GB"/>
        </w:rPr>
      </w:pPr>
      <w:r w:rsidRPr="00892F76">
        <w:rPr>
          <w:rFonts w:ascii="Arial" w:eastAsia="Times New Roman" w:hAnsi="Arial" w:cs="Arial"/>
          <w:b/>
          <w:spacing w:val="6"/>
          <w:sz w:val="20"/>
          <w:szCs w:val="20"/>
          <w:lang w:val="en-GB" w:eastAsia="en-GB"/>
        </w:rPr>
        <w:t>3.</w:t>
      </w:r>
      <w:r w:rsidRPr="00892F76">
        <w:rPr>
          <w:rFonts w:ascii="Arial" w:eastAsia="Times New Roman" w:hAnsi="Arial" w:cs="Arial"/>
          <w:b/>
          <w:spacing w:val="6"/>
          <w:sz w:val="20"/>
          <w:szCs w:val="20"/>
          <w:lang w:val="en-GB" w:eastAsia="en-GB"/>
        </w:rPr>
        <w:tab/>
        <w:t xml:space="preserve">Performance at the </w:t>
      </w:r>
      <w:r w:rsidR="00256B5F" w:rsidRPr="00892F76">
        <w:rPr>
          <w:rFonts w:ascii="Arial" w:eastAsia="Times New Roman" w:hAnsi="Arial" w:cs="Arial"/>
          <w:b/>
          <w:spacing w:val="6"/>
          <w:sz w:val="20"/>
          <w:szCs w:val="20"/>
          <w:lang w:val="en-GB" w:eastAsia="en-GB"/>
        </w:rPr>
        <w:t>end of the first half of 2022/23</w:t>
      </w:r>
    </w:p>
    <w:p w:rsidR="005B59F5" w:rsidRPr="00892F76" w:rsidRDefault="005B59F5" w:rsidP="00892F76">
      <w:pPr>
        <w:spacing w:after="0" w:line="240" w:lineRule="auto"/>
        <w:contextualSpacing/>
        <w:rPr>
          <w:rFonts w:ascii="Arial" w:eastAsia="Times New Roman" w:hAnsi="Arial" w:cs="Arial"/>
          <w:b/>
          <w:spacing w:val="6"/>
          <w:sz w:val="20"/>
          <w:szCs w:val="20"/>
          <w:lang w:val="en-GB" w:eastAsia="en-GB"/>
        </w:rPr>
      </w:pPr>
    </w:p>
    <w:p w:rsidR="00EF641A" w:rsidRPr="00892F76" w:rsidRDefault="009E67F5" w:rsidP="00892F76">
      <w:pPr>
        <w:spacing w:after="0" w:line="240" w:lineRule="auto"/>
        <w:contextualSpacing/>
        <w:rPr>
          <w:rFonts w:ascii="Arial" w:eastAsia="Times New Roman" w:hAnsi="Arial" w:cs="Arial"/>
          <w:b/>
          <w:spacing w:val="6"/>
          <w:sz w:val="20"/>
          <w:szCs w:val="20"/>
          <w:lang w:val="en-GB" w:eastAsia="en-GB"/>
        </w:rPr>
      </w:pPr>
      <w:r w:rsidRPr="00892F76">
        <w:rPr>
          <w:rFonts w:ascii="Arial" w:eastAsia="Times New Roman" w:hAnsi="Arial" w:cs="Arial"/>
          <w:b/>
          <w:spacing w:val="6"/>
          <w:sz w:val="20"/>
          <w:szCs w:val="20"/>
          <w:lang w:val="en-GB" w:eastAsia="en-GB"/>
        </w:rPr>
        <w:t>3</w:t>
      </w:r>
      <w:r w:rsidR="00EF641A" w:rsidRPr="00892F76">
        <w:rPr>
          <w:rFonts w:ascii="Arial" w:eastAsia="Times New Roman" w:hAnsi="Arial" w:cs="Arial"/>
          <w:b/>
          <w:spacing w:val="6"/>
          <w:sz w:val="20"/>
          <w:szCs w:val="20"/>
          <w:lang w:val="en-GB" w:eastAsia="en-GB"/>
        </w:rPr>
        <w:t>.1</w:t>
      </w:r>
      <w:r w:rsidR="00EF641A" w:rsidRPr="00892F76">
        <w:rPr>
          <w:rFonts w:ascii="Arial" w:eastAsia="Times New Roman" w:hAnsi="Arial" w:cs="Arial"/>
          <w:b/>
          <w:spacing w:val="6"/>
          <w:sz w:val="20"/>
          <w:szCs w:val="20"/>
          <w:lang w:val="en-GB" w:eastAsia="en-GB"/>
        </w:rPr>
        <w:tab/>
        <w:t>Overview</w:t>
      </w:r>
    </w:p>
    <w:p w:rsidR="00225DD9" w:rsidRPr="00892F76" w:rsidRDefault="00225DD9" w:rsidP="00892F76">
      <w:pPr>
        <w:spacing w:after="0" w:line="240" w:lineRule="auto"/>
        <w:ind w:left="720" w:hanging="720"/>
        <w:contextualSpacing/>
        <w:rPr>
          <w:rFonts w:ascii="Arial" w:eastAsia="Times New Roman" w:hAnsi="Arial" w:cs="Arial"/>
          <w:spacing w:val="6"/>
          <w:sz w:val="20"/>
          <w:szCs w:val="20"/>
          <w:lang w:val="en-GB" w:eastAsia="en-GB"/>
        </w:rPr>
      </w:pPr>
      <w:r w:rsidRPr="00892F76">
        <w:rPr>
          <w:rFonts w:ascii="Arial" w:eastAsia="Times New Roman" w:hAnsi="Arial" w:cs="Arial"/>
          <w:spacing w:val="6"/>
          <w:sz w:val="20"/>
          <w:szCs w:val="20"/>
          <w:lang w:val="en-GB" w:eastAsia="en-GB"/>
        </w:rPr>
        <w:t>3.1.1</w:t>
      </w:r>
      <w:r w:rsidRPr="00892F76">
        <w:rPr>
          <w:rFonts w:ascii="Arial" w:eastAsia="Times New Roman" w:hAnsi="Arial" w:cs="Arial"/>
          <w:spacing w:val="6"/>
          <w:sz w:val="20"/>
          <w:szCs w:val="20"/>
          <w:lang w:val="en-GB" w:eastAsia="en-GB"/>
        </w:rPr>
        <w:tab/>
        <w:t>The mid-year performance re</w:t>
      </w:r>
      <w:r w:rsidR="00256B5F" w:rsidRPr="00892F76">
        <w:rPr>
          <w:rFonts w:ascii="Arial" w:eastAsia="Times New Roman" w:hAnsi="Arial" w:cs="Arial"/>
          <w:spacing w:val="6"/>
          <w:sz w:val="20"/>
          <w:szCs w:val="20"/>
          <w:lang w:val="en-GB" w:eastAsia="en-GB"/>
        </w:rPr>
        <w:t>port is based on the tabled 2022/23</w:t>
      </w:r>
      <w:r w:rsidR="0018213C" w:rsidRPr="00892F76">
        <w:rPr>
          <w:rFonts w:ascii="Arial" w:eastAsia="Times New Roman" w:hAnsi="Arial" w:cs="Arial"/>
          <w:spacing w:val="6"/>
          <w:sz w:val="20"/>
          <w:szCs w:val="20"/>
          <w:lang w:val="en-GB" w:eastAsia="en-GB"/>
        </w:rPr>
        <w:t xml:space="preserve"> APP which has been</w:t>
      </w:r>
      <w:r w:rsidRPr="00892F76">
        <w:rPr>
          <w:rFonts w:ascii="Arial" w:eastAsia="Times New Roman" w:hAnsi="Arial" w:cs="Arial"/>
          <w:spacing w:val="6"/>
          <w:sz w:val="20"/>
          <w:szCs w:val="20"/>
          <w:lang w:val="en-GB" w:eastAsia="en-GB"/>
        </w:rPr>
        <w:t xml:space="preserve"> aligned to the Strategic Plan of the</w:t>
      </w:r>
      <w:r w:rsidR="00256B5F" w:rsidRPr="00892F76">
        <w:rPr>
          <w:rFonts w:ascii="Arial" w:eastAsia="Times New Roman" w:hAnsi="Arial" w:cs="Arial"/>
          <w:spacing w:val="6"/>
          <w:sz w:val="20"/>
          <w:szCs w:val="20"/>
          <w:lang w:val="en-GB" w:eastAsia="en-GB"/>
        </w:rPr>
        <w:t xml:space="preserve"> S</w:t>
      </w:r>
      <w:r w:rsidRPr="00892F76">
        <w:rPr>
          <w:rFonts w:ascii="Arial" w:eastAsia="Times New Roman" w:hAnsi="Arial" w:cs="Arial"/>
          <w:spacing w:val="6"/>
          <w:sz w:val="20"/>
          <w:szCs w:val="20"/>
          <w:lang w:val="en-GB" w:eastAsia="en-GB"/>
        </w:rPr>
        <w:t>ixth Parliament.</w:t>
      </w:r>
    </w:p>
    <w:p w:rsidR="0014029A" w:rsidRPr="00892F76" w:rsidRDefault="00225DD9" w:rsidP="00892F76">
      <w:pPr>
        <w:spacing w:after="0" w:line="240" w:lineRule="auto"/>
        <w:ind w:left="720" w:hanging="720"/>
        <w:contextualSpacing/>
        <w:rPr>
          <w:rFonts w:ascii="Arial" w:eastAsia="Times New Roman" w:hAnsi="Arial" w:cs="Arial"/>
          <w:spacing w:val="6"/>
          <w:sz w:val="20"/>
          <w:szCs w:val="20"/>
          <w:lang w:val="en-GB" w:eastAsia="en-GB"/>
        </w:rPr>
      </w:pPr>
      <w:r w:rsidRPr="00892F76">
        <w:rPr>
          <w:rFonts w:ascii="Arial" w:eastAsia="Times New Roman" w:hAnsi="Arial" w:cs="Arial"/>
          <w:spacing w:val="6"/>
          <w:sz w:val="20"/>
          <w:szCs w:val="20"/>
          <w:lang w:val="en-GB" w:eastAsia="en-GB"/>
        </w:rPr>
        <w:t>3.1.2</w:t>
      </w:r>
      <w:r w:rsidRPr="00892F76">
        <w:rPr>
          <w:rFonts w:ascii="Arial" w:eastAsia="Times New Roman" w:hAnsi="Arial" w:cs="Arial"/>
          <w:spacing w:val="6"/>
          <w:sz w:val="20"/>
          <w:szCs w:val="20"/>
          <w:lang w:val="en-GB" w:eastAsia="en-GB"/>
        </w:rPr>
        <w:tab/>
      </w:r>
      <w:r w:rsidR="00B34775" w:rsidRPr="00892F76">
        <w:rPr>
          <w:rFonts w:ascii="Arial" w:eastAsia="Times New Roman" w:hAnsi="Arial" w:cs="Arial"/>
          <w:spacing w:val="6"/>
          <w:sz w:val="20"/>
          <w:szCs w:val="20"/>
          <w:lang w:val="en-GB" w:eastAsia="en-GB"/>
        </w:rPr>
        <w:t>Of the t</w:t>
      </w:r>
      <w:r w:rsidRPr="00892F76">
        <w:rPr>
          <w:rFonts w:ascii="Arial" w:eastAsia="Times New Roman" w:hAnsi="Arial" w:cs="Arial"/>
          <w:spacing w:val="6"/>
          <w:sz w:val="20"/>
          <w:szCs w:val="20"/>
          <w:lang w:val="en-GB" w:eastAsia="en-GB"/>
        </w:rPr>
        <w:t xml:space="preserve">welve indicators </w:t>
      </w:r>
      <w:r w:rsidR="00B34775" w:rsidRPr="00892F76">
        <w:rPr>
          <w:rFonts w:ascii="Arial" w:eastAsia="Times New Roman" w:hAnsi="Arial" w:cs="Arial"/>
          <w:spacing w:val="6"/>
          <w:sz w:val="20"/>
          <w:szCs w:val="20"/>
          <w:lang w:val="en-GB" w:eastAsia="en-GB"/>
        </w:rPr>
        <w:t xml:space="preserve">for the year, eleven were measured at the end of the first half of the financial year. The performance measures, again, </w:t>
      </w:r>
      <w:r w:rsidRPr="00892F76">
        <w:rPr>
          <w:rFonts w:ascii="Arial" w:eastAsia="Times New Roman" w:hAnsi="Arial" w:cs="Arial"/>
          <w:spacing w:val="6"/>
          <w:sz w:val="20"/>
          <w:szCs w:val="20"/>
          <w:lang w:val="en-GB" w:eastAsia="en-GB"/>
        </w:rPr>
        <w:t>focussed on whether parliamentarians were satis</w:t>
      </w:r>
      <w:r w:rsidR="00B34775" w:rsidRPr="00892F76">
        <w:rPr>
          <w:rFonts w:ascii="Arial" w:eastAsia="Times New Roman" w:hAnsi="Arial" w:cs="Arial"/>
          <w:spacing w:val="6"/>
          <w:sz w:val="20"/>
          <w:szCs w:val="20"/>
          <w:lang w:val="en-GB" w:eastAsia="en-GB"/>
        </w:rPr>
        <w:t xml:space="preserve">fied with the services provided. </w:t>
      </w:r>
      <w:r w:rsidRPr="00892F76">
        <w:rPr>
          <w:rFonts w:ascii="Arial" w:eastAsia="Times New Roman" w:hAnsi="Arial" w:cs="Arial"/>
          <w:spacing w:val="6"/>
          <w:sz w:val="20"/>
          <w:szCs w:val="20"/>
          <w:lang w:val="en-GB" w:eastAsia="en-GB"/>
        </w:rPr>
        <w:t>Parliamentarians were requested to rate the services provided along five dimensions statistically correlated to client satisfaction.</w:t>
      </w:r>
      <w:r w:rsidR="0014029A" w:rsidRPr="00892F76">
        <w:rPr>
          <w:rFonts w:ascii="Arial" w:eastAsia="Times New Roman" w:hAnsi="Arial" w:cs="Arial"/>
          <w:spacing w:val="6"/>
          <w:sz w:val="20"/>
          <w:szCs w:val="20"/>
          <w:lang w:val="en-GB" w:eastAsia="en-GB"/>
        </w:rPr>
        <w:t xml:space="preserve"> </w:t>
      </w:r>
      <w:r w:rsidR="002858D5" w:rsidRPr="00892F76">
        <w:rPr>
          <w:rFonts w:ascii="Arial" w:hAnsi="Arial" w:cs="Arial"/>
          <w:sz w:val="20"/>
          <w:szCs w:val="20"/>
          <w:lang w:val="en-GB" w:eastAsia="en-GB"/>
        </w:rPr>
        <w:t xml:space="preserve">Table 1 below reflects the outcome of the mid-year client satisfaction survey. </w:t>
      </w:r>
    </w:p>
    <w:tbl>
      <w:tblPr>
        <w:tblW w:w="8789" w:type="dxa"/>
        <w:tblInd w:w="699" w:type="dxa"/>
        <w:tblCellMar>
          <w:left w:w="0" w:type="dxa"/>
          <w:right w:w="0" w:type="dxa"/>
        </w:tblCellMar>
        <w:tblLook w:val="0600"/>
      </w:tblPr>
      <w:tblGrid>
        <w:gridCol w:w="2134"/>
        <w:gridCol w:w="1158"/>
        <w:gridCol w:w="745"/>
        <w:gridCol w:w="1058"/>
        <w:gridCol w:w="1047"/>
        <w:gridCol w:w="847"/>
        <w:gridCol w:w="1800"/>
      </w:tblGrid>
      <w:tr w:rsidR="0014029A" w:rsidRPr="00892F76" w:rsidTr="0014029A">
        <w:trPr>
          <w:trHeight w:val="51"/>
        </w:trPr>
        <w:tc>
          <w:tcPr>
            <w:tcW w:w="2321" w:type="dxa"/>
            <w:tcBorders>
              <w:top w:val="single" w:sz="8" w:space="0" w:color="000000"/>
              <w:left w:val="single" w:sz="8" w:space="0" w:color="000000"/>
              <w:bottom w:val="single" w:sz="4"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Indicator</w:t>
            </w:r>
          </w:p>
        </w:tc>
        <w:tc>
          <w:tcPr>
            <w:tcW w:w="1024" w:type="dxa"/>
            <w:tcBorders>
              <w:top w:val="single" w:sz="8" w:space="0" w:color="000000"/>
              <w:left w:val="single" w:sz="4" w:space="0" w:color="000000"/>
              <w:bottom w:val="single" w:sz="4"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Overall Member Satisfaction %</w:t>
            </w:r>
          </w:p>
        </w:tc>
        <w:tc>
          <w:tcPr>
            <w:tcW w:w="749" w:type="dxa"/>
            <w:tcBorders>
              <w:top w:val="single" w:sz="8" w:space="0" w:color="000000"/>
              <w:left w:val="single" w:sz="4" w:space="0" w:color="000000"/>
              <w:bottom w:val="single" w:sz="4"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Ease of Access</w:t>
            </w:r>
          </w:p>
        </w:tc>
        <w:tc>
          <w:tcPr>
            <w:tcW w:w="936" w:type="dxa"/>
            <w:tcBorders>
              <w:top w:val="single" w:sz="8" w:space="0" w:color="000000"/>
              <w:left w:val="single" w:sz="4" w:space="0" w:color="000000"/>
              <w:bottom w:val="single" w:sz="4"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Timeliness</w:t>
            </w:r>
          </w:p>
        </w:tc>
        <w:tc>
          <w:tcPr>
            <w:tcW w:w="1063" w:type="dxa"/>
            <w:tcBorders>
              <w:top w:val="single" w:sz="8" w:space="0" w:color="000000"/>
              <w:left w:val="single" w:sz="4" w:space="0" w:color="000000"/>
              <w:bottom w:val="single" w:sz="4"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Reliability</w:t>
            </w:r>
          </w:p>
        </w:tc>
        <w:tc>
          <w:tcPr>
            <w:tcW w:w="747" w:type="dxa"/>
            <w:tcBorders>
              <w:top w:val="single" w:sz="8" w:space="0" w:color="000000"/>
              <w:left w:val="single" w:sz="4" w:space="0" w:color="000000"/>
              <w:bottom w:val="single" w:sz="4"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Fairness</w:t>
            </w:r>
          </w:p>
        </w:tc>
        <w:tc>
          <w:tcPr>
            <w:tcW w:w="1949" w:type="dxa"/>
            <w:tcBorders>
              <w:top w:val="single" w:sz="8" w:space="0" w:color="000000"/>
              <w:left w:val="single" w:sz="4" w:space="0" w:color="000000"/>
              <w:bottom w:val="single" w:sz="4" w:space="0" w:color="000000"/>
              <w:right w:val="single" w:sz="8"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Usefulness</w:t>
            </w:r>
          </w:p>
        </w:tc>
      </w:tr>
      <w:tr w:rsidR="000415D4" w:rsidRPr="00892F76" w:rsidTr="0014029A">
        <w:trPr>
          <w:trHeight w:val="340"/>
        </w:trPr>
        <w:tc>
          <w:tcPr>
            <w:tcW w:w="2321" w:type="dxa"/>
            <w:tcBorders>
              <w:top w:val="single" w:sz="4" w:space="0" w:color="000000"/>
              <w:left w:val="single" w:sz="8" w:space="0" w:color="000000"/>
              <w:bottom w:val="single" w:sz="4"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ICT Services</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83,15</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81,91</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81,42</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83,53</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N/A</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84,03</w:t>
            </w:r>
          </w:p>
        </w:tc>
      </w:tr>
      <w:tr w:rsidR="000415D4" w:rsidRPr="00892F76" w:rsidTr="0014029A">
        <w:trPr>
          <w:trHeight w:val="104"/>
        </w:trPr>
        <w:tc>
          <w:tcPr>
            <w:tcW w:w="2321" w:type="dxa"/>
            <w:tcBorders>
              <w:top w:val="single" w:sz="4" w:space="0" w:color="000000"/>
              <w:left w:val="single" w:sz="8" w:space="0" w:color="000000"/>
              <w:bottom w:val="single" w:sz="4"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Facilities Management Services</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76,96</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75,78</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77,03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76,87</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N/A</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77,53</w:t>
            </w:r>
          </w:p>
        </w:tc>
      </w:tr>
      <w:tr w:rsidR="000415D4" w:rsidRPr="00892F76" w:rsidTr="0014029A">
        <w:trPr>
          <w:trHeight w:val="61"/>
        </w:trPr>
        <w:tc>
          <w:tcPr>
            <w:tcW w:w="2321" w:type="dxa"/>
            <w:tcBorders>
              <w:top w:val="single" w:sz="4" w:space="0" w:color="000000"/>
              <w:left w:val="single" w:sz="8" w:space="0" w:color="000000"/>
              <w:bottom w:val="single" w:sz="4"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 xml:space="preserve">Capacity Building </w:t>
            </w:r>
            <w:r w:rsidRPr="00892F76">
              <w:rPr>
                <w:rFonts w:ascii="Arial" w:eastAsia="Times New Roman" w:hAnsi="Arial" w:cs="Arial"/>
                <w:b/>
                <w:bCs/>
                <w:kern w:val="24"/>
                <w:sz w:val="20"/>
                <w:szCs w:val="20"/>
                <w:lang w:val="en-ZA" w:eastAsia="en-ZA"/>
              </w:rPr>
              <w:lastRenderedPageBreak/>
              <w:t>Services</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lastRenderedPageBreak/>
              <w:t>72,44</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72,03</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72,20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71,93</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N/A</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73,25</w:t>
            </w:r>
          </w:p>
        </w:tc>
      </w:tr>
      <w:tr w:rsidR="000415D4" w:rsidRPr="00892F76" w:rsidTr="0014029A">
        <w:trPr>
          <w:trHeight w:val="61"/>
        </w:trPr>
        <w:tc>
          <w:tcPr>
            <w:tcW w:w="2321" w:type="dxa"/>
            <w:tcBorders>
              <w:top w:val="single" w:sz="4" w:space="0" w:color="000000"/>
              <w:left w:val="single" w:sz="8" w:space="0" w:color="000000"/>
              <w:bottom w:val="single" w:sz="4"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lastRenderedPageBreak/>
              <w:t>Research Services</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78,11</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77,48</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78,47</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77,89</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77,68</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78,61</w:t>
            </w:r>
          </w:p>
        </w:tc>
      </w:tr>
      <w:tr w:rsidR="000415D4" w:rsidRPr="00892F76" w:rsidTr="0014029A">
        <w:trPr>
          <w:trHeight w:val="61"/>
        </w:trPr>
        <w:tc>
          <w:tcPr>
            <w:tcW w:w="2321" w:type="dxa"/>
            <w:tcBorders>
              <w:top w:val="single" w:sz="4" w:space="0" w:color="000000"/>
              <w:left w:val="single" w:sz="8" w:space="0" w:color="000000"/>
              <w:bottom w:val="single" w:sz="4"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Content Advice</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80,13</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80,36</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80,38</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80,36</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80,18</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79,66</w:t>
            </w:r>
          </w:p>
        </w:tc>
      </w:tr>
      <w:tr w:rsidR="000415D4" w:rsidRPr="00892F76" w:rsidTr="0014029A">
        <w:trPr>
          <w:trHeight w:val="61"/>
        </w:trPr>
        <w:tc>
          <w:tcPr>
            <w:tcW w:w="2321" w:type="dxa"/>
            <w:tcBorders>
              <w:top w:val="single" w:sz="4" w:space="0" w:color="000000"/>
              <w:left w:val="single" w:sz="8" w:space="0" w:color="000000"/>
              <w:bottom w:val="single" w:sz="4"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Procedural Advice</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75,71</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74,77</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74,55</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76,12</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76,55</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76,06</w:t>
            </w:r>
          </w:p>
        </w:tc>
      </w:tr>
      <w:tr w:rsidR="000415D4" w:rsidRPr="00892F76" w:rsidTr="0014029A">
        <w:trPr>
          <w:trHeight w:val="61"/>
        </w:trPr>
        <w:tc>
          <w:tcPr>
            <w:tcW w:w="2321" w:type="dxa"/>
            <w:tcBorders>
              <w:top w:val="single" w:sz="4" w:space="0" w:color="000000"/>
              <w:left w:val="single" w:sz="8" w:space="0" w:color="000000"/>
              <w:bottom w:val="single" w:sz="4"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Legal Advice</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75,42</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76,59</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76,37</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75,44</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73,96</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74,82</w:t>
            </w:r>
          </w:p>
        </w:tc>
      </w:tr>
      <w:tr w:rsidR="000415D4" w:rsidRPr="00892F76" w:rsidTr="0014029A">
        <w:trPr>
          <w:trHeight w:val="167"/>
        </w:trPr>
        <w:tc>
          <w:tcPr>
            <w:tcW w:w="2321" w:type="dxa"/>
            <w:tcBorders>
              <w:top w:val="single" w:sz="4" w:space="0" w:color="000000"/>
              <w:left w:val="single" w:sz="8" w:space="0" w:color="000000"/>
              <w:bottom w:val="single" w:sz="4"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Committee Support Services</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83,77</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83,28</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83,68</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83,97</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83,25</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84,03</w:t>
            </w:r>
          </w:p>
        </w:tc>
      </w:tr>
      <w:tr w:rsidR="0014029A" w:rsidRPr="00892F76" w:rsidTr="0014029A">
        <w:trPr>
          <w:trHeight w:val="61"/>
        </w:trPr>
        <w:tc>
          <w:tcPr>
            <w:tcW w:w="2321" w:type="dxa"/>
            <w:tcBorders>
              <w:top w:val="single" w:sz="4" w:space="0" w:color="000000"/>
              <w:left w:val="single" w:sz="8" w:space="0" w:color="000000"/>
              <w:bottom w:val="single" w:sz="8" w:space="0" w:color="000000"/>
              <w:right w:val="single" w:sz="4" w:space="0" w:color="000000"/>
            </w:tcBorders>
            <w:shd w:val="clear" w:color="auto" w:fill="AEAAAA" w:themeFill="background2" w:themeFillShade="B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Public Participation Support</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74,69</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74,86</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74,27</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74,96</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74,56</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74,57</w:t>
            </w:r>
          </w:p>
        </w:tc>
      </w:tr>
    </w:tbl>
    <w:p w:rsidR="002858D5" w:rsidRPr="00892F76" w:rsidRDefault="00493914" w:rsidP="00892F76">
      <w:pPr>
        <w:spacing w:after="0" w:line="240" w:lineRule="auto"/>
        <w:ind w:left="720"/>
        <w:rPr>
          <w:rFonts w:ascii="Arial" w:hAnsi="Arial" w:cs="Arial"/>
          <w:b/>
          <w:sz w:val="20"/>
          <w:szCs w:val="20"/>
          <w:lang w:val="en-GB" w:eastAsia="en-GB"/>
        </w:rPr>
      </w:pPr>
      <w:r w:rsidRPr="00892F76">
        <w:rPr>
          <w:rFonts w:ascii="Arial" w:hAnsi="Arial" w:cs="Arial"/>
          <w:b/>
          <w:sz w:val="20"/>
          <w:szCs w:val="20"/>
          <w:lang w:val="en-GB" w:eastAsia="en-GB"/>
        </w:rPr>
        <w:t xml:space="preserve">Table 1: </w:t>
      </w:r>
      <w:r w:rsidR="00695227" w:rsidRPr="00892F76">
        <w:rPr>
          <w:rFonts w:ascii="Arial" w:hAnsi="Arial" w:cs="Arial"/>
          <w:b/>
          <w:sz w:val="20"/>
          <w:szCs w:val="20"/>
          <w:lang w:val="en-GB" w:eastAsia="en-GB"/>
        </w:rPr>
        <w:t>Outcome of Member Sa</w:t>
      </w:r>
      <w:r w:rsidR="0014029A" w:rsidRPr="00892F76">
        <w:rPr>
          <w:rFonts w:ascii="Arial" w:hAnsi="Arial" w:cs="Arial"/>
          <w:b/>
          <w:sz w:val="20"/>
          <w:szCs w:val="20"/>
          <w:lang w:val="en-GB" w:eastAsia="en-GB"/>
        </w:rPr>
        <w:t>tisfaction Survey, Mid-Year 2022/23</w:t>
      </w:r>
      <w:r w:rsidR="00695227" w:rsidRPr="00892F76">
        <w:rPr>
          <w:rFonts w:ascii="Arial" w:hAnsi="Arial" w:cs="Arial"/>
          <w:b/>
          <w:sz w:val="20"/>
          <w:szCs w:val="20"/>
          <w:lang w:val="en-GB" w:eastAsia="en-GB"/>
        </w:rPr>
        <w:t xml:space="preserve"> (Source: Parliament of the RSA)</w:t>
      </w:r>
    </w:p>
    <w:p w:rsidR="00CA4712" w:rsidRPr="00892F76" w:rsidRDefault="00CA4712" w:rsidP="00892F76">
      <w:pPr>
        <w:spacing w:after="0" w:line="240" w:lineRule="auto"/>
        <w:rPr>
          <w:rFonts w:ascii="Arial" w:hAnsi="Arial" w:cs="Arial"/>
          <w:sz w:val="20"/>
          <w:szCs w:val="20"/>
          <w:lang w:val="en-GB" w:eastAsia="en-GB"/>
        </w:rPr>
      </w:pPr>
    </w:p>
    <w:p w:rsidR="00AE42C0" w:rsidRPr="00892F76" w:rsidRDefault="009E67F5" w:rsidP="00892F76">
      <w:pPr>
        <w:spacing w:after="0" w:line="240" w:lineRule="auto"/>
        <w:rPr>
          <w:rFonts w:ascii="Arial" w:hAnsi="Arial" w:cs="Arial"/>
          <w:b/>
          <w:sz w:val="20"/>
          <w:szCs w:val="20"/>
          <w:lang w:val="en-GB" w:eastAsia="en-GB"/>
        </w:rPr>
      </w:pPr>
      <w:r w:rsidRPr="00892F76">
        <w:rPr>
          <w:rFonts w:ascii="Arial" w:hAnsi="Arial" w:cs="Arial"/>
          <w:b/>
          <w:sz w:val="20"/>
          <w:szCs w:val="20"/>
          <w:lang w:val="en-GB" w:eastAsia="en-GB"/>
        </w:rPr>
        <w:t>3</w:t>
      </w:r>
      <w:r w:rsidR="00AE42C0" w:rsidRPr="00892F76">
        <w:rPr>
          <w:rFonts w:ascii="Arial" w:hAnsi="Arial" w:cs="Arial"/>
          <w:b/>
          <w:sz w:val="20"/>
          <w:szCs w:val="20"/>
          <w:lang w:val="en-GB" w:eastAsia="en-GB"/>
        </w:rPr>
        <w:t>.2</w:t>
      </w:r>
      <w:r w:rsidR="00AE42C0" w:rsidRPr="00892F76">
        <w:rPr>
          <w:rFonts w:ascii="Arial" w:hAnsi="Arial" w:cs="Arial"/>
          <w:b/>
          <w:sz w:val="20"/>
          <w:szCs w:val="20"/>
          <w:lang w:val="en-GB" w:eastAsia="en-GB"/>
        </w:rPr>
        <w:tab/>
      </w:r>
      <w:r w:rsidR="00A8392D" w:rsidRPr="00892F76">
        <w:rPr>
          <w:rFonts w:ascii="Arial" w:hAnsi="Arial" w:cs="Arial"/>
          <w:b/>
          <w:sz w:val="20"/>
          <w:szCs w:val="20"/>
          <w:lang w:val="en-GB" w:eastAsia="en-GB"/>
        </w:rPr>
        <w:t>Programme-by-programme summary of performance information</w:t>
      </w:r>
    </w:p>
    <w:p w:rsidR="000415D4" w:rsidRPr="00892F76" w:rsidRDefault="00F34604" w:rsidP="00892F76">
      <w:pPr>
        <w:spacing w:after="0" w:line="240" w:lineRule="auto"/>
        <w:ind w:left="720"/>
        <w:rPr>
          <w:rFonts w:ascii="Arial" w:hAnsi="Arial" w:cs="Arial"/>
          <w:sz w:val="20"/>
          <w:szCs w:val="20"/>
          <w:lang w:val="en-GB" w:eastAsia="en-GB"/>
        </w:rPr>
      </w:pPr>
      <w:r w:rsidRPr="00892F76">
        <w:rPr>
          <w:rFonts w:ascii="Arial" w:hAnsi="Arial" w:cs="Arial"/>
          <w:sz w:val="20"/>
          <w:szCs w:val="20"/>
          <w:lang w:val="en-GB" w:eastAsia="en-GB"/>
        </w:rPr>
        <w:t xml:space="preserve">Paragraphs </w:t>
      </w:r>
      <w:r w:rsidR="00DC3693" w:rsidRPr="00892F76">
        <w:rPr>
          <w:rFonts w:ascii="Arial" w:hAnsi="Arial" w:cs="Arial"/>
          <w:sz w:val="20"/>
          <w:szCs w:val="20"/>
          <w:lang w:val="en-GB" w:eastAsia="en-GB"/>
        </w:rPr>
        <w:t>3</w:t>
      </w:r>
      <w:r w:rsidRPr="00892F76">
        <w:rPr>
          <w:rFonts w:ascii="Arial" w:hAnsi="Arial" w:cs="Arial"/>
          <w:sz w:val="20"/>
          <w:szCs w:val="20"/>
          <w:lang w:val="en-GB" w:eastAsia="en-GB"/>
        </w:rPr>
        <w:t xml:space="preserve">.2.1 to </w:t>
      </w:r>
      <w:r w:rsidR="00DC3693" w:rsidRPr="00892F76">
        <w:rPr>
          <w:rFonts w:ascii="Arial" w:hAnsi="Arial" w:cs="Arial"/>
          <w:sz w:val="20"/>
          <w:szCs w:val="20"/>
          <w:lang w:val="en-GB" w:eastAsia="en-GB"/>
        </w:rPr>
        <w:t>3</w:t>
      </w:r>
      <w:r w:rsidR="00D803A8" w:rsidRPr="00892F76">
        <w:rPr>
          <w:rFonts w:ascii="Arial" w:hAnsi="Arial" w:cs="Arial"/>
          <w:sz w:val="20"/>
          <w:szCs w:val="20"/>
          <w:lang w:val="en-GB" w:eastAsia="en-GB"/>
        </w:rPr>
        <w:t>.2.</w:t>
      </w:r>
      <w:r w:rsidR="000415D4" w:rsidRPr="00892F76">
        <w:rPr>
          <w:rFonts w:ascii="Arial" w:hAnsi="Arial" w:cs="Arial"/>
          <w:sz w:val="20"/>
          <w:szCs w:val="20"/>
          <w:lang w:val="en-GB" w:eastAsia="en-GB"/>
        </w:rPr>
        <w:t>22</w:t>
      </w:r>
      <w:r w:rsidRPr="00892F76">
        <w:rPr>
          <w:rFonts w:ascii="Arial" w:hAnsi="Arial" w:cs="Arial"/>
          <w:sz w:val="20"/>
          <w:szCs w:val="20"/>
          <w:lang w:val="en-GB" w:eastAsia="en-GB"/>
        </w:rPr>
        <w:t xml:space="preserve"> below provide a summary of Parliament’</w:t>
      </w:r>
      <w:r w:rsidR="00FC43CF" w:rsidRPr="00892F76">
        <w:rPr>
          <w:rFonts w:ascii="Arial" w:hAnsi="Arial" w:cs="Arial"/>
          <w:sz w:val="20"/>
          <w:szCs w:val="20"/>
          <w:lang w:val="en-GB" w:eastAsia="en-GB"/>
        </w:rPr>
        <w:t>s performance across programmes</w:t>
      </w:r>
    </w:p>
    <w:p w:rsidR="000415D4" w:rsidRPr="00892F76" w:rsidRDefault="000415D4" w:rsidP="00892F76">
      <w:pPr>
        <w:spacing w:after="0" w:line="240" w:lineRule="auto"/>
        <w:ind w:left="720"/>
        <w:rPr>
          <w:rFonts w:ascii="Arial" w:eastAsia="Calibri" w:hAnsi="Arial" w:cs="Arial"/>
          <w:b/>
          <w:i/>
          <w:sz w:val="20"/>
          <w:szCs w:val="20"/>
          <w:lang w:val="en-ZA"/>
        </w:rPr>
      </w:pPr>
    </w:p>
    <w:p w:rsidR="00DC3693" w:rsidRPr="00892F76" w:rsidRDefault="00DC3693" w:rsidP="00892F76">
      <w:pPr>
        <w:spacing w:after="0" w:line="240" w:lineRule="auto"/>
        <w:ind w:left="720"/>
        <w:rPr>
          <w:rFonts w:ascii="Arial" w:hAnsi="Arial" w:cs="Arial"/>
          <w:sz w:val="20"/>
          <w:szCs w:val="20"/>
          <w:lang w:val="en-GB" w:eastAsia="en-GB"/>
        </w:rPr>
      </w:pPr>
      <w:r w:rsidRPr="00892F76">
        <w:rPr>
          <w:rFonts w:ascii="Arial" w:eastAsia="Calibri" w:hAnsi="Arial" w:cs="Arial"/>
          <w:b/>
          <w:i/>
          <w:sz w:val="20"/>
          <w:szCs w:val="20"/>
          <w:lang w:val="en-ZA"/>
        </w:rPr>
        <w:t>Programme 1:</w:t>
      </w:r>
      <w:r w:rsidRPr="00892F76">
        <w:rPr>
          <w:rFonts w:ascii="Arial" w:eastAsia="Calibri" w:hAnsi="Arial" w:cs="Arial"/>
          <w:b/>
          <w:i/>
          <w:sz w:val="20"/>
          <w:szCs w:val="20"/>
          <w:lang w:val="en-ZA"/>
        </w:rPr>
        <w:tab/>
        <w:t>Administration</w:t>
      </w:r>
    </w:p>
    <w:p w:rsidR="00957936" w:rsidRPr="00892F76" w:rsidRDefault="00DC3693" w:rsidP="00892F76">
      <w:pPr>
        <w:spacing w:after="0" w:line="240" w:lineRule="auto"/>
        <w:ind w:left="720" w:hanging="720"/>
        <w:rPr>
          <w:rFonts w:ascii="Arial" w:eastAsia="Calibri" w:hAnsi="Arial" w:cs="Arial"/>
          <w:sz w:val="20"/>
          <w:szCs w:val="20"/>
        </w:rPr>
      </w:pPr>
      <w:r w:rsidRPr="00892F76">
        <w:rPr>
          <w:rFonts w:ascii="Arial" w:eastAsia="Calibri" w:hAnsi="Arial" w:cs="Arial"/>
          <w:sz w:val="20"/>
          <w:szCs w:val="20"/>
        </w:rPr>
        <w:t>3.2.1</w:t>
      </w:r>
      <w:r w:rsidRPr="00892F76">
        <w:rPr>
          <w:rFonts w:ascii="Arial" w:eastAsia="Calibri" w:hAnsi="Arial" w:cs="Arial"/>
          <w:sz w:val="20"/>
          <w:szCs w:val="20"/>
        </w:rPr>
        <w:tab/>
        <w:t>Programme 1 provides</w:t>
      </w:r>
      <w:r w:rsidRPr="00892F76">
        <w:rPr>
          <w:rFonts w:ascii="Arial" w:eastAsia="Calibri" w:hAnsi="Arial" w:cs="Arial"/>
          <w:b/>
          <w:sz w:val="20"/>
          <w:szCs w:val="20"/>
        </w:rPr>
        <w:t xml:space="preserve"> </w:t>
      </w:r>
      <w:r w:rsidRPr="00892F76">
        <w:rPr>
          <w:rFonts w:ascii="Arial" w:eastAsia="Calibri" w:hAnsi="Arial" w:cs="Arial"/>
          <w:sz w:val="20"/>
          <w:szCs w:val="20"/>
        </w:rPr>
        <w:t xml:space="preserve">strategic leadership, management and corporate services to Parliament, and comprises the following sub-programmes: Executive Authority, Office of the Secretary, and </w:t>
      </w:r>
      <w:r w:rsidR="0014029A" w:rsidRPr="00892F76">
        <w:rPr>
          <w:rFonts w:ascii="Arial" w:eastAsia="Calibri" w:hAnsi="Arial" w:cs="Arial"/>
          <w:sz w:val="20"/>
          <w:szCs w:val="20"/>
        </w:rPr>
        <w:t xml:space="preserve">Corporate and Support Services. Performance in respect of this programme is illustrated in Table 2, below. </w:t>
      </w:r>
    </w:p>
    <w:tbl>
      <w:tblPr>
        <w:tblW w:w="8505" w:type="dxa"/>
        <w:tblInd w:w="699" w:type="dxa"/>
        <w:tblCellMar>
          <w:left w:w="0" w:type="dxa"/>
          <w:right w:w="0" w:type="dxa"/>
        </w:tblCellMar>
        <w:tblLook w:val="04A0"/>
      </w:tblPr>
      <w:tblGrid>
        <w:gridCol w:w="1539"/>
        <w:gridCol w:w="1217"/>
        <w:gridCol w:w="843"/>
        <w:gridCol w:w="1439"/>
        <w:gridCol w:w="1050"/>
        <w:gridCol w:w="840"/>
        <w:gridCol w:w="1577"/>
      </w:tblGrid>
      <w:tr w:rsidR="0014029A" w:rsidRPr="00892F76" w:rsidTr="0014029A">
        <w:trPr>
          <w:trHeight w:val="674"/>
        </w:trPr>
        <w:tc>
          <w:tcPr>
            <w:tcW w:w="982"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Parliamentary Service</w:t>
            </w:r>
          </w:p>
        </w:tc>
        <w:tc>
          <w:tcPr>
            <w:tcW w:w="1131"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Indicator</w:t>
            </w:r>
          </w:p>
        </w:tc>
        <w:tc>
          <w:tcPr>
            <w:tcW w:w="985"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Mid-Year target</w:t>
            </w:r>
          </w:p>
        </w:tc>
        <w:tc>
          <w:tcPr>
            <w:tcW w:w="1216"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Mid-Year Performance</w:t>
            </w:r>
          </w:p>
        </w:tc>
        <w:tc>
          <w:tcPr>
            <w:tcW w:w="916"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Variance</w:t>
            </w:r>
          </w:p>
        </w:tc>
        <w:tc>
          <w:tcPr>
            <w:tcW w:w="865"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Calibri" w:hAnsi="Arial" w:cs="Arial"/>
                <w:b/>
                <w:bCs/>
                <w:kern w:val="24"/>
                <w:sz w:val="20"/>
                <w:szCs w:val="20"/>
                <w:lang w:val="en-ZA" w:eastAsia="en-ZA"/>
              </w:rPr>
              <w:t>Status</w:t>
            </w:r>
          </w:p>
        </w:tc>
        <w:tc>
          <w:tcPr>
            <w:tcW w:w="2410"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Reasons for Variance/ Mitigation</w:t>
            </w:r>
          </w:p>
        </w:tc>
      </w:tr>
      <w:tr w:rsidR="000415D4" w:rsidRPr="00892F76" w:rsidTr="0014029A">
        <w:trPr>
          <w:trHeight w:val="528"/>
        </w:trPr>
        <w:tc>
          <w:tcPr>
            <w:tcW w:w="982"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Digital service</w:t>
            </w:r>
          </w:p>
        </w:tc>
        <w:tc>
          <w:tcPr>
            <w:tcW w:w="113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 Member satisfaction</w:t>
            </w:r>
          </w:p>
        </w:tc>
        <w:tc>
          <w:tcPr>
            <w:tcW w:w="98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80%</w:t>
            </w:r>
          </w:p>
        </w:tc>
        <w:tc>
          <w:tcPr>
            <w:tcW w:w="1216" w:type="dxa"/>
            <w:tcBorders>
              <w:top w:val="single" w:sz="8" w:space="0" w:color="BF9000"/>
              <w:left w:val="single" w:sz="8" w:space="0" w:color="BF9000"/>
              <w:bottom w:val="single" w:sz="8" w:space="0" w:color="BF9000"/>
              <w:right w:val="single" w:sz="8" w:space="0" w:color="BF9000"/>
            </w:tcBorders>
            <w:shd w:val="clear" w:color="auto" w:fill="FFFFF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83,15</w:t>
            </w:r>
          </w:p>
        </w:tc>
        <w:tc>
          <w:tcPr>
            <w:tcW w:w="9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 +3,15</w:t>
            </w:r>
          </w:p>
        </w:tc>
        <w:tc>
          <w:tcPr>
            <w:tcW w:w="86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numPr>
                <w:ilvl w:val="0"/>
                <w:numId w:val="20"/>
              </w:numPr>
              <w:spacing w:after="0" w:line="240" w:lineRule="auto"/>
              <w:contextualSpacing/>
              <w:rPr>
                <w:rFonts w:ascii="Arial" w:eastAsia="Times New Roman" w:hAnsi="Arial" w:cs="Arial"/>
                <w:sz w:val="20"/>
                <w:szCs w:val="20"/>
                <w:lang w:val="en-ZA" w:eastAsia="en-ZA"/>
              </w:rPr>
            </w:pPr>
          </w:p>
        </w:tc>
        <w:tc>
          <w:tcPr>
            <w:tcW w:w="241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 Useful and reliable service was provided</w:t>
            </w:r>
          </w:p>
        </w:tc>
      </w:tr>
      <w:tr w:rsidR="0014029A" w:rsidRPr="00892F76" w:rsidTr="0014029A">
        <w:trPr>
          <w:trHeight w:val="240"/>
        </w:trPr>
        <w:tc>
          <w:tcPr>
            <w:tcW w:w="982"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Facilities management service</w:t>
            </w:r>
          </w:p>
        </w:tc>
        <w:tc>
          <w:tcPr>
            <w:tcW w:w="113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 Member satisfaction</w:t>
            </w:r>
          </w:p>
        </w:tc>
        <w:tc>
          <w:tcPr>
            <w:tcW w:w="98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75%</w:t>
            </w:r>
          </w:p>
        </w:tc>
        <w:tc>
          <w:tcPr>
            <w:tcW w:w="1216" w:type="dxa"/>
            <w:tcBorders>
              <w:top w:val="single" w:sz="8" w:space="0" w:color="BF9000"/>
              <w:left w:val="single" w:sz="8" w:space="0" w:color="BF9000"/>
              <w:bottom w:val="single" w:sz="8" w:space="0" w:color="BF9000"/>
              <w:right w:val="single" w:sz="8" w:space="0" w:color="BF9000"/>
            </w:tcBorders>
            <w:shd w:val="clear" w:color="auto" w:fill="FFFFFF"/>
            <w:tcMar>
              <w:top w:w="12" w:type="dxa"/>
              <w:left w:w="12" w:type="dxa"/>
              <w:bottom w:w="0" w:type="dxa"/>
              <w:right w:w="12" w:type="dxa"/>
            </w:tcMar>
            <w:vAlign w:val="bottom"/>
            <w:hideMark/>
          </w:tcPr>
          <w:p w:rsidR="0014029A" w:rsidRPr="00892F76" w:rsidRDefault="0014029A" w:rsidP="00892F76">
            <w:pPr>
              <w:spacing w:after="0" w:line="240" w:lineRule="auto"/>
              <w:textAlignment w:val="bottom"/>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76,96</w:t>
            </w:r>
          </w:p>
        </w:tc>
        <w:tc>
          <w:tcPr>
            <w:tcW w:w="9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 +1,96</w:t>
            </w:r>
          </w:p>
        </w:tc>
        <w:tc>
          <w:tcPr>
            <w:tcW w:w="86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numPr>
                <w:ilvl w:val="0"/>
                <w:numId w:val="20"/>
              </w:numPr>
              <w:spacing w:after="0" w:line="240" w:lineRule="auto"/>
              <w:contextualSpacing/>
              <w:rPr>
                <w:rFonts w:ascii="Arial" w:eastAsia="Times New Roman" w:hAnsi="Arial" w:cs="Arial"/>
                <w:sz w:val="20"/>
                <w:szCs w:val="20"/>
                <w:lang w:val="en-ZA" w:eastAsia="en-ZA"/>
              </w:rPr>
            </w:pPr>
          </w:p>
        </w:tc>
        <w:tc>
          <w:tcPr>
            <w:tcW w:w="241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kern w:val="24"/>
                <w:sz w:val="20"/>
                <w:szCs w:val="20"/>
                <w:lang w:val="en-ZA" w:eastAsia="en-ZA"/>
              </w:rPr>
              <w:t>Useful and timeous service was provided </w:t>
            </w:r>
          </w:p>
        </w:tc>
      </w:tr>
    </w:tbl>
    <w:p w:rsidR="004D2C30" w:rsidRPr="00892F76" w:rsidRDefault="0014029A" w:rsidP="00892F76">
      <w:pPr>
        <w:spacing w:after="0" w:line="240" w:lineRule="auto"/>
        <w:rPr>
          <w:rFonts w:ascii="Arial" w:hAnsi="Arial" w:cs="Arial"/>
          <w:b/>
          <w:sz w:val="20"/>
          <w:szCs w:val="20"/>
          <w:lang w:val="en-GB" w:eastAsia="en-GB"/>
        </w:rPr>
      </w:pPr>
      <w:r w:rsidRPr="00892F76">
        <w:rPr>
          <w:rFonts w:ascii="Arial" w:eastAsia="Calibri" w:hAnsi="Arial" w:cs="Arial"/>
          <w:sz w:val="20"/>
          <w:szCs w:val="20"/>
        </w:rPr>
        <w:tab/>
      </w:r>
      <w:r w:rsidR="004D2C30" w:rsidRPr="00892F76">
        <w:rPr>
          <w:rFonts w:ascii="Arial" w:hAnsi="Arial" w:cs="Arial"/>
          <w:b/>
          <w:sz w:val="20"/>
          <w:szCs w:val="20"/>
          <w:lang w:val="en-GB" w:eastAsia="en-GB"/>
        </w:rPr>
        <w:t>Table 2</w:t>
      </w:r>
      <w:r w:rsidR="00CA4712" w:rsidRPr="00892F76">
        <w:rPr>
          <w:rFonts w:ascii="Arial" w:hAnsi="Arial" w:cs="Arial"/>
          <w:b/>
          <w:sz w:val="20"/>
          <w:szCs w:val="20"/>
          <w:lang w:val="en-GB" w:eastAsia="en-GB"/>
        </w:rPr>
        <w:t>: Programme 1 performance information (Source: Parliament of the RSA)</w:t>
      </w:r>
    </w:p>
    <w:p w:rsidR="00FC2E11" w:rsidRPr="00892F76" w:rsidRDefault="00D266FC"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3.2.2</w:t>
      </w:r>
      <w:r w:rsidRPr="00892F76">
        <w:rPr>
          <w:rFonts w:ascii="Arial" w:eastAsia="Calibri" w:hAnsi="Arial" w:cs="Arial"/>
          <w:sz w:val="20"/>
          <w:szCs w:val="20"/>
          <w:lang w:val="en-ZA"/>
        </w:rPr>
        <w:tab/>
        <w:t xml:space="preserve">According to the table above, sub-programmes </w:t>
      </w:r>
      <w:r w:rsidRPr="00892F76">
        <w:rPr>
          <w:rFonts w:ascii="Arial" w:eastAsia="Calibri" w:hAnsi="Arial" w:cs="Arial"/>
          <w:i/>
          <w:sz w:val="20"/>
          <w:szCs w:val="20"/>
          <w:lang w:val="en-ZA"/>
        </w:rPr>
        <w:t>Digital Services</w:t>
      </w:r>
      <w:r w:rsidRPr="00892F76">
        <w:rPr>
          <w:rFonts w:ascii="Arial" w:eastAsia="Calibri" w:hAnsi="Arial" w:cs="Arial"/>
          <w:sz w:val="20"/>
          <w:szCs w:val="20"/>
          <w:lang w:val="en-ZA"/>
        </w:rPr>
        <w:t xml:space="preserve"> and </w:t>
      </w:r>
      <w:r w:rsidRPr="00892F76">
        <w:rPr>
          <w:rFonts w:ascii="Arial" w:eastAsia="Calibri" w:hAnsi="Arial" w:cs="Arial"/>
          <w:i/>
          <w:sz w:val="20"/>
          <w:szCs w:val="20"/>
          <w:lang w:val="en-ZA"/>
        </w:rPr>
        <w:t>Facilities Management</w:t>
      </w:r>
      <w:r w:rsidRPr="00892F76">
        <w:rPr>
          <w:rFonts w:ascii="Arial" w:eastAsia="Calibri" w:hAnsi="Arial" w:cs="Arial"/>
          <w:sz w:val="20"/>
          <w:szCs w:val="20"/>
          <w:lang w:val="en-ZA"/>
        </w:rPr>
        <w:t xml:space="preserve"> </w:t>
      </w:r>
      <w:r w:rsidRPr="00892F76">
        <w:rPr>
          <w:rFonts w:ascii="Arial" w:eastAsia="Calibri" w:hAnsi="Arial" w:cs="Arial"/>
          <w:i/>
          <w:sz w:val="20"/>
          <w:szCs w:val="20"/>
          <w:lang w:val="en-ZA"/>
        </w:rPr>
        <w:t>Ser</w:t>
      </w:r>
      <w:r w:rsidR="006D4C20" w:rsidRPr="00892F76">
        <w:rPr>
          <w:rFonts w:ascii="Arial" w:eastAsia="Calibri" w:hAnsi="Arial" w:cs="Arial"/>
          <w:i/>
          <w:sz w:val="20"/>
          <w:szCs w:val="20"/>
          <w:lang w:val="en-ZA"/>
        </w:rPr>
        <w:t>vice</w:t>
      </w:r>
      <w:r w:rsidR="006D4C20" w:rsidRPr="00892F76">
        <w:rPr>
          <w:rFonts w:ascii="Arial" w:eastAsia="Calibri" w:hAnsi="Arial" w:cs="Arial"/>
          <w:sz w:val="20"/>
          <w:szCs w:val="20"/>
          <w:lang w:val="en-ZA"/>
        </w:rPr>
        <w:t xml:space="preserve"> exceeded their targets by </w:t>
      </w:r>
      <w:r w:rsidR="0014029A" w:rsidRPr="00892F76">
        <w:rPr>
          <w:rFonts w:ascii="Arial" w:eastAsia="Calibri" w:hAnsi="Arial" w:cs="Arial"/>
          <w:sz w:val="20"/>
          <w:szCs w:val="20"/>
          <w:lang w:val="en-ZA"/>
        </w:rPr>
        <w:t>3,15 per cent, and 1,96</w:t>
      </w:r>
      <w:r w:rsidRPr="00892F76">
        <w:rPr>
          <w:rFonts w:ascii="Arial" w:eastAsia="Calibri" w:hAnsi="Arial" w:cs="Arial"/>
          <w:sz w:val="20"/>
          <w:szCs w:val="20"/>
          <w:lang w:val="en-ZA"/>
        </w:rPr>
        <w:t xml:space="preserve"> per cent respectively. </w:t>
      </w:r>
      <w:r w:rsidR="00332B67" w:rsidRPr="00892F76">
        <w:rPr>
          <w:rFonts w:ascii="Arial" w:eastAsia="Calibri" w:hAnsi="Arial" w:cs="Arial"/>
          <w:sz w:val="20"/>
          <w:szCs w:val="20"/>
          <w:lang w:val="en-ZA"/>
        </w:rPr>
        <w:t>Key</w:t>
      </w:r>
      <w:r w:rsidR="006D4C20" w:rsidRPr="00892F76">
        <w:rPr>
          <w:rFonts w:ascii="Arial" w:eastAsia="Calibri" w:hAnsi="Arial" w:cs="Arial"/>
          <w:sz w:val="20"/>
          <w:szCs w:val="20"/>
          <w:lang w:val="en-ZA"/>
        </w:rPr>
        <w:t xml:space="preserve"> performance trends under this programme are captured in paragraphs </w:t>
      </w:r>
      <w:r w:rsidR="00575E74" w:rsidRPr="00892F76">
        <w:rPr>
          <w:rFonts w:ascii="Arial" w:eastAsia="Calibri" w:hAnsi="Arial" w:cs="Arial"/>
          <w:sz w:val="20"/>
          <w:szCs w:val="20"/>
          <w:lang w:val="en-ZA"/>
        </w:rPr>
        <w:t>3.2.3</w:t>
      </w:r>
      <w:r w:rsidR="00D803A8" w:rsidRPr="00892F76">
        <w:rPr>
          <w:rFonts w:ascii="Arial" w:eastAsia="Calibri" w:hAnsi="Arial" w:cs="Arial"/>
          <w:sz w:val="20"/>
          <w:szCs w:val="20"/>
          <w:lang w:val="en-ZA"/>
        </w:rPr>
        <w:t xml:space="preserve"> to 3.2.18</w:t>
      </w:r>
      <w:r w:rsidR="006D4C20" w:rsidRPr="00892F76">
        <w:rPr>
          <w:rFonts w:ascii="Arial" w:eastAsia="Calibri" w:hAnsi="Arial" w:cs="Arial"/>
          <w:sz w:val="20"/>
          <w:szCs w:val="20"/>
          <w:lang w:val="en-ZA"/>
        </w:rPr>
        <w:t xml:space="preserve"> below.</w:t>
      </w:r>
    </w:p>
    <w:p w:rsidR="0014029A" w:rsidRPr="00892F76" w:rsidRDefault="0014029A"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ab/>
      </w:r>
    </w:p>
    <w:p w:rsidR="0014029A" w:rsidRPr="00892F76" w:rsidRDefault="0014029A" w:rsidP="00892F76">
      <w:pPr>
        <w:spacing w:after="0" w:line="240" w:lineRule="auto"/>
        <w:ind w:left="720" w:hanging="720"/>
        <w:rPr>
          <w:rFonts w:ascii="Arial" w:eastAsia="Calibri" w:hAnsi="Arial" w:cs="Arial"/>
          <w:i/>
          <w:sz w:val="20"/>
          <w:szCs w:val="20"/>
          <w:lang w:val="en-ZA"/>
        </w:rPr>
      </w:pPr>
      <w:r w:rsidRPr="00892F76">
        <w:rPr>
          <w:rFonts w:ascii="Arial" w:eastAsia="Calibri" w:hAnsi="Arial" w:cs="Arial"/>
          <w:sz w:val="20"/>
          <w:szCs w:val="20"/>
          <w:lang w:val="en-ZA"/>
        </w:rPr>
        <w:tab/>
      </w:r>
      <w:r w:rsidRPr="00892F76">
        <w:rPr>
          <w:rFonts w:ascii="Arial" w:eastAsia="Calibri" w:hAnsi="Arial" w:cs="Arial"/>
          <w:i/>
          <w:sz w:val="20"/>
          <w:szCs w:val="20"/>
          <w:lang w:val="en-ZA"/>
        </w:rPr>
        <w:t>ICT</w:t>
      </w:r>
    </w:p>
    <w:p w:rsidR="0014029A" w:rsidRPr="00892F76" w:rsidRDefault="0014029A" w:rsidP="00892F76">
      <w:pPr>
        <w:spacing w:after="0" w:line="240" w:lineRule="auto"/>
        <w:ind w:left="720" w:hanging="720"/>
        <w:rPr>
          <w:rFonts w:ascii="Arial" w:hAnsi="Arial" w:cs="Arial"/>
          <w:sz w:val="20"/>
          <w:szCs w:val="20"/>
          <w:lang w:val="en-ZA"/>
        </w:rPr>
      </w:pPr>
      <w:r w:rsidRPr="00892F76">
        <w:rPr>
          <w:rFonts w:ascii="Arial" w:eastAsia="Calibri" w:hAnsi="Arial" w:cs="Arial"/>
          <w:sz w:val="20"/>
          <w:szCs w:val="20"/>
          <w:lang w:val="en-ZA"/>
        </w:rPr>
        <w:t>3.2.3</w:t>
      </w:r>
      <w:r w:rsidRPr="00892F76">
        <w:rPr>
          <w:rFonts w:ascii="Arial" w:eastAsia="Calibri" w:hAnsi="Arial" w:cs="Arial"/>
          <w:sz w:val="20"/>
          <w:szCs w:val="20"/>
          <w:lang w:val="en-ZA"/>
        </w:rPr>
        <w:tab/>
      </w:r>
      <w:r w:rsidRPr="00892F76">
        <w:rPr>
          <w:rFonts w:ascii="Arial" w:hAnsi="Arial" w:cs="Arial"/>
          <w:sz w:val="20"/>
          <w:szCs w:val="20"/>
          <w:lang w:val="en-ZA"/>
        </w:rPr>
        <w:t>The ICT division is part of the Support Services Branch that provides facilities and support services to Parliament including institutional communication services, human resource management, information communication technology services, institutional support services and Members’ Support services. Its purpose is to improve the provision, usage and management of ICT solutions and infrastructure to meet the information and communication needs of parliamentarians, staff and the public. The division provided support services in respect of oversight, legislation, and public participation.</w:t>
      </w:r>
    </w:p>
    <w:p w:rsidR="0014029A" w:rsidRPr="00892F76" w:rsidRDefault="0014029A" w:rsidP="00892F76">
      <w:pPr>
        <w:spacing w:after="0" w:line="240" w:lineRule="auto"/>
        <w:ind w:left="720" w:hanging="720"/>
        <w:rPr>
          <w:rFonts w:ascii="Arial" w:hAnsi="Arial" w:cs="Arial"/>
          <w:sz w:val="20"/>
          <w:szCs w:val="20"/>
          <w:lang w:val="en-ZA"/>
        </w:rPr>
      </w:pPr>
    </w:p>
    <w:p w:rsidR="0014029A" w:rsidRPr="00892F76" w:rsidRDefault="0014029A" w:rsidP="00892F76">
      <w:pPr>
        <w:spacing w:after="0" w:line="240" w:lineRule="auto"/>
        <w:ind w:left="720" w:hanging="720"/>
        <w:rPr>
          <w:rFonts w:ascii="Arial" w:hAnsi="Arial" w:cs="Arial"/>
          <w:i/>
          <w:sz w:val="20"/>
          <w:szCs w:val="20"/>
          <w:lang w:val="en-ZA"/>
        </w:rPr>
      </w:pPr>
      <w:r w:rsidRPr="00892F76">
        <w:rPr>
          <w:rFonts w:ascii="Arial" w:hAnsi="Arial" w:cs="Arial"/>
          <w:sz w:val="20"/>
          <w:szCs w:val="20"/>
          <w:lang w:val="en-ZA"/>
        </w:rPr>
        <w:tab/>
      </w:r>
      <w:r w:rsidRPr="00892F76">
        <w:rPr>
          <w:rFonts w:ascii="Arial" w:hAnsi="Arial" w:cs="Arial"/>
          <w:i/>
          <w:sz w:val="20"/>
          <w:szCs w:val="20"/>
          <w:lang w:val="en-ZA"/>
        </w:rPr>
        <w:t>Facilities Management</w:t>
      </w:r>
    </w:p>
    <w:p w:rsidR="0014029A" w:rsidRPr="00892F76" w:rsidRDefault="0014029A" w:rsidP="00892F76">
      <w:pPr>
        <w:spacing w:after="0" w:line="240" w:lineRule="auto"/>
        <w:ind w:left="720" w:hanging="720"/>
        <w:rPr>
          <w:rFonts w:ascii="Arial" w:hAnsi="Arial" w:cs="Arial"/>
          <w:sz w:val="20"/>
          <w:szCs w:val="20"/>
          <w:lang w:val="en-ZA"/>
        </w:rPr>
      </w:pPr>
      <w:r w:rsidRPr="00892F76">
        <w:rPr>
          <w:rFonts w:ascii="Arial" w:hAnsi="Arial" w:cs="Arial"/>
          <w:sz w:val="20"/>
          <w:szCs w:val="20"/>
          <w:lang w:val="en-ZA"/>
        </w:rPr>
        <w:t>3.2.4</w:t>
      </w:r>
      <w:r w:rsidRPr="00892F76">
        <w:rPr>
          <w:rFonts w:ascii="Arial" w:hAnsi="Arial" w:cs="Arial"/>
          <w:sz w:val="20"/>
          <w:szCs w:val="20"/>
          <w:lang w:val="en-ZA"/>
        </w:rPr>
        <w:tab/>
        <w:t>The Facilities Management division provides security support, household support (transport and hygiene services), SHE support and catering support to various public hearings, oversight visits and parliamentary events.</w:t>
      </w:r>
    </w:p>
    <w:p w:rsidR="0014029A" w:rsidRPr="00892F76" w:rsidRDefault="0014029A" w:rsidP="00892F76">
      <w:pPr>
        <w:spacing w:after="0" w:line="240" w:lineRule="auto"/>
        <w:ind w:left="720" w:hanging="720"/>
        <w:rPr>
          <w:rFonts w:ascii="Arial" w:hAnsi="Arial" w:cs="Arial"/>
          <w:sz w:val="20"/>
          <w:szCs w:val="20"/>
          <w:lang w:val="en-ZA"/>
        </w:rPr>
      </w:pPr>
    </w:p>
    <w:p w:rsidR="0014029A" w:rsidRPr="00892F76" w:rsidRDefault="0014029A" w:rsidP="00892F76">
      <w:pPr>
        <w:spacing w:after="0" w:line="240" w:lineRule="auto"/>
        <w:ind w:left="720" w:hanging="720"/>
        <w:rPr>
          <w:rFonts w:ascii="Arial" w:hAnsi="Arial" w:cs="Arial"/>
          <w:i/>
          <w:sz w:val="20"/>
          <w:szCs w:val="20"/>
          <w:lang w:val="en-ZA"/>
        </w:rPr>
      </w:pPr>
      <w:r w:rsidRPr="00892F76">
        <w:rPr>
          <w:rFonts w:ascii="Arial" w:hAnsi="Arial" w:cs="Arial"/>
          <w:sz w:val="20"/>
          <w:szCs w:val="20"/>
          <w:lang w:val="en-ZA"/>
        </w:rPr>
        <w:tab/>
      </w:r>
      <w:r w:rsidRPr="00892F76">
        <w:rPr>
          <w:rFonts w:ascii="Arial" w:hAnsi="Arial" w:cs="Arial"/>
          <w:i/>
          <w:sz w:val="20"/>
          <w:szCs w:val="20"/>
          <w:lang w:val="en-ZA"/>
        </w:rPr>
        <w:t>Parliamentary Communications Service</w:t>
      </w:r>
    </w:p>
    <w:p w:rsidR="0014029A" w:rsidRPr="00892F76" w:rsidRDefault="0014029A" w:rsidP="00892F76">
      <w:pPr>
        <w:spacing w:after="0" w:line="240" w:lineRule="auto"/>
        <w:ind w:left="720" w:hanging="720"/>
        <w:rPr>
          <w:rFonts w:ascii="Arial" w:hAnsi="Arial" w:cs="Arial"/>
          <w:sz w:val="20"/>
          <w:szCs w:val="20"/>
          <w:lang w:val="en-ZA"/>
        </w:rPr>
      </w:pPr>
      <w:r w:rsidRPr="00892F76">
        <w:rPr>
          <w:rFonts w:ascii="Arial" w:hAnsi="Arial" w:cs="Arial"/>
          <w:sz w:val="20"/>
          <w:szCs w:val="20"/>
          <w:lang w:val="en-ZA"/>
        </w:rPr>
        <w:t>3.2.5</w:t>
      </w:r>
      <w:r w:rsidRPr="00892F76">
        <w:rPr>
          <w:rFonts w:ascii="Arial" w:hAnsi="Arial" w:cs="Arial"/>
          <w:sz w:val="20"/>
          <w:szCs w:val="20"/>
          <w:lang w:val="en-ZA"/>
        </w:rPr>
        <w:tab/>
        <w:t>T</w:t>
      </w:r>
      <w:r w:rsidR="0018213C" w:rsidRPr="00892F76">
        <w:rPr>
          <w:rFonts w:ascii="Arial" w:hAnsi="Arial" w:cs="Arial"/>
          <w:sz w:val="20"/>
          <w:szCs w:val="20"/>
          <w:lang w:val="en-ZA"/>
        </w:rPr>
        <w:t>he Oversight and Accountability-</w:t>
      </w:r>
      <w:r w:rsidRPr="00892F76">
        <w:rPr>
          <w:rFonts w:ascii="Arial" w:hAnsi="Arial" w:cs="Arial"/>
          <w:sz w:val="20"/>
          <w:szCs w:val="20"/>
          <w:lang w:val="en-ZA"/>
        </w:rPr>
        <w:t>strategic priority of Parliament is supported by communicating the work of parliamentary committees to internal and external audiences. Support was provided to, amongst others, 32 oversight visits and committee meeting activities, including public hearings.</w:t>
      </w:r>
    </w:p>
    <w:p w:rsidR="0014029A" w:rsidRPr="00892F76" w:rsidRDefault="0014029A" w:rsidP="00892F76">
      <w:pPr>
        <w:spacing w:after="0" w:line="240" w:lineRule="auto"/>
        <w:ind w:left="720" w:hanging="720"/>
        <w:rPr>
          <w:rFonts w:ascii="Arial" w:hAnsi="Arial" w:cs="Arial"/>
          <w:sz w:val="20"/>
          <w:szCs w:val="20"/>
          <w:lang w:val="en-ZA"/>
        </w:rPr>
      </w:pPr>
    </w:p>
    <w:p w:rsidR="0014029A" w:rsidRPr="00892F76" w:rsidRDefault="0014029A" w:rsidP="00892F76">
      <w:pPr>
        <w:spacing w:after="0" w:line="240" w:lineRule="auto"/>
        <w:ind w:left="720" w:hanging="720"/>
        <w:rPr>
          <w:rFonts w:ascii="Arial" w:hAnsi="Arial" w:cs="Arial"/>
          <w:i/>
          <w:sz w:val="20"/>
          <w:szCs w:val="20"/>
          <w:lang w:val="en-ZA"/>
        </w:rPr>
      </w:pPr>
      <w:r w:rsidRPr="00892F76">
        <w:rPr>
          <w:rFonts w:ascii="Arial" w:hAnsi="Arial" w:cs="Arial"/>
          <w:sz w:val="20"/>
          <w:szCs w:val="20"/>
          <w:lang w:val="en-ZA"/>
        </w:rPr>
        <w:tab/>
      </w:r>
      <w:r w:rsidRPr="00892F76">
        <w:rPr>
          <w:rFonts w:ascii="Arial" w:hAnsi="Arial" w:cs="Arial"/>
          <w:i/>
          <w:sz w:val="20"/>
          <w:szCs w:val="20"/>
          <w:lang w:val="en-ZA"/>
        </w:rPr>
        <w:t>Human Resource Management</w:t>
      </w:r>
    </w:p>
    <w:p w:rsidR="0014029A" w:rsidRPr="00892F76" w:rsidRDefault="0014029A" w:rsidP="00892F76">
      <w:pPr>
        <w:spacing w:after="0" w:line="240" w:lineRule="auto"/>
        <w:ind w:left="720" w:hanging="720"/>
        <w:rPr>
          <w:rFonts w:ascii="Arial" w:hAnsi="Arial" w:cs="Arial"/>
          <w:sz w:val="20"/>
          <w:szCs w:val="20"/>
          <w:lang w:val="en-ZA"/>
        </w:rPr>
      </w:pPr>
      <w:r w:rsidRPr="00892F76">
        <w:rPr>
          <w:rFonts w:ascii="Arial" w:hAnsi="Arial" w:cs="Arial"/>
          <w:sz w:val="20"/>
          <w:szCs w:val="20"/>
          <w:lang w:val="en-ZA"/>
        </w:rPr>
        <w:t>3.2.6</w:t>
      </w:r>
      <w:r w:rsidRPr="00892F76">
        <w:rPr>
          <w:rFonts w:ascii="Arial" w:hAnsi="Arial" w:cs="Arial"/>
          <w:sz w:val="20"/>
          <w:szCs w:val="20"/>
          <w:lang w:val="en-ZA"/>
        </w:rPr>
        <w:tab/>
        <w:t xml:space="preserve">The institution’s human capital strategy strives to make available reliable capacity and skills to support parliamentarians in the execution of their constitutional mandate. The key </w:t>
      </w:r>
      <w:r w:rsidRPr="00892F76">
        <w:rPr>
          <w:rFonts w:ascii="Arial" w:hAnsi="Arial" w:cs="Arial"/>
          <w:sz w:val="20"/>
          <w:szCs w:val="20"/>
          <w:lang w:val="en-ZA"/>
        </w:rPr>
        <w:lastRenderedPageBreak/>
        <w:t>performance indicators of the Human Capital Strategy include organizational realignment, employee engagement levels and the implementation of the Voluntary Early Retirement Dispensation.</w:t>
      </w:r>
    </w:p>
    <w:p w:rsidR="0014029A" w:rsidRPr="00892F76" w:rsidRDefault="0014029A" w:rsidP="00892F76">
      <w:pPr>
        <w:autoSpaceDE w:val="0"/>
        <w:autoSpaceDN w:val="0"/>
        <w:adjustRightInd w:val="0"/>
        <w:spacing w:after="0" w:line="240" w:lineRule="auto"/>
        <w:rPr>
          <w:rFonts w:ascii="Arial" w:hAnsi="Arial" w:cs="Arial"/>
          <w:sz w:val="20"/>
          <w:szCs w:val="20"/>
          <w:lang w:val="en-ZA"/>
        </w:rPr>
      </w:pPr>
      <w:r w:rsidRPr="00892F76">
        <w:rPr>
          <w:rFonts w:ascii="Arial" w:hAnsi="Arial" w:cs="Arial"/>
          <w:sz w:val="20"/>
          <w:szCs w:val="20"/>
          <w:lang w:val="en-ZA"/>
        </w:rPr>
        <w:t>3.2.7</w:t>
      </w:r>
      <w:r w:rsidRPr="00892F76">
        <w:rPr>
          <w:rFonts w:ascii="Arial" w:hAnsi="Arial" w:cs="Arial"/>
          <w:sz w:val="20"/>
          <w:szCs w:val="20"/>
          <w:lang w:val="en-ZA"/>
        </w:rPr>
        <w:tab/>
        <w:t xml:space="preserve">In respect of the organisational re-alignment project, the second phase was underway and </w:t>
      </w:r>
      <w:r w:rsidRPr="00892F76">
        <w:rPr>
          <w:rFonts w:ascii="Arial" w:hAnsi="Arial" w:cs="Arial"/>
          <w:sz w:val="20"/>
          <w:szCs w:val="20"/>
          <w:lang w:val="en-ZA"/>
        </w:rPr>
        <w:tab/>
        <w:t xml:space="preserve">entailed the micro-analysis and design of business operating models, processes, and positional </w:t>
      </w:r>
      <w:r w:rsidRPr="00892F76">
        <w:rPr>
          <w:rFonts w:ascii="Arial" w:hAnsi="Arial" w:cs="Arial"/>
          <w:sz w:val="20"/>
          <w:szCs w:val="20"/>
          <w:lang w:val="en-ZA"/>
        </w:rPr>
        <w:tab/>
        <w:t xml:space="preserve">structures that will effectively enable a macro-functional design. The following draft job </w:t>
      </w:r>
      <w:r w:rsidRPr="00892F76">
        <w:rPr>
          <w:rFonts w:ascii="Arial" w:hAnsi="Arial" w:cs="Arial"/>
          <w:sz w:val="20"/>
          <w:szCs w:val="20"/>
          <w:lang w:val="en-ZA"/>
        </w:rPr>
        <w:tab/>
        <w:t xml:space="preserve">profiles have been designed to support the draft design proposals, and are at various stages of </w:t>
      </w:r>
      <w:r w:rsidRPr="00892F76">
        <w:rPr>
          <w:rFonts w:ascii="Arial" w:hAnsi="Arial" w:cs="Arial"/>
          <w:sz w:val="20"/>
          <w:szCs w:val="20"/>
          <w:lang w:val="en-ZA"/>
        </w:rPr>
        <w:tab/>
        <w:t xml:space="preserve">completion: Parliamentary Communication Services (completed); ICT (Completed); Financial </w:t>
      </w:r>
      <w:r w:rsidRPr="00892F76">
        <w:rPr>
          <w:rFonts w:ascii="Arial" w:hAnsi="Arial" w:cs="Arial"/>
          <w:sz w:val="20"/>
          <w:szCs w:val="20"/>
          <w:lang w:val="en-ZA"/>
        </w:rPr>
        <w:tab/>
        <w:t xml:space="preserve">Management (In progress); Internal Audit (In progress); Members Support Services (In </w:t>
      </w:r>
      <w:r w:rsidRPr="00892F76">
        <w:rPr>
          <w:rFonts w:ascii="Arial" w:hAnsi="Arial" w:cs="Arial"/>
          <w:sz w:val="20"/>
          <w:szCs w:val="20"/>
          <w:lang w:val="en-ZA"/>
        </w:rPr>
        <w:tab/>
        <w:t>Progress); and Legislative Support Services (In progress).</w:t>
      </w:r>
    </w:p>
    <w:p w:rsidR="000415D4" w:rsidRPr="00892F76" w:rsidRDefault="000415D4" w:rsidP="00892F76">
      <w:pPr>
        <w:autoSpaceDE w:val="0"/>
        <w:autoSpaceDN w:val="0"/>
        <w:adjustRightInd w:val="0"/>
        <w:spacing w:after="0" w:line="240" w:lineRule="auto"/>
        <w:rPr>
          <w:rFonts w:ascii="Arial" w:hAnsi="Arial" w:cs="Arial"/>
          <w:sz w:val="20"/>
          <w:szCs w:val="20"/>
          <w:lang w:val="en-ZA"/>
        </w:rPr>
      </w:pPr>
    </w:p>
    <w:p w:rsidR="0014029A" w:rsidRPr="00892F76" w:rsidRDefault="0014029A" w:rsidP="00892F76">
      <w:pPr>
        <w:autoSpaceDE w:val="0"/>
        <w:autoSpaceDN w:val="0"/>
        <w:adjustRightInd w:val="0"/>
        <w:spacing w:after="0" w:line="240" w:lineRule="auto"/>
        <w:rPr>
          <w:rFonts w:ascii="Arial" w:hAnsi="Arial" w:cs="Arial"/>
          <w:sz w:val="20"/>
          <w:szCs w:val="20"/>
          <w:lang w:val="en-ZA"/>
        </w:rPr>
      </w:pPr>
      <w:r w:rsidRPr="00892F76">
        <w:rPr>
          <w:rFonts w:ascii="Arial" w:hAnsi="Arial" w:cs="Arial"/>
          <w:sz w:val="20"/>
          <w:szCs w:val="20"/>
          <w:lang w:val="en-ZA"/>
        </w:rPr>
        <w:t>3.2.8</w:t>
      </w:r>
      <w:r w:rsidRPr="00892F76">
        <w:rPr>
          <w:rFonts w:ascii="Arial" w:hAnsi="Arial" w:cs="Arial"/>
          <w:sz w:val="20"/>
          <w:szCs w:val="20"/>
          <w:lang w:val="en-ZA"/>
        </w:rPr>
        <w:tab/>
        <w:t xml:space="preserve">In the period under review there were five resignations affecting the Knowledge and </w:t>
      </w:r>
      <w:r w:rsidRPr="00892F76">
        <w:rPr>
          <w:rFonts w:ascii="Arial" w:hAnsi="Arial" w:cs="Arial"/>
          <w:sz w:val="20"/>
          <w:szCs w:val="20"/>
          <w:lang w:val="en-ZA"/>
        </w:rPr>
        <w:tab/>
        <w:t xml:space="preserve">Information Service (KIS) division (3), the Parliamentary Budget Office (1) and the Core </w:t>
      </w:r>
      <w:r w:rsidRPr="00892F76">
        <w:rPr>
          <w:rFonts w:ascii="Arial" w:hAnsi="Arial" w:cs="Arial"/>
          <w:sz w:val="20"/>
          <w:szCs w:val="20"/>
          <w:lang w:val="en-ZA"/>
        </w:rPr>
        <w:tab/>
        <w:t xml:space="preserve">Business Support (1) division. This represents a turnover rate of 0.38 per cent compared to the </w:t>
      </w:r>
      <w:r w:rsidRPr="00892F76">
        <w:rPr>
          <w:rFonts w:ascii="Arial" w:hAnsi="Arial" w:cs="Arial"/>
          <w:sz w:val="20"/>
          <w:szCs w:val="20"/>
          <w:lang w:val="en-ZA"/>
        </w:rPr>
        <w:tab/>
        <w:t>targeted five per cent for the financial year.</w:t>
      </w:r>
    </w:p>
    <w:p w:rsidR="000415D4" w:rsidRPr="00892F76" w:rsidRDefault="000415D4" w:rsidP="00892F76">
      <w:pPr>
        <w:autoSpaceDE w:val="0"/>
        <w:autoSpaceDN w:val="0"/>
        <w:adjustRightInd w:val="0"/>
        <w:spacing w:after="0" w:line="240" w:lineRule="auto"/>
        <w:rPr>
          <w:rFonts w:ascii="Arial" w:hAnsi="Arial" w:cs="Arial"/>
          <w:sz w:val="20"/>
          <w:szCs w:val="20"/>
          <w:lang w:val="en-ZA"/>
        </w:rPr>
      </w:pPr>
    </w:p>
    <w:p w:rsidR="0014029A" w:rsidRPr="00892F76" w:rsidRDefault="0014029A" w:rsidP="00892F76">
      <w:pPr>
        <w:autoSpaceDE w:val="0"/>
        <w:autoSpaceDN w:val="0"/>
        <w:adjustRightInd w:val="0"/>
        <w:spacing w:after="0" w:line="240" w:lineRule="auto"/>
        <w:rPr>
          <w:rFonts w:ascii="Arial" w:hAnsi="Arial" w:cs="Arial"/>
          <w:sz w:val="20"/>
          <w:szCs w:val="20"/>
          <w:lang w:val="en-ZA"/>
        </w:rPr>
      </w:pPr>
      <w:r w:rsidRPr="00892F76">
        <w:rPr>
          <w:rFonts w:ascii="Arial" w:hAnsi="Arial" w:cs="Arial"/>
          <w:sz w:val="20"/>
          <w:szCs w:val="20"/>
          <w:lang w:val="en-ZA"/>
        </w:rPr>
        <w:t>3.2.9</w:t>
      </w:r>
      <w:r w:rsidRPr="00892F76">
        <w:rPr>
          <w:rFonts w:ascii="Arial" w:hAnsi="Arial" w:cs="Arial"/>
          <w:sz w:val="20"/>
          <w:szCs w:val="20"/>
          <w:lang w:val="en-ZA"/>
        </w:rPr>
        <w:tab/>
        <w:t xml:space="preserve">The implementation of the Voluntary Early Retirement Dispensation (VERD) within the laws </w:t>
      </w:r>
      <w:r w:rsidRPr="00892F76">
        <w:rPr>
          <w:rFonts w:ascii="Arial" w:hAnsi="Arial" w:cs="Arial"/>
          <w:sz w:val="20"/>
          <w:szCs w:val="20"/>
          <w:lang w:val="en-ZA"/>
        </w:rPr>
        <w:tab/>
        <w:t xml:space="preserve">and rules of the respective pension schemes, GEPF and PSOP, is one of the measures </w:t>
      </w:r>
      <w:r w:rsidRPr="00892F76">
        <w:rPr>
          <w:rFonts w:ascii="Arial" w:hAnsi="Arial" w:cs="Arial"/>
          <w:sz w:val="20"/>
          <w:szCs w:val="20"/>
          <w:lang w:val="en-ZA"/>
        </w:rPr>
        <w:tab/>
        <w:t xml:space="preserve">Parliament has proposed to manage the cost of compensation for employees in line with the </w:t>
      </w:r>
      <w:r w:rsidRPr="00892F76">
        <w:rPr>
          <w:rFonts w:ascii="Arial" w:hAnsi="Arial" w:cs="Arial"/>
          <w:sz w:val="20"/>
          <w:szCs w:val="20"/>
          <w:lang w:val="en-ZA"/>
        </w:rPr>
        <w:tab/>
        <w:t xml:space="preserve">deep budget cuts being implemented by the National Treasury, and in light of the overall fiscal </w:t>
      </w:r>
      <w:r w:rsidRPr="00892F76">
        <w:rPr>
          <w:rFonts w:ascii="Arial" w:hAnsi="Arial" w:cs="Arial"/>
          <w:sz w:val="20"/>
          <w:szCs w:val="20"/>
          <w:lang w:val="en-ZA"/>
        </w:rPr>
        <w:tab/>
        <w:t xml:space="preserve">challenges faced by the country. By the end of the period under review, the institution had </w:t>
      </w:r>
      <w:r w:rsidRPr="00892F76">
        <w:rPr>
          <w:rFonts w:ascii="Arial" w:hAnsi="Arial" w:cs="Arial"/>
          <w:sz w:val="20"/>
          <w:szCs w:val="20"/>
          <w:lang w:val="en-ZA"/>
        </w:rPr>
        <w:tab/>
        <w:t xml:space="preserve">developed an implementation toolkit, and introduced the VERD to employees, explaining the </w:t>
      </w:r>
      <w:r w:rsidRPr="00892F76">
        <w:rPr>
          <w:rFonts w:ascii="Arial" w:hAnsi="Arial" w:cs="Arial"/>
          <w:sz w:val="20"/>
          <w:szCs w:val="20"/>
          <w:lang w:val="en-ZA"/>
        </w:rPr>
        <w:tab/>
        <w:t xml:space="preserve">eligibility criteria and procedure to follow to should one be interested in the offer. </w:t>
      </w:r>
    </w:p>
    <w:p w:rsidR="0014029A" w:rsidRPr="00892F76" w:rsidRDefault="0014029A" w:rsidP="00892F76">
      <w:pPr>
        <w:autoSpaceDE w:val="0"/>
        <w:autoSpaceDN w:val="0"/>
        <w:adjustRightInd w:val="0"/>
        <w:spacing w:after="0" w:line="240" w:lineRule="auto"/>
        <w:rPr>
          <w:rFonts w:ascii="Arial" w:hAnsi="Arial" w:cs="Arial"/>
          <w:sz w:val="20"/>
          <w:szCs w:val="20"/>
          <w:lang w:val="en-ZA"/>
        </w:rPr>
      </w:pPr>
    </w:p>
    <w:p w:rsidR="00CC7C5C" w:rsidRPr="00892F76" w:rsidRDefault="0018213C" w:rsidP="00892F76">
      <w:pPr>
        <w:autoSpaceDE w:val="0"/>
        <w:autoSpaceDN w:val="0"/>
        <w:adjustRightInd w:val="0"/>
        <w:spacing w:after="0" w:line="240" w:lineRule="auto"/>
        <w:rPr>
          <w:rFonts w:ascii="Arial" w:hAnsi="Arial" w:cs="Arial"/>
          <w:b/>
          <w:sz w:val="20"/>
          <w:szCs w:val="20"/>
          <w:lang w:val="en-ZA"/>
        </w:rPr>
      </w:pPr>
      <w:r w:rsidRPr="00892F76">
        <w:rPr>
          <w:rFonts w:ascii="Arial" w:eastAsia="Calibri" w:hAnsi="Arial" w:cs="Arial"/>
          <w:b/>
          <w:i/>
          <w:sz w:val="20"/>
          <w:szCs w:val="20"/>
          <w:lang w:val="en-ZA"/>
        </w:rPr>
        <w:tab/>
      </w:r>
      <w:r w:rsidR="00CA4712" w:rsidRPr="00892F76">
        <w:rPr>
          <w:rFonts w:ascii="Arial" w:eastAsia="Calibri" w:hAnsi="Arial" w:cs="Arial"/>
          <w:b/>
          <w:i/>
          <w:sz w:val="20"/>
          <w:szCs w:val="20"/>
          <w:lang w:val="en-ZA"/>
        </w:rPr>
        <w:t>Programme 2: Legislation and Oversight</w:t>
      </w:r>
    </w:p>
    <w:p w:rsidR="006F68E6" w:rsidRPr="00892F76" w:rsidRDefault="0014029A"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3.2.10</w:t>
      </w:r>
      <w:r w:rsidR="006F68E6" w:rsidRPr="00892F76">
        <w:rPr>
          <w:rFonts w:ascii="Arial" w:eastAsia="Calibri" w:hAnsi="Arial" w:cs="Arial"/>
          <w:sz w:val="20"/>
          <w:szCs w:val="20"/>
          <w:lang w:val="en-ZA"/>
        </w:rPr>
        <w:tab/>
        <w:t xml:space="preserve">Programme 2 provides for support services for the effective functioning of the National Assembly (NA) and the National Council of Provinces (NCOP) including procedural, legal and content advice; information services and record keeping; and secretarial and support services for the houses and their committees. The programme covers the core business of Parliament and focusses on the outputs, activities and inputs related to legislation and oversight functions. </w:t>
      </w:r>
    </w:p>
    <w:p w:rsidR="006F68E6" w:rsidRPr="00892F76" w:rsidRDefault="0014029A"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3.2.11</w:t>
      </w:r>
      <w:r w:rsidR="006F68E6" w:rsidRPr="00892F76">
        <w:rPr>
          <w:rFonts w:ascii="Arial" w:eastAsia="Calibri" w:hAnsi="Arial" w:cs="Arial"/>
          <w:sz w:val="20"/>
          <w:szCs w:val="20"/>
          <w:lang w:val="en-ZA"/>
        </w:rPr>
        <w:tab/>
        <w:t>The programme comprises the following sub-programmes: National Assembly (House; Committees); National Council of Provinces (House; Committees); Public Participation and External Relations; Shared Services; Sectoral Parliaments and Joint Business.</w:t>
      </w:r>
    </w:p>
    <w:p w:rsidR="006F68E6" w:rsidRPr="00892F76" w:rsidRDefault="0014029A"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3.2.12</w:t>
      </w:r>
      <w:r w:rsidR="00BE6349" w:rsidRPr="00892F76">
        <w:rPr>
          <w:rFonts w:ascii="Arial" w:eastAsia="Calibri" w:hAnsi="Arial" w:cs="Arial"/>
          <w:sz w:val="20"/>
          <w:szCs w:val="20"/>
          <w:lang w:val="en-ZA"/>
        </w:rPr>
        <w:tab/>
        <w:t>According to the table below, all targets under this programme were exceeded. Key performance trends under this programme a</w:t>
      </w:r>
      <w:r w:rsidR="00D803A8" w:rsidRPr="00892F76">
        <w:rPr>
          <w:rFonts w:ascii="Arial" w:eastAsia="Calibri" w:hAnsi="Arial" w:cs="Arial"/>
          <w:sz w:val="20"/>
          <w:szCs w:val="20"/>
          <w:lang w:val="en-ZA"/>
        </w:rPr>
        <w:t xml:space="preserve">re captured in paragraphs </w:t>
      </w:r>
      <w:r w:rsidRPr="00892F76">
        <w:rPr>
          <w:rFonts w:ascii="Arial" w:eastAsia="Calibri" w:hAnsi="Arial" w:cs="Arial"/>
          <w:sz w:val="20"/>
          <w:szCs w:val="20"/>
          <w:lang w:val="en-ZA"/>
        </w:rPr>
        <w:t>3.2.13</w:t>
      </w:r>
      <w:r w:rsidR="00BE6349" w:rsidRPr="00892F76">
        <w:rPr>
          <w:rFonts w:ascii="Arial" w:eastAsia="Calibri" w:hAnsi="Arial" w:cs="Arial"/>
          <w:sz w:val="20"/>
          <w:szCs w:val="20"/>
          <w:lang w:val="en-ZA"/>
        </w:rPr>
        <w:t xml:space="preserve"> to </w:t>
      </w:r>
      <w:r w:rsidR="000415D4" w:rsidRPr="00892F76">
        <w:rPr>
          <w:rFonts w:ascii="Arial" w:eastAsia="Calibri" w:hAnsi="Arial" w:cs="Arial"/>
          <w:sz w:val="20"/>
          <w:szCs w:val="20"/>
          <w:lang w:val="en-ZA"/>
        </w:rPr>
        <w:t>3.2.22</w:t>
      </w:r>
      <w:r w:rsidR="00E349FD" w:rsidRPr="00892F76">
        <w:rPr>
          <w:rFonts w:ascii="Arial" w:eastAsia="Calibri" w:hAnsi="Arial" w:cs="Arial"/>
          <w:sz w:val="20"/>
          <w:szCs w:val="20"/>
          <w:lang w:val="en-ZA"/>
        </w:rPr>
        <w:t xml:space="preserve"> </w:t>
      </w:r>
      <w:r w:rsidR="00BE6349" w:rsidRPr="00892F76">
        <w:rPr>
          <w:rFonts w:ascii="Arial" w:eastAsia="Calibri" w:hAnsi="Arial" w:cs="Arial"/>
          <w:sz w:val="20"/>
          <w:szCs w:val="20"/>
          <w:lang w:val="en-ZA"/>
        </w:rPr>
        <w:t>below.</w:t>
      </w:r>
    </w:p>
    <w:tbl>
      <w:tblPr>
        <w:tblW w:w="8363" w:type="dxa"/>
        <w:tblInd w:w="699" w:type="dxa"/>
        <w:tblCellMar>
          <w:left w:w="0" w:type="dxa"/>
          <w:right w:w="0" w:type="dxa"/>
        </w:tblCellMar>
        <w:tblLook w:val="04A0"/>
      </w:tblPr>
      <w:tblGrid>
        <w:gridCol w:w="1499"/>
        <w:gridCol w:w="1488"/>
        <w:gridCol w:w="755"/>
        <w:gridCol w:w="1402"/>
        <w:gridCol w:w="1025"/>
        <w:gridCol w:w="810"/>
        <w:gridCol w:w="1564"/>
      </w:tblGrid>
      <w:tr w:rsidR="0014029A" w:rsidRPr="00892F76" w:rsidTr="0018213C">
        <w:trPr>
          <w:trHeight w:val="532"/>
        </w:trPr>
        <w:tc>
          <w:tcPr>
            <w:tcW w:w="1194"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Parliamentary Service</w:t>
            </w:r>
          </w:p>
        </w:tc>
        <w:tc>
          <w:tcPr>
            <w:tcW w:w="1605"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Indicator</w:t>
            </w:r>
          </w:p>
        </w:tc>
        <w:tc>
          <w:tcPr>
            <w:tcW w:w="807"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Mid-Year target</w:t>
            </w:r>
          </w:p>
        </w:tc>
        <w:tc>
          <w:tcPr>
            <w:tcW w:w="1216"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Mid-Year Performance</w:t>
            </w:r>
          </w:p>
        </w:tc>
        <w:tc>
          <w:tcPr>
            <w:tcW w:w="916"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Variance</w:t>
            </w:r>
          </w:p>
        </w:tc>
        <w:tc>
          <w:tcPr>
            <w:tcW w:w="731"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Calibri" w:hAnsi="Arial" w:cs="Arial"/>
                <w:b/>
                <w:bCs/>
                <w:kern w:val="24"/>
                <w:sz w:val="20"/>
                <w:szCs w:val="20"/>
                <w:lang w:val="en-ZA" w:eastAsia="en-ZA"/>
              </w:rPr>
              <w:t>Status</w:t>
            </w:r>
          </w:p>
        </w:tc>
        <w:tc>
          <w:tcPr>
            <w:tcW w:w="1894"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b/>
                <w:bCs/>
                <w:kern w:val="24"/>
                <w:sz w:val="20"/>
                <w:szCs w:val="20"/>
                <w:lang w:val="en-ZA" w:eastAsia="en-ZA"/>
              </w:rPr>
              <w:t>Reasons for Variance/ Mitigation</w:t>
            </w:r>
          </w:p>
        </w:tc>
      </w:tr>
      <w:tr w:rsidR="0014029A" w:rsidRPr="00892F76" w:rsidTr="0018213C">
        <w:trPr>
          <w:trHeight w:val="414"/>
        </w:trPr>
        <w:tc>
          <w:tcPr>
            <w:tcW w:w="1194" w:type="dxa"/>
            <w:vMerge w:val="restart"/>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Calibri" w:hAnsi="Arial" w:cs="Arial"/>
                <w:b/>
                <w:bCs/>
                <w:kern w:val="24"/>
                <w:sz w:val="20"/>
                <w:szCs w:val="20"/>
                <w:lang w:val="en-ZA" w:eastAsia="en-ZA"/>
              </w:rPr>
              <w:t>Programming Service</w:t>
            </w:r>
          </w:p>
        </w:tc>
        <w:tc>
          <w:tcPr>
            <w:tcW w:w="160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Calibri" w:hAnsi="Arial" w:cs="Arial"/>
                <w:b/>
                <w:kern w:val="24"/>
                <w:sz w:val="20"/>
                <w:szCs w:val="20"/>
                <w:lang w:val="en-ZA" w:eastAsia="en-ZA"/>
              </w:rPr>
              <w:t>Number of annual parliamentary frameworks adopted</w:t>
            </w:r>
          </w:p>
        </w:tc>
        <w:tc>
          <w:tcPr>
            <w:tcW w:w="80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Calibri" w:hAnsi="Arial" w:cs="Arial"/>
                <w:kern w:val="24"/>
                <w:sz w:val="20"/>
                <w:szCs w:val="20"/>
                <w:lang w:val="en-ZA" w:eastAsia="en-ZA"/>
              </w:rPr>
              <w:t>0</w:t>
            </w:r>
          </w:p>
        </w:tc>
        <w:tc>
          <w:tcPr>
            <w:tcW w:w="12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Calibri" w:hAnsi="Arial" w:cs="Arial"/>
                <w:kern w:val="24"/>
                <w:sz w:val="20"/>
                <w:szCs w:val="20"/>
                <w:lang w:val="en-ZA" w:eastAsia="en-ZA"/>
              </w:rPr>
              <w:t>0</w:t>
            </w:r>
          </w:p>
        </w:tc>
        <w:tc>
          <w:tcPr>
            <w:tcW w:w="9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Calibri" w:hAnsi="Arial" w:cs="Arial"/>
                <w:kern w:val="24"/>
                <w:sz w:val="20"/>
                <w:szCs w:val="20"/>
                <w:lang w:val="en-ZA" w:eastAsia="en-ZA"/>
              </w:rPr>
              <w:t>0</w:t>
            </w:r>
          </w:p>
        </w:tc>
        <w:tc>
          <w:tcPr>
            <w:tcW w:w="73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_____</w:t>
            </w:r>
          </w:p>
        </w:tc>
        <w:tc>
          <w:tcPr>
            <w:tcW w:w="189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___</w:t>
            </w:r>
          </w:p>
        </w:tc>
      </w:tr>
      <w:tr w:rsidR="0014029A" w:rsidRPr="00892F76" w:rsidTr="0018213C">
        <w:trPr>
          <w:trHeight w:val="282"/>
        </w:trPr>
        <w:tc>
          <w:tcPr>
            <w:tcW w:w="1194" w:type="dxa"/>
            <w:vMerge/>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p>
        </w:tc>
        <w:tc>
          <w:tcPr>
            <w:tcW w:w="160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Calibri" w:hAnsi="Arial" w:cs="Arial"/>
                <w:b/>
                <w:kern w:val="24"/>
                <w:sz w:val="20"/>
                <w:szCs w:val="20"/>
                <w:lang w:val="en-ZA" w:eastAsia="en-ZA"/>
              </w:rPr>
              <w:t>Number of NA programmes adopted</w:t>
            </w:r>
          </w:p>
        </w:tc>
        <w:tc>
          <w:tcPr>
            <w:tcW w:w="80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Calibri" w:hAnsi="Arial" w:cs="Arial"/>
                <w:kern w:val="24"/>
                <w:sz w:val="20"/>
                <w:szCs w:val="20"/>
                <w:lang w:val="en-ZA" w:eastAsia="en-ZA"/>
              </w:rPr>
              <w:t>1</w:t>
            </w:r>
          </w:p>
        </w:tc>
        <w:tc>
          <w:tcPr>
            <w:tcW w:w="12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Calibri" w:hAnsi="Arial" w:cs="Arial"/>
                <w:kern w:val="24"/>
                <w:sz w:val="20"/>
                <w:szCs w:val="20"/>
                <w:lang w:val="en-ZA" w:eastAsia="en-ZA"/>
              </w:rPr>
              <w:t>1</w:t>
            </w:r>
          </w:p>
        </w:tc>
        <w:tc>
          <w:tcPr>
            <w:tcW w:w="9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Calibri" w:hAnsi="Arial" w:cs="Arial"/>
                <w:kern w:val="24"/>
                <w:sz w:val="20"/>
                <w:szCs w:val="20"/>
                <w:lang w:val="en-ZA" w:eastAsia="en-ZA"/>
              </w:rPr>
              <w:t>0</w:t>
            </w:r>
          </w:p>
        </w:tc>
        <w:tc>
          <w:tcPr>
            <w:tcW w:w="73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numPr>
                <w:ilvl w:val="0"/>
                <w:numId w:val="21"/>
              </w:numPr>
              <w:spacing w:after="0" w:line="240" w:lineRule="auto"/>
              <w:contextualSpacing/>
              <w:rPr>
                <w:rFonts w:ascii="Arial" w:eastAsia="Times New Roman" w:hAnsi="Arial" w:cs="Arial"/>
                <w:sz w:val="20"/>
                <w:szCs w:val="20"/>
                <w:lang w:val="en-ZA" w:eastAsia="en-ZA"/>
              </w:rPr>
            </w:pPr>
          </w:p>
        </w:tc>
        <w:tc>
          <w:tcPr>
            <w:tcW w:w="189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______</w:t>
            </w:r>
          </w:p>
        </w:tc>
      </w:tr>
      <w:tr w:rsidR="0014029A" w:rsidRPr="00892F76" w:rsidTr="0018213C">
        <w:trPr>
          <w:trHeight w:val="448"/>
        </w:trPr>
        <w:tc>
          <w:tcPr>
            <w:tcW w:w="1194" w:type="dxa"/>
            <w:vMerge/>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p>
        </w:tc>
        <w:tc>
          <w:tcPr>
            <w:tcW w:w="160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Calibri" w:hAnsi="Arial" w:cs="Arial"/>
                <w:b/>
                <w:kern w:val="24"/>
                <w:sz w:val="20"/>
                <w:szCs w:val="20"/>
                <w:lang w:val="en-ZA" w:eastAsia="en-ZA"/>
              </w:rPr>
              <w:t>Number of NCOP programmes adopted</w:t>
            </w:r>
          </w:p>
        </w:tc>
        <w:tc>
          <w:tcPr>
            <w:tcW w:w="80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Calibri" w:hAnsi="Arial" w:cs="Arial"/>
                <w:kern w:val="24"/>
                <w:sz w:val="20"/>
                <w:szCs w:val="20"/>
                <w:lang w:val="en-ZA" w:eastAsia="en-ZA"/>
              </w:rPr>
              <w:t>1</w:t>
            </w:r>
          </w:p>
        </w:tc>
        <w:tc>
          <w:tcPr>
            <w:tcW w:w="12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Calibri" w:hAnsi="Arial" w:cs="Arial"/>
                <w:kern w:val="24"/>
                <w:sz w:val="20"/>
                <w:szCs w:val="20"/>
                <w:lang w:val="en-ZA" w:eastAsia="en-ZA"/>
              </w:rPr>
              <w:t>1</w:t>
            </w:r>
          </w:p>
        </w:tc>
        <w:tc>
          <w:tcPr>
            <w:tcW w:w="9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Calibri" w:hAnsi="Arial" w:cs="Arial"/>
                <w:kern w:val="24"/>
                <w:sz w:val="20"/>
                <w:szCs w:val="20"/>
                <w:lang w:val="en-ZA" w:eastAsia="en-ZA"/>
              </w:rPr>
              <w:t>0</w:t>
            </w:r>
          </w:p>
        </w:tc>
        <w:tc>
          <w:tcPr>
            <w:tcW w:w="73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numPr>
                <w:ilvl w:val="0"/>
                <w:numId w:val="21"/>
              </w:numPr>
              <w:spacing w:after="0" w:line="240" w:lineRule="auto"/>
              <w:contextualSpacing/>
              <w:rPr>
                <w:rFonts w:ascii="Arial" w:eastAsia="Times New Roman" w:hAnsi="Arial" w:cs="Arial"/>
                <w:sz w:val="20"/>
                <w:szCs w:val="20"/>
                <w:lang w:val="en-ZA" w:eastAsia="en-ZA"/>
              </w:rPr>
            </w:pPr>
          </w:p>
        </w:tc>
        <w:tc>
          <w:tcPr>
            <w:tcW w:w="189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______</w:t>
            </w:r>
          </w:p>
        </w:tc>
      </w:tr>
      <w:tr w:rsidR="0014029A" w:rsidRPr="00892F76" w:rsidTr="0018213C">
        <w:trPr>
          <w:trHeight w:val="310"/>
        </w:trPr>
        <w:tc>
          <w:tcPr>
            <w:tcW w:w="1194"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Times New Roman" w:hAnsi="Arial" w:cs="Arial"/>
                <w:b/>
                <w:sz w:val="20"/>
                <w:szCs w:val="20"/>
                <w:lang w:val="en-ZA" w:eastAsia="en-ZA"/>
              </w:rPr>
              <w:t>Capacity Building Service</w:t>
            </w:r>
          </w:p>
        </w:tc>
        <w:tc>
          <w:tcPr>
            <w:tcW w:w="160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Calibri" w:hAnsi="Arial" w:cs="Arial"/>
                <w:b/>
                <w:kern w:val="24"/>
                <w:sz w:val="20"/>
                <w:szCs w:val="20"/>
                <w:lang w:val="en-ZA" w:eastAsia="en-ZA"/>
              </w:rPr>
            </w:pPr>
            <w:r w:rsidRPr="00892F76">
              <w:rPr>
                <w:rFonts w:ascii="Arial" w:eastAsia="Calibri" w:hAnsi="Arial" w:cs="Arial"/>
                <w:b/>
                <w:kern w:val="24"/>
                <w:sz w:val="20"/>
                <w:szCs w:val="20"/>
                <w:lang w:val="en-ZA" w:eastAsia="en-ZA"/>
              </w:rPr>
              <w:t>Percentage Member Satisfaction</w:t>
            </w:r>
          </w:p>
        </w:tc>
        <w:tc>
          <w:tcPr>
            <w:tcW w:w="80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Calibri" w:hAnsi="Arial" w:cs="Arial"/>
                <w:kern w:val="24"/>
                <w:sz w:val="20"/>
                <w:szCs w:val="20"/>
                <w:lang w:val="en-ZA" w:eastAsia="en-ZA"/>
              </w:rPr>
            </w:pPr>
            <w:r w:rsidRPr="00892F76">
              <w:rPr>
                <w:rFonts w:ascii="Arial" w:eastAsia="Calibri" w:hAnsi="Arial" w:cs="Arial"/>
                <w:kern w:val="24"/>
                <w:sz w:val="20"/>
                <w:szCs w:val="20"/>
                <w:lang w:val="en-ZA" w:eastAsia="en-ZA"/>
              </w:rPr>
              <w:t>70</w:t>
            </w:r>
          </w:p>
        </w:tc>
        <w:tc>
          <w:tcPr>
            <w:tcW w:w="12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Calibri" w:hAnsi="Arial" w:cs="Arial"/>
                <w:kern w:val="24"/>
                <w:sz w:val="20"/>
                <w:szCs w:val="20"/>
                <w:lang w:val="en-ZA" w:eastAsia="en-ZA"/>
              </w:rPr>
            </w:pPr>
            <w:r w:rsidRPr="00892F76">
              <w:rPr>
                <w:rFonts w:ascii="Arial" w:eastAsia="Calibri" w:hAnsi="Arial" w:cs="Arial"/>
                <w:kern w:val="24"/>
                <w:sz w:val="20"/>
                <w:szCs w:val="20"/>
                <w:lang w:val="en-ZA" w:eastAsia="en-ZA"/>
              </w:rPr>
              <w:t>72,44</w:t>
            </w:r>
          </w:p>
        </w:tc>
        <w:tc>
          <w:tcPr>
            <w:tcW w:w="9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Calibri" w:hAnsi="Arial" w:cs="Arial"/>
                <w:kern w:val="24"/>
                <w:sz w:val="20"/>
                <w:szCs w:val="20"/>
                <w:lang w:val="en-ZA" w:eastAsia="en-ZA"/>
              </w:rPr>
            </w:pPr>
            <w:r w:rsidRPr="00892F76">
              <w:rPr>
                <w:rFonts w:ascii="Arial" w:eastAsia="Calibri" w:hAnsi="Arial" w:cs="Arial"/>
                <w:kern w:val="24"/>
                <w:sz w:val="20"/>
                <w:szCs w:val="20"/>
                <w:lang w:val="en-ZA" w:eastAsia="en-ZA"/>
              </w:rPr>
              <w:t>+2,24</w:t>
            </w:r>
          </w:p>
        </w:tc>
        <w:tc>
          <w:tcPr>
            <w:tcW w:w="73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numPr>
                <w:ilvl w:val="0"/>
                <w:numId w:val="21"/>
              </w:numPr>
              <w:spacing w:after="0" w:line="240" w:lineRule="auto"/>
              <w:contextualSpacing/>
              <w:rPr>
                <w:rFonts w:ascii="Arial" w:eastAsia="Times New Roman" w:hAnsi="Arial" w:cs="Arial"/>
                <w:sz w:val="20"/>
                <w:szCs w:val="20"/>
                <w:lang w:val="en-ZA" w:eastAsia="en-ZA"/>
              </w:rPr>
            </w:pPr>
          </w:p>
        </w:tc>
        <w:tc>
          <w:tcPr>
            <w:tcW w:w="189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_____</w:t>
            </w:r>
          </w:p>
        </w:tc>
      </w:tr>
      <w:tr w:rsidR="0014029A" w:rsidRPr="00892F76" w:rsidTr="0018213C">
        <w:trPr>
          <w:trHeight w:val="310"/>
        </w:trPr>
        <w:tc>
          <w:tcPr>
            <w:tcW w:w="1194"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Times New Roman" w:hAnsi="Arial" w:cs="Arial"/>
                <w:b/>
                <w:sz w:val="20"/>
                <w:szCs w:val="20"/>
                <w:lang w:val="en-ZA" w:eastAsia="en-ZA"/>
              </w:rPr>
              <w:t>Research service</w:t>
            </w:r>
          </w:p>
        </w:tc>
        <w:tc>
          <w:tcPr>
            <w:tcW w:w="160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Times New Roman" w:hAnsi="Arial" w:cs="Arial"/>
                <w:b/>
                <w:sz w:val="20"/>
                <w:szCs w:val="20"/>
                <w:lang w:val="en-ZA" w:eastAsia="en-ZA"/>
              </w:rPr>
              <w:t>% Member satisfaction</w:t>
            </w:r>
          </w:p>
        </w:tc>
        <w:tc>
          <w:tcPr>
            <w:tcW w:w="80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75%</w:t>
            </w:r>
          </w:p>
        </w:tc>
        <w:tc>
          <w:tcPr>
            <w:tcW w:w="12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78,11</w:t>
            </w:r>
          </w:p>
        </w:tc>
        <w:tc>
          <w:tcPr>
            <w:tcW w:w="9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+3,11%</w:t>
            </w:r>
          </w:p>
        </w:tc>
        <w:tc>
          <w:tcPr>
            <w:tcW w:w="73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pStyle w:val="ListParagraph"/>
              <w:numPr>
                <w:ilvl w:val="0"/>
                <w:numId w:val="21"/>
              </w:numPr>
              <w:spacing w:after="0" w:line="240" w:lineRule="auto"/>
              <w:rPr>
                <w:rFonts w:ascii="Arial" w:eastAsia="Times New Roman" w:hAnsi="Arial" w:cs="Arial"/>
                <w:b/>
                <w:sz w:val="20"/>
                <w:szCs w:val="20"/>
                <w:lang w:val="en-ZA" w:eastAsia="en-ZA"/>
              </w:rPr>
            </w:pPr>
          </w:p>
        </w:tc>
        <w:tc>
          <w:tcPr>
            <w:tcW w:w="189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 xml:space="preserve">Useful and timeous </w:t>
            </w:r>
            <w:r w:rsidRPr="00892F76">
              <w:rPr>
                <w:rFonts w:ascii="Arial" w:eastAsia="Times New Roman" w:hAnsi="Arial" w:cs="Arial"/>
                <w:sz w:val="20"/>
                <w:szCs w:val="20"/>
                <w:lang w:val="en-ZA" w:eastAsia="en-ZA"/>
              </w:rPr>
              <w:lastRenderedPageBreak/>
              <w:t>service provided  </w:t>
            </w:r>
          </w:p>
        </w:tc>
      </w:tr>
      <w:tr w:rsidR="0014029A" w:rsidRPr="00892F76" w:rsidTr="0018213C">
        <w:trPr>
          <w:trHeight w:val="310"/>
        </w:trPr>
        <w:tc>
          <w:tcPr>
            <w:tcW w:w="1194"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Times New Roman" w:hAnsi="Arial" w:cs="Arial"/>
                <w:b/>
                <w:sz w:val="20"/>
                <w:szCs w:val="20"/>
                <w:lang w:val="en-ZA" w:eastAsia="en-ZA"/>
              </w:rPr>
              <w:lastRenderedPageBreak/>
              <w:t>Content advice service</w:t>
            </w:r>
          </w:p>
        </w:tc>
        <w:tc>
          <w:tcPr>
            <w:tcW w:w="160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Times New Roman" w:hAnsi="Arial" w:cs="Arial"/>
                <w:b/>
                <w:sz w:val="20"/>
                <w:szCs w:val="20"/>
                <w:lang w:val="en-ZA" w:eastAsia="en-ZA"/>
              </w:rPr>
              <w:t>% Member satisfaction</w:t>
            </w:r>
          </w:p>
        </w:tc>
        <w:tc>
          <w:tcPr>
            <w:tcW w:w="80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75%</w:t>
            </w:r>
          </w:p>
        </w:tc>
        <w:tc>
          <w:tcPr>
            <w:tcW w:w="12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80,13</w:t>
            </w:r>
          </w:p>
        </w:tc>
        <w:tc>
          <w:tcPr>
            <w:tcW w:w="9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+5,13%</w:t>
            </w:r>
          </w:p>
        </w:tc>
        <w:tc>
          <w:tcPr>
            <w:tcW w:w="73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pStyle w:val="ListParagraph"/>
              <w:numPr>
                <w:ilvl w:val="0"/>
                <w:numId w:val="21"/>
              </w:numPr>
              <w:spacing w:after="0" w:line="240" w:lineRule="auto"/>
              <w:rPr>
                <w:rFonts w:ascii="Arial" w:eastAsia="Times New Roman" w:hAnsi="Arial" w:cs="Arial"/>
                <w:b/>
                <w:sz w:val="20"/>
                <w:szCs w:val="20"/>
                <w:lang w:val="en-ZA" w:eastAsia="en-ZA"/>
              </w:rPr>
            </w:pPr>
          </w:p>
        </w:tc>
        <w:tc>
          <w:tcPr>
            <w:tcW w:w="189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Timeous, reliable and easy to access service provided</w:t>
            </w:r>
          </w:p>
        </w:tc>
      </w:tr>
      <w:tr w:rsidR="0014029A" w:rsidRPr="00892F76" w:rsidTr="0018213C">
        <w:trPr>
          <w:trHeight w:val="310"/>
        </w:trPr>
        <w:tc>
          <w:tcPr>
            <w:tcW w:w="1194"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Times New Roman" w:hAnsi="Arial" w:cs="Arial"/>
                <w:b/>
                <w:sz w:val="20"/>
                <w:szCs w:val="20"/>
                <w:lang w:val="en-ZA" w:eastAsia="en-ZA"/>
              </w:rPr>
              <w:t>Procedural advice service</w:t>
            </w:r>
          </w:p>
        </w:tc>
        <w:tc>
          <w:tcPr>
            <w:tcW w:w="160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Times New Roman" w:hAnsi="Arial" w:cs="Arial"/>
                <w:b/>
                <w:sz w:val="20"/>
                <w:szCs w:val="20"/>
                <w:lang w:val="en-ZA" w:eastAsia="en-ZA"/>
              </w:rPr>
              <w:t>% Member satisfaction</w:t>
            </w:r>
          </w:p>
        </w:tc>
        <w:tc>
          <w:tcPr>
            <w:tcW w:w="80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75%</w:t>
            </w:r>
          </w:p>
        </w:tc>
        <w:tc>
          <w:tcPr>
            <w:tcW w:w="12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75,71</w:t>
            </w:r>
          </w:p>
        </w:tc>
        <w:tc>
          <w:tcPr>
            <w:tcW w:w="9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+0,71%</w:t>
            </w:r>
          </w:p>
        </w:tc>
        <w:tc>
          <w:tcPr>
            <w:tcW w:w="73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pStyle w:val="ListParagraph"/>
              <w:numPr>
                <w:ilvl w:val="0"/>
                <w:numId w:val="21"/>
              </w:numPr>
              <w:spacing w:after="0" w:line="240" w:lineRule="auto"/>
              <w:rPr>
                <w:rFonts w:ascii="Arial" w:eastAsia="Times New Roman" w:hAnsi="Arial" w:cs="Arial"/>
                <w:sz w:val="20"/>
                <w:szCs w:val="20"/>
                <w:lang w:val="en-ZA" w:eastAsia="en-ZA"/>
              </w:rPr>
            </w:pPr>
          </w:p>
        </w:tc>
        <w:tc>
          <w:tcPr>
            <w:tcW w:w="189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Fair and reliable services provided</w:t>
            </w:r>
          </w:p>
        </w:tc>
      </w:tr>
      <w:tr w:rsidR="0014029A" w:rsidRPr="00892F76" w:rsidTr="0018213C">
        <w:trPr>
          <w:trHeight w:val="310"/>
        </w:trPr>
        <w:tc>
          <w:tcPr>
            <w:tcW w:w="1194"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Times New Roman" w:hAnsi="Arial" w:cs="Arial"/>
                <w:b/>
                <w:sz w:val="20"/>
                <w:szCs w:val="20"/>
                <w:lang w:val="en-ZA" w:eastAsia="en-ZA"/>
              </w:rPr>
              <w:t>Legal advice service</w:t>
            </w:r>
          </w:p>
        </w:tc>
        <w:tc>
          <w:tcPr>
            <w:tcW w:w="160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Times New Roman" w:hAnsi="Arial" w:cs="Arial"/>
                <w:b/>
                <w:sz w:val="20"/>
                <w:szCs w:val="20"/>
                <w:lang w:val="en-ZA" w:eastAsia="en-ZA"/>
              </w:rPr>
              <w:t>% Member satisfaction</w:t>
            </w:r>
          </w:p>
        </w:tc>
        <w:tc>
          <w:tcPr>
            <w:tcW w:w="80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75%</w:t>
            </w:r>
          </w:p>
        </w:tc>
        <w:tc>
          <w:tcPr>
            <w:tcW w:w="12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75,42</w:t>
            </w:r>
          </w:p>
        </w:tc>
        <w:tc>
          <w:tcPr>
            <w:tcW w:w="9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+0,42%</w:t>
            </w:r>
          </w:p>
        </w:tc>
        <w:tc>
          <w:tcPr>
            <w:tcW w:w="73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pStyle w:val="ListParagraph"/>
              <w:numPr>
                <w:ilvl w:val="0"/>
                <w:numId w:val="21"/>
              </w:numPr>
              <w:spacing w:after="0" w:line="240" w:lineRule="auto"/>
              <w:rPr>
                <w:rFonts w:ascii="Arial" w:eastAsia="Times New Roman" w:hAnsi="Arial" w:cs="Arial"/>
                <w:sz w:val="20"/>
                <w:szCs w:val="20"/>
                <w:lang w:val="en-ZA" w:eastAsia="en-ZA"/>
              </w:rPr>
            </w:pPr>
          </w:p>
        </w:tc>
        <w:tc>
          <w:tcPr>
            <w:tcW w:w="189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Easy to access and timeous service provided</w:t>
            </w:r>
          </w:p>
        </w:tc>
      </w:tr>
      <w:tr w:rsidR="0014029A" w:rsidRPr="00892F76" w:rsidTr="0018213C">
        <w:trPr>
          <w:trHeight w:val="310"/>
        </w:trPr>
        <w:tc>
          <w:tcPr>
            <w:tcW w:w="1194"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Times New Roman" w:hAnsi="Arial" w:cs="Arial"/>
                <w:b/>
                <w:sz w:val="20"/>
                <w:szCs w:val="20"/>
                <w:lang w:val="en-ZA" w:eastAsia="en-ZA"/>
              </w:rPr>
              <w:t>Committee support service</w:t>
            </w:r>
          </w:p>
        </w:tc>
        <w:tc>
          <w:tcPr>
            <w:tcW w:w="160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Times New Roman" w:hAnsi="Arial" w:cs="Arial"/>
                <w:b/>
                <w:sz w:val="20"/>
                <w:szCs w:val="20"/>
                <w:lang w:val="en-ZA" w:eastAsia="en-ZA"/>
              </w:rPr>
              <w:t>% Member satisfaction</w:t>
            </w:r>
          </w:p>
        </w:tc>
        <w:tc>
          <w:tcPr>
            <w:tcW w:w="80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75%</w:t>
            </w:r>
          </w:p>
        </w:tc>
        <w:tc>
          <w:tcPr>
            <w:tcW w:w="12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83,77</w:t>
            </w:r>
          </w:p>
        </w:tc>
        <w:tc>
          <w:tcPr>
            <w:tcW w:w="9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+8,77%</w:t>
            </w:r>
          </w:p>
        </w:tc>
        <w:tc>
          <w:tcPr>
            <w:tcW w:w="73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pStyle w:val="ListParagraph"/>
              <w:numPr>
                <w:ilvl w:val="0"/>
                <w:numId w:val="21"/>
              </w:numPr>
              <w:spacing w:after="0" w:line="240" w:lineRule="auto"/>
              <w:rPr>
                <w:rFonts w:ascii="Arial" w:eastAsia="Times New Roman" w:hAnsi="Arial" w:cs="Arial"/>
                <w:sz w:val="20"/>
                <w:szCs w:val="20"/>
                <w:lang w:val="en-ZA" w:eastAsia="en-ZA"/>
              </w:rPr>
            </w:pPr>
          </w:p>
        </w:tc>
        <w:tc>
          <w:tcPr>
            <w:tcW w:w="189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Reliable and timeous services provided</w:t>
            </w:r>
          </w:p>
        </w:tc>
      </w:tr>
      <w:tr w:rsidR="0014029A" w:rsidRPr="00892F76" w:rsidTr="0018213C">
        <w:trPr>
          <w:trHeight w:val="310"/>
        </w:trPr>
        <w:tc>
          <w:tcPr>
            <w:tcW w:w="1194"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Times New Roman" w:hAnsi="Arial" w:cs="Arial"/>
                <w:b/>
                <w:sz w:val="20"/>
                <w:szCs w:val="20"/>
                <w:lang w:val="en-ZA" w:eastAsia="en-ZA"/>
              </w:rPr>
              <w:t>Public participation service</w:t>
            </w:r>
          </w:p>
        </w:tc>
        <w:tc>
          <w:tcPr>
            <w:tcW w:w="160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b/>
                <w:sz w:val="20"/>
                <w:szCs w:val="20"/>
                <w:lang w:val="en-ZA" w:eastAsia="en-ZA"/>
              </w:rPr>
            </w:pPr>
            <w:r w:rsidRPr="00892F76">
              <w:rPr>
                <w:rFonts w:ascii="Arial" w:eastAsia="Times New Roman" w:hAnsi="Arial" w:cs="Arial"/>
                <w:b/>
                <w:sz w:val="20"/>
                <w:szCs w:val="20"/>
                <w:lang w:val="en-ZA" w:eastAsia="en-ZA"/>
              </w:rPr>
              <w:t>% Member satisfaction</w:t>
            </w:r>
          </w:p>
        </w:tc>
        <w:tc>
          <w:tcPr>
            <w:tcW w:w="80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75%</w:t>
            </w:r>
          </w:p>
        </w:tc>
        <w:tc>
          <w:tcPr>
            <w:tcW w:w="12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74,69</w:t>
            </w:r>
          </w:p>
        </w:tc>
        <w:tc>
          <w:tcPr>
            <w:tcW w:w="91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-0,31%</w:t>
            </w:r>
          </w:p>
        </w:tc>
        <w:tc>
          <w:tcPr>
            <w:tcW w:w="73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ind w:left="360"/>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x</w:t>
            </w:r>
          </w:p>
        </w:tc>
        <w:tc>
          <w:tcPr>
            <w:tcW w:w="189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14029A" w:rsidRPr="00892F76" w:rsidRDefault="0014029A" w:rsidP="00892F76">
            <w:pPr>
              <w:spacing w:after="0" w:line="240" w:lineRule="auto"/>
              <w:rPr>
                <w:rFonts w:ascii="Arial" w:eastAsia="Times New Roman" w:hAnsi="Arial" w:cs="Arial"/>
                <w:sz w:val="20"/>
                <w:szCs w:val="20"/>
                <w:lang w:val="en-ZA" w:eastAsia="en-ZA"/>
              </w:rPr>
            </w:pPr>
            <w:r w:rsidRPr="00892F76">
              <w:rPr>
                <w:rFonts w:ascii="Arial" w:eastAsia="Times New Roman" w:hAnsi="Arial" w:cs="Arial"/>
                <w:sz w:val="20"/>
                <w:szCs w:val="20"/>
                <w:lang w:val="en-ZA" w:eastAsia="en-ZA"/>
              </w:rPr>
              <w:t> Ease of access and timeousness of services must be improved; Communication on public participation needs to be strengthened</w:t>
            </w:r>
          </w:p>
        </w:tc>
      </w:tr>
    </w:tbl>
    <w:p w:rsidR="00891ED2" w:rsidRPr="00892F76" w:rsidRDefault="0014029A" w:rsidP="00892F76">
      <w:pPr>
        <w:spacing w:after="0" w:line="240" w:lineRule="auto"/>
        <w:ind w:left="720" w:hanging="720"/>
        <w:rPr>
          <w:rFonts w:ascii="Arial" w:eastAsia="Calibri" w:hAnsi="Arial" w:cs="Arial"/>
          <w:b/>
          <w:sz w:val="20"/>
          <w:szCs w:val="20"/>
          <w:lang w:val="en-ZA"/>
        </w:rPr>
      </w:pPr>
      <w:r w:rsidRPr="00892F76">
        <w:rPr>
          <w:rFonts w:ascii="Arial" w:eastAsia="Calibri" w:hAnsi="Arial" w:cs="Arial"/>
          <w:sz w:val="20"/>
          <w:szCs w:val="20"/>
          <w:lang w:val="en-ZA"/>
        </w:rPr>
        <w:tab/>
      </w:r>
      <w:r w:rsidRPr="00892F76">
        <w:rPr>
          <w:rFonts w:ascii="Arial" w:eastAsia="Calibri" w:hAnsi="Arial" w:cs="Arial"/>
          <w:b/>
          <w:sz w:val="20"/>
          <w:szCs w:val="20"/>
          <w:lang w:val="en-ZA"/>
        </w:rPr>
        <w:t>Table 3: Programme 2 performance in formation (Source: Parliament of the RSA)</w:t>
      </w:r>
    </w:p>
    <w:p w:rsidR="0014029A" w:rsidRPr="00892F76" w:rsidRDefault="0014029A" w:rsidP="00892F76">
      <w:pPr>
        <w:spacing w:after="0" w:line="240" w:lineRule="auto"/>
        <w:ind w:left="720" w:hanging="720"/>
        <w:rPr>
          <w:rFonts w:ascii="Arial" w:eastAsia="Calibri" w:hAnsi="Arial" w:cs="Arial"/>
          <w:b/>
          <w:sz w:val="20"/>
          <w:szCs w:val="20"/>
          <w:lang w:val="en-ZA"/>
        </w:rPr>
      </w:pPr>
    </w:p>
    <w:p w:rsidR="0014029A" w:rsidRPr="00892F76" w:rsidRDefault="0014029A" w:rsidP="00892F76">
      <w:pPr>
        <w:spacing w:after="0" w:line="240" w:lineRule="auto"/>
        <w:ind w:left="720" w:hanging="720"/>
        <w:rPr>
          <w:rFonts w:ascii="Arial" w:eastAsia="Calibri" w:hAnsi="Arial" w:cs="Arial"/>
          <w:i/>
          <w:sz w:val="20"/>
          <w:szCs w:val="20"/>
          <w:lang w:val="en-ZA"/>
        </w:rPr>
      </w:pPr>
      <w:r w:rsidRPr="00892F76">
        <w:rPr>
          <w:rFonts w:ascii="Arial" w:eastAsia="Calibri" w:hAnsi="Arial" w:cs="Arial"/>
          <w:b/>
          <w:sz w:val="20"/>
          <w:szCs w:val="20"/>
          <w:lang w:val="en-ZA"/>
        </w:rPr>
        <w:tab/>
      </w:r>
      <w:r w:rsidRPr="00892F76">
        <w:rPr>
          <w:rFonts w:ascii="Arial" w:eastAsia="Calibri" w:hAnsi="Arial" w:cs="Arial"/>
          <w:i/>
          <w:sz w:val="20"/>
          <w:szCs w:val="20"/>
          <w:lang w:val="en-ZA"/>
        </w:rPr>
        <w:t>Plenary Programming</w:t>
      </w:r>
    </w:p>
    <w:p w:rsidR="0014029A" w:rsidRPr="00892F76" w:rsidRDefault="0014029A"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3.2.13</w:t>
      </w:r>
      <w:r w:rsidRPr="00892F76">
        <w:rPr>
          <w:rFonts w:ascii="Arial" w:eastAsia="Calibri" w:hAnsi="Arial" w:cs="Arial"/>
          <w:sz w:val="20"/>
          <w:szCs w:val="20"/>
          <w:lang w:val="en-ZA"/>
        </w:rPr>
        <w:tab/>
        <w:t>Programmes are an essential tool in facilitating the coordination of activities of the National Council of Provinces, National Assembly, Provincial Legislatures and South African Local Government Association (SALGA). The NCOP and NA adopted the second programmes during the 1st half of the financial year. The programmes outline activities of portfolio and select committees, house and other fora in which the NA and NCOP participate.</w:t>
      </w:r>
    </w:p>
    <w:p w:rsidR="0014029A" w:rsidRPr="00892F76" w:rsidRDefault="0014029A" w:rsidP="00892F76">
      <w:pPr>
        <w:spacing w:after="0" w:line="240" w:lineRule="auto"/>
        <w:ind w:left="720"/>
        <w:rPr>
          <w:rFonts w:ascii="Arial" w:eastAsia="Calibri" w:hAnsi="Arial" w:cs="Arial"/>
          <w:i/>
          <w:sz w:val="20"/>
          <w:szCs w:val="20"/>
          <w:lang w:val="en-ZA"/>
        </w:rPr>
      </w:pPr>
    </w:p>
    <w:p w:rsidR="00BE6349" w:rsidRPr="00892F76" w:rsidRDefault="006A3416" w:rsidP="00892F76">
      <w:pPr>
        <w:spacing w:after="0" w:line="240" w:lineRule="auto"/>
        <w:ind w:left="720"/>
        <w:rPr>
          <w:rFonts w:ascii="Arial" w:eastAsia="Calibri" w:hAnsi="Arial" w:cs="Arial"/>
          <w:i/>
          <w:sz w:val="20"/>
          <w:szCs w:val="20"/>
          <w:lang w:val="en-ZA"/>
        </w:rPr>
      </w:pPr>
      <w:r w:rsidRPr="00892F76">
        <w:rPr>
          <w:rFonts w:ascii="Arial" w:eastAsia="Calibri" w:hAnsi="Arial" w:cs="Arial"/>
          <w:i/>
          <w:sz w:val="20"/>
          <w:szCs w:val="20"/>
          <w:lang w:val="en-ZA"/>
        </w:rPr>
        <w:t>Capacity Building</w:t>
      </w:r>
    </w:p>
    <w:p w:rsidR="0014029A" w:rsidRPr="00892F76" w:rsidRDefault="0014029A"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3.2.14</w:t>
      </w:r>
      <w:r w:rsidRPr="00892F76">
        <w:rPr>
          <w:rFonts w:ascii="Arial" w:eastAsia="Calibri" w:hAnsi="Arial" w:cs="Arial"/>
          <w:sz w:val="20"/>
          <w:szCs w:val="20"/>
          <w:lang w:val="en-ZA"/>
        </w:rPr>
        <w:tab/>
        <w:t>The following capacity building programmes were implemented for parliamentarians:</w:t>
      </w:r>
    </w:p>
    <w:p w:rsidR="0014029A" w:rsidRPr="00892F76" w:rsidRDefault="0014029A"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ab/>
        <w:t>-</w:t>
      </w:r>
      <w:r w:rsidRPr="00892F76">
        <w:rPr>
          <w:rFonts w:ascii="Arial" w:eastAsia="Calibri" w:hAnsi="Arial" w:cs="Arial"/>
          <w:sz w:val="20"/>
          <w:szCs w:val="20"/>
          <w:lang w:val="en-ZA"/>
        </w:rPr>
        <w:tab/>
        <w:t xml:space="preserve">University of Johannesburg post-graduate diploma virtual classes for 11 registered </w:t>
      </w:r>
      <w:r w:rsidRPr="00892F76">
        <w:rPr>
          <w:rFonts w:ascii="Arial" w:eastAsia="Calibri" w:hAnsi="Arial" w:cs="Arial"/>
          <w:sz w:val="20"/>
          <w:szCs w:val="20"/>
          <w:lang w:val="en-ZA"/>
        </w:rPr>
        <w:tab/>
        <w:t>Members;</w:t>
      </w:r>
    </w:p>
    <w:p w:rsidR="0014029A" w:rsidRPr="00892F76" w:rsidRDefault="0014029A"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ab/>
        <w:t>-</w:t>
      </w:r>
      <w:r w:rsidRPr="00892F76">
        <w:rPr>
          <w:rFonts w:ascii="Arial" w:eastAsia="Calibri" w:hAnsi="Arial" w:cs="Arial"/>
          <w:sz w:val="20"/>
          <w:szCs w:val="20"/>
          <w:lang w:val="en-ZA"/>
        </w:rPr>
        <w:tab/>
        <w:t xml:space="preserve">virtual classes for the post-graduate diploma were offered by the University of </w:t>
      </w:r>
      <w:r w:rsidRPr="00892F76">
        <w:rPr>
          <w:rFonts w:ascii="Arial" w:eastAsia="Calibri" w:hAnsi="Arial" w:cs="Arial"/>
          <w:sz w:val="20"/>
          <w:szCs w:val="20"/>
          <w:lang w:val="en-ZA"/>
        </w:rPr>
        <w:tab/>
        <w:t xml:space="preserve">Johannesburg for 11 parliamentarians on the following modules – research; industrial </w:t>
      </w:r>
      <w:r w:rsidRPr="00892F76">
        <w:rPr>
          <w:rFonts w:ascii="Arial" w:eastAsia="Calibri" w:hAnsi="Arial" w:cs="Arial"/>
          <w:sz w:val="20"/>
          <w:szCs w:val="20"/>
          <w:lang w:val="en-ZA"/>
        </w:rPr>
        <w:tab/>
        <w:t xml:space="preserve">policy; </w:t>
      </w:r>
      <w:r w:rsidRPr="00892F76">
        <w:rPr>
          <w:rFonts w:ascii="Arial" w:eastAsia="Calibri" w:hAnsi="Arial" w:cs="Arial"/>
          <w:sz w:val="20"/>
          <w:szCs w:val="20"/>
          <w:lang w:val="en-ZA"/>
        </w:rPr>
        <w:tab/>
        <w:t xml:space="preserve">transitional justice; and strategic diplomacy; </w:t>
      </w:r>
    </w:p>
    <w:p w:rsidR="0014029A" w:rsidRPr="00892F76" w:rsidRDefault="0014029A"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ab/>
        <w:t>-</w:t>
      </w:r>
      <w:r w:rsidRPr="00892F76">
        <w:rPr>
          <w:rFonts w:ascii="Arial" w:eastAsia="Calibri" w:hAnsi="Arial" w:cs="Arial"/>
          <w:sz w:val="20"/>
          <w:szCs w:val="20"/>
          <w:lang w:val="en-ZA"/>
        </w:rPr>
        <w:tab/>
        <w:t xml:space="preserve">the University of Witwatersrand Postgraduate Diploma was implemented for 19 </w:t>
      </w:r>
      <w:r w:rsidRPr="00892F76">
        <w:rPr>
          <w:rFonts w:ascii="Arial" w:eastAsia="Calibri" w:hAnsi="Arial" w:cs="Arial"/>
          <w:sz w:val="20"/>
          <w:szCs w:val="20"/>
          <w:lang w:val="en-ZA"/>
        </w:rPr>
        <w:tab/>
        <w:t xml:space="preserve">parliamentarians on the following programmes - orientation programme; </w:t>
      </w:r>
      <w:r w:rsidRPr="00892F76">
        <w:rPr>
          <w:rFonts w:ascii="Arial" w:eastAsia="Calibri" w:hAnsi="Arial" w:cs="Arial"/>
          <w:sz w:val="20"/>
          <w:szCs w:val="20"/>
          <w:lang w:val="en-ZA"/>
        </w:rPr>
        <w:tab/>
        <w:t>international relations and diplomacy; and public policy; and</w:t>
      </w:r>
    </w:p>
    <w:p w:rsidR="0014029A" w:rsidRPr="00892F76" w:rsidRDefault="0014029A"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ab/>
        <w:t>-</w:t>
      </w:r>
      <w:r w:rsidRPr="00892F76">
        <w:rPr>
          <w:rFonts w:ascii="Arial" w:eastAsia="Calibri" w:hAnsi="Arial" w:cs="Arial"/>
          <w:sz w:val="20"/>
          <w:szCs w:val="20"/>
          <w:lang w:val="en-ZA"/>
        </w:rPr>
        <w:tab/>
        <w:t xml:space="preserve">another programme of Masters in Governance and Leadership was offered to 7 </w:t>
      </w:r>
      <w:r w:rsidRPr="00892F76">
        <w:rPr>
          <w:rFonts w:ascii="Arial" w:eastAsia="Calibri" w:hAnsi="Arial" w:cs="Arial"/>
          <w:sz w:val="20"/>
          <w:szCs w:val="20"/>
          <w:lang w:val="en-ZA"/>
        </w:rPr>
        <w:tab/>
        <w:t>parliamentarians.</w:t>
      </w:r>
    </w:p>
    <w:p w:rsidR="0014029A" w:rsidRPr="00892F76" w:rsidRDefault="0014029A" w:rsidP="00892F76">
      <w:pPr>
        <w:spacing w:after="0" w:line="240" w:lineRule="auto"/>
        <w:ind w:left="720" w:hanging="720"/>
        <w:rPr>
          <w:rFonts w:ascii="Arial" w:eastAsia="Calibri" w:hAnsi="Arial" w:cs="Arial"/>
          <w:i/>
          <w:sz w:val="20"/>
          <w:szCs w:val="20"/>
          <w:lang w:val="en-ZA"/>
        </w:rPr>
      </w:pPr>
    </w:p>
    <w:p w:rsidR="009B4DAE" w:rsidRPr="00892F76" w:rsidRDefault="0014029A" w:rsidP="00892F76">
      <w:pPr>
        <w:spacing w:after="0" w:line="240" w:lineRule="auto"/>
        <w:ind w:left="720"/>
        <w:rPr>
          <w:rFonts w:ascii="Arial" w:eastAsia="Calibri" w:hAnsi="Arial" w:cs="Arial"/>
          <w:i/>
          <w:sz w:val="20"/>
          <w:szCs w:val="20"/>
          <w:lang w:val="en-ZA"/>
        </w:rPr>
      </w:pPr>
      <w:r w:rsidRPr="00892F76">
        <w:rPr>
          <w:rFonts w:ascii="Arial" w:eastAsia="Calibri" w:hAnsi="Arial" w:cs="Arial"/>
          <w:i/>
          <w:sz w:val="20"/>
          <w:szCs w:val="20"/>
          <w:lang w:val="en-ZA"/>
        </w:rPr>
        <w:t>Committee Support</w:t>
      </w:r>
    </w:p>
    <w:p w:rsidR="0014029A" w:rsidRPr="00892F76" w:rsidRDefault="0014029A" w:rsidP="00892F76">
      <w:pPr>
        <w:spacing w:after="0" w:line="240" w:lineRule="auto"/>
        <w:ind w:left="720" w:hanging="720"/>
        <w:rPr>
          <w:rFonts w:ascii="Arial" w:hAnsi="Arial" w:cs="Arial"/>
          <w:sz w:val="20"/>
          <w:szCs w:val="20"/>
          <w:lang w:val="en-ZA"/>
        </w:rPr>
      </w:pPr>
      <w:r w:rsidRPr="00892F76">
        <w:rPr>
          <w:rFonts w:ascii="Arial" w:hAnsi="Arial" w:cs="Arial"/>
          <w:sz w:val="20"/>
          <w:szCs w:val="20"/>
        </w:rPr>
        <w:t>3.2.15</w:t>
      </w:r>
      <w:r w:rsidR="00CC010D" w:rsidRPr="00892F76">
        <w:rPr>
          <w:rFonts w:ascii="Arial" w:hAnsi="Arial" w:cs="Arial"/>
          <w:sz w:val="20"/>
          <w:szCs w:val="20"/>
        </w:rPr>
        <w:tab/>
      </w:r>
      <w:r w:rsidRPr="00892F76">
        <w:rPr>
          <w:rFonts w:ascii="Arial" w:hAnsi="Arial" w:cs="Arial"/>
          <w:sz w:val="20"/>
          <w:szCs w:val="20"/>
          <w:lang w:val="en-ZA"/>
        </w:rPr>
        <w:t xml:space="preserve">Committee support is focused on supporting the core mandates of Parliament i.e. law making, oversight, public participation, co-operative government and inter-governmental relations, international engagement. In this regard, the support services provided to Members to carry out their constitutional mandate included: </w:t>
      </w:r>
    </w:p>
    <w:p w:rsidR="0014029A" w:rsidRPr="00892F76" w:rsidRDefault="0014029A" w:rsidP="00892F76">
      <w:pPr>
        <w:spacing w:after="0" w:line="240" w:lineRule="auto"/>
        <w:ind w:left="720" w:hanging="720"/>
        <w:rPr>
          <w:rFonts w:ascii="Arial" w:hAnsi="Arial" w:cs="Arial"/>
          <w:sz w:val="20"/>
          <w:szCs w:val="20"/>
          <w:lang w:val="en-ZA"/>
        </w:rPr>
      </w:pPr>
      <w:r w:rsidRPr="00892F76">
        <w:rPr>
          <w:rFonts w:ascii="Arial" w:hAnsi="Arial" w:cs="Arial"/>
          <w:sz w:val="20"/>
          <w:szCs w:val="20"/>
          <w:lang w:val="en-ZA"/>
        </w:rPr>
        <w:tab/>
        <w:t>-</w:t>
      </w:r>
      <w:r w:rsidRPr="00892F76">
        <w:rPr>
          <w:rFonts w:ascii="Arial" w:hAnsi="Arial" w:cs="Arial"/>
          <w:sz w:val="20"/>
          <w:szCs w:val="20"/>
          <w:lang w:val="en-ZA"/>
        </w:rPr>
        <w:tab/>
        <w:t xml:space="preserve">the production of fifty 50 Announcement, Tabling and Committee Reports </w:t>
      </w:r>
      <w:r w:rsidRPr="00892F76">
        <w:rPr>
          <w:rFonts w:ascii="Arial" w:hAnsi="Arial" w:cs="Arial"/>
          <w:sz w:val="20"/>
          <w:szCs w:val="20"/>
          <w:lang w:val="en-ZA"/>
        </w:rPr>
        <w:tab/>
        <w:t>publications;</w:t>
      </w:r>
    </w:p>
    <w:p w:rsidR="0014029A" w:rsidRPr="00892F76" w:rsidRDefault="0014029A" w:rsidP="00892F76">
      <w:pPr>
        <w:spacing w:after="0" w:line="240" w:lineRule="auto"/>
        <w:ind w:left="720" w:hanging="720"/>
        <w:rPr>
          <w:rFonts w:ascii="Arial" w:hAnsi="Arial" w:cs="Arial"/>
          <w:sz w:val="20"/>
          <w:szCs w:val="20"/>
          <w:lang w:val="en-ZA"/>
        </w:rPr>
      </w:pPr>
      <w:r w:rsidRPr="00892F76">
        <w:rPr>
          <w:rFonts w:ascii="Arial" w:hAnsi="Arial" w:cs="Arial"/>
          <w:sz w:val="20"/>
          <w:szCs w:val="20"/>
          <w:lang w:val="en-ZA"/>
        </w:rPr>
        <w:lastRenderedPageBreak/>
        <w:tab/>
        <w:t>-</w:t>
      </w:r>
      <w:r w:rsidRPr="00892F76">
        <w:rPr>
          <w:rFonts w:ascii="Arial" w:hAnsi="Arial" w:cs="Arial"/>
          <w:sz w:val="20"/>
          <w:szCs w:val="20"/>
          <w:lang w:val="en-ZA"/>
        </w:rPr>
        <w:tab/>
        <w:t xml:space="preserve">supporting the oversight function of committees through the provision of content and </w:t>
      </w:r>
      <w:r w:rsidRPr="00892F76">
        <w:rPr>
          <w:rFonts w:ascii="Arial" w:hAnsi="Arial" w:cs="Arial"/>
          <w:sz w:val="20"/>
          <w:szCs w:val="20"/>
          <w:lang w:val="en-ZA"/>
        </w:rPr>
        <w:tab/>
        <w:t>logistical support to committees;</w:t>
      </w:r>
    </w:p>
    <w:p w:rsidR="0014029A" w:rsidRPr="00892F76" w:rsidRDefault="0014029A" w:rsidP="00892F76">
      <w:pPr>
        <w:spacing w:after="0" w:line="240" w:lineRule="auto"/>
        <w:ind w:left="720" w:hanging="720"/>
        <w:rPr>
          <w:rFonts w:ascii="Arial" w:hAnsi="Arial" w:cs="Arial"/>
          <w:sz w:val="20"/>
          <w:szCs w:val="20"/>
          <w:lang w:val="en-ZA"/>
        </w:rPr>
      </w:pPr>
      <w:r w:rsidRPr="00892F76">
        <w:rPr>
          <w:rFonts w:ascii="Arial" w:hAnsi="Arial" w:cs="Arial"/>
          <w:sz w:val="20"/>
          <w:szCs w:val="20"/>
          <w:lang w:val="en-ZA"/>
        </w:rPr>
        <w:tab/>
        <w:t>-</w:t>
      </w:r>
      <w:r w:rsidRPr="00892F76">
        <w:rPr>
          <w:rFonts w:ascii="Arial" w:hAnsi="Arial" w:cs="Arial"/>
          <w:sz w:val="20"/>
          <w:szCs w:val="20"/>
          <w:lang w:val="en-ZA"/>
        </w:rPr>
        <w:tab/>
        <w:t>the production of legislative reports for reporting in the programming structures;</w:t>
      </w:r>
    </w:p>
    <w:p w:rsidR="0014029A" w:rsidRPr="00892F76" w:rsidRDefault="0014029A" w:rsidP="00892F76">
      <w:pPr>
        <w:spacing w:after="0" w:line="240" w:lineRule="auto"/>
        <w:ind w:left="720" w:hanging="720"/>
        <w:rPr>
          <w:rFonts w:ascii="Arial" w:hAnsi="Arial" w:cs="Arial"/>
          <w:sz w:val="20"/>
          <w:szCs w:val="20"/>
          <w:lang w:val="en-ZA"/>
        </w:rPr>
      </w:pPr>
      <w:r w:rsidRPr="00892F76">
        <w:rPr>
          <w:rFonts w:ascii="Arial" w:hAnsi="Arial" w:cs="Arial"/>
          <w:sz w:val="20"/>
          <w:szCs w:val="20"/>
          <w:lang w:val="en-ZA"/>
        </w:rPr>
        <w:tab/>
        <w:t>-</w:t>
      </w:r>
      <w:r w:rsidRPr="00892F76">
        <w:rPr>
          <w:rFonts w:ascii="Arial" w:hAnsi="Arial" w:cs="Arial"/>
          <w:sz w:val="20"/>
          <w:szCs w:val="20"/>
          <w:lang w:val="en-ZA"/>
        </w:rPr>
        <w:tab/>
        <w:t xml:space="preserve">the production of 373 minutes and 127 reports, most of within the prescribed </w:t>
      </w:r>
      <w:r w:rsidRPr="00892F76">
        <w:rPr>
          <w:rFonts w:ascii="Arial" w:hAnsi="Arial" w:cs="Arial"/>
          <w:sz w:val="20"/>
          <w:szCs w:val="20"/>
          <w:lang w:val="en-ZA"/>
        </w:rPr>
        <w:tab/>
        <w:t>timeframes;</w:t>
      </w:r>
    </w:p>
    <w:p w:rsidR="0014029A" w:rsidRPr="00892F76" w:rsidRDefault="0014029A" w:rsidP="00892F76">
      <w:pPr>
        <w:spacing w:after="0" w:line="240" w:lineRule="auto"/>
        <w:ind w:left="720" w:hanging="720"/>
        <w:rPr>
          <w:rFonts w:ascii="Arial" w:hAnsi="Arial" w:cs="Arial"/>
          <w:sz w:val="20"/>
          <w:szCs w:val="20"/>
          <w:lang w:val="en-ZA"/>
        </w:rPr>
      </w:pPr>
      <w:r w:rsidRPr="00892F76">
        <w:rPr>
          <w:rFonts w:ascii="Arial" w:hAnsi="Arial" w:cs="Arial"/>
          <w:sz w:val="20"/>
          <w:szCs w:val="20"/>
          <w:lang w:val="en-ZA"/>
        </w:rPr>
        <w:tab/>
        <w:t>-</w:t>
      </w:r>
      <w:r w:rsidRPr="00892F76">
        <w:rPr>
          <w:rFonts w:ascii="Arial" w:hAnsi="Arial" w:cs="Arial"/>
          <w:sz w:val="20"/>
          <w:szCs w:val="20"/>
          <w:lang w:val="en-ZA"/>
        </w:rPr>
        <w:tab/>
        <w:t xml:space="preserve">the provision of 12 legal opinions to committees; and 18 legal opinions to the </w:t>
      </w:r>
      <w:r w:rsidRPr="00892F76">
        <w:rPr>
          <w:rFonts w:ascii="Arial" w:hAnsi="Arial" w:cs="Arial"/>
          <w:sz w:val="20"/>
          <w:szCs w:val="20"/>
          <w:lang w:val="en-ZA"/>
        </w:rPr>
        <w:tab/>
        <w:t>administration;</w:t>
      </w:r>
    </w:p>
    <w:p w:rsidR="0014029A" w:rsidRPr="00892F76" w:rsidRDefault="0014029A" w:rsidP="00892F76">
      <w:pPr>
        <w:spacing w:after="0" w:line="240" w:lineRule="auto"/>
        <w:ind w:left="720" w:hanging="720"/>
        <w:rPr>
          <w:rFonts w:ascii="Arial" w:hAnsi="Arial" w:cs="Arial"/>
          <w:sz w:val="20"/>
          <w:szCs w:val="20"/>
          <w:lang w:val="en-ZA"/>
        </w:rPr>
      </w:pPr>
      <w:r w:rsidRPr="00892F76">
        <w:rPr>
          <w:rFonts w:ascii="Arial" w:hAnsi="Arial" w:cs="Arial"/>
          <w:sz w:val="20"/>
          <w:szCs w:val="20"/>
          <w:lang w:val="en-ZA"/>
        </w:rPr>
        <w:tab/>
        <w:t>-</w:t>
      </w:r>
      <w:r w:rsidRPr="00892F76">
        <w:rPr>
          <w:rFonts w:ascii="Arial" w:hAnsi="Arial" w:cs="Arial"/>
          <w:sz w:val="20"/>
          <w:szCs w:val="20"/>
          <w:lang w:val="en-ZA"/>
        </w:rPr>
        <w:tab/>
        <w:t>the drafting of 14 contracts and 4 private members’ bills, and 3 committee bills;</w:t>
      </w:r>
    </w:p>
    <w:p w:rsidR="0014029A" w:rsidRPr="00892F76" w:rsidRDefault="0014029A" w:rsidP="00892F76">
      <w:pPr>
        <w:spacing w:after="0" w:line="240" w:lineRule="auto"/>
        <w:ind w:left="720" w:hanging="720"/>
        <w:rPr>
          <w:rFonts w:ascii="Arial" w:hAnsi="Arial" w:cs="Arial"/>
          <w:sz w:val="20"/>
          <w:szCs w:val="20"/>
          <w:lang w:val="en-ZA"/>
        </w:rPr>
      </w:pPr>
      <w:r w:rsidRPr="00892F76">
        <w:rPr>
          <w:rFonts w:ascii="Arial" w:hAnsi="Arial" w:cs="Arial"/>
          <w:sz w:val="20"/>
          <w:szCs w:val="20"/>
          <w:lang w:val="en-ZA"/>
        </w:rPr>
        <w:tab/>
        <w:t>-</w:t>
      </w:r>
      <w:r w:rsidRPr="00892F76">
        <w:rPr>
          <w:rFonts w:ascii="Arial" w:hAnsi="Arial" w:cs="Arial"/>
          <w:sz w:val="20"/>
          <w:szCs w:val="20"/>
          <w:lang w:val="en-ZA"/>
        </w:rPr>
        <w:tab/>
        <w:t xml:space="preserve">the provision of litigation support and management services in respect of 111 matters </w:t>
      </w:r>
      <w:r w:rsidRPr="00892F76">
        <w:rPr>
          <w:rFonts w:ascii="Arial" w:hAnsi="Arial" w:cs="Arial"/>
          <w:sz w:val="20"/>
          <w:szCs w:val="20"/>
          <w:lang w:val="en-ZA"/>
        </w:rPr>
        <w:tab/>
        <w:t>relating to pending litigation; and</w:t>
      </w:r>
    </w:p>
    <w:p w:rsidR="0014029A" w:rsidRPr="00892F76" w:rsidRDefault="0014029A" w:rsidP="00892F76">
      <w:pPr>
        <w:spacing w:after="0" w:line="240" w:lineRule="auto"/>
        <w:ind w:left="720" w:hanging="720"/>
        <w:rPr>
          <w:rFonts w:ascii="Arial" w:hAnsi="Arial" w:cs="Arial"/>
          <w:sz w:val="20"/>
          <w:szCs w:val="20"/>
          <w:lang w:val="en-ZA"/>
        </w:rPr>
      </w:pPr>
      <w:r w:rsidRPr="00892F76">
        <w:rPr>
          <w:rFonts w:ascii="Arial" w:hAnsi="Arial" w:cs="Arial"/>
          <w:sz w:val="20"/>
          <w:szCs w:val="20"/>
          <w:lang w:val="en-ZA"/>
        </w:rPr>
        <w:tab/>
        <w:t>-</w:t>
      </w:r>
      <w:r w:rsidRPr="00892F76">
        <w:rPr>
          <w:rFonts w:ascii="Arial" w:hAnsi="Arial" w:cs="Arial"/>
          <w:sz w:val="20"/>
          <w:szCs w:val="20"/>
          <w:lang w:val="en-ZA"/>
        </w:rPr>
        <w:tab/>
        <w:t xml:space="preserve">the provision of legislative processing and programming support in respect of four bills </w:t>
      </w:r>
      <w:r w:rsidRPr="00892F76">
        <w:rPr>
          <w:rFonts w:ascii="Arial" w:hAnsi="Arial" w:cs="Arial"/>
          <w:sz w:val="20"/>
          <w:szCs w:val="20"/>
          <w:lang w:val="en-ZA"/>
        </w:rPr>
        <w:tab/>
        <w:t>introduced.</w:t>
      </w:r>
    </w:p>
    <w:p w:rsidR="0014029A" w:rsidRPr="00892F76" w:rsidRDefault="0014029A" w:rsidP="00892F76">
      <w:pPr>
        <w:spacing w:after="0" w:line="240" w:lineRule="auto"/>
        <w:ind w:left="720" w:hanging="720"/>
        <w:rPr>
          <w:rFonts w:ascii="Arial" w:hAnsi="Arial" w:cs="Arial"/>
          <w:i/>
          <w:sz w:val="20"/>
          <w:szCs w:val="20"/>
        </w:rPr>
      </w:pPr>
    </w:p>
    <w:p w:rsidR="0014029A" w:rsidRPr="00892F76" w:rsidRDefault="0014029A" w:rsidP="00892F76">
      <w:pPr>
        <w:spacing w:after="0" w:line="240" w:lineRule="auto"/>
        <w:ind w:left="720" w:hanging="720"/>
        <w:rPr>
          <w:rFonts w:ascii="Arial" w:hAnsi="Arial" w:cs="Arial"/>
          <w:i/>
          <w:sz w:val="20"/>
          <w:szCs w:val="20"/>
        </w:rPr>
      </w:pPr>
      <w:r w:rsidRPr="00892F76">
        <w:rPr>
          <w:rFonts w:ascii="Arial" w:hAnsi="Arial" w:cs="Arial"/>
          <w:i/>
          <w:sz w:val="20"/>
          <w:szCs w:val="20"/>
        </w:rPr>
        <w:tab/>
        <w:t>Knowledge Management</w:t>
      </w:r>
    </w:p>
    <w:p w:rsidR="0014029A" w:rsidRPr="00892F76" w:rsidRDefault="0014029A" w:rsidP="00892F76">
      <w:pPr>
        <w:spacing w:after="0" w:line="240" w:lineRule="auto"/>
        <w:ind w:left="720" w:hanging="720"/>
        <w:rPr>
          <w:rFonts w:ascii="Arial" w:hAnsi="Arial" w:cs="Arial"/>
          <w:sz w:val="20"/>
          <w:szCs w:val="20"/>
        </w:rPr>
      </w:pPr>
      <w:r w:rsidRPr="00892F76">
        <w:rPr>
          <w:rFonts w:ascii="Arial" w:hAnsi="Arial" w:cs="Arial"/>
          <w:sz w:val="20"/>
          <w:szCs w:val="20"/>
        </w:rPr>
        <w:t>3.2.16</w:t>
      </w:r>
      <w:r w:rsidRPr="00892F76">
        <w:rPr>
          <w:rFonts w:ascii="Arial" w:hAnsi="Arial" w:cs="Arial"/>
          <w:sz w:val="20"/>
          <w:szCs w:val="20"/>
        </w:rPr>
        <w:tab/>
        <w:t>The Knowledge Management (KM) strategy review and revision incorporated a</w:t>
      </w:r>
      <w:r w:rsidR="0018213C" w:rsidRPr="00892F76">
        <w:rPr>
          <w:rFonts w:ascii="Arial" w:hAnsi="Arial" w:cs="Arial"/>
          <w:sz w:val="20"/>
          <w:szCs w:val="20"/>
        </w:rPr>
        <w:t>n element of parliamentarians’ and officials’</w:t>
      </w:r>
      <w:r w:rsidRPr="00892F76">
        <w:rPr>
          <w:rFonts w:ascii="Arial" w:hAnsi="Arial" w:cs="Arial"/>
          <w:sz w:val="20"/>
          <w:szCs w:val="20"/>
        </w:rPr>
        <w:t xml:space="preserve"> capacity-building. This included discussions on portfolio-specific topics aligned to the programme of the houses and committees, and the oversight plan of the Sixth Parliament. Partnerships are being pursued with Statistics South Africa (StatsSA), the Council for Scientific and Industrial Research (CSIR), the Academy of Science of South Africa (ASSAF), the Human Sciences Research Council (HSRC), the United Nations International Children's Emergency Fund (UNICEF), the University of Venda (UNIVEN), the Public Affairs Research Institute (PARI) and the Department of Military Science at Stellenbosch University.</w:t>
      </w:r>
    </w:p>
    <w:p w:rsidR="0014029A" w:rsidRPr="00892F76" w:rsidRDefault="0014029A" w:rsidP="00892F76">
      <w:pPr>
        <w:spacing w:after="0" w:line="240" w:lineRule="auto"/>
        <w:ind w:left="720" w:hanging="720"/>
        <w:rPr>
          <w:rFonts w:ascii="Arial" w:hAnsi="Arial" w:cs="Arial"/>
          <w:i/>
          <w:sz w:val="20"/>
          <w:szCs w:val="20"/>
        </w:rPr>
      </w:pPr>
    </w:p>
    <w:p w:rsidR="0014029A" w:rsidRPr="00892F76" w:rsidRDefault="0014029A" w:rsidP="00892F76">
      <w:pPr>
        <w:spacing w:after="0" w:line="240" w:lineRule="auto"/>
        <w:ind w:left="720" w:hanging="720"/>
        <w:rPr>
          <w:rFonts w:ascii="Arial" w:hAnsi="Arial" w:cs="Arial"/>
          <w:i/>
          <w:sz w:val="20"/>
          <w:szCs w:val="20"/>
        </w:rPr>
      </w:pPr>
      <w:r w:rsidRPr="00892F76">
        <w:rPr>
          <w:rFonts w:ascii="Arial" w:hAnsi="Arial" w:cs="Arial"/>
          <w:i/>
          <w:sz w:val="20"/>
          <w:szCs w:val="20"/>
        </w:rPr>
        <w:tab/>
        <w:t>Public Participation</w:t>
      </w:r>
    </w:p>
    <w:p w:rsidR="0014029A" w:rsidRPr="00892F76" w:rsidRDefault="0014029A" w:rsidP="00892F76">
      <w:pPr>
        <w:spacing w:after="0" w:line="240" w:lineRule="auto"/>
        <w:ind w:left="720" w:hanging="720"/>
        <w:rPr>
          <w:rFonts w:ascii="Arial" w:hAnsi="Arial" w:cs="Arial"/>
          <w:sz w:val="20"/>
          <w:szCs w:val="20"/>
        </w:rPr>
      </w:pPr>
      <w:r w:rsidRPr="00892F76">
        <w:rPr>
          <w:rFonts w:ascii="Arial" w:hAnsi="Arial" w:cs="Arial"/>
          <w:sz w:val="20"/>
          <w:szCs w:val="20"/>
        </w:rPr>
        <w:t>3.2.17</w:t>
      </w:r>
      <w:r w:rsidRPr="00892F76">
        <w:rPr>
          <w:rFonts w:ascii="Arial" w:hAnsi="Arial" w:cs="Arial"/>
          <w:sz w:val="20"/>
          <w:szCs w:val="20"/>
        </w:rPr>
        <w:tab/>
        <w:t>The Public Education Office, Parliamentary Democracy Offices and the Public Relations Unit together implement interventions focusing on the delivery of public education and information programmes thereby empowering people to participate in parliamentary processes, mobilising public stakeholders, and capitalising on the use of digital and preferred platforms.</w:t>
      </w:r>
    </w:p>
    <w:p w:rsidR="0014029A" w:rsidRPr="00892F76" w:rsidRDefault="0014029A" w:rsidP="00892F76">
      <w:pPr>
        <w:spacing w:after="0" w:line="240" w:lineRule="auto"/>
        <w:ind w:left="720" w:hanging="720"/>
        <w:rPr>
          <w:rFonts w:ascii="Arial" w:hAnsi="Arial" w:cs="Arial"/>
          <w:sz w:val="20"/>
          <w:szCs w:val="20"/>
        </w:rPr>
      </w:pPr>
      <w:r w:rsidRPr="00892F76">
        <w:rPr>
          <w:rFonts w:ascii="Arial" w:hAnsi="Arial" w:cs="Arial"/>
          <w:sz w:val="20"/>
          <w:szCs w:val="20"/>
        </w:rPr>
        <w:t>3.2.18</w:t>
      </w:r>
      <w:r w:rsidRPr="00892F76">
        <w:rPr>
          <w:rFonts w:ascii="Arial" w:hAnsi="Arial" w:cs="Arial"/>
          <w:sz w:val="20"/>
          <w:szCs w:val="20"/>
        </w:rPr>
        <w:tab/>
        <w:t>In the first Half of the financial year there were there were 496 visitors to the precinct, with virtual tours conducted with the Boland College, Makhanda PCO Back-2-School programme, and Activate. Public engagement with civil society, public participation working group, the South African Women in Law Association and the disability sector through collaboration with the African Network for Evidence-to-Action on Disability (AfriNEAD). Partnerships were forged with departments of Justice and Constitutional Development, Basic Education and the National School of Government.</w:t>
      </w:r>
    </w:p>
    <w:p w:rsidR="0014029A" w:rsidRPr="00892F76" w:rsidRDefault="0014029A" w:rsidP="00892F76">
      <w:pPr>
        <w:spacing w:after="0" w:line="240" w:lineRule="auto"/>
        <w:ind w:left="720" w:hanging="720"/>
        <w:rPr>
          <w:rFonts w:ascii="Arial" w:hAnsi="Arial" w:cs="Arial"/>
          <w:sz w:val="20"/>
          <w:szCs w:val="20"/>
        </w:rPr>
      </w:pPr>
    </w:p>
    <w:p w:rsidR="00783EDD" w:rsidRPr="00892F76" w:rsidRDefault="00783EDD" w:rsidP="00892F76">
      <w:pPr>
        <w:spacing w:after="0" w:line="240" w:lineRule="auto"/>
        <w:ind w:firstLine="720"/>
        <w:rPr>
          <w:rFonts w:ascii="Arial" w:eastAsia="Calibri" w:hAnsi="Arial" w:cs="Arial"/>
          <w:i/>
          <w:sz w:val="20"/>
          <w:szCs w:val="20"/>
          <w:lang w:val="en-ZA"/>
        </w:rPr>
      </w:pPr>
      <w:r w:rsidRPr="00892F76">
        <w:rPr>
          <w:rFonts w:ascii="Arial" w:eastAsia="Calibri" w:hAnsi="Arial" w:cs="Arial"/>
          <w:i/>
          <w:sz w:val="20"/>
          <w:szCs w:val="20"/>
          <w:lang w:val="en-ZA"/>
        </w:rPr>
        <w:t>Programme 3:</w:t>
      </w:r>
      <w:r w:rsidRPr="00892F76">
        <w:rPr>
          <w:rFonts w:ascii="Arial" w:eastAsia="Calibri" w:hAnsi="Arial" w:cs="Arial"/>
          <w:i/>
          <w:sz w:val="20"/>
          <w:szCs w:val="20"/>
          <w:lang w:val="en-ZA"/>
        </w:rPr>
        <w:tab/>
        <w:t>Associated Services and Transfers</w:t>
      </w:r>
    </w:p>
    <w:p w:rsidR="00BE6349" w:rsidRPr="00892F76" w:rsidRDefault="0014029A"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3.2.19</w:t>
      </w:r>
      <w:r w:rsidR="00783EDD" w:rsidRPr="00892F76">
        <w:rPr>
          <w:rFonts w:ascii="Arial" w:eastAsia="Calibri" w:hAnsi="Arial" w:cs="Arial"/>
          <w:sz w:val="20"/>
          <w:szCs w:val="20"/>
          <w:lang w:val="en-ZA"/>
        </w:rPr>
        <w:tab/>
        <w:t>Programme 3 provides for the facilities and financial support to political parties including leadership, administrative and constituency support. It also provides for transfer payments to entities in Parliament. It comprises the following sub-programmes: Members’ Facilities, Leadership, Administrative and Constituency support to political parties; Transfer to the PBO, Legislative Sector Support, and Office Supporting ISDs. Performance in respect of this programme was not measured.</w:t>
      </w:r>
    </w:p>
    <w:p w:rsidR="0014029A" w:rsidRPr="00892F76" w:rsidRDefault="0014029A" w:rsidP="00892F76">
      <w:pPr>
        <w:spacing w:after="0" w:line="240" w:lineRule="auto"/>
        <w:ind w:left="720" w:hanging="720"/>
        <w:rPr>
          <w:rFonts w:ascii="Arial" w:eastAsia="Calibri" w:hAnsi="Arial" w:cs="Arial"/>
          <w:sz w:val="20"/>
          <w:szCs w:val="20"/>
          <w:lang w:val="en-ZA"/>
        </w:rPr>
      </w:pPr>
    </w:p>
    <w:p w:rsidR="0014029A" w:rsidRPr="00892F76" w:rsidRDefault="0014029A" w:rsidP="00892F76">
      <w:pPr>
        <w:spacing w:after="0" w:line="240" w:lineRule="auto"/>
        <w:ind w:left="720" w:hanging="720"/>
        <w:rPr>
          <w:rFonts w:ascii="Arial" w:eastAsia="Calibri" w:hAnsi="Arial" w:cs="Arial"/>
          <w:i/>
          <w:sz w:val="20"/>
          <w:szCs w:val="20"/>
          <w:lang w:val="en-ZA"/>
        </w:rPr>
      </w:pPr>
      <w:r w:rsidRPr="00892F76">
        <w:rPr>
          <w:rFonts w:ascii="Arial" w:eastAsia="Calibri" w:hAnsi="Arial" w:cs="Arial"/>
          <w:sz w:val="20"/>
          <w:szCs w:val="20"/>
          <w:lang w:val="en-ZA"/>
        </w:rPr>
        <w:tab/>
      </w:r>
      <w:r w:rsidRPr="00892F76">
        <w:rPr>
          <w:rFonts w:ascii="Arial" w:eastAsia="Calibri" w:hAnsi="Arial" w:cs="Arial"/>
          <w:i/>
          <w:sz w:val="20"/>
          <w:szCs w:val="20"/>
          <w:lang w:val="en-ZA"/>
        </w:rPr>
        <w:t>Members’ Interest</w:t>
      </w:r>
    </w:p>
    <w:p w:rsidR="0014029A" w:rsidRPr="00892F76" w:rsidRDefault="0014029A"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3.2.20</w:t>
      </w:r>
      <w:r w:rsidRPr="00892F76">
        <w:rPr>
          <w:rFonts w:ascii="Arial" w:eastAsia="Calibri" w:hAnsi="Arial" w:cs="Arial"/>
          <w:sz w:val="20"/>
          <w:szCs w:val="20"/>
          <w:lang w:val="en-ZA"/>
        </w:rPr>
        <w:tab/>
        <w:t>Members must be supported in a manner that is accessible, effortless, accurate and friendly. It is critical to adopt the appropriate technology solution to enable workflow automation, real time process optimisation, process performance measurement, monitoring and tracking and to give parliamentarians multiple simple ways to engage with staff and each other.</w:t>
      </w:r>
    </w:p>
    <w:p w:rsidR="0014029A" w:rsidRPr="00892F76" w:rsidRDefault="0014029A"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3.2.21</w:t>
      </w:r>
      <w:r w:rsidRPr="00892F76">
        <w:rPr>
          <w:rFonts w:ascii="Arial" w:eastAsia="Calibri" w:hAnsi="Arial" w:cs="Arial"/>
          <w:sz w:val="20"/>
          <w:szCs w:val="20"/>
          <w:lang w:val="en-ZA"/>
        </w:rPr>
        <w:tab/>
        <w:t xml:space="preserve">With the disruption resulting from the January 2022 fire the rollout of the online mobile support solution is of even greater priority to ensure parliamentarians can access support and information wherever they are located. The policies and reports informing facilities provided to parliamentarians are continually being assessed and reviewed to ensure that facilities are aligned to the needs. </w:t>
      </w:r>
    </w:p>
    <w:p w:rsidR="0014029A" w:rsidRPr="00892F76" w:rsidRDefault="0014029A"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3.2.22</w:t>
      </w:r>
      <w:r w:rsidRPr="00892F76">
        <w:rPr>
          <w:rFonts w:ascii="Arial" w:eastAsia="Calibri" w:hAnsi="Arial" w:cs="Arial"/>
          <w:sz w:val="20"/>
          <w:szCs w:val="20"/>
          <w:lang w:val="en-ZA"/>
        </w:rPr>
        <w:tab/>
        <w:t>The policies and reports informing facilities provided to the members are continually being assessed and reviewed to ensure that facilities are aligned with the Members' needs. Matters that have been completed and/or initiated in this period include:</w:t>
      </w:r>
      <w:r w:rsidRPr="00892F76">
        <w:rPr>
          <w:rFonts w:ascii="Arial" w:hAnsi="Arial" w:cs="Arial"/>
          <w:sz w:val="20"/>
          <w:szCs w:val="20"/>
        </w:rPr>
        <w:t xml:space="preserve"> </w:t>
      </w:r>
      <w:r w:rsidRPr="00892F76">
        <w:rPr>
          <w:rFonts w:ascii="Arial" w:eastAsia="Calibri" w:hAnsi="Arial" w:cs="Arial"/>
          <w:sz w:val="20"/>
          <w:szCs w:val="20"/>
          <w:lang w:val="en-ZA"/>
        </w:rPr>
        <w:t>upgrading of laptops and tablets; salary adjustment processed and paid; and submissions were prepared for remuneration task team.</w:t>
      </w:r>
    </w:p>
    <w:p w:rsidR="00BE6349" w:rsidRPr="00892F76" w:rsidRDefault="00BE6349" w:rsidP="00892F76">
      <w:pPr>
        <w:spacing w:after="0" w:line="240" w:lineRule="auto"/>
        <w:ind w:left="720" w:hanging="720"/>
        <w:rPr>
          <w:rFonts w:ascii="Arial" w:eastAsia="Calibri" w:hAnsi="Arial" w:cs="Arial"/>
          <w:i/>
          <w:sz w:val="20"/>
          <w:szCs w:val="20"/>
          <w:lang w:val="en-ZA"/>
        </w:rPr>
      </w:pPr>
    </w:p>
    <w:p w:rsidR="00057CD9" w:rsidRPr="00892F76" w:rsidRDefault="009E67F5" w:rsidP="00892F76">
      <w:pPr>
        <w:spacing w:after="0" w:line="240" w:lineRule="auto"/>
        <w:rPr>
          <w:rFonts w:ascii="Arial" w:eastAsia="Calibri" w:hAnsi="Arial" w:cs="Arial"/>
          <w:b/>
          <w:sz w:val="20"/>
          <w:szCs w:val="20"/>
          <w:lang w:val="en-ZA"/>
        </w:rPr>
      </w:pPr>
      <w:r w:rsidRPr="00892F76">
        <w:rPr>
          <w:rFonts w:ascii="Arial" w:eastAsia="Calibri" w:hAnsi="Arial" w:cs="Arial"/>
          <w:b/>
          <w:sz w:val="20"/>
          <w:szCs w:val="20"/>
          <w:lang w:val="en-ZA"/>
        </w:rPr>
        <w:t>4</w:t>
      </w:r>
      <w:r w:rsidR="00057CD9" w:rsidRPr="00892F76">
        <w:rPr>
          <w:rFonts w:ascii="Arial" w:eastAsia="Calibri" w:hAnsi="Arial" w:cs="Arial"/>
          <w:b/>
          <w:sz w:val="20"/>
          <w:szCs w:val="20"/>
          <w:lang w:val="en-ZA"/>
        </w:rPr>
        <w:t>.</w:t>
      </w:r>
      <w:r w:rsidR="00057CD9" w:rsidRPr="00892F76">
        <w:rPr>
          <w:rFonts w:ascii="Arial" w:eastAsia="Calibri" w:hAnsi="Arial" w:cs="Arial"/>
          <w:b/>
          <w:sz w:val="20"/>
          <w:szCs w:val="20"/>
          <w:lang w:val="en-ZA"/>
        </w:rPr>
        <w:tab/>
        <w:t>Financial Performance in the period under review</w:t>
      </w:r>
    </w:p>
    <w:p w:rsidR="002A6E03" w:rsidRPr="00892F76" w:rsidRDefault="002A6E03" w:rsidP="00892F76">
      <w:pPr>
        <w:spacing w:after="0" w:line="240" w:lineRule="auto"/>
        <w:rPr>
          <w:rFonts w:ascii="Arial" w:eastAsia="Calibri" w:hAnsi="Arial" w:cs="Arial"/>
          <w:b/>
          <w:sz w:val="20"/>
          <w:szCs w:val="20"/>
          <w:lang w:val="en-ZA"/>
        </w:rPr>
      </w:pPr>
    </w:p>
    <w:p w:rsidR="00057CD9" w:rsidRPr="00892F76" w:rsidRDefault="009E67F5" w:rsidP="00892F76">
      <w:pPr>
        <w:spacing w:after="0" w:line="240" w:lineRule="auto"/>
        <w:rPr>
          <w:rFonts w:ascii="Arial" w:eastAsia="Calibri" w:hAnsi="Arial" w:cs="Arial"/>
          <w:b/>
          <w:sz w:val="20"/>
          <w:szCs w:val="20"/>
          <w:lang w:val="en-ZA"/>
        </w:rPr>
      </w:pPr>
      <w:r w:rsidRPr="00892F76">
        <w:rPr>
          <w:rFonts w:ascii="Arial" w:eastAsia="Calibri" w:hAnsi="Arial" w:cs="Arial"/>
          <w:b/>
          <w:sz w:val="20"/>
          <w:szCs w:val="20"/>
          <w:lang w:val="en-ZA"/>
        </w:rPr>
        <w:t>4</w:t>
      </w:r>
      <w:r w:rsidR="00057CD9" w:rsidRPr="00892F76">
        <w:rPr>
          <w:rFonts w:ascii="Arial" w:eastAsia="Calibri" w:hAnsi="Arial" w:cs="Arial"/>
          <w:b/>
          <w:sz w:val="20"/>
          <w:szCs w:val="20"/>
          <w:lang w:val="en-ZA"/>
        </w:rPr>
        <w:t>.1</w:t>
      </w:r>
      <w:r w:rsidR="00057CD9" w:rsidRPr="00892F76">
        <w:rPr>
          <w:rFonts w:ascii="Arial" w:eastAsia="Calibri" w:hAnsi="Arial" w:cs="Arial"/>
          <w:b/>
          <w:sz w:val="20"/>
          <w:szCs w:val="20"/>
          <w:lang w:val="en-ZA"/>
        </w:rPr>
        <w:tab/>
        <w:t>Overview</w:t>
      </w:r>
    </w:p>
    <w:p w:rsidR="00256B84" w:rsidRPr="00892F76" w:rsidRDefault="000335AF" w:rsidP="00892F76">
      <w:pPr>
        <w:spacing w:after="0" w:line="240" w:lineRule="auto"/>
        <w:ind w:left="720" w:hanging="720"/>
        <w:rPr>
          <w:rFonts w:ascii="Arial" w:hAnsi="Arial" w:cs="Arial"/>
          <w:sz w:val="20"/>
          <w:szCs w:val="20"/>
        </w:rPr>
      </w:pPr>
      <w:r w:rsidRPr="00892F76">
        <w:rPr>
          <w:rFonts w:ascii="Arial" w:eastAsia="Calibri" w:hAnsi="Arial" w:cs="Arial"/>
          <w:sz w:val="20"/>
          <w:szCs w:val="20"/>
          <w:lang w:val="en-ZA"/>
        </w:rPr>
        <w:t>4.1.1</w:t>
      </w:r>
      <w:r w:rsidRPr="00892F76">
        <w:rPr>
          <w:rFonts w:ascii="Arial" w:eastAsia="Calibri" w:hAnsi="Arial" w:cs="Arial"/>
          <w:sz w:val="20"/>
          <w:szCs w:val="20"/>
          <w:lang w:val="en-ZA"/>
        </w:rPr>
        <w:tab/>
      </w:r>
      <w:r w:rsidR="00E349FD" w:rsidRPr="00892F76">
        <w:rPr>
          <w:rFonts w:ascii="Arial" w:eastAsia="Calibri" w:hAnsi="Arial" w:cs="Arial"/>
          <w:sz w:val="20"/>
          <w:szCs w:val="20"/>
          <w:lang w:val="en-ZA"/>
        </w:rPr>
        <w:t>Table 4</w:t>
      </w:r>
      <w:r w:rsidRPr="00892F76">
        <w:rPr>
          <w:rFonts w:ascii="Arial" w:eastAsia="Calibri" w:hAnsi="Arial" w:cs="Arial"/>
          <w:sz w:val="20"/>
          <w:szCs w:val="20"/>
          <w:lang w:val="en-ZA"/>
        </w:rPr>
        <w:t xml:space="preserve"> below, illustrates that by the end of the period under review, </w:t>
      </w:r>
      <w:r w:rsidR="00256B84" w:rsidRPr="00892F76">
        <w:rPr>
          <w:rFonts w:ascii="Arial" w:hAnsi="Arial" w:cs="Arial"/>
          <w:sz w:val="20"/>
          <w:szCs w:val="20"/>
        </w:rPr>
        <w:t>Parliament had spent 47 percent or R1,304 million of its appropriated budget of R2,757 billion. It is projected that the full appropriated budget of R2,757,383 will be spent by the end of the 2022/23 financial year.</w:t>
      </w:r>
    </w:p>
    <w:p w:rsidR="000335AF" w:rsidRPr="00892F76" w:rsidRDefault="00256B84" w:rsidP="00892F76">
      <w:pPr>
        <w:spacing w:after="0" w:line="240" w:lineRule="auto"/>
        <w:ind w:left="720" w:hanging="720"/>
        <w:rPr>
          <w:rFonts w:ascii="Arial" w:hAnsi="Arial" w:cs="Arial"/>
          <w:sz w:val="20"/>
          <w:szCs w:val="20"/>
        </w:rPr>
      </w:pPr>
      <w:r w:rsidRPr="00892F76">
        <w:rPr>
          <w:rFonts w:ascii="Arial" w:hAnsi="Arial" w:cs="Arial"/>
          <w:sz w:val="20"/>
          <w:szCs w:val="20"/>
        </w:rPr>
        <w:t>4.1.2</w:t>
      </w:r>
      <w:r w:rsidRPr="00892F76">
        <w:rPr>
          <w:rFonts w:ascii="Arial" w:hAnsi="Arial" w:cs="Arial"/>
          <w:sz w:val="20"/>
          <w:szCs w:val="20"/>
        </w:rPr>
        <w:tab/>
        <w:t>The spending on direct charges was R110, 915 million or 88 per cent of the second quarter budget of R125, 576 million</w:t>
      </w:r>
      <w:r w:rsidR="00E133A8" w:rsidRPr="00892F76">
        <w:rPr>
          <w:rFonts w:ascii="Arial" w:hAnsi="Arial" w:cs="Arial"/>
          <w:sz w:val="20"/>
          <w:szCs w:val="20"/>
        </w:rPr>
        <w:t xml:space="preserve">. The overspending is the </w:t>
      </w:r>
      <w:r w:rsidRPr="00892F76">
        <w:rPr>
          <w:rFonts w:ascii="Arial" w:hAnsi="Arial" w:cs="Arial"/>
          <w:sz w:val="20"/>
          <w:szCs w:val="20"/>
        </w:rPr>
        <w:t>result o</w:t>
      </w:r>
      <w:r w:rsidR="00E133A8" w:rsidRPr="00892F76">
        <w:rPr>
          <w:rFonts w:ascii="Arial" w:hAnsi="Arial" w:cs="Arial"/>
          <w:sz w:val="20"/>
          <w:szCs w:val="20"/>
        </w:rPr>
        <w:t xml:space="preserve">f </w:t>
      </w:r>
      <w:r w:rsidRPr="00892F76">
        <w:rPr>
          <w:rFonts w:ascii="Arial" w:hAnsi="Arial" w:cs="Arial"/>
          <w:sz w:val="20"/>
          <w:szCs w:val="20"/>
        </w:rPr>
        <w:t>budget reductions and the 3 per</w:t>
      </w:r>
      <w:r w:rsidR="00E133A8" w:rsidRPr="00892F76">
        <w:rPr>
          <w:rFonts w:ascii="Arial" w:hAnsi="Arial" w:cs="Arial"/>
          <w:sz w:val="20"/>
          <w:szCs w:val="20"/>
        </w:rPr>
        <w:t xml:space="preserve"> </w:t>
      </w:r>
      <w:r w:rsidRPr="00892F76">
        <w:rPr>
          <w:rFonts w:ascii="Arial" w:hAnsi="Arial" w:cs="Arial"/>
          <w:sz w:val="20"/>
          <w:szCs w:val="20"/>
        </w:rPr>
        <w:t>cent annual increase backdated from 01 April 2022. There is a projected overspending of R34.1</w:t>
      </w:r>
      <w:r w:rsidR="00E133A8" w:rsidRPr="00892F76">
        <w:rPr>
          <w:rFonts w:ascii="Arial" w:hAnsi="Arial" w:cs="Arial"/>
          <w:sz w:val="20"/>
          <w:szCs w:val="20"/>
        </w:rPr>
        <w:t xml:space="preserve"> </w:t>
      </w:r>
      <w:r w:rsidRPr="00892F76">
        <w:rPr>
          <w:rFonts w:ascii="Arial" w:hAnsi="Arial" w:cs="Arial"/>
          <w:sz w:val="20"/>
          <w:szCs w:val="20"/>
        </w:rPr>
        <w:t>m</w:t>
      </w:r>
      <w:r w:rsidR="00E133A8" w:rsidRPr="00892F76">
        <w:rPr>
          <w:rFonts w:ascii="Arial" w:hAnsi="Arial" w:cs="Arial"/>
          <w:sz w:val="20"/>
          <w:szCs w:val="20"/>
        </w:rPr>
        <w:t>illion</w:t>
      </w:r>
      <w:r w:rsidRPr="00892F76">
        <w:rPr>
          <w:rFonts w:ascii="Arial" w:hAnsi="Arial" w:cs="Arial"/>
          <w:sz w:val="20"/>
          <w:szCs w:val="20"/>
        </w:rPr>
        <w:t xml:space="preserve"> at the end of the financial year. This projected overspending will be a direct charge against the National Revenue Fund in line with section 23(4) of the FMPPLA.</w:t>
      </w:r>
    </w:p>
    <w:tbl>
      <w:tblPr>
        <w:tblW w:w="7938" w:type="dxa"/>
        <w:tblInd w:w="699" w:type="dxa"/>
        <w:tblCellMar>
          <w:left w:w="0" w:type="dxa"/>
          <w:right w:w="0" w:type="dxa"/>
        </w:tblCellMar>
        <w:tblLook w:val="04A0"/>
      </w:tblPr>
      <w:tblGrid>
        <w:gridCol w:w="1476"/>
        <w:gridCol w:w="1106"/>
        <w:gridCol w:w="939"/>
        <w:gridCol w:w="717"/>
        <w:gridCol w:w="939"/>
        <w:gridCol w:w="550"/>
        <w:gridCol w:w="1106"/>
        <w:gridCol w:w="439"/>
        <w:gridCol w:w="1106"/>
      </w:tblGrid>
      <w:tr w:rsidR="0018213C" w:rsidRPr="00892F76" w:rsidTr="0018213C">
        <w:trPr>
          <w:trHeight w:val="501"/>
        </w:trPr>
        <w:tc>
          <w:tcPr>
            <w:tcW w:w="1298" w:type="dxa"/>
            <w:vMerge w:val="restart"/>
            <w:tcBorders>
              <w:top w:val="single" w:sz="8" w:space="0" w:color="000000"/>
              <w:left w:val="single" w:sz="8" w:space="0" w:color="000000"/>
              <w:right w:val="single" w:sz="8" w:space="0" w:color="000000"/>
            </w:tcBorders>
            <w:shd w:val="clear" w:color="auto" w:fill="E7E6E6" w:themeFill="background2"/>
            <w:tcMar>
              <w:top w:w="15" w:type="dxa"/>
              <w:left w:w="104" w:type="dxa"/>
              <w:bottom w:w="0" w:type="dxa"/>
              <w:right w:w="104" w:type="dxa"/>
            </w:tcMar>
            <w:hideMark/>
          </w:tcPr>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 </w:t>
            </w:r>
          </w:p>
          <w:p w:rsidR="0018213C" w:rsidRPr="00892F76" w:rsidRDefault="0018213C" w:rsidP="00892F76">
            <w:pPr>
              <w:spacing w:after="0" w:line="240" w:lineRule="auto"/>
              <w:rPr>
                <w:rFonts w:ascii="Arial" w:eastAsia="Calibri" w:hAnsi="Arial" w:cs="Arial"/>
                <w:b/>
                <w:bCs/>
                <w:kern w:val="24"/>
                <w:sz w:val="20"/>
                <w:szCs w:val="20"/>
                <w:lang w:eastAsia="en-ZA"/>
              </w:rPr>
            </w:pPr>
          </w:p>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Main Division</w:t>
            </w:r>
          </w:p>
        </w:tc>
        <w:tc>
          <w:tcPr>
            <w:tcW w:w="3712"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April - September 2022</w:t>
            </w:r>
          </w:p>
        </w:tc>
        <w:tc>
          <w:tcPr>
            <w:tcW w:w="2928"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18213C" w:rsidRPr="00892F76" w:rsidRDefault="0018213C" w:rsidP="00892F76">
            <w:pPr>
              <w:spacing w:after="0" w:line="240" w:lineRule="auto"/>
              <w:rPr>
                <w:rFonts w:ascii="Arial" w:eastAsia="Times New Roman" w:hAnsi="Arial" w:cs="Arial"/>
                <w:b/>
                <w:sz w:val="20"/>
                <w:szCs w:val="20"/>
                <w:lang w:eastAsia="en-ZA"/>
              </w:rPr>
            </w:pPr>
            <w:r w:rsidRPr="00892F76">
              <w:rPr>
                <w:rFonts w:ascii="Arial" w:eastAsia="Times New Roman" w:hAnsi="Arial" w:cs="Arial"/>
                <w:b/>
                <w:sz w:val="20"/>
                <w:szCs w:val="20"/>
                <w:lang w:eastAsia="en-ZA"/>
              </w:rPr>
              <w:t>YTD Expenditure and Available Budget</w:t>
            </w:r>
          </w:p>
        </w:tc>
      </w:tr>
      <w:tr w:rsidR="0018213C" w:rsidRPr="00892F76" w:rsidTr="0018213C">
        <w:trPr>
          <w:trHeight w:val="726"/>
        </w:trPr>
        <w:tc>
          <w:tcPr>
            <w:tcW w:w="1298" w:type="dxa"/>
            <w:vMerge/>
            <w:tcBorders>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18213C" w:rsidRPr="00892F76" w:rsidRDefault="0018213C" w:rsidP="00892F76">
            <w:pPr>
              <w:spacing w:after="0" w:line="240" w:lineRule="auto"/>
              <w:rPr>
                <w:rFonts w:ascii="Arial" w:eastAsia="Times New Roman" w:hAnsi="Arial" w:cs="Arial"/>
                <w:sz w:val="20"/>
                <w:szCs w:val="20"/>
                <w:lang w:eastAsia="en-ZA"/>
              </w:rPr>
            </w:pPr>
          </w:p>
        </w:tc>
        <w:tc>
          <w:tcPr>
            <w:tcW w:w="109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Annual</w:t>
            </w:r>
          </w:p>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Budget</w:t>
            </w:r>
          </w:p>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R’000</w:t>
            </w:r>
          </w:p>
        </w:tc>
        <w:tc>
          <w:tcPr>
            <w:tcW w:w="106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Actuals</w:t>
            </w:r>
          </w:p>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1</w:t>
            </w:r>
            <w:r w:rsidRPr="00892F76">
              <w:rPr>
                <w:rFonts w:ascii="Arial" w:eastAsia="Calibri" w:hAnsi="Arial" w:cs="Arial"/>
                <w:b/>
                <w:bCs/>
                <w:kern w:val="24"/>
                <w:position w:val="8"/>
                <w:sz w:val="20"/>
                <w:szCs w:val="20"/>
                <w:vertAlign w:val="superscript"/>
                <w:lang w:eastAsia="en-ZA"/>
              </w:rPr>
              <w:t>st</w:t>
            </w:r>
            <w:r w:rsidRPr="00892F76">
              <w:rPr>
                <w:rFonts w:ascii="Arial" w:eastAsia="Calibri" w:hAnsi="Arial" w:cs="Arial"/>
                <w:b/>
                <w:bCs/>
                <w:kern w:val="24"/>
                <w:sz w:val="20"/>
                <w:szCs w:val="20"/>
                <w:lang w:eastAsia="en-ZA"/>
              </w:rPr>
              <w:t xml:space="preserve"> quarter R’000</w:t>
            </w:r>
          </w:p>
        </w:tc>
        <w:tc>
          <w:tcPr>
            <w:tcW w:w="74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w:t>
            </w:r>
          </w:p>
        </w:tc>
        <w:tc>
          <w:tcPr>
            <w:tcW w:w="80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Actuals</w:t>
            </w:r>
          </w:p>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2</w:t>
            </w:r>
            <w:r w:rsidRPr="00892F76">
              <w:rPr>
                <w:rFonts w:ascii="Arial" w:eastAsia="Calibri" w:hAnsi="Arial" w:cs="Arial"/>
                <w:b/>
                <w:bCs/>
                <w:kern w:val="24"/>
                <w:position w:val="8"/>
                <w:sz w:val="20"/>
                <w:szCs w:val="20"/>
                <w:vertAlign w:val="superscript"/>
                <w:lang w:eastAsia="en-ZA"/>
              </w:rPr>
              <w:t>nd</w:t>
            </w:r>
            <w:r w:rsidRPr="00892F76">
              <w:rPr>
                <w:rFonts w:ascii="Arial" w:eastAsia="Calibri" w:hAnsi="Arial" w:cs="Arial"/>
                <w:b/>
                <w:bCs/>
                <w:kern w:val="24"/>
                <w:sz w:val="20"/>
                <w:szCs w:val="20"/>
                <w:lang w:eastAsia="en-ZA"/>
              </w:rPr>
              <w:t xml:space="preserve"> quarter R’000</w:t>
            </w:r>
          </w:p>
        </w:tc>
        <w:tc>
          <w:tcPr>
            <w:tcW w:w="51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w:t>
            </w:r>
          </w:p>
        </w:tc>
        <w:tc>
          <w:tcPr>
            <w:tcW w:w="93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 xml:space="preserve">Actuals </w:t>
            </w:r>
          </w:p>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Year to Date</w:t>
            </w:r>
          </w:p>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R’000</w:t>
            </w:r>
          </w:p>
        </w:tc>
        <w:tc>
          <w:tcPr>
            <w:tcW w:w="39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w:t>
            </w:r>
          </w:p>
        </w:tc>
        <w:tc>
          <w:tcPr>
            <w:tcW w:w="108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Budget</w:t>
            </w:r>
          </w:p>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Available</w:t>
            </w:r>
          </w:p>
          <w:p w:rsidR="0018213C" w:rsidRPr="00892F76" w:rsidRDefault="0018213C"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R’000</w:t>
            </w:r>
          </w:p>
        </w:tc>
      </w:tr>
      <w:tr w:rsidR="000415D4" w:rsidRPr="00892F76" w:rsidTr="000415D4">
        <w:trPr>
          <w:trHeight w:val="424"/>
        </w:trPr>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Administration</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776,384</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176,033</w:t>
            </w: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99.0</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160,580</w:t>
            </w: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93</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336,613</w:t>
            </w:r>
          </w:p>
        </w:tc>
        <w:tc>
          <w:tcPr>
            <w:tcW w:w="3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43</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439,735</w:t>
            </w:r>
          </w:p>
        </w:tc>
      </w:tr>
      <w:tr w:rsidR="000415D4" w:rsidRPr="00892F76" w:rsidTr="000415D4">
        <w:trPr>
          <w:trHeight w:val="220"/>
        </w:trPr>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Legislation and Oversight</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754,117</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179,900</w:t>
            </w: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98.4</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168,677</w:t>
            </w: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92</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348,577</w:t>
            </w:r>
          </w:p>
        </w:tc>
        <w:tc>
          <w:tcPr>
            <w:tcW w:w="3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46</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405,540</w:t>
            </w:r>
          </w:p>
        </w:tc>
      </w:tr>
      <w:tr w:rsidR="000415D4" w:rsidRPr="00892F76" w:rsidTr="000415D4">
        <w:trPr>
          <w:trHeight w:val="228"/>
        </w:trPr>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Associated Services</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755,209</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181,500</w:t>
            </w: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99.3</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187,006</w:t>
            </w: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100</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368,506</w:t>
            </w:r>
          </w:p>
        </w:tc>
        <w:tc>
          <w:tcPr>
            <w:tcW w:w="3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49</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386,703</w:t>
            </w:r>
          </w:p>
        </w:tc>
      </w:tr>
      <w:tr w:rsidR="000415D4" w:rsidRPr="00892F76" w:rsidTr="000415D4">
        <w:trPr>
          <w:trHeight w:val="436"/>
        </w:trPr>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Sub-Total</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2,285,674</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537,433</w:t>
            </w: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98.8</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516,263</w:t>
            </w: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1,053,696</w:t>
            </w:r>
          </w:p>
        </w:tc>
        <w:tc>
          <w:tcPr>
            <w:tcW w:w="3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46</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1,213,978</w:t>
            </w:r>
          </w:p>
        </w:tc>
      </w:tr>
      <w:tr w:rsidR="000415D4" w:rsidRPr="00892F76" w:rsidTr="000415D4">
        <w:trPr>
          <w:trHeight w:val="98"/>
        </w:trPr>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Direct Charges</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471,709</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139,418</w:t>
            </w: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114.8</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110,915</w:t>
            </w: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88</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250,333</w:t>
            </w:r>
          </w:p>
        </w:tc>
        <w:tc>
          <w:tcPr>
            <w:tcW w:w="3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53</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221,376</w:t>
            </w:r>
          </w:p>
        </w:tc>
      </w:tr>
      <w:tr w:rsidR="000415D4" w:rsidRPr="00892F76" w:rsidTr="000415D4">
        <w:trPr>
          <w:trHeight w:val="161"/>
        </w:trPr>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TOTALS</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2,757,383</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676,851</w:t>
            </w: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101.7</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627,178</w:t>
            </w:r>
          </w:p>
        </w:tc>
        <w:tc>
          <w:tcPr>
            <w:tcW w:w="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94</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1,304,029</w:t>
            </w:r>
          </w:p>
        </w:tc>
        <w:tc>
          <w:tcPr>
            <w:tcW w:w="3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47</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6B84" w:rsidRPr="00892F76" w:rsidRDefault="00256B84"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1,453,354</w:t>
            </w:r>
          </w:p>
        </w:tc>
      </w:tr>
    </w:tbl>
    <w:p w:rsidR="00EA3BF8" w:rsidRPr="00892F76" w:rsidRDefault="00256B84" w:rsidP="00892F76">
      <w:pPr>
        <w:spacing w:after="0" w:line="240" w:lineRule="auto"/>
        <w:rPr>
          <w:rFonts w:ascii="Arial" w:eastAsia="Calibri" w:hAnsi="Arial" w:cs="Arial"/>
          <w:b/>
          <w:sz w:val="20"/>
          <w:szCs w:val="20"/>
          <w:lang w:val="en-ZA"/>
        </w:rPr>
      </w:pPr>
      <w:r w:rsidRPr="00892F76">
        <w:rPr>
          <w:rFonts w:ascii="Arial" w:eastAsia="Calibri" w:hAnsi="Arial" w:cs="Arial"/>
          <w:b/>
          <w:sz w:val="20"/>
          <w:szCs w:val="20"/>
          <w:lang w:val="en-ZA"/>
        </w:rPr>
        <w:tab/>
      </w:r>
      <w:r w:rsidR="00E349FD" w:rsidRPr="00892F76">
        <w:rPr>
          <w:rFonts w:ascii="Arial" w:eastAsia="Calibri" w:hAnsi="Arial" w:cs="Arial"/>
          <w:b/>
          <w:sz w:val="20"/>
          <w:szCs w:val="20"/>
          <w:lang w:val="en-ZA"/>
        </w:rPr>
        <w:t>Table 4: Expenditure across programmes (Source: Parliament of the RSA)</w:t>
      </w:r>
    </w:p>
    <w:p w:rsidR="00EA3BF8" w:rsidRPr="00892F76" w:rsidRDefault="00EA3BF8" w:rsidP="00892F76">
      <w:pPr>
        <w:spacing w:after="0" w:line="240" w:lineRule="auto"/>
        <w:ind w:left="720" w:hanging="720"/>
        <w:rPr>
          <w:rFonts w:ascii="Arial" w:eastAsia="Calibri" w:hAnsi="Arial" w:cs="Arial"/>
          <w:sz w:val="20"/>
          <w:szCs w:val="20"/>
          <w:lang w:val="en-ZA"/>
        </w:rPr>
      </w:pPr>
    </w:p>
    <w:p w:rsidR="00E133A8" w:rsidRPr="00892F76" w:rsidRDefault="00E133A8"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4.1.3</w:t>
      </w:r>
      <w:r w:rsidR="00EA3BF8" w:rsidRPr="00892F76">
        <w:rPr>
          <w:rFonts w:ascii="Arial" w:eastAsia="Calibri" w:hAnsi="Arial" w:cs="Arial"/>
          <w:sz w:val="20"/>
          <w:szCs w:val="20"/>
          <w:lang w:val="en-ZA"/>
        </w:rPr>
        <w:tab/>
        <w:t>Table 5</w:t>
      </w:r>
      <w:r w:rsidR="002A6E03" w:rsidRPr="00892F76">
        <w:rPr>
          <w:rFonts w:ascii="Arial" w:eastAsia="Calibri" w:hAnsi="Arial" w:cs="Arial"/>
          <w:sz w:val="20"/>
          <w:szCs w:val="20"/>
          <w:lang w:val="en-ZA"/>
        </w:rPr>
        <w:t xml:space="preserve"> below details spending </w:t>
      </w:r>
      <w:r w:rsidRPr="00892F76">
        <w:rPr>
          <w:rFonts w:ascii="Arial" w:eastAsia="Calibri" w:hAnsi="Arial" w:cs="Arial"/>
          <w:sz w:val="20"/>
          <w:szCs w:val="20"/>
          <w:lang w:val="en-ZA"/>
        </w:rPr>
        <w:t>across economic classification.</w:t>
      </w:r>
    </w:p>
    <w:tbl>
      <w:tblPr>
        <w:tblW w:w="7938" w:type="dxa"/>
        <w:tblInd w:w="699" w:type="dxa"/>
        <w:tblCellMar>
          <w:left w:w="0" w:type="dxa"/>
          <w:right w:w="0" w:type="dxa"/>
        </w:tblCellMar>
        <w:tblLook w:val="04A0"/>
      </w:tblPr>
      <w:tblGrid>
        <w:gridCol w:w="1506"/>
        <w:gridCol w:w="1085"/>
        <w:gridCol w:w="21"/>
        <w:gridCol w:w="931"/>
        <w:gridCol w:w="8"/>
        <w:gridCol w:w="540"/>
        <w:gridCol w:w="10"/>
        <w:gridCol w:w="931"/>
        <w:gridCol w:w="8"/>
        <w:gridCol w:w="530"/>
        <w:gridCol w:w="11"/>
        <w:gridCol w:w="9"/>
        <w:gridCol w:w="1086"/>
        <w:gridCol w:w="20"/>
        <w:gridCol w:w="424"/>
        <w:gridCol w:w="15"/>
        <w:gridCol w:w="1212"/>
        <w:gridCol w:w="15"/>
      </w:tblGrid>
      <w:tr w:rsidR="000415D4" w:rsidRPr="00892F76" w:rsidTr="000415D4">
        <w:trPr>
          <w:trHeight w:val="531"/>
        </w:trPr>
        <w:tc>
          <w:tcPr>
            <w:tcW w:w="12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 </w:t>
            </w:r>
          </w:p>
        </w:tc>
        <w:tc>
          <w:tcPr>
            <w:tcW w:w="3775" w:type="dxa"/>
            <w:gridSpan w:val="9"/>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 xml:space="preserve">                              </w:t>
            </w:r>
          </w:p>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 xml:space="preserve">                   April to September 2022</w:t>
            </w:r>
          </w:p>
        </w:tc>
        <w:tc>
          <w:tcPr>
            <w:tcW w:w="2907" w:type="dxa"/>
            <w:gridSpan w:val="8"/>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 xml:space="preserve">YTD Expenditure and Available Budget </w:t>
            </w:r>
          </w:p>
        </w:tc>
      </w:tr>
      <w:tr w:rsidR="000415D4" w:rsidRPr="00892F76" w:rsidTr="000415D4">
        <w:trPr>
          <w:trHeight w:val="1412"/>
        </w:trPr>
        <w:tc>
          <w:tcPr>
            <w:tcW w:w="12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Economic classification</w:t>
            </w:r>
          </w:p>
        </w:tc>
        <w:tc>
          <w:tcPr>
            <w:tcW w:w="92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Annual</w:t>
            </w:r>
          </w:p>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Budget</w:t>
            </w:r>
          </w:p>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R’000</w:t>
            </w:r>
          </w:p>
        </w:tc>
        <w:tc>
          <w:tcPr>
            <w:tcW w:w="802"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Actuals</w:t>
            </w:r>
          </w:p>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1</w:t>
            </w:r>
            <w:r w:rsidRPr="00892F76">
              <w:rPr>
                <w:rFonts w:ascii="Arial" w:eastAsia="Calibri" w:hAnsi="Arial" w:cs="Arial"/>
                <w:b/>
                <w:bCs/>
                <w:kern w:val="24"/>
                <w:position w:val="7"/>
                <w:sz w:val="20"/>
                <w:szCs w:val="20"/>
                <w:vertAlign w:val="superscript"/>
                <w:lang w:eastAsia="en-ZA"/>
              </w:rPr>
              <w:t>st</w:t>
            </w:r>
            <w:r w:rsidRPr="00892F76">
              <w:rPr>
                <w:rFonts w:ascii="Arial" w:eastAsia="Calibri" w:hAnsi="Arial" w:cs="Arial"/>
                <w:b/>
                <w:bCs/>
                <w:kern w:val="24"/>
                <w:sz w:val="20"/>
                <w:szCs w:val="20"/>
                <w:lang w:eastAsia="en-ZA"/>
              </w:rPr>
              <w:t xml:space="preserve"> quarter R’000</w:t>
            </w:r>
          </w:p>
        </w:tc>
        <w:tc>
          <w:tcPr>
            <w:tcW w:w="486"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w:t>
            </w:r>
          </w:p>
        </w:tc>
        <w:tc>
          <w:tcPr>
            <w:tcW w:w="1081"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Actuals</w:t>
            </w:r>
          </w:p>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2</w:t>
            </w:r>
            <w:r w:rsidRPr="00892F76">
              <w:rPr>
                <w:rFonts w:ascii="Arial" w:eastAsia="Calibri" w:hAnsi="Arial" w:cs="Arial"/>
                <w:b/>
                <w:bCs/>
                <w:kern w:val="24"/>
                <w:position w:val="7"/>
                <w:sz w:val="20"/>
                <w:szCs w:val="20"/>
                <w:vertAlign w:val="superscript"/>
                <w:lang w:eastAsia="en-ZA"/>
              </w:rPr>
              <w:t>nd</w:t>
            </w:r>
            <w:r w:rsidRPr="00892F76">
              <w:rPr>
                <w:rFonts w:ascii="Arial" w:eastAsia="Calibri" w:hAnsi="Arial" w:cs="Arial"/>
                <w:b/>
                <w:bCs/>
                <w:kern w:val="24"/>
                <w:sz w:val="20"/>
                <w:szCs w:val="20"/>
                <w:lang w:eastAsia="en-ZA"/>
              </w:rPr>
              <w:t xml:space="preserve"> quarter R’000</w:t>
            </w:r>
          </w:p>
        </w:tc>
        <w:tc>
          <w:tcPr>
            <w:tcW w:w="488" w:type="dxa"/>
            <w:gridSpan w:val="3"/>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w:t>
            </w:r>
          </w:p>
        </w:tc>
        <w:tc>
          <w:tcPr>
            <w:tcW w:w="927"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 xml:space="preserve">Actuals </w:t>
            </w:r>
          </w:p>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Year to Date</w:t>
            </w:r>
          </w:p>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R’000</w:t>
            </w:r>
          </w:p>
        </w:tc>
        <w:tc>
          <w:tcPr>
            <w:tcW w:w="445"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w:t>
            </w:r>
          </w:p>
        </w:tc>
        <w:tc>
          <w:tcPr>
            <w:tcW w:w="1526" w:type="dxa"/>
            <w:gridSpan w:val="3"/>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Budget</w:t>
            </w:r>
          </w:p>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Available</w:t>
            </w:r>
          </w:p>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R’000</w:t>
            </w:r>
          </w:p>
        </w:tc>
      </w:tr>
      <w:tr w:rsidR="000415D4" w:rsidRPr="00892F76" w:rsidTr="000415D4">
        <w:trPr>
          <w:gridAfter w:val="1"/>
          <w:wAfter w:w="74" w:type="dxa"/>
          <w:trHeight w:val="876"/>
        </w:trPr>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Compensation of Members</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471,709</w:t>
            </w:r>
          </w:p>
        </w:tc>
        <w:tc>
          <w:tcPr>
            <w:tcW w:w="8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139,418</w:t>
            </w:r>
          </w:p>
        </w:tc>
        <w:tc>
          <w:tcPr>
            <w:tcW w:w="4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115</w:t>
            </w:r>
          </w:p>
        </w:tc>
        <w:tc>
          <w:tcPr>
            <w:tcW w:w="10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110,915</w:t>
            </w:r>
          </w:p>
        </w:tc>
        <w:tc>
          <w:tcPr>
            <w:tcW w:w="4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88</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250,333</w:t>
            </w:r>
          </w:p>
        </w:tc>
        <w:tc>
          <w:tcPr>
            <w:tcW w:w="4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53</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221,376</w:t>
            </w:r>
          </w:p>
        </w:tc>
      </w:tr>
      <w:tr w:rsidR="000415D4" w:rsidRPr="00892F76" w:rsidTr="000415D4">
        <w:trPr>
          <w:gridAfter w:val="1"/>
          <w:wAfter w:w="74" w:type="dxa"/>
          <w:trHeight w:val="588"/>
        </w:trPr>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Compensation of Employees -PARMED</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88,403</w:t>
            </w:r>
          </w:p>
        </w:tc>
        <w:tc>
          <w:tcPr>
            <w:tcW w:w="8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18,578</w:t>
            </w:r>
          </w:p>
        </w:tc>
        <w:tc>
          <w:tcPr>
            <w:tcW w:w="4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97</w:t>
            </w:r>
          </w:p>
        </w:tc>
        <w:tc>
          <w:tcPr>
            <w:tcW w:w="10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19,703</w:t>
            </w:r>
          </w:p>
        </w:tc>
        <w:tc>
          <w:tcPr>
            <w:tcW w:w="4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102</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38,281</w:t>
            </w:r>
          </w:p>
        </w:tc>
        <w:tc>
          <w:tcPr>
            <w:tcW w:w="4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43</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50,122</w:t>
            </w:r>
          </w:p>
        </w:tc>
      </w:tr>
      <w:tr w:rsidR="000415D4" w:rsidRPr="00892F76" w:rsidTr="000415D4">
        <w:trPr>
          <w:gridAfter w:val="1"/>
          <w:wAfter w:w="74" w:type="dxa"/>
          <w:trHeight w:val="588"/>
        </w:trPr>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Compensation of Employees</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1,154,541</w:t>
            </w:r>
          </w:p>
        </w:tc>
        <w:tc>
          <w:tcPr>
            <w:tcW w:w="8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258,459</w:t>
            </w:r>
          </w:p>
        </w:tc>
        <w:tc>
          <w:tcPr>
            <w:tcW w:w="4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99</w:t>
            </w:r>
          </w:p>
        </w:tc>
        <w:tc>
          <w:tcPr>
            <w:tcW w:w="10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258,178</w:t>
            </w:r>
          </w:p>
        </w:tc>
        <w:tc>
          <w:tcPr>
            <w:tcW w:w="4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99</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516,637</w:t>
            </w:r>
          </w:p>
        </w:tc>
        <w:tc>
          <w:tcPr>
            <w:tcW w:w="4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45</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637,903</w:t>
            </w:r>
          </w:p>
        </w:tc>
      </w:tr>
      <w:tr w:rsidR="000415D4" w:rsidRPr="00892F76" w:rsidTr="000415D4">
        <w:trPr>
          <w:gridAfter w:val="1"/>
          <w:wAfter w:w="74" w:type="dxa"/>
          <w:trHeight w:val="588"/>
        </w:trPr>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Goods and Services (APP)</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359,788</w:t>
            </w:r>
          </w:p>
        </w:tc>
        <w:tc>
          <w:tcPr>
            <w:tcW w:w="8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90,787</w:t>
            </w:r>
          </w:p>
        </w:tc>
        <w:tc>
          <w:tcPr>
            <w:tcW w:w="4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97</w:t>
            </w:r>
          </w:p>
        </w:tc>
        <w:tc>
          <w:tcPr>
            <w:tcW w:w="10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73,123</w:t>
            </w:r>
          </w:p>
        </w:tc>
        <w:tc>
          <w:tcPr>
            <w:tcW w:w="4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80</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163,910</w:t>
            </w:r>
          </w:p>
        </w:tc>
        <w:tc>
          <w:tcPr>
            <w:tcW w:w="4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46</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195,878</w:t>
            </w:r>
          </w:p>
        </w:tc>
      </w:tr>
      <w:tr w:rsidR="000415D4" w:rsidRPr="00892F76" w:rsidTr="000415D4">
        <w:trPr>
          <w:gridAfter w:val="1"/>
          <w:wAfter w:w="74" w:type="dxa"/>
          <w:trHeight w:val="870"/>
        </w:trPr>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Goods and Services (Members’ entitlements)</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131,657</w:t>
            </w:r>
          </w:p>
        </w:tc>
        <w:tc>
          <w:tcPr>
            <w:tcW w:w="8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35,134</w:t>
            </w:r>
          </w:p>
        </w:tc>
        <w:tc>
          <w:tcPr>
            <w:tcW w:w="4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99</w:t>
            </w:r>
          </w:p>
        </w:tc>
        <w:tc>
          <w:tcPr>
            <w:tcW w:w="10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33,372</w:t>
            </w:r>
          </w:p>
        </w:tc>
        <w:tc>
          <w:tcPr>
            <w:tcW w:w="4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91</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68,506</w:t>
            </w:r>
          </w:p>
        </w:tc>
        <w:tc>
          <w:tcPr>
            <w:tcW w:w="4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52</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63,151</w:t>
            </w:r>
          </w:p>
        </w:tc>
      </w:tr>
      <w:tr w:rsidR="000415D4" w:rsidRPr="00892F76" w:rsidTr="000415D4">
        <w:trPr>
          <w:gridAfter w:val="1"/>
          <w:wAfter w:w="74" w:type="dxa"/>
          <w:trHeight w:val="466"/>
        </w:trPr>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lastRenderedPageBreak/>
              <w:t>Transfers</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518,572</w:t>
            </w:r>
          </w:p>
        </w:tc>
        <w:tc>
          <w:tcPr>
            <w:tcW w:w="8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123,805</w:t>
            </w:r>
          </w:p>
        </w:tc>
        <w:tc>
          <w:tcPr>
            <w:tcW w:w="4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100</w:t>
            </w:r>
          </w:p>
        </w:tc>
        <w:tc>
          <w:tcPr>
            <w:tcW w:w="10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130,398</w:t>
            </w:r>
          </w:p>
        </w:tc>
        <w:tc>
          <w:tcPr>
            <w:tcW w:w="4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102</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254,203</w:t>
            </w:r>
          </w:p>
        </w:tc>
        <w:tc>
          <w:tcPr>
            <w:tcW w:w="4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49</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264,369</w:t>
            </w:r>
          </w:p>
        </w:tc>
      </w:tr>
      <w:tr w:rsidR="000415D4" w:rsidRPr="00892F76" w:rsidTr="000415D4">
        <w:trPr>
          <w:gridAfter w:val="1"/>
          <w:wAfter w:w="74" w:type="dxa"/>
          <w:trHeight w:val="521"/>
        </w:trPr>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Capital Expenditure</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32,714</w:t>
            </w:r>
          </w:p>
        </w:tc>
        <w:tc>
          <w:tcPr>
            <w:tcW w:w="8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10,670</w:t>
            </w:r>
          </w:p>
        </w:tc>
        <w:tc>
          <w:tcPr>
            <w:tcW w:w="4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99</w:t>
            </w:r>
          </w:p>
        </w:tc>
        <w:tc>
          <w:tcPr>
            <w:tcW w:w="10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1,489</w:t>
            </w:r>
          </w:p>
        </w:tc>
        <w:tc>
          <w:tcPr>
            <w:tcW w:w="4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22</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12,159</w:t>
            </w:r>
          </w:p>
        </w:tc>
        <w:tc>
          <w:tcPr>
            <w:tcW w:w="4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37</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kern w:val="24"/>
                <w:sz w:val="20"/>
                <w:szCs w:val="20"/>
                <w:lang w:eastAsia="en-ZA"/>
              </w:rPr>
              <w:t>20,555</w:t>
            </w:r>
          </w:p>
        </w:tc>
      </w:tr>
      <w:tr w:rsidR="000415D4" w:rsidRPr="00892F76" w:rsidTr="000415D4">
        <w:trPr>
          <w:gridAfter w:val="1"/>
          <w:wAfter w:w="74" w:type="dxa"/>
          <w:trHeight w:val="588"/>
        </w:trPr>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TOTALS</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2,757,383</w:t>
            </w:r>
          </w:p>
        </w:tc>
        <w:tc>
          <w:tcPr>
            <w:tcW w:w="8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676,851</w:t>
            </w:r>
          </w:p>
        </w:tc>
        <w:tc>
          <w:tcPr>
            <w:tcW w:w="4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102</w:t>
            </w:r>
          </w:p>
        </w:tc>
        <w:tc>
          <w:tcPr>
            <w:tcW w:w="10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627,178</w:t>
            </w:r>
          </w:p>
        </w:tc>
        <w:tc>
          <w:tcPr>
            <w:tcW w:w="4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94</w:t>
            </w:r>
          </w:p>
        </w:tc>
        <w:tc>
          <w:tcPr>
            <w:tcW w:w="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1,304,029</w:t>
            </w:r>
          </w:p>
        </w:tc>
        <w:tc>
          <w:tcPr>
            <w:tcW w:w="4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47</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33A8" w:rsidRPr="00892F76" w:rsidRDefault="00E133A8" w:rsidP="00892F76">
            <w:pPr>
              <w:spacing w:after="0" w:line="240" w:lineRule="auto"/>
              <w:rPr>
                <w:rFonts w:ascii="Arial" w:eastAsia="Times New Roman" w:hAnsi="Arial" w:cs="Arial"/>
                <w:sz w:val="20"/>
                <w:szCs w:val="20"/>
                <w:lang w:eastAsia="en-ZA"/>
              </w:rPr>
            </w:pPr>
            <w:r w:rsidRPr="00892F76">
              <w:rPr>
                <w:rFonts w:ascii="Arial" w:eastAsia="Calibri" w:hAnsi="Arial" w:cs="Arial"/>
                <w:b/>
                <w:bCs/>
                <w:kern w:val="24"/>
                <w:sz w:val="20"/>
                <w:szCs w:val="20"/>
                <w:lang w:eastAsia="en-ZA"/>
              </w:rPr>
              <w:t>1,453,354</w:t>
            </w:r>
          </w:p>
        </w:tc>
      </w:tr>
    </w:tbl>
    <w:p w:rsidR="00EA3BF8" w:rsidRPr="00892F76" w:rsidRDefault="00EA3BF8" w:rsidP="00892F76">
      <w:pPr>
        <w:spacing w:after="0" w:line="240" w:lineRule="auto"/>
        <w:ind w:left="720"/>
        <w:rPr>
          <w:rFonts w:ascii="Arial" w:eastAsia="Calibri" w:hAnsi="Arial" w:cs="Arial"/>
          <w:b/>
          <w:sz w:val="20"/>
          <w:szCs w:val="20"/>
          <w:lang w:val="en-ZA"/>
        </w:rPr>
      </w:pPr>
      <w:r w:rsidRPr="00892F76">
        <w:rPr>
          <w:rFonts w:ascii="Arial" w:eastAsia="Calibri" w:hAnsi="Arial" w:cs="Arial"/>
          <w:b/>
          <w:sz w:val="20"/>
          <w:szCs w:val="20"/>
          <w:lang w:val="en-ZA"/>
        </w:rPr>
        <w:t>Table 5: Spending across economic classification (Source: Parliament of the RSA)</w:t>
      </w:r>
    </w:p>
    <w:p w:rsidR="00E133A8" w:rsidRPr="00892F76" w:rsidRDefault="00E133A8"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4.1.4</w:t>
      </w:r>
      <w:r w:rsidR="00EA3BF8" w:rsidRPr="00892F76">
        <w:rPr>
          <w:rFonts w:ascii="Arial" w:eastAsia="Calibri" w:hAnsi="Arial" w:cs="Arial"/>
          <w:sz w:val="20"/>
          <w:szCs w:val="20"/>
          <w:lang w:val="en-ZA"/>
        </w:rPr>
        <w:tab/>
      </w:r>
      <w:r w:rsidRPr="00892F76">
        <w:rPr>
          <w:rFonts w:ascii="Arial" w:eastAsia="Calibri" w:hAnsi="Arial" w:cs="Arial"/>
          <w:sz w:val="20"/>
          <w:szCs w:val="20"/>
          <w:lang w:val="en-ZA"/>
        </w:rPr>
        <w:t>The spending on compensation of members was R110,9 million or 88 per cent of the second quarter budget of R125, 6 million. There is projected overspending for the financial year of R34,1</w:t>
      </w:r>
      <w:r w:rsidR="003C0F25" w:rsidRPr="00892F76">
        <w:rPr>
          <w:rFonts w:ascii="Arial" w:eastAsia="Calibri" w:hAnsi="Arial" w:cs="Arial"/>
          <w:sz w:val="20"/>
          <w:szCs w:val="20"/>
          <w:lang w:val="en-ZA"/>
        </w:rPr>
        <w:t xml:space="preserve"> </w:t>
      </w:r>
      <w:r w:rsidRPr="00892F76">
        <w:rPr>
          <w:rFonts w:ascii="Arial" w:eastAsia="Calibri" w:hAnsi="Arial" w:cs="Arial"/>
          <w:sz w:val="20"/>
          <w:szCs w:val="20"/>
          <w:lang w:val="en-ZA"/>
        </w:rPr>
        <w:t>m</w:t>
      </w:r>
      <w:r w:rsidR="003C0F25" w:rsidRPr="00892F76">
        <w:rPr>
          <w:rFonts w:ascii="Arial" w:eastAsia="Calibri" w:hAnsi="Arial" w:cs="Arial"/>
          <w:sz w:val="20"/>
          <w:szCs w:val="20"/>
          <w:lang w:val="en-ZA"/>
        </w:rPr>
        <w:t xml:space="preserve">illion </w:t>
      </w:r>
      <w:r w:rsidRPr="00892F76">
        <w:rPr>
          <w:rFonts w:ascii="Arial" w:eastAsia="Calibri" w:hAnsi="Arial" w:cs="Arial"/>
          <w:sz w:val="20"/>
          <w:szCs w:val="20"/>
          <w:lang w:val="en-ZA"/>
        </w:rPr>
        <w:t>as a result of budget reductions. The overspending will be a direct charge against the Nation</w:t>
      </w:r>
      <w:r w:rsidR="003C0F25" w:rsidRPr="00892F76">
        <w:rPr>
          <w:rFonts w:ascii="Arial" w:eastAsia="Calibri" w:hAnsi="Arial" w:cs="Arial"/>
          <w:sz w:val="20"/>
          <w:szCs w:val="20"/>
          <w:lang w:val="en-ZA"/>
        </w:rPr>
        <w:t xml:space="preserve">al Revenue Fund in terms of section </w:t>
      </w:r>
      <w:r w:rsidRPr="00892F76">
        <w:rPr>
          <w:rFonts w:ascii="Arial" w:eastAsia="Calibri" w:hAnsi="Arial" w:cs="Arial"/>
          <w:sz w:val="20"/>
          <w:szCs w:val="20"/>
          <w:lang w:val="en-ZA"/>
        </w:rPr>
        <w:t>23(4) of the FMPPLA.</w:t>
      </w:r>
    </w:p>
    <w:p w:rsidR="00E133A8" w:rsidRPr="00892F76" w:rsidRDefault="003C0F25"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4.1.5</w:t>
      </w:r>
      <w:r w:rsidRPr="00892F76">
        <w:rPr>
          <w:rFonts w:ascii="Arial" w:eastAsia="Calibri" w:hAnsi="Arial" w:cs="Arial"/>
          <w:sz w:val="20"/>
          <w:szCs w:val="20"/>
          <w:lang w:val="en-ZA"/>
        </w:rPr>
        <w:tab/>
      </w:r>
      <w:r w:rsidR="00E133A8" w:rsidRPr="00892F76">
        <w:rPr>
          <w:rFonts w:ascii="Arial" w:eastAsia="Calibri" w:hAnsi="Arial" w:cs="Arial"/>
          <w:sz w:val="20"/>
          <w:szCs w:val="20"/>
          <w:lang w:val="en-ZA"/>
        </w:rPr>
        <w:t xml:space="preserve">The spending </w:t>
      </w:r>
      <w:r w:rsidRPr="00892F76">
        <w:rPr>
          <w:rFonts w:ascii="Arial" w:eastAsia="Calibri" w:hAnsi="Arial" w:cs="Arial"/>
          <w:sz w:val="20"/>
          <w:szCs w:val="20"/>
          <w:lang w:val="en-ZA"/>
        </w:rPr>
        <w:t>on compensation of employees stood at</w:t>
      </w:r>
      <w:r w:rsidR="00E133A8" w:rsidRPr="00892F76">
        <w:rPr>
          <w:rFonts w:ascii="Arial" w:eastAsia="Calibri" w:hAnsi="Arial" w:cs="Arial"/>
          <w:sz w:val="20"/>
          <w:szCs w:val="20"/>
          <w:lang w:val="en-ZA"/>
        </w:rPr>
        <w:t xml:space="preserve"> 99 per</w:t>
      </w:r>
      <w:r w:rsidRPr="00892F76">
        <w:rPr>
          <w:rFonts w:ascii="Arial" w:eastAsia="Calibri" w:hAnsi="Arial" w:cs="Arial"/>
          <w:sz w:val="20"/>
          <w:szCs w:val="20"/>
          <w:lang w:val="en-ZA"/>
        </w:rPr>
        <w:t xml:space="preserve"> </w:t>
      </w:r>
      <w:r w:rsidR="00E133A8" w:rsidRPr="00892F76">
        <w:rPr>
          <w:rFonts w:ascii="Arial" w:eastAsia="Calibri" w:hAnsi="Arial" w:cs="Arial"/>
          <w:sz w:val="20"/>
          <w:szCs w:val="20"/>
          <w:lang w:val="en-ZA"/>
        </w:rPr>
        <w:t>cent or R258,2</w:t>
      </w:r>
      <w:r w:rsidRPr="00892F76">
        <w:rPr>
          <w:rFonts w:ascii="Arial" w:eastAsia="Calibri" w:hAnsi="Arial" w:cs="Arial"/>
          <w:sz w:val="20"/>
          <w:szCs w:val="20"/>
          <w:lang w:val="en-ZA"/>
        </w:rPr>
        <w:t xml:space="preserve"> </w:t>
      </w:r>
      <w:r w:rsidR="00E133A8" w:rsidRPr="00892F76">
        <w:rPr>
          <w:rFonts w:ascii="Arial" w:eastAsia="Calibri" w:hAnsi="Arial" w:cs="Arial"/>
          <w:sz w:val="20"/>
          <w:szCs w:val="20"/>
          <w:lang w:val="en-ZA"/>
        </w:rPr>
        <w:t>m</w:t>
      </w:r>
      <w:r w:rsidRPr="00892F76">
        <w:rPr>
          <w:rFonts w:ascii="Arial" w:eastAsia="Calibri" w:hAnsi="Arial" w:cs="Arial"/>
          <w:sz w:val="20"/>
          <w:szCs w:val="20"/>
          <w:lang w:val="en-ZA"/>
        </w:rPr>
        <w:t>illion</w:t>
      </w:r>
      <w:r w:rsidR="00E133A8" w:rsidRPr="00892F76">
        <w:rPr>
          <w:rFonts w:ascii="Arial" w:eastAsia="Calibri" w:hAnsi="Arial" w:cs="Arial"/>
          <w:sz w:val="20"/>
          <w:szCs w:val="20"/>
          <w:lang w:val="en-ZA"/>
        </w:rPr>
        <w:t xml:space="preserve"> of the second quarter budget of R260,8</w:t>
      </w:r>
      <w:r w:rsidRPr="00892F76">
        <w:rPr>
          <w:rFonts w:ascii="Arial" w:eastAsia="Calibri" w:hAnsi="Arial" w:cs="Arial"/>
          <w:sz w:val="20"/>
          <w:szCs w:val="20"/>
          <w:lang w:val="en-ZA"/>
        </w:rPr>
        <w:t xml:space="preserve"> </w:t>
      </w:r>
      <w:r w:rsidR="00E133A8" w:rsidRPr="00892F76">
        <w:rPr>
          <w:rFonts w:ascii="Arial" w:eastAsia="Calibri" w:hAnsi="Arial" w:cs="Arial"/>
          <w:sz w:val="20"/>
          <w:szCs w:val="20"/>
          <w:lang w:val="en-ZA"/>
        </w:rPr>
        <w:t>m</w:t>
      </w:r>
      <w:r w:rsidRPr="00892F76">
        <w:rPr>
          <w:rFonts w:ascii="Arial" w:eastAsia="Calibri" w:hAnsi="Arial" w:cs="Arial"/>
          <w:sz w:val="20"/>
          <w:szCs w:val="20"/>
          <w:lang w:val="en-ZA"/>
        </w:rPr>
        <w:t>illion,</w:t>
      </w:r>
      <w:r w:rsidR="00E133A8" w:rsidRPr="00892F76">
        <w:rPr>
          <w:rFonts w:ascii="Arial" w:eastAsia="Calibri" w:hAnsi="Arial" w:cs="Arial"/>
          <w:sz w:val="20"/>
          <w:szCs w:val="20"/>
          <w:lang w:val="en-ZA"/>
        </w:rPr>
        <w:t xml:space="preserve"> and indications are tha</w:t>
      </w:r>
      <w:r w:rsidRPr="00892F76">
        <w:rPr>
          <w:rFonts w:ascii="Arial" w:eastAsia="Calibri" w:hAnsi="Arial" w:cs="Arial"/>
          <w:sz w:val="20"/>
          <w:szCs w:val="20"/>
          <w:lang w:val="en-ZA"/>
        </w:rPr>
        <w:t>t there will be full spending by the end of the financial year.</w:t>
      </w:r>
    </w:p>
    <w:p w:rsidR="00E133A8" w:rsidRPr="00892F76" w:rsidRDefault="003C0F25"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4.1.6</w:t>
      </w:r>
      <w:r w:rsidRPr="00892F76">
        <w:rPr>
          <w:rFonts w:ascii="Arial" w:eastAsia="Calibri" w:hAnsi="Arial" w:cs="Arial"/>
          <w:sz w:val="20"/>
          <w:szCs w:val="20"/>
          <w:lang w:val="en-ZA"/>
        </w:rPr>
        <w:tab/>
        <w:t>Spending in respect of the Parliamentary Medical Aid Scheme (Parmed) stood at</w:t>
      </w:r>
      <w:r w:rsidR="00E133A8" w:rsidRPr="00892F76">
        <w:rPr>
          <w:rFonts w:ascii="Arial" w:eastAsia="Calibri" w:hAnsi="Arial" w:cs="Arial"/>
          <w:sz w:val="20"/>
          <w:szCs w:val="20"/>
          <w:lang w:val="en-ZA"/>
        </w:rPr>
        <w:t xml:space="preserve"> 102 per</w:t>
      </w:r>
      <w:r w:rsidRPr="00892F76">
        <w:rPr>
          <w:rFonts w:ascii="Arial" w:eastAsia="Calibri" w:hAnsi="Arial" w:cs="Arial"/>
          <w:sz w:val="20"/>
          <w:szCs w:val="20"/>
          <w:lang w:val="en-ZA"/>
        </w:rPr>
        <w:t xml:space="preserve"> </w:t>
      </w:r>
      <w:r w:rsidR="00E133A8" w:rsidRPr="00892F76">
        <w:rPr>
          <w:rFonts w:ascii="Arial" w:eastAsia="Calibri" w:hAnsi="Arial" w:cs="Arial"/>
          <w:sz w:val="20"/>
          <w:szCs w:val="20"/>
          <w:lang w:val="en-ZA"/>
        </w:rPr>
        <w:t>cent or R19,703 millio</w:t>
      </w:r>
      <w:r w:rsidRPr="00892F76">
        <w:rPr>
          <w:rFonts w:ascii="Arial" w:eastAsia="Calibri" w:hAnsi="Arial" w:cs="Arial"/>
          <w:sz w:val="20"/>
          <w:szCs w:val="20"/>
          <w:lang w:val="en-ZA"/>
        </w:rPr>
        <w:t xml:space="preserve">n </w:t>
      </w:r>
      <w:r w:rsidR="00346C8E" w:rsidRPr="00892F76">
        <w:rPr>
          <w:rFonts w:ascii="Arial" w:eastAsia="Calibri" w:hAnsi="Arial" w:cs="Arial"/>
          <w:sz w:val="20"/>
          <w:szCs w:val="20"/>
          <w:lang w:val="en-ZA"/>
        </w:rPr>
        <w:t>of</w:t>
      </w:r>
      <w:r w:rsidR="00E133A8" w:rsidRPr="00892F76">
        <w:rPr>
          <w:rFonts w:ascii="Arial" w:eastAsia="Calibri" w:hAnsi="Arial" w:cs="Arial"/>
          <w:sz w:val="20"/>
          <w:szCs w:val="20"/>
          <w:lang w:val="en-ZA"/>
        </w:rPr>
        <w:t xml:space="preserve"> the second quarter budget of R18,762</w:t>
      </w:r>
      <w:r w:rsidR="00346C8E" w:rsidRPr="00892F76">
        <w:rPr>
          <w:rFonts w:ascii="Arial" w:eastAsia="Calibri" w:hAnsi="Arial" w:cs="Arial"/>
          <w:sz w:val="20"/>
          <w:szCs w:val="20"/>
          <w:lang w:val="en-ZA"/>
        </w:rPr>
        <w:t xml:space="preserve"> </w:t>
      </w:r>
      <w:r w:rsidR="00E133A8" w:rsidRPr="00892F76">
        <w:rPr>
          <w:rFonts w:ascii="Arial" w:eastAsia="Calibri" w:hAnsi="Arial" w:cs="Arial"/>
          <w:sz w:val="20"/>
          <w:szCs w:val="20"/>
          <w:lang w:val="en-ZA"/>
        </w:rPr>
        <w:t>m</w:t>
      </w:r>
      <w:r w:rsidR="00346C8E" w:rsidRPr="00892F76">
        <w:rPr>
          <w:rFonts w:ascii="Arial" w:eastAsia="Calibri" w:hAnsi="Arial" w:cs="Arial"/>
          <w:sz w:val="20"/>
          <w:szCs w:val="20"/>
          <w:lang w:val="en-ZA"/>
        </w:rPr>
        <w:t>illion. I</w:t>
      </w:r>
      <w:r w:rsidR="00E133A8" w:rsidRPr="00892F76">
        <w:rPr>
          <w:rFonts w:ascii="Arial" w:eastAsia="Calibri" w:hAnsi="Arial" w:cs="Arial"/>
          <w:sz w:val="20"/>
          <w:szCs w:val="20"/>
          <w:lang w:val="en-ZA"/>
        </w:rPr>
        <w:t xml:space="preserve">ndications are that </w:t>
      </w:r>
      <w:r w:rsidR="00346C8E" w:rsidRPr="00892F76">
        <w:rPr>
          <w:rFonts w:ascii="Arial" w:eastAsia="Calibri" w:hAnsi="Arial" w:cs="Arial"/>
          <w:sz w:val="20"/>
          <w:szCs w:val="20"/>
          <w:lang w:val="en-ZA"/>
        </w:rPr>
        <w:t xml:space="preserve">the budget will have been spent in full by the end of the financial year. </w:t>
      </w:r>
    </w:p>
    <w:p w:rsidR="00591971" w:rsidRPr="00892F76" w:rsidRDefault="00346C8E"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4.1.7</w:t>
      </w:r>
      <w:r w:rsidRPr="00892F76">
        <w:rPr>
          <w:rFonts w:ascii="Arial" w:eastAsia="Calibri" w:hAnsi="Arial" w:cs="Arial"/>
          <w:sz w:val="20"/>
          <w:szCs w:val="20"/>
          <w:lang w:val="en-ZA"/>
        </w:rPr>
        <w:tab/>
      </w:r>
      <w:r w:rsidR="00E133A8" w:rsidRPr="00892F76">
        <w:rPr>
          <w:rFonts w:ascii="Arial" w:eastAsia="Calibri" w:hAnsi="Arial" w:cs="Arial"/>
          <w:sz w:val="20"/>
          <w:szCs w:val="20"/>
          <w:lang w:val="en-ZA"/>
        </w:rPr>
        <w:t>The spending on goods and service</w:t>
      </w:r>
      <w:r w:rsidRPr="00892F76">
        <w:rPr>
          <w:rFonts w:ascii="Arial" w:eastAsia="Calibri" w:hAnsi="Arial" w:cs="Arial"/>
          <w:sz w:val="20"/>
          <w:szCs w:val="20"/>
          <w:lang w:val="en-ZA"/>
        </w:rPr>
        <w:t xml:space="preserve">s, which relates to the APP, was at </w:t>
      </w:r>
      <w:r w:rsidR="00E133A8" w:rsidRPr="00892F76">
        <w:rPr>
          <w:rFonts w:ascii="Arial" w:eastAsia="Calibri" w:hAnsi="Arial" w:cs="Arial"/>
          <w:sz w:val="20"/>
          <w:szCs w:val="20"/>
          <w:lang w:val="en-ZA"/>
        </w:rPr>
        <w:t>80 per</w:t>
      </w:r>
      <w:r w:rsidRPr="00892F76">
        <w:rPr>
          <w:rFonts w:ascii="Arial" w:eastAsia="Calibri" w:hAnsi="Arial" w:cs="Arial"/>
          <w:sz w:val="20"/>
          <w:szCs w:val="20"/>
          <w:lang w:val="en-ZA"/>
        </w:rPr>
        <w:t xml:space="preserve"> </w:t>
      </w:r>
      <w:r w:rsidR="00E133A8" w:rsidRPr="00892F76">
        <w:rPr>
          <w:rFonts w:ascii="Arial" w:eastAsia="Calibri" w:hAnsi="Arial" w:cs="Arial"/>
          <w:sz w:val="20"/>
          <w:szCs w:val="20"/>
          <w:lang w:val="en-ZA"/>
        </w:rPr>
        <w:t>cent or R73,2</w:t>
      </w:r>
      <w:r w:rsidRPr="00892F76">
        <w:rPr>
          <w:rFonts w:ascii="Arial" w:eastAsia="Calibri" w:hAnsi="Arial" w:cs="Arial"/>
          <w:sz w:val="20"/>
          <w:szCs w:val="20"/>
          <w:lang w:val="en-ZA"/>
        </w:rPr>
        <w:t xml:space="preserve"> </w:t>
      </w:r>
      <w:r w:rsidR="00E133A8" w:rsidRPr="00892F76">
        <w:rPr>
          <w:rFonts w:ascii="Arial" w:eastAsia="Calibri" w:hAnsi="Arial" w:cs="Arial"/>
          <w:sz w:val="20"/>
          <w:szCs w:val="20"/>
          <w:lang w:val="en-ZA"/>
        </w:rPr>
        <w:t>m</w:t>
      </w:r>
      <w:r w:rsidRPr="00892F76">
        <w:rPr>
          <w:rFonts w:ascii="Arial" w:eastAsia="Calibri" w:hAnsi="Arial" w:cs="Arial"/>
          <w:sz w:val="20"/>
          <w:szCs w:val="20"/>
          <w:lang w:val="en-ZA"/>
        </w:rPr>
        <w:t>illion</w:t>
      </w:r>
      <w:r w:rsidR="00E133A8" w:rsidRPr="00892F76">
        <w:rPr>
          <w:rFonts w:ascii="Arial" w:eastAsia="Calibri" w:hAnsi="Arial" w:cs="Arial"/>
          <w:sz w:val="20"/>
          <w:szCs w:val="20"/>
          <w:lang w:val="en-ZA"/>
        </w:rPr>
        <w:t xml:space="preserve"> of the second quarter budget of R91,7</w:t>
      </w:r>
      <w:r w:rsidRPr="00892F76">
        <w:rPr>
          <w:rFonts w:ascii="Arial" w:eastAsia="Calibri" w:hAnsi="Arial" w:cs="Arial"/>
          <w:sz w:val="20"/>
          <w:szCs w:val="20"/>
          <w:lang w:val="en-ZA"/>
        </w:rPr>
        <w:t xml:space="preserve"> </w:t>
      </w:r>
      <w:r w:rsidR="00E133A8" w:rsidRPr="00892F76">
        <w:rPr>
          <w:rFonts w:ascii="Arial" w:eastAsia="Calibri" w:hAnsi="Arial" w:cs="Arial"/>
          <w:sz w:val="20"/>
          <w:szCs w:val="20"/>
          <w:lang w:val="en-ZA"/>
        </w:rPr>
        <w:t>m</w:t>
      </w:r>
      <w:r w:rsidRPr="00892F76">
        <w:rPr>
          <w:rFonts w:ascii="Arial" w:eastAsia="Calibri" w:hAnsi="Arial" w:cs="Arial"/>
          <w:sz w:val="20"/>
          <w:szCs w:val="20"/>
          <w:lang w:val="en-ZA"/>
        </w:rPr>
        <w:t>illion. Indications are</w:t>
      </w:r>
      <w:r w:rsidR="00E133A8" w:rsidRPr="00892F76">
        <w:rPr>
          <w:rFonts w:ascii="Arial" w:eastAsia="Calibri" w:hAnsi="Arial" w:cs="Arial"/>
          <w:sz w:val="20"/>
          <w:szCs w:val="20"/>
          <w:lang w:val="en-ZA"/>
        </w:rPr>
        <w:t xml:space="preserve"> tha</w:t>
      </w:r>
      <w:r w:rsidRPr="00892F76">
        <w:rPr>
          <w:rFonts w:ascii="Arial" w:eastAsia="Calibri" w:hAnsi="Arial" w:cs="Arial"/>
          <w:sz w:val="20"/>
          <w:szCs w:val="20"/>
          <w:lang w:val="en-ZA"/>
        </w:rPr>
        <w:t>t the full budget will be spent by</w:t>
      </w:r>
      <w:r w:rsidR="00E133A8" w:rsidRPr="00892F76">
        <w:rPr>
          <w:rFonts w:ascii="Arial" w:eastAsia="Calibri" w:hAnsi="Arial" w:cs="Arial"/>
          <w:sz w:val="20"/>
          <w:szCs w:val="20"/>
          <w:lang w:val="en-ZA"/>
        </w:rPr>
        <w:t xml:space="preserve"> the end of the financial year.</w:t>
      </w:r>
    </w:p>
    <w:p w:rsidR="002F513A" w:rsidRPr="00892F76" w:rsidRDefault="002F513A" w:rsidP="00892F76">
      <w:pPr>
        <w:spacing w:after="0" w:line="240" w:lineRule="auto"/>
        <w:ind w:left="720" w:firstLine="720"/>
        <w:rPr>
          <w:rFonts w:ascii="Arial" w:eastAsia="Calibri" w:hAnsi="Arial" w:cs="Arial"/>
          <w:b/>
          <w:sz w:val="20"/>
          <w:szCs w:val="20"/>
          <w:lang w:val="en-ZA"/>
        </w:rPr>
      </w:pPr>
    </w:p>
    <w:p w:rsidR="00E96DE7" w:rsidRPr="00892F76" w:rsidRDefault="002F24C3" w:rsidP="00892F76">
      <w:pPr>
        <w:spacing w:after="0" w:line="240" w:lineRule="auto"/>
        <w:rPr>
          <w:rFonts w:ascii="Arial" w:eastAsia="Calibri" w:hAnsi="Arial" w:cs="Arial"/>
          <w:b/>
          <w:sz w:val="20"/>
          <w:szCs w:val="20"/>
          <w:lang w:val="en-ZA"/>
        </w:rPr>
      </w:pPr>
      <w:r w:rsidRPr="00892F76">
        <w:rPr>
          <w:rFonts w:ascii="Arial" w:eastAsia="Calibri" w:hAnsi="Arial" w:cs="Arial"/>
          <w:b/>
          <w:sz w:val="20"/>
          <w:szCs w:val="20"/>
          <w:lang w:val="en-ZA"/>
        </w:rPr>
        <w:t>Part C</w:t>
      </w:r>
    </w:p>
    <w:p w:rsidR="00692686" w:rsidRPr="00892F76" w:rsidRDefault="009E67F5" w:rsidP="00892F76">
      <w:pPr>
        <w:spacing w:after="0" w:line="240" w:lineRule="auto"/>
        <w:rPr>
          <w:rFonts w:ascii="Arial" w:eastAsia="Calibri" w:hAnsi="Arial" w:cs="Arial"/>
          <w:b/>
          <w:sz w:val="20"/>
          <w:szCs w:val="20"/>
          <w:lang w:val="en-ZA"/>
        </w:rPr>
      </w:pPr>
      <w:r w:rsidRPr="00892F76">
        <w:rPr>
          <w:rFonts w:ascii="Arial" w:eastAsia="Calibri" w:hAnsi="Arial" w:cs="Arial"/>
          <w:b/>
          <w:sz w:val="20"/>
          <w:szCs w:val="20"/>
          <w:lang w:val="en-ZA"/>
        </w:rPr>
        <w:t>5</w:t>
      </w:r>
      <w:r w:rsidR="00F34604" w:rsidRPr="00892F76">
        <w:rPr>
          <w:rFonts w:ascii="Arial" w:eastAsia="Calibri" w:hAnsi="Arial" w:cs="Arial"/>
          <w:b/>
          <w:sz w:val="20"/>
          <w:szCs w:val="20"/>
          <w:lang w:val="en-ZA"/>
        </w:rPr>
        <w:t>.</w:t>
      </w:r>
      <w:r w:rsidR="00F34604" w:rsidRPr="00892F76">
        <w:rPr>
          <w:rFonts w:ascii="Arial" w:eastAsia="Calibri" w:hAnsi="Arial" w:cs="Arial"/>
          <w:b/>
          <w:sz w:val="20"/>
          <w:szCs w:val="20"/>
          <w:lang w:val="en-ZA"/>
        </w:rPr>
        <w:tab/>
      </w:r>
      <w:r w:rsidR="009A1AC9" w:rsidRPr="00892F76">
        <w:rPr>
          <w:rFonts w:ascii="Arial" w:eastAsia="Calibri" w:hAnsi="Arial" w:cs="Arial"/>
          <w:b/>
          <w:sz w:val="20"/>
          <w:szCs w:val="20"/>
          <w:lang w:val="en-ZA"/>
        </w:rPr>
        <w:t>Observations</w:t>
      </w:r>
    </w:p>
    <w:p w:rsidR="009A1AC9" w:rsidRPr="00892F76" w:rsidRDefault="009A1AC9" w:rsidP="00892F76">
      <w:pPr>
        <w:spacing w:after="0" w:line="240" w:lineRule="auto"/>
        <w:rPr>
          <w:rFonts w:ascii="Arial" w:eastAsia="Calibri" w:hAnsi="Arial" w:cs="Arial"/>
          <w:b/>
          <w:sz w:val="20"/>
          <w:szCs w:val="20"/>
          <w:lang w:val="en-ZA"/>
        </w:rPr>
      </w:pPr>
      <w:r w:rsidRPr="00892F76">
        <w:rPr>
          <w:rFonts w:ascii="Arial" w:eastAsia="Calibri" w:hAnsi="Arial" w:cs="Arial"/>
          <w:b/>
          <w:sz w:val="20"/>
          <w:szCs w:val="20"/>
          <w:lang w:val="en-ZA"/>
        </w:rPr>
        <w:t>5.1</w:t>
      </w:r>
      <w:r w:rsidRPr="00892F76">
        <w:rPr>
          <w:rFonts w:ascii="Arial" w:eastAsia="Calibri" w:hAnsi="Arial" w:cs="Arial"/>
          <w:b/>
          <w:sz w:val="20"/>
          <w:szCs w:val="20"/>
          <w:lang w:val="en-ZA"/>
        </w:rPr>
        <w:tab/>
        <w:t>Public Participation</w:t>
      </w:r>
    </w:p>
    <w:p w:rsidR="00020043" w:rsidRPr="00892F76" w:rsidRDefault="009A1AC9"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5.1.1</w:t>
      </w:r>
      <w:r w:rsidRPr="00892F76">
        <w:rPr>
          <w:rFonts w:ascii="Arial" w:eastAsia="Calibri" w:hAnsi="Arial" w:cs="Arial"/>
          <w:sz w:val="20"/>
          <w:szCs w:val="20"/>
          <w:lang w:val="en-ZA"/>
        </w:rPr>
        <w:tab/>
      </w:r>
      <w:r w:rsidR="007B072D" w:rsidRPr="00892F76">
        <w:rPr>
          <w:rFonts w:ascii="Arial" w:eastAsia="Calibri" w:hAnsi="Arial" w:cs="Arial"/>
          <w:sz w:val="20"/>
          <w:szCs w:val="20"/>
          <w:lang w:val="en-ZA"/>
        </w:rPr>
        <w:t xml:space="preserve">The Committee notes efforts to increase public participation and access to the business of Parliament, however we remain concerned that </w:t>
      </w:r>
      <w:r w:rsidR="00020043" w:rsidRPr="00892F76">
        <w:rPr>
          <w:rFonts w:ascii="Arial" w:eastAsia="Calibri" w:hAnsi="Arial" w:cs="Arial"/>
          <w:sz w:val="20"/>
          <w:szCs w:val="20"/>
          <w:lang w:val="en-ZA"/>
        </w:rPr>
        <w:t>progress in this regards appears to be slow. Of concern is that not enough is being done to ensure information about the work of Parliament reache</w:t>
      </w:r>
      <w:r w:rsidR="00F739A2" w:rsidRPr="00892F76">
        <w:rPr>
          <w:rFonts w:ascii="Arial" w:eastAsia="Calibri" w:hAnsi="Arial" w:cs="Arial"/>
          <w:sz w:val="20"/>
          <w:szCs w:val="20"/>
          <w:lang w:val="en-ZA"/>
        </w:rPr>
        <w:t>s as many citizens as possible despite this being one of the t</w:t>
      </w:r>
      <w:r w:rsidR="00346C8E" w:rsidRPr="00892F76">
        <w:rPr>
          <w:rFonts w:ascii="Arial" w:eastAsia="Calibri" w:hAnsi="Arial" w:cs="Arial"/>
          <w:sz w:val="20"/>
          <w:szCs w:val="20"/>
          <w:lang w:val="en-ZA"/>
        </w:rPr>
        <w:t>wo strategic objectives of the Sixth</w:t>
      </w:r>
      <w:r w:rsidR="00F739A2" w:rsidRPr="00892F76">
        <w:rPr>
          <w:rFonts w:ascii="Arial" w:eastAsia="Calibri" w:hAnsi="Arial" w:cs="Arial"/>
          <w:sz w:val="20"/>
          <w:szCs w:val="20"/>
          <w:lang w:val="en-ZA"/>
        </w:rPr>
        <w:t xml:space="preserve"> Parliament.</w:t>
      </w:r>
    </w:p>
    <w:p w:rsidR="00692686" w:rsidRPr="00892F76" w:rsidRDefault="007B072D"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ab/>
      </w:r>
    </w:p>
    <w:p w:rsidR="00692686" w:rsidRPr="00892F76" w:rsidRDefault="002F24C3" w:rsidP="00892F76">
      <w:pPr>
        <w:spacing w:after="0" w:line="240" w:lineRule="auto"/>
        <w:rPr>
          <w:rFonts w:ascii="Arial" w:eastAsia="Calibri" w:hAnsi="Arial" w:cs="Arial"/>
          <w:i/>
          <w:sz w:val="20"/>
          <w:szCs w:val="20"/>
          <w:lang w:val="en-ZA"/>
        </w:rPr>
      </w:pPr>
      <w:r w:rsidRPr="00892F76">
        <w:rPr>
          <w:rFonts w:ascii="Arial" w:eastAsia="Calibri" w:hAnsi="Arial" w:cs="Arial"/>
          <w:i/>
          <w:sz w:val="20"/>
          <w:szCs w:val="20"/>
          <w:lang w:val="en-ZA"/>
        </w:rPr>
        <w:t>5</w:t>
      </w:r>
      <w:r w:rsidR="00C61696" w:rsidRPr="00892F76">
        <w:rPr>
          <w:rFonts w:ascii="Arial" w:eastAsia="Calibri" w:hAnsi="Arial" w:cs="Arial"/>
          <w:i/>
          <w:sz w:val="20"/>
          <w:szCs w:val="20"/>
          <w:lang w:val="en-ZA"/>
        </w:rPr>
        <w:t>.</w:t>
      </w:r>
      <w:r w:rsidR="005B59F5" w:rsidRPr="00892F76">
        <w:rPr>
          <w:rFonts w:ascii="Arial" w:eastAsia="Calibri" w:hAnsi="Arial" w:cs="Arial"/>
          <w:i/>
          <w:sz w:val="20"/>
          <w:szCs w:val="20"/>
          <w:lang w:val="en-ZA"/>
        </w:rPr>
        <w:t>2</w:t>
      </w:r>
      <w:r w:rsidR="009E67F5" w:rsidRPr="00892F76">
        <w:rPr>
          <w:rFonts w:ascii="Arial" w:eastAsia="Calibri" w:hAnsi="Arial" w:cs="Arial"/>
          <w:i/>
          <w:sz w:val="20"/>
          <w:szCs w:val="20"/>
          <w:lang w:val="en-ZA"/>
        </w:rPr>
        <w:tab/>
      </w:r>
      <w:r w:rsidR="00692686" w:rsidRPr="00892F76">
        <w:rPr>
          <w:rFonts w:ascii="Arial" w:eastAsia="Calibri" w:hAnsi="Arial" w:cs="Arial"/>
          <w:i/>
          <w:sz w:val="20"/>
          <w:szCs w:val="20"/>
          <w:lang w:val="en-ZA"/>
        </w:rPr>
        <w:t>Organisational re-alignment</w:t>
      </w:r>
    </w:p>
    <w:p w:rsidR="00692686" w:rsidRPr="00892F76" w:rsidRDefault="002F24C3"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5</w:t>
      </w:r>
      <w:r w:rsidR="00C61696" w:rsidRPr="00892F76">
        <w:rPr>
          <w:rFonts w:ascii="Arial" w:eastAsia="Calibri" w:hAnsi="Arial" w:cs="Arial"/>
          <w:sz w:val="20"/>
          <w:szCs w:val="20"/>
          <w:lang w:val="en-ZA"/>
        </w:rPr>
        <w:t>.</w:t>
      </w:r>
      <w:r w:rsidR="005B59F5" w:rsidRPr="00892F76">
        <w:rPr>
          <w:rFonts w:ascii="Arial" w:eastAsia="Calibri" w:hAnsi="Arial" w:cs="Arial"/>
          <w:sz w:val="20"/>
          <w:szCs w:val="20"/>
          <w:lang w:val="en-ZA"/>
        </w:rPr>
        <w:t>2</w:t>
      </w:r>
      <w:r w:rsidR="009E67F5" w:rsidRPr="00892F76">
        <w:rPr>
          <w:rFonts w:ascii="Arial" w:eastAsia="Calibri" w:hAnsi="Arial" w:cs="Arial"/>
          <w:sz w:val="20"/>
          <w:szCs w:val="20"/>
          <w:lang w:val="en-ZA"/>
        </w:rPr>
        <w:t>.1</w:t>
      </w:r>
      <w:r w:rsidR="009E67F5" w:rsidRPr="00892F76">
        <w:rPr>
          <w:rFonts w:ascii="Arial" w:eastAsia="Calibri" w:hAnsi="Arial" w:cs="Arial"/>
          <w:sz w:val="20"/>
          <w:szCs w:val="20"/>
          <w:lang w:val="en-ZA"/>
        </w:rPr>
        <w:tab/>
      </w:r>
      <w:r w:rsidR="00346C8E" w:rsidRPr="00892F76">
        <w:rPr>
          <w:rFonts w:ascii="Arial" w:eastAsia="Calibri" w:hAnsi="Arial" w:cs="Arial"/>
          <w:sz w:val="20"/>
          <w:szCs w:val="20"/>
          <w:lang w:val="en-ZA"/>
        </w:rPr>
        <w:t xml:space="preserve">As in the previous year’s mid-year report, </w:t>
      </w:r>
      <w:r w:rsidR="00692686" w:rsidRPr="00892F76">
        <w:rPr>
          <w:rFonts w:ascii="Arial" w:eastAsia="Calibri" w:hAnsi="Arial" w:cs="Arial"/>
          <w:sz w:val="20"/>
          <w:szCs w:val="20"/>
          <w:lang w:val="en-ZA"/>
        </w:rPr>
        <w:t>Parliame</w:t>
      </w:r>
      <w:r w:rsidR="00346C8E" w:rsidRPr="00892F76">
        <w:rPr>
          <w:rFonts w:ascii="Arial" w:eastAsia="Calibri" w:hAnsi="Arial" w:cs="Arial"/>
          <w:sz w:val="20"/>
          <w:szCs w:val="20"/>
          <w:lang w:val="en-ZA"/>
        </w:rPr>
        <w:t>nt</w:t>
      </w:r>
      <w:r w:rsidR="00A52347" w:rsidRPr="00892F76">
        <w:rPr>
          <w:rFonts w:ascii="Arial" w:eastAsia="Calibri" w:hAnsi="Arial" w:cs="Arial"/>
          <w:sz w:val="20"/>
          <w:szCs w:val="20"/>
          <w:lang w:val="en-ZA"/>
        </w:rPr>
        <w:t xml:space="preserve"> reported that the organis</w:t>
      </w:r>
      <w:r w:rsidR="00692686" w:rsidRPr="00892F76">
        <w:rPr>
          <w:rFonts w:ascii="Arial" w:eastAsia="Calibri" w:hAnsi="Arial" w:cs="Arial"/>
          <w:sz w:val="20"/>
          <w:szCs w:val="20"/>
          <w:lang w:val="en-ZA"/>
        </w:rPr>
        <w:t>ational re-alignment project was progressing as planned</w:t>
      </w:r>
      <w:r w:rsidR="00BE143E" w:rsidRPr="00892F76">
        <w:rPr>
          <w:rFonts w:ascii="Arial" w:eastAsia="Calibri" w:hAnsi="Arial" w:cs="Arial"/>
          <w:sz w:val="20"/>
          <w:szCs w:val="20"/>
          <w:lang w:val="en-ZA"/>
        </w:rPr>
        <w:t>, and that phase two was underway</w:t>
      </w:r>
      <w:r w:rsidR="00692686" w:rsidRPr="00892F76">
        <w:rPr>
          <w:rFonts w:ascii="Arial" w:eastAsia="Calibri" w:hAnsi="Arial" w:cs="Arial"/>
          <w:sz w:val="20"/>
          <w:szCs w:val="20"/>
          <w:lang w:val="en-ZA"/>
        </w:rPr>
        <w:t xml:space="preserve">. </w:t>
      </w:r>
      <w:r w:rsidR="00346C8E" w:rsidRPr="00892F76">
        <w:rPr>
          <w:rFonts w:ascii="Arial" w:eastAsia="Calibri" w:hAnsi="Arial" w:cs="Arial"/>
          <w:sz w:val="20"/>
          <w:szCs w:val="20"/>
          <w:lang w:val="en-ZA"/>
        </w:rPr>
        <w:t>Little or no progress appears to have been made, and th</w:t>
      </w:r>
      <w:r w:rsidR="00692686" w:rsidRPr="00892F76">
        <w:rPr>
          <w:rFonts w:ascii="Arial" w:eastAsia="Calibri" w:hAnsi="Arial" w:cs="Arial"/>
          <w:sz w:val="20"/>
          <w:szCs w:val="20"/>
          <w:lang w:val="en-ZA"/>
        </w:rPr>
        <w:t xml:space="preserve">e Committee </w:t>
      </w:r>
      <w:r w:rsidR="00BE143E" w:rsidRPr="00892F76">
        <w:rPr>
          <w:rFonts w:ascii="Arial" w:eastAsia="Calibri" w:hAnsi="Arial" w:cs="Arial"/>
          <w:sz w:val="20"/>
          <w:szCs w:val="20"/>
          <w:lang w:val="en-ZA"/>
        </w:rPr>
        <w:t>has to date not been briefed in detail on what the project entails or its implementation plan.</w:t>
      </w:r>
    </w:p>
    <w:p w:rsidR="00692686" w:rsidRPr="00892F76" w:rsidRDefault="00692686" w:rsidP="00892F76">
      <w:pPr>
        <w:spacing w:after="0" w:line="240" w:lineRule="auto"/>
        <w:rPr>
          <w:rFonts w:ascii="Arial" w:eastAsia="Calibri" w:hAnsi="Arial" w:cs="Arial"/>
          <w:sz w:val="20"/>
          <w:szCs w:val="20"/>
          <w:lang w:val="en-ZA"/>
        </w:rPr>
      </w:pPr>
    </w:p>
    <w:p w:rsidR="00D82498" w:rsidRPr="00892F76" w:rsidRDefault="00C61696" w:rsidP="00892F76">
      <w:pPr>
        <w:spacing w:after="0" w:line="240" w:lineRule="auto"/>
        <w:rPr>
          <w:rFonts w:ascii="Arial" w:eastAsia="Calibri" w:hAnsi="Arial" w:cs="Arial"/>
          <w:i/>
          <w:sz w:val="20"/>
          <w:szCs w:val="20"/>
          <w:lang w:val="en-ZA"/>
        </w:rPr>
      </w:pPr>
      <w:r w:rsidRPr="00892F76">
        <w:rPr>
          <w:rFonts w:ascii="Arial" w:eastAsia="Calibri" w:hAnsi="Arial" w:cs="Arial"/>
          <w:i/>
          <w:sz w:val="20"/>
          <w:szCs w:val="20"/>
          <w:lang w:val="en-ZA"/>
        </w:rPr>
        <w:t>5.</w:t>
      </w:r>
      <w:r w:rsidR="005B59F5" w:rsidRPr="00892F76">
        <w:rPr>
          <w:rFonts w:ascii="Arial" w:eastAsia="Calibri" w:hAnsi="Arial" w:cs="Arial"/>
          <w:i/>
          <w:sz w:val="20"/>
          <w:szCs w:val="20"/>
          <w:lang w:val="en-ZA"/>
        </w:rPr>
        <w:t>3</w:t>
      </w:r>
      <w:r w:rsidR="00D82498" w:rsidRPr="00892F76">
        <w:rPr>
          <w:rFonts w:ascii="Arial" w:eastAsia="Calibri" w:hAnsi="Arial" w:cs="Arial"/>
          <w:i/>
          <w:sz w:val="20"/>
          <w:szCs w:val="20"/>
          <w:lang w:val="en-ZA"/>
        </w:rPr>
        <w:tab/>
        <w:t>Filling of critical vacancies</w:t>
      </w:r>
    </w:p>
    <w:p w:rsidR="00D82498" w:rsidRPr="00892F76" w:rsidRDefault="00C61696"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5.</w:t>
      </w:r>
      <w:r w:rsidR="005B59F5" w:rsidRPr="00892F76">
        <w:rPr>
          <w:rFonts w:ascii="Arial" w:eastAsia="Calibri" w:hAnsi="Arial" w:cs="Arial"/>
          <w:sz w:val="20"/>
          <w:szCs w:val="20"/>
          <w:lang w:val="en-ZA"/>
        </w:rPr>
        <w:t>3</w:t>
      </w:r>
      <w:r w:rsidR="00D82498" w:rsidRPr="00892F76">
        <w:rPr>
          <w:rFonts w:ascii="Arial" w:eastAsia="Calibri" w:hAnsi="Arial" w:cs="Arial"/>
          <w:sz w:val="20"/>
          <w:szCs w:val="20"/>
          <w:lang w:val="en-ZA"/>
        </w:rPr>
        <w:t>.1</w:t>
      </w:r>
      <w:r w:rsidR="00D82498" w:rsidRPr="00892F76">
        <w:rPr>
          <w:rFonts w:ascii="Arial" w:eastAsia="Calibri" w:hAnsi="Arial" w:cs="Arial"/>
          <w:sz w:val="20"/>
          <w:szCs w:val="20"/>
          <w:lang w:val="en-ZA"/>
        </w:rPr>
        <w:tab/>
        <w:t>The Committee</w:t>
      </w:r>
      <w:r w:rsidR="00346C8E" w:rsidRPr="00892F76">
        <w:rPr>
          <w:rFonts w:ascii="Arial" w:eastAsia="Calibri" w:hAnsi="Arial" w:cs="Arial"/>
          <w:sz w:val="20"/>
          <w:szCs w:val="20"/>
          <w:lang w:val="en-ZA"/>
        </w:rPr>
        <w:t xml:space="preserve"> welcomes the appointment of Mr Xolile George as Secretary to Parliament in the period un</w:t>
      </w:r>
      <w:r w:rsidR="0018213C" w:rsidRPr="00892F76">
        <w:rPr>
          <w:rFonts w:ascii="Arial" w:eastAsia="Calibri" w:hAnsi="Arial" w:cs="Arial"/>
          <w:sz w:val="20"/>
          <w:szCs w:val="20"/>
          <w:lang w:val="en-ZA"/>
        </w:rPr>
        <w:t xml:space="preserve">der review, but remains concerned </w:t>
      </w:r>
      <w:r w:rsidR="00346C8E" w:rsidRPr="00892F76">
        <w:rPr>
          <w:rFonts w:ascii="Arial" w:eastAsia="Calibri" w:hAnsi="Arial" w:cs="Arial"/>
          <w:sz w:val="20"/>
          <w:szCs w:val="20"/>
          <w:lang w:val="en-ZA"/>
        </w:rPr>
        <w:t xml:space="preserve">about other critical vacancies including that of </w:t>
      </w:r>
      <w:r w:rsidR="0018213C" w:rsidRPr="00892F76">
        <w:rPr>
          <w:rFonts w:ascii="Arial" w:eastAsia="Calibri" w:hAnsi="Arial" w:cs="Arial"/>
          <w:sz w:val="20"/>
          <w:szCs w:val="20"/>
          <w:lang w:val="en-ZA"/>
        </w:rPr>
        <w:t>the</w:t>
      </w:r>
      <w:r w:rsidR="00346C8E" w:rsidRPr="00892F76">
        <w:rPr>
          <w:rFonts w:ascii="Arial" w:eastAsia="Calibri" w:hAnsi="Arial" w:cs="Arial"/>
          <w:sz w:val="20"/>
          <w:szCs w:val="20"/>
          <w:lang w:val="en-ZA"/>
        </w:rPr>
        <w:t xml:space="preserve"> head of the Parliamentary Protection Service.</w:t>
      </w:r>
    </w:p>
    <w:p w:rsidR="00AC0BBA" w:rsidRPr="00892F76" w:rsidRDefault="00AC0BBA" w:rsidP="00892F76">
      <w:pPr>
        <w:spacing w:after="0" w:line="240" w:lineRule="auto"/>
        <w:ind w:firstLine="720"/>
        <w:rPr>
          <w:rFonts w:ascii="Arial" w:eastAsia="Calibri" w:hAnsi="Arial" w:cs="Arial"/>
          <w:sz w:val="20"/>
          <w:szCs w:val="20"/>
          <w:lang w:val="en-ZA"/>
        </w:rPr>
      </w:pPr>
    </w:p>
    <w:p w:rsidR="00692686" w:rsidRPr="00892F76" w:rsidRDefault="00C61696" w:rsidP="00892F76">
      <w:pPr>
        <w:spacing w:after="0" w:line="240" w:lineRule="auto"/>
        <w:rPr>
          <w:rFonts w:ascii="Arial" w:eastAsia="Calibri" w:hAnsi="Arial" w:cs="Arial"/>
          <w:i/>
          <w:sz w:val="20"/>
          <w:szCs w:val="20"/>
          <w:lang w:val="en-ZA"/>
        </w:rPr>
      </w:pPr>
      <w:r w:rsidRPr="00892F76">
        <w:rPr>
          <w:rFonts w:ascii="Arial" w:eastAsia="Calibri" w:hAnsi="Arial" w:cs="Arial"/>
          <w:i/>
          <w:sz w:val="20"/>
          <w:szCs w:val="20"/>
          <w:lang w:val="en-ZA"/>
        </w:rPr>
        <w:t>5.</w:t>
      </w:r>
      <w:r w:rsidR="005B59F5" w:rsidRPr="00892F76">
        <w:rPr>
          <w:rFonts w:ascii="Arial" w:eastAsia="Calibri" w:hAnsi="Arial" w:cs="Arial"/>
          <w:i/>
          <w:sz w:val="20"/>
          <w:szCs w:val="20"/>
          <w:lang w:val="en-ZA"/>
        </w:rPr>
        <w:t>4</w:t>
      </w:r>
      <w:r w:rsidRPr="00892F76">
        <w:rPr>
          <w:rFonts w:ascii="Arial" w:eastAsia="Calibri" w:hAnsi="Arial" w:cs="Arial"/>
          <w:i/>
          <w:sz w:val="20"/>
          <w:szCs w:val="20"/>
          <w:lang w:val="en-ZA"/>
        </w:rPr>
        <w:tab/>
      </w:r>
      <w:r w:rsidR="00AC0BBA" w:rsidRPr="00892F76">
        <w:rPr>
          <w:rFonts w:ascii="Arial" w:eastAsia="Calibri" w:hAnsi="Arial" w:cs="Arial"/>
          <w:i/>
          <w:sz w:val="20"/>
          <w:szCs w:val="20"/>
          <w:lang w:val="en-ZA"/>
        </w:rPr>
        <w:t>Performance management in respect of Programme 3</w:t>
      </w:r>
    </w:p>
    <w:p w:rsidR="00692686" w:rsidRPr="00892F76" w:rsidRDefault="002F24C3"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5</w:t>
      </w:r>
      <w:r w:rsidR="00C61696" w:rsidRPr="00892F76">
        <w:rPr>
          <w:rFonts w:ascii="Arial" w:eastAsia="Calibri" w:hAnsi="Arial" w:cs="Arial"/>
          <w:sz w:val="20"/>
          <w:szCs w:val="20"/>
          <w:lang w:val="en-ZA"/>
        </w:rPr>
        <w:t>.</w:t>
      </w:r>
      <w:r w:rsidR="005B59F5" w:rsidRPr="00892F76">
        <w:rPr>
          <w:rFonts w:ascii="Arial" w:eastAsia="Calibri" w:hAnsi="Arial" w:cs="Arial"/>
          <w:sz w:val="20"/>
          <w:szCs w:val="20"/>
          <w:lang w:val="en-ZA"/>
        </w:rPr>
        <w:t>4</w:t>
      </w:r>
      <w:r w:rsidR="009E67F5" w:rsidRPr="00892F76">
        <w:rPr>
          <w:rFonts w:ascii="Arial" w:eastAsia="Calibri" w:hAnsi="Arial" w:cs="Arial"/>
          <w:sz w:val="20"/>
          <w:szCs w:val="20"/>
          <w:lang w:val="en-ZA"/>
        </w:rPr>
        <w:t>.1</w:t>
      </w:r>
      <w:r w:rsidR="009E67F5" w:rsidRPr="00892F76">
        <w:rPr>
          <w:rFonts w:ascii="Arial" w:eastAsia="Calibri" w:hAnsi="Arial" w:cs="Arial"/>
          <w:sz w:val="20"/>
          <w:szCs w:val="20"/>
          <w:lang w:val="en-ZA"/>
        </w:rPr>
        <w:tab/>
      </w:r>
      <w:r w:rsidR="00AC0BBA" w:rsidRPr="00892F76">
        <w:rPr>
          <w:rFonts w:ascii="Arial" w:eastAsia="Calibri" w:hAnsi="Arial" w:cs="Arial"/>
          <w:sz w:val="20"/>
          <w:szCs w:val="20"/>
          <w:lang w:val="en-ZA"/>
        </w:rPr>
        <w:t xml:space="preserve">The Committee remains concerned </w:t>
      </w:r>
      <w:r w:rsidR="007F5216" w:rsidRPr="00892F76">
        <w:rPr>
          <w:rFonts w:ascii="Arial" w:eastAsia="Calibri" w:hAnsi="Arial" w:cs="Arial"/>
          <w:sz w:val="20"/>
          <w:szCs w:val="20"/>
          <w:lang w:val="en-ZA"/>
        </w:rPr>
        <w:t>that there are no performance indicators under this programme especially given the serious challenges experienced as far as services related to this programme. While the Committee has noted the explanation that as the matters provided for under this programme relate to ‘inputs’, and not items against which Parliament was required perform, it is unconvinced that performance could not be measured.</w:t>
      </w:r>
    </w:p>
    <w:p w:rsidR="00346C8E" w:rsidRPr="00892F76" w:rsidRDefault="00346C8E" w:rsidP="00892F76">
      <w:pPr>
        <w:spacing w:after="0" w:line="240" w:lineRule="auto"/>
        <w:ind w:left="720" w:hanging="720"/>
        <w:rPr>
          <w:rFonts w:ascii="Arial" w:eastAsia="Calibri" w:hAnsi="Arial" w:cs="Arial"/>
          <w:i/>
          <w:sz w:val="20"/>
          <w:szCs w:val="20"/>
          <w:lang w:val="en-ZA"/>
        </w:rPr>
      </w:pPr>
    </w:p>
    <w:p w:rsidR="001F0362" w:rsidRPr="00892F76" w:rsidRDefault="002F24C3" w:rsidP="00892F76">
      <w:pPr>
        <w:spacing w:after="0" w:line="240" w:lineRule="auto"/>
        <w:rPr>
          <w:rFonts w:ascii="Arial" w:eastAsia="Calibri" w:hAnsi="Arial" w:cs="Arial"/>
          <w:b/>
          <w:sz w:val="20"/>
          <w:szCs w:val="20"/>
          <w:lang w:val="en-ZA"/>
        </w:rPr>
      </w:pPr>
      <w:r w:rsidRPr="00892F76">
        <w:rPr>
          <w:rFonts w:ascii="Arial" w:eastAsia="Calibri" w:hAnsi="Arial" w:cs="Arial"/>
          <w:b/>
          <w:sz w:val="20"/>
          <w:szCs w:val="20"/>
          <w:lang w:val="en-ZA"/>
        </w:rPr>
        <w:t>Part D</w:t>
      </w:r>
    </w:p>
    <w:p w:rsidR="00CC7C5C" w:rsidRPr="00892F76" w:rsidRDefault="002F24C3" w:rsidP="00892F76">
      <w:pPr>
        <w:spacing w:after="0" w:line="240" w:lineRule="auto"/>
        <w:rPr>
          <w:rFonts w:ascii="Arial" w:eastAsia="Calibri" w:hAnsi="Arial" w:cs="Arial"/>
          <w:b/>
          <w:sz w:val="20"/>
          <w:szCs w:val="20"/>
          <w:lang w:val="en-ZA"/>
        </w:rPr>
      </w:pPr>
      <w:r w:rsidRPr="00892F76">
        <w:rPr>
          <w:rFonts w:ascii="Arial" w:eastAsia="Calibri" w:hAnsi="Arial" w:cs="Arial"/>
          <w:b/>
          <w:sz w:val="20"/>
          <w:szCs w:val="20"/>
          <w:lang w:val="en-ZA"/>
        </w:rPr>
        <w:t>6</w:t>
      </w:r>
      <w:r w:rsidR="00CC7C5C" w:rsidRPr="00892F76">
        <w:rPr>
          <w:rFonts w:ascii="Arial" w:eastAsia="Calibri" w:hAnsi="Arial" w:cs="Arial"/>
          <w:b/>
          <w:sz w:val="20"/>
          <w:szCs w:val="20"/>
          <w:lang w:val="en-ZA"/>
        </w:rPr>
        <w:t>.</w:t>
      </w:r>
      <w:r w:rsidR="00CC7C5C" w:rsidRPr="00892F76">
        <w:rPr>
          <w:rFonts w:ascii="Arial" w:eastAsia="Calibri" w:hAnsi="Arial" w:cs="Arial"/>
          <w:b/>
          <w:sz w:val="20"/>
          <w:szCs w:val="20"/>
          <w:lang w:val="en-ZA"/>
        </w:rPr>
        <w:tab/>
        <w:t>Recommendations</w:t>
      </w:r>
    </w:p>
    <w:p w:rsidR="00C61696" w:rsidRPr="00892F76" w:rsidRDefault="001F0362" w:rsidP="00892F76">
      <w:pPr>
        <w:spacing w:after="0" w:line="240" w:lineRule="auto"/>
        <w:rPr>
          <w:rFonts w:ascii="Arial" w:eastAsia="Calibri" w:hAnsi="Arial" w:cs="Arial"/>
          <w:sz w:val="20"/>
          <w:szCs w:val="20"/>
          <w:lang w:val="en-ZA"/>
        </w:rPr>
      </w:pPr>
      <w:r w:rsidRPr="00892F76">
        <w:rPr>
          <w:rFonts w:ascii="Arial" w:eastAsia="Calibri" w:hAnsi="Arial" w:cs="Arial"/>
          <w:sz w:val="20"/>
          <w:szCs w:val="20"/>
          <w:lang w:val="en-ZA"/>
        </w:rPr>
        <w:t>The Executive Authority should provide the Committee with a response to the recommendations bel</w:t>
      </w:r>
      <w:r w:rsidR="00E96DE7" w:rsidRPr="00892F76">
        <w:rPr>
          <w:rFonts w:ascii="Arial" w:eastAsia="Calibri" w:hAnsi="Arial" w:cs="Arial"/>
          <w:sz w:val="20"/>
          <w:szCs w:val="20"/>
          <w:lang w:val="en-ZA"/>
        </w:rPr>
        <w:t>ow within 30 days of the adoption</w:t>
      </w:r>
      <w:r w:rsidRPr="00892F76">
        <w:rPr>
          <w:rFonts w:ascii="Arial" w:eastAsia="Calibri" w:hAnsi="Arial" w:cs="Arial"/>
          <w:sz w:val="20"/>
          <w:szCs w:val="20"/>
          <w:lang w:val="en-ZA"/>
        </w:rPr>
        <w:t xml:space="preserve"> of</w:t>
      </w:r>
      <w:r w:rsidR="00A8392D" w:rsidRPr="00892F76">
        <w:rPr>
          <w:rFonts w:ascii="Arial" w:eastAsia="Calibri" w:hAnsi="Arial" w:cs="Arial"/>
          <w:sz w:val="20"/>
          <w:szCs w:val="20"/>
          <w:lang w:val="en-ZA"/>
        </w:rPr>
        <w:t xml:space="preserve"> this report</w:t>
      </w:r>
      <w:r w:rsidR="00C61696" w:rsidRPr="00892F76">
        <w:rPr>
          <w:rFonts w:ascii="Arial" w:eastAsia="Calibri" w:hAnsi="Arial" w:cs="Arial"/>
          <w:sz w:val="20"/>
          <w:szCs w:val="20"/>
          <w:lang w:val="en-ZA"/>
        </w:rPr>
        <w:t xml:space="preserve"> by the NA and the NCOP</w:t>
      </w:r>
      <w:r w:rsidR="00A8392D" w:rsidRPr="00892F76">
        <w:rPr>
          <w:rFonts w:ascii="Arial" w:eastAsia="Calibri" w:hAnsi="Arial" w:cs="Arial"/>
          <w:sz w:val="20"/>
          <w:szCs w:val="20"/>
          <w:lang w:val="en-ZA"/>
        </w:rPr>
        <w:t>.</w:t>
      </w:r>
    </w:p>
    <w:p w:rsidR="009D0348" w:rsidRPr="00892F76" w:rsidRDefault="009D0348" w:rsidP="00892F76">
      <w:pPr>
        <w:spacing w:after="0" w:line="240" w:lineRule="auto"/>
        <w:rPr>
          <w:rFonts w:ascii="Arial" w:eastAsia="Calibri" w:hAnsi="Arial" w:cs="Arial"/>
          <w:i/>
          <w:sz w:val="20"/>
          <w:szCs w:val="20"/>
          <w:lang w:val="en-ZA"/>
        </w:rPr>
      </w:pPr>
    </w:p>
    <w:p w:rsidR="00C61696" w:rsidRPr="00892F76" w:rsidRDefault="00C61696" w:rsidP="00892F76">
      <w:pPr>
        <w:spacing w:after="0" w:line="240" w:lineRule="auto"/>
        <w:rPr>
          <w:rFonts w:ascii="Arial" w:eastAsia="Calibri" w:hAnsi="Arial" w:cs="Arial"/>
          <w:i/>
          <w:sz w:val="20"/>
          <w:szCs w:val="20"/>
          <w:lang w:val="en-ZA"/>
        </w:rPr>
      </w:pPr>
      <w:r w:rsidRPr="00892F76">
        <w:rPr>
          <w:rFonts w:ascii="Arial" w:eastAsia="Calibri" w:hAnsi="Arial" w:cs="Arial"/>
          <w:i/>
          <w:sz w:val="20"/>
          <w:szCs w:val="20"/>
          <w:lang w:val="en-ZA"/>
        </w:rPr>
        <w:t>6.1</w:t>
      </w:r>
      <w:r w:rsidRPr="00892F76">
        <w:rPr>
          <w:rFonts w:ascii="Arial" w:eastAsia="Calibri" w:hAnsi="Arial" w:cs="Arial"/>
          <w:i/>
          <w:sz w:val="20"/>
          <w:szCs w:val="20"/>
          <w:lang w:val="en-ZA"/>
        </w:rPr>
        <w:tab/>
        <w:t>Public Participation</w:t>
      </w:r>
    </w:p>
    <w:p w:rsidR="009A1AC9" w:rsidRPr="00892F76" w:rsidRDefault="00C61696" w:rsidP="00892F76">
      <w:pPr>
        <w:spacing w:after="0" w:line="240" w:lineRule="auto"/>
        <w:ind w:left="720" w:hanging="720"/>
        <w:rPr>
          <w:rFonts w:ascii="Arial" w:eastAsia="Calibri" w:hAnsi="Arial" w:cs="Arial"/>
          <w:sz w:val="20"/>
          <w:szCs w:val="20"/>
        </w:rPr>
      </w:pPr>
      <w:r w:rsidRPr="00892F76">
        <w:rPr>
          <w:rFonts w:ascii="Arial" w:eastAsia="Calibri" w:hAnsi="Arial" w:cs="Arial"/>
          <w:sz w:val="20"/>
          <w:szCs w:val="20"/>
          <w:lang w:val="en-ZA"/>
        </w:rPr>
        <w:t>6.1.1</w:t>
      </w:r>
      <w:r w:rsidRPr="00892F76">
        <w:rPr>
          <w:rFonts w:ascii="Arial" w:eastAsia="Calibri" w:hAnsi="Arial" w:cs="Arial"/>
          <w:sz w:val="20"/>
          <w:szCs w:val="20"/>
          <w:lang w:val="en-ZA"/>
        </w:rPr>
        <w:tab/>
      </w:r>
      <w:r w:rsidR="00346C8E" w:rsidRPr="00892F76">
        <w:rPr>
          <w:rFonts w:ascii="Arial" w:eastAsia="Calibri" w:hAnsi="Arial" w:cs="Arial"/>
          <w:sz w:val="20"/>
          <w:szCs w:val="20"/>
          <w:lang w:val="en-ZA"/>
        </w:rPr>
        <w:t>In respect of greater public awareness of the business of Parliament, the</w:t>
      </w:r>
      <w:r w:rsidR="009A1AC9" w:rsidRPr="00892F76">
        <w:rPr>
          <w:rFonts w:ascii="Arial" w:eastAsia="Calibri" w:hAnsi="Arial" w:cs="Arial"/>
          <w:sz w:val="20"/>
          <w:szCs w:val="20"/>
          <w:lang w:val="en-ZA"/>
        </w:rPr>
        <w:t xml:space="preserve"> Committee</w:t>
      </w:r>
      <w:r w:rsidR="00346C8E" w:rsidRPr="00892F76">
        <w:rPr>
          <w:rFonts w:ascii="Arial" w:eastAsia="Calibri" w:hAnsi="Arial" w:cs="Arial"/>
          <w:sz w:val="20"/>
          <w:szCs w:val="20"/>
          <w:lang w:val="en-ZA"/>
        </w:rPr>
        <w:t xml:space="preserve"> was still awaiting a</w:t>
      </w:r>
      <w:r w:rsidR="009A1AC9" w:rsidRPr="00892F76">
        <w:rPr>
          <w:rFonts w:ascii="Arial" w:eastAsia="Calibri" w:hAnsi="Arial" w:cs="Arial"/>
          <w:sz w:val="20"/>
          <w:szCs w:val="20"/>
          <w:lang w:val="en-ZA"/>
        </w:rPr>
        <w:t xml:space="preserve"> project plan for securing licencing through</w:t>
      </w:r>
      <w:r w:rsidR="003A6FBC" w:rsidRPr="00892F76">
        <w:rPr>
          <w:rFonts w:ascii="Arial" w:eastAsia="Calibri" w:hAnsi="Arial" w:cs="Arial"/>
          <w:sz w:val="20"/>
          <w:szCs w:val="20"/>
          <w:lang w:val="en-ZA"/>
        </w:rPr>
        <w:t xml:space="preserve"> Independent Communications Authority of South Africa (ICASA</w:t>
      </w:r>
      <w:r w:rsidR="00346C8E" w:rsidRPr="00892F76">
        <w:rPr>
          <w:rFonts w:ascii="Arial" w:eastAsia="Calibri" w:hAnsi="Arial" w:cs="Arial"/>
          <w:sz w:val="20"/>
          <w:szCs w:val="20"/>
          <w:lang w:val="en-ZA"/>
        </w:rPr>
        <w:t xml:space="preserve">). The Committee again requests quarterly updates in this regard. </w:t>
      </w:r>
    </w:p>
    <w:p w:rsidR="009A1AC9" w:rsidRPr="00892F76" w:rsidRDefault="00C61696"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6.1.2</w:t>
      </w:r>
      <w:r w:rsidRPr="00892F76">
        <w:rPr>
          <w:rFonts w:ascii="Arial" w:eastAsia="Calibri" w:hAnsi="Arial" w:cs="Arial"/>
          <w:sz w:val="20"/>
          <w:szCs w:val="20"/>
          <w:lang w:val="en-ZA"/>
        </w:rPr>
        <w:tab/>
      </w:r>
      <w:r w:rsidR="009A1AC9" w:rsidRPr="00892F76">
        <w:rPr>
          <w:rFonts w:ascii="Arial" w:eastAsia="Calibri" w:hAnsi="Arial" w:cs="Arial"/>
          <w:sz w:val="20"/>
          <w:szCs w:val="20"/>
          <w:lang w:val="en-ZA"/>
        </w:rPr>
        <w:t xml:space="preserve">The Committee </w:t>
      </w:r>
      <w:r w:rsidR="00346C8E" w:rsidRPr="00892F76">
        <w:rPr>
          <w:rFonts w:ascii="Arial" w:eastAsia="Calibri" w:hAnsi="Arial" w:cs="Arial"/>
          <w:sz w:val="20"/>
          <w:szCs w:val="20"/>
          <w:lang w:val="en-ZA"/>
        </w:rPr>
        <w:t xml:space="preserve">again </w:t>
      </w:r>
      <w:r w:rsidR="009A1AC9" w:rsidRPr="00892F76">
        <w:rPr>
          <w:rFonts w:ascii="Arial" w:eastAsia="Calibri" w:hAnsi="Arial" w:cs="Arial"/>
          <w:sz w:val="20"/>
          <w:szCs w:val="20"/>
          <w:lang w:val="en-ZA"/>
        </w:rPr>
        <w:t xml:space="preserve">cautions against over-reliance on social and broadcast media for the dissemination of information related to the business of Parliament. </w:t>
      </w:r>
      <w:r w:rsidR="000415D4" w:rsidRPr="00892F76">
        <w:rPr>
          <w:rFonts w:ascii="Arial" w:eastAsia="Calibri" w:hAnsi="Arial" w:cs="Arial"/>
          <w:sz w:val="20"/>
          <w:szCs w:val="20"/>
          <w:lang w:val="en-ZA"/>
        </w:rPr>
        <w:t xml:space="preserve">The Committee reiterates </w:t>
      </w:r>
      <w:r w:rsidR="000415D4" w:rsidRPr="00892F76">
        <w:rPr>
          <w:rFonts w:ascii="Arial" w:eastAsia="Calibri" w:hAnsi="Arial" w:cs="Arial"/>
          <w:sz w:val="20"/>
          <w:szCs w:val="20"/>
          <w:lang w:val="en-ZA"/>
        </w:rPr>
        <w:lastRenderedPageBreak/>
        <w:t>its previous recommendations that e</w:t>
      </w:r>
      <w:r w:rsidR="009A1AC9" w:rsidRPr="00892F76">
        <w:rPr>
          <w:rFonts w:ascii="Arial" w:eastAsia="Calibri" w:hAnsi="Arial" w:cs="Arial"/>
          <w:sz w:val="20"/>
          <w:szCs w:val="20"/>
          <w:lang w:val="en-ZA"/>
        </w:rPr>
        <w:t xml:space="preserve">ach quarterly report should include </w:t>
      </w:r>
      <w:r w:rsidR="000415D4" w:rsidRPr="00892F76">
        <w:rPr>
          <w:rFonts w:ascii="Arial" w:eastAsia="Calibri" w:hAnsi="Arial" w:cs="Arial"/>
          <w:sz w:val="20"/>
          <w:szCs w:val="20"/>
          <w:lang w:val="en-ZA"/>
        </w:rPr>
        <w:t>detailed</w:t>
      </w:r>
      <w:r w:rsidR="009A1AC9" w:rsidRPr="00892F76">
        <w:rPr>
          <w:rFonts w:ascii="Arial" w:eastAsia="Calibri" w:hAnsi="Arial" w:cs="Arial"/>
          <w:sz w:val="20"/>
          <w:szCs w:val="20"/>
          <w:lang w:val="en-ZA"/>
        </w:rPr>
        <w:t xml:space="preserve"> progress reports on how access to Parliament and its business will be increased to ensure that most citizens are able to have their voices heard. </w:t>
      </w:r>
    </w:p>
    <w:p w:rsidR="009A1AC9" w:rsidRPr="00892F76" w:rsidRDefault="009A1AC9" w:rsidP="00892F76">
      <w:pPr>
        <w:spacing w:after="0" w:line="240" w:lineRule="auto"/>
        <w:rPr>
          <w:rFonts w:ascii="Arial" w:eastAsia="Calibri" w:hAnsi="Arial" w:cs="Arial"/>
          <w:sz w:val="20"/>
          <w:szCs w:val="20"/>
          <w:lang w:val="en-ZA"/>
        </w:rPr>
      </w:pPr>
    </w:p>
    <w:p w:rsidR="009A1AC9" w:rsidRPr="00892F76" w:rsidRDefault="00C61696" w:rsidP="00892F76">
      <w:pPr>
        <w:spacing w:after="0" w:line="240" w:lineRule="auto"/>
        <w:rPr>
          <w:rFonts w:ascii="Arial" w:eastAsia="Calibri" w:hAnsi="Arial" w:cs="Arial"/>
          <w:i/>
          <w:sz w:val="20"/>
          <w:szCs w:val="20"/>
          <w:lang w:val="en-ZA"/>
        </w:rPr>
      </w:pPr>
      <w:r w:rsidRPr="00892F76">
        <w:rPr>
          <w:rFonts w:ascii="Arial" w:eastAsia="Calibri" w:hAnsi="Arial" w:cs="Arial"/>
          <w:i/>
          <w:sz w:val="20"/>
          <w:szCs w:val="20"/>
          <w:lang w:val="en-ZA"/>
        </w:rPr>
        <w:t>6.</w:t>
      </w:r>
      <w:r w:rsidR="005B59F5" w:rsidRPr="00892F76">
        <w:rPr>
          <w:rFonts w:ascii="Arial" w:eastAsia="Calibri" w:hAnsi="Arial" w:cs="Arial"/>
          <w:i/>
          <w:sz w:val="20"/>
          <w:szCs w:val="20"/>
          <w:lang w:val="en-ZA"/>
        </w:rPr>
        <w:t>2</w:t>
      </w:r>
      <w:r w:rsidR="009A1AC9" w:rsidRPr="00892F76">
        <w:rPr>
          <w:rFonts w:ascii="Arial" w:eastAsia="Calibri" w:hAnsi="Arial" w:cs="Arial"/>
          <w:i/>
          <w:sz w:val="20"/>
          <w:szCs w:val="20"/>
          <w:lang w:val="en-ZA"/>
        </w:rPr>
        <w:tab/>
        <w:t>Organisational re-alignment</w:t>
      </w:r>
    </w:p>
    <w:p w:rsidR="009A1AC9" w:rsidRPr="00892F76" w:rsidRDefault="00C61696"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6.</w:t>
      </w:r>
      <w:r w:rsidR="005B59F5" w:rsidRPr="00892F76">
        <w:rPr>
          <w:rFonts w:ascii="Arial" w:eastAsia="Calibri" w:hAnsi="Arial" w:cs="Arial"/>
          <w:sz w:val="20"/>
          <w:szCs w:val="20"/>
          <w:lang w:val="en-ZA"/>
        </w:rPr>
        <w:t>2</w:t>
      </w:r>
      <w:r w:rsidR="000415D4" w:rsidRPr="00892F76">
        <w:rPr>
          <w:rFonts w:ascii="Arial" w:eastAsia="Calibri" w:hAnsi="Arial" w:cs="Arial"/>
          <w:sz w:val="20"/>
          <w:szCs w:val="20"/>
          <w:lang w:val="en-ZA"/>
        </w:rPr>
        <w:t>.1</w:t>
      </w:r>
      <w:r w:rsidR="000415D4" w:rsidRPr="00892F76">
        <w:rPr>
          <w:rFonts w:ascii="Arial" w:eastAsia="Calibri" w:hAnsi="Arial" w:cs="Arial"/>
          <w:sz w:val="20"/>
          <w:szCs w:val="20"/>
          <w:lang w:val="en-ZA"/>
        </w:rPr>
        <w:tab/>
        <w:t>The Committee remains</w:t>
      </w:r>
      <w:r w:rsidR="009A1AC9" w:rsidRPr="00892F76">
        <w:rPr>
          <w:rFonts w:ascii="Arial" w:eastAsia="Calibri" w:hAnsi="Arial" w:cs="Arial"/>
          <w:sz w:val="20"/>
          <w:szCs w:val="20"/>
          <w:lang w:val="en-ZA"/>
        </w:rPr>
        <w:t xml:space="preserve"> concerned about the apparent slow implementation of the organisational re-alignment project, and should receive a detailed briefing/report on the organisational re-alignment project, as well as reasons for the apparent delay in finalising it. We have also noted that some vacant posts cannot be filled until this process has been finalised. This places further urgency on ensuring that the process is finalised.</w:t>
      </w:r>
    </w:p>
    <w:p w:rsidR="009A1AC9" w:rsidRPr="00892F76" w:rsidRDefault="009A1AC9" w:rsidP="00892F76">
      <w:pPr>
        <w:spacing w:after="0" w:line="240" w:lineRule="auto"/>
        <w:rPr>
          <w:rFonts w:ascii="Arial" w:eastAsia="Calibri" w:hAnsi="Arial" w:cs="Arial"/>
          <w:sz w:val="20"/>
          <w:szCs w:val="20"/>
          <w:lang w:val="en-ZA"/>
        </w:rPr>
      </w:pPr>
    </w:p>
    <w:p w:rsidR="009A1AC9" w:rsidRPr="00892F76" w:rsidRDefault="00C61696" w:rsidP="00892F76">
      <w:pPr>
        <w:spacing w:after="0" w:line="240" w:lineRule="auto"/>
        <w:rPr>
          <w:rFonts w:ascii="Arial" w:eastAsia="Calibri" w:hAnsi="Arial" w:cs="Arial"/>
          <w:i/>
          <w:sz w:val="20"/>
          <w:szCs w:val="20"/>
          <w:lang w:val="en-ZA"/>
        </w:rPr>
      </w:pPr>
      <w:r w:rsidRPr="00892F76">
        <w:rPr>
          <w:rFonts w:ascii="Arial" w:eastAsia="Calibri" w:hAnsi="Arial" w:cs="Arial"/>
          <w:i/>
          <w:sz w:val="20"/>
          <w:szCs w:val="20"/>
          <w:lang w:val="en-ZA"/>
        </w:rPr>
        <w:t>6.</w:t>
      </w:r>
      <w:r w:rsidR="005B59F5" w:rsidRPr="00892F76">
        <w:rPr>
          <w:rFonts w:ascii="Arial" w:eastAsia="Calibri" w:hAnsi="Arial" w:cs="Arial"/>
          <w:i/>
          <w:sz w:val="20"/>
          <w:szCs w:val="20"/>
          <w:lang w:val="en-ZA"/>
        </w:rPr>
        <w:t>3</w:t>
      </w:r>
      <w:r w:rsidRPr="00892F76">
        <w:rPr>
          <w:rFonts w:ascii="Arial" w:eastAsia="Calibri" w:hAnsi="Arial" w:cs="Arial"/>
          <w:i/>
          <w:sz w:val="20"/>
          <w:szCs w:val="20"/>
          <w:lang w:val="en-ZA"/>
        </w:rPr>
        <w:tab/>
      </w:r>
      <w:r w:rsidR="009A1AC9" w:rsidRPr="00892F76">
        <w:rPr>
          <w:rFonts w:ascii="Arial" w:eastAsia="Calibri" w:hAnsi="Arial" w:cs="Arial"/>
          <w:i/>
          <w:sz w:val="20"/>
          <w:szCs w:val="20"/>
          <w:lang w:val="en-ZA"/>
        </w:rPr>
        <w:t>Filling of critical vacancies</w:t>
      </w:r>
    </w:p>
    <w:p w:rsidR="009A1AC9" w:rsidRPr="00892F76" w:rsidRDefault="00C61696"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6.</w:t>
      </w:r>
      <w:r w:rsidR="005B59F5" w:rsidRPr="00892F76">
        <w:rPr>
          <w:rFonts w:ascii="Arial" w:eastAsia="Calibri" w:hAnsi="Arial" w:cs="Arial"/>
          <w:sz w:val="20"/>
          <w:szCs w:val="20"/>
          <w:lang w:val="en-ZA"/>
        </w:rPr>
        <w:t>3</w:t>
      </w:r>
      <w:r w:rsidRPr="00892F76">
        <w:rPr>
          <w:rFonts w:ascii="Arial" w:eastAsia="Calibri" w:hAnsi="Arial" w:cs="Arial"/>
          <w:sz w:val="20"/>
          <w:szCs w:val="20"/>
          <w:lang w:val="en-ZA"/>
        </w:rPr>
        <w:t>.1</w:t>
      </w:r>
      <w:r w:rsidRPr="00892F76">
        <w:rPr>
          <w:rFonts w:ascii="Arial" w:eastAsia="Calibri" w:hAnsi="Arial" w:cs="Arial"/>
          <w:sz w:val="20"/>
          <w:szCs w:val="20"/>
          <w:lang w:val="en-ZA"/>
        </w:rPr>
        <w:tab/>
      </w:r>
      <w:r w:rsidR="009A1AC9" w:rsidRPr="00892F76">
        <w:rPr>
          <w:rFonts w:ascii="Arial" w:eastAsia="Calibri" w:hAnsi="Arial" w:cs="Arial"/>
          <w:sz w:val="20"/>
          <w:szCs w:val="20"/>
          <w:lang w:val="en-ZA"/>
        </w:rPr>
        <w:t xml:space="preserve">The Committee must be provided with </w:t>
      </w:r>
      <w:r w:rsidR="000415D4" w:rsidRPr="00892F76">
        <w:rPr>
          <w:rFonts w:ascii="Arial" w:eastAsia="Calibri" w:hAnsi="Arial" w:cs="Arial"/>
          <w:sz w:val="20"/>
          <w:szCs w:val="20"/>
          <w:lang w:val="en-ZA"/>
        </w:rPr>
        <w:t xml:space="preserve">detailed quarterly updates </w:t>
      </w:r>
      <w:r w:rsidR="009A1AC9" w:rsidRPr="00892F76">
        <w:rPr>
          <w:rFonts w:ascii="Arial" w:eastAsia="Calibri" w:hAnsi="Arial" w:cs="Arial"/>
          <w:sz w:val="20"/>
          <w:szCs w:val="20"/>
          <w:lang w:val="en-ZA"/>
        </w:rPr>
        <w:t>on the slow filling of all vacancies, and specifically those in the senior management of the institution. The reports should detail all actions taken, and obstacles to fill the posts.</w:t>
      </w:r>
    </w:p>
    <w:p w:rsidR="009A1AC9" w:rsidRPr="00892F76" w:rsidRDefault="009A1AC9" w:rsidP="00892F76">
      <w:pPr>
        <w:spacing w:after="0" w:line="240" w:lineRule="auto"/>
        <w:ind w:firstLine="720"/>
        <w:rPr>
          <w:rFonts w:ascii="Arial" w:eastAsia="Calibri" w:hAnsi="Arial" w:cs="Arial"/>
          <w:i/>
          <w:sz w:val="20"/>
          <w:szCs w:val="20"/>
          <w:lang w:val="en-ZA"/>
        </w:rPr>
      </w:pPr>
    </w:p>
    <w:p w:rsidR="009A1AC9" w:rsidRPr="00892F76" w:rsidRDefault="00C61696" w:rsidP="00892F76">
      <w:pPr>
        <w:spacing w:after="0" w:line="240" w:lineRule="auto"/>
        <w:rPr>
          <w:rFonts w:ascii="Arial" w:eastAsia="Calibri" w:hAnsi="Arial" w:cs="Arial"/>
          <w:i/>
          <w:sz w:val="20"/>
          <w:szCs w:val="20"/>
          <w:lang w:val="en-ZA"/>
        </w:rPr>
      </w:pPr>
      <w:r w:rsidRPr="00892F76">
        <w:rPr>
          <w:rFonts w:ascii="Arial" w:eastAsia="Calibri" w:hAnsi="Arial" w:cs="Arial"/>
          <w:i/>
          <w:sz w:val="20"/>
          <w:szCs w:val="20"/>
          <w:lang w:val="en-ZA"/>
        </w:rPr>
        <w:t>6.</w:t>
      </w:r>
      <w:r w:rsidR="005B59F5" w:rsidRPr="00892F76">
        <w:rPr>
          <w:rFonts w:ascii="Arial" w:eastAsia="Calibri" w:hAnsi="Arial" w:cs="Arial"/>
          <w:i/>
          <w:sz w:val="20"/>
          <w:szCs w:val="20"/>
          <w:lang w:val="en-ZA"/>
        </w:rPr>
        <w:t>4</w:t>
      </w:r>
      <w:r w:rsidRPr="00892F76">
        <w:rPr>
          <w:rFonts w:ascii="Arial" w:eastAsia="Calibri" w:hAnsi="Arial" w:cs="Arial"/>
          <w:i/>
          <w:sz w:val="20"/>
          <w:szCs w:val="20"/>
          <w:lang w:val="en-ZA"/>
        </w:rPr>
        <w:tab/>
      </w:r>
      <w:r w:rsidR="009A1AC9" w:rsidRPr="00892F76">
        <w:rPr>
          <w:rFonts w:ascii="Arial" w:eastAsia="Calibri" w:hAnsi="Arial" w:cs="Arial"/>
          <w:i/>
          <w:sz w:val="20"/>
          <w:szCs w:val="20"/>
          <w:lang w:val="en-ZA"/>
        </w:rPr>
        <w:t>Performance management in respect of Programme 3</w:t>
      </w:r>
    </w:p>
    <w:p w:rsidR="009A1AC9" w:rsidRPr="00892F76" w:rsidRDefault="00C61696" w:rsidP="00892F76">
      <w:pPr>
        <w:spacing w:after="0" w:line="240" w:lineRule="auto"/>
        <w:ind w:left="720" w:hanging="720"/>
        <w:rPr>
          <w:rFonts w:ascii="Arial" w:eastAsia="Calibri" w:hAnsi="Arial" w:cs="Arial"/>
          <w:sz w:val="20"/>
          <w:szCs w:val="20"/>
          <w:lang w:val="en-ZA"/>
        </w:rPr>
      </w:pPr>
      <w:r w:rsidRPr="00892F76">
        <w:rPr>
          <w:rFonts w:ascii="Arial" w:eastAsia="Calibri" w:hAnsi="Arial" w:cs="Arial"/>
          <w:sz w:val="20"/>
          <w:szCs w:val="20"/>
          <w:lang w:val="en-ZA"/>
        </w:rPr>
        <w:t>6.</w:t>
      </w:r>
      <w:r w:rsidR="005B59F5" w:rsidRPr="00892F76">
        <w:rPr>
          <w:rFonts w:ascii="Arial" w:eastAsia="Calibri" w:hAnsi="Arial" w:cs="Arial"/>
          <w:sz w:val="20"/>
          <w:szCs w:val="20"/>
          <w:lang w:val="en-ZA"/>
        </w:rPr>
        <w:t>4</w:t>
      </w:r>
      <w:r w:rsidRPr="00892F76">
        <w:rPr>
          <w:rFonts w:ascii="Arial" w:eastAsia="Calibri" w:hAnsi="Arial" w:cs="Arial"/>
          <w:sz w:val="20"/>
          <w:szCs w:val="20"/>
          <w:lang w:val="en-ZA"/>
        </w:rPr>
        <w:t>.1</w:t>
      </w:r>
      <w:r w:rsidRPr="00892F76">
        <w:rPr>
          <w:rFonts w:ascii="Arial" w:eastAsia="Calibri" w:hAnsi="Arial" w:cs="Arial"/>
          <w:sz w:val="20"/>
          <w:szCs w:val="20"/>
          <w:lang w:val="en-ZA"/>
        </w:rPr>
        <w:tab/>
      </w:r>
      <w:r w:rsidR="009A1AC9" w:rsidRPr="00892F76">
        <w:rPr>
          <w:rFonts w:ascii="Arial" w:eastAsia="Calibri" w:hAnsi="Arial" w:cs="Arial"/>
          <w:sz w:val="20"/>
          <w:szCs w:val="20"/>
          <w:lang w:val="en-ZA"/>
        </w:rPr>
        <w:t xml:space="preserve">The Committee should be provided with a detailed clarification of how the performance of those responsible for delivering/facilitating the services that fall under programme 3 will be measured. </w:t>
      </w:r>
    </w:p>
    <w:p w:rsidR="00924009" w:rsidRPr="00892F76" w:rsidRDefault="00924009" w:rsidP="00892F76">
      <w:pPr>
        <w:tabs>
          <w:tab w:val="center" w:pos="4873"/>
        </w:tabs>
        <w:spacing w:after="0" w:line="240" w:lineRule="auto"/>
        <w:ind w:firstLine="720"/>
        <w:contextualSpacing/>
        <w:rPr>
          <w:rFonts w:ascii="Arial" w:eastAsia="Calibri" w:hAnsi="Arial" w:cs="Arial"/>
          <w:b/>
          <w:sz w:val="20"/>
          <w:szCs w:val="20"/>
          <w:lang w:val="en-ZA"/>
        </w:rPr>
      </w:pPr>
    </w:p>
    <w:p w:rsidR="00B26565" w:rsidRPr="00892F76" w:rsidRDefault="00CC7C5C" w:rsidP="00892F76">
      <w:pPr>
        <w:tabs>
          <w:tab w:val="center" w:pos="4873"/>
        </w:tabs>
        <w:spacing w:after="0" w:line="240" w:lineRule="auto"/>
        <w:contextualSpacing/>
        <w:rPr>
          <w:rFonts w:ascii="Arial" w:eastAsia="Calibri" w:hAnsi="Arial" w:cs="Arial"/>
          <w:b/>
          <w:sz w:val="20"/>
          <w:szCs w:val="20"/>
          <w:lang w:val="en-ZA"/>
        </w:rPr>
      </w:pPr>
      <w:r w:rsidRPr="00892F76">
        <w:rPr>
          <w:rFonts w:ascii="Arial" w:eastAsia="Calibri" w:hAnsi="Arial" w:cs="Arial"/>
          <w:b/>
          <w:sz w:val="20"/>
          <w:szCs w:val="20"/>
          <w:lang w:val="en-ZA"/>
        </w:rPr>
        <w:t>Report to be considered.</w:t>
      </w:r>
    </w:p>
    <w:sectPr w:rsidR="00B26565" w:rsidRPr="00892F76" w:rsidSect="0014532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1A" w:rsidRDefault="004F0F1A">
      <w:pPr>
        <w:spacing w:after="0" w:line="240" w:lineRule="auto"/>
      </w:pPr>
      <w:r>
        <w:separator/>
      </w:r>
    </w:p>
  </w:endnote>
  <w:endnote w:type="continuationSeparator" w:id="0">
    <w:p w:rsidR="004F0F1A" w:rsidRDefault="004F0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718992"/>
      <w:docPartObj>
        <w:docPartGallery w:val="Page Numbers (Bottom of Page)"/>
        <w:docPartUnique/>
      </w:docPartObj>
    </w:sdtPr>
    <w:sdtEndPr>
      <w:rPr>
        <w:noProof/>
      </w:rPr>
    </w:sdtEndPr>
    <w:sdtContent>
      <w:p w:rsidR="0018213C" w:rsidRDefault="004F7FD4">
        <w:pPr>
          <w:pStyle w:val="Footer"/>
          <w:jc w:val="right"/>
        </w:pPr>
        <w:r>
          <w:fldChar w:fldCharType="begin"/>
        </w:r>
        <w:r w:rsidR="0018213C">
          <w:instrText xml:space="preserve"> PAGE   \* MERGEFORMAT </w:instrText>
        </w:r>
        <w:r>
          <w:fldChar w:fldCharType="separate"/>
        </w:r>
        <w:r w:rsidR="00892F76">
          <w:rPr>
            <w:noProof/>
          </w:rPr>
          <w:t>1</w:t>
        </w:r>
        <w:r>
          <w:rPr>
            <w:noProof/>
          </w:rPr>
          <w:fldChar w:fldCharType="end"/>
        </w:r>
      </w:p>
    </w:sdtContent>
  </w:sdt>
  <w:p w:rsidR="0018213C" w:rsidRDefault="00182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1A" w:rsidRDefault="004F0F1A">
      <w:pPr>
        <w:spacing w:after="0" w:line="240" w:lineRule="auto"/>
      </w:pPr>
      <w:r>
        <w:separator/>
      </w:r>
    </w:p>
  </w:footnote>
  <w:footnote w:type="continuationSeparator" w:id="0">
    <w:p w:rsidR="004F0F1A" w:rsidRDefault="004F0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46A0"/>
    <w:multiLevelType w:val="hybridMultilevel"/>
    <w:tmpl w:val="500898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62A6DC0"/>
    <w:multiLevelType w:val="hybridMultilevel"/>
    <w:tmpl w:val="2C1A478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8F06B8C"/>
    <w:multiLevelType w:val="hybridMultilevel"/>
    <w:tmpl w:val="5004132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B4A2968"/>
    <w:multiLevelType w:val="multilevel"/>
    <w:tmpl w:val="54CA27C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407F81"/>
    <w:multiLevelType w:val="multilevel"/>
    <w:tmpl w:val="953453A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FD4301"/>
    <w:multiLevelType w:val="hybridMultilevel"/>
    <w:tmpl w:val="901E3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8B6956"/>
    <w:multiLevelType w:val="hybridMultilevel"/>
    <w:tmpl w:val="CD62DF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4823538"/>
    <w:multiLevelType w:val="hybridMultilevel"/>
    <w:tmpl w:val="A13C12D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A4F3387"/>
    <w:multiLevelType w:val="multilevel"/>
    <w:tmpl w:val="FF286A5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707ED5"/>
    <w:multiLevelType w:val="hybridMultilevel"/>
    <w:tmpl w:val="FA2C30F8"/>
    <w:lvl w:ilvl="0" w:tplc="7B6C4AA8">
      <w:start w:val="4"/>
      <w:numFmt w:val="bullet"/>
      <w:lvlText w:val="-"/>
      <w:lvlJc w:val="left"/>
      <w:pPr>
        <w:ind w:left="1800" w:hanging="360"/>
      </w:pPr>
      <w:rPr>
        <w:rFonts w:ascii="Times New Roman" w:eastAsia="Calibri" w:hAnsi="Times New Roman" w:cs="Times New Roman"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nsid w:val="4B541A2F"/>
    <w:multiLevelType w:val="hybridMultilevel"/>
    <w:tmpl w:val="5A6EA9DC"/>
    <w:lvl w:ilvl="0" w:tplc="1C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tabs>
          <w:tab w:val="num" w:pos="1080"/>
        </w:tabs>
        <w:ind w:left="1080" w:hanging="360"/>
      </w:pPr>
      <w:rPr>
        <w:rFonts w:ascii="Symbol" w:hAnsi="Symbol" w:hint="default"/>
      </w:rPr>
    </w:lvl>
    <w:lvl w:ilvl="2" w:tplc="4AFE49BE" w:tentative="1">
      <w:start w:val="1"/>
      <w:numFmt w:val="bullet"/>
      <w:lvlText w:val="•"/>
      <w:lvlJc w:val="left"/>
      <w:pPr>
        <w:tabs>
          <w:tab w:val="num" w:pos="1800"/>
        </w:tabs>
        <w:ind w:left="1800" w:hanging="360"/>
      </w:pPr>
      <w:rPr>
        <w:rFonts w:ascii="Arial" w:hAnsi="Arial" w:hint="default"/>
      </w:rPr>
    </w:lvl>
    <w:lvl w:ilvl="3" w:tplc="89168858" w:tentative="1">
      <w:start w:val="1"/>
      <w:numFmt w:val="bullet"/>
      <w:lvlText w:val="•"/>
      <w:lvlJc w:val="left"/>
      <w:pPr>
        <w:tabs>
          <w:tab w:val="num" w:pos="2520"/>
        </w:tabs>
        <w:ind w:left="2520" w:hanging="360"/>
      </w:pPr>
      <w:rPr>
        <w:rFonts w:ascii="Arial" w:hAnsi="Arial" w:hint="default"/>
      </w:rPr>
    </w:lvl>
    <w:lvl w:ilvl="4" w:tplc="16A4CEC4" w:tentative="1">
      <w:start w:val="1"/>
      <w:numFmt w:val="bullet"/>
      <w:lvlText w:val="•"/>
      <w:lvlJc w:val="left"/>
      <w:pPr>
        <w:tabs>
          <w:tab w:val="num" w:pos="3240"/>
        </w:tabs>
        <w:ind w:left="3240" w:hanging="360"/>
      </w:pPr>
      <w:rPr>
        <w:rFonts w:ascii="Arial" w:hAnsi="Arial" w:hint="default"/>
      </w:rPr>
    </w:lvl>
    <w:lvl w:ilvl="5" w:tplc="D93A0BC0" w:tentative="1">
      <w:start w:val="1"/>
      <w:numFmt w:val="bullet"/>
      <w:lvlText w:val="•"/>
      <w:lvlJc w:val="left"/>
      <w:pPr>
        <w:tabs>
          <w:tab w:val="num" w:pos="3960"/>
        </w:tabs>
        <w:ind w:left="3960" w:hanging="360"/>
      </w:pPr>
      <w:rPr>
        <w:rFonts w:ascii="Arial" w:hAnsi="Arial" w:hint="default"/>
      </w:rPr>
    </w:lvl>
    <w:lvl w:ilvl="6" w:tplc="26783AAE" w:tentative="1">
      <w:start w:val="1"/>
      <w:numFmt w:val="bullet"/>
      <w:lvlText w:val="•"/>
      <w:lvlJc w:val="left"/>
      <w:pPr>
        <w:tabs>
          <w:tab w:val="num" w:pos="4680"/>
        </w:tabs>
        <w:ind w:left="4680" w:hanging="360"/>
      </w:pPr>
      <w:rPr>
        <w:rFonts w:ascii="Arial" w:hAnsi="Arial" w:hint="default"/>
      </w:rPr>
    </w:lvl>
    <w:lvl w:ilvl="7" w:tplc="AC2CA2A0" w:tentative="1">
      <w:start w:val="1"/>
      <w:numFmt w:val="bullet"/>
      <w:lvlText w:val="•"/>
      <w:lvlJc w:val="left"/>
      <w:pPr>
        <w:tabs>
          <w:tab w:val="num" w:pos="5400"/>
        </w:tabs>
        <w:ind w:left="5400" w:hanging="360"/>
      </w:pPr>
      <w:rPr>
        <w:rFonts w:ascii="Arial" w:hAnsi="Arial" w:hint="default"/>
      </w:rPr>
    </w:lvl>
    <w:lvl w:ilvl="8" w:tplc="6F743866" w:tentative="1">
      <w:start w:val="1"/>
      <w:numFmt w:val="bullet"/>
      <w:lvlText w:val="•"/>
      <w:lvlJc w:val="left"/>
      <w:pPr>
        <w:tabs>
          <w:tab w:val="num" w:pos="6120"/>
        </w:tabs>
        <w:ind w:left="6120" w:hanging="360"/>
      </w:pPr>
      <w:rPr>
        <w:rFonts w:ascii="Arial" w:hAnsi="Arial" w:hint="default"/>
      </w:rPr>
    </w:lvl>
  </w:abstractNum>
  <w:abstractNum w:abstractNumId="11">
    <w:nsid w:val="56287F31"/>
    <w:multiLevelType w:val="multilevel"/>
    <w:tmpl w:val="916EA0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C377E1F"/>
    <w:multiLevelType w:val="hybridMultilevel"/>
    <w:tmpl w:val="C73862FE"/>
    <w:lvl w:ilvl="0" w:tplc="E1FC1A20">
      <w:start w:val="3"/>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nsid w:val="62411780"/>
    <w:multiLevelType w:val="hybridMultilevel"/>
    <w:tmpl w:val="9D44AB9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A064C"/>
    <w:multiLevelType w:val="hybridMultilevel"/>
    <w:tmpl w:val="A1E6A2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676A108D"/>
    <w:multiLevelType w:val="hybridMultilevel"/>
    <w:tmpl w:val="536E164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6">
    <w:nsid w:val="6F172688"/>
    <w:multiLevelType w:val="multilevel"/>
    <w:tmpl w:val="0B96FE4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81E7353"/>
    <w:multiLevelType w:val="hybridMultilevel"/>
    <w:tmpl w:val="66680B6E"/>
    <w:lvl w:ilvl="0" w:tplc="2F8EE3A2">
      <w:start w:val="3"/>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7AC76A9D"/>
    <w:multiLevelType w:val="hybridMultilevel"/>
    <w:tmpl w:val="91B41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F40046F"/>
    <w:multiLevelType w:val="hybridMultilevel"/>
    <w:tmpl w:val="C5640DCA"/>
    <w:lvl w:ilvl="0" w:tplc="99A2578A">
      <w:start w:val="4"/>
      <w:numFmt w:val="bullet"/>
      <w:lvlText w:val="-"/>
      <w:lvlJc w:val="left"/>
      <w:pPr>
        <w:ind w:left="1440" w:hanging="360"/>
      </w:pPr>
      <w:rPr>
        <w:rFonts w:ascii="Times New Roman" w:eastAsia="Calibri" w:hAnsi="Times New Roman" w:cs="Times New Roman"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7FD034F9"/>
    <w:multiLevelType w:val="multilevel"/>
    <w:tmpl w:val="DF403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6"/>
  </w:num>
  <w:num w:numId="4">
    <w:abstractNumId w:val="3"/>
  </w:num>
  <w:num w:numId="5">
    <w:abstractNumId w:val="15"/>
  </w:num>
  <w:num w:numId="6">
    <w:abstractNumId w:val="19"/>
  </w:num>
  <w:num w:numId="7">
    <w:abstractNumId w:val="20"/>
  </w:num>
  <w:num w:numId="8">
    <w:abstractNumId w:val="18"/>
  </w:num>
  <w:num w:numId="9">
    <w:abstractNumId w:val="9"/>
  </w:num>
  <w:num w:numId="10">
    <w:abstractNumId w:val="10"/>
  </w:num>
  <w:num w:numId="11">
    <w:abstractNumId w:val="4"/>
  </w:num>
  <w:num w:numId="12">
    <w:abstractNumId w:val="0"/>
  </w:num>
  <w:num w:numId="13">
    <w:abstractNumId w:val="6"/>
  </w:num>
  <w:num w:numId="14">
    <w:abstractNumId w:val="1"/>
  </w:num>
  <w:num w:numId="15">
    <w:abstractNumId w:val="12"/>
  </w:num>
  <w:num w:numId="16">
    <w:abstractNumId w:val="17"/>
  </w:num>
  <w:num w:numId="17">
    <w:abstractNumId w:val="5"/>
  </w:num>
  <w:num w:numId="18">
    <w:abstractNumId w:val="14"/>
  </w:num>
  <w:num w:numId="19">
    <w:abstractNumId w:val="8"/>
  </w:num>
  <w:num w:numId="20">
    <w:abstractNumId w:val="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3NTM3sjAyNbMwsbRQ0lEKTi0uzszPAykwqgUAJkAweiwAAAA="/>
  </w:docVars>
  <w:rsids>
    <w:rsidRoot w:val="00CC7C5C"/>
    <w:rsid w:val="00006561"/>
    <w:rsid w:val="000118AE"/>
    <w:rsid w:val="00012873"/>
    <w:rsid w:val="000130CD"/>
    <w:rsid w:val="00020043"/>
    <w:rsid w:val="00022533"/>
    <w:rsid w:val="00030461"/>
    <w:rsid w:val="000335AF"/>
    <w:rsid w:val="00034430"/>
    <w:rsid w:val="00034454"/>
    <w:rsid w:val="000415D4"/>
    <w:rsid w:val="000467F2"/>
    <w:rsid w:val="00050274"/>
    <w:rsid w:val="00055BDC"/>
    <w:rsid w:val="00057594"/>
    <w:rsid w:val="00057CD9"/>
    <w:rsid w:val="000636A5"/>
    <w:rsid w:val="00066A67"/>
    <w:rsid w:val="00077418"/>
    <w:rsid w:val="00092216"/>
    <w:rsid w:val="00093C5D"/>
    <w:rsid w:val="000B2FDB"/>
    <w:rsid w:val="000B6CD1"/>
    <w:rsid w:val="000C443B"/>
    <w:rsid w:val="000D0FC8"/>
    <w:rsid w:val="000D7FA7"/>
    <w:rsid w:val="00104751"/>
    <w:rsid w:val="00115844"/>
    <w:rsid w:val="00130158"/>
    <w:rsid w:val="0014029A"/>
    <w:rsid w:val="0014532A"/>
    <w:rsid w:val="001515DA"/>
    <w:rsid w:val="00155259"/>
    <w:rsid w:val="00173145"/>
    <w:rsid w:val="0018213C"/>
    <w:rsid w:val="00187184"/>
    <w:rsid w:val="001A49CC"/>
    <w:rsid w:val="001C4E9F"/>
    <w:rsid w:val="001D3780"/>
    <w:rsid w:val="001E44D8"/>
    <w:rsid w:val="001E5398"/>
    <w:rsid w:val="001F0362"/>
    <w:rsid w:val="001F06F6"/>
    <w:rsid w:val="001F31F2"/>
    <w:rsid w:val="001F3DFD"/>
    <w:rsid w:val="001F48F9"/>
    <w:rsid w:val="001F6E7B"/>
    <w:rsid w:val="00207944"/>
    <w:rsid w:val="00223833"/>
    <w:rsid w:val="00225DD9"/>
    <w:rsid w:val="00232024"/>
    <w:rsid w:val="0023635B"/>
    <w:rsid w:val="00240A37"/>
    <w:rsid w:val="002563F2"/>
    <w:rsid w:val="00256B5F"/>
    <w:rsid w:val="00256B84"/>
    <w:rsid w:val="00284BAF"/>
    <w:rsid w:val="002858D5"/>
    <w:rsid w:val="00287563"/>
    <w:rsid w:val="00292186"/>
    <w:rsid w:val="002A6E03"/>
    <w:rsid w:val="002B2833"/>
    <w:rsid w:val="002C5CA9"/>
    <w:rsid w:val="002D4C5C"/>
    <w:rsid w:val="002E6A93"/>
    <w:rsid w:val="002F0F58"/>
    <w:rsid w:val="002F24C3"/>
    <w:rsid w:val="002F513A"/>
    <w:rsid w:val="0030088C"/>
    <w:rsid w:val="00332B67"/>
    <w:rsid w:val="00341703"/>
    <w:rsid w:val="00343FF8"/>
    <w:rsid w:val="00346C8E"/>
    <w:rsid w:val="00365DCC"/>
    <w:rsid w:val="00372FC2"/>
    <w:rsid w:val="00377C20"/>
    <w:rsid w:val="003A69D3"/>
    <w:rsid w:val="003A6FBC"/>
    <w:rsid w:val="003B1157"/>
    <w:rsid w:val="003C0F25"/>
    <w:rsid w:val="003F283C"/>
    <w:rsid w:val="00406D37"/>
    <w:rsid w:val="00425AB6"/>
    <w:rsid w:val="00431C8F"/>
    <w:rsid w:val="004370BC"/>
    <w:rsid w:val="004426FB"/>
    <w:rsid w:val="004826C1"/>
    <w:rsid w:val="00493914"/>
    <w:rsid w:val="00494245"/>
    <w:rsid w:val="004A71C5"/>
    <w:rsid w:val="004D2C30"/>
    <w:rsid w:val="004D31F3"/>
    <w:rsid w:val="004D3547"/>
    <w:rsid w:val="004E188E"/>
    <w:rsid w:val="004E5B1E"/>
    <w:rsid w:val="004F0F1A"/>
    <w:rsid w:val="004F1A36"/>
    <w:rsid w:val="004F3842"/>
    <w:rsid w:val="004F6707"/>
    <w:rsid w:val="004F7FD4"/>
    <w:rsid w:val="00501801"/>
    <w:rsid w:val="00524F56"/>
    <w:rsid w:val="0054393B"/>
    <w:rsid w:val="00543B6E"/>
    <w:rsid w:val="00544EAE"/>
    <w:rsid w:val="0054649E"/>
    <w:rsid w:val="00567B5F"/>
    <w:rsid w:val="00575106"/>
    <w:rsid w:val="00575E74"/>
    <w:rsid w:val="00591971"/>
    <w:rsid w:val="005B2F63"/>
    <w:rsid w:val="005B59F5"/>
    <w:rsid w:val="005D1B3A"/>
    <w:rsid w:val="005D2C8A"/>
    <w:rsid w:val="005D4DF7"/>
    <w:rsid w:val="0060125F"/>
    <w:rsid w:val="00605F5C"/>
    <w:rsid w:val="00606C4B"/>
    <w:rsid w:val="00614D92"/>
    <w:rsid w:val="006231AE"/>
    <w:rsid w:val="00643BA3"/>
    <w:rsid w:val="00647E56"/>
    <w:rsid w:val="006528FF"/>
    <w:rsid w:val="00656F22"/>
    <w:rsid w:val="00666AFC"/>
    <w:rsid w:val="00673A47"/>
    <w:rsid w:val="006831C8"/>
    <w:rsid w:val="00684F89"/>
    <w:rsid w:val="00692686"/>
    <w:rsid w:val="00693298"/>
    <w:rsid w:val="00695227"/>
    <w:rsid w:val="006A3416"/>
    <w:rsid w:val="006B1351"/>
    <w:rsid w:val="006B34B3"/>
    <w:rsid w:val="006C4596"/>
    <w:rsid w:val="006D0F98"/>
    <w:rsid w:val="006D4C20"/>
    <w:rsid w:val="006E408A"/>
    <w:rsid w:val="006E61C5"/>
    <w:rsid w:val="006F195C"/>
    <w:rsid w:val="006F68E6"/>
    <w:rsid w:val="00702B77"/>
    <w:rsid w:val="0072589A"/>
    <w:rsid w:val="00737CEE"/>
    <w:rsid w:val="00754C22"/>
    <w:rsid w:val="007709AA"/>
    <w:rsid w:val="00783EDD"/>
    <w:rsid w:val="007863BA"/>
    <w:rsid w:val="0078725A"/>
    <w:rsid w:val="00792C70"/>
    <w:rsid w:val="00797042"/>
    <w:rsid w:val="00797E3B"/>
    <w:rsid w:val="007A79A1"/>
    <w:rsid w:val="007B072D"/>
    <w:rsid w:val="007B168C"/>
    <w:rsid w:val="007B1854"/>
    <w:rsid w:val="007F5216"/>
    <w:rsid w:val="00825CB7"/>
    <w:rsid w:val="008356B6"/>
    <w:rsid w:val="00841A39"/>
    <w:rsid w:val="0084315A"/>
    <w:rsid w:val="0084457B"/>
    <w:rsid w:val="00855B70"/>
    <w:rsid w:val="008675AB"/>
    <w:rsid w:val="00873BE7"/>
    <w:rsid w:val="00891ED2"/>
    <w:rsid w:val="00892F76"/>
    <w:rsid w:val="00897A04"/>
    <w:rsid w:val="008A1478"/>
    <w:rsid w:val="008B7D98"/>
    <w:rsid w:val="008E1EB2"/>
    <w:rsid w:val="008F06F2"/>
    <w:rsid w:val="008F1BF1"/>
    <w:rsid w:val="008F3748"/>
    <w:rsid w:val="008F6EDB"/>
    <w:rsid w:val="00914077"/>
    <w:rsid w:val="00921E42"/>
    <w:rsid w:val="00924009"/>
    <w:rsid w:val="0092781F"/>
    <w:rsid w:val="00932B57"/>
    <w:rsid w:val="009567B9"/>
    <w:rsid w:val="00957936"/>
    <w:rsid w:val="009978E5"/>
    <w:rsid w:val="009A1AC9"/>
    <w:rsid w:val="009B4DAE"/>
    <w:rsid w:val="009B5FC2"/>
    <w:rsid w:val="009D0348"/>
    <w:rsid w:val="009D14D2"/>
    <w:rsid w:val="009E40FC"/>
    <w:rsid w:val="009E67F5"/>
    <w:rsid w:val="009F0862"/>
    <w:rsid w:val="00A23BEE"/>
    <w:rsid w:val="00A26552"/>
    <w:rsid w:val="00A308A4"/>
    <w:rsid w:val="00A31C8F"/>
    <w:rsid w:val="00A47093"/>
    <w:rsid w:val="00A50F44"/>
    <w:rsid w:val="00A50FA1"/>
    <w:rsid w:val="00A51F13"/>
    <w:rsid w:val="00A52347"/>
    <w:rsid w:val="00A54536"/>
    <w:rsid w:val="00A637EA"/>
    <w:rsid w:val="00A667FB"/>
    <w:rsid w:val="00A74365"/>
    <w:rsid w:val="00A834C1"/>
    <w:rsid w:val="00A8392D"/>
    <w:rsid w:val="00AB640C"/>
    <w:rsid w:val="00AB7E85"/>
    <w:rsid w:val="00AC0BBA"/>
    <w:rsid w:val="00AD33A2"/>
    <w:rsid w:val="00AE42C0"/>
    <w:rsid w:val="00AF7B52"/>
    <w:rsid w:val="00B14834"/>
    <w:rsid w:val="00B215D7"/>
    <w:rsid w:val="00B26565"/>
    <w:rsid w:val="00B34775"/>
    <w:rsid w:val="00B51968"/>
    <w:rsid w:val="00B82203"/>
    <w:rsid w:val="00B82E0E"/>
    <w:rsid w:val="00B85EBF"/>
    <w:rsid w:val="00B911A2"/>
    <w:rsid w:val="00B94843"/>
    <w:rsid w:val="00BB2668"/>
    <w:rsid w:val="00BB30B9"/>
    <w:rsid w:val="00BE1436"/>
    <w:rsid w:val="00BE143E"/>
    <w:rsid w:val="00BE40DE"/>
    <w:rsid w:val="00BE6349"/>
    <w:rsid w:val="00C00C75"/>
    <w:rsid w:val="00C13769"/>
    <w:rsid w:val="00C53A0E"/>
    <w:rsid w:val="00C61696"/>
    <w:rsid w:val="00C62B38"/>
    <w:rsid w:val="00C66C7C"/>
    <w:rsid w:val="00C67A6D"/>
    <w:rsid w:val="00C7278D"/>
    <w:rsid w:val="00C82837"/>
    <w:rsid w:val="00CA0076"/>
    <w:rsid w:val="00CA4712"/>
    <w:rsid w:val="00CB00BA"/>
    <w:rsid w:val="00CB378F"/>
    <w:rsid w:val="00CB38E2"/>
    <w:rsid w:val="00CB4C55"/>
    <w:rsid w:val="00CC010D"/>
    <w:rsid w:val="00CC033D"/>
    <w:rsid w:val="00CC7C5C"/>
    <w:rsid w:val="00CE2692"/>
    <w:rsid w:val="00CF00FA"/>
    <w:rsid w:val="00CF2EC3"/>
    <w:rsid w:val="00D02BB0"/>
    <w:rsid w:val="00D17DD4"/>
    <w:rsid w:val="00D239CB"/>
    <w:rsid w:val="00D266FC"/>
    <w:rsid w:val="00D375ED"/>
    <w:rsid w:val="00D72CB9"/>
    <w:rsid w:val="00D803A8"/>
    <w:rsid w:val="00D82498"/>
    <w:rsid w:val="00D8448B"/>
    <w:rsid w:val="00DB1D22"/>
    <w:rsid w:val="00DC0954"/>
    <w:rsid w:val="00DC3693"/>
    <w:rsid w:val="00DD11A5"/>
    <w:rsid w:val="00DE235C"/>
    <w:rsid w:val="00DF0D31"/>
    <w:rsid w:val="00DF53BA"/>
    <w:rsid w:val="00E133A8"/>
    <w:rsid w:val="00E349FD"/>
    <w:rsid w:val="00E37FA8"/>
    <w:rsid w:val="00E40371"/>
    <w:rsid w:val="00E446D8"/>
    <w:rsid w:val="00E55521"/>
    <w:rsid w:val="00E6562B"/>
    <w:rsid w:val="00E82D5A"/>
    <w:rsid w:val="00E85638"/>
    <w:rsid w:val="00E907AD"/>
    <w:rsid w:val="00E96DE7"/>
    <w:rsid w:val="00EA2FCA"/>
    <w:rsid w:val="00EA3BF8"/>
    <w:rsid w:val="00EB7DD3"/>
    <w:rsid w:val="00EC2A54"/>
    <w:rsid w:val="00EC42F0"/>
    <w:rsid w:val="00EC7519"/>
    <w:rsid w:val="00ED44FF"/>
    <w:rsid w:val="00EE38A0"/>
    <w:rsid w:val="00EE43BF"/>
    <w:rsid w:val="00EE4AEA"/>
    <w:rsid w:val="00EF641A"/>
    <w:rsid w:val="00F00C6A"/>
    <w:rsid w:val="00F11855"/>
    <w:rsid w:val="00F2270A"/>
    <w:rsid w:val="00F25AA5"/>
    <w:rsid w:val="00F34604"/>
    <w:rsid w:val="00F46226"/>
    <w:rsid w:val="00F71054"/>
    <w:rsid w:val="00F739A2"/>
    <w:rsid w:val="00F755FF"/>
    <w:rsid w:val="00F97464"/>
    <w:rsid w:val="00FC2E11"/>
    <w:rsid w:val="00FC33D2"/>
    <w:rsid w:val="00FC43CF"/>
    <w:rsid w:val="00FD461F"/>
    <w:rsid w:val="00FD4A78"/>
    <w:rsid w:val="00FE201C"/>
    <w:rsid w:val="00FF4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C7C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7C5C"/>
  </w:style>
  <w:style w:type="table" w:styleId="TableGrid">
    <w:name w:val="Table Grid"/>
    <w:basedOn w:val="TableNormal"/>
    <w:uiPriority w:val="59"/>
    <w:rsid w:val="00CC7C5C"/>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Dot pt,F5 List Paragraph,List Paragraph1,List Paragraph Char Char Char,Indicator Text,Numbered Para 1,Bullet 1,Bullet Points,List Paragraph2,MAIN CONTENT,Normal numbered,Issue Action POC,3,Bullets"/>
    <w:basedOn w:val="Normal"/>
    <w:link w:val="ListParagraphChar"/>
    <w:uiPriority w:val="34"/>
    <w:qFormat/>
    <w:rsid w:val="00E40371"/>
    <w:pPr>
      <w:ind w:left="720"/>
      <w:contextualSpacing/>
    </w:pPr>
  </w:style>
  <w:style w:type="character" w:styleId="CommentReference">
    <w:name w:val="annotation reference"/>
    <w:basedOn w:val="DefaultParagraphFont"/>
    <w:uiPriority w:val="99"/>
    <w:semiHidden/>
    <w:unhideWhenUsed/>
    <w:rsid w:val="00873BE7"/>
    <w:rPr>
      <w:sz w:val="16"/>
      <w:szCs w:val="16"/>
    </w:rPr>
  </w:style>
  <w:style w:type="paragraph" w:styleId="CommentText">
    <w:name w:val="annotation text"/>
    <w:basedOn w:val="Normal"/>
    <w:link w:val="CommentTextChar"/>
    <w:uiPriority w:val="99"/>
    <w:semiHidden/>
    <w:unhideWhenUsed/>
    <w:rsid w:val="00873BE7"/>
    <w:pPr>
      <w:spacing w:line="240" w:lineRule="auto"/>
    </w:pPr>
    <w:rPr>
      <w:sz w:val="20"/>
      <w:szCs w:val="20"/>
    </w:rPr>
  </w:style>
  <w:style w:type="character" w:customStyle="1" w:styleId="CommentTextChar">
    <w:name w:val="Comment Text Char"/>
    <w:basedOn w:val="DefaultParagraphFont"/>
    <w:link w:val="CommentText"/>
    <w:uiPriority w:val="99"/>
    <w:semiHidden/>
    <w:rsid w:val="00873BE7"/>
    <w:rPr>
      <w:sz w:val="20"/>
      <w:szCs w:val="20"/>
    </w:rPr>
  </w:style>
  <w:style w:type="paragraph" w:styleId="CommentSubject">
    <w:name w:val="annotation subject"/>
    <w:basedOn w:val="CommentText"/>
    <w:next w:val="CommentText"/>
    <w:link w:val="CommentSubjectChar"/>
    <w:uiPriority w:val="99"/>
    <w:semiHidden/>
    <w:unhideWhenUsed/>
    <w:rsid w:val="00873BE7"/>
    <w:rPr>
      <w:b/>
      <w:bCs/>
    </w:rPr>
  </w:style>
  <w:style w:type="character" w:customStyle="1" w:styleId="CommentSubjectChar">
    <w:name w:val="Comment Subject Char"/>
    <w:basedOn w:val="CommentTextChar"/>
    <w:link w:val="CommentSubject"/>
    <w:uiPriority w:val="99"/>
    <w:semiHidden/>
    <w:rsid w:val="00873BE7"/>
    <w:rPr>
      <w:b/>
      <w:bCs/>
      <w:sz w:val="20"/>
      <w:szCs w:val="20"/>
    </w:rPr>
  </w:style>
  <w:style w:type="paragraph" w:styleId="BalloonText">
    <w:name w:val="Balloon Text"/>
    <w:basedOn w:val="Normal"/>
    <w:link w:val="BalloonTextChar"/>
    <w:uiPriority w:val="99"/>
    <w:semiHidden/>
    <w:unhideWhenUsed/>
    <w:rsid w:val="00873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BE7"/>
    <w:rPr>
      <w:rFonts w:ascii="Segoe UI" w:hAnsi="Segoe UI" w:cs="Segoe UI"/>
      <w:sz w:val="18"/>
      <w:szCs w:val="18"/>
    </w:rPr>
  </w:style>
  <w:style w:type="paragraph" w:styleId="NormalWeb">
    <w:name w:val="Normal (Web)"/>
    <w:basedOn w:val="Normal"/>
    <w:uiPriority w:val="99"/>
    <w:semiHidden/>
    <w:unhideWhenUsed/>
    <w:rsid w:val="001C4E9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ListParagraphChar">
    <w:name w:val="List Paragraph Char"/>
    <w:aliases w:val="List Paragraph 1 Char,Dot pt Char,F5 List Paragraph Char,List Paragraph1 Char,List Paragraph Char Char Char Char,Indicator Text Char,Numbered Para 1 Char,Bullet 1 Char,Bullet Points Char,List Paragraph2 Char,MAIN CONTENT Char,3 Char"/>
    <w:link w:val="ListParagraph"/>
    <w:uiPriority w:val="34"/>
    <w:locked/>
    <w:rsid w:val="001F3DFD"/>
  </w:style>
</w:styles>
</file>

<file path=word/webSettings.xml><?xml version="1.0" encoding="utf-8"?>
<w:webSettings xmlns:r="http://schemas.openxmlformats.org/officeDocument/2006/relationships" xmlns:w="http://schemas.openxmlformats.org/wordprocessingml/2006/main">
  <w:divs>
    <w:div w:id="1982330">
      <w:bodyDiv w:val="1"/>
      <w:marLeft w:val="0"/>
      <w:marRight w:val="0"/>
      <w:marTop w:val="0"/>
      <w:marBottom w:val="0"/>
      <w:divBdr>
        <w:top w:val="none" w:sz="0" w:space="0" w:color="auto"/>
        <w:left w:val="none" w:sz="0" w:space="0" w:color="auto"/>
        <w:bottom w:val="none" w:sz="0" w:space="0" w:color="auto"/>
        <w:right w:val="none" w:sz="0" w:space="0" w:color="auto"/>
      </w:divBdr>
    </w:div>
    <w:div w:id="174659371">
      <w:bodyDiv w:val="1"/>
      <w:marLeft w:val="0"/>
      <w:marRight w:val="0"/>
      <w:marTop w:val="0"/>
      <w:marBottom w:val="0"/>
      <w:divBdr>
        <w:top w:val="none" w:sz="0" w:space="0" w:color="auto"/>
        <w:left w:val="none" w:sz="0" w:space="0" w:color="auto"/>
        <w:bottom w:val="none" w:sz="0" w:space="0" w:color="auto"/>
        <w:right w:val="none" w:sz="0" w:space="0" w:color="auto"/>
      </w:divBdr>
    </w:div>
    <w:div w:id="197860679">
      <w:bodyDiv w:val="1"/>
      <w:marLeft w:val="0"/>
      <w:marRight w:val="0"/>
      <w:marTop w:val="0"/>
      <w:marBottom w:val="0"/>
      <w:divBdr>
        <w:top w:val="none" w:sz="0" w:space="0" w:color="auto"/>
        <w:left w:val="none" w:sz="0" w:space="0" w:color="auto"/>
        <w:bottom w:val="none" w:sz="0" w:space="0" w:color="auto"/>
        <w:right w:val="none" w:sz="0" w:space="0" w:color="auto"/>
      </w:divBdr>
    </w:div>
    <w:div w:id="329528855">
      <w:bodyDiv w:val="1"/>
      <w:marLeft w:val="0"/>
      <w:marRight w:val="0"/>
      <w:marTop w:val="0"/>
      <w:marBottom w:val="0"/>
      <w:divBdr>
        <w:top w:val="none" w:sz="0" w:space="0" w:color="auto"/>
        <w:left w:val="none" w:sz="0" w:space="0" w:color="auto"/>
        <w:bottom w:val="none" w:sz="0" w:space="0" w:color="auto"/>
        <w:right w:val="none" w:sz="0" w:space="0" w:color="auto"/>
      </w:divBdr>
    </w:div>
    <w:div w:id="507521693">
      <w:bodyDiv w:val="1"/>
      <w:marLeft w:val="0"/>
      <w:marRight w:val="0"/>
      <w:marTop w:val="0"/>
      <w:marBottom w:val="0"/>
      <w:divBdr>
        <w:top w:val="none" w:sz="0" w:space="0" w:color="auto"/>
        <w:left w:val="none" w:sz="0" w:space="0" w:color="auto"/>
        <w:bottom w:val="none" w:sz="0" w:space="0" w:color="auto"/>
        <w:right w:val="none" w:sz="0" w:space="0" w:color="auto"/>
      </w:divBdr>
    </w:div>
    <w:div w:id="767699244">
      <w:bodyDiv w:val="1"/>
      <w:marLeft w:val="0"/>
      <w:marRight w:val="0"/>
      <w:marTop w:val="0"/>
      <w:marBottom w:val="0"/>
      <w:divBdr>
        <w:top w:val="none" w:sz="0" w:space="0" w:color="auto"/>
        <w:left w:val="none" w:sz="0" w:space="0" w:color="auto"/>
        <w:bottom w:val="none" w:sz="0" w:space="0" w:color="auto"/>
        <w:right w:val="none" w:sz="0" w:space="0" w:color="auto"/>
      </w:divBdr>
    </w:div>
    <w:div w:id="846597337">
      <w:bodyDiv w:val="1"/>
      <w:marLeft w:val="0"/>
      <w:marRight w:val="0"/>
      <w:marTop w:val="0"/>
      <w:marBottom w:val="0"/>
      <w:divBdr>
        <w:top w:val="none" w:sz="0" w:space="0" w:color="auto"/>
        <w:left w:val="none" w:sz="0" w:space="0" w:color="auto"/>
        <w:bottom w:val="none" w:sz="0" w:space="0" w:color="auto"/>
        <w:right w:val="none" w:sz="0" w:space="0" w:color="auto"/>
      </w:divBdr>
    </w:div>
    <w:div w:id="852182784">
      <w:bodyDiv w:val="1"/>
      <w:marLeft w:val="0"/>
      <w:marRight w:val="0"/>
      <w:marTop w:val="0"/>
      <w:marBottom w:val="0"/>
      <w:divBdr>
        <w:top w:val="none" w:sz="0" w:space="0" w:color="auto"/>
        <w:left w:val="none" w:sz="0" w:space="0" w:color="auto"/>
        <w:bottom w:val="none" w:sz="0" w:space="0" w:color="auto"/>
        <w:right w:val="none" w:sz="0" w:space="0" w:color="auto"/>
      </w:divBdr>
    </w:div>
    <w:div w:id="992486384">
      <w:bodyDiv w:val="1"/>
      <w:marLeft w:val="0"/>
      <w:marRight w:val="0"/>
      <w:marTop w:val="0"/>
      <w:marBottom w:val="0"/>
      <w:divBdr>
        <w:top w:val="none" w:sz="0" w:space="0" w:color="auto"/>
        <w:left w:val="none" w:sz="0" w:space="0" w:color="auto"/>
        <w:bottom w:val="none" w:sz="0" w:space="0" w:color="auto"/>
        <w:right w:val="none" w:sz="0" w:space="0" w:color="auto"/>
      </w:divBdr>
    </w:div>
    <w:div w:id="1150755485">
      <w:bodyDiv w:val="1"/>
      <w:marLeft w:val="0"/>
      <w:marRight w:val="0"/>
      <w:marTop w:val="0"/>
      <w:marBottom w:val="0"/>
      <w:divBdr>
        <w:top w:val="none" w:sz="0" w:space="0" w:color="auto"/>
        <w:left w:val="none" w:sz="0" w:space="0" w:color="auto"/>
        <w:bottom w:val="none" w:sz="0" w:space="0" w:color="auto"/>
        <w:right w:val="none" w:sz="0" w:space="0" w:color="auto"/>
      </w:divBdr>
    </w:div>
    <w:div w:id="1197893711">
      <w:bodyDiv w:val="1"/>
      <w:marLeft w:val="0"/>
      <w:marRight w:val="0"/>
      <w:marTop w:val="0"/>
      <w:marBottom w:val="0"/>
      <w:divBdr>
        <w:top w:val="none" w:sz="0" w:space="0" w:color="auto"/>
        <w:left w:val="none" w:sz="0" w:space="0" w:color="auto"/>
        <w:bottom w:val="none" w:sz="0" w:space="0" w:color="auto"/>
        <w:right w:val="none" w:sz="0" w:space="0" w:color="auto"/>
      </w:divBdr>
    </w:div>
    <w:div w:id="1232084327">
      <w:bodyDiv w:val="1"/>
      <w:marLeft w:val="0"/>
      <w:marRight w:val="0"/>
      <w:marTop w:val="0"/>
      <w:marBottom w:val="0"/>
      <w:divBdr>
        <w:top w:val="none" w:sz="0" w:space="0" w:color="auto"/>
        <w:left w:val="none" w:sz="0" w:space="0" w:color="auto"/>
        <w:bottom w:val="none" w:sz="0" w:space="0" w:color="auto"/>
        <w:right w:val="none" w:sz="0" w:space="0" w:color="auto"/>
      </w:divBdr>
    </w:div>
    <w:div w:id="1240288534">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
    <w:div w:id="1824740401">
      <w:bodyDiv w:val="1"/>
      <w:marLeft w:val="0"/>
      <w:marRight w:val="0"/>
      <w:marTop w:val="0"/>
      <w:marBottom w:val="0"/>
      <w:divBdr>
        <w:top w:val="none" w:sz="0" w:space="0" w:color="auto"/>
        <w:left w:val="none" w:sz="0" w:space="0" w:color="auto"/>
        <w:bottom w:val="none" w:sz="0" w:space="0" w:color="auto"/>
        <w:right w:val="none" w:sz="0" w:space="0" w:color="auto"/>
      </w:divBdr>
    </w:div>
    <w:div w:id="1851989999">
      <w:bodyDiv w:val="1"/>
      <w:marLeft w:val="0"/>
      <w:marRight w:val="0"/>
      <w:marTop w:val="0"/>
      <w:marBottom w:val="0"/>
      <w:divBdr>
        <w:top w:val="none" w:sz="0" w:space="0" w:color="auto"/>
        <w:left w:val="none" w:sz="0" w:space="0" w:color="auto"/>
        <w:bottom w:val="none" w:sz="0" w:space="0" w:color="auto"/>
        <w:right w:val="none" w:sz="0" w:space="0" w:color="auto"/>
      </w:divBdr>
    </w:div>
    <w:div w:id="1912688634">
      <w:bodyDiv w:val="1"/>
      <w:marLeft w:val="0"/>
      <w:marRight w:val="0"/>
      <w:marTop w:val="0"/>
      <w:marBottom w:val="0"/>
      <w:divBdr>
        <w:top w:val="none" w:sz="0" w:space="0" w:color="auto"/>
        <w:left w:val="none" w:sz="0" w:space="0" w:color="auto"/>
        <w:bottom w:val="none" w:sz="0" w:space="0" w:color="auto"/>
        <w:right w:val="none" w:sz="0" w:space="0" w:color="auto"/>
      </w:divBdr>
    </w:div>
    <w:div w:id="1943953571">
      <w:bodyDiv w:val="1"/>
      <w:marLeft w:val="0"/>
      <w:marRight w:val="0"/>
      <w:marTop w:val="0"/>
      <w:marBottom w:val="0"/>
      <w:divBdr>
        <w:top w:val="none" w:sz="0" w:space="0" w:color="auto"/>
        <w:left w:val="none" w:sz="0" w:space="0" w:color="auto"/>
        <w:bottom w:val="none" w:sz="0" w:space="0" w:color="auto"/>
        <w:right w:val="none" w:sz="0" w:space="0" w:color="auto"/>
      </w:divBdr>
    </w:div>
    <w:div w:id="1950232304">
      <w:bodyDiv w:val="1"/>
      <w:marLeft w:val="0"/>
      <w:marRight w:val="0"/>
      <w:marTop w:val="0"/>
      <w:marBottom w:val="0"/>
      <w:divBdr>
        <w:top w:val="none" w:sz="0" w:space="0" w:color="auto"/>
        <w:left w:val="none" w:sz="0" w:space="0" w:color="auto"/>
        <w:bottom w:val="none" w:sz="0" w:space="0" w:color="auto"/>
        <w:right w:val="none" w:sz="0" w:space="0" w:color="auto"/>
      </w:divBdr>
    </w:div>
    <w:div w:id="2091346661">
      <w:bodyDiv w:val="1"/>
      <w:marLeft w:val="0"/>
      <w:marRight w:val="0"/>
      <w:marTop w:val="0"/>
      <w:marBottom w:val="0"/>
      <w:divBdr>
        <w:top w:val="none" w:sz="0" w:space="0" w:color="auto"/>
        <w:left w:val="none" w:sz="0" w:space="0" w:color="auto"/>
        <w:bottom w:val="none" w:sz="0" w:space="0" w:color="auto"/>
        <w:right w:val="none" w:sz="0" w:space="0" w:color="auto"/>
      </w:divBdr>
    </w:div>
    <w:div w:id="2111317859">
      <w:bodyDiv w:val="1"/>
      <w:marLeft w:val="0"/>
      <w:marRight w:val="0"/>
      <w:marTop w:val="0"/>
      <w:marBottom w:val="0"/>
      <w:divBdr>
        <w:top w:val="none" w:sz="0" w:space="0" w:color="auto"/>
        <w:left w:val="none" w:sz="0" w:space="0" w:color="auto"/>
        <w:bottom w:val="none" w:sz="0" w:space="0" w:color="auto"/>
        <w:right w:val="none" w:sz="0" w:space="0" w:color="auto"/>
      </w:divBdr>
    </w:div>
    <w:div w:id="21182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80930-566C-4F1F-BCE6-F5D0C27E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dcterms:created xsi:type="dcterms:W3CDTF">2023-05-24T17:20:00Z</dcterms:created>
  <dcterms:modified xsi:type="dcterms:W3CDTF">2023-05-24T17:20:00Z</dcterms:modified>
</cp:coreProperties>
</file>