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3E" w:rsidRPr="00C42C21" w:rsidRDefault="00C42C21" w:rsidP="00C42C21">
      <w:pPr>
        <w:spacing w:after="0" w:line="240" w:lineRule="auto"/>
        <w:jc w:val="both"/>
        <w:rPr>
          <w:rFonts w:ascii="Arial" w:hAnsi="Arial" w:cs="Arial"/>
          <w:b/>
          <w:bCs/>
          <w:sz w:val="20"/>
          <w:szCs w:val="20"/>
        </w:rPr>
      </w:pPr>
      <w:r w:rsidRPr="00C42C21">
        <w:rPr>
          <w:rFonts w:ascii="Arial" w:hAnsi="Arial" w:cs="Arial"/>
          <w:b/>
          <w:bCs/>
          <w:sz w:val="20"/>
          <w:szCs w:val="20"/>
        </w:rPr>
        <w:t>Report of the Portfolio Committee on Defence and Military Veterans on</w:t>
      </w:r>
      <w:r>
        <w:rPr>
          <w:rFonts w:ascii="Arial" w:hAnsi="Arial" w:cs="Arial"/>
          <w:b/>
          <w:bCs/>
          <w:sz w:val="20"/>
          <w:szCs w:val="20"/>
        </w:rPr>
        <w:t xml:space="preserve"> Budget Vote 26 Department o</w:t>
      </w:r>
      <w:r w:rsidRPr="00C42C21">
        <w:rPr>
          <w:rFonts w:ascii="Arial" w:hAnsi="Arial" w:cs="Arial"/>
          <w:b/>
          <w:bCs/>
          <w:sz w:val="20"/>
          <w:szCs w:val="20"/>
        </w:rPr>
        <w:t>f Military Veterans, Dated 17 May 2023</w:t>
      </w:r>
    </w:p>
    <w:p w:rsidR="0084743E" w:rsidRPr="00C42C21" w:rsidRDefault="0084743E" w:rsidP="00C42C21">
      <w:pPr>
        <w:autoSpaceDE w:val="0"/>
        <w:autoSpaceDN w:val="0"/>
        <w:adjustRightInd w:val="0"/>
        <w:spacing w:after="0" w:line="240" w:lineRule="auto"/>
        <w:jc w:val="both"/>
        <w:rPr>
          <w:rFonts w:ascii="Arial" w:hAnsi="Arial" w:cs="Arial"/>
          <w:sz w:val="20"/>
          <w:szCs w:val="20"/>
        </w:rPr>
      </w:pPr>
    </w:p>
    <w:p w:rsidR="0084743E" w:rsidRPr="00C42C21" w:rsidRDefault="0084743E"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The Portfolio Committee on Defence and Military Veterans (PCDMV), having considered Budget Vote 26</w:t>
      </w:r>
      <w:r w:rsidR="00386B49" w:rsidRPr="00C42C21">
        <w:rPr>
          <w:rFonts w:ascii="Arial" w:hAnsi="Arial" w:cs="Arial"/>
          <w:sz w:val="20"/>
          <w:szCs w:val="20"/>
        </w:rPr>
        <w:t>,</w:t>
      </w:r>
      <w:r w:rsidRPr="00C42C21">
        <w:rPr>
          <w:rFonts w:ascii="Arial" w:hAnsi="Arial" w:cs="Arial"/>
          <w:sz w:val="20"/>
          <w:szCs w:val="20"/>
        </w:rPr>
        <w:t xml:space="preserve"> Military Veterans, and its 202</w:t>
      </w:r>
      <w:r w:rsidR="002E5CCE" w:rsidRPr="00C42C21">
        <w:rPr>
          <w:rFonts w:ascii="Arial" w:hAnsi="Arial" w:cs="Arial"/>
          <w:sz w:val="20"/>
          <w:szCs w:val="20"/>
        </w:rPr>
        <w:t>3</w:t>
      </w:r>
      <w:r w:rsidRPr="00C42C21">
        <w:rPr>
          <w:rFonts w:ascii="Arial" w:hAnsi="Arial" w:cs="Arial"/>
          <w:sz w:val="20"/>
          <w:szCs w:val="20"/>
        </w:rPr>
        <w:t>/2</w:t>
      </w:r>
      <w:r w:rsidR="002E5CCE" w:rsidRPr="00C42C21">
        <w:rPr>
          <w:rFonts w:ascii="Arial" w:hAnsi="Arial" w:cs="Arial"/>
          <w:sz w:val="20"/>
          <w:szCs w:val="20"/>
        </w:rPr>
        <w:t>4</w:t>
      </w:r>
      <w:r w:rsidRPr="00C42C21">
        <w:rPr>
          <w:rFonts w:ascii="Arial" w:hAnsi="Arial" w:cs="Arial"/>
          <w:sz w:val="20"/>
          <w:szCs w:val="20"/>
        </w:rPr>
        <w:t xml:space="preserve"> Annual Performance Plan</w:t>
      </w:r>
      <w:r w:rsidR="00386B49" w:rsidRPr="00C42C21">
        <w:rPr>
          <w:rFonts w:ascii="Arial" w:hAnsi="Arial" w:cs="Arial"/>
          <w:sz w:val="20"/>
          <w:szCs w:val="20"/>
        </w:rPr>
        <w:t xml:space="preserve"> (APP)</w:t>
      </w:r>
      <w:r w:rsidRPr="00C42C21">
        <w:rPr>
          <w:rFonts w:ascii="Arial" w:hAnsi="Arial" w:cs="Arial"/>
          <w:sz w:val="20"/>
          <w:szCs w:val="20"/>
        </w:rPr>
        <w:t xml:space="preserve"> on </w:t>
      </w:r>
      <w:r w:rsidR="005A3FCE" w:rsidRPr="00C42C21">
        <w:rPr>
          <w:rFonts w:ascii="Arial" w:hAnsi="Arial" w:cs="Arial"/>
          <w:sz w:val="20"/>
          <w:szCs w:val="20"/>
        </w:rPr>
        <w:t>1</w:t>
      </w:r>
      <w:r w:rsidR="002E5CCE" w:rsidRPr="00C42C21">
        <w:rPr>
          <w:rFonts w:ascii="Arial" w:hAnsi="Arial" w:cs="Arial"/>
          <w:sz w:val="20"/>
          <w:szCs w:val="20"/>
        </w:rPr>
        <w:t>0</w:t>
      </w:r>
      <w:r w:rsidR="005A3FCE" w:rsidRPr="00C42C21">
        <w:rPr>
          <w:rFonts w:ascii="Arial" w:hAnsi="Arial" w:cs="Arial"/>
          <w:sz w:val="20"/>
          <w:szCs w:val="20"/>
        </w:rPr>
        <w:t xml:space="preserve"> May </w:t>
      </w:r>
      <w:r w:rsidRPr="00C42C21">
        <w:rPr>
          <w:rFonts w:ascii="Arial" w:hAnsi="Arial" w:cs="Arial"/>
          <w:sz w:val="20"/>
          <w:szCs w:val="20"/>
        </w:rPr>
        <w:t>202</w:t>
      </w:r>
      <w:r w:rsidR="002E5CCE" w:rsidRPr="00C42C21">
        <w:rPr>
          <w:rFonts w:ascii="Arial" w:hAnsi="Arial" w:cs="Arial"/>
          <w:sz w:val="20"/>
          <w:szCs w:val="20"/>
        </w:rPr>
        <w:t>3</w:t>
      </w:r>
      <w:r w:rsidR="00386B49" w:rsidRPr="00C42C21">
        <w:rPr>
          <w:rFonts w:ascii="Arial" w:hAnsi="Arial" w:cs="Arial"/>
          <w:sz w:val="20"/>
          <w:szCs w:val="20"/>
        </w:rPr>
        <w:t>,</w:t>
      </w:r>
      <w:r w:rsidRPr="00C42C21">
        <w:rPr>
          <w:rFonts w:ascii="Arial" w:hAnsi="Arial" w:cs="Arial"/>
          <w:sz w:val="20"/>
          <w:szCs w:val="20"/>
        </w:rPr>
        <w:t xml:space="preserve"> reports as follows: </w:t>
      </w:r>
    </w:p>
    <w:p w:rsidR="0084743E" w:rsidRPr="00C42C21" w:rsidRDefault="0084743E" w:rsidP="00C42C21">
      <w:pPr>
        <w:spacing w:after="0" w:line="240" w:lineRule="auto"/>
        <w:jc w:val="both"/>
        <w:outlineLvl w:val="0"/>
        <w:rPr>
          <w:rFonts w:ascii="Arial" w:hAnsi="Arial" w:cs="Arial"/>
          <w:sz w:val="20"/>
          <w:szCs w:val="20"/>
        </w:rPr>
      </w:pPr>
    </w:p>
    <w:p w:rsidR="0084743E" w:rsidRPr="00C42C21" w:rsidRDefault="0084743E" w:rsidP="00C42C21">
      <w:pPr>
        <w:spacing w:after="0" w:line="240" w:lineRule="auto"/>
        <w:jc w:val="both"/>
        <w:outlineLvl w:val="0"/>
        <w:rPr>
          <w:rFonts w:ascii="Arial" w:eastAsia="Arial Unicode MS" w:hAnsi="Arial" w:cs="Arial"/>
          <w:b/>
          <w:sz w:val="20"/>
          <w:szCs w:val="20"/>
          <w:u w:color="000000"/>
        </w:rPr>
      </w:pPr>
      <w:r w:rsidRPr="00C42C21">
        <w:rPr>
          <w:rFonts w:ascii="Arial" w:eastAsia="Arial Unicode MS" w:hAnsi="Arial" w:cs="Arial"/>
          <w:b/>
          <w:sz w:val="20"/>
          <w:szCs w:val="20"/>
          <w:u w:color="000000"/>
        </w:rPr>
        <w:t>1.</w:t>
      </w:r>
      <w:r w:rsidRPr="00C42C21">
        <w:rPr>
          <w:rFonts w:ascii="Arial" w:eastAsia="Arial Unicode MS" w:hAnsi="Arial" w:cs="Arial"/>
          <w:b/>
          <w:sz w:val="20"/>
          <w:szCs w:val="20"/>
          <w:u w:color="000000"/>
        </w:rPr>
        <w:tab/>
        <w:t xml:space="preserve">INTRODUCTION </w:t>
      </w:r>
    </w:p>
    <w:p w:rsidR="0084743E" w:rsidRPr="00C42C21" w:rsidRDefault="0084743E" w:rsidP="00C42C21">
      <w:pPr>
        <w:autoSpaceDE w:val="0"/>
        <w:autoSpaceDN w:val="0"/>
        <w:adjustRightInd w:val="0"/>
        <w:spacing w:after="0" w:line="240" w:lineRule="auto"/>
        <w:rPr>
          <w:rFonts w:ascii="Arial" w:hAnsi="Arial" w:cs="Arial"/>
          <w:b/>
          <w:bCs/>
          <w:sz w:val="20"/>
          <w:szCs w:val="20"/>
        </w:rPr>
      </w:pPr>
    </w:p>
    <w:p w:rsidR="0084743E" w:rsidRPr="00C42C21" w:rsidRDefault="0084743E" w:rsidP="00C42C21">
      <w:pPr>
        <w:autoSpaceDE w:val="0"/>
        <w:autoSpaceDN w:val="0"/>
        <w:adjustRightInd w:val="0"/>
        <w:spacing w:after="0" w:line="240" w:lineRule="auto"/>
        <w:rPr>
          <w:rFonts w:ascii="Arial" w:hAnsi="Arial" w:cs="Arial"/>
          <w:b/>
          <w:bCs/>
          <w:sz w:val="20"/>
          <w:szCs w:val="20"/>
        </w:rPr>
      </w:pPr>
      <w:r w:rsidRPr="00C42C21">
        <w:rPr>
          <w:rFonts w:ascii="Arial" w:hAnsi="Arial" w:cs="Arial"/>
          <w:b/>
          <w:bCs/>
          <w:sz w:val="20"/>
          <w:szCs w:val="20"/>
        </w:rPr>
        <w:t>1.1</w:t>
      </w:r>
      <w:r w:rsidRPr="00C42C21">
        <w:rPr>
          <w:rFonts w:ascii="Arial" w:hAnsi="Arial" w:cs="Arial"/>
          <w:b/>
          <w:bCs/>
          <w:sz w:val="20"/>
          <w:szCs w:val="20"/>
        </w:rPr>
        <w:tab/>
        <w:t>Mandate of the Committee</w:t>
      </w:r>
    </w:p>
    <w:p w:rsidR="0084743E" w:rsidRPr="00C42C21" w:rsidRDefault="0084743E" w:rsidP="00C42C21">
      <w:pPr>
        <w:autoSpaceDE w:val="0"/>
        <w:autoSpaceDN w:val="0"/>
        <w:adjustRightInd w:val="0"/>
        <w:spacing w:after="0" w:line="240" w:lineRule="auto"/>
        <w:jc w:val="both"/>
        <w:rPr>
          <w:rFonts w:ascii="Arial" w:hAnsi="Arial" w:cs="Arial"/>
          <w:sz w:val="20"/>
          <w:szCs w:val="20"/>
        </w:rPr>
      </w:pPr>
    </w:p>
    <w:p w:rsidR="0084743E" w:rsidRPr="00C42C21" w:rsidRDefault="0084743E"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84743E" w:rsidRPr="00C42C21" w:rsidRDefault="0084743E" w:rsidP="00C42C21">
      <w:pPr>
        <w:autoSpaceDE w:val="0"/>
        <w:autoSpaceDN w:val="0"/>
        <w:adjustRightInd w:val="0"/>
        <w:spacing w:after="0" w:line="240" w:lineRule="auto"/>
        <w:jc w:val="both"/>
        <w:rPr>
          <w:rFonts w:ascii="Arial" w:hAnsi="Arial" w:cs="Arial"/>
          <w:b/>
          <w:sz w:val="20"/>
          <w:szCs w:val="20"/>
        </w:rPr>
      </w:pPr>
    </w:p>
    <w:p w:rsidR="0084743E" w:rsidRPr="00C42C21" w:rsidRDefault="0084743E" w:rsidP="00C42C21">
      <w:pPr>
        <w:spacing w:after="0" w:line="240" w:lineRule="auto"/>
        <w:jc w:val="both"/>
        <w:rPr>
          <w:rFonts w:ascii="Arial" w:hAnsi="Arial" w:cs="Arial"/>
          <w:b/>
          <w:sz w:val="20"/>
          <w:szCs w:val="20"/>
        </w:rPr>
      </w:pPr>
      <w:r w:rsidRPr="00C42C21">
        <w:rPr>
          <w:rFonts w:ascii="Arial" w:hAnsi="Arial" w:cs="Arial"/>
          <w:b/>
          <w:sz w:val="20"/>
          <w:szCs w:val="20"/>
        </w:rPr>
        <w:t>1.2</w:t>
      </w:r>
      <w:r w:rsidRPr="00C42C21">
        <w:rPr>
          <w:rFonts w:ascii="Arial" w:hAnsi="Arial" w:cs="Arial"/>
          <w:b/>
          <w:sz w:val="20"/>
          <w:szCs w:val="20"/>
        </w:rPr>
        <w:tab/>
        <w:t xml:space="preserve">Process </w:t>
      </w:r>
    </w:p>
    <w:p w:rsidR="0084743E" w:rsidRPr="00C42C21" w:rsidRDefault="0084743E" w:rsidP="00C42C21">
      <w:pPr>
        <w:spacing w:after="0" w:line="240" w:lineRule="auto"/>
        <w:jc w:val="both"/>
        <w:rPr>
          <w:rFonts w:ascii="Arial" w:hAnsi="Arial" w:cs="Arial"/>
          <w:b/>
          <w:sz w:val="20"/>
          <w:szCs w:val="20"/>
        </w:rPr>
      </w:pPr>
    </w:p>
    <w:p w:rsidR="00870DBB" w:rsidRPr="00C42C21" w:rsidRDefault="0084743E" w:rsidP="00C42C21">
      <w:pPr>
        <w:spacing w:after="0" w:line="240" w:lineRule="auto"/>
        <w:jc w:val="both"/>
        <w:rPr>
          <w:rFonts w:ascii="Arial" w:hAnsi="Arial" w:cs="Arial"/>
          <w:sz w:val="20"/>
          <w:szCs w:val="20"/>
        </w:rPr>
      </w:pPr>
      <w:r w:rsidRPr="00C42C21">
        <w:rPr>
          <w:rFonts w:ascii="Arial" w:hAnsi="Arial" w:cs="Arial"/>
          <w:sz w:val="20"/>
          <w:szCs w:val="20"/>
        </w:rPr>
        <w:t xml:space="preserve">The Portfolio Committee considered the Department of Military Veterans’ </w:t>
      </w:r>
      <w:r w:rsidR="002E5CCE" w:rsidRPr="00C42C21">
        <w:rPr>
          <w:rFonts w:ascii="Arial" w:hAnsi="Arial" w:cs="Arial"/>
          <w:sz w:val="20"/>
          <w:szCs w:val="20"/>
        </w:rPr>
        <w:t xml:space="preserve">(DMV) </w:t>
      </w:r>
      <w:r w:rsidRPr="00C42C21">
        <w:rPr>
          <w:rFonts w:ascii="Arial" w:hAnsi="Arial" w:cs="Arial"/>
          <w:sz w:val="20"/>
          <w:szCs w:val="20"/>
        </w:rPr>
        <w:t>202</w:t>
      </w:r>
      <w:r w:rsidR="002E5CCE" w:rsidRPr="00C42C21">
        <w:rPr>
          <w:rFonts w:ascii="Arial" w:hAnsi="Arial" w:cs="Arial"/>
          <w:sz w:val="20"/>
          <w:szCs w:val="20"/>
        </w:rPr>
        <w:t>3</w:t>
      </w:r>
      <w:r w:rsidRPr="00C42C21">
        <w:rPr>
          <w:rFonts w:ascii="Arial" w:hAnsi="Arial" w:cs="Arial"/>
          <w:sz w:val="20"/>
          <w:szCs w:val="20"/>
        </w:rPr>
        <w:t>/2</w:t>
      </w:r>
      <w:r w:rsidR="002E5CCE" w:rsidRPr="00C42C21">
        <w:rPr>
          <w:rFonts w:ascii="Arial" w:hAnsi="Arial" w:cs="Arial"/>
          <w:sz w:val="20"/>
          <w:szCs w:val="20"/>
        </w:rPr>
        <w:t>4</w:t>
      </w:r>
      <w:r w:rsidRPr="00C42C21">
        <w:rPr>
          <w:rFonts w:ascii="Arial" w:hAnsi="Arial" w:cs="Arial"/>
          <w:sz w:val="20"/>
          <w:szCs w:val="20"/>
        </w:rPr>
        <w:t xml:space="preserve"> </w:t>
      </w:r>
      <w:r w:rsidR="00386B49" w:rsidRPr="00C42C21">
        <w:rPr>
          <w:rFonts w:ascii="Arial" w:hAnsi="Arial" w:cs="Arial"/>
          <w:sz w:val="20"/>
          <w:szCs w:val="20"/>
        </w:rPr>
        <w:t>APP</w:t>
      </w:r>
      <w:r w:rsidRPr="00C42C21">
        <w:rPr>
          <w:rFonts w:ascii="Arial" w:hAnsi="Arial" w:cs="Arial"/>
          <w:sz w:val="20"/>
          <w:szCs w:val="20"/>
        </w:rPr>
        <w:t xml:space="preserve"> as well as its budget allocation on </w:t>
      </w:r>
      <w:r w:rsidR="002E5CCE" w:rsidRPr="00C42C21">
        <w:rPr>
          <w:rFonts w:ascii="Arial" w:hAnsi="Arial" w:cs="Arial"/>
          <w:sz w:val="20"/>
          <w:szCs w:val="20"/>
        </w:rPr>
        <w:t>10 May</w:t>
      </w:r>
      <w:r w:rsidR="005A3FCE" w:rsidRPr="00C42C21">
        <w:rPr>
          <w:rFonts w:ascii="Arial" w:hAnsi="Arial" w:cs="Arial"/>
          <w:sz w:val="20"/>
          <w:szCs w:val="20"/>
        </w:rPr>
        <w:t xml:space="preserve"> </w:t>
      </w:r>
      <w:r w:rsidRPr="00C42C21">
        <w:rPr>
          <w:rFonts w:ascii="Arial" w:hAnsi="Arial" w:cs="Arial"/>
          <w:sz w:val="20"/>
          <w:szCs w:val="20"/>
        </w:rPr>
        <w:t>202</w:t>
      </w:r>
      <w:r w:rsidR="002E5CCE" w:rsidRPr="00C42C21">
        <w:rPr>
          <w:rFonts w:ascii="Arial" w:hAnsi="Arial" w:cs="Arial"/>
          <w:sz w:val="20"/>
          <w:szCs w:val="20"/>
        </w:rPr>
        <w:t>3</w:t>
      </w:r>
      <w:r w:rsidRPr="00C42C21">
        <w:rPr>
          <w:rFonts w:ascii="Arial" w:hAnsi="Arial" w:cs="Arial"/>
          <w:sz w:val="20"/>
          <w:szCs w:val="20"/>
        </w:rPr>
        <w:t>. The Committee made several observations that led to recommendations to the DMV, to enhance their performance for the remain</w:t>
      </w:r>
      <w:r w:rsidR="00870DBB" w:rsidRPr="00C42C21">
        <w:rPr>
          <w:rFonts w:ascii="Arial" w:hAnsi="Arial" w:cs="Arial"/>
          <w:sz w:val="20"/>
          <w:szCs w:val="20"/>
        </w:rPr>
        <w:t>d</w:t>
      </w:r>
      <w:r w:rsidRPr="00C42C21">
        <w:rPr>
          <w:rFonts w:ascii="Arial" w:hAnsi="Arial" w:cs="Arial"/>
          <w:sz w:val="20"/>
          <w:szCs w:val="20"/>
        </w:rPr>
        <w:t>e</w:t>
      </w:r>
      <w:r w:rsidR="00870DBB" w:rsidRPr="00C42C21">
        <w:rPr>
          <w:rFonts w:ascii="Arial" w:hAnsi="Arial" w:cs="Arial"/>
          <w:sz w:val="20"/>
          <w:szCs w:val="20"/>
        </w:rPr>
        <w:t>r</w:t>
      </w:r>
      <w:r w:rsidRPr="00C42C21">
        <w:rPr>
          <w:rFonts w:ascii="Arial" w:hAnsi="Arial" w:cs="Arial"/>
          <w:sz w:val="20"/>
          <w:szCs w:val="20"/>
        </w:rPr>
        <w:t xml:space="preserve"> of </w:t>
      </w:r>
      <w:r w:rsidR="002E5CCE" w:rsidRPr="00C42C21">
        <w:rPr>
          <w:rFonts w:ascii="Arial" w:hAnsi="Arial" w:cs="Arial"/>
          <w:sz w:val="20"/>
          <w:szCs w:val="20"/>
        </w:rPr>
        <w:t>the financial year</w:t>
      </w:r>
      <w:r w:rsidRPr="00C42C21">
        <w:rPr>
          <w:rFonts w:ascii="Arial" w:hAnsi="Arial" w:cs="Arial"/>
          <w:sz w:val="20"/>
          <w:szCs w:val="20"/>
        </w:rPr>
        <w:t>.</w:t>
      </w:r>
      <w:r w:rsidR="00870DBB" w:rsidRPr="00C42C21">
        <w:rPr>
          <w:rFonts w:ascii="Arial" w:hAnsi="Arial" w:cs="Arial"/>
          <w:sz w:val="20"/>
          <w:szCs w:val="20"/>
        </w:rPr>
        <w:t xml:space="preserve"> </w:t>
      </w:r>
      <w:r w:rsidR="002E5CCE" w:rsidRPr="00C42C21">
        <w:rPr>
          <w:rFonts w:ascii="Arial" w:hAnsi="Arial" w:cs="Arial"/>
          <w:sz w:val="20"/>
          <w:szCs w:val="20"/>
        </w:rPr>
        <w:t xml:space="preserve">The Department’s annual budget allocation is outlined in National Treasury’s 2023/24 Estimates of National Expenditure (ENE) as Vote 26. </w:t>
      </w:r>
      <w:r w:rsidR="00870DBB" w:rsidRPr="00C42C21">
        <w:rPr>
          <w:rFonts w:ascii="Arial" w:hAnsi="Arial" w:cs="Arial"/>
          <w:sz w:val="20"/>
          <w:szCs w:val="20"/>
        </w:rPr>
        <w:t>The DMV submitted its APP for 202</w:t>
      </w:r>
      <w:r w:rsidR="002E5CCE" w:rsidRPr="00C42C21">
        <w:rPr>
          <w:rFonts w:ascii="Arial" w:hAnsi="Arial" w:cs="Arial"/>
          <w:sz w:val="20"/>
          <w:szCs w:val="20"/>
        </w:rPr>
        <w:t>3</w:t>
      </w:r>
      <w:r w:rsidR="00870DBB" w:rsidRPr="00C42C21">
        <w:rPr>
          <w:rFonts w:ascii="Arial" w:hAnsi="Arial" w:cs="Arial"/>
          <w:sz w:val="20"/>
          <w:szCs w:val="20"/>
        </w:rPr>
        <w:t>/2</w:t>
      </w:r>
      <w:r w:rsidR="002E5CCE" w:rsidRPr="00C42C21">
        <w:rPr>
          <w:rFonts w:ascii="Arial" w:hAnsi="Arial" w:cs="Arial"/>
          <w:sz w:val="20"/>
          <w:szCs w:val="20"/>
        </w:rPr>
        <w:t>4</w:t>
      </w:r>
      <w:r w:rsidR="00870DBB" w:rsidRPr="00C42C21">
        <w:rPr>
          <w:rFonts w:ascii="Arial" w:hAnsi="Arial" w:cs="Arial"/>
          <w:sz w:val="20"/>
          <w:szCs w:val="20"/>
        </w:rPr>
        <w:t xml:space="preserve"> to Parliament </w:t>
      </w:r>
      <w:r w:rsidR="002E5CCE" w:rsidRPr="00C42C21">
        <w:rPr>
          <w:rFonts w:ascii="Arial" w:hAnsi="Arial" w:cs="Arial"/>
          <w:sz w:val="20"/>
          <w:szCs w:val="20"/>
        </w:rPr>
        <w:t>late, on 10 May 2023, and not in compliance with parliamentary regulations</w:t>
      </w:r>
      <w:r w:rsidR="00870DBB" w:rsidRPr="00C42C21">
        <w:rPr>
          <w:rFonts w:ascii="Arial" w:hAnsi="Arial" w:cs="Arial"/>
          <w:sz w:val="20"/>
          <w:szCs w:val="20"/>
        </w:rPr>
        <w:t>.</w:t>
      </w:r>
    </w:p>
    <w:p w:rsidR="002E5CCE" w:rsidRPr="00C42C21" w:rsidRDefault="002E5CCE" w:rsidP="00C42C21">
      <w:pPr>
        <w:spacing w:after="0" w:line="240" w:lineRule="auto"/>
        <w:jc w:val="both"/>
        <w:rPr>
          <w:rFonts w:ascii="Arial" w:hAnsi="Arial" w:cs="Arial"/>
          <w:sz w:val="20"/>
          <w:szCs w:val="20"/>
        </w:rPr>
      </w:pPr>
    </w:p>
    <w:p w:rsidR="00870DBB" w:rsidRPr="00C42C21" w:rsidRDefault="00870DBB" w:rsidP="00C42C21">
      <w:pPr>
        <w:spacing w:after="0" w:line="240" w:lineRule="auto"/>
        <w:jc w:val="both"/>
        <w:rPr>
          <w:rFonts w:ascii="Arial" w:hAnsi="Arial" w:cs="Arial"/>
          <w:b/>
          <w:sz w:val="20"/>
          <w:szCs w:val="20"/>
        </w:rPr>
      </w:pPr>
      <w:r w:rsidRPr="00C42C21">
        <w:rPr>
          <w:rFonts w:ascii="Arial" w:hAnsi="Arial" w:cs="Arial"/>
          <w:sz w:val="20"/>
          <w:szCs w:val="20"/>
        </w:rPr>
        <w:t xml:space="preserve"> </w:t>
      </w:r>
      <w:r w:rsidRPr="00C42C21">
        <w:rPr>
          <w:rFonts w:ascii="Arial" w:hAnsi="Arial" w:cs="Arial"/>
          <w:b/>
          <w:sz w:val="20"/>
          <w:szCs w:val="20"/>
        </w:rPr>
        <w:t>2.</w:t>
      </w:r>
      <w:r w:rsidRPr="00C42C21">
        <w:rPr>
          <w:rFonts w:ascii="Arial" w:hAnsi="Arial" w:cs="Arial"/>
          <w:b/>
          <w:sz w:val="20"/>
          <w:szCs w:val="20"/>
        </w:rPr>
        <w:tab/>
        <w:t xml:space="preserve">FOREWORD BY THE MINISTER AND DEPUTY MINISTER </w:t>
      </w:r>
    </w:p>
    <w:p w:rsidR="002E5CCE" w:rsidRPr="00C42C21" w:rsidRDefault="002E5CCE" w:rsidP="00C42C21">
      <w:pPr>
        <w:pStyle w:val="Default"/>
        <w:jc w:val="both"/>
        <w:rPr>
          <w:bCs/>
          <w:color w:val="auto"/>
          <w:sz w:val="20"/>
          <w:szCs w:val="20"/>
        </w:rPr>
      </w:pPr>
    </w:p>
    <w:p w:rsidR="00870DBB" w:rsidRPr="00C42C21" w:rsidRDefault="00870DBB" w:rsidP="00C42C21">
      <w:pPr>
        <w:pStyle w:val="Default"/>
        <w:jc w:val="both"/>
        <w:rPr>
          <w:bCs/>
          <w:color w:val="auto"/>
          <w:sz w:val="20"/>
          <w:szCs w:val="20"/>
        </w:rPr>
      </w:pPr>
      <w:r w:rsidRPr="00C42C21">
        <w:rPr>
          <w:bCs/>
          <w:color w:val="auto"/>
          <w:sz w:val="20"/>
          <w:szCs w:val="20"/>
        </w:rPr>
        <w:t xml:space="preserve">The Minister points out that the Department’s priorities are, </w:t>
      </w:r>
      <w:r w:rsidRPr="00C42C21">
        <w:rPr>
          <w:bCs/>
          <w:i/>
          <w:color w:val="auto"/>
          <w:sz w:val="20"/>
          <w:szCs w:val="20"/>
        </w:rPr>
        <w:t>inter alia</w:t>
      </w:r>
      <w:r w:rsidRPr="00C42C21">
        <w:rPr>
          <w:bCs/>
          <w:color w:val="auto"/>
          <w:sz w:val="20"/>
          <w:szCs w:val="20"/>
        </w:rPr>
        <w:t xml:space="preserve">: </w:t>
      </w:r>
    </w:p>
    <w:p w:rsidR="002E5CCE" w:rsidRPr="00C42C21" w:rsidRDefault="002E5CCE" w:rsidP="00C42C21">
      <w:pPr>
        <w:pStyle w:val="Default"/>
        <w:numPr>
          <w:ilvl w:val="0"/>
          <w:numId w:val="22"/>
        </w:numPr>
        <w:jc w:val="both"/>
        <w:rPr>
          <w:bCs/>
          <w:color w:val="auto"/>
          <w:sz w:val="20"/>
          <w:szCs w:val="20"/>
        </w:rPr>
      </w:pPr>
      <w:r w:rsidRPr="00C42C21">
        <w:rPr>
          <w:color w:val="auto"/>
          <w:sz w:val="20"/>
          <w:szCs w:val="20"/>
        </w:rPr>
        <w:t xml:space="preserve">The finalisation and implementation of its integrated human resource management strategy in the Department. </w:t>
      </w:r>
    </w:p>
    <w:p w:rsidR="002E5CCE" w:rsidRPr="00C42C21" w:rsidRDefault="002E5CCE" w:rsidP="00C42C21">
      <w:pPr>
        <w:pStyle w:val="Default"/>
        <w:numPr>
          <w:ilvl w:val="0"/>
          <w:numId w:val="22"/>
        </w:numPr>
        <w:jc w:val="both"/>
        <w:rPr>
          <w:bCs/>
          <w:color w:val="auto"/>
          <w:sz w:val="20"/>
          <w:szCs w:val="20"/>
        </w:rPr>
      </w:pPr>
      <w:r w:rsidRPr="00C42C21">
        <w:rPr>
          <w:color w:val="auto"/>
          <w:sz w:val="20"/>
          <w:szCs w:val="20"/>
        </w:rPr>
        <w:t xml:space="preserve">The finalisation and implementation of its desired organizational design to support its mandate. </w:t>
      </w:r>
    </w:p>
    <w:p w:rsidR="002E5CCE" w:rsidRPr="00C42C21" w:rsidRDefault="002E5CCE" w:rsidP="00C42C21">
      <w:pPr>
        <w:pStyle w:val="Default"/>
        <w:numPr>
          <w:ilvl w:val="0"/>
          <w:numId w:val="22"/>
        </w:numPr>
        <w:jc w:val="both"/>
        <w:rPr>
          <w:bCs/>
          <w:color w:val="auto"/>
          <w:sz w:val="20"/>
          <w:szCs w:val="20"/>
        </w:rPr>
      </w:pPr>
      <w:r w:rsidRPr="00C42C21">
        <w:rPr>
          <w:color w:val="auto"/>
          <w:sz w:val="20"/>
          <w:szCs w:val="20"/>
        </w:rPr>
        <w:t xml:space="preserve">The Development and promulgation of regulations of the: Advisory Council: Appeal Board and the National Military Veterans Association. </w:t>
      </w:r>
    </w:p>
    <w:p w:rsidR="002E5CCE" w:rsidRPr="00C42C21" w:rsidRDefault="002E5CCE" w:rsidP="00C42C21">
      <w:pPr>
        <w:pStyle w:val="Default"/>
        <w:numPr>
          <w:ilvl w:val="0"/>
          <w:numId w:val="22"/>
        </w:numPr>
        <w:jc w:val="both"/>
        <w:rPr>
          <w:bCs/>
          <w:color w:val="auto"/>
          <w:sz w:val="20"/>
          <w:szCs w:val="20"/>
        </w:rPr>
      </w:pPr>
      <w:r w:rsidRPr="00C42C21">
        <w:rPr>
          <w:color w:val="auto"/>
          <w:sz w:val="20"/>
          <w:szCs w:val="20"/>
        </w:rPr>
        <w:t xml:space="preserve">Human settlement for Military Veterans. </w:t>
      </w:r>
    </w:p>
    <w:p w:rsidR="002E5CCE" w:rsidRPr="00C42C21" w:rsidRDefault="002E5CCE" w:rsidP="00C42C21">
      <w:pPr>
        <w:pStyle w:val="Default"/>
        <w:numPr>
          <w:ilvl w:val="0"/>
          <w:numId w:val="22"/>
        </w:numPr>
        <w:jc w:val="both"/>
        <w:rPr>
          <w:bCs/>
          <w:color w:val="auto"/>
          <w:sz w:val="20"/>
          <w:szCs w:val="20"/>
        </w:rPr>
      </w:pPr>
      <w:r w:rsidRPr="00C42C21">
        <w:rPr>
          <w:color w:val="auto"/>
          <w:sz w:val="20"/>
          <w:szCs w:val="20"/>
        </w:rPr>
        <w:t xml:space="preserve">Consolidating the social wage through reliable and quality basis services. </w:t>
      </w:r>
    </w:p>
    <w:p w:rsidR="002E5CCE" w:rsidRPr="00C42C21" w:rsidRDefault="002E5CCE" w:rsidP="00C42C21">
      <w:pPr>
        <w:pStyle w:val="Default"/>
        <w:numPr>
          <w:ilvl w:val="0"/>
          <w:numId w:val="22"/>
        </w:numPr>
        <w:jc w:val="both"/>
        <w:rPr>
          <w:bCs/>
          <w:color w:val="auto"/>
          <w:sz w:val="20"/>
          <w:szCs w:val="20"/>
        </w:rPr>
      </w:pPr>
      <w:r w:rsidRPr="00C42C21">
        <w:rPr>
          <w:color w:val="auto"/>
          <w:sz w:val="20"/>
          <w:szCs w:val="20"/>
        </w:rPr>
        <w:t xml:space="preserve">Education, Skills and Health for Military Veterans and their dependents </w:t>
      </w:r>
    </w:p>
    <w:p w:rsidR="00870DBB" w:rsidRPr="00C42C21" w:rsidRDefault="002E5CCE" w:rsidP="00C42C21">
      <w:pPr>
        <w:pStyle w:val="Default"/>
        <w:numPr>
          <w:ilvl w:val="0"/>
          <w:numId w:val="22"/>
        </w:numPr>
        <w:jc w:val="both"/>
        <w:rPr>
          <w:bCs/>
          <w:color w:val="auto"/>
          <w:sz w:val="20"/>
          <w:szCs w:val="20"/>
        </w:rPr>
      </w:pPr>
      <w:r w:rsidRPr="00C42C21">
        <w:rPr>
          <w:color w:val="auto"/>
          <w:sz w:val="20"/>
          <w:szCs w:val="20"/>
        </w:rPr>
        <w:t>Economic Transformation and Job Creation for Military Veterans.</w:t>
      </w:r>
    </w:p>
    <w:p w:rsidR="002E5CCE" w:rsidRPr="00C42C21" w:rsidRDefault="002E5CCE" w:rsidP="00C42C21">
      <w:pPr>
        <w:pStyle w:val="Default"/>
        <w:ind w:left="720"/>
        <w:jc w:val="both"/>
        <w:rPr>
          <w:bCs/>
          <w:color w:val="auto"/>
          <w:sz w:val="20"/>
          <w:szCs w:val="20"/>
        </w:rPr>
      </w:pPr>
    </w:p>
    <w:p w:rsidR="000C5BC8" w:rsidRPr="00C42C21" w:rsidRDefault="002E5CCE"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Crucially, in relation to previous concerns expressed by the PCDMV and the Auditor-General of South Africa, the Minister concludes in her foreword that “The Ministry is fully aware of the organizational, managerial and leadership challenges faced by the Department of Military Veterans which impact negatively on its ability and capacity to deliver services to the stakeholders. This is a matter that needs to be attended to with the necessary speed to finally restore the dignity of the Military Veterans and to be aligned to the constitutional injunction to honour those who fought and sacrificed to bring about this democracy.”</w:t>
      </w:r>
    </w:p>
    <w:p w:rsidR="002E5CCE" w:rsidRPr="00C42C21" w:rsidRDefault="002E5CCE" w:rsidP="00C42C21">
      <w:pPr>
        <w:autoSpaceDE w:val="0"/>
        <w:autoSpaceDN w:val="0"/>
        <w:adjustRightInd w:val="0"/>
        <w:spacing w:after="0" w:line="240" w:lineRule="auto"/>
        <w:jc w:val="both"/>
        <w:rPr>
          <w:rFonts w:ascii="Arial" w:hAnsi="Arial" w:cs="Arial"/>
          <w:sz w:val="20"/>
          <w:szCs w:val="20"/>
        </w:rPr>
      </w:pPr>
    </w:p>
    <w:p w:rsidR="0084743E" w:rsidRPr="00C42C21" w:rsidRDefault="0084743E" w:rsidP="00C42C21">
      <w:pPr>
        <w:spacing w:after="0" w:line="240" w:lineRule="auto"/>
        <w:ind w:right="-285"/>
        <w:jc w:val="both"/>
        <w:outlineLvl w:val="0"/>
        <w:rPr>
          <w:rFonts w:ascii="Arial" w:eastAsia="Arial Unicode MS" w:hAnsi="Arial" w:cs="Arial"/>
          <w:b/>
          <w:color w:val="000000"/>
          <w:sz w:val="20"/>
          <w:szCs w:val="20"/>
          <w:u w:color="000000"/>
        </w:rPr>
      </w:pPr>
      <w:r w:rsidRPr="00C42C21">
        <w:rPr>
          <w:rFonts w:ascii="Arial" w:hAnsi="Arial" w:cs="Arial"/>
          <w:b/>
          <w:sz w:val="20"/>
          <w:szCs w:val="20"/>
        </w:rPr>
        <w:t xml:space="preserve">3. </w:t>
      </w:r>
      <w:r w:rsidRPr="00C42C21">
        <w:rPr>
          <w:rFonts w:ascii="Arial" w:hAnsi="Arial" w:cs="Arial"/>
          <w:b/>
          <w:sz w:val="20"/>
          <w:szCs w:val="20"/>
        </w:rPr>
        <w:tab/>
      </w:r>
      <w:r w:rsidRPr="00C42C21">
        <w:rPr>
          <w:rFonts w:ascii="Arial" w:eastAsia="Arial Unicode MS" w:hAnsi="Arial" w:cs="Arial"/>
          <w:b/>
          <w:color w:val="000000"/>
          <w:sz w:val="20"/>
          <w:szCs w:val="20"/>
          <w:u w:color="000000"/>
        </w:rPr>
        <w:t xml:space="preserve">CONTRIBUTIONS OF THE DMV </w:t>
      </w:r>
    </w:p>
    <w:p w:rsidR="0084743E" w:rsidRPr="00C42C21" w:rsidRDefault="0084743E" w:rsidP="00C42C21">
      <w:pPr>
        <w:spacing w:after="0" w:line="240" w:lineRule="auto"/>
        <w:ind w:right="-285"/>
        <w:jc w:val="both"/>
        <w:outlineLvl w:val="0"/>
        <w:rPr>
          <w:rFonts w:ascii="Arial" w:eastAsia="Arial Unicode MS" w:hAnsi="Arial" w:cs="Arial"/>
          <w:color w:val="000000"/>
          <w:sz w:val="20"/>
          <w:szCs w:val="20"/>
          <w:u w:color="000000"/>
        </w:rPr>
      </w:pPr>
    </w:p>
    <w:p w:rsidR="0084743E" w:rsidRPr="00C42C21" w:rsidRDefault="0084743E" w:rsidP="00C42C21">
      <w:pPr>
        <w:spacing w:after="0" w:line="240" w:lineRule="auto"/>
        <w:ind w:right="-1"/>
        <w:jc w:val="both"/>
        <w:outlineLvl w:val="0"/>
        <w:rPr>
          <w:rFonts w:ascii="Arial" w:eastAsia="Arial Unicode MS" w:hAnsi="Arial" w:cs="Arial"/>
          <w:b/>
          <w:color w:val="000000"/>
          <w:sz w:val="20"/>
          <w:szCs w:val="20"/>
          <w:u w:color="000000"/>
        </w:rPr>
      </w:pPr>
      <w:r w:rsidRPr="00C42C21">
        <w:rPr>
          <w:rFonts w:ascii="Arial" w:eastAsia="Arial Unicode MS" w:hAnsi="Arial" w:cs="Arial"/>
          <w:b/>
          <w:color w:val="000000"/>
          <w:sz w:val="20"/>
          <w:szCs w:val="20"/>
          <w:u w:color="000000"/>
        </w:rPr>
        <w:t>3.</w:t>
      </w:r>
      <w:r w:rsidR="003A03ED" w:rsidRPr="00C42C21">
        <w:rPr>
          <w:rFonts w:ascii="Arial" w:eastAsia="Arial Unicode MS" w:hAnsi="Arial" w:cs="Arial"/>
          <w:b/>
          <w:color w:val="000000"/>
          <w:sz w:val="20"/>
          <w:szCs w:val="20"/>
          <w:u w:color="000000"/>
        </w:rPr>
        <w:t>1</w:t>
      </w:r>
      <w:r w:rsidRPr="00C42C21">
        <w:rPr>
          <w:rFonts w:ascii="Arial" w:eastAsia="Arial Unicode MS" w:hAnsi="Arial" w:cs="Arial"/>
          <w:color w:val="000000"/>
          <w:sz w:val="20"/>
          <w:szCs w:val="20"/>
          <w:u w:color="000000"/>
        </w:rPr>
        <w:tab/>
      </w:r>
      <w:r w:rsidR="003A03ED" w:rsidRPr="00C42C21">
        <w:rPr>
          <w:rFonts w:ascii="Arial" w:eastAsia="Arial Unicode MS" w:hAnsi="Arial" w:cs="Arial"/>
          <w:b/>
          <w:color w:val="000000"/>
          <w:sz w:val="20"/>
          <w:szCs w:val="20"/>
          <w:u w:color="000000"/>
        </w:rPr>
        <w:t>Main o</w:t>
      </w:r>
      <w:r w:rsidRPr="00C42C21">
        <w:rPr>
          <w:rFonts w:ascii="Arial" w:eastAsia="Arial Unicode MS" w:hAnsi="Arial" w:cs="Arial"/>
          <w:b/>
          <w:color w:val="000000"/>
          <w:sz w:val="20"/>
          <w:szCs w:val="20"/>
          <w:u w:color="000000"/>
        </w:rPr>
        <w:t>bjective of the Department of Military Veterans</w:t>
      </w:r>
    </w:p>
    <w:p w:rsidR="0084743E" w:rsidRPr="00C42C21" w:rsidRDefault="0084743E" w:rsidP="00C42C21">
      <w:pPr>
        <w:spacing w:after="0" w:line="240" w:lineRule="auto"/>
        <w:ind w:right="-1"/>
        <w:jc w:val="both"/>
        <w:outlineLvl w:val="0"/>
        <w:rPr>
          <w:rFonts w:ascii="Arial" w:eastAsia="Arial Unicode MS" w:hAnsi="Arial" w:cs="Arial"/>
          <w:b/>
          <w:color w:val="000000"/>
          <w:sz w:val="20"/>
          <w:szCs w:val="20"/>
          <w:u w:color="000000"/>
        </w:rPr>
      </w:pPr>
    </w:p>
    <w:p w:rsidR="0084743E" w:rsidRPr="00C42C21" w:rsidRDefault="0084743E" w:rsidP="00C42C21">
      <w:pPr>
        <w:spacing w:after="0" w:line="240" w:lineRule="auto"/>
        <w:ind w:right="-1"/>
        <w:jc w:val="both"/>
        <w:outlineLvl w:val="0"/>
        <w:rPr>
          <w:rFonts w:ascii="Arial" w:eastAsia="Arial Unicode MS" w:hAnsi="Arial" w:cs="Arial"/>
          <w:color w:val="000000"/>
          <w:sz w:val="20"/>
          <w:szCs w:val="20"/>
          <w:u w:color="000000"/>
        </w:rPr>
      </w:pPr>
      <w:r w:rsidRPr="00C42C21">
        <w:rPr>
          <w:rFonts w:ascii="Arial" w:eastAsia="Arial Unicode MS" w:hAnsi="Arial" w:cs="Arial"/>
          <w:color w:val="000000"/>
          <w:sz w:val="20"/>
          <w:szCs w:val="20"/>
          <w:u w:color="000000"/>
        </w:rPr>
        <w:t xml:space="preserve">The main objective of the </w:t>
      </w:r>
      <w:r w:rsidR="00954B86" w:rsidRPr="00C42C21">
        <w:rPr>
          <w:rFonts w:ascii="Arial" w:eastAsia="Arial Unicode MS" w:hAnsi="Arial" w:cs="Arial"/>
          <w:color w:val="000000"/>
          <w:sz w:val="20"/>
          <w:szCs w:val="20"/>
          <w:u w:color="000000"/>
        </w:rPr>
        <w:t>DMV</w:t>
      </w:r>
      <w:r w:rsidRPr="00C42C21">
        <w:rPr>
          <w:rFonts w:ascii="Arial" w:eastAsia="Arial Unicode MS" w:hAnsi="Arial" w:cs="Arial"/>
          <w:color w:val="000000"/>
          <w:sz w:val="20"/>
          <w:szCs w:val="20"/>
          <w:u w:color="000000"/>
        </w:rPr>
        <w:t xml:space="preserve"> is to provide national policy and standards on socio-economic support to Military veterans and their dependants, as well as policies and standards on heritage and empowerment programmes including those that contribute to nation-building and reconciliation.</w:t>
      </w:r>
    </w:p>
    <w:p w:rsidR="002E5CCE" w:rsidRPr="00C42C21" w:rsidRDefault="002E5CCE" w:rsidP="00C42C21">
      <w:pPr>
        <w:pStyle w:val="ListParagraph"/>
        <w:spacing w:after="0" w:line="240" w:lineRule="auto"/>
        <w:ind w:left="0" w:right="4"/>
        <w:jc w:val="both"/>
        <w:outlineLvl w:val="0"/>
        <w:rPr>
          <w:rFonts w:ascii="Arial" w:eastAsia="Arial Unicode MS" w:hAnsi="Arial" w:cs="Arial"/>
          <w:b/>
          <w:color w:val="000000"/>
          <w:sz w:val="20"/>
          <w:szCs w:val="20"/>
          <w:u w:color="000000"/>
          <w:lang w:eastAsia="en-ZA"/>
        </w:rPr>
      </w:pPr>
    </w:p>
    <w:p w:rsidR="0084743E" w:rsidRPr="00C42C21" w:rsidRDefault="003A03ED" w:rsidP="00C42C21">
      <w:pPr>
        <w:pStyle w:val="ListParagraph"/>
        <w:spacing w:after="0" w:line="240" w:lineRule="auto"/>
        <w:ind w:left="0" w:right="4"/>
        <w:jc w:val="both"/>
        <w:outlineLvl w:val="0"/>
        <w:rPr>
          <w:rFonts w:ascii="Arial" w:eastAsia="Arial Unicode MS" w:hAnsi="Arial" w:cs="Arial"/>
          <w:b/>
          <w:color w:val="000000"/>
          <w:sz w:val="20"/>
          <w:szCs w:val="20"/>
          <w:u w:color="000000"/>
          <w:lang w:eastAsia="en-ZA"/>
        </w:rPr>
      </w:pPr>
      <w:r w:rsidRPr="00C42C21">
        <w:rPr>
          <w:rFonts w:ascii="Arial" w:eastAsia="Arial Unicode MS" w:hAnsi="Arial" w:cs="Arial"/>
          <w:b/>
          <w:color w:val="000000"/>
          <w:sz w:val="20"/>
          <w:szCs w:val="20"/>
          <w:u w:color="000000"/>
          <w:lang w:eastAsia="en-ZA"/>
        </w:rPr>
        <w:t>3.2</w:t>
      </w:r>
      <w:r w:rsidR="0084743E" w:rsidRPr="00C42C21">
        <w:rPr>
          <w:rFonts w:ascii="Arial" w:eastAsia="Arial Unicode MS" w:hAnsi="Arial" w:cs="Arial"/>
          <w:b/>
          <w:color w:val="000000"/>
          <w:sz w:val="20"/>
          <w:szCs w:val="20"/>
          <w:u w:color="000000"/>
          <w:lang w:eastAsia="en-ZA"/>
        </w:rPr>
        <w:tab/>
      </w:r>
      <w:r w:rsidR="00847CD4" w:rsidRPr="00C42C21">
        <w:rPr>
          <w:rFonts w:ascii="Arial" w:eastAsia="Arial Unicode MS" w:hAnsi="Arial" w:cs="Arial"/>
          <w:b/>
          <w:color w:val="000000"/>
          <w:sz w:val="20"/>
          <w:szCs w:val="20"/>
          <w:u w:color="000000"/>
          <w:lang w:eastAsia="en-ZA"/>
        </w:rPr>
        <w:t xml:space="preserve">The State of the Nation Address, </w:t>
      </w:r>
      <w:r w:rsidR="0084743E" w:rsidRPr="00C42C21">
        <w:rPr>
          <w:rFonts w:ascii="Arial" w:eastAsia="Arial Unicode MS" w:hAnsi="Arial" w:cs="Arial"/>
          <w:b/>
          <w:color w:val="000000"/>
          <w:sz w:val="20"/>
          <w:szCs w:val="20"/>
          <w:u w:color="000000"/>
          <w:lang w:eastAsia="en-ZA"/>
        </w:rPr>
        <w:t xml:space="preserve">National Development Plan, Medium Term Strategic </w:t>
      </w:r>
      <w:r w:rsidR="00847CD4" w:rsidRPr="00C42C21">
        <w:rPr>
          <w:rFonts w:ascii="Arial" w:eastAsia="Arial Unicode MS" w:hAnsi="Arial" w:cs="Arial"/>
          <w:b/>
          <w:color w:val="000000"/>
          <w:sz w:val="20"/>
          <w:szCs w:val="20"/>
          <w:u w:color="000000"/>
          <w:lang w:eastAsia="en-ZA"/>
        </w:rPr>
        <w:tab/>
        <w:t xml:space="preserve">Framework and </w:t>
      </w:r>
      <w:r w:rsidR="0084743E" w:rsidRPr="00C42C21">
        <w:rPr>
          <w:rFonts w:ascii="Arial" w:eastAsia="Arial Unicode MS" w:hAnsi="Arial" w:cs="Arial"/>
          <w:b/>
          <w:color w:val="000000"/>
          <w:sz w:val="20"/>
          <w:szCs w:val="20"/>
          <w:u w:color="000000"/>
          <w:lang w:eastAsia="en-ZA"/>
        </w:rPr>
        <w:t xml:space="preserve">the Executive Authority Priorities </w:t>
      </w:r>
    </w:p>
    <w:p w:rsidR="0084743E" w:rsidRPr="00C42C21" w:rsidRDefault="0084743E" w:rsidP="00C42C21">
      <w:pPr>
        <w:pStyle w:val="ListParagraph"/>
        <w:spacing w:after="0" w:line="240" w:lineRule="auto"/>
        <w:ind w:left="0" w:right="4"/>
        <w:jc w:val="both"/>
        <w:outlineLvl w:val="0"/>
        <w:rPr>
          <w:rFonts w:ascii="Arial" w:eastAsia="Arial Unicode MS" w:hAnsi="Arial" w:cs="Arial"/>
          <w:b/>
          <w:color w:val="000000"/>
          <w:sz w:val="20"/>
          <w:szCs w:val="20"/>
          <w:u w:color="000000"/>
          <w:lang w:eastAsia="en-ZA"/>
        </w:rPr>
      </w:pPr>
    </w:p>
    <w:p w:rsidR="0084743E" w:rsidRPr="00C42C21" w:rsidRDefault="002E5CCE" w:rsidP="00C42C21">
      <w:pPr>
        <w:pStyle w:val="ListParagraph"/>
        <w:spacing w:after="0" w:line="240" w:lineRule="auto"/>
        <w:ind w:left="0" w:right="4"/>
        <w:jc w:val="both"/>
        <w:outlineLvl w:val="0"/>
        <w:rPr>
          <w:rFonts w:ascii="Arial" w:eastAsia="Arial Unicode MS" w:hAnsi="Arial" w:cs="Arial"/>
          <w:color w:val="000000"/>
          <w:sz w:val="20"/>
          <w:szCs w:val="20"/>
          <w:u w:color="000000"/>
          <w:lang w:eastAsia="en-ZA"/>
        </w:rPr>
      </w:pPr>
      <w:r w:rsidRPr="00C42C21">
        <w:rPr>
          <w:rFonts w:ascii="Arial" w:eastAsia="Arial Unicode MS" w:hAnsi="Arial" w:cs="Arial"/>
          <w:color w:val="000000"/>
          <w:sz w:val="20"/>
          <w:szCs w:val="20"/>
          <w:u w:color="000000"/>
          <w:lang w:eastAsia="en-ZA"/>
        </w:rPr>
        <w:t>Similar to the previous APP, t</w:t>
      </w:r>
      <w:r w:rsidR="0084743E" w:rsidRPr="00C42C21">
        <w:rPr>
          <w:rFonts w:ascii="Arial" w:eastAsia="Arial Unicode MS" w:hAnsi="Arial" w:cs="Arial"/>
          <w:color w:val="000000"/>
          <w:sz w:val="20"/>
          <w:szCs w:val="20"/>
          <w:u w:color="000000"/>
          <w:lang w:eastAsia="en-ZA"/>
        </w:rPr>
        <w:t xml:space="preserve">he DMV’s </w:t>
      </w:r>
      <w:r w:rsidR="00954B86" w:rsidRPr="00C42C21">
        <w:rPr>
          <w:rFonts w:ascii="Arial" w:eastAsia="Arial Unicode MS" w:hAnsi="Arial" w:cs="Arial"/>
          <w:color w:val="000000"/>
          <w:sz w:val="20"/>
          <w:szCs w:val="20"/>
          <w:u w:color="000000"/>
          <w:lang w:eastAsia="en-ZA"/>
        </w:rPr>
        <w:t>202</w:t>
      </w:r>
      <w:r w:rsidRPr="00C42C21">
        <w:rPr>
          <w:rFonts w:ascii="Arial" w:eastAsia="Arial Unicode MS" w:hAnsi="Arial" w:cs="Arial"/>
          <w:color w:val="000000"/>
          <w:sz w:val="20"/>
          <w:szCs w:val="20"/>
          <w:u w:color="000000"/>
          <w:lang w:eastAsia="en-ZA"/>
        </w:rPr>
        <w:t>3</w:t>
      </w:r>
      <w:r w:rsidR="00954B86" w:rsidRPr="00C42C21">
        <w:rPr>
          <w:rFonts w:ascii="Arial" w:eastAsia="Arial Unicode MS" w:hAnsi="Arial" w:cs="Arial"/>
          <w:color w:val="000000"/>
          <w:sz w:val="20"/>
          <w:szCs w:val="20"/>
          <w:u w:color="000000"/>
          <w:lang w:eastAsia="en-ZA"/>
        </w:rPr>
        <w:t>/2</w:t>
      </w:r>
      <w:r w:rsidRPr="00C42C21">
        <w:rPr>
          <w:rFonts w:ascii="Arial" w:eastAsia="Arial Unicode MS" w:hAnsi="Arial" w:cs="Arial"/>
          <w:color w:val="000000"/>
          <w:sz w:val="20"/>
          <w:szCs w:val="20"/>
          <w:u w:color="000000"/>
          <w:lang w:eastAsia="en-ZA"/>
        </w:rPr>
        <w:t>4</w:t>
      </w:r>
      <w:r w:rsidR="00954B86" w:rsidRPr="00C42C21">
        <w:rPr>
          <w:rFonts w:ascii="Arial" w:eastAsia="Arial Unicode MS" w:hAnsi="Arial" w:cs="Arial"/>
          <w:color w:val="000000"/>
          <w:sz w:val="20"/>
          <w:szCs w:val="20"/>
          <w:u w:color="000000"/>
          <w:lang w:eastAsia="en-ZA"/>
        </w:rPr>
        <w:t xml:space="preserve"> </w:t>
      </w:r>
      <w:r w:rsidR="00847CD4" w:rsidRPr="00C42C21">
        <w:rPr>
          <w:rFonts w:ascii="Arial" w:eastAsia="Arial Unicode MS" w:hAnsi="Arial" w:cs="Arial"/>
          <w:color w:val="000000"/>
          <w:sz w:val="20"/>
          <w:szCs w:val="20"/>
          <w:u w:color="000000"/>
          <w:lang w:eastAsia="en-ZA"/>
        </w:rPr>
        <w:t>APP makes reference to the State of the Nation Address (SONA)</w:t>
      </w:r>
      <w:r w:rsidR="00954B86" w:rsidRPr="00C42C21">
        <w:rPr>
          <w:rFonts w:ascii="Arial" w:eastAsia="Arial Unicode MS" w:hAnsi="Arial" w:cs="Arial"/>
          <w:color w:val="000000"/>
          <w:sz w:val="20"/>
          <w:szCs w:val="20"/>
          <w:u w:color="000000"/>
          <w:lang w:eastAsia="en-ZA"/>
        </w:rPr>
        <w:t>,</w:t>
      </w:r>
      <w:r w:rsidR="00847CD4" w:rsidRPr="00C42C21">
        <w:rPr>
          <w:rFonts w:ascii="Arial" w:eastAsia="Arial Unicode MS" w:hAnsi="Arial" w:cs="Arial"/>
          <w:color w:val="000000"/>
          <w:sz w:val="20"/>
          <w:szCs w:val="20"/>
          <w:u w:color="000000"/>
          <w:lang w:eastAsia="en-ZA"/>
        </w:rPr>
        <w:t xml:space="preserve"> </w:t>
      </w:r>
      <w:r w:rsidR="00954B86" w:rsidRPr="00C42C21">
        <w:rPr>
          <w:rFonts w:ascii="Arial" w:eastAsia="Arial Unicode MS" w:hAnsi="Arial" w:cs="Arial"/>
          <w:color w:val="000000"/>
          <w:sz w:val="20"/>
          <w:szCs w:val="20"/>
          <w:u w:color="000000"/>
          <w:lang w:eastAsia="en-ZA"/>
        </w:rPr>
        <w:t xml:space="preserve">the Medium-term </w:t>
      </w:r>
      <w:r w:rsidR="0084743E" w:rsidRPr="00C42C21">
        <w:rPr>
          <w:rFonts w:ascii="Arial" w:eastAsia="Arial Unicode MS" w:hAnsi="Arial" w:cs="Arial"/>
          <w:color w:val="000000"/>
          <w:sz w:val="20"/>
          <w:szCs w:val="20"/>
          <w:u w:color="000000"/>
          <w:lang w:eastAsia="en-ZA"/>
        </w:rPr>
        <w:t>Strategic Plan 2020 – 2025</w:t>
      </w:r>
      <w:r w:rsidR="00954B86" w:rsidRPr="00C42C21">
        <w:rPr>
          <w:rFonts w:ascii="Arial" w:eastAsia="Arial Unicode MS" w:hAnsi="Arial" w:cs="Arial"/>
          <w:color w:val="000000"/>
          <w:sz w:val="20"/>
          <w:szCs w:val="20"/>
          <w:u w:color="000000"/>
          <w:lang w:eastAsia="en-ZA"/>
        </w:rPr>
        <w:t xml:space="preserve"> and the National Development Plan (NDP)</w:t>
      </w:r>
      <w:r w:rsidR="00847CD4" w:rsidRPr="00C42C21">
        <w:rPr>
          <w:rFonts w:ascii="Arial" w:eastAsia="Arial Unicode MS" w:hAnsi="Arial" w:cs="Arial"/>
          <w:color w:val="000000"/>
          <w:sz w:val="20"/>
          <w:szCs w:val="20"/>
          <w:u w:color="000000"/>
          <w:lang w:eastAsia="en-ZA"/>
        </w:rPr>
        <w:t xml:space="preserve">. </w:t>
      </w:r>
    </w:p>
    <w:p w:rsidR="002E5CCE" w:rsidRPr="00C42C21" w:rsidRDefault="002E5CCE" w:rsidP="00C42C21">
      <w:pPr>
        <w:autoSpaceDE w:val="0"/>
        <w:autoSpaceDN w:val="0"/>
        <w:adjustRightInd w:val="0"/>
        <w:spacing w:after="0" w:line="240" w:lineRule="auto"/>
        <w:jc w:val="both"/>
        <w:rPr>
          <w:rFonts w:ascii="Arial" w:eastAsia="Arial Unicode MS" w:hAnsi="Arial" w:cs="Arial"/>
          <w:color w:val="000000"/>
          <w:sz w:val="20"/>
          <w:szCs w:val="20"/>
          <w:u w:color="000000"/>
          <w:lang w:eastAsia="en-ZA"/>
        </w:rPr>
      </w:pPr>
    </w:p>
    <w:p w:rsidR="005A3FCE" w:rsidRPr="00C42C21" w:rsidRDefault="002E5CCE"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During the SONDA of 9 February 2023, the President highlighted that the most of the issues concerning South Africans are, amongst other things, load shedding, unemployment, poverty and the rising cost of living and crime and corruption with the immediate priority is to restore energy security. In 2023/24, the Department will look at how to implement the rooftop solar energy solutions in the newly build houses of </w:t>
      </w:r>
      <w:r w:rsidRPr="00C42C21">
        <w:rPr>
          <w:rFonts w:ascii="Arial" w:hAnsi="Arial" w:cs="Arial"/>
          <w:sz w:val="20"/>
          <w:szCs w:val="20"/>
        </w:rPr>
        <w:lastRenderedPageBreak/>
        <w:t>military Veterans.</w:t>
      </w:r>
      <w:r w:rsidR="003A03ED" w:rsidRPr="00C42C21">
        <w:rPr>
          <w:rFonts w:ascii="Arial" w:hAnsi="Arial" w:cs="Arial"/>
          <w:sz w:val="20"/>
          <w:szCs w:val="20"/>
        </w:rPr>
        <w:t xml:space="preserve"> The Department will also conduct fraud risk assessments to determine areas of possible fraud in the Department.</w:t>
      </w:r>
    </w:p>
    <w:p w:rsidR="002E5CCE" w:rsidRPr="00C42C21" w:rsidRDefault="002E5CCE" w:rsidP="00C42C21">
      <w:pPr>
        <w:autoSpaceDE w:val="0"/>
        <w:autoSpaceDN w:val="0"/>
        <w:adjustRightInd w:val="0"/>
        <w:spacing w:after="0" w:line="240" w:lineRule="auto"/>
        <w:jc w:val="both"/>
        <w:rPr>
          <w:rFonts w:ascii="Arial" w:hAnsi="Arial" w:cs="Arial"/>
          <w:sz w:val="20"/>
          <w:szCs w:val="20"/>
        </w:rPr>
      </w:pPr>
    </w:p>
    <w:p w:rsidR="00847CD4" w:rsidRPr="00C42C21" w:rsidRDefault="00847CD4"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The</w:t>
      </w:r>
      <w:r w:rsidR="00954B86" w:rsidRPr="00C42C21">
        <w:rPr>
          <w:rFonts w:ascii="Arial" w:hAnsi="Arial" w:cs="Arial"/>
          <w:sz w:val="20"/>
          <w:szCs w:val="20"/>
        </w:rPr>
        <w:t xml:space="preserve"> DMV</w:t>
      </w:r>
      <w:r w:rsidRPr="00C42C21">
        <w:rPr>
          <w:rFonts w:ascii="Arial" w:hAnsi="Arial" w:cs="Arial"/>
          <w:sz w:val="20"/>
          <w:szCs w:val="20"/>
        </w:rPr>
        <w:t xml:space="preserve"> also state</w:t>
      </w:r>
      <w:r w:rsidR="00954B86" w:rsidRPr="00C42C21">
        <w:rPr>
          <w:rFonts w:ascii="Arial" w:hAnsi="Arial" w:cs="Arial"/>
          <w:sz w:val="20"/>
          <w:szCs w:val="20"/>
        </w:rPr>
        <w:t>s</w:t>
      </w:r>
      <w:r w:rsidRPr="00C42C21">
        <w:rPr>
          <w:rFonts w:ascii="Arial" w:hAnsi="Arial" w:cs="Arial"/>
          <w:sz w:val="20"/>
          <w:szCs w:val="20"/>
        </w:rPr>
        <w:t xml:space="preserve"> that</w:t>
      </w:r>
      <w:r w:rsidR="00954B86" w:rsidRPr="00C42C21">
        <w:rPr>
          <w:rFonts w:ascii="Arial" w:hAnsi="Arial" w:cs="Arial"/>
          <w:sz w:val="20"/>
          <w:szCs w:val="20"/>
        </w:rPr>
        <w:t>,</w:t>
      </w:r>
      <w:r w:rsidRPr="00C42C21">
        <w:rPr>
          <w:rFonts w:ascii="Arial" w:hAnsi="Arial" w:cs="Arial"/>
          <w:sz w:val="20"/>
          <w:szCs w:val="20"/>
        </w:rPr>
        <w:t xml:space="preserve"> within the context of a developmental state as envisaged in the </w:t>
      </w:r>
      <w:r w:rsidR="005A3FCE" w:rsidRPr="00C42C21">
        <w:rPr>
          <w:rFonts w:ascii="Arial" w:hAnsi="Arial" w:cs="Arial"/>
          <w:sz w:val="20"/>
          <w:szCs w:val="20"/>
        </w:rPr>
        <w:t xml:space="preserve">NDP </w:t>
      </w:r>
      <w:r w:rsidRPr="00C42C21">
        <w:rPr>
          <w:rFonts w:ascii="Arial" w:hAnsi="Arial" w:cs="Arial"/>
          <w:sz w:val="20"/>
          <w:szCs w:val="20"/>
        </w:rPr>
        <w:t xml:space="preserve">Vision 2030 and the SONA, the Department acknowledges the importance of the objective of building a fully functional Department </w:t>
      </w:r>
      <w:r w:rsidR="003A03ED" w:rsidRPr="00C42C21">
        <w:rPr>
          <w:rFonts w:ascii="Arial" w:hAnsi="Arial" w:cs="Arial"/>
          <w:sz w:val="20"/>
          <w:szCs w:val="20"/>
        </w:rPr>
        <w:t xml:space="preserve">over the MTEF </w:t>
      </w:r>
      <w:r w:rsidRPr="00C42C21">
        <w:rPr>
          <w:rFonts w:ascii="Arial" w:hAnsi="Arial" w:cs="Arial"/>
          <w:sz w:val="20"/>
          <w:szCs w:val="20"/>
        </w:rPr>
        <w:t>in order to enable it to provide the socio-economic support services and benefits to Military Veterans where necessary their dependants in an effective, efficient and sustainable manner.</w:t>
      </w:r>
    </w:p>
    <w:p w:rsidR="005A3FCE" w:rsidRPr="00C42C21" w:rsidRDefault="005A3FCE" w:rsidP="00C42C21">
      <w:pPr>
        <w:autoSpaceDE w:val="0"/>
        <w:autoSpaceDN w:val="0"/>
        <w:adjustRightInd w:val="0"/>
        <w:spacing w:after="0" w:line="240" w:lineRule="auto"/>
        <w:jc w:val="both"/>
        <w:rPr>
          <w:rFonts w:ascii="Arial" w:hAnsi="Arial" w:cs="Arial"/>
          <w:sz w:val="20"/>
          <w:szCs w:val="20"/>
        </w:rPr>
      </w:pPr>
    </w:p>
    <w:p w:rsidR="00847CD4" w:rsidRPr="00C42C21" w:rsidRDefault="00847CD4" w:rsidP="00C42C21">
      <w:pPr>
        <w:pStyle w:val="ListParagraph"/>
        <w:spacing w:after="0" w:line="240" w:lineRule="auto"/>
        <w:ind w:left="0" w:right="4"/>
        <w:jc w:val="both"/>
        <w:outlineLvl w:val="0"/>
        <w:rPr>
          <w:rFonts w:ascii="Arial" w:eastAsia="Arial Unicode MS" w:hAnsi="Arial" w:cs="Arial"/>
          <w:color w:val="000000"/>
          <w:sz w:val="20"/>
          <w:szCs w:val="20"/>
          <w:u w:color="000000"/>
          <w:lang w:eastAsia="en-ZA"/>
        </w:rPr>
      </w:pPr>
      <w:r w:rsidRPr="00C42C21">
        <w:rPr>
          <w:rFonts w:ascii="Arial" w:eastAsia="Arial Unicode MS" w:hAnsi="Arial" w:cs="Arial"/>
          <w:color w:val="000000"/>
          <w:sz w:val="20"/>
          <w:szCs w:val="20"/>
          <w:u w:color="000000"/>
          <w:lang w:eastAsia="en-ZA"/>
        </w:rPr>
        <w:t>It lists the contributions to the NDP, the Medium Term Strategic Framework Outcomes and the Executive Authority Priorities in a tabular format, as follows:</w:t>
      </w:r>
    </w:p>
    <w:p w:rsidR="00982A66" w:rsidRPr="00C42C21" w:rsidRDefault="00BA664C" w:rsidP="00C42C21">
      <w:pPr>
        <w:spacing w:after="0" w:line="240" w:lineRule="auto"/>
        <w:rPr>
          <w:rFonts w:ascii="Arial" w:hAnsi="Arial" w:cs="Arial"/>
          <w:sz w:val="20"/>
          <w:szCs w:val="20"/>
          <w:u w:color="000000"/>
          <w:lang w:eastAsia="en-ZA"/>
        </w:rPr>
      </w:pPr>
      <w:r w:rsidRPr="00C42C21">
        <w:rPr>
          <w:rFonts w:ascii="Arial" w:hAnsi="Arial" w:cs="Arial"/>
          <w:b/>
          <w:noProof/>
          <w:sz w:val="20"/>
          <w:szCs w:val="20"/>
          <w:u w:color="000000"/>
          <w:lang w:val="en-US"/>
        </w:rPr>
        <w:drawing>
          <wp:anchor distT="0" distB="0" distL="114300" distR="114300" simplePos="0" relativeHeight="251669504" behindDoc="1" locked="0" layoutInCell="1" allowOverlap="1">
            <wp:simplePos x="0" y="0"/>
            <wp:positionH relativeFrom="column">
              <wp:posOffset>588010</wp:posOffset>
            </wp:positionH>
            <wp:positionV relativeFrom="paragraph">
              <wp:posOffset>117475</wp:posOffset>
            </wp:positionV>
            <wp:extent cx="5092700" cy="1151890"/>
            <wp:effectExtent l="19050" t="19050" r="1270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2700" cy="1151890"/>
                    </a:xfrm>
                    <a:prstGeom prst="rect">
                      <a:avLst/>
                    </a:prstGeom>
                    <a:noFill/>
                    <a:ln>
                      <a:solidFill>
                        <a:schemeClr val="tx1"/>
                      </a:solidFill>
                    </a:ln>
                  </pic:spPr>
                </pic:pic>
              </a:graphicData>
            </a:graphic>
          </wp:anchor>
        </w:drawing>
      </w:r>
    </w:p>
    <w:p w:rsidR="00BA664C" w:rsidRPr="00C42C21" w:rsidRDefault="00BA664C" w:rsidP="00C42C21">
      <w:pPr>
        <w:spacing w:after="0" w:line="240" w:lineRule="auto"/>
        <w:rPr>
          <w:rFonts w:ascii="Arial" w:hAnsi="Arial" w:cs="Arial"/>
          <w:b/>
          <w:bCs/>
          <w:sz w:val="20"/>
          <w:szCs w:val="20"/>
          <w:u w:color="000000"/>
          <w:lang w:eastAsia="en-ZA"/>
        </w:rPr>
      </w:pPr>
    </w:p>
    <w:p w:rsidR="00BA664C" w:rsidRPr="00C42C21" w:rsidRDefault="00BA664C" w:rsidP="00C42C21">
      <w:pPr>
        <w:spacing w:after="0" w:line="240" w:lineRule="auto"/>
        <w:rPr>
          <w:rFonts w:ascii="Arial" w:hAnsi="Arial" w:cs="Arial"/>
          <w:b/>
          <w:bCs/>
          <w:sz w:val="20"/>
          <w:szCs w:val="20"/>
          <w:u w:color="000000"/>
          <w:lang w:eastAsia="en-ZA"/>
        </w:rPr>
      </w:pPr>
    </w:p>
    <w:p w:rsidR="00BA664C" w:rsidRPr="00C42C21" w:rsidRDefault="00BA664C" w:rsidP="00C42C21">
      <w:pPr>
        <w:spacing w:after="0" w:line="240" w:lineRule="auto"/>
        <w:rPr>
          <w:rFonts w:ascii="Arial" w:hAnsi="Arial" w:cs="Arial"/>
          <w:b/>
          <w:bCs/>
          <w:sz w:val="20"/>
          <w:szCs w:val="20"/>
          <w:u w:color="000000"/>
          <w:lang w:eastAsia="en-ZA"/>
        </w:rPr>
      </w:pPr>
      <w:r w:rsidRPr="00C42C21">
        <w:rPr>
          <w:rFonts w:ascii="Arial" w:eastAsia="Arial Unicode MS" w:hAnsi="Arial" w:cs="Arial"/>
          <w:b/>
          <w:noProof/>
          <w:color w:val="000000"/>
          <w:sz w:val="20"/>
          <w:szCs w:val="20"/>
          <w:u w:color="000000"/>
          <w:lang w:val="en-US"/>
        </w:rPr>
        <w:drawing>
          <wp:anchor distT="0" distB="0" distL="114300" distR="114300" simplePos="0" relativeHeight="251671552" behindDoc="1" locked="0" layoutInCell="1" allowOverlap="1">
            <wp:simplePos x="0" y="0"/>
            <wp:positionH relativeFrom="column">
              <wp:posOffset>588010</wp:posOffset>
            </wp:positionH>
            <wp:positionV relativeFrom="paragraph">
              <wp:posOffset>391795</wp:posOffset>
            </wp:positionV>
            <wp:extent cx="5092700" cy="4921250"/>
            <wp:effectExtent l="19050" t="19050" r="1270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2700" cy="4921250"/>
                    </a:xfrm>
                    <a:prstGeom prst="rect">
                      <a:avLst/>
                    </a:prstGeom>
                    <a:noFill/>
                    <a:ln>
                      <a:solidFill>
                        <a:schemeClr val="tx1"/>
                      </a:solidFill>
                    </a:ln>
                  </pic:spPr>
                </pic:pic>
              </a:graphicData>
            </a:graphic>
          </wp:anchor>
        </w:drawing>
      </w:r>
    </w:p>
    <w:p w:rsidR="00BA664C" w:rsidRPr="00C42C21" w:rsidRDefault="00BA664C" w:rsidP="00C42C21">
      <w:pPr>
        <w:spacing w:after="0" w:line="240" w:lineRule="auto"/>
        <w:jc w:val="center"/>
        <w:rPr>
          <w:rFonts w:ascii="Arial" w:hAnsi="Arial" w:cs="Arial"/>
          <w:b/>
          <w:bCs/>
          <w:sz w:val="20"/>
          <w:szCs w:val="20"/>
          <w:u w:color="000000"/>
          <w:lang w:eastAsia="en-ZA"/>
        </w:rPr>
      </w:pPr>
      <w:r w:rsidRPr="00C42C21">
        <w:rPr>
          <w:rFonts w:ascii="Arial" w:hAnsi="Arial" w:cs="Arial"/>
          <w:b/>
          <w:bCs/>
          <w:sz w:val="20"/>
          <w:szCs w:val="20"/>
          <w:u w:color="000000"/>
          <w:lang w:eastAsia="en-ZA"/>
        </w:rPr>
        <w:t xml:space="preserve">Table 1: </w:t>
      </w:r>
      <w:r w:rsidRPr="00C42C21">
        <w:rPr>
          <w:rFonts w:ascii="Arial" w:eastAsia="Arial Unicode MS" w:hAnsi="Arial" w:cs="Arial"/>
          <w:b/>
          <w:color w:val="000000"/>
          <w:sz w:val="20"/>
          <w:szCs w:val="20"/>
          <w:u w:color="000000"/>
          <w:lang w:eastAsia="en-ZA"/>
        </w:rPr>
        <w:t>DMV contributions to the NDP, MTSF and Executive Authority’s Priorities</w:t>
      </w:r>
    </w:p>
    <w:p w:rsidR="002E5CCE" w:rsidRPr="00C42C21" w:rsidRDefault="002E5CCE" w:rsidP="00C42C21">
      <w:pPr>
        <w:tabs>
          <w:tab w:val="left" w:pos="720"/>
          <w:tab w:val="left" w:pos="1440"/>
          <w:tab w:val="left" w:pos="2160"/>
          <w:tab w:val="left" w:pos="2880"/>
          <w:tab w:val="left" w:pos="3600"/>
          <w:tab w:val="left" w:pos="4320"/>
          <w:tab w:val="left" w:pos="5040"/>
          <w:tab w:val="left" w:pos="5779"/>
        </w:tabs>
        <w:spacing w:after="0" w:line="240" w:lineRule="auto"/>
        <w:ind w:right="4"/>
        <w:jc w:val="both"/>
        <w:outlineLvl w:val="0"/>
        <w:rPr>
          <w:rFonts w:ascii="Arial" w:eastAsia="Arial Unicode MS" w:hAnsi="Arial" w:cs="Arial"/>
          <w:b/>
          <w:bCs/>
          <w:color w:val="000000"/>
          <w:sz w:val="20"/>
          <w:szCs w:val="20"/>
          <w:u w:color="000000"/>
          <w:lang w:eastAsia="en-ZA"/>
        </w:rPr>
      </w:pPr>
    </w:p>
    <w:p w:rsidR="0084743E" w:rsidRPr="00C42C21" w:rsidRDefault="0084743E" w:rsidP="00C42C21">
      <w:pPr>
        <w:tabs>
          <w:tab w:val="left" w:pos="720"/>
          <w:tab w:val="left" w:pos="1440"/>
          <w:tab w:val="left" w:pos="2160"/>
          <w:tab w:val="left" w:pos="2880"/>
          <w:tab w:val="left" w:pos="3600"/>
          <w:tab w:val="left" w:pos="4320"/>
          <w:tab w:val="left" w:pos="5040"/>
          <w:tab w:val="left" w:pos="5779"/>
        </w:tabs>
        <w:spacing w:after="0" w:line="240" w:lineRule="auto"/>
        <w:ind w:right="4"/>
        <w:jc w:val="both"/>
        <w:outlineLvl w:val="0"/>
        <w:rPr>
          <w:rFonts w:ascii="Arial" w:eastAsia="Arial Unicode MS" w:hAnsi="Arial" w:cs="Arial"/>
          <w:b/>
          <w:bCs/>
          <w:color w:val="000000"/>
          <w:sz w:val="20"/>
          <w:szCs w:val="20"/>
          <w:u w:color="000000"/>
          <w:lang w:eastAsia="en-ZA"/>
        </w:rPr>
      </w:pPr>
      <w:r w:rsidRPr="00C42C21">
        <w:rPr>
          <w:rFonts w:ascii="Arial" w:eastAsia="Arial Unicode MS" w:hAnsi="Arial" w:cs="Arial"/>
          <w:b/>
          <w:bCs/>
          <w:color w:val="000000"/>
          <w:sz w:val="20"/>
          <w:szCs w:val="20"/>
          <w:u w:color="000000"/>
          <w:lang w:eastAsia="en-ZA"/>
        </w:rPr>
        <w:t>4.</w:t>
      </w:r>
      <w:r w:rsidRPr="00C42C21">
        <w:rPr>
          <w:rFonts w:ascii="Arial" w:eastAsia="Arial Unicode MS" w:hAnsi="Arial" w:cs="Arial"/>
          <w:b/>
          <w:bCs/>
          <w:color w:val="000000"/>
          <w:sz w:val="20"/>
          <w:szCs w:val="20"/>
          <w:u w:color="000000"/>
          <w:lang w:eastAsia="en-ZA"/>
        </w:rPr>
        <w:tab/>
      </w:r>
      <w:r w:rsidR="00CD112B" w:rsidRPr="00C42C21">
        <w:rPr>
          <w:rFonts w:ascii="Arial" w:eastAsia="Arial Unicode MS" w:hAnsi="Arial" w:cs="Arial"/>
          <w:b/>
          <w:color w:val="000000"/>
          <w:spacing w:val="6"/>
          <w:sz w:val="20"/>
          <w:szCs w:val="20"/>
          <w:u w:color="000000"/>
          <w:lang w:val="en-GB" w:eastAsia="en-ZA"/>
        </w:rPr>
        <w:t>COMMITTEE 202</w:t>
      </w:r>
      <w:r w:rsidR="003A03ED" w:rsidRPr="00C42C21">
        <w:rPr>
          <w:rFonts w:ascii="Arial" w:eastAsia="Arial Unicode MS" w:hAnsi="Arial" w:cs="Arial"/>
          <w:b/>
          <w:color w:val="000000"/>
          <w:spacing w:val="6"/>
          <w:sz w:val="20"/>
          <w:szCs w:val="20"/>
          <w:u w:color="000000"/>
          <w:lang w:val="en-GB" w:eastAsia="en-ZA"/>
        </w:rPr>
        <w:t>2</w:t>
      </w:r>
      <w:r w:rsidR="00CD112B" w:rsidRPr="00C42C21">
        <w:rPr>
          <w:rFonts w:ascii="Arial" w:eastAsia="Arial Unicode MS" w:hAnsi="Arial" w:cs="Arial"/>
          <w:b/>
          <w:color w:val="000000"/>
          <w:spacing w:val="6"/>
          <w:sz w:val="20"/>
          <w:szCs w:val="20"/>
          <w:u w:color="000000"/>
          <w:lang w:val="en-GB" w:eastAsia="en-ZA"/>
        </w:rPr>
        <w:t>/2</w:t>
      </w:r>
      <w:r w:rsidR="003A03ED" w:rsidRPr="00C42C21">
        <w:rPr>
          <w:rFonts w:ascii="Arial" w:eastAsia="Arial Unicode MS" w:hAnsi="Arial" w:cs="Arial"/>
          <w:b/>
          <w:color w:val="000000"/>
          <w:spacing w:val="6"/>
          <w:sz w:val="20"/>
          <w:szCs w:val="20"/>
          <w:u w:color="000000"/>
          <w:lang w:val="en-GB" w:eastAsia="en-ZA"/>
        </w:rPr>
        <w:t>3</w:t>
      </w:r>
      <w:r w:rsidR="00CD112B" w:rsidRPr="00C42C21">
        <w:rPr>
          <w:rFonts w:ascii="Arial" w:eastAsia="Arial Unicode MS" w:hAnsi="Arial" w:cs="Arial"/>
          <w:b/>
          <w:color w:val="000000"/>
          <w:spacing w:val="6"/>
          <w:sz w:val="20"/>
          <w:szCs w:val="20"/>
          <w:u w:color="000000"/>
          <w:lang w:val="en-GB" w:eastAsia="en-ZA"/>
        </w:rPr>
        <w:t xml:space="preserve"> BUDGET REPORT</w:t>
      </w:r>
      <w:r w:rsidR="00CD112B" w:rsidRPr="00C42C21">
        <w:rPr>
          <w:rFonts w:ascii="Arial" w:eastAsia="Arial Unicode MS" w:hAnsi="Arial" w:cs="Arial"/>
          <w:b/>
          <w:bCs/>
          <w:color w:val="000000"/>
          <w:sz w:val="20"/>
          <w:szCs w:val="20"/>
          <w:u w:color="000000"/>
          <w:lang w:eastAsia="en-ZA"/>
        </w:rPr>
        <w:t xml:space="preserve"> </w:t>
      </w:r>
    </w:p>
    <w:p w:rsidR="0084743E" w:rsidRPr="00C42C21" w:rsidRDefault="0084743E" w:rsidP="00C42C21">
      <w:pPr>
        <w:spacing w:after="0" w:line="240" w:lineRule="auto"/>
        <w:ind w:right="4"/>
        <w:jc w:val="both"/>
        <w:outlineLvl w:val="0"/>
        <w:rPr>
          <w:rFonts w:ascii="Arial" w:eastAsia="Arial Unicode MS" w:hAnsi="Arial" w:cs="Arial"/>
          <w:b/>
          <w:bCs/>
          <w:color w:val="000000"/>
          <w:sz w:val="20"/>
          <w:szCs w:val="20"/>
          <w:u w:color="000000"/>
          <w:lang w:eastAsia="en-ZA"/>
        </w:rPr>
      </w:pPr>
    </w:p>
    <w:p w:rsidR="00CD112B" w:rsidRPr="00C42C21" w:rsidRDefault="00CD112B" w:rsidP="00C42C21">
      <w:pPr>
        <w:autoSpaceDE w:val="0"/>
        <w:autoSpaceDN w:val="0"/>
        <w:adjustRightInd w:val="0"/>
        <w:spacing w:after="0" w:line="240" w:lineRule="auto"/>
        <w:jc w:val="both"/>
        <w:rPr>
          <w:rFonts w:ascii="Arial" w:eastAsia="Times New Roman" w:hAnsi="Arial" w:cs="Arial"/>
          <w:color w:val="000000"/>
          <w:spacing w:val="6"/>
          <w:sz w:val="20"/>
          <w:szCs w:val="20"/>
          <w:lang w:val="en-GB" w:eastAsia="en-ZA"/>
        </w:rPr>
      </w:pPr>
      <w:r w:rsidRPr="00C42C21">
        <w:rPr>
          <w:rFonts w:ascii="Arial" w:eastAsia="Times New Roman" w:hAnsi="Arial" w:cs="Arial"/>
          <w:color w:val="000000"/>
          <w:spacing w:val="6"/>
          <w:sz w:val="20"/>
          <w:szCs w:val="20"/>
          <w:lang w:val="en-GB" w:eastAsia="en-ZA"/>
        </w:rPr>
        <w:t>In order to include a holistic review by the Committee, past recommendations are included. The Committee made the following recommendations in terms of the 202</w:t>
      </w:r>
      <w:r w:rsidR="003A03ED" w:rsidRPr="00C42C21">
        <w:rPr>
          <w:rFonts w:ascii="Arial" w:eastAsia="Times New Roman" w:hAnsi="Arial" w:cs="Arial"/>
          <w:color w:val="000000"/>
          <w:spacing w:val="6"/>
          <w:sz w:val="20"/>
          <w:szCs w:val="20"/>
          <w:lang w:val="en-GB" w:eastAsia="en-ZA"/>
        </w:rPr>
        <w:t>2</w:t>
      </w:r>
      <w:r w:rsidRPr="00C42C21">
        <w:rPr>
          <w:rFonts w:ascii="Arial" w:eastAsia="Times New Roman" w:hAnsi="Arial" w:cs="Arial"/>
          <w:color w:val="000000"/>
          <w:spacing w:val="6"/>
          <w:sz w:val="20"/>
          <w:szCs w:val="20"/>
          <w:lang w:val="en-GB" w:eastAsia="en-ZA"/>
        </w:rPr>
        <w:t>/2</w:t>
      </w:r>
      <w:r w:rsidR="003A03ED" w:rsidRPr="00C42C21">
        <w:rPr>
          <w:rFonts w:ascii="Arial" w:eastAsia="Times New Roman" w:hAnsi="Arial" w:cs="Arial"/>
          <w:color w:val="000000"/>
          <w:spacing w:val="6"/>
          <w:sz w:val="20"/>
          <w:szCs w:val="20"/>
          <w:lang w:val="en-GB" w:eastAsia="en-ZA"/>
        </w:rPr>
        <w:t>3</w:t>
      </w:r>
      <w:r w:rsidRPr="00C42C21">
        <w:rPr>
          <w:rFonts w:ascii="Arial" w:eastAsia="Times New Roman" w:hAnsi="Arial" w:cs="Arial"/>
          <w:color w:val="000000"/>
          <w:spacing w:val="6"/>
          <w:sz w:val="20"/>
          <w:szCs w:val="20"/>
          <w:lang w:val="en-GB" w:eastAsia="en-ZA"/>
        </w:rPr>
        <w:t xml:space="preserve"> APP of the D</w:t>
      </w:r>
      <w:r w:rsidR="00B111DD" w:rsidRPr="00C42C21">
        <w:rPr>
          <w:rFonts w:ascii="Arial" w:eastAsia="Times New Roman" w:hAnsi="Arial" w:cs="Arial"/>
          <w:color w:val="000000"/>
          <w:spacing w:val="6"/>
          <w:sz w:val="20"/>
          <w:szCs w:val="20"/>
          <w:lang w:val="en-GB" w:eastAsia="en-ZA"/>
        </w:rPr>
        <w:t>MV</w:t>
      </w:r>
      <w:r w:rsidRPr="00C42C21">
        <w:rPr>
          <w:rFonts w:ascii="Arial" w:eastAsia="Times New Roman" w:hAnsi="Arial" w:cs="Arial"/>
          <w:color w:val="000000"/>
          <w:spacing w:val="6"/>
          <w:sz w:val="20"/>
          <w:szCs w:val="20"/>
          <w:lang w:val="en-GB" w:eastAsia="en-ZA"/>
        </w:rPr>
        <w:t>:</w:t>
      </w:r>
    </w:p>
    <w:p w:rsidR="00CD112B" w:rsidRPr="00C42C21" w:rsidRDefault="00CD112B" w:rsidP="00C42C21">
      <w:pPr>
        <w:spacing w:after="0" w:line="240" w:lineRule="auto"/>
        <w:jc w:val="both"/>
        <w:rPr>
          <w:rFonts w:ascii="Arial" w:hAnsi="Arial" w:cs="Arial"/>
          <w:sz w:val="20"/>
          <w:szCs w:val="20"/>
          <w:lang w:val="en-GB"/>
        </w:rPr>
      </w:pP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Committee </w:t>
      </w:r>
      <w:r w:rsidR="00594230" w:rsidRPr="00C42C21">
        <w:rPr>
          <w:rFonts w:ascii="Arial" w:hAnsi="Arial" w:cs="Arial"/>
          <w:sz w:val="20"/>
          <w:szCs w:val="20"/>
          <w:lang w:val="en-GB"/>
        </w:rPr>
        <w:t>recommended</w:t>
      </w:r>
      <w:r w:rsidRPr="00C42C21">
        <w:rPr>
          <w:rFonts w:ascii="Arial" w:hAnsi="Arial" w:cs="Arial"/>
          <w:sz w:val="20"/>
          <w:szCs w:val="20"/>
          <w:lang w:val="en-GB"/>
        </w:rPr>
        <w:t>, as in the past, that the DMV should speed up the capacitation of all provincial offices during this financial year, as it has been informed of such attempts for the last five years. In addition, it should report on all leases at its next quarterly engagement with the to the Committee.</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It was recommended that the DMV look into their Organisational Culture during the team building sessions to address some of the reasons why recently-appointed personnel, in some cases, leave </w:t>
      </w:r>
      <w:r w:rsidRPr="00C42C21">
        <w:rPr>
          <w:rFonts w:ascii="Arial" w:hAnsi="Arial" w:cs="Arial"/>
          <w:sz w:val="20"/>
          <w:szCs w:val="20"/>
          <w:lang w:val="en-GB"/>
        </w:rPr>
        <w:lastRenderedPageBreak/>
        <w:t xml:space="preserve">soon after their appointment. The Department should indicate to the Committee whether its Human Resources Plan has a retention strategy and especially how well it is being implemented if it is in place, at the next quarterly meeting.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Committee </w:t>
      </w:r>
      <w:r w:rsidR="00594230" w:rsidRPr="00C42C21">
        <w:rPr>
          <w:rFonts w:ascii="Arial" w:hAnsi="Arial" w:cs="Arial"/>
          <w:sz w:val="20"/>
          <w:szCs w:val="20"/>
          <w:lang w:val="en-GB"/>
        </w:rPr>
        <w:t xml:space="preserve">recommended </w:t>
      </w:r>
      <w:r w:rsidRPr="00C42C21">
        <w:rPr>
          <w:rFonts w:ascii="Arial" w:hAnsi="Arial" w:cs="Arial"/>
          <w:sz w:val="20"/>
          <w:szCs w:val="20"/>
          <w:lang w:val="en-GB"/>
        </w:rPr>
        <w:t xml:space="preserve">that the Department should prioritise the verification of its moveable assets to address the audit query as this will also allow them to ensure that all these assets are accounted for and not open to abuse.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determination of the monthly quantum for the pensions was welcomed and the Committee encouraged the Department to move speedily to roll out this benefit based on the dire situation of many military veterans.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It is recommended that against the background of the already restricted Human Resources capacity, and the continued number of vacancies at especially senior management level; that the suspension of the four senior officials should be addressed as a matter of urgency. This against the background that the Department has previously justified its poor performance and underspending on a lack of sufficient HR capacity. Quarterly feedback on the resolution of the suspensions should be provided.</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Committee once again urged the Department to address the challenges in the IA division as soon as possible given its crucial role in being an early warning system as well as assisting with good governance.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It was stressed that the Department should endeavour to deliver benefits as humanely and efficiently as possible as the lack thereof may be a matter of life and death for </w:t>
      </w:r>
      <w:r w:rsidRPr="00C42C21">
        <w:rPr>
          <w:rFonts w:ascii="Arial" w:hAnsi="Arial" w:cs="Arial"/>
          <w:color w:val="000000"/>
          <w:sz w:val="20"/>
          <w:szCs w:val="20"/>
        </w:rPr>
        <w:t>beneficiaries who are often due to their age, in dire straits.</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Committee recommended that the DMV should clear the backlog payments to NSFAS as soon as possible as some date back as far as 2018, to ensure that students are accommodated and not being penalised due system problems between the Department and NSFAS. The Department should provide a progress report in this regard at their next quarterly engagement with the Committee.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Committee advised that the Executive Authority and the Department should address the issues of concurrence and ensure that agreement in this regard is reached before engaging the Committee.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The Department was advised to properly engage with municipalities with regards to the District Development Model, to ensure that the needs of military veterans are optimally catered for at this level of government.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Given that the means test has been put on hold, the Committee advised that the Department speed up the finalisation of the amendment bill to ensure that benefits are more effectively delivered to military veterans. The Department is, however, encouraged to ensure that it executes its functions in line with existing legislation. </w:t>
      </w:r>
    </w:p>
    <w:p w:rsidR="003A03ED" w:rsidRPr="00C42C21" w:rsidRDefault="003A03ED" w:rsidP="00C42C21">
      <w:pPr>
        <w:pStyle w:val="ListParagraph"/>
        <w:numPr>
          <w:ilvl w:val="0"/>
          <w:numId w:val="18"/>
        </w:numPr>
        <w:spacing w:after="0" w:line="240" w:lineRule="auto"/>
        <w:ind w:left="720"/>
        <w:jc w:val="both"/>
        <w:rPr>
          <w:rFonts w:ascii="Arial" w:hAnsi="Arial" w:cs="Arial"/>
          <w:sz w:val="20"/>
          <w:szCs w:val="20"/>
          <w:lang w:val="en-GB"/>
        </w:rPr>
      </w:pPr>
      <w:r w:rsidRPr="00C42C21">
        <w:rPr>
          <w:rFonts w:ascii="Arial" w:hAnsi="Arial" w:cs="Arial"/>
          <w:sz w:val="20"/>
          <w:szCs w:val="20"/>
          <w:lang w:val="en-GB"/>
        </w:rPr>
        <w:t xml:space="preserve">While appreciating the work and progress made by the Presidential Task Team on Military Veterans, the Committee </w:t>
      </w:r>
      <w:r w:rsidR="00594230" w:rsidRPr="00C42C21">
        <w:rPr>
          <w:rFonts w:ascii="Arial" w:hAnsi="Arial" w:cs="Arial"/>
          <w:sz w:val="20"/>
          <w:szCs w:val="20"/>
          <w:lang w:val="en-GB"/>
        </w:rPr>
        <w:t xml:space="preserve">encouraged </w:t>
      </w:r>
      <w:r w:rsidRPr="00C42C21">
        <w:rPr>
          <w:rFonts w:ascii="Arial" w:hAnsi="Arial" w:cs="Arial"/>
          <w:sz w:val="20"/>
          <w:szCs w:val="20"/>
          <w:lang w:val="en-GB"/>
        </w:rPr>
        <w:t xml:space="preserve">the Department to use this opportunity to its fullest to solicit the support of other departments, the provincial and local governments, to ensure that benefits are delivered speedier and effectively. </w:t>
      </w:r>
    </w:p>
    <w:p w:rsidR="00BA664C" w:rsidRPr="00C42C21" w:rsidRDefault="00BA664C" w:rsidP="00C42C21">
      <w:pPr>
        <w:pStyle w:val="BodyText3"/>
        <w:spacing w:after="0"/>
        <w:ind w:right="-1"/>
        <w:jc w:val="both"/>
        <w:rPr>
          <w:rFonts w:cs="Arial"/>
          <w:b/>
          <w:sz w:val="20"/>
          <w:szCs w:val="20"/>
        </w:rPr>
      </w:pPr>
    </w:p>
    <w:p w:rsidR="0084743E" w:rsidRPr="00C42C21" w:rsidRDefault="007D4770" w:rsidP="00C42C21">
      <w:pPr>
        <w:pStyle w:val="BodyText3"/>
        <w:spacing w:after="0"/>
        <w:ind w:right="-1"/>
        <w:jc w:val="both"/>
        <w:rPr>
          <w:rFonts w:cs="Arial"/>
          <w:b/>
          <w:sz w:val="20"/>
          <w:szCs w:val="20"/>
        </w:rPr>
      </w:pPr>
      <w:r w:rsidRPr="00C42C21">
        <w:rPr>
          <w:rFonts w:cs="Arial"/>
          <w:b/>
          <w:sz w:val="20"/>
          <w:szCs w:val="20"/>
        </w:rPr>
        <w:t>5.</w:t>
      </w:r>
      <w:r w:rsidRPr="00C42C21">
        <w:rPr>
          <w:rFonts w:cs="Arial"/>
          <w:b/>
          <w:sz w:val="20"/>
          <w:szCs w:val="20"/>
        </w:rPr>
        <w:tab/>
        <w:t>DMV MANDATE AND STRATEGIC FOCUS</w:t>
      </w:r>
    </w:p>
    <w:p w:rsidR="003A03ED" w:rsidRPr="00C42C21" w:rsidRDefault="003A03ED" w:rsidP="00C42C21">
      <w:pPr>
        <w:pStyle w:val="BodyText3"/>
        <w:spacing w:after="0"/>
        <w:ind w:right="-1"/>
        <w:jc w:val="both"/>
        <w:rPr>
          <w:rFonts w:cs="Arial"/>
          <w:b/>
          <w:sz w:val="20"/>
          <w:szCs w:val="20"/>
        </w:rPr>
      </w:pPr>
    </w:p>
    <w:p w:rsidR="0084743E" w:rsidRPr="00C42C21" w:rsidRDefault="0084743E" w:rsidP="00C42C21">
      <w:pPr>
        <w:spacing w:after="0" w:line="240" w:lineRule="auto"/>
        <w:jc w:val="both"/>
        <w:rPr>
          <w:rFonts w:ascii="Arial" w:hAnsi="Arial" w:cs="Arial"/>
          <w:b/>
          <w:sz w:val="20"/>
          <w:szCs w:val="20"/>
        </w:rPr>
      </w:pPr>
      <w:r w:rsidRPr="00C42C21">
        <w:rPr>
          <w:rFonts w:ascii="Arial" w:hAnsi="Arial" w:cs="Arial"/>
          <w:b/>
          <w:sz w:val="20"/>
          <w:szCs w:val="20"/>
        </w:rPr>
        <w:t>5.1.</w:t>
      </w:r>
      <w:r w:rsidRPr="00C42C21">
        <w:rPr>
          <w:rFonts w:ascii="Arial" w:hAnsi="Arial" w:cs="Arial"/>
          <w:b/>
          <w:sz w:val="20"/>
          <w:szCs w:val="20"/>
        </w:rPr>
        <w:tab/>
        <w:t xml:space="preserve">  DMV Mandate</w:t>
      </w:r>
    </w:p>
    <w:p w:rsidR="003A03ED" w:rsidRPr="00C42C21" w:rsidRDefault="003A03ED" w:rsidP="00C42C21">
      <w:pPr>
        <w:spacing w:after="0" w:line="240" w:lineRule="auto"/>
        <w:jc w:val="both"/>
        <w:rPr>
          <w:rFonts w:ascii="Arial" w:hAnsi="Arial" w:cs="Arial"/>
          <w:b/>
          <w:sz w:val="20"/>
          <w:szCs w:val="20"/>
        </w:rPr>
      </w:pPr>
    </w:p>
    <w:p w:rsidR="003A03ED" w:rsidRPr="00C42C21" w:rsidRDefault="000C5BC8" w:rsidP="00C42C21">
      <w:pPr>
        <w:spacing w:after="0" w:line="240" w:lineRule="auto"/>
        <w:jc w:val="both"/>
        <w:rPr>
          <w:rFonts w:ascii="Arial" w:hAnsi="Arial" w:cs="Arial"/>
          <w:sz w:val="20"/>
          <w:szCs w:val="20"/>
        </w:rPr>
      </w:pPr>
      <w:r w:rsidRPr="00C42C21">
        <w:rPr>
          <w:rFonts w:ascii="Arial" w:hAnsi="Arial" w:cs="Arial"/>
          <w:sz w:val="20"/>
          <w:szCs w:val="20"/>
        </w:rPr>
        <w:t xml:space="preserve">This section lists the Constitutional mandate as derived from the 1996 Constitution and refers to its legislative mandate originating in the Military Veterans Act (No. 18 of 2011), the Military Veterans Benefits Regulations and several other acts and policies that relate to its mandate. They also list various institutional policies including the White Paper on Military Veterans, a Beneficiary Support Services Policy and the Subsidised Public Transport Policy. </w:t>
      </w:r>
    </w:p>
    <w:p w:rsidR="003A03ED" w:rsidRPr="00C42C21" w:rsidRDefault="003A03ED" w:rsidP="00C42C21">
      <w:pPr>
        <w:spacing w:after="0" w:line="240" w:lineRule="auto"/>
        <w:jc w:val="both"/>
        <w:rPr>
          <w:rFonts w:ascii="Arial" w:hAnsi="Arial" w:cs="Arial"/>
          <w:sz w:val="20"/>
          <w:szCs w:val="20"/>
        </w:rPr>
      </w:pPr>
    </w:p>
    <w:p w:rsidR="000C5BC8" w:rsidRPr="00C42C21" w:rsidRDefault="000C5BC8" w:rsidP="00C42C21">
      <w:pPr>
        <w:spacing w:after="0" w:line="240" w:lineRule="auto"/>
        <w:jc w:val="both"/>
        <w:rPr>
          <w:rFonts w:ascii="Arial" w:hAnsi="Arial" w:cs="Arial"/>
          <w:sz w:val="20"/>
          <w:szCs w:val="20"/>
        </w:rPr>
      </w:pPr>
      <w:r w:rsidRPr="00C42C21">
        <w:rPr>
          <w:rFonts w:ascii="Arial" w:hAnsi="Arial" w:cs="Arial"/>
          <w:sz w:val="20"/>
          <w:szCs w:val="20"/>
        </w:rPr>
        <w:t xml:space="preserve">The DMV </w:t>
      </w:r>
      <w:r w:rsidR="003A03ED" w:rsidRPr="00C42C21">
        <w:rPr>
          <w:rFonts w:ascii="Arial" w:hAnsi="Arial" w:cs="Arial"/>
          <w:sz w:val="20"/>
          <w:szCs w:val="20"/>
        </w:rPr>
        <w:t>notes two relevant court rulings. In the first, the DMV was ordered to pay monthly compensation payments retrospectively from 2016 in relation to a military veterans’ death. The matter is currently being appealed by the DMV. Secondly, in relation to the Zeal Health matter, the court ruled in favour of the DMV and set aside the irregularly awarded contract. The matter is under appeal by the litigant in the Supreme Court of Appeal.</w:t>
      </w:r>
    </w:p>
    <w:p w:rsidR="0084743E" w:rsidRPr="00C42C21" w:rsidRDefault="0084743E" w:rsidP="00C42C21">
      <w:pPr>
        <w:pStyle w:val="ListParagraph"/>
        <w:spacing w:after="0" w:line="240" w:lineRule="auto"/>
        <w:jc w:val="both"/>
        <w:rPr>
          <w:rFonts w:ascii="Arial" w:hAnsi="Arial" w:cs="Arial"/>
          <w:sz w:val="20"/>
          <w:szCs w:val="20"/>
          <w:lang w:val="en-GB"/>
        </w:rPr>
      </w:pPr>
    </w:p>
    <w:p w:rsidR="007D4770" w:rsidRPr="00C42C21" w:rsidRDefault="007D4770" w:rsidP="00C42C21">
      <w:pPr>
        <w:pStyle w:val="ListParagraph"/>
        <w:spacing w:after="0" w:line="240" w:lineRule="auto"/>
        <w:jc w:val="both"/>
        <w:rPr>
          <w:rFonts w:ascii="Arial" w:hAnsi="Arial" w:cs="Arial"/>
          <w:sz w:val="20"/>
          <w:szCs w:val="20"/>
          <w:lang w:val="en-GB"/>
        </w:rPr>
      </w:pPr>
    </w:p>
    <w:p w:rsidR="0084743E" w:rsidRPr="00C42C21" w:rsidRDefault="0084743E" w:rsidP="00C42C21">
      <w:pPr>
        <w:spacing w:after="0" w:line="240" w:lineRule="auto"/>
        <w:jc w:val="both"/>
        <w:rPr>
          <w:rFonts w:ascii="Arial" w:hAnsi="Arial" w:cs="Arial"/>
          <w:b/>
          <w:sz w:val="20"/>
          <w:szCs w:val="20"/>
        </w:rPr>
      </w:pPr>
      <w:r w:rsidRPr="00C42C21">
        <w:rPr>
          <w:rFonts w:ascii="Arial" w:hAnsi="Arial" w:cs="Arial"/>
          <w:b/>
          <w:sz w:val="20"/>
          <w:szCs w:val="20"/>
        </w:rPr>
        <w:t xml:space="preserve">5.2 </w:t>
      </w:r>
      <w:r w:rsidRPr="00C42C21">
        <w:rPr>
          <w:rFonts w:ascii="Arial" w:hAnsi="Arial" w:cs="Arial"/>
          <w:b/>
          <w:sz w:val="20"/>
          <w:szCs w:val="20"/>
        </w:rPr>
        <w:tab/>
        <w:t>DMV Strategic Focus</w:t>
      </w:r>
    </w:p>
    <w:p w:rsidR="007D4770" w:rsidRPr="00C42C21" w:rsidRDefault="007D4770" w:rsidP="00C42C21">
      <w:pPr>
        <w:spacing w:after="0" w:line="240" w:lineRule="auto"/>
        <w:jc w:val="both"/>
        <w:rPr>
          <w:rFonts w:ascii="Arial" w:hAnsi="Arial" w:cs="Arial"/>
          <w:sz w:val="20"/>
          <w:szCs w:val="20"/>
        </w:rPr>
      </w:pPr>
    </w:p>
    <w:p w:rsidR="0084743E" w:rsidRPr="00C42C21" w:rsidRDefault="0084743E" w:rsidP="00C42C21">
      <w:pPr>
        <w:spacing w:after="0" w:line="240" w:lineRule="auto"/>
        <w:jc w:val="both"/>
        <w:rPr>
          <w:rFonts w:ascii="Arial" w:hAnsi="Arial" w:cs="Arial"/>
          <w:sz w:val="20"/>
          <w:szCs w:val="20"/>
        </w:rPr>
      </w:pPr>
      <w:r w:rsidRPr="00C42C21">
        <w:rPr>
          <w:rFonts w:ascii="Arial" w:hAnsi="Arial" w:cs="Arial"/>
          <w:sz w:val="20"/>
          <w:szCs w:val="20"/>
        </w:rPr>
        <w:t xml:space="preserve">This Part deals with the DMV’s vision, mission, organisational values, situational analysis, external environment analysis, and internal environment analysis. </w:t>
      </w:r>
    </w:p>
    <w:p w:rsidR="003A03ED" w:rsidRPr="00C42C21" w:rsidRDefault="003A03ED" w:rsidP="00C42C21">
      <w:pPr>
        <w:spacing w:after="0" w:line="240" w:lineRule="auto"/>
        <w:jc w:val="both"/>
        <w:rPr>
          <w:rFonts w:ascii="Arial" w:hAnsi="Arial" w:cs="Arial"/>
          <w:sz w:val="20"/>
          <w:szCs w:val="20"/>
        </w:rPr>
      </w:pPr>
    </w:p>
    <w:p w:rsidR="000C5BC8" w:rsidRPr="00C42C21" w:rsidRDefault="000C5BC8"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The DMV’s APP refers to the NDP 2030 Vision and points out that the APP aims to reinforce the role played by military veterans in the past and creating awareness of current benefits.</w:t>
      </w:r>
      <w:r w:rsidR="007D4770" w:rsidRPr="00C42C21">
        <w:rPr>
          <w:rFonts w:ascii="Arial" w:hAnsi="Arial" w:cs="Arial"/>
          <w:sz w:val="20"/>
          <w:szCs w:val="20"/>
        </w:rPr>
        <w:t xml:space="preserve"> </w:t>
      </w:r>
      <w:r w:rsidRPr="00C42C21">
        <w:rPr>
          <w:rFonts w:ascii="Arial" w:hAnsi="Arial" w:cs="Arial"/>
          <w:sz w:val="20"/>
          <w:szCs w:val="20"/>
        </w:rPr>
        <w:t xml:space="preserve">The </w:t>
      </w:r>
      <w:r w:rsidR="003D470F" w:rsidRPr="00C42C21">
        <w:rPr>
          <w:rFonts w:ascii="Arial" w:hAnsi="Arial" w:cs="Arial"/>
          <w:sz w:val="20"/>
          <w:szCs w:val="20"/>
        </w:rPr>
        <w:t>202</w:t>
      </w:r>
      <w:r w:rsidR="007D4770" w:rsidRPr="00C42C21">
        <w:rPr>
          <w:rFonts w:ascii="Arial" w:hAnsi="Arial" w:cs="Arial"/>
          <w:sz w:val="20"/>
          <w:szCs w:val="20"/>
        </w:rPr>
        <w:t>3</w:t>
      </w:r>
      <w:r w:rsidR="003D470F" w:rsidRPr="00C42C21">
        <w:rPr>
          <w:rFonts w:ascii="Arial" w:hAnsi="Arial" w:cs="Arial"/>
          <w:sz w:val="20"/>
          <w:szCs w:val="20"/>
        </w:rPr>
        <w:t>/2</w:t>
      </w:r>
      <w:r w:rsidR="007D4770" w:rsidRPr="00C42C21">
        <w:rPr>
          <w:rFonts w:ascii="Arial" w:hAnsi="Arial" w:cs="Arial"/>
          <w:sz w:val="20"/>
          <w:szCs w:val="20"/>
        </w:rPr>
        <w:t>4</w:t>
      </w:r>
      <w:r w:rsidR="003D470F" w:rsidRPr="00C42C21">
        <w:rPr>
          <w:rFonts w:ascii="Arial" w:hAnsi="Arial" w:cs="Arial"/>
          <w:sz w:val="20"/>
          <w:szCs w:val="20"/>
        </w:rPr>
        <w:t xml:space="preserve"> </w:t>
      </w:r>
      <w:r w:rsidRPr="00C42C21">
        <w:rPr>
          <w:rFonts w:ascii="Arial" w:hAnsi="Arial" w:cs="Arial"/>
          <w:sz w:val="20"/>
          <w:szCs w:val="20"/>
        </w:rPr>
        <w:t xml:space="preserve">APP – as with </w:t>
      </w:r>
      <w:r w:rsidRPr="00C42C21">
        <w:rPr>
          <w:rFonts w:ascii="Arial" w:hAnsi="Arial" w:cs="Arial"/>
          <w:sz w:val="20"/>
          <w:szCs w:val="20"/>
        </w:rPr>
        <w:lastRenderedPageBreak/>
        <w:t xml:space="preserve">previous APPs - outlines the DMV’s contribution to the Executive Authority (EA) Priorities, National Development Plan (NDP) Vision 2030 and Medium Term Strategic Framework (MTSF) Priorities 2019-2024 under the heading Updated Situational Analysis. The EA priorities align with the various benefits, and these are linked to the relevant NDP chapters which are further expounded upon in the MTSF priorities such as Priority 2: economic transformation, etc. </w:t>
      </w:r>
    </w:p>
    <w:p w:rsidR="007D4770" w:rsidRPr="00C42C21" w:rsidRDefault="007D4770" w:rsidP="00C42C21">
      <w:pPr>
        <w:autoSpaceDE w:val="0"/>
        <w:autoSpaceDN w:val="0"/>
        <w:adjustRightInd w:val="0"/>
        <w:spacing w:after="0" w:line="240" w:lineRule="auto"/>
        <w:jc w:val="both"/>
        <w:rPr>
          <w:rFonts w:ascii="Arial" w:hAnsi="Arial" w:cs="Arial"/>
          <w:sz w:val="20"/>
          <w:szCs w:val="20"/>
        </w:rPr>
      </w:pPr>
    </w:p>
    <w:p w:rsidR="000C5BC8" w:rsidRPr="00C42C21" w:rsidRDefault="000C5BC8" w:rsidP="00C42C21">
      <w:pPr>
        <w:autoSpaceDE w:val="0"/>
        <w:autoSpaceDN w:val="0"/>
        <w:adjustRightInd w:val="0"/>
        <w:spacing w:after="0" w:line="240" w:lineRule="auto"/>
        <w:jc w:val="both"/>
        <w:rPr>
          <w:rFonts w:ascii="Arial" w:hAnsi="Arial" w:cs="Arial"/>
          <w:b/>
          <w:sz w:val="20"/>
          <w:szCs w:val="20"/>
        </w:rPr>
      </w:pPr>
      <w:r w:rsidRPr="00C42C21">
        <w:rPr>
          <w:rFonts w:ascii="Arial" w:hAnsi="Arial" w:cs="Arial"/>
          <w:b/>
          <w:sz w:val="20"/>
          <w:szCs w:val="20"/>
        </w:rPr>
        <w:t xml:space="preserve">External Environment </w:t>
      </w:r>
    </w:p>
    <w:p w:rsidR="0084743E" w:rsidRPr="00C42C21" w:rsidRDefault="000C5BC8"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This section </w:t>
      </w:r>
      <w:r w:rsidR="00AB71C6" w:rsidRPr="00C42C21">
        <w:rPr>
          <w:rFonts w:ascii="Arial" w:hAnsi="Arial" w:cs="Arial"/>
          <w:sz w:val="20"/>
          <w:szCs w:val="20"/>
        </w:rPr>
        <w:t xml:space="preserve">of the APP </w:t>
      </w:r>
      <w:r w:rsidRPr="00C42C21">
        <w:rPr>
          <w:rFonts w:ascii="Arial" w:hAnsi="Arial" w:cs="Arial"/>
          <w:sz w:val="20"/>
          <w:szCs w:val="20"/>
        </w:rPr>
        <w:t xml:space="preserve">explains </w:t>
      </w:r>
      <w:r w:rsidR="007D4770" w:rsidRPr="00C42C21">
        <w:rPr>
          <w:rFonts w:ascii="Arial" w:hAnsi="Arial" w:cs="Arial"/>
          <w:sz w:val="20"/>
          <w:szCs w:val="20"/>
        </w:rPr>
        <w:t>that the economic growth pattern of South Africa shows that the economy has for some time expanded at a rate significantly below what is required to meaningfully address the triple challenges of poverty, inequality, and unemployment. This is compounded from the lingering effect of the Covid-19 pandemic. The DMV thereafter notes performance against its 2020 Strategic Plan and highlights several areas of non-performance and how the external environment impacted on this, as follows:</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The DMV has received unqualified audits in 2021/22. </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For the 2021/22 financial year, the Department planned to achieve 19 performance areas. Of the 19 targeted performance areas planned, eight (8) targets were achieved which constituted to 42% overall achievement. </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Programme 1 planned 5 targets and achieved 4; Programme 2 planned 8 targets and achieved 2 and Programme 3 planned 6 targets and achieved 3. </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In Programme 1 the reasons for non-achievement was mainly due to non-adherence to the IDBMS project timeline. </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In Programme 2 reasons for non-achievement was mainly due to slow progress on construction of houses for military veterans across provinces; pension policy not implemented as planned </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In Programme 3 reasons for non-achievement was mainly due to inadequate systems and process including the capacity to deliver on the planned targets. </w:t>
      </w:r>
    </w:p>
    <w:p w:rsidR="007D4770" w:rsidRPr="00C42C21" w:rsidRDefault="007D4770" w:rsidP="00C42C21">
      <w:pPr>
        <w:pStyle w:val="ListParagraph"/>
        <w:numPr>
          <w:ilvl w:val="0"/>
          <w:numId w:val="23"/>
        </w:num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During 2021/22 financial year, the Allocation Vote 26: Department of Military Veterans in the Estimates of National Expenditure was R607.4 million. The Department managed to spend R515.6 million or 89.4% against an allocation of R607.4 million with an underspending of R91.7 million or 15.1% of the total allocated budget.</w:t>
      </w:r>
    </w:p>
    <w:p w:rsidR="007D4770" w:rsidRPr="00C42C21" w:rsidRDefault="007D4770" w:rsidP="00C42C21">
      <w:pPr>
        <w:autoSpaceDE w:val="0"/>
        <w:autoSpaceDN w:val="0"/>
        <w:adjustRightInd w:val="0"/>
        <w:spacing w:after="0" w:line="240" w:lineRule="auto"/>
        <w:jc w:val="both"/>
        <w:rPr>
          <w:rFonts w:ascii="Arial" w:hAnsi="Arial" w:cs="Arial"/>
          <w:b/>
          <w:sz w:val="20"/>
          <w:szCs w:val="20"/>
        </w:rPr>
      </w:pPr>
    </w:p>
    <w:p w:rsidR="00E335AE" w:rsidRPr="00C42C21" w:rsidRDefault="000C5BC8" w:rsidP="00C42C21">
      <w:pPr>
        <w:pStyle w:val="Heading3"/>
        <w:spacing w:before="0" w:line="240" w:lineRule="auto"/>
        <w:rPr>
          <w:rFonts w:ascii="Arial" w:eastAsiaTheme="minorHAnsi" w:hAnsi="Arial" w:cs="Arial"/>
          <w:b/>
          <w:color w:val="auto"/>
          <w:spacing w:val="0"/>
          <w:sz w:val="20"/>
          <w:szCs w:val="20"/>
          <w:lang w:val="en-ZA" w:eastAsia="en-US"/>
        </w:rPr>
      </w:pPr>
      <w:r w:rsidRPr="00C42C21">
        <w:rPr>
          <w:rFonts w:ascii="Arial" w:eastAsiaTheme="minorHAnsi" w:hAnsi="Arial" w:cs="Arial"/>
          <w:b/>
          <w:color w:val="auto"/>
          <w:spacing w:val="0"/>
          <w:sz w:val="20"/>
          <w:szCs w:val="20"/>
          <w:lang w:val="en-ZA" w:eastAsia="en-US"/>
        </w:rPr>
        <w:t>Internal Environment</w:t>
      </w:r>
    </w:p>
    <w:p w:rsidR="00AB71C6" w:rsidRPr="00C42C21" w:rsidRDefault="007D4770"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The Department notes that it is continuing working on ensuring that there is an enabling legislation, regulations, policies, relevant systems, infrastructure and organisational design to ensure an effective and efficient functional department with capable human capital that will assist to improve service delivery to the Military Veterans’ community. The internal environment covers the institution’s capacity to deliver on its mandate. The DMV has received unqualified audit in the previous financial year. In achieving a clean audit, the DMV will continue to be in partnerships with Risk Management and Internal Audit to identify further policy/ process gaps and strengthen internal controls. </w:t>
      </w:r>
    </w:p>
    <w:p w:rsidR="007D4770" w:rsidRPr="00C42C21" w:rsidRDefault="007D4770" w:rsidP="00C42C21">
      <w:pPr>
        <w:autoSpaceDE w:val="0"/>
        <w:autoSpaceDN w:val="0"/>
        <w:adjustRightInd w:val="0"/>
        <w:spacing w:after="0" w:line="240" w:lineRule="auto"/>
        <w:jc w:val="both"/>
        <w:rPr>
          <w:rFonts w:ascii="Arial" w:hAnsi="Arial" w:cs="Arial"/>
          <w:sz w:val="20"/>
          <w:szCs w:val="20"/>
        </w:rPr>
      </w:pPr>
    </w:p>
    <w:p w:rsidR="007D4770" w:rsidRPr="00C42C21" w:rsidRDefault="007D4770"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Nonetheless, the DMV has been facing challenges of delivering the service benefits to military veterans as espoused in the Act. The demands of service benefits include housing, pension, education, healthcare, memorial sites, and others. </w:t>
      </w:r>
    </w:p>
    <w:p w:rsidR="007D4770" w:rsidRPr="00C42C21" w:rsidRDefault="007D4770" w:rsidP="00C42C21">
      <w:pPr>
        <w:autoSpaceDE w:val="0"/>
        <w:autoSpaceDN w:val="0"/>
        <w:adjustRightInd w:val="0"/>
        <w:spacing w:after="0" w:line="240" w:lineRule="auto"/>
        <w:jc w:val="both"/>
        <w:rPr>
          <w:rFonts w:ascii="Arial" w:hAnsi="Arial" w:cs="Arial"/>
          <w:b/>
          <w:sz w:val="20"/>
          <w:szCs w:val="20"/>
        </w:rPr>
      </w:pPr>
    </w:p>
    <w:p w:rsidR="00E335AE" w:rsidRPr="00C42C21" w:rsidRDefault="0084743E" w:rsidP="00C42C21">
      <w:pPr>
        <w:pStyle w:val="Heading1"/>
        <w:spacing w:before="0" w:line="240" w:lineRule="auto"/>
        <w:rPr>
          <w:rFonts w:ascii="Arial" w:hAnsi="Arial" w:cs="Arial"/>
          <w:b/>
          <w:color w:val="auto"/>
          <w:sz w:val="20"/>
          <w:szCs w:val="20"/>
        </w:rPr>
      </w:pPr>
      <w:r w:rsidRPr="00C42C21">
        <w:rPr>
          <w:rFonts w:ascii="Arial" w:hAnsi="Arial" w:cs="Arial"/>
          <w:b/>
          <w:color w:val="auto"/>
          <w:sz w:val="20"/>
          <w:szCs w:val="20"/>
        </w:rPr>
        <w:t xml:space="preserve">6. </w:t>
      </w:r>
      <w:r w:rsidRPr="00C42C21">
        <w:rPr>
          <w:rFonts w:ascii="Arial" w:hAnsi="Arial" w:cs="Arial"/>
          <w:b/>
          <w:color w:val="auto"/>
          <w:sz w:val="20"/>
          <w:szCs w:val="20"/>
        </w:rPr>
        <w:tab/>
      </w:r>
      <w:r w:rsidR="00E335AE" w:rsidRPr="00C42C21">
        <w:rPr>
          <w:rFonts w:ascii="Arial" w:hAnsi="Arial" w:cs="Arial"/>
          <w:b/>
          <w:color w:val="auto"/>
          <w:sz w:val="20"/>
          <w:szCs w:val="20"/>
        </w:rPr>
        <w:t xml:space="preserve">DMV PROGRAMMES FOR </w:t>
      </w:r>
      <w:r w:rsidR="00594230" w:rsidRPr="00C42C21">
        <w:rPr>
          <w:rFonts w:ascii="Arial" w:hAnsi="Arial" w:cs="Arial"/>
          <w:b/>
          <w:color w:val="auto"/>
          <w:sz w:val="20"/>
          <w:szCs w:val="20"/>
        </w:rPr>
        <w:t>2023</w:t>
      </w:r>
      <w:r w:rsidR="00E335AE" w:rsidRPr="00C42C21">
        <w:rPr>
          <w:rFonts w:ascii="Arial" w:hAnsi="Arial" w:cs="Arial"/>
          <w:b/>
          <w:color w:val="auto"/>
          <w:sz w:val="20"/>
          <w:szCs w:val="20"/>
        </w:rPr>
        <w:t>/</w:t>
      </w:r>
      <w:r w:rsidR="00594230" w:rsidRPr="00C42C21">
        <w:rPr>
          <w:rFonts w:ascii="Arial" w:hAnsi="Arial" w:cs="Arial"/>
          <w:b/>
          <w:color w:val="auto"/>
          <w:sz w:val="20"/>
          <w:szCs w:val="20"/>
        </w:rPr>
        <w:t>24</w:t>
      </w:r>
    </w:p>
    <w:p w:rsidR="00E335AE" w:rsidRPr="00C42C21" w:rsidRDefault="00E335AE" w:rsidP="00C42C21">
      <w:pPr>
        <w:autoSpaceDE w:val="0"/>
        <w:autoSpaceDN w:val="0"/>
        <w:adjustRightInd w:val="0"/>
        <w:spacing w:after="0" w:line="240" w:lineRule="auto"/>
        <w:jc w:val="both"/>
        <w:rPr>
          <w:rFonts w:ascii="Arial" w:hAnsi="Arial" w:cs="Arial"/>
          <w:sz w:val="20"/>
          <w:szCs w:val="20"/>
        </w:rPr>
      </w:pPr>
    </w:p>
    <w:p w:rsidR="00E335AE" w:rsidRPr="00C42C21" w:rsidRDefault="00E335AE"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The 202</w:t>
      </w:r>
      <w:r w:rsidR="005B423C" w:rsidRPr="00C42C21">
        <w:rPr>
          <w:rFonts w:ascii="Arial" w:hAnsi="Arial" w:cs="Arial"/>
          <w:sz w:val="20"/>
          <w:szCs w:val="20"/>
        </w:rPr>
        <w:t>3</w:t>
      </w:r>
      <w:r w:rsidRPr="00C42C21">
        <w:rPr>
          <w:rFonts w:ascii="Arial" w:hAnsi="Arial" w:cs="Arial"/>
          <w:sz w:val="20"/>
          <w:szCs w:val="20"/>
        </w:rPr>
        <w:t>/2</w:t>
      </w:r>
      <w:r w:rsidR="005B423C" w:rsidRPr="00C42C21">
        <w:rPr>
          <w:rFonts w:ascii="Arial" w:hAnsi="Arial" w:cs="Arial"/>
          <w:sz w:val="20"/>
          <w:szCs w:val="20"/>
        </w:rPr>
        <w:t>4</w:t>
      </w:r>
      <w:r w:rsidRPr="00C42C21">
        <w:rPr>
          <w:rFonts w:ascii="Arial" w:hAnsi="Arial" w:cs="Arial"/>
          <w:sz w:val="20"/>
          <w:szCs w:val="20"/>
        </w:rPr>
        <w:t xml:space="preserve"> ENE</w:t>
      </w:r>
      <w:r w:rsidR="00594230" w:rsidRPr="00C42C21">
        <w:rPr>
          <w:rFonts w:ascii="Arial" w:hAnsi="Arial" w:cs="Arial"/>
          <w:sz w:val="20"/>
          <w:szCs w:val="20"/>
        </w:rPr>
        <w:t xml:space="preserve"> </w:t>
      </w:r>
      <w:r w:rsidRPr="00C42C21">
        <w:rPr>
          <w:rFonts w:ascii="Arial" w:hAnsi="Arial" w:cs="Arial"/>
          <w:sz w:val="20"/>
          <w:szCs w:val="20"/>
        </w:rPr>
        <w:t>Vote 26</w:t>
      </w:r>
      <w:r w:rsidR="00AB71C6" w:rsidRPr="00C42C21">
        <w:rPr>
          <w:rFonts w:ascii="Arial" w:hAnsi="Arial" w:cs="Arial"/>
          <w:sz w:val="20"/>
          <w:szCs w:val="20"/>
        </w:rPr>
        <w:t>:</w:t>
      </w:r>
      <w:r w:rsidRPr="00C42C21">
        <w:rPr>
          <w:rFonts w:ascii="Arial" w:hAnsi="Arial" w:cs="Arial"/>
          <w:sz w:val="20"/>
          <w:szCs w:val="20"/>
        </w:rPr>
        <w:t xml:space="preserve"> Military Veterans, states that the purpose of the Vote is to formulate policies and standards aimed at providing a comprehensive delivery system to military veterans and their dependants in recognition of their role in the democratisation of South Africa. As such, the DMV will over the medium term, continue to focus on providing key benefits such as health care, housing, education, training and skills development programmes to military veterans and their dependants. </w:t>
      </w:r>
    </w:p>
    <w:p w:rsidR="007D4770" w:rsidRPr="00C42C21" w:rsidRDefault="007D4770" w:rsidP="00C42C21">
      <w:pPr>
        <w:autoSpaceDE w:val="0"/>
        <w:autoSpaceDN w:val="0"/>
        <w:adjustRightInd w:val="0"/>
        <w:spacing w:after="0" w:line="240" w:lineRule="auto"/>
        <w:jc w:val="both"/>
        <w:rPr>
          <w:rFonts w:ascii="Arial" w:hAnsi="Arial" w:cs="Arial"/>
          <w:b/>
          <w:sz w:val="20"/>
          <w:szCs w:val="20"/>
        </w:rPr>
      </w:pPr>
    </w:p>
    <w:p w:rsidR="00E335AE" w:rsidRPr="00C42C21" w:rsidRDefault="00E335AE" w:rsidP="00C42C21">
      <w:pPr>
        <w:pStyle w:val="Heading1"/>
        <w:spacing w:before="0" w:line="240" w:lineRule="auto"/>
        <w:rPr>
          <w:rFonts w:ascii="Arial" w:hAnsi="Arial" w:cs="Arial"/>
          <w:b/>
          <w:color w:val="auto"/>
          <w:sz w:val="20"/>
          <w:szCs w:val="20"/>
        </w:rPr>
      </w:pPr>
      <w:r w:rsidRPr="00C42C21">
        <w:rPr>
          <w:rFonts w:ascii="Arial" w:hAnsi="Arial" w:cs="Arial"/>
          <w:b/>
          <w:color w:val="auto"/>
          <w:sz w:val="20"/>
          <w:szCs w:val="20"/>
        </w:rPr>
        <w:t>6.1</w:t>
      </w:r>
      <w:r w:rsidRPr="00C42C21">
        <w:rPr>
          <w:rFonts w:ascii="Arial" w:hAnsi="Arial" w:cs="Arial"/>
          <w:b/>
          <w:color w:val="auto"/>
          <w:sz w:val="20"/>
          <w:szCs w:val="20"/>
        </w:rPr>
        <w:tab/>
        <w:t>Overview of the 202</w:t>
      </w:r>
      <w:r w:rsidR="0008582B" w:rsidRPr="00C42C21">
        <w:rPr>
          <w:rFonts w:ascii="Arial" w:hAnsi="Arial" w:cs="Arial"/>
          <w:b/>
          <w:color w:val="auto"/>
          <w:sz w:val="20"/>
          <w:szCs w:val="20"/>
        </w:rPr>
        <w:t>3</w:t>
      </w:r>
      <w:r w:rsidRPr="00C42C21">
        <w:rPr>
          <w:rFonts w:ascii="Arial" w:hAnsi="Arial" w:cs="Arial"/>
          <w:b/>
          <w:color w:val="auto"/>
          <w:sz w:val="20"/>
          <w:szCs w:val="20"/>
        </w:rPr>
        <w:t>/2</w:t>
      </w:r>
      <w:r w:rsidR="0008582B" w:rsidRPr="00C42C21">
        <w:rPr>
          <w:rFonts w:ascii="Arial" w:hAnsi="Arial" w:cs="Arial"/>
          <w:b/>
          <w:color w:val="auto"/>
          <w:sz w:val="20"/>
          <w:szCs w:val="20"/>
        </w:rPr>
        <w:t>4</w:t>
      </w:r>
      <w:r w:rsidRPr="00C42C21">
        <w:rPr>
          <w:rFonts w:ascii="Arial" w:hAnsi="Arial" w:cs="Arial"/>
          <w:b/>
          <w:color w:val="auto"/>
          <w:sz w:val="20"/>
          <w:szCs w:val="20"/>
        </w:rPr>
        <w:t xml:space="preserve"> Budget and MTEF Estimates</w:t>
      </w:r>
    </w:p>
    <w:p w:rsidR="00D360D5" w:rsidRPr="00C42C21" w:rsidRDefault="00D360D5" w:rsidP="00C42C21">
      <w:pPr>
        <w:spacing w:after="0" w:line="240" w:lineRule="auto"/>
        <w:rPr>
          <w:rFonts w:ascii="Arial" w:hAnsi="Arial" w:cs="Arial"/>
          <w:sz w:val="20"/>
          <w:szCs w:val="20"/>
          <w:lang w:val="en-GB" w:eastAsia="en-GB"/>
        </w:rPr>
      </w:pPr>
    </w:p>
    <w:p w:rsidR="0008582B" w:rsidRPr="00C42C21" w:rsidRDefault="0008582B" w:rsidP="00C42C21">
      <w:pPr>
        <w:spacing w:after="0" w:line="240" w:lineRule="auto"/>
        <w:jc w:val="both"/>
        <w:rPr>
          <w:rFonts w:ascii="Arial" w:hAnsi="Arial" w:cs="Arial"/>
          <w:sz w:val="20"/>
          <w:szCs w:val="20"/>
        </w:rPr>
      </w:pPr>
      <w:r w:rsidRPr="00C42C21">
        <w:rPr>
          <w:rFonts w:ascii="Arial" w:hAnsi="Arial" w:cs="Arial"/>
          <w:sz w:val="20"/>
          <w:szCs w:val="20"/>
        </w:rPr>
        <w:t>The DMV’s 2023/24 budget has increased with R224.7 million from the previous year in nominal terms and in real terms with 27.3% after adjustment for inflation. The biggest increase in nominal terms was in Programme 2 with an additional R171.8 million allocated. Programme 3 also sees a major proportional increase of R69.6 million (47.15% nominal increase).</w:t>
      </w:r>
    </w:p>
    <w:p w:rsidR="00A82832" w:rsidRPr="00C42C21" w:rsidRDefault="00A82832" w:rsidP="00C42C21">
      <w:pPr>
        <w:spacing w:after="0" w:line="240" w:lineRule="auto"/>
        <w:jc w:val="both"/>
        <w:rPr>
          <w:rFonts w:ascii="Arial" w:hAnsi="Arial" w:cs="Arial"/>
          <w:sz w:val="20"/>
          <w:szCs w:val="20"/>
        </w:rPr>
      </w:pPr>
    </w:p>
    <w:p w:rsidR="00A82832" w:rsidRPr="00C42C21" w:rsidRDefault="00A82832" w:rsidP="00C42C21">
      <w:pPr>
        <w:spacing w:after="0" w:line="240" w:lineRule="auto"/>
        <w:jc w:val="both"/>
        <w:rPr>
          <w:rFonts w:ascii="Arial" w:hAnsi="Arial" w:cs="Arial"/>
          <w:sz w:val="20"/>
          <w:szCs w:val="20"/>
        </w:rPr>
      </w:pPr>
    </w:p>
    <w:p w:rsidR="00A82832" w:rsidRPr="00C42C21" w:rsidRDefault="00A82832" w:rsidP="00C42C21">
      <w:pPr>
        <w:spacing w:after="0" w:line="240" w:lineRule="auto"/>
        <w:jc w:val="both"/>
        <w:rPr>
          <w:rFonts w:ascii="Arial" w:hAnsi="Arial" w:cs="Arial"/>
          <w:sz w:val="20"/>
          <w:szCs w:val="20"/>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39"/>
        <w:gridCol w:w="939"/>
        <w:gridCol w:w="1276"/>
        <w:gridCol w:w="1276"/>
        <w:gridCol w:w="1134"/>
        <w:gridCol w:w="1197"/>
      </w:tblGrid>
      <w:tr w:rsidR="0008582B" w:rsidRPr="00C42C21" w:rsidTr="00136C62">
        <w:trPr>
          <w:trHeight w:val="255"/>
          <w:jc w:val="center"/>
        </w:trPr>
        <w:tc>
          <w:tcPr>
            <w:tcW w:w="9033" w:type="dxa"/>
            <w:gridSpan w:val="7"/>
            <w:shd w:val="clear" w:color="auto" w:fill="D9D9D9" w:themeFill="background1" w:themeFillShade="D9"/>
            <w:noWrap/>
            <w:vAlign w:val="bottom"/>
            <w:hideMark/>
          </w:tcPr>
          <w:p w:rsidR="0008582B" w:rsidRPr="00C42C21" w:rsidRDefault="0008582B" w:rsidP="00C42C21">
            <w:pPr>
              <w:spacing w:after="0" w:line="240" w:lineRule="auto"/>
              <w:jc w:val="center"/>
              <w:rPr>
                <w:rFonts w:ascii="Arial" w:hAnsi="Arial" w:cs="Arial"/>
                <w:b/>
                <w:sz w:val="20"/>
                <w:szCs w:val="20"/>
                <w:lang w:eastAsia="en-ZA"/>
              </w:rPr>
            </w:pPr>
            <w:r w:rsidRPr="00C42C21">
              <w:rPr>
                <w:rFonts w:ascii="Arial" w:hAnsi="Arial" w:cs="Arial"/>
                <w:b/>
                <w:sz w:val="20"/>
                <w:szCs w:val="20"/>
                <w:lang w:eastAsia="en-ZA"/>
              </w:rPr>
              <w:t>VOTE 26: MILITARY VETERANS</w:t>
            </w:r>
          </w:p>
        </w:tc>
      </w:tr>
      <w:tr w:rsidR="0008582B" w:rsidRPr="00C42C21" w:rsidTr="00136C62">
        <w:trPr>
          <w:trHeight w:val="765"/>
          <w:jc w:val="center"/>
        </w:trPr>
        <w:tc>
          <w:tcPr>
            <w:tcW w:w="2272" w:type="dxa"/>
            <w:shd w:val="clear" w:color="auto" w:fill="D9D9D9" w:themeFill="background1" w:themeFillShade="D9"/>
            <w:noWrap/>
            <w:vAlign w:val="bottom"/>
            <w:hideMark/>
          </w:tcPr>
          <w:p w:rsidR="0008582B" w:rsidRPr="00C42C21" w:rsidRDefault="0008582B" w:rsidP="00C42C21">
            <w:pPr>
              <w:spacing w:after="0" w:line="240" w:lineRule="auto"/>
              <w:rPr>
                <w:rFonts w:ascii="Arial" w:hAnsi="Arial" w:cs="Arial"/>
                <w:b/>
                <w:bCs/>
                <w:sz w:val="20"/>
                <w:szCs w:val="20"/>
                <w:lang w:eastAsia="en-ZA"/>
              </w:rPr>
            </w:pPr>
            <w:r w:rsidRPr="00C42C21">
              <w:rPr>
                <w:rFonts w:ascii="Arial" w:hAnsi="Arial" w:cs="Arial"/>
                <w:b/>
                <w:bCs/>
                <w:sz w:val="20"/>
                <w:szCs w:val="20"/>
                <w:lang w:eastAsia="en-ZA"/>
              </w:rPr>
              <w:lastRenderedPageBreak/>
              <w:t>Programme</w:t>
            </w:r>
          </w:p>
        </w:tc>
        <w:tc>
          <w:tcPr>
            <w:tcW w:w="1878" w:type="dxa"/>
            <w:gridSpan w:val="2"/>
            <w:tcBorders>
              <w:bottom w:val="single" w:sz="4" w:space="0" w:color="auto"/>
            </w:tcBorders>
            <w:shd w:val="clear" w:color="auto" w:fill="EDEDED" w:themeFill="accent3" w:themeFillTint="33"/>
            <w:vAlign w:val="center"/>
            <w:hideMark/>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Budget</w:t>
            </w:r>
          </w:p>
        </w:tc>
        <w:tc>
          <w:tcPr>
            <w:tcW w:w="1276" w:type="dxa"/>
            <w:vMerge w:val="restart"/>
            <w:shd w:val="clear" w:color="auto" w:fill="EDEDED" w:themeFill="accent3" w:themeFillTint="33"/>
            <w:vAlign w:val="center"/>
            <w:hideMark/>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Nominal Increase / Decrease in 2023/24</w:t>
            </w:r>
          </w:p>
        </w:tc>
        <w:tc>
          <w:tcPr>
            <w:tcW w:w="1276" w:type="dxa"/>
            <w:vMerge w:val="restart"/>
            <w:shd w:val="clear" w:color="auto" w:fill="EDEDED" w:themeFill="accent3" w:themeFillTint="33"/>
            <w:vAlign w:val="center"/>
            <w:hideMark/>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Real Increase / Decrease in 2023/24</w:t>
            </w:r>
          </w:p>
        </w:tc>
        <w:tc>
          <w:tcPr>
            <w:tcW w:w="1134" w:type="dxa"/>
            <w:vMerge w:val="restart"/>
            <w:shd w:val="clear" w:color="auto" w:fill="EDEDED" w:themeFill="accent3" w:themeFillTint="33"/>
            <w:vAlign w:val="center"/>
            <w:hideMark/>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Nominal Percent change in 2023/24</w:t>
            </w:r>
          </w:p>
        </w:tc>
        <w:tc>
          <w:tcPr>
            <w:tcW w:w="1197" w:type="dxa"/>
            <w:vMerge w:val="restart"/>
            <w:shd w:val="clear" w:color="auto" w:fill="EDEDED" w:themeFill="accent3" w:themeFillTint="33"/>
            <w:vAlign w:val="center"/>
            <w:hideMark/>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Real Percent change in 2023/24</w:t>
            </w:r>
          </w:p>
        </w:tc>
      </w:tr>
      <w:tr w:rsidR="0008582B" w:rsidRPr="00C42C21" w:rsidTr="00136C62">
        <w:trPr>
          <w:trHeight w:val="255"/>
          <w:jc w:val="center"/>
        </w:trPr>
        <w:tc>
          <w:tcPr>
            <w:tcW w:w="2272" w:type="dxa"/>
            <w:shd w:val="clear" w:color="auto" w:fill="D9D9D9" w:themeFill="background1" w:themeFillShade="D9"/>
            <w:noWrap/>
            <w:vAlign w:val="bottom"/>
            <w:hideMark/>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 million</w:t>
            </w:r>
          </w:p>
        </w:tc>
        <w:tc>
          <w:tcPr>
            <w:tcW w:w="939" w:type="dxa"/>
            <w:shd w:val="clear" w:color="auto" w:fill="EDEDED" w:themeFill="accent3" w:themeFillTint="33"/>
            <w:noWrap/>
            <w:vAlign w:val="bottom"/>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2022/23</w:t>
            </w:r>
          </w:p>
        </w:tc>
        <w:tc>
          <w:tcPr>
            <w:tcW w:w="939" w:type="dxa"/>
            <w:shd w:val="clear" w:color="auto" w:fill="EDEDED" w:themeFill="accent3" w:themeFillTint="33"/>
            <w:noWrap/>
            <w:vAlign w:val="bottom"/>
          </w:tcPr>
          <w:p w:rsidR="0008582B" w:rsidRPr="00C42C21" w:rsidRDefault="0008582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2023/24</w:t>
            </w:r>
          </w:p>
        </w:tc>
        <w:tc>
          <w:tcPr>
            <w:tcW w:w="1276" w:type="dxa"/>
            <w:vMerge/>
            <w:vAlign w:val="center"/>
            <w:hideMark/>
          </w:tcPr>
          <w:p w:rsidR="0008582B" w:rsidRPr="00C42C21" w:rsidRDefault="0008582B" w:rsidP="00C42C21">
            <w:pPr>
              <w:spacing w:after="0" w:line="240" w:lineRule="auto"/>
              <w:rPr>
                <w:rFonts w:ascii="Arial" w:hAnsi="Arial" w:cs="Arial"/>
                <w:b/>
                <w:bCs/>
                <w:sz w:val="20"/>
                <w:szCs w:val="20"/>
                <w:lang w:eastAsia="en-ZA"/>
              </w:rPr>
            </w:pPr>
          </w:p>
        </w:tc>
        <w:tc>
          <w:tcPr>
            <w:tcW w:w="1276" w:type="dxa"/>
            <w:vMerge/>
            <w:vAlign w:val="center"/>
            <w:hideMark/>
          </w:tcPr>
          <w:p w:rsidR="0008582B" w:rsidRPr="00C42C21" w:rsidRDefault="0008582B" w:rsidP="00C42C21">
            <w:pPr>
              <w:spacing w:after="0" w:line="240" w:lineRule="auto"/>
              <w:rPr>
                <w:rFonts w:ascii="Arial" w:hAnsi="Arial" w:cs="Arial"/>
                <w:b/>
                <w:bCs/>
                <w:sz w:val="20"/>
                <w:szCs w:val="20"/>
                <w:lang w:eastAsia="en-ZA"/>
              </w:rPr>
            </w:pPr>
          </w:p>
        </w:tc>
        <w:tc>
          <w:tcPr>
            <w:tcW w:w="1134" w:type="dxa"/>
            <w:vMerge/>
            <w:vAlign w:val="center"/>
            <w:hideMark/>
          </w:tcPr>
          <w:p w:rsidR="0008582B" w:rsidRPr="00C42C21" w:rsidRDefault="0008582B" w:rsidP="00C42C21">
            <w:pPr>
              <w:spacing w:after="0" w:line="240" w:lineRule="auto"/>
              <w:rPr>
                <w:rFonts w:ascii="Arial" w:hAnsi="Arial" w:cs="Arial"/>
                <w:b/>
                <w:bCs/>
                <w:sz w:val="20"/>
                <w:szCs w:val="20"/>
                <w:lang w:eastAsia="en-ZA"/>
              </w:rPr>
            </w:pPr>
          </w:p>
        </w:tc>
        <w:tc>
          <w:tcPr>
            <w:tcW w:w="1197" w:type="dxa"/>
            <w:vMerge/>
            <w:vAlign w:val="center"/>
            <w:hideMark/>
          </w:tcPr>
          <w:p w:rsidR="0008582B" w:rsidRPr="00C42C21" w:rsidRDefault="0008582B" w:rsidP="00C42C21">
            <w:pPr>
              <w:spacing w:after="0" w:line="240" w:lineRule="auto"/>
              <w:rPr>
                <w:rFonts w:ascii="Arial" w:hAnsi="Arial" w:cs="Arial"/>
                <w:b/>
                <w:bCs/>
                <w:sz w:val="20"/>
                <w:szCs w:val="20"/>
                <w:lang w:eastAsia="en-ZA"/>
              </w:rPr>
            </w:pPr>
          </w:p>
        </w:tc>
      </w:tr>
      <w:tr w:rsidR="0008582B" w:rsidRPr="00C42C21" w:rsidTr="00136C62">
        <w:trPr>
          <w:trHeight w:val="255"/>
          <w:jc w:val="center"/>
        </w:trPr>
        <w:tc>
          <w:tcPr>
            <w:tcW w:w="2272" w:type="dxa"/>
            <w:shd w:val="clear" w:color="auto" w:fill="D9D9D9" w:themeFill="background1" w:themeFillShade="D9"/>
            <w:noWrap/>
            <w:vAlign w:val="bottom"/>
            <w:hideMark/>
          </w:tcPr>
          <w:p w:rsidR="0008582B" w:rsidRPr="00C42C21" w:rsidRDefault="0008582B" w:rsidP="00C42C21">
            <w:pPr>
              <w:spacing w:after="0" w:line="240" w:lineRule="auto"/>
              <w:rPr>
                <w:rFonts w:ascii="Arial" w:hAnsi="Arial" w:cs="Arial"/>
                <w:sz w:val="20"/>
                <w:szCs w:val="20"/>
                <w:lang w:eastAsia="en-ZA"/>
              </w:rPr>
            </w:pPr>
            <w:r w:rsidRPr="00C42C21">
              <w:rPr>
                <w:rFonts w:ascii="Arial" w:hAnsi="Arial" w:cs="Arial"/>
                <w:sz w:val="20"/>
                <w:szCs w:val="20"/>
                <w:lang w:eastAsia="en-ZA"/>
              </w:rPr>
              <w:t xml:space="preserve">Programme 1: Administration </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151,4</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135,5</w:t>
            </w:r>
          </w:p>
        </w:tc>
        <w:tc>
          <w:tcPr>
            <w:tcW w:w="1276"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15,9</w:t>
            </w:r>
          </w:p>
        </w:tc>
        <w:tc>
          <w:tcPr>
            <w:tcW w:w="1276"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  22,2</w:t>
            </w:r>
          </w:p>
        </w:tc>
        <w:tc>
          <w:tcPr>
            <w:tcW w:w="1134"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-10,50%</w:t>
            </w:r>
          </w:p>
        </w:tc>
        <w:tc>
          <w:tcPr>
            <w:tcW w:w="1197"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-14,68%</w:t>
            </w:r>
          </w:p>
        </w:tc>
      </w:tr>
      <w:tr w:rsidR="0008582B" w:rsidRPr="00C42C21" w:rsidTr="00136C62">
        <w:trPr>
          <w:trHeight w:val="255"/>
          <w:jc w:val="center"/>
        </w:trPr>
        <w:tc>
          <w:tcPr>
            <w:tcW w:w="2272" w:type="dxa"/>
            <w:shd w:val="clear" w:color="auto" w:fill="D9D9D9" w:themeFill="background1" w:themeFillShade="D9"/>
            <w:noWrap/>
            <w:vAlign w:val="bottom"/>
            <w:hideMark/>
          </w:tcPr>
          <w:p w:rsidR="0008582B" w:rsidRPr="00C42C21" w:rsidRDefault="0008582B" w:rsidP="00C42C21">
            <w:pPr>
              <w:spacing w:after="0" w:line="240" w:lineRule="auto"/>
              <w:rPr>
                <w:rFonts w:ascii="Arial" w:hAnsi="Arial" w:cs="Arial"/>
                <w:sz w:val="20"/>
                <w:szCs w:val="20"/>
                <w:lang w:eastAsia="en-ZA"/>
              </w:rPr>
            </w:pPr>
            <w:r w:rsidRPr="00C42C21">
              <w:rPr>
                <w:rFonts w:ascii="Arial" w:hAnsi="Arial" w:cs="Arial"/>
                <w:sz w:val="20"/>
                <w:szCs w:val="20"/>
                <w:lang w:eastAsia="en-ZA"/>
              </w:rPr>
              <w:t>Programme 2: Socio-economic Support</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370,3</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542,1</w:t>
            </w:r>
          </w:p>
        </w:tc>
        <w:tc>
          <w:tcPr>
            <w:tcW w:w="1276"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 xml:space="preserve">  171,8</w:t>
            </w:r>
          </w:p>
        </w:tc>
        <w:tc>
          <w:tcPr>
            <w:tcW w:w="1276"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 xml:space="preserve">  146,5</w:t>
            </w:r>
          </w:p>
        </w:tc>
        <w:tc>
          <w:tcPr>
            <w:tcW w:w="1134"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46,39%</w:t>
            </w:r>
          </w:p>
        </w:tc>
        <w:tc>
          <w:tcPr>
            <w:tcW w:w="1197"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39,56%</w:t>
            </w:r>
          </w:p>
        </w:tc>
      </w:tr>
      <w:tr w:rsidR="0008582B" w:rsidRPr="00C42C21" w:rsidTr="00136C62">
        <w:trPr>
          <w:trHeight w:val="255"/>
          <w:jc w:val="center"/>
        </w:trPr>
        <w:tc>
          <w:tcPr>
            <w:tcW w:w="2272" w:type="dxa"/>
            <w:shd w:val="clear" w:color="auto" w:fill="D9D9D9" w:themeFill="background1" w:themeFillShade="D9"/>
            <w:noWrap/>
            <w:vAlign w:val="bottom"/>
            <w:hideMark/>
          </w:tcPr>
          <w:p w:rsidR="0008582B" w:rsidRPr="00C42C21" w:rsidRDefault="0008582B" w:rsidP="00C42C21">
            <w:pPr>
              <w:spacing w:after="0" w:line="240" w:lineRule="auto"/>
              <w:rPr>
                <w:rFonts w:ascii="Arial" w:hAnsi="Arial" w:cs="Arial"/>
                <w:sz w:val="20"/>
                <w:szCs w:val="20"/>
                <w:lang w:eastAsia="en-ZA"/>
              </w:rPr>
            </w:pPr>
            <w:r w:rsidRPr="00C42C21">
              <w:rPr>
                <w:rFonts w:ascii="Arial" w:hAnsi="Arial" w:cs="Arial"/>
                <w:sz w:val="20"/>
                <w:szCs w:val="20"/>
                <w:lang w:eastAsia="en-ZA"/>
              </w:rPr>
              <w:t>Programme 3: Empowerment &amp;Stakeholder</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147,6</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217,2</w:t>
            </w:r>
          </w:p>
        </w:tc>
        <w:tc>
          <w:tcPr>
            <w:tcW w:w="1276"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 xml:space="preserve">  69,6</w:t>
            </w:r>
          </w:p>
        </w:tc>
        <w:tc>
          <w:tcPr>
            <w:tcW w:w="1276"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 xml:space="preserve">  59,5</w:t>
            </w:r>
          </w:p>
        </w:tc>
        <w:tc>
          <w:tcPr>
            <w:tcW w:w="1134"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47,15%</w:t>
            </w:r>
          </w:p>
        </w:tc>
        <w:tc>
          <w:tcPr>
            <w:tcW w:w="1197" w:type="dxa"/>
            <w:shd w:val="clear" w:color="auto" w:fill="auto"/>
            <w:noWrap/>
            <w:vAlign w:val="bottom"/>
            <w:hideMark/>
          </w:tcPr>
          <w:p w:rsidR="0008582B" w:rsidRPr="00C42C21" w:rsidRDefault="0008582B" w:rsidP="00C42C21">
            <w:pPr>
              <w:spacing w:after="0" w:line="240" w:lineRule="auto"/>
              <w:jc w:val="right"/>
              <w:rPr>
                <w:rFonts w:ascii="Arial" w:hAnsi="Arial" w:cs="Arial"/>
                <w:sz w:val="20"/>
                <w:szCs w:val="20"/>
              </w:rPr>
            </w:pPr>
            <w:r w:rsidRPr="00C42C21">
              <w:rPr>
                <w:rFonts w:ascii="Arial" w:hAnsi="Arial" w:cs="Arial"/>
                <w:sz w:val="20"/>
                <w:szCs w:val="20"/>
              </w:rPr>
              <w:t>40,28%</w:t>
            </w:r>
          </w:p>
        </w:tc>
      </w:tr>
      <w:tr w:rsidR="0008582B" w:rsidRPr="00C42C21" w:rsidTr="00136C62">
        <w:trPr>
          <w:trHeight w:val="255"/>
          <w:jc w:val="center"/>
        </w:trPr>
        <w:tc>
          <w:tcPr>
            <w:tcW w:w="2272" w:type="dxa"/>
            <w:shd w:val="clear" w:color="auto" w:fill="D9D9D9" w:themeFill="background1" w:themeFillShade="D9"/>
            <w:noWrap/>
            <w:vAlign w:val="bottom"/>
          </w:tcPr>
          <w:p w:rsidR="0008582B" w:rsidRPr="00C42C21" w:rsidRDefault="0008582B" w:rsidP="00C42C21">
            <w:pPr>
              <w:spacing w:after="0" w:line="240" w:lineRule="auto"/>
              <w:rPr>
                <w:rFonts w:ascii="Arial" w:hAnsi="Arial" w:cs="Arial"/>
                <w:b/>
                <w:sz w:val="20"/>
                <w:szCs w:val="20"/>
                <w:lang w:eastAsia="en-ZA"/>
              </w:rPr>
            </w:pPr>
            <w:r w:rsidRPr="00C42C21">
              <w:rPr>
                <w:rFonts w:ascii="Arial" w:hAnsi="Arial" w:cs="Arial"/>
                <w:b/>
                <w:sz w:val="20"/>
                <w:szCs w:val="20"/>
                <w:lang w:eastAsia="en-ZA"/>
              </w:rPr>
              <w:t>TOTAL</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b/>
                <w:sz w:val="20"/>
                <w:szCs w:val="20"/>
                <w:lang w:eastAsia="en-ZA"/>
              </w:rPr>
            </w:pPr>
            <w:r w:rsidRPr="00C42C21">
              <w:rPr>
                <w:rFonts w:ascii="Arial" w:hAnsi="Arial" w:cs="Arial"/>
                <w:b/>
                <w:sz w:val="20"/>
                <w:szCs w:val="20"/>
              </w:rPr>
              <w:t xml:space="preserve">  670,0</w:t>
            </w:r>
          </w:p>
        </w:tc>
        <w:tc>
          <w:tcPr>
            <w:tcW w:w="939" w:type="dxa"/>
            <w:shd w:val="clear" w:color="auto" w:fill="auto"/>
            <w:noWrap/>
            <w:vAlign w:val="bottom"/>
          </w:tcPr>
          <w:p w:rsidR="0008582B" w:rsidRPr="00C42C21" w:rsidRDefault="0008582B" w:rsidP="00C42C21">
            <w:pPr>
              <w:spacing w:after="0" w:line="240" w:lineRule="auto"/>
              <w:jc w:val="right"/>
              <w:rPr>
                <w:rFonts w:ascii="Arial" w:hAnsi="Arial" w:cs="Arial"/>
                <w:b/>
                <w:sz w:val="20"/>
                <w:szCs w:val="20"/>
                <w:lang w:eastAsia="en-ZA"/>
              </w:rPr>
            </w:pPr>
            <w:r w:rsidRPr="00C42C21">
              <w:rPr>
                <w:rFonts w:ascii="Arial" w:hAnsi="Arial" w:cs="Arial"/>
                <w:b/>
                <w:sz w:val="20"/>
                <w:szCs w:val="20"/>
              </w:rPr>
              <w:t xml:space="preserve">  894,7</w:t>
            </w:r>
          </w:p>
        </w:tc>
        <w:tc>
          <w:tcPr>
            <w:tcW w:w="1276" w:type="dxa"/>
            <w:shd w:val="clear" w:color="auto" w:fill="auto"/>
            <w:noWrap/>
            <w:vAlign w:val="bottom"/>
          </w:tcPr>
          <w:p w:rsidR="0008582B" w:rsidRPr="00C42C21" w:rsidRDefault="0008582B" w:rsidP="00C42C21">
            <w:pPr>
              <w:spacing w:after="0" w:line="240" w:lineRule="auto"/>
              <w:jc w:val="right"/>
              <w:rPr>
                <w:rFonts w:ascii="Arial" w:hAnsi="Arial" w:cs="Arial"/>
                <w:b/>
                <w:sz w:val="20"/>
                <w:szCs w:val="20"/>
              </w:rPr>
            </w:pPr>
            <w:r w:rsidRPr="00C42C21">
              <w:rPr>
                <w:rFonts w:ascii="Arial" w:hAnsi="Arial" w:cs="Arial"/>
                <w:b/>
                <w:sz w:val="20"/>
                <w:szCs w:val="20"/>
              </w:rPr>
              <w:t xml:space="preserve">  224,7</w:t>
            </w:r>
          </w:p>
        </w:tc>
        <w:tc>
          <w:tcPr>
            <w:tcW w:w="1276" w:type="dxa"/>
            <w:shd w:val="clear" w:color="auto" w:fill="auto"/>
            <w:noWrap/>
            <w:vAlign w:val="bottom"/>
          </w:tcPr>
          <w:p w:rsidR="0008582B" w:rsidRPr="00C42C21" w:rsidRDefault="0008582B" w:rsidP="00C42C21">
            <w:pPr>
              <w:spacing w:after="0" w:line="240" w:lineRule="auto"/>
              <w:jc w:val="right"/>
              <w:rPr>
                <w:rFonts w:ascii="Arial" w:hAnsi="Arial" w:cs="Arial"/>
                <w:b/>
                <w:sz w:val="20"/>
                <w:szCs w:val="20"/>
              </w:rPr>
            </w:pPr>
            <w:r w:rsidRPr="00C42C21">
              <w:rPr>
                <w:rFonts w:ascii="Arial" w:hAnsi="Arial" w:cs="Arial"/>
                <w:b/>
                <w:sz w:val="20"/>
                <w:szCs w:val="20"/>
              </w:rPr>
              <w:t xml:space="preserve">  182,9</w:t>
            </w:r>
          </w:p>
        </w:tc>
        <w:tc>
          <w:tcPr>
            <w:tcW w:w="1134" w:type="dxa"/>
            <w:shd w:val="clear" w:color="auto" w:fill="auto"/>
            <w:noWrap/>
            <w:vAlign w:val="bottom"/>
          </w:tcPr>
          <w:p w:rsidR="0008582B" w:rsidRPr="00C42C21" w:rsidRDefault="0008582B" w:rsidP="00C42C21">
            <w:pPr>
              <w:spacing w:after="0" w:line="240" w:lineRule="auto"/>
              <w:jc w:val="right"/>
              <w:rPr>
                <w:rFonts w:ascii="Arial" w:hAnsi="Arial" w:cs="Arial"/>
                <w:b/>
                <w:sz w:val="20"/>
                <w:szCs w:val="20"/>
              </w:rPr>
            </w:pPr>
            <w:r w:rsidRPr="00C42C21">
              <w:rPr>
                <w:rFonts w:ascii="Arial" w:hAnsi="Arial" w:cs="Arial"/>
                <w:b/>
                <w:sz w:val="20"/>
                <w:szCs w:val="20"/>
              </w:rPr>
              <w:t>33,5%</w:t>
            </w:r>
          </w:p>
        </w:tc>
        <w:tc>
          <w:tcPr>
            <w:tcW w:w="1197" w:type="dxa"/>
            <w:shd w:val="clear" w:color="auto" w:fill="auto"/>
            <w:noWrap/>
            <w:vAlign w:val="bottom"/>
          </w:tcPr>
          <w:p w:rsidR="0008582B" w:rsidRPr="00C42C21" w:rsidRDefault="0008582B" w:rsidP="00C42C21">
            <w:pPr>
              <w:spacing w:after="0" w:line="240" w:lineRule="auto"/>
              <w:jc w:val="right"/>
              <w:rPr>
                <w:rFonts w:ascii="Arial" w:hAnsi="Arial" w:cs="Arial"/>
                <w:b/>
                <w:sz w:val="20"/>
                <w:szCs w:val="20"/>
              </w:rPr>
            </w:pPr>
            <w:r w:rsidRPr="00C42C21">
              <w:rPr>
                <w:rFonts w:ascii="Arial" w:hAnsi="Arial" w:cs="Arial"/>
                <w:b/>
                <w:sz w:val="20"/>
                <w:szCs w:val="20"/>
              </w:rPr>
              <w:t>27,30%</w:t>
            </w:r>
          </w:p>
        </w:tc>
      </w:tr>
    </w:tbl>
    <w:p w:rsidR="0008582B" w:rsidRPr="00C42C21" w:rsidRDefault="0008582B" w:rsidP="00C42C21">
      <w:pPr>
        <w:spacing w:after="0" w:line="240" w:lineRule="auto"/>
        <w:jc w:val="center"/>
        <w:rPr>
          <w:rFonts w:ascii="Arial" w:hAnsi="Arial" w:cs="Arial"/>
          <w:b/>
          <w:sz w:val="20"/>
          <w:szCs w:val="20"/>
          <w:lang w:eastAsia="en-ZA"/>
        </w:rPr>
      </w:pPr>
      <w:r w:rsidRPr="00C42C21">
        <w:rPr>
          <w:rFonts w:ascii="Arial" w:hAnsi="Arial" w:cs="Arial"/>
          <w:b/>
          <w:sz w:val="20"/>
          <w:szCs w:val="20"/>
          <w:lang w:eastAsia="en-ZA"/>
        </w:rPr>
        <w:t>Table 2: Overview of the 2022/23 Budget for the DMV</w:t>
      </w:r>
    </w:p>
    <w:p w:rsidR="0008582B" w:rsidRPr="00C42C21" w:rsidRDefault="0008582B" w:rsidP="00C42C21">
      <w:pPr>
        <w:spacing w:after="0" w:line="240" w:lineRule="auto"/>
        <w:jc w:val="center"/>
        <w:rPr>
          <w:rFonts w:ascii="Arial" w:hAnsi="Arial" w:cs="Arial"/>
          <w:b/>
          <w:sz w:val="20"/>
          <w:szCs w:val="20"/>
          <w:lang w:eastAsia="en-ZA"/>
        </w:rPr>
      </w:pPr>
    </w:p>
    <w:p w:rsidR="0008582B" w:rsidRPr="00C42C21" w:rsidRDefault="0008582B" w:rsidP="00C42C21">
      <w:pPr>
        <w:spacing w:after="0" w:line="240" w:lineRule="auto"/>
        <w:jc w:val="both"/>
        <w:rPr>
          <w:rFonts w:ascii="Arial" w:hAnsi="Arial" w:cs="Arial"/>
          <w:sz w:val="20"/>
          <w:szCs w:val="20"/>
        </w:rPr>
      </w:pPr>
      <w:r w:rsidRPr="00C42C21">
        <w:rPr>
          <w:rFonts w:ascii="Arial" w:hAnsi="Arial" w:cs="Arial"/>
          <w:sz w:val="20"/>
          <w:szCs w:val="20"/>
        </w:rPr>
        <w:t>In terms of economic classifications, the following should be noted:</w:t>
      </w:r>
    </w:p>
    <w:p w:rsidR="0008582B" w:rsidRPr="00C42C21" w:rsidRDefault="0008582B" w:rsidP="00C42C21">
      <w:pPr>
        <w:spacing w:after="0" w:line="240" w:lineRule="auto"/>
        <w:jc w:val="both"/>
        <w:rPr>
          <w:rFonts w:ascii="Arial" w:hAnsi="Arial" w:cs="Arial"/>
          <w:sz w:val="20"/>
          <w:szCs w:val="20"/>
        </w:rPr>
      </w:pPr>
    </w:p>
    <w:p w:rsidR="0008582B" w:rsidRPr="00C42C21" w:rsidRDefault="0008582B" w:rsidP="00C42C21">
      <w:pPr>
        <w:pStyle w:val="ListParagraph"/>
        <w:numPr>
          <w:ilvl w:val="0"/>
          <w:numId w:val="24"/>
        </w:numPr>
        <w:spacing w:after="0" w:line="240" w:lineRule="auto"/>
        <w:jc w:val="both"/>
        <w:rPr>
          <w:rFonts w:ascii="Arial" w:hAnsi="Arial" w:cs="Arial"/>
          <w:sz w:val="20"/>
          <w:szCs w:val="20"/>
        </w:rPr>
      </w:pPr>
      <w:r w:rsidRPr="00C42C21">
        <w:rPr>
          <w:rFonts w:ascii="Arial" w:hAnsi="Arial" w:cs="Arial"/>
          <w:sz w:val="20"/>
          <w:szCs w:val="20"/>
        </w:rPr>
        <w:t>Compensation of employees remains stable and increases only marginally from R133.4 million in 2.22/23 to R134.4 million in 2023/24.</w:t>
      </w:r>
    </w:p>
    <w:p w:rsidR="0008582B" w:rsidRPr="00C42C21" w:rsidRDefault="0008582B" w:rsidP="00C42C21">
      <w:pPr>
        <w:pStyle w:val="ListParagraph"/>
        <w:numPr>
          <w:ilvl w:val="0"/>
          <w:numId w:val="24"/>
        </w:numPr>
        <w:spacing w:after="0" w:line="240" w:lineRule="auto"/>
        <w:jc w:val="both"/>
        <w:rPr>
          <w:rFonts w:ascii="Arial" w:hAnsi="Arial" w:cs="Arial"/>
          <w:sz w:val="20"/>
          <w:szCs w:val="20"/>
        </w:rPr>
      </w:pPr>
      <w:r w:rsidRPr="00C42C21">
        <w:rPr>
          <w:rFonts w:ascii="Arial" w:hAnsi="Arial" w:cs="Arial"/>
          <w:sz w:val="20"/>
          <w:szCs w:val="20"/>
        </w:rPr>
        <w:t>Expenditure on travel and subsistence is set to decrease from R57.5 million in 2022/23 to R42.4 million in 2023/24. This reduction is aligned to previous actual expenditure patters as the DMV did not spend more than R28 million in a single year on Travel and subsistence in the past three financial years.</w:t>
      </w:r>
    </w:p>
    <w:p w:rsidR="0008582B" w:rsidRPr="00C42C21" w:rsidRDefault="0008582B" w:rsidP="00C42C21">
      <w:pPr>
        <w:pStyle w:val="ListParagraph"/>
        <w:numPr>
          <w:ilvl w:val="0"/>
          <w:numId w:val="24"/>
        </w:numPr>
        <w:spacing w:after="0" w:line="240" w:lineRule="auto"/>
        <w:jc w:val="both"/>
        <w:rPr>
          <w:rFonts w:ascii="Arial" w:hAnsi="Arial" w:cs="Arial"/>
          <w:sz w:val="20"/>
          <w:szCs w:val="20"/>
        </w:rPr>
      </w:pPr>
      <w:r w:rsidRPr="00C42C21">
        <w:rPr>
          <w:rFonts w:ascii="Arial" w:hAnsi="Arial" w:cs="Arial"/>
          <w:sz w:val="20"/>
          <w:szCs w:val="20"/>
        </w:rPr>
        <w:t xml:space="preserve">The allocation for Training and Development increases from R28.2 million in 2022/23 to R38 million in 2023/24. </w:t>
      </w:r>
    </w:p>
    <w:p w:rsidR="0008582B" w:rsidRPr="00C42C21" w:rsidRDefault="0008582B" w:rsidP="00C42C21">
      <w:pPr>
        <w:pStyle w:val="ListParagraph"/>
        <w:numPr>
          <w:ilvl w:val="0"/>
          <w:numId w:val="24"/>
        </w:numPr>
        <w:spacing w:after="0" w:line="240" w:lineRule="auto"/>
        <w:jc w:val="both"/>
        <w:rPr>
          <w:rFonts w:ascii="Arial" w:hAnsi="Arial" w:cs="Arial"/>
          <w:sz w:val="20"/>
          <w:szCs w:val="20"/>
        </w:rPr>
      </w:pPr>
      <w:r w:rsidRPr="00C42C21">
        <w:rPr>
          <w:rFonts w:ascii="Arial" w:hAnsi="Arial" w:cs="Arial"/>
          <w:sz w:val="20"/>
          <w:szCs w:val="20"/>
        </w:rPr>
        <w:t xml:space="preserve">The </w:t>
      </w:r>
      <w:r w:rsidRPr="00C42C21">
        <w:rPr>
          <w:rFonts w:ascii="Arial" w:hAnsi="Arial" w:cs="Arial"/>
          <w:sz w:val="20"/>
          <w:szCs w:val="20"/>
          <w:u w:val="single"/>
        </w:rPr>
        <w:t xml:space="preserve">biggest increase in the budget allocation is in terms of Households, </w:t>
      </w:r>
      <w:r w:rsidRPr="00C42C21">
        <w:rPr>
          <w:rFonts w:ascii="Arial" w:hAnsi="Arial" w:cs="Arial"/>
          <w:sz w:val="20"/>
          <w:szCs w:val="20"/>
        </w:rPr>
        <w:t xml:space="preserve">which increases from R214.1 million in 2022/23 to R442.3 million in 2023/24. This is largely due to </w:t>
      </w:r>
      <w:r w:rsidRPr="00C42C21">
        <w:rPr>
          <w:rFonts w:ascii="Arial" w:hAnsi="Arial" w:cs="Arial"/>
          <w:sz w:val="20"/>
          <w:szCs w:val="20"/>
          <w:u w:val="single"/>
        </w:rPr>
        <w:t>Social Benefits for veterans that increases</w:t>
      </w:r>
      <w:r w:rsidRPr="00C42C21">
        <w:rPr>
          <w:rFonts w:ascii="Arial" w:hAnsi="Arial" w:cs="Arial"/>
          <w:sz w:val="20"/>
          <w:szCs w:val="20"/>
        </w:rPr>
        <w:t xml:space="preserve"> from R48.041 million in 2022/23 to R344.15 million in 2023/24.</w:t>
      </w:r>
    </w:p>
    <w:p w:rsidR="0008582B" w:rsidRPr="00C42C21" w:rsidRDefault="0008582B" w:rsidP="00C42C21">
      <w:pPr>
        <w:spacing w:after="0" w:line="240" w:lineRule="auto"/>
        <w:jc w:val="both"/>
        <w:rPr>
          <w:rFonts w:ascii="Arial" w:hAnsi="Arial" w:cs="Arial"/>
          <w:sz w:val="20"/>
          <w:szCs w:val="20"/>
        </w:rPr>
      </w:pPr>
    </w:p>
    <w:p w:rsidR="0008582B" w:rsidRPr="00C42C21" w:rsidRDefault="0008582B" w:rsidP="00C42C21">
      <w:pPr>
        <w:spacing w:after="0" w:line="240" w:lineRule="auto"/>
        <w:jc w:val="both"/>
        <w:rPr>
          <w:rFonts w:ascii="Arial" w:hAnsi="Arial" w:cs="Arial"/>
          <w:sz w:val="20"/>
          <w:szCs w:val="20"/>
        </w:rPr>
      </w:pPr>
      <w:r w:rsidRPr="00C42C21">
        <w:rPr>
          <w:rFonts w:ascii="Arial" w:hAnsi="Arial" w:cs="Arial"/>
          <w:sz w:val="20"/>
          <w:szCs w:val="20"/>
        </w:rPr>
        <w:t>The latter point on social benefits is aligned to the statement of National Treasury that the increase in the DMV allocation “is mainly due to the allocation of additional funding amounting to R839 million for rolling out pension benefit to military veterans and their dependants, as well as R11.3 million over the same period to cover cost</w:t>
      </w:r>
      <w:r w:rsidRPr="00C42C21">
        <w:rPr>
          <w:rFonts w:ascii="Times New Roman" w:hAnsi="Times New Roman" w:cs="Arial"/>
          <w:sz w:val="20"/>
          <w:szCs w:val="20"/>
        </w:rPr>
        <w:t>‐</w:t>
      </w:r>
      <w:r w:rsidRPr="00C42C21">
        <w:rPr>
          <w:rFonts w:ascii="Arial" w:hAnsi="Arial" w:cs="Arial"/>
          <w:sz w:val="20"/>
          <w:szCs w:val="20"/>
        </w:rPr>
        <w:t>of</w:t>
      </w:r>
      <w:r w:rsidRPr="00C42C21">
        <w:rPr>
          <w:rFonts w:ascii="Times New Roman" w:hAnsi="Times New Roman" w:cs="Arial"/>
          <w:sz w:val="20"/>
          <w:szCs w:val="20"/>
        </w:rPr>
        <w:t>‐</w:t>
      </w:r>
      <w:r w:rsidRPr="00C42C21">
        <w:rPr>
          <w:rFonts w:ascii="Arial" w:hAnsi="Arial" w:cs="Arial"/>
          <w:sz w:val="20"/>
          <w:szCs w:val="20"/>
        </w:rPr>
        <w:t>living adjustments.”</w:t>
      </w:r>
    </w:p>
    <w:p w:rsidR="0008582B" w:rsidRPr="00C42C21" w:rsidRDefault="0008582B" w:rsidP="00C42C21">
      <w:pPr>
        <w:pStyle w:val="Heading3"/>
        <w:spacing w:before="0" w:line="240" w:lineRule="auto"/>
        <w:rPr>
          <w:rFonts w:ascii="Arial" w:hAnsi="Arial" w:cs="Arial"/>
          <w:sz w:val="20"/>
          <w:szCs w:val="20"/>
        </w:rPr>
      </w:pPr>
    </w:p>
    <w:p w:rsidR="009B479B" w:rsidRPr="00C42C21" w:rsidRDefault="009B479B" w:rsidP="00C42C21">
      <w:pPr>
        <w:spacing w:after="0" w:line="240" w:lineRule="auto"/>
        <w:rPr>
          <w:rFonts w:ascii="Arial" w:hAnsi="Arial" w:cs="Arial"/>
          <w:sz w:val="20"/>
          <w:szCs w:val="20"/>
          <w:lang w:val="en-GB" w:eastAsia="en-GB"/>
        </w:rPr>
      </w:pPr>
    </w:p>
    <w:p w:rsidR="009B479B" w:rsidRPr="00C42C21" w:rsidRDefault="009B479B" w:rsidP="00C42C21">
      <w:pPr>
        <w:spacing w:after="0" w:line="240" w:lineRule="auto"/>
        <w:rPr>
          <w:rFonts w:ascii="Arial" w:hAnsi="Arial" w:cs="Arial"/>
          <w:sz w:val="20"/>
          <w:szCs w:val="20"/>
          <w:lang w:val="en-GB" w:eastAsia="en-GB"/>
        </w:rPr>
      </w:pPr>
    </w:p>
    <w:p w:rsidR="00E335AE" w:rsidRPr="00C42C21" w:rsidRDefault="00E335AE" w:rsidP="00C42C21">
      <w:pPr>
        <w:pStyle w:val="Heading3"/>
        <w:spacing w:before="0" w:line="240" w:lineRule="auto"/>
        <w:rPr>
          <w:rFonts w:ascii="Arial" w:hAnsi="Arial" w:cs="Arial"/>
          <w:b/>
          <w:color w:val="auto"/>
          <w:sz w:val="20"/>
          <w:szCs w:val="20"/>
        </w:rPr>
      </w:pPr>
      <w:r w:rsidRPr="00C42C21">
        <w:rPr>
          <w:rFonts w:ascii="Arial" w:hAnsi="Arial" w:cs="Arial"/>
          <w:b/>
          <w:color w:val="auto"/>
          <w:sz w:val="20"/>
          <w:szCs w:val="20"/>
        </w:rPr>
        <w:t>6.2</w:t>
      </w:r>
      <w:r w:rsidRPr="00C42C21">
        <w:rPr>
          <w:rFonts w:ascii="Arial" w:hAnsi="Arial" w:cs="Arial"/>
          <w:b/>
          <w:color w:val="auto"/>
          <w:sz w:val="20"/>
          <w:szCs w:val="20"/>
        </w:rPr>
        <w:tab/>
        <w:t xml:space="preserve">Programme 1: Administration </w:t>
      </w:r>
    </w:p>
    <w:p w:rsidR="00E335AE" w:rsidRPr="00C42C21" w:rsidRDefault="00E335AE" w:rsidP="00C42C21">
      <w:pPr>
        <w:autoSpaceDE w:val="0"/>
        <w:autoSpaceDN w:val="0"/>
        <w:adjustRightInd w:val="0"/>
        <w:spacing w:after="0" w:line="240" w:lineRule="auto"/>
        <w:jc w:val="both"/>
        <w:rPr>
          <w:rFonts w:ascii="Arial" w:hAnsi="Arial" w:cs="Arial"/>
          <w:sz w:val="20"/>
          <w:szCs w:val="20"/>
        </w:rPr>
      </w:pPr>
    </w:p>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The main purpose of the programme is to provide management and strategic administration support to the Ministry, and overall management of the department. </w:t>
      </w:r>
    </w:p>
    <w:p w:rsidR="00136C62" w:rsidRPr="00C42C21" w:rsidRDefault="00136C62" w:rsidP="00C42C21">
      <w:pPr>
        <w:autoSpaceDE w:val="0"/>
        <w:autoSpaceDN w:val="0"/>
        <w:adjustRightInd w:val="0"/>
        <w:spacing w:after="0" w:line="240" w:lineRule="auto"/>
        <w:jc w:val="both"/>
        <w:rPr>
          <w:rFonts w:ascii="Arial" w:hAnsi="Arial" w:cs="Arial"/>
          <w:b/>
          <w:sz w:val="20"/>
          <w:szCs w:val="20"/>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39"/>
        <w:gridCol w:w="939"/>
        <w:gridCol w:w="1276"/>
        <w:gridCol w:w="1276"/>
        <w:gridCol w:w="1134"/>
        <w:gridCol w:w="1197"/>
      </w:tblGrid>
      <w:tr w:rsidR="00136C62" w:rsidRPr="00C42C21" w:rsidTr="00136C62">
        <w:trPr>
          <w:trHeight w:val="255"/>
          <w:jc w:val="center"/>
        </w:trPr>
        <w:tc>
          <w:tcPr>
            <w:tcW w:w="9033" w:type="dxa"/>
            <w:gridSpan w:val="7"/>
            <w:shd w:val="clear" w:color="auto" w:fill="D9D9D9" w:themeFill="background1" w:themeFillShade="D9"/>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b/>
                <w:sz w:val="20"/>
                <w:szCs w:val="20"/>
              </w:rPr>
            </w:pPr>
            <w:r w:rsidRPr="00C42C21">
              <w:rPr>
                <w:rFonts w:ascii="Arial" w:hAnsi="Arial" w:cs="Arial"/>
                <w:b/>
                <w:sz w:val="20"/>
                <w:szCs w:val="20"/>
              </w:rPr>
              <w:t>Programme 1</w:t>
            </w:r>
          </w:p>
        </w:tc>
      </w:tr>
      <w:tr w:rsidR="00136C62" w:rsidRPr="00C42C21" w:rsidTr="00136C62">
        <w:trPr>
          <w:trHeight w:val="765"/>
          <w:jc w:val="center"/>
        </w:trPr>
        <w:tc>
          <w:tcPr>
            <w:tcW w:w="2272" w:type="dxa"/>
            <w:shd w:val="clear" w:color="auto" w:fill="D9D9D9" w:themeFill="background1" w:themeFillShade="D9"/>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Programme</w:t>
            </w:r>
          </w:p>
        </w:tc>
        <w:tc>
          <w:tcPr>
            <w:tcW w:w="1878" w:type="dxa"/>
            <w:gridSpan w:val="2"/>
            <w:tcBorders>
              <w:bottom w:val="single" w:sz="4" w:space="0" w:color="auto"/>
            </w:tcBorders>
            <w:shd w:val="clear" w:color="auto" w:fill="EDEDED" w:themeFill="accent3" w:themeFillTint="33"/>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Budget</w:t>
            </w:r>
          </w:p>
        </w:tc>
        <w:tc>
          <w:tcPr>
            <w:tcW w:w="1276" w:type="dxa"/>
            <w:vMerge w:val="restart"/>
            <w:shd w:val="clear" w:color="auto" w:fill="EDEDED" w:themeFill="accent3" w:themeFillTint="33"/>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Nominal Increase / Decrease in 2023/24</w:t>
            </w:r>
          </w:p>
        </w:tc>
        <w:tc>
          <w:tcPr>
            <w:tcW w:w="1276" w:type="dxa"/>
            <w:vMerge w:val="restart"/>
            <w:shd w:val="clear" w:color="auto" w:fill="EDEDED" w:themeFill="accent3" w:themeFillTint="33"/>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Real Increase / Decrease in 2023/24</w:t>
            </w:r>
          </w:p>
        </w:tc>
        <w:tc>
          <w:tcPr>
            <w:tcW w:w="1134" w:type="dxa"/>
            <w:vMerge w:val="restart"/>
            <w:shd w:val="clear" w:color="auto" w:fill="EDEDED" w:themeFill="accent3" w:themeFillTint="33"/>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Nominal Percent change in 2023/24</w:t>
            </w:r>
          </w:p>
        </w:tc>
        <w:tc>
          <w:tcPr>
            <w:tcW w:w="1197" w:type="dxa"/>
            <w:vMerge w:val="restart"/>
            <w:shd w:val="clear" w:color="auto" w:fill="EDEDED" w:themeFill="accent3" w:themeFillTint="33"/>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Real Percent change in 2023/24</w:t>
            </w:r>
          </w:p>
        </w:tc>
      </w:tr>
      <w:tr w:rsidR="00136C62" w:rsidRPr="00C42C21" w:rsidTr="00136C62">
        <w:trPr>
          <w:trHeight w:val="255"/>
          <w:jc w:val="center"/>
        </w:trPr>
        <w:tc>
          <w:tcPr>
            <w:tcW w:w="2272" w:type="dxa"/>
            <w:shd w:val="clear" w:color="auto" w:fill="D9D9D9" w:themeFill="background1" w:themeFillShade="D9"/>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R million</w:t>
            </w:r>
          </w:p>
        </w:tc>
        <w:tc>
          <w:tcPr>
            <w:tcW w:w="939" w:type="dxa"/>
            <w:shd w:val="clear" w:color="auto" w:fill="EDEDED" w:themeFill="accent3" w:themeFillTint="33"/>
            <w:noWrap/>
            <w:vAlign w:val="bottom"/>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2022/23</w:t>
            </w:r>
          </w:p>
        </w:tc>
        <w:tc>
          <w:tcPr>
            <w:tcW w:w="939" w:type="dxa"/>
            <w:shd w:val="clear" w:color="auto" w:fill="EDEDED" w:themeFill="accent3" w:themeFillTint="33"/>
            <w:noWrap/>
            <w:vAlign w:val="bottom"/>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r w:rsidRPr="00C42C21">
              <w:rPr>
                <w:rFonts w:ascii="Arial" w:hAnsi="Arial" w:cs="Arial"/>
                <w:b/>
                <w:bCs/>
                <w:sz w:val="20"/>
                <w:szCs w:val="20"/>
              </w:rPr>
              <w:t>2023/24</w:t>
            </w:r>
          </w:p>
        </w:tc>
        <w:tc>
          <w:tcPr>
            <w:tcW w:w="1276" w:type="dxa"/>
            <w:vMerge/>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p>
        </w:tc>
        <w:tc>
          <w:tcPr>
            <w:tcW w:w="1276" w:type="dxa"/>
            <w:vMerge/>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p>
        </w:tc>
        <w:tc>
          <w:tcPr>
            <w:tcW w:w="1134" w:type="dxa"/>
            <w:vMerge/>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p>
        </w:tc>
        <w:tc>
          <w:tcPr>
            <w:tcW w:w="1197" w:type="dxa"/>
            <w:vMerge/>
            <w:vAlign w:val="center"/>
            <w:hideMark/>
          </w:tcPr>
          <w:p w:rsidR="00136C62" w:rsidRPr="00C42C21" w:rsidRDefault="00136C62" w:rsidP="00C42C21">
            <w:pPr>
              <w:autoSpaceDE w:val="0"/>
              <w:autoSpaceDN w:val="0"/>
              <w:adjustRightInd w:val="0"/>
              <w:spacing w:after="0" w:line="240" w:lineRule="auto"/>
              <w:jc w:val="both"/>
              <w:rPr>
                <w:rFonts w:ascii="Arial" w:hAnsi="Arial" w:cs="Arial"/>
                <w:b/>
                <w:bCs/>
                <w:sz w:val="20"/>
                <w:szCs w:val="20"/>
              </w:rPr>
            </w:pPr>
          </w:p>
        </w:tc>
      </w:tr>
      <w:tr w:rsidR="00136C62" w:rsidRPr="00C42C21" w:rsidTr="00136C62">
        <w:trPr>
          <w:trHeight w:val="255"/>
          <w:jc w:val="center"/>
        </w:trPr>
        <w:tc>
          <w:tcPr>
            <w:tcW w:w="2272" w:type="dxa"/>
            <w:shd w:val="clear" w:color="auto" w:fill="D9D9D9" w:themeFill="background1" w:themeFillShade="D9"/>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Management </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13,7</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10,2</w:t>
            </w:r>
          </w:p>
        </w:tc>
        <w:tc>
          <w:tcPr>
            <w:tcW w:w="1276"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3,5</w:t>
            </w:r>
          </w:p>
        </w:tc>
        <w:tc>
          <w:tcPr>
            <w:tcW w:w="1276"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4,0</w:t>
            </w:r>
          </w:p>
        </w:tc>
        <w:tc>
          <w:tcPr>
            <w:tcW w:w="1134"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-25,55%</w:t>
            </w:r>
          </w:p>
        </w:tc>
        <w:tc>
          <w:tcPr>
            <w:tcW w:w="1197"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-29,03%</w:t>
            </w:r>
          </w:p>
        </w:tc>
      </w:tr>
      <w:tr w:rsidR="00136C62" w:rsidRPr="00C42C21" w:rsidTr="00136C62">
        <w:trPr>
          <w:trHeight w:val="255"/>
          <w:jc w:val="center"/>
        </w:trPr>
        <w:tc>
          <w:tcPr>
            <w:tcW w:w="2272" w:type="dxa"/>
            <w:shd w:val="clear" w:color="auto" w:fill="D9D9D9" w:themeFill="background1" w:themeFillShade="D9"/>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Corporate Services</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75,8</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70,4</w:t>
            </w:r>
          </w:p>
        </w:tc>
        <w:tc>
          <w:tcPr>
            <w:tcW w:w="1276"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5,4</w:t>
            </w:r>
          </w:p>
        </w:tc>
        <w:tc>
          <w:tcPr>
            <w:tcW w:w="1276"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8,7</w:t>
            </w:r>
          </w:p>
        </w:tc>
        <w:tc>
          <w:tcPr>
            <w:tcW w:w="1134"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-7,12%</w:t>
            </w:r>
          </w:p>
        </w:tc>
        <w:tc>
          <w:tcPr>
            <w:tcW w:w="1197"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-11,46%</w:t>
            </w:r>
          </w:p>
        </w:tc>
      </w:tr>
      <w:tr w:rsidR="00136C62" w:rsidRPr="00C42C21" w:rsidTr="00136C62">
        <w:trPr>
          <w:trHeight w:val="255"/>
          <w:jc w:val="center"/>
        </w:trPr>
        <w:tc>
          <w:tcPr>
            <w:tcW w:w="2272" w:type="dxa"/>
            <w:shd w:val="clear" w:color="auto" w:fill="D9D9D9" w:themeFill="background1" w:themeFillShade="D9"/>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Financial Administration</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18,7</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14,3</w:t>
            </w:r>
          </w:p>
        </w:tc>
        <w:tc>
          <w:tcPr>
            <w:tcW w:w="1276"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4,4</w:t>
            </w:r>
          </w:p>
        </w:tc>
        <w:tc>
          <w:tcPr>
            <w:tcW w:w="1276"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5,1</w:t>
            </w:r>
          </w:p>
        </w:tc>
        <w:tc>
          <w:tcPr>
            <w:tcW w:w="1134"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-23,53%</w:t>
            </w:r>
          </w:p>
        </w:tc>
        <w:tc>
          <w:tcPr>
            <w:tcW w:w="1197" w:type="dxa"/>
            <w:shd w:val="clear" w:color="auto" w:fill="auto"/>
            <w:noWrap/>
            <w:vAlign w:val="bottom"/>
            <w:hideMark/>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-27,10%</w:t>
            </w:r>
          </w:p>
        </w:tc>
      </w:tr>
      <w:tr w:rsidR="00136C62" w:rsidRPr="00C42C21" w:rsidTr="00136C62">
        <w:trPr>
          <w:trHeight w:val="255"/>
          <w:jc w:val="center"/>
        </w:trPr>
        <w:tc>
          <w:tcPr>
            <w:tcW w:w="2272" w:type="dxa"/>
            <w:shd w:val="clear" w:color="auto" w:fill="D9D9D9" w:themeFill="background1" w:themeFillShade="D9"/>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Internal Audit</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12,5</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10,3</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2,2</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2,7</w:t>
            </w:r>
          </w:p>
        </w:tc>
        <w:tc>
          <w:tcPr>
            <w:tcW w:w="1134"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-17,60%</w:t>
            </w:r>
          </w:p>
        </w:tc>
        <w:tc>
          <w:tcPr>
            <w:tcW w:w="1197"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-21,45%</w:t>
            </w:r>
          </w:p>
        </w:tc>
      </w:tr>
      <w:tr w:rsidR="00136C62" w:rsidRPr="00C42C21" w:rsidTr="00136C62">
        <w:trPr>
          <w:trHeight w:val="255"/>
          <w:jc w:val="center"/>
        </w:trPr>
        <w:tc>
          <w:tcPr>
            <w:tcW w:w="2272" w:type="dxa"/>
            <w:shd w:val="clear" w:color="auto" w:fill="D9D9D9" w:themeFill="background1" w:themeFillShade="D9"/>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Strategy, Planning, Policy Development and M&amp;E</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12,9</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12,2</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0,7</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1,3</w:t>
            </w:r>
          </w:p>
        </w:tc>
        <w:tc>
          <w:tcPr>
            <w:tcW w:w="1134"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-5,43%</w:t>
            </w:r>
          </w:p>
        </w:tc>
        <w:tc>
          <w:tcPr>
            <w:tcW w:w="1197"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-9,84%</w:t>
            </w:r>
          </w:p>
        </w:tc>
      </w:tr>
      <w:tr w:rsidR="00136C62" w:rsidRPr="00C42C21" w:rsidTr="00136C62">
        <w:trPr>
          <w:trHeight w:val="255"/>
          <w:jc w:val="center"/>
        </w:trPr>
        <w:tc>
          <w:tcPr>
            <w:tcW w:w="2272" w:type="dxa"/>
            <w:shd w:val="clear" w:color="auto" w:fill="D9D9D9" w:themeFill="background1" w:themeFillShade="D9"/>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Office Accommodation</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17,8</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18,1</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0,3</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0,5</w:t>
            </w:r>
          </w:p>
        </w:tc>
        <w:tc>
          <w:tcPr>
            <w:tcW w:w="1134"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1,69%</w:t>
            </w:r>
          </w:p>
        </w:tc>
        <w:tc>
          <w:tcPr>
            <w:tcW w:w="1197"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-3,06%</w:t>
            </w:r>
          </w:p>
        </w:tc>
      </w:tr>
      <w:tr w:rsidR="00136C62" w:rsidRPr="00C42C21" w:rsidTr="00136C62">
        <w:trPr>
          <w:trHeight w:val="255"/>
          <w:jc w:val="center"/>
        </w:trPr>
        <w:tc>
          <w:tcPr>
            <w:tcW w:w="2272" w:type="dxa"/>
            <w:shd w:val="clear" w:color="auto" w:fill="D9D9D9" w:themeFill="background1" w:themeFillShade="D9"/>
            <w:noWrap/>
            <w:vAlign w:val="bottom"/>
          </w:tcPr>
          <w:p w:rsidR="00136C62" w:rsidRPr="00C42C21" w:rsidRDefault="00136C62" w:rsidP="00C42C21">
            <w:pPr>
              <w:autoSpaceDE w:val="0"/>
              <w:autoSpaceDN w:val="0"/>
              <w:adjustRightInd w:val="0"/>
              <w:spacing w:after="0" w:line="240" w:lineRule="auto"/>
              <w:jc w:val="both"/>
              <w:rPr>
                <w:rFonts w:ascii="Arial" w:hAnsi="Arial" w:cs="Arial"/>
                <w:b/>
                <w:sz w:val="20"/>
                <w:szCs w:val="20"/>
              </w:rPr>
            </w:pPr>
            <w:r w:rsidRPr="00C42C21">
              <w:rPr>
                <w:rFonts w:ascii="Arial" w:hAnsi="Arial" w:cs="Arial"/>
                <w:b/>
                <w:sz w:val="20"/>
                <w:szCs w:val="20"/>
              </w:rPr>
              <w:t>TOTAL</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151,4</w:t>
            </w:r>
          </w:p>
        </w:tc>
        <w:tc>
          <w:tcPr>
            <w:tcW w:w="939"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  135,5</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15,9</w:t>
            </w:r>
          </w:p>
        </w:tc>
        <w:tc>
          <w:tcPr>
            <w:tcW w:w="1276"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22,2</w:t>
            </w:r>
          </w:p>
        </w:tc>
        <w:tc>
          <w:tcPr>
            <w:tcW w:w="1134"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-10,5%</w:t>
            </w:r>
          </w:p>
        </w:tc>
        <w:tc>
          <w:tcPr>
            <w:tcW w:w="1197" w:type="dxa"/>
            <w:shd w:val="clear" w:color="auto" w:fill="auto"/>
            <w:noWrap/>
            <w:vAlign w:val="bottom"/>
          </w:tcPr>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-14,68%</w:t>
            </w:r>
          </w:p>
        </w:tc>
      </w:tr>
    </w:tbl>
    <w:p w:rsidR="00136C62" w:rsidRPr="00C42C21" w:rsidRDefault="00136C62" w:rsidP="00C42C21">
      <w:pPr>
        <w:autoSpaceDE w:val="0"/>
        <w:autoSpaceDN w:val="0"/>
        <w:adjustRightInd w:val="0"/>
        <w:spacing w:after="0" w:line="240" w:lineRule="auto"/>
        <w:jc w:val="center"/>
        <w:rPr>
          <w:rFonts w:ascii="Arial" w:hAnsi="Arial" w:cs="Arial"/>
          <w:b/>
          <w:sz w:val="20"/>
          <w:szCs w:val="20"/>
        </w:rPr>
      </w:pPr>
      <w:r w:rsidRPr="00C42C21">
        <w:rPr>
          <w:rFonts w:ascii="Arial" w:hAnsi="Arial" w:cs="Arial"/>
          <w:b/>
          <w:sz w:val="20"/>
          <w:szCs w:val="20"/>
        </w:rPr>
        <w:t>Table 3: DMV Programme 1 expenditure for 2023/24</w:t>
      </w:r>
    </w:p>
    <w:p w:rsidR="00136C62" w:rsidRPr="00C42C21" w:rsidRDefault="00136C62" w:rsidP="00C42C21">
      <w:pPr>
        <w:autoSpaceDE w:val="0"/>
        <w:autoSpaceDN w:val="0"/>
        <w:adjustRightInd w:val="0"/>
        <w:spacing w:after="0" w:line="240" w:lineRule="auto"/>
        <w:jc w:val="both"/>
        <w:rPr>
          <w:rFonts w:ascii="Arial" w:hAnsi="Arial" w:cs="Arial"/>
          <w:b/>
          <w:sz w:val="20"/>
          <w:szCs w:val="20"/>
        </w:rPr>
      </w:pPr>
    </w:p>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lastRenderedPageBreak/>
        <w:t>The biggest change in the allocation of funds in Programme 1 relates to the reduction in the Management as well as Financial Administration subprogrammes, which sees a nominal reduction of 25.55% and 23.53% respectively.</w:t>
      </w:r>
    </w:p>
    <w:p w:rsidR="00136C62" w:rsidRPr="00C42C21" w:rsidRDefault="00136C62" w:rsidP="00C42C21">
      <w:pPr>
        <w:autoSpaceDE w:val="0"/>
        <w:autoSpaceDN w:val="0"/>
        <w:adjustRightInd w:val="0"/>
        <w:spacing w:after="0" w:line="240" w:lineRule="auto"/>
        <w:jc w:val="both"/>
        <w:rPr>
          <w:rFonts w:ascii="Arial" w:hAnsi="Arial" w:cs="Arial"/>
          <w:sz w:val="20"/>
          <w:szCs w:val="20"/>
        </w:rPr>
      </w:pPr>
    </w:p>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The reduction in allocation to Management and, specifically, Financial Management, is of specific concern, given the findings by the AGSA as follows:</w:t>
      </w:r>
    </w:p>
    <w:p w:rsidR="00136C62" w:rsidRPr="00C42C21" w:rsidRDefault="00136C62" w:rsidP="00C42C21">
      <w:pPr>
        <w:numPr>
          <w:ilvl w:val="0"/>
          <w:numId w:val="26"/>
        </w:numPr>
        <w:autoSpaceDE w:val="0"/>
        <w:autoSpaceDN w:val="0"/>
        <w:adjustRightInd w:val="0"/>
        <w:spacing w:after="0" w:line="240" w:lineRule="auto"/>
        <w:jc w:val="both"/>
        <w:rPr>
          <w:rFonts w:ascii="Arial" w:hAnsi="Arial" w:cs="Arial"/>
          <w:i/>
          <w:sz w:val="20"/>
          <w:szCs w:val="20"/>
        </w:rPr>
      </w:pPr>
      <w:r w:rsidRPr="00C42C21">
        <w:rPr>
          <w:rFonts w:ascii="Arial" w:hAnsi="Arial" w:cs="Arial"/>
          <w:i/>
          <w:sz w:val="20"/>
          <w:szCs w:val="20"/>
        </w:rPr>
        <w:t>Financial Management Findings by the AGSA:</w:t>
      </w:r>
    </w:p>
    <w:p w:rsidR="00136C62" w:rsidRPr="00C42C21" w:rsidRDefault="00136C62" w:rsidP="00C42C21">
      <w:pPr>
        <w:numPr>
          <w:ilvl w:val="1"/>
          <w:numId w:val="26"/>
        </w:numPr>
        <w:autoSpaceDE w:val="0"/>
        <w:autoSpaceDN w:val="0"/>
        <w:adjustRightInd w:val="0"/>
        <w:spacing w:after="0" w:line="240" w:lineRule="auto"/>
        <w:jc w:val="both"/>
        <w:rPr>
          <w:rFonts w:ascii="Arial" w:hAnsi="Arial" w:cs="Arial"/>
          <w:i/>
          <w:sz w:val="20"/>
          <w:szCs w:val="20"/>
        </w:rPr>
      </w:pPr>
      <w:r w:rsidRPr="00C42C21">
        <w:rPr>
          <w:rFonts w:ascii="Arial" w:hAnsi="Arial" w:cs="Arial"/>
          <w:sz w:val="20"/>
          <w:szCs w:val="20"/>
        </w:rPr>
        <w:t>During the prior year, audit material misstatements were identified because of inaccurate and incomplete supporting schedules and reporting. This was due to the manual process required to compile and collate information, and the lack of adequate reviews and quality assurance processes.</w:t>
      </w:r>
    </w:p>
    <w:p w:rsidR="00136C62" w:rsidRPr="00C42C21" w:rsidRDefault="00136C62" w:rsidP="00C42C21">
      <w:pPr>
        <w:numPr>
          <w:ilvl w:val="1"/>
          <w:numId w:val="26"/>
        </w:numPr>
        <w:autoSpaceDE w:val="0"/>
        <w:autoSpaceDN w:val="0"/>
        <w:adjustRightInd w:val="0"/>
        <w:spacing w:after="0" w:line="240" w:lineRule="auto"/>
        <w:jc w:val="both"/>
        <w:rPr>
          <w:rFonts w:ascii="Arial" w:hAnsi="Arial" w:cs="Arial"/>
          <w:i/>
          <w:sz w:val="20"/>
          <w:szCs w:val="20"/>
        </w:rPr>
      </w:pPr>
      <w:r w:rsidRPr="00C42C21">
        <w:rPr>
          <w:rFonts w:ascii="Arial" w:hAnsi="Arial" w:cs="Arial"/>
          <w:sz w:val="20"/>
          <w:szCs w:val="20"/>
        </w:rPr>
        <w:t>The LOGIS system is not yet fully functional.</w:t>
      </w:r>
    </w:p>
    <w:p w:rsidR="00136C62" w:rsidRPr="00C42C21" w:rsidRDefault="00136C62" w:rsidP="00C42C21">
      <w:pPr>
        <w:numPr>
          <w:ilvl w:val="1"/>
          <w:numId w:val="26"/>
        </w:numPr>
        <w:autoSpaceDE w:val="0"/>
        <w:autoSpaceDN w:val="0"/>
        <w:adjustRightInd w:val="0"/>
        <w:spacing w:after="0" w:line="240" w:lineRule="auto"/>
        <w:jc w:val="both"/>
        <w:rPr>
          <w:rFonts w:ascii="Arial" w:hAnsi="Arial" w:cs="Arial"/>
          <w:i/>
          <w:sz w:val="20"/>
          <w:szCs w:val="20"/>
        </w:rPr>
      </w:pPr>
      <w:r w:rsidRPr="00C42C21">
        <w:rPr>
          <w:rFonts w:ascii="Arial" w:hAnsi="Arial" w:cs="Arial"/>
          <w:sz w:val="20"/>
          <w:szCs w:val="20"/>
        </w:rPr>
        <w:t>In the 2021-22 financial year, the department made use of a consultant to assist with preparation of the annual financial statements for a period of two (2) years. Despite the department making use of a consultant in the prior year for the preparation of the annual financial statements there were still material misstatements that needed to be adjusted in the annual financial statements submitted for audit.</w:t>
      </w:r>
    </w:p>
    <w:p w:rsidR="00136C62" w:rsidRPr="00C42C21" w:rsidRDefault="00136C62" w:rsidP="00C42C21">
      <w:pPr>
        <w:numPr>
          <w:ilvl w:val="0"/>
          <w:numId w:val="26"/>
        </w:numPr>
        <w:autoSpaceDE w:val="0"/>
        <w:autoSpaceDN w:val="0"/>
        <w:adjustRightInd w:val="0"/>
        <w:spacing w:after="0" w:line="240" w:lineRule="auto"/>
        <w:jc w:val="both"/>
        <w:rPr>
          <w:rFonts w:ascii="Arial" w:hAnsi="Arial" w:cs="Arial"/>
          <w:i/>
          <w:sz w:val="20"/>
          <w:szCs w:val="20"/>
        </w:rPr>
      </w:pPr>
      <w:r w:rsidRPr="00C42C21">
        <w:rPr>
          <w:rFonts w:ascii="Arial" w:hAnsi="Arial" w:cs="Arial"/>
          <w:i/>
          <w:sz w:val="20"/>
          <w:szCs w:val="20"/>
        </w:rPr>
        <w:t>Compliance management Findings by the AGSA:</w:t>
      </w:r>
    </w:p>
    <w:p w:rsidR="00136C62" w:rsidRPr="00C42C21" w:rsidRDefault="00136C62" w:rsidP="00C42C21">
      <w:pPr>
        <w:numPr>
          <w:ilvl w:val="1"/>
          <w:numId w:val="26"/>
        </w:numPr>
        <w:autoSpaceDE w:val="0"/>
        <w:autoSpaceDN w:val="0"/>
        <w:adjustRightInd w:val="0"/>
        <w:spacing w:after="0" w:line="240" w:lineRule="auto"/>
        <w:jc w:val="both"/>
        <w:rPr>
          <w:rFonts w:ascii="Arial" w:hAnsi="Arial" w:cs="Arial"/>
          <w:i/>
          <w:sz w:val="20"/>
          <w:szCs w:val="20"/>
        </w:rPr>
      </w:pPr>
      <w:r w:rsidRPr="00C42C21">
        <w:rPr>
          <w:rFonts w:ascii="Arial" w:hAnsi="Arial" w:cs="Arial"/>
          <w:sz w:val="20"/>
          <w:szCs w:val="20"/>
        </w:rPr>
        <w:t>No investigations have been undertaken to address the reported fruitless and wasteful expenditure. Management has indicated that the matter is in progress, but no evidence was provided by management of the actual progress or actions that the department is taking.</w:t>
      </w:r>
    </w:p>
    <w:p w:rsidR="00136C62" w:rsidRPr="00C42C21" w:rsidRDefault="00136C62" w:rsidP="00C42C21">
      <w:pPr>
        <w:autoSpaceDE w:val="0"/>
        <w:autoSpaceDN w:val="0"/>
        <w:adjustRightInd w:val="0"/>
        <w:spacing w:after="0" w:line="240" w:lineRule="auto"/>
        <w:jc w:val="both"/>
        <w:rPr>
          <w:rFonts w:ascii="Arial" w:hAnsi="Arial" w:cs="Arial"/>
          <w:b/>
          <w:sz w:val="20"/>
          <w:szCs w:val="20"/>
        </w:rPr>
      </w:pPr>
    </w:p>
    <w:p w:rsidR="00136C62" w:rsidRPr="00C42C21" w:rsidRDefault="00136C6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The Table below highlights the </w:t>
      </w:r>
      <w:r w:rsidRPr="00C42C21">
        <w:rPr>
          <w:rFonts w:ascii="Arial" w:hAnsi="Arial" w:cs="Arial"/>
          <w:b/>
          <w:sz w:val="20"/>
          <w:szCs w:val="20"/>
        </w:rPr>
        <w:t xml:space="preserve">Performance targets </w:t>
      </w:r>
      <w:r w:rsidRPr="00C42C21">
        <w:rPr>
          <w:rFonts w:ascii="Arial" w:hAnsi="Arial" w:cs="Arial"/>
          <w:sz w:val="20"/>
          <w:szCs w:val="20"/>
        </w:rPr>
        <w:t>for Programme 1, which remain the same as in 2022/23.</w:t>
      </w:r>
    </w:p>
    <w:p w:rsidR="00136C62" w:rsidRPr="00C42C21" w:rsidRDefault="00136C62" w:rsidP="00C42C21">
      <w:pPr>
        <w:autoSpaceDE w:val="0"/>
        <w:autoSpaceDN w:val="0"/>
        <w:adjustRightInd w:val="0"/>
        <w:spacing w:after="0" w:line="240" w:lineRule="auto"/>
        <w:jc w:val="both"/>
        <w:rPr>
          <w:rFonts w:ascii="Arial" w:hAnsi="Arial" w:cs="Arial"/>
          <w:sz w:val="20"/>
          <w:szCs w:val="20"/>
        </w:rPr>
      </w:pPr>
    </w:p>
    <w:tbl>
      <w:tblPr>
        <w:tblStyle w:val="TableGrid"/>
        <w:tblW w:w="0" w:type="auto"/>
        <w:tblLook w:val="04A0"/>
      </w:tblPr>
      <w:tblGrid>
        <w:gridCol w:w="3681"/>
        <w:gridCol w:w="2126"/>
        <w:gridCol w:w="1985"/>
        <w:gridCol w:w="1836"/>
      </w:tblGrid>
      <w:tr w:rsidR="00136C62" w:rsidRPr="00C42C21" w:rsidTr="00322E57">
        <w:tc>
          <w:tcPr>
            <w:tcW w:w="3681" w:type="dxa"/>
            <w:shd w:val="clear" w:color="auto" w:fill="D9D9D9" w:themeFill="background1" w:themeFillShade="D9"/>
          </w:tcPr>
          <w:p w:rsidR="00136C62" w:rsidRPr="00C42C21" w:rsidRDefault="00136C62" w:rsidP="00C42C21">
            <w:pPr>
              <w:autoSpaceDE w:val="0"/>
              <w:autoSpaceDN w:val="0"/>
              <w:adjustRightInd w:val="0"/>
              <w:jc w:val="center"/>
              <w:rPr>
                <w:rFonts w:ascii="Arial" w:hAnsi="Arial" w:cs="Arial"/>
                <w:b/>
                <w:sz w:val="20"/>
                <w:szCs w:val="20"/>
              </w:rPr>
            </w:pPr>
            <w:r w:rsidRPr="00C42C21">
              <w:rPr>
                <w:rFonts w:ascii="Arial" w:hAnsi="Arial" w:cs="Arial"/>
                <w:b/>
                <w:sz w:val="20"/>
                <w:szCs w:val="20"/>
              </w:rPr>
              <w:t>Output indicator</w:t>
            </w:r>
          </w:p>
        </w:tc>
        <w:tc>
          <w:tcPr>
            <w:tcW w:w="2126" w:type="dxa"/>
            <w:shd w:val="clear" w:color="auto" w:fill="D9D9D9" w:themeFill="background1" w:themeFillShade="D9"/>
          </w:tcPr>
          <w:p w:rsidR="00136C62" w:rsidRPr="00C42C21" w:rsidRDefault="00136C62"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2021/22 Performance (audited)</w:t>
            </w:r>
          </w:p>
        </w:tc>
        <w:tc>
          <w:tcPr>
            <w:tcW w:w="1985" w:type="dxa"/>
            <w:shd w:val="clear" w:color="auto" w:fill="D9D9D9" w:themeFill="background1" w:themeFillShade="D9"/>
          </w:tcPr>
          <w:p w:rsidR="00136C62" w:rsidRPr="00C42C21" w:rsidRDefault="00136C62"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2022/23 Estimated performance</w:t>
            </w:r>
          </w:p>
        </w:tc>
        <w:tc>
          <w:tcPr>
            <w:tcW w:w="1836" w:type="dxa"/>
            <w:shd w:val="clear" w:color="auto" w:fill="D9D9D9" w:themeFill="background1" w:themeFillShade="D9"/>
          </w:tcPr>
          <w:p w:rsidR="00136C62" w:rsidRPr="00C42C21" w:rsidRDefault="00136C62"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2023/24 Planned performance</w:t>
            </w:r>
          </w:p>
        </w:tc>
      </w:tr>
      <w:tr w:rsidR="00136C62" w:rsidRPr="00C42C21" w:rsidTr="009B479B">
        <w:tc>
          <w:tcPr>
            <w:tcW w:w="3681" w:type="dxa"/>
          </w:tcPr>
          <w:p w:rsidR="00136C62" w:rsidRPr="00C42C21" w:rsidRDefault="00136C62" w:rsidP="00C42C21">
            <w:pPr>
              <w:autoSpaceDE w:val="0"/>
              <w:autoSpaceDN w:val="0"/>
              <w:adjustRightInd w:val="0"/>
              <w:jc w:val="both"/>
              <w:rPr>
                <w:rFonts w:ascii="Arial" w:hAnsi="Arial" w:cs="Arial"/>
                <w:sz w:val="20"/>
                <w:szCs w:val="20"/>
              </w:rPr>
            </w:pPr>
            <w:r w:rsidRPr="00C42C21">
              <w:rPr>
                <w:rFonts w:ascii="Arial" w:hAnsi="Arial" w:cs="Arial"/>
                <w:sz w:val="20"/>
                <w:szCs w:val="20"/>
              </w:rPr>
              <w:t>Audit outcome</w:t>
            </w:r>
          </w:p>
        </w:tc>
        <w:tc>
          <w:tcPr>
            <w:tcW w:w="2126" w:type="dxa"/>
          </w:tcPr>
          <w:p w:rsidR="00136C62" w:rsidRPr="00C42C21" w:rsidRDefault="00136C62" w:rsidP="00C42C21">
            <w:pPr>
              <w:autoSpaceDE w:val="0"/>
              <w:autoSpaceDN w:val="0"/>
              <w:adjustRightInd w:val="0"/>
              <w:jc w:val="both"/>
              <w:rPr>
                <w:rFonts w:ascii="Arial" w:hAnsi="Arial" w:cs="Arial"/>
                <w:sz w:val="20"/>
                <w:szCs w:val="20"/>
              </w:rPr>
            </w:pPr>
            <w:r w:rsidRPr="00C42C21">
              <w:rPr>
                <w:rFonts w:ascii="Arial" w:hAnsi="Arial" w:cs="Arial"/>
                <w:sz w:val="20"/>
                <w:szCs w:val="20"/>
              </w:rPr>
              <w:t>Unqualified</w:t>
            </w:r>
          </w:p>
        </w:tc>
        <w:tc>
          <w:tcPr>
            <w:tcW w:w="1985" w:type="dxa"/>
          </w:tcPr>
          <w:p w:rsidR="00136C62" w:rsidRPr="00C42C21" w:rsidRDefault="00136C62" w:rsidP="00C42C21">
            <w:pPr>
              <w:autoSpaceDE w:val="0"/>
              <w:autoSpaceDN w:val="0"/>
              <w:adjustRightInd w:val="0"/>
              <w:jc w:val="both"/>
              <w:rPr>
                <w:rFonts w:ascii="Arial" w:hAnsi="Arial" w:cs="Arial"/>
                <w:sz w:val="20"/>
                <w:szCs w:val="20"/>
              </w:rPr>
            </w:pPr>
            <w:r w:rsidRPr="00C42C21">
              <w:rPr>
                <w:rFonts w:ascii="Arial" w:hAnsi="Arial" w:cs="Arial"/>
                <w:sz w:val="20"/>
                <w:szCs w:val="20"/>
              </w:rPr>
              <w:t>Unqualified</w:t>
            </w:r>
          </w:p>
        </w:tc>
        <w:tc>
          <w:tcPr>
            <w:tcW w:w="1836" w:type="dxa"/>
          </w:tcPr>
          <w:p w:rsidR="00136C62" w:rsidRPr="00C42C21" w:rsidRDefault="00136C62" w:rsidP="00C42C21">
            <w:pPr>
              <w:autoSpaceDE w:val="0"/>
              <w:autoSpaceDN w:val="0"/>
              <w:adjustRightInd w:val="0"/>
              <w:jc w:val="both"/>
              <w:rPr>
                <w:rFonts w:ascii="Arial" w:hAnsi="Arial" w:cs="Arial"/>
                <w:sz w:val="20"/>
                <w:szCs w:val="20"/>
              </w:rPr>
            </w:pPr>
            <w:r w:rsidRPr="00C42C21">
              <w:rPr>
                <w:rFonts w:ascii="Arial" w:hAnsi="Arial" w:cs="Arial"/>
                <w:sz w:val="20"/>
                <w:szCs w:val="20"/>
              </w:rPr>
              <w:t>Unqualified</w:t>
            </w:r>
          </w:p>
        </w:tc>
      </w:tr>
      <w:tr w:rsidR="00136C62" w:rsidRPr="00C42C21" w:rsidTr="009B479B">
        <w:tc>
          <w:tcPr>
            <w:tcW w:w="3681" w:type="dxa"/>
          </w:tcPr>
          <w:p w:rsidR="00136C62" w:rsidRPr="00C42C21" w:rsidRDefault="00136C62" w:rsidP="00C42C21">
            <w:pPr>
              <w:autoSpaceDE w:val="0"/>
              <w:autoSpaceDN w:val="0"/>
              <w:adjustRightInd w:val="0"/>
              <w:rPr>
                <w:rFonts w:ascii="Arial" w:hAnsi="Arial" w:cs="Arial"/>
                <w:sz w:val="20"/>
                <w:szCs w:val="20"/>
              </w:rPr>
            </w:pPr>
            <w:r w:rsidRPr="00C42C21">
              <w:rPr>
                <w:rFonts w:ascii="Arial" w:hAnsi="Arial" w:cs="Arial"/>
                <w:sz w:val="20"/>
                <w:szCs w:val="20"/>
              </w:rPr>
              <w:t>Percentage of legitimate invoices paid within 30 days</w:t>
            </w:r>
          </w:p>
        </w:tc>
        <w:tc>
          <w:tcPr>
            <w:tcW w:w="2126" w:type="dxa"/>
          </w:tcPr>
          <w:p w:rsidR="00136C62" w:rsidRPr="00C42C21" w:rsidRDefault="00136C62" w:rsidP="00C42C21">
            <w:pPr>
              <w:autoSpaceDE w:val="0"/>
              <w:autoSpaceDN w:val="0"/>
              <w:adjustRightInd w:val="0"/>
              <w:jc w:val="both"/>
              <w:rPr>
                <w:rFonts w:ascii="Arial" w:hAnsi="Arial" w:cs="Arial"/>
                <w:sz w:val="20"/>
                <w:szCs w:val="20"/>
              </w:rPr>
            </w:pPr>
            <w:r w:rsidRPr="00C42C21">
              <w:rPr>
                <w:rFonts w:ascii="Arial" w:hAnsi="Arial" w:cs="Arial"/>
                <w:sz w:val="20"/>
                <w:szCs w:val="20"/>
              </w:rPr>
              <w:t>90%</w:t>
            </w:r>
          </w:p>
        </w:tc>
        <w:tc>
          <w:tcPr>
            <w:tcW w:w="1985" w:type="dxa"/>
          </w:tcPr>
          <w:p w:rsidR="00136C62" w:rsidRPr="00C42C21" w:rsidRDefault="00136C62" w:rsidP="00C42C21">
            <w:pPr>
              <w:autoSpaceDE w:val="0"/>
              <w:autoSpaceDN w:val="0"/>
              <w:adjustRightInd w:val="0"/>
              <w:jc w:val="both"/>
              <w:rPr>
                <w:rFonts w:ascii="Arial" w:hAnsi="Arial" w:cs="Arial"/>
                <w:sz w:val="20"/>
                <w:szCs w:val="20"/>
              </w:rPr>
            </w:pPr>
            <w:r w:rsidRPr="00C42C21">
              <w:rPr>
                <w:rFonts w:ascii="Arial" w:hAnsi="Arial" w:cs="Arial"/>
                <w:sz w:val="20"/>
                <w:szCs w:val="20"/>
              </w:rPr>
              <w:t>100%</w:t>
            </w:r>
          </w:p>
        </w:tc>
        <w:tc>
          <w:tcPr>
            <w:tcW w:w="183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100%</w:t>
            </w:r>
          </w:p>
        </w:tc>
      </w:tr>
      <w:tr w:rsidR="00136C62" w:rsidRPr="00C42C21" w:rsidTr="009B479B">
        <w:tc>
          <w:tcPr>
            <w:tcW w:w="3681" w:type="dxa"/>
          </w:tcPr>
          <w:p w:rsidR="00136C62" w:rsidRPr="00C42C21" w:rsidRDefault="00136C62" w:rsidP="00C42C21">
            <w:pPr>
              <w:autoSpaceDE w:val="0"/>
              <w:autoSpaceDN w:val="0"/>
              <w:adjustRightInd w:val="0"/>
              <w:rPr>
                <w:rFonts w:ascii="Arial" w:hAnsi="Arial" w:cs="Arial"/>
                <w:sz w:val="20"/>
                <w:szCs w:val="20"/>
              </w:rPr>
            </w:pPr>
            <w:r w:rsidRPr="00C42C21">
              <w:rPr>
                <w:rFonts w:ascii="Arial" w:hAnsi="Arial" w:cs="Arial"/>
                <w:sz w:val="20"/>
                <w:szCs w:val="20"/>
              </w:rPr>
              <w:t>Number of IDMS modules implemented</w:t>
            </w:r>
          </w:p>
        </w:tc>
        <w:tc>
          <w:tcPr>
            <w:tcW w:w="212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New target</w:t>
            </w:r>
          </w:p>
        </w:tc>
        <w:tc>
          <w:tcPr>
            <w:tcW w:w="1985"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4</w:t>
            </w:r>
          </w:p>
        </w:tc>
        <w:tc>
          <w:tcPr>
            <w:tcW w:w="183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4</w:t>
            </w:r>
          </w:p>
        </w:tc>
      </w:tr>
      <w:tr w:rsidR="00136C62" w:rsidRPr="00C42C21" w:rsidTr="009B479B">
        <w:tc>
          <w:tcPr>
            <w:tcW w:w="3681" w:type="dxa"/>
          </w:tcPr>
          <w:p w:rsidR="00136C62" w:rsidRPr="00C42C21" w:rsidRDefault="00136C62" w:rsidP="00C42C21">
            <w:pPr>
              <w:autoSpaceDE w:val="0"/>
              <w:autoSpaceDN w:val="0"/>
              <w:adjustRightInd w:val="0"/>
              <w:rPr>
                <w:rFonts w:ascii="Arial" w:hAnsi="Arial" w:cs="Arial"/>
                <w:sz w:val="20"/>
                <w:szCs w:val="20"/>
              </w:rPr>
            </w:pPr>
            <w:r w:rsidRPr="00C42C21">
              <w:rPr>
                <w:rFonts w:ascii="Arial" w:hAnsi="Arial" w:cs="Arial"/>
                <w:sz w:val="20"/>
                <w:szCs w:val="20"/>
              </w:rPr>
              <w:t>Percentage representation of persons with disability</w:t>
            </w:r>
          </w:p>
        </w:tc>
        <w:tc>
          <w:tcPr>
            <w:tcW w:w="212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w:t>
            </w:r>
          </w:p>
        </w:tc>
        <w:tc>
          <w:tcPr>
            <w:tcW w:w="1985"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w:t>
            </w:r>
          </w:p>
        </w:tc>
        <w:tc>
          <w:tcPr>
            <w:tcW w:w="183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w:t>
            </w:r>
          </w:p>
        </w:tc>
      </w:tr>
      <w:tr w:rsidR="00136C62" w:rsidRPr="00C42C21" w:rsidTr="009B479B">
        <w:tc>
          <w:tcPr>
            <w:tcW w:w="3681" w:type="dxa"/>
          </w:tcPr>
          <w:p w:rsidR="00136C62" w:rsidRPr="00C42C21" w:rsidRDefault="00136C62" w:rsidP="00C42C21">
            <w:pPr>
              <w:autoSpaceDE w:val="0"/>
              <w:autoSpaceDN w:val="0"/>
              <w:adjustRightInd w:val="0"/>
              <w:rPr>
                <w:rFonts w:ascii="Arial" w:hAnsi="Arial" w:cs="Arial"/>
                <w:sz w:val="20"/>
                <w:szCs w:val="20"/>
              </w:rPr>
            </w:pPr>
            <w:r w:rsidRPr="00C42C21">
              <w:rPr>
                <w:rFonts w:ascii="Arial" w:hAnsi="Arial" w:cs="Arial"/>
                <w:sz w:val="20"/>
                <w:szCs w:val="20"/>
              </w:rPr>
              <w:t>Percentage representation of women at SMS level</w:t>
            </w:r>
          </w:p>
        </w:tc>
        <w:tc>
          <w:tcPr>
            <w:tcW w:w="212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54%</w:t>
            </w:r>
          </w:p>
        </w:tc>
        <w:tc>
          <w:tcPr>
            <w:tcW w:w="1985"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50%</w:t>
            </w:r>
          </w:p>
        </w:tc>
        <w:tc>
          <w:tcPr>
            <w:tcW w:w="183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50%</w:t>
            </w:r>
          </w:p>
        </w:tc>
      </w:tr>
      <w:tr w:rsidR="00136C62" w:rsidRPr="00C42C21" w:rsidTr="009B479B">
        <w:tc>
          <w:tcPr>
            <w:tcW w:w="3681" w:type="dxa"/>
          </w:tcPr>
          <w:p w:rsidR="00136C62" w:rsidRPr="00C42C21" w:rsidRDefault="00136C62" w:rsidP="00C42C21">
            <w:pPr>
              <w:autoSpaceDE w:val="0"/>
              <w:autoSpaceDN w:val="0"/>
              <w:adjustRightInd w:val="0"/>
              <w:rPr>
                <w:rFonts w:ascii="Arial" w:hAnsi="Arial" w:cs="Arial"/>
                <w:sz w:val="20"/>
                <w:szCs w:val="20"/>
              </w:rPr>
            </w:pPr>
            <w:r w:rsidRPr="00C42C21">
              <w:rPr>
                <w:rFonts w:ascii="Arial" w:hAnsi="Arial" w:cs="Arial"/>
                <w:sz w:val="20"/>
                <w:szCs w:val="20"/>
              </w:rPr>
              <w:t>Number of liberation struggle history research outputs</w:t>
            </w:r>
          </w:p>
        </w:tc>
        <w:tc>
          <w:tcPr>
            <w:tcW w:w="212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Discontinued</w:t>
            </w:r>
          </w:p>
        </w:tc>
        <w:tc>
          <w:tcPr>
            <w:tcW w:w="1985"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6</w:t>
            </w:r>
          </w:p>
        </w:tc>
        <w:tc>
          <w:tcPr>
            <w:tcW w:w="1836" w:type="dxa"/>
          </w:tcPr>
          <w:p w:rsidR="00136C62"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6</w:t>
            </w:r>
          </w:p>
        </w:tc>
      </w:tr>
    </w:tbl>
    <w:p w:rsidR="00136C62" w:rsidRPr="00C42C21" w:rsidRDefault="009B479B" w:rsidP="00C42C21">
      <w:pPr>
        <w:autoSpaceDE w:val="0"/>
        <w:autoSpaceDN w:val="0"/>
        <w:adjustRightInd w:val="0"/>
        <w:spacing w:after="0" w:line="240" w:lineRule="auto"/>
        <w:jc w:val="center"/>
        <w:rPr>
          <w:rFonts w:ascii="Arial" w:hAnsi="Arial" w:cs="Arial"/>
          <w:b/>
          <w:sz w:val="20"/>
          <w:szCs w:val="20"/>
        </w:rPr>
      </w:pPr>
      <w:r w:rsidRPr="00C42C21">
        <w:rPr>
          <w:rFonts w:ascii="Arial" w:hAnsi="Arial" w:cs="Arial"/>
          <w:b/>
          <w:sz w:val="20"/>
          <w:szCs w:val="20"/>
        </w:rPr>
        <w:t>Table 4: Administration programme performance targets</w:t>
      </w:r>
    </w:p>
    <w:p w:rsidR="00136C62" w:rsidRPr="00C42C21" w:rsidRDefault="00136C62" w:rsidP="00C42C21">
      <w:pPr>
        <w:autoSpaceDE w:val="0"/>
        <w:autoSpaceDN w:val="0"/>
        <w:adjustRightInd w:val="0"/>
        <w:spacing w:after="0" w:line="240" w:lineRule="auto"/>
        <w:jc w:val="both"/>
        <w:rPr>
          <w:rFonts w:ascii="Arial" w:hAnsi="Arial" w:cs="Arial"/>
          <w:b/>
          <w:sz w:val="20"/>
          <w:szCs w:val="20"/>
        </w:rPr>
      </w:pPr>
    </w:p>
    <w:p w:rsidR="0084743E" w:rsidRPr="00C42C21" w:rsidRDefault="0084743E" w:rsidP="00C42C21">
      <w:pPr>
        <w:spacing w:after="0" w:line="240" w:lineRule="auto"/>
        <w:jc w:val="both"/>
        <w:rPr>
          <w:rFonts w:ascii="Arial" w:hAnsi="Arial" w:cs="Arial"/>
          <w:b/>
          <w:sz w:val="20"/>
          <w:szCs w:val="20"/>
        </w:rPr>
      </w:pPr>
      <w:r w:rsidRPr="00C42C21">
        <w:rPr>
          <w:rFonts w:ascii="Arial" w:hAnsi="Arial" w:cs="Arial"/>
          <w:b/>
          <w:sz w:val="20"/>
          <w:szCs w:val="20"/>
        </w:rPr>
        <w:t>6.3</w:t>
      </w:r>
      <w:r w:rsidRPr="00C42C21">
        <w:rPr>
          <w:rFonts w:ascii="Arial" w:hAnsi="Arial" w:cs="Arial"/>
          <w:b/>
          <w:sz w:val="20"/>
          <w:szCs w:val="20"/>
        </w:rPr>
        <w:tab/>
        <w:t xml:space="preserve">Programme 2: Socio-economic Support </w:t>
      </w:r>
    </w:p>
    <w:p w:rsidR="009B479B" w:rsidRPr="00C42C21" w:rsidRDefault="009B479B" w:rsidP="00C42C21">
      <w:pPr>
        <w:spacing w:after="0" w:line="240" w:lineRule="auto"/>
        <w:jc w:val="both"/>
        <w:rPr>
          <w:rFonts w:ascii="Arial" w:hAnsi="Arial" w:cs="Arial"/>
          <w:sz w:val="20"/>
          <w:szCs w:val="20"/>
        </w:rPr>
      </w:pPr>
    </w:p>
    <w:p w:rsidR="009B479B" w:rsidRPr="00C42C21" w:rsidRDefault="009B479B" w:rsidP="00C42C21">
      <w:pPr>
        <w:spacing w:after="0" w:line="240" w:lineRule="auto"/>
        <w:jc w:val="both"/>
        <w:rPr>
          <w:rFonts w:ascii="Arial" w:hAnsi="Arial" w:cs="Arial"/>
          <w:sz w:val="20"/>
          <w:szCs w:val="20"/>
        </w:rPr>
      </w:pPr>
      <w:r w:rsidRPr="00C42C21">
        <w:rPr>
          <w:rFonts w:ascii="Arial" w:hAnsi="Arial" w:cs="Arial"/>
          <w:sz w:val="20"/>
          <w:szCs w:val="20"/>
        </w:rPr>
        <w:t xml:space="preserve">The main purpose of the programme is to develop and monitor the implementation of legislation, policy frameworks and service delivery cooperation agreements on compensation for injury in military service, counselling, education, healthcare, public transport, pension and housing benefits to Military Veterans eligible for such support.  </w:t>
      </w:r>
    </w:p>
    <w:p w:rsidR="009B479B" w:rsidRPr="00C42C21" w:rsidRDefault="009B479B" w:rsidP="00C42C21">
      <w:pPr>
        <w:spacing w:after="0" w:line="240" w:lineRule="auto"/>
        <w:jc w:val="both"/>
        <w:rPr>
          <w:rFonts w:ascii="Arial" w:hAnsi="Arial" w:cs="Arial"/>
          <w:sz w:val="20"/>
          <w:szCs w:val="20"/>
        </w:rPr>
      </w:pPr>
    </w:p>
    <w:p w:rsidR="009B479B" w:rsidRPr="00C42C21" w:rsidRDefault="009B479B" w:rsidP="00C42C21">
      <w:pPr>
        <w:spacing w:after="0" w:line="240" w:lineRule="auto"/>
        <w:jc w:val="both"/>
        <w:rPr>
          <w:rFonts w:ascii="Arial" w:hAnsi="Arial" w:cs="Arial"/>
          <w:sz w:val="20"/>
          <w:szCs w:val="20"/>
        </w:rPr>
      </w:pPr>
      <w:r w:rsidRPr="00C42C21">
        <w:rPr>
          <w:rFonts w:ascii="Arial" w:hAnsi="Arial" w:cs="Arial"/>
          <w:sz w:val="20"/>
          <w:szCs w:val="20"/>
        </w:rPr>
        <w:t>The major increase in the 2023/24 budget allocation for the DMV relates to the additional allocation for Pension Benefits. This is managed under the Subprogramme Socioeconomic Support Management. The allocation for this subprogramme increases from R225.4 million in 2022/23 to R395.8 million in 2023/24, reflecting a 75.6% increased allocation in nominal terms.</w:t>
      </w:r>
    </w:p>
    <w:p w:rsidR="009B479B" w:rsidRPr="00C42C21" w:rsidRDefault="009B479B" w:rsidP="00C42C21">
      <w:pPr>
        <w:spacing w:after="0" w:line="240" w:lineRule="auto"/>
        <w:jc w:val="both"/>
        <w:rPr>
          <w:rFonts w:ascii="Arial" w:hAnsi="Arial" w:cs="Arial"/>
          <w:sz w:val="20"/>
          <w:szCs w:val="20"/>
        </w:rPr>
      </w:pPr>
    </w:p>
    <w:p w:rsidR="009B479B" w:rsidRPr="00C42C21" w:rsidRDefault="009B479B" w:rsidP="00C42C21">
      <w:pPr>
        <w:spacing w:after="0" w:line="240" w:lineRule="auto"/>
        <w:jc w:val="both"/>
        <w:rPr>
          <w:rFonts w:ascii="Arial" w:hAnsi="Arial" w:cs="Arial"/>
          <w:sz w:val="20"/>
          <w:szCs w:val="20"/>
        </w:rPr>
      </w:pPr>
      <w:r w:rsidRPr="00C42C21">
        <w:rPr>
          <w:rFonts w:ascii="Arial" w:hAnsi="Arial" w:cs="Arial"/>
          <w:sz w:val="20"/>
          <w:szCs w:val="20"/>
        </w:rPr>
        <w:t>The major questions around expenditure on the Pension Benefits relates to the non-finalisation of the Pension Benefit Regulations. These regulations are yet to be finalised and published and, until such time, it cannot be implemented. As such, the DMV is unlikely to be able to spend the increased allocation for 2023/24.</w:t>
      </w:r>
    </w:p>
    <w:p w:rsidR="009B479B" w:rsidRPr="00C42C21" w:rsidRDefault="009B479B" w:rsidP="00C42C21">
      <w:pPr>
        <w:spacing w:after="0" w:line="240" w:lineRule="auto"/>
        <w:jc w:val="both"/>
        <w:rPr>
          <w:rFonts w:ascii="Arial" w:hAnsi="Arial" w:cs="Arial"/>
          <w:sz w:val="20"/>
          <w:szCs w:val="20"/>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39"/>
        <w:gridCol w:w="939"/>
        <w:gridCol w:w="1276"/>
        <w:gridCol w:w="1276"/>
        <w:gridCol w:w="1134"/>
        <w:gridCol w:w="1197"/>
      </w:tblGrid>
      <w:tr w:rsidR="009B479B" w:rsidRPr="00C42C21" w:rsidTr="009B479B">
        <w:trPr>
          <w:trHeight w:val="255"/>
          <w:jc w:val="center"/>
        </w:trPr>
        <w:tc>
          <w:tcPr>
            <w:tcW w:w="9033" w:type="dxa"/>
            <w:gridSpan w:val="7"/>
            <w:shd w:val="clear" w:color="auto" w:fill="D9D9D9" w:themeFill="background1" w:themeFillShade="D9"/>
            <w:noWrap/>
            <w:vAlign w:val="bottom"/>
            <w:hideMark/>
          </w:tcPr>
          <w:p w:rsidR="009B479B" w:rsidRPr="00C42C21" w:rsidRDefault="009B479B" w:rsidP="00C42C21">
            <w:pPr>
              <w:spacing w:after="0" w:line="240" w:lineRule="auto"/>
              <w:jc w:val="center"/>
              <w:rPr>
                <w:rFonts w:ascii="Arial" w:hAnsi="Arial" w:cs="Arial"/>
                <w:b/>
                <w:sz w:val="20"/>
                <w:szCs w:val="20"/>
                <w:lang w:eastAsia="en-ZA"/>
              </w:rPr>
            </w:pPr>
            <w:r w:rsidRPr="00C42C21">
              <w:rPr>
                <w:rFonts w:ascii="Arial" w:hAnsi="Arial" w:cs="Arial"/>
                <w:b/>
                <w:sz w:val="20"/>
                <w:szCs w:val="20"/>
                <w:lang w:eastAsia="en-ZA"/>
              </w:rPr>
              <w:t>Programme 2</w:t>
            </w:r>
          </w:p>
        </w:tc>
      </w:tr>
      <w:tr w:rsidR="009B479B" w:rsidRPr="00C42C21" w:rsidTr="009B479B">
        <w:trPr>
          <w:trHeight w:val="76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b/>
                <w:bCs/>
                <w:sz w:val="20"/>
                <w:szCs w:val="20"/>
                <w:lang w:eastAsia="en-ZA"/>
              </w:rPr>
            </w:pPr>
            <w:r w:rsidRPr="00C42C21">
              <w:rPr>
                <w:rFonts w:ascii="Arial" w:hAnsi="Arial" w:cs="Arial"/>
                <w:b/>
                <w:bCs/>
                <w:sz w:val="20"/>
                <w:szCs w:val="20"/>
                <w:lang w:eastAsia="en-ZA"/>
              </w:rPr>
              <w:lastRenderedPageBreak/>
              <w:t>Programme</w:t>
            </w:r>
          </w:p>
        </w:tc>
        <w:tc>
          <w:tcPr>
            <w:tcW w:w="1878" w:type="dxa"/>
            <w:gridSpan w:val="2"/>
            <w:tcBorders>
              <w:bottom w:val="single" w:sz="4" w:space="0" w:color="auto"/>
            </w:tcBorders>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Budget</w:t>
            </w:r>
          </w:p>
        </w:tc>
        <w:tc>
          <w:tcPr>
            <w:tcW w:w="1276"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Nominal Increase / Decrease in 2023/24</w:t>
            </w:r>
          </w:p>
        </w:tc>
        <w:tc>
          <w:tcPr>
            <w:tcW w:w="1276"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Real Increase / Decrease in 2023/24</w:t>
            </w:r>
          </w:p>
        </w:tc>
        <w:tc>
          <w:tcPr>
            <w:tcW w:w="1134"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Nominal Percent change in 2023/24</w:t>
            </w:r>
          </w:p>
        </w:tc>
        <w:tc>
          <w:tcPr>
            <w:tcW w:w="1197"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Real Percent change in 2023/24</w:t>
            </w: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 million</w:t>
            </w:r>
          </w:p>
        </w:tc>
        <w:tc>
          <w:tcPr>
            <w:tcW w:w="939" w:type="dxa"/>
            <w:shd w:val="clear" w:color="auto" w:fill="EDEDED" w:themeFill="accent3" w:themeFillTint="33"/>
            <w:noWrap/>
            <w:vAlign w:val="bottom"/>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2022/23</w:t>
            </w:r>
          </w:p>
        </w:tc>
        <w:tc>
          <w:tcPr>
            <w:tcW w:w="939" w:type="dxa"/>
            <w:shd w:val="clear" w:color="auto" w:fill="EDEDED" w:themeFill="accent3" w:themeFillTint="33"/>
            <w:noWrap/>
            <w:vAlign w:val="bottom"/>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2023/24</w:t>
            </w:r>
          </w:p>
        </w:tc>
        <w:tc>
          <w:tcPr>
            <w:tcW w:w="1276"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c>
          <w:tcPr>
            <w:tcW w:w="1276"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c>
          <w:tcPr>
            <w:tcW w:w="1134"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c>
          <w:tcPr>
            <w:tcW w:w="1197"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sz w:val="20"/>
                <w:szCs w:val="20"/>
                <w:lang w:eastAsia="en-ZA"/>
              </w:rPr>
            </w:pPr>
            <w:r w:rsidRPr="00C42C21">
              <w:rPr>
                <w:rFonts w:ascii="Arial" w:hAnsi="Arial" w:cs="Arial"/>
                <w:sz w:val="20"/>
                <w:szCs w:val="20"/>
                <w:lang w:eastAsia="en-ZA"/>
              </w:rPr>
              <w:t>Database and Benefits management</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31,0</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32,3</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1,3</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0,2</w:t>
            </w:r>
          </w:p>
        </w:tc>
        <w:tc>
          <w:tcPr>
            <w:tcW w:w="1134"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4,19%</w:t>
            </w:r>
          </w:p>
        </w:tc>
        <w:tc>
          <w:tcPr>
            <w:tcW w:w="1197"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-0,67%</w:t>
            </w: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sz w:val="20"/>
                <w:szCs w:val="20"/>
                <w:lang w:eastAsia="en-ZA"/>
              </w:rPr>
            </w:pPr>
            <w:r w:rsidRPr="00C42C21">
              <w:rPr>
                <w:rFonts w:ascii="Arial" w:hAnsi="Arial" w:cs="Arial"/>
                <w:sz w:val="20"/>
                <w:szCs w:val="20"/>
                <w:lang w:eastAsia="en-ZA"/>
              </w:rPr>
              <w:t>Health Care and Wellbeing support</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113,9</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113,9</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0,0</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5,3</w:t>
            </w:r>
          </w:p>
        </w:tc>
        <w:tc>
          <w:tcPr>
            <w:tcW w:w="1134"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0,00%</w:t>
            </w:r>
          </w:p>
        </w:tc>
        <w:tc>
          <w:tcPr>
            <w:tcW w:w="1197"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-4,67%</w:t>
            </w: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sz w:val="20"/>
                <w:szCs w:val="20"/>
                <w:lang w:eastAsia="en-ZA"/>
              </w:rPr>
            </w:pPr>
            <w:r w:rsidRPr="00C42C21">
              <w:rPr>
                <w:rFonts w:ascii="Arial" w:hAnsi="Arial" w:cs="Arial"/>
                <w:sz w:val="20"/>
                <w:szCs w:val="20"/>
                <w:lang w:eastAsia="en-ZA"/>
              </w:rPr>
              <w:t>Socioeconomic Support Management</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225,4</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395,8</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170,4</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151,9</w:t>
            </w:r>
          </w:p>
        </w:tc>
        <w:tc>
          <w:tcPr>
            <w:tcW w:w="1134"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75,60%</w:t>
            </w:r>
          </w:p>
        </w:tc>
        <w:tc>
          <w:tcPr>
            <w:tcW w:w="1197"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67,40%</w:t>
            </w:r>
          </w:p>
        </w:tc>
      </w:tr>
      <w:tr w:rsidR="009B479B" w:rsidRPr="00C42C21" w:rsidTr="009B479B">
        <w:trPr>
          <w:trHeight w:val="255"/>
          <w:jc w:val="center"/>
        </w:trPr>
        <w:tc>
          <w:tcPr>
            <w:tcW w:w="2272" w:type="dxa"/>
            <w:shd w:val="clear" w:color="auto" w:fill="D9D9D9" w:themeFill="background1" w:themeFillShade="D9"/>
            <w:noWrap/>
            <w:vAlign w:val="bottom"/>
          </w:tcPr>
          <w:p w:rsidR="009B479B" w:rsidRPr="00C42C21" w:rsidRDefault="009B479B" w:rsidP="00C42C21">
            <w:pPr>
              <w:spacing w:after="0" w:line="240" w:lineRule="auto"/>
              <w:rPr>
                <w:rFonts w:ascii="Arial" w:hAnsi="Arial" w:cs="Arial"/>
                <w:b/>
                <w:sz w:val="20"/>
                <w:szCs w:val="20"/>
                <w:lang w:eastAsia="en-ZA"/>
              </w:rPr>
            </w:pPr>
            <w:r w:rsidRPr="00C42C21">
              <w:rPr>
                <w:rFonts w:ascii="Arial" w:hAnsi="Arial" w:cs="Arial"/>
                <w:b/>
                <w:sz w:val="20"/>
                <w:szCs w:val="20"/>
                <w:lang w:eastAsia="en-ZA"/>
              </w:rPr>
              <w:t>TOTAL</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lang w:eastAsia="en-ZA"/>
              </w:rPr>
            </w:pPr>
            <w:r w:rsidRPr="00C42C21">
              <w:rPr>
                <w:rFonts w:ascii="Arial" w:hAnsi="Arial" w:cs="Arial"/>
                <w:b/>
                <w:sz w:val="20"/>
                <w:szCs w:val="20"/>
              </w:rPr>
              <w:t xml:space="preserve">  151,4</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lang w:eastAsia="en-ZA"/>
              </w:rPr>
            </w:pPr>
            <w:r w:rsidRPr="00C42C21">
              <w:rPr>
                <w:rFonts w:ascii="Arial" w:hAnsi="Arial" w:cs="Arial"/>
                <w:b/>
                <w:sz w:val="20"/>
                <w:szCs w:val="20"/>
              </w:rPr>
              <w:t xml:space="preserve">  135,5</w:t>
            </w:r>
          </w:p>
        </w:tc>
        <w:tc>
          <w:tcPr>
            <w:tcW w:w="1276"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  15,9</w:t>
            </w:r>
          </w:p>
        </w:tc>
        <w:tc>
          <w:tcPr>
            <w:tcW w:w="1276"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  22,2</w:t>
            </w:r>
          </w:p>
        </w:tc>
        <w:tc>
          <w:tcPr>
            <w:tcW w:w="1134"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-10,5%</w:t>
            </w:r>
          </w:p>
        </w:tc>
        <w:tc>
          <w:tcPr>
            <w:tcW w:w="1197"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-14,68%</w:t>
            </w:r>
          </w:p>
        </w:tc>
      </w:tr>
    </w:tbl>
    <w:p w:rsidR="009B479B" w:rsidRPr="00C42C21" w:rsidRDefault="009B479B" w:rsidP="00C42C21">
      <w:pPr>
        <w:spacing w:after="0" w:line="240" w:lineRule="auto"/>
        <w:jc w:val="center"/>
        <w:rPr>
          <w:rFonts w:ascii="Arial" w:hAnsi="Arial" w:cs="Arial"/>
          <w:b/>
          <w:sz w:val="20"/>
          <w:szCs w:val="20"/>
        </w:rPr>
      </w:pPr>
      <w:r w:rsidRPr="00C42C21">
        <w:rPr>
          <w:rFonts w:ascii="Arial" w:hAnsi="Arial" w:cs="Arial"/>
          <w:b/>
          <w:sz w:val="20"/>
          <w:szCs w:val="20"/>
        </w:rPr>
        <w:t>Table 5: Programme 2 expenditure for 2023/24</w:t>
      </w:r>
    </w:p>
    <w:p w:rsidR="009B479B" w:rsidRPr="00C42C21" w:rsidRDefault="009B479B" w:rsidP="00C42C21">
      <w:pPr>
        <w:spacing w:after="0" w:line="240" w:lineRule="auto"/>
        <w:jc w:val="both"/>
        <w:rPr>
          <w:rFonts w:ascii="Arial" w:hAnsi="Arial" w:cs="Arial"/>
          <w:sz w:val="20"/>
          <w:szCs w:val="20"/>
        </w:rPr>
      </w:pPr>
    </w:p>
    <w:p w:rsidR="009B479B" w:rsidRPr="00C42C21" w:rsidRDefault="009B479B"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The Table below highlights the </w:t>
      </w:r>
      <w:r w:rsidRPr="00C42C21">
        <w:rPr>
          <w:rFonts w:ascii="Arial" w:hAnsi="Arial" w:cs="Arial"/>
          <w:b/>
          <w:sz w:val="20"/>
          <w:szCs w:val="20"/>
        </w:rPr>
        <w:t xml:space="preserve">Performance targets </w:t>
      </w:r>
      <w:r w:rsidRPr="00C42C21">
        <w:rPr>
          <w:rFonts w:ascii="Arial" w:hAnsi="Arial" w:cs="Arial"/>
          <w:sz w:val="20"/>
          <w:szCs w:val="20"/>
        </w:rPr>
        <w:t>for Programme 2 for 2023/24:</w:t>
      </w:r>
    </w:p>
    <w:p w:rsidR="009B479B" w:rsidRPr="00C42C21" w:rsidRDefault="009B479B" w:rsidP="00C42C21">
      <w:pPr>
        <w:autoSpaceDE w:val="0"/>
        <w:autoSpaceDN w:val="0"/>
        <w:adjustRightInd w:val="0"/>
        <w:spacing w:after="0" w:line="240" w:lineRule="auto"/>
        <w:jc w:val="both"/>
        <w:rPr>
          <w:rFonts w:ascii="Arial" w:hAnsi="Arial" w:cs="Arial"/>
          <w:sz w:val="20"/>
          <w:szCs w:val="20"/>
        </w:rPr>
      </w:pPr>
    </w:p>
    <w:tbl>
      <w:tblPr>
        <w:tblStyle w:val="TableGrid"/>
        <w:tblW w:w="0" w:type="auto"/>
        <w:tblLook w:val="04A0"/>
      </w:tblPr>
      <w:tblGrid>
        <w:gridCol w:w="3681"/>
        <w:gridCol w:w="2126"/>
        <w:gridCol w:w="1985"/>
        <w:gridCol w:w="1836"/>
      </w:tblGrid>
      <w:tr w:rsidR="009B479B" w:rsidRPr="00C42C21" w:rsidTr="00322E57">
        <w:tc>
          <w:tcPr>
            <w:tcW w:w="3681"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Output indicator</w:t>
            </w:r>
          </w:p>
        </w:tc>
        <w:tc>
          <w:tcPr>
            <w:tcW w:w="2126"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2021/22 Performance (audited)</w:t>
            </w:r>
          </w:p>
        </w:tc>
        <w:tc>
          <w:tcPr>
            <w:tcW w:w="1985"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2022/23 Estimated performance</w:t>
            </w:r>
          </w:p>
        </w:tc>
        <w:tc>
          <w:tcPr>
            <w:tcW w:w="1836"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2023/24 Planned performance</w:t>
            </w:r>
          </w:p>
        </w:tc>
      </w:tr>
      <w:tr w:rsidR="009B479B" w:rsidRPr="00C42C21" w:rsidTr="00594230">
        <w:tc>
          <w:tcPr>
            <w:tcW w:w="3681"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Number of confirmed military veterans registered in the database</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81 392</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82 392</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83 392</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provided with newly built houses per year</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71</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355</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480</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approved for the compensation benefit per annum</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120</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100</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100</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Total number of military veterans and their dependants receiving pension benefit</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Policy in draft</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2 000</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4 000</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Strategy on subsidised public transport</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0</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Draft Strategy</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Draft Strategy</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Total number of military veterans approved to access to health care services</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19 100</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19 700</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20 200</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and dependants provided with dedicated counselling services and treatment</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488</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600</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600</w:t>
            </w:r>
          </w:p>
        </w:tc>
      </w:tr>
      <w:tr w:rsidR="009B479B" w:rsidRPr="00C42C21" w:rsidTr="00594230">
        <w:tc>
          <w:tcPr>
            <w:tcW w:w="3681" w:type="dxa"/>
          </w:tcPr>
          <w:p w:rsidR="009B479B" w:rsidRPr="00C42C21" w:rsidRDefault="009B479B"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approved to access mortgage bond subsidy per year</w:t>
            </w:r>
          </w:p>
        </w:tc>
        <w:tc>
          <w:tcPr>
            <w:tcW w:w="212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New indicator</w:t>
            </w:r>
          </w:p>
        </w:tc>
        <w:tc>
          <w:tcPr>
            <w:tcW w:w="1985"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20</w:t>
            </w:r>
          </w:p>
        </w:tc>
        <w:tc>
          <w:tcPr>
            <w:tcW w:w="1836" w:type="dxa"/>
          </w:tcPr>
          <w:p w:rsidR="009B479B" w:rsidRPr="00C42C21" w:rsidRDefault="009B479B" w:rsidP="00C42C21">
            <w:pPr>
              <w:autoSpaceDE w:val="0"/>
              <w:autoSpaceDN w:val="0"/>
              <w:adjustRightInd w:val="0"/>
              <w:jc w:val="both"/>
              <w:rPr>
                <w:rFonts w:ascii="Arial" w:hAnsi="Arial" w:cs="Arial"/>
                <w:sz w:val="20"/>
                <w:szCs w:val="20"/>
              </w:rPr>
            </w:pPr>
            <w:r w:rsidRPr="00C42C21">
              <w:rPr>
                <w:rFonts w:ascii="Arial" w:hAnsi="Arial" w:cs="Arial"/>
                <w:sz w:val="20"/>
                <w:szCs w:val="20"/>
              </w:rPr>
              <w:t>25</w:t>
            </w:r>
          </w:p>
        </w:tc>
      </w:tr>
    </w:tbl>
    <w:p w:rsidR="009B479B" w:rsidRPr="00C42C21" w:rsidRDefault="009B479B" w:rsidP="00C42C21">
      <w:pPr>
        <w:spacing w:after="0" w:line="240" w:lineRule="auto"/>
        <w:jc w:val="center"/>
        <w:rPr>
          <w:rFonts w:ascii="Arial" w:hAnsi="Arial" w:cs="Arial"/>
          <w:sz w:val="20"/>
          <w:szCs w:val="20"/>
        </w:rPr>
      </w:pPr>
      <w:r w:rsidRPr="00C42C21">
        <w:rPr>
          <w:rFonts w:ascii="Arial" w:hAnsi="Arial" w:cs="Arial"/>
          <w:b/>
          <w:sz w:val="20"/>
          <w:szCs w:val="20"/>
        </w:rPr>
        <w:t>Table 6:</w:t>
      </w:r>
      <w:r w:rsidRPr="00C42C21">
        <w:rPr>
          <w:rFonts w:ascii="Arial" w:hAnsi="Arial" w:cs="Arial"/>
          <w:sz w:val="20"/>
          <w:szCs w:val="20"/>
        </w:rPr>
        <w:t xml:space="preserve"> </w:t>
      </w:r>
      <w:r w:rsidRPr="00C42C21">
        <w:rPr>
          <w:rFonts w:ascii="Arial" w:hAnsi="Arial" w:cs="Arial"/>
          <w:b/>
          <w:sz w:val="20"/>
          <w:szCs w:val="20"/>
        </w:rPr>
        <w:t>Socio-economic support programme targets for 2023/24</w:t>
      </w:r>
    </w:p>
    <w:p w:rsidR="00F232A3" w:rsidRPr="00C42C21" w:rsidRDefault="00F232A3" w:rsidP="00C42C21">
      <w:pPr>
        <w:pStyle w:val="Heading3"/>
        <w:spacing w:before="0" w:line="240" w:lineRule="auto"/>
        <w:rPr>
          <w:rFonts w:ascii="Arial" w:hAnsi="Arial" w:cs="Arial"/>
          <w:color w:val="auto"/>
          <w:sz w:val="20"/>
          <w:szCs w:val="20"/>
        </w:rPr>
      </w:pPr>
      <w:r w:rsidRPr="00C42C21">
        <w:rPr>
          <w:rFonts w:ascii="Arial" w:hAnsi="Arial" w:cs="Arial"/>
          <w:b/>
          <w:color w:val="auto"/>
          <w:sz w:val="20"/>
          <w:szCs w:val="20"/>
        </w:rPr>
        <w:t>6.4</w:t>
      </w:r>
      <w:r w:rsidRPr="00C42C21">
        <w:rPr>
          <w:rFonts w:ascii="Arial" w:hAnsi="Arial" w:cs="Arial"/>
          <w:b/>
          <w:color w:val="auto"/>
          <w:sz w:val="20"/>
          <w:szCs w:val="20"/>
        </w:rPr>
        <w:tab/>
        <w:t xml:space="preserve">Programme 3: Empowerment and Stakeholder Management </w:t>
      </w:r>
      <w:r w:rsidRPr="00C42C21">
        <w:rPr>
          <w:rFonts w:ascii="Arial" w:hAnsi="Arial" w:cs="Arial"/>
          <w:b/>
          <w:color w:val="auto"/>
          <w:sz w:val="20"/>
          <w:szCs w:val="20"/>
        </w:rPr>
        <w:tab/>
      </w:r>
      <w:r w:rsidRPr="00C42C21">
        <w:rPr>
          <w:rFonts w:ascii="Arial" w:hAnsi="Arial" w:cs="Arial"/>
          <w:b/>
          <w:color w:val="auto"/>
          <w:sz w:val="20"/>
          <w:szCs w:val="20"/>
        </w:rPr>
        <w:tab/>
      </w:r>
      <w:r w:rsidRPr="00C42C21">
        <w:rPr>
          <w:rFonts w:ascii="Arial" w:hAnsi="Arial" w:cs="Arial"/>
          <w:b/>
          <w:color w:val="auto"/>
          <w:sz w:val="20"/>
          <w:szCs w:val="20"/>
        </w:rPr>
        <w:tab/>
      </w:r>
      <w:r w:rsidRPr="00C42C21">
        <w:rPr>
          <w:rFonts w:ascii="Arial" w:hAnsi="Arial" w:cs="Arial"/>
          <w:color w:val="auto"/>
          <w:sz w:val="20"/>
          <w:szCs w:val="20"/>
        </w:rPr>
        <w:t xml:space="preserve">      </w:t>
      </w:r>
    </w:p>
    <w:p w:rsidR="00F232A3" w:rsidRPr="00C42C21" w:rsidRDefault="00F232A3" w:rsidP="00C42C21">
      <w:pPr>
        <w:spacing w:after="0" w:line="240" w:lineRule="auto"/>
        <w:jc w:val="both"/>
        <w:rPr>
          <w:rFonts w:ascii="Arial" w:hAnsi="Arial" w:cs="Arial"/>
          <w:b/>
          <w:sz w:val="20"/>
          <w:szCs w:val="20"/>
        </w:rPr>
      </w:pPr>
    </w:p>
    <w:p w:rsidR="009B479B" w:rsidRPr="00C42C21" w:rsidRDefault="009B479B" w:rsidP="00C42C21">
      <w:pPr>
        <w:spacing w:after="0" w:line="240" w:lineRule="auto"/>
        <w:jc w:val="both"/>
        <w:rPr>
          <w:rFonts w:ascii="Arial" w:hAnsi="Arial" w:cs="Arial"/>
          <w:sz w:val="20"/>
          <w:szCs w:val="20"/>
        </w:rPr>
      </w:pPr>
      <w:r w:rsidRPr="00C42C21">
        <w:rPr>
          <w:rFonts w:ascii="Arial" w:hAnsi="Arial" w:cs="Arial"/>
          <w:sz w:val="20"/>
          <w:szCs w:val="20"/>
        </w:rPr>
        <w:t>The main purpose of this programme is to manage and facilitate the implementation of military veteran empowerment and stakeholder management programmes. The allocation for Programme 3 increases substantively from R148.3 million in 2022/23 to R217.2 million in 2023/24. The main increase relates to subprogramme 2 (Empowerment and Skills Development) which sees its allocation increase by 84.6%. The allocation for Heritage, Memorials, Burials and Honours also increases by 89%. However, the allocation for Provincial Offices decreases by 18.7%.</w:t>
      </w:r>
    </w:p>
    <w:p w:rsidR="009B479B" w:rsidRPr="00C42C21" w:rsidRDefault="009B479B" w:rsidP="00C42C21">
      <w:pPr>
        <w:spacing w:after="0" w:line="240" w:lineRule="auto"/>
        <w:jc w:val="both"/>
        <w:rPr>
          <w:rFonts w:ascii="Arial" w:hAnsi="Arial" w:cs="Arial"/>
          <w:sz w:val="20"/>
          <w:szCs w:val="20"/>
        </w:rPr>
      </w:pPr>
    </w:p>
    <w:p w:rsidR="009B479B" w:rsidRPr="00C42C21" w:rsidRDefault="009B479B" w:rsidP="00C42C21">
      <w:pPr>
        <w:spacing w:after="0" w:line="240" w:lineRule="auto"/>
        <w:jc w:val="both"/>
        <w:rPr>
          <w:rFonts w:ascii="Arial" w:hAnsi="Arial" w:cs="Arial"/>
          <w:sz w:val="20"/>
          <w:szCs w:val="20"/>
        </w:rPr>
      </w:pPr>
      <w:r w:rsidRPr="00C42C21">
        <w:rPr>
          <w:rFonts w:ascii="Arial" w:hAnsi="Arial" w:cs="Arial"/>
          <w:sz w:val="20"/>
          <w:szCs w:val="20"/>
        </w:rPr>
        <w:t>In terms of economic classifications, the following should be noted for Programme 3:</w:t>
      </w:r>
    </w:p>
    <w:p w:rsidR="009B479B" w:rsidRPr="00C42C21" w:rsidRDefault="009B479B" w:rsidP="00C42C21">
      <w:pPr>
        <w:numPr>
          <w:ilvl w:val="0"/>
          <w:numId w:val="27"/>
        </w:numPr>
        <w:spacing w:after="0" w:line="240" w:lineRule="auto"/>
        <w:jc w:val="both"/>
        <w:rPr>
          <w:rFonts w:ascii="Arial" w:hAnsi="Arial" w:cs="Arial"/>
          <w:sz w:val="20"/>
          <w:szCs w:val="20"/>
        </w:rPr>
      </w:pPr>
      <w:r w:rsidRPr="00C42C21">
        <w:rPr>
          <w:rFonts w:ascii="Arial" w:hAnsi="Arial" w:cs="Arial"/>
          <w:sz w:val="20"/>
          <w:szCs w:val="20"/>
        </w:rPr>
        <w:t>The DMV aims to spend R10.6 million on ‘heritage assets’ in 2023/24.</w:t>
      </w:r>
    </w:p>
    <w:p w:rsidR="009B479B" w:rsidRPr="00C42C21" w:rsidRDefault="009B479B" w:rsidP="00C42C21">
      <w:pPr>
        <w:numPr>
          <w:ilvl w:val="0"/>
          <w:numId w:val="27"/>
        </w:numPr>
        <w:spacing w:after="0" w:line="240" w:lineRule="auto"/>
        <w:jc w:val="both"/>
        <w:rPr>
          <w:rFonts w:ascii="Arial" w:hAnsi="Arial" w:cs="Arial"/>
          <w:sz w:val="20"/>
          <w:szCs w:val="20"/>
        </w:rPr>
      </w:pPr>
      <w:r w:rsidRPr="00C42C21">
        <w:rPr>
          <w:rFonts w:ascii="Arial" w:hAnsi="Arial" w:cs="Arial"/>
          <w:sz w:val="20"/>
          <w:szCs w:val="20"/>
        </w:rPr>
        <w:t>The major increase relates to ‘Households’ which includes Veterans’ benefits and this allocation increases from R5.9 million in 2022/23 to R70.7 million in 2023/24.</w:t>
      </w:r>
    </w:p>
    <w:p w:rsidR="009B479B" w:rsidRPr="00C42C21" w:rsidRDefault="009B479B" w:rsidP="00C42C21">
      <w:pPr>
        <w:spacing w:after="0" w:line="240" w:lineRule="auto"/>
        <w:jc w:val="both"/>
        <w:rPr>
          <w:rFonts w:ascii="Arial" w:hAnsi="Arial" w:cs="Arial"/>
          <w:b/>
          <w:sz w:val="20"/>
          <w:szCs w:val="20"/>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39"/>
        <w:gridCol w:w="939"/>
        <w:gridCol w:w="1276"/>
        <w:gridCol w:w="1276"/>
        <w:gridCol w:w="1134"/>
        <w:gridCol w:w="1197"/>
      </w:tblGrid>
      <w:tr w:rsidR="009B479B" w:rsidRPr="00C42C21" w:rsidTr="009B479B">
        <w:trPr>
          <w:trHeight w:val="255"/>
          <w:jc w:val="center"/>
        </w:trPr>
        <w:tc>
          <w:tcPr>
            <w:tcW w:w="9033" w:type="dxa"/>
            <w:gridSpan w:val="7"/>
            <w:shd w:val="clear" w:color="auto" w:fill="D9D9D9" w:themeFill="background1" w:themeFillShade="D9"/>
            <w:noWrap/>
            <w:vAlign w:val="bottom"/>
            <w:hideMark/>
          </w:tcPr>
          <w:p w:rsidR="009B479B" w:rsidRPr="00C42C21" w:rsidRDefault="009B479B" w:rsidP="00C42C21">
            <w:pPr>
              <w:spacing w:after="0" w:line="240" w:lineRule="auto"/>
              <w:jc w:val="center"/>
              <w:rPr>
                <w:rFonts w:ascii="Arial" w:hAnsi="Arial" w:cs="Arial"/>
                <w:b/>
                <w:sz w:val="20"/>
                <w:szCs w:val="20"/>
                <w:lang w:eastAsia="en-ZA"/>
              </w:rPr>
            </w:pPr>
            <w:r w:rsidRPr="00C42C21">
              <w:rPr>
                <w:rFonts w:ascii="Arial" w:hAnsi="Arial" w:cs="Arial"/>
                <w:b/>
                <w:sz w:val="20"/>
                <w:szCs w:val="20"/>
                <w:lang w:eastAsia="en-ZA"/>
              </w:rPr>
              <w:t>Programme 3</w:t>
            </w:r>
          </w:p>
        </w:tc>
      </w:tr>
      <w:tr w:rsidR="009B479B" w:rsidRPr="00C42C21" w:rsidTr="009B479B">
        <w:trPr>
          <w:trHeight w:val="76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b/>
                <w:bCs/>
                <w:sz w:val="20"/>
                <w:szCs w:val="20"/>
                <w:lang w:eastAsia="en-ZA"/>
              </w:rPr>
            </w:pPr>
            <w:r w:rsidRPr="00C42C21">
              <w:rPr>
                <w:rFonts w:ascii="Arial" w:hAnsi="Arial" w:cs="Arial"/>
                <w:b/>
                <w:bCs/>
                <w:sz w:val="20"/>
                <w:szCs w:val="20"/>
                <w:lang w:eastAsia="en-ZA"/>
              </w:rPr>
              <w:t>Programme</w:t>
            </w:r>
          </w:p>
        </w:tc>
        <w:tc>
          <w:tcPr>
            <w:tcW w:w="1878" w:type="dxa"/>
            <w:gridSpan w:val="2"/>
            <w:tcBorders>
              <w:bottom w:val="single" w:sz="4" w:space="0" w:color="auto"/>
            </w:tcBorders>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Budget</w:t>
            </w:r>
          </w:p>
        </w:tc>
        <w:tc>
          <w:tcPr>
            <w:tcW w:w="1276"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Nominal Increase / Decrease in 2023/24</w:t>
            </w:r>
          </w:p>
        </w:tc>
        <w:tc>
          <w:tcPr>
            <w:tcW w:w="1276"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Real Increase / Decrease in 2023/24</w:t>
            </w:r>
          </w:p>
        </w:tc>
        <w:tc>
          <w:tcPr>
            <w:tcW w:w="1134"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Nominal Percent change in 2023/24</w:t>
            </w:r>
          </w:p>
        </w:tc>
        <w:tc>
          <w:tcPr>
            <w:tcW w:w="1197" w:type="dxa"/>
            <w:vMerge w:val="restart"/>
            <w:shd w:val="clear" w:color="auto" w:fill="EDEDED" w:themeFill="accent3" w:themeFillTint="33"/>
            <w:vAlign w:val="center"/>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Real Percent change in 2023/24</w:t>
            </w: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R million</w:t>
            </w:r>
          </w:p>
        </w:tc>
        <w:tc>
          <w:tcPr>
            <w:tcW w:w="939" w:type="dxa"/>
            <w:shd w:val="clear" w:color="auto" w:fill="EDEDED" w:themeFill="accent3" w:themeFillTint="33"/>
            <w:noWrap/>
            <w:vAlign w:val="bottom"/>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2022/23</w:t>
            </w:r>
          </w:p>
        </w:tc>
        <w:tc>
          <w:tcPr>
            <w:tcW w:w="939" w:type="dxa"/>
            <w:shd w:val="clear" w:color="auto" w:fill="EDEDED" w:themeFill="accent3" w:themeFillTint="33"/>
            <w:noWrap/>
            <w:vAlign w:val="bottom"/>
          </w:tcPr>
          <w:p w:rsidR="009B479B" w:rsidRPr="00C42C21" w:rsidRDefault="009B479B" w:rsidP="00C42C21">
            <w:pPr>
              <w:spacing w:after="0" w:line="240" w:lineRule="auto"/>
              <w:jc w:val="center"/>
              <w:rPr>
                <w:rFonts w:ascii="Arial" w:hAnsi="Arial" w:cs="Arial"/>
                <w:b/>
                <w:bCs/>
                <w:sz w:val="20"/>
                <w:szCs w:val="20"/>
                <w:lang w:eastAsia="en-ZA"/>
              </w:rPr>
            </w:pPr>
            <w:r w:rsidRPr="00C42C21">
              <w:rPr>
                <w:rFonts w:ascii="Arial" w:hAnsi="Arial" w:cs="Arial"/>
                <w:b/>
                <w:bCs/>
                <w:sz w:val="20"/>
                <w:szCs w:val="20"/>
                <w:lang w:eastAsia="en-ZA"/>
              </w:rPr>
              <w:t>2023/24</w:t>
            </w:r>
          </w:p>
        </w:tc>
        <w:tc>
          <w:tcPr>
            <w:tcW w:w="1276"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c>
          <w:tcPr>
            <w:tcW w:w="1276"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c>
          <w:tcPr>
            <w:tcW w:w="1134"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c>
          <w:tcPr>
            <w:tcW w:w="1197" w:type="dxa"/>
            <w:vMerge/>
            <w:vAlign w:val="center"/>
            <w:hideMark/>
          </w:tcPr>
          <w:p w:rsidR="009B479B" w:rsidRPr="00C42C21" w:rsidRDefault="009B479B" w:rsidP="00C42C21">
            <w:pPr>
              <w:spacing w:after="0" w:line="240" w:lineRule="auto"/>
              <w:rPr>
                <w:rFonts w:ascii="Arial" w:hAnsi="Arial" w:cs="Arial"/>
                <w:b/>
                <w:bCs/>
                <w:sz w:val="20"/>
                <w:szCs w:val="20"/>
                <w:lang w:eastAsia="en-ZA"/>
              </w:rPr>
            </w:pP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sz w:val="20"/>
                <w:szCs w:val="20"/>
                <w:lang w:eastAsia="en-ZA"/>
              </w:rPr>
            </w:pPr>
            <w:r w:rsidRPr="00C42C21">
              <w:rPr>
                <w:rFonts w:ascii="Arial" w:hAnsi="Arial" w:cs="Arial"/>
                <w:sz w:val="20"/>
                <w:szCs w:val="20"/>
                <w:lang w:eastAsia="en-ZA"/>
              </w:rPr>
              <w:t xml:space="preserve">Provincial Offices and </w:t>
            </w:r>
            <w:r w:rsidRPr="00C42C21">
              <w:rPr>
                <w:rFonts w:ascii="Arial" w:hAnsi="Arial" w:cs="Arial"/>
                <w:sz w:val="20"/>
                <w:szCs w:val="20"/>
                <w:lang w:eastAsia="en-ZA"/>
              </w:rPr>
              <w:lastRenderedPageBreak/>
              <w:t>Stakeholder Relations</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lastRenderedPageBreak/>
              <w:t xml:space="preserve">  56,1</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45,6</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10,5</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12,6</w:t>
            </w:r>
          </w:p>
        </w:tc>
        <w:tc>
          <w:tcPr>
            <w:tcW w:w="1134"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-18,72%</w:t>
            </w:r>
          </w:p>
        </w:tc>
        <w:tc>
          <w:tcPr>
            <w:tcW w:w="1197"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-22,51%</w:t>
            </w: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sz w:val="20"/>
                <w:szCs w:val="20"/>
                <w:lang w:eastAsia="en-ZA"/>
              </w:rPr>
            </w:pPr>
            <w:r w:rsidRPr="00C42C21">
              <w:rPr>
                <w:rFonts w:ascii="Arial" w:hAnsi="Arial" w:cs="Arial"/>
                <w:sz w:val="20"/>
                <w:szCs w:val="20"/>
                <w:lang w:eastAsia="en-ZA"/>
              </w:rPr>
              <w:lastRenderedPageBreak/>
              <w:t>Empowerment and Skills Development</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67,6</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124,8</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57,2</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51,4</w:t>
            </w:r>
          </w:p>
        </w:tc>
        <w:tc>
          <w:tcPr>
            <w:tcW w:w="1134"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84,62%</w:t>
            </w:r>
          </w:p>
        </w:tc>
        <w:tc>
          <w:tcPr>
            <w:tcW w:w="1197"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75,99%</w:t>
            </w:r>
          </w:p>
        </w:tc>
      </w:tr>
      <w:tr w:rsidR="009B479B" w:rsidRPr="00C42C21" w:rsidTr="009B479B">
        <w:trPr>
          <w:trHeight w:val="255"/>
          <w:jc w:val="center"/>
        </w:trPr>
        <w:tc>
          <w:tcPr>
            <w:tcW w:w="2272" w:type="dxa"/>
            <w:shd w:val="clear" w:color="auto" w:fill="D9D9D9" w:themeFill="background1" w:themeFillShade="D9"/>
            <w:noWrap/>
            <w:vAlign w:val="bottom"/>
            <w:hideMark/>
          </w:tcPr>
          <w:p w:rsidR="009B479B" w:rsidRPr="00C42C21" w:rsidRDefault="009B479B" w:rsidP="00C42C21">
            <w:pPr>
              <w:spacing w:after="0" w:line="240" w:lineRule="auto"/>
              <w:rPr>
                <w:rFonts w:ascii="Arial" w:hAnsi="Arial" w:cs="Arial"/>
                <w:sz w:val="20"/>
                <w:szCs w:val="20"/>
                <w:lang w:eastAsia="en-ZA"/>
              </w:rPr>
            </w:pPr>
            <w:r w:rsidRPr="00C42C21">
              <w:rPr>
                <w:rFonts w:ascii="Arial" w:hAnsi="Arial" w:cs="Arial"/>
                <w:sz w:val="20"/>
                <w:szCs w:val="20"/>
                <w:lang w:eastAsia="en-ZA"/>
              </w:rPr>
              <w:t>Heritage, Memorials, Burials and Honours</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24,7</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sz w:val="20"/>
                <w:szCs w:val="20"/>
                <w:lang w:eastAsia="en-ZA"/>
              </w:rPr>
            </w:pPr>
            <w:r w:rsidRPr="00C42C21">
              <w:rPr>
                <w:rFonts w:ascii="Arial" w:hAnsi="Arial" w:cs="Arial"/>
                <w:sz w:val="20"/>
                <w:szCs w:val="20"/>
              </w:rPr>
              <w:t xml:space="preserve">  46,7</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22,0</w:t>
            </w:r>
          </w:p>
        </w:tc>
        <w:tc>
          <w:tcPr>
            <w:tcW w:w="1276"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 xml:space="preserve">  19,8</w:t>
            </w:r>
          </w:p>
        </w:tc>
        <w:tc>
          <w:tcPr>
            <w:tcW w:w="1134"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89,07%</w:t>
            </w:r>
          </w:p>
        </w:tc>
        <w:tc>
          <w:tcPr>
            <w:tcW w:w="1197" w:type="dxa"/>
            <w:shd w:val="clear" w:color="auto" w:fill="auto"/>
            <w:noWrap/>
            <w:vAlign w:val="bottom"/>
            <w:hideMark/>
          </w:tcPr>
          <w:p w:rsidR="009B479B" w:rsidRPr="00C42C21" w:rsidRDefault="009B479B" w:rsidP="00C42C21">
            <w:pPr>
              <w:spacing w:after="0" w:line="240" w:lineRule="auto"/>
              <w:jc w:val="right"/>
              <w:rPr>
                <w:rFonts w:ascii="Arial" w:hAnsi="Arial" w:cs="Arial"/>
                <w:sz w:val="20"/>
                <w:szCs w:val="20"/>
              </w:rPr>
            </w:pPr>
            <w:r w:rsidRPr="00C42C21">
              <w:rPr>
                <w:rFonts w:ascii="Arial" w:hAnsi="Arial" w:cs="Arial"/>
                <w:sz w:val="20"/>
                <w:szCs w:val="20"/>
              </w:rPr>
              <w:t>80,24%</w:t>
            </w:r>
          </w:p>
        </w:tc>
      </w:tr>
      <w:tr w:rsidR="009B479B" w:rsidRPr="00C42C21" w:rsidTr="009B479B">
        <w:trPr>
          <w:trHeight w:val="255"/>
          <w:jc w:val="center"/>
        </w:trPr>
        <w:tc>
          <w:tcPr>
            <w:tcW w:w="2272" w:type="dxa"/>
            <w:shd w:val="clear" w:color="auto" w:fill="D9D9D9" w:themeFill="background1" w:themeFillShade="D9"/>
            <w:noWrap/>
            <w:vAlign w:val="bottom"/>
          </w:tcPr>
          <w:p w:rsidR="009B479B" w:rsidRPr="00C42C21" w:rsidRDefault="009B479B" w:rsidP="00C42C21">
            <w:pPr>
              <w:spacing w:after="0" w:line="240" w:lineRule="auto"/>
              <w:rPr>
                <w:rFonts w:ascii="Arial" w:hAnsi="Arial" w:cs="Arial"/>
                <w:b/>
                <w:sz w:val="20"/>
                <w:szCs w:val="20"/>
                <w:lang w:eastAsia="en-ZA"/>
              </w:rPr>
            </w:pPr>
            <w:r w:rsidRPr="00C42C21">
              <w:rPr>
                <w:rFonts w:ascii="Arial" w:hAnsi="Arial" w:cs="Arial"/>
                <w:b/>
                <w:sz w:val="20"/>
                <w:szCs w:val="20"/>
                <w:lang w:eastAsia="en-ZA"/>
              </w:rPr>
              <w:t>TOTAL</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lang w:eastAsia="en-ZA"/>
              </w:rPr>
            </w:pPr>
            <w:r w:rsidRPr="00C42C21">
              <w:rPr>
                <w:rFonts w:ascii="Arial" w:hAnsi="Arial" w:cs="Arial"/>
                <w:b/>
                <w:sz w:val="20"/>
                <w:szCs w:val="20"/>
              </w:rPr>
              <w:t xml:space="preserve">  148,3</w:t>
            </w:r>
          </w:p>
        </w:tc>
        <w:tc>
          <w:tcPr>
            <w:tcW w:w="939"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lang w:eastAsia="en-ZA"/>
              </w:rPr>
            </w:pPr>
            <w:r w:rsidRPr="00C42C21">
              <w:rPr>
                <w:rFonts w:ascii="Arial" w:hAnsi="Arial" w:cs="Arial"/>
                <w:b/>
                <w:sz w:val="20"/>
                <w:szCs w:val="20"/>
              </w:rPr>
              <w:t xml:space="preserve">  217,2</w:t>
            </w:r>
          </w:p>
        </w:tc>
        <w:tc>
          <w:tcPr>
            <w:tcW w:w="1276"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 xml:space="preserve">  68,9</w:t>
            </w:r>
          </w:p>
        </w:tc>
        <w:tc>
          <w:tcPr>
            <w:tcW w:w="1276"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 xml:space="preserve">  58,8</w:t>
            </w:r>
          </w:p>
        </w:tc>
        <w:tc>
          <w:tcPr>
            <w:tcW w:w="1134"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46,5%</w:t>
            </w:r>
          </w:p>
        </w:tc>
        <w:tc>
          <w:tcPr>
            <w:tcW w:w="1197" w:type="dxa"/>
            <w:shd w:val="clear" w:color="auto" w:fill="auto"/>
            <w:noWrap/>
            <w:vAlign w:val="bottom"/>
          </w:tcPr>
          <w:p w:rsidR="009B479B" w:rsidRPr="00C42C21" w:rsidRDefault="009B479B" w:rsidP="00C42C21">
            <w:pPr>
              <w:spacing w:after="0" w:line="240" w:lineRule="auto"/>
              <w:jc w:val="right"/>
              <w:rPr>
                <w:rFonts w:ascii="Arial" w:hAnsi="Arial" w:cs="Arial"/>
                <w:b/>
                <w:sz w:val="20"/>
                <w:szCs w:val="20"/>
              </w:rPr>
            </w:pPr>
            <w:r w:rsidRPr="00C42C21">
              <w:rPr>
                <w:rFonts w:ascii="Arial" w:hAnsi="Arial" w:cs="Arial"/>
                <w:b/>
                <w:sz w:val="20"/>
                <w:szCs w:val="20"/>
              </w:rPr>
              <w:t>39,62%</w:t>
            </w:r>
          </w:p>
        </w:tc>
      </w:tr>
    </w:tbl>
    <w:p w:rsidR="009B479B" w:rsidRPr="00C42C21" w:rsidRDefault="009B479B" w:rsidP="00C42C21">
      <w:pPr>
        <w:spacing w:after="0" w:line="240" w:lineRule="auto"/>
        <w:jc w:val="center"/>
        <w:rPr>
          <w:rFonts w:ascii="Arial" w:hAnsi="Arial" w:cs="Arial"/>
          <w:b/>
          <w:sz w:val="20"/>
          <w:szCs w:val="20"/>
        </w:rPr>
      </w:pPr>
      <w:r w:rsidRPr="00C42C21">
        <w:rPr>
          <w:rFonts w:ascii="Arial" w:hAnsi="Arial" w:cs="Arial"/>
          <w:b/>
          <w:sz w:val="20"/>
          <w:szCs w:val="20"/>
        </w:rPr>
        <w:t>Table 7: Programme 3 expenditure for 2023/24</w:t>
      </w:r>
    </w:p>
    <w:p w:rsidR="009B479B" w:rsidRPr="00C42C21" w:rsidRDefault="009B479B" w:rsidP="00C42C21">
      <w:pPr>
        <w:spacing w:after="0" w:line="240" w:lineRule="auto"/>
        <w:jc w:val="both"/>
        <w:rPr>
          <w:rFonts w:ascii="Arial" w:hAnsi="Arial" w:cs="Arial"/>
          <w:b/>
          <w:sz w:val="20"/>
          <w:szCs w:val="20"/>
        </w:rPr>
      </w:pPr>
    </w:p>
    <w:p w:rsidR="009B479B" w:rsidRPr="00C42C21" w:rsidRDefault="009B479B"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 xml:space="preserve">The Table below highlights the </w:t>
      </w:r>
      <w:r w:rsidRPr="00C42C21">
        <w:rPr>
          <w:rFonts w:ascii="Arial" w:hAnsi="Arial" w:cs="Arial"/>
          <w:b/>
          <w:sz w:val="20"/>
          <w:szCs w:val="20"/>
        </w:rPr>
        <w:t xml:space="preserve">Performance targets </w:t>
      </w:r>
      <w:r w:rsidRPr="00C42C21">
        <w:rPr>
          <w:rFonts w:ascii="Arial" w:hAnsi="Arial" w:cs="Arial"/>
          <w:sz w:val="20"/>
          <w:szCs w:val="20"/>
        </w:rPr>
        <w:t xml:space="preserve">for Programme </w:t>
      </w:r>
      <w:r w:rsidR="00322E57" w:rsidRPr="00C42C21">
        <w:rPr>
          <w:rFonts w:ascii="Arial" w:hAnsi="Arial" w:cs="Arial"/>
          <w:sz w:val="20"/>
          <w:szCs w:val="20"/>
        </w:rPr>
        <w:t>3 for 2023/24:</w:t>
      </w:r>
    </w:p>
    <w:p w:rsidR="009B479B" w:rsidRPr="00C42C21" w:rsidRDefault="009B479B" w:rsidP="00C42C21">
      <w:pPr>
        <w:autoSpaceDE w:val="0"/>
        <w:autoSpaceDN w:val="0"/>
        <w:adjustRightInd w:val="0"/>
        <w:spacing w:after="0" w:line="240" w:lineRule="auto"/>
        <w:jc w:val="both"/>
        <w:rPr>
          <w:rFonts w:ascii="Arial" w:hAnsi="Arial" w:cs="Arial"/>
          <w:sz w:val="20"/>
          <w:szCs w:val="20"/>
        </w:rPr>
      </w:pPr>
    </w:p>
    <w:tbl>
      <w:tblPr>
        <w:tblStyle w:val="TableGrid"/>
        <w:tblW w:w="0" w:type="auto"/>
        <w:tblLook w:val="04A0"/>
      </w:tblPr>
      <w:tblGrid>
        <w:gridCol w:w="3681"/>
        <w:gridCol w:w="2126"/>
        <w:gridCol w:w="1985"/>
        <w:gridCol w:w="1836"/>
      </w:tblGrid>
      <w:tr w:rsidR="009B479B" w:rsidRPr="00C42C21" w:rsidTr="006018BE">
        <w:trPr>
          <w:tblHeader/>
        </w:trPr>
        <w:tc>
          <w:tcPr>
            <w:tcW w:w="3681"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Output indicator</w:t>
            </w:r>
          </w:p>
        </w:tc>
        <w:tc>
          <w:tcPr>
            <w:tcW w:w="2126"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2021/22 Performance (audited)</w:t>
            </w:r>
          </w:p>
        </w:tc>
        <w:tc>
          <w:tcPr>
            <w:tcW w:w="1985"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2022/23 Estimated performance</w:t>
            </w:r>
          </w:p>
        </w:tc>
        <w:tc>
          <w:tcPr>
            <w:tcW w:w="1836" w:type="dxa"/>
            <w:shd w:val="clear" w:color="auto" w:fill="D9D9D9" w:themeFill="background1" w:themeFillShade="D9"/>
          </w:tcPr>
          <w:p w:rsidR="009B479B" w:rsidRPr="00C42C21" w:rsidRDefault="009B479B" w:rsidP="00C42C21">
            <w:pPr>
              <w:autoSpaceDE w:val="0"/>
              <w:autoSpaceDN w:val="0"/>
              <w:adjustRightInd w:val="0"/>
              <w:jc w:val="center"/>
              <w:rPr>
                <w:rFonts w:ascii="Arial" w:hAnsi="Arial" w:cs="Arial"/>
                <w:b/>
                <w:sz w:val="20"/>
                <w:szCs w:val="20"/>
              </w:rPr>
            </w:pPr>
            <w:r w:rsidRPr="00C42C21">
              <w:rPr>
                <w:rFonts w:ascii="Arial" w:hAnsi="Arial" w:cs="Arial"/>
                <w:b/>
                <w:sz w:val="20"/>
                <w:szCs w:val="20"/>
              </w:rPr>
              <w:t>2023/24 Planned performance</w:t>
            </w:r>
          </w:p>
        </w:tc>
      </w:tr>
      <w:tr w:rsidR="009B479B" w:rsidRPr="00C42C21" w:rsidTr="00594230">
        <w:tc>
          <w:tcPr>
            <w:tcW w:w="3681"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Number of memorial lectures</w:t>
            </w:r>
          </w:p>
        </w:tc>
        <w:tc>
          <w:tcPr>
            <w:tcW w:w="212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5</w:t>
            </w:r>
          </w:p>
        </w:tc>
        <w:tc>
          <w:tcPr>
            <w:tcW w:w="1985"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4</w:t>
            </w:r>
          </w:p>
        </w:tc>
        <w:tc>
          <w:tcPr>
            <w:tcW w:w="183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4</w:t>
            </w:r>
          </w:p>
        </w:tc>
      </w:tr>
      <w:tr w:rsidR="009B479B" w:rsidRPr="00C42C21" w:rsidTr="00594230">
        <w:tc>
          <w:tcPr>
            <w:tcW w:w="3681" w:type="dxa"/>
          </w:tcPr>
          <w:p w:rsidR="009B479B"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Percentage of approved burial claims paid within 30 days</w:t>
            </w:r>
          </w:p>
        </w:tc>
        <w:tc>
          <w:tcPr>
            <w:tcW w:w="212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100%</w:t>
            </w:r>
          </w:p>
        </w:tc>
        <w:tc>
          <w:tcPr>
            <w:tcW w:w="1985"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100%</w:t>
            </w:r>
          </w:p>
        </w:tc>
        <w:tc>
          <w:tcPr>
            <w:tcW w:w="183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1005</w:t>
            </w:r>
          </w:p>
        </w:tc>
      </w:tr>
      <w:tr w:rsidR="009B479B" w:rsidRPr="00C42C21" w:rsidTr="00594230">
        <w:tc>
          <w:tcPr>
            <w:tcW w:w="3681" w:type="dxa"/>
          </w:tcPr>
          <w:p w:rsidR="009B479B"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and their dependants approved for skills development programmes</w:t>
            </w:r>
          </w:p>
        </w:tc>
        <w:tc>
          <w:tcPr>
            <w:tcW w:w="212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1 753</w:t>
            </w:r>
          </w:p>
        </w:tc>
        <w:tc>
          <w:tcPr>
            <w:tcW w:w="1985"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1 000</w:t>
            </w:r>
          </w:p>
        </w:tc>
        <w:tc>
          <w:tcPr>
            <w:tcW w:w="183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1 000</w:t>
            </w:r>
          </w:p>
        </w:tc>
      </w:tr>
      <w:tr w:rsidR="009B479B" w:rsidRPr="00C42C21" w:rsidTr="00594230">
        <w:tc>
          <w:tcPr>
            <w:tcW w:w="3681" w:type="dxa"/>
          </w:tcPr>
          <w:p w:rsidR="009B479B"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Number of bursaries provided to Military Veterans and their dependants per year</w:t>
            </w:r>
          </w:p>
        </w:tc>
        <w:tc>
          <w:tcPr>
            <w:tcW w:w="212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3 711</w:t>
            </w:r>
          </w:p>
          <w:p w:rsidR="006018BE"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(2 920 for Basic Education and 791 for Higher Education)</w:t>
            </w:r>
          </w:p>
        </w:tc>
        <w:tc>
          <w:tcPr>
            <w:tcW w:w="1985"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3 500</w:t>
            </w:r>
          </w:p>
        </w:tc>
        <w:tc>
          <w:tcPr>
            <w:tcW w:w="183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3 500</w:t>
            </w:r>
          </w:p>
        </w:tc>
      </w:tr>
      <w:tr w:rsidR="009B479B" w:rsidRPr="00C42C21" w:rsidTr="00594230">
        <w:tc>
          <w:tcPr>
            <w:tcW w:w="3681" w:type="dxa"/>
          </w:tcPr>
          <w:p w:rsidR="009B479B"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businesses provided with access to business facilitation programmes</w:t>
            </w:r>
          </w:p>
        </w:tc>
        <w:tc>
          <w:tcPr>
            <w:tcW w:w="212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117</w:t>
            </w:r>
          </w:p>
        </w:tc>
        <w:tc>
          <w:tcPr>
            <w:tcW w:w="1985"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110</w:t>
            </w:r>
          </w:p>
        </w:tc>
        <w:tc>
          <w:tcPr>
            <w:tcW w:w="183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110</w:t>
            </w:r>
          </w:p>
        </w:tc>
      </w:tr>
      <w:tr w:rsidR="009B479B" w:rsidRPr="00C42C21" w:rsidTr="00594230">
        <w:tc>
          <w:tcPr>
            <w:tcW w:w="3681" w:type="dxa"/>
          </w:tcPr>
          <w:p w:rsidR="009B479B"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provided with access to employment placement opportunities</w:t>
            </w:r>
          </w:p>
        </w:tc>
        <w:tc>
          <w:tcPr>
            <w:tcW w:w="212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0</w:t>
            </w:r>
          </w:p>
        </w:tc>
        <w:tc>
          <w:tcPr>
            <w:tcW w:w="1985"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30</w:t>
            </w:r>
          </w:p>
        </w:tc>
        <w:tc>
          <w:tcPr>
            <w:tcW w:w="1836" w:type="dxa"/>
          </w:tcPr>
          <w:p w:rsidR="009B479B"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30</w:t>
            </w:r>
          </w:p>
        </w:tc>
      </w:tr>
      <w:tr w:rsidR="006018BE" w:rsidRPr="00C42C21" w:rsidTr="006018BE">
        <w:trPr>
          <w:trHeight w:val="47"/>
        </w:trPr>
        <w:tc>
          <w:tcPr>
            <w:tcW w:w="3681" w:type="dxa"/>
          </w:tcPr>
          <w:p w:rsidR="006018BE"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Number of Military Veterans memorial sites facilitated per year</w:t>
            </w:r>
          </w:p>
        </w:tc>
        <w:tc>
          <w:tcPr>
            <w:tcW w:w="2126" w:type="dxa"/>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0</w:t>
            </w:r>
          </w:p>
        </w:tc>
        <w:tc>
          <w:tcPr>
            <w:tcW w:w="1985" w:type="dxa"/>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w:t>
            </w:r>
          </w:p>
        </w:tc>
        <w:tc>
          <w:tcPr>
            <w:tcW w:w="1836" w:type="dxa"/>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3</w:t>
            </w:r>
          </w:p>
        </w:tc>
      </w:tr>
      <w:tr w:rsidR="006018BE" w:rsidRPr="00C42C21" w:rsidTr="00594230">
        <w:tc>
          <w:tcPr>
            <w:tcW w:w="3681" w:type="dxa"/>
          </w:tcPr>
          <w:p w:rsidR="006018BE" w:rsidRPr="00C42C21" w:rsidRDefault="006018BE" w:rsidP="00C42C21">
            <w:pPr>
              <w:autoSpaceDE w:val="0"/>
              <w:autoSpaceDN w:val="0"/>
              <w:adjustRightInd w:val="0"/>
              <w:rPr>
                <w:rFonts w:ascii="Arial" w:hAnsi="Arial" w:cs="Arial"/>
                <w:sz w:val="20"/>
                <w:szCs w:val="20"/>
              </w:rPr>
            </w:pPr>
            <w:r w:rsidRPr="00C42C21">
              <w:rPr>
                <w:rFonts w:ascii="Arial" w:hAnsi="Arial" w:cs="Arial"/>
                <w:sz w:val="20"/>
                <w:szCs w:val="20"/>
              </w:rPr>
              <w:t>Number of Public Private Partnerships in agreement with the Department</w:t>
            </w:r>
          </w:p>
        </w:tc>
        <w:tc>
          <w:tcPr>
            <w:tcW w:w="2126" w:type="dxa"/>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New Indicator</w:t>
            </w:r>
          </w:p>
        </w:tc>
        <w:tc>
          <w:tcPr>
            <w:tcW w:w="1985" w:type="dxa"/>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New Indicator</w:t>
            </w:r>
          </w:p>
        </w:tc>
        <w:tc>
          <w:tcPr>
            <w:tcW w:w="1836" w:type="dxa"/>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4</w:t>
            </w:r>
          </w:p>
        </w:tc>
      </w:tr>
    </w:tbl>
    <w:p w:rsidR="009B479B" w:rsidRPr="00C42C21" w:rsidRDefault="009B479B" w:rsidP="00C42C21">
      <w:pPr>
        <w:spacing w:after="0" w:line="240" w:lineRule="auto"/>
        <w:jc w:val="center"/>
        <w:rPr>
          <w:rFonts w:ascii="Arial" w:hAnsi="Arial" w:cs="Arial"/>
          <w:b/>
          <w:sz w:val="20"/>
          <w:szCs w:val="20"/>
        </w:rPr>
      </w:pPr>
      <w:r w:rsidRPr="00C42C21">
        <w:rPr>
          <w:rFonts w:ascii="Arial" w:hAnsi="Arial" w:cs="Arial"/>
          <w:b/>
          <w:sz w:val="20"/>
          <w:szCs w:val="20"/>
        </w:rPr>
        <w:t xml:space="preserve">Table </w:t>
      </w:r>
      <w:r w:rsidR="00322E57" w:rsidRPr="00C42C21">
        <w:rPr>
          <w:rFonts w:ascii="Arial" w:hAnsi="Arial" w:cs="Arial"/>
          <w:b/>
          <w:sz w:val="20"/>
          <w:szCs w:val="20"/>
        </w:rPr>
        <w:t>7</w:t>
      </w:r>
      <w:r w:rsidRPr="00C42C21">
        <w:rPr>
          <w:rFonts w:ascii="Arial" w:hAnsi="Arial" w:cs="Arial"/>
          <w:b/>
          <w:sz w:val="20"/>
          <w:szCs w:val="20"/>
        </w:rPr>
        <w:t xml:space="preserve">: </w:t>
      </w:r>
      <w:r w:rsidR="00322E57" w:rsidRPr="00C42C21">
        <w:rPr>
          <w:rFonts w:ascii="Arial" w:hAnsi="Arial" w:cs="Arial"/>
          <w:b/>
          <w:sz w:val="20"/>
          <w:szCs w:val="20"/>
        </w:rPr>
        <w:t xml:space="preserve">Empowerment and Stakeholder Management </w:t>
      </w:r>
      <w:r w:rsidRPr="00C42C21">
        <w:rPr>
          <w:rFonts w:ascii="Arial" w:hAnsi="Arial" w:cs="Arial"/>
          <w:b/>
          <w:sz w:val="20"/>
          <w:szCs w:val="20"/>
        </w:rPr>
        <w:t>programme performance targets</w:t>
      </w:r>
    </w:p>
    <w:p w:rsidR="009B479B" w:rsidRPr="00C42C21" w:rsidRDefault="009B479B" w:rsidP="00C42C21">
      <w:pPr>
        <w:spacing w:after="0" w:line="240" w:lineRule="auto"/>
        <w:jc w:val="both"/>
        <w:rPr>
          <w:rFonts w:ascii="Arial" w:hAnsi="Arial" w:cs="Arial"/>
          <w:b/>
          <w:sz w:val="20"/>
          <w:szCs w:val="20"/>
        </w:rPr>
      </w:pPr>
    </w:p>
    <w:p w:rsidR="00F232A3" w:rsidRPr="00C42C21" w:rsidRDefault="0084743E" w:rsidP="00C42C21">
      <w:pPr>
        <w:pStyle w:val="Heading1"/>
        <w:spacing w:before="0" w:line="240" w:lineRule="auto"/>
        <w:rPr>
          <w:rFonts w:ascii="Arial" w:eastAsiaTheme="minorHAnsi" w:hAnsi="Arial" w:cs="Arial"/>
          <w:b/>
          <w:color w:val="auto"/>
          <w:spacing w:val="0"/>
          <w:sz w:val="20"/>
          <w:szCs w:val="20"/>
          <w:lang w:val="en-ZA" w:eastAsia="en-US"/>
        </w:rPr>
      </w:pPr>
      <w:r w:rsidRPr="00C42C21">
        <w:rPr>
          <w:rFonts w:ascii="Arial" w:hAnsi="Arial" w:cs="Arial"/>
          <w:b/>
          <w:color w:val="auto"/>
          <w:sz w:val="20"/>
          <w:szCs w:val="20"/>
        </w:rPr>
        <w:t>7.</w:t>
      </w:r>
      <w:r w:rsidRPr="00C42C21">
        <w:rPr>
          <w:rFonts w:ascii="Arial" w:hAnsi="Arial" w:cs="Arial"/>
          <w:b/>
          <w:color w:val="auto"/>
          <w:sz w:val="20"/>
          <w:szCs w:val="20"/>
        </w:rPr>
        <w:tab/>
      </w:r>
      <w:r w:rsidR="00F232A3" w:rsidRPr="00C42C21">
        <w:rPr>
          <w:rFonts w:ascii="Arial" w:eastAsiaTheme="minorHAnsi" w:hAnsi="Arial" w:cs="Arial"/>
          <w:b/>
          <w:color w:val="auto"/>
          <w:spacing w:val="0"/>
          <w:sz w:val="20"/>
          <w:szCs w:val="20"/>
          <w:lang w:val="en-ZA" w:eastAsia="en-US"/>
        </w:rPr>
        <w:t xml:space="preserve">HUMAN RESOURCES </w:t>
      </w:r>
    </w:p>
    <w:p w:rsidR="00F232A3" w:rsidRPr="00C42C21" w:rsidRDefault="00F232A3" w:rsidP="00C42C21">
      <w:pPr>
        <w:autoSpaceDE w:val="0"/>
        <w:autoSpaceDN w:val="0"/>
        <w:adjustRightInd w:val="0"/>
        <w:spacing w:after="0" w:line="240" w:lineRule="auto"/>
        <w:jc w:val="both"/>
        <w:rPr>
          <w:rFonts w:ascii="Arial" w:hAnsi="Arial" w:cs="Arial"/>
          <w:b/>
          <w:sz w:val="20"/>
          <w:szCs w:val="20"/>
        </w:rPr>
      </w:pPr>
    </w:p>
    <w:p w:rsidR="00F232A3" w:rsidRPr="00C42C21" w:rsidRDefault="00F232A3"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The APP outlines the total staff including vacancies as 1</w:t>
      </w:r>
      <w:r w:rsidR="006018BE" w:rsidRPr="00C42C21">
        <w:rPr>
          <w:rFonts w:ascii="Arial" w:hAnsi="Arial" w:cs="Arial"/>
          <w:sz w:val="20"/>
          <w:szCs w:val="20"/>
        </w:rPr>
        <w:t>96</w:t>
      </w:r>
      <w:r w:rsidRPr="00C42C21">
        <w:rPr>
          <w:rFonts w:ascii="Arial" w:hAnsi="Arial" w:cs="Arial"/>
          <w:sz w:val="20"/>
          <w:szCs w:val="20"/>
        </w:rPr>
        <w:t xml:space="preserve"> with the current staff being 12</w:t>
      </w:r>
      <w:r w:rsidR="006018BE" w:rsidRPr="00C42C21">
        <w:rPr>
          <w:rFonts w:ascii="Arial" w:hAnsi="Arial" w:cs="Arial"/>
          <w:sz w:val="20"/>
          <w:szCs w:val="20"/>
        </w:rPr>
        <w:t>7</w:t>
      </w:r>
      <w:r w:rsidRPr="00C42C21">
        <w:rPr>
          <w:rFonts w:ascii="Arial" w:hAnsi="Arial" w:cs="Arial"/>
          <w:sz w:val="20"/>
          <w:szCs w:val="20"/>
        </w:rPr>
        <w:t>; vacancies at 2</w:t>
      </w:r>
      <w:r w:rsidR="006018BE" w:rsidRPr="00C42C21">
        <w:rPr>
          <w:rFonts w:ascii="Arial" w:hAnsi="Arial" w:cs="Arial"/>
          <w:sz w:val="20"/>
          <w:szCs w:val="20"/>
        </w:rPr>
        <w:t>3</w:t>
      </w:r>
      <w:r w:rsidRPr="00C42C21">
        <w:rPr>
          <w:rFonts w:ascii="Arial" w:hAnsi="Arial" w:cs="Arial"/>
          <w:sz w:val="20"/>
          <w:szCs w:val="20"/>
        </w:rPr>
        <w:t>; contract workers at 4</w:t>
      </w:r>
      <w:r w:rsidR="006018BE" w:rsidRPr="00C42C21">
        <w:rPr>
          <w:rFonts w:ascii="Arial" w:hAnsi="Arial" w:cs="Arial"/>
          <w:sz w:val="20"/>
          <w:szCs w:val="20"/>
        </w:rPr>
        <w:t>6 with no interns</w:t>
      </w:r>
      <w:r w:rsidRPr="00C42C21">
        <w:rPr>
          <w:rFonts w:ascii="Arial" w:hAnsi="Arial" w:cs="Arial"/>
          <w:sz w:val="20"/>
          <w:szCs w:val="20"/>
        </w:rPr>
        <w:t xml:space="preserve">. It further states that </w:t>
      </w:r>
      <w:r w:rsidR="006018BE" w:rsidRPr="00C42C21">
        <w:rPr>
          <w:rFonts w:ascii="Arial" w:hAnsi="Arial" w:cs="Arial"/>
          <w:sz w:val="20"/>
          <w:szCs w:val="20"/>
        </w:rPr>
        <w:t>as at January 2023, the department had filled a total of 129 posts (16.2% of total funded). The PCDMV has, in the past, pointed to ongoing concerns around senior management vacancies which impacts negatively on the ability of the DMV to focus on service-delivery.</w:t>
      </w:r>
    </w:p>
    <w:p w:rsidR="00D360D5" w:rsidRPr="00C42C21" w:rsidRDefault="00D360D5" w:rsidP="00C42C21">
      <w:pPr>
        <w:autoSpaceDE w:val="0"/>
        <w:autoSpaceDN w:val="0"/>
        <w:adjustRightInd w:val="0"/>
        <w:spacing w:after="0" w:line="240" w:lineRule="auto"/>
        <w:jc w:val="both"/>
        <w:rPr>
          <w:rFonts w:ascii="Arial" w:hAnsi="Arial" w:cs="Arial"/>
          <w:sz w:val="20"/>
          <w:szCs w:val="20"/>
        </w:rPr>
      </w:pPr>
    </w:p>
    <w:tbl>
      <w:tblPr>
        <w:tblStyle w:val="TableGrid"/>
        <w:tblW w:w="9068" w:type="dxa"/>
        <w:jc w:val="center"/>
        <w:tblLook w:val="04A0"/>
      </w:tblPr>
      <w:tblGrid>
        <w:gridCol w:w="1856"/>
        <w:gridCol w:w="1699"/>
        <w:gridCol w:w="1554"/>
        <w:gridCol w:w="1689"/>
        <w:gridCol w:w="1135"/>
        <w:gridCol w:w="1135"/>
      </w:tblGrid>
      <w:tr w:rsidR="00F232A3" w:rsidRPr="00C42C21" w:rsidTr="006018BE">
        <w:trPr>
          <w:jc w:val="center"/>
        </w:trPr>
        <w:tc>
          <w:tcPr>
            <w:tcW w:w="1856" w:type="dxa"/>
            <w:tcBorders>
              <w:bottom w:val="single" w:sz="4" w:space="0" w:color="auto"/>
            </w:tcBorders>
            <w:shd w:val="clear" w:color="auto" w:fill="D9D9D9" w:themeFill="background1" w:themeFillShade="D9"/>
          </w:tcPr>
          <w:p w:rsidR="00F232A3" w:rsidRPr="00C42C21" w:rsidRDefault="00F232A3" w:rsidP="00C42C21">
            <w:pPr>
              <w:autoSpaceDE w:val="0"/>
              <w:autoSpaceDN w:val="0"/>
              <w:adjustRightInd w:val="0"/>
              <w:jc w:val="both"/>
              <w:rPr>
                <w:rFonts w:ascii="Arial" w:hAnsi="Arial" w:cs="Arial"/>
                <w:b/>
                <w:sz w:val="20"/>
                <w:szCs w:val="20"/>
              </w:rPr>
            </w:pPr>
          </w:p>
        </w:tc>
        <w:tc>
          <w:tcPr>
            <w:tcW w:w="1699" w:type="dxa"/>
            <w:tcBorders>
              <w:bottom w:val="single" w:sz="4" w:space="0" w:color="auto"/>
            </w:tcBorders>
            <w:shd w:val="clear" w:color="auto" w:fill="D9D9D9" w:themeFill="background1" w:themeFillShade="D9"/>
          </w:tcPr>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Permanent</w:t>
            </w:r>
          </w:p>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Employees</w:t>
            </w:r>
          </w:p>
        </w:tc>
        <w:tc>
          <w:tcPr>
            <w:tcW w:w="1554" w:type="dxa"/>
            <w:tcBorders>
              <w:bottom w:val="single" w:sz="4" w:space="0" w:color="auto"/>
            </w:tcBorders>
            <w:shd w:val="clear" w:color="auto" w:fill="D9D9D9" w:themeFill="background1" w:themeFillShade="D9"/>
          </w:tcPr>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Contract</w:t>
            </w:r>
          </w:p>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Workers</w:t>
            </w:r>
          </w:p>
        </w:tc>
        <w:tc>
          <w:tcPr>
            <w:tcW w:w="1689" w:type="dxa"/>
            <w:tcBorders>
              <w:bottom w:val="single" w:sz="4" w:space="0" w:color="auto"/>
            </w:tcBorders>
            <w:shd w:val="clear" w:color="auto" w:fill="D9D9D9" w:themeFill="background1" w:themeFillShade="D9"/>
          </w:tcPr>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Vacancies</w:t>
            </w:r>
          </w:p>
        </w:tc>
        <w:tc>
          <w:tcPr>
            <w:tcW w:w="1135" w:type="dxa"/>
            <w:tcBorders>
              <w:bottom w:val="single" w:sz="4" w:space="0" w:color="auto"/>
            </w:tcBorders>
            <w:shd w:val="clear" w:color="auto" w:fill="D9D9D9" w:themeFill="background1" w:themeFillShade="D9"/>
          </w:tcPr>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Interns</w:t>
            </w:r>
          </w:p>
        </w:tc>
        <w:tc>
          <w:tcPr>
            <w:tcW w:w="1135" w:type="dxa"/>
            <w:tcBorders>
              <w:bottom w:val="single" w:sz="4" w:space="0" w:color="auto"/>
            </w:tcBorders>
            <w:shd w:val="clear" w:color="auto" w:fill="D9D9D9" w:themeFill="background1" w:themeFillShade="D9"/>
          </w:tcPr>
          <w:p w:rsidR="00F232A3" w:rsidRPr="00C42C21" w:rsidRDefault="00F232A3" w:rsidP="00C42C21">
            <w:pPr>
              <w:autoSpaceDE w:val="0"/>
              <w:autoSpaceDN w:val="0"/>
              <w:adjustRightInd w:val="0"/>
              <w:jc w:val="center"/>
              <w:rPr>
                <w:rFonts w:ascii="Arial" w:hAnsi="Arial" w:cs="Arial"/>
                <w:b/>
                <w:sz w:val="20"/>
                <w:szCs w:val="20"/>
              </w:rPr>
            </w:pPr>
            <w:r w:rsidRPr="00C42C21">
              <w:rPr>
                <w:rFonts w:ascii="Arial" w:hAnsi="Arial" w:cs="Arial"/>
                <w:b/>
                <w:sz w:val="20"/>
                <w:szCs w:val="20"/>
              </w:rPr>
              <w:t>Total</w:t>
            </w:r>
          </w:p>
        </w:tc>
      </w:tr>
      <w:tr w:rsidR="00F232A3" w:rsidRPr="00C42C21" w:rsidTr="006018BE">
        <w:trPr>
          <w:jc w:val="center"/>
        </w:trPr>
        <w:tc>
          <w:tcPr>
            <w:tcW w:w="1856" w:type="dxa"/>
            <w:tcBorders>
              <w:bottom w:val="single" w:sz="4" w:space="0" w:color="auto"/>
            </w:tcBorders>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FY2020/21</w:t>
            </w:r>
          </w:p>
        </w:tc>
        <w:tc>
          <w:tcPr>
            <w:tcW w:w="1699" w:type="dxa"/>
            <w:tcBorders>
              <w:bottom w:val="single" w:sz="4" w:space="0" w:color="auto"/>
            </w:tcBorders>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144</w:t>
            </w:r>
          </w:p>
        </w:tc>
        <w:tc>
          <w:tcPr>
            <w:tcW w:w="1554" w:type="dxa"/>
            <w:tcBorders>
              <w:bottom w:val="single" w:sz="4" w:space="0" w:color="auto"/>
            </w:tcBorders>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63</w:t>
            </w:r>
          </w:p>
        </w:tc>
        <w:tc>
          <w:tcPr>
            <w:tcW w:w="1689" w:type="dxa"/>
            <w:tcBorders>
              <w:bottom w:val="single" w:sz="4" w:space="0" w:color="auto"/>
            </w:tcBorders>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26</w:t>
            </w:r>
          </w:p>
        </w:tc>
        <w:tc>
          <w:tcPr>
            <w:tcW w:w="1135" w:type="dxa"/>
            <w:tcBorders>
              <w:bottom w:val="single" w:sz="4" w:space="0" w:color="auto"/>
            </w:tcBorders>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28</w:t>
            </w:r>
          </w:p>
        </w:tc>
        <w:tc>
          <w:tcPr>
            <w:tcW w:w="1135" w:type="dxa"/>
            <w:tcBorders>
              <w:bottom w:val="single" w:sz="4" w:space="0" w:color="auto"/>
            </w:tcBorders>
            <w:shd w:val="clear" w:color="auto" w:fill="FFFFFF" w:themeFill="background1"/>
          </w:tcPr>
          <w:p w:rsidR="00F232A3" w:rsidRPr="00C42C21" w:rsidRDefault="00F232A3" w:rsidP="00C42C21">
            <w:pPr>
              <w:autoSpaceDE w:val="0"/>
              <w:autoSpaceDN w:val="0"/>
              <w:adjustRightInd w:val="0"/>
              <w:jc w:val="both"/>
              <w:rPr>
                <w:rFonts w:ascii="Arial" w:hAnsi="Arial" w:cs="Arial"/>
                <w:b/>
                <w:sz w:val="20"/>
                <w:szCs w:val="20"/>
              </w:rPr>
            </w:pPr>
            <w:r w:rsidRPr="00C42C21">
              <w:rPr>
                <w:rFonts w:ascii="Arial" w:hAnsi="Arial" w:cs="Arial"/>
                <w:b/>
                <w:sz w:val="20"/>
                <w:szCs w:val="20"/>
              </w:rPr>
              <w:t>261</w:t>
            </w:r>
          </w:p>
        </w:tc>
      </w:tr>
      <w:tr w:rsidR="00F232A3" w:rsidRPr="00C42C21" w:rsidTr="006018BE">
        <w:trPr>
          <w:jc w:val="center"/>
        </w:trPr>
        <w:tc>
          <w:tcPr>
            <w:tcW w:w="1856"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FY2021/22</w:t>
            </w:r>
          </w:p>
        </w:tc>
        <w:tc>
          <w:tcPr>
            <w:tcW w:w="1699"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128</w:t>
            </w:r>
          </w:p>
        </w:tc>
        <w:tc>
          <w:tcPr>
            <w:tcW w:w="1554"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61</w:t>
            </w:r>
          </w:p>
        </w:tc>
        <w:tc>
          <w:tcPr>
            <w:tcW w:w="1689"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43</w:t>
            </w:r>
          </w:p>
        </w:tc>
        <w:tc>
          <w:tcPr>
            <w:tcW w:w="1135"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14</w:t>
            </w:r>
          </w:p>
        </w:tc>
        <w:tc>
          <w:tcPr>
            <w:tcW w:w="1135" w:type="dxa"/>
            <w:shd w:val="clear" w:color="auto" w:fill="FFFFFF" w:themeFill="background1"/>
          </w:tcPr>
          <w:p w:rsidR="00F232A3" w:rsidRPr="00C42C21" w:rsidRDefault="00F232A3" w:rsidP="00C42C21">
            <w:pPr>
              <w:autoSpaceDE w:val="0"/>
              <w:autoSpaceDN w:val="0"/>
              <w:adjustRightInd w:val="0"/>
              <w:jc w:val="both"/>
              <w:rPr>
                <w:rFonts w:ascii="Arial" w:hAnsi="Arial" w:cs="Arial"/>
                <w:b/>
                <w:sz w:val="20"/>
                <w:szCs w:val="20"/>
              </w:rPr>
            </w:pPr>
            <w:r w:rsidRPr="00C42C21">
              <w:rPr>
                <w:rFonts w:ascii="Arial" w:hAnsi="Arial" w:cs="Arial"/>
                <w:b/>
                <w:sz w:val="20"/>
                <w:szCs w:val="20"/>
              </w:rPr>
              <w:t>264</w:t>
            </w:r>
          </w:p>
        </w:tc>
      </w:tr>
      <w:tr w:rsidR="00F232A3" w:rsidRPr="00C42C21" w:rsidTr="006018BE">
        <w:trPr>
          <w:jc w:val="center"/>
        </w:trPr>
        <w:tc>
          <w:tcPr>
            <w:tcW w:w="1856"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FY2022/23</w:t>
            </w:r>
          </w:p>
        </w:tc>
        <w:tc>
          <w:tcPr>
            <w:tcW w:w="1699"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129</w:t>
            </w:r>
          </w:p>
        </w:tc>
        <w:tc>
          <w:tcPr>
            <w:tcW w:w="1554"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48</w:t>
            </w:r>
          </w:p>
        </w:tc>
        <w:tc>
          <w:tcPr>
            <w:tcW w:w="1689"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26</w:t>
            </w:r>
          </w:p>
        </w:tc>
        <w:tc>
          <w:tcPr>
            <w:tcW w:w="1135" w:type="dxa"/>
            <w:shd w:val="clear" w:color="auto" w:fill="FFFFFF" w:themeFill="background1"/>
          </w:tcPr>
          <w:p w:rsidR="00F232A3" w:rsidRPr="00C42C21" w:rsidRDefault="00F232A3" w:rsidP="00C42C21">
            <w:pPr>
              <w:autoSpaceDE w:val="0"/>
              <w:autoSpaceDN w:val="0"/>
              <w:adjustRightInd w:val="0"/>
              <w:jc w:val="both"/>
              <w:rPr>
                <w:rFonts w:ascii="Arial" w:hAnsi="Arial" w:cs="Arial"/>
                <w:sz w:val="20"/>
                <w:szCs w:val="20"/>
              </w:rPr>
            </w:pPr>
            <w:r w:rsidRPr="00C42C21">
              <w:rPr>
                <w:rFonts w:ascii="Arial" w:hAnsi="Arial" w:cs="Arial"/>
                <w:sz w:val="20"/>
                <w:szCs w:val="20"/>
              </w:rPr>
              <w:t>0</w:t>
            </w:r>
          </w:p>
        </w:tc>
        <w:tc>
          <w:tcPr>
            <w:tcW w:w="1135" w:type="dxa"/>
            <w:shd w:val="clear" w:color="auto" w:fill="FFFFFF" w:themeFill="background1"/>
          </w:tcPr>
          <w:p w:rsidR="00F232A3" w:rsidRPr="00C42C21" w:rsidRDefault="00F232A3" w:rsidP="00C42C21">
            <w:pPr>
              <w:autoSpaceDE w:val="0"/>
              <w:autoSpaceDN w:val="0"/>
              <w:adjustRightInd w:val="0"/>
              <w:jc w:val="both"/>
              <w:rPr>
                <w:rFonts w:ascii="Arial" w:hAnsi="Arial" w:cs="Arial"/>
                <w:b/>
                <w:sz w:val="20"/>
                <w:szCs w:val="20"/>
              </w:rPr>
            </w:pPr>
            <w:r w:rsidRPr="00C42C21">
              <w:rPr>
                <w:rFonts w:ascii="Arial" w:hAnsi="Arial" w:cs="Arial"/>
                <w:b/>
                <w:sz w:val="20"/>
                <w:szCs w:val="20"/>
              </w:rPr>
              <w:t>203</w:t>
            </w:r>
          </w:p>
        </w:tc>
      </w:tr>
      <w:tr w:rsidR="006018BE" w:rsidRPr="00C42C21" w:rsidTr="006018BE">
        <w:trPr>
          <w:jc w:val="center"/>
        </w:trPr>
        <w:tc>
          <w:tcPr>
            <w:tcW w:w="1856" w:type="dxa"/>
            <w:shd w:val="clear" w:color="auto" w:fill="FFFFFF" w:themeFill="background1"/>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FY 2023/24</w:t>
            </w:r>
          </w:p>
        </w:tc>
        <w:tc>
          <w:tcPr>
            <w:tcW w:w="1699" w:type="dxa"/>
            <w:shd w:val="clear" w:color="auto" w:fill="FFFFFF" w:themeFill="background1"/>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127</w:t>
            </w:r>
          </w:p>
        </w:tc>
        <w:tc>
          <w:tcPr>
            <w:tcW w:w="1554" w:type="dxa"/>
            <w:shd w:val="clear" w:color="auto" w:fill="FFFFFF" w:themeFill="background1"/>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46</w:t>
            </w:r>
          </w:p>
        </w:tc>
        <w:tc>
          <w:tcPr>
            <w:tcW w:w="1689" w:type="dxa"/>
            <w:shd w:val="clear" w:color="auto" w:fill="FFFFFF" w:themeFill="background1"/>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23</w:t>
            </w:r>
          </w:p>
        </w:tc>
        <w:tc>
          <w:tcPr>
            <w:tcW w:w="1135" w:type="dxa"/>
            <w:shd w:val="clear" w:color="auto" w:fill="FFFFFF" w:themeFill="background1"/>
          </w:tcPr>
          <w:p w:rsidR="006018BE" w:rsidRPr="00C42C21" w:rsidRDefault="006018BE" w:rsidP="00C42C21">
            <w:pPr>
              <w:autoSpaceDE w:val="0"/>
              <w:autoSpaceDN w:val="0"/>
              <w:adjustRightInd w:val="0"/>
              <w:jc w:val="both"/>
              <w:rPr>
                <w:rFonts w:ascii="Arial" w:hAnsi="Arial" w:cs="Arial"/>
                <w:sz w:val="20"/>
                <w:szCs w:val="20"/>
              </w:rPr>
            </w:pPr>
            <w:r w:rsidRPr="00C42C21">
              <w:rPr>
                <w:rFonts w:ascii="Arial" w:hAnsi="Arial" w:cs="Arial"/>
                <w:sz w:val="20"/>
                <w:szCs w:val="20"/>
              </w:rPr>
              <w:t>0</w:t>
            </w:r>
          </w:p>
        </w:tc>
        <w:tc>
          <w:tcPr>
            <w:tcW w:w="1135" w:type="dxa"/>
            <w:shd w:val="clear" w:color="auto" w:fill="FFFFFF" w:themeFill="background1"/>
          </w:tcPr>
          <w:p w:rsidR="006018BE" w:rsidRPr="00C42C21" w:rsidRDefault="006018BE" w:rsidP="00C42C21">
            <w:pPr>
              <w:autoSpaceDE w:val="0"/>
              <w:autoSpaceDN w:val="0"/>
              <w:adjustRightInd w:val="0"/>
              <w:jc w:val="both"/>
              <w:rPr>
                <w:rFonts w:ascii="Arial" w:hAnsi="Arial" w:cs="Arial"/>
                <w:b/>
                <w:sz w:val="20"/>
                <w:szCs w:val="20"/>
              </w:rPr>
            </w:pPr>
            <w:r w:rsidRPr="00C42C21">
              <w:rPr>
                <w:rFonts w:ascii="Arial" w:hAnsi="Arial" w:cs="Arial"/>
                <w:b/>
                <w:sz w:val="20"/>
                <w:szCs w:val="20"/>
              </w:rPr>
              <w:t>196</w:t>
            </w:r>
          </w:p>
        </w:tc>
      </w:tr>
    </w:tbl>
    <w:p w:rsidR="00F232A3" w:rsidRPr="00C42C21" w:rsidRDefault="006018BE" w:rsidP="00C42C21">
      <w:pPr>
        <w:autoSpaceDE w:val="0"/>
        <w:autoSpaceDN w:val="0"/>
        <w:adjustRightInd w:val="0"/>
        <w:spacing w:after="0" w:line="240" w:lineRule="auto"/>
        <w:jc w:val="center"/>
        <w:rPr>
          <w:rFonts w:ascii="Arial" w:hAnsi="Arial" w:cs="Arial"/>
          <w:b/>
          <w:sz w:val="20"/>
          <w:szCs w:val="20"/>
        </w:rPr>
      </w:pPr>
      <w:r w:rsidRPr="00C42C21">
        <w:rPr>
          <w:rFonts w:ascii="Arial" w:hAnsi="Arial" w:cs="Arial"/>
          <w:b/>
          <w:sz w:val="20"/>
          <w:szCs w:val="20"/>
        </w:rPr>
        <w:t>Table 8: DMV human Resources</w:t>
      </w:r>
    </w:p>
    <w:p w:rsidR="006018BE" w:rsidRPr="00C42C21" w:rsidRDefault="006018BE" w:rsidP="00C42C21">
      <w:pPr>
        <w:autoSpaceDE w:val="0"/>
        <w:autoSpaceDN w:val="0"/>
        <w:adjustRightInd w:val="0"/>
        <w:spacing w:after="0" w:line="240" w:lineRule="auto"/>
        <w:jc w:val="both"/>
        <w:rPr>
          <w:rFonts w:ascii="Arial" w:hAnsi="Arial" w:cs="Arial"/>
          <w:b/>
          <w:sz w:val="20"/>
          <w:szCs w:val="20"/>
        </w:rPr>
      </w:pPr>
    </w:p>
    <w:p w:rsidR="006018BE" w:rsidRPr="00C42C21" w:rsidRDefault="006018BE" w:rsidP="00C42C21">
      <w:pPr>
        <w:autoSpaceDE w:val="0"/>
        <w:autoSpaceDN w:val="0"/>
        <w:adjustRightInd w:val="0"/>
        <w:spacing w:after="0" w:line="240" w:lineRule="auto"/>
        <w:jc w:val="both"/>
        <w:rPr>
          <w:rFonts w:ascii="Arial" w:hAnsi="Arial" w:cs="Arial"/>
          <w:b/>
          <w:sz w:val="20"/>
          <w:szCs w:val="20"/>
        </w:rPr>
      </w:pPr>
    </w:p>
    <w:p w:rsidR="006018BE" w:rsidRPr="00C42C21" w:rsidRDefault="006018BE" w:rsidP="00C42C21">
      <w:pPr>
        <w:autoSpaceDE w:val="0"/>
        <w:autoSpaceDN w:val="0"/>
        <w:adjustRightInd w:val="0"/>
        <w:spacing w:after="0" w:line="240" w:lineRule="auto"/>
        <w:jc w:val="both"/>
        <w:rPr>
          <w:rFonts w:ascii="Arial" w:hAnsi="Arial" w:cs="Arial"/>
          <w:b/>
          <w:sz w:val="20"/>
          <w:szCs w:val="20"/>
        </w:rPr>
      </w:pPr>
    </w:p>
    <w:p w:rsidR="006018BE" w:rsidRPr="00C42C21" w:rsidRDefault="006018BE" w:rsidP="00C42C21">
      <w:pPr>
        <w:autoSpaceDE w:val="0"/>
        <w:autoSpaceDN w:val="0"/>
        <w:adjustRightInd w:val="0"/>
        <w:spacing w:after="0" w:line="240" w:lineRule="auto"/>
        <w:jc w:val="both"/>
        <w:rPr>
          <w:rFonts w:ascii="Arial" w:hAnsi="Arial" w:cs="Arial"/>
          <w:b/>
          <w:sz w:val="20"/>
          <w:szCs w:val="20"/>
        </w:rPr>
      </w:pPr>
    </w:p>
    <w:p w:rsidR="001363D2" w:rsidRPr="00C42C21" w:rsidRDefault="00F232A3" w:rsidP="00C42C21">
      <w:pPr>
        <w:pStyle w:val="Heading1"/>
        <w:spacing w:before="0" w:line="240" w:lineRule="auto"/>
        <w:rPr>
          <w:rFonts w:ascii="Arial" w:eastAsiaTheme="minorHAnsi" w:hAnsi="Arial" w:cs="Arial"/>
          <w:b/>
          <w:color w:val="auto"/>
          <w:spacing w:val="0"/>
          <w:sz w:val="20"/>
          <w:szCs w:val="20"/>
          <w:lang w:val="en-ZA" w:eastAsia="en-US"/>
        </w:rPr>
      </w:pPr>
      <w:r w:rsidRPr="00C42C21">
        <w:rPr>
          <w:rFonts w:ascii="Arial" w:hAnsi="Arial" w:cs="Arial"/>
          <w:b/>
          <w:color w:val="auto"/>
          <w:sz w:val="20"/>
          <w:szCs w:val="20"/>
        </w:rPr>
        <w:t>8</w:t>
      </w:r>
      <w:r w:rsidRPr="00C42C21">
        <w:rPr>
          <w:rFonts w:ascii="Arial" w:hAnsi="Arial" w:cs="Arial"/>
          <w:color w:val="auto"/>
          <w:sz w:val="20"/>
          <w:szCs w:val="20"/>
        </w:rPr>
        <w:t xml:space="preserve">. </w:t>
      </w:r>
      <w:r w:rsidR="001363D2" w:rsidRPr="00C42C21">
        <w:rPr>
          <w:rFonts w:ascii="Arial" w:hAnsi="Arial" w:cs="Arial"/>
          <w:color w:val="auto"/>
          <w:sz w:val="20"/>
          <w:szCs w:val="20"/>
        </w:rPr>
        <w:t xml:space="preserve"> </w:t>
      </w:r>
      <w:r w:rsidR="001363D2" w:rsidRPr="00C42C21">
        <w:rPr>
          <w:rFonts w:ascii="Arial" w:hAnsi="Arial" w:cs="Arial"/>
          <w:b/>
          <w:color w:val="auto"/>
          <w:sz w:val="20"/>
          <w:szCs w:val="20"/>
        </w:rPr>
        <w:t>KEY RISKS AND MITIGATIONS</w:t>
      </w:r>
    </w:p>
    <w:p w:rsidR="001363D2" w:rsidRPr="00C42C21" w:rsidRDefault="001363D2" w:rsidP="00C42C21">
      <w:pPr>
        <w:autoSpaceDE w:val="0"/>
        <w:autoSpaceDN w:val="0"/>
        <w:adjustRightInd w:val="0"/>
        <w:spacing w:after="0" w:line="240" w:lineRule="auto"/>
        <w:jc w:val="both"/>
        <w:rPr>
          <w:rFonts w:ascii="Arial" w:hAnsi="Arial" w:cs="Arial"/>
          <w:sz w:val="20"/>
          <w:szCs w:val="20"/>
        </w:rPr>
      </w:pPr>
    </w:p>
    <w:p w:rsidR="001363D2" w:rsidRPr="00C42C21" w:rsidRDefault="001363D2"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sz w:val="20"/>
          <w:szCs w:val="20"/>
        </w:rPr>
        <w:t>This section deals with the Key risks and Mitigating factors in the Department. Importantly, as in previous APPs, the Department states that it will strive to ensure that a culture of risk management is institutionalised to reduce risk exposure. They will regularly monitor and scrutinise these risks.</w:t>
      </w:r>
      <w:r w:rsidR="00C43C11" w:rsidRPr="00C42C21">
        <w:rPr>
          <w:rFonts w:ascii="Arial" w:hAnsi="Arial" w:cs="Arial"/>
          <w:sz w:val="20"/>
          <w:szCs w:val="20"/>
        </w:rPr>
        <w:t xml:space="preserve"> Crucially, there is no change in the risk profile of the DMV in 2023/24 when compared to 2022/23.</w:t>
      </w:r>
    </w:p>
    <w:p w:rsidR="006018BE" w:rsidRPr="00C42C21" w:rsidRDefault="006018BE" w:rsidP="00C42C21">
      <w:pPr>
        <w:autoSpaceDE w:val="0"/>
        <w:autoSpaceDN w:val="0"/>
        <w:adjustRightInd w:val="0"/>
        <w:spacing w:after="0" w:line="240" w:lineRule="auto"/>
        <w:jc w:val="both"/>
        <w:rPr>
          <w:rFonts w:ascii="Arial" w:hAnsi="Arial" w:cs="Arial"/>
          <w:sz w:val="20"/>
          <w:szCs w:val="20"/>
        </w:rPr>
      </w:pPr>
    </w:p>
    <w:tbl>
      <w:tblPr>
        <w:tblStyle w:val="TableGrid1"/>
        <w:tblW w:w="0" w:type="auto"/>
        <w:jc w:val="center"/>
        <w:tblLook w:val="04A0"/>
      </w:tblPr>
      <w:tblGrid>
        <w:gridCol w:w="1413"/>
        <w:gridCol w:w="3260"/>
        <w:gridCol w:w="4343"/>
      </w:tblGrid>
      <w:tr w:rsidR="001363D2" w:rsidRPr="00C42C21" w:rsidTr="00C43C11">
        <w:trPr>
          <w:jc w:val="center"/>
        </w:trPr>
        <w:tc>
          <w:tcPr>
            <w:tcW w:w="1413" w:type="dxa"/>
            <w:shd w:val="clear" w:color="auto" w:fill="D9D9D9" w:themeFill="background1" w:themeFillShade="D9"/>
          </w:tcPr>
          <w:p w:rsidR="001363D2" w:rsidRPr="00C42C21" w:rsidRDefault="001363D2" w:rsidP="00C42C21">
            <w:pPr>
              <w:autoSpaceDE w:val="0"/>
              <w:autoSpaceDN w:val="0"/>
              <w:adjustRightInd w:val="0"/>
              <w:jc w:val="center"/>
              <w:rPr>
                <w:rFonts w:ascii="Arial" w:hAnsi="Arial" w:cs="Arial"/>
                <w:b/>
                <w:sz w:val="20"/>
                <w:szCs w:val="20"/>
              </w:rPr>
            </w:pPr>
            <w:r w:rsidRPr="00C42C21">
              <w:rPr>
                <w:rFonts w:ascii="Arial" w:hAnsi="Arial" w:cs="Arial"/>
                <w:b/>
                <w:sz w:val="20"/>
                <w:szCs w:val="20"/>
              </w:rPr>
              <w:lastRenderedPageBreak/>
              <w:t>OUTCOME</w:t>
            </w:r>
          </w:p>
        </w:tc>
        <w:tc>
          <w:tcPr>
            <w:tcW w:w="3260" w:type="dxa"/>
            <w:shd w:val="clear" w:color="auto" w:fill="D9D9D9" w:themeFill="background1" w:themeFillShade="D9"/>
          </w:tcPr>
          <w:p w:rsidR="001363D2" w:rsidRPr="00C42C21" w:rsidRDefault="001363D2" w:rsidP="00C42C21">
            <w:pPr>
              <w:autoSpaceDE w:val="0"/>
              <w:autoSpaceDN w:val="0"/>
              <w:adjustRightInd w:val="0"/>
              <w:jc w:val="center"/>
              <w:rPr>
                <w:rFonts w:ascii="Arial" w:hAnsi="Arial" w:cs="Arial"/>
                <w:b/>
                <w:sz w:val="20"/>
                <w:szCs w:val="20"/>
              </w:rPr>
            </w:pPr>
            <w:r w:rsidRPr="00C42C21">
              <w:rPr>
                <w:rFonts w:ascii="Arial" w:hAnsi="Arial" w:cs="Arial"/>
                <w:b/>
                <w:sz w:val="20"/>
                <w:szCs w:val="20"/>
              </w:rPr>
              <w:t>KEY RISKS</w:t>
            </w:r>
          </w:p>
        </w:tc>
        <w:tc>
          <w:tcPr>
            <w:tcW w:w="4343" w:type="dxa"/>
            <w:shd w:val="clear" w:color="auto" w:fill="D9D9D9" w:themeFill="background1" w:themeFillShade="D9"/>
          </w:tcPr>
          <w:p w:rsidR="001363D2" w:rsidRPr="00C42C21" w:rsidRDefault="001363D2" w:rsidP="00C42C21">
            <w:pPr>
              <w:autoSpaceDE w:val="0"/>
              <w:autoSpaceDN w:val="0"/>
              <w:adjustRightInd w:val="0"/>
              <w:jc w:val="center"/>
              <w:rPr>
                <w:rFonts w:ascii="Arial" w:hAnsi="Arial" w:cs="Arial"/>
                <w:b/>
                <w:sz w:val="20"/>
                <w:szCs w:val="20"/>
              </w:rPr>
            </w:pPr>
            <w:r w:rsidRPr="00C42C21">
              <w:rPr>
                <w:rFonts w:ascii="Arial" w:hAnsi="Arial" w:cs="Arial"/>
                <w:b/>
                <w:sz w:val="20"/>
                <w:szCs w:val="20"/>
              </w:rPr>
              <w:t>RISK MITIGATION</w:t>
            </w:r>
          </w:p>
        </w:tc>
      </w:tr>
      <w:tr w:rsidR="001363D2" w:rsidRPr="00C42C21" w:rsidTr="00C43C11">
        <w:trPr>
          <w:jc w:val="center"/>
        </w:trPr>
        <w:tc>
          <w:tcPr>
            <w:tcW w:w="1413" w:type="dxa"/>
            <w:vMerge w:val="restart"/>
            <w:shd w:val="clear" w:color="auto" w:fill="FFFFFF" w:themeFill="background1"/>
          </w:tcPr>
          <w:p w:rsidR="001363D2" w:rsidRPr="00C42C21" w:rsidRDefault="001363D2" w:rsidP="00C42C21">
            <w:pPr>
              <w:autoSpaceDE w:val="0"/>
              <w:autoSpaceDN w:val="0"/>
              <w:adjustRightInd w:val="0"/>
              <w:jc w:val="both"/>
              <w:rPr>
                <w:rFonts w:ascii="Arial" w:hAnsi="Arial" w:cs="Arial"/>
                <w:sz w:val="20"/>
                <w:szCs w:val="20"/>
              </w:rPr>
            </w:pPr>
          </w:p>
          <w:p w:rsidR="001363D2" w:rsidRPr="00C42C21" w:rsidRDefault="001363D2" w:rsidP="00C42C21">
            <w:pPr>
              <w:autoSpaceDE w:val="0"/>
              <w:autoSpaceDN w:val="0"/>
              <w:adjustRightInd w:val="0"/>
              <w:jc w:val="center"/>
              <w:rPr>
                <w:rFonts w:ascii="Arial" w:hAnsi="Arial" w:cs="Arial"/>
                <w:sz w:val="20"/>
                <w:szCs w:val="20"/>
              </w:rPr>
            </w:pPr>
          </w:p>
          <w:p w:rsidR="001363D2" w:rsidRPr="00C42C21" w:rsidRDefault="001363D2" w:rsidP="00C42C21">
            <w:pPr>
              <w:autoSpaceDE w:val="0"/>
              <w:autoSpaceDN w:val="0"/>
              <w:adjustRightInd w:val="0"/>
              <w:jc w:val="center"/>
              <w:rPr>
                <w:rFonts w:ascii="Arial" w:hAnsi="Arial" w:cs="Arial"/>
                <w:sz w:val="20"/>
                <w:szCs w:val="20"/>
              </w:rPr>
            </w:pPr>
          </w:p>
          <w:p w:rsidR="001363D2" w:rsidRPr="00C42C21" w:rsidRDefault="001363D2" w:rsidP="00C42C21">
            <w:pPr>
              <w:autoSpaceDE w:val="0"/>
              <w:autoSpaceDN w:val="0"/>
              <w:adjustRightInd w:val="0"/>
              <w:jc w:val="center"/>
              <w:rPr>
                <w:rFonts w:ascii="Arial" w:hAnsi="Arial" w:cs="Arial"/>
                <w:sz w:val="20"/>
                <w:szCs w:val="20"/>
              </w:rPr>
            </w:pPr>
            <w:r w:rsidRPr="00C42C21">
              <w:rPr>
                <w:rFonts w:ascii="Arial" w:hAnsi="Arial" w:cs="Arial"/>
                <w:sz w:val="20"/>
                <w:szCs w:val="20"/>
                <w:shd w:val="clear" w:color="auto" w:fill="FFFFFF" w:themeFill="background1"/>
              </w:rPr>
              <w:t>Socio-economic status of military veterans’ community improved and sustained</w:t>
            </w:r>
          </w:p>
        </w:tc>
        <w:tc>
          <w:tcPr>
            <w:tcW w:w="3260" w:type="dxa"/>
            <w:shd w:val="clear" w:color="auto" w:fill="FFFFFF" w:themeFill="background1"/>
          </w:tcPr>
          <w:p w:rsidR="001363D2" w:rsidRPr="00C42C21" w:rsidRDefault="001363D2" w:rsidP="00C42C21">
            <w:pPr>
              <w:autoSpaceDE w:val="0"/>
              <w:autoSpaceDN w:val="0"/>
              <w:adjustRightInd w:val="0"/>
              <w:rPr>
                <w:rFonts w:ascii="Arial" w:hAnsi="Arial" w:cs="Arial"/>
                <w:b/>
                <w:sz w:val="20"/>
                <w:szCs w:val="20"/>
              </w:rPr>
            </w:pPr>
            <w:r w:rsidRPr="00C42C21">
              <w:rPr>
                <w:rFonts w:ascii="Arial" w:hAnsi="Arial" w:cs="Arial"/>
                <w:sz w:val="20"/>
                <w:szCs w:val="20"/>
              </w:rPr>
              <w:t xml:space="preserve">Inadequate and non-integrated business systems to support the strategy of the department. </w:t>
            </w:r>
          </w:p>
        </w:tc>
        <w:tc>
          <w:tcPr>
            <w:tcW w:w="4343" w:type="dxa"/>
          </w:tcPr>
          <w:p w:rsidR="001363D2" w:rsidRPr="00C42C21" w:rsidRDefault="001363D2" w:rsidP="00C42C21">
            <w:pPr>
              <w:autoSpaceDE w:val="0"/>
              <w:autoSpaceDN w:val="0"/>
              <w:adjustRightInd w:val="0"/>
              <w:rPr>
                <w:rFonts w:ascii="Arial" w:hAnsi="Arial" w:cs="Arial"/>
                <w:b/>
                <w:sz w:val="20"/>
                <w:szCs w:val="20"/>
              </w:rPr>
            </w:pPr>
            <w:r w:rsidRPr="00C42C21">
              <w:rPr>
                <w:rFonts w:ascii="Arial" w:hAnsi="Arial" w:cs="Arial"/>
                <w:sz w:val="20"/>
                <w:szCs w:val="20"/>
              </w:rPr>
              <w:t xml:space="preserve">Successful adoption and implementation of integrated business system </w:t>
            </w:r>
          </w:p>
        </w:tc>
      </w:tr>
      <w:tr w:rsidR="001363D2" w:rsidRPr="00C42C21" w:rsidTr="00C43C11">
        <w:trPr>
          <w:jc w:val="center"/>
        </w:trPr>
        <w:tc>
          <w:tcPr>
            <w:tcW w:w="1413" w:type="dxa"/>
            <w:vMerge/>
            <w:shd w:val="clear" w:color="auto" w:fill="FFFFFF" w:themeFill="background1"/>
          </w:tcPr>
          <w:p w:rsidR="001363D2" w:rsidRPr="00C42C21" w:rsidRDefault="001363D2" w:rsidP="00C42C21">
            <w:pPr>
              <w:autoSpaceDE w:val="0"/>
              <w:autoSpaceDN w:val="0"/>
              <w:adjustRightInd w:val="0"/>
              <w:jc w:val="both"/>
              <w:rPr>
                <w:rFonts w:ascii="Arial" w:hAnsi="Arial" w:cs="Arial"/>
                <w:b/>
                <w:sz w:val="20"/>
                <w:szCs w:val="20"/>
              </w:rPr>
            </w:pPr>
          </w:p>
        </w:tc>
        <w:tc>
          <w:tcPr>
            <w:tcW w:w="3260" w:type="dxa"/>
            <w:shd w:val="clear" w:color="auto" w:fill="FFFFFF" w:themeFill="background1"/>
          </w:tcPr>
          <w:p w:rsidR="001363D2" w:rsidRPr="00C42C21" w:rsidRDefault="001363D2" w:rsidP="00C42C21">
            <w:pPr>
              <w:autoSpaceDE w:val="0"/>
              <w:autoSpaceDN w:val="0"/>
              <w:adjustRightInd w:val="0"/>
              <w:jc w:val="both"/>
              <w:rPr>
                <w:rFonts w:ascii="Arial" w:hAnsi="Arial" w:cs="Arial"/>
                <w:b/>
                <w:sz w:val="20"/>
                <w:szCs w:val="20"/>
              </w:rPr>
            </w:pPr>
            <w:r w:rsidRPr="00C42C21">
              <w:rPr>
                <w:rFonts w:ascii="Arial" w:hAnsi="Arial" w:cs="Arial"/>
                <w:sz w:val="20"/>
                <w:szCs w:val="20"/>
              </w:rPr>
              <w:t>Instability at leadership level.</w:t>
            </w:r>
          </w:p>
        </w:tc>
        <w:tc>
          <w:tcPr>
            <w:tcW w:w="4343" w:type="dxa"/>
          </w:tcPr>
          <w:p w:rsidR="001363D2" w:rsidRPr="00C42C21" w:rsidRDefault="001363D2" w:rsidP="00C42C21">
            <w:pPr>
              <w:autoSpaceDE w:val="0"/>
              <w:autoSpaceDN w:val="0"/>
              <w:adjustRightInd w:val="0"/>
              <w:jc w:val="both"/>
              <w:rPr>
                <w:rFonts w:ascii="Arial" w:hAnsi="Arial" w:cs="Arial"/>
                <w:b/>
                <w:sz w:val="20"/>
                <w:szCs w:val="20"/>
              </w:rPr>
            </w:pPr>
            <w:r w:rsidRPr="00C42C21">
              <w:rPr>
                <w:rFonts w:ascii="Arial" w:hAnsi="Arial" w:cs="Arial"/>
                <w:sz w:val="20"/>
                <w:szCs w:val="20"/>
              </w:rPr>
              <w:t xml:space="preserve">Strict adherence by all to the DPSA stated period of filling SMS vacancies </w:t>
            </w:r>
          </w:p>
        </w:tc>
      </w:tr>
      <w:tr w:rsidR="001363D2" w:rsidRPr="00C42C21" w:rsidTr="00C43C11">
        <w:trPr>
          <w:jc w:val="center"/>
        </w:trPr>
        <w:tc>
          <w:tcPr>
            <w:tcW w:w="1413" w:type="dxa"/>
            <w:vMerge/>
            <w:shd w:val="clear" w:color="auto" w:fill="FFFFFF" w:themeFill="background1"/>
          </w:tcPr>
          <w:p w:rsidR="001363D2" w:rsidRPr="00C42C21" w:rsidRDefault="001363D2" w:rsidP="00C42C21">
            <w:pPr>
              <w:autoSpaceDE w:val="0"/>
              <w:autoSpaceDN w:val="0"/>
              <w:adjustRightInd w:val="0"/>
              <w:jc w:val="both"/>
              <w:rPr>
                <w:rFonts w:ascii="Arial" w:hAnsi="Arial" w:cs="Arial"/>
                <w:b/>
                <w:sz w:val="20"/>
                <w:szCs w:val="20"/>
              </w:rPr>
            </w:pPr>
          </w:p>
        </w:tc>
        <w:tc>
          <w:tcPr>
            <w:tcW w:w="3260" w:type="dxa"/>
            <w:shd w:val="clear" w:color="auto" w:fill="FFFFFF" w:themeFill="background1"/>
          </w:tcPr>
          <w:p w:rsidR="001363D2" w:rsidRPr="00C42C21" w:rsidRDefault="001363D2" w:rsidP="00C42C21">
            <w:pPr>
              <w:autoSpaceDE w:val="0"/>
              <w:autoSpaceDN w:val="0"/>
              <w:adjustRightInd w:val="0"/>
              <w:rPr>
                <w:rFonts w:ascii="Arial" w:hAnsi="Arial" w:cs="Arial"/>
                <w:b/>
                <w:sz w:val="20"/>
                <w:szCs w:val="20"/>
              </w:rPr>
            </w:pPr>
            <w:r w:rsidRPr="00C42C21">
              <w:rPr>
                <w:rFonts w:ascii="Arial" w:hAnsi="Arial" w:cs="Arial"/>
                <w:sz w:val="20"/>
                <w:szCs w:val="20"/>
              </w:rPr>
              <w:t>Misalignment of the organizational structure with the Service Delivery Model (SDM).</w:t>
            </w:r>
          </w:p>
        </w:tc>
        <w:tc>
          <w:tcPr>
            <w:tcW w:w="4343" w:type="dxa"/>
          </w:tcPr>
          <w:p w:rsidR="001363D2" w:rsidRPr="00C42C21" w:rsidRDefault="001363D2" w:rsidP="00C42C21">
            <w:pPr>
              <w:autoSpaceDE w:val="0"/>
              <w:autoSpaceDN w:val="0"/>
              <w:adjustRightInd w:val="0"/>
              <w:rPr>
                <w:rFonts w:ascii="Arial" w:hAnsi="Arial" w:cs="Arial"/>
                <w:b/>
                <w:sz w:val="20"/>
                <w:szCs w:val="20"/>
              </w:rPr>
            </w:pPr>
            <w:r w:rsidRPr="00C42C21">
              <w:rPr>
                <w:rFonts w:ascii="Arial" w:hAnsi="Arial" w:cs="Arial"/>
                <w:sz w:val="20"/>
                <w:szCs w:val="20"/>
              </w:rPr>
              <w:t xml:space="preserve">Finalisation of the approval of the Act which will determine the departmental structure </w:t>
            </w:r>
          </w:p>
        </w:tc>
      </w:tr>
      <w:tr w:rsidR="001363D2" w:rsidRPr="00C42C21" w:rsidTr="00C43C11">
        <w:trPr>
          <w:jc w:val="center"/>
        </w:trPr>
        <w:tc>
          <w:tcPr>
            <w:tcW w:w="1413" w:type="dxa"/>
            <w:vMerge/>
            <w:shd w:val="clear" w:color="auto" w:fill="FFFFFF" w:themeFill="background1"/>
          </w:tcPr>
          <w:p w:rsidR="001363D2" w:rsidRPr="00C42C21" w:rsidRDefault="001363D2" w:rsidP="00C42C21">
            <w:pPr>
              <w:autoSpaceDE w:val="0"/>
              <w:autoSpaceDN w:val="0"/>
              <w:adjustRightInd w:val="0"/>
              <w:jc w:val="both"/>
              <w:rPr>
                <w:rFonts w:ascii="Arial" w:hAnsi="Arial" w:cs="Arial"/>
                <w:b/>
                <w:sz w:val="20"/>
                <w:szCs w:val="20"/>
              </w:rPr>
            </w:pPr>
          </w:p>
        </w:tc>
        <w:tc>
          <w:tcPr>
            <w:tcW w:w="3260" w:type="dxa"/>
            <w:vMerge w:val="restart"/>
            <w:shd w:val="clear" w:color="auto" w:fill="FFFFFF" w:themeFill="background1"/>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Gaps in the current MVs legislation and policy framework</w:t>
            </w:r>
          </w:p>
        </w:tc>
        <w:tc>
          <w:tcPr>
            <w:tcW w:w="4343"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Introduce amendments to Military</w:t>
            </w:r>
          </w:p>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Veterans Act 18 of 2011</w:t>
            </w:r>
          </w:p>
        </w:tc>
      </w:tr>
      <w:tr w:rsidR="001363D2" w:rsidRPr="00C42C21" w:rsidTr="00C43C11">
        <w:trPr>
          <w:jc w:val="center"/>
        </w:trPr>
        <w:tc>
          <w:tcPr>
            <w:tcW w:w="1413" w:type="dxa"/>
            <w:vMerge/>
            <w:shd w:val="clear" w:color="auto" w:fill="C5E0B3" w:themeFill="accent6" w:themeFillTint="66"/>
          </w:tcPr>
          <w:p w:rsidR="001363D2" w:rsidRPr="00C42C21" w:rsidRDefault="001363D2" w:rsidP="00C42C21">
            <w:pPr>
              <w:autoSpaceDE w:val="0"/>
              <w:autoSpaceDN w:val="0"/>
              <w:adjustRightInd w:val="0"/>
              <w:jc w:val="both"/>
              <w:rPr>
                <w:rFonts w:ascii="Arial" w:hAnsi="Arial" w:cs="Arial"/>
                <w:b/>
                <w:sz w:val="20"/>
                <w:szCs w:val="20"/>
              </w:rPr>
            </w:pPr>
          </w:p>
        </w:tc>
        <w:tc>
          <w:tcPr>
            <w:tcW w:w="3260" w:type="dxa"/>
            <w:vMerge/>
          </w:tcPr>
          <w:p w:rsidR="001363D2" w:rsidRPr="00C42C21" w:rsidRDefault="001363D2" w:rsidP="00C42C21">
            <w:pPr>
              <w:autoSpaceDE w:val="0"/>
              <w:autoSpaceDN w:val="0"/>
              <w:adjustRightInd w:val="0"/>
              <w:rPr>
                <w:rFonts w:ascii="Arial" w:hAnsi="Arial" w:cs="Arial"/>
                <w:sz w:val="20"/>
                <w:szCs w:val="20"/>
              </w:rPr>
            </w:pPr>
          </w:p>
        </w:tc>
        <w:tc>
          <w:tcPr>
            <w:tcW w:w="4343"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Alignment of the regulations to the Act and introduction of other sec 24 regulations</w:t>
            </w:r>
          </w:p>
        </w:tc>
      </w:tr>
      <w:tr w:rsidR="001363D2" w:rsidRPr="00C42C21" w:rsidTr="00C43C11">
        <w:trPr>
          <w:jc w:val="center"/>
        </w:trPr>
        <w:tc>
          <w:tcPr>
            <w:tcW w:w="1413" w:type="dxa"/>
            <w:vMerge/>
            <w:shd w:val="clear" w:color="auto" w:fill="C5E0B3" w:themeFill="accent6" w:themeFillTint="66"/>
          </w:tcPr>
          <w:p w:rsidR="001363D2" w:rsidRPr="00C42C21" w:rsidRDefault="001363D2" w:rsidP="00C42C21">
            <w:pPr>
              <w:autoSpaceDE w:val="0"/>
              <w:autoSpaceDN w:val="0"/>
              <w:adjustRightInd w:val="0"/>
              <w:jc w:val="both"/>
              <w:rPr>
                <w:rFonts w:ascii="Arial" w:hAnsi="Arial" w:cs="Arial"/>
                <w:b/>
                <w:sz w:val="20"/>
                <w:szCs w:val="20"/>
              </w:rPr>
            </w:pPr>
          </w:p>
        </w:tc>
        <w:tc>
          <w:tcPr>
            <w:tcW w:w="3260" w:type="dxa"/>
            <w:vMerge/>
          </w:tcPr>
          <w:p w:rsidR="001363D2" w:rsidRPr="00C42C21" w:rsidRDefault="001363D2" w:rsidP="00C42C21">
            <w:pPr>
              <w:autoSpaceDE w:val="0"/>
              <w:autoSpaceDN w:val="0"/>
              <w:adjustRightInd w:val="0"/>
              <w:rPr>
                <w:rFonts w:ascii="Arial" w:hAnsi="Arial" w:cs="Arial"/>
                <w:sz w:val="20"/>
                <w:szCs w:val="20"/>
              </w:rPr>
            </w:pPr>
          </w:p>
        </w:tc>
        <w:tc>
          <w:tcPr>
            <w:tcW w:w="4343"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Development of policies in line with the Amended Act.</w:t>
            </w:r>
          </w:p>
        </w:tc>
      </w:tr>
      <w:tr w:rsidR="001363D2" w:rsidRPr="00C42C21" w:rsidTr="00C43C11">
        <w:trPr>
          <w:jc w:val="center"/>
        </w:trPr>
        <w:tc>
          <w:tcPr>
            <w:tcW w:w="1413" w:type="dxa"/>
            <w:vMerge/>
            <w:shd w:val="clear" w:color="auto" w:fill="C5E0B3" w:themeFill="accent6" w:themeFillTint="66"/>
          </w:tcPr>
          <w:p w:rsidR="001363D2" w:rsidRPr="00C42C21" w:rsidRDefault="001363D2" w:rsidP="00C42C21">
            <w:pPr>
              <w:autoSpaceDE w:val="0"/>
              <w:autoSpaceDN w:val="0"/>
              <w:adjustRightInd w:val="0"/>
              <w:jc w:val="both"/>
              <w:rPr>
                <w:rFonts w:ascii="Arial" w:hAnsi="Arial" w:cs="Arial"/>
                <w:b/>
                <w:sz w:val="20"/>
                <w:szCs w:val="20"/>
              </w:rPr>
            </w:pPr>
          </w:p>
        </w:tc>
        <w:tc>
          <w:tcPr>
            <w:tcW w:w="3260"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Inadequate stakeholder management</w:t>
            </w:r>
          </w:p>
        </w:tc>
        <w:tc>
          <w:tcPr>
            <w:tcW w:w="4343"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Develop and implement stakeholder</w:t>
            </w:r>
          </w:p>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management strategy framework</w:t>
            </w:r>
          </w:p>
        </w:tc>
      </w:tr>
      <w:tr w:rsidR="001363D2" w:rsidRPr="00C42C21" w:rsidTr="00C43C11">
        <w:trPr>
          <w:jc w:val="center"/>
        </w:trPr>
        <w:tc>
          <w:tcPr>
            <w:tcW w:w="1413" w:type="dxa"/>
            <w:vMerge/>
            <w:shd w:val="clear" w:color="auto" w:fill="C5E0B3" w:themeFill="accent6" w:themeFillTint="66"/>
          </w:tcPr>
          <w:p w:rsidR="001363D2" w:rsidRPr="00C42C21" w:rsidRDefault="001363D2" w:rsidP="00C42C21">
            <w:pPr>
              <w:autoSpaceDE w:val="0"/>
              <w:autoSpaceDN w:val="0"/>
              <w:adjustRightInd w:val="0"/>
              <w:jc w:val="both"/>
              <w:rPr>
                <w:rFonts w:ascii="Arial" w:hAnsi="Arial" w:cs="Arial"/>
                <w:b/>
                <w:sz w:val="20"/>
                <w:szCs w:val="20"/>
              </w:rPr>
            </w:pPr>
          </w:p>
        </w:tc>
        <w:tc>
          <w:tcPr>
            <w:tcW w:w="3260" w:type="dxa"/>
          </w:tcPr>
          <w:p w:rsidR="001363D2" w:rsidRPr="00C42C21" w:rsidRDefault="001363D2" w:rsidP="00C42C21">
            <w:pPr>
              <w:autoSpaceDE w:val="0"/>
              <w:autoSpaceDN w:val="0"/>
              <w:adjustRightInd w:val="0"/>
              <w:jc w:val="both"/>
              <w:rPr>
                <w:rFonts w:ascii="Arial" w:hAnsi="Arial" w:cs="Arial"/>
                <w:b/>
                <w:sz w:val="20"/>
                <w:szCs w:val="20"/>
              </w:rPr>
            </w:pPr>
            <w:r w:rsidRPr="00C42C21">
              <w:rPr>
                <w:rFonts w:ascii="Arial" w:hAnsi="Arial" w:cs="Arial"/>
                <w:sz w:val="20"/>
                <w:szCs w:val="20"/>
              </w:rPr>
              <w:t>Fraud and corruption within the Department</w:t>
            </w:r>
          </w:p>
        </w:tc>
        <w:tc>
          <w:tcPr>
            <w:tcW w:w="4343"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Implementation of an integrated fraud and corruption risk management process</w:t>
            </w:r>
          </w:p>
        </w:tc>
      </w:tr>
      <w:tr w:rsidR="001363D2" w:rsidRPr="00C42C21" w:rsidTr="00C43C11">
        <w:trPr>
          <w:jc w:val="center"/>
        </w:trPr>
        <w:tc>
          <w:tcPr>
            <w:tcW w:w="1413" w:type="dxa"/>
            <w:vMerge/>
            <w:shd w:val="clear" w:color="auto" w:fill="C5E0B3" w:themeFill="accent6" w:themeFillTint="66"/>
          </w:tcPr>
          <w:p w:rsidR="001363D2" w:rsidRPr="00C42C21" w:rsidRDefault="001363D2" w:rsidP="00C42C21">
            <w:pPr>
              <w:autoSpaceDE w:val="0"/>
              <w:autoSpaceDN w:val="0"/>
              <w:adjustRightInd w:val="0"/>
              <w:jc w:val="both"/>
              <w:rPr>
                <w:rFonts w:ascii="Arial" w:hAnsi="Arial" w:cs="Arial"/>
                <w:b/>
                <w:sz w:val="20"/>
                <w:szCs w:val="20"/>
              </w:rPr>
            </w:pPr>
          </w:p>
        </w:tc>
        <w:tc>
          <w:tcPr>
            <w:tcW w:w="3260" w:type="dxa"/>
          </w:tcPr>
          <w:p w:rsidR="001363D2" w:rsidRPr="00C42C21" w:rsidRDefault="001363D2" w:rsidP="00C42C21">
            <w:pPr>
              <w:autoSpaceDE w:val="0"/>
              <w:autoSpaceDN w:val="0"/>
              <w:adjustRightInd w:val="0"/>
              <w:jc w:val="both"/>
              <w:rPr>
                <w:rFonts w:ascii="Arial" w:hAnsi="Arial" w:cs="Arial"/>
                <w:sz w:val="20"/>
                <w:szCs w:val="20"/>
              </w:rPr>
            </w:pPr>
            <w:r w:rsidRPr="00C42C21">
              <w:rPr>
                <w:rFonts w:ascii="Arial" w:hAnsi="Arial" w:cs="Arial"/>
                <w:sz w:val="20"/>
                <w:szCs w:val="20"/>
              </w:rPr>
              <w:t>Business interruptions</w:t>
            </w:r>
          </w:p>
        </w:tc>
        <w:tc>
          <w:tcPr>
            <w:tcW w:w="4343" w:type="dxa"/>
          </w:tcPr>
          <w:p w:rsidR="001363D2" w:rsidRPr="00C42C21" w:rsidRDefault="001363D2" w:rsidP="00C42C21">
            <w:pPr>
              <w:autoSpaceDE w:val="0"/>
              <w:autoSpaceDN w:val="0"/>
              <w:adjustRightInd w:val="0"/>
              <w:rPr>
                <w:rFonts w:ascii="Arial" w:hAnsi="Arial" w:cs="Arial"/>
                <w:sz w:val="20"/>
                <w:szCs w:val="20"/>
              </w:rPr>
            </w:pPr>
            <w:r w:rsidRPr="00C42C21">
              <w:rPr>
                <w:rFonts w:ascii="Arial" w:hAnsi="Arial" w:cs="Arial"/>
                <w:sz w:val="20"/>
                <w:szCs w:val="20"/>
              </w:rPr>
              <w:t>Approve and implement business continuity management framework</w:t>
            </w:r>
          </w:p>
        </w:tc>
      </w:tr>
    </w:tbl>
    <w:p w:rsidR="00C43C11" w:rsidRPr="00C42C21" w:rsidRDefault="00C43C11" w:rsidP="00C42C21">
      <w:pPr>
        <w:autoSpaceDE w:val="0"/>
        <w:autoSpaceDN w:val="0"/>
        <w:adjustRightInd w:val="0"/>
        <w:spacing w:after="0" w:line="240" w:lineRule="auto"/>
        <w:jc w:val="center"/>
        <w:rPr>
          <w:rFonts w:ascii="Arial" w:hAnsi="Arial" w:cs="Arial"/>
          <w:b/>
          <w:sz w:val="20"/>
          <w:szCs w:val="20"/>
        </w:rPr>
      </w:pPr>
      <w:r w:rsidRPr="00C42C21">
        <w:rPr>
          <w:rFonts w:ascii="Arial" w:hAnsi="Arial" w:cs="Arial"/>
          <w:b/>
          <w:sz w:val="20"/>
          <w:szCs w:val="20"/>
        </w:rPr>
        <w:t>Table 9: DMV Key risks and mitigations</w:t>
      </w:r>
    </w:p>
    <w:p w:rsidR="001363D2" w:rsidRPr="00C42C21" w:rsidRDefault="001363D2" w:rsidP="00C42C21">
      <w:pPr>
        <w:autoSpaceDE w:val="0"/>
        <w:autoSpaceDN w:val="0"/>
        <w:adjustRightInd w:val="0"/>
        <w:spacing w:after="0" w:line="240" w:lineRule="auto"/>
        <w:jc w:val="both"/>
        <w:rPr>
          <w:rFonts w:ascii="Arial" w:hAnsi="Arial" w:cs="Arial"/>
          <w:sz w:val="20"/>
          <w:szCs w:val="20"/>
        </w:rPr>
      </w:pPr>
    </w:p>
    <w:p w:rsidR="0084743E" w:rsidRPr="00C42C21" w:rsidRDefault="00F232A3" w:rsidP="00C42C21">
      <w:pPr>
        <w:spacing w:after="0" w:line="240" w:lineRule="auto"/>
        <w:jc w:val="both"/>
        <w:rPr>
          <w:rFonts w:ascii="Arial" w:hAnsi="Arial" w:cs="Arial"/>
          <w:b/>
          <w:sz w:val="20"/>
          <w:szCs w:val="20"/>
        </w:rPr>
      </w:pPr>
      <w:r w:rsidRPr="00C42C21">
        <w:rPr>
          <w:rFonts w:ascii="Arial" w:hAnsi="Arial" w:cs="Arial"/>
          <w:b/>
          <w:sz w:val="20"/>
          <w:szCs w:val="20"/>
        </w:rPr>
        <w:t xml:space="preserve">9. </w:t>
      </w:r>
      <w:r w:rsidR="0084743E" w:rsidRPr="00C42C21">
        <w:rPr>
          <w:rFonts w:ascii="Arial" w:hAnsi="Arial" w:cs="Arial"/>
          <w:b/>
          <w:sz w:val="20"/>
          <w:szCs w:val="20"/>
        </w:rPr>
        <w:tab/>
        <w:t>COMMITTEE OBSERVATIONS</w:t>
      </w:r>
    </w:p>
    <w:p w:rsidR="0084743E" w:rsidRPr="00C42C21" w:rsidRDefault="0084743E" w:rsidP="00C42C21">
      <w:pPr>
        <w:spacing w:after="0" w:line="240" w:lineRule="auto"/>
        <w:jc w:val="both"/>
        <w:rPr>
          <w:rFonts w:ascii="Arial" w:hAnsi="Arial" w:cs="Arial"/>
          <w:sz w:val="20"/>
          <w:szCs w:val="20"/>
          <w:lang w:val="en-GB"/>
        </w:rPr>
      </w:pPr>
    </w:p>
    <w:p w:rsidR="0084743E" w:rsidRPr="00C42C21" w:rsidRDefault="0084743E" w:rsidP="00C42C21">
      <w:p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lang w:val="en-GB"/>
        </w:rPr>
        <w:t>During deliberations with the Department of Military Veterans on 1</w:t>
      </w:r>
      <w:r w:rsidR="006618FD" w:rsidRPr="00C42C21">
        <w:rPr>
          <w:rFonts w:ascii="Arial" w:hAnsi="Arial" w:cs="Arial"/>
          <w:sz w:val="20"/>
          <w:szCs w:val="20"/>
          <w:lang w:val="en-GB"/>
        </w:rPr>
        <w:t>0</w:t>
      </w:r>
      <w:r w:rsidRPr="00C42C21">
        <w:rPr>
          <w:rFonts w:ascii="Arial" w:hAnsi="Arial" w:cs="Arial"/>
          <w:sz w:val="20"/>
          <w:szCs w:val="20"/>
          <w:lang w:val="en-GB"/>
        </w:rPr>
        <w:t xml:space="preserve"> May 202</w:t>
      </w:r>
      <w:r w:rsidR="006618FD" w:rsidRPr="00C42C21">
        <w:rPr>
          <w:rFonts w:ascii="Arial" w:hAnsi="Arial" w:cs="Arial"/>
          <w:sz w:val="20"/>
          <w:szCs w:val="20"/>
          <w:lang w:val="en-GB"/>
        </w:rPr>
        <w:t>3, Members of the PC</w:t>
      </w:r>
      <w:r w:rsidRPr="00C42C21">
        <w:rPr>
          <w:rFonts w:ascii="Arial" w:hAnsi="Arial" w:cs="Arial"/>
          <w:sz w:val="20"/>
          <w:szCs w:val="20"/>
          <w:lang w:val="en-GB"/>
        </w:rPr>
        <w:t>DMV made several observations related to the budget allocation, the performance indicators and the targets</w:t>
      </w:r>
      <w:r w:rsidR="00594230" w:rsidRPr="00C42C21">
        <w:rPr>
          <w:rFonts w:ascii="Arial" w:hAnsi="Arial" w:cs="Arial"/>
          <w:sz w:val="20"/>
          <w:szCs w:val="20"/>
          <w:lang w:val="en-GB"/>
        </w:rPr>
        <w:t xml:space="preserve"> as set out</w:t>
      </w:r>
      <w:r w:rsidRPr="00C42C21">
        <w:rPr>
          <w:rFonts w:ascii="Arial" w:hAnsi="Arial" w:cs="Arial"/>
          <w:sz w:val="20"/>
          <w:szCs w:val="20"/>
          <w:lang w:val="en-GB"/>
        </w:rPr>
        <w:t xml:space="preserve"> in the </w:t>
      </w:r>
      <w:r w:rsidR="00625062" w:rsidRPr="00C42C21">
        <w:rPr>
          <w:rFonts w:ascii="Arial" w:hAnsi="Arial" w:cs="Arial"/>
          <w:sz w:val="20"/>
          <w:szCs w:val="20"/>
          <w:lang w:val="en-GB"/>
        </w:rPr>
        <w:t>APP</w:t>
      </w:r>
      <w:r w:rsidRPr="00C42C21">
        <w:rPr>
          <w:rFonts w:ascii="Arial" w:hAnsi="Arial" w:cs="Arial"/>
          <w:sz w:val="20"/>
          <w:szCs w:val="20"/>
          <w:lang w:val="en-GB"/>
        </w:rPr>
        <w:t xml:space="preserve"> of the Department. The following </w:t>
      </w:r>
      <w:r w:rsidR="00594230" w:rsidRPr="00C42C21">
        <w:rPr>
          <w:rFonts w:ascii="Arial" w:hAnsi="Arial" w:cs="Arial"/>
          <w:sz w:val="20"/>
          <w:szCs w:val="20"/>
          <w:lang w:val="en-GB"/>
        </w:rPr>
        <w:t xml:space="preserve">concerns </w:t>
      </w:r>
      <w:r w:rsidRPr="00C42C21">
        <w:rPr>
          <w:rFonts w:ascii="Arial" w:hAnsi="Arial" w:cs="Arial"/>
          <w:sz w:val="20"/>
          <w:szCs w:val="20"/>
          <w:lang w:val="en-GB"/>
        </w:rPr>
        <w:t>were noted:</w:t>
      </w:r>
    </w:p>
    <w:p w:rsidR="006618FD" w:rsidRPr="00C42C21" w:rsidRDefault="006618FD" w:rsidP="00C42C21">
      <w:pPr>
        <w:autoSpaceDE w:val="0"/>
        <w:autoSpaceDN w:val="0"/>
        <w:adjustRightInd w:val="0"/>
        <w:spacing w:after="0" w:line="240" w:lineRule="auto"/>
        <w:jc w:val="both"/>
        <w:rPr>
          <w:rFonts w:ascii="Arial" w:hAnsi="Arial" w:cs="Arial"/>
          <w:sz w:val="20"/>
          <w:szCs w:val="20"/>
          <w:lang w:val="en-GB"/>
        </w:rPr>
      </w:pPr>
    </w:p>
    <w:p w:rsidR="005F37B4" w:rsidRPr="00C42C21" w:rsidRDefault="002C691E"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color w:val="000000"/>
          <w:sz w:val="20"/>
          <w:szCs w:val="20"/>
        </w:rPr>
        <w:t>The Committee expressed its dissatisfaction with the DMV</w:t>
      </w:r>
      <w:r w:rsidR="00361075" w:rsidRPr="00C42C21">
        <w:rPr>
          <w:rFonts w:ascii="Arial" w:hAnsi="Arial" w:cs="Arial"/>
          <w:color w:val="000000"/>
          <w:sz w:val="20"/>
          <w:szCs w:val="20"/>
        </w:rPr>
        <w:t xml:space="preserve"> on its late submission of the APP that was only submitted to the Committee hours before it </w:t>
      </w:r>
      <w:r w:rsidR="00594230" w:rsidRPr="00C42C21">
        <w:rPr>
          <w:rFonts w:ascii="Arial" w:hAnsi="Arial" w:cs="Arial"/>
          <w:color w:val="000000"/>
          <w:sz w:val="20"/>
          <w:szCs w:val="20"/>
        </w:rPr>
        <w:t xml:space="preserve">had </w:t>
      </w:r>
      <w:r w:rsidR="00361075" w:rsidRPr="00C42C21">
        <w:rPr>
          <w:rFonts w:ascii="Arial" w:hAnsi="Arial" w:cs="Arial"/>
          <w:color w:val="000000"/>
          <w:sz w:val="20"/>
          <w:szCs w:val="20"/>
        </w:rPr>
        <w:t xml:space="preserve">to be considered. The Committee </w:t>
      </w:r>
      <w:r w:rsidR="00594230" w:rsidRPr="00C42C21">
        <w:rPr>
          <w:rFonts w:ascii="Arial" w:hAnsi="Arial" w:cs="Arial"/>
          <w:color w:val="000000"/>
          <w:sz w:val="20"/>
          <w:szCs w:val="20"/>
        </w:rPr>
        <w:t xml:space="preserve">noted </w:t>
      </w:r>
      <w:r w:rsidR="00361075" w:rsidRPr="00C42C21">
        <w:rPr>
          <w:rFonts w:ascii="Arial" w:hAnsi="Arial" w:cs="Arial"/>
          <w:color w:val="000000"/>
          <w:sz w:val="20"/>
          <w:szCs w:val="20"/>
        </w:rPr>
        <w:t>that the DMV was continuously reminded by the PCDMV’s support staff to submit their APPs on time, yet failed to do so.</w:t>
      </w:r>
    </w:p>
    <w:p w:rsidR="00361075" w:rsidRPr="00C42C21" w:rsidRDefault="00361075"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color w:val="000000"/>
          <w:sz w:val="20"/>
          <w:szCs w:val="20"/>
        </w:rPr>
        <w:t>The Committee welcomed the appointment of Vice Admiral (ret) M. Hlongwane as the new acting Director-General of the DMV.</w:t>
      </w:r>
    </w:p>
    <w:p w:rsidR="00361075" w:rsidRPr="00C42C21" w:rsidRDefault="00361075"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color w:val="000000"/>
          <w:sz w:val="20"/>
          <w:szCs w:val="20"/>
        </w:rPr>
        <w:t xml:space="preserve">The Committee noted with concern the ongoing delays in the finalisation of the Pension Benefit Regulations and highlighted the need for this to be finalised urgently, specifically as funds have already been allocated for this in 2023/24. Moreover, the Committee notes the need for the Regulations </w:t>
      </w:r>
      <w:r w:rsidR="00594230" w:rsidRPr="00C42C21">
        <w:rPr>
          <w:rFonts w:ascii="Arial" w:hAnsi="Arial" w:cs="Arial"/>
          <w:color w:val="000000"/>
          <w:sz w:val="20"/>
          <w:szCs w:val="20"/>
        </w:rPr>
        <w:t xml:space="preserve">to be published </w:t>
      </w:r>
      <w:r w:rsidRPr="00C42C21">
        <w:rPr>
          <w:rFonts w:ascii="Arial" w:hAnsi="Arial" w:cs="Arial"/>
          <w:color w:val="000000"/>
          <w:sz w:val="20"/>
          <w:szCs w:val="20"/>
        </w:rPr>
        <w:t xml:space="preserve">in accordance with legislative requirements. </w:t>
      </w:r>
      <w:r w:rsidR="002A7960" w:rsidRPr="00C42C21">
        <w:rPr>
          <w:rFonts w:ascii="Arial" w:hAnsi="Arial" w:cs="Arial"/>
          <w:color w:val="000000"/>
          <w:sz w:val="20"/>
          <w:szCs w:val="20"/>
        </w:rPr>
        <w:t>Constant delays with the finalisation of the Regulations impact negatively on the payment of pensions to deserving military veterans.</w:t>
      </w:r>
      <w:r w:rsidR="002A7960" w:rsidRPr="00C42C21">
        <w:rPr>
          <w:rFonts w:ascii="Arial" w:hAnsi="Arial" w:cs="Arial"/>
          <w:sz w:val="20"/>
          <w:szCs w:val="20"/>
          <w:lang w:val="en-GB"/>
        </w:rPr>
        <w:t xml:space="preserve"> The Committee also required clarity on the envisaged number of veterans to benefit from Pension </w:t>
      </w:r>
      <w:r w:rsidR="00594230" w:rsidRPr="00C42C21">
        <w:rPr>
          <w:rFonts w:ascii="Arial" w:hAnsi="Arial" w:cs="Arial"/>
          <w:sz w:val="20"/>
          <w:szCs w:val="20"/>
          <w:lang w:val="en-GB"/>
        </w:rPr>
        <w:t xml:space="preserve">Regulations </w:t>
      </w:r>
      <w:r w:rsidR="002A7960" w:rsidRPr="00C42C21">
        <w:rPr>
          <w:rFonts w:ascii="Arial" w:hAnsi="Arial" w:cs="Arial"/>
          <w:sz w:val="20"/>
          <w:szCs w:val="20"/>
          <w:lang w:val="en-GB"/>
        </w:rPr>
        <w:t>in 2023/24 and over the MTEF.</w:t>
      </w:r>
      <w:r w:rsidR="0078412A" w:rsidRPr="00C42C21">
        <w:rPr>
          <w:rFonts w:ascii="Arial" w:hAnsi="Arial" w:cs="Arial"/>
          <w:sz w:val="20"/>
          <w:szCs w:val="20"/>
          <w:lang w:val="en-GB"/>
        </w:rPr>
        <w:t xml:space="preserve"> The Department indicated that the revised Pension Benefit Regulations were published for further public comment </w:t>
      </w:r>
      <w:r w:rsidR="00594230" w:rsidRPr="00C42C21">
        <w:rPr>
          <w:rFonts w:ascii="Arial" w:hAnsi="Arial" w:cs="Arial"/>
          <w:sz w:val="20"/>
          <w:szCs w:val="20"/>
          <w:lang w:val="en-GB"/>
        </w:rPr>
        <w:t xml:space="preserve">and will </w:t>
      </w:r>
      <w:r w:rsidR="0078412A" w:rsidRPr="00C42C21">
        <w:rPr>
          <w:rFonts w:ascii="Arial" w:hAnsi="Arial" w:cs="Arial"/>
          <w:sz w:val="20"/>
          <w:szCs w:val="20"/>
          <w:lang w:val="en-GB"/>
        </w:rPr>
        <w:t xml:space="preserve">be considered </w:t>
      </w:r>
      <w:r w:rsidR="00064EAC" w:rsidRPr="00C42C21">
        <w:rPr>
          <w:rFonts w:ascii="Arial" w:hAnsi="Arial" w:cs="Arial"/>
          <w:sz w:val="20"/>
          <w:szCs w:val="20"/>
          <w:lang w:val="en-GB"/>
        </w:rPr>
        <w:t xml:space="preserve">(and incorporated) </w:t>
      </w:r>
      <w:r w:rsidR="0078412A" w:rsidRPr="00C42C21">
        <w:rPr>
          <w:rFonts w:ascii="Arial" w:hAnsi="Arial" w:cs="Arial"/>
          <w:sz w:val="20"/>
          <w:szCs w:val="20"/>
          <w:lang w:val="en-GB"/>
        </w:rPr>
        <w:t xml:space="preserve">before </w:t>
      </w:r>
      <w:r w:rsidR="00594230" w:rsidRPr="00C42C21">
        <w:rPr>
          <w:rFonts w:ascii="Arial" w:hAnsi="Arial" w:cs="Arial"/>
          <w:sz w:val="20"/>
          <w:szCs w:val="20"/>
          <w:lang w:val="en-GB"/>
        </w:rPr>
        <w:t xml:space="preserve">the </w:t>
      </w:r>
      <w:r w:rsidR="0078412A" w:rsidRPr="00C42C21">
        <w:rPr>
          <w:rFonts w:ascii="Arial" w:hAnsi="Arial" w:cs="Arial"/>
          <w:sz w:val="20"/>
          <w:szCs w:val="20"/>
          <w:lang w:val="en-GB"/>
        </w:rPr>
        <w:t>final Regulations are tabled in Parliament.</w:t>
      </w:r>
    </w:p>
    <w:p w:rsidR="002A7960" w:rsidRPr="00C42C21" w:rsidRDefault="002A7960"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lang w:val="en-GB"/>
        </w:rPr>
        <w:t>Similar to previous years, the Committee noted poor progress in terms of the achievement o</w:t>
      </w:r>
      <w:r w:rsidR="00064EAC" w:rsidRPr="00C42C21">
        <w:rPr>
          <w:rFonts w:ascii="Arial" w:hAnsi="Arial" w:cs="Arial"/>
          <w:sz w:val="20"/>
          <w:szCs w:val="20"/>
          <w:lang w:val="en-GB"/>
        </w:rPr>
        <w:t>n</w:t>
      </w:r>
      <w:r w:rsidRPr="00C42C21">
        <w:rPr>
          <w:rFonts w:ascii="Arial" w:hAnsi="Arial" w:cs="Arial"/>
          <w:sz w:val="20"/>
          <w:szCs w:val="20"/>
          <w:lang w:val="en-GB"/>
        </w:rPr>
        <w:t xml:space="preserve"> housing provision to military veterans. </w:t>
      </w:r>
      <w:r w:rsidR="00A11053" w:rsidRPr="00C42C21">
        <w:rPr>
          <w:rFonts w:ascii="Arial" w:hAnsi="Arial" w:cs="Arial"/>
          <w:sz w:val="20"/>
          <w:szCs w:val="20"/>
          <w:lang w:val="en-GB"/>
        </w:rPr>
        <w:t>The DMV admitted to constraints in this regard, but that there are ongoing efforts between the DMV and the Department of Human Settlements to unlock some of the challenges.</w:t>
      </w:r>
      <w:r w:rsidR="00FB2B66" w:rsidRPr="00C42C21">
        <w:rPr>
          <w:rFonts w:ascii="Arial" w:hAnsi="Arial" w:cs="Arial"/>
          <w:sz w:val="20"/>
          <w:szCs w:val="20"/>
          <w:lang w:val="en-GB"/>
        </w:rPr>
        <w:t xml:space="preserve"> By the end of 2022/23, the DMV spent only about 10% of its allocated funding available for Housing, resulting in 68 houses being built against a target of 355. </w:t>
      </w:r>
    </w:p>
    <w:p w:rsidR="002A7960" w:rsidRPr="00C42C21" w:rsidRDefault="002A7960"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Committee highlighted that there is a misalignment between the DMV </w:t>
      </w:r>
      <w:r w:rsidR="0078412A" w:rsidRPr="00C42C21">
        <w:rPr>
          <w:rFonts w:ascii="Arial" w:hAnsi="Arial" w:cs="Arial"/>
          <w:sz w:val="20"/>
          <w:szCs w:val="20"/>
          <w:lang w:val="en-GB"/>
        </w:rPr>
        <w:t>organisation</w:t>
      </w:r>
      <w:r w:rsidRPr="00C42C21">
        <w:rPr>
          <w:rFonts w:ascii="Arial" w:hAnsi="Arial" w:cs="Arial"/>
          <w:sz w:val="20"/>
          <w:szCs w:val="20"/>
          <w:lang w:val="en-GB"/>
        </w:rPr>
        <w:t xml:space="preserve"> structure and the benefits provision</w:t>
      </w:r>
      <w:r w:rsidR="00064EAC" w:rsidRPr="00C42C21">
        <w:rPr>
          <w:rFonts w:ascii="Arial" w:hAnsi="Arial" w:cs="Arial"/>
          <w:sz w:val="20"/>
          <w:szCs w:val="20"/>
          <w:lang w:val="en-GB"/>
        </w:rPr>
        <w:t>,</w:t>
      </w:r>
      <w:r w:rsidRPr="00C42C21">
        <w:rPr>
          <w:rFonts w:ascii="Arial" w:hAnsi="Arial" w:cs="Arial"/>
          <w:sz w:val="20"/>
          <w:szCs w:val="20"/>
          <w:lang w:val="en-GB"/>
        </w:rPr>
        <w:t xml:space="preserve"> and </w:t>
      </w:r>
      <w:r w:rsidR="00064EAC" w:rsidRPr="00C42C21">
        <w:rPr>
          <w:rFonts w:ascii="Arial" w:hAnsi="Arial" w:cs="Arial"/>
          <w:sz w:val="20"/>
          <w:szCs w:val="20"/>
          <w:lang w:val="en-GB"/>
        </w:rPr>
        <w:t xml:space="preserve">noted </w:t>
      </w:r>
      <w:r w:rsidRPr="00C42C21">
        <w:rPr>
          <w:rFonts w:ascii="Arial" w:hAnsi="Arial" w:cs="Arial"/>
          <w:sz w:val="20"/>
          <w:szCs w:val="20"/>
          <w:lang w:val="en-GB"/>
        </w:rPr>
        <w:t>that this problem has existed since the start of the 6</w:t>
      </w:r>
      <w:r w:rsidRPr="00C42C21">
        <w:rPr>
          <w:rFonts w:ascii="Arial" w:hAnsi="Arial" w:cs="Arial"/>
          <w:sz w:val="20"/>
          <w:szCs w:val="20"/>
          <w:vertAlign w:val="superscript"/>
          <w:lang w:val="en-GB"/>
        </w:rPr>
        <w:t>th</w:t>
      </w:r>
      <w:r w:rsidRPr="00C42C21">
        <w:rPr>
          <w:rFonts w:ascii="Arial" w:hAnsi="Arial" w:cs="Arial"/>
          <w:sz w:val="20"/>
          <w:szCs w:val="20"/>
          <w:lang w:val="en-GB"/>
        </w:rPr>
        <w:t xml:space="preserve"> Parliament</w:t>
      </w:r>
      <w:r w:rsidR="00064EAC" w:rsidRPr="00C42C21">
        <w:rPr>
          <w:rFonts w:ascii="Arial" w:hAnsi="Arial" w:cs="Arial"/>
          <w:sz w:val="20"/>
          <w:szCs w:val="20"/>
          <w:lang w:val="en-GB"/>
        </w:rPr>
        <w:t xml:space="preserve">. The Committee further stated that it </w:t>
      </w:r>
      <w:r w:rsidRPr="00C42C21">
        <w:rPr>
          <w:rFonts w:ascii="Arial" w:hAnsi="Arial" w:cs="Arial"/>
          <w:sz w:val="20"/>
          <w:szCs w:val="20"/>
          <w:lang w:val="en-GB"/>
        </w:rPr>
        <w:t xml:space="preserve">requires Ministerial intervention to </w:t>
      </w:r>
      <w:r w:rsidR="00064EAC" w:rsidRPr="00C42C21">
        <w:rPr>
          <w:rFonts w:ascii="Arial" w:hAnsi="Arial" w:cs="Arial"/>
          <w:sz w:val="20"/>
          <w:szCs w:val="20"/>
          <w:lang w:val="en-GB"/>
        </w:rPr>
        <w:t xml:space="preserve">be </w:t>
      </w:r>
      <w:r w:rsidRPr="00C42C21">
        <w:rPr>
          <w:rFonts w:ascii="Arial" w:hAnsi="Arial" w:cs="Arial"/>
          <w:sz w:val="20"/>
          <w:szCs w:val="20"/>
          <w:lang w:val="en-GB"/>
        </w:rPr>
        <w:t>resolve</w:t>
      </w:r>
      <w:r w:rsidR="00064EAC" w:rsidRPr="00C42C21">
        <w:rPr>
          <w:rFonts w:ascii="Arial" w:hAnsi="Arial" w:cs="Arial"/>
          <w:sz w:val="20"/>
          <w:szCs w:val="20"/>
          <w:lang w:val="en-GB"/>
        </w:rPr>
        <w:t>d</w:t>
      </w:r>
      <w:r w:rsidRPr="00C42C21">
        <w:rPr>
          <w:rFonts w:ascii="Arial" w:hAnsi="Arial" w:cs="Arial"/>
          <w:sz w:val="20"/>
          <w:szCs w:val="20"/>
          <w:lang w:val="en-GB"/>
        </w:rPr>
        <w:t>.</w:t>
      </w:r>
    </w:p>
    <w:p w:rsidR="002A7960" w:rsidRPr="00C42C21" w:rsidRDefault="002A7960"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Committee expressed concern around the capacity at provincial DMV offices as </w:t>
      </w:r>
      <w:r w:rsidR="00064EAC" w:rsidRPr="00C42C21">
        <w:rPr>
          <w:rFonts w:ascii="Arial" w:hAnsi="Arial" w:cs="Arial"/>
          <w:sz w:val="20"/>
          <w:szCs w:val="20"/>
          <w:lang w:val="en-GB"/>
        </w:rPr>
        <w:t xml:space="preserve">was </w:t>
      </w:r>
      <w:r w:rsidRPr="00C42C21">
        <w:rPr>
          <w:rFonts w:ascii="Arial" w:hAnsi="Arial" w:cs="Arial"/>
          <w:sz w:val="20"/>
          <w:szCs w:val="20"/>
          <w:lang w:val="en-GB"/>
        </w:rPr>
        <w:t>observed during its recent oversight visits.</w:t>
      </w:r>
      <w:r w:rsidR="00FB2B66" w:rsidRPr="00C42C21">
        <w:rPr>
          <w:rFonts w:ascii="Arial" w:hAnsi="Arial" w:cs="Arial"/>
          <w:sz w:val="20"/>
          <w:szCs w:val="20"/>
          <w:lang w:val="en-GB"/>
        </w:rPr>
        <w:t xml:space="preserve"> The DMV indicated that, in the past year, they have </w:t>
      </w:r>
      <w:r w:rsidR="00064EAC" w:rsidRPr="00C42C21">
        <w:rPr>
          <w:rFonts w:ascii="Arial" w:hAnsi="Arial" w:cs="Arial"/>
          <w:sz w:val="20"/>
          <w:szCs w:val="20"/>
          <w:lang w:val="en-GB"/>
        </w:rPr>
        <w:t xml:space="preserve">appointed </w:t>
      </w:r>
      <w:r w:rsidR="00FB2B66" w:rsidRPr="00C42C21">
        <w:rPr>
          <w:rFonts w:ascii="Arial" w:hAnsi="Arial" w:cs="Arial"/>
          <w:sz w:val="20"/>
          <w:szCs w:val="20"/>
          <w:lang w:val="en-GB"/>
        </w:rPr>
        <w:t>administrative assistant</w:t>
      </w:r>
      <w:r w:rsidR="00064EAC" w:rsidRPr="00C42C21">
        <w:rPr>
          <w:rFonts w:ascii="Arial" w:hAnsi="Arial" w:cs="Arial"/>
          <w:sz w:val="20"/>
          <w:szCs w:val="20"/>
          <w:lang w:val="en-GB"/>
        </w:rPr>
        <w:t>s</w:t>
      </w:r>
      <w:r w:rsidR="00FB2B66" w:rsidRPr="00C42C21">
        <w:rPr>
          <w:rFonts w:ascii="Arial" w:hAnsi="Arial" w:cs="Arial"/>
          <w:sz w:val="20"/>
          <w:szCs w:val="20"/>
          <w:lang w:val="en-GB"/>
        </w:rPr>
        <w:t xml:space="preserve"> </w:t>
      </w:r>
      <w:r w:rsidR="00064EAC" w:rsidRPr="00C42C21">
        <w:rPr>
          <w:rFonts w:ascii="Arial" w:hAnsi="Arial" w:cs="Arial"/>
          <w:sz w:val="20"/>
          <w:szCs w:val="20"/>
          <w:lang w:val="en-GB"/>
        </w:rPr>
        <w:t xml:space="preserve">in each of </w:t>
      </w:r>
      <w:r w:rsidR="00FB2B66" w:rsidRPr="00C42C21">
        <w:rPr>
          <w:rFonts w:ascii="Arial" w:hAnsi="Arial" w:cs="Arial"/>
          <w:sz w:val="20"/>
          <w:szCs w:val="20"/>
          <w:lang w:val="en-GB"/>
        </w:rPr>
        <w:t>the Provincial Offices to allow personnel to focus on service delivery matters.</w:t>
      </w:r>
    </w:p>
    <w:p w:rsidR="00FB2B66" w:rsidRPr="00C42C21" w:rsidRDefault="00FB2B66"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rPr>
        <w:t xml:space="preserve">The Committee expressed serious concern around the absence of quarterly targets on the sub-programmes on Socio-economic support, including housing; healthcare and counselling. The Committee noted that in </w:t>
      </w:r>
      <w:r w:rsidR="00064EAC" w:rsidRPr="00C42C21">
        <w:rPr>
          <w:rFonts w:ascii="Arial" w:hAnsi="Arial" w:cs="Arial"/>
          <w:sz w:val="20"/>
          <w:szCs w:val="20"/>
        </w:rPr>
        <w:t xml:space="preserve">terms of the current reporting structure of the APP, </w:t>
      </w:r>
      <w:r w:rsidRPr="00C42C21">
        <w:rPr>
          <w:rFonts w:ascii="Arial" w:hAnsi="Arial" w:cs="Arial"/>
          <w:sz w:val="20"/>
          <w:szCs w:val="20"/>
        </w:rPr>
        <w:t>the DMV would only report on these essential benefits annually</w:t>
      </w:r>
      <w:r w:rsidR="00064EAC" w:rsidRPr="00C42C21">
        <w:rPr>
          <w:rFonts w:ascii="Arial" w:hAnsi="Arial" w:cs="Arial"/>
          <w:sz w:val="20"/>
          <w:szCs w:val="20"/>
        </w:rPr>
        <w:t>,</w:t>
      </w:r>
      <w:r w:rsidRPr="00C42C21">
        <w:rPr>
          <w:rFonts w:ascii="Arial" w:hAnsi="Arial" w:cs="Arial"/>
          <w:sz w:val="20"/>
          <w:szCs w:val="20"/>
        </w:rPr>
        <w:t xml:space="preserve"> </w:t>
      </w:r>
      <w:r w:rsidR="00064EAC" w:rsidRPr="00C42C21">
        <w:rPr>
          <w:rFonts w:ascii="Arial" w:hAnsi="Arial" w:cs="Arial"/>
          <w:sz w:val="20"/>
          <w:szCs w:val="20"/>
        </w:rPr>
        <w:t xml:space="preserve">thus not affording </w:t>
      </w:r>
      <w:r w:rsidRPr="00C42C21">
        <w:rPr>
          <w:rFonts w:ascii="Arial" w:hAnsi="Arial" w:cs="Arial"/>
          <w:sz w:val="20"/>
          <w:szCs w:val="20"/>
        </w:rPr>
        <w:t xml:space="preserve">the Committee </w:t>
      </w:r>
      <w:r w:rsidR="00064EAC" w:rsidRPr="00C42C21">
        <w:rPr>
          <w:rFonts w:ascii="Arial" w:hAnsi="Arial" w:cs="Arial"/>
          <w:sz w:val="20"/>
          <w:szCs w:val="20"/>
        </w:rPr>
        <w:t xml:space="preserve">an opportunity </w:t>
      </w:r>
      <w:r w:rsidRPr="00C42C21">
        <w:rPr>
          <w:rFonts w:ascii="Arial" w:hAnsi="Arial" w:cs="Arial"/>
          <w:sz w:val="20"/>
          <w:szCs w:val="20"/>
        </w:rPr>
        <w:t xml:space="preserve">to measure performance </w:t>
      </w:r>
      <w:r w:rsidR="00064EAC" w:rsidRPr="00C42C21">
        <w:rPr>
          <w:rFonts w:ascii="Arial" w:hAnsi="Arial" w:cs="Arial"/>
          <w:sz w:val="20"/>
          <w:szCs w:val="20"/>
        </w:rPr>
        <w:t xml:space="preserve">on a </w:t>
      </w:r>
      <w:r w:rsidRPr="00C42C21">
        <w:rPr>
          <w:rFonts w:ascii="Arial" w:hAnsi="Arial" w:cs="Arial"/>
          <w:sz w:val="20"/>
          <w:szCs w:val="20"/>
        </w:rPr>
        <w:t xml:space="preserve">quarterly </w:t>
      </w:r>
      <w:r w:rsidR="00064EAC" w:rsidRPr="00C42C21">
        <w:rPr>
          <w:rFonts w:ascii="Arial" w:hAnsi="Arial" w:cs="Arial"/>
          <w:sz w:val="20"/>
          <w:szCs w:val="20"/>
        </w:rPr>
        <w:t xml:space="preserve">basis, </w:t>
      </w:r>
      <w:r w:rsidRPr="00C42C21">
        <w:rPr>
          <w:rFonts w:ascii="Arial" w:hAnsi="Arial" w:cs="Arial"/>
          <w:sz w:val="20"/>
          <w:szCs w:val="20"/>
        </w:rPr>
        <w:t xml:space="preserve">as is the norm. </w:t>
      </w:r>
    </w:p>
    <w:p w:rsidR="00FB2B66" w:rsidRPr="00C42C21" w:rsidRDefault="00FB2B66"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rPr>
        <w:lastRenderedPageBreak/>
        <w:t>The Committee raised its concern</w:t>
      </w:r>
      <w:r w:rsidRPr="00C42C21">
        <w:rPr>
          <w:rFonts w:ascii="Arial" w:hAnsi="Arial" w:cs="Arial"/>
          <w:sz w:val="20"/>
          <w:szCs w:val="20"/>
          <w:lang w:val="en-GB"/>
        </w:rPr>
        <w:t xml:space="preserve"> with regards to the reduction in the budget allocations for the Financial Management and Provincial Offices subprogrammes respectively, noting the financial accountability challenges of </w:t>
      </w:r>
      <w:r w:rsidR="00064EAC" w:rsidRPr="00C42C21">
        <w:rPr>
          <w:rFonts w:ascii="Arial" w:hAnsi="Arial" w:cs="Arial"/>
          <w:sz w:val="20"/>
          <w:szCs w:val="20"/>
          <w:lang w:val="en-GB"/>
        </w:rPr>
        <w:t xml:space="preserve">the </w:t>
      </w:r>
      <w:r w:rsidRPr="00C42C21">
        <w:rPr>
          <w:rFonts w:ascii="Arial" w:hAnsi="Arial" w:cs="Arial"/>
          <w:sz w:val="20"/>
          <w:szCs w:val="20"/>
          <w:lang w:val="en-GB"/>
        </w:rPr>
        <w:t>DMV</w:t>
      </w:r>
      <w:r w:rsidR="00064EAC" w:rsidRPr="00C42C21">
        <w:rPr>
          <w:rFonts w:ascii="Arial" w:hAnsi="Arial" w:cs="Arial"/>
          <w:sz w:val="20"/>
          <w:szCs w:val="20"/>
          <w:lang w:val="en-GB"/>
        </w:rPr>
        <w:t>,</w:t>
      </w:r>
      <w:r w:rsidRPr="00C42C21">
        <w:rPr>
          <w:rFonts w:ascii="Arial" w:hAnsi="Arial" w:cs="Arial"/>
          <w:sz w:val="20"/>
          <w:szCs w:val="20"/>
          <w:lang w:val="en-GB"/>
        </w:rPr>
        <w:t xml:space="preserve"> as well as the capacity challenges within the Provinces.</w:t>
      </w:r>
    </w:p>
    <w:p w:rsidR="00FB2B66" w:rsidRPr="00C42C21" w:rsidRDefault="00FB2B66" w:rsidP="00C42C21">
      <w:pPr>
        <w:pStyle w:val="ListParagraph"/>
        <w:numPr>
          <w:ilvl w:val="0"/>
          <w:numId w:val="28"/>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sz w:val="20"/>
          <w:szCs w:val="20"/>
        </w:rPr>
        <w:t xml:space="preserve">The Committee noted that the presentation did not cover the </w:t>
      </w:r>
      <w:r w:rsidR="00064EAC" w:rsidRPr="00C42C21">
        <w:rPr>
          <w:rFonts w:ascii="Arial" w:hAnsi="Arial" w:cs="Arial"/>
          <w:sz w:val="20"/>
          <w:szCs w:val="20"/>
        </w:rPr>
        <w:t xml:space="preserve">2023/24 </w:t>
      </w:r>
      <w:r w:rsidRPr="00C42C21">
        <w:rPr>
          <w:rFonts w:ascii="Arial" w:hAnsi="Arial" w:cs="Arial"/>
          <w:sz w:val="20"/>
          <w:szCs w:val="20"/>
        </w:rPr>
        <w:t xml:space="preserve">Budget </w:t>
      </w:r>
      <w:r w:rsidR="00064EAC" w:rsidRPr="00C42C21">
        <w:rPr>
          <w:rFonts w:ascii="Arial" w:hAnsi="Arial" w:cs="Arial"/>
          <w:sz w:val="20"/>
          <w:szCs w:val="20"/>
        </w:rPr>
        <w:t xml:space="preserve">allocation </w:t>
      </w:r>
      <w:r w:rsidR="00A56202" w:rsidRPr="00C42C21">
        <w:rPr>
          <w:rFonts w:ascii="Arial" w:hAnsi="Arial" w:cs="Arial"/>
          <w:sz w:val="20"/>
          <w:szCs w:val="20"/>
        </w:rPr>
        <w:t xml:space="preserve">upon </w:t>
      </w:r>
      <w:r w:rsidRPr="00C42C21">
        <w:rPr>
          <w:rFonts w:ascii="Arial" w:hAnsi="Arial" w:cs="Arial"/>
          <w:sz w:val="20"/>
          <w:szCs w:val="20"/>
        </w:rPr>
        <w:t>which the Committee is required to express its endorsement on.</w:t>
      </w:r>
    </w:p>
    <w:p w:rsidR="0084743E" w:rsidRPr="00C42C21" w:rsidRDefault="0084743E" w:rsidP="00C42C21">
      <w:pPr>
        <w:pStyle w:val="BodyText3"/>
        <w:spacing w:after="0"/>
        <w:ind w:right="-755"/>
        <w:jc w:val="both"/>
        <w:rPr>
          <w:rFonts w:cs="Arial"/>
          <w:sz w:val="20"/>
          <w:szCs w:val="20"/>
        </w:rPr>
      </w:pPr>
    </w:p>
    <w:p w:rsidR="0084743E" w:rsidRPr="00C42C21" w:rsidRDefault="003F647C" w:rsidP="00C42C21">
      <w:pPr>
        <w:spacing w:after="0" w:line="240" w:lineRule="auto"/>
        <w:jc w:val="both"/>
        <w:rPr>
          <w:rFonts w:ascii="Arial" w:hAnsi="Arial" w:cs="Arial"/>
          <w:b/>
          <w:sz w:val="20"/>
          <w:szCs w:val="20"/>
          <w:lang w:val="en-GB"/>
        </w:rPr>
      </w:pPr>
      <w:r w:rsidRPr="00C42C21">
        <w:rPr>
          <w:rFonts w:ascii="Arial" w:hAnsi="Arial" w:cs="Arial"/>
          <w:b/>
          <w:sz w:val="20"/>
          <w:szCs w:val="20"/>
          <w:lang w:val="en-GB"/>
        </w:rPr>
        <w:t>10</w:t>
      </w:r>
      <w:r w:rsidR="0084743E" w:rsidRPr="00C42C21">
        <w:rPr>
          <w:rFonts w:ascii="Arial" w:hAnsi="Arial" w:cs="Arial"/>
          <w:b/>
          <w:sz w:val="20"/>
          <w:szCs w:val="20"/>
          <w:lang w:val="en-GB"/>
        </w:rPr>
        <w:t>.</w:t>
      </w:r>
      <w:r w:rsidR="0084743E" w:rsidRPr="00C42C21">
        <w:rPr>
          <w:rFonts w:ascii="Arial" w:hAnsi="Arial" w:cs="Arial"/>
          <w:b/>
          <w:sz w:val="20"/>
          <w:szCs w:val="20"/>
          <w:lang w:val="en-GB"/>
        </w:rPr>
        <w:tab/>
        <w:t>RECOMMENDATIONS</w:t>
      </w:r>
    </w:p>
    <w:p w:rsidR="0084743E" w:rsidRPr="00C42C21" w:rsidRDefault="0084743E" w:rsidP="00C42C21">
      <w:pPr>
        <w:spacing w:after="0" w:line="240" w:lineRule="auto"/>
        <w:jc w:val="both"/>
        <w:rPr>
          <w:rFonts w:ascii="Arial" w:hAnsi="Arial" w:cs="Arial"/>
          <w:sz w:val="20"/>
          <w:szCs w:val="20"/>
          <w:lang w:val="en-GB"/>
        </w:rPr>
      </w:pPr>
    </w:p>
    <w:p w:rsidR="003F647C" w:rsidRPr="00C42C21" w:rsidRDefault="00F1265B" w:rsidP="00C42C21">
      <w:pPr>
        <w:spacing w:after="0" w:line="240" w:lineRule="auto"/>
        <w:jc w:val="both"/>
        <w:rPr>
          <w:rFonts w:ascii="Arial" w:hAnsi="Arial" w:cs="Arial"/>
          <w:sz w:val="20"/>
          <w:szCs w:val="20"/>
          <w:lang w:val="en-GB"/>
        </w:rPr>
      </w:pPr>
      <w:r w:rsidRPr="00C42C21">
        <w:rPr>
          <w:rFonts w:ascii="Arial" w:hAnsi="Arial" w:cs="Arial"/>
          <w:sz w:val="20"/>
          <w:szCs w:val="20"/>
          <w:lang w:val="en-GB"/>
        </w:rPr>
        <w:t>Based on is engagement on the 2023/24 DMV Budget and APP, t</w:t>
      </w:r>
      <w:r w:rsidR="0084743E" w:rsidRPr="00C42C21">
        <w:rPr>
          <w:rFonts w:ascii="Arial" w:hAnsi="Arial" w:cs="Arial"/>
          <w:sz w:val="20"/>
          <w:szCs w:val="20"/>
          <w:lang w:val="en-GB"/>
        </w:rPr>
        <w:t xml:space="preserve">he </w:t>
      </w:r>
      <w:r w:rsidR="00551FC1" w:rsidRPr="00C42C21">
        <w:rPr>
          <w:rFonts w:ascii="Arial" w:hAnsi="Arial" w:cs="Arial"/>
          <w:sz w:val="20"/>
          <w:szCs w:val="20"/>
          <w:lang w:val="en-GB"/>
        </w:rPr>
        <w:t xml:space="preserve">Committee </w:t>
      </w:r>
      <w:r w:rsidRPr="00C42C21">
        <w:rPr>
          <w:rFonts w:ascii="Arial" w:hAnsi="Arial" w:cs="Arial"/>
          <w:sz w:val="20"/>
          <w:szCs w:val="20"/>
          <w:lang w:val="en-GB"/>
        </w:rPr>
        <w:t>makes the following recommendations</w:t>
      </w:r>
      <w:r w:rsidR="0084743E" w:rsidRPr="00C42C21">
        <w:rPr>
          <w:rFonts w:ascii="Arial" w:hAnsi="Arial" w:cs="Arial"/>
          <w:sz w:val="20"/>
          <w:szCs w:val="20"/>
          <w:lang w:val="en-GB"/>
        </w:rPr>
        <w:t>:</w:t>
      </w:r>
    </w:p>
    <w:p w:rsidR="0084743E" w:rsidRPr="00C42C21" w:rsidRDefault="0084743E" w:rsidP="00C42C21">
      <w:pPr>
        <w:spacing w:after="0" w:line="240" w:lineRule="auto"/>
        <w:jc w:val="both"/>
        <w:rPr>
          <w:rFonts w:ascii="Arial" w:hAnsi="Arial" w:cs="Arial"/>
          <w:sz w:val="20"/>
          <w:szCs w:val="20"/>
          <w:lang w:val="en-GB"/>
        </w:rPr>
      </w:pPr>
    </w:p>
    <w:p w:rsidR="00361075" w:rsidRPr="00C42C21" w:rsidRDefault="00361075"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sz w:val="20"/>
          <w:szCs w:val="20"/>
          <w:lang w:val="en-GB"/>
        </w:rPr>
        <w:t>The Minister of Defence and Military Veterans should seek condonement from the Speaker of Parliament for the late submission of the DMV 2023/24 APP. The outcome of the application must be shared with the Committee.</w:t>
      </w:r>
    </w:p>
    <w:p w:rsidR="00361075" w:rsidRPr="00C42C21" w:rsidRDefault="00361075" w:rsidP="00C42C21">
      <w:pPr>
        <w:pStyle w:val="ListParagraph"/>
        <w:numPr>
          <w:ilvl w:val="0"/>
          <w:numId w:val="32"/>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color w:val="000000"/>
          <w:sz w:val="20"/>
          <w:szCs w:val="20"/>
        </w:rPr>
        <w:t>The Committee welcomed the appointment of Vice Admiral (ret) M. Hlongwane as the new acting Director-General of the DMV and wishes him well in stabilising the Department and ensuring that it is focus</w:t>
      </w:r>
      <w:r w:rsidR="00551FC1" w:rsidRPr="00C42C21">
        <w:rPr>
          <w:rFonts w:ascii="Arial" w:hAnsi="Arial" w:cs="Arial"/>
          <w:color w:val="000000"/>
          <w:sz w:val="20"/>
          <w:szCs w:val="20"/>
        </w:rPr>
        <w:t>sed</w:t>
      </w:r>
      <w:r w:rsidRPr="00C42C21">
        <w:rPr>
          <w:rFonts w:ascii="Arial" w:hAnsi="Arial" w:cs="Arial"/>
          <w:color w:val="000000"/>
          <w:sz w:val="20"/>
          <w:szCs w:val="20"/>
        </w:rPr>
        <w:t xml:space="preserve"> and oriented towards service delivery to deserving military veterans.</w:t>
      </w:r>
      <w:r w:rsidR="00A95578" w:rsidRPr="00C42C21">
        <w:rPr>
          <w:rFonts w:ascii="Arial" w:hAnsi="Arial" w:cs="Arial"/>
          <w:color w:val="000000"/>
          <w:sz w:val="20"/>
          <w:szCs w:val="20"/>
        </w:rPr>
        <w:t xml:space="preserve"> </w:t>
      </w:r>
    </w:p>
    <w:p w:rsidR="00B47082" w:rsidRPr="00C42C21" w:rsidRDefault="00B47082"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Committee wishes to express its disappointment in the quality of the APP and, specifically, the presentation made to the Committee on 10 May 2023 which failed to include budgetary aspects and selected quarterly targets. The DMV must ensure a higher standard of presentation when engaging with the PCDMV </w:t>
      </w:r>
      <w:r w:rsidR="00551FC1" w:rsidRPr="00C42C21">
        <w:rPr>
          <w:rFonts w:ascii="Arial" w:hAnsi="Arial" w:cs="Arial"/>
          <w:sz w:val="20"/>
          <w:szCs w:val="20"/>
          <w:lang w:val="en-GB"/>
        </w:rPr>
        <w:t>throughout</w:t>
      </w:r>
      <w:r w:rsidRPr="00C42C21">
        <w:rPr>
          <w:rFonts w:ascii="Arial" w:hAnsi="Arial" w:cs="Arial"/>
          <w:sz w:val="20"/>
          <w:szCs w:val="20"/>
          <w:lang w:val="en-GB"/>
        </w:rPr>
        <w:t xml:space="preserve"> 2023/24.</w:t>
      </w:r>
    </w:p>
    <w:p w:rsidR="00361075" w:rsidRPr="00C42C21" w:rsidRDefault="00361075"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sz w:val="20"/>
          <w:szCs w:val="20"/>
          <w:lang w:val="en-GB"/>
        </w:rPr>
        <w:t>The Department must prioritise the finalisation of the Pension Benefit Regulations as a matter of urgency</w:t>
      </w:r>
      <w:r w:rsidR="00A56202" w:rsidRPr="00C42C21">
        <w:rPr>
          <w:rFonts w:ascii="Arial" w:hAnsi="Arial" w:cs="Arial"/>
          <w:sz w:val="20"/>
          <w:szCs w:val="20"/>
          <w:lang w:val="en-GB"/>
        </w:rPr>
        <w:t xml:space="preserve">. This must be done </w:t>
      </w:r>
      <w:r w:rsidRPr="00C42C21">
        <w:rPr>
          <w:rFonts w:ascii="Arial" w:hAnsi="Arial" w:cs="Arial"/>
          <w:sz w:val="20"/>
          <w:szCs w:val="20"/>
          <w:lang w:val="en-GB"/>
        </w:rPr>
        <w:t xml:space="preserve">in accordance </w:t>
      </w:r>
      <w:r w:rsidR="00A56202" w:rsidRPr="00C42C21">
        <w:rPr>
          <w:rFonts w:ascii="Arial" w:hAnsi="Arial" w:cs="Arial"/>
          <w:sz w:val="20"/>
          <w:szCs w:val="20"/>
          <w:lang w:val="en-GB"/>
        </w:rPr>
        <w:t xml:space="preserve">to </w:t>
      </w:r>
      <w:r w:rsidRPr="00C42C21">
        <w:rPr>
          <w:rFonts w:ascii="Arial" w:hAnsi="Arial" w:cs="Arial"/>
          <w:sz w:val="20"/>
          <w:szCs w:val="20"/>
          <w:lang w:val="en-GB"/>
        </w:rPr>
        <w:t xml:space="preserve">existing legislation and </w:t>
      </w:r>
      <w:r w:rsidR="00A56202" w:rsidRPr="00C42C21">
        <w:rPr>
          <w:rFonts w:ascii="Arial" w:hAnsi="Arial" w:cs="Arial"/>
          <w:sz w:val="20"/>
          <w:szCs w:val="20"/>
          <w:lang w:val="en-GB"/>
        </w:rPr>
        <w:t xml:space="preserve">must </w:t>
      </w:r>
      <w:r w:rsidR="00E55A84" w:rsidRPr="00C42C21">
        <w:rPr>
          <w:rFonts w:ascii="Arial" w:hAnsi="Arial" w:cs="Arial"/>
          <w:sz w:val="20"/>
          <w:szCs w:val="20"/>
          <w:lang w:val="en-GB"/>
        </w:rPr>
        <w:t xml:space="preserve">be </w:t>
      </w:r>
      <w:r w:rsidRPr="00C42C21">
        <w:rPr>
          <w:rFonts w:ascii="Arial" w:hAnsi="Arial" w:cs="Arial"/>
          <w:sz w:val="20"/>
          <w:szCs w:val="20"/>
          <w:lang w:val="en-GB"/>
        </w:rPr>
        <w:t>cognisant of public input received. The Committee will source a legal opinion from Parliament’s Legal Services Division on the process</w:t>
      </w:r>
      <w:r w:rsidR="00E55A84" w:rsidRPr="00C42C21">
        <w:rPr>
          <w:rFonts w:ascii="Arial" w:hAnsi="Arial" w:cs="Arial"/>
          <w:sz w:val="20"/>
          <w:szCs w:val="20"/>
          <w:lang w:val="en-GB"/>
        </w:rPr>
        <w:t>,</w:t>
      </w:r>
      <w:r w:rsidRPr="00C42C21">
        <w:rPr>
          <w:rFonts w:ascii="Arial" w:hAnsi="Arial" w:cs="Arial"/>
          <w:sz w:val="20"/>
          <w:szCs w:val="20"/>
          <w:lang w:val="en-GB"/>
        </w:rPr>
        <w:t xml:space="preserve"> and also provide guidance to the DMV in this regard.</w:t>
      </w:r>
      <w:r w:rsidR="009B5F6C" w:rsidRPr="00C42C21">
        <w:rPr>
          <w:rFonts w:ascii="Arial" w:hAnsi="Arial" w:cs="Arial"/>
          <w:sz w:val="20"/>
          <w:szCs w:val="20"/>
          <w:lang w:val="en-GB"/>
        </w:rPr>
        <w:t xml:space="preserve"> </w:t>
      </w:r>
    </w:p>
    <w:p w:rsidR="00FB2B66" w:rsidRPr="00C42C21" w:rsidRDefault="009B5F6C"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sz w:val="20"/>
          <w:szCs w:val="20"/>
          <w:lang w:val="en-GB"/>
        </w:rPr>
        <w:t>The DMV should be upfront with military veterans regarding the timelines for the roll-out of the Pension Benefit</w:t>
      </w:r>
      <w:r w:rsidR="00E55A84" w:rsidRPr="00C42C21">
        <w:rPr>
          <w:rFonts w:ascii="Arial" w:hAnsi="Arial" w:cs="Arial"/>
          <w:sz w:val="20"/>
          <w:szCs w:val="20"/>
          <w:lang w:val="en-GB"/>
        </w:rPr>
        <w:t>(s)</w:t>
      </w:r>
      <w:r w:rsidRPr="00C42C21">
        <w:rPr>
          <w:rFonts w:ascii="Arial" w:hAnsi="Arial" w:cs="Arial"/>
          <w:sz w:val="20"/>
          <w:szCs w:val="20"/>
          <w:lang w:val="en-GB"/>
        </w:rPr>
        <w:t xml:space="preserve"> and this should be reflected in all communication with veterans and advertising by the DMV.</w:t>
      </w:r>
    </w:p>
    <w:p w:rsidR="009B5F6C" w:rsidRPr="00C42C21" w:rsidRDefault="009B5F6C"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new </w:t>
      </w:r>
      <w:r w:rsidRPr="00C42C21">
        <w:rPr>
          <w:rFonts w:ascii="Arial" w:hAnsi="Arial" w:cs="Arial"/>
          <w:color w:val="000000"/>
          <w:sz w:val="20"/>
          <w:szCs w:val="20"/>
        </w:rPr>
        <w:t>acting Director-General of the DMV should prioritise an engagement with the Department of Human Settlements to address service delivery constraints and ensure better delivery of houses to veterans in 2023/24. Housing delivery against set targets have been a historic area of poor performance for the DMV, despite various PCDMV recommendations in this regard</w:t>
      </w:r>
      <w:r w:rsidR="00E55A84" w:rsidRPr="00C42C21">
        <w:rPr>
          <w:rFonts w:ascii="Arial" w:hAnsi="Arial" w:cs="Arial"/>
          <w:color w:val="000000"/>
          <w:sz w:val="20"/>
          <w:szCs w:val="20"/>
        </w:rPr>
        <w:t>. T</w:t>
      </w:r>
      <w:r w:rsidRPr="00C42C21">
        <w:rPr>
          <w:rFonts w:ascii="Arial" w:hAnsi="Arial" w:cs="Arial"/>
          <w:color w:val="000000"/>
          <w:sz w:val="20"/>
          <w:szCs w:val="20"/>
        </w:rPr>
        <w:t>he Committee urges the new acting Director-General of the DMV to prioritise this matter.</w:t>
      </w:r>
    </w:p>
    <w:p w:rsidR="006A4639" w:rsidRPr="00C42C21" w:rsidRDefault="006A4639"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color w:val="000000"/>
          <w:sz w:val="20"/>
          <w:szCs w:val="20"/>
        </w:rPr>
        <w:t>The Committee urges the Minister of Defence and Military Veterans and the DMV to jointly address</w:t>
      </w:r>
      <w:r w:rsidR="00E55A84" w:rsidRPr="00C42C21">
        <w:rPr>
          <w:rFonts w:ascii="Arial" w:hAnsi="Arial" w:cs="Arial"/>
          <w:color w:val="000000"/>
          <w:sz w:val="20"/>
          <w:szCs w:val="20"/>
        </w:rPr>
        <w:t>,</w:t>
      </w:r>
      <w:r w:rsidRPr="00C42C21">
        <w:rPr>
          <w:rFonts w:ascii="Arial" w:hAnsi="Arial" w:cs="Arial"/>
          <w:color w:val="000000"/>
          <w:sz w:val="20"/>
          <w:szCs w:val="20"/>
        </w:rPr>
        <w:t xml:space="preserve"> and finalise</w:t>
      </w:r>
      <w:r w:rsidR="00E55A84" w:rsidRPr="00C42C21">
        <w:rPr>
          <w:rFonts w:ascii="Arial" w:hAnsi="Arial" w:cs="Arial"/>
          <w:color w:val="000000"/>
          <w:sz w:val="20"/>
          <w:szCs w:val="20"/>
        </w:rPr>
        <w:t>,</w:t>
      </w:r>
      <w:r w:rsidRPr="00C42C21">
        <w:rPr>
          <w:rFonts w:ascii="Arial" w:hAnsi="Arial" w:cs="Arial"/>
          <w:color w:val="000000"/>
          <w:sz w:val="20"/>
          <w:szCs w:val="20"/>
        </w:rPr>
        <w:t xml:space="preserve"> an appropriate organisational structure for the DMV.</w:t>
      </w:r>
    </w:p>
    <w:p w:rsidR="00E11AC3" w:rsidRPr="00C42C21" w:rsidRDefault="00E11AC3"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color w:val="000000"/>
          <w:sz w:val="20"/>
          <w:szCs w:val="20"/>
        </w:rPr>
        <w:t xml:space="preserve">The DMV should ensure </w:t>
      </w:r>
      <w:r w:rsidR="00E55A84" w:rsidRPr="00C42C21">
        <w:rPr>
          <w:rFonts w:ascii="Arial" w:hAnsi="Arial" w:cs="Arial"/>
          <w:color w:val="000000"/>
          <w:sz w:val="20"/>
          <w:szCs w:val="20"/>
        </w:rPr>
        <w:t xml:space="preserve">that </w:t>
      </w:r>
      <w:r w:rsidRPr="00C42C21">
        <w:rPr>
          <w:rFonts w:ascii="Arial" w:hAnsi="Arial" w:cs="Arial"/>
          <w:color w:val="000000"/>
          <w:sz w:val="20"/>
          <w:szCs w:val="20"/>
        </w:rPr>
        <w:t xml:space="preserve">provincial offices </w:t>
      </w:r>
      <w:r w:rsidR="00E55A84" w:rsidRPr="00C42C21">
        <w:rPr>
          <w:rFonts w:ascii="Arial" w:hAnsi="Arial" w:cs="Arial"/>
          <w:color w:val="000000"/>
          <w:sz w:val="20"/>
          <w:szCs w:val="20"/>
        </w:rPr>
        <w:t xml:space="preserve">are fully capacitated </w:t>
      </w:r>
      <w:r w:rsidRPr="00C42C21">
        <w:rPr>
          <w:rFonts w:ascii="Arial" w:hAnsi="Arial" w:cs="Arial"/>
          <w:color w:val="000000"/>
          <w:sz w:val="20"/>
          <w:szCs w:val="20"/>
        </w:rPr>
        <w:t>with qualified</w:t>
      </w:r>
      <w:r w:rsidR="00E55A84" w:rsidRPr="00C42C21">
        <w:rPr>
          <w:rFonts w:ascii="Arial" w:hAnsi="Arial" w:cs="Arial"/>
          <w:color w:val="000000"/>
          <w:sz w:val="20"/>
          <w:szCs w:val="20"/>
        </w:rPr>
        <w:t xml:space="preserve"> and</w:t>
      </w:r>
      <w:r w:rsidRPr="00C42C21">
        <w:rPr>
          <w:rFonts w:ascii="Arial" w:hAnsi="Arial" w:cs="Arial"/>
          <w:color w:val="000000"/>
          <w:sz w:val="20"/>
          <w:szCs w:val="20"/>
        </w:rPr>
        <w:t xml:space="preserve"> relevant personnel that can adequately assist veterans.</w:t>
      </w:r>
    </w:p>
    <w:p w:rsidR="006B2584" w:rsidRPr="00C42C21" w:rsidRDefault="006B2584" w:rsidP="00C42C21">
      <w:pPr>
        <w:pStyle w:val="ListParagraph"/>
        <w:numPr>
          <w:ilvl w:val="0"/>
          <w:numId w:val="32"/>
        </w:numPr>
        <w:spacing w:after="0" w:line="240" w:lineRule="auto"/>
        <w:jc w:val="both"/>
        <w:rPr>
          <w:rFonts w:ascii="Arial" w:hAnsi="Arial" w:cs="Arial"/>
          <w:sz w:val="20"/>
          <w:szCs w:val="20"/>
          <w:lang w:val="en-GB"/>
        </w:rPr>
      </w:pPr>
      <w:r w:rsidRPr="00C42C21">
        <w:rPr>
          <w:rFonts w:ascii="Arial" w:hAnsi="Arial" w:cs="Arial"/>
          <w:color w:val="000000"/>
          <w:sz w:val="20"/>
          <w:szCs w:val="20"/>
        </w:rPr>
        <w:t>The DMV must ensure that its Financial Management and Internal Audit Components are fully funded and capacitated.</w:t>
      </w:r>
    </w:p>
    <w:p w:rsidR="00F1265B" w:rsidRPr="00C42C21" w:rsidRDefault="00F1265B" w:rsidP="00C42C21">
      <w:pPr>
        <w:spacing w:after="0" w:line="240" w:lineRule="auto"/>
        <w:jc w:val="both"/>
        <w:rPr>
          <w:rFonts w:ascii="Arial" w:hAnsi="Arial" w:cs="Arial"/>
          <w:sz w:val="20"/>
          <w:szCs w:val="20"/>
          <w:lang w:val="en-GB"/>
        </w:rPr>
      </w:pPr>
    </w:p>
    <w:p w:rsidR="00925159" w:rsidRPr="00C42C21" w:rsidRDefault="00925159" w:rsidP="00C42C21">
      <w:pPr>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PCDMV </w:t>
      </w:r>
      <w:r w:rsidR="006A39C0" w:rsidRPr="00C42C21">
        <w:rPr>
          <w:rFonts w:ascii="Arial" w:hAnsi="Arial" w:cs="Arial"/>
          <w:sz w:val="20"/>
          <w:szCs w:val="20"/>
          <w:lang w:val="en-GB"/>
        </w:rPr>
        <w:t xml:space="preserve">will request a feedback from the </w:t>
      </w:r>
      <w:r w:rsidRPr="00C42C21">
        <w:rPr>
          <w:rFonts w:ascii="Arial" w:hAnsi="Arial" w:cs="Arial"/>
          <w:sz w:val="20"/>
          <w:szCs w:val="20"/>
          <w:lang w:val="en-GB"/>
        </w:rPr>
        <w:t xml:space="preserve">DMV </w:t>
      </w:r>
      <w:r w:rsidR="006A39C0" w:rsidRPr="00C42C21">
        <w:rPr>
          <w:rFonts w:ascii="Arial" w:hAnsi="Arial" w:cs="Arial"/>
          <w:sz w:val="20"/>
          <w:szCs w:val="20"/>
          <w:lang w:val="en-GB"/>
        </w:rPr>
        <w:t xml:space="preserve">during the third quarter of 2023 </w:t>
      </w:r>
      <w:r w:rsidRPr="00C42C21">
        <w:rPr>
          <w:rFonts w:ascii="Arial" w:hAnsi="Arial" w:cs="Arial"/>
          <w:sz w:val="20"/>
          <w:szCs w:val="20"/>
          <w:lang w:val="en-GB"/>
        </w:rPr>
        <w:t>based on the recommendations above:</w:t>
      </w:r>
    </w:p>
    <w:p w:rsidR="006A39C0" w:rsidRPr="00C42C21" w:rsidRDefault="006A39C0" w:rsidP="00C42C21">
      <w:pPr>
        <w:pStyle w:val="ListParagraph"/>
        <w:numPr>
          <w:ilvl w:val="0"/>
          <w:numId w:val="31"/>
        </w:numPr>
        <w:autoSpaceDE w:val="0"/>
        <w:autoSpaceDN w:val="0"/>
        <w:adjustRightInd w:val="0"/>
        <w:spacing w:after="0" w:line="240" w:lineRule="auto"/>
        <w:jc w:val="both"/>
        <w:rPr>
          <w:rFonts w:ascii="Arial" w:hAnsi="Arial" w:cs="Arial"/>
          <w:sz w:val="20"/>
          <w:szCs w:val="20"/>
          <w:lang w:val="en-GB"/>
        </w:rPr>
      </w:pPr>
      <w:r w:rsidRPr="00C42C21">
        <w:rPr>
          <w:rFonts w:ascii="Arial" w:hAnsi="Arial" w:cs="Arial"/>
          <w:color w:val="000000"/>
          <w:sz w:val="20"/>
          <w:szCs w:val="20"/>
        </w:rPr>
        <w:t>The Committee requests the Minister to report on a quarterly basis to the Committee on the status of all personnel that are on suspension with full pay.</w:t>
      </w:r>
    </w:p>
    <w:p w:rsidR="00F1265B" w:rsidRPr="00C42C21" w:rsidRDefault="009B5F6C" w:rsidP="00C42C21">
      <w:pPr>
        <w:pStyle w:val="ListParagraph"/>
        <w:numPr>
          <w:ilvl w:val="0"/>
          <w:numId w:val="31"/>
        </w:numPr>
        <w:spacing w:after="0" w:line="240" w:lineRule="auto"/>
        <w:jc w:val="both"/>
        <w:rPr>
          <w:rFonts w:ascii="Arial" w:hAnsi="Arial" w:cs="Arial"/>
          <w:sz w:val="20"/>
          <w:szCs w:val="20"/>
          <w:lang w:val="en-GB"/>
        </w:rPr>
      </w:pPr>
      <w:r w:rsidRPr="00C42C21">
        <w:rPr>
          <w:rFonts w:ascii="Arial" w:hAnsi="Arial" w:cs="Arial"/>
          <w:sz w:val="20"/>
          <w:szCs w:val="20"/>
        </w:rPr>
        <w:t xml:space="preserve">The Committee expressed serious concern around the absence of quarterly targets </w:t>
      </w:r>
      <w:r w:rsidR="00E55A84" w:rsidRPr="00C42C21">
        <w:rPr>
          <w:rFonts w:ascii="Arial" w:hAnsi="Arial" w:cs="Arial"/>
          <w:sz w:val="20"/>
          <w:szCs w:val="20"/>
        </w:rPr>
        <w:t xml:space="preserve">in </w:t>
      </w:r>
      <w:r w:rsidRPr="00C42C21">
        <w:rPr>
          <w:rFonts w:ascii="Arial" w:hAnsi="Arial" w:cs="Arial"/>
          <w:sz w:val="20"/>
          <w:szCs w:val="20"/>
        </w:rPr>
        <w:t xml:space="preserve">the sub-programmes on Socio-economic support, including housing; healthcare and counselling. The DMV should </w:t>
      </w:r>
      <w:r w:rsidR="009A13B7" w:rsidRPr="00C42C21">
        <w:rPr>
          <w:rFonts w:ascii="Arial" w:hAnsi="Arial" w:cs="Arial"/>
          <w:sz w:val="20"/>
          <w:szCs w:val="20"/>
        </w:rPr>
        <w:t xml:space="preserve">reflect in all quarterly presentations </w:t>
      </w:r>
      <w:r w:rsidRPr="00C42C21">
        <w:rPr>
          <w:rFonts w:ascii="Arial" w:hAnsi="Arial" w:cs="Arial"/>
          <w:sz w:val="20"/>
          <w:szCs w:val="20"/>
        </w:rPr>
        <w:t>the relevant quarterly targets for 2023/24.</w:t>
      </w:r>
    </w:p>
    <w:p w:rsidR="009B5F6C" w:rsidRPr="00C42C21" w:rsidRDefault="009B5F6C" w:rsidP="00C42C21">
      <w:pPr>
        <w:pStyle w:val="ListParagraph"/>
        <w:numPr>
          <w:ilvl w:val="0"/>
          <w:numId w:val="31"/>
        </w:numPr>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Committee requested the Department to provide clarity on the second set of the </w:t>
      </w:r>
      <w:r w:rsidR="00E55A84" w:rsidRPr="00C42C21">
        <w:rPr>
          <w:rFonts w:ascii="Arial" w:hAnsi="Arial" w:cs="Arial"/>
          <w:sz w:val="20"/>
          <w:szCs w:val="20"/>
          <w:lang w:val="en-GB"/>
        </w:rPr>
        <w:t xml:space="preserve">Pension Benefit </w:t>
      </w:r>
      <w:r w:rsidRPr="00C42C21">
        <w:rPr>
          <w:rFonts w:ascii="Arial" w:hAnsi="Arial" w:cs="Arial"/>
          <w:sz w:val="20"/>
          <w:szCs w:val="20"/>
          <w:lang w:val="en-GB"/>
        </w:rPr>
        <w:t xml:space="preserve">Regulations published for public comment. The Committee noted a disjuncture between the status report from the Department and from the Ministry. The Committee </w:t>
      </w:r>
      <w:r w:rsidR="00E55A84" w:rsidRPr="00C42C21">
        <w:rPr>
          <w:rFonts w:ascii="Arial" w:hAnsi="Arial" w:cs="Arial"/>
          <w:sz w:val="20"/>
          <w:szCs w:val="20"/>
          <w:lang w:val="en-GB"/>
        </w:rPr>
        <w:t xml:space="preserve">agreed </w:t>
      </w:r>
      <w:r w:rsidRPr="00C42C21">
        <w:rPr>
          <w:rFonts w:ascii="Arial" w:hAnsi="Arial" w:cs="Arial"/>
          <w:sz w:val="20"/>
          <w:szCs w:val="20"/>
          <w:lang w:val="en-GB"/>
        </w:rPr>
        <w:t>that the DMV and the Ministry should resolve</w:t>
      </w:r>
      <w:r w:rsidR="00FC7686" w:rsidRPr="00C42C21">
        <w:rPr>
          <w:rFonts w:ascii="Arial" w:hAnsi="Arial" w:cs="Arial"/>
          <w:sz w:val="20"/>
          <w:szCs w:val="20"/>
          <w:lang w:val="en-GB"/>
        </w:rPr>
        <w:t xml:space="preserve"> </w:t>
      </w:r>
      <w:r w:rsidRPr="00C42C21">
        <w:rPr>
          <w:rFonts w:ascii="Arial" w:hAnsi="Arial" w:cs="Arial"/>
          <w:sz w:val="20"/>
          <w:szCs w:val="20"/>
          <w:lang w:val="en-GB"/>
        </w:rPr>
        <w:t xml:space="preserve">the disjuncture and provide a </w:t>
      </w:r>
      <w:r w:rsidR="009A13B7" w:rsidRPr="00C42C21">
        <w:rPr>
          <w:rFonts w:ascii="Arial" w:hAnsi="Arial" w:cs="Arial"/>
          <w:sz w:val="20"/>
          <w:szCs w:val="20"/>
          <w:lang w:val="en-GB"/>
        </w:rPr>
        <w:t>feedback to the Committee</w:t>
      </w:r>
      <w:r w:rsidRPr="00C42C21">
        <w:rPr>
          <w:rFonts w:ascii="Arial" w:hAnsi="Arial" w:cs="Arial"/>
          <w:sz w:val="20"/>
          <w:szCs w:val="20"/>
          <w:lang w:val="en-GB"/>
        </w:rPr>
        <w:t>.</w:t>
      </w:r>
    </w:p>
    <w:p w:rsidR="009B5F6C" w:rsidRPr="00C42C21" w:rsidRDefault="009B5F6C" w:rsidP="00C42C21">
      <w:pPr>
        <w:pStyle w:val="ListParagraph"/>
        <w:numPr>
          <w:ilvl w:val="0"/>
          <w:numId w:val="31"/>
        </w:numPr>
        <w:spacing w:after="0" w:line="240" w:lineRule="auto"/>
        <w:jc w:val="both"/>
        <w:rPr>
          <w:rFonts w:ascii="Arial" w:hAnsi="Arial" w:cs="Arial"/>
          <w:sz w:val="20"/>
          <w:szCs w:val="20"/>
          <w:lang w:val="en-GB"/>
        </w:rPr>
      </w:pPr>
      <w:r w:rsidRPr="00C42C21">
        <w:rPr>
          <w:rFonts w:ascii="Arial" w:hAnsi="Arial" w:cs="Arial"/>
          <w:sz w:val="20"/>
          <w:szCs w:val="20"/>
          <w:lang w:val="en-GB"/>
        </w:rPr>
        <w:t xml:space="preserve">The Committee noted that the presentation did not cover the </w:t>
      </w:r>
      <w:r w:rsidR="00E55A84" w:rsidRPr="00C42C21">
        <w:rPr>
          <w:rFonts w:ascii="Arial" w:hAnsi="Arial" w:cs="Arial"/>
          <w:sz w:val="20"/>
          <w:szCs w:val="20"/>
          <w:lang w:val="en-GB"/>
        </w:rPr>
        <w:t xml:space="preserve">Department’s 2023/24 </w:t>
      </w:r>
      <w:r w:rsidRPr="00C42C21">
        <w:rPr>
          <w:rFonts w:ascii="Arial" w:hAnsi="Arial" w:cs="Arial"/>
          <w:sz w:val="20"/>
          <w:szCs w:val="20"/>
          <w:lang w:val="en-GB"/>
        </w:rPr>
        <w:t>Budget which the Committee is required to express its endorsement on. The Committee resolved that the DMV must submit to the Committee, by 17 May 2023, an amended presentation with an outline of its projected budget expenditure.</w:t>
      </w:r>
      <w:r w:rsidR="009A13B7" w:rsidRPr="00C42C21">
        <w:rPr>
          <w:rFonts w:ascii="Arial" w:hAnsi="Arial" w:cs="Arial"/>
          <w:sz w:val="20"/>
          <w:szCs w:val="20"/>
          <w:lang w:val="en-GB"/>
        </w:rPr>
        <w:t xml:space="preserve"> The Committee appreciates that the submission of this document was made on 16 May 2023.</w:t>
      </w:r>
    </w:p>
    <w:p w:rsidR="00F1265B" w:rsidRPr="00C42C21" w:rsidRDefault="00F1265B" w:rsidP="00C42C21">
      <w:pPr>
        <w:pStyle w:val="ListParagraph"/>
        <w:spacing w:after="0" w:line="240" w:lineRule="auto"/>
        <w:jc w:val="both"/>
        <w:rPr>
          <w:rFonts w:ascii="Arial" w:hAnsi="Arial" w:cs="Arial"/>
          <w:sz w:val="20"/>
          <w:szCs w:val="20"/>
          <w:lang w:val="en-GB"/>
        </w:rPr>
      </w:pPr>
    </w:p>
    <w:p w:rsidR="00C5608F" w:rsidRPr="00C42C21" w:rsidRDefault="0062672F" w:rsidP="00C42C21">
      <w:pPr>
        <w:autoSpaceDE w:val="0"/>
        <w:autoSpaceDN w:val="0"/>
        <w:adjustRightInd w:val="0"/>
        <w:spacing w:after="0" w:line="240" w:lineRule="auto"/>
        <w:jc w:val="both"/>
        <w:rPr>
          <w:rFonts w:ascii="Arial" w:hAnsi="Arial" w:cs="Arial"/>
          <w:sz w:val="20"/>
          <w:szCs w:val="20"/>
        </w:rPr>
      </w:pPr>
      <w:r w:rsidRPr="00C42C21">
        <w:rPr>
          <w:rFonts w:ascii="Arial" w:hAnsi="Arial" w:cs="Arial"/>
          <w:b/>
          <w:i/>
          <w:sz w:val="20"/>
          <w:szCs w:val="20"/>
          <w:lang w:val="en-GB"/>
        </w:rPr>
        <w:t>Report adopted</w:t>
      </w:r>
      <w:r w:rsidR="009A13B7" w:rsidRPr="00C42C21">
        <w:rPr>
          <w:rFonts w:ascii="Arial" w:hAnsi="Arial" w:cs="Arial"/>
          <w:b/>
          <w:i/>
          <w:sz w:val="20"/>
          <w:szCs w:val="20"/>
          <w:lang w:val="en-GB"/>
        </w:rPr>
        <w:t xml:space="preserve"> on 17 May 2023</w:t>
      </w:r>
      <w:r w:rsidR="0084743E" w:rsidRPr="00C42C21">
        <w:rPr>
          <w:rFonts w:ascii="Arial" w:hAnsi="Arial" w:cs="Arial"/>
          <w:b/>
          <w:i/>
          <w:sz w:val="20"/>
          <w:szCs w:val="20"/>
          <w:lang w:val="en-GB"/>
        </w:rPr>
        <w:t xml:space="preserve">. </w:t>
      </w:r>
    </w:p>
    <w:sectPr w:rsidR="00C5608F" w:rsidRPr="00C42C21" w:rsidSect="00C5608F">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13" w:rsidRDefault="00113D13" w:rsidP="00870DBB">
      <w:pPr>
        <w:spacing w:after="0" w:line="240" w:lineRule="auto"/>
      </w:pPr>
      <w:r>
        <w:separator/>
      </w:r>
    </w:p>
  </w:endnote>
  <w:endnote w:type="continuationSeparator" w:id="0">
    <w:p w:rsidR="00113D13" w:rsidRDefault="00113D13" w:rsidP="00870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881441381"/>
      <w:docPartObj>
        <w:docPartGallery w:val="Page Numbers (Bottom of Page)"/>
        <w:docPartUnique/>
      </w:docPartObj>
    </w:sdtPr>
    <w:sdtEndPr>
      <w:rPr>
        <w:noProof/>
      </w:rPr>
    </w:sdtEndPr>
    <w:sdtContent>
      <w:p w:rsidR="006A39C0" w:rsidRPr="003A03ED" w:rsidRDefault="000935FF">
        <w:pPr>
          <w:pStyle w:val="Footer"/>
          <w:jc w:val="right"/>
          <w:rPr>
            <w:rFonts w:ascii="Times New Roman" w:hAnsi="Times New Roman" w:cs="Times New Roman"/>
            <w:sz w:val="24"/>
          </w:rPr>
        </w:pPr>
        <w:r w:rsidRPr="003A03ED">
          <w:rPr>
            <w:rFonts w:ascii="Times New Roman" w:hAnsi="Times New Roman" w:cs="Times New Roman"/>
            <w:sz w:val="24"/>
          </w:rPr>
          <w:fldChar w:fldCharType="begin"/>
        </w:r>
        <w:r w:rsidR="006A39C0" w:rsidRPr="003A03ED">
          <w:rPr>
            <w:rFonts w:ascii="Times New Roman" w:hAnsi="Times New Roman" w:cs="Times New Roman"/>
            <w:sz w:val="24"/>
          </w:rPr>
          <w:instrText xml:space="preserve"> PAGE   \* MERGEFORMAT </w:instrText>
        </w:r>
        <w:r w:rsidRPr="003A03ED">
          <w:rPr>
            <w:rFonts w:ascii="Times New Roman" w:hAnsi="Times New Roman" w:cs="Times New Roman"/>
            <w:sz w:val="24"/>
          </w:rPr>
          <w:fldChar w:fldCharType="separate"/>
        </w:r>
        <w:r w:rsidR="00C42C21">
          <w:rPr>
            <w:rFonts w:ascii="Times New Roman" w:hAnsi="Times New Roman" w:cs="Times New Roman"/>
            <w:noProof/>
            <w:sz w:val="24"/>
          </w:rPr>
          <w:t>1</w:t>
        </w:r>
        <w:r w:rsidRPr="003A03ED">
          <w:rPr>
            <w:rFonts w:ascii="Times New Roman" w:hAnsi="Times New Roman" w:cs="Times New Roman"/>
            <w:noProof/>
            <w:sz w:val="24"/>
          </w:rPr>
          <w:fldChar w:fldCharType="end"/>
        </w:r>
      </w:p>
    </w:sdtContent>
  </w:sdt>
  <w:p w:rsidR="006A39C0" w:rsidRDefault="006A3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13" w:rsidRDefault="00113D13" w:rsidP="00870DBB">
      <w:pPr>
        <w:spacing w:after="0" w:line="240" w:lineRule="auto"/>
      </w:pPr>
      <w:r>
        <w:separator/>
      </w:r>
    </w:p>
  </w:footnote>
  <w:footnote w:type="continuationSeparator" w:id="0">
    <w:p w:rsidR="00113D13" w:rsidRDefault="00113D13" w:rsidP="00870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F4"/>
    <w:multiLevelType w:val="hybridMultilevel"/>
    <w:tmpl w:val="4FB41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740B02"/>
    <w:multiLevelType w:val="hybridMultilevel"/>
    <w:tmpl w:val="F9500A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D83F91"/>
    <w:multiLevelType w:val="hybridMultilevel"/>
    <w:tmpl w:val="A112DD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7B730AA"/>
    <w:multiLevelType w:val="hybridMultilevel"/>
    <w:tmpl w:val="56182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364A7C"/>
    <w:multiLevelType w:val="hybridMultilevel"/>
    <w:tmpl w:val="5A2A9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2F6B22"/>
    <w:multiLevelType w:val="hybridMultilevel"/>
    <w:tmpl w:val="99AAB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464801"/>
    <w:multiLevelType w:val="hybridMultilevel"/>
    <w:tmpl w:val="2A30D1B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227FA6"/>
    <w:multiLevelType w:val="hybridMultilevel"/>
    <w:tmpl w:val="9CCCED94"/>
    <w:lvl w:ilvl="0" w:tplc="1C09001B">
      <w:start w:val="1"/>
      <w:numFmt w:val="lowerRoman"/>
      <w:lvlText w:val="%1."/>
      <w:lvlJc w:val="righ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8">
    <w:nsid w:val="165C0A03"/>
    <w:multiLevelType w:val="hybridMultilevel"/>
    <w:tmpl w:val="A8F2B7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91452EA"/>
    <w:multiLevelType w:val="hybridMultilevel"/>
    <w:tmpl w:val="49583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D4E023A"/>
    <w:multiLevelType w:val="hybridMultilevel"/>
    <w:tmpl w:val="8312CCD0"/>
    <w:lvl w:ilvl="0" w:tplc="6D1063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1474662"/>
    <w:multiLevelType w:val="hybridMultilevel"/>
    <w:tmpl w:val="AB7639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106A12"/>
    <w:multiLevelType w:val="hybridMultilevel"/>
    <w:tmpl w:val="EF763EC2"/>
    <w:lvl w:ilvl="0" w:tplc="2B9A2C24">
      <w:numFmt w:val="bullet"/>
      <w:lvlText w:val="•"/>
      <w:lvlJc w:val="left"/>
      <w:pPr>
        <w:ind w:left="720" w:hanging="360"/>
      </w:pPr>
      <w:rPr>
        <w:rFonts w:ascii="MyriadPro-Bold" w:eastAsiaTheme="minorHAnsi" w:hAnsi="MyriadPro-Bold" w:cs="MyriadPro-Bold" w:hint="default"/>
        <w:b/>
        <w:color w:val="9D763E"/>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2671D3"/>
    <w:multiLevelType w:val="hybridMultilevel"/>
    <w:tmpl w:val="CCEC33DC"/>
    <w:lvl w:ilvl="0" w:tplc="1C090017">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A44BEA"/>
    <w:multiLevelType w:val="hybridMultilevel"/>
    <w:tmpl w:val="3698D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E50147"/>
    <w:multiLevelType w:val="hybridMultilevel"/>
    <w:tmpl w:val="43E8665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767F3F"/>
    <w:multiLevelType w:val="hybridMultilevel"/>
    <w:tmpl w:val="F3C44B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9E7975"/>
    <w:multiLevelType w:val="hybridMultilevel"/>
    <w:tmpl w:val="9760A1EA"/>
    <w:lvl w:ilvl="0" w:tplc="2B9A2C24">
      <w:numFmt w:val="bullet"/>
      <w:lvlText w:val="•"/>
      <w:lvlJc w:val="left"/>
      <w:pPr>
        <w:ind w:left="720" w:hanging="360"/>
      </w:pPr>
      <w:rPr>
        <w:rFonts w:ascii="MyriadPro-Bold" w:eastAsiaTheme="minorHAnsi" w:hAnsi="MyriadPro-Bold" w:cs="MyriadPro-Bold" w:hint="default"/>
        <w:b/>
        <w:color w:val="9D763E"/>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D6E180F"/>
    <w:multiLevelType w:val="hybridMultilevel"/>
    <w:tmpl w:val="5E30D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F705AB"/>
    <w:multiLevelType w:val="hybridMultilevel"/>
    <w:tmpl w:val="5F943B06"/>
    <w:lvl w:ilvl="0" w:tplc="1C09001B">
      <w:start w:val="1"/>
      <w:numFmt w:val="lowerRoman"/>
      <w:lvlText w:val="%1."/>
      <w:lvlJc w:val="righ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32F47D3A"/>
    <w:multiLevelType w:val="hybridMultilevel"/>
    <w:tmpl w:val="458A53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417963"/>
    <w:multiLevelType w:val="hybridMultilevel"/>
    <w:tmpl w:val="5F12A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20D3015"/>
    <w:multiLevelType w:val="hybridMultilevel"/>
    <w:tmpl w:val="A5868B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626F94"/>
    <w:multiLevelType w:val="hybridMultilevel"/>
    <w:tmpl w:val="9AE0E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9934DA1"/>
    <w:multiLevelType w:val="hybridMultilevel"/>
    <w:tmpl w:val="A7DE9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D1A1F99"/>
    <w:multiLevelType w:val="hybridMultilevel"/>
    <w:tmpl w:val="A080D7BC"/>
    <w:lvl w:ilvl="0" w:tplc="033A231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DB71D3F"/>
    <w:multiLevelType w:val="hybridMultilevel"/>
    <w:tmpl w:val="856AAD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0487DC4"/>
    <w:multiLevelType w:val="hybridMultilevel"/>
    <w:tmpl w:val="A6603D54"/>
    <w:lvl w:ilvl="0" w:tplc="2F34244A">
      <w:start w:val="1"/>
      <w:numFmt w:val="lowerRoman"/>
      <w:lvlText w:val="%1."/>
      <w:lvlJc w:val="left"/>
      <w:pPr>
        <w:ind w:left="720" w:hanging="72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1DB5A34"/>
    <w:multiLevelType w:val="hybridMultilevel"/>
    <w:tmpl w:val="1402F754"/>
    <w:lvl w:ilvl="0" w:tplc="DABAD1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B2D3B1B"/>
    <w:multiLevelType w:val="hybridMultilevel"/>
    <w:tmpl w:val="AF92E5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571F5A"/>
    <w:multiLevelType w:val="hybridMultilevel"/>
    <w:tmpl w:val="05E0C9B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FCD21B0"/>
    <w:multiLevelType w:val="hybridMultilevel"/>
    <w:tmpl w:val="84041138"/>
    <w:lvl w:ilvl="0" w:tplc="D326F6DC">
      <w:start w:val="1"/>
      <w:numFmt w:val="lowerRoman"/>
      <w:lvlText w:val="%1."/>
      <w:lvlJc w:val="right"/>
      <w:pPr>
        <w:ind w:left="720" w:hanging="360"/>
      </w:pPr>
      <w:rPr>
        <w:rFonts w:ascii="Times New Roman" w:hAnsi="Times New Roman"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6"/>
  </w:num>
  <w:num w:numId="3">
    <w:abstractNumId w:val="0"/>
  </w:num>
  <w:num w:numId="4">
    <w:abstractNumId w:val="7"/>
  </w:num>
  <w:num w:numId="5">
    <w:abstractNumId w:val="19"/>
  </w:num>
  <w:num w:numId="6">
    <w:abstractNumId w:val="2"/>
  </w:num>
  <w:num w:numId="7">
    <w:abstractNumId w:val="17"/>
  </w:num>
  <w:num w:numId="8">
    <w:abstractNumId w:val="12"/>
  </w:num>
  <w:num w:numId="9">
    <w:abstractNumId w:val="9"/>
  </w:num>
  <w:num w:numId="10">
    <w:abstractNumId w:val="8"/>
  </w:num>
  <w:num w:numId="11">
    <w:abstractNumId w:val="22"/>
  </w:num>
  <w:num w:numId="12">
    <w:abstractNumId w:val="6"/>
  </w:num>
  <w:num w:numId="13">
    <w:abstractNumId w:val="10"/>
  </w:num>
  <w:num w:numId="14">
    <w:abstractNumId w:val="30"/>
  </w:num>
  <w:num w:numId="15">
    <w:abstractNumId w:val="11"/>
  </w:num>
  <w:num w:numId="16">
    <w:abstractNumId w:val="16"/>
  </w:num>
  <w:num w:numId="17">
    <w:abstractNumId w:val="29"/>
  </w:num>
  <w:num w:numId="18">
    <w:abstractNumId w:val="28"/>
  </w:num>
  <w:num w:numId="19">
    <w:abstractNumId w:val="27"/>
  </w:num>
  <w:num w:numId="20">
    <w:abstractNumId w:val="31"/>
  </w:num>
  <w:num w:numId="21">
    <w:abstractNumId w:val="20"/>
  </w:num>
  <w:num w:numId="22">
    <w:abstractNumId w:val="14"/>
  </w:num>
  <w:num w:numId="23">
    <w:abstractNumId w:val="5"/>
  </w:num>
  <w:num w:numId="24">
    <w:abstractNumId w:val="24"/>
  </w:num>
  <w:num w:numId="25">
    <w:abstractNumId w:val="18"/>
  </w:num>
  <w:num w:numId="26">
    <w:abstractNumId w:val="1"/>
  </w:num>
  <w:num w:numId="27">
    <w:abstractNumId w:val="23"/>
  </w:num>
  <w:num w:numId="28">
    <w:abstractNumId w:val="13"/>
  </w:num>
  <w:num w:numId="29">
    <w:abstractNumId w:val="4"/>
  </w:num>
  <w:num w:numId="30">
    <w:abstractNumId w:val="21"/>
  </w:num>
  <w:num w:numId="31">
    <w:abstractNumId w:val="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743E"/>
    <w:rsid w:val="00021F92"/>
    <w:rsid w:val="00055A2D"/>
    <w:rsid w:val="00064EAC"/>
    <w:rsid w:val="0008582B"/>
    <w:rsid w:val="000935FF"/>
    <w:rsid w:val="000C5BC8"/>
    <w:rsid w:val="000E6DF8"/>
    <w:rsid w:val="00113D13"/>
    <w:rsid w:val="00117B53"/>
    <w:rsid w:val="001363D2"/>
    <w:rsid w:val="00136C62"/>
    <w:rsid w:val="001A4054"/>
    <w:rsid w:val="0023197E"/>
    <w:rsid w:val="00234BEC"/>
    <w:rsid w:val="002451C9"/>
    <w:rsid w:val="002A7960"/>
    <w:rsid w:val="002B58B5"/>
    <w:rsid w:val="002C691E"/>
    <w:rsid w:val="002D39F8"/>
    <w:rsid w:val="002D416D"/>
    <w:rsid w:val="002E5CCE"/>
    <w:rsid w:val="00322E57"/>
    <w:rsid w:val="00361075"/>
    <w:rsid w:val="00386B49"/>
    <w:rsid w:val="003A03ED"/>
    <w:rsid w:val="003B2D60"/>
    <w:rsid w:val="003B71B6"/>
    <w:rsid w:val="003D470F"/>
    <w:rsid w:val="003F2E23"/>
    <w:rsid w:val="003F647C"/>
    <w:rsid w:val="00517EB0"/>
    <w:rsid w:val="00533C52"/>
    <w:rsid w:val="00551FC1"/>
    <w:rsid w:val="0058699E"/>
    <w:rsid w:val="00594230"/>
    <w:rsid w:val="005A3FCE"/>
    <w:rsid w:val="005B423C"/>
    <w:rsid w:val="005F37B4"/>
    <w:rsid w:val="006018BE"/>
    <w:rsid w:val="00602DFD"/>
    <w:rsid w:val="00622C6B"/>
    <w:rsid w:val="00625062"/>
    <w:rsid w:val="0062672F"/>
    <w:rsid w:val="006618FD"/>
    <w:rsid w:val="0067405A"/>
    <w:rsid w:val="006A39C0"/>
    <w:rsid w:val="006A4639"/>
    <w:rsid w:val="006B2584"/>
    <w:rsid w:val="007032B1"/>
    <w:rsid w:val="00737B23"/>
    <w:rsid w:val="007619B6"/>
    <w:rsid w:val="0078412A"/>
    <w:rsid w:val="007B6808"/>
    <w:rsid w:val="007D4770"/>
    <w:rsid w:val="00846D0D"/>
    <w:rsid w:val="0084743E"/>
    <w:rsid w:val="00847CD4"/>
    <w:rsid w:val="00870DBB"/>
    <w:rsid w:val="008C6E5D"/>
    <w:rsid w:val="00925159"/>
    <w:rsid w:val="009401D4"/>
    <w:rsid w:val="00954B86"/>
    <w:rsid w:val="00961962"/>
    <w:rsid w:val="00982A66"/>
    <w:rsid w:val="009A13B7"/>
    <w:rsid w:val="009B479B"/>
    <w:rsid w:val="009B5F6C"/>
    <w:rsid w:val="00A06663"/>
    <w:rsid w:val="00A11053"/>
    <w:rsid w:val="00A56202"/>
    <w:rsid w:val="00A8263C"/>
    <w:rsid w:val="00A82832"/>
    <w:rsid w:val="00A95578"/>
    <w:rsid w:val="00AB71C6"/>
    <w:rsid w:val="00B111DD"/>
    <w:rsid w:val="00B15979"/>
    <w:rsid w:val="00B3622F"/>
    <w:rsid w:val="00B47082"/>
    <w:rsid w:val="00B6002F"/>
    <w:rsid w:val="00B6288F"/>
    <w:rsid w:val="00BA664C"/>
    <w:rsid w:val="00BA78D7"/>
    <w:rsid w:val="00BF6C9F"/>
    <w:rsid w:val="00C07630"/>
    <w:rsid w:val="00C42C21"/>
    <w:rsid w:val="00C43C11"/>
    <w:rsid w:val="00C5608F"/>
    <w:rsid w:val="00C73915"/>
    <w:rsid w:val="00C97BC2"/>
    <w:rsid w:val="00CA4B32"/>
    <w:rsid w:val="00CA5ADC"/>
    <w:rsid w:val="00CB3852"/>
    <w:rsid w:val="00CC1A53"/>
    <w:rsid w:val="00CC1C3C"/>
    <w:rsid w:val="00CD112B"/>
    <w:rsid w:val="00D31F76"/>
    <w:rsid w:val="00D360D5"/>
    <w:rsid w:val="00D53396"/>
    <w:rsid w:val="00E11AC3"/>
    <w:rsid w:val="00E335AE"/>
    <w:rsid w:val="00E55A84"/>
    <w:rsid w:val="00EC6231"/>
    <w:rsid w:val="00F1265B"/>
    <w:rsid w:val="00F15A9A"/>
    <w:rsid w:val="00F232A3"/>
    <w:rsid w:val="00F2455E"/>
    <w:rsid w:val="00F936DF"/>
    <w:rsid w:val="00FB2B66"/>
    <w:rsid w:val="00FB3634"/>
    <w:rsid w:val="00FC7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3E"/>
  </w:style>
  <w:style w:type="paragraph" w:styleId="Heading1">
    <w:name w:val="heading 1"/>
    <w:basedOn w:val="Normal"/>
    <w:next w:val="Normal"/>
    <w:link w:val="Heading1Char"/>
    <w:uiPriority w:val="9"/>
    <w:qFormat/>
    <w:rsid w:val="00E335AE"/>
    <w:pPr>
      <w:keepNext/>
      <w:keepLines/>
      <w:spacing w:before="240" w:after="0" w:line="280" w:lineRule="exact"/>
      <w:outlineLvl w:val="0"/>
    </w:pPr>
    <w:rPr>
      <w:rFonts w:asciiTheme="majorHAnsi" w:eastAsiaTheme="majorEastAsia" w:hAnsiTheme="majorHAnsi" w:cstheme="majorBidi"/>
      <w:color w:val="2E74B5" w:themeColor="accent1" w:themeShade="BF"/>
      <w:spacing w:val="6"/>
      <w:sz w:val="32"/>
      <w:szCs w:val="32"/>
      <w:lang w:val="en-GB" w:eastAsia="en-GB"/>
    </w:rPr>
  </w:style>
  <w:style w:type="paragraph" w:styleId="Heading3">
    <w:name w:val="heading 3"/>
    <w:basedOn w:val="Normal"/>
    <w:next w:val="Normal"/>
    <w:link w:val="Heading3Char"/>
    <w:uiPriority w:val="9"/>
    <w:unhideWhenUsed/>
    <w:qFormat/>
    <w:rsid w:val="000C5BC8"/>
    <w:pPr>
      <w:keepNext/>
      <w:keepLines/>
      <w:spacing w:before="40" w:after="0" w:line="280" w:lineRule="exact"/>
      <w:outlineLvl w:val="2"/>
    </w:pPr>
    <w:rPr>
      <w:rFonts w:asciiTheme="majorHAnsi" w:eastAsiaTheme="majorEastAsia" w:hAnsiTheme="majorHAnsi" w:cstheme="majorBidi"/>
      <w:color w:val="1F4D78" w:themeColor="accent1" w:themeShade="7F"/>
      <w:spacing w:val="6"/>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hapter Numbering,List Paragraph - 2,Riana Table Bullets 1,Bullets"/>
    <w:basedOn w:val="Normal"/>
    <w:link w:val="ListParagraphChar"/>
    <w:uiPriority w:val="34"/>
    <w:qFormat/>
    <w:rsid w:val="0084743E"/>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84743E"/>
  </w:style>
  <w:style w:type="paragraph" w:customStyle="1" w:styleId="Default">
    <w:name w:val="Default"/>
    <w:rsid w:val="0084743E"/>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84743E"/>
    <w:pPr>
      <w:spacing w:after="120" w:line="240" w:lineRule="auto"/>
    </w:pPr>
    <w:rPr>
      <w:rFonts w:ascii="Arial" w:eastAsia="Times New Roman" w:hAnsi="Arial" w:cs="Times New Roman"/>
      <w:color w:val="001F00"/>
      <w:spacing w:val="6"/>
      <w:sz w:val="16"/>
      <w:szCs w:val="16"/>
      <w:lang w:val="en-GB" w:eastAsia="en-GB"/>
    </w:rPr>
  </w:style>
  <w:style w:type="character" w:customStyle="1" w:styleId="BodyText3Char">
    <w:name w:val="Body Text 3 Char"/>
    <w:basedOn w:val="DefaultParagraphFont"/>
    <w:link w:val="BodyText3"/>
    <w:rsid w:val="0084743E"/>
    <w:rPr>
      <w:rFonts w:ascii="Arial" w:eastAsia="Times New Roman" w:hAnsi="Arial" w:cs="Times New Roman"/>
      <w:color w:val="001F00"/>
      <w:spacing w:val="6"/>
      <w:sz w:val="16"/>
      <w:szCs w:val="16"/>
      <w:lang w:val="en-GB" w:eastAsia="en-GB"/>
    </w:rPr>
  </w:style>
  <w:style w:type="paragraph" w:styleId="FootnoteText">
    <w:name w:val="footnote text"/>
    <w:basedOn w:val="Normal"/>
    <w:link w:val="FootnoteTextChar"/>
    <w:unhideWhenUsed/>
    <w:rsid w:val="00870DBB"/>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870DBB"/>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unhideWhenUsed/>
    <w:rsid w:val="00870DBB"/>
    <w:rPr>
      <w:vertAlign w:val="superscript"/>
    </w:rPr>
  </w:style>
  <w:style w:type="character" w:customStyle="1" w:styleId="Heading3Char">
    <w:name w:val="Heading 3 Char"/>
    <w:basedOn w:val="DefaultParagraphFont"/>
    <w:link w:val="Heading3"/>
    <w:uiPriority w:val="9"/>
    <w:rsid w:val="000C5BC8"/>
    <w:rPr>
      <w:rFonts w:asciiTheme="majorHAnsi" w:eastAsiaTheme="majorEastAsia" w:hAnsiTheme="majorHAnsi" w:cstheme="majorBidi"/>
      <w:color w:val="1F4D78" w:themeColor="accent1" w:themeShade="7F"/>
      <w:spacing w:val="6"/>
      <w:sz w:val="24"/>
      <w:szCs w:val="24"/>
      <w:lang w:val="en-GB" w:eastAsia="en-GB"/>
    </w:rPr>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2E74B5" w:themeColor="accent1" w:themeShade="BF"/>
      <w:spacing w:val="6"/>
      <w:sz w:val="32"/>
      <w:szCs w:val="32"/>
      <w:lang w:val="en-GB" w:eastAsia="en-GB"/>
    </w:rPr>
  </w:style>
  <w:style w:type="table" w:customStyle="1" w:styleId="TableGrid1">
    <w:name w:val="Table Grid1"/>
    <w:basedOn w:val="TableNormal"/>
    <w:next w:val="TableGrid"/>
    <w:uiPriority w:val="39"/>
    <w:rsid w:val="00136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B6"/>
    <w:rPr>
      <w:rFonts w:ascii="Segoe UI" w:hAnsi="Segoe UI" w:cs="Segoe UI"/>
      <w:sz w:val="18"/>
      <w:szCs w:val="18"/>
    </w:rPr>
  </w:style>
  <w:style w:type="character" w:styleId="CommentReference">
    <w:name w:val="annotation reference"/>
    <w:basedOn w:val="DefaultParagraphFont"/>
    <w:uiPriority w:val="99"/>
    <w:semiHidden/>
    <w:unhideWhenUsed/>
    <w:rsid w:val="00954B86"/>
    <w:rPr>
      <w:sz w:val="16"/>
      <w:szCs w:val="16"/>
    </w:rPr>
  </w:style>
  <w:style w:type="paragraph" w:styleId="CommentText">
    <w:name w:val="annotation text"/>
    <w:basedOn w:val="Normal"/>
    <w:link w:val="CommentTextChar"/>
    <w:uiPriority w:val="99"/>
    <w:semiHidden/>
    <w:unhideWhenUsed/>
    <w:rsid w:val="00954B86"/>
    <w:pPr>
      <w:spacing w:line="240" w:lineRule="auto"/>
    </w:pPr>
    <w:rPr>
      <w:sz w:val="20"/>
      <w:szCs w:val="20"/>
    </w:rPr>
  </w:style>
  <w:style w:type="character" w:customStyle="1" w:styleId="CommentTextChar">
    <w:name w:val="Comment Text Char"/>
    <w:basedOn w:val="DefaultParagraphFont"/>
    <w:link w:val="CommentText"/>
    <w:uiPriority w:val="99"/>
    <w:semiHidden/>
    <w:rsid w:val="00954B86"/>
    <w:rPr>
      <w:sz w:val="20"/>
      <w:szCs w:val="20"/>
    </w:rPr>
  </w:style>
  <w:style w:type="paragraph" w:styleId="CommentSubject">
    <w:name w:val="annotation subject"/>
    <w:basedOn w:val="CommentText"/>
    <w:next w:val="CommentText"/>
    <w:link w:val="CommentSubjectChar"/>
    <w:uiPriority w:val="99"/>
    <w:semiHidden/>
    <w:unhideWhenUsed/>
    <w:rsid w:val="00954B86"/>
    <w:rPr>
      <w:b/>
      <w:bCs/>
    </w:rPr>
  </w:style>
  <w:style w:type="character" w:customStyle="1" w:styleId="CommentSubjectChar">
    <w:name w:val="Comment Subject Char"/>
    <w:basedOn w:val="CommentTextChar"/>
    <w:link w:val="CommentSubject"/>
    <w:uiPriority w:val="99"/>
    <w:semiHidden/>
    <w:rsid w:val="00954B86"/>
    <w:rPr>
      <w:b/>
      <w:bCs/>
      <w:sz w:val="20"/>
      <w:szCs w:val="20"/>
    </w:rPr>
  </w:style>
  <w:style w:type="paragraph" w:styleId="Header">
    <w:name w:val="header"/>
    <w:basedOn w:val="Normal"/>
    <w:link w:val="HeaderChar"/>
    <w:uiPriority w:val="99"/>
    <w:unhideWhenUsed/>
    <w:rsid w:val="003A0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ED"/>
  </w:style>
  <w:style w:type="paragraph" w:styleId="Footer">
    <w:name w:val="footer"/>
    <w:basedOn w:val="Normal"/>
    <w:link w:val="FooterChar"/>
    <w:uiPriority w:val="99"/>
    <w:unhideWhenUsed/>
    <w:rsid w:val="003A0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0F092-3310-4449-BDC3-7AFE7C6A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2023-05-21T00:09:00Z</dcterms:created>
  <dcterms:modified xsi:type="dcterms:W3CDTF">2023-05-21T00:09:00Z</dcterms:modified>
</cp:coreProperties>
</file>