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C2" w:rsidRPr="000E7F48" w:rsidRDefault="000E7F48" w:rsidP="000E7F48">
      <w:pPr>
        <w:spacing w:after="0" w:line="240" w:lineRule="auto"/>
        <w:rPr>
          <w:rFonts w:ascii="Arial" w:eastAsia="Times New Roman" w:hAnsi="Arial" w:cs="Arial"/>
          <w:b/>
          <w:bCs/>
          <w:color w:val="000000"/>
          <w:spacing w:val="6"/>
          <w:sz w:val="20"/>
          <w:szCs w:val="20"/>
          <w:lang w:val="en-GB" w:eastAsia="en-GB"/>
        </w:rPr>
      </w:pPr>
      <w:r w:rsidRPr="000E7F48">
        <w:rPr>
          <w:rFonts w:ascii="Arial" w:eastAsia="Times New Roman" w:hAnsi="Arial" w:cs="Arial"/>
          <w:b/>
          <w:bCs/>
          <w:color w:val="000000"/>
          <w:spacing w:val="6"/>
          <w:sz w:val="20"/>
          <w:szCs w:val="20"/>
          <w:lang w:val="en-GB" w:eastAsia="en-GB"/>
        </w:rPr>
        <w:t>Report of the Portfolio Committee on Defence and Military Veterans on Budget Vote 23 (Department Of Defence), Dated 17 May 2022</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194FC2" w:rsidP="000E7F48">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The Portfolio Committee on Defence and Military Veterans (PCDMV), having considered Budget Vote 23: </w:t>
      </w:r>
      <w:r w:rsidR="00473C87" w:rsidRPr="000E7F48">
        <w:rPr>
          <w:rFonts w:ascii="Arial" w:eastAsia="Times New Roman" w:hAnsi="Arial" w:cs="Arial"/>
          <w:color w:val="000000"/>
          <w:spacing w:val="6"/>
          <w:sz w:val="20"/>
          <w:szCs w:val="20"/>
          <w:lang w:val="en-GB" w:eastAsia="en-GB"/>
        </w:rPr>
        <w:t xml:space="preserve">Department of </w:t>
      </w:r>
      <w:r w:rsidRPr="000E7F48">
        <w:rPr>
          <w:rFonts w:ascii="Arial" w:eastAsia="Times New Roman" w:hAnsi="Arial" w:cs="Arial"/>
          <w:color w:val="000000"/>
          <w:spacing w:val="6"/>
          <w:sz w:val="20"/>
          <w:szCs w:val="20"/>
          <w:lang w:val="en-GB" w:eastAsia="en-GB"/>
        </w:rPr>
        <w:t xml:space="preserve">Defence </w:t>
      </w:r>
      <w:r w:rsidR="00473C87" w:rsidRPr="000E7F48">
        <w:rPr>
          <w:rFonts w:ascii="Arial" w:eastAsia="Times New Roman" w:hAnsi="Arial" w:cs="Arial"/>
          <w:color w:val="000000"/>
          <w:spacing w:val="6"/>
          <w:sz w:val="20"/>
          <w:szCs w:val="20"/>
          <w:lang w:val="en-GB" w:eastAsia="en-GB"/>
        </w:rPr>
        <w:t>(DOD)</w:t>
      </w:r>
      <w:r w:rsidRPr="000E7F48">
        <w:rPr>
          <w:rFonts w:ascii="Arial" w:eastAsia="Times New Roman" w:hAnsi="Arial" w:cs="Arial"/>
          <w:color w:val="000000"/>
          <w:spacing w:val="6"/>
          <w:sz w:val="20"/>
          <w:szCs w:val="20"/>
          <w:lang w:val="en-GB" w:eastAsia="en-GB"/>
        </w:rPr>
        <w:t>, the 202</w:t>
      </w:r>
      <w:r w:rsidR="00617229"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/2</w:t>
      </w:r>
      <w:r w:rsidR="00617229" w:rsidRPr="000E7F48">
        <w:rPr>
          <w:rFonts w:ascii="Arial" w:eastAsia="Times New Roman" w:hAnsi="Arial" w:cs="Arial"/>
          <w:color w:val="000000"/>
          <w:spacing w:val="6"/>
          <w:sz w:val="20"/>
          <w:szCs w:val="20"/>
          <w:lang w:val="en-GB" w:eastAsia="en-GB"/>
        </w:rPr>
        <w:t>4</w:t>
      </w:r>
      <w:r w:rsidRPr="000E7F48">
        <w:rPr>
          <w:rFonts w:ascii="Arial" w:eastAsia="Times New Roman" w:hAnsi="Arial" w:cs="Arial"/>
          <w:color w:val="000000"/>
          <w:spacing w:val="6"/>
          <w:sz w:val="20"/>
          <w:szCs w:val="20"/>
          <w:lang w:val="en-GB" w:eastAsia="en-GB"/>
        </w:rPr>
        <w:t xml:space="preserve"> Annual Performance Plans </w:t>
      </w:r>
      <w:r w:rsidR="00473C87" w:rsidRPr="000E7F48">
        <w:rPr>
          <w:rFonts w:ascii="Arial" w:eastAsia="Times New Roman" w:hAnsi="Arial" w:cs="Arial"/>
          <w:color w:val="000000"/>
          <w:spacing w:val="6"/>
          <w:sz w:val="20"/>
          <w:szCs w:val="20"/>
          <w:lang w:val="en-GB" w:eastAsia="en-GB"/>
        </w:rPr>
        <w:t xml:space="preserve">(APP) </w:t>
      </w:r>
      <w:r w:rsidRPr="000E7F48">
        <w:rPr>
          <w:rFonts w:ascii="Arial" w:eastAsia="Times New Roman" w:hAnsi="Arial" w:cs="Arial"/>
          <w:color w:val="000000"/>
          <w:spacing w:val="6"/>
          <w:sz w:val="20"/>
          <w:szCs w:val="20"/>
          <w:lang w:val="en-GB" w:eastAsia="en-GB"/>
        </w:rPr>
        <w:t xml:space="preserve">of the </w:t>
      </w:r>
      <w:r w:rsidR="00617229" w:rsidRPr="000E7F48">
        <w:rPr>
          <w:rFonts w:ascii="Arial" w:eastAsia="Times New Roman" w:hAnsi="Arial" w:cs="Arial"/>
          <w:color w:val="000000"/>
          <w:spacing w:val="6"/>
          <w:sz w:val="20"/>
          <w:szCs w:val="20"/>
          <w:lang w:val="en-GB" w:eastAsia="en-GB"/>
        </w:rPr>
        <w:t>DOD and the budget and APP of the Castle Control Board (CCB) on 3 May 2023</w:t>
      </w:r>
      <w:r w:rsidR="0042177B" w:rsidRPr="000E7F48">
        <w:rPr>
          <w:rFonts w:ascii="Arial" w:eastAsia="Times New Roman" w:hAnsi="Arial" w:cs="Arial"/>
          <w:color w:val="000000"/>
          <w:spacing w:val="6"/>
          <w:sz w:val="20"/>
          <w:szCs w:val="20"/>
          <w:lang w:val="en-GB" w:eastAsia="en-GB"/>
        </w:rPr>
        <w:t>,</w:t>
      </w:r>
      <w:r w:rsidR="00617229" w:rsidRPr="000E7F48">
        <w:rPr>
          <w:rFonts w:ascii="Arial" w:eastAsia="Times New Roman" w:hAnsi="Arial" w:cs="Arial"/>
          <w:color w:val="000000"/>
          <w:spacing w:val="6"/>
          <w:sz w:val="20"/>
          <w:szCs w:val="20"/>
          <w:lang w:val="en-GB" w:eastAsia="en-GB"/>
        </w:rPr>
        <w:t xml:space="preserve"> as well as the </w:t>
      </w:r>
      <w:r w:rsidR="00031860" w:rsidRPr="000E7F48">
        <w:rPr>
          <w:rFonts w:ascii="Arial" w:eastAsia="Times New Roman" w:hAnsi="Arial" w:cs="Arial"/>
          <w:color w:val="000000"/>
          <w:spacing w:val="6"/>
          <w:sz w:val="20"/>
          <w:szCs w:val="20"/>
          <w:lang w:val="en-GB" w:eastAsia="en-GB"/>
        </w:rPr>
        <w:t xml:space="preserve">Corporate Plan and budget of the </w:t>
      </w:r>
      <w:r w:rsidR="00031860" w:rsidRPr="000E7F48">
        <w:rPr>
          <w:rFonts w:ascii="Arial" w:eastAsia="Arial Unicode MS" w:hAnsi="Arial" w:cs="Arial"/>
          <w:color w:val="000000"/>
          <w:spacing w:val="6"/>
          <w:sz w:val="20"/>
          <w:szCs w:val="20"/>
          <w:u w:color="000000"/>
          <w:lang w:val="en-GB" w:eastAsia="en-ZA"/>
        </w:rPr>
        <w:t xml:space="preserve">Armaments Corporation of South Africa (Armscor) on </w:t>
      </w:r>
      <w:r w:rsidR="00617229" w:rsidRPr="000E7F48">
        <w:rPr>
          <w:rFonts w:ascii="Arial" w:eastAsia="Arial Unicode MS" w:hAnsi="Arial" w:cs="Arial"/>
          <w:color w:val="000000"/>
          <w:spacing w:val="6"/>
          <w:sz w:val="20"/>
          <w:szCs w:val="20"/>
          <w:u w:color="000000"/>
          <w:lang w:val="en-GB" w:eastAsia="en-ZA"/>
        </w:rPr>
        <w:t>10</w:t>
      </w:r>
      <w:r w:rsidR="00031860" w:rsidRPr="000E7F48">
        <w:rPr>
          <w:rFonts w:ascii="Arial" w:eastAsia="Arial Unicode MS" w:hAnsi="Arial" w:cs="Arial"/>
          <w:color w:val="000000"/>
          <w:spacing w:val="6"/>
          <w:sz w:val="20"/>
          <w:szCs w:val="20"/>
          <w:u w:color="000000"/>
          <w:lang w:val="en-GB" w:eastAsia="en-ZA"/>
        </w:rPr>
        <w:t xml:space="preserve"> May 202</w:t>
      </w:r>
      <w:r w:rsidR="00617229" w:rsidRPr="000E7F48">
        <w:rPr>
          <w:rFonts w:ascii="Arial" w:eastAsia="Arial Unicode MS" w:hAnsi="Arial" w:cs="Arial"/>
          <w:color w:val="000000"/>
          <w:spacing w:val="6"/>
          <w:sz w:val="20"/>
          <w:szCs w:val="20"/>
          <w:u w:color="000000"/>
          <w:lang w:val="en-GB" w:eastAsia="en-ZA"/>
        </w:rPr>
        <w:t>3</w:t>
      </w:r>
      <w:r w:rsidR="00031860" w:rsidRPr="000E7F48">
        <w:rPr>
          <w:rFonts w:ascii="Arial" w:eastAsia="Arial Unicode MS" w:hAnsi="Arial" w:cs="Arial"/>
          <w:color w:val="000000"/>
          <w:spacing w:val="6"/>
          <w:sz w:val="20"/>
          <w:szCs w:val="20"/>
          <w:u w:color="000000"/>
          <w:lang w:val="en-GB" w:eastAsia="en-ZA"/>
        </w:rPr>
        <w:t xml:space="preserve">, </w:t>
      </w:r>
      <w:r w:rsidRPr="000E7F48">
        <w:rPr>
          <w:rFonts w:ascii="Arial" w:eastAsia="Times New Roman" w:hAnsi="Arial" w:cs="Arial"/>
          <w:color w:val="000000"/>
          <w:spacing w:val="6"/>
          <w:sz w:val="20"/>
          <w:szCs w:val="20"/>
          <w:lang w:val="en-GB" w:eastAsia="en-GB"/>
        </w:rPr>
        <w:t xml:space="preserve">reports as follows: </w:t>
      </w:r>
    </w:p>
    <w:p w:rsidR="00194FC2" w:rsidRPr="000E7F48" w:rsidRDefault="00194FC2" w:rsidP="000E7F48">
      <w:pPr>
        <w:spacing w:after="0" w:line="240" w:lineRule="auto"/>
        <w:outlineLvl w:val="0"/>
        <w:rPr>
          <w:rFonts w:ascii="Arial" w:eastAsia="Times New Roman" w:hAnsi="Arial" w:cs="Arial"/>
          <w:color w:val="000000"/>
          <w:spacing w:val="6"/>
          <w:sz w:val="20"/>
          <w:szCs w:val="20"/>
          <w:lang w:val="en-GB" w:eastAsia="en-GB"/>
        </w:rPr>
      </w:pPr>
    </w:p>
    <w:p w:rsidR="00194FC2" w:rsidRPr="000E7F48" w:rsidRDefault="00194FC2" w:rsidP="000E7F48">
      <w:pPr>
        <w:spacing w:after="0" w:line="240" w:lineRule="auto"/>
        <w:outlineLvl w:val="0"/>
        <w:rPr>
          <w:rFonts w:ascii="Arial" w:eastAsia="Arial Unicode MS" w:hAnsi="Arial" w:cs="Arial"/>
          <w:b/>
          <w:color w:val="000000"/>
          <w:spacing w:val="6"/>
          <w:sz w:val="20"/>
          <w:szCs w:val="20"/>
          <w:u w:color="000000"/>
          <w:lang w:val="en-GB" w:eastAsia="en-GB"/>
        </w:rPr>
      </w:pPr>
      <w:r w:rsidRPr="000E7F48">
        <w:rPr>
          <w:rFonts w:ascii="Arial" w:eastAsia="Arial Unicode MS" w:hAnsi="Arial" w:cs="Arial"/>
          <w:b/>
          <w:color w:val="000000"/>
          <w:spacing w:val="6"/>
          <w:sz w:val="20"/>
          <w:szCs w:val="20"/>
          <w:u w:color="000000"/>
          <w:lang w:val="en-GB" w:eastAsia="en-GB"/>
        </w:rPr>
        <w:t xml:space="preserve">INTRODUCTION </w:t>
      </w:r>
    </w:p>
    <w:p w:rsidR="00194FC2" w:rsidRPr="000E7F48" w:rsidRDefault="00194FC2" w:rsidP="000E7F48">
      <w:pPr>
        <w:autoSpaceDE w:val="0"/>
        <w:autoSpaceDN w:val="0"/>
        <w:adjustRightInd w:val="0"/>
        <w:spacing w:after="0" w:line="240" w:lineRule="auto"/>
        <w:rPr>
          <w:rFonts w:ascii="Arial" w:eastAsia="Times New Roman" w:hAnsi="Arial" w:cs="Arial"/>
          <w:b/>
          <w:bCs/>
          <w:color w:val="000000"/>
          <w:spacing w:val="6"/>
          <w:sz w:val="20"/>
          <w:szCs w:val="20"/>
          <w:lang w:val="en-GB" w:eastAsia="en-GB"/>
        </w:rPr>
      </w:pPr>
    </w:p>
    <w:p w:rsidR="00194FC2" w:rsidRPr="000E7F48" w:rsidRDefault="00194FC2" w:rsidP="000E7F48">
      <w:pPr>
        <w:autoSpaceDE w:val="0"/>
        <w:autoSpaceDN w:val="0"/>
        <w:adjustRightInd w:val="0"/>
        <w:spacing w:after="0" w:line="240" w:lineRule="auto"/>
        <w:rPr>
          <w:rFonts w:ascii="Arial" w:eastAsia="Times New Roman" w:hAnsi="Arial" w:cs="Arial"/>
          <w:b/>
          <w:bCs/>
          <w:color w:val="000000"/>
          <w:spacing w:val="6"/>
          <w:sz w:val="20"/>
          <w:szCs w:val="20"/>
          <w:lang w:val="en-GB" w:eastAsia="en-GB"/>
        </w:rPr>
      </w:pPr>
      <w:r w:rsidRPr="000E7F48">
        <w:rPr>
          <w:rFonts w:ascii="Arial" w:eastAsia="Times New Roman" w:hAnsi="Arial" w:cs="Arial"/>
          <w:b/>
          <w:bCs/>
          <w:color w:val="000000"/>
          <w:spacing w:val="6"/>
          <w:sz w:val="20"/>
          <w:szCs w:val="20"/>
          <w:lang w:val="en-GB" w:eastAsia="en-GB"/>
        </w:rPr>
        <w:t>Mandate of the Committee</w:t>
      </w:r>
    </w:p>
    <w:p w:rsidR="00194FC2" w:rsidRPr="000E7F48" w:rsidRDefault="00194FC2" w:rsidP="000E7F48">
      <w:pPr>
        <w:autoSpaceDE w:val="0"/>
        <w:autoSpaceDN w:val="0"/>
        <w:adjustRightInd w:val="0"/>
        <w:spacing w:after="0" w:line="240" w:lineRule="auto"/>
        <w:ind w:left="360"/>
        <w:contextualSpacing/>
        <w:rPr>
          <w:rFonts w:ascii="Arial" w:eastAsia="Times New Roman" w:hAnsi="Arial" w:cs="Arial"/>
          <w:b/>
          <w:bCs/>
          <w:sz w:val="20"/>
          <w:szCs w:val="20"/>
          <w:lang w:val="en-GB"/>
        </w:rPr>
      </w:pPr>
    </w:p>
    <w:p w:rsidR="00194FC2" w:rsidRPr="000E7F48" w:rsidRDefault="00194FC2" w:rsidP="000E7F48">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194FC2" w:rsidRPr="000E7F48" w:rsidRDefault="00194FC2" w:rsidP="000E7F48">
      <w:pPr>
        <w:autoSpaceDE w:val="0"/>
        <w:autoSpaceDN w:val="0"/>
        <w:adjustRightInd w:val="0"/>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 xml:space="preserve">Process </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The </w:t>
      </w:r>
      <w:r w:rsidR="00617229" w:rsidRPr="000E7F48">
        <w:rPr>
          <w:rFonts w:ascii="Arial" w:eastAsia="Times New Roman" w:hAnsi="Arial" w:cs="Arial"/>
          <w:color w:val="000000"/>
          <w:spacing w:val="6"/>
          <w:sz w:val="20"/>
          <w:szCs w:val="20"/>
          <w:lang w:val="en-GB" w:eastAsia="en-GB"/>
        </w:rPr>
        <w:t>PCDMV</w:t>
      </w:r>
      <w:r w:rsidRPr="000E7F48">
        <w:rPr>
          <w:rFonts w:ascii="Arial" w:eastAsia="Times New Roman" w:hAnsi="Arial" w:cs="Arial"/>
          <w:color w:val="000000"/>
          <w:spacing w:val="6"/>
          <w:sz w:val="20"/>
          <w:szCs w:val="20"/>
          <w:lang w:val="en-GB" w:eastAsia="en-GB"/>
        </w:rPr>
        <w:t xml:space="preserve"> considered the </w:t>
      </w:r>
      <w:r w:rsidR="00031860" w:rsidRPr="000E7F48">
        <w:rPr>
          <w:rFonts w:ascii="Arial" w:eastAsia="Times New Roman" w:hAnsi="Arial" w:cs="Arial"/>
          <w:color w:val="000000"/>
          <w:spacing w:val="6"/>
          <w:sz w:val="20"/>
          <w:szCs w:val="20"/>
          <w:lang w:val="en-GB" w:eastAsia="en-GB"/>
        </w:rPr>
        <w:t>202</w:t>
      </w:r>
      <w:r w:rsidR="00617229" w:rsidRPr="000E7F48">
        <w:rPr>
          <w:rFonts w:ascii="Arial" w:eastAsia="Times New Roman" w:hAnsi="Arial" w:cs="Arial"/>
          <w:color w:val="000000"/>
          <w:spacing w:val="6"/>
          <w:sz w:val="20"/>
          <w:szCs w:val="20"/>
          <w:lang w:val="en-GB" w:eastAsia="en-GB"/>
        </w:rPr>
        <w:t>3</w:t>
      </w:r>
      <w:r w:rsidR="00031860" w:rsidRPr="000E7F48">
        <w:rPr>
          <w:rFonts w:ascii="Arial" w:eastAsia="Times New Roman" w:hAnsi="Arial" w:cs="Arial"/>
          <w:color w:val="000000"/>
          <w:spacing w:val="6"/>
          <w:sz w:val="20"/>
          <w:szCs w:val="20"/>
          <w:lang w:val="en-GB" w:eastAsia="en-GB"/>
        </w:rPr>
        <w:t>/2</w:t>
      </w:r>
      <w:r w:rsidR="00617229" w:rsidRPr="000E7F48">
        <w:rPr>
          <w:rFonts w:ascii="Arial" w:eastAsia="Times New Roman" w:hAnsi="Arial" w:cs="Arial"/>
          <w:color w:val="000000"/>
          <w:spacing w:val="6"/>
          <w:sz w:val="20"/>
          <w:szCs w:val="20"/>
          <w:lang w:val="en-GB" w:eastAsia="en-GB"/>
        </w:rPr>
        <w:t>4</w:t>
      </w:r>
      <w:r w:rsidR="00031860" w:rsidRPr="000E7F48">
        <w:rPr>
          <w:rFonts w:ascii="Arial" w:eastAsia="Times New Roman" w:hAnsi="Arial" w:cs="Arial"/>
          <w:color w:val="000000"/>
          <w:spacing w:val="6"/>
          <w:sz w:val="20"/>
          <w:szCs w:val="20"/>
          <w:lang w:val="en-GB" w:eastAsia="en-GB"/>
        </w:rPr>
        <w:t xml:space="preserve"> budget allocation</w:t>
      </w:r>
      <w:r w:rsidR="00617229" w:rsidRPr="000E7F48">
        <w:rPr>
          <w:rFonts w:ascii="Arial" w:eastAsia="Times New Roman" w:hAnsi="Arial" w:cs="Arial"/>
          <w:color w:val="000000"/>
          <w:spacing w:val="6"/>
          <w:sz w:val="20"/>
          <w:szCs w:val="20"/>
          <w:lang w:val="en-GB" w:eastAsia="en-GB"/>
        </w:rPr>
        <w:t>s</w:t>
      </w:r>
      <w:r w:rsidR="00031860" w:rsidRPr="000E7F48">
        <w:rPr>
          <w:rFonts w:ascii="Arial" w:eastAsia="Times New Roman" w:hAnsi="Arial" w:cs="Arial"/>
          <w:color w:val="000000"/>
          <w:spacing w:val="6"/>
          <w:sz w:val="20"/>
          <w:szCs w:val="20"/>
          <w:lang w:val="en-GB" w:eastAsia="en-GB"/>
        </w:rPr>
        <w:t xml:space="preserve"> and </w:t>
      </w:r>
      <w:r w:rsidR="008973B7" w:rsidRPr="000E7F48">
        <w:rPr>
          <w:rFonts w:ascii="Arial" w:eastAsia="Times New Roman" w:hAnsi="Arial" w:cs="Arial"/>
          <w:color w:val="000000"/>
          <w:spacing w:val="6"/>
          <w:sz w:val="20"/>
          <w:szCs w:val="20"/>
          <w:lang w:val="en-GB" w:eastAsia="en-GB"/>
        </w:rPr>
        <w:t>APP</w:t>
      </w:r>
      <w:r w:rsidR="00617229" w:rsidRPr="000E7F48">
        <w:rPr>
          <w:rFonts w:ascii="Arial" w:eastAsia="Times New Roman" w:hAnsi="Arial" w:cs="Arial"/>
          <w:color w:val="000000"/>
          <w:spacing w:val="6"/>
          <w:sz w:val="20"/>
          <w:szCs w:val="20"/>
          <w:lang w:val="en-GB" w:eastAsia="en-GB"/>
        </w:rPr>
        <w:t>s</w:t>
      </w:r>
      <w:r w:rsidRPr="000E7F48">
        <w:rPr>
          <w:rFonts w:ascii="Arial" w:eastAsia="Times New Roman" w:hAnsi="Arial" w:cs="Arial"/>
          <w:color w:val="000000"/>
          <w:spacing w:val="6"/>
          <w:sz w:val="20"/>
          <w:szCs w:val="20"/>
          <w:lang w:val="en-GB" w:eastAsia="en-GB"/>
        </w:rPr>
        <w:t xml:space="preserve"> of the DOD </w:t>
      </w:r>
      <w:r w:rsidR="008973B7" w:rsidRPr="000E7F48">
        <w:rPr>
          <w:rFonts w:ascii="Arial" w:eastAsia="Times New Roman" w:hAnsi="Arial" w:cs="Arial"/>
          <w:color w:val="000000"/>
          <w:spacing w:val="6"/>
          <w:sz w:val="20"/>
          <w:szCs w:val="20"/>
          <w:lang w:val="en-GB" w:eastAsia="en-GB"/>
        </w:rPr>
        <w:t xml:space="preserve">and </w:t>
      </w:r>
      <w:r w:rsidR="00617229" w:rsidRPr="000E7F48">
        <w:rPr>
          <w:rFonts w:ascii="Arial" w:eastAsia="Times New Roman" w:hAnsi="Arial" w:cs="Arial"/>
          <w:color w:val="000000"/>
          <w:spacing w:val="6"/>
          <w:sz w:val="20"/>
          <w:szCs w:val="20"/>
          <w:lang w:val="en-GB" w:eastAsia="en-GB"/>
        </w:rPr>
        <w:t>the CCB</w:t>
      </w:r>
      <w:r w:rsidR="008973B7" w:rsidRPr="000E7F48">
        <w:rPr>
          <w:rFonts w:ascii="Arial" w:eastAsia="Times New Roman" w:hAnsi="Arial" w:cs="Arial"/>
          <w:color w:val="000000"/>
          <w:spacing w:val="6"/>
          <w:sz w:val="20"/>
          <w:szCs w:val="20"/>
          <w:lang w:val="en-GB" w:eastAsia="en-GB"/>
        </w:rPr>
        <w:t xml:space="preserve"> </w:t>
      </w:r>
      <w:r w:rsidR="00031860" w:rsidRPr="000E7F48">
        <w:rPr>
          <w:rFonts w:ascii="Arial" w:eastAsia="Times New Roman" w:hAnsi="Arial" w:cs="Arial"/>
          <w:color w:val="000000"/>
          <w:spacing w:val="6"/>
          <w:sz w:val="20"/>
          <w:szCs w:val="20"/>
          <w:lang w:val="en-GB" w:eastAsia="en-GB"/>
        </w:rPr>
        <w:t xml:space="preserve">on </w:t>
      </w:r>
      <w:r w:rsidR="00617229"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 xml:space="preserve"> May 202</w:t>
      </w:r>
      <w:r w:rsidR="00031860" w:rsidRPr="000E7F48">
        <w:rPr>
          <w:rFonts w:ascii="Arial" w:eastAsia="Times New Roman" w:hAnsi="Arial" w:cs="Arial"/>
          <w:color w:val="000000"/>
          <w:spacing w:val="6"/>
          <w:sz w:val="20"/>
          <w:szCs w:val="20"/>
          <w:lang w:val="en-GB" w:eastAsia="en-GB"/>
        </w:rPr>
        <w:t>2</w:t>
      </w:r>
      <w:r w:rsidR="008973B7" w:rsidRPr="000E7F48">
        <w:rPr>
          <w:rFonts w:ascii="Arial" w:eastAsia="Times New Roman" w:hAnsi="Arial" w:cs="Arial"/>
          <w:color w:val="000000"/>
          <w:spacing w:val="6"/>
          <w:sz w:val="20"/>
          <w:szCs w:val="20"/>
          <w:lang w:val="en-GB" w:eastAsia="en-GB"/>
        </w:rPr>
        <w:t xml:space="preserve"> as well as the Corporate Plan and budget </w:t>
      </w:r>
      <w:r w:rsidR="00617229" w:rsidRPr="000E7F48">
        <w:rPr>
          <w:rFonts w:ascii="Arial" w:eastAsia="Times New Roman" w:hAnsi="Arial" w:cs="Arial"/>
          <w:color w:val="000000"/>
          <w:spacing w:val="6"/>
          <w:sz w:val="20"/>
          <w:szCs w:val="20"/>
          <w:lang w:val="en-GB" w:eastAsia="en-GB"/>
        </w:rPr>
        <w:t xml:space="preserve">of Armscor </w:t>
      </w:r>
      <w:r w:rsidR="00031860" w:rsidRPr="000E7F48">
        <w:rPr>
          <w:rFonts w:ascii="Arial" w:eastAsia="Times New Roman" w:hAnsi="Arial" w:cs="Arial"/>
          <w:color w:val="000000"/>
          <w:spacing w:val="6"/>
          <w:sz w:val="20"/>
          <w:szCs w:val="20"/>
          <w:lang w:val="en-GB" w:eastAsia="en-GB"/>
        </w:rPr>
        <w:t>on</w:t>
      </w:r>
      <w:r w:rsidR="008973B7" w:rsidRPr="000E7F48">
        <w:rPr>
          <w:rFonts w:ascii="Arial" w:eastAsia="Times New Roman" w:hAnsi="Arial" w:cs="Arial"/>
          <w:color w:val="000000"/>
          <w:spacing w:val="6"/>
          <w:sz w:val="20"/>
          <w:szCs w:val="20"/>
          <w:lang w:val="en-GB" w:eastAsia="en-GB"/>
        </w:rPr>
        <w:t xml:space="preserve"> 1</w:t>
      </w:r>
      <w:r w:rsidR="00617229" w:rsidRPr="000E7F48">
        <w:rPr>
          <w:rFonts w:ascii="Arial" w:eastAsia="Times New Roman" w:hAnsi="Arial" w:cs="Arial"/>
          <w:color w:val="000000"/>
          <w:spacing w:val="6"/>
          <w:sz w:val="20"/>
          <w:szCs w:val="20"/>
          <w:lang w:val="en-GB" w:eastAsia="en-GB"/>
        </w:rPr>
        <w:t>0</w:t>
      </w:r>
      <w:r w:rsidR="008973B7" w:rsidRPr="000E7F48">
        <w:rPr>
          <w:rFonts w:ascii="Arial" w:eastAsia="Times New Roman" w:hAnsi="Arial" w:cs="Arial"/>
          <w:color w:val="000000"/>
          <w:spacing w:val="6"/>
          <w:sz w:val="20"/>
          <w:szCs w:val="20"/>
          <w:lang w:val="en-GB" w:eastAsia="en-GB"/>
        </w:rPr>
        <w:t xml:space="preserve"> May 202</w:t>
      </w:r>
      <w:r w:rsidR="00617229"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 xml:space="preserve">. The Committee made several observations </w:t>
      </w:r>
      <w:r w:rsidR="00031860" w:rsidRPr="000E7F48">
        <w:rPr>
          <w:rFonts w:ascii="Arial" w:eastAsia="Times New Roman" w:hAnsi="Arial" w:cs="Arial"/>
          <w:color w:val="000000"/>
          <w:spacing w:val="6"/>
          <w:sz w:val="20"/>
          <w:szCs w:val="20"/>
          <w:lang w:val="en-GB" w:eastAsia="en-GB"/>
        </w:rPr>
        <w:t>during these e</w:t>
      </w:r>
      <w:r w:rsidR="00617229" w:rsidRPr="000E7F48">
        <w:rPr>
          <w:rFonts w:ascii="Arial" w:eastAsia="Times New Roman" w:hAnsi="Arial" w:cs="Arial"/>
          <w:color w:val="000000"/>
          <w:spacing w:val="6"/>
          <w:sz w:val="20"/>
          <w:szCs w:val="20"/>
          <w:lang w:val="en-GB" w:eastAsia="en-GB"/>
        </w:rPr>
        <w:t>ngagements,</w:t>
      </w:r>
      <w:r w:rsidR="00031860" w:rsidRPr="000E7F48">
        <w:rPr>
          <w:rFonts w:ascii="Arial" w:eastAsia="Times New Roman" w:hAnsi="Arial" w:cs="Arial"/>
          <w:color w:val="000000"/>
          <w:spacing w:val="6"/>
          <w:sz w:val="20"/>
          <w:szCs w:val="20"/>
          <w:lang w:val="en-GB" w:eastAsia="en-GB"/>
        </w:rPr>
        <w:t xml:space="preserve"> leading to </w:t>
      </w:r>
      <w:r w:rsidRPr="000E7F48">
        <w:rPr>
          <w:rFonts w:ascii="Arial" w:eastAsia="Times New Roman" w:hAnsi="Arial" w:cs="Arial"/>
          <w:color w:val="000000"/>
          <w:spacing w:val="6"/>
          <w:sz w:val="20"/>
          <w:szCs w:val="20"/>
          <w:lang w:val="en-GB" w:eastAsia="en-GB"/>
        </w:rPr>
        <w:t>recommendations to the DOD and the two entities to enhance their performance for the remainder of 202</w:t>
      </w:r>
      <w:r w:rsidR="00617229"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/2</w:t>
      </w:r>
      <w:r w:rsidR="00617229" w:rsidRPr="000E7F48">
        <w:rPr>
          <w:rFonts w:ascii="Arial" w:eastAsia="Times New Roman" w:hAnsi="Arial" w:cs="Arial"/>
          <w:color w:val="000000"/>
          <w:spacing w:val="6"/>
          <w:sz w:val="20"/>
          <w:szCs w:val="20"/>
          <w:lang w:val="en-GB" w:eastAsia="en-GB"/>
        </w:rPr>
        <w:t>4</w:t>
      </w:r>
      <w:r w:rsidRPr="000E7F48">
        <w:rPr>
          <w:rFonts w:ascii="Arial" w:eastAsia="Times New Roman" w:hAnsi="Arial" w:cs="Arial"/>
          <w:color w:val="000000"/>
          <w:spacing w:val="6"/>
          <w:sz w:val="20"/>
          <w:szCs w:val="20"/>
          <w:lang w:val="en-GB" w:eastAsia="en-GB"/>
        </w:rPr>
        <w:t>. This Report is divided into two sections, with Part A dealing with the DOD and Part B with the two entities</w:t>
      </w:r>
      <w:r w:rsidR="008973B7" w:rsidRPr="000E7F48">
        <w:rPr>
          <w:rFonts w:ascii="Arial" w:eastAsia="Times New Roman" w:hAnsi="Arial" w:cs="Arial"/>
          <w:color w:val="000000"/>
          <w:spacing w:val="6"/>
          <w:sz w:val="20"/>
          <w:szCs w:val="20"/>
          <w:lang w:val="en-GB" w:eastAsia="en-GB"/>
        </w:rPr>
        <w:t>,</w:t>
      </w:r>
      <w:r w:rsidRPr="000E7F48">
        <w:rPr>
          <w:rFonts w:ascii="Arial" w:eastAsia="Times New Roman" w:hAnsi="Arial" w:cs="Arial"/>
          <w:color w:val="000000"/>
          <w:spacing w:val="6"/>
          <w:sz w:val="20"/>
          <w:szCs w:val="20"/>
          <w:lang w:val="en-GB" w:eastAsia="en-GB"/>
        </w:rPr>
        <w:t xml:space="preserve"> namely the CCB and Armscor. </w:t>
      </w:r>
    </w:p>
    <w:p w:rsidR="00617229" w:rsidRPr="000E7F48" w:rsidRDefault="00617229" w:rsidP="000E7F48">
      <w:pPr>
        <w:spacing w:after="0" w:line="240" w:lineRule="auto"/>
        <w:rPr>
          <w:rFonts w:ascii="Arial" w:eastAsia="Times New Roman" w:hAnsi="Arial" w:cs="Arial"/>
          <w:color w:val="000000"/>
          <w:spacing w:val="6"/>
          <w:sz w:val="20"/>
          <w:szCs w:val="20"/>
          <w:lang w:val="en-GB" w:eastAsia="en-GB"/>
        </w:rPr>
      </w:pPr>
    </w:p>
    <w:p w:rsidR="00617229" w:rsidRPr="000E7F48" w:rsidRDefault="00617229" w:rsidP="000E7F48">
      <w:pPr>
        <w:spacing w:after="0" w:line="240" w:lineRule="auto"/>
        <w:rPr>
          <w:rFonts w:ascii="Arial" w:eastAsia="Times New Roman" w:hAnsi="Arial" w:cs="Arial"/>
          <w:color w:val="000000"/>
          <w:spacing w:val="6"/>
          <w:sz w:val="20"/>
          <w:szCs w:val="20"/>
          <w:lang w:val="en-GB" w:eastAsia="en-GB"/>
        </w:rPr>
      </w:pPr>
    </w:p>
    <w:p w:rsidR="001976C6" w:rsidRPr="000E7F48" w:rsidRDefault="001976C6" w:rsidP="000E7F48">
      <w:pPr>
        <w:spacing w:after="0" w:line="240" w:lineRule="auto"/>
        <w:rPr>
          <w:rFonts w:ascii="Arial" w:eastAsia="Times New Roman" w:hAnsi="Arial" w:cs="Arial"/>
          <w:color w:val="000000"/>
          <w:spacing w:val="6"/>
          <w:sz w:val="20"/>
          <w:szCs w:val="20"/>
          <w:lang w:val="en-GB" w:eastAsia="en-GB"/>
        </w:rPr>
      </w:pPr>
    </w:p>
    <w:p w:rsidR="001976C6" w:rsidRPr="000E7F48" w:rsidRDefault="001976C6"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b/>
          <w:color w:val="000000"/>
          <w:spacing w:val="6"/>
          <w:sz w:val="20"/>
          <w:szCs w:val="20"/>
          <w:u w:val="single"/>
          <w:lang w:val="en-GB" w:eastAsia="en-GB"/>
        </w:rPr>
      </w:pPr>
      <w:r w:rsidRPr="000E7F48">
        <w:rPr>
          <w:rFonts w:ascii="Arial" w:eastAsia="Times New Roman" w:hAnsi="Arial" w:cs="Arial"/>
          <w:b/>
          <w:color w:val="000000"/>
          <w:spacing w:val="6"/>
          <w:sz w:val="20"/>
          <w:szCs w:val="20"/>
          <w:u w:val="single"/>
          <w:lang w:val="en-GB" w:eastAsia="en-GB"/>
        </w:rPr>
        <w:t>PART A: DEPARTMENT OF DEFENCE</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rPr>
          <w:rFonts w:ascii="Arial" w:eastAsia="Arial Unicode MS" w:hAnsi="Arial" w:cs="Arial"/>
          <w:b/>
          <w:color w:val="000000"/>
          <w:spacing w:val="6"/>
          <w:sz w:val="20"/>
          <w:szCs w:val="20"/>
          <w:u w:color="000000"/>
          <w:lang w:val="en-GB" w:eastAsia="en-GB"/>
        </w:rPr>
      </w:pPr>
      <w:r w:rsidRPr="000E7F48">
        <w:rPr>
          <w:rFonts w:ascii="Arial" w:eastAsia="Arial Unicode MS" w:hAnsi="Arial" w:cs="Arial"/>
          <w:b/>
          <w:color w:val="000000"/>
          <w:spacing w:val="6"/>
          <w:sz w:val="20"/>
          <w:szCs w:val="20"/>
          <w:u w:color="000000"/>
          <w:lang w:val="en-GB" w:eastAsia="en-GB"/>
        </w:rPr>
        <w:t>1.</w:t>
      </w:r>
      <w:r w:rsidRPr="000E7F48">
        <w:rPr>
          <w:rFonts w:ascii="Arial" w:eastAsia="Arial Unicode MS" w:hAnsi="Arial" w:cs="Arial"/>
          <w:b/>
          <w:color w:val="000000"/>
          <w:spacing w:val="6"/>
          <w:sz w:val="20"/>
          <w:szCs w:val="20"/>
          <w:u w:color="000000"/>
          <w:lang w:val="en-GB" w:eastAsia="en-GB"/>
        </w:rPr>
        <w:tab/>
      </w:r>
      <w:r w:rsidRPr="000E7F48">
        <w:rPr>
          <w:rFonts w:ascii="Arial" w:eastAsia="Times New Roman" w:hAnsi="Arial" w:cs="Arial"/>
          <w:b/>
          <w:color w:val="000000"/>
          <w:spacing w:val="6"/>
          <w:sz w:val="20"/>
          <w:szCs w:val="20"/>
          <w:lang w:val="en-GB" w:eastAsia="en-GB"/>
        </w:rPr>
        <w:t xml:space="preserve"> MANDATE OF THE DEPARTMENT OF DEFENCE </w:t>
      </w:r>
    </w:p>
    <w:p w:rsidR="00194FC2" w:rsidRPr="000E7F48" w:rsidRDefault="00194FC2" w:rsidP="000E7F48">
      <w:pPr>
        <w:autoSpaceDE w:val="0"/>
        <w:autoSpaceDN w:val="0"/>
        <w:adjustRightInd w:val="0"/>
        <w:spacing w:after="0" w:line="240" w:lineRule="auto"/>
        <w:rPr>
          <w:rFonts w:ascii="Arial" w:hAnsi="Arial" w:cs="Arial"/>
          <w:sz w:val="20"/>
          <w:szCs w:val="20"/>
        </w:rPr>
      </w:pPr>
    </w:p>
    <w:p w:rsidR="00194FC2" w:rsidRPr="000E7F48" w:rsidRDefault="00194FC2" w:rsidP="000E7F48">
      <w:pPr>
        <w:autoSpaceDE w:val="0"/>
        <w:autoSpaceDN w:val="0"/>
        <w:adjustRightInd w:val="0"/>
        <w:spacing w:after="0" w:line="240" w:lineRule="auto"/>
        <w:rPr>
          <w:rFonts w:ascii="Arial" w:hAnsi="Arial" w:cs="Arial"/>
          <w:sz w:val="20"/>
          <w:szCs w:val="20"/>
        </w:rPr>
      </w:pPr>
      <w:r w:rsidRPr="000E7F48">
        <w:rPr>
          <w:rFonts w:ascii="Arial" w:hAnsi="Arial" w:cs="Arial"/>
          <w:sz w:val="20"/>
          <w:szCs w:val="20"/>
        </w:rPr>
        <w:t xml:space="preserve">Section 200(2) of the Constitution dictates that the mandate of the DOD is to defend and protect the country, its territorial integrity and its people, in accordance with the Constitution and the principles of international law. This aligns with the mission of the DOD that is to provide, manage, prepare and employ Defence capabilities commensurate with the needs of South Africa as regulated by the Constitution, national legislation, parliamentary and executive direction. The above is provided through the proper management, provision, preparedness and employment of defence capabilities, which are in line with the domestic and global needs of South Africa. </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A26542" w:rsidP="000E7F48">
      <w:pPr>
        <w:spacing w:after="0" w:line="240" w:lineRule="auto"/>
        <w:ind w:left="720" w:hanging="720"/>
        <w:rPr>
          <w:rFonts w:ascii="Arial" w:eastAsia="Times New Roman" w:hAnsi="Arial" w:cs="Arial"/>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2</w:t>
      </w:r>
      <w:r w:rsidR="00194FC2" w:rsidRPr="000E7F48">
        <w:rPr>
          <w:rFonts w:ascii="Arial" w:eastAsia="Times New Roman" w:hAnsi="Arial" w:cs="Arial"/>
          <w:b/>
          <w:color w:val="000000"/>
          <w:spacing w:val="6"/>
          <w:sz w:val="20"/>
          <w:szCs w:val="20"/>
          <w:lang w:val="en-GB" w:eastAsia="en-GB"/>
        </w:rPr>
        <w:t>.</w:t>
      </w:r>
      <w:r w:rsidR="00194FC2" w:rsidRPr="000E7F48">
        <w:rPr>
          <w:rFonts w:ascii="Arial" w:eastAsia="Times New Roman" w:hAnsi="Arial" w:cs="Arial"/>
          <w:b/>
          <w:color w:val="000000"/>
          <w:spacing w:val="6"/>
          <w:sz w:val="20"/>
          <w:szCs w:val="20"/>
          <w:lang w:val="en-GB" w:eastAsia="en-GB"/>
        </w:rPr>
        <w:tab/>
      </w:r>
      <w:r w:rsidR="00194FC2" w:rsidRPr="000E7F48">
        <w:rPr>
          <w:rFonts w:ascii="Arial" w:eastAsia="Arial Unicode MS" w:hAnsi="Arial" w:cs="Arial"/>
          <w:b/>
          <w:color w:val="000000"/>
          <w:spacing w:val="6"/>
          <w:sz w:val="20"/>
          <w:szCs w:val="20"/>
          <w:u w:color="000000"/>
          <w:lang w:val="en-GB" w:eastAsia="en-ZA"/>
        </w:rPr>
        <w:t>COMMITTEE 20</w:t>
      </w:r>
      <w:r w:rsidR="00A34A1E" w:rsidRPr="000E7F48">
        <w:rPr>
          <w:rFonts w:ascii="Arial" w:eastAsia="Arial Unicode MS" w:hAnsi="Arial" w:cs="Arial"/>
          <w:b/>
          <w:color w:val="000000"/>
          <w:spacing w:val="6"/>
          <w:sz w:val="20"/>
          <w:szCs w:val="20"/>
          <w:u w:color="000000"/>
          <w:lang w:val="en-GB" w:eastAsia="en-ZA"/>
        </w:rPr>
        <w:t>2</w:t>
      </w:r>
      <w:r w:rsidR="003534DD" w:rsidRPr="000E7F48">
        <w:rPr>
          <w:rFonts w:ascii="Arial" w:eastAsia="Arial Unicode MS" w:hAnsi="Arial" w:cs="Arial"/>
          <w:b/>
          <w:color w:val="000000"/>
          <w:spacing w:val="6"/>
          <w:sz w:val="20"/>
          <w:szCs w:val="20"/>
          <w:u w:color="000000"/>
          <w:lang w:val="en-GB" w:eastAsia="en-ZA"/>
        </w:rPr>
        <w:t>2</w:t>
      </w:r>
      <w:r w:rsidR="00194FC2" w:rsidRPr="000E7F48">
        <w:rPr>
          <w:rFonts w:ascii="Arial" w:eastAsia="Arial Unicode MS" w:hAnsi="Arial" w:cs="Arial"/>
          <w:b/>
          <w:color w:val="000000"/>
          <w:spacing w:val="6"/>
          <w:sz w:val="20"/>
          <w:szCs w:val="20"/>
          <w:u w:color="000000"/>
          <w:lang w:val="en-GB" w:eastAsia="en-ZA"/>
        </w:rPr>
        <w:t>/2</w:t>
      </w:r>
      <w:r w:rsidR="003534DD" w:rsidRPr="000E7F48">
        <w:rPr>
          <w:rFonts w:ascii="Arial" w:eastAsia="Arial Unicode MS" w:hAnsi="Arial" w:cs="Arial"/>
          <w:b/>
          <w:color w:val="000000"/>
          <w:spacing w:val="6"/>
          <w:sz w:val="20"/>
          <w:szCs w:val="20"/>
          <w:u w:color="000000"/>
          <w:lang w:val="en-GB" w:eastAsia="en-ZA"/>
        </w:rPr>
        <w:t>3</w:t>
      </w:r>
      <w:r w:rsidR="00194FC2" w:rsidRPr="000E7F48">
        <w:rPr>
          <w:rFonts w:ascii="Arial" w:eastAsia="Arial Unicode MS" w:hAnsi="Arial" w:cs="Arial"/>
          <w:b/>
          <w:color w:val="000000"/>
          <w:spacing w:val="6"/>
          <w:sz w:val="20"/>
          <w:szCs w:val="20"/>
          <w:u w:color="000000"/>
          <w:lang w:val="en-GB" w:eastAsia="en-ZA"/>
        </w:rPr>
        <w:t xml:space="preserve"> BUDGET REPORT</w:t>
      </w:r>
    </w:p>
    <w:p w:rsidR="00194FC2" w:rsidRPr="000E7F48" w:rsidRDefault="00194FC2" w:rsidP="000E7F48">
      <w:pPr>
        <w:autoSpaceDE w:val="0"/>
        <w:autoSpaceDN w:val="0"/>
        <w:adjustRightInd w:val="0"/>
        <w:spacing w:after="0" w:line="240" w:lineRule="auto"/>
        <w:rPr>
          <w:rFonts w:ascii="Arial" w:eastAsia="Times New Roman" w:hAnsi="Arial" w:cs="Arial"/>
          <w:color w:val="000000"/>
          <w:spacing w:val="6"/>
          <w:sz w:val="20"/>
          <w:szCs w:val="20"/>
          <w:lang w:val="en-GB" w:eastAsia="en-ZA"/>
        </w:rPr>
      </w:pPr>
    </w:p>
    <w:p w:rsidR="00A34A1E" w:rsidRPr="000E7F48" w:rsidRDefault="00194FC2" w:rsidP="000E7F48">
      <w:pPr>
        <w:autoSpaceDE w:val="0"/>
        <w:autoSpaceDN w:val="0"/>
        <w:adjustRightInd w:val="0"/>
        <w:spacing w:after="0" w:line="240" w:lineRule="auto"/>
        <w:rPr>
          <w:rFonts w:ascii="Arial" w:hAnsi="Arial" w:cs="Arial"/>
          <w:sz w:val="20"/>
          <w:szCs w:val="20"/>
          <w:lang w:val="en-GB"/>
        </w:rPr>
      </w:pPr>
      <w:r w:rsidRPr="000E7F48">
        <w:rPr>
          <w:rFonts w:ascii="Arial" w:eastAsia="Times New Roman" w:hAnsi="Arial" w:cs="Arial"/>
          <w:color w:val="000000"/>
          <w:spacing w:val="6"/>
          <w:sz w:val="20"/>
          <w:szCs w:val="20"/>
          <w:lang w:val="en-GB" w:eastAsia="en-ZA"/>
        </w:rPr>
        <w:t>In order to include a holistic review by the Committee, past recommendations are included. The Committee made the following recommendations in terms of the 20</w:t>
      </w:r>
      <w:r w:rsidR="00A34A1E" w:rsidRPr="000E7F48">
        <w:rPr>
          <w:rFonts w:ascii="Arial" w:eastAsia="Times New Roman" w:hAnsi="Arial" w:cs="Arial"/>
          <w:color w:val="000000"/>
          <w:spacing w:val="6"/>
          <w:sz w:val="20"/>
          <w:szCs w:val="20"/>
          <w:lang w:val="en-GB" w:eastAsia="en-ZA"/>
        </w:rPr>
        <w:t>2</w:t>
      </w:r>
      <w:r w:rsidR="003534DD" w:rsidRPr="000E7F48">
        <w:rPr>
          <w:rFonts w:ascii="Arial" w:eastAsia="Times New Roman" w:hAnsi="Arial" w:cs="Arial"/>
          <w:color w:val="000000"/>
          <w:spacing w:val="6"/>
          <w:sz w:val="20"/>
          <w:szCs w:val="20"/>
          <w:lang w:val="en-GB" w:eastAsia="en-ZA"/>
        </w:rPr>
        <w:t>2</w:t>
      </w:r>
      <w:r w:rsidRPr="000E7F48">
        <w:rPr>
          <w:rFonts w:ascii="Arial" w:eastAsia="Times New Roman" w:hAnsi="Arial" w:cs="Arial"/>
          <w:color w:val="000000"/>
          <w:spacing w:val="6"/>
          <w:sz w:val="20"/>
          <w:szCs w:val="20"/>
          <w:lang w:val="en-GB" w:eastAsia="en-ZA"/>
        </w:rPr>
        <w:t>/2</w:t>
      </w:r>
      <w:r w:rsidR="003534DD" w:rsidRPr="000E7F48">
        <w:rPr>
          <w:rFonts w:ascii="Arial" w:eastAsia="Times New Roman" w:hAnsi="Arial" w:cs="Arial"/>
          <w:color w:val="000000"/>
          <w:spacing w:val="6"/>
          <w:sz w:val="20"/>
          <w:szCs w:val="20"/>
          <w:lang w:val="en-GB" w:eastAsia="en-ZA"/>
        </w:rPr>
        <w:t>3</w:t>
      </w:r>
      <w:r w:rsidRPr="000E7F48">
        <w:rPr>
          <w:rFonts w:ascii="Arial" w:eastAsia="Times New Roman" w:hAnsi="Arial" w:cs="Arial"/>
          <w:color w:val="000000"/>
          <w:spacing w:val="6"/>
          <w:sz w:val="20"/>
          <w:szCs w:val="20"/>
          <w:lang w:val="en-GB" w:eastAsia="en-ZA"/>
        </w:rPr>
        <w:t xml:space="preserve"> </w:t>
      </w:r>
      <w:r w:rsidR="00473C87" w:rsidRPr="000E7F48">
        <w:rPr>
          <w:rFonts w:ascii="Arial" w:eastAsia="Times New Roman" w:hAnsi="Arial" w:cs="Arial"/>
          <w:color w:val="000000"/>
          <w:spacing w:val="6"/>
          <w:sz w:val="20"/>
          <w:szCs w:val="20"/>
          <w:lang w:val="en-GB" w:eastAsia="en-ZA"/>
        </w:rPr>
        <w:t>APP of the DOD</w:t>
      </w:r>
      <w:r w:rsidRPr="000E7F48">
        <w:rPr>
          <w:rFonts w:ascii="Arial" w:eastAsia="Times New Roman" w:hAnsi="Arial" w:cs="Arial"/>
          <w:color w:val="000000"/>
          <w:spacing w:val="6"/>
          <w:sz w:val="20"/>
          <w:szCs w:val="20"/>
          <w:lang w:val="en-GB" w:eastAsia="en-ZA"/>
        </w:rPr>
        <w:t>:</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DOD and National Treasury should urgently engage around the funding requirements for unplanned SANDF deployments that were not budgeted for in the 2022/23 main allocation. This additional allocation should be clearly reflected in the mid-year adjusted budget.</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While the Committee welcomes the various interventions to bring over-expenditure on CoE under control over the medium-term, it stresses the need for effective implementation. The DOD should, as part of its quarterly reports to Parliament, indicate progress in the implementation of CoE interventions, adherence to the implementation schedule and the estimated savings. The Committee further encourages both the DOD and National Treasury to work together to find means to speed up the process of stabilising the CoE expenditure.</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The lack of Capital expenditure by the DOD remains a concern. While aware of broader fiscal constraints, the Committee encourages renewed engagement between the DOD and National Treasury around the potential funding of key strategic capabilities that require urgent capital intervention for acquisition or maintenance. This refers specifically to cases where strategic capabilities may be lost as a result of non-funding or where a lack of short-term funding may result in significant investment requirements over the long-term. The outcome of such </w:t>
      </w:r>
      <w:r w:rsidRPr="000E7F48">
        <w:rPr>
          <w:rFonts w:ascii="Arial" w:hAnsi="Arial" w:cs="Arial"/>
          <w:color w:val="000000"/>
          <w:spacing w:val="6"/>
          <w:sz w:val="20"/>
          <w:szCs w:val="20"/>
          <w:lang w:eastAsia="en-GB"/>
        </w:rPr>
        <w:lastRenderedPageBreak/>
        <w:t>engagements should be reflected by the DOD and National Treasury in the mid-year adjusted budget.</w:t>
      </w:r>
    </w:p>
    <w:p w:rsidR="003534DD" w:rsidRPr="000E7F48" w:rsidRDefault="003534DD" w:rsidP="000E7F48">
      <w:pPr>
        <w:pStyle w:val="ListParagraph"/>
        <w:numPr>
          <w:ilvl w:val="0"/>
          <w:numId w:val="20"/>
        </w:numPr>
        <w:rPr>
          <w:rFonts w:ascii="Arial" w:hAnsi="Arial" w:cs="Arial"/>
          <w:spacing w:val="6"/>
          <w:sz w:val="20"/>
          <w:szCs w:val="20"/>
          <w:lang w:eastAsia="en-GB"/>
        </w:rPr>
      </w:pPr>
      <w:r w:rsidRPr="000E7F48">
        <w:rPr>
          <w:rFonts w:ascii="Arial" w:hAnsi="Arial" w:cs="Arial"/>
          <w:sz w:val="20"/>
          <w:szCs w:val="20"/>
          <w:lang w:val="en-US"/>
        </w:rPr>
        <w:t>During its recent oversight visit to Denel and Armscor facilities, the Committee expressed the urgent need for a final decision on Project Hoefyster. In line with the recommendation made by the head of the delegation during the oversight visit, the Committee recommends urgent engagements between Armscor, Denel and the DOD on the future of the project. Armscor should report back to the Committee, in writing, not later than 21 July 2022, on the outcome of such engagements and the way forward for Project Hoefyster.</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Committee undertakes to have further in-depth discussions with the DOD and the AGSA around Project Thusano and will make subsequent recommendations on the way forward.</w:t>
      </w:r>
    </w:p>
    <w:p w:rsidR="003534DD" w:rsidRPr="000E7F48" w:rsidRDefault="003534DD" w:rsidP="000E7F48">
      <w:pPr>
        <w:pStyle w:val="ListParagraph"/>
        <w:numPr>
          <w:ilvl w:val="0"/>
          <w:numId w:val="20"/>
        </w:numPr>
        <w:rPr>
          <w:rFonts w:ascii="Arial" w:hAnsi="Arial" w:cs="Arial"/>
          <w:b/>
          <w:sz w:val="20"/>
          <w:szCs w:val="20"/>
        </w:rPr>
      </w:pPr>
      <w:r w:rsidRPr="000E7F48">
        <w:rPr>
          <w:rFonts w:ascii="Arial" w:hAnsi="Arial" w:cs="Arial"/>
          <w:sz w:val="20"/>
          <w:szCs w:val="20"/>
          <w:lang w:val="en-US"/>
        </w:rPr>
        <w:t>The Committee recommends that the DOD and Armscor jointly develop a plan to speed up plans to generate revenue through the sale of obsolete equipment. The DOD and Armscor should report progress on this plan to the Committee during deliberations on the adjusted budget for 2022, including how projected revenue will be spent.</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Committee encourages the DOD to optimise its spending and identify areas for potential savings, especially as it relates to expenditure on (1) advertising and (2) operating leases, specifically new and unplanned leases. The DOD should provide the Committee with a detailed breakdown of all leases for 2022/23 by 21 July 2022 for further monitoring.</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DOD should provide quarterly feedback on progress related to the consolidation of its 73 procurement centres.</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DOD should provide quarterly feedback on efforts to acquire and implement a new, integrated defence enterprise system.</w:t>
      </w:r>
    </w:p>
    <w:p w:rsidR="003534DD" w:rsidRPr="000E7F48" w:rsidRDefault="003534DD" w:rsidP="000E7F48">
      <w:pPr>
        <w:pStyle w:val="ListParagraph"/>
        <w:numPr>
          <w:ilvl w:val="0"/>
          <w:numId w:val="20"/>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Committee urges the SecDef and Chief SANDF to urgently speed up the investigations of irregular, fruitless and wasteful expenditure and enhance Consequence Management in this regard. The Committee also undertakes to have further engagements with the DOD on these investigations.</w:t>
      </w:r>
    </w:p>
    <w:p w:rsidR="00A26542" w:rsidRPr="000E7F48" w:rsidRDefault="00A26542" w:rsidP="000E7F48">
      <w:pPr>
        <w:spacing w:after="0" w:line="240" w:lineRule="auto"/>
        <w:rPr>
          <w:rFonts w:ascii="Arial" w:hAnsi="Arial" w:cs="Arial"/>
          <w:sz w:val="20"/>
          <w:szCs w:val="20"/>
        </w:rPr>
      </w:pPr>
    </w:p>
    <w:p w:rsidR="00A26542" w:rsidRPr="000E7F48" w:rsidRDefault="00A26542" w:rsidP="000E7F48">
      <w:pPr>
        <w:spacing w:after="0" w:line="240" w:lineRule="auto"/>
        <w:rPr>
          <w:rFonts w:ascii="Arial" w:hAnsi="Arial" w:cs="Arial"/>
          <w:sz w:val="20"/>
          <w:szCs w:val="20"/>
        </w:rPr>
      </w:pPr>
    </w:p>
    <w:p w:rsidR="00A26542" w:rsidRPr="000E7F48" w:rsidRDefault="00A26542" w:rsidP="000E7F48">
      <w:pPr>
        <w:spacing w:after="0" w:line="240" w:lineRule="auto"/>
        <w:rPr>
          <w:rFonts w:ascii="Arial" w:hAnsi="Arial" w:cs="Arial"/>
          <w:sz w:val="20"/>
          <w:szCs w:val="20"/>
        </w:rPr>
      </w:pPr>
    </w:p>
    <w:p w:rsidR="001976C6" w:rsidRPr="000E7F48" w:rsidRDefault="001976C6" w:rsidP="000E7F48">
      <w:pPr>
        <w:spacing w:after="0" w:line="240" w:lineRule="auto"/>
        <w:rPr>
          <w:rFonts w:ascii="Arial" w:hAnsi="Arial" w:cs="Arial"/>
          <w:sz w:val="20"/>
          <w:szCs w:val="20"/>
        </w:rPr>
      </w:pPr>
    </w:p>
    <w:p w:rsidR="00194FC2" w:rsidRPr="000E7F48" w:rsidRDefault="00284707"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3</w:t>
      </w:r>
      <w:r w:rsidR="00194FC2" w:rsidRPr="000E7F48">
        <w:rPr>
          <w:rFonts w:ascii="Arial" w:eastAsia="Times New Roman" w:hAnsi="Arial" w:cs="Arial"/>
          <w:b/>
          <w:color w:val="000000"/>
          <w:spacing w:val="6"/>
          <w:sz w:val="20"/>
          <w:szCs w:val="20"/>
          <w:lang w:val="en-GB" w:eastAsia="en-GB"/>
        </w:rPr>
        <w:t>.</w:t>
      </w:r>
      <w:r w:rsidR="00194FC2" w:rsidRPr="000E7F48">
        <w:rPr>
          <w:rFonts w:ascii="Arial" w:eastAsia="Times New Roman" w:hAnsi="Arial" w:cs="Arial"/>
          <w:b/>
          <w:color w:val="000000"/>
          <w:spacing w:val="6"/>
          <w:sz w:val="20"/>
          <w:szCs w:val="20"/>
          <w:lang w:val="en-GB" w:eastAsia="en-GB"/>
        </w:rPr>
        <w:tab/>
        <w:t xml:space="preserve">DEPARTMENT OF DEFENCE </w:t>
      </w:r>
      <w:r w:rsidR="00A34A1E" w:rsidRPr="000E7F48">
        <w:rPr>
          <w:rFonts w:ascii="Arial" w:eastAsia="Times New Roman" w:hAnsi="Arial" w:cs="Arial"/>
          <w:b/>
          <w:color w:val="000000"/>
          <w:spacing w:val="6"/>
          <w:sz w:val="20"/>
          <w:szCs w:val="20"/>
          <w:lang w:val="en-GB" w:eastAsia="en-GB"/>
        </w:rPr>
        <w:t>ANNUAL PERFORMANCE PLAN 202</w:t>
      </w:r>
      <w:r w:rsidR="003534DD" w:rsidRPr="000E7F48">
        <w:rPr>
          <w:rFonts w:ascii="Arial" w:eastAsia="Times New Roman" w:hAnsi="Arial" w:cs="Arial"/>
          <w:b/>
          <w:color w:val="000000"/>
          <w:spacing w:val="6"/>
          <w:sz w:val="20"/>
          <w:szCs w:val="20"/>
          <w:lang w:val="en-GB" w:eastAsia="en-GB"/>
        </w:rPr>
        <w:t>3</w:t>
      </w:r>
      <w:r w:rsidR="00A34A1E" w:rsidRPr="000E7F48">
        <w:rPr>
          <w:rFonts w:ascii="Arial" w:eastAsia="Times New Roman" w:hAnsi="Arial" w:cs="Arial"/>
          <w:b/>
          <w:color w:val="000000"/>
          <w:spacing w:val="6"/>
          <w:sz w:val="20"/>
          <w:szCs w:val="20"/>
          <w:lang w:val="en-GB" w:eastAsia="en-GB"/>
        </w:rPr>
        <w:t xml:space="preserve"> </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8677EC" w:rsidRPr="000E7F48" w:rsidRDefault="008677E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3.1</w:t>
      </w:r>
      <w:r w:rsidRPr="000E7F48">
        <w:rPr>
          <w:rFonts w:ascii="Arial" w:eastAsia="Times New Roman" w:hAnsi="Arial" w:cs="Arial"/>
          <w:b/>
          <w:color w:val="000000"/>
          <w:spacing w:val="6"/>
          <w:sz w:val="20"/>
          <w:szCs w:val="20"/>
          <w:lang w:val="en-GB" w:eastAsia="en-GB"/>
        </w:rPr>
        <w:tab/>
        <w:t>DOD legislative developments</w:t>
      </w:r>
    </w:p>
    <w:p w:rsidR="008677EC" w:rsidRPr="000E7F48" w:rsidRDefault="008677EC" w:rsidP="000E7F48">
      <w:pPr>
        <w:spacing w:after="0" w:line="240" w:lineRule="auto"/>
        <w:rPr>
          <w:rFonts w:ascii="Arial" w:eastAsia="Times New Roman" w:hAnsi="Arial" w:cs="Arial"/>
          <w:color w:val="000000"/>
          <w:spacing w:val="6"/>
          <w:sz w:val="20"/>
          <w:szCs w:val="20"/>
          <w:lang w:val="en-GB" w:eastAsia="en-GB"/>
        </w:rPr>
      </w:pPr>
    </w:p>
    <w:p w:rsidR="008677EC" w:rsidRPr="000E7F48" w:rsidRDefault="00194FC2"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The </w:t>
      </w:r>
      <w:r w:rsidR="00D32623" w:rsidRPr="000E7F48">
        <w:rPr>
          <w:rFonts w:ascii="Arial" w:eastAsia="Times New Roman" w:hAnsi="Arial" w:cs="Arial"/>
          <w:color w:val="000000"/>
          <w:spacing w:val="6"/>
          <w:sz w:val="20"/>
          <w:szCs w:val="20"/>
          <w:lang w:val="en-GB" w:eastAsia="en-GB"/>
        </w:rPr>
        <w:t>202</w:t>
      </w:r>
      <w:r w:rsidR="003534DD" w:rsidRPr="000E7F48">
        <w:rPr>
          <w:rFonts w:ascii="Arial" w:eastAsia="Times New Roman" w:hAnsi="Arial" w:cs="Arial"/>
          <w:color w:val="000000"/>
          <w:spacing w:val="6"/>
          <w:sz w:val="20"/>
          <w:szCs w:val="20"/>
          <w:lang w:val="en-GB" w:eastAsia="en-GB"/>
        </w:rPr>
        <w:t>3</w:t>
      </w:r>
      <w:r w:rsidR="00D32623" w:rsidRPr="000E7F48">
        <w:rPr>
          <w:rFonts w:ascii="Arial" w:eastAsia="Times New Roman" w:hAnsi="Arial" w:cs="Arial"/>
          <w:color w:val="000000"/>
          <w:spacing w:val="6"/>
          <w:sz w:val="20"/>
          <w:szCs w:val="20"/>
          <w:lang w:val="en-GB" w:eastAsia="en-GB"/>
        </w:rPr>
        <w:t xml:space="preserve"> </w:t>
      </w:r>
      <w:r w:rsidRPr="000E7F48">
        <w:rPr>
          <w:rFonts w:ascii="Arial" w:eastAsia="Times New Roman" w:hAnsi="Arial" w:cs="Arial"/>
          <w:color w:val="000000"/>
          <w:spacing w:val="6"/>
          <w:sz w:val="20"/>
          <w:szCs w:val="20"/>
          <w:lang w:val="en-GB" w:eastAsia="en-GB"/>
        </w:rPr>
        <w:t xml:space="preserve">DOD </w:t>
      </w:r>
      <w:r w:rsidR="00D32623" w:rsidRPr="000E7F48">
        <w:rPr>
          <w:rFonts w:ascii="Arial" w:eastAsia="Times New Roman" w:hAnsi="Arial" w:cs="Arial"/>
          <w:color w:val="000000"/>
          <w:spacing w:val="6"/>
          <w:sz w:val="20"/>
          <w:szCs w:val="20"/>
          <w:lang w:val="en-GB" w:eastAsia="en-GB"/>
        </w:rPr>
        <w:t>APP</w:t>
      </w:r>
      <w:r w:rsidRPr="000E7F48">
        <w:rPr>
          <w:rFonts w:ascii="Arial" w:eastAsia="Times New Roman" w:hAnsi="Arial" w:cs="Arial"/>
          <w:color w:val="000000"/>
          <w:spacing w:val="6"/>
          <w:sz w:val="20"/>
          <w:szCs w:val="20"/>
          <w:lang w:val="en-GB" w:eastAsia="en-GB"/>
        </w:rPr>
        <w:t xml:space="preserve"> </w:t>
      </w:r>
      <w:r w:rsidR="008852E7" w:rsidRPr="000E7F48">
        <w:rPr>
          <w:rFonts w:ascii="Arial" w:eastAsia="Times New Roman" w:hAnsi="Arial" w:cs="Arial"/>
          <w:color w:val="000000"/>
          <w:spacing w:val="6"/>
          <w:sz w:val="20"/>
          <w:szCs w:val="20"/>
          <w:lang w:val="en-GB" w:eastAsia="en-GB"/>
        </w:rPr>
        <w:t>co</w:t>
      </w:r>
      <w:r w:rsidR="00C07853" w:rsidRPr="000E7F48">
        <w:rPr>
          <w:rFonts w:ascii="Arial" w:eastAsia="Times New Roman" w:hAnsi="Arial" w:cs="Arial"/>
          <w:color w:val="000000"/>
          <w:spacing w:val="6"/>
          <w:sz w:val="20"/>
          <w:szCs w:val="20"/>
          <w:lang w:val="en-GB" w:eastAsia="en-GB"/>
        </w:rPr>
        <w:t xml:space="preserve">mmences with </w:t>
      </w:r>
      <w:r w:rsidR="008677EC" w:rsidRPr="000E7F48">
        <w:rPr>
          <w:rFonts w:ascii="Arial" w:eastAsia="Times New Roman" w:hAnsi="Arial" w:cs="Arial"/>
          <w:color w:val="000000"/>
          <w:spacing w:val="6"/>
          <w:sz w:val="20"/>
          <w:szCs w:val="20"/>
          <w:lang w:val="en-GB" w:eastAsia="en-GB"/>
        </w:rPr>
        <w:t xml:space="preserve">the departmental mandate, organisational values as well as the constitutional and legislative directives of the Department. In legislative developments, the DOD notes that the Draft Military Discipline Bill will be submitted to Parliament before the end of 2023/24. Similarly, the drafting of regulations supporting sections of the Defence Amendment Act (No 6 of 2020) is under way and </w:t>
      </w:r>
      <w:r w:rsidR="008677EC" w:rsidRPr="000E7F48">
        <w:rPr>
          <w:rFonts w:ascii="Arial" w:eastAsia="Times New Roman" w:hAnsi="Arial" w:cs="Arial"/>
          <w:color w:val="000000"/>
          <w:spacing w:val="6"/>
          <w:sz w:val="20"/>
          <w:szCs w:val="20"/>
          <w:lang w:eastAsia="en-GB"/>
        </w:rPr>
        <w:t>it is envisaged that the implementation of this Act, through the departmental legal processes, will commence in 2023/24.</w:t>
      </w:r>
    </w:p>
    <w:p w:rsidR="00C07853" w:rsidRPr="000E7F48" w:rsidRDefault="00C07853"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284707" w:rsidP="000E7F48">
      <w:pPr>
        <w:spacing w:after="0" w:line="240" w:lineRule="auto"/>
        <w:outlineLvl w:val="0"/>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3</w:t>
      </w:r>
      <w:r w:rsidR="00194FC2" w:rsidRPr="000E7F48">
        <w:rPr>
          <w:rFonts w:ascii="Arial" w:eastAsia="Times New Roman" w:hAnsi="Arial" w:cs="Arial"/>
          <w:b/>
          <w:color w:val="000000"/>
          <w:spacing w:val="6"/>
          <w:sz w:val="20"/>
          <w:szCs w:val="20"/>
          <w:lang w:val="en-GB" w:eastAsia="en-GB"/>
        </w:rPr>
        <w:t>.1</w:t>
      </w:r>
      <w:r w:rsidR="00194FC2" w:rsidRPr="000E7F48">
        <w:rPr>
          <w:rFonts w:ascii="Arial" w:eastAsia="Times New Roman" w:hAnsi="Arial" w:cs="Arial"/>
          <w:b/>
          <w:color w:val="000000"/>
          <w:spacing w:val="6"/>
          <w:sz w:val="20"/>
          <w:szCs w:val="20"/>
          <w:lang w:val="en-GB" w:eastAsia="en-GB"/>
        </w:rPr>
        <w:tab/>
        <w:t xml:space="preserve">DOD Policies and Strategies </w:t>
      </w:r>
    </w:p>
    <w:p w:rsidR="00194FC2" w:rsidRPr="000E7F48" w:rsidRDefault="00194FC2" w:rsidP="000E7F48">
      <w:pPr>
        <w:spacing w:after="0" w:line="240" w:lineRule="auto"/>
        <w:outlineLvl w:val="0"/>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outlineLvl w:val="0"/>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Policies and Strategies include the White Paper on Defence of 1996, the 2015 Defence Review, the DOD Strategy, the Military Strategy as well as the Defence Secretariat Strategy. It explains the 2015 Defence Review further by referring to the three defence strategic policy trajectory options namely:</w:t>
      </w:r>
    </w:p>
    <w:p w:rsidR="00194FC2" w:rsidRPr="000E7F48" w:rsidRDefault="00194FC2" w:rsidP="000E7F48">
      <w:pPr>
        <w:numPr>
          <w:ilvl w:val="0"/>
          <w:numId w:val="6"/>
        </w:numPr>
        <w:autoSpaceDE w:val="0"/>
        <w:autoSpaceDN w:val="0"/>
        <w:adjustRightInd w:val="0"/>
        <w:spacing w:after="0" w:line="240" w:lineRule="auto"/>
        <w:contextualSpacing/>
        <w:rPr>
          <w:rFonts w:ascii="Arial" w:eastAsia="Times New Roman" w:hAnsi="Arial" w:cs="Arial"/>
          <w:i/>
          <w:iCs/>
          <w:sz w:val="20"/>
          <w:szCs w:val="20"/>
          <w:lang w:val="en-GB"/>
        </w:rPr>
      </w:pPr>
      <w:r w:rsidRPr="000E7F48">
        <w:rPr>
          <w:rFonts w:ascii="Arial" w:eastAsia="Times New Roman" w:hAnsi="Arial" w:cs="Arial"/>
          <w:sz w:val="20"/>
          <w:szCs w:val="20"/>
          <w:lang w:val="en-GB"/>
        </w:rPr>
        <w:t xml:space="preserve">Option 1. </w:t>
      </w:r>
      <w:r w:rsidRPr="000E7F48">
        <w:rPr>
          <w:rFonts w:ascii="Arial" w:eastAsia="Times New Roman" w:hAnsi="Arial" w:cs="Arial"/>
          <w:i/>
          <w:iCs/>
          <w:sz w:val="20"/>
          <w:szCs w:val="20"/>
          <w:lang w:val="en-GB"/>
        </w:rPr>
        <w:t>“</w:t>
      </w:r>
      <w:r w:rsidR="008677EC" w:rsidRPr="000E7F48">
        <w:rPr>
          <w:rFonts w:ascii="Arial" w:eastAsia="Times New Roman" w:hAnsi="Arial" w:cs="Arial"/>
          <w:i/>
          <w:iCs/>
          <w:sz w:val="20"/>
          <w:szCs w:val="20"/>
        </w:rPr>
        <w:t>Optimise Defence within constraints</w:t>
      </w:r>
      <w:r w:rsidRPr="000E7F48">
        <w:rPr>
          <w:rFonts w:ascii="Arial" w:eastAsia="Times New Roman" w:hAnsi="Arial" w:cs="Arial"/>
          <w:i/>
          <w:iCs/>
          <w:sz w:val="20"/>
          <w:szCs w:val="20"/>
          <w:lang w:val="en-GB"/>
        </w:rPr>
        <w:t>”.</w:t>
      </w:r>
    </w:p>
    <w:p w:rsidR="00194FC2" w:rsidRPr="000E7F48" w:rsidRDefault="00194FC2" w:rsidP="000E7F48">
      <w:pPr>
        <w:numPr>
          <w:ilvl w:val="0"/>
          <w:numId w:val="6"/>
        </w:numPr>
        <w:autoSpaceDE w:val="0"/>
        <w:autoSpaceDN w:val="0"/>
        <w:adjustRightInd w:val="0"/>
        <w:spacing w:after="0" w:line="240" w:lineRule="auto"/>
        <w:contextualSpacing/>
        <w:rPr>
          <w:rFonts w:ascii="Arial" w:eastAsia="Times New Roman" w:hAnsi="Arial" w:cs="Arial"/>
          <w:i/>
          <w:iCs/>
          <w:sz w:val="20"/>
          <w:szCs w:val="20"/>
          <w:lang w:val="en-GB"/>
        </w:rPr>
      </w:pPr>
      <w:r w:rsidRPr="000E7F48">
        <w:rPr>
          <w:rFonts w:ascii="Arial" w:eastAsia="Times New Roman" w:hAnsi="Arial" w:cs="Arial"/>
          <w:sz w:val="20"/>
          <w:szCs w:val="20"/>
          <w:lang w:val="en-GB"/>
        </w:rPr>
        <w:t xml:space="preserve">Option 2. </w:t>
      </w:r>
      <w:r w:rsidRPr="000E7F48">
        <w:rPr>
          <w:rFonts w:ascii="Arial" w:eastAsia="Times New Roman" w:hAnsi="Arial" w:cs="Arial"/>
          <w:i/>
          <w:iCs/>
          <w:sz w:val="20"/>
          <w:szCs w:val="20"/>
          <w:lang w:val="en-GB"/>
        </w:rPr>
        <w:t>“</w:t>
      </w:r>
      <w:r w:rsidR="008677EC" w:rsidRPr="000E7F48">
        <w:rPr>
          <w:rFonts w:ascii="Arial" w:eastAsia="Times New Roman" w:hAnsi="Arial" w:cs="Arial"/>
          <w:i/>
          <w:iCs/>
          <w:sz w:val="20"/>
          <w:szCs w:val="20"/>
        </w:rPr>
        <w:t>Grow Defence independently</w:t>
      </w:r>
      <w:r w:rsidRPr="000E7F48">
        <w:rPr>
          <w:rFonts w:ascii="Arial" w:eastAsia="Times New Roman" w:hAnsi="Arial" w:cs="Arial"/>
          <w:i/>
          <w:iCs/>
          <w:sz w:val="20"/>
          <w:szCs w:val="20"/>
          <w:lang w:val="en-GB"/>
        </w:rPr>
        <w:t>”.</w:t>
      </w:r>
    </w:p>
    <w:p w:rsidR="00194FC2" w:rsidRPr="000E7F48" w:rsidRDefault="00194FC2" w:rsidP="000E7F48">
      <w:pPr>
        <w:numPr>
          <w:ilvl w:val="0"/>
          <w:numId w:val="6"/>
        </w:numPr>
        <w:autoSpaceDE w:val="0"/>
        <w:autoSpaceDN w:val="0"/>
        <w:adjustRightInd w:val="0"/>
        <w:spacing w:after="0" w:line="240" w:lineRule="auto"/>
        <w:contextualSpacing/>
        <w:rPr>
          <w:rFonts w:ascii="Arial" w:eastAsia="Times New Roman" w:hAnsi="Arial" w:cs="Arial"/>
          <w:i/>
          <w:iCs/>
          <w:sz w:val="20"/>
          <w:szCs w:val="20"/>
          <w:lang w:val="en-GB"/>
        </w:rPr>
      </w:pPr>
      <w:r w:rsidRPr="000E7F48">
        <w:rPr>
          <w:rFonts w:ascii="Arial" w:eastAsia="Times New Roman" w:hAnsi="Arial" w:cs="Arial"/>
          <w:sz w:val="20"/>
          <w:szCs w:val="20"/>
          <w:lang w:val="en-GB"/>
        </w:rPr>
        <w:t xml:space="preserve">Option 3. </w:t>
      </w:r>
      <w:r w:rsidRPr="000E7F48">
        <w:rPr>
          <w:rFonts w:ascii="Arial" w:eastAsia="Times New Roman" w:hAnsi="Arial" w:cs="Arial"/>
          <w:i/>
          <w:iCs/>
          <w:sz w:val="20"/>
          <w:szCs w:val="20"/>
          <w:lang w:val="en-GB"/>
        </w:rPr>
        <w:t>“</w:t>
      </w:r>
      <w:r w:rsidR="008677EC" w:rsidRPr="000E7F48">
        <w:rPr>
          <w:rFonts w:ascii="Arial" w:eastAsia="Times New Roman" w:hAnsi="Arial" w:cs="Arial"/>
          <w:i/>
          <w:iCs/>
          <w:sz w:val="20"/>
          <w:szCs w:val="20"/>
        </w:rPr>
        <w:t>Develop Defence through strategic partnerships</w:t>
      </w:r>
      <w:r w:rsidRPr="000E7F48">
        <w:rPr>
          <w:rFonts w:ascii="Arial" w:eastAsia="Times New Roman" w:hAnsi="Arial" w:cs="Arial"/>
          <w:i/>
          <w:iCs/>
          <w:sz w:val="20"/>
          <w:szCs w:val="20"/>
          <w:lang w:val="en-GB"/>
        </w:rPr>
        <w:t>”.</w:t>
      </w:r>
    </w:p>
    <w:p w:rsidR="00194FC2" w:rsidRPr="000E7F48" w:rsidRDefault="00194FC2" w:rsidP="000E7F48">
      <w:pPr>
        <w:autoSpaceDE w:val="0"/>
        <w:autoSpaceDN w:val="0"/>
        <w:adjustRightInd w:val="0"/>
        <w:spacing w:after="0" w:line="240" w:lineRule="auto"/>
        <w:rPr>
          <w:rFonts w:ascii="Arial" w:eastAsia="Times New Roman" w:hAnsi="Arial" w:cs="Arial"/>
          <w:color w:val="000000"/>
          <w:spacing w:val="6"/>
          <w:sz w:val="20"/>
          <w:szCs w:val="20"/>
          <w:lang w:val="en-GB" w:eastAsia="en-GB"/>
        </w:rPr>
      </w:pPr>
    </w:p>
    <w:p w:rsidR="00194FC2" w:rsidRPr="000E7F48" w:rsidRDefault="00194FC2" w:rsidP="000E7F48">
      <w:pPr>
        <w:autoSpaceDE w:val="0"/>
        <w:autoSpaceDN w:val="0"/>
        <w:adjustRightInd w:val="0"/>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Defence Strategic Policy Option 2 was selected, approved and endorsed by Cabinet and Parliament respectively. </w:t>
      </w:r>
      <w:r w:rsidR="008677EC" w:rsidRPr="000E7F48">
        <w:rPr>
          <w:rFonts w:ascii="Arial" w:eastAsia="Times New Roman" w:hAnsi="Arial" w:cs="Arial"/>
          <w:color w:val="000000"/>
          <w:spacing w:val="6"/>
          <w:sz w:val="20"/>
          <w:szCs w:val="20"/>
          <w:lang w:val="en-GB" w:eastAsia="en-GB"/>
        </w:rPr>
        <w:t>Subsequently, five ‘work packages’ were developed to arrest the decline of the SANDF as follows:</w:t>
      </w:r>
    </w:p>
    <w:p w:rsidR="008677EC" w:rsidRPr="000E7F48" w:rsidRDefault="008677EC" w:rsidP="000E7F48">
      <w:pPr>
        <w:pStyle w:val="ListParagraph"/>
        <w:numPr>
          <w:ilvl w:val="0"/>
          <w:numId w:val="31"/>
        </w:numPr>
        <w:autoSpaceDE w:val="0"/>
        <w:autoSpaceDN w:val="0"/>
        <w:adjustRightInd w:val="0"/>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Work package 1: </w:t>
      </w:r>
      <w:r w:rsidRPr="000E7F48">
        <w:rPr>
          <w:rFonts w:ascii="Arial" w:hAnsi="Arial" w:cs="Arial"/>
          <w:color w:val="000000"/>
          <w:spacing w:val="6"/>
          <w:sz w:val="20"/>
          <w:szCs w:val="20"/>
          <w:lang w:val="en-ZA" w:eastAsia="en-GB"/>
        </w:rPr>
        <w:t>Critical Organisational and Efficiency Interventions. Required to improve efficiency and effectiveness within the DOD and to establish possible additional funding opportunities.</w:t>
      </w:r>
    </w:p>
    <w:p w:rsidR="008677EC" w:rsidRPr="000E7F48" w:rsidRDefault="008677EC" w:rsidP="000E7F48">
      <w:pPr>
        <w:pStyle w:val="ListParagraph"/>
        <w:numPr>
          <w:ilvl w:val="0"/>
          <w:numId w:val="31"/>
        </w:numPr>
        <w:autoSpaceDE w:val="0"/>
        <w:autoSpaceDN w:val="0"/>
        <w:adjustRightInd w:val="0"/>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Work package 2: </w:t>
      </w:r>
      <w:r w:rsidRPr="000E7F48">
        <w:rPr>
          <w:rFonts w:ascii="Arial" w:hAnsi="Arial" w:cs="Arial"/>
          <w:color w:val="000000"/>
          <w:spacing w:val="6"/>
          <w:sz w:val="20"/>
          <w:szCs w:val="20"/>
          <w:lang w:val="en-ZA" w:eastAsia="en-GB"/>
        </w:rPr>
        <w:t>Functional Strategic Intents, Strategies and Plans. Developing the strategic intents, strategies and plans that will guide the DOD toward achieving DR2015.</w:t>
      </w:r>
    </w:p>
    <w:p w:rsidR="008677EC" w:rsidRPr="000E7F48" w:rsidRDefault="008677EC" w:rsidP="000E7F48">
      <w:pPr>
        <w:pStyle w:val="ListParagraph"/>
        <w:numPr>
          <w:ilvl w:val="0"/>
          <w:numId w:val="31"/>
        </w:numPr>
        <w:autoSpaceDE w:val="0"/>
        <w:autoSpaceDN w:val="0"/>
        <w:adjustRightInd w:val="0"/>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lastRenderedPageBreak/>
        <w:t xml:space="preserve">Work package 3: </w:t>
      </w:r>
      <w:r w:rsidRPr="000E7F48">
        <w:rPr>
          <w:rFonts w:ascii="Arial" w:hAnsi="Arial" w:cs="Arial"/>
          <w:color w:val="000000"/>
          <w:spacing w:val="6"/>
          <w:sz w:val="20"/>
          <w:szCs w:val="20"/>
          <w:lang w:val="en-ZA" w:eastAsia="en-GB"/>
        </w:rPr>
        <w:t>Capital Interventions for Priority Sustainment System. Enhancing priority sustainment systems in order that present operational force levels can be maintained.</w:t>
      </w:r>
    </w:p>
    <w:p w:rsidR="008677EC" w:rsidRPr="000E7F48" w:rsidRDefault="008677EC" w:rsidP="000E7F48">
      <w:pPr>
        <w:pStyle w:val="ListParagraph"/>
        <w:numPr>
          <w:ilvl w:val="0"/>
          <w:numId w:val="31"/>
        </w:numPr>
        <w:autoSpaceDE w:val="0"/>
        <w:autoSpaceDN w:val="0"/>
        <w:adjustRightInd w:val="0"/>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Work package 4: </w:t>
      </w:r>
      <w:r w:rsidRPr="000E7F48">
        <w:rPr>
          <w:rFonts w:ascii="Arial" w:hAnsi="Arial" w:cs="Arial"/>
          <w:color w:val="000000"/>
          <w:spacing w:val="6"/>
          <w:sz w:val="20"/>
          <w:szCs w:val="20"/>
          <w:lang w:val="en-ZA" w:eastAsia="en-GB"/>
        </w:rPr>
        <w:t>Capital Interventions for Priority Capabilities. Enhancing particular priority operational capabilities.</w:t>
      </w:r>
    </w:p>
    <w:p w:rsidR="008677EC" w:rsidRPr="000E7F48" w:rsidRDefault="008677EC" w:rsidP="000E7F48">
      <w:pPr>
        <w:pStyle w:val="ListParagraph"/>
        <w:numPr>
          <w:ilvl w:val="0"/>
          <w:numId w:val="31"/>
        </w:numPr>
        <w:autoSpaceDE w:val="0"/>
        <w:autoSpaceDN w:val="0"/>
        <w:adjustRightInd w:val="0"/>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Work package 5: </w:t>
      </w:r>
      <w:r w:rsidRPr="000E7F48">
        <w:rPr>
          <w:rFonts w:ascii="Arial" w:hAnsi="Arial" w:cs="Arial"/>
          <w:color w:val="000000"/>
          <w:spacing w:val="6"/>
          <w:sz w:val="20"/>
          <w:szCs w:val="20"/>
          <w:lang w:val="en-ZA" w:eastAsia="en-GB"/>
        </w:rPr>
        <w:t>Deliverables to Maintain Comprehensive Defence Capabilities. Maintaining comprehensive defence capabilities to ensure sustainable growth.</w:t>
      </w:r>
    </w:p>
    <w:p w:rsidR="00194FC2" w:rsidRPr="000E7F48" w:rsidRDefault="00194FC2" w:rsidP="000E7F48">
      <w:pPr>
        <w:spacing w:after="0" w:line="240" w:lineRule="auto"/>
        <w:contextualSpacing/>
        <w:outlineLvl w:val="0"/>
        <w:rPr>
          <w:rFonts w:ascii="Arial" w:eastAsia="Times New Roman" w:hAnsi="Arial" w:cs="Arial"/>
          <w:b/>
          <w:sz w:val="20"/>
          <w:szCs w:val="20"/>
          <w:lang w:val="en-GB"/>
        </w:rPr>
      </w:pPr>
    </w:p>
    <w:p w:rsidR="008677EC" w:rsidRPr="000E7F48" w:rsidRDefault="008677EC" w:rsidP="000E7F48">
      <w:pPr>
        <w:spacing w:after="0" w:line="240" w:lineRule="auto"/>
        <w:contextualSpacing/>
        <w:outlineLvl w:val="0"/>
        <w:rPr>
          <w:rFonts w:ascii="Arial" w:eastAsia="Times New Roman" w:hAnsi="Arial" w:cs="Arial"/>
          <w:sz w:val="20"/>
          <w:szCs w:val="20"/>
        </w:rPr>
      </w:pPr>
      <w:r w:rsidRPr="000E7F48">
        <w:rPr>
          <w:rFonts w:ascii="Arial" w:eastAsia="Times New Roman" w:hAnsi="Arial" w:cs="Arial"/>
          <w:sz w:val="20"/>
          <w:szCs w:val="20"/>
        </w:rPr>
        <w:t>The “Plan to Arrest the Decline”, has not been realised. However, not only was the fiscal allocation not realised, the year-on-year reductions have exacerbated the defence decline with the cost-driven interventions not realised, and the non-cost interventions compromised. The SA Defence Review 2015 will not be achieved during the 2019-2024 MTSF. The Minister ordered a review of the 2015 Defence Review to be completed in 2023/24.</w:t>
      </w:r>
    </w:p>
    <w:p w:rsidR="008677EC" w:rsidRPr="000E7F48" w:rsidRDefault="008677EC" w:rsidP="000E7F48">
      <w:pPr>
        <w:spacing w:after="0" w:line="240" w:lineRule="auto"/>
        <w:rPr>
          <w:rFonts w:ascii="Arial" w:hAnsi="Arial" w:cs="Arial"/>
          <w:sz w:val="20"/>
          <w:szCs w:val="20"/>
          <w:lang w:val="en-GB"/>
        </w:rPr>
      </w:pPr>
    </w:p>
    <w:p w:rsidR="00194FC2" w:rsidRPr="000E7F48" w:rsidRDefault="00284707" w:rsidP="000E7F48">
      <w:pPr>
        <w:spacing w:after="0" w:line="240" w:lineRule="auto"/>
        <w:outlineLvl w:val="0"/>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3</w:t>
      </w:r>
      <w:r w:rsidR="00194FC2" w:rsidRPr="000E7F48">
        <w:rPr>
          <w:rFonts w:ascii="Arial" w:eastAsia="Times New Roman" w:hAnsi="Arial" w:cs="Arial"/>
          <w:b/>
          <w:color w:val="000000"/>
          <w:spacing w:val="6"/>
          <w:sz w:val="20"/>
          <w:szCs w:val="20"/>
          <w:lang w:val="en-GB" w:eastAsia="en-GB"/>
        </w:rPr>
        <w:t>.2</w:t>
      </w:r>
      <w:r w:rsidR="00194FC2" w:rsidRPr="000E7F48">
        <w:rPr>
          <w:rFonts w:ascii="Arial" w:eastAsia="Times New Roman" w:hAnsi="Arial" w:cs="Arial"/>
          <w:b/>
          <w:color w:val="000000"/>
          <w:spacing w:val="6"/>
          <w:sz w:val="20"/>
          <w:szCs w:val="20"/>
          <w:lang w:val="en-GB" w:eastAsia="en-GB"/>
        </w:rPr>
        <w:tab/>
      </w:r>
      <w:r w:rsidR="00D90E2C" w:rsidRPr="000E7F48">
        <w:rPr>
          <w:rFonts w:ascii="Arial" w:eastAsia="Times New Roman" w:hAnsi="Arial" w:cs="Arial"/>
          <w:b/>
          <w:color w:val="000000"/>
          <w:spacing w:val="6"/>
          <w:sz w:val="20"/>
          <w:szCs w:val="20"/>
          <w:lang w:val="en-GB" w:eastAsia="en-GB"/>
        </w:rPr>
        <w:t xml:space="preserve">Summary of the </w:t>
      </w:r>
      <w:r w:rsidR="00194FC2" w:rsidRPr="000E7F48">
        <w:rPr>
          <w:rFonts w:ascii="Arial" w:eastAsia="Times New Roman" w:hAnsi="Arial" w:cs="Arial"/>
          <w:b/>
          <w:color w:val="000000"/>
          <w:spacing w:val="6"/>
          <w:sz w:val="20"/>
          <w:szCs w:val="20"/>
          <w:lang w:val="en-GB" w:eastAsia="en-GB"/>
        </w:rPr>
        <w:t xml:space="preserve">DOD </w:t>
      </w:r>
      <w:r w:rsidR="00082EE9" w:rsidRPr="000E7F48">
        <w:rPr>
          <w:rFonts w:ascii="Arial" w:eastAsia="Times New Roman" w:hAnsi="Arial" w:cs="Arial"/>
          <w:b/>
          <w:color w:val="000000"/>
          <w:spacing w:val="6"/>
          <w:sz w:val="20"/>
          <w:szCs w:val="20"/>
          <w:lang w:val="en-GB" w:eastAsia="en-GB"/>
        </w:rPr>
        <w:t>situational analysis</w:t>
      </w:r>
      <w:r w:rsidR="00D90E2C" w:rsidRPr="000E7F48">
        <w:rPr>
          <w:rFonts w:ascii="Arial" w:eastAsia="Times New Roman" w:hAnsi="Arial" w:cs="Arial"/>
          <w:b/>
          <w:color w:val="000000"/>
          <w:spacing w:val="6"/>
          <w:sz w:val="20"/>
          <w:szCs w:val="20"/>
          <w:lang w:val="en-GB" w:eastAsia="en-GB"/>
        </w:rPr>
        <w:t xml:space="preserve"> for 2023/24</w:t>
      </w:r>
    </w:p>
    <w:p w:rsidR="00194FC2" w:rsidRPr="000E7F48" w:rsidRDefault="00194FC2" w:rsidP="000E7F48">
      <w:pPr>
        <w:autoSpaceDE w:val="0"/>
        <w:autoSpaceDN w:val="0"/>
        <w:adjustRightInd w:val="0"/>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autoSpaceDE w:val="0"/>
        <w:autoSpaceDN w:val="0"/>
        <w:adjustRightInd w:val="0"/>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departmental situational analysis provides insight into both the evolving external and internal departmental dimensions that impact on the outcomes and outputs of the DOD. The matters identified in the situational analysis are a product of the departmental planning process that has taken also into consideration the 20</w:t>
      </w:r>
      <w:r w:rsidR="00D90E2C" w:rsidRPr="000E7F48">
        <w:rPr>
          <w:rFonts w:ascii="Arial" w:eastAsia="Times New Roman" w:hAnsi="Arial" w:cs="Arial"/>
          <w:color w:val="000000"/>
          <w:spacing w:val="6"/>
          <w:sz w:val="20"/>
          <w:szCs w:val="20"/>
          <w:lang w:val="en-GB" w:eastAsia="en-GB"/>
        </w:rPr>
        <w:t>19-2024 MTSF priorities.</w:t>
      </w:r>
    </w:p>
    <w:p w:rsidR="00000ABE" w:rsidRPr="000E7F48" w:rsidRDefault="00000ABE" w:rsidP="000E7F48">
      <w:pPr>
        <w:spacing w:after="0" w:line="240" w:lineRule="auto"/>
        <w:rPr>
          <w:rFonts w:ascii="Arial" w:hAnsi="Arial" w:cs="Arial"/>
          <w:sz w:val="20"/>
          <w:szCs w:val="20"/>
          <w:lang w:val="en-GB" w:eastAsia="en-GB"/>
        </w:rPr>
      </w:pPr>
    </w:p>
    <w:p w:rsidR="00194FC2" w:rsidRPr="000E7F48" w:rsidRDefault="00D90E2C" w:rsidP="000E7F48">
      <w:pPr>
        <w:spacing w:after="0" w:line="240" w:lineRule="auto"/>
        <w:rPr>
          <w:rFonts w:ascii="Arial" w:hAnsi="Arial" w:cs="Arial"/>
          <w:sz w:val="20"/>
          <w:szCs w:val="20"/>
          <w:lang w:val="en-GB" w:eastAsia="en-GB"/>
        </w:rPr>
      </w:pPr>
      <w:r w:rsidRPr="000E7F48">
        <w:rPr>
          <w:rFonts w:ascii="Arial" w:hAnsi="Arial" w:cs="Arial"/>
          <w:sz w:val="20"/>
          <w:szCs w:val="20"/>
          <w:lang w:val="en-GB" w:eastAsia="en-GB"/>
        </w:rPr>
        <w:t xml:space="preserve">The </w:t>
      </w:r>
      <w:r w:rsidRPr="000E7F48">
        <w:rPr>
          <w:rFonts w:ascii="Arial" w:hAnsi="Arial" w:cs="Arial"/>
          <w:i/>
          <w:sz w:val="20"/>
          <w:szCs w:val="20"/>
          <w:lang w:val="en-GB" w:eastAsia="en-GB"/>
        </w:rPr>
        <w:t xml:space="preserve">external environmental analysis </w:t>
      </w:r>
      <w:r w:rsidRPr="000E7F48">
        <w:rPr>
          <w:rFonts w:ascii="Arial" w:hAnsi="Arial" w:cs="Arial"/>
          <w:sz w:val="20"/>
          <w:szCs w:val="20"/>
          <w:lang w:val="en-GB" w:eastAsia="en-GB"/>
        </w:rPr>
        <w:t>is informed by a number of aspects, as follows:</w:t>
      </w:r>
    </w:p>
    <w:p w:rsidR="00194FC2" w:rsidRPr="000E7F48" w:rsidRDefault="00D90E2C" w:rsidP="000E7F48">
      <w:pPr>
        <w:pStyle w:val="ListParagraph"/>
        <w:numPr>
          <w:ilvl w:val="0"/>
          <w:numId w:val="32"/>
        </w:numPr>
        <w:rPr>
          <w:rFonts w:ascii="Arial" w:hAnsi="Arial" w:cs="Arial"/>
          <w:sz w:val="20"/>
          <w:szCs w:val="20"/>
          <w:lang w:eastAsia="en-GB"/>
        </w:rPr>
      </w:pPr>
      <w:r w:rsidRPr="000E7F48">
        <w:rPr>
          <w:rFonts w:ascii="Arial" w:hAnsi="Arial" w:cs="Arial"/>
          <w:i/>
          <w:sz w:val="20"/>
          <w:szCs w:val="20"/>
          <w:lang w:eastAsia="en-GB"/>
        </w:rPr>
        <w:t>Political considerations</w:t>
      </w:r>
      <w:r w:rsidRPr="000E7F48">
        <w:rPr>
          <w:rFonts w:ascii="Arial" w:hAnsi="Arial" w:cs="Arial"/>
          <w:sz w:val="20"/>
          <w:szCs w:val="20"/>
          <w:lang w:eastAsia="en-GB"/>
        </w:rPr>
        <w:t>. South Africa’s national security is centred on the advancement of its sovereignty, democracy, national values and freedoms, and its political and economic independence. There are domestic, regional and continental dimensions to the national security architecture.</w:t>
      </w:r>
    </w:p>
    <w:p w:rsidR="00D90E2C" w:rsidRPr="000E7F48" w:rsidRDefault="00D90E2C" w:rsidP="000E7F48">
      <w:pPr>
        <w:pStyle w:val="ListParagraph"/>
        <w:numPr>
          <w:ilvl w:val="0"/>
          <w:numId w:val="32"/>
        </w:numPr>
        <w:rPr>
          <w:rFonts w:ascii="Arial" w:hAnsi="Arial" w:cs="Arial"/>
          <w:sz w:val="20"/>
          <w:szCs w:val="20"/>
          <w:lang w:eastAsia="en-GB"/>
        </w:rPr>
      </w:pPr>
      <w:r w:rsidRPr="000E7F48">
        <w:rPr>
          <w:rFonts w:ascii="Arial" w:hAnsi="Arial" w:cs="Arial"/>
          <w:i/>
          <w:sz w:val="20"/>
          <w:szCs w:val="20"/>
          <w:lang w:eastAsia="en-GB"/>
        </w:rPr>
        <w:t>Economic considerations</w:t>
      </w:r>
      <w:r w:rsidRPr="000E7F48">
        <w:rPr>
          <w:rFonts w:ascii="Arial" w:hAnsi="Arial" w:cs="Arial"/>
          <w:sz w:val="20"/>
          <w:szCs w:val="20"/>
          <w:lang w:eastAsia="en-GB"/>
        </w:rPr>
        <w:t xml:space="preserve">. </w:t>
      </w:r>
      <w:r w:rsidRPr="000E7F48">
        <w:rPr>
          <w:rFonts w:ascii="Arial" w:hAnsi="Arial" w:cs="Arial"/>
          <w:sz w:val="20"/>
          <w:szCs w:val="20"/>
        </w:rPr>
        <w:t>The under-performance of South Africa’s economic sectors has resulted in the delayed implementation of the national developmental initiatives in support of the National Development Plan. The continued disconnect between the government Level of Defence Ambition required from the DOD and the declining defence budget allocation continue to adversely impact on the Department’s ability to execute its constitutional mandate in support of the people of South Africa. The DOD will continue to implement and monitor departmental cost-saving, austerity and other funding generating measures in order to supplement the historic declining defence allocation.</w:t>
      </w:r>
    </w:p>
    <w:p w:rsidR="00D90E2C" w:rsidRPr="000E7F48" w:rsidRDefault="00D90E2C" w:rsidP="000E7F48">
      <w:pPr>
        <w:pStyle w:val="ListParagraph"/>
        <w:numPr>
          <w:ilvl w:val="0"/>
          <w:numId w:val="32"/>
        </w:numPr>
        <w:rPr>
          <w:rFonts w:ascii="Arial" w:hAnsi="Arial" w:cs="Arial"/>
          <w:sz w:val="20"/>
          <w:szCs w:val="20"/>
          <w:lang w:eastAsia="en-GB"/>
        </w:rPr>
      </w:pPr>
      <w:r w:rsidRPr="000E7F48">
        <w:rPr>
          <w:rFonts w:ascii="Arial" w:hAnsi="Arial" w:cs="Arial"/>
          <w:i/>
          <w:sz w:val="20"/>
          <w:szCs w:val="20"/>
          <w:lang w:eastAsia="en-GB"/>
        </w:rPr>
        <w:t>Social considerations</w:t>
      </w:r>
      <w:r w:rsidRPr="000E7F48">
        <w:rPr>
          <w:rFonts w:ascii="Arial" w:hAnsi="Arial" w:cs="Arial"/>
          <w:sz w:val="20"/>
          <w:szCs w:val="20"/>
          <w:lang w:eastAsia="en-GB"/>
        </w:rPr>
        <w:t xml:space="preserve">. </w:t>
      </w:r>
      <w:r w:rsidRPr="000E7F48">
        <w:rPr>
          <w:rFonts w:ascii="Arial" w:hAnsi="Arial" w:cs="Arial"/>
          <w:sz w:val="20"/>
          <w:szCs w:val="20"/>
        </w:rPr>
        <w:t>The Government’s challenge to meet the demand for strained social services coupled to the lack of employment opportunities, increase in poverty and in-equality have the potential to result in violent protests, particularly amongst the vulnerable and unemployed youth, posing a threat to domestic stability. Potential protest tipping points could require the employment of the SANDF, in cooperation with the South African Police Service (SAPS), to ensure national security and stability.</w:t>
      </w:r>
    </w:p>
    <w:p w:rsidR="00D90E2C" w:rsidRPr="000E7F48" w:rsidRDefault="00D90E2C" w:rsidP="000E7F48">
      <w:pPr>
        <w:pStyle w:val="ListParagraph"/>
        <w:numPr>
          <w:ilvl w:val="0"/>
          <w:numId w:val="32"/>
        </w:numPr>
        <w:rPr>
          <w:rFonts w:ascii="Arial" w:hAnsi="Arial" w:cs="Arial"/>
          <w:sz w:val="20"/>
          <w:szCs w:val="20"/>
          <w:lang w:eastAsia="en-GB"/>
        </w:rPr>
      </w:pPr>
      <w:r w:rsidRPr="000E7F48">
        <w:rPr>
          <w:rFonts w:ascii="Arial" w:hAnsi="Arial" w:cs="Arial"/>
          <w:i/>
          <w:sz w:val="20"/>
          <w:szCs w:val="20"/>
          <w:lang w:eastAsia="en-GB"/>
        </w:rPr>
        <w:t>Technological considerations</w:t>
      </w:r>
      <w:r w:rsidRPr="000E7F48">
        <w:rPr>
          <w:rFonts w:ascii="Arial" w:hAnsi="Arial" w:cs="Arial"/>
          <w:sz w:val="20"/>
          <w:szCs w:val="20"/>
          <w:lang w:eastAsia="en-GB"/>
        </w:rPr>
        <w:t xml:space="preserve">. The DOD takes into consideration the changing landscape of Information Warfare and an increase in cybercrimes. </w:t>
      </w:r>
      <w:r w:rsidR="00E018BC" w:rsidRPr="000E7F48">
        <w:rPr>
          <w:rFonts w:ascii="Arial" w:hAnsi="Arial" w:cs="Arial"/>
          <w:sz w:val="20"/>
          <w:szCs w:val="20"/>
          <w:lang w:eastAsia="en-GB"/>
        </w:rPr>
        <w:t>The DOD also recognises the important role played by the domestic defence industry and its contribution to technology advancement.</w:t>
      </w:r>
    </w:p>
    <w:p w:rsidR="00E018BC" w:rsidRPr="000E7F48" w:rsidRDefault="00E018BC" w:rsidP="000E7F48">
      <w:pPr>
        <w:pStyle w:val="ListParagraph"/>
        <w:numPr>
          <w:ilvl w:val="0"/>
          <w:numId w:val="32"/>
        </w:numPr>
        <w:rPr>
          <w:rFonts w:ascii="Arial" w:hAnsi="Arial" w:cs="Arial"/>
          <w:sz w:val="20"/>
          <w:szCs w:val="20"/>
          <w:lang w:eastAsia="en-GB"/>
        </w:rPr>
      </w:pPr>
      <w:r w:rsidRPr="000E7F48">
        <w:rPr>
          <w:rFonts w:ascii="Arial" w:hAnsi="Arial" w:cs="Arial"/>
          <w:i/>
          <w:sz w:val="20"/>
          <w:szCs w:val="20"/>
          <w:lang w:eastAsia="en-GB"/>
        </w:rPr>
        <w:t>Legal considerations</w:t>
      </w:r>
      <w:r w:rsidRPr="000E7F48">
        <w:rPr>
          <w:rFonts w:ascii="Arial" w:hAnsi="Arial" w:cs="Arial"/>
          <w:sz w:val="20"/>
          <w:szCs w:val="20"/>
          <w:lang w:eastAsia="en-GB"/>
        </w:rPr>
        <w:t xml:space="preserve">. </w:t>
      </w:r>
      <w:r w:rsidRPr="000E7F48">
        <w:rPr>
          <w:rFonts w:ascii="Arial" w:hAnsi="Arial" w:cs="Arial"/>
          <w:sz w:val="20"/>
          <w:szCs w:val="20"/>
        </w:rPr>
        <w:t>The SANDF is required to ensure that personnel involved in operations are conversant with International Law regulating the use of force when conducting both offensive and defensive actions in the theatre of operations. In this regard, the DOD will continue to provide all deployed SANDF members with pre-deployment training in the use of force.</w:t>
      </w:r>
    </w:p>
    <w:p w:rsidR="00E018BC" w:rsidRPr="000E7F48" w:rsidRDefault="00E018BC" w:rsidP="000E7F48">
      <w:pPr>
        <w:pStyle w:val="ListParagraph"/>
        <w:numPr>
          <w:ilvl w:val="0"/>
          <w:numId w:val="32"/>
        </w:numPr>
        <w:rPr>
          <w:rFonts w:ascii="Arial" w:hAnsi="Arial" w:cs="Arial"/>
          <w:sz w:val="20"/>
          <w:szCs w:val="20"/>
          <w:lang w:eastAsia="en-GB"/>
        </w:rPr>
      </w:pPr>
      <w:r w:rsidRPr="000E7F48">
        <w:rPr>
          <w:rFonts w:ascii="Arial" w:hAnsi="Arial" w:cs="Arial"/>
          <w:i/>
          <w:sz w:val="20"/>
          <w:szCs w:val="20"/>
          <w:lang w:eastAsia="en-GB"/>
        </w:rPr>
        <w:t>Military considerations</w:t>
      </w:r>
      <w:r w:rsidRPr="000E7F48">
        <w:rPr>
          <w:rFonts w:ascii="Arial" w:hAnsi="Arial" w:cs="Arial"/>
          <w:sz w:val="20"/>
          <w:szCs w:val="20"/>
          <w:lang w:eastAsia="en-GB"/>
        </w:rPr>
        <w:t xml:space="preserve">. </w:t>
      </w:r>
      <w:r w:rsidRPr="000E7F48">
        <w:rPr>
          <w:rFonts w:ascii="Arial" w:hAnsi="Arial" w:cs="Arial"/>
          <w:sz w:val="20"/>
          <w:szCs w:val="20"/>
        </w:rPr>
        <w:t>The nature of conflict is evolving and the distinction that separates military responses from other containment measures is becoming increasingly blurred. Significant overlaps exist across the traditional understanding of conventional, unconventional and hybrid forms of conflict as all three could manifest simultaneously. South Africa will be required to maintain a credible resourced defence capability and adopt a posture demonstrating resilience, irrespective of the nature of potential conflict, thereby ensuring:</w:t>
      </w:r>
    </w:p>
    <w:p w:rsidR="00E018BC" w:rsidRPr="000E7F48" w:rsidRDefault="00E018BC" w:rsidP="000E7F48">
      <w:pPr>
        <w:pStyle w:val="ListParagraph"/>
        <w:numPr>
          <w:ilvl w:val="1"/>
          <w:numId w:val="32"/>
        </w:numPr>
        <w:rPr>
          <w:rFonts w:ascii="Arial" w:hAnsi="Arial" w:cs="Arial"/>
          <w:sz w:val="20"/>
          <w:szCs w:val="20"/>
          <w:lang w:eastAsia="en-GB"/>
        </w:rPr>
      </w:pPr>
      <w:r w:rsidRPr="000E7F48">
        <w:rPr>
          <w:rFonts w:ascii="Arial" w:hAnsi="Arial" w:cs="Arial"/>
          <w:sz w:val="20"/>
          <w:szCs w:val="20"/>
          <w:lang w:eastAsia="en-GB"/>
        </w:rPr>
        <w:t>Prevention and conflict resolution.</w:t>
      </w:r>
    </w:p>
    <w:p w:rsidR="00E018BC" w:rsidRPr="000E7F48" w:rsidRDefault="00E018BC" w:rsidP="000E7F48">
      <w:pPr>
        <w:pStyle w:val="ListParagraph"/>
        <w:numPr>
          <w:ilvl w:val="1"/>
          <w:numId w:val="32"/>
        </w:numPr>
        <w:rPr>
          <w:rFonts w:ascii="Arial" w:hAnsi="Arial" w:cs="Arial"/>
          <w:sz w:val="20"/>
          <w:szCs w:val="20"/>
          <w:lang w:eastAsia="en-GB"/>
        </w:rPr>
      </w:pPr>
      <w:r w:rsidRPr="000E7F48">
        <w:rPr>
          <w:rFonts w:ascii="Arial" w:hAnsi="Arial" w:cs="Arial"/>
          <w:sz w:val="20"/>
          <w:szCs w:val="20"/>
          <w:lang w:eastAsia="en-GB"/>
        </w:rPr>
        <w:t>Peace support Operations.</w:t>
      </w:r>
    </w:p>
    <w:p w:rsidR="00E018BC" w:rsidRPr="000E7F48" w:rsidRDefault="00E018BC" w:rsidP="000E7F48">
      <w:pPr>
        <w:pStyle w:val="ListParagraph"/>
        <w:numPr>
          <w:ilvl w:val="1"/>
          <w:numId w:val="32"/>
        </w:numPr>
        <w:rPr>
          <w:rFonts w:ascii="Arial" w:hAnsi="Arial" w:cs="Arial"/>
          <w:sz w:val="20"/>
          <w:szCs w:val="20"/>
          <w:lang w:eastAsia="en-GB"/>
        </w:rPr>
      </w:pPr>
      <w:r w:rsidRPr="000E7F48">
        <w:rPr>
          <w:rFonts w:ascii="Arial" w:hAnsi="Arial" w:cs="Arial"/>
          <w:sz w:val="20"/>
          <w:szCs w:val="20"/>
          <w:lang w:val="en-ZA" w:eastAsia="en-GB"/>
        </w:rPr>
        <w:t>Support to the Combating of Maritime Piracy along the East Coast of Africa.</w:t>
      </w:r>
    </w:p>
    <w:p w:rsidR="00E018BC" w:rsidRPr="000E7F48" w:rsidRDefault="00E018BC" w:rsidP="000E7F48">
      <w:pPr>
        <w:pStyle w:val="ListParagraph"/>
        <w:numPr>
          <w:ilvl w:val="1"/>
          <w:numId w:val="32"/>
        </w:numPr>
        <w:rPr>
          <w:rFonts w:ascii="Arial" w:hAnsi="Arial" w:cs="Arial"/>
          <w:sz w:val="20"/>
          <w:szCs w:val="20"/>
          <w:lang w:eastAsia="en-GB"/>
        </w:rPr>
      </w:pPr>
      <w:r w:rsidRPr="000E7F48">
        <w:rPr>
          <w:rFonts w:ascii="Arial" w:hAnsi="Arial" w:cs="Arial"/>
          <w:sz w:val="20"/>
          <w:szCs w:val="20"/>
          <w:lang w:val="en-ZA" w:eastAsia="en-GB"/>
        </w:rPr>
        <w:t>Border safeguarding</w:t>
      </w:r>
    </w:p>
    <w:p w:rsidR="00E018BC" w:rsidRPr="000E7F48" w:rsidRDefault="00E018BC" w:rsidP="000E7F48">
      <w:pPr>
        <w:pStyle w:val="ListParagraph"/>
        <w:numPr>
          <w:ilvl w:val="1"/>
          <w:numId w:val="32"/>
        </w:numPr>
        <w:rPr>
          <w:rFonts w:ascii="Arial" w:hAnsi="Arial" w:cs="Arial"/>
          <w:sz w:val="20"/>
          <w:szCs w:val="20"/>
          <w:lang w:eastAsia="en-GB"/>
        </w:rPr>
      </w:pPr>
      <w:r w:rsidRPr="000E7F48">
        <w:rPr>
          <w:rFonts w:ascii="Arial" w:hAnsi="Arial" w:cs="Arial"/>
          <w:sz w:val="20"/>
          <w:szCs w:val="20"/>
          <w:lang w:val="en-ZA" w:eastAsia="en-GB"/>
        </w:rPr>
        <w:t>Humanitarian assistance and aid relief</w:t>
      </w:r>
    </w:p>
    <w:p w:rsidR="00E018BC" w:rsidRPr="000E7F48" w:rsidRDefault="00E018BC" w:rsidP="000E7F48">
      <w:pPr>
        <w:spacing w:after="0" w:line="240" w:lineRule="auto"/>
        <w:rPr>
          <w:rFonts w:ascii="Arial" w:hAnsi="Arial" w:cs="Arial"/>
          <w:sz w:val="20"/>
          <w:szCs w:val="20"/>
          <w:lang w:eastAsia="en-GB"/>
        </w:rPr>
      </w:pPr>
    </w:p>
    <w:p w:rsidR="00E018BC" w:rsidRPr="000E7F48" w:rsidRDefault="00E018BC" w:rsidP="000E7F48">
      <w:pPr>
        <w:spacing w:after="0" w:line="240" w:lineRule="auto"/>
        <w:rPr>
          <w:rFonts w:ascii="Arial" w:hAnsi="Arial" w:cs="Arial"/>
          <w:sz w:val="20"/>
          <w:szCs w:val="20"/>
          <w:lang w:val="en-GB" w:eastAsia="en-GB"/>
        </w:rPr>
      </w:pPr>
      <w:r w:rsidRPr="000E7F48">
        <w:rPr>
          <w:rFonts w:ascii="Arial" w:hAnsi="Arial" w:cs="Arial"/>
          <w:sz w:val="20"/>
          <w:szCs w:val="20"/>
          <w:lang w:val="en-GB" w:eastAsia="en-GB"/>
        </w:rPr>
        <w:t xml:space="preserve">The </w:t>
      </w:r>
      <w:r w:rsidRPr="000E7F48">
        <w:rPr>
          <w:rFonts w:ascii="Arial" w:hAnsi="Arial" w:cs="Arial"/>
          <w:i/>
          <w:sz w:val="20"/>
          <w:szCs w:val="20"/>
          <w:lang w:val="en-GB" w:eastAsia="en-GB"/>
        </w:rPr>
        <w:t xml:space="preserve">internal environmental analysis </w:t>
      </w:r>
      <w:r w:rsidRPr="000E7F48">
        <w:rPr>
          <w:rFonts w:ascii="Arial" w:hAnsi="Arial" w:cs="Arial"/>
          <w:sz w:val="20"/>
          <w:szCs w:val="20"/>
          <w:lang w:val="en-GB" w:eastAsia="en-GB"/>
        </w:rPr>
        <w:t>is informed by a number of aspects</w:t>
      </w:r>
      <w:r w:rsidR="00DF7CB5" w:rsidRPr="000E7F48">
        <w:rPr>
          <w:rFonts w:ascii="Arial" w:hAnsi="Arial" w:cs="Arial"/>
          <w:sz w:val="20"/>
          <w:szCs w:val="20"/>
          <w:lang w:val="en-GB" w:eastAsia="en-GB"/>
        </w:rPr>
        <w:t xml:space="preserve"> </w:t>
      </w:r>
      <w:r w:rsidR="00DF7CB5" w:rsidRPr="000E7F48">
        <w:rPr>
          <w:rFonts w:ascii="Arial" w:hAnsi="Arial" w:cs="Arial"/>
          <w:sz w:val="20"/>
          <w:szCs w:val="20"/>
        </w:rPr>
        <w:t>that could have an impact internal to the DOD</w:t>
      </w:r>
      <w:r w:rsidRPr="000E7F48">
        <w:rPr>
          <w:rFonts w:ascii="Arial" w:hAnsi="Arial" w:cs="Arial"/>
          <w:sz w:val="20"/>
          <w:szCs w:val="20"/>
          <w:lang w:val="en-GB" w:eastAsia="en-GB"/>
        </w:rPr>
        <w:t>, as follows:</w:t>
      </w:r>
    </w:p>
    <w:p w:rsidR="00E018BC" w:rsidRPr="000E7F48" w:rsidRDefault="00DF7CB5" w:rsidP="000E7F48">
      <w:pPr>
        <w:pStyle w:val="ListParagraph"/>
        <w:numPr>
          <w:ilvl w:val="0"/>
          <w:numId w:val="33"/>
        </w:numPr>
        <w:rPr>
          <w:rFonts w:ascii="Arial" w:hAnsi="Arial" w:cs="Arial"/>
          <w:sz w:val="20"/>
          <w:szCs w:val="20"/>
          <w:lang w:eastAsia="en-GB"/>
        </w:rPr>
      </w:pPr>
      <w:r w:rsidRPr="000E7F48">
        <w:rPr>
          <w:rFonts w:ascii="Arial" w:hAnsi="Arial" w:cs="Arial"/>
          <w:i/>
          <w:sz w:val="20"/>
          <w:szCs w:val="20"/>
          <w:lang w:eastAsia="en-GB"/>
        </w:rPr>
        <w:lastRenderedPageBreak/>
        <w:t xml:space="preserve">Deployment of the SANDF. </w:t>
      </w:r>
      <w:r w:rsidRPr="000E7F48">
        <w:rPr>
          <w:rFonts w:ascii="Arial" w:hAnsi="Arial" w:cs="Arial"/>
          <w:sz w:val="20"/>
          <w:szCs w:val="20"/>
        </w:rPr>
        <w:t>The internal employment of the SANDF, as tasked by Government, will be undertaken in building cohesion and safer communities through the conducting of internal operations.</w:t>
      </w:r>
    </w:p>
    <w:p w:rsidR="00DF7CB5" w:rsidRPr="000E7F48" w:rsidRDefault="00DF7CB5" w:rsidP="000E7F48">
      <w:pPr>
        <w:pStyle w:val="ListParagraph"/>
        <w:numPr>
          <w:ilvl w:val="0"/>
          <w:numId w:val="33"/>
        </w:numPr>
        <w:rPr>
          <w:rFonts w:ascii="Arial" w:hAnsi="Arial" w:cs="Arial"/>
          <w:sz w:val="20"/>
          <w:szCs w:val="20"/>
          <w:lang w:eastAsia="en-GB"/>
        </w:rPr>
      </w:pPr>
      <w:r w:rsidRPr="000E7F48">
        <w:rPr>
          <w:rFonts w:ascii="Arial" w:hAnsi="Arial" w:cs="Arial"/>
          <w:i/>
          <w:sz w:val="20"/>
          <w:szCs w:val="20"/>
          <w:lang w:eastAsia="en-GB"/>
        </w:rPr>
        <w:t>The human resources dimension.</w:t>
      </w:r>
      <w:r w:rsidRPr="000E7F48">
        <w:rPr>
          <w:rFonts w:ascii="Arial" w:hAnsi="Arial" w:cs="Arial"/>
          <w:sz w:val="20"/>
          <w:szCs w:val="20"/>
          <w:lang w:eastAsia="en-GB"/>
        </w:rPr>
        <w:t xml:space="preserve"> </w:t>
      </w:r>
      <w:r w:rsidRPr="000E7F48">
        <w:rPr>
          <w:rFonts w:ascii="Arial" w:hAnsi="Arial" w:cs="Arial"/>
          <w:sz w:val="20"/>
          <w:szCs w:val="20"/>
        </w:rPr>
        <w:t>Over the 2023/24 MTEF, the DOD will continue with the following initiatives to address the challenges within the departmental HR dimension:</w:t>
      </w:r>
    </w:p>
    <w:p w:rsidR="00DF7CB5" w:rsidRPr="000E7F48" w:rsidRDefault="00DF7CB5" w:rsidP="000E7F48">
      <w:pPr>
        <w:pStyle w:val="ListParagraph"/>
        <w:numPr>
          <w:ilvl w:val="1"/>
          <w:numId w:val="33"/>
        </w:numPr>
        <w:rPr>
          <w:rFonts w:ascii="Arial" w:hAnsi="Arial" w:cs="Arial"/>
          <w:sz w:val="20"/>
          <w:szCs w:val="20"/>
          <w:lang w:eastAsia="en-GB"/>
        </w:rPr>
      </w:pPr>
      <w:r w:rsidRPr="000E7F48">
        <w:rPr>
          <w:rFonts w:ascii="Arial" w:hAnsi="Arial" w:cs="Arial"/>
          <w:sz w:val="20"/>
          <w:szCs w:val="20"/>
        </w:rPr>
        <w:t xml:space="preserve">Implement HR measures to reduce HR costs. </w:t>
      </w:r>
    </w:p>
    <w:p w:rsidR="00DF7CB5" w:rsidRPr="000E7F48" w:rsidRDefault="00DF7CB5" w:rsidP="000E7F48">
      <w:pPr>
        <w:pStyle w:val="ListParagraph"/>
        <w:numPr>
          <w:ilvl w:val="1"/>
          <w:numId w:val="33"/>
        </w:numPr>
        <w:rPr>
          <w:rFonts w:ascii="Arial" w:hAnsi="Arial" w:cs="Arial"/>
          <w:sz w:val="20"/>
          <w:szCs w:val="20"/>
          <w:lang w:eastAsia="en-GB"/>
        </w:rPr>
      </w:pPr>
      <w:r w:rsidRPr="000E7F48">
        <w:rPr>
          <w:rFonts w:ascii="Arial" w:hAnsi="Arial" w:cs="Arial"/>
          <w:sz w:val="20"/>
          <w:szCs w:val="20"/>
        </w:rPr>
        <w:t>Fill funded vacant PSAP posts according to HR plans.</w:t>
      </w:r>
    </w:p>
    <w:p w:rsidR="00DF7CB5" w:rsidRPr="000E7F48" w:rsidRDefault="00DF7CB5" w:rsidP="000E7F48">
      <w:pPr>
        <w:pStyle w:val="ListParagraph"/>
        <w:numPr>
          <w:ilvl w:val="1"/>
          <w:numId w:val="33"/>
        </w:numPr>
        <w:rPr>
          <w:rFonts w:ascii="Arial" w:hAnsi="Arial" w:cs="Arial"/>
          <w:sz w:val="20"/>
          <w:szCs w:val="20"/>
          <w:lang w:eastAsia="en-GB"/>
        </w:rPr>
      </w:pPr>
      <w:r w:rsidRPr="000E7F48">
        <w:rPr>
          <w:rFonts w:ascii="Arial" w:hAnsi="Arial" w:cs="Arial"/>
          <w:sz w:val="20"/>
          <w:szCs w:val="20"/>
        </w:rPr>
        <w:t>Provide for the training and development of members and employees.</w:t>
      </w:r>
    </w:p>
    <w:p w:rsidR="00DF7CB5" w:rsidRPr="000E7F48" w:rsidRDefault="00DF7CB5" w:rsidP="000E7F48">
      <w:pPr>
        <w:pStyle w:val="ListParagraph"/>
        <w:numPr>
          <w:ilvl w:val="1"/>
          <w:numId w:val="33"/>
        </w:numPr>
        <w:rPr>
          <w:rFonts w:ascii="Arial" w:hAnsi="Arial" w:cs="Arial"/>
          <w:sz w:val="20"/>
          <w:szCs w:val="20"/>
          <w:lang w:eastAsia="en-GB"/>
        </w:rPr>
      </w:pPr>
      <w:r w:rsidRPr="000E7F48">
        <w:rPr>
          <w:rFonts w:ascii="Arial" w:hAnsi="Arial" w:cs="Arial"/>
          <w:sz w:val="20"/>
          <w:szCs w:val="20"/>
        </w:rPr>
        <w:t>Increase levels of administrative compliance and discipline and implement HR policies and HR systems in support of accountable management.</w:t>
      </w:r>
    </w:p>
    <w:p w:rsidR="00DF7CB5" w:rsidRPr="000E7F48" w:rsidRDefault="00DF7CB5" w:rsidP="000E7F48">
      <w:pPr>
        <w:pStyle w:val="ListParagraph"/>
        <w:numPr>
          <w:ilvl w:val="1"/>
          <w:numId w:val="33"/>
        </w:numPr>
        <w:rPr>
          <w:rFonts w:ascii="Arial" w:hAnsi="Arial" w:cs="Arial"/>
          <w:sz w:val="20"/>
          <w:szCs w:val="20"/>
          <w:lang w:eastAsia="en-GB"/>
        </w:rPr>
      </w:pPr>
      <w:r w:rsidRPr="000E7F48">
        <w:rPr>
          <w:rFonts w:ascii="Arial" w:hAnsi="Arial" w:cs="Arial"/>
          <w:sz w:val="20"/>
          <w:szCs w:val="20"/>
        </w:rPr>
        <w:t>Continue to pursue gender main streaming and combatting of GBV where prevalent.</w:t>
      </w:r>
    </w:p>
    <w:p w:rsidR="00DF7CB5" w:rsidRPr="000E7F48" w:rsidRDefault="00E41E3A" w:rsidP="000E7F48">
      <w:pPr>
        <w:pStyle w:val="ListParagraph"/>
        <w:numPr>
          <w:ilvl w:val="0"/>
          <w:numId w:val="33"/>
        </w:numPr>
        <w:rPr>
          <w:rFonts w:ascii="Arial" w:hAnsi="Arial" w:cs="Arial"/>
          <w:sz w:val="20"/>
          <w:szCs w:val="20"/>
          <w:lang w:eastAsia="en-GB"/>
        </w:rPr>
      </w:pPr>
      <w:r w:rsidRPr="000E7F48">
        <w:rPr>
          <w:rFonts w:ascii="Arial" w:hAnsi="Arial" w:cs="Arial"/>
          <w:i/>
          <w:sz w:val="20"/>
          <w:szCs w:val="20"/>
          <w:lang w:eastAsia="en-GB"/>
        </w:rPr>
        <w:t xml:space="preserve">The financial dimension. </w:t>
      </w:r>
      <w:r w:rsidR="00D825B2" w:rsidRPr="000E7F48">
        <w:rPr>
          <w:rFonts w:ascii="Arial" w:hAnsi="Arial" w:cs="Arial"/>
          <w:i/>
          <w:sz w:val="20"/>
          <w:szCs w:val="20"/>
          <w:lang w:eastAsia="en-GB"/>
        </w:rPr>
        <w:t>S</w:t>
      </w:r>
      <w:r w:rsidR="00D825B2" w:rsidRPr="000E7F48">
        <w:rPr>
          <w:rFonts w:ascii="Arial" w:hAnsi="Arial" w:cs="Arial"/>
          <w:sz w:val="20"/>
          <w:szCs w:val="20"/>
        </w:rPr>
        <w:t xml:space="preserve">tructural and economic challenges had an adverse impact on government which affected the budgets of various institutions. As a result, the DOD budget declined over the past MTEF periods which necessitated the department to adjust its spending in such a manner that it will continue to provide the requisite services at a downscaled level as contemplated in its mandate. However, the Department received an additional budget allocation to an amount of R6.4 billion in the 2023/24 MTEF. The additional budget allocation is mainly for the repair and maintain of navy defence systems, procurement or upgrade of medium air lift capability and the procurement of vehicles and border technology. </w:t>
      </w:r>
    </w:p>
    <w:p w:rsidR="00D825B2" w:rsidRPr="000E7F48" w:rsidRDefault="00D825B2" w:rsidP="000E7F48">
      <w:pPr>
        <w:pStyle w:val="ListParagraph"/>
        <w:numPr>
          <w:ilvl w:val="0"/>
          <w:numId w:val="33"/>
        </w:numPr>
        <w:rPr>
          <w:rFonts w:ascii="Arial" w:hAnsi="Arial" w:cs="Arial"/>
          <w:sz w:val="20"/>
          <w:szCs w:val="20"/>
          <w:lang w:eastAsia="en-GB"/>
        </w:rPr>
      </w:pPr>
      <w:r w:rsidRPr="000E7F48">
        <w:rPr>
          <w:rFonts w:ascii="Arial" w:hAnsi="Arial" w:cs="Arial"/>
          <w:i/>
          <w:sz w:val="20"/>
          <w:szCs w:val="20"/>
          <w:lang w:eastAsia="en-GB"/>
        </w:rPr>
        <w:t xml:space="preserve">The Logistical dimension. </w:t>
      </w:r>
      <w:r w:rsidRPr="000E7F48">
        <w:rPr>
          <w:rFonts w:ascii="Arial" w:hAnsi="Arial" w:cs="Arial"/>
          <w:sz w:val="20"/>
          <w:szCs w:val="20"/>
        </w:rPr>
        <w:t>For the DOD to ensure that the departmental assists, facilities and the Defence Works Formation programme are effectively managed, the Joint Logistic Services will ensure the sustainment of centralised common matériel management, centralised facilities management, logistics services and movement management and logistics strategic direction to the DOD.</w:t>
      </w:r>
    </w:p>
    <w:p w:rsidR="00D825B2" w:rsidRPr="000E7F48" w:rsidRDefault="00D825B2" w:rsidP="000E7F48">
      <w:pPr>
        <w:pStyle w:val="ListParagraph"/>
        <w:numPr>
          <w:ilvl w:val="0"/>
          <w:numId w:val="33"/>
        </w:numPr>
        <w:rPr>
          <w:rFonts w:ascii="Arial" w:hAnsi="Arial" w:cs="Arial"/>
          <w:sz w:val="20"/>
          <w:szCs w:val="20"/>
          <w:lang w:eastAsia="en-GB"/>
        </w:rPr>
      </w:pPr>
      <w:r w:rsidRPr="000E7F48">
        <w:rPr>
          <w:rFonts w:ascii="Arial" w:hAnsi="Arial" w:cs="Arial"/>
          <w:i/>
          <w:sz w:val="20"/>
          <w:szCs w:val="20"/>
          <w:lang w:eastAsia="en-GB"/>
        </w:rPr>
        <w:t>Information and communication technology dimension.</w:t>
      </w:r>
      <w:r w:rsidRPr="000E7F48">
        <w:rPr>
          <w:rFonts w:ascii="Arial" w:hAnsi="Arial" w:cs="Arial"/>
          <w:sz w:val="20"/>
          <w:szCs w:val="20"/>
          <w:lang w:eastAsia="en-GB"/>
        </w:rPr>
        <w:t xml:space="preserve"> </w:t>
      </w:r>
      <w:r w:rsidRPr="000E7F48">
        <w:rPr>
          <w:rFonts w:ascii="Arial" w:hAnsi="Arial" w:cs="Arial"/>
          <w:sz w:val="20"/>
          <w:szCs w:val="20"/>
        </w:rPr>
        <w:t>The DOD continues to operate aging Information and Communication Technology (ICT) legacy systems that have become increasingly more difficult and costly to maintain and repair due to their obsolescence. In terms of ICT development, the DOD will endeavour to develop departmental ICT systems aligned with both the national and internal requirements.</w:t>
      </w:r>
    </w:p>
    <w:p w:rsidR="00E018BC" w:rsidRPr="000E7F48" w:rsidRDefault="00E018BC" w:rsidP="000E7F48">
      <w:pPr>
        <w:spacing w:after="0" w:line="240" w:lineRule="auto"/>
        <w:rPr>
          <w:rFonts w:ascii="Arial" w:hAnsi="Arial" w:cs="Arial"/>
          <w:sz w:val="20"/>
          <w:szCs w:val="20"/>
          <w:lang w:eastAsia="en-GB"/>
        </w:rPr>
      </w:pPr>
    </w:p>
    <w:p w:rsidR="00194FC2" w:rsidRPr="000E7F48" w:rsidRDefault="00284707" w:rsidP="000E7F48">
      <w:pPr>
        <w:spacing w:after="0" w:line="240" w:lineRule="auto"/>
        <w:outlineLvl w:val="0"/>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3</w:t>
      </w:r>
      <w:r w:rsidR="00194FC2" w:rsidRPr="000E7F48">
        <w:rPr>
          <w:rFonts w:ascii="Arial" w:eastAsia="Times New Roman" w:hAnsi="Arial" w:cs="Arial"/>
          <w:b/>
          <w:color w:val="000000"/>
          <w:spacing w:val="6"/>
          <w:sz w:val="20"/>
          <w:szCs w:val="20"/>
          <w:lang w:val="en-GB" w:eastAsia="en-GB"/>
        </w:rPr>
        <w:t>.3</w:t>
      </w:r>
      <w:r w:rsidR="00194FC2" w:rsidRPr="000E7F48">
        <w:rPr>
          <w:rFonts w:ascii="Arial" w:eastAsia="Times New Roman" w:hAnsi="Arial" w:cs="Arial"/>
          <w:b/>
          <w:color w:val="000000"/>
          <w:spacing w:val="6"/>
          <w:sz w:val="20"/>
          <w:szCs w:val="20"/>
          <w:lang w:val="en-GB" w:eastAsia="en-GB"/>
        </w:rPr>
        <w:tab/>
      </w:r>
      <w:r w:rsidR="00054834" w:rsidRPr="000E7F48">
        <w:rPr>
          <w:rFonts w:ascii="Arial" w:eastAsia="Times New Roman" w:hAnsi="Arial" w:cs="Arial"/>
          <w:b/>
          <w:color w:val="000000"/>
          <w:spacing w:val="6"/>
          <w:sz w:val="20"/>
          <w:szCs w:val="20"/>
          <w:lang w:val="en-GB" w:eastAsia="en-GB"/>
        </w:rPr>
        <w:t>DOD contributions to national imperatives</w:t>
      </w:r>
      <w:r w:rsidR="00194FC2" w:rsidRPr="000E7F48">
        <w:rPr>
          <w:rFonts w:ascii="Arial" w:eastAsia="Times New Roman" w:hAnsi="Arial" w:cs="Arial"/>
          <w:b/>
          <w:color w:val="000000"/>
          <w:spacing w:val="6"/>
          <w:sz w:val="20"/>
          <w:szCs w:val="20"/>
          <w:lang w:val="en-GB" w:eastAsia="en-GB"/>
        </w:rPr>
        <w:t xml:space="preserve"> </w:t>
      </w:r>
    </w:p>
    <w:p w:rsidR="00194FC2" w:rsidRPr="000E7F48" w:rsidRDefault="00194FC2" w:rsidP="000E7F48">
      <w:pPr>
        <w:spacing w:after="0" w:line="240" w:lineRule="auto"/>
        <w:outlineLvl w:val="0"/>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outlineLvl w:val="0"/>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This section </w:t>
      </w:r>
      <w:r w:rsidR="00E055A5" w:rsidRPr="000E7F48">
        <w:rPr>
          <w:rFonts w:ascii="Arial" w:eastAsia="Times New Roman" w:hAnsi="Arial" w:cs="Arial"/>
          <w:color w:val="000000"/>
          <w:spacing w:val="6"/>
          <w:sz w:val="20"/>
          <w:szCs w:val="20"/>
          <w:lang w:val="en-GB" w:eastAsia="en-GB"/>
        </w:rPr>
        <w:t>provides an overview of the DOD contribution to national imperatives of government for 202</w:t>
      </w:r>
      <w:r w:rsidR="00054834" w:rsidRPr="000E7F48">
        <w:rPr>
          <w:rFonts w:ascii="Arial" w:eastAsia="Times New Roman" w:hAnsi="Arial" w:cs="Arial"/>
          <w:color w:val="000000"/>
          <w:spacing w:val="6"/>
          <w:sz w:val="20"/>
          <w:szCs w:val="20"/>
          <w:lang w:val="en-GB" w:eastAsia="en-GB"/>
        </w:rPr>
        <w:t>3</w:t>
      </w:r>
      <w:r w:rsidR="00E055A5" w:rsidRPr="000E7F48">
        <w:rPr>
          <w:rFonts w:ascii="Arial" w:eastAsia="Times New Roman" w:hAnsi="Arial" w:cs="Arial"/>
          <w:color w:val="000000"/>
          <w:spacing w:val="6"/>
          <w:sz w:val="20"/>
          <w:szCs w:val="20"/>
          <w:lang w:val="en-GB" w:eastAsia="en-GB"/>
        </w:rPr>
        <w:t>/2</w:t>
      </w:r>
      <w:r w:rsidR="00054834" w:rsidRPr="000E7F48">
        <w:rPr>
          <w:rFonts w:ascii="Arial" w:eastAsia="Times New Roman" w:hAnsi="Arial" w:cs="Arial"/>
          <w:color w:val="000000"/>
          <w:spacing w:val="6"/>
          <w:sz w:val="20"/>
          <w:szCs w:val="20"/>
          <w:lang w:val="en-GB" w:eastAsia="en-GB"/>
        </w:rPr>
        <w:t>4</w:t>
      </w:r>
      <w:r w:rsidRPr="000E7F48">
        <w:rPr>
          <w:rFonts w:ascii="Arial" w:eastAsia="Times New Roman" w:hAnsi="Arial" w:cs="Arial"/>
          <w:color w:val="000000"/>
          <w:spacing w:val="6"/>
          <w:sz w:val="20"/>
          <w:szCs w:val="20"/>
          <w:lang w:val="en-GB" w:eastAsia="en-GB"/>
        </w:rPr>
        <w:t>:</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082EE9" w:rsidRPr="000E7F48" w:rsidRDefault="00054834" w:rsidP="000E7F48">
      <w:pPr>
        <w:autoSpaceDE w:val="0"/>
        <w:autoSpaceDN w:val="0"/>
        <w:adjustRightInd w:val="0"/>
        <w:spacing w:after="0" w:line="240" w:lineRule="auto"/>
        <w:rPr>
          <w:rFonts w:ascii="Arial" w:hAnsi="Arial" w:cs="Arial"/>
          <w:color w:val="000000"/>
          <w:spacing w:val="6"/>
          <w:sz w:val="20"/>
          <w:szCs w:val="20"/>
          <w:lang w:eastAsia="en-GB"/>
        </w:rPr>
      </w:pPr>
      <w:r w:rsidRPr="000E7F48">
        <w:rPr>
          <w:rFonts w:ascii="Arial" w:hAnsi="Arial" w:cs="Arial"/>
          <w:b/>
          <w:color w:val="000000"/>
          <w:spacing w:val="6"/>
          <w:sz w:val="20"/>
          <w:szCs w:val="20"/>
          <w:lang w:eastAsia="en-GB"/>
        </w:rPr>
        <w:t xml:space="preserve">The </w:t>
      </w:r>
      <w:r w:rsidR="00194FC2" w:rsidRPr="000E7F48">
        <w:rPr>
          <w:rFonts w:ascii="Arial" w:hAnsi="Arial" w:cs="Arial"/>
          <w:b/>
          <w:color w:val="000000"/>
          <w:spacing w:val="6"/>
          <w:sz w:val="20"/>
          <w:szCs w:val="20"/>
          <w:lang w:eastAsia="en-GB"/>
        </w:rPr>
        <w:t>National Development Plan 5-year Implementation Plan</w:t>
      </w:r>
      <w:r w:rsidR="00082EE9" w:rsidRPr="000E7F48">
        <w:rPr>
          <w:rFonts w:ascii="Arial" w:hAnsi="Arial" w:cs="Arial"/>
          <w:b/>
          <w:color w:val="000000"/>
          <w:spacing w:val="6"/>
          <w:sz w:val="20"/>
          <w:szCs w:val="20"/>
          <w:lang w:eastAsia="en-GB"/>
        </w:rPr>
        <w:t>.</w:t>
      </w:r>
    </w:p>
    <w:p w:rsidR="00E055A5" w:rsidRPr="000E7F48" w:rsidRDefault="00194FC2" w:rsidP="000E7F48">
      <w:pPr>
        <w:autoSpaceDE w:val="0"/>
        <w:autoSpaceDN w:val="0"/>
        <w:adjustRightInd w:val="0"/>
        <w:spacing w:after="0" w:line="240" w:lineRule="auto"/>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The implementation of the NDP, “Vision 2030”, through the NDP 5-year Implementation Plan (2019-2024 MTSF) will primarily focus on job creation, poverty reduction and the reduction of inequality. </w:t>
      </w:r>
      <w:r w:rsidR="00E055A5" w:rsidRPr="000E7F48">
        <w:rPr>
          <w:rFonts w:ascii="Arial" w:hAnsi="Arial" w:cs="Arial"/>
          <w:color w:val="000000"/>
          <w:spacing w:val="6"/>
          <w:sz w:val="20"/>
          <w:szCs w:val="20"/>
          <w:lang w:eastAsia="en-GB"/>
        </w:rPr>
        <w:t>T</w:t>
      </w:r>
      <w:r w:rsidRPr="000E7F48">
        <w:rPr>
          <w:rFonts w:ascii="Arial" w:hAnsi="Arial" w:cs="Arial"/>
          <w:color w:val="000000"/>
          <w:spacing w:val="6"/>
          <w:sz w:val="20"/>
          <w:szCs w:val="20"/>
          <w:lang w:eastAsia="en-GB"/>
        </w:rPr>
        <w:t>he DOD will contribute both directly and indirectly as addressed in this Plan</w:t>
      </w:r>
      <w:r w:rsidR="00E055A5" w:rsidRPr="000E7F48">
        <w:rPr>
          <w:rFonts w:ascii="Arial" w:hAnsi="Arial" w:cs="Arial"/>
          <w:color w:val="000000"/>
          <w:spacing w:val="6"/>
          <w:sz w:val="20"/>
          <w:szCs w:val="20"/>
          <w:lang w:eastAsia="en-GB"/>
        </w:rPr>
        <w:t xml:space="preserve"> and</w:t>
      </w:r>
      <w:r w:rsidRPr="000E7F48">
        <w:rPr>
          <w:rFonts w:ascii="Arial" w:hAnsi="Arial" w:cs="Arial"/>
          <w:color w:val="000000"/>
          <w:spacing w:val="6"/>
          <w:sz w:val="20"/>
          <w:szCs w:val="20"/>
          <w:lang w:eastAsia="en-GB"/>
        </w:rPr>
        <w:t xml:space="preserve"> endeavour to support the following Gov</w:t>
      </w:r>
      <w:r w:rsidR="00E055A5" w:rsidRPr="000E7F48">
        <w:rPr>
          <w:rFonts w:ascii="Arial" w:hAnsi="Arial" w:cs="Arial"/>
          <w:color w:val="000000"/>
          <w:spacing w:val="6"/>
          <w:sz w:val="20"/>
          <w:szCs w:val="20"/>
          <w:lang w:eastAsia="en-GB"/>
        </w:rPr>
        <w:t>ernment Pillars and Priorities:</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Pillar 1: </w:t>
      </w:r>
      <w:r w:rsidRPr="000E7F48">
        <w:rPr>
          <w:rFonts w:ascii="Arial" w:hAnsi="Arial" w:cs="Arial"/>
          <w:sz w:val="20"/>
          <w:szCs w:val="20"/>
        </w:rPr>
        <w:tab/>
      </w:r>
      <w:r w:rsidR="00E055A5" w:rsidRPr="000E7F48">
        <w:rPr>
          <w:rFonts w:ascii="Arial" w:hAnsi="Arial" w:cs="Arial"/>
          <w:i/>
          <w:iCs/>
          <w:sz w:val="20"/>
          <w:szCs w:val="20"/>
        </w:rPr>
        <w:t>A Strong and Inclusive Economy</w:t>
      </w:r>
      <w:r w:rsidRPr="000E7F48">
        <w:rPr>
          <w:rFonts w:ascii="Arial" w:hAnsi="Arial" w:cs="Arial"/>
          <w:i/>
          <w:iCs/>
          <w:sz w:val="20"/>
          <w:szCs w:val="20"/>
        </w:rPr>
        <w:t>.</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2: </w:t>
      </w:r>
      <w:r w:rsidRPr="000E7F48">
        <w:rPr>
          <w:rFonts w:ascii="Arial" w:hAnsi="Arial" w:cs="Arial"/>
          <w:sz w:val="20"/>
          <w:szCs w:val="20"/>
        </w:rPr>
        <w:tab/>
      </w:r>
      <w:r w:rsidRPr="000E7F48">
        <w:rPr>
          <w:rFonts w:ascii="Arial" w:hAnsi="Arial" w:cs="Arial"/>
          <w:i/>
          <w:iCs/>
          <w:sz w:val="20"/>
          <w:szCs w:val="20"/>
        </w:rPr>
        <w:t>Economic Transformation and Job Creation.</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Pillar 2: </w:t>
      </w:r>
      <w:r w:rsidRPr="000E7F48">
        <w:rPr>
          <w:rFonts w:ascii="Arial" w:hAnsi="Arial" w:cs="Arial"/>
          <w:sz w:val="20"/>
          <w:szCs w:val="20"/>
        </w:rPr>
        <w:tab/>
      </w:r>
      <w:r w:rsidRPr="000E7F48">
        <w:rPr>
          <w:rFonts w:ascii="Arial" w:hAnsi="Arial" w:cs="Arial"/>
          <w:i/>
          <w:iCs/>
          <w:sz w:val="20"/>
          <w:szCs w:val="20"/>
        </w:rPr>
        <w:t>Capabilities of South Africans.</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3: </w:t>
      </w:r>
      <w:r w:rsidRPr="000E7F48">
        <w:rPr>
          <w:rFonts w:ascii="Arial" w:hAnsi="Arial" w:cs="Arial"/>
          <w:sz w:val="20"/>
          <w:szCs w:val="20"/>
        </w:rPr>
        <w:tab/>
      </w:r>
      <w:r w:rsidRPr="000E7F48">
        <w:rPr>
          <w:rFonts w:ascii="Arial" w:hAnsi="Arial" w:cs="Arial"/>
          <w:i/>
          <w:iCs/>
          <w:sz w:val="20"/>
          <w:szCs w:val="20"/>
        </w:rPr>
        <w:t>Education, Skills and Health.</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4: </w:t>
      </w:r>
      <w:r w:rsidR="009B5D94" w:rsidRPr="000E7F48">
        <w:rPr>
          <w:rFonts w:ascii="Arial" w:hAnsi="Arial" w:cs="Arial"/>
          <w:sz w:val="20"/>
          <w:szCs w:val="20"/>
        </w:rPr>
        <w:tab/>
      </w:r>
      <w:r w:rsidRPr="000E7F48">
        <w:rPr>
          <w:rFonts w:ascii="Arial" w:hAnsi="Arial" w:cs="Arial"/>
          <w:i/>
          <w:iCs/>
          <w:sz w:val="20"/>
          <w:szCs w:val="20"/>
        </w:rPr>
        <w:t>Consolidating of Social wage through reliable and Basic Services.</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5: </w:t>
      </w:r>
      <w:r w:rsidR="009B5D94" w:rsidRPr="000E7F48">
        <w:rPr>
          <w:rFonts w:ascii="Arial" w:hAnsi="Arial" w:cs="Arial"/>
          <w:sz w:val="20"/>
          <w:szCs w:val="20"/>
        </w:rPr>
        <w:tab/>
      </w:r>
      <w:r w:rsidRPr="000E7F48">
        <w:rPr>
          <w:rFonts w:ascii="Arial" w:hAnsi="Arial" w:cs="Arial"/>
          <w:i/>
          <w:iCs/>
          <w:sz w:val="20"/>
          <w:szCs w:val="20"/>
        </w:rPr>
        <w:t xml:space="preserve">Spatial Development, Human Settlements and Local </w:t>
      </w:r>
      <w:r w:rsidR="00E055A5" w:rsidRPr="000E7F48">
        <w:rPr>
          <w:rFonts w:ascii="Arial" w:hAnsi="Arial" w:cs="Arial"/>
          <w:i/>
          <w:iCs/>
          <w:sz w:val="20"/>
          <w:szCs w:val="20"/>
        </w:rPr>
        <w:t>Government</w:t>
      </w:r>
      <w:r w:rsidRPr="000E7F48">
        <w:rPr>
          <w:rFonts w:ascii="Arial" w:hAnsi="Arial" w:cs="Arial"/>
          <w:i/>
          <w:iCs/>
          <w:sz w:val="20"/>
          <w:szCs w:val="20"/>
        </w:rPr>
        <w:t>.</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6: </w:t>
      </w:r>
      <w:r w:rsidR="009B5D94" w:rsidRPr="000E7F48">
        <w:rPr>
          <w:rFonts w:ascii="Arial" w:hAnsi="Arial" w:cs="Arial"/>
          <w:sz w:val="20"/>
          <w:szCs w:val="20"/>
        </w:rPr>
        <w:tab/>
      </w:r>
      <w:r w:rsidRPr="000E7F48">
        <w:rPr>
          <w:rFonts w:ascii="Arial" w:hAnsi="Arial" w:cs="Arial"/>
          <w:i/>
          <w:iCs/>
          <w:sz w:val="20"/>
          <w:szCs w:val="20"/>
        </w:rPr>
        <w:t>Social</w:t>
      </w:r>
      <w:r w:rsidR="00E055A5" w:rsidRPr="000E7F48">
        <w:rPr>
          <w:rFonts w:ascii="Arial" w:hAnsi="Arial" w:cs="Arial"/>
          <w:i/>
          <w:iCs/>
          <w:sz w:val="20"/>
          <w:szCs w:val="20"/>
        </w:rPr>
        <w:t xml:space="preserve"> Cohesion and Safer Communities</w:t>
      </w:r>
      <w:r w:rsidR="00E055A5" w:rsidRPr="000E7F48">
        <w:rPr>
          <w:rFonts w:ascii="Arial" w:hAnsi="Arial" w:cs="Arial"/>
          <w:sz w:val="20"/>
          <w:szCs w:val="20"/>
        </w:rPr>
        <w:t xml:space="preserve">. </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Pillar 3: </w:t>
      </w:r>
      <w:r w:rsidR="009B5D94" w:rsidRPr="000E7F48">
        <w:rPr>
          <w:rFonts w:ascii="Arial" w:hAnsi="Arial" w:cs="Arial"/>
          <w:sz w:val="20"/>
          <w:szCs w:val="20"/>
        </w:rPr>
        <w:tab/>
      </w:r>
      <w:r w:rsidRPr="000E7F48">
        <w:rPr>
          <w:rFonts w:ascii="Arial" w:hAnsi="Arial" w:cs="Arial"/>
          <w:i/>
          <w:iCs/>
          <w:sz w:val="20"/>
          <w:szCs w:val="20"/>
        </w:rPr>
        <w:t>A Capable State</w:t>
      </w:r>
      <w:r w:rsidRPr="000E7F48">
        <w:rPr>
          <w:rFonts w:ascii="Arial" w:hAnsi="Arial" w:cs="Arial"/>
          <w:sz w:val="20"/>
          <w:szCs w:val="20"/>
        </w:rPr>
        <w:t>.</w:t>
      </w:r>
    </w:p>
    <w:p w:rsidR="00E055A5"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1: </w:t>
      </w:r>
      <w:r w:rsidR="009B5D94" w:rsidRPr="000E7F48">
        <w:rPr>
          <w:rFonts w:ascii="Arial" w:hAnsi="Arial" w:cs="Arial"/>
          <w:sz w:val="20"/>
          <w:szCs w:val="20"/>
        </w:rPr>
        <w:tab/>
      </w:r>
      <w:r w:rsidRPr="000E7F48">
        <w:rPr>
          <w:rFonts w:ascii="Arial" w:hAnsi="Arial" w:cs="Arial"/>
          <w:i/>
          <w:iCs/>
          <w:sz w:val="20"/>
          <w:szCs w:val="20"/>
        </w:rPr>
        <w:t>A Capable, Ethical and Developmental State</w:t>
      </w:r>
      <w:r w:rsidRPr="000E7F48">
        <w:rPr>
          <w:rFonts w:ascii="Arial" w:hAnsi="Arial" w:cs="Arial"/>
          <w:sz w:val="20"/>
          <w:szCs w:val="20"/>
        </w:rPr>
        <w:t>.</w:t>
      </w:r>
    </w:p>
    <w:p w:rsidR="00194FC2" w:rsidRPr="000E7F48" w:rsidRDefault="00194FC2" w:rsidP="000E7F48">
      <w:pPr>
        <w:pStyle w:val="ListParagraph"/>
        <w:numPr>
          <w:ilvl w:val="0"/>
          <w:numId w:val="23"/>
        </w:numPr>
        <w:autoSpaceDE w:val="0"/>
        <w:autoSpaceDN w:val="0"/>
        <w:adjustRightInd w:val="0"/>
        <w:ind w:left="1134"/>
        <w:rPr>
          <w:rFonts w:ascii="Arial" w:hAnsi="Arial" w:cs="Arial"/>
          <w:color w:val="000000"/>
          <w:spacing w:val="6"/>
          <w:sz w:val="20"/>
          <w:szCs w:val="20"/>
          <w:lang w:eastAsia="en-GB"/>
        </w:rPr>
      </w:pPr>
      <w:r w:rsidRPr="000E7F48">
        <w:rPr>
          <w:rFonts w:ascii="Arial" w:hAnsi="Arial" w:cs="Arial"/>
          <w:sz w:val="20"/>
          <w:szCs w:val="20"/>
        </w:rPr>
        <w:t xml:space="preserve">MTSF Priority 7: </w:t>
      </w:r>
      <w:r w:rsidR="009B5D94" w:rsidRPr="000E7F48">
        <w:rPr>
          <w:rFonts w:ascii="Arial" w:hAnsi="Arial" w:cs="Arial"/>
          <w:sz w:val="20"/>
          <w:szCs w:val="20"/>
        </w:rPr>
        <w:tab/>
      </w:r>
      <w:r w:rsidRPr="000E7F48">
        <w:rPr>
          <w:rFonts w:ascii="Arial" w:hAnsi="Arial" w:cs="Arial"/>
          <w:i/>
          <w:iCs/>
          <w:sz w:val="20"/>
          <w:szCs w:val="20"/>
        </w:rPr>
        <w:t>A Better Africa and a Better World</w:t>
      </w:r>
      <w:r w:rsidRPr="000E7F48">
        <w:rPr>
          <w:rFonts w:ascii="Arial" w:hAnsi="Arial" w:cs="Arial"/>
          <w:sz w:val="20"/>
          <w:szCs w:val="20"/>
        </w:rPr>
        <w:t xml:space="preserve">. </w:t>
      </w:r>
    </w:p>
    <w:p w:rsidR="00000ABE" w:rsidRPr="000E7F48" w:rsidRDefault="00000ABE" w:rsidP="000E7F48">
      <w:pPr>
        <w:spacing w:after="0" w:line="240" w:lineRule="auto"/>
        <w:rPr>
          <w:rFonts w:ascii="Arial" w:eastAsia="Times New Roman" w:hAnsi="Arial" w:cs="Arial"/>
          <w:color w:val="000000"/>
          <w:spacing w:val="6"/>
          <w:sz w:val="20"/>
          <w:szCs w:val="20"/>
          <w:lang w:val="en-GB" w:eastAsia="en-GB"/>
        </w:rPr>
      </w:pPr>
    </w:p>
    <w:p w:rsidR="00E055A5" w:rsidRPr="000E7F48" w:rsidRDefault="00E055A5" w:rsidP="000E7F48">
      <w:pPr>
        <w:spacing w:after="0" w:line="240" w:lineRule="auto"/>
        <w:outlineLvl w:val="0"/>
        <w:rPr>
          <w:rFonts w:ascii="Arial" w:hAnsi="Arial" w:cs="Arial"/>
          <w:color w:val="000000"/>
          <w:spacing w:val="6"/>
          <w:sz w:val="20"/>
          <w:szCs w:val="20"/>
          <w:lang w:eastAsia="en-GB"/>
        </w:rPr>
      </w:pPr>
      <w:r w:rsidRPr="000E7F48">
        <w:rPr>
          <w:rFonts w:ascii="Arial" w:hAnsi="Arial" w:cs="Arial"/>
          <w:b/>
          <w:color w:val="000000"/>
          <w:spacing w:val="6"/>
          <w:sz w:val="20"/>
          <w:szCs w:val="20"/>
          <w:lang w:eastAsia="en-GB"/>
        </w:rPr>
        <w:t xml:space="preserve">The National Growth Path. </w:t>
      </w:r>
    </w:p>
    <w:p w:rsidR="00E055A5" w:rsidRPr="000E7F48" w:rsidRDefault="00E055A5" w:rsidP="000E7F48">
      <w:pPr>
        <w:spacing w:after="0" w:line="240" w:lineRule="auto"/>
        <w:rPr>
          <w:rFonts w:ascii="Arial" w:hAnsi="Arial" w:cs="Arial"/>
          <w:sz w:val="20"/>
          <w:szCs w:val="20"/>
          <w:lang w:eastAsia="en-GB"/>
        </w:rPr>
      </w:pPr>
      <w:r w:rsidRPr="000E7F48">
        <w:rPr>
          <w:rFonts w:ascii="Arial" w:hAnsi="Arial" w:cs="Arial"/>
          <w:sz w:val="20"/>
          <w:szCs w:val="20"/>
          <w:lang w:eastAsia="en-GB"/>
        </w:rPr>
        <w:t>The principle target of the policy is to create five million jobs by the year 2005. The DOD will endeavour to support the NGP through</w:t>
      </w:r>
      <w:r w:rsidR="00054834" w:rsidRPr="000E7F48">
        <w:rPr>
          <w:rFonts w:ascii="Arial" w:hAnsi="Arial" w:cs="Arial"/>
          <w:sz w:val="20"/>
          <w:szCs w:val="20"/>
          <w:lang w:eastAsia="en-GB"/>
        </w:rPr>
        <w:t xml:space="preserve"> DOD Internships, the </w:t>
      </w:r>
      <w:r w:rsidRPr="000E7F48">
        <w:rPr>
          <w:rFonts w:ascii="Arial" w:hAnsi="Arial" w:cs="Arial"/>
          <w:sz w:val="20"/>
          <w:szCs w:val="20"/>
          <w:lang w:eastAsia="en-GB"/>
        </w:rPr>
        <w:t>National Y</w:t>
      </w:r>
      <w:r w:rsidR="00054834" w:rsidRPr="000E7F48">
        <w:rPr>
          <w:rFonts w:ascii="Arial" w:hAnsi="Arial" w:cs="Arial"/>
          <w:sz w:val="20"/>
          <w:szCs w:val="20"/>
          <w:lang w:eastAsia="en-GB"/>
        </w:rPr>
        <w:t>outh Services and t</w:t>
      </w:r>
      <w:r w:rsidRPr="000E7F48">
        <w:rPr>
          <w:rFonts w:ascii="Arial" w:hAnsi="Arial" w:cs="Arial"/>
          <w:sz w:val="20"/>
          <w:szCs w:val="20"/>
          <w:lang w:eastAsia="en-GB"/>
        </w:rPr>
        <w:t>he Defence Industry job creation.</w:t>
      </w:r>
    </w:p>
    <w:p w:rsidR="00054834" w:rsidRPr="000E7F48" w:rsidRDefault="00054834" w:rsidP="000E7F48">
      <w:pPr>
        <w:spacing w:after="0" w:line="240" w:lineRule="auto"/>
        <w:rPr>
          <w:rFonts w:ascii="Arial" w:hAnsi="Arial" w:cs="Arial"/>
          <w:sz w:val="20"/>
          <w:szCs w:val="20"/>
          <w:lang w:eastAsia="en-GB"/>
        </w:rPr>
      </w:pPr>
    </w:p>
    <w:p w:rsidR="00E055A5" w:rsidRPr="000E7F48" w:rsidRDefault="00E055A5" w:rsidP="000E7F48">
      <w:pPr>
        <w:spacing w:after="0" w:line="240" w:lineRule="auto"/>
        <w:rPr>
          <w:rFonts w:ascii="Arial" w:hAnsi="Arial" w:cs="Arial"/>
          <w:b/>
          <w:sz w:val="20"/>
          <w:szCs w:val="20"/>
          <w:lang w:eastAsia="en-GB"/>
        </w:rPr>
      </w:pPr>
      <w:r w:rsidRPr="000E7F48">
        <w:rPr>
          <w:rFonts w:ascii="Arial" w:hAnsi="Arial" w:cs="Arial"/>
          <w:b/>
          <w:sz w:val="20"/>
          <w:szCs w:val="20"/>
          <w:lang w:eastAsia="en-GB"/>
        </w:rPr>
        <w:t xml:space="preserve">The Industrial Policy Action Plan (IPAP). </w:t>
      </w:r>
    </w:p>
    <w:p w:rsidR="00E055A5" w:rsidRPr="000E7F48" w:rsidRDefault="00E055A5" w:rsidP="000E7F48">
      <w:pPr>
        <w:spacing w:after="0" w:line="240" w:lineRule="auto"/>
        <w:rPr>
          <w:rFonts w:ascii="Arial" w:hAnsi="Arial" w:cs="Arial"/>
          <w:sz w:val="20"/>
          <w:szCs w:val="20"/>
          <w:lang w:eastAsia="en-GB"/>
        </w:rPr>
      </w:pPr>
      <w:r w:rsidRPr="000E7F48">
        <w:rPr>
          <w:rFonts w:ascii="Arial" w:hAnsi="Arial" w:cs="Arial"/>
          <w:sz w:val="20"/>
          <w:szCs w:val="20"/>
          <w:lang w:eastAsia="en-GB"/>
        </w:rPr>
        <w:t>The DOD will play a role and support the IPAP in Public Private Government Initiative (PPGI) through the promulgated Defence Industry Strategy.</w:t>
      </w:r>
    </w:p>
    <w:p w:rsidR="00E055A5" w:rsidRPr="000E7F48" w:rsidRDefault="00E055A5" w:rsidP="000E7F48">
      <w:pPr>
        <w:spacing w:after="0" w:line="240" w:lineRule="auto"/>
        <w:ind w:left="720"/>
        <w:rPr>
          <w:rFonts w:ascii="Arial" w:hAnsi="Arial" w:cs="Arial"/>
          <w:sz w:val="20"/>
          <w:szCs w:val="20"/>
          <w:lang w:eastAsia="en-GB"/>
        </w:rPr>
      </w:pPr>
    </w:p>
    <w:p w:rsidR="00E055A5" w:rsidRPr="000E7F48" w:rsidRDefault="00E055A5" w:rsidP="000E7F48">
      <w:pPr>
        <w:spacing w:after="0" w:line="240" w:lineRule="auto"/>
        <w:outlineLvl w:val="0"/>
        <w:rPr>
          <w:rFonts w:ascii="Arial" w:hAnsi="Arial" w:cs="Arial"/>
          <w:color w:val="000000"/>
          <w:spacing w:val="6"/>
          <w:sz w:val="20"/>
          <w:szCs w:val="20"/>
          <w:lang w:eastAsia="en-GB"/>
        </w:rPr>
      </w:pPr>
      <w:r w:rsidRPr="000E7F48">
        <w:rPr>
          <w:rFonts w:ascii="Arial" w:hAnsi="Arial" w:cs="Arial"/>
          <w:b/>
          <w:color w:val="000000"/>
          <w:spacing w:val="6"/>
          <w:sz w:val="20"/>
          <w:szCs w:val="20"/>
          <w:lang w:eastAsia="en-GB"/>
        </w:rPr>
        <w:t>The 202</w:t>
      </w:r>
      <w:r w:rsidR="00054834" w:rsidRPr="000E7F48">
        <w:rPr>
          <w:rFonts w:ascii="Arial" w:hAnsi="Arial" w:cs="Arial"/>
          <w:b/>
          <w:color w:val="000000"/>
          <w:spacing w:val="6"/>
          <w:sz w:val="20"/>
          <w:szCs w:val="20"/>
          <w:lang w:eastAsia="en-GB"/>
        </w:rPr>
        <w:t>3</w:t>
      </w:r>
      <w:r w:rsidRPr="000E7F48">
        <w:rPr>
          <w:rFonts w:ascii="Arial" w:hAnsi="Arial" w:cs="Arial"/>
          <w:b/>
          <w:color w:val="000000"/>
          <w:spacing w:val="6"/>
          <w:sz w:val="20"/>
          <w:szCs w:val="20"/>
          <w:lang w:eastAsia="en-GB"/>
        </w:rPr>
        <w:t xml:space="preserve"> State of the Nation Address (SONA). </w:t>
      </w:r>
    </w:p>
    <w:p w:rsidR="00054834" w:rsidRPr="000E7F48" w:rsidRDefault="00054834" w:rsidP="000E7F48">
      <w:pPr>
        <w:spacing w:after="0" w:line="240" w:lineRule="auto"/>
        <w:rPr>
          <w:rFonts w:ascii="Arial" w:hAnsi="Arial" w:cs="Arial"/>
          <w:sz w:val="20"/>
          <w:szCs w:val="20"/>
          <w:lang w:eastAsia="en-GB"/>
        </w:rPr>
      </w:pPr>
      <w:r w:rsidRPr="000E7F48">
        <w:rPr>
          <w:rFonts w:ascii="Arial" w:hAnsi="Arial" w:cs="Arial"/>
          <w:sz w:val="20"/>
          <w:szCs w:val="20"/>
          <w:lang w:eastAsia="en-GB"/>
        </w:rPr>
        <w:lastRenderedPageBreak/>
        <w:t xml:space="preserve">The DOD will assist in relation to undertakings from the 2023 SONA by President Ramaphosa, as delivered on 9 February 2023. The DOD’s involvement relates to the delivery of bridges in rural areas under the </w:t>
      </w:r>
      <w:r w:rsidRPr="000E7F48">
        <w:rPr>
          <w:rFonts w:ascii="Arial" w:hAnsi="Arial" w:cs="Arial"/>
          <w:i/>
          <w:sz w:val="20"/>
          <w:szCs w:val="20"/>
          <w:lang w:eastAsia="en-GB"/>
        </w:rPr>
        <w:t>Welisizwe Bridge programme</w:t>
      </w:r>
      <w:r w:rsidRPr="000E7F48">
        <w:rPr>
          <w:rFonts w:ascii="Arial" w:hAnsi="Arial" w:cs="Arial"/>
          <w:sz w:val="20"/>
          <w:szCs w:val="20"/>
          <w:lang w:eastAsia="en-GB"/>
        </w:rPr>
        <w:t>. The DOD will aim to deliver 95 bridges a year from the current 24 in conjunction with the Department of Public Works and Infrastructure.</w:t>
      </w:r>
    </w:p>
    <w:p w:rsidR="00054834" w:rsidRPr="000E7F48" w:rsidRDefault="00054834" w:rsidP="000E7F48">
      <w:pPr>
        <w:spacing w:after="0" w:line="240" w:lineRule="auto"/>
        <w:rPr>
          <w:rFonts w:ascii="Arial" w:hAnsi="Arial" w:cs="Arial"/>
          <w:b/>
          <w:color w:val="000000"/>
          <w:spacing w:val="6"/>
          <w:sz w:val="20"/>
          <w:szCs w:val="20"/>
          <w:lang w:eastAsia="en-GB"/>
        </w:rPr>
      </w:pPr>
      <w:r w:rsidRPr="000E7F48">
        <w:rPr>
          <w:rFonts w:ascii="Arial" w:hAnsi="Arial" w:cs="Arial"/>
          <w:b/>
          <w:color w:val="000000"/>
          <w:spacing w:val="6"/>
          <w:sz w:val="20"/>
          <w:szCs w:val="20"/>
          <w:lang w:eastAsia="en-GB"/>
        </w:rPr>
        <w:t>3.4</w:t>
      </w:r>
      <w:r w:rsidRPr="000E7F48">
        <w:rPr>
          <w:rFonts w:ascii="Arial" w:hAnsi="Arial" w:cs="Arial"/>
          <w:b/>
          <w:color w:val="000000"/>
          <w:spacing w:val="6"/>
          <w:sz w:val="20"/>
          <w:szCs w:val="20"/>
          <w:lang w:eastAsia="en-GB"/>
        </w:rPr>
        <w:tab/>
        <w:t>Ministerial and departmental priorities</w:t>
      </w:r>
    </w:p>
    <w:p w:rsidR="00194FC2" w:rsidRPr="000E7F48" w:rsidRDefault="00734CF2" w:rsidP="000E7F48">
      <w:pPr>
        <w:spacing w:after="0" w:line="240" w:lineRule="auto"/>
        <w:rPr>
          <w:rFonts w:ascii="Arial" w:hAnsi="Arial" w:cs="Arial"/>
          <w:bCs/>
          <w:color w:val="000000"/>
          <w:spacing w:val="6"/>
          <w:sz w:val="20"/>
          <w:szCs w:val="20"/>
          <w:lang w:eastAsia="en-GB"/>
        </w:rPr>
      </w:pPr>
      <w:r w:rsidRPr="000E7F48">
        <w:rPr>
          <w:rFonts w:ascii="Arial" w:hAnsi="Arial" w:cs="Arial"/>
          <w:color w:val="000000"/>
          <w:spacing w:val="6"/>
          <w:sz w:val="20"/>
          <w:szCs w:val="20"/>
          <w:lang w:eastAsia="en-GB"/>
        </w:rPr>
        <w:t>T</w:t>
      </w:r>
      <w:r w:rsidR="00194FC2" w:rsidRPr="000E7F48">
        <w:rPr>
          <w:rFonts w:ascii="Arial" w:hAnsi="Arial" w:cs="Arial"/>
          <w:bCs/>
          <w:color w:val="000000"/>
          <w:spacing w:val="6"/>
          <w:sz w:val="20"/>
          <w:szCs w:val="20"/>
          <w:lang w:eastAsia="en-GB"/>
        </w:rPr>
        <w:t>he Table below which highlights key focus areas on each priority by the Minister of Defence, the Secretary for Defence, as well as the Chief of the SANDF:</w:t>
      </w:r>
    </w:p>
    <w:tbl>
      <w:tblPr>
        <w:tblStyle w:val="TableGrid"/>
        <w:tblW w:w="10066" w:type="dxa"/>
        <w:tblInd w:w="-431" w:type="dxa"/>
        <w:tblLook w:val="04A0"/>
      </w:tblPr>
      <w:tblGrid>
        <w:gridCol w:w="1628"/>
        <w:gridCol w:w="2896"/>
        <w:gridCol w:w="2508"/>
        <w:gridCol w:w="3034"/>
      </w:tblGrid>
      <w:tr w:rsidR="00054834" w:rsidRPr="000E7F48" w:rsidTr="00054834">
        <w:trPr>
          <w:tblHeader/>
        </w:trPr>
        <w:tc>
          <w:tcPr>
            <w:tcW w:w="1419" w:type="dxa"/>
            <w:shd w:val="clear" w:color="auto" w:fill="D9D9D9" w:themeFill="background1" w:themeFillShade="D9"/>
          </w:tcPr>
          <w:p w:rsidR="00054834" w:rsidRPr="000E7F48" w:rsidRDefault="00054834" w:rsidP="000E7F48">
            <w:pPr>
              <w:rPr>
                <w:rFonts w:ascii="Arial" w:hAnsi="Arial" w:cs="Arial"/>
                <w:b/>
                <w:sz w:val="20"/>
                <w:szCs w:val="20"/>
              </w:rPr>
            </w:pPr>
            <w:r w:rsidRPr="000E7F48">
              <w:rPr>
                <w:rFonts w:ascii="Arial" w:hAnsi="Arial" w:cs="Arial"/>
                <w:b/>
                <w:sz w:val="20"/>
                <w:szCs w:val="20"/>
              </w:rPr>
              <w:t>PRIORITY</w:t>
            </w:r>
          </w:p>
        </w:tc>
        <w:tc>
          <w:tcPr>
            <w:tcW w:w="2976" w:type="dxa"/>
            <w:shd w:val="clear" w:color="auto" w:fill="D9D9D9" w:themeFill="background1" w:themeFillShade="D9"/>
          </w:tcPr>
          <w:p w:rsidR="00054834" w:rsidRPr="000E7F48" w:rsidRDefault="00054834" w:rsidP="000E7F48">
            <w:pPr>
              <w:rPr>
                <w:rFonts w:ascii="Arial" w:hAnsi="Arial" w:cs="Arial"/>
                <w:b/>
                <w:sz w:val="20"/>
                <w:szCs w:val="20"/>
              </w:rPr>
            </w:pPr>
            <w:r w:rsidRPr="000E7F48">
              <w:rPr>
                <w:rFonts w:ascii="Arial" w:hAnsi="Arial" w:cs="Arial"/>
                <w:b/>
                <w:sz w:val="20"/>
                <w:szCs w:val="20"/>
              </w:rPr>
              <w:t>MINISTER OF DEFENCE FOCUS AREAS</w:t>
            </w:r>
          </w:p>
        </w:tc>
        <w:tc>
          <w:tcPr>
            <w:tcW w:w="2552" w:type="dxa"/>
            <w:shd w:val="clear" w:color="auto" w:fill="D9D9D9" w:themeFill="background1" w:themeFillShade="D9"/>
          </w:tcPr>
          <w:p w:rsidR="00054834" w:rsidRPr="000E7F48" w:rsidRDefault="00054834" w:rsidP="000E7F48">
            <w:pPr>
              <w:rPr>
                <w:rFonts w:ascii="Arial" w:hAnsi="Arial" w:cs="Arial"/>
                <w:b/>
                <w:sz w:val="20"/>
                <w:szCs w:val="20"/>
              </w:rPr>
            </w:pPr>
            <w:r w:rsidRPr="000E7F48">
              <w:rPr>
                <w:rFonts w:ascii="Arial" w:hAnsi="Arial" w:cs="Arial"/>
                <w:b/>
                <w:bCs/>
                <w:sz w:val="20"/>
                <w:szCs w:val="20"/>
              </w:rPr>
              <w:t>SECDEF FOCUS AREAS</w:t>
            </w:r>
          </w:p>
        </w:tc>
        <w:tc>
          <w:tcPr>
            <w:tcW w:w="3119" w:type="dxa"/>
            <w:shd w:val="clear" w:color="auto" w:fill="D9D9D9" w:themeFill="background1" w:themeFillShade="D9"/>
          </w:tcPr>
          <w:p w:rsidR="00054834" w:rsidRPr="000E7F48" w:rsidRDefault="00054834" w:rsidP="000E7F48">
            <w:pPr>
              <w:rPr>
                <w:rFonts w:ascii="Arial" w:hAnsi="Arial" w:cs="Arial"/>
                <w:b/>
                <w:sz w:val="20"/>
                <w:szCs w:val="20"/>
              </w:rPr>
            </w:pPr>
            <w:r w:rsidRPr="000E7F48">
              <w:rPr>
                <w:rFonts w:ascii="Arial" w:hAnsi="Arial" w:cs="Arial"/>
                <w:b/>
                <w:sz w:val="20"/>
                <w:szCs w:val="20"/>
              </w:rPr>
              <w:t>CHIEF SANDF FOCUS AREAS</w:t>
            </w:r>
          </w:p>
        </w:tc>
      </w:tr>
      <w:tr w:rsidR="00054834" w:rsidRPr="000E7F48" w:rsidTr="00054834">
        <w:tc>
          <w:tcPr>
            <w:tcW w:w="1419" w:type="dxa"/>
            <w:vMerge w:val="restart"/>
            <w:shd w:val="clear" w:color="auto" w:fill="D9D9D9" w:themeFill="background1" w:themeFillShade="D9"/>
          </w:tcPr>
          <w:p w:rsidR="00054834" w:rsidRPr="000E7F48" w:rsidRDefault="00054834" w:rsidP="000E7F48">
            <w:pPr>
              <w:rPr>
                <w:rFonts w:ascii="Arial" w:hAnsi="Arial" w:cs="Arial"/>
                <w:sz w:val="20"/>
                <w:szCs w:val="20"/>
              </w:rPr>
            </w:pPr>
            <w:r w:rsidRPr="000E7F48">
              <w:rPr>
                <w:rFonts w:ascii="Arial" w:hAnsi="Arial" w:cs="Arial"/>
                <w:b/>
                <w:sz w:val="20"/>
                <w:szCs w:val="20"/>
              </w:rPr>
              <w:t>Strategic Direction</w:t>
            </w:r>
          </w:p>
        </w:tc>
        <w:tc>
          <w:tcPr>
            <w:tcW w:w="2976" w:type="dxa"/>
          </w:tcPr>
          <w:p w:rsidR="00054834" w:rsidRPr="000E7F48" w:rsidRDefault="00054834" w:rsidP="000E7F48">
            <w:pPr>
              <w:rPr>
                <w:rFonts w:ascii="Arial" w:hAnsi="Arial" w:cs="Arial"/>
                <w:sz w:val="20"/>
                <w:szCs w:val="20"/>
              </w:rPr>
            </w:pPr>
            <w:r w:rsidRPr="000E7F48">
              <w:rPr>
                <w:rFonts w:ascii="Arial" w:hAnsi="Arial" w:cs="Arial"/>
                <w:sz w:val="20"/>
                <w:szCs w:val="20"/>
              </w:rPr>
              <w:t>Implementation of 2015 Defence Review (Arresting the Decline in the DOD).</w:t>
            </w:r>
          </w:p>
        </w:tc>
        <w:tc>
          <w:tcPr>
            <w:tcW w:w="2552" w:type="dxa"/>
          </w:tcPr>
          <w:p w:rsidR="00054834" w:rsidRPr="000E7F48" w:rsidRDefault="00054834" w:rsidP="000E7F48">
            <w:pPr>
              <w:rPr>
                <w:rFonts w:ascii="Arial" w:hAnsi="Arial" w:cs="Arial"/>
                <w:sz w:val="20"/>
                <w:szCs w:val="20"/>
              </w:rPr>
            </w:pPr>
            <w:r w:rsidRPr="000E7F48">
              <w:rPr>
                <w:rFonts w:ascii="Arial" w:hAnsi="Arial" w:cs="Arial"/>
                <w:sz w:val="20"/>
                <w:szCs w:val="20"/>
              </w:rPr>
              <w:t>Pursue implementation of the principles and recommendations of the 2015 Defence Review.</w:t>
            </w: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Maintain military capabilities required for operations.</w:t>
            </w:r>
          </w:p>
          <w:p w:rsidR="00054834" w:rsidRPr="000E7F48" w:rsidRDefault="00054834" w:rsidP="000E7F48">
            <w:pPr>
              <w:rPr>
                <w:rFonts w:ascii="Arial" w:hAnsi="Arial" w:cs="Arial"/>
                <w:sz w:val="20"/>
                <w:szCs w:val="20"/>
              </w:rPr>
            </w:pPr>
            <w:r w:rsidRPr="000E7F48">
              <w:rPr>
                <w:rFonts w:ascii="Arial" w:hAnsi="Arial" w:cs="Arial"/>
                <w:sz w:val="20"/>
                <w:szCs w:val="20"/>
              </w:rPr>
              <w:t>Continued investment in research and development.</w:t>
            </w: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tcPr>
          <w:p w:rsidR="00054834" w:rsidRPr="000E7F48" w:rsidRDefault="00054834" w:rsidP="000E7F48">
            <w:pPr>
              <w:rPr>
                <w:rFonts w:ascii="Arial" w:hAnsi="Arial" w:cs="Arial"/>
                <w:sz w:val="20"/>
                <w:szCs w:val="20"/>
              </w:rPr>
            </w:pPr>
            <w:r w:rsidRPr="000E7F48">
              <w:rPr>
                <w:rFonts w:ascii="Arial" w:hAnsi="Arial" w:cs="Arial"/>
                <w:sz w:val="20"/>
                <w:szCs w:val="20"/>
              </w:rPr>
              <w:t>Ensuring appropriate organisational form and structure.</w:t>
            </w:r>
          </w:p>
        </w:tc>
        <w:tc>
          <w:tcPr>
            <w:tcW w:w="2552" w:type="dxa"/>
          </w:tcPr>
          <w:p w:rsidR="00054834" w:rsidRPr="000E7F48" w:rsidRDefault="00054834" w:rsidP="000E7F48">
            <w:pPr>
              <w:rPr>
                <w:rFonts w:ascii="Arial" w:hAnsi="Arial" w:cs="Arial"/>
                <w:sz w:val="20"/>
                <w:szCs w:val="20"/>
              </w:rPr>
            </w:pPr>
            <w:r w:rsidRPr="000E7F48">
              <w:rPr>
                <w:rFonts w:ascii="Arial" w:hAnsi="Arial" w:cs="Arial"/>
                <w:sz w:val="20"/>
                <w:szCs w:val="20"/>
              </w:rPr>
              <w:t>Prepare a policy position, on a stable resourced Future Defence Concept (Level of Defence Ambition)</w:t>
            </w: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Rejuvenate the personnel component.</w:t>
            </w:r>
          </w:p>
          <w:p w:rsidR="00054834" w:rsidRPr="000E7F48" w:rsidRDefault="00054834" w:rsidP="000E7F48">
            <w:pPr>
              <w:rPr>
                <w:rFonts w:ascii="Arial" w:hAnsi="Arial" w:cs="Arial"/>
                <w:sz w:val="20"/>
                <w:szCs w:val="20"/>
              </w:rPr>
            </w:pPr>
            <w:r w:rsidRPr="000E7F48">
              <w:rPr>
                <w:rFonts w:ascii="Arial" w:hAnsi="Arial" w:cs="Arial"/>
                <w:sz w:val="20"/>
                <w:szCs w:val="20"/>
              </w:rPr>
              <w:t>Align force preparation and personnel development.</w:t>
            </w:r>
          </w:p>
          <w:p w:rsidR="00054834" w:rsidRPr="000E7F48" w:rsidRDefault="00054834" w:rsidP="000E7F48">
            <w:pPr>
              <w:rPr>
                <w:rFonts w:ascii="Arial" w:hAnsi="Arial" w:cs="Arial"/>
                <w:sz w:val="20"/>
                <w:szCs w:val="20"/>
              </w:rPr>
            </w:pPr>
            <w:r w:rsidRPr="000E7F48">
              <w:rPr>
                <w:rFonts w:ascii="Arial" w:hAnsi="Arial" w:cs="Arial"/>
                <w:sz w:val="20"/>
                <w:szCs w:val="20"/>
              </w:rPr>
              <w:t>Develop and implement a “Joint Capstone Concept”.</w:t>
            </w:r>
          </w:p>
          <w:p w:rsidR="00054834" w:rsidRPr="000E7F48" w:rsidRDefault="00054834" w:rsidP="000E7F48">
            <w:pPr>
              <w:rPr>
                <w:rFonts w:ascii="Arial" w:hAnsi="Arial" w:cs="Arial"/>
                <w:sz w:val="20"/>
                <w:szCs w:val="20"/>
              </w:rPr>
            </w:pPr>
            <w:r w:rsidRPr="000E7F48">
              <w:rPr>
                <w:rFonts w:ascii="Arial" w:hAnsi="Arial" w:cs="Arial"/>
                <w:sz w:val="20"/>
                <w:szCs w:val="20"/>
              </w:rPr>
              <w:t>Enhance military leadership.</w:t>
            </w:r>
          </w:p>
          <w:p w:rsidR="00054834" w:rsidRPr="000E7F48" w:rsidRDefault="00054834" w:rsidP="000E7F48">
            <w:pPr>
              <w:rPr>
                <w:rFonts w:ascii="Arial" w:hAnsi="Arial" w:cs="Arial"/>
                <w:sz w:val="20"/>
                <w:szCs w:val="20"/>
              </w:rPr>
            </w:pPr>
            <w:r w:rsidRPr="000E7F48">
              <w:rPr>
                <w:rFonts w:ascii="Arial" w:hAnsi="Arial" w:cs="Arial"/>
                <w:sz w:val="20"/>
                <w:szCs w:val="20"/>
              </w:rPr>
              <w:t>Establish a cyber-defence capability.</w:t>
            </w:r>
          </w:p>
          <w:p w:rsidR="00054834" w:rsidRPr="000E7F48" w:rsidRDefault="00054834" w:rsidP="000E7F48">
            <w:pPr>
              <w:rPr>
                <w:rFonts w:ascii="Arial" w:hAnsi="Arial" w:cs="Arial"/>
                <w:sz w:val="20"/>
                <w:szCs w:val="20"/>
              </w:rPr>
            </w:pPr>
            <w:r w:rsidRPr="000E7F48">
              <w:rPr>
                <w:rFonts w:ascii="Arial" w:hAnsi="Arial" w:cs="Arial"/>
                <w:sz w:val="20"/>
                <w:szCs w:val="20"/>
              </w:rPr>
              <w:t>Reduce and/or combat fraud and mismanagement of resources.</w:t>
            </w:r>
          </w:p>
          <w:p w:rsidR="00054834" w:rsidRPr="000E7F48" w:rsidRDefault="00054834" w:rsidP="000E7F48">
            <w:pPr>
              <w:rPr>
                <w:rFonts w:ascii="Arial" w:hAnsi="Arial" w:cs="Arial"/>
                <w:sz w:val="20"/>
                <w:szCs w:val="20"/>
              </w:rPr>
            </w:pPr>
            <w:r w:rsidRPr="000E7F48">
              <w:rPr>
                <w:rFonts w:ascii="Arial" w:hAnsi="Arial" w:cs="Arial"/>
                <w:sz w:val="20"/>
                <w:szCs w:val="20"/>
              </w:rPr>
              <w:t>Ensure internal systems of control, ethics, accountability and consequence management.</w:t>
            </w:r>
          </w:p>
          <w:p w:rsidR="00054834" w:rsidRPr="000E7F48" w:rsidRDefault="00054834" w:rsidP="000E7F48">
            <w:pPr>
              <w:rPr>
                <w:rFonts w:ascii="Arial" w:hAnsi="Arial" w:cs="Arial"/>
                <w:sz w:val="20"/>
                <w:szCs w:val="20"/>
              </w:rPr>
            </w:pPr>
          </w:p>
        </w:tc>
      </w:tr>
      <w:tr w:rsidR="00054834" w:rsidRPr="000E7F48" w:rsidTr="00054834">
        <w:tc>
          <w:tcPr>
            <w:tcW w:w="1419" w:type="dxa"/>
            <w:vMerge w:val="restart"/>
            <w:shd w:val="clear" w:color="auto" w:fill="D9D9D9" w:themeFill="background1" w:themeFillShade="D9"/>
          </w:tcPr>
          <w:p w:rsidR="00054834" w:rsidRPr="000E7F48" w:rsidRDefault="00054834" w:rsidP="000E7F48">
            <w:pPr>
              <w:rPr>
                <w:rFonts w:ascii="Arial" w:hAnsi="Arial" w:cs="Arial"/>
                <w:b/>
                <w:sz w:val="20"/>
                <w:szCs w:val="20"/>
              </w:rPr>
            </w:pPr>
            <w:r w:rsidRPr="000E7F48">
              <w:rPr>
                <w:rFonts w:ascii="Arial" w:hAnsi="Arial" w:cs="Arial"/>
                <w:b/>
                <w:sz w:val="20"/>
                <w:szCs w:val="20"/>
              </w:rPr>
              <w:t>Departmental Governance, Administration and Accountability</w:t>
            </w:r>
          </w:p>
          <w:p w:rsidR="00054834" w:rsidRPr="000E7F48" w:rsidRDefault="00054834" w:rsidP="000E7F48">
            <w:pPr>
              <w:rPr>
                <w:rFonts w:ascii="Arial" w:hAnsi="Arial" w:cs="Arial"/>
                <w:sz w:val="20"/>
                <w:szCs w:val="20"/>
              </w:rPr>
            </w:pPr>
          </w:p>
        </w:tc>
        <w:tc>
          <w:tcPr>
            <w:tcW w:w="2976" w:type="dxa"/>
          </w:tcPr>
          <w:p w:rsidR="00054834" w:rsidRPr="000E7F48" w:rsidRDefault="00054834" w:rsidP="000E7F48">
            <w:pPr>
              <w:rPr>
                <w:rFonts w:ascii="Arial" w:hAnsi="Arial" w:cs="Arial"/>
                <w:sz w:val="20"/>
                <w:szCs w:val="20"/>
              </w:rPr>
            </w:pPr>
            <w:r w:rsidRPr="000E7F48">
              <w:rPr>
                <w:rFonts w:ascii="Arial" w:hAnsi="Arial" w:cs="Arial"/>
                <w:sz w:val="20"/>
                <w:szCs w:val="20"/>
              </w:rPr>
              <w:t>Ensure departmental governance, administration and accountability at all levels.</w:t>
            </w:r>
          </w:p>
        </w:tc>
        <w:tc>
          <w:tcPr>
            <w:tcW w:w="2552" w:type="dxa"/>
          </w:tcPr>
          <w:p w:rsidR="00054834" w:rsidRPr="000E7F48" w:rsidRDefault="00054834" w:rsidP="000E7F48">
            <w:pPr>
              <w:rPr>
                <w:rFonts w:ascii="Arial" w:hAnsi="Arial" w:cs="Arial"/>
                <w:sz w:val="20"/>
                <w:szCs w:val="20"/>
              </w:rPr>
            </w:pPr>
            <w:r w:rsidRPr="000E7F48">
              <w:rPr>
                <w:rFonts w:ascii="Arial" w:hAnsi="Arial" w:cs="Arial"/>
                <w:sz w:val="20"/>
                <w:szCs w:val="20"/>
              </w:rPr>
              <w:t>Timeous and appropriate accounting to Parliament.</w:t>
            </w: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Focus on procurement efficiency, internal controls to minimise fraud, sweating of assets and disposal of redundant equipment.</w:t>
            </w: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tcPr>
          <w:p w:rsidR="00054834" w:rsidRPr="000E7F48" w:rsidRDefault="00054834" w:rsidP="000E7F48">
            <w:pPr>
              <w:rPr>
                <w:rFonts w:ascii="Arial" w:hAnsi="Arial" w:cs="Arial"/>
                <w:sz w:val="20"/>
                <w:szCs w:val="20"/>
              </w:rPr>
            </w:pPr>
            <w:r w:rsidRPr="000E7F48">
              <w:rPr>
                <w:rFonts w:ascii="Arial" w:hAnsi="Arial" w:cs="Arial"/>
                <w:sz w:val="20"/>
                <w:szCs w:val="20"/>
              </w:rPr>
              <w:t>Revenue generation to supplement budget.</w:t>
            </w:r>
          </w:p>
        </w:tc>
        <w:tc>
          <w:tcPr>
            <w:tcW w:w="2552" w:type="dxa"/>
          </w:tcPr>
          <w:p w:rsidR="00054834" w:rsidRPr="000E7F48" w:rsidRDefault="00054834" w:rsidP="000E7F48">
            <w:pPr>
              <w:rPr>
                <w:rFonts w:ascii="Arial" w:hAnsi="Arial" w:cs="Arial"/>
                <w:sz w:val="20"/>
                <w:szCs w:val="20"/>
              </w:rPr>
            </w:pPr>
            <w:r w:rsidRPr="000E7F48">
              <w:rPr>
                <w:rFonts w:ascii="Arial" w:hAnsi="Arial" w:cs="Arial"/>
                <w:sz w:val="20"/>
                <w:szCs w:val="20"/>
              </w:rPr>
              <w:t>Continuously review the budget allocation.</w:t>
            </w: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Balance between Regulars, Reserves and Civilians.</w:t>
            </w: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val="restart"/>
          </w:tcPr>
          <w:p w:rsidR="00054834" w:rsidRPr="000E7F48" w:rsidRDefault="00054834" w:rsidP="000E7F48">
            <w:pPr>
              <w:rPr>
                <w:rFonts w:ascii="Arial" w:hAnsi="Arial" w:cs="Arial"/>
                <w:sz w:val="20"/>
                <w:szCs w:val="20"/>
              </w:rPr>
            </w:pPr>
            <w:r w:rsidRPr="000E7F48">
              <w:rPr>
                <w:rFonts w:ascii="Arial" w:hAnsi="Arial" w:cs="Arial"/>
                <w:sz w:val="20"/>
                <w:szCs w:val="20"/>
              </w:rPr>
              <w:t>Maintaining the SANDF establishment force levels (Focus on rejuvenation and the role of the reserves).</w:t>
            </w: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Resourced acquisition of a modern off-the-shelf, bespoke, integrated Defence Information Management System.</w:t>
            </w: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Ensuring military discipline.</w:t>
            </w:r>
          </w:p>
          <w:p w:rsidR="00054834" w:rsidRPr="000E7F48" w:rsidRDefault="00054834" w:rsidP="000E7F48">
            <w:pPr>
              <w:rPr>
                <w:rFonts w:ascii="Arial" w:hAnsi="Arial" w:cs="Arial"/>
                <w:sz w:val="20"/>
                <w:szCs w:val="20"/>
              </w:rPr>
            </w:pP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Reduce audit qualifications.</w:t>
            </w:r>
          </w:p>
        </w:tc>
        <w:tc>
          <w:tcPr>
            <w:tcW w:w="3119" w:type="dxa"/>
            <w:vMerge w:val="restart"/>
          </w:tcPr>
          <w:p w:rsidR="00054834" w:rsidRPr="000E7F48" w:rsidRDefault="00054834" w:rsidP="000E7F48">
            <w:pPr>
              <w:rPr>
                <w:rFonts w:ascii="Arial" w:hAnsi="Arial" w:cs="Arial"/>
                <w:sz w:val="20"/>
                <w:szCs w:val="20"/>
              </w:rPr>
            </w:pPr>
            <w:r w:rsidRPr="000E7F48">
              <w:rPr>
                <w:rFonts w:ascii="Arial" w:hAnsi="Arial" w:cs="Arial"/>
                <w:sz w:val="20"/>
                <w:szCs w:val="20"/>
              </w:rPr>
              <w:t>Maintain the current operational capability.</w:t>
            </w: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Reduce irregular, unauthorised and wasteful expenditure and implement consequence management</w:t>
            </w:r>
          </w:p>
        </w:tc>
        <w:tc>
          <w:tcPr>
            <w:tcW w:w="3119" w:type="dxa"/>
            <w:vMerge/>
          </w:tcPr>
          <w:p w:rsidR="00054834" w:rsidRPr="000E7F48" w:rsidRDefault="00054834" w:rsidP="000E7F48">
            <w:pPr>
              <w:rPr>
                <w:rFonts w:ascii="Arial" w:hAnsi="Arial" w:cs="Arial"/>
                <w:sz w:val="20"/>
                <w:szCs w:val="20"/>
              </w:rPr>
            </w:pP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Pay</w:t>
            </w:r>
            <w:r w:rsidR="000069EC" w:rsidRPr="000E7F48">
              <w:rPr>
                <w:rFonts w:ascii="Arial" w:hAnsi="Arial" w:cs="Arial"/>
                <w:sz w:val="20"/>
                <w:szCs w:val="20"/>
              </w:rPr>
              <w:t xml:space="preserve">ment of invoices </w:t>
            </w:r>
            <w:r w:rsidRPr="000E7F48">
              <w:rPr>
                <w:rFonts w:ascii="Arial" w:hAnsi="Arial" w:cs="Arial"/>
                <w:sz w:val="20"/>
                <w:szCs w:val="20"/>
              </w:rPr>
              <w:t>in 30 days.</w:t>
            </w:r>
          </w:p>
        </w:tc>
        <w:tc>
          <w:tcPr>
            <w:tcW w:w="3119" w:type="dxa"/>
            <w:vMerge/>
          </w:tcPr>
          <w:p w:rsidR="00054834" w:rsidRPr="000E7F48" w:rsidRDefault="00054834" w:rsidP="000E7F48">
            <w:pPr>
              <w:rPr>
                <w:rFonts w:ascii="Arial" w:hAnsi="Arial" w:cs="Arial"/>
                <w:sz w:val="20"/>
                <w:szCs w:val="20"/>
              </w:rPr>
            </w:pP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Technical oversight of DOD Public Entities.</w:t>
            </w:r>
          </w:p>
        </w:tc>
        <w:tc>
          <w:tcPr>
            <w:tcW w:w="3119" w:type="dxa"/>
            <w:vMerge/>
          </w:tcPr>
          <w:p w:rsidR="00054834" w:rsidRPr="000E7F48" w:rsidRDefault="00054834" w:rsidP="000E7F48">
            <w:pPr>
              <w:rPr>
                <w:rFonts w:ascii="Arial" w:hAnsi="Arial" w:cs="Arial"/>
                <w:sz w:val="20"/>
                <w:szCs w:val="20"/>
              </w:rPr>
            </w:pP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Pursue the eradication of gender-based violence, femicide, sexual exploitation.</w:t>
            </w:r>
          </w:p>
        </w:tc>
        <w:tc>
          <w:tcPr>
            <w:tcW w:w="3119" w:type="dxa"/>
            <w:vMerge/>
          </w:tcPr>
          <w:p w:rsidR="00054834" w:rsidRPr="000E7F48" w:rsidRDefault="00054834" w:rsidP="000E7F48">
            <w:pPr>
              <w:rPr>
                <w:rFonts w:ascii="Arial" w:hAnsi="Arial" w:cs="Arial"/>
                <w:sz w:val="20"/>
                <w:szCs w:val="20"/>
              </w:rPr>
            </w:pPr>
          </w:p>
        </w:tc>
      </w:tr>
      <w:tr w:rsidR="00054834" w:rsidRPr="000E7F48" w:rsidTr="00054834">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tcPr>
          <w:p w:rsidR="00054834" w:rsidRPr="000E7F48" w:rsidRDefault="00054834" w:rsidP="000E7F48">
            <w:pPr>
              <w:tabs>
                <w:tab w:val="left" w:pos="1240"/>
              </w:tabs>
              <w:rPr>
                <w:rFonts w:ascii="Arial" w:hAnsi="Arial" w:cs="Arial"/>
                <w:sz w:val="20"/>
                <w:szCs w:val="20"/>
              </w:rPr>
            </w:pPr>
            <w:r w:rsidRPr="000E7F48">
              <w:rPr>
                <w:rFonts w:ascii="Arial" w:hAnsi="Arial" w:cs="Arial"/>
                <w:sz w:val="20"/>
                <w:szCs w:val="20"/>
              </w:rPr>
              <w:t>Ensure a Functional DOD Ethics Structure and Capacity</w:t>
            </w:r>
          </w:p>
        </w:tc>
        <w:tc>
          <w:tcPr>
            <w:tcW w:w="3119" w:type="dxa"/>
            <w:vMerge/>
          </w:tcPr>
          <w:p w:rsidR="00054834" w:rsidRPr="000E7F48" w:rsidRDefault="00054834" w:rsidP="000E7F48">
            <w:pPr>
              <w:rPr>
                <w:rFonts w:ascii="Arial" w:hAnsi="Arial" w:cs="Arial"/>
                <w:sz w:val="20"/>
                <w:szCs w:val="20"/>
              </w:rPr>
            </w:pPr>
          </w:p>
        </w:tc>
      </w:tr>
      <w:tr w:rsidR="00054834" w:rsidRPr="000E7F48" w:rsidTr="00054834">
        <w:trPr>
          <w:trHeight w:val="1285"/>
        </w:trPr>
        <w:tc>
          <w:tcPr>
            <w:tcW w:w="1419" w:type="dxa"/>
            <w:vMerge w:val="restart"/>
            <w:shd w:val="clear" w:color="auto" w:fill="D9D9D9" w:themeFill="background1" w:themeFillShade="D9"/>
          </w:tcPr>
          <w:p w:rsidR="00054834" w:rsidRPr="000E7F48" w:rsidRDefault="00054834" w:rsidP="000E7F48">
            <w:pPr>
              <w:rPr>
                <w:rFonts w:ascii="Arial" w:hAnsi="Arial" w:cs="Arial"/>
                <w:b/>
                <w:sz w:val="20"/>
                <w:szCs w:val="20"/>
              </w:rPr>
            </w:pPr>
            <w:r w:rsidRPr="000E7F48">
              <w:rPr>
                <w:rFonts w:ascii="Arial" w:hAnsi="Arial" w:cs="Arial"/>
                <w:b/>
                <w:sz w:val="20"/>
                <w:szCs w:val="20"/>
              </w:rPr>
              <w:lastRenderedPageBreak/>
              <w:t>Ordered defence commitments</w:t>
            </w:r>
          </w:p>
        </w:tc>
        <w:tc>
          <w:tcPr>
            <w:tcW w:w="2976" w:type="dxa"/>
            <w:vMerge w:val="restart"/>
          </w:tcPr>
          <w:p w:rsidR="00054834" w:rsidRPr="000E7F48" w:rsidRDefault="00054834" w:rsidP="000E7F48">
            <w:pPr>
              <w:rPr>
                <w:rFonts w:ascii="Arial" w:hAnsi="Arial" w:cs="Arial"/>
                <w:sz w:val="20"/>
                <w:szCs w:val="20"/>
              </w:rPr>
            </w:pPr>
            <w:r w:rsidRPr="000E7F48">
              <w:rPr>
                <w:rFonts w:ascii="Arial" w:hAnsi="Arial" w:cs="Arial"/>
                <w:sz w:val="20"/>
                <w:szCs w:val="20"/>
              </w:rPr>
              <w:t>Execute Prioritised Ordered Defence Commitments. Focus on</w:t>
            </w:r>
          </w:p>
          <w:p w:rsidR="00054834" w:rsidRPr="000E7F48" w:rsidRDefault="00054834" w:rsidP="000E7F48">
            <w:pPr>
              <w:pStyle w:val="ListParagraph"/>
              <w:numPr>
                <w:ilvl w:val="0"/>
                <w:numId w:val="24"/>
              </w:numPr>
              <w:rPr>
                <w:rFonts w:ascii="Arial" w:hAnsi="Arial" w:cs="Arial"/>
                <w:sz w:val="20"/>
                <w:szCs w:val="20"/>
              </w:rPr>
            </w:pPr>
            <w:r w:rsidRPr="000E7F48">
              <w:rPr>
                <w:rFonts w:ascii="Arial" w:hAnsi="Arial" w:cs="Arial"/>
                <w:sz w:val="20"/>
                <w:szCs w:val="20"/>
              </w:rPr>
              <w:t>Availability of current main operating systems.</w:t>
            </w:r>
          </w:p>
          <w:p w:rsidR="00054834" w:rsidRPr="000E7F48" w:rsidRDefault="00054834" w:rsidP="000E7F48">
            <w:pPr>
              <w:pStyle w:val="ListParagraph"/>
              <w:numPr>
                <w:ilvl w:val="0"/>
                <w:numId w:val="24"/>
              </w:numPr>
              <w:rPr>
                <w:rFonts w:ascii="Arial" w:hAnsi="Arial" w:cs="Arial"/>
                <w:sz w:val="20"/>
                <w:szCs w:val="20"/>
              </w:rPr>
            </w:pPr>
            <w:r w:rsidRPr="000E7F48">
              <w:rPr>
                <w:rFonts w:ascii="Arial" w:hAnsi="Arial" w:cs="Arial"/>
                <w:sz w:val="20"/>
                <w:szCs w:val="20"/>
              </w:rPr>
              <w:t>Better working relationship between DOD and Defence Industry.</w:t>
            </w:r>
          </w:p>
          <w:p w:rsidR="00054834" w:rsidRPr="000E7F48" w:rsidRDefault="00054834" w:rsidP="000E7F48">
            <w:pPr>
              <w:rPr>
                <w:rFonts w:ascii="Arial" w:hAnsi="Arial" w:cs="Arial"/>
                <w:sz w:val="20"/>
                <w:szCs w:val="20"/>
              </w:rPr>
            </w:pPr>
            <w:r w:rsidRPr="000E7F48">
              <w:rPr>
                <w:rFonts w:ascii="Arial" w:hAnsi="Arial" w:cs="Arial"/>
                <w:sz w:val="20"/>
                <w:szCs w:val="20"/>
              </w:rPr>
              <w:t>SANDF will retain its ability to respond to disasters and regional peace and security.</w:t>
            </w:r>
          </w:p>
          <w:p w:rsidR="00054834" w:rsidRPr="000E7F48" w:rsidRDefault="00054834" w:rsidP="000E7F48">
            <w:pPr>
              <w:rPr>
                <w:rFonts w:ascii="Arial" w:hAnsi="Arial" w:cs="Arial"/>
                <w:sz w:val="20"/>
                <w:szCs w:val="20"/>
              </w:rPr>
            </w:pPr>
          </w:p>
        </w:tc>
        <w:tc>
          <w:tcPr>
            <w:tcW w:w="2552" w:type="dxa"/>
            <w:vMerge w:val="restart"/>
          </w:tcPr>
          <w:p w:rsidR="00054834" w:rsidRPr="000E7F48" w:rsidRDefault="00054834" w:rsidP="000E7F48">
            <w:pPr>
              <w:rPr>
                <w:rFonts w:ascii="Arial" w:hAnsi="Arial" w:cs="Arial"/>
                <w:sz w:val="20"/>
                <w:szCs w:val="20"/>
              </w:rPr>
            </w:pPr>
            <w:r w:rsidRPr="000E7F48">
              <w:rPr>
                <w:rFonts w:ascii="Arial" w:hAnsi="Arial" w:cs="Arial"/>
                <w:sz w:val="20"/>
                <w:szCs w:val="20"/>
              </w:rPr>
              <w:t>Ensure that multi-lateral, tri-lateral and bi-lateral instruments are established and managed, that regulate international (external) and domestic (internal) deployments</w:t>
            </w: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Ensure the maximised re-imbursement for internal and external operations and focusing on repair and maintenance of equipment.</w:t>
            </w:r>
          </w:p>
        </w:tc>
      </w:tr>
      <w:tr w:rsidR="00054834" w:rsidRPr="000E7F48" w:rsidTr="00054834">
        <w:trPr>
          <w:trHeight w:val="1285"/>
        </w:trPr>
        <w:tc>
          <w:tcPr>
            <w:tcW w:w="1419" w:type="dxa"/>
            <w:vMerge/>
            <w:shd w:val="clear" w:color="auto" w:fill="D9D9D9" w:themeFill="background1" w:themeFillShade="D9"/>
          </w:tcPr>
          <w:p w:rsidR="00054834" w:rsidRPr="000E7F48" w:rsidRDefault="00054834" w:rsidP="000E7F48">
            <w:pPr>
              <w:rPr>
                <w:rFonts w:ascii="Arial" w:hAnsi="Arial" w:cs="Arial"/>
                <w:b/>
                <w:sz w:val="20"/>
                <w:szCs w:val="20"/>
              </w:rPr>
            </w:pPr>
          </w:p>
        </w:tc>
        <w:tc>
          <w:tcPr>
            <w:tcW w:w="2976" w:type="dxa"/>
            <w:vMerge/>
          </w:tcPr>
          <w:p w:rsidR="00054834" w:rsidRPr="000E7F48" w:rsidRDefault="00054834" w:rsidP="000E7F48">
            <w:pPr>
              <w:rPr>
                <w:rFonts w:ascii="Arial" w:hAnsi="Arial" w:cs="Arial"/>
                <w:sz w:val="20"/>
                <w:szCs w:val="20"/>
              </w:rPr>
            </w:pPr>
          </w:p>
        </w:tc>
        <w:tc>
          <w:tcPr>
            <w:tcW w:w="2552" w:type="dxa"/>
            <w:vMerge/>
          </w:tcPr>
          <w:p w:rsidR="00054834" w:rsidRPr="000E7F48" w:rsidRDefault="00054834" w:rsidP="000E7F48">
            <w:pPr>
              <w:rPr>
                <w:rFonts w:ascii="Arial" w:hAnsi="Arial" w:cs="Arial"/>
                <w:sz w:val="20"/>
                <w:szCs w:val="20"/>
              </w:rPr>
            </w:pPr>
          </w:p>
        </w:tc>
        <w:tc>
          <w:tcPr>
            <w:tcW w:w="3119" w:type="dxa"/>
          </w:tcPr>
          <w:p w:rsidR="00054834" w:rsidRPr="000E7F48" w:rsidRDefault="00054834" w:rsidP="000E7F48">
            <w:pPr>
              <w:rPr>
                <w:rFonts w:ascii="Arial" w:hAnsi="Arial" w:cs="Arial"/>
                <w:sz w:val="20"/>
                <w:szCs w:val="20"/>
              </w:rPr>
            </w:pPr>
            <w:r w:rsidRPr="000E7F48">
              <w:rPr>
                <w:rFonts w:ascii="Arial" w:hAnsi="Arial" w:cs="Arial"/>
                <w:sz w:val="20"/>
                <w:szCs w:val="20"/>
              </w:rPr>
              <w:t>Contribute to external peace missions, search and rescue operations and humanitarian assistance operations, but also focusing on border safeguarding, the Blue Oceans initiative, Project Koba-Tlala and foreign policy objectives.</w:t>
            </w:r>
          </w:p>
        </w:tc>
      </w:tr>
    </w:tbl>
    <w:p w:rsidR="00194FC2" w:rsidRPr="000E7F48" w:rsidRDefault="00194FC2" w:rsidP="000E7F48">
      <w:pPr>
        <w:spacing w:after="0" w:line="240" w:lineRule="auto"/>
        <w:ind w:left="720" w:hanging="720"/>
        <w:rPr>
          <w:rFonts w:ascii="Arial" w:eastAsia="Times New Roman" w:hAnsi="Arial" w:cs="Arial"/>
          <w:b/>
          <w:bCs/>
          <w:color w:val="000000"/>
          <w:spacing w:val="6"/>
          <w:sz w:val="20"/>
          <w:szCs w:val="20"/>
          <w:lang w:val="en-GB" w:eastAsia="en-GB"/>
        </w:rPr>
      </w:pPr>
      <w:r w:rsidRPr="000E7F48">
        <w:rPr>
          <w:rFonts w:ascii="Arial" w:eastAsia="Arial Unicode MS" w:hAnsi="Arial" w:cs="Arial"/>
          <w:b/>
          <w:color w:val="000000"/>
          <w:spacing w:val="6"/>
          <w:sz w:val="20"/>
          <w:szCs w:val="20"/>
          <w:u w:color="000000"/>
          <w:lang w:val="en-GB" w:eastAsia="en-GB"/>
        </w:rPr>
        <w:t xml:space="preserve">Table 1: Priorities of the Minister, the Secretary for Defence and the </w:t>
      </w:r>
      <w:r w:rsidRPr="000E7F48">
        <w:rPr>
          <w:rFonts w:ascii="Arial" w:eastAsia="Times New Roman" w:hAnsi="Arial" w:cs="Arial"/>
          <w:b/>
          <w:bCs/>
          <w:color w:val="000000"/>
          <w:spacing w:val="6"/>
          <w:sz w:val="20"/>
          <w:szCs w:val="20"/>
          <w:lang w:val="en-GB" w:eastAsia="en-GB"/>
        </w:rPr>
        <w:t>Chief of the SANDF</w:t>
      </w:r>
    </w:p>
    <w:p w:rsidR="00194FC2" w:rsidRPr="000E7F48" w:rsidRDefault="00482609" w:rsidP="000E7F48">
      <w:pPr>
        <w:keepNext/>
        <w:keepLines/>
        <w:spacing w:after="0" w:line="240" w:lineRule="auto"/>
        <w:outlineLvl w:val="0"/>
        <w:rPr>
          <w:rFonts w:ascii="Arial" w:eastAsiaTheme="majorEastAsia" w:hAnsi="Arial" w:cs="Arial"/>
          <w:b/>
          <w:caps/>
          <w:sz w:val="20"/>
          <w:szCs w:val="20"/>
        </w:rPr>
      </w:pPr>
      <w:bookmarkStart w:id="0" w:name="_Toc511729027"/>
      <w:r w:rsidRPr="000E7F48">
        <w:rPr>
          <w:rFonts w:ascii="Arial" w:eastAsiaTheme="majorEastAsia" w:hAnsi="Arial" w:cs="Arial"/>
          <w:b/>
          <w:caps/>
          <w:sz w:val="20"/>
          <w:szCs w:val="20"/>
        </w:rPr>
        <w:t>4</w:t>
      </w:r>
      <w:r w:rsidR="00194FC2" w:rsidRPr="000E7F48">
        <w:rPr>
          <w:rFonts w:ascii="Arial" w:eastAsiaTheme="majorEastAsia" w:hAnsi="Arial" w:cs="Arial"/>
          <w:b/>
          <w:caps/>
          <w:sz w:val="20"/>
          <w:szCs w:val="20"/>
        </w:rPr>
        <w:t>.</w:t>
      </w:r>
      <w:r w:rsidR="00194FC2" w:rsidRPr="000E7F48">
        <w:rPr>
          <w:rFonts w:ascii="Arial" w:eastAsiaTheme="majorEastAsia" w:hAnsi="Arial" w:cs="Arial"/>
          <w:b/>
          <w:caps/>
          <w:sz w:val="20"/>
          <w:szCs w:val="20"/>
        </w:rPr>
        <w:tab/>
        <w:t>Overview of the 20</w:t>
      </w:r>
      <w:r w:rsidR="00734CF2" w:rsidRPr="000E7F48">
        <w:rPr>
          <w:rFonts w:ascii="Arial" w:eastAsiaTheme="majorEastAsia" w:hAnsi="Arial" w:cs="Arial"/>
          <w:b/>
          <w:caps/>
          <w:sz w:val="20"/>
          <w:szCs w:val="20"/>
        </w:rPr>
        <w:t>2</w:t>
      </w:r>
      <w:r w:rsidR="00141D05" w:rsidRPr="000E7F48">
        <w:rPr>
          <w:rFonts w:ascii="Arial" w:eastAsiaTheme="majorEastAsia" w:hAnsi="Arial" w:cs="Arial"/>
          <w:b/>
          <w:caps/>
          <w:sz w:val="20"/>
          <w:szCs w:val="20"/>
        </w:rPr>
        <w:t>2</w:t>
      </w:r>
      <w:r w:rsidR="00194FC2" w:rsidRPr="000E7F48">
        <w:rPr>
          <w:rFonts w:ascii="Arial" w:eastAsiaTheme="majorEastAsia" w:hAnsi="Arial" w:cs="Arial"/>
          <w:b/>
          <w:caps/>
          <w:sz w:val="20"/>
          <w:szCs w:val="20"/>
        </w:rPr>
        <w:t>/2</w:t>
      </w:r>
      <w:r w:rsidR="00141D05" w:rsidRPr="000E7F48">
        <w:rPr>
          <w:rFonts w:ascii="Arial" w:eastAsiaTheme="majorEastAsia" w:hAnsi="Arial" w:cs="Arial"/>
          <w:b/>
          <w:caps/>
          <w:sz w:val="20"/>
          <w:szCs w:val="20"/>
        </w:rPr>
        <w:t>3</w:t>
      </w:r>
      <w:r w:rsidR="00194FC2" w:rsidRPr="000E7F48">
        <w:rPr>
          <w:rFonts w:ascii="Arial" w:eastAsiaTheme="majorEastAsia" w:hAnsi="Arial" w:cs="Arial"/>
          <w:b/>
          <w:caps/>
          <w:sz w:val="20"/>
          <w:szCs w:val="20"/>
        </w:rPr>
        <w:t xml:space="preserve"> financial year</w:t>
      </w:r>
      <w:bookmarkEnd w:id="0"/>
    </w:p>
    <w:p w:rsidR="009B5D94" w:rsidRPr="000E7F48" w:rsidRDefault="009B5D94" w:rsidP="000E7F48">
      <w:pPr>
        <w:keepNext/>
        <w:keepLines/>
        <w:spacing w:after="0" w:line="240" w:lineRule="auto"/>
        <w:outlineLvl w:val="0"/>
        <w:rPr>
          <w:rFonts w:ascii="Arial" w:eastAsia="Times New Roman" w:hAnsi="Arial" w:cs="Arial"/>
          <w:bCs/>
          <w:color w:val="000000"/>
          <w:spacing w:val="6"/>
          <w:sz w:val="20"/>
          <w:szCs w:val="20"/>
          <w:lang w:eastAsia="en-GB"/>
        </w:rPr>
      </w:pPr>
      <w:bookmarkStart w:id="1" w:name="_Toc36489525"/>
    </w:p>
    <w:p w:rsidR="00141D05" w:rsidRPr="000E7F48" w:rsidRDefault="00734CF2" w:rsidP="000E7F48">
      <w:pPr>
        <w:keepNext/>
        <w:keepLines/>
        <w:spacing w:after="0" w:line="240" w:lineRule="auto"/>
        <w:outlineLvl w:val="0"/>
        <w:rPr>
          <w:rFonts w:ascii="Arial" w:eastAsia="Times New Roman" w:hAnsi="Arial" w:cs="Arial"/>
          <w:bCs/>
          <w:color w:val="000000"/>
          <w:spacing w:val="6"/>
          <w:sz w:val="20"/>
          <w:szCs w:val="20"/>
          <w:lang w:eastAsia="en-GB"/>
        </w:rPr>
      </w:pPr>
      <w:r w:rsidRPr="000E7F48">
        <w:rPr>
          <w:rFonts w:ascii="Arial" w:eastAsia="Times New Roman" w:hAnsi="Arial" w:cs="Arial"/>
          <w:bCs/>
          <w:color w:val="000000"/>
          <w:spacing w:val="6"/>
          <w:sz w:val="20"/>
          <w:szCs w:val="20"/>
          <w:lang w:eastAsia="en-GB"/>
        </w:rPr>
        <w:t>Verified i</w:t>
      </w:r>
      <w:r w:rsidR="009B5D94" w:rsidRPr="000E7F48">
        <w:rPr>
          <w:rFonts w:ascii="Arial" w:eastAsia="Times New Roman" w:hAnsi="Arial" w:cs="Arial"/>
          <w:bCs/>
          <w:color w:val="000000"/>
          <w:spacing w:val="6"/>
          <w:sz w:val="20"/>
          <w:szCs w:val="20"/>
          <w:lang w:eastAsia="en-GB"/>
        </w:rPr>
        <w:t>nformation on spending and performance by the DOD is only available up to the end of the Third Quarter of 202</w:t>
      </w:r>
      <w:r w:rsidR="00141D05" w:rsidRPr="000E7F48">
        <w:rPr>
          <w:rFonts w:ascii="Arial" w:eastAsia="Times New Roman" w:hAnsi="Arial" w:cs="Arial"/>
          <w:bCs/>
          <w:color w:val="000000"/>
          <w:spacing w:val="6"/>
          <w:sz w:val="20"/>
          <w:szCs w:val="20"/>
          <w:lang w:eastAsia="en-GB"/>
        </w:rPr>
        <w:t>2</w:t>
      </w:r>
      <w:r w:rsidR="009B5D94" w:rsidRPr="000E7F48">
        <w:rPr>
          <w:rFonts w:ascii="Arial" w:eastAsia="Times New Roman" w:hAnsi="Arial" w:cs="Arial"/>
          <w:bCs/>
          <w:color w:val="000000"/>
          <w:spacing w:val="6"/>
          <w:sz w:val="20"/>
          <w:szCs w:val="20"/>
          <w:lang w:eastAsia="en-GB"/>
        </w:rPr>
        <w:t>/2</w:t>
      </w:r>
      <w:r w:rsidR="00141D05" w:rsidRPr="000E7F48">
        <w:rPr>
          <w:rFonts w:ascii="Arial" w:eastAsia="Times New Roman" w:hAnsi="Arial" w:cs="Arial"/>
          <w:bCs/>
          <w:color w:val="000000"/>
          <w:spacing w:val="6"/>
          <w:sz w:val="20"/>
          <w:szCs w:val="20"/>
          <w:lang w:eastAsia="en-GB"/>
        </w:rPr>
        <w:t>3</w:t>
      </w:r>
      <w:r w:rsidR="009B5D94" w:rsidRPr="000E7F48">
        <w:rPr>
          <w:rFonts w:ascii="Arial" w:eastAsia="Times New Roman" w:hAnsi="Arial" w:cs="Arial"/>
          <w:bCs/>
          <w:color w:val="000000"/>
          <w:spacing w:val="6"/>
          <w:sz w:val="20"/>
          <w:szCs w:val="20"/>
          <w:lang w:eastAsia="en-GB"/>
        </w:rPr>
        <w:t xml:space="preserve">. </w:t>
      </w:r>
      <w:r w:rsidR="00141D05" w:rsidRPr="000E7F48">
        <w:rPr>
          <w:rFonts w:ascii="Arial" w:eastAsia="Times New Roman" w:hAnsi="Arial" w:cs="Arial"/>
          <w:bCs/>
          <w:color w:val="000000"/>
          <w:spacing w:val="6"/>
          <w:sz w:val="20"/>
          <w:szCs w:val="20"/>
          <w:lang w:eastAsia="en-GB"/>
        </w:rPr>
        <w:t>The DOD received a total main appropriation of R49.090 billion for the 2022/23 financial year. By the end of the Second Quarter, the Department had spent R24.239 billion (49.4%) of its main appropriation. This level of expenditure was in line with the projected expenditure that was set for R24.209 by the end of the Second Quarter. In terms of economic classification, Compensation of Employees (CoE) was higher than expected by R912 million, with total expenditure of R16.887 billion against projected expenditure of R15.975 billion. As was the case in recent years, higher than projected CoE expenditure has an impact on expenditure on Goods and Services. By the end of the Second Quarter of 2022/23, spending on Goods and Services was R806.9 million lower than the projected R5.762 billion at R4.956 billion. The lower than projected spending on Goods and Services was also due to an administrative backlog at the Department of International Relations and Cooperation (DIRCO) which resulted in a delay in the submission of payment vouchers for military attaché expenditure and delays in the receipt of invoices from the Department of Public Works and Infrastructure regarding the office accommodation.</w:t>
      </w:r>
    </w:p>
    <w:p w:rsidR="009B5D94" w:rsidRPr="000E7F48" w:rsidRDefault="009B5D94" w:rsidP="000E7F48">
      <w:pPr>
        <w:spacing w:after="0" w:line="240" w:lineRule="auto"/>
        <w:rPr>
          <w:rFonts w:ascii="Arial" w:hAnsi="Arial" w:cs="Arial"/>
          <w:sz w:val="20"/>
          <w:szCs w:val="20"/>
          <w:lang w:eastAsia="en-GB"/>
        </w:rPr>
      </w:pPr>
    </w:p>
    <w:p w:rsidR="00194FC2" w:rsidRPr="000E7F48" w:rsidRDefault="00482609" w:rsidP="000E7F48">
      <w:pPr>
        <w:keepNext/>
        <w:keepLines/>
        <w:spacing w:after="0" w:line="240" w:lineRule="auto"/>
        <w:outlineLvl w:val="0"/>
        <w:rPr>
          <w:rFonts w:ascii="Arial" w:eastAsiaTheme="majorEastAsia" w:hAnsi="Arial" w:cs="Arial"/>
          <w:b/>
          <w:bCs/>
          <w:caps/>
          <w:sz w:val="20"/>
          <w:szCs w:val="20"/>
        </w:rPr>
      </w:pPr>
      <w:r w:rsidRPr="000E7F48">
        <w:rPr>
          <w:rFonts w:ascii="Arial" w:eastAsiaTheme="majorEastAsia" w:hAnsi="Arial" w:cs="Arial"/>
          <w:b/>
          <w:bCs/>
          <w:caps/>
          <w:sz w:val="20"/>
          <w:szCs w:val="20"/>
        </w:rPr>
        <w:t>5</w:t>
      </w:r>
      <w:r w:rsidR="00194FC2" w:rsidRPr="000E7F48">
        <w:rPr>
          <w:rFonts w:ascii="Arial" w:eastAsiaTheme="majorEastAsia" w:hAnsi="Arial" w:cs="Arial"/>
          <w:b/>
          <w:bCs/>
          <w:caps/>
          <w:sz w:val="20"/>
          <w:szCs w:val="20"/>
        </w:rPr>
        <w:t>.</w:t>
      </w:r>
      <w:r w:rsidR="00194FC2" w:rsidRPr="000E7F48">
        <w:rPr>
          <w:rFonts w:ascii="Arial" w:eastAsiaTheme="majorEastAsia" w:hAnsi="Arial" w:cs="Arial"/>
          <w:b/>
          <w:bCs/>
          <w:caps/>
          <w:sz w:val="20"/>
          <w:szCs w:val="20"/>
        </w:rPr>
        <w:tab/>
      </w:r>
      <w:r w:rsidRPr="000E7F48">
        <w:rPr>
          <w:rFonts w:ascii="Arial" w:eastAsiaTheme="majorEastAsia" w:hAnsi="Arial" w:cs="Arial"/>
          <w:b/>
          <w:bCs/>
          <w:caps/>
          <w:sz w:val="20"/>
          <w:szCs w:val="20"/>
        </w:rPr>
        <w:t>202</w:t>
      </w:r>
      <w:r w:rsidR="00141D05" w:rsidRPr="000E7F48">
        <w:rPr>
          <w:rFonts w:ascii="Arial" w:eastAsiaTheme="majorEastAsia" w:hAnsi="Arial" w:cs="Arial"/>
          <w:b/>
          <w:bCs/>
          <w:caps/>
          <w:sz w:val="20"/>
          <w:szCs w:val="20"/>
        </w:rPr>
        <w:t>3</w:t>
      </w:r>
      <w:r w:rsidRPr="000E7F48">
        <w:rPr>
          <w:rFonts w:ascii="Arial" w:eastAsiaTheme="majorEastAsia" w:hAnsi="Arial" w:cs="Arial"/>
          <w:b/>
          <w:bCs/>
          <w:caps/>
          <w:sz w:val="20"/>
          <w:szCs w:val="20"/>
        </w:rPr>
        <w:t>/2</w:t>
      </w:r>
      <w:r w:rsidR="00141D05" w:rsidRPr="000E7F48">
        <w:rPr>
          <w:rFonts w:ascii="Arial" w:eastAsiaTheme="majorEastAsia" w:hAnsi="Arial" w:cs="Arial"/>
          <w:b/>
          <w:bCs/>
          <w:caps/>
          <w:sz w:val="20"/>
          <w:szCs w:val="20"/>
        </w:rPr>
        <w:t>4</w:t>
      </w:r>
      <w:r w:rsidRPr="000E7F48">
        <w:rPr>
          <w:rFonts w:ascii="Arial" w:eastAsiaTheme="majorEastAsia" w:hAnsi="Arial" w:cs="Arial"/>
          <w:b/>
          <w:bCs/>
          <w:caps/>
          <w:sz w:val="20"/>
          <w:szCs w:val="20"/>
        </w:rPr>
        <w:t xml:space="preserve"> DOD </w:t>
      </w:r>
      <w:r w:rsidR="00194FC2" w:rsidRPr="000E7F48">
        <w:rPr>
          <w:rFonts w:ascii="Arial" w:eastAsiaTheme="majorEastAsia" w:hAnsi="Arial" w:cs="Arial"/>
          <w:b/>
          <w:bCs/>
          <w:caps/>
          <w:sz w:val="20"/>
          <w:szCs w:val="20"/>
        </w:rPr>
        <w:t>budget analysis</w:t>
      </w:r>
      <w:bookmarkEnd w:id="1"/>
    </w:p>
    <w:p w:rsidR="00194FC2" w:rsidRPr="000E7F48" w:rsidRDefault="00194FC2" w:rsidP="000E7F48">
      <w:pPr>
        <w:keepNext/>
        <w:keepLines/>
        <w:spacing w:after="0" w:line="240" w:lineRule="auto"/>
        <w:outlineLvl w:val="1"/>
        <w:rPr>
          <w:rFonts w:ascii="Arial" w:eastAsiaTheme="majorEastAsia" w:hAnsi="Arial" w:cs="Arial"/>
          <w:sz w:val="20"/>
          <w:szCs w:val="20"/>
        </w:rPr>
      </w:pPr>
      <w:bookmarkStart w:id="2" w:name="_Toc36489526"/>
    </w:p>
    <w:p w:rsidR="00194FC2" w:rsidRPr="000E7F48" w:rsidRDefault="00482609"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5</w:t>
      </w:r>
      <w:r w:rsidR="00194FC2" w:rsidRPr="000E7F48">
        <w:rPr>
          <w:rFonts w:ascii="Arial" w:eastAsiaTheme="majorEastAsia" w:hAnsi="Arial" w:cs="Arial"/>
          <w:b/>
          <w:sz w:val="20"/>
          <w:szCs w:val="20"/>
        </w:rPr>
        <w:t>.1</w:t>
      </w:r>
      <w:r w:rsidR="00194FC2" w:rsidRPr="000E7F48">
        <w:rPr>
          <w:rFonts w:ascii="Arial" w:eastAsiaTheme="majorEastAsia" w:hAnsi="Arial" w:cs="Arial"/>
          <w:b/>
          <w:sz w:val="20"/>
          <w:szCs w:val="20"/>
        </w:rPr>
        <w:tab/>
        <w:t xml:space="preserve">Overview of </w:t>
      </w:r>
      <w:r w:rsidR="00141D05" w:rsidRPr="000E7F48">
        <w:rPr>
          <w:rFonts w:ascii="Arial" w:eastAsiaTheme="majorEastAsia" w:hAnsi="Arial" w:cs="Arial"/>
          <w:b/>
          <w:sz w:val="20"/>
          <w:szCs w:val="20"/>
        </w:rPr>
        <w:t xml:space="preserve">planned </w:t>
      </w:r>
      <w:r w:rsidR="00194FC2" w:rsidRPr="000E7F48">
        <w:rPr>
          <w:rFonts w:ascii="Arial" w:eastAsiaTheme="majorEastAsia" w:hAnsi="Arial" w:cs="Arial"/>
          <w:b/>
          <w:sz w:val="20"/>
          <w:szCs w:val="20"/>
        </w:rPr>
        <w:t>expenditure</w:t>
      </w:r>
      <w:bookmarkEnd w:id="2"/>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41D05" w:rsidRPr="000E7F48" w:rsidRDefault="00141D05"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total allocation for the DOD for 2023/24 is R51.124 billion, which is slightly lower than the adjusted appropriation of R51.601 billion for 2022/23. The latest allocation is, however, higher than the original allocation for the previous year of R49.090 billion. This demonstrates the trend in recent years that National Treasury reimburses the DOD for deployments during the mid-year adjustments budget process. Compared to the adjusted budget of 2022/23, the DOD budget decreases by 0.9% in nominal terms and decreases by 5.56% in real terms</w:t>
      </w:r>
      <w:r w:rsidRPr="000E7F48">
        <w:rPr>
          <w:rFonts w:ascii="Arial" w:eastAsia="Times New Roman" w:hAnsi="Arial" w:cs="Arial"/>
          <w:color w:val="000000"/>
          <w:spacing w:val="6"/>
          <w:sz w:val="20"/>
          <w:szCs w:val="20"/>
          <w:vertAlign w:val="superscript"/>
          <w:lang w:eastAsia="en-GB"/>
        </w:rPr>
        <w:footnoteReference w:id="1"/>
      </w:r>
      <w:r w:rsidRPr="000E7F48">
        <w:rPr>
          <w:rFonts w:ascii="Arial" w:eastAsia="Times New Roman" w:hAnsi="Arial" w:cs="Arial"/>
          <w:color w:val="000000"/>
          <w:spacing w:val="6"/>
          <w:sz w:val="20"/>
          <w:szCs w:val="20"/>
          <w:lang w:eastAsia="en-GB"/>
        </w:rPr>
        <w:t xml:space="preserve"> from 2022/22 to 2023/24. </w:t>
      </w:r>
    </w:p>
    <w:p w:rsidR="00482609" w:rsidRPr="000E7F48" w:rsidRDefault="00482609" w:rsidP="000E7F48">
      <w:pPr>
        <w:spacing w:after="0" w:line="240" w:lineRule="auto"/>
        <w:rPr>
          <w:rFonts w:ascii="Arial" w:eastAsia="Times New Roman" w:hAnsi="Arial" w:cs="Arial"/>
          <w:color w:val="000000"/>
          <w:spacing w:val="6"/>
          <w:sz w:val="20"/>
          <w:szCs w:val="20"/>
          <w:lang w:eastAsia="en-GB"/>
        </w:rPr>
      </w:pPr>
    </w:p>
    <w:p w:rsidR="00482609" w:rsidRPr="000E7F48" w:rsidRDefault="00141D05"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defence allocation for 2023/24 represents 2.28% of the country’s total expenditure of R2.243 trillion (2.48% in the 2022/23 main appropriation). However, as a percentage of GDP for 2023/24 (R7.006 trillion), defence expenditure stands at 0.73% (0.76% in 2022/23).</w:t>
      </w:r>
    </w:p>
    <w:p w:rsidR="00141D05" w:rsidRPr="000E7F48" w:rsidRDefault="00141D05" w:rsidP="000E7F48">
      <w:pPr>
        <w:spacing w:after="0" w:line="240" w:lineRule="auto"/>
        <w:rPr>
          <w:rFonts w:ascii="Arial" w:eastAsia="Times New Roman" w:hAnsi="Arial" w:cs="Arial"/>
          <w:color w:val="000000"/>
          <w:spacing w:val="6"/>
          <w:sz w:val="20"/>
          <w:szCs w:val="20"/>
          <w:lang w:eastAsia="en-GB"/>
        </w:rPr>
      </w:pPr>
    </w:p>
    <w:p w:rsidR="00482609" w:rsidRPr="000E7F48" w:rsidRDefault="00482609"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color w:val="000000"/>
          <w:spacing w:val="6"/>
          <w:sz w:val="20"/>
          <w:szCs w:val="20"/>
          <w:lang w:eastAsia="en-GB"/>
        </w:rPr>
        <w:t>The Table below reflects the nominal and real percentage changes per programme for the DOD’s 202</w:t>
      </w:r>
      <w:r w:rsidR="00141D05" w:rsidRPr="000E7F48">
        <w:rPr>
          <w:rFonts w:ascii="Arial" w:eastAsia="Times New Roman" w:hAnsi="Arial" w:cs="Arial"/>
          <w:color w:val="000000"/>
          <w:spacing w:val="6"/>
          <w:sz w:val="20"/>
          <w:szCs w:val="20"/>
          <w:lang w:eastAsia="en-GB"/>
        </w:rPr>
        <w:t>3</w:t>
      </w:r>
      <w:r w:rsidRPr="000E7F48">
        <w:rPr>
          <w:rFonts w:ascii="Arial" w:eastAsia="Times New Roman" w:hAnsi="Arial" w:cs="Arial"/>
          <w:color w:val="000000"/>
          <w:spacing w:val="6"/>
          <w:sz w:val="20"/>
          <w:szCs w:val="20"/>
          <w:lang w:eastAsia="en-GB"/>
        </w:rPr>
        <w:t>/2</w:t>
      </w:r>
      <w:r w:rsidR="00141D05" w:rsidRPr="000E7F48">
        <w:rPr>
          <w:rFonts w:ascii="Arial" w:eastAsia="Times New Roman" w:hAnsi="Arial" w:cs="Arial"/>
          <w:color w:val="000000"/>
          <w:spacing w:val="6"/>
          <w:sz w:val="20"/>
          <w:szCs w:val="20"/>
          <w:lang w:eastAsia="en-GB"/>
        </w:rPr>
        <w:t>4</w:t>
      </w:r>
      <w:r w:rsidRPr="000E7F48">
        <w:rPr>
          <w:rFonts w:ascii="Arial" w:eastAsia="Times New Roman" w:hAnsi="Arial" w:cs="Arial"/>
          <w:color w:val="000000"/>
          <w:spacing w:val="6"/>
          <w:sz w:val="20"/>
          <w:szCs w:val="20"/>
          <w:lang w:eastAsia="en-GB"/>
        </w:rPr>
        <w:t xml:space="preserve"> budget. </w:t>
      </w:r>
    </w:p>
    <w:p w:rsidR="00482609" w:rsidRPr="000E7F48" w:rsidRDefault="00482609" w:rsidP="000E7F48">
      <w:pPr>
        <w:spacing w:after="0" w:line="240" w:lineRule="auto"/>
        <w:rPr>
          <w:rFonts w:ascii="Arial" w:eastAsia="Times New Roman" w:hAnsi="Arial" w:cs="Arial"/>
          <w:b/>
          <w:color w:val="000000"/>
          <w:spacing w:val="6"/>
          <w:sz w:val="20"/>
          <w:szCs w:val="20"/>
          <w:lang w:val="en-GB" w:eastAsia="en-GB"/>
        </w:rPr>
      </w:pPr>
    </w:p>
    <w:tbl>
      <w:tblPr>
        <w:tblStyle w:val="TableGrid"/>
        <w:tblW w:w="10502" w:type="dxa"/>
        <w:jc w:val="center"/>
        <w:tblLook w:val="04A0"/>
      </w:tblPr>
      <w:tblGrid>
        <w:gridCol w:w="3071"/>
        <w:gridCol w:w="1185"/>
        <w:gridCol w:w="1134"/>
        <w:gridCol w:w="1275"/>
        <w:gridCol w:w="1276"/>
        <w:gridCol w:w="1276"/>
        <w:gridCol w:w="1285"/>
      </w:tblGrid>
      <w:tr w:rsidR="00C25CC8" w:rsidRPr="000E7F48" w:rsidTr="0042177B">
        <w:trPr>
          <w:trHeight w:val="765"/>
          <w:jc w:val="center"/>
        </w:trPr>
        <w:tc>
          <w:tcPr>
            <w:tcW w:w="3071" w:type="dxa"/>
            <w:shd w:val="clear" w:color="auto" w:fill="F2F2F2" w:themeFill="background1" w:themeFillShade="F2"/>
            <w:noWrap/>
            <w:hideMark/>
          </w:tcPr>
          <w:p w:rsidR="00C25CC8" w:rsidRPr="000E7F48" w:rsidRDefault="00C25CC8" w:rsidP="000E7F48">
            <w:pPr>
              <w:rPr>
                <w:rFonts w:ascii="Arial" w:hAnsi="Arial" w:cs="Arial"/>
                <w:b/>
                <w:bCs/>
                <w:sz w:val="20"/>
                <w:szCs w:val="20"/>
              </w:rPr>
            </w:pPr>
            <w:r w:rsidRPr="000E7F48">
              <w:rPr>
                <w:rFonts w:ascii="Arial" w:hAnsi="Arial" w:cs="Arial"/>
                <w:b/>
                <w:bCs/>
                <w:sz w:val="20"/>
                <w:szCs w:val="20"/>
              </w:rPr>
              <w:t>Programme</w:t>
            </w:r>
          </w:p>
        </w:tc>
        <w:tc>
          <w:tcPr>
            <w:tcW w:w="2319" w:type="dxa"/>
            <w:gridSpan w:val="2"/>
            <w:shd w:val="clear" w:color="auto" w:fill="F2F2F2" w:themeFill="background1" w:themeFillShade="F2"/>
            <w:hideMark/>
          </w:tcPr>
          <w:p w:rsidR="00C25CC8" w:rsidRPr="000E7F48" w:rsidRDefault="00C25CC8" w:rsidP="000E7F48">
            <w:pPr>
              <w:rPr>
                <w:rFonts w:ascii="Arial" w:hAnsi="Arial" w:cs="Arial"/>
                <w:b/>
                <w:bCs/>
                <w:sz w:val="20"/>
                <w:szCs w:val="20"/>
              </w:rPr>
            </w:pPr>
            <w:r w:rsidRPr="000E7F48">
              <w:rPr>
                <w:rFonts w:ascii="Arial" w:hAnsi="Arial" w:cs="Arial"/>
                <w:b/>
                <w:bCs/>
                <w:sz w:val="20"/>
                <w:szCs w:val="20"/>
              </w:rPr>
              <w:t>Budget</w:t>
            </w:r>
          </w:p>
        </w:tc>
        <w:tc>
          <w:tcPr>
            <w:tcW w:w="1275" w:type="dxa"/>
            <w:vMerge w:val="restart"/>
            <w:shd w:val="clear" w:color="auto" w:fill="F2F2F2" w:themeFill="background1" w:themeFillShade="F2"/>
            <w:hideMark/>
          </w:tcPr>
          <w:p w:rsidR="00C25CC8" w:rsidRPr="000E7F48" w:rsidRDefault="00C25CC8"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276" w:type="dxa"/>
            <w:vMerge w:val="restart"/>
            <w:shd w:val="clear" w:color="auto" w:fill="F2F2F2" w:themeFill="background1" w:themeFillShade="F2"/>
            <w:hideMark/>
          </w:tcPr>
          <w:p w:rsidR="00C25CC8" w:rsidRPr="000E7F48" w:rsidRDefault="00C25CC8" w:rsidP="000E7F48">
            <w:pPr>
              <w:rPr>
                <w:rFonts w:ascii="Arial" w:hAnsi="Arial" w:cs="Arial"/>
                <w:b/>
                <w:bCs/>
                <w:sz w:val="20"/>
                <w:szCs w:val="20"/>
              </w:rPr>
            </w:pPr>
            <w:r w:rsidRPr="000E7F48">
              <w:rPr>
                <w:rFonts w:ascii="Arial" w:hAnsi="Arial" w:cs="Arial"/>
                <w:b/>
                <w:bCs/>
                <w:sz w:val="20"/>
                <w:szCs w:val="20"/>
              </w:rPr>
              <w:t>Real Increase / Decrease in 2023/24</w:t>
            </w:r>
          </w:p>
        </w:tc>
        <w:tc>
          <w:tcPr>
            <w:tcW w:w="1276" w:type="dxa"/>
            <w:vMerge w:val="restart"/>
            <w:shd w:val="clear" w:color="auto" w:fill="F2F2F2" w:themeFill="background1" w:themeFillShade="F2"/>
            <w:hideMark/>
          </w:tcPr>
          <w:p w:rsidR="00C25CC8" w:rsidRPr="000E7F48" w:rsidRDefault="00C25CC8" w:rsidP="000E7F48">
            <w:pPr>
              <w:rPr>
                <w:rFonts w:ascii="Arial" w:hAnsi="Arial" w:cs="Arial"/>
                <w:b/>
                <w:bCs/>
                <w:sz w:val="20"/>
                <w:szCs w:val="20"/>
              </w:rPr>
            </w:pPr>
            <w:r w:rsidRPr="000E7F48">
              <w:rPr>
                <w:rFonts w:ascii="Arial" w:hAnsi="Arial" w:cs="Arial"/>
                <w:b/>
                <w:bCs/>
                <w:sz w:val="20"/>
                <w:szCs w:val="20"/>
              </w:rPr>
              <w:t>Nominal Percent change in 2023/24</w:t>
            </w:r>
          </w:p>
        </w:tc>
        <w:tc>
          <w:tcPr>
            <w:tcW w:w="1285" w:type="dxa"/>
            <w:vMerge w:val="restart"/>
            <w:shd w:val="clear" w:color="auto" w:fill="F2F2F2" w:themeFill="background1" w:themeFillShade="F2"/>
            <w:hideMark/>
          </w:tcPr>
          <w:p w:rsidR="00C25CC8" w:rsidRPr="000E7F48" w:rsidRDefault="00C25CC8" w:rsidP="000E7F48">
            <w:pPr>
              <w:rPr>
                <w:rFonts w:ascii="Arial" w:hAnsi="Arial" w:cs="Arial"/>
                <w:b/>
                <w:bCs/>
                <w:sz w:val="20"/>
                <w:szCs w:val="20"/>
              </w:rPr>
            </w:pPr>
            <w:r w:rsidRPr="000E7F48">
              <w:rPr>
                <w:rFonts w:ascii="Arial" w:hAnsi="Arial" w:cs="Arial"/>
                <w:b/>
                <w:bCs/>
                <w:sz w:val="20"/>
                <w:szCs w:val="20"/>
              </w:rPr>
              <w:t>Real Percent change in 2023/24</w:t>
            </w:r>
          </w:p>
        </w:tc>
      </w:tr>
      <w:tr w:rsidR="00141D05" w:rsidRPr="000E7F48" w:rsidTr="0042177B">
        <w:trPr>
          <w:trHeight w:val="255"/>
          <w:jc w:val="center"/>
        </w:trPr>
        <w:tc>
          <w:tcPr>
            <w:tcW w:w="3071" w:type="dxa"/>
            <w:shd w:val="clear" w:color="auto" w:fill="F2F2F2" w:themeFill="background1" w:themeFillShade="F2"/>
            <w:noWrap/>
            <w:hideMark/>
          </w:tcPr>
          <w:p w:rsidR="00141D05" w:rsidRPr="000E7F48" w:rsidRDefault="00141D05" w:rsidP="000E7F48">
            <w:pPr>
              <w:rPr>
                <w:rFonts w:ascii="Arial" w:hAnsi="Arial" w:cs="Arial"/>
                <w:b/>
                <w:bCs/>
                <w:sz w:val="20"/>
                <w:szCs w:val="20"/>
              </w:rPr>
            </w:pPr>
            <w:r w:rsidRPr="000E7F48">
              <w:rPr>
                <w:rFonts w:ascii="Arial" w:hAnsi="Arial" w:cs="Arial"/>
                <w:b/>
                <w:bCs/>
                <w:sz w:val="20"/>
                <w:szCs w:val="20"/>
              </w:rPr>
              <w:t>R million</w:t>
            </w:r>
          </w:p>
        </w:tc>
        <w:tc>
          <w:tcPr>
            <w:tcW w:w="1185" w:type="dxa"/>
            <w:shd w:val="clear" w:color="auto" w:fill="F2F2F2" w:themeFill="background1" w:themeFillShade="F2"/>
            <w:noWrap/>
            <w:hideMark/>
          </w:tcPr>
          <w:p w:rsidR="00141D05" w:rsidRPr="000E7F48" w:rsidRDefault="00141D05" w:rsidP="000E7F48">
            <w:pPr>
              <w:rPr>
                <w:rFonts w:ascii="Arial" w:hAnsi="Arial" w:cs="Arial"/>
                <w:b/>
                <w:bCs/>
                <w:sz w:val="20"/>
                <w:szCs w:val="20"/>
              </w:rPr>
            </w:pPr>
            <w:r w:rsidRPr="000E7F48">
              <w:rPr>
                <w:rFonts w:ascii="Arial" w:hAnsi="Arial" w:cs="Arial"/>
                <w:b/>
                <w:bCs/>
                <w:sz w:val="20"/>
                <w:szCs w:val="20"/>
              </w:rPr>
              <w:t>202</w:t>
            </w:r>
            <w:r w:rsidR="00C25CC8" w:rsidRPr="000E7F48">
              <w:rPr>
                <w:rFonts w:ascii="Arial" w:hAnsi="Arial" w:cs="Arial"/>
                <w:b/>
                <w:bCs/>
                <w:sz w:val="20"/>
                <w:szCs w:val="20"/>
              </w:rPr>
              <w:t>2</w:t>
            </w:r>
            <w:r w:rsidRPr="000E7F48">
              <w:rPr>
                <w:rFonts w:ascii="Arial" w:hAnsi="Arial" w:cs="Arial"/>
                <w:b/>
                <w:bCs/>
                <w:sz w:val="20"/>
                <w:szCs w:val="20"/>
              </w:rPr>
              <w:t>/23</w:t>
            </w:r>
          </w:p>
        </w:tc>
        <w:tc>
          <w:tcPr>
            <w:tcW w:w="1134" w:type="dxa"/>
            <w:shd w:val="clear" w:color="auto" w:fill="F2F2F2" w:themeFill="background1" w:themeFillShade="F2"/>
            <w:noWrap/>
            <w:hideMark/>
          </w:tcPr>
          <w:p w:rsidR="00141D05" w:rsidRPr="000E7F48" w:rsidRDefault="00141D05" w:rsidP="000E7F48">
            <w:pPr>
              <w:rPr>
                <w:rFonts w:ascii="Arial" w:hAnsi="Arial" w:cs="Arial"/>
                <w:b/>
                <w:bCs/>
                <w:sz w:val="20"/>
                <w:szCs w:val="20"/>
              </w:rPr>
            </w:pPr>
            <w:r w:rsidRPr="000E7F48">
              <w:rPr>
                <w:rFonts w:ascii="Arial" w:hAnsi="Arial" w:cs="Arial"/>
                <w:b/>
                <w:bCs/>
                <w:sz w:val="20"/>
                <w:szCs w:val="20"/>
              </w:rPr>
              <w:t>2023/24</w:t>
            </w:r>
          </w:p>
        </w:tc>
        <w:tc>
          <w:tcPr>
            <w:tcW w:w="1275" w:type="dxa"/>
            <w:vMerge/>
            <w:shd w:val="clear" w:color="auto" w:fill="F2F2F2" w:themeFill="background1" w:themeFillShade="F2"/>
            <w:hideMark/>
          </w:tcPr>
          <w:p w:rsidR="00141D05" w:rsidRPr="000E7F48" w:rsidRDefault="00141D05" w:rsidP="000E7F48">
            <w:pPr>
              <w:rPr>
                <w:rFonts w:ascii="Arial" w:hAnsi="Arial" w:cs="Arial"/>
                <w:b/>
                <w:bCs/>
                <w:sz w:val="20"/>
                <w:szCs w:val="20"/>
              </w:rPr>
            </w:pPr>
          </w:p>
        </w:tc>
        <w:tc>
          <w:tcPr>
            <w:tcW w:w="1276" w:type="dxa"/>
            <w:vMerge/>
            <w:shd w:val="clear" w:color="auto" w:fill="F2F2F2" w:themeFill="background1" w:themeFillShade="F2"/>
            <w:hideMark/>
          </w:tcPr>
          <w:p w:rsidR="00141D05" w:rsidRPr="000E7F48" w:rsidRDefault="00141D05" w:rsidP="000E7F48">
            <w:pPr>
              <w:rPr>
                <w:rFonts w:ascii="Arial" w:hAnsi="Arial" w:cs="Arial"/>
                <w:b/>
                <w:bCs/>
                <w:sz w:val="20"/>
                <w:szCs w:val="20"/>
              </w:rPr>
            </w:pPr>
          </w:p>
        </w:tc>
        <w:tc>
          <w:tcPr>
            <w:tcW w:w="1276" w:type="dxa"/>
            <w:vMerge/>
            <w:shd w:val="clear" w:color="auto" w:fill="F2F2F2" w:themeFill="background1" w:themeFillShade="F2"/>
            <w:hideMark/>
          </w:tcPr>
          <w:p w:rsidR="00141D05" w:rsidRPr="000E7F48" w:rsidRDefault="00141D05" w:rsidP="000E7F48">
            <w:pPr>
              <w:rPr>
                <w:rFonts w:ascii="Arial" w:hAnsi="Arial" w:cs="Arial"/>
                <w:b/>
                <w:bCs/>
                <w:sz w:val="20"/>
                <w:szCs w:val="20"/>
              </w:rPr>
            </w:pPr>
          </w:p>
        </w:tc>
        <w:tc>
          <w:tcPr>
            <w:tcW w:w="1285" w:type="dxa"/>
            <w:vMerge/>
            <w:shd w:val="clear" w:color="auto" w:fill="F2F2F2" w:themeFill="background1" w:themeFillShade="F2"/>
            <w:hideMark/>
          </w:tcPr>
          <w:p w:rsidR="00141D05" w:rsidRPr="000E7F48" w:rsidRDefault="00141D05" w:rsidP="000E7F48">
            <w:pPr>
              <w:rPr>
                <w:rFonts w:ascii="Arial" w:hAnsi="Arial" w:cs="Arial"/>
                <w:b/>
                <w:bCs/>
                <w:sz w:val="20"/>
                <w:szCs w:val="20"/>
              </w:rPr>
            </w:pP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1: Administration</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5 828,6</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5 437,6</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391,0</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645,0</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-6,71%</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-11,07%</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2: Force employment</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5 045,8</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4 509,8</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536,0</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746,7</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-10,62%</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-14,80%</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lastRenderedPageBreak/>
              <w:t>Programme 3: Landward Defence</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15 971,6</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15 740,2</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231,4</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966,6</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-1,45%</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-6,05%</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4: Air Defence</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6 637,1</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7 127,1</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490,0</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157,1</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7,38%</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2,37%</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5: Maritime Defence</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4 726,7</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4 984,6</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257,9</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25,1</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5,46%</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0,53%</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5: Military Health Support</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5 632,2</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5 455,0</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177,2</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432,0</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-3,15%</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-7,67%</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7: Defence Intelligence</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1 166,3</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1 033,3</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133,0</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181,3</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-11,40%</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-15,54%</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Programme 8: General Support</w:t>
            </w:r>
          </w:p>
        </w:tc>
        <w:tc>
          <w:tcPr>
            <w:tcW w:w="11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6 593,3</w:t>
            </w:r>
          </w:p>
        </w:tc>
        <w:tc>
          <w:tcPr>
            <w:tcW w:w="1134"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6 836,8</w:t>
            </w:r>
          </w:p>
        </w:tc>
        <w:tc>
          <w:tcPr>
            <w:tcW w:w="127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xml:space="preserve">  243,5</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  75,9</w:t>
            </w:r>
          </w:p>
        </w:tc>
        <w:tc>
          <w:tcPr>
            <w:tcW w:w="1276"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3,69%</w:t>
            </w:r>
          </w:p>
        </w:tc>
        <w:tc>
          <w:tcPr>
            <w:tcW w:w="1285" w:type="dxa"/>
            <w:noWrap/>
            <w:hideMark/>
          </w:tcPr>
          <w:p w:rsidR="00C25CC8" w:rsidRPr="000E7F48" w:rsidRDefault="00C25CC8" w:rsidP="000E7F48">
            <w:pPr>
              <w:rPr>
                <w:rFonts w:ascii="Arial" w:hAnsi="Arial" w:cs="Arial"/>
                <w:sz w:val="20"/>
                <w:szCs w:val="20"/>
              </w:rPr>
            </w:pPr>
            <w:r w:rsidRPr="000E7F48">
              <w:rPr>
                <w:rFonts w:ascii="Arial" w:hAnsi="Arial" w:cs="Arial"/>
                <w:sz w:val="20"/>
                <w:szCs w:val="20"/>
              </w:rPr>
              <w:t>-1,15%</w:t>
            </w:r>
          </w:p>
        </w:tc>
      </w:tr>
      <w:tr w:rsidR="00C25CC8" w:rsidRPr="000E7F48" w:rsidTr="00E416E9">
        <w:trPr>
          <w:trHeight w:val="255"/>
          <w:jc w:val="center"/>
        </w:trPr>
        <w:tc>
          <w:tcPr>
            <w:tcW w:w="3071" w:type="dxa"/>
            <w:noWrap/>
            <w:hideMark/>
          </w:tcPr>
          <w:p w:rsidR="00C25CC8" w:rsidRPr="000E7F48" w:rsidRDefault="00C25CC8" w:rsidP="000E7F48">
            <w:pPr>
              <w:rPr>
                <w:rFonts w:ascii="Arial" w:hAnsi="Arial" w:cs="Arial"/>
                <w:b/>
                <w:sz w:val="20"/>
                <w:szCs w:val="20"/>
              </w:rPr>
            </w:pPr>
            <w:r w:rsidRPr="000E7F48">
              <w:rPr>
                <w:rFonts w:ascii="Arial" w:hAnsi="Arial" w:cs="Arial"/>
                <w:b/>
                <w:sz w:val="20"/>
                <w:szCs w:val="20"/>
              </w:rPr>
              <w:t>TOTAL</w:t>
            </w:r>
          </w:p>
        </w:tc>
        <w:tc>
          <w:tcPr>
            <w:tcW w:w="1185" w:type="dxa"/>
            <w:noWrap/>
            <w:hideMark/>
          </w:tcPr>
          <w:p w:rsidR="00C25CC8" w:rsidRPr="000E7F48" w:rsidRDefault="00C25CC8" w:rsidP="000E7F48">
            <w:pPr>
              <w:rPr>
                <w:rFonts w:ascii="Arial" w:hAnsi="Arial" w:cs="Arial"/>
                <w:b/>
                <w:bCs/>
                <w:sz w:val="20"/>
                <w:szCs w:val="20"/>
              </w:rPr>
            </w:pPr>
            <w:r w:rsidRPr="000E7F48">
              <w:rPr>
                <w:rFonts w:ascii="Arial" w:hAnsi="Arial" w:cs="Arial"/>
                <w:b/>
                <w:sz w:val="20"/>
                <w:szCs w:val="20"/>
              </w:rPr>
              <w:t xml:space="preserve"> 51 604,6</w:t>
            </w:r>
          </w:p>
        </w:tc>
        <w:tc>
          <w:tcPr>
            <w:tcW w:w="1134" w:type="dxa"/>
            <w:noWrap/>
            <w:hideMark/>
          </w:tcPr>
          <w:p w:rsidR="00C25CC8" w:rsidRPr="000E7F48" w:rsidRDefault="00C25CC8" w:rsidP="000E7F48">
            <w:pPr>
              <w:rPr>
                <w:rFonts w:ascii="Arial" w:hAnsi="Arial" w:cs="Arial"/>
                <w:b/>
                <w:bCs/>
                <w:sz w:val="20"/>
                <w:szCs w:val="20"/>
              </w:rPr>
            </w:pPr>
            <w:r w:rsidRPr="000E7F48">
              <w:rPr>
                <w:rFonts w:ascii="Arial" w:hAnsi="Arial" w:cs="Arial"/>
                <w:b/>
                <w:sz w:val="20"/>
                <w:szCs w:val="20"/>
              </w:rPr>
              <w:t xml:space="preserve"> 51 124,4</w:t>
            </w:r>
          </w:p>
        </w:tc>
        <w:tc>
          <w:tcPr>
            <w:tcW w:w="1275" w:type="dxa"/>
            <w:noWrap/>
            <w:hideMark/>
          </w:tcPr>
          <w:p w:rsidR="00C25CC8" w:rsidRPr="000E7F48" w:rsidRDefault="00C25CC8" w:rsidP="000E7F48">
            <w:pPr>
              <w:rPr>
                <w:rFonts w:ascii="Arial" w:hAnsi="Arial" w:cs="Arial"/>
                <w:b/>
                <w:bCs/>
                <w:sz w:val="20"/>
                <w:szCs w:val="20"/>
              </w:rPr>
            </w:pPr>
            <w:r w:rsidRPr="000E7F48">
              <w:rPr>
                <w:rFonts w:ascii="Arial" w:hAnsi="Arial" w:cs="Arial"/>
                <w:b/>
                <w:sz w:val="20"/>
                <w:szCs w:val="20"/>
              </w:rPr>
              <w:t>-  480,2</w:t>
            </w:r>
          </w:p>
        </w:tc>
        <w:tc>
          <w:tcPr>
            <w:tcW w:w="1276" w:type="dxa"/>
            <w:noWrap/>
            <w:hideMark/>
          </w:tcPr>
          <w:p w:rsidR="00C25CC8" w:rsidRPr="000E7F48" w:rsidRDefault="00C25CC8" w:rsidP="000E7F48">
            <w:pPr>
              <w:rPr>
                <w:rFonts w:ascii="Arial" w:hAnsi="Arial" w:cs="Arial"/>
                <w:b/>
                <w:bCs/>
                <w:sz w:val="20"/>
                <w:szCs w:val="20"/>
              </w:rPr>
            </w:pPr>
            <w:r w:rsidRPr="000E7F48">
              <w:rPr>
                <w:rFonts w:ascii="Arial" w:hAnsi="Arial" w:cs="Arial"/>
                <w:b/>
                <w:sz w:val="20"/>
                <w:szCs w:val="20"/>
              </w:rPr>
              <w:t>- 2 868,3</w:t>
            </w:r>
          </w:p>
        </w:tc>
        <w:tc>
          <w:tcPr>
            <w:tcW w:w="1276" w:type="dxa"/>
            <w:noWrap/>
            <w:hideMark/>
          </w:tcPr>
          <w:p w:rsidR="00C25CC8" w:rsidRPr="000E7F48" w:rsidRDefault="00C25CC8" w:rsidP="000E7F48">
            <w:pPr>
              <w:rPr>
                <w:rFonts w:ascii="Arial" w:hAnsi="Arial" w:cs="Arial"/>
                <w:b/>
                <w:sz w:val="20"/>
                <w:szCs w:val="20"/>
              </w:rPr>
            </w:pPr>
            <w:r w:rsidRPr="000E7F48">
              <w:rPr>
                <w:rFonts w:ascii="Arial" w:hAnsi="Arial" w:cs="Arial"/>
                <w:b/>
                <w:sz w:val="20"/>
                <w:szCs w:val="20"/>
              </w:rPr>
              <w:t>-0,9%</w:t>
            </w:r>
          </w:p>
        </w:tc>
        <w:tc>
          <w:tcPr>
            <w:tcW w:w="1285" w:type="dxa"/>
            <w:noWrap/>
            <w:hideMark/>
          </w:tcPr>
          <w:p w:rsidR="00C25CC8" w:rsidRPr="000E7F48" w:rsidRDefault="00C25CC8" w:rsidP="000E7F48">
            <w:pPr>
              <w:rPr>
                <w:rFonts w:ascii="Arial" w:hAnsi="Arial" w:cs="Arial"/>
                <w:b/>
                <w:sz w:val="20"/>
                <w:szCs w:val="20"/>
              </w:rPr>
            </w:pPr>
            <w:r w:rsidRPr="000E7F48">
              <w:rPr>
                <w:rFonts w:ascii="Arial" w:hAnsi="Arial" w:cs="Arial"/>
                <w:b/>
                <w:sz w:val="20"/>
                <w:szCs w:val="20"/>
              </w:rPr>
              <w:t>-5,56%</w:t>
            </w:r>
          </w:p>
        </w:tc>
      </w:tr>
    </w:tbl>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Table 2: Increase/decrease per programme from 20</w:t>
      </w:r>
      <w:r w:rsidR="009B5D94" w:rsidRPr="000E7F48">
        <w:rPr>
          <w:rFonts w:ascii="Arial" w:eastAsia="Times New Roman" w:hAnsi="Arial" w:cs="Arial"/>
          <w:b/>
          <w:color w:val="000000"/>
          <w:spacing w:val="6"/>
          <w:sz w:val="20"/>
          <w:szCs w:val="20"/>
          <w:lang w:val="en-GB" w:eastAsia="en-GB"/>
        </w:rPr>
        <w:t>2</w:t>
      </w:r>
      <w:r w:rsidR="00C25CC8" w:rsidRPr="000E7F48">
        <w:rPr>
          <w:rFonts w:ascii="Arial" w:eastAsia="Times New Roman" w:hAnsi="Arial" w:cs="Arial"/>
          <w:b/>
          <w:color w:val="000000"/>
          <w:spacing w:val="6"/>
          <w:sz w:val="20"/>
          <w:szCs w:val="20"/>
          <w:lang w:val="en-GB" w:eastAsia="en-GB"/>
        </w:rPr>
        <w:t>2</w:t>
      </w:r>
      <w:r w:rsidRPr="000E7F48">
        <w:rPr>
          <w:rFonts w:ascii="Arial" w:eastAsia="Times New Roman" w:hAnsi="Arial" w:cs="Arial"/>
          <w:b/>
          <w:color w:val="000000"/>
          <w:spacing w:val="6"/>
          <w:sz w:val="20"/>
          <w:szCs w:val="20"/>
          <w:lang w:val="en-GB" w:eastAsia="en-GB"/>
        </w:rPr>
        <w:t>/2</w:t>
      </w:r>
      <w:r w:rsidR="00C25CC8" w:rsidRPr="000E7F48">
        <w:rPr>
          <w:rFonts w:ascii="Arial" w:eastAsia="Times New Roman" w:hAnsi="Arial" w:cs="Arial"/>
          <w:b/>
          <w:color w:val="000000"/>
          <w:spacing w:val="6"/>
          <w:sz w:val="20"/>
          <w:szCs w:val="20"/>
          <w:lang w:val="en-GB" w:eastAsia="en-GB"/>
        </w:rPr>
        <w:t>3</w:t>
      </w:r>
      <w:r w:rsidRPr="000E7F48">
        <w:rPr>
          <w:rFonts w:ascii="Arial" w:eastAsia="Times New Roman" w:hAnsi="Arial" w:cs="Arial"/>
          <w:b/>
          <w:color w:val="000000"/>
          <w:spacing w:val="6"/>
          <w:sz w:val="20"/>
          <w:szCs w:val="20"/>
          <w:lang w:val="en-GB" w:eastAsia="en-GB"/>
        </w:rPr>
        <w:t xml:space="preserve"> to 202</w:t>
      </w:r>
      <w:r w:rsidR="00C25CC8" w:rsidRPr="000E7F48">
        <w:rPr>
          <w:rFonts w:ascii="Arial" w:eastAsia="Times New Roman" w:hAnsi="Arial" w:cs="Arial"/>
          <w:b/>
          <w:color w:val="000000"/>
          <w:spacing w:val="6"/>
          <w:sz w:val="20"/>
          <w:szCs w:val="20"/>
          <w:lang w:val="en-GB" w:eastAsia="en-GB"/>
        </w:rPr>
        <w:t>3</w:t>
      </w:r>
      <w:r w:rsidRPr="000E7F48">
        <w:rPr>
          <w:rFonts w:ascii="Arial" w:eastAsia="Times New Roman" w:hAnsi="Arial" w:cs="Arial"/>
          <w:b/>
          <w:color w:val="000000"/>
          <w:spacing w:val="6"/>
          <w:sz w:val="20"/>
          <w:szCs w:val="20"/>
          <w:lang w:val="en-GB" w:eastAsia="en-GB"/>
        </w:rPr>
        <w:t>/2</w:t>
      </w:r>
      <w:r w:rsidR="00C25CC8" w:rsidRPr="000E7F48">
        <w:rPr>
          <w:rFonts w:ascii="Arial" w:eastAsia="Times New Roman" w:hAnsi="Arial" w:cs="Arial"/>
          <w:b/>
          <w:color w:val="000000"/>
          <w:spacing w:val="6"/>
          <w:sz w:val="20"/>
          <w:szCs w:val="20"/>
          <w:lang w:val="en-GB" w:eastAsia="en-GB"/>
        </w:rPr>
        <w:t>4</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3B3BF4" w:rsidP="000E7F48">
      <w:pPr>
        <w:keepNext/>
        <w:keepLines/>
        <w:spacing w:after="0" w:line="240" w:lineRule="auto"/>
        <w:outlineLvl w:val="1"/>
        <w:rPr>
          <w:rFonts w:ascii="Arial" w:eastAsiaTheme="majorEastAsia" w:hAnsi="Arial" w:cs="Arial"/>
          <w:b/>
          <w:sz w:val="20"/>
          <w:szCs w:val="20"/>
        </w:rPr>
      </w:pPr>
      <w:bookmarkStart w:id="3" w:name="_Toc36489527"/>
      <w:r w:rsidRPr="000E7F48">
        <w:rPr>
          <w:rFonts w:ascii="Arial" w:eastAsiaTheme="majorEastAsia" w:hAnsi="Arial" w:cs="Arial"/>
          <w:b/>
          <w:sz w:val="20"/>
          <w:szCs w:val="20"/>
        </w:rPr>
        <w:t>5</w:t>
      </w:r>
      <w:r w:rsidR="00194FC2" w:rsidRPr="000E7F48">
        <w:rPr>
          <w:rFonts w:ascii="Arial" w:eastAsiaTheme="majorEastAsia" w:hAnsi="Arial" w:cs="Arial"/>
          <w:b/>
          <w:sz w:val="20"/>
          <w:szCs w:val="20"/>
        </w:rPr>
        <w:t>.2</w:t>
      </w:r>
      <w:r w:rsidR="00194FC2" w:rsidRPr="000E7F48">
        <w:rPr>
          <w:rFonts w:ascii="Arial" w:eastAsiaTheme="majorEastAsia" w:hAnsi="Arial" w:cs="Arial"/>
          <w:b/>
          <w:sz w:val="20"/>
          <w:szCs w:val="20"/>
        </w:rPr>
        <w:tab/>
        <w:t>Key cost drivers for 202</w:t>
      </w:r>
      <w:r w:rsidRPr="000E7F48">
        <w:rPr>
          <w:rFonts w:ascii="Arial" w:eastAsiaTheme="majorEastAsia" w:hAnsi="Arial" w:cs="Arial"/>
          <w:b/>
          <w:sz w:val="20"/>
          <w:szCs w:val="20"/>
        </w:rPr>
        <w:t>2</w:t>
      </w:r>
      <w:r w:rsidR="00194FC2" w:rsidRPr="000E7F48">
        <w:rPr>
          <w:rFonts w:ascii="Arial" w:eastAsiaTheme="majorEastAsia" w:hAnsi="Arial" w:cs="Arial"/>
          <w:b/>
          <w:sz w:val="20"/>
          <w:szCs w:val="20"/>
        </w:rPr>
        <w:t>/2</w:t>
      </w:r>
      <w:bookmarkEnd w:id="3"/>
      <w:r w:rsidRPr="000E7F48">
        <w:rPr>
          <w:rFonts w:ascii="Arial" w:eastAsiaTheme="majorEastAsia" w:hAnsi="Arial" w:cs="Arial"/>
          <w:b/>
          <w:sz w:val="20"/>
          <w:szCs w:val="20"/>
        </w:rPr>
        <w:t>3</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br/>
        <w:t>Key cost drivers an</w:t>
      </w:r>
      <w:r w:rsidR="009B5D94" w:rsidRPr="000E7F48">
        <w:rPr>
          <w:rFonts w:ascii="Arial" w:eastAsia="Times New Roman" w:hAnsi="Arial" w:cs="Arial"/>
          <w:color w:val="000000"/>
          <w:spacing w:val="6"/>
          <w:sz w:val="20"/>
          <w:szCs w:val="20"/>
          <w:lang w:val="en-GB" w:eastAsia="en-GB"/>
        </w:rPr>
        <w:t>d other concerns of the DOD 202</w:t>
      </w:r>
      <w:r w:rsidR="00C25CC8"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/2</w:t>
      </w:r>
      <w:r w:rsidR="00C25CC8" w:rsidRPr="000E7F48">
        <w:rPr>
          <w:rFonts w:ascii="Arial" w:eastAsia="Times New Roman" w:hAnsi="Arial" w:cs="Arial"/>
          <w:color w:val="000000"/>
          <w:spacing w:val="6"/>
          <w:sz w:val="20"/>
          <w:szCs w:val="20"/>
          <w:lang w:val="en-GB" w:eastAsia="en-GB"/>
        </w:rPr>
        <w:t>4</w:t>
      </w:r>
      <w:r w:rsidRPr="000E7F48">
        <w:rPr>
          <w:rFonts w:ascii="Arial" w:eastAsia="Times New Roman" w:hAnsi="Arial" w:cs="Arial"/>
          <w:color w:val="000000"/>
          <w:spacing w:val="6"/>
          <w:sz w:val="20"/>
          <w:szCs w:val="20"/>
          <w:lang w:val="en-GB" w:eastAsia="en-GB"/>
        </w:rPr>
        <w:t xml:space="preserve"> budget include the following (in terms of broad economic classifications):</w:t>
      </w:r>
    </w:p>
    <w:p w:rsidR="004466F4" w:rsidRPr="000E7F48" w:rsidRDefault="004466F4" w:rsidP="000E7F48">
      <w:pPr>
        <w:spacing w:after="0" w:line="240" w:lineRule="auto"/>
        <w:rPr>
          <w:rFonts w:ascii="Arial" w:eastAsia="Times New Roman" w:hAnsi="Arial" w:cs="Arial"/>
          <w:color w:val="000000"/>
          <w:spacing w:val="6"/>
          <w:sz w:val="20"/>
          <w:szCs w:val="20"/>
          <w:lang w:val="en-GB" w:eastAsia="en-GB"/>
        </w:rPr>
      </w:pPr>
    </w:p>
    <w:p w:rsidR="00C25CC8" w:rsidRPr="000E7F48" w:rsidRDefault="009B5D94" w:rsidP="000E7F48">
      <w:pPr>
        <w:pStyle w:val="ListParagraph"/>
        <w:numPr>
          <w:ilvl w:val="0"/>
          <w:numId w:val="21"/>
        </w:numPr>
        <w:rPr>
          <w:rFonts w:ascii="Arial" w:hAnsi="Arial" w:cs="Arial"/>
          <w:sz w:val="20"/>
          <w:szCs w:val="20"/>
          <w:lang w:val="en-ZA"/>
        </w:rPr>
      </w:pPr>
      <w:bookmarkStart w:id="4" w:name="_Toc36489528"/>
      <w:r w:rsidRPr="000E7F48">
        <w:rPr>
          <w:rFonts w:ascii="Arial" w:hAnsi="Arial" w:cs="Arial"/>
          <w:b/>
          <w:sz w:val="20"/>
          <w:szCs w:val="20"/>
        </w:rPr>
        <w:t>Compensation of employees.</w:t>
      </w:r>
      <w:r w:rsidRPr="000E7F48">
        <w:rPr>
          <w:rFonts w:ascii="Arial" w:hAnsi="Arial" w:cs="Arial"/>
          <w:sz w:val="20"/>
          <w:szCs w:val="20"/>
        </w:rPr>
        <w:t xml:space="preserve"> </w:t>
      </w:r>
      <w:r w:rsidR="00C25CC8" w:rsidRPr="000E7F48">
        <w:rPr>
          <w:rFonts w:ascii="Arial" w:hAnsi="Arial" w:cs="Arial"/>
          <w:sz w:val="20"/>
          <w:szCs w:val="20"/>
        </w:rPr>
        <w:t xml:space="preserve">Spending on CoE has been an ongoing concern for the DOD in recent years, resulting in irregular expenditure as the DOD is unable to bring CoE to levels below the ceiling imposed by National Treasury. This will continue to affect the Department in 2023/24, where the allocation for spending on CoE (as per National Treasury) is set to decrease from R31.786 billion in 2022/23 to R30.629 billion in the current financial year. </w:t>
      </w:r>
      <w:r w:rsidR="00C25CC8" w:rsidRPr="000E7F48">
        <w:rPr>
          <w:rFonts w:ascii="Arial" w:hAnsi="Arial" w:cs="Arial"/>
          <w:sz w:val="20"/>
          <w:szCs w:val="20"/>
          <w:lang w:val="en-ZA"/>
        </w:rPr>
        <w:t>In recent years, the DOD was unable to stay within the CoE ceiling of National Treasury, with significant over-expenditure on this item. In 2022/23, the DOD implemented the following CoE cost-saving measures:</w:t>
      </w:r>
    </w:p>
    <w:p w:rsidR="00C25CC8" w:rsidRPr="000E7F48" w:rsidRDefault="00C25CC8" w:rsidP="000E7F48">
      <w:pPr>
        <w:pStyle w:val="ListParagraph"/>
        <w:numPr>
          <w:ilvl w:val="1"/>
          <w:numId w:val="21"/>
        </w:numPr>
        <w:rPr>
          <w:rFonts w:ascii="Arial" w:hAnsi="Arial" w:cs="Arial"/>
          <w:i/>
          <w:sz w:val="20"/>
          <w:szCs w:val="20"/>
          <w:lang w:val="en-ZA"/>
        </w:rPr>
      </w:pPr>
      <w:r w:rsidRPr="000E7F48">
        <w:rPr>
          <w:rFonts w:ascii="Arial" w:hAnsi="Arial" w:cs="Arial"/>
          <w:sz w:val="20"/>
          <w:szCs w:val="20"/>
          <w:lang w:val="en-ZA"/>
        </w:rPr>
        <w:t>Attrition has reached 3 841 SANDF personnel.</w:t>
      </w:r>
    </w:p>
    <w:p w:rsidR="00C25CC8" w:rsidRPr="000E7F48" w:rsidRDefault="00C25CC8" w:rsidP="000E7F48">
      <w:pPr>
        <w:pStyle w:val="ListParagraph"/>
        <w:numPr>
          <w:ilvl w:val="1"/>
          <w:numId w:val="21"/>
        </w:numPr>
        <w:rPr>
          <w:rFonts w:ascii="Arial" w:hAnsi="Arial" w:cs="Arial"/>
          <w:i/>
          <w:sz w:val="20"/>
          <w:szCs w:val="20"/>
          <w:lang w:val="en-ZA"/>
        </w:rPr>
      </w:pPr>
      <w:r w:rsidRPr="000E7F48">
        <w:rPr>
          <w:rFonts w:ascii="Arial" w:hAnsi="Arial" w:cs="Arial"/>
          <w:sz w:val="20"/>
          <w:szCs w:val="20"/>
          <w:lang w:val="en-ZA"/>
        </w:rPr>
        <w:t>The Reserve Force utilisation as at 31 January 2023 has exceeded planned utilisation by 671 096 mandays.</w:t>
      </w:r>
    </w:p>
    <w:p w:rsidR="00C25CC8" w:rsidRPr="000E7F48" w:rsidRDefault="00C25CC8" w:rsidP="000E7F48">
      <w:pPr>
        <w:pStyle w:val="ListParagraph"/>
        <w:numPr>
          <w:ilvl w:val="1"/>
          <w:numId w:val="21"/>
        </w:numPr>
        <w:rPr>
          <w:rFonts w:ascii="Arial" w:hAnsi="Arial" w:cs="Arial"/>
          <w:i/>
          <w:sz w:val="20"/>
          <w:szCs w:val="20"/>
          <w:lang w:val="en-ZA"/>
        </w:rPr>
      </w:pPr>
      <w:r w:rsidRPr="000E7F48">
        <w:rPr>
          <w:rFonts w:ascii="Arial" w:hAnsi="Arial" w:cs="Arial"/>
          <w:sz w:val="20"/>
          <w:szCs w:val="20"/>
          <w:lang w:val="en-ZA"/>
        </w:rPr>
        <w:t>MSDS intake every alternate year.</w:t>
      </w:r>
    </w:p>
    <w:p w:rsidR="00C25CC8" w:rsidRPr="000E7F48" w:rsidRDefault="00C25CC8" w:rsidP="000E7F48">
      <w:pPr>
        <w:pStyle w:val="ListParagraph"/>
        <w:numPr>
          <w:ilvl w:val="1"/>
          <w:numId w:val="21"/>
        </w:numPr>
        <w:rPr>
          <w:rFonts w:ascii="Arial" w:hAnsi="Arial" w:cs="Arial"/>
          <w:i/>
          <w:sz w:val="20"/>
          <w:szCs w:val="20"/>
          <w:lang w:val="en-ZA"/>
        </w:rPr>
      </w:pPr>
      <w:r w:rsidRPr="000E7F48">
        <w:rPr>
          <w:rFonts w:ascii="Arial" w:hAnsi="Arial" w:cs="Arial"/>
          <w:sz w:val="20"/>
          <w:szCs w:val="20"/>
          <w:lang w:val="en-ZA"/>
        </w:rPr>
        <w:t>Discretionary allowances and scarce skills allowances have been capped.</w:t>
      </w:r>
    </w:p>
    <w:p w:rsidR="00C25CC8" w:rsidRPr="000E7F48" w:rsidRDefault="00C25CC8" w:rsidP="000E7F48">
      <w:pPr>
        <w:pStyle w:val="ListParagraph"/>
        <w:numPr>
          <w:ilvl w:val="1"/>
          <w:numId w:val="21"/>
        </w:numPr>
        <w:rPr>
          <w:rFonts w:ascii="Arial" w:hAnsi="Arial" w:cs="Arial"/>
          <w:i/>
          <w:sz w:val="20"/>
          <w:szCs w:val="20"/>
          <w:lang w:val="en-ZA"/>
        </w:rPr>
      </w:pPr>
      <w:r w:rsidRPr="000E7F48">
        <w:rPr>
          <w:rFonts w:ascii="Arial" w:hAnsi="Arial" w:cs="Arial"/>
          <w:sz w:val="20"/>
          <w:szCs w:val="20"/>
          <w:lang w:val="en-ZA"/>
        </w:rPr>
        <w:t>951 civilian and military personnel have separated via either the EISP or MEM.</w:t>
      </w:r>
    </w:p>
    <w:p w:rsidR="003B3BF4" w:rsidRPr="000E7F48" w:rsidRDefault="00C25CC8" w:rsidP="000E7F48">
      <w:pPr>
        <w:pStyle w:val="ListParagraph"/>
        <w:ind w:left="788"/>
        <w:rPr>
          <w:rFonts w:ascii="Arial" w:hAnsi="Arial" w:cs="Arial"/>
          <w:b/>
          <w:sz w:val="20"/>
          <w:szCs w:val="20"/>
        </w:rPr>
      </w:pPr>
      <w:r w:rsidRPr="000E7F48">
        <w:rPr>
          <w:rFonts w:ascii="Arial" w:hAnsi="Arial" w:cs="Arial"/>
          <w:i/>
          <w:sz w:val="20"/>
          <w:szCs w:val="20"/>
          <w:lang w:val="en-ZA"/>
        </w:rPr>
        <w:t xml:space="preserve">Result: </w:t>
      </w:r>
      <w:r w:rsidRPr="000E7F48">
        <w:rPr>
          <w:rFonts w:ascii="Arial" w:hAnsi="Arial" w:cs="Arial"/>
          <w:sz w:val="20"/>
          <w:szCs w:val="20"/>
          <w:lang w:val="en-ZA"/>
        </w:rPr>
        <w:t xml:space="preserve">HR reforms, which has realised a R1,8 billion saving, having the effect of reducing the potential CoE deficit from an estimated R4.2 billion in April 2022 to R2.8 billion at the end of February 2023. </w:t>
      </w:r>
      <w:r w:rsidRPr="000E7F48">
        <w:rPr>
          <w:rFonts w:ascii="Arial" w:hAnsi="Arial" w:cs="Arial"/>
          <w:i/>
          <w:sz w:val="20"/>
          <w:szCs w:val="20"/>
          <w:lang w:val="en-ZA"/>
        </w:rPr>
        <w:t>However, the DOD projects continued CoE shortfalls over the MTEF</w:t>
      </w:r>
      <w:r w:rsidRPr="000E7F48">
        <w:rPr>
          <w:rFonts w:ascii="Arial" w:hAnsi="Arial" w:cs="Arial"/>
          <w:sz w:val="20"/>
          <w:szCs w:val="20"/>
          <w:lang w:val="en-ZA"/>
        </w:rPr>
        <w:t xml:space="preserve"> of R2.5 billion in 2023/24, R1.9 billion in 2024/25 and R915 million in 2025/26 respectively.</w:t>
      </w:r>
    </w:p>
    <w:p w:rsidR="00C25CC8" w:rsidRPr="000E7F48" w:rsidRDefault="00C25CC8" w:rsidP="000E7F48">
      <w:pPr>
        <w:spacing w:after="0" w:line="240" w:lineRule="auto"/>
        <w:rPr>
          <w:rFonts w:ascii="Arial" w:hAnsi="Arial" w:cs="Arial"/>
          <w:b/>
          <w:sz w:val="20"/>
          <w:szCs w:val="20"/>
        </w:rPr>
      </w:pPr>
    </w:p>
    <w:p w:rsidR="003B3BF4" w:rsidRPr="000E7F48" w:rsidRDefault="009B5D94" w:rsidP="000E7F48">
      <w:pPr>
        <w:pStyle w:val="ListParagraph"/>
        <w:keepNext/>
        <w:keepLines/>
        <w:numPr>
          <w:ilvl w:val="0"/>
          <w:numId w:val="19"/>
        </w:numPr>
        <w:outlineLvl w:val="0"/>
        <w:rPr>
          <w:rFonts w:ascii="Arial" w:hAnsi="Arial" w:cs="Arial"/>
          <w:b/>
          <w:sz w:val="20"/>
          <w:szCs w:val="20"/>
        </w:rPr>
      </w:pPr>
      <w:r w:rsidRPr="000E7F48">
        <w:rPr>
          <w:rFonts w:ascii="Arial" w:hAnsi="Arial" w:cs="Arial"/>
          <w:b/>
          <w:sz w:val="20"/>
          <w:szCs w:val="20"/>
          <w:lang w:val="en-ZA"/>
        </w:rPr>
        <w:t xml:space="preserve">Contractors. </w:t>
      </w:r>
      <w:r w:rsidR="00C25CC8" w:rsidRPr="000E7F48">
        <w:rPr>
          <w:rFonts w:ascii="Arial" w:hAnsi="Arial" w:cs="Arial"/>
          <w:sz w:val="20"/>
          <w:szCs w:val="20"/>
        </w:rPr>
        <w:t>The allocation for spending on contractors continues to increase on previous years from R1.215 billion in 2021/22 to R2.427 billion in 2022/23 and now to R2.731 billion in 2023/24. In 2021/22, the DOD used funds allocated to Contractors to pay salaries and cover the shortfall in the CoE. The DOD notes that “Contractors remain the Department’s main cost driver under Goods and Services, accounting for a total amount of Rb8.5, constituting approximately 20% of the Goods and Services budget over the 2023/24 MTEF. The utilisation of contractors enables the specialised maintenance of defence capabilities such as aircraft, weapons, weapon systems and vessels.”</w:t>
      </w:r>
    </w:p>
    <w:p w:rsidR="00C25CC8" w:rsidRPr="000E7F48" w:rsidRDefault="00C25CC8" w:rsidP="000E7F48">
      <w:pPr>
        <w:pStyle w:val="ListParagraph"/>
        <w:keepNext/>
        <w:keepLines/>
        <w:outlineLvl w:val="0"/>
        <w:rPr>
          <w:rFonts w:ascii="Arial" w:hAnsi="Arial" w:cs="Arial"/>
          <w:b/>
          <w:sz w:val="20"/>
          <w:szCs w:val="20"/>
        </w:rPr>
      </w:pPr>
    </w:p>
    <w:p w:rsidR="00C25CC8" w:rsidRPr="000E7F48" w:rsidRDefault="00C25CC8" w:rsidP="000E7F48">
      <w:pPr>
        <w:numPr>
          <w:ilvl w:val="0"/>
          <w:numId w:val="25"/>
        </w:numPr>
        <w:spacing w:after="0" w:line="240" w:lineRule="auto"/>
        <w:rPr>
          <w:rFonts w:ascii="Arial" w:eastAsia="Times New Roman" w:hAnsi="Arial" w:cs="Arial"/>
          <w:b/>
          <w:sz w:val="20"/>
          <w:szCs w:val="20"/>
        </w:rPr>
      </w:pPr>
      <w:r w:rsidRPr="000E7F48">
        <w:rPr>
          <w:rFonts w:ascii="Arial" w:eastAsia="Times New Roman" w:hAnsi="Arial" w:cs="Arial"/>
          <w:b/>
          <w:sz w:val="20"/>
          <w:szCs w:val="20"/>
        </w:rPr>
        <w:t xml:space="preserve">Fuel, oil and gas. </w:t>
      </w:r>
      <w:r w:rsidRPr="000E7F48">
        <w:rPr>
          <w:rFonts w:ascii="Arial" w:eastAsia="Times New Roman" w:hAnsi="Arial" w:cs="Arial"/>
          <w:sz w:val="20"/>
          <w:szCs w:val="20"/>
        </w:rPr>
        <w:t>The allocation for fuel, oil and gas increases significantly from R857.6 million in 2022/23 to R1.158 billion in 2023/24. The rising fuel cost may be the reason for this increase, but further clarity should be sought.</w:t>
      </w:r>
    </w:p>
    <w:p w:rsidR="00C25CC8" w:rsidRPr="000E7F48" w:rsidRDefault="00C25CC8" w:rsidP="000E7F48">
      <w:pPr>
        <w:numPr>
          <w:ilvl w:val="0"/>
          <w:numId w:val="25"/>
        </w:numPr>
        <w:spacing w:after="0" w:line="240" w:lineRule="auto"/>
        <w:rPr>
          <w:rFonts w:ascii="Arial" w:eastAsia="Times New Roman" w:hAnsi="Arial" w:cs="Arial"/>
          <w:b/>
          <w:sz w:val="20"/>
          <w:szCs w:val="20"/>
        </w:rPr>
      </w:pPr>
      <w:r w:rsidRPr="000E7F48">
        <w:rPr>
          <w:rFonts w:ascii="Arial" w:eastAsia="Times New Roman" w:hAnsi="Arial" w:cs="Arial"/>
          <w:b/>
          <w:sz w:val="20"/>
          <w:szCs w:val="20"/>
        </w:rPr>
        <w:t xml:space="preserve">Employee Social benefits </w:t>
      </w:r>
      <w:r w:rsidRPr="000E7F48">
        <w:rPr>
          <w:rFonts w:ascii="Arial" w:eastAsia="Times New Roman" w:hAnsi="Arial" w:cs="Arial"/>
          <w:sz w:val="20"/>
          <w:szCs w:val="20"/>
        </w:rPr>
        <w:t>decreases slightly from R1.193 billion in 2022/23 to R975.1 million in 2023/24. The R800 million allocation from National Treasury to effect the MEM in 2023/24 is likely included in this amount.</w:t>
      </w:r>
      <w:r w:rsidRPr="000E7F48">
        <w:rPr>
          <w:rFonts w:ascii="Arial" w:eastAsia="Times New Roman" w:hAnsi="Arial" w:cs="Arial"/>
          <w:b/>
          <w:sz w:val="20"/>
          <w:szCs w:val="20"/>
        </w:rPr>
        <w:t xml:space="preserve"> </w:t>
      </w:r>
    </w:p>
    <w:p w:rsidR="00C25CC8" w:rsidRPr="000E7F48" w:rsidRDefault="00C25CC8" w:rsidP="000E7F48">
      <w:pPr>
        <w:numPr>
          <w:ilvl w:val="0"/>
          <w:numId w:val="25"/>
        </w:numPr>
        <w:spacing w:after="0" w:line="240" w:lineRule="auto"/>
        <w:rPr>
          <w:rFonts w:ascii="Arial" w:eastAsia="Times New Roman" w:hAnsi="Arial" w:cs="Arial"/>
          <w:b/>
          <w:sz w:val="20"/>
          <w:szCs w:val="20"/>
        </w:rPr>
      </w:pPr>
      <w:r w:rsidRPr="000E7F48">
        <w:rPr>
          <w:rFonts w:ascii="Arial" w:eastAsia="Times New Roman" w:hAnsi="Arial" w:cs="Arial"/>
          <w:b/>
          <w:sz w:val="20"/>
          <w:szCs w:val="20"/>
        </w:rPr>
        <w:t xml:space="preserve">The Special Defence Account (SDA). </w:t>
      </w:r>
      <w:r w:rsidRPr="000E7F48">
        <w:rPr>
          <w:rFonts w:ascii="Arial" w:eastAsia="Times New Roman" w:hAnsi="Arial" w:cs="Arial"/>
          <w:sz w:val="20"/>
          <w:szCs w:val="20"/>
        </w:rPr>
        <w:t>Transfers to the SDA increases from R2.762 billion in 2022/23 to R3.067 billion in 2023/24.</w:t>
      </w:r>
    </w:p>
    <w:p w:rsidR="00C25CC8" w:rsidRPr="000E7F48" w:rsidRDefault="00C25CC8" w:rsidP="000E7F48">
      <w:pPr>
        <w:numPr>
          <w:ilvl w:val="0"/>
          <w:numId w:val="25"/>
        </w:numPr>
        <w:spacing w:after="0" w:line="240" w:lineRule="auto"/>
        <w:rPr>
          <w:rFonts w:ascii="Arial" w:eastAsia="Times New Roman" w:hAnsi="Arial" w:cs="Arial"/>
          <w:b/>
          <w:sz w:val="20"/>
          <w:szCs w:val="20"/>
        </w:rPr>
      </w:pPr>
      <w:r w:rsidRPr="000E7F48">
        <w:rPr>
          <w:rFonts w:ascii="Arial" w:eastAsia="Times New Roman" w:hAnsi="Arial" w:cs="Arial"/>
          <w:b/>
          <w:sz w:val="20"/>
          <w:szCs w:val="20"/>
        </w:rPr>
        <w:t xml:space="preserve">Operating leases. </w:t>
      </w:r>
      <w:r w:rsidRPr="000E7F48">
        <w:rPr>
          <w:rFonts w:ascii="Arial" w:eastAsia="Times New Roman" w:hAnsi="Arial" w:cs="Arial"/>
          <w:sz w:val="20"/>
          <w:szCs w:val="20"/>
        </w:rPr>
        <w:t>The allocation for operating leases decrease slightly from R1.737 billion in 2022/23 to R1.686 billion in 2023/24.</w:t>
      </w:r>
    </w:p>
    <w:p w:rsidR="00C25CC8" w:rsidRPr="000E7F48" w:rsidRDefault="00C25CC8" w:rsidP="000E7F48">
      <w:pPr>
        <w:spacing w:after="0" w:line="240" w:lineRule="auto"/>
        <w:rPr>
          <w:rFonts w:ascii="Arial" w:eastAsia="Times New Roman" w:hAnsi="Arial" w:cs="Arial"/>
          <w:b/>
          <w:sz w:val="20"/>
          <w:szCs w:val="20"/>
        </w:rPr>
      </w:pPr>
    </w:p>
    <w:p w:rsidR="00C25CC8" w:rsidRPr="000E7F48" w:rsidRDefault="00C25CC8" w:rsidP="000E7F48">
      <w:pPr>
        <w:numPr>
          <w:ilvl w:val="0"/>
          <w:numId w:val="25"/>
        </w:numPr>
        <w:spacing w:after="0" w:line="240" w:lineRule="auto"/>
        <w:rPr>
          <w:rFonts w:ascii="Arial" w:eastAsia="Times New Roman" w:hAnsi="Arial" w:cs="Arial"/>
          <w:b/>
          <w:sz w:val="20"/>
          <w:szCs w:val="20"/>
        </w:rPr>
      </w:pPr>
      <w:r w:rsidRPr="000E7F48">
        <w:rPr>
          <w:rFonts w:ascii="Arial" w:eastAsia="Times New Roman" w:hAnsi="Arial" w:cs="Arial"/>
          <w:b/>
          <w:sz w:val="20"/>
          <w:szCs w:val="20"/>
        </w:rPr>
        <w:t xml:space="preserve">Building and fixed structures </w:t>
      </w:r>
      <w:r w:rsidRPr="000E7F48">
        <w:rPr>
          <w:rFonts w:ascii="Arial" w:eastAsia="Times New Roman" w:hAnsi="Arial" w:cs="Arial"/>
          <w:sz w:val="20"/>
          <w:szCs w:val="20"/>
        </w:rPr>
        <w:t xml:space="preserve">received a relatively low allocation of R380.9 million in 2023/24 compared to its allocation of R428.7 million in the preceding year. </w:t>
      </w:r>
    </w:p>
    <w:p w:rsidR="00C25CC8" w:rsidRPr="000E7F48" w:rsidRDefault="00C25CC8" w:rsidP="000E7F48">
      <w:pPr>
        <w:numPr>
          <w:ilvl w:val="0"/>
          <w:numId w:val="25"/>
        </w:numPr>
        <w:spacing w:after="0" w:line="240" w:lineRule="auto"/>
        <w:rPr>
          <w:rFonts w:ascii="Arial" w:eastAsia="Times New Roman" w:hAnsi="Arial" w:cs="Arial"/>
          <w:sz w:val="20"/>
          <w:szCs w:val="20"/>
        </w:rPr>
      </w:pPr>
      <w:r w:rsidRPr="000E7F48">
        <w:rPr>
          <w:rFonts w:ascii="Arial" w:eastAsia="Times New Roman" w:hAnsi="Arial" w:cs="Arial"/>
          <w:b/>
          <w:sz w:val="20"/>
          <w:szCs w:val="20"/>
        </w:rPr>
        <w:t xml:space="preserve">Transfer to the Southern African Development Community (SADC) Secretariat </w:t>
      </w:r>
      <w:r w:rsidRPr="000E7F48">
        <w:rPr>
          <w:rFonts w:ascii="Arial" w:eastAsia="Times New Roman" w:hAnsi="Arial" w:cs="Arial"/>
          <w:sz w:val="20"/>
          <w:szCs w:val="20"/>
        </w:rPr>
        <w:t>increased from R45.5 million in 2021/22 to R139.3 million in 2022/23 and now further to R146.3 million in 2023/24.</w:t>
      </w:r>
    </w:p>
    <w:p w:rsidR="00194FC2" w:rsidRPr="000E7F48" w:rsidRDefault="003B3BF4" w:rsidP="000E7F48">
      <w:pPr>
        <w:keepNext/>
        <w:keepLines/>
        <w:spacing w:after="0" w:line="240" w:lineRule="auto"/>
        <w:outlineLvl w:val="0"/>
        <w:rPr>
          <w:rFonts w:ascii="Arial" w:eastAsiaTheme="majorEastAsia" w:hAnsi="Arial" w:cs="Arial"/>
          <w:b/>
          <w:caps/>
          <w:sz w:val="20"/>
          <w:szCs w:val="20"/>
        </w:rPr>
      </w:pPr>
      <w:r w:rsidRPr="000E7F48">
        <w:rPr>
          <w:rFonts w:ascii="Arial" w:eastAsiaTheme="majorEastAsia" w:hAnsi="Arial" w:cs="Arial"/>
          <w:b/>
          <w:caps/>
          <w:sz w:val="20"/>
          <w:szCs w:val="20"/>
        </w:rPr>
        <w:lastRenderedPageBreak/>
        <w:t>6</w:t>
      </w:r>
      <w:r w:rsidR="00194FC2" w:rsidRPr="000E7F48">
        <w:rPr>
          <w:rFonts w:ascii="Arial" w:eastAsiaTheme="majorEastAsia" w:hAnsi="Arial" w:cs="Arial"/>
          <w:b/>
          <w:caps/>
          <w:sz w:val="20"/>
          <w:szCs w:val="20"/>
        </w:rPr>
        <w:t>.</w:t>
      </w:r>
      <w:r w:rsidR="00194FC2" w:rsidRPr="000E7F48">
        <w:rPr>
          <w:rFonts w:ascii="Arial" w:eastAsiaTheme="majorEastAsia" w:hAnsi="Arial" w:cs="Arial"/>
          <w:b/>
          <w:caps/>
          <w:sz w:val="20"/>
          <w:szCs w:val="20"/>
        </w:rPr>
        <w:tab/>
        <w:t>National Treasury feedback to the PCoDMV</w:t>
      </w:r>
      <w:bookmarkEnd w:id="4"/>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3B3BF4" w:rsidRPr="000E7F48" w:rsidRDefault="003B3BF4"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In 202</w:t>
      </w:r>
      <w:r w:rsidR="00C25CC8" w:rsidRPr="000E7F48">
        <w:rPr>
          <w:rFonts w:ascii="Arial" w:eastAsia="Times New Roman" w:hAnsi="Arial" w:cs="Arial"/>
          <w:color w:val="000000"/>
          <w:spacing w:val="6"/>
          <w:sz w:val="20"/>
          <w:szCs w:val="20"/>
          <w:lang w:eastAsia="en-GB"/>
        </w:rPr>
        <w:t>2</w:t>
      </w:r>
      <w:r w:rsidRPr="000E7F48">
        <w:rPr>
          <w:rFonts w:ascii="Arial" w:eastAsia="Times New Roman" w:hAnsi="Arial" w:cs="Arial"/>
          <w:color w:val="000000"/>
          <w:spacing w:val="6"/>
          <w:sz w:val="20"/>
          <w:szCs w:val="20"/>
          <w:lang w:eastAsia="en-GB"/>
        </w:rPr>
        <w:t>, following its engagement with the DOD on the 202</w:t>
      </w:r>
      <w:r w:rsidR="00C25CC8" w:rsidRPr="000E7F48">
        <w:rPr>
          <w:rFonts w:ascii="Arial" w:eastAsia="Times New Roman" w:hAnsi="Arial" w:cs="Arial"/>
          <w:color w:val="000000"/>
          <w:spacing w:val="6"/>
          <w:sz w:val="20"/>
          <w:szCs w:val="20"/>
          <w:lang w:eastAsia="en-GB"/>
        </w:rPr>
        <w:t>1</w:t>
      </w:r>
      <w:r w:rsidRPr="000E7F48">
        <w:rPr>
          <w:rFonts w:ascii="Arial" w:eastAsia="Times New Roman" w:hAnsi="Arial" w:cs="Arial"/>
          <w:color w:val="000000"/>
          <w:spacing w:val="6"/>
          <w:sz w:val="20"/>
          <w:szCs w:val="20"/>
          <w:lang w:eastAsia="en-GB"/>
        </w:rPr>
        <w:t>/2</w:t>
      </w:r>
      <w:r w:rsidR="00C25CC8" w:rsidRPr="000E7F48">
        <w:rPr>
          <w:rFonts w:ascii="Arial" w:eastAsia="Times New Roman" w:hAnsi="Arial" w:cs="Arial"/>
          <w:color w:val="000000"/>
          <w:spacing w:val="6"/>
          <w:sz w:val="20"/>
          <w:szCs w:val="20"/>
          <w:lang w:eastAsia="en-GB"/>
        </w:rPr>
        <w:t>2</w:t>
      </w:r>
      <w:r w:rsidRPr="000E7F48">
        <w:rPr>
          <w:rFonts w:ascii="Arial" w:eastAsia="Times New Roman" w:hAnsi="Arial" w:cs="Arial"/>
          <w:color w:val="000000"/>
          <w:spacing w:val="6"/>
          <w:sz w:val="20"/>
          <w:szCs w:val="20"/>
          <w:lang w:eastAsia="en-GB"/>
        </w:rPr>
        <w:t xml:space="preserve"> Annual Report, the PCDMV made specific recommendations to National Treasury. The responses to these recommendations are essential to c</w:t>
      </w:r>
      <w:r w:rsidR="00C25CC8" w:rsidRPr="000E7F48">
        <w:rPr>
          <w:rFonts w:ascii="Arial" w:eastAsia="Times New Roman" w:hAnsi="Arial" w:cs="Arial"/>
          <w:color w:val="000000"/>
          <w:spacing w:val="6"/>
          <w:sz w:val="20"/>
          <w:szCs w:val="20"/>
          <w:lang w:eastAsia="en-GB"/>
        </w:rPr>
        <w:t>onsider in the light of the 2023</w:t>
      </w:r>
      <w:r w:rsidRPr="000E7F48">
        <w:rPr>
          <w:rFonts w:ascii="Arial" w:eastAsia="Times New Roman" w:hAnsi="Arial" w:cs="Arial"/>
          <w:color w:val="000000"/>
          <w:spacing w:val="6"/>
          <w:sz w:val="20"/>
          <w:szCs w:val="20"/>
          <w:lang w:eastAsia="en-GB"/>
        </w:rPr>
        <w:t>/2</w:t>
      </w:r>
      <w:r w:rsidR="00C25CC8" w:rsidRPr="000E7F48">
        <w:rPr>
          <w:rFonts w:ascii="Arial" w:eastAsia="Times New Roman" w:hAnsi="Arial" w:cs="Arial"/>
          <w:color w:val="000000"/>
          <w:spacing w:val="6"/>
          <w:sz w:val="20"/>
          <w:szCs w:val="20"/>
          <w:lang w:eastAsia="en-GB"/>
        </w:rPr>
        <w:t>4</w:t>
      </w:r>
      <w:r w:rsidRPr="000E7F48">
        <w:rPr>
          <w:rFonts w:ascii="Arial" w:eastAsia="Times New Roman" w:hAnsi="Arial" w:cs="Arial"/>
          <w:color w:val="000000"/>
          <w:spacing w:val="6"/>
          <w:sz w:val="20"/>
          <w:szCs w:val="20"/>
          <w:lang w:eastAsia="en-GB"/>
        </w:rPr>
        <w:t xml:space="preserve"> budget</w:t>
      </w:r>
      <w:r w:rsidR="00C25CC8" w:rsidRPr="000E7F48">
        <w:rPr>
          <w:rFonts w:ascii="Arial" w:eastAsia="Times New Roman" w:hAnsi="Arial" w:cs="Arial"/>
          <w:color w:val="000000"/>
          <w:spacing w:val="6"/>
          <w:sz w:val="20"/>
          <w:szCs w:val="20"/>
          <w:lang w:eastAsia="en-GB"/>
        </w:rPr>
        <w:t>:</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 xml:space="preserve">Committee recommendation 1: </w:t>
      </w:r>
    </w:p>
    <w:p w:rsidR="00C25CC8" w:rsidRPr="000E7F48" w:rsidRDefault="00C25CC8" w:rsidP="000E7F48">
      <w:pPr>
        <w:spacing w:after="0" w:line="240" w:lineRule="auto"/>
        <w:rPr>
          <w:rFonts w:ascii="Arial" w:eastAsia="Times New Roman" w:hAnsi="Arial" w:cs="Arial"/>
          <w:iCs/>
          <w:color w:val="000000"/>
          <w:spacing w:val="6"/>
          <w:sz w:val="20"/>
          <w:szCs w:val="20"/>
          <w:lang w:eastAsia="en-GB"/>
        </w:rPr>
      </w:pPr>
      <w:r w:rsidRPr="000E7F48">
        <w:rPr>
          <w:rFonts w:ascii="Arial" w:eastAsia="Times New Roman" w:hAnsi="Arial" w:cs="Arial"/>
          <w:iCs/>
          <w:color w:val="000000"/>
          <w:spacing w:val="6"/>
          <w:sz w:val="20"/>
          <w:szCs w:val="20"/>
          <w:lang w:eastAsia="en-GB"/>
        </w:rPr>
        <w:t>The Committee expresses its disappointment with the Department of Defence not correctly spending the allocation of R225 million over the MTEF on border safeguarding technology. The Committee recommends that the Department reprioritises R140 million from its allocation for 2023/24 for the purpose of border safeguarding technology as force multipliers. Subject to this reprioritisation being carried out and spent successfully, the Committee then recommends further ring-fenced allocations for border safeguarding technology by National Treasury for the outer years of the 2023 MTEF.</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Response from National Treasury 1:</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National Treasury agrees with this recommendation. The Department of Defence is allocated additional funding of R500 million in 2024/25 and R200 million in 2025/26 to procure equipment and technology to aid the safeguarding of borders. These earmarked funds may not be used for any other purposes. Any changes to these amounts will require the National Treasury’s approval.</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Committee recommendation 2:</w:t>
      </w:r>
    </w:p>
    <w:p w:rsidR="00C25CC8" w:rsidRPr="000E7F48" w:rsidRDefault="00C25CC8" w:rsidP="000E7F48">
      <w:pPr>
        <w:spacing w:after="0" w:line="240" w:lineRule="auto"/>
        <w:rPr>
          <w:rFonts w:ascii="Arial" w:eastAsia="Times New Roman" w:hAnsi="Arial" w:cs="Arial"/>
          <w:iCs/>
          <w:color w:val="000000"/>
          <w:spacing w:val="6"/>
          <w:sz w:val="20"/>
          <w:szCs w:val="20"/>
          <w:lang w:eastAsia="en-GB"/>
        </w:rPr>
      </w:pPr>
      <w:r w:rsidRPr="000E7F48">
        <w:rPr>
          <w:rFonts w:ascii="Arial" w:eastAsia="Times New Roman" w:hAnsi="Arial" w:cs="Arial"/>
          <w:iCs/>
          <w:color w:val="000000"/>
          <w:spacing w:val="6"/>
          <w:sz w:val="20"/>
          <w:szCs w:val="20"/>
          <w:lang w:eastAsia="en-GB"/>
        </w:rPr>
        <w:t>As in the Portfolio Committee on Defence and Military Veterans’ BRRR [budgetary review and recommendation report] recommendations to the National Treasury in 2019, 2020 and 2021, the Committee again recommends a ring-fenced allocation for the midlife upgrades of the SA Navy frigates and submarines. The Committee is suggesting a staggered approach in this regard to limit the fiscal impact, but one that would ensure the midlife upgrades of all frigates and submarines over, for example, the next 7 to 10 years, starting in 2023/24. This will allow the SA Navy to appropriately plan vessel availability, adjust its sea-hour targets accordingly and report more accurately to Parliament. It would also add significant capacity in terms of maritime security which is currently characterised by very limited naval patrols.</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Response from National Treasury 2:</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Consistent with the Committee’s recommendation, the Department of Defence is allocated additional funding of R500 million in 2023/24, R441 million in 2024/25 and R480 million in 2025/26 for the midlife upgrades of the South African Navy’s frigates and submarines. These earmarked funds may not be used for any other purposes. Any changes to these amounts will require the National Treasury’s approval.</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Committee recommendation 3:</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Committee is concerned about the ability of the South African Air Force to effectively provide logistical and reinforcement support to the South African National Defence Force members deployed outside South Africa due to limited strategic airlift capacity. The Committee therefore recommends an urgent ring-fenced allocation to address the strategic airlift shortcomings in the South African Air Force.</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Response from National Treasury 3:</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Consistent with the Committee’s recommendation, the Department of Defence is allocated additional funding of R1 billion in 2023/24 to strengthen the country’s airlift transport capability. This earmarked allocation may not be used for any other purposes. Any changes to the allocated amount will require the National Treasury’s approval.</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Committee recommendation 4:</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Committee is concerned about the stagnation and lack of investment in the SANDF [South African National Defence Force] landward defence capability, notably the SA Army’s Infantry capability. This factor has been worsened by the non-finalisation of Project Hoefyster. The committee therefore recommends engagement between the National Treasury, the Department of Defence and Armscor to consider further funding for Phase 2 of Project Hoefyster or, should this not be feasible, the upgrading of the current Ratel fleet to extend its serviceability. The National Treasury, the Department of Defence and Armscor should jointly report back to this committee on the envisaged plan to address the infantry capability constraints. These plans should be included in the Department’s and Armscor’s Annual Performance Plans for 2023/24 and National Treasury should consider a statement to this effect in the 2023/24 Estimates of National Expenditure.</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Response from National Treasury 4:</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lastRenderedPageBreak/>
        <w:t>The National Treasury notes the Committee’s concerns. To date, government has invested R7.4 billion in Project Hoefyster. This project was supposed to acquire 264 infantry fighting vehicles to partially replace the old Ratel fleet, but these vehicles have yet to be delivered. The National Treasury is open to engagement with the Department of Defence and Armscor on the feasibility of the project.</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Committee recommendation 5:</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Committee wishes to note to National Treasury that the SANDF’s Mobility Packages being utilised for border safeguarding have been in use since 2017 and may soon reach the end of their lifespan. Given the ongoing role of the SANDF in border safeguarding, the Committee highlights the need for the Department of Defence and the National Treasury to jointly plan for upcoming expenses in this regard towards the end of the 2023 MTEF and beyond. The Committee also wishes to reiterate that the current Mobility Packages were considered an interim solution and any future joint planning by the department and the National Treasury should consider a more permanent long-term solution that can effectively aid in ensuring improved border safeguarding.</w:t>
      </w:r>
    </w:p>
    <w:p w:rsidR="00C25CC8" w:rsidRPr="000E7F48" w:rsidRDefault="00C25CC8" w:rsidP="000E7F48">
      <w:pPr>
        <w:spacing w:after="0" w:line="240" w:lineRule="auto"/>
        <w:rPr>
          <w:rFonts w:ascii="Arial" w:eastAsia="Times New Roman" w:hAnsi="Arial" w:cs="Arial"/>
          <w:b/>
          <w:color w:val="000000"/>
          <w:spacing w:val="6"/>
          <w:sz w:val="20"/>
          <w:szCs w:val="20"/>
          <w:lang w:eastAsia="en-GB"/>
        </w:rPr>
      </w:pPr>
      <w:r w:rsidRPr="000E7F48">
        <w:rPr>
          <w:rFonts w:ascii="Arial" w:eastAsia="Times New Roman" w:hAnsi="Arial" w:cs="Arial"/>
          <w:b/>
          <w:color w:val="000000"/>
          <w:spacing w:val="6"/>
          <w:sz w:val="20"/>
          <w:szCs w:val="20"/>
          <w:lang w:eastAsia="en-GB"/>
        </w:rPr>
        <w:t>Response from National Treasury 5:</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National Treasury notes the Committee’s recommendation. Over the 2023 MTEF period, the National Treasury has allocated R700 million to procure helicopters, vehicles and technology for border safeguarding. The Department of Defence is responsible for the procurement of vehicles or mobility packages that will improve border safeguarding over the long term.</w:t>
      </w: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p>
    <w:p w:rsidR="00C25CC8" w:rsidRPr="000E7F48" w:rsidRDefault="00C25CC8" w:rsidP="000E7F48">
      <w:pPr>
        <w:spacing w:after="0" w:line="240" w:lineRule="auto"/>
        <w:rPr>
          <w:rFonts w:ascii="Arial" w:eastAsia="Times New Roman" w:hAnsi="Arial" w:cs="Arial"/>
          <w:color w:val="000000"/>
          <w:spacing w:val="6"/>
          <w:sz w:val="20"/>
          <w:szCs w:val="20"/>
          <w:lang w:eastAsia="en-GB"/>
        </w:rPr>
      </w:pPr>
    </w:p>
    <w:p w:rsidR="00194FC2" w:rsidRPr="000E7F48" w:rsidRDefault="003B3BF4" w:rsidP="000E7F48">
      <w:pPr>
        <w:keepNext/>
        <w:keepLines/>
        <w:spacing w:after="0" w:line="240" w:lineRule="auto"/>
        <w:outlineLvl w:val="0"/>
        <w:rPr>
          <w:rFonts w:ascii="Arial" w:eastAsiaTheme="majorEastAsia" w:hAnsi="Arial" w:cs="Arial"/>
          <w:b/>
          <w:caps/>
          <w:sz w:val="20"/>
          <w:szCs w:val="20"/>
        </w:rPr>
      </w:pPr>
      <w:bookmarkStart w:id="5" w:name="_Toc36489529"/>
      <w:r w:rsidRPr="000E7F48">
        <w:rPr>
          <w:rFonts w:ascii="Arial" w:eastAsiaTheme="majorEastAsia" w:hAnsi="Arial" w:cs="Arial"/>
          <w:b/>
          <w:caps/>
          <w:sz w:val="20"/>
          <w:szCs w:val="20"/>
        </w:rPr>
        <w:t>7</w:t>
      </w:r>
      <w:r w:rsidR="00194FC2" w:rsidRPr="000E7F48">
        <w:rPr>
          <w:rFonts w:ascii="Arial" w:eastAsiaTheme="majorEastAsia" w:hAnsi="Arial" w:cs="Arial"/>
          <w:b/>
          <w:caps/>
          <w:sz w:val="20"/>
          <w:szCs w:val="20"/>
        </w:rPr>
        <w:t>.</w:t>
      </w:r>
      <w:r w:rsidR="00194FC2" w:rsidRPr="000E7F48">
        <w:rPr>
          <w:rFonts w:ascii="Arial" w:eastAsiaTheme="majorEastAsia" w:hAnsi="Arial" w:cs="Arial"/>
          <w:b/>
          <w:caps/>
          <w:sz w:val="20"/>
          <w:szCs w:val="20"/>
        </w:rPr>
        <w:tab/>
        <w:t>budget and performance analysis per programme</w:t>
      </w:r>
      <w:bookmarkEnd w:id="5"/>
    </w:p>
    <w:p w:rsidR="00194FC2" w:rsidRPr="000E7F48" w:rsidRDefault="00194FC2" w:rsidP="000E7F48">
      <w:pPr>
        <w:spacing w:after="0" w:line="240" w:lineRule="auto"/>
        <w:rPr>
          <w:rFonts w:ascii="Arial" w:hAnsi="Arial" w:cs="Arial"/>
          <w:sz w:val="20"/>
          <w:szCs w:val="20"/>
        </w:rPr>
      </w:pPr>
      <w:bookmarkStart w:id="6" w:name="_Toc36489530"/>
    </w:p>
    <w:p w:rsidR="00194FC2" w:rsidRPr="000E7F48" w:rsidRDefault="003B3BF4"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7</w:t>
      </w:r>
      <w:r w:rsidR="00194FC2" w:rsidRPr="000E7F48">
        <w:rPr>
          <w:rFonts w:ascii="Arial" w:eastAsiaTheme="majorEastAsia" w:hAnsi="Arial" w:cs="Arial"/>
          <w:b/>
          <w:sz w:val="20"/>
          <w:szCs w:val="20"/>
        </w:rPr>
        <w:t>.1</w:t>
      </w:r>
      <w:r w:rsidR="00194FC2" w:rsidRPr="000E7F48">
        <w:rPr>
          <w:rFonts w:ascii="Arial" w:eastAsiaTheme="majorEastAsia" w:hAnsi="Arial" w:cs="Arial"/>
          <w:b/>
          <w:sz w:val="20"/>
          <w:szCs w:val="20"/>
        </w:rPr>
        <w:tab/>
        <w:t>Programme 1 (Administration)</w:t>
      </w:r>
      <w:bookmarkEnd w:id="6"/>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3B3BF4"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.1.1</w:t>
      </w:r>
      <w:r w:rsidR="00194FC2" w:rsidRPr="000E7F48">
        <w:rPr>
          <w:rFonts w:ascii="Arial" w:eastAsia="Times New Roman" w:hAnsi="Arial" w:cs="Arial"/>
          <w:b/>
          <w:color w:val="000000"/>
          <w:spacing w:val="6"/>
          <w:sz w:val="20"/>
          <w:szCs w:val="20"/>
          <w:lang w:val="en-GB" w:eastAsia="en-GB"/>
        </w:rPr>
        <w:tab/>
        <w:t>Programme 1 Budget Analysis</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Administration programme received a nominal </w:t>
      </w:r>
      <w:r w:rsidRPr="000E7F48">
        <w:rPr>
          <w:rFonts w:ascii="Arial" w:eastAsia="Times New Roman" w:hAnsi="Arial" w:cs="Arial"/>
          <w:b/>
          <w:color w:val="000000"/>
          <w:spacing w:val="6"/>
          <w:sz w:val="20"/>
          <w:szCs w:val="20"/>
          <w:lang w:eastAsia="en-GB"/>
        </w:rPr>
        <w:t>decrease</w:t>
      </w:r>
      <w:r w:rsidRPr="000E7F48">
        <w:rPr>
          <w:rFonts w:ascii="Arial" w:eastAsia="Times New Roman" w:hAnsi="Arial" w:cs="Arial"/>
          <w:color w:val="000000"/>
          <w:spacing w:val="6"/>
          <w:sz w:val="20"/>
          <w:szCs w:val="20"/>
          <w:lang w:eastAsia="en-GB"/>
        </w:rPr>
        <w:t xml:space="preserve"> of R391.0 million from </w:t>
      </w:r>
      <w:r w:rsidRPr="000E7F48">
        <w:rPr>
          <w:rFonts w:ascii="Arial" w:eastAsia="Times New Roman" w:hAnsi="Arial" w:cs="Arial"/>
          <w:color w:val="000000"/>
          <w:spacing w:val="6"/>
          <w:sz w:val="20"/>
          <w:szCs w:val="20"/>
          <w:lang w:eastAsia="en-GB"/>
        </w:rPr>
        <w:br/>
        <w:t xml:space="preserve">R5.829 billion in 2022/23 to R5.438 billion in 2023/24. This decrease translates to a real percentage decrease of 11.07% when adjusted for inflation. While the allocation to most subprogrammes remained relatively stable, the main reduction in allocation is reflected in the following subprogrammes: </w:t>
      </w:r>
    </w:p>
    <w:p w:rsidR="00852B42" w:rsidRPr="000E7F48" w:rsidRDefault="00852B42" w:rsidP="000E7F48">
      <w:pPr>
        <w:numPr>
          <w:ilvl w:val="0"/>
          <w:numId w:val="26"/>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w:t>
      </w:r>
      <w:r w:rsidRPr="000E7F48">
        <w:rPr>
          <w:rFonts w:ascii="Arial" w:eastAsia="Times New Roman" w:hAnsi="Arial" w:cs="Arial"/>
          <w:i/>
          <w:color w:val="000000"/>
          <w:spacing w:val="6"/>
          <w:sz w:val="20"/>
          <w:szCs w:val="20"/>
          <w:lang w:eastAsia="en-GB"/>
        </w:rPr>
        <w:t>Human Resources Support Services</w:t>
      </w:r>
      <w:r w:rsidRPr="000E7F48">
        <w:rPr>
          <w:rFonts w:ascii="Arial" w:eastAsia="Times New Roman" w:hAnsi="Arial" w:cs="Arial"/>
          <w:color w:val="000000"/>
          <w:spacing w:val="6"/>
          <w:sz w:val="20"/>
          <w:szCs w:val="20"/>
          <w:lang w:eastAsia="en-GB"/>
        </w:rPr>
        <w:t xml:space="preserve"> allocation decreased from R1.043 billion in 2022/23 to R945.7 million in 2023/24.</w:t>
      </w:r>
    </w:p>
    <w:p w:rsidR="00852B42" w:rsidRPr="000E7F48" w:rsidRDefault="00852B42" w:rsidP="000E7F48">
      <w:pPr>
        <w:numPr>
          <w:ilvl w:val="0"/>
          <w:numId w:val="26"/>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w:t>
      </w:r>
      <w:r w:rsidRPr="000E7F48">
        <w:rPr>
          <w:rFonts w:ascii="Arial" w:eastAsia="Times New Roman" w:hAnsi="Arial" w:cs="Arial"/>
          <w:i/>
          <w:color w:val="000000"/>
          <w:spacing w:val="6"/>
          <w:sz w:val="20"/>
          <w:szCs w:val="20"/>
          <w:lang w:eastAsia="en-GB"/>
        </w:rPr>
        <w:t xml:space="preserve">Defence Foreign Relations </w:t>
      </w:r>
      <w:r w:rsidRPr="000E7F48">
        <w:rPr>
          <w:rFonts w:ascii="Arial" w:eastAsia="Times New Roman" w:hAnsi="Arial" w:cs="Arial"/>
          <w:color w:val="000000"/>
          <w:spacing w:val="6"/>
          <w:sz w:val="20"/>
          <w:szCs w:val="20"/>
          <w:lang w:eastAsia="en-GB"/>
        </w:rPr>
        <w:t xml:space="preserve">allocation decreased from R273.3 million in 2022/23 to only R20.2 million in 2023/24. </w:t>
      </w:r>
    </w:p>
    <w:p w:rsidR="00852B42" w:rsidRPr="000E7F48" w:rsidRDefault="00852B42" w:rsidP="000E7F48">
      <w:pPr>
        <w:spacing w:after="0" w:line="240" w:lineRule="auto"/>
        <w:ind w:left="426"/>
        <w:rPr>
          <w:rFonts w:ascii="Arial" w:eastAsia="Times New Roman" w:hAnsi="Arial" w:cs="Arial"/>
          <w:color w:val="000000"/>
          <w:spacing w:val="6"/>
          <w:sz w:val="20"/>
          <w:szCs w:val="20"/>
          <w:lang w:eastAsia="en-GB"/>
        </w:rPr>
      </w:pP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In terms of economic classifications, allocations also remained fairly static. However, the following aspects can be noted:  </w:t>
      </w:r>
    </w:p>
    <w:p w:rsidR="00852B42" w:rsidRPr="000E7F48" w:rsidRDefault="00852B42" w:rsidP="000E7F48">
      <w:pPr>
        <w:numPr>
          <w:ilvl w:val="0"/>
          <w:numId w:val="1"/>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Advertising. </w:t>
      </w:r>
      <w:r w:rsidRPr="000E7F48">
        <w:rPr>
          <w:rFonts w:ascii="Arial" w:eastAsia="Times New Roman" w:hAnsi="Arial" w:cs="Arial"/>
          <w:color w:val="000000"/>
          <w:spacing w:val="6"/>
          <w:sz w:val="20"/>
          <w:szCs w:val="20"/>
          <w:lang w:eastAsia="en-GB"/>
        </w:rPr>
        <w:t>Spending is set to decrease slightly from R78.0 million in 2022/23 to R74.8 million in 2023/24. The need for spending R74.8 million on advertising in a year where there will be no MSDS recruitment can be questioned.</w:t>
      </w:r>
    </w:p>
    <w:p w:rsidR="00852B42" w:rsidRPr="000E7F48" w:rsidRDefault="00852B42" w:rsidP="000E7F48">
      <w:pPr>
        <w:numPr>
          <w:ilvl w:val="0"/>
          <w:numId w:val="1"/>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Travel and Subsistence </w:t>
      </w:r>
      <w:r w:rsidRPr="000E7F48">
        <w:rPr>
          <w:rFonts w:ascii="Arial" w:eastAsia="Times New Roman" w:hAnsi="Arial" w:cs="Arial"/>
          <w:color w:val="000000"/>
          <w:spacing w:val="6"/>
          <w:sz w:val="20"/>
          <w:szCs w:val="20"/>
          <w:lang w:eastAsia="en-GB"/>
        </w:rPr>
        <w:t>will decrease</w:t>
      </w:r>
      <w:r w:rsidRPr="000E7F48">
        <w:rPr>
          <w:rFonts w:ascii="Arial" w:eastAsia="Times New Roman" w:hAnsi="Arial" w:cs="Arial"/>
          <w:i/>
          <w:color w:val="000000"/>
          <w:spacing w:val="6"/>
          <w:sz w:val="20"/>
          <w:szCs w:val="20"/>
          <w:lang w:eastAsia="en-GB"/>
        </w:rPr>
        <w:t xml:space="preserve"> </w:t>
      </w:r>
      <w:r w:rsidRPr="000E7F48">
        <w:rPr>
          <w:rFonts w:ascii="Arial" w:eastAsia="Times New Roman" w:hAnsi="Arial" w:cs="Arial"/>
          <w:color w:val="000000"/>
          <w:spacing w:val="6"/>
          <w:sz w:val="20"/>
          <w:szCs w:val="20"/>
          <w:lang w:eastAsia="en-GB"/>
        </w:rPr>
        <w:t xml:space="preserve">slightly from R123.5 million in 2022/23 to R116.3 million in 2023/24. </w:t>
      </w:r>
    </w:p>
    <w:p w:rsidR="00852B42" w:rsidRPr="000E7F48" w:rsidRDefault="00852B42" w:rsidP="000E7F48">
      <w:pPr>
        <w:numPr>
          <w:ilvl w:val="0"/>
          <w:numId w:val="1"/>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Operating leases </w:t>
      </w:r>
      <w:r w:rsidRPr="000E7F48">
        <w:rPr>
          <w:rFonts w:ascii="Arial" w:eastAsia="Times New Roman" w:hAnsi="Arial" w:cs="Arial"/>
          <w:color w:val="000000"/>
          <w:spacing w:val="6"/>
          <w:sz w:val="20"/>
          <w:szCs w:val="20"/>
          <w:lang w:eastAsia="en-GB"/>
        </w:rPr>
        <w:t>remain fairly stable at R1.635 billion in 2023/24.</w:t>
      </w:r>
      <w:r w:rsidRPr="000E7F48">
        <w:rPr>
          <w:rFonts w:ascii="Arial" w:eastAsia="Times New Roman" w:hAnsi="Arial" w:cs="Arial"/>
          <w:i/>
          <w:color w:val="000000"/>
          <w:spacing w:val="6"/>
          <w:sz w:val="20"/>
          <w:szCs w:val="20"/>
          <w:lang w:eastAsia="en-GB"/>
        </w:rPr>
        <w:t xml:space="preserve"> </w:t>
      </w:r>
      <w:r w:rsidRPr="000E7F48">
        <w:rPr>
          <w:rFonts w:ascii="Arial" w:eastAsia="Times New Roman" w:hAnsi="Arial" w:cs="Arial"/>
          <w:color w:val="000000"/>
          <w:spacing w:val="6"/>
          <w:sz w:val="20"/>
          <w:szCs w:val="20"/>
          <w:lang w:eastAsia="en-GB"/>
        </w:rPr>
        <w:t>However, this amount should be viewed against the much lower allocations (less than R40 million annually) to operating leases prior to 2021/22.</w:t>
      </w:r>
    </w:p>
    <w:p w:rsidR="006D401C" w:rsidRPr="000E7F48" w:rsidRDefault="006D401C" w:rsidP="000E7F48">
      <w:pPr>
        <w:spacing w:after="0" w:line="240" w:lineRule="auto"/>
        <w:ind w:left="426"/>
        <w:rPr>
          <w:rFonts w:ascii="Arial" w:eastAsia="Times New Roman" w:hAnsi="Arial" w:cs="Arial"/>
          <w:color w:val="000000"/>
          <w:spacing w:val="6"/>
          <w:sz w:val="20"/>
          <w:szCs w:val="20"/>
          <w:lang w:eastAsia="en-GB"/>
        </w:rPr>
      </w:pPr>
    </w:p>
    <w:p w:rsidR="006D401C" w:rsidRPr="000E7F48" w:rsidRDefault="006D401C" w:rsidP="000E7F48">
      <w:pPr>
        <w:spacing w:after="0" w:line="240" w:lineRule="auto"/>
        <w:ind w:left="426"/>
        <w:rPr>
          <w:rFonts w:ascii="Arial" w:eastAsia="Times New Roman" w:hAnsi="Arial" w:cs="Arial"/>
          <w:color w:val="000000"/>
          <w:spacing w:val="6"/>
          <w:sz w:val="20"/>
          <w:szCs w:val="20"/>
          <w:lang w:eastAsia="en-GB"/>
        </w:rPr>
      </w:pPr>
    </w:p>
    <w:p w:rsidR="006D401C" w:rsidRPr="000E7F48" w:rsidRDefault="006D401C" w:rsidP="000E7F48">
      <w:pPr>
        <w:spacing w:after="0" w:line="240" w:lineRule="auto"/>
        <w:ind w:left="426"/>
        <w:rPr>
          <w:rFonts w:ascii="Arial" w:eastAsia="Times New Roman" w:hAnsi="Arial" w:cs="Arial"/>
          <w:color w:val="000000"/>
          <w:spacing w:val="6"/>
          <w:sz w:val="20"/>
          <w:szCs w:val="20"/>
          <w:lang w:eastAsia="en-GB"/>
        </w:rPr>
      </w:pPr>
    </w:p>
    <w:p w:rsidR="006D401C" w:rsidRPr="000E7F48" w:rsidRDefault="006D401C" w:rsidP="000E7F48">
      <w:pPr>
        <w:spacing w:after="0" w:line="240" w:lineRule="auto"/>
        <w:ind w:left="426"/>
        <w:rPr>
          <w:rFonts w:ascii="Arial" w:eastAsia="Times New Roman" w:hAnsi="Arial" w:cs="Arial"/>
          <w:color w:val="000000"/>
          <w:spacing w:val="6"/>
          <w:sz w:val="20"/>
          <w:szCs w:val="20"/>
          <w:lang w:eastAsia="en-GB"/>
        </w:rPr>
      </w:pPr>
    </w:p>
    <w:p w:rsidR="006D401C" w:rsidRPr="000E7F48" w:rsidRDefault="006D401C" w:rsidP="000E7F48">
      <w:pPr>
        <w:spacing w:after="0" w:line="240" w:lineRule="auto"/>
        <w:ind w:left="426"/>
        <w:rPr>
          <w:rFonts w:ascii="Arial" w:eastAsia="Times New Roman" w:hAnsi="Arial" w:cs="Arial"/>
          <w:color w:val="000000"/>
          <w:spacing w:val="6"/>
          <w:sz w:val="20"/>
          <w:szCs w:val="20"/>
          <w:lang w:eastAsia="en-GB"/>
        </w:rPr>
      </w:pPr>
    </w:p>
    <w:p w:rsidR="00852B42" w:rsidRPr="000E7F48" w:rsidRDefault="00852B42" w:rsidP="000E7F48">
      <w:pPr>
        <w:spacing w:after="0" w:line="240" w:lineRule="auto"/>
        <w:ind w:left="426"/>
        <w:rPr>
          <w:rFonts w:ascii="Arial" w:eastAsia="Times New Roman" w:hAnsi="Arial" w:cs="Arial"/>
          <w:color w:val="000000"/>
          <w:spacing w:val="6"/>
          <w:sz w:val="20"/>
          <w:szCs w:val="20"/>
          <w:lang w:eastAsia="en-GB"/>
        </w:rPr>
      </w:pPr>
    </w:p>
    <w:p w:rsidR="00852B42" w:rsidRPr="000E7F48" w:rsidRDefault="00852B42" w:rsidP="000E7F48">
      <w:pPr>
        <w:spacing w:after="0" w:line="240" w:lineRule="auto"/>
        <w:ind w:left="426"/>
        <w:rPr>
          <w:rFonts w:ascii="Arial" w:eastAsia="Times New Roman" w:hAnsi="Arial" w:cs="Arial"/>
          <w:color w:val="000000"/>
          <w:spacing w:val="6"/>
          <w:sz w:val="20"/>
          <w:szCs w:val="20"/>
          <w:lang w:eastAsia="en-GB"/>
        </w:rPr>
      </w:pPr>
    </w:p>
    <w:tbl>
      <w:tblPr>
        <w:tblStyle w:val="TableGrid"/>
        <w:tblW w:w="10913" w:type="dxa"/>
        <w:jc w:val="center"/>
        <w:tblLook w:val="04A0"/>
      </w:tblPr>
      <w:tblGrid>
        <w:gridCol w:w="3690"/>
        <w:gridCol w:w="1221"/>
        <w:gridCol w:w="1012"/>
        <w:gridCol w:w="1277"/>
        <w:gridCol w:w="1276"/>
        <w:gridCol w:w="1161"/>
        <w:gridCol w:w="1276"/>
      </w:tblGrid>
      <w:tr w:rsidR="00852B42" w:rsidRPr="000E7F48" w:rsidTr="0042177B">
        <w:trPr>
          <w:cantSplit/>
          <w:trHeight w:val="765"/>
          <w:tblHeader/>
          <w:jc w:val="center"/>
        </w:trPr>
        <w:tc>
          <w:tcPr>
            <w:tcW w:w="3690"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Programme</w:t>
            </w:r>
          </w:p>
        </w:tc>
        <w:tc>
          <w:tcPr>
            <w:tcW w:w="2233" w:type="dxa"/>
            <w:gridSpan w:val="2"/>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Budget</w:t>
            </w:r>
          </w:p>
        </w:tc>
        <w:tc>
          <w:tcPr>
            <w:tcW w:w="1277"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276"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Real Increase / Decrease in 2023/24</w:t>
            </w:r>
          </w:p>
        </w:tc>
        <w:tc>
          <w:tcPr>
            <w:tcW w:w="1161"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Nominal Percent change in 2023/24</w:t>
            </w:r>
          </w:p>
        </w:tc>
        <w:tc>
          <w:tcPr>
            <w:tcW w:w="1276"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Real Percent change in 2023/24</w:t>
            </w:r>
          </w:p>
        </w:tc>
      </w:tr>
      <w:tr w:rsidR="00852B42" w:rsidRPr="000E7F48" w:rsidTr="0042177B">
        <w:trPr>
          <w:trHeight w:val="255"/>
          <w:tblHeader/>
          <w:jc w:val="center"/>
        </w:trPr>
        <w:tc>
          <w:tcPr>
            <w:tcW w:w="3690"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R million</w:t>
            </w:r>
          </w:p>
        </w:tc>
        <w:tc>
          <w:tcPr>
            <w:tcW w:w="1221"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2023/24</w:t>
            </w:r>
          </w:p>
        </w:tc>
        <w:tc>
          <w:tcPr>
            <w:tcW w:w="1277"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c>
          <w:tcPr>
            <w:tcW w:w="1276"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c>
          <w:tcPr>
            <w:tcW w:w="1161"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c>
          <w:tcPr>
            <w:tcW w:w="1276"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 Ministry</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127,2</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125,4</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1,8</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7,2</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-1,42%</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-6,02%</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Sub-programme 2: Departmental </w:t>
            </w:r>
            <w:r w:rsidRPr="000E7F48">
              <w:rPr>
                <w:rFonts w:ascii="Arial" w:hAnsi="Arial" w:cs="Arial"/>
                <w:sz w:val="20"/>
                <w:szCs w:val="20"/>
              </w:rPr>
              <w:lastRenderedPageBreak/>
              <w:t>Direction</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lastRenderedPageBreak/>
              <w:t xml:space="preserve">  45,8</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46,4</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0,6</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1,4</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1,31%</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-3,42%</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lastRenderedPageBreak/>
              <w:t>Sub-programme 3: Policy and Planning</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125,0</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119,2</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5,8</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10,9</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-4,64%</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-9,09%</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4: Financial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438,3</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423,9</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14,4</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32,7</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-3,29%</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-7,80%</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5: Human Resources Support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1 042,7</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945,7</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97,0</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137,7</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-9,30%</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-13,54%</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6: Legal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379,7</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368,5</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11,2</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27,1</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-2,95%</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-7,48%</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7: Inspection and Audit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151,8</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144,7</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7,1</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13,3</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-4,68%</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-9,13%</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8: Acquisition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77,0</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71,5</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5,5</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8,6</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-7,14%</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-11,48%</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9: Communications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123,6</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117,7</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5,9</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11,0</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-4,77%</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-9,22%</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10: SANDF Command and Control</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188,4</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181,8</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6,6</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14,4</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-3,50%</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-8,01%</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11: Religious Services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20,8</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20,2</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0,6</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1,5</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-2,88%</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-7,42%</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12: Defence Reserve Direction</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37,8</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37,1</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0,7</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2,3</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-1,85%</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-6,44%</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13: Defence Foreign Relations</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273,3</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20,2</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253,1</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254,0</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-92,61%</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-92,95%</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14: Office Accommodation</w:t>
            </w:r>
          </w:p>
        </w:tc>
        <w:tc>
          <w:tcPr>
            <w:tcW w:w="122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2 797,2</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2 815,2</w:t>
            </w:r>
          </w:p>
        </w:tc>
        <w:tc>
          <w:tcPr>
            <w:tcW w:w="1277"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18,0</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103,2</w:t>
            </w:r>
          </w:p>
        </w:tc>
        <w:tc>
          <w:tcPr>
            <w:tcW w:w="116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0,64%</w:t>
            </w:r>
          </w:p>
        </w:tc>
        <w:tc>
          <w:tcPr>
            <w:tcW w:w="127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-4,06%</w:t>
            </w:r>
          </w:p>
        </w:tc>
      </w:tr>
      <w:tr w:rsidR="00852B42" w:rsidRPr="000E7F48" w:rsidTr="00852B42">
        <w:trPr>
          <w:trHeight w:val="255"/>
          <w:jc w:val="center"/>
        </w:trPr>
        <w:tc>
          <w:tcPr>
            <w:tcW w:w="3690" w:type="dxa"/>
            <w:noWrap/>
            <w:hideMark/>
          </w:tcPr>
          <w:p w:rsidR="00852B42" w:rsidRPr="000E7F48" w:rsidRDefault="00852B42" w:rsidP="000E7F48">
            <w:pPr>
              <w:rPr>
                <w:rFonts w:ascii="Arial" w:hAnsi="Arial" w:cs="Arial"/>
                <w:b/>
                <w:sz w:val="20"/>
                <w:szCs w:val="20"/>
              </w:rPr>
            </w:pPr>
            <w:r w:rsidRPr="000E7F48">
              <w:rPr>
                <w:rFonts w:ascii="Arial" w:hAnsi="Arial" w:cs="Arial"/>
                <w:b/>
                <w:sz w:val="20"/>
                <w:szCs w:val="20"/>
              </w:rPr>
              <w:t>TOTAL</w:t>
            </w:r>
          </w:p>
        </w:tc>
        <w:tc>
          <w:tcPr>
            <w:tcW w:w="1221"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xml:space="preserve"> 5 828,6</w:t>
            </w:r>
          </w:p>
        </w:tc>
        <w:tc>
          <w:tcPr>
            <w:tcW w:w="1012"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xml:space="preserve"> 5 437,6</w:t>
            </w:r>
          </w:p>
        </w:tc>
        <w:tc>
          <w:tcPr>
            <w:tcW w:w="1277"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391,0</w:t>
            </w:r>
          </w:p>
        </w:tc>
        <w:tc>
          <w:tcPr>
            <w:tcW w:w="1276"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625,2</w:t>
            </w:r>
          </w:p>
        </w:tc>
        <w:tc>
          <w:tcPr>
            <w:tcW w:w="1161"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-6,7%</w:t>
            </w:r>
          </w:p>
        </w:tc>
        <w:tc>
          <w:tcPr>
            <w:tcW w:w="1276"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-11.07%</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3: </w:t>
      </w:r>
      <w:r w:rsidRPr="000E7F48">
        <w:rPr>
          <w:rFonts w:ascii="Arial" w:eastAsia="Times New Roman" w:hAnsi="Arial" w:cs="Arial"/>
          <w:b/>
          <w:bCs/>
          <w:color w:val="000000"/>
          <w:spacing w:val="6"/>
          <w:sz w:val="20"/>
          <w:szCs w:val="20"/>
          <w:lang w:val="en-US" w:eastAsia="en-GB"/>
        </w:rPr>
        <w:t>Nominal and real increases/decreases in the Administration Programme</w:t>
      </w:r>
    </w:p>
    <w:p w:rsidR="008973B7" w:rsidRPr="000E7F48" w:rsidRDefault="008973B7"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.1.2</w:t>
      </w:r>
      <w:r w:rsidR="00194FC2" w:rsidRPr="000E7F48">
        <w:rPr>
          <w:rFonts w:ascii="Arial" w:eastAsia="Times New Roman" w:hAnsi="Arial" w:cs="Arial"/>
          <w:b/>
          <w:color w:val="000000"/>
          <w:spacing w:val="6"/>
          <w:sz w:val="20"/>
          <w:szCs w:val="20"/>
          <w:lang w:val="en-GB" w:eastAsia="en-GB"/>
        </w:rPr>
        <w:tab/>
        <w:t>Programme 1 Performance Planning</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Table</w:t>
      </w:r>
      <w:r w:rsidR="006D401C" w:rsidRPr="000E7F48">
        <w:rPr>
          <w:rFonts w:ascii="Arial" w:eastAsia="Times New Roman" w:hAnsi="Arial" w:cs="Arial"/>
          <w:color w:val="000000"/>
          <w:spacing w:val="6"/>
          <w:sz w:val="20"/>
          <w:szCs w:val="20"/>
          <w:lang w:eastAsia="en-GB"/>
        </w:rPr>
        <w:t xml:space="preserve"> below </w:t>
      </w:r>
      <w:r w:rsidRPr="000E7F48">
        <w:rPr>
          <w:rFonts w:ascii="Arial" w:eastAsia="Times New Roman" w:hAnsi="Arial" w:cs="Arial"/>
          <w:color w:val="000000"/>
          <w:spacing w:val="6"/>
          <w:sz w:val="20"/>
          <w:szCs w:val="20"/>
          <w:lang w:eastAsia="en-GB"/>
        </w:rPr>
        <w:t>captures the seven performance targets set for Programme 1. One target was removed from the programme which related to the “percentage Compliance with SANDF battle fitness requirement.” This was previously deemed a classified target.</w:t>
      </w:r>
    </w:p>
    <w:p w:rsidR="006D401C" w:rsidRPr="000E7F48" w:rsidRDefault="006D401C" w:rsidP="000E7F48">
      <w:pPr>
        <w:spacing w:after="0" w:line="240" w:lineRule="auto"/>
        <w:rPr>
          <w:rFonts w:ascii="Arial" w:eastAsia="Times New Roman" w:hAnsi="Arial" w:cs="Arial"/>
          <w:color w:val="000000"/>
          <w:spacing w:val="6"/>
          <w:sz w:val="20"/>
          <w:szCs w:val="20"/>
          <w:lang w:eastAsia="en-GB"/>
        </w:rPr>
      </w:pPr>
    </w:p>
    <w:tbl>
      <w:tblPr>
        <w:tblStyle w:val="TableGrid"/>
        <w:tblW w:w="0" w:type="auto"/>
        <w:jc w:val="center"/>
        <w:tblLook w:val="04A0"/>
      </w:tblPr>
      <w:tblGrid>
        <w:gridCol w:w="1362"/>
        <w:gridCol w:w="2855"/>
        <w:gridCol w:w="1681"/>
        <w:gridCol w:w="1701"/>
        <w:gridCol w:w="1650"/>
      </w:tblGrid>
      <w:tr w:rsidR="00852B42" w:rsidRPr="000E7F48" w:rsidTr="0042177B">
        <w:trPr>
          <w:tblHeader/>
          <w:jc w:val="center"/>
        </w:trPr>
        <w:tc>
          <w:tcPr>
            <w:tcW w:w="1129" w:type="dxa"/>
            <w:shd w:val="clear" w:color="auto" w:fill="F2F2F2" w:themeFill="background1" w:themeFillShade="F2"/>
          </w:tcPr>
          <w:p w:rsidR="00852B42" w:rsidRPr="000E7F48" w:rsidRDefault="00852B42" w:rsidP="000E7F48">
            <w:pPr>
              <w:rPr>
                <w:rFonts w:ascii="Arial" w:hAnsi="Arial" w:cs="Arial"/>
                <w:b/>
                <w:sz w:val="20"/>
                <w:szCs w:val="20"/>
              </w:rPr>
            </w:pPr>
            <w:r w:rsidRPr="000E7F48">
              <w:rPr>
                <w:rFonts w:ascii="Arial" w:hAnsi="Arial" w:cs="Arial"/>
                <w:b/>
                <w:sz w:val="20"/>
                <w:szCs w:val="20"/>
              </w:rPr>
              <w:t>DOD Output</w:t>
            </w:r>
          </w:p>
        </w:tc>
        <w:tc>
          <w:tcPr>
            <w:tcW w:w="2855" w:type="dxa"/>
            <w:shd w:val="clear" w:color="auto" w:fill="F2F2F2" w:themeFill="background1" w:themeFillShade="F2"/>
          </w:tcPr>
          <w:p w:rsidR="00852B42" w:rsidRPr="000E7F48" w:rsidRDefault="00852B42" w:rsidP="000E7F48">
            <w:pPr>
              <w:rPr>
                <w:rFonts w:ascii="Arial" w:hAnsi="Arial" w:cs="Arial"/>
                <w:b/>
                <w:sz w:val="20"/>
                <w:szCs w:val="20"/>
              </w:rPr>
            </w:pPr>
            <w:r w:rsidRPr="000E7F48">
              <w:rPr>
                <w:rFonts w:ascii="Arial" w:hAnsi="Arial" w:cs="Arial"/>
                <w:b/>
                <w:sz w:val="20"/>
                <w:szCs w:val="20"/>
              </w:rPr>
              <w:t>Indicator</w:t>
            </w:r>
          </w:p>
        </w:tc>
        <w:tc>
          <w:tcPr>
            <w:tcW w:w="1681" w:type="dxa"/>
            <w:shd w:val="clear" w:color="auto" w:fill="F2F2F2" w:themeFill="background1" w:themeFillShade="F2"/>
          </w:tcPr>
          <w:p w:rsidR="00852B42" w:rsidRPr="000E7F48" w:rsidRDefault="00852B42" w:rsidP="000E7F48">
            <w:pPr>
              <w:rPr>
                <w:rFonts w:ascii="Arial" w:hAnsi="Arial" w:cs="Arial"/>
                <w:b/>
                <w:sz w:val="20"/>
                <w:szCs w:val="20"/>
              </w:rPr>
            </w:pPr>
            <w:r w:rsidRPr="000E7F48">
              <w:rPr>
                <w:rFonts w:ascii="Arial" w:hAnsi="Arial" w:cs="Arial"/>
                <w:b/>
                <w:sz w:val="20"/>
                <w:szCs w:val="20"/>
              </w:rPr>
              <w:t>2021/22 performance</w:t>
            </w:r>
          </w:p>
        </w:tc>
        <w:tc>
          <w:tcPr>
            <w:tcW w:w="1701" w:type="dxa"/>
            <w:shd w:val="clear" w:color="auto" w:fill="F2F2F2" w:themeFill="background1" w:themeFillShade="F2"/>
          </w:tcPr>
          <w:p w:rsidR="00852B42" w:rsidRPr="000E7F48" w:rsidRDefault="00852B42" w:rsidP="000E7F48">
            <w:pPr>
              <w:rPr>
                <w:rFonts w:ascii="Arial" w:hAnsi="Arial" w:cs="Arial"/>
                <w:b/>
                <w:sz w:val="20"/>
                <w:szCs w:val="20"/>
              </w:rPr>
            </w:pPr>
            <w:r w:rsidRPr="000E7F48">
              <w:rPr>
                <w:rFonts w:ascii="Arial" w:hAnsi="Arial" w:cs="Arial"/>
                <w:b/>
                <w:sz w:val="20"/>
                <w:szCs w:val="20"/>
              </w:rPr>
              <w:t>2022/23  Estimated performance</w:t>
            </w:r>
          </w:p>
        </w:tc>
        <w:tc>
          <w:tcPr>
            <w:tcW w:w="1650" w:type="dxa"/>
            <w:shd w:val="clear" w:color="auto" w:fill="F2F2F2" w:themeFill="background1" w:themeFillShade="F2"/>
          </w:tcPr>
          <w:p w:rsidR="00852B42" w:rsidRPr="000E7F48" w:rsidRDefault="00852B42" w:rsidP="000E7F48">
            <w:pPr>
              <w:rPr>
                <w:rFonts w:ascii="Arial" w:hAnsi="Arial" w:cs="Arial"/>
                <w:b/>
                <w:sz w:val="20"/>
                <w:szCs w:val="20"/>
              </w:rPr>
            </w:pPr>
            <w:r w:rsidRPr="000E7F48">
              <w:rPr>
                <w:rFonts w:ascii="Arial" w:hAnsi="Arial" w:cs="Arial"/>
                <w:b/>
                <w:sz w:val="20"/>
                <w:szCs w:val="20"/>
              </w:rPr>
              <w:t xml:space="preserve">2023/24 </w:t>
            </w:r>
          </w:p>
          <w:p w:rsidR="00852B42" w:rsidRPr="000E7F48" w:rsidRDefault="00852B42" w:rsidP="000E7F48">
            <w:pPr>
              <w:rPr>
                <w:rFonts w:ascii="Arial" w:hAnsi="Arial" w:cs="Arial"/>
                <w:b/>
                <w:sz w:val="20"/>
                <w:szCs w:val="20"/>
              </w:rPr>
            </w:pPr>
            <w:r w:rsidRPr="000E7F48">
              <w:rPr>
                <w:rFonts w:ascii="Arial" w:hAnsi="Arial" w:cs="Arial"/>
                <w:b/>
                <w:sz w:val="20"/>
                <w:szCs w:val="20"/>
              </w:rPr>
              <w:t>Target</w:t>
            </w:r>
          </w:p>
        </w:tc>
      </w:tr>
      <w:tr w:rsidR="00852B42" w:rsidRPr="000E7F48" w:rsidTr="0042177B">
        <w:trPr>
          <w:jc w:val="center"/>
        </w:trPr>
        <w:tc>
          <w:tcPr>
            <w:tcW w:w="1129" w:type="dxa"/>
            <w:vMerge w:val="restart"/>
          </w:tcPr>
          <w:p w:rsidR="00852B42" w:rsidRPr="000E7F48" w:rsidRDefault="00852B42" w:rsidP="000E7F48">
            <w:pPr>
              <w:rPr>
                <w:rFonts w:ascii="Arial" w:hAnsi="Arial" w:cs="Arial"/>
                <w:sz w:val="20"/>
                <w:szCs w:val="20"/>
              </w:rPr>
            </w:pPr>
            <w:r w:rsidRPr="000E7F48">
              <w:rPr>
                <w:rFonts w:ascii="Arial" w:hAnsi="Arial" w:cs="Arial"/>
                <w:sz w:val="20"/>
                <w:szCs w:val="20"/>
              </w:rPr>
              <w:t>Defence effectively administered</w:t>
            </w:r>
          </w:p>
        </w:tc>
        <w:tc>
          <w:tcPr>
            <w:tcW w:w="2855"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 Adherence to DOD Master Record Index for Policies</w:t>
            </w:r>
          </w:p>
        </w:tc>
        <w:tc>
          <w:tcPr>
            <w:tcW w:w="168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60%</w:t>
            </w:r>
          </w:p>
        </w:tc>
        <w:tc>
          <w:tcPr>
            <w:tcW w:w="170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60%</w:t>
            </w:r>
          </w:p>
        </w:tc>
        <w:tc>
          <w:tcPr>
            <w:tcW w:w="1650" w:type="dxa"/>
            <w:shd w:val="clear" w:color="auto" w:fill="FFFFFF" w:themeFill="background1"/>
          </w:tcPr>
          <w:p w:rsidR="00852B42" w:rsidRPr="000E7F48" w:rsidRDefault="00852B42" w:rsidP="000E7F48">
            <w:pPr>
              <w:rPr>
                <w:rFonts w:ascii="Arial" w:hAnsi="Arial" w:cs="Arial"/>
                <w:b/>
                <w:sz w:val="20"/>
                <w:szCs w:val="20"/>
              </w:rPr>
            </w:pPr>
            <w:r w:rsidRPr="000E7F48">
              <w:rPr>
                <w:rFonts w:ascii="Arial" w:hAnsi="Arial" w:cs="Arial"/>
                <w:b/>
                <w:sz w:val="20"/>
                <w:szCs w:val="20"/>
              </w:rPr>
              <w:t>60%</w:t>
            </w:r>
          </w:p>
        </w:tc>
      </w:tr>
      <w:tr w:rsidR="00852B42" w:rsidRPr="000E7F48" w:rsidTr="0042177B">
        <w:trPr>
          <w:jc w:val="center"/>
        </w:trPr>
        <w:tc>
          <w:tcPr>
            <w:tcW w:w="1129" w:type="dxa"/>
            <w:vMerge/>
          </w:tcPr>
          <w:p w:rsidR="00852B42" w:rsidRPr="000E7F48" w:rsidRDefault="00852B42" w:rsidP="000E7F48">
            <w:pPr>
              <w:rPr>
                <w:rFonts w:ascii="Arial" w:hAnsi="Arial" w:cs="Arial"/>
                <w:sz w:val="20"/>
                <w:szCs w:val="20"/>
              </w:rPr>
            </w:pPr>
          </w:p>
        </w:tc>
        <w:tc>
          <w:tcPr>
            <w:tcW w:w="2855"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 Adherence to DOD Master Record Index for Plans</w:t>
            </w:r>
          </w:p>
        </w:tc>
        <w:tc>
          <w:tcPr>
            <w:tcW w:w="168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88.6% (39)</w:t>
            </w:r>
          </w:p>
        </w:tc>
        <w:tc>
          <w:tcPr>
            <w:tcW w:w="170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100% (41)</w:t>
            </w:r>
          </w:p>
        </w:tc>
        <w:tc>
          <w:tcPr>
            <w:tcW w:w="1650" w:type="dxa"/>
            <w:shd w:val="clear" w:color="auto" w:fill="FFFFFF" w:themeFill="background1"/>
          </w:tcPr>
          <w:p w:rsidR="00852B42" w:rsidRPr="000E7F48" w:rsidRDefault="00852B42" w:rsidP="000E7F48">
            <w:pPr>
              <w:rPr>
                <w:rFonts w:ascii="Arial" w:hAnsi="Arial" w:cs="Arial"/>
                <w:b/>
                <w:sz w:val="20"/>
                <w:szCs w:val="20"/>
              </w:rPr>
            </w:pPr>
            <w:r w:rsidRPr="000E7F48">
              <w:rPr>
                <w:rFonts w:ascii="Arial" w:hAnsi="Arial" w:cs="Arial"/>
                <w:b/>
                <w:sz w:val="20"/>
                <w:szCs w:val="20"/>
              </w:rPr>
              <w:t>100% (41)</w:t>
            </w:r>
          </w:p>
        </w:tc>
      </w:tr>
      <w:tr w:rsidR="00852B42" w:rsidRPr="000E7F48" w:rsidTr="0042177B">
        <w:trPr>
          <w:jc w:val="center"/>
        </w:trPr>
        <w:tc>
          <w:tcPr>
            <w:tcW w:w="1129" w:type="dxa"/>
            <w:vMerge/>
          </w:tcPr>
          <w:p w:rsidR="00852B42" w:rsidRPr="000E7F48" w:rsidRDefault="00852B42" w:rsidP="000E7F48">
            <w:pPr>
              <w:rPr>
                <w:rFonts w:ascii="Arial" w:hAnsi="Arial" w:cs="Arial"/>
                <w:sz w:val="20"/>
                <w:szCs w:val="20"/>
              </w:rPr>
            </w:pPr>
          </w:p>
        </w:tc>
        <w:tc>
          <w:tcPr>
            <w:tcW w:w="2855"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Number of Reserve Force man days</w:t>
            </w:r>
          </w:p>
        </w:tc>
        <w:tc>
          <w:tcPr>
            <w:tcW w:w="168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3 237 118</w:t>
            </w:r>
          </w:p>
        </w:tc>
        <w:tc>
          <w:tcPr>
            <w:tcW w:w="170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1 985 307</w:t>
            </w:r>
          </w:p>
        </w:tc>
        <w:tc>
          <w:tcPr>
            <w:tcW w:w="1650" w:type="dxa"/>
            <w:shd w:val="clear" w:color="auto" w:fill="FFFFFF" w:themeFill="background1"/>
          </w:tcPr>
          <w:p w:rsidR="00852B42" w:rsidRPr="000E7F48" w:rsidRDefault="00852B42" w:rsidP="000E7F48">
            <w:pPr>
              <w:rPr>
                <w:rFonts w:ascii="Arial" w:hAnsi="Arial" w:cs="Arial"/>
                <w:b/>
                <w:sz w:val="20"/>
                <w:szCs w:val="20"/>
              </w:rPr>
            </w:pPr>
            <w:r w:rsidRPr="000E7F48">
              <w:rPr>
                <w:rFonts w:ascii="Arial" w:hAnsi="Arial" w:cs="Arial"/>
                <w:b/>
                <w:sz w:val="20"/>
                <w:szCs w:val="20"/>
              </w:rPr>
              <w:t>1 989 953</w:t>
            </w:r>
          </w:p>
        </w:tc>
      </w:tr>
      <w:tr w:rsidR="00852B42" w:rsidRPr="000E7F48" w:rsidTr="0042177B">
        <w:trPr>
          <w:jc w:val="center"/>
        </w:trPr>
        <w:tc>
          <w:tcPr>
            <w:tcW w:w="1129" w:type="dxa"/>
            <w:vMerge/>
          </w:tcPr>
          <w:p w:rsidR="00852B42" w:rsidRPr="000E7F48" w:rsidRDefault="00852B42" w:rsidP="000E7F48">
            <w:pPr>
              <w:rPr>
                <w:rFonts w:ascii="Arial" w:hAnsi="Arial" w:cs="Arial"/>
                <w:sz w:val="20"/>
                <w:szCs w:val="20"/>
              </w:rPr>
            </w:pPr>
          </w:p>
        </w:tc>
        <w:tc>
          <w:tcPr>
            <w:tcW w:w="2855"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Percentage of audits completed ito approved audit plan</w:t>
            </w:r>
          </w:p>
        </w:tc>
        <w:tc>
          <w:tcPr>
            <w:tcW w:w="168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 xml:space="preserve">82.5% </w:t>
            </w:r>
          </w:p>
          <w:p w:rsidR="00852B42" w:rsidRPr="000E7F48" w:rsidRDefault="00852B42" w:rsidP="000E7F48">
            <w:pPr>
              <w:rPr>
                <w:rFonts w:ascii="Arial" w:hAnsi="Arial" w:cs="Arial"/>
                <w:sz w:val="20"/>
                <w:szCs w:val="20"/>
              </w:rPr>
            </w:pPr>
            <w:r w:rsidRPr="000E7F48">
              <w:rPr>
                <w:rFonts w:ascii="Arial" w:hAnsi="Arial" w:cs="Arial"/>
                <w:sz w:val="20"/>
                <w:szCs w:val="20"/>
              </w:rPr>
              <w:t>(33 out of 40)</w:t>
            </w:r>
          </w:p>
        </w:tc>
        <w:tc>
          <w:tcPr>
            <w:tcW w:w="170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 xml:space="preserve"> 80%</w:t>
            </w:r>
          </w:p>
        </w:tc>
        <w:tc>
          <w:tcPr>
            <w:tcW w:w="1650" w:type="dxa"/>
            <w:shd w:val="clear" w:color="auto" w:fill="FFFFFF" w:themeFill="background1"/>
          </w:tcPr>
          <w:p w:rsidR="00852B42" w:rsidRPr="000E7F48" w:rsidRDefault="00852B42" w:rsidP="000E7F48">
            <w:pPr>
              <w:rPr>
                <w:rFonts w:ascii="Arial" w:hAnsi="Arial" w:cs="Arial"/>
                <w:b/>
                <w:sz w:val="20"/>
                <w:szCs w:val="20"/>
              </w:rPr>
            </w:pPr>
            <w:r w:rsidRPr="000E7F48">
              <w:rPr>
                <w:rFonts w:ascii="Arial" w:hAnsi="Arial" w:cs="Arial"/>
                <w:sz w:val="20"/>
                <w:szCs w:val="20"/>
              </w:rPr>
              <w:t>80%</w:t>
            </w:r>
          </w:p>
        </w:tc>
      </w:tr>
      <w:tr w:rsidR="00852B42" w:rsidRPr="000E7F48" w:rsidTr="0042177B">
        <w:trPr>
          <w:jc w:val="center"/>
        </w:trPr>
        <w:tc>
          <w:tcPr>
            <w:tcW w:w="1129" w:type="dxa"/>
            <w:vMerge/>
          </w:tcPr>
          <w:p w:rsidR="00852B42" w:rsidRPr="000E7F48" w:rsidRDefault="00852B42" w:rsidP="000E7F48">
            <w:pPr>
              <w:rPr>
                <w:rFonts w:ascii="Arial" w:hAnsi="Arial" w:cs="Arial"/>
                <w:sz w:val="20"/>
                <w:szCs w:val="20"/>
              </w:rPr>
            </w:pPr>
          </w:p>
        </w:tc>
        <w:tc>
          <w:tcPr>
            <w:tcW w:w="2855"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Percentage payments within 30 days from receipt of legitimate invoices*</w:t>
            </w:r>
          </w:p>
        </w:tc>
        <w:tc>
          <w:tcPr>
            <w:tcW w:w="168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76.6%</w:t>
            </w:r>
          </w:p>
        </w:tc>
        <w:tc>
          <w:tcPr>
            <w:tcW w:w="1701" w:type="dxa"/>
            <w:shd w:val="clear" w:color="auto" w:fill="FFFFFF" w:themeFill="background1"/>
          </w:tcPr>
          <w:p w:rsidR="00852B42" w:rsidRPr="000E7F48" w:rsidRDefault="00852B42" w:rsidP="000E7F48">
            <w:pPr>
              <w:rPr>
                <w:rFonts w:ascii="Arial" w:hAnsi="Arial" w:cs="Arial"/>
                <w:sz w:val="20"/>
                <w:szCs w:val="20"/>
              </w:rPr>
            </w:pPr>
            <w:r w:rsidRPr="000E7F48">
              <w:rPr>
                <w:rFonts w:ascii="Arial" w:hAnsi="Arial" w:cs="Arial"/>
                <w:sz w:val="20"/>
                <w:szCs w:val="20"/>
              </w:rPr>
              <w:t>75%</w:t>
            </w:r>
          </w:p>
        </w:tc>
        <w:tc>
          <w:tcPr>
            <w:tcW w:w="1650" w:type="dxa"/>
            <w:shd w:val="clear" w:color="auto" w:fill="FFFFFF" w:themeFill="background1"/>
          </w:tcPr>
          <w:p w:rsidR="00852B42" w:rsidRPr="000E7F48" w:rsidRDefault="00852B42" w:rsidP="000E7F48">
            <w:pPr>
              <w:rPr>
                <w:rFonts w:ascii="Arial" w:hAnsi="Arial" w:cs="Arial"/>
                <w:b/>
                <w:sz w:val="20"/>
                <w:szCs w:val="20"/>
              </w:rPr>
            </w:pPr>
            <w:r w:rsidRPr="000E7F48">
              <w:rPr>
                <w:rFonts w:ascii="Arial" w:hAnsi="Arial" w:cs="Arial"/>
                <w:sz w:val="20"/>
                <w:szCs w:val="20"/>
              </w:rPr>
              <w:t>75%</w:t>
            </w:r>
          </w:p>
        </w:tc>
      </w:tr>
    </w:tbl>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Table 4: Performance Targets for Programme 1</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6D401C"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7</w:t>
      </w:r>
      <w:r w:rsidR="00194FC2" w:rsidRPr="000E7F48">
        <w:rPr>
          <w:rFonts w:ascii="Arial" w:eastAsiaTheme="majorEastAsia" w:hAnsi="Arial" w:cs="Arial"/>
          <w:b/>
          <w:sz w:val="20"/>
          <w:szCs w:val="20"/>
        </w:rPr>
        <w:t>.2</w:t>
      </w:r>
      <w:r w:rsidR="00194FC2" w:rsidRPr="000E7F48">
        <w:rPr>
          <w:rFonts w:ascii="Arial" w:eastAsiaTheme="majorEastAsia" w:hAnsi="Arial" w:cs="Arial"/>
          <w:b/>
          <w:sz w:val="20"/>
          <w:szCs w:val="20"/>
        </w:rPr>
        <w:tab/>
        <w:t>Programme 2 (Force Employment)</w:t>
      </w: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.2.1</w:t>
      </w:r>
      <w:r w:rsidR="00194FC2" w:rsidRPr="000E7F48">
        <w:rPr>
          <w:rFonts w:ascii="Arial" w:eastAsia="Times New Roman" w:hAnsi="Arial" w:cs="Arial"/>
          <w:b/>
          <w:color w:val="000000"/>
          <w:spacing w:val="6"/>
          <w:sz w:val="20"/>
          <w:szCs w:val="20"/>
          <w:lang w:val="en-GB" w:eastAsia="en-GB"/>
        </w:rPr>
        <w:tab/>
        <w:t>Programme 2 Budget Analysis</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the Force Employment programme decreased by R536.0 million, resulting in a nominal percentage decrease of 10.6%. This can largely be attributed to a decrease in the allocation to Subprogramme 4 (Regional Security) that received a 15.9% reduction in nominal terms and </w:t>
      </w:r>
      <w:r w:rsidRPr="000E7F48">
        <w:rPr>
          <w:rFonts w:ascii="Arial" w:eastAsia="Times New Roman" w:hAnsi="Arial" w:cs="Arial"/>
          <w:color w:val="000000"/>
          <w:spacing w:val="6"/>
          <w:sz w:val="20"/>
          <w:szCs w:val="20"/>
          <w:lang w:eastAsia="en-GB"/>
        </w:rPr>
        <w:lastRenderedPageBreak/>
        <w:t xml:space="preserve">Subprogramme 5 (Support to the People) that received a 16.7% reduction in nominal terms. The reduction in the allocation to Subprogramme 4 should be viewed against the ongoing participation of the SANDF in external missions in the DRC and Mozambique and the impact of a lower allocation should be explained, or whether it is expected that National Treasury will again reimburse the DOD in the mid-year adjustments. </w:t>
      </w: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In terms of economic classifications, most reductions are aligned with a reduced deployment need. However, the following changes in spending in terms of economic classifications </w:t>
      </w:r>
      <w:r w:rsidR="00537203" w:rsidRPr="000E7F48">
        <w:rPr>
          <w:rFonts w:ascii="Arial" w:eastAsia="Times New Roman" w:hAnsi="Arial" w:cs="Arial"/>
          <w:color w:val="000000"/>
          <w:spacing w:val="6"/>
          <w:sz w:val="20"/>
          <w:szCs w:val="20"/>
          <w:lang w:eastAsia="en-GB"/>
        </w:rPr>
        <w:t>should be noted</w:t>
      </w:r>
      <w:r w:rsidRPr="000E7F48">
        <w:rPr>
          <w:rFonts w:ascii="Arial" w:eastAsia="Times New Roman" w:hAnsi="Arial" w:cs="Arial"/>
          <w:color w:val="000000"/>
          <w:spacing w:val="6"/>
          <w:sz w:val="20"/>
          <w:szCs w:val="20"/>
          <w:lang w:eastAsia="en-GB"/>
        </w:rPr>
        <w:t>.</w:t>
      </w:r>
    </w:p>
    <w:p w:rsidR="00852B42" w:rsidRPr="000E7F48" w:rsidRDefault="00852B42" w:rsidP="000E7F48">
      <w:pPr>
        <w:numPr>
          <w:ilvl w:val="0"/>
          <w:numId w:val="2"/>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Contractors. </w:t>
      </w:r>
      <w:r w:rsidRPr="000E7F48">
        <w:rPr>
          <w:rFonts w:ascii="Arial" w:eastAsia="Times New Roman" w:hAnsi="Arial" w:cs="Arial"/>
          <w:color w:val="000000"/>
          <w:spacing w:val="6"/>
          <w:sz w:val="20"/>
          <w:szCs w:val="20"/>
          <w:lang w:eastAsia="en-GB"/>
        </w:rPr>
        <w:t xml:space="preserve">Despite the overall reduction in the allocation to Programme 2, the allocation to Contractors increases from R177.3 million in 2022/23 to R218.2 million in 2023/24. </w:t>
      </w:r>
    </w:p>
    <w:p w:rsidR="00852B42" w:rsidRPr="000E7F48" w:rsidRDefault="00852B42" w:rsidP="000E7F48">
      <w:pPr>
        <w:numPr>
          <w:ilvl w:val="0"/>
          <w:numId w:val="2"/>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Travel and subsistence </w:t>
      </w:r>
      <w:r w:rsidRPr="000E7F48">
        <w:rPr>
          <w:rFonts w:ascii="Arial" w:eastAsia="Times New Roman" w:hAnsi="Arial" w:cs="Arial"/>
          <w:color w:val="000000"/>
          <w:spacing w:val="6"/>
          <w:sz w:val="20"/>
          <w:szCs w:val="20"/>
          <w:lang w:eastAsia="en-GB"/>
        </w:rPr>
        <w:t>increases from R259.5 million in 2022/23 to R316.7 million in 2023/24, despite the overall reduction in the allocation to the programme.</w:t>
      </w:r>
    </w:p>
    <w:p w:rsidR="00852B42" w:rsidRPr="000E7F48" w:rsidRDefault="00852B42" w:rsidP="000E7F48">
      <w:pPr>
        <w:numPr>
          <w:ilvl w:val="0"/>
          <w:numId w:val="2"/>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largest reduction is in terms of the </w:t>
      </w:r>
      <w:r w:rsidRPr="000E7F48">
        <w:rPr>
          <w:rFonts w:ascii="Arial" w:eastAsia="Times New Roman" w:hAnsi="Arial" w:cs="Arial"/>
          <w:i/>
          <w:color w:val="000000"/>
          <w:spacing w:val="6"/>
          <w:sz w:val="20"/>
          <w:szCs w:val="20"/>
          <w:lang w:eastAsia="en-GB"/>
        </w:rPr>
        <w:t>Special Defence Account</w:t>
      </w:r>
      <w:r w:rsidRPr="000E7F48">
        <w:rPr>
          <w:rFonts w:ascii="Arial" w:eastAsia="Times New Roman" w:hAnsi="Arial" w:cs="Arial"/>
          <w:color w:val="000000"/>
          <w:spacing w:val="6"/>
          <w:sz w:val="20"/>
          <w:szCs w:val="20"/>
          <w:lang w:eastAsia="en-GB"/>
        </w:rPr>
        <w:t xml:space="preserve"> (SDA) that decreases from R572 million in 2022/23 to R168.7 million in 2023/24.</w:t>
      </w:r>
    </w:p>
    <w:p w:rsidR="00852B42" w:rsidRPr="000E7F48" w:rsidRDefault="00852B42" w:rsidP="000E7F48">
      <w:pPr>
        <w:spacing w:after="0" w:line="240" w:lineRule="auto"/>
        <w:rPr>
          <w:rFonts w:ascii="Arial" w:eastAsia="Times New Roman" w:hAnsi="Arial" w:cs="Arial"/>
          <w:color w:val="000000"/>
          <w:spacing w:val="6"/>
          <w:sz w:val="20"/>
          <w:szCs w:val="20"/>
          <w:lang w:eastAsia="en-GB"/>
        </w:rPr>
      </w:pPr>
    </w:p>
    <w:tbl>
      <w:tblPr>
        <w:tblStyle w:val="TableGrid"/>
        <w:tblW w:w="10733" w:type="dxa"/>
        <w:jc w:val="center"/>
        <w:tblLook w:val="04A0"/>
      </w:tblPr>
      <w:tblGrid>
        <w:gridCol w:w="3240"/>
        <w:gridCol w:w="1232"/>
        <w:gridCol w:w="1012"/>
        <w:gridCol w:w="1356"/>
        <w:gridCol w:w="1298"/>
        <w:gridCol w:w="1084"/>
        <w:gridCol w:w="1511"/>
      </w:tblGrid>
      <w:tr w:rsidR="00852B42" w:rsidRPr="000E7F48" w:rsidTr="0042177B">
        <w:trPr>
          <w:trHeight w:val="765"/>
          <w:tblHeader/>
          <w:jc w:val="center"/>
        </w:trPr>
        <w:tc>
          <w:tcPr>
            <w:tcW w:w="3240"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Programme</w:t>
            </w:r>
          </w:p>
        </w:tc>
        <w:tc>
          <w:tcPr>
            <w:tcW w:w="2244" w:type="dxa"/>
            <w:gridSpan w:val="2"/>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Budget</w:t>
            </w:r>
          </w:p>
        </w:tc>
        <w:tc>
          <w:tcPr>
            <w:tcW w:w="1356"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298"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Real Increase / Decrease in 2023/24</w:t>
            </w:r>
          </w:p>
        </w:tc>
        <w:tc>
          <w:tcPr>
            <w:tcW w:w="1084"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Nominal Percent change in 2023/24</w:t>
            </w:r>
          </w:p>
        </w:tc>
        <w:tc>
          <w:tcPr>
            <w:tcW w:w="1511" w:type="dxa"/>
            <w:vMerge w:val="restart"/>
            <w:shd w:val="clear" w:color="auto" w:fill="F2F2F2" w:themeFill="background1" w:themeFillShade="F2"/>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Real Percent change in 2023/24</w:t>
            </w:r>
          </w:p>
          <w:p w:rsidR="00852B42" w:rsidRPr="000E7F48" w:rsidRDefault="00852B42" w:rsidP="000E7F48">
            <w:pPr>
              <w:rPr>
                <w:rFonts w:ascii="Arial" w:hAnsi="Arial" w:cs="Arial"/>
                <w:b/>
                <w:bCs/>
                <w:sz w:val="20"/>
                <w:szCs w:val="20"/>
              </w:rPr>
            </w:pPr>
          </w:p>
        </w:tc>
      </w:tr>
      <w:tr w:rsidR="00852B42" w:rsidRPr="000E7F48" w:rsidTr="0042177B">
        <w:trPr>
          <w:trHeight w:val="255"/>
          <w:jc w:val="center"/>
        </w:trPr>
        <w:tc>
          <w:tcPr>
            <w:tcW w:w="3240"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R million</w:t>
            </w:r>
          </w:p>
        </w:tc>
        <w:tc>
          <w:tcPr>
            <w:tcW w:w="1232"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852B42" w:rsidRPr="000E7F48" w:rsidRDefault="00852B42" w:rsidP="000E7F48">
            <w:pPr>
              <w:rPr>
                <w:rFonts w:ascii="Arial" w:hAnsi="Arial" w:cs="Arial"/>
                <w:b/>
                <w:bCs/>
                <w:sz w:val="20"/>
                <w:szCs w:val="20"/>
              </w:rPr>
            </w:pPr>
            <w:r w:rsidRPr="000E7F48">
              <w:rPr>
                <w:rFonts w:ascii="Arial" w:hAnsi="Arial" w:cs="Arial"/>
                <w:b/>
                <w:bCs/>
                <w:sz w:val="20"/>
                <w:szCs w:val="20"/>
              </w:rPr>
              <w:t>2023/24</w:t>
            </w:r>
          </w:p>
        </w:tc>
        <w:tc>
          <w:tcPr>
            <w:tcW w:w="1356"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c>
          <w:tcPr>
            <w:tcW w:w="1298"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c>
          <w:tcPr>
            <w:tcW w:w="1084"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c>
          <w:tcPr>
            <w:tcW w:w="1511" w:type="dxa"/>
            <w:vMerge/>
            <w:shd w:val="clear" w:color="auto" w:fill="F2F2F2" w:themeFill="background1" w:themeFillShade="F2"/>
            <w:hideMark/>
          </w:tcPr>
          <w:p w:rsidR="00852B42" w:rsidRPr="000E7F48" w:rsidRDefault="00852B42" w:rsidP="000E7F48">
            <w:pPr>
              <w:rPr>
                <w:rFonts w:ascii="Arial" w:hAnsi="Arial" w:cs="Arial"/>
                <w:b/>
                <w:bCs/>
                <w:sz w:val="20"/>
                <w:szCs w:val="20"/>
              </w:rPr>
            </w:pPr>
          </w:p>
        </w:tc>
      </w:tr>
      <w:tr w:rsidR="00852B42" w:rsidRPr="000E7F48" w:rsidTr="00852B42">
        <w:trPr>
          <w:trHeight w:val="255"/>
          <w:jc w:val="center"/>
        </w:trPr>
        <w:tc>
          <w:tcPr>
            <w:tcW w:w="324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1: Strategic Direction</w:t>
            </w:r>
          </w:p>
        </w:tc>
        <w:tc>
          <w:tcPr>
            <w:tcW w:w="123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215,6</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204,6</w:t>
            </w:r>
          </w:p>
        </w:tc>
        <w:tc>
          <w:tcPr>
            <w:tcW w:w="135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11,0</w:t>
            </w:r>
          </w:p>
        </w:tc>
        <w:tc>
          <w:tcPr>
            <w:tcW w:w="1298"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20,6</w:t>
            </w:r>
          </w:p>
        </w:tc>
        <w:tc>
          <w:tcPr>
            <w:tcW w:w="1084"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-5,10%</w:t>
            </w:r>
          </w:p>
        </w:tc>
        <w:tc>
          <w:tcPr>
            <w:tcW w:w="151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-9,53%</w:t>
            </w:r>
          </w:p>
        </w:tc>
      </w:tr>
      <w:tr w:rsidR="00852B42" w:rsidRPr="000E7F48" w:rsidTr="00852B42">
        <w:trPr>
          <w:trHeight w:val="255"/>
          <w:jc w:val="center"/>
        </w:trPr>
        <w:tc>
          <w:tcPr>
            <w:tcW w:w="324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2: Operational Direction</w:t>
            </w:r>
          </w:p>
        </w:tc>
        <w:tc>
          <w:tcPr>
            <w:tcW w:w="123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398,3</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413,9</w:t>
            </w:r>
          </w:p>
        </w:tc>
        <w:tc>
          <w:tcPr>
            <w:tcW w:w="135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15,6</w:t>
            </w:r>
          </w:p>
        </w:tc>
        <w:tc>
          <w:tcPr>
            <w:tcW w:w="1298"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3,7</w:t>
            </w:r>
          </w:p>
        </w:tc>
        <w:tc>
          <w:tcPr>
            <w:tcW w:w="1084"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3,92%</w:t>
            </w:r>
          </w:p>
        </w:tc>
        <w:tc>
          <w:tcPr>
            <w:tcW w:w="151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-0,94%</w:t>
            </w:r>
          </w:p>
        </w:tc>
      </w:tr>
      <w:tr w:rsidR="00852B42" w:rsidRPr="000E7F48" w:rsidTr="00852B42">
        <w:trPr>
          <w:trHeight w:val="255"/>
          <w:jc w:val="center"/>
        </w:trPr>
        <w:tc>
          <w:tcPr>
            <w:tcW w:w="324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3: Special Operations</w:t>
            </w:r>
          </w:p>
        </w:tc>
        <w:tc>
          <w:tcPr>
            <w:tcW w:w="123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982,7</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1 002,7</w:t>
            </w:r>
          </w:p>
        </w:tc>
        <w:tc>
          <w:tcPr>
            <w:tcW w:w="135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20,0</w:t>
            </w:r>
          </w:p>
        </w:tc>
        <w:tc>
          <w:tcPr>
            <w:tcW w:w="1298"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26,8</w:t>
            </w:r>
          </w:p>
        </w:tc>
        <w:tc>
          <w:tcPr>
            <w:tcW w:w="1084"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2,04%</w:t>
            </w:r>
          </w:p>
        </w:tc>
        <w:tc>
          <w:tcPr>
            <w:tcW w:w="151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-2,73%</w:t>
            </w:r>
          </w:p>
        </w:tc>
      </w:tr>
      <w:tr w:rsidR="00852B42" w:rsidRPr="000E7F48" w:rsidTr="00852B42">
        <w:trPr>
          <w:trHeight w:val="255"/>
          <w:jc w:val="center"/>
        </w:trPr>
        <w:tc>
          <w:tcPr>
            <w:tcW w:w="324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4: Regional Security</w:t>
            </w:r>
          </w:p>
        </w:tc>
        <w:tc>
          <w:tcPr>
            <w:tcW w:w="123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2 017,1</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1 695,5</w:t>
            </w:r>
          </w:p>
        </w:tc>
        <w:tc>
          <w:tcPr>
            <w:tcW w:w="135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321,6</w:t>
            </w:r>
          </w:p>
        </w:tc>
        <w:tc>
          <w:tcPr>
            <w:tcW w:w="1298"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400,8</w:t>
            </w:r>
          </w:p>
        </w:tc>
        <w:tc>
          <w:tcPr>
            <w:tcW w:w="1084"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-15,94%</w:t>
            </w:r>
          </w:p>
        </w:tc>
        <w:tc>
          <w:tcPr>
            <w:tcW w:w="151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-19,87%</w:t>
            </w:r>
          </w:p>
        </w:tc>
      </w:tr>
      <w:tr w:rsidR="00852B42" w:rsidRPr="000E7F48" w:rsidTr="00852B42">
        <w:trPr>
          <w:trHeight w:val="255"/>
          <w:jc w:val="center"/>
        </w:trPr>
        <w:tc>
          <w:tcPr>
            <w:tcW w:w="3240" w:type="dxa"/>
            <w:noWrap/>
            <w:hideMark/>
          </w:tcPr>
          <w:p w:rsidR="00852B42" w:rsidRPr="000E7F48" w:rsidRDefault="00852B42" w:rsidP="000E7F48">
            <w:pPr>
              <w:rPr>
                <w:rFonts w:ascii="Arial" w:hAnsi="Arial" w:cs="Arial"/>
                <w:sz w:val="20"/>
                <w:szCs w:val="20"/>
              </w:rPr>
            </w:pPr>
            <w:r w:rsidRPr="000E7F48">
              <w:rPr>
                <w:rFonts w:ascii="Arial" w:hAnsi="Arial" w:cs="Arial"/>
                <w:sz w:val="20"/>
                <w:szCs w:val="20"/>
              </w:rPr>
              <w:t>Sub-programme 5: Support to the people</w:t>
            </w:r>
          </w:p>
        </w:tc>
        <w:tc>
          <w:tcPr>
            <w:tcW w:w="123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1 432,2</w:t>
            </w:r>
          </w:p>
        </w:tc>
        <w:tc>
          <w:tcPr>
            <w:tcW w:w="1012"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xml:space="preserve"> 1 193,1</w:t>
            </w:r>
          </w:p>
        </w:tc>
        <w:tc>
          <w:tcPr>
            <w:tcW w:w="1356"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239,1</w:t>
            </w:r>
          </w:p>
        </w:tc>
        <w:tc>
          <w:tcPr>
            <w:tcW w:w="1298"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  294,8</w:t>
            </w:r>
          </w:p>
        </w:tc>
        <w:tc>
          <w:tcPr>
            <w:tcW w:w="1084"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-16,69%</w:t>
            </w:r>
          </w:p>
        </w:tc>
        <w:tc>
          <w:tcPr>
            <w:tcW w:w="1511" w:type="dxa"/>
            <w:noWrap/>
            <w:vAlign w:val="bottom"/>
            <w:hideMark/>
          </w:tcPr>
          <w:p w:rsidR="00852B42" w:rsidRPr="000E7F48" w:rsidRDefault="00852B42" w:rsidP="000E7F48">
            <w:pPr>
              <w:rPr>
                <w:rFonts w:ascii="Arial" w:hAnsi="Arial" w:cs="Arial"/>
                <w:sz w:val="20"/>
                <w:szCs w:val="20"/>
              </w:rPr>
            </w:pPr>
            <w:r w:rsidRPr="000E7F48">
              <w:rPr>
                <w:rFonts w:ascii="Arial" w:hAnsi="Arial" w:cs="Arial"/>
                <w:sz w:val="20"/>
                <w:szCs w:val="20"/>
              </w:rPr>
              <w:t>-20,59%</w:t>
            </w:r>
          </w:p>
        </w:tc>
      </w:tr>
      <w:tr w:rsidR="00852B42" w:rsidRPr="000E7F48" w:rsidTr="00852B42">
        <w:trPr>
          <w:trHeight w:val="255"/>
          <w:jc w:val="center"/>
        </w:trPr>
        <w:tc>
          <w:tcPr>
            <w:tcW w:w="3240" w:type="dxa"/>
            <w:noWrap/>
            <w:hideMark/>
          </w:tcPr>
          <w:p w:rsidR="00852B42" w:rsidRPr="000E7F48" w:rsidRDefault="00852B42" w:rsidP="000E7F48">
            <w:pPr>
              <w:rPr>
                <w:rFonts w:ascii="Arial" w:hAnsi="Arial" w:cs="Arial"/>
                <w:b/>
                <w:sz w:val="20"/>
                <w:szCs w:val="20"/>
              </w:rPr>
            </w:pPr>
            <w:r w:rsidRPr="000E7F48">
              <w:rPr>
                <w:rFonts w:ascii="Arial" w:hAnsi="Arial" w:cs="Arial"/>
                <w:b/>
                <w:sz w:val="20"/>
                <w:szCs w:val="20"/>
              </w:rPr>
              <w:t>TOTAL</w:t>
            </w:r>
          </w:p>
        </w:tc>
        <w:tc>
          <w:tcPr>
            <w:tcW w:w="1232"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xml:space="preserve"> 5 045,8</w:t>
            </w:r>
          </w:p>
        </w:tc>
        <w:tc>
          <w:tcPr>
            <w:tcW w:w="1012"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xml:space="preserve"> 4 509,8</w:t>
            </w:r>
          </w:p>
        </w:tc>
        <w:tc>
          <w:tcPr>
            <w:tcW w:w="1356"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536,0</w:t>
            </w:r>
          </w:p>
        </w:tc>
        <w:tc>
          <w:tcPr>
            <w:tcW w:w="1298"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  746,7</w:t>
            </w:r>
          </w:p>
        </w:tc>
        <w:tc>
          <w:tcPr>
            <w:tcW w:w="1084"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-10,6%</w:t>
            </w:r>
          </w:p>
        </w:tc>
        <w:tc>
          <w:tcPr>
            <w:tcW w:w="1511" w:type="dxa"/>
            <w:noWrap/>
            <w:vAlign w:val="bottom"/>
            <w:hideMark/>
          </w:tcPr>
          <w:p w:rsidR="00852B42" w:rsidRPr="000E7F48" w:rsidRDefault="00852B42" w:rsidP="000E7F48">
            <w:pPr>
              <w:rPr>
                <w:rFonts w:ascii="Arial" w:hAnsi="Arial" w:cs="Arial"/>
                <w:b/>
                <w:sz w:val="20"/>
                <w:szCs w:val="20"/>
              </w:rPr>
            </w:pPr>
            <w:r w:rsidRPr="000E7F48">
              <w:rPr>
                <w:rFonts w:ascii="Arial" w:hAnsi="Arial" w:cs="Arial"/>
                <w:b/>
                <w:sz w:val="20"/>
                <w:szCs w:val="20"/>
              </w:rPr>
              <w:t>-14,80%</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5: </w:t>
      </w:r>
      <w:r w:rsidRPr="000E7F48">
        <w:rPr>
          <w:rFonts w:ascii="Arial" w:eastAsia="Times New Roman" w:hAnsi="Arial" w:cs="Arial"/>
          <w:b/>
          <w:bCs/>
          <w:color w:val="000000"/>
          <w:spacing w:val="6"/>
          <w:sz w:val="20"/>
          <w:szCs w:val="20"/>
          <w:lang w:val="en-US" w:eastAsia="en-GB"/>
        </w:rPr>
        <w:t>Nominal and real increases/decreases in the Force Employment Programme</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.2.2</w:t>
      </w:r>
      <w:r w:rsidR="00194FC2" w:rsidRPr="000E7F48">
        <w:rPr>
          <w:rFonts w:ascii="Arial" w:eastAsia="Times New Roman" w:hAnsi="Arial" w:cs="Arial"/>
          <w:b/>
          <w:color w:val="000000"/>
          <w:spacing w:val="6"/>
          <w:sz w:val="20"/>
          <w:szCs w:val="20"/>
          <w:lang w:val="en-GB" w:eastAsia="en-GB"/>
        </w:rPr>
        <w:tab/>
        <w:t>Programme 2 Performance Planning</w:t>
      </w:r>
    </w:p>
    <w:p w:rsidR="00852B42" w:rsidRPr="000E7F48" w:rsidRDefault="00852B42" w:rsidP="000E7F48">
      <w:pPr>
        <w:spacing w:after="0" w:line="240" w:lineRule="auto"/>
        <w:contextualSpacing/>
        <w:rPr>
          <w:rFonts w:ascii="Arial" w:eastAsia="Times New Roman" w:hAnsi="Arial" w:cs="Arial"/>
          <w:b/>
          <w:color w:val="000000"/>
          <w:spacing w:val="6"/>
          <w:sz w:val="20"/>
          <w:szCs w:val="20"/>
          <w:lang w:val="en-GB" w:eastAsia="en-GB"/>
        </w:rPr>
      </w:pPr>
    </w:p>
    <w:p w:rsidR="00852B42" w:rsidRPr="000E7F48" w:rsidRDefault="00852B42" w:rsidP="000E7F48">
      <w:p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val="en-GB" w:eastAsia="en-GB"/>
        </w:rPr>
        <w:t xml:space="preserve">The Force Employment Programme has 12 set targets for 2023/24 of which five are not elaborated on due to the information being classified. All targets set for 2023/24 are in line with performance in the preceding years. Targets </w:t>
      </w:r>
      <w:r w:rsidRPr="000E7F48">
        <w:rPr>
          <w:rFonts w:ascii="Arial" w:eastAsia="Times New Roman" w:hAnsi="Arial" w:cs="Arial"/>
          <w:color w:val="000000"/>
          <w:spacing w:val="6"/>
          <w:sz w:val="20"/>
          <w:szCs w:val="20"/>
          <w:lang w:eastAsia="en-GB"/>
        </w:rPr>
        <w:t>for 2023/24 include:</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One planned joint, interdepartmental, interagency and multinational military exercise to be held, compared to four (4) such events in 2022/23.</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15 landward sub-units deployed for border safeguarding.</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100% compliance with external operations.</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An expected 70% reimbursement by the UN/AU for deployments </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Four maritime coastal patrols planned for the year.</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100% compliance with the SADC Standby Force requirements.</w:t>
      </w:r>
    </w:p>
    <w:p w:rsidR="00852B42" w:rsidRPr="000E7F48" w:rsidRDefault="00852B42" w:rsidP="000E7F48">
      <w:pPr>
        <w:numPr>
          <w:ilvl w:val="0"/>
          <w:numId w:val="27"/>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Four maritime coastal patrols to be conducted in the year.</w:t>
      </w:r>
    </w:p>
    <w:p w:rsidR="00194FC2" w:rsidRPr="000E7F48" w:rsidRDefault="00194FC2" w:rsidP="000E7F48">
      <w:pPr>
        <w:spacing w:after="0" w:line="240" w:lineRule="auto"/>
        <w:ind w:left="720"/>
        <w:contextualSpacing/>
        <w:rPr>
          <w:rFonts w:ascii="Arial" w:eastAsia="Times New Roman" w:hAnsi="Arial" w:cs="Arial"/>
          <w:b/>
          <w:sz w:val="20"/>
          <w:szCs w:val="20"/>
          <w:lang w:val="en-GB"/>
        </w:rPr>
      </w:pPr>
    </w:p>
    <w:p w:rsidR="00194FC2" w:rsidRPr="000E7F48" w:rsidRDefault="006D401C" w:rsidP="000E7F48">
      <w:pPr>
        <w:keepNext/>
        <w:keepLines/>
        <w:spacing w:after="0" w:line="240" w:lineRule="auto"/>
        <w:outlineLvl w:val="1"/>
        <w:rPr>
          <w:rFonts w:ascii="Arial" w:eastAsiaTheme="majorEastAsia" w:hAnsi="Arial" w:cs="Arial"/>
          <w:b/>
          <w:sz w:val="20"/>
          <w:szCs w:val="20"/>
        </w:rPr>
      </w:pPr>
      <w:bookmarkStart w:id="7" w:name="_Toc36489532"/>
      <w:r w:rsidRPr="000E7F48">
        <w:rPr>
          <w:rFonts w:ascii="Arial" w:eastAsiaTheme="majorEastAsia" w:hAnsi="Arial" w:cs="Arial"/>
          <w:b/>
          <w:sz w:val="20"/>
          <w:szCs w:val="20"/>
        </w:rPr>
        <w:t>7</w:t>
      </w:r>
      <w:r w:rsidR="00194FC2" w:rsidRPr="000E7F48">
        <w:rPr>
          <w:rFonts w:ascii="Arial" w:eastAsiaTheme="majorEastAsia" w:hAnsi="Arial" w:cs="Arial"/>
          <w:b/>
          <w:sz w:val="20"/>
          <w:szCs w:val="20"/>
        </w:rPr>
        <w:t>.3</w:t>
      </w:r>
      <w:r w:rsidR="00194FC2" w:rsidRPr="000E7F48">
        <w:rPr>
          <w:rFonts w:ascii="Arial" w:eastAsiaTheme="majorEastAsia" w:hAnsi="Arial" w:cs="Arial"/>
          <w:b/>
          <w:sz w:val="20"/>
          <w:szCs w:val="20"/>
        </w:rPr>
        <w:tab/>
        <w:t>Programme 3 (Landward Defence</w:t>
      </w:r>
      <w:bookmarkEnd w:id="7"/>
      <w:r w:rsidR="006A5725" w:rsidRPr="000E7F48">
        <w:rPr>
          <w:rFonts w:ascii="Arial" w:eastAsiaTheme="majorEastAsia" w:hAnsi="Arial" w:cs="Arial"/>
          <w:b/>
          <w:sz w:val="20"/>
          <w:szCs w:val="20"/>
        </w:rPr>
        <w:t>)</w:t>
      </w: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.3.1</w:t>
      </w:r>
      <w:r w:rsidR="00194FC2" w:rsidRPr="000E7F48">
        <w:rPr>
          <w:rFonts w:ascii="Arial" w:eastAsia="Times New Roman" w:hAnsi="Arial" w:cs="Arial"/>
          <w:b/>
          <w:color w:val="000000"/>
          <w:spacing w:val="6"/>
          <w:sz w:val="20"/>
          <w:szCs w:val="20"/>
          <w:lang w:val="en-GB" w:eastAsia="en-GB"/>
        </w:rPr>
        <w:tab/>
        <w:t>Programme 3 Budget Analysis</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Landward Defence programme is the largest programme in the DOD and includes the SA Army that constitutes the bulk of the SANDF personnel. For 2023/24, the programme received a small nominal decrease of R231.4 million (1.4%). When adjusted for inflation, this results in a real percentage decrease of 6.07%. </w:t>
      </w: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to most subprogrammes in the Landward Defence programme remains relatively stable for 2023/24 when compared to the previous financial year. The exception are major shifts in the following two subprogrammes: </w:t>
      </w:r>
    </w:p>
    <w:p w:rsidR="00E416E9" w:rsidRPr="000E7F48" w:rsidRDefault="00E416E9" w:rsidP="000E7F48">
      <w:pPr>
        <w:numPr>
          <w:ilvl w:val="0"/>
          <w:numId w:val="28"/>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lastRenderedPageBreak/>
        <w:t xml:space="preserve">The allocation for the </w:t>
      </w:r>
      <w:r w:rsidRPr="000E7F48">
        <w:rPr>
          <w:rFonts w:ascii="Arial" w:eastAsia="Times New Roman" w:hAnsi="Arial" w:cs="Arial"/>
          <w:i/>
          <w:color w:val="000000"/>
          <w:spacing w:val="6"/>
          <w:sz w:val="20"/>
          <w:szCs w:val="20"/>
          <w:lang w:eastAsia="en-GB"/>
        </w:rPr>
        <w:t xml:space="preserve">Strategic Direction </w:t>
      </w:r>
      <w:r w:rsidRPr="000E7F48">
        <w:rPr>
          <w:rFonts w:ascii="Arial" w:eastAsia="Times New Roman" w:hAnsi="Arial" w:cs="Arial"/>
          <w:color w:val="000000"/>
          <w:spacing w:val="6"/>
          <w:sz w:val="20"/>
          <w:szCs w:val="20"/>
          <w:lang w:eastAsia="en-GB"/>
        </w:rPr>
        <w:t>subprogramme decrease from R842.4 million in 2022/23 to R590.8 million in 2023/24. This bring it back in line with previous expenditure trends prior to 2022/23.</w:t>
      </w:r>
    </w:p>
    <w:p w:rsidR="00E416E9" w:rsidRPr="000E7F48" w:rsidRDefault="00E416E9" w:rsidP="000E7F48">
      <w:pPr>
        <w:numPr>
          <w:ilvl w:val="0"/>
          <w:numId w:val="28"/>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to the </w:t>
      </w:r>
      <w:r w:rsidRPr="000E7F48">
        <w:rPr>
          <w:rFonts w:ascii="Arial" w:eastAsia="Times New Roman" w:hAnsi="Arial" w:cs="Arial"/>
          <w:i/>
          <w:color w:val="000000"/>
          <w:spacing w:val="6"/>
          <w:sz w:val="20"/>
          <w:szCs w:val="20"/>
          <w:lang w:eastAsia="en-GB"/>
        </w:rPr>
        <w:t xml:space="preserve">Air Defence Artillery </w:t>
      </w:r>
      <w:r w:rsidRPr="000E7F48">
        <w:rPr>
          <w:rFonts w:ascii="Arial" w:eastAsia="Times New Roman" w:hAnsi="Arial" w:cs="Arial"/>
          <w:color w:val="000000"/>
          <w:spacing w:val="6"/>
          <w:sz w:val="20"/>
          <w:szCs w:val="20"/>
          <w:lang w:eastAsia="en-GB"/>
        </w:rPr>
        <w:t>increases from R393.2 million in 2022/23 to R540.7 million (37% increase) in 2023/24. This may likely be to the implementation of the Ground Based Air Defence system, but further clarity on the increase is required.</w:t>
      </w:r>
    </w:p>
    <w:p w:rsidR="00E416E9" w:rsidRPr="000E7F48" w:rsidRDefault="00E416E9" w:rsidP="000E7F48">
      <w:pPr>
        <w:numPr>
          <w:ilvl w:val="0"/>
          <w:numId w:val="28"/>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the </w:t>
      </w:r>
      <w:r w:rsidRPr="000E7F48">
        <w:rPr>
          <w:rFonts w:ascii="Arial" w:eastAsia="Times New Roman" w:hAnsi="Arial" w:cs="Arial"/>
          <w:i/>
          <w:color w:val="000000"/>
          <w:spacing w:val="6"/>
          <w:sz w:val="20"/>
          <w:szCs w:val="20"/>
          <w:lang w:eastAsia="en-GB"/>
        </w:rPr>
        <w:t xml:space="preserve">General Training </w:t>
      </w:r>
      <w:r w:rsidRPr="000E7F48">
        <w:rPr>
          <w:rFonts w:ascii="Arial" w:eastAsia="Times New Roman" w:hAnsi="Arial" w:cs="Arial"/>
          <w:color w:val="000000"/>
          <w:spacing w:val="6"/>
          <w:sz w:val="20"/>
          <w:szCs w:val="20"/>
          <w:lang w:eastAsia="en-GB"/>
        </w:rPr>
        <w:t xml:space="preserve">subprogramme increases by 18% from </w:t>
      </w:r>
      <w:r w:rsidRPr="000E7F48">
        <w:rPr>
          <w:rFonts w:ascii="Arial" w:eastAsia="Times New Roman" w:hAnsi="Arial" w:cs="Arial"/>
          <w:color w:val="000000"/>
          <w:spacing w:val="6"/>
          <w:sz w:val="20"/>
          <w:szCs w:val="20"/>
          <w:lang w:eastAsia="en-GB"/>
        </w:rPr>
        <w:br/>
        <w:t xml:space="preserve">R511.4 million in 2022/23 to R603.5 million in 2023/24. </w:t>
      </w: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In terms of economic classifications, the allocations remained fairly stable from 2022/23 to 2023/24. As noted earlier, the overall allocation to CoE decreases in 20234/24 and, given that the Landward Defence programme houses the most personnel, it follows that the CoE allocation decreases from R13.118 billion in 2022/23 to R12.686 billion in 2023/24. Furthermore, the allocation for </w:t>
      </w:r>
      <w:r w:rsidRPr="000E7F48">
        <w:rPr>
          <w:rFonts w:ascii="Arial" w:eastAsia="Times New Roman" w:hAnsi="Arial" w:cs="Arial"/>
          <w:i/>
          <w:color w:val="000000"/>
          <w:spacing w:val="6"/>
          <w:sz w:val="20"/>
          <w:szCs w:val="20"/>
          <w:lang w:eastAsia="en-GB"/>
        </w:rPr>
        <w:t>contractors</w:t>
      </w:r>
      <w:r w:rsidRPr="000E7F48">
        <w:rPr>
          <w:rFonts w:ascii="Arial" w:eastAsia="Times New Roman" w:hAnsi="Arial" w:cs="Arial"/>
          <w:color w:val="000000"/>
          <w:spacing w:val="6"/>
          <w:sz w:val="20"/>
          <w:szCs w:val="20"/>
          <w:lang w:eastAsia="en-GB"/>
        </w:rPr>
        <w:t xml:space="preserve"> in the Landward Defence programme decreases from R600 million in 2022/23 to R451.6 million in 2023/24, which is still significantly higher than what was spent on contractors prior to 2022/23. The allocation for </w:t>
      </w:r>
      <w:r w:rsidRPr="000E7F48">
        <w:rPr>
          <w:rFonts w:ascii="Arial" w:eastAsia="Times New Roman" w:hAnsi="Arial" w:cs="Arial"/>
          <w:i/>
          <w:color w:val="000000"/>
          <w:spacing w:val="6"/>
          <w:sz w:val="20"/>
          <w:szCs w:val="20"/>
          <w:lang w:eastAsia="en-GB"/>
        </w:rPr>
        <w:t>fuel, oil and gas</w:t>
      </w:r>
      <w:r w:rsidRPr="000E7F48">
        <w:rPr>
          <w:rFonts w:ascii="Arial" w:eastAsia="Times New Roman" w:hAnsi="Arial" w:cs="Arial"/>
          <w:color w:val="000000"/>
          <w:spacing w:val="6"/>
          <w:sz w:val="20"/>
          <w:szCs w:val="20"/>
          <w:lang w:eastAsia="en-GB"/>
        </w:rPr>
        <w:t xml:space="preserve"> increases rapidly from R241.4 million in 2022/23 to R631.7 million in 2023/24 and will see a 45.1% growth over the MTEF. A total of R277.9 million will be transferred to the </w:t>
      </w:r>
      <w:r w:rsidRPr="000E7F48">
        <w:rPr>
          <w:rFonts w:ascii="Arial" w:eastAsia="Times New Roman" w:hAnsi="Arial" w:cs="Arial"/>
          <w:i/>
          <w:color w:val="000000"/>
          <w:spacing w:val="6"/>
          <w:sz w:val="20"/>
          <w:szCs w:val="20"/>
          <w:lang w:eastAsia="en-GB"/>
        </w:rPr>
        <w:t>Special Defence Account</w:t>
      </w:r>
      <w:r w:rsidRPr="000E7F48">
        <w:rPr>
          <w:rFonts w:ascii="Arial" w:eastAsia="Times New Roman" w:hAnsi="Arial" w:cs="Arial"/>
          <w:color w:val="000000"/>
          <w:spacing w:val="6"/>
          <w:sz w:val="20"/>
          <w:szCs w:val="20"/>
          <w:lang w:eastAsia="en-GB"/>
        </w:rPr>
        <w:t>.</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tbl>
      <w:tblPr>
        <w:tblStyle w:val="TableGrid"/>
        <w:tblW w:w="9882" w:type="dxa"/>
        <w:jc w:val="center"/>
        <w:tblLook w:val="04A0"/>
      </w:tblPr>
      <w:tblGrid>
        <w:gridCol w:w="3510"/>
        <w:gridCol w:w="1162"/>
        <w:gridCol w:w="1012"/>
        <w:gridCol w:w="1106"/>
        <w:gridCol w:w="1134"/>
        <w:gridCol w:w="1005"/>
        <w:gridCol w:w="992"/>
      </w:tblGrid>
      <w:tr w:rsidR="00E416E9" w:rsidRPr="000E7F48" w:rsidTr="0042177B">
        <w:trPr>
          <w:trHeight w:val="765"/>
          <w:tblHeader/>
          <w:jc w:val="center"/>
        </w:trPr>
        <w:tc>
          <w:tcPr>
            <w:tcW w:w="3510"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Programme</w:t>
            </w:r>
          </w:p>
        </w:tc>
        <w:tc>
          <w:tcPr>
            <w:tcW w:w="2174" w:type="dxa"/>
            <w:gridSpan w:val="2"/>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Budget</w:t>
            </w:r>
          </w:p>
        </w:tc>
        <w:tc>
          <w:tcPr>
            <w:tcW w:w="1080"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Real Increase / Decrease in 2023/24</w:t>
            </w:r>
          </w:p>
        </w:tc>
        <w:tc>
          <w:tcPr>
            <w:tcW w:w="992"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Nominal Percent change in 2023/24</w:t>
            </w:r>
          </w:p>
        </w:tc>
        <w:tc>
          <w:tcPr>
            <w:tcW w:w="992"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Real Percent change in 2023/24</w:t>
            </w:r>
          </w:p>
          <w:p w:rsidR="00E416E9" w:rsidRPr="000E7F48" w:rsidRDefault="00E416E9" w:rsidP="000E7F48">
            <w:pPr>
              <w:rPr>
                <w:rFonts w:ascii="Arial" w:hAnsi="Arial" w:cs="Arial"/>
                <w:b/>
                <w:bCs/>
                <w:sz w:val="20"/>
                <w:szCs w:val="20"/>
              </w:rPr>
            </w:pPr>
          </w:p>
        </w:tc>
      </w:tr>
      <w:tr w:rsidR="00E416E9" w:rsidRPr="000E7F48" w:rsidTr="0042177B">
        <w:trPr>
          <w:trHeight w:val="255"/>
          <w:tblHeader/>
          <w:jc w:val="center"/>
        </w:trPr>
        <w:tc>
          <w:tcPr>
            <w:tcW w:w="3510"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R million</w:t>
            </w:r>
          </w:p>
        </w:tc>
        <w:tc>
          <w:tcPr>
            <w:tcW w:w="1162"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2023/24</w:t>
            </w:r>
          </w:p>
        </w:tc>
        <w:tc>
          <w:tcPr>
            <w:tcW w:w="1080"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c>
          <w:tcPr>
            <w:tcW w:w="1134"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c>
          <w:tcPr>
            <w:tcW w:w="992"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c>
          <w:tcPr>
            <w:tcW w:w="992"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1: Strategic Direction</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842,4</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590,8</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251,6</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279,2</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-29,87%</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-33,14%</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2: Infantry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5 998,0</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5 815,8</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182,2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453,9</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-3,04%</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-7,57%</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3: Armour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534,9</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552,3</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17,4</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8,4</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3,25%</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-1,57%</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4: Artillery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588,9</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553,3</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35,6</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61,4</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-6,05%</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-10,43%</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5: Air Defence Artillery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393,2</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540,7</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147,5</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122,2</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37,51%</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31,09%</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6: Engineering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886,8</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932,8</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46,0</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2,4</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5,19%</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0,27%</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7: Operational Intelligence</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239,4</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254,6</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15,2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3,3</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6,35%</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1,38%</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8: Command and Control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228,5</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229,5</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1,0</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9,7</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0,44%</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-4,25%</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9: Support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4 279,2</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4 202,5</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76,7</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273,0</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-1,79%</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-6,38%</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10: General Training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511,4</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603,5</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92,1</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63,9</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18,01%</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12,50%</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11: Signal Capability</w:t>
            </w:r>
          </w:p>
        </w:tc>
        <w:tc>
          <w:tcPr>
            <w:tcW w:w="116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1 468,8</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1 464,6</w:t>
            </w:r>
          </w:p>
        </w:tc>
        <w:tc>
          <w:tcPr>
            <w:tcW w:w="1080"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4,2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72,6</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-0,29%</w:t>
            </w:r>
          </w:p>
        </w:tc>
        <w:tc>
          <w:tcPr>
            <w:tcW w:w="99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-4,94%</w:t>
            </w:r>
          </w:p>
        </w:tc>
      </w:tr>
      <w:tr w:rsidR="00E416E9" w:rsidRPr="000E7F48" w:rsidTr="00E416E9">
        <w:trPr>
          <w:trHeight w:val="255"/>
          <w:jc w:val="center"/>
        </w:trPr>
        <w:tc>
          <w:tcPr>
            <w:tcW w:w="3510" w:type="dxa"/>
            <w:noWrap/>
            <w:hideMark/>
          </w:tcPr>
          <w:p w:rsidR="00E416E9" w:rsidRPr="000E7F48" w:rsidRDefault="00E416E9" w:rsidP="000E7F48">
            <w:pPr>
              <w:rPr>
                <w:rFonts w:ascii="Arial" w:hAnsi="Arial" w:cs="Arial"/>
                <w:b/>
                <w:sz w:val="20"/>
                <w:szCs w:val="20"/>
              </w:rPr>
            </w:pPr>
            <w:r w:rsidRPr="000E7F48">
              <w:rPr>
                <w:rFonts w:ascii="Arial" w:hAnsi="Arial" w:cs="Arial"/>
                <w:b/>
                <w:sz w:val="20"/>
                <w:szCs w:val="20"/>
              </w:rPr>
              <w:t>TOTAL</w:t>
            </w:r>
          </w:p>
        </w:tc>
        <w:tc>
          <w:tcPr>
            <w:tcW w:w="1162"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xml:space="preserve"> 15 971,6</w:t>
            </w:r>
          </w:p>
        </w:tc>
        <w:tc>
          <w:tcPr>
            <w:tcW w:w="1012"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xml:space="preserve"> 15 740,2</w:t>
            </w:r>
          </w:p>
        </w:tc>
        <w:tc>
          <w:tcPr>
            <w:tcW w:w="1080"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231,4</w:t>
            </w:r>
          </w:p>
        </w:tc>
        <w:tc>
          <w:tcPr>
            <w:tcW w:w="1134"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966,6</w:t>
            </w:r>
          </w:p>
        </w:tc>
        <w:tc>
          <w:tcPr>
            <w:tcW w:w="992"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-1,4%</w:t>
            </w:r>
          </w:p>
        </w:tc>
        <w:tc>
          <w:tcPr>
            <w:tcW w:w="992"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-6,05%</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6: </w:t>
      </w:r>
      <w:r w:rsidRPr="000E7F48">
        <w:rPr>
          <w:rFonts w:ascii="Arial" w:eastAsia="Times New Roman" w:hAnsi="Arial" w:cs="Arial"/>
          <w:b/>
          <w:bCs/>
          <w:color w:val="000000"/>
          <w:spacing w:val="6"/>
          <w:sz w:val="20"/>
          <w:szCs w:val="20"/>
          <w:lang w:val="en-US" w:eastAsia="en-GB"/>
        </w:rPr>
        <w:t>Nominal and real increases/decreases in the Landward Defence Programme</w:t>
      </w:r>
    </w:p>
    <w:p w:rsidR="00907F2D" w:rsidRPr="000E7F48" w:rsidRDefault="00907F2D" w:rsidP="000E7F48">
      <w:pPr>
        <w:spacing w:after="0" w:line="240" w:lineRule="auto"/>
        <w:rPr>
          <w:rFonts w:ascii="Arial" w:eastAsia="Times New Roman" w:hAnsi="Arial" w:cs="Arial"/>
          <w:bCs/>
          <w:color w:val="000000"/>
          <w:spacing w:val="6"/>
          <w:sz w:val="20"/>
          <w:szCs w:val="20"/>
          <w:lang w:val="en-GB" w:eastAsia="en-GB"/>
        </w:rPr>
      </w:pPr>
    </w:p>
    <w:p w:rsidR="00907F2D"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.3.2</w:t>
      </w:r>
      <w:r w:rsidR="00194FC2" w:rsidRPr="000E7F48">
        <w:rPr>
          <w:rFonts w:ascii="Arial" w:eastAsia="Times New Roman" w:hAnsi="Arial" w:cs="Arial"/>
          <w:b/>
          <w:color w:val="000000"/>
          <w:spacing w:val="6"/>
          <w:sz w:val="20"/>
          <w:szCs w:val="20"/>
          <w:lang w:val="en-GB" w:eastAsia="en-GB"/>
        </w:rPr>
        <w:tab/>
        <w:t>Programme 3 Performance Planning</w:t>
      </w:r>
      <w:bookmarkStart w:id="8" w:name="_Toc36489533"/>
    </w:p>
    <w:p w:rsidR="00907F2D" w:rsidRPr="000E7F48" w:rsidRDefault="00907F2D" w:rsidP="000E7F48">
      <w:pPr>
        <w:keepNext/>
        <w:keepLines/>
        <w:spacing w:after="0" w:line="240" w:lineRule="auto"/>
        <w:outlineLvl w:val="1"/>
        <w:rPr>
          <w:rFonts w:ascii="Arial" w:eastAsia="Times New Roman" w:hAnsi="Arial" w:cs="Arial"/>
          <w:color w:val="000000"/>
          <w:spacing w:val="6"/>
          <w:sz w:val="20"/>
          <w:szCs w:val="20"/>
          <w:lang w:val="en-GB" w:eastAsia="en-GB"/>
        </w:rPr>
      </w:pPr>
    </w:p>
    <w:p w:rsidR="00907F2D" w:rsidRPr="000E7F48" w:rsidRDefault="00907F2D" w:rsidP="000E7F48">
      <w:pPr>
        <w:keepNext/>
        <w:keepLines/>
        <w:spacing w:after="0" w:line="240" w:lineRule="auto"/>
        <w:outlineLvl w:val="1"/>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Four performance targets were set for the Landward Defence Programme for 2023/24. The target related to the percentage combat ready capabilities available to the SANDF as well as the target related to Joint Force employment requirements remain classified. </w:t>
      </w:r>
    </w:p>
    <w:p w:rsidR="00907F2D" w:rsidRPr="000E7F48" w:rsidRDefault="00907F2D" w:rsidP="000E7F48">
      <w:pPr>
        <w:spacing w:after="0" w:line="240" w:lineRule="auto"/>
        <w:rPr>
          <w:rFonts w:ascii="Arial" w:eastAsia="Times New Roman" w:hAnsi="Arial" w:cs="Arial"/>
          <w:sz w:val="20"/>
          <w:szCs w:val="20"/>
          <w:lang w:val="en-GB" w:eastAsia="en-GB"/>
        </w:rPr>
      </w:pPr>
    </w:p>
    <w:p w:rsidR="00E416E9" w:rsidRPr="000E7F48" w:rsidRDefault="00E416E9" w:rsidP="000E7F48">
      <w:pPr>
        <w:keepNext/>
        <w:keepLines/>
        <w:spacing w:after="0" w:line="240" w:lineRule="auto"/>
        <w:outlineLvl w:val="1"/>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lastRenderedPageBreak/>
        <w:t>The two other targets set for 2023/24 remain in line with the preceding year. The SA Army will conduct four unique Landward Defence training exercises, which is more than the three (3) planned for 2022/23. The target “Percentage compliance with DOD Training targets” is 80% (3 738 learning opportunities). This target is set to fluctuate between 2 406 and 3 738 learning opportunities over the MTEF.</w:t>
      </w:r>
    </w:p>
    <w:p w:rsidR="006A5725" w:rsidRPr="000E7F48" w:rsidRDefault="006A5725" w:rsidP="000E7F48">
      <w:pPr>
        <w:keepNext/>
        <w:keepLines/>
        <w:spacing w:after="0" w:line="240" w:lineRule="auto"/>
        <w:outlineLvl w:val="1"/>
        <w:rPr>
          <w:rFonts w:ascii="Arial" w:eastAsia="Times New Roman" w:hAnsi="Arial" w:cs="Arial"/>
          <w:color w:val="000000"/>
          <w:spacing w:val="6"/>
          <w:sz w:val="20"/>
          <w:szCs w:val="20"/>
          <w:lang w:val="en-GB" w:eastAsia="en-GB"/>
        </w:rPr>
      </w:pPr>
    </w:p>
    <w:p w:rsidR="00194FC2" w:rsidRPr="000E7F48" w:rsidRDefault="006D401C"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7</w:t>
      </w:r>
      <w:r w:rsidR="00194FC2" w:rsidRPr="000E7F48">
        <w:rPr>
          <w:rFonts w:ascii="Arial" w:eastAsiaTheme="majorEastAsia" w:hAnsi="Arial" w:cs="Arial"/>
          <w:b/>
          <w:sz w:val="20"/>
          <w:szCs w:val="20"/>
        </w:rPr>
        <w:t>.4</w:t>
      </w:r>
      <w:r w:rsidR="00194FC2" w:rsidRPr="000E7F48">
        <w:rPr>
          <w:rFonts w:ascii="Arial" w:eastAsiaTheme="majorEastAsia" w:hAnsi="Arial" w:cs="Arial"/>
          <w:b/>
          <w:sz w:val="20"/>
          <w:szCs w:val="20"/>
        </w:rPr>
        <w:tab/>
        <w:t>Programme 4 (Air Defence)</w:t>
      </w:r>
      <w:bookmarkEnd w:id="8"/>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.4.1</w:t>
      </w:r>
      <w:r w:rsidR="00194FC2" w:rsidRPr="000E7F48">
        <w:rPr>
          <w:rFonts w:ascii="Arial" w:eastAsia="Times New Roman" w:hAnsi="Arial" w:cs="Arial"/>
          <w:b/>
          <w:color w:val="000000"/>
          <w:spacing w:val="6"/>
          <w:sz w:val="20"/>
          <w:szCs w:val="20"/>
          <w:lang w:val="en-GB" w:eastAsia="en-GB"/>
        </w:rPr>
        <w:tab/>
        <w:t>Programme 4 Budget Analysis</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Air Defence programme has taken significant strain in recent years in terms of its budget allocation. In 2023/24, however, there is a sizeable injection in the programme, largely related to the refurbishment of the SA Air Force transport aircraft (C-130) fleet. Overall, the allocation to the programme increases from R6.637 billion in 2022/23 to R7.127 billion in 2023/24, which reflects a 7.4% increase in nominal terms and a 2.4% increase when adjusted for inflation. Subprogramme 3 (Helicopter Capability) received a major reduction in its allocation from R1.108 billion in 2022/23 to R758.1 million in 2023/24. However, in previous years, the helicopter subprogramme was generally further funded during the mid-year adjustments when reimbursements from the UN were considered.</w:t>
      </w:r>
    </w:p>
    <w:p w:rsidR="00E416E9" w:rsidRPr="000E7F48" w:rsidRDefault="00E416E9" w:rsidP="000E7F48">
      <w:pPr>
        <w:numPr>
          <w:ilvl w:val="0"/>
          <w:numId w:val="7"/>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Subprogramme 4 (Transport and maritime Capability) received a major increase in its allocation from R1.054 billion in 2022/23 to R1.744 billion in 2023/24. However, the allocation is again set to decrease over the medium-term to around R800 million per year.</w:t>
      </w:r>
    </w:p>
    <w:p w:rsidR="00E416E9" w:rsidRPr="000E7F48" w:rsidRDefault="00E416E9" w:rsidP="000E7F48">
      <w:pPr>
        <w:numPr>
          <w:ilvl w:val="0"/>
          <w:numId w:val="7"/>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Subprogramme 11 (Technical Support Services) received only a marginal increase from R614 million in 2022/23 to R630.3 million in 2023/24.</w:t>
      </w: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p>
    <w:p w:rsidR="00E416E9" w:rsidRPr="000E7F48" w:rsidRDefault="00E416E9"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In terms of economic classifications, the following increases and decreases from 2022/23 to 2023/24 can be noted:</w:t>
      </w:r>
    </w:p>
    <w:p w:rsidR="00E416E9" w:rsidRPr="000E7F48" w:rsidRDefault="00E416E9" w:rsidP="000E7F48">
      <w:pPr>
        <w:numPr>
          <w:ilvl w:val="0"/>
          <w:numId w:val="3"/>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w:t>
      </w:r>
      <w:r w:rsidRPr="000E7F48">
        <w:rPr>
          <w:rFonts w:ascii="Arial" w:eastAsia="Times New Roman" w:hAnsi="Arial" w:cs="Arial"/>
          <w:i/>
          <w:color w:val="000000"/>
          <w:spacing w:val="6"/>
          <w:sz w:val="20"/>
          <w:szCs w:val="20"/>
          <w:lang w:eastAsia="en-GB"/>
        </w:rPr>
        <w:t>Contractors</w:t>
      </w:r>
      <w:r w:rsidRPr="000E7F48">
        <w:rPr>
          <w:rFonts w:ascii="Arial" w:eastAsia="Times New Roman" w:hAnsi="Arial" w:cs="Arial"/>
          <w:color w:val="000000"/>
          <w:spacing w:val="6"/>
          <w:sz w:val="20"/>
          <w:szCs w:val="20"/>
          <w:lang w:eastAsia="en-GB"/>
        </w:rPr>
        <w:t xml:space="preserve"> decreases from R1.124 billion to R1.044 billion in 2023/24.</w:t>
      </w:r>
    </w:p>
    <w:p w:rsidR="00E416E9" w:rsidRPr="000E7F48" w:rsidRDefault="00E416E9" w:rsidP="000E7F48">
      <w:pPr>
        <w:numPr>
          <w:ilvl w:val="0"/>
          <w:numId w:val="3"/>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allocation for ‘</w:t>
      </w:r>
      <w:r w:rsidRPr="000E7F48">
        <w:rPr>
          <w:rFonts w:ascii="Arial" w:eastAsia="Times New Roman" w:hAnsi="Arial" w:cs="Arial"/>
          <w:i/>
          <w:color w:val="000000"/>
          <w:spacing w:val="6"/>
          <w:sz w:val="20"/>
          <w:szCs w:val="20"/>
          <w:lang w:eastAsia="en-GB"/>
        </w:rPr>
        <w:t>Inventory: other supplies</w:t>
      </w:r>
      <w:r w:rsidRPr="000E7F48">
        <w:rPr>
          <w:rFonts w:ascii="Arial" w:eastAsia="Times New Roman" w:hAnsi="Arial" w:cs="Arial"/>
          <w:color w:val="000000"/>
          <w:spacing w:val="6"/>
          <w:sz w:val="20"/>
          <w:szCs w:val="20"/>
          <w:lang w:eastAsia="en-GB"/>
        </w:rPr>
        <w:t xml:space="preserve">’ increases from R19.8 million in 2022/23 to R75.5 million in 2023/24. </w:t>
      </w:r>
    </w:p>
    <w:p w:rsidR="00E416E9" w:rsidRPr="000E7F48" w:rsidRDefault="00E416E9" w:rsidP="000E7F48">
      <w:pPr>
        <w:numPr>
          <w:ilvl w:val="0"/>
          <w:numId w:val="3"/>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w:t>
      </w:r>
      <w:r w:rsidRPr="000E7F48">
        <w:rPr>
          <w:rFonts w:ascii="Arial" w:eastAsia="Times New Roman" w:hAnsi="Arial" w:cs="Arial"/>
          <w:i/>
          <w:color w:val="000000"/>
          <w:spacing w:val="6"/>
          <w:sz w:val="20"/>
          <w:szCs w:val="20"/>
          <w:lang w:eastAsia="en-GB"/>
        </w:rPr>
        <w:t xml:space="preserve">Travel and subsistence </w:t>
      </w:r>
      <w:r w:rsidRPr="000E7F48">
        <w:rPr>
          <w:rFonts w:ascii="Arial" w:eastAsia="Times New Roman" w:hAnsi="Arial" w:cs="Arial"/>
          <w:color w:val="000000"/>
          <w:spacing w:val="6"/>
          <w:sz w:val="20"/>
          <w:szCs w:val="20"/>
          <w:lang w:eastAsia="en-GB"/>
        </w:rPr>
        <w:t xml:space="preserve">decreases significantly from R175.5 million in 2022/23 to R59.6 million in 2023/24. </w:t>
      </w:r>
    </w:p>
    <w:p w:rsidR="00E416E9" w:rsidRPr="000E7F48" w:rsidRDefault="00E416E9" w:rsidP="000E7F48">
      <w:pPr>
        <w:numPr>
          <w:ilvl w:val="0"/>
          <w:numId w:val="3"/>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R1.378 billion is allocated from the Air Defence programme to the SDA in 2023/24, largely related to the C-130 refurbishment programme.</w:t>
      </w:r>
    </w:p>
    <w:p w:rsidR="00867E7C" w:rsidRPr="000E7F48" w:rsidRDefault="00867E7C" w:rsidP="000E7F48">
      <w:pPr>
        <w:spacing w:after="0" w:line="240" w:lineRule="auto"/>
        <w:rPr>
          <w:rFonts w:ascii="Arial" w:eastAsia="Times New Roman" w:hAnsi="Arial" w:cs="Arial"/>
          <w:color w:val="000000"/>
          <w:spacing w:val="6"/>
          <w:sz w:val="20"/>
          <w:szCs w:val="20"/>
          <w:lang w:eastAsia="en-GB"/>
        </w:rPr>
      </w:pPr>
    </w:p>
    <w:tbl>
      <w:tblPr>
        <w:tblStyle w:val="TableGrid"/>
        <w:tblW w:w="10308" w:type="dxa"/>
        <w:jc w:val="center"/>
        <w:tblLook w:val="04A0"/>
      </w:tblPr>
      <w:tblGrid>
        <w:gridCol w:w="3780"/>
        <w:gridCol w:w="1246"/>
        <w:gridCol w:w="1012"/>
        <w:gridCol w:w="1106"/>
        <w:gridCol w:w="1134"/>
        <w:gridCol w:w="1005"/>
        <w:gridCol w:w="1134"/>
      </w:tblGrid>
      <w:tr w:rsidR="00E416E9" w:rsidRPr="000E7F48" w:rsidTr="0042177B">
        <w:trPr>
          <w:trHeight w:val="765"/>
          <w:tblHeader/>
          <w:jc w:val="center"/>
        </w:trPr>
        <w:tc>
          <w:tcPr>
            <w:tcW w:w="3780"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Programme</w:t>
            </w:r>
          </w:p>
        </w:tc>
        <w:tc>
          <w:tcPr>
            <w:tcW w:w="2258" w:type="dxa"/>
            <w:gridSpan w:val="2"/>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Budget</w:t>
            </w:r>
          </w:p>
        </w:tc>
        <w:tc>
          <w:tcPr>
            <w:tcW w:w="1009"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Real Increase / Decrease in 2023/24</w:t>
            </w:r>
          </w:p>
        </w:tc>
        <w:tc>
          <w:tcPr>
            <w:tcW w:w="993"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Nominal Percent change in 2023/24</w:t>
            </w:r>
          </w:p>
        </w:tc>
        <w:tc>
          <w:tcPr>
            <w:tcW w:w="1134" w:type="dxa"/>
            <w:vMerge w:val="restart"/>
            <w:shd w:val="clear" w:color="auto" w:fill="F2F2F2" w:themeFill="background1" w:themeFillShade="F2"/>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Real Percent change in 2023/24</w:t>
            </w:r>
          </w:p>
          <w:p w:rsidR="00E416E9" w:rsidRPr="000E7F48" w:rsidRDefault="00E416E9" w:rsidP="000E7F48">
            <w:pPr>
              <w:rPr>
                <w:rFonts w:ascii="Arial" w:hAnsi="Arial" w:cs="Arial"/>
                <w:b/>
                <w:bCs/>
                <w:sz w:val="20"/>
                <w:szCs w:val="20"/>
              </w:rPr>
            </w:pPr>
          </w:p>
        </w:tc>
      </w:tr>
      <w:tr w:rsidR="00E416E9" w:rsidRPr="000E7F48" w:rsidTr="0042177B">
        <w:trPr>
          <w:trHeight w:val="255"/>
          <w:tblHeader/>
          <w:jc w:val="center"/>
        </w:trPr>
        <w:tc>
          <w:tcPr>
            <w:tcW w:w="3780"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R million</w:t>
            </w:r>
          </w:p>
        </w:tc>
        <w:tc>
          <w:tcPr>
            <w:tcW w:w="1246"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E416E9" w:rsidRPr="000E7F48" w:rsidRDefault="00E416E9" w:rsidP="000E7F48">
            <w:pPr>
              <w:rPr>
                <w:rFonts w:ascii="Arial" w:hAnsi="Arial" w:cs="Arial"/>
                <w:b/>
                <w:bCs/>
                <w:sz w:val="20"/>
                <w:szCs w:val="20"/>
              </w:rPr>
            </w:pPr>
            <w:r w:rsidRPr="000E7F48">
              <w:rPr>
                <w:rFonts w:ascii="Arial" w:hAnsi="Arial" w:cs="Arial"/>
                <w:b/>
                <w:bCs/>
                <w:sz w:val="20"/>
                <w:szCs w:val="20"/>
              </w:rPr>
              <w:t>2023/24</w:t>
            </w:r>
          </w:p>
        </w:tc>
        <w:tc>
          <w:tcPr>
            <w:tcW w:w="1009"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c>
          <w:tcPr>
            <w:tcW w:w="1134"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c>
          <w:tcPr>
            <w:tcW w:w="993"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c>
          <w:tcPr>
            <w:tcW w:w="1134" w:type="dxa"/>
            <w:vMerge/>
            <w:shd w:val="clear" w:color="auto" w:fill="F2F2F2" w:themeFill="background1" w:themeFillShade="F2"/>
            <w:hideMark/>
          </w:tcPr>
          <w:p w:rsidR="00E416E9" w:rsidRPr="000E7F48" w:rsidRDefault="00E416E9" w:rsidP="000E7F48">
            <w:pPr>
              <w:rPr>
                <w:rFonts w:ascii="Arial" w:hAnsi="Arial" w:cs="Arial"/>
                <w:b/>
                <w:bCs/>
                <w:sz w:val="20"/>
                <w:szCs w:val="20"/>
              </w:rPr>
            </w:pP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1: Strategic Direction</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26,0</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24,8</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2,4</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-4,62%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-9,07%</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2: Operational Direction</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158,4</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154,7</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3,7</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10,9</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-2,34%</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-6,90%</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3: Helicopter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1 108,1</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758,1</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350,0</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385,4</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-31,59%</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-34,78%</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4: Transport and Maritime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1 054,1</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1 744,0</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689,9</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608,4</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65,45%</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57,72%</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5: Air Combat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306,4</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458,9</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152,5</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131,1</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49,77%</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42,78%</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6: Operational Support and Intelligence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355,3</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352,9</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2,4</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18,9</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-0,68%</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-5,32%</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7: Command and Control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349,0</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390,6</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41,6</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23,4</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11,92%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6,69%</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8: Base Support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2 139,9</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2 097,0</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42,9</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140,9</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-2,00%</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-6,58%</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9: Command Post</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66,2</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72,7</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6,5</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3,1</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9,82%</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4,69%</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10:  Training Capability</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459,8</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443,4</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16,4</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37,1</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-3,57%</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-8,07%</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sz w:val="20"/>
                <w:szCs w:val="20"/>
              </w:rPr>
            </w:pPr>
            <w:r w:rsidRPr="000E7F48">
              <w:rPr>
                <w:rFonts w:ascii="Arial" w:hAnsi="Arial" w:cs="Arial"/>
                <w:sz w:val="20"/>
                <w:szCs w:val="20"/>
              </w:rPr>
              <w:t>Sub-programme 11: Technical Support Services</w:t>
            </w:r>
          </w:p>
        </w:tc>
        <w:tc>
          <w:tcPr>
            <w:tcW w:w="1246"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614,0</w:t>
            </w:r>
          </w:p>
        </w:tc>
        <w:tc>
          <w:tcPr>
            <w:tcW w:w="1012"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630,3</w:t>
            </w:r>
          </w:p>
        </w:tc>
        <w:tc>
          <w:tcPr>
            <w:tcW w:w="1009"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xml:space="preserve">  16,3</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  13,1</w:t>
            </w:r>
          </w:p>
        </w:tc>
        <w:tc>
          <w:tcPr>
            <w:tcW w:w="993"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2,65%</w:t>
            </w:r>
          </w:p>
        </w:tc>
        <w:tc>
          <w:tcPr>
            <w:tcW w:w="1134" w:type="dxa"/>
            <w:noWrap/>
            <w:vAlign w:val="bottom"/>
            <w:hideMark/>
          </w:tcPr>
          <w:p w:rsidR="00E416E9" w:rsidRPr="000E7F48" w:rsidRDefault="00E416E9" w:rsidP="000E7F48">
            <w:pPr>
              <w:rPr>
                <w:rFonts w:ascii="Arial" w:hAnsi="Arial" w:cs="Arial"/>
                <w:sz w:val="20"/>
                <w:szCs w:val="20"/>
              </w:rPr>
            </w:pPr>
            <w:r w:rsidRPr="000E7F48">
              <w:rPr>
                <w:rFonts w:ascii="Arial" w:hAnsi="Arial" w:cs="Arial"/>
                <w:sz w:val="20"/>
                <w:szCs w:val="20"/>
              </w:rPr>
              <w:t>-2,14%</w:t>
            </w:r>
          </w:p>
        </w:tc>
      </w:tr>
      <w:tr w:rsidR="00E416E9" w:rsidRPr="000E7F48" w:rsidTr="00E416E9">
        <w:trPr>
          <w:trHeight w:val="255"/>
          <w:jc w:val="center"/>
        </w:trPr>
        <w:tc>
          <w:tcPr>
            <w:tcW w:w="3780" w:type="dxa"/>
            <w:noWrap/>
            <w:hideMark/>
          </w:tcPr>
          <w:p w:rsidR="00E416E9" w:rsidRPr="000E7F48" w:rsidRDefault="00E416E9" w:rsidP="000E7F48">
            <w:pPr>
              <w:rPr>
                <w:rFonts w:ascii="Arial" w:hAnsi="Arial" w:cs="Arial"/>
                <w:b/>
                <w:sz w:val="20"/>
                <w:szCs w:val="20"/>
              </w:rPr>
            </w:pPr>
            <w:r w:rsidRPr="000E7F48">
              <w:rPr>
                <w:rFonts w:ascii="Arial" w:hAnsi="Arial" w:cs="Arial"/>
                <w:b/>
                <w:sz w:val="20"/>
                <w:szCs w:val="20"/>
              </w:rPr>
              <w:t>TOTAL</w:t>
            </w:r>
          </w:p>
        </w:tc>
        <w:tc>
          <w:tcPr>
            <w:tcW w:w="1246"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xml:space="preserve"> 6 637,1</w:t>
            </w:r>
          </w:p>
        </w:tc>
        <w:tc>
          <w:tcPr>
            <w:tcW w:w="1012"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xml:space="preserve"> 7 127,1</w:t>
            </w:r>
          </w:p>
        </w:tc>
        <w:tc>
          <w:tcPr>
            <w:tcW w:w="1009"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xml:space="preserve">  490,0</w:t>
            </w:r>
          </w:p>
        </w:tc>
        <w:tc>
          <w:tcPr>
            <w:tcW w:w="1134"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 xml:space="preserve">  157,1</w:t>
            </w:r>
          </w:p>
        </w:tc>
        <w:tc>
          <w:tcPr>
            <w:tcW w:w="993"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7,4%</w:t>
            </w:r>
          </w:p>
        </w:tc>
        <w:tc>
          <w:tcPr>
            <w:tcW w:w="1134" w:type="dxa"/>
            <w:noWrap/>
            <w:vAlign w:val="bottom"/>
            <w:hideMark/>
          </w:tcPr>
          <w:p w:rsidR="00E416E9" w:rsidRPr="000E7F48" w:rsidRDefault="00E416E9" w:rsidP="000E7F48">
            <w:pPr>
              <w:rPr>
                <w:rFonts w:ascii="Arial" w:hAnsi="Arial" w:cs="Arial"/>
                <w:b/>
                <w:sz w:val="20"/>
                <w:szCs w:val="20"/>
              </w:rPr>
            </w:pPr>
            <w:r w:rsidRPr="000E7F48">
              <w:rPr>
                <w:rFonts w:ascii="Arial" w:hAnsi="Arial" w:cs="Arial"/>
                <w:b/>
                <w:sz w:val="20"/>
                <w:szCs w:val="20"/>
              </w:rPr>
              <w:t>2,37%</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7: </w:t>
      </w:r>
      <w:r w:rsidRPr="000E7F48">
        <w:rPr>
          <w:rFonts w:ascii="Arial" w:eastAsia="Times New Roman" w:hAnsi="Arial" w:cs="Arial"/>
          <w:b/>
          <w:bCs/>
          <w:color w:val="000000"/>
          <w:spacing w:val="6"/>
          <w:sz w:val="20"/>
          <w:szCs w:val="20"/>
          <w:lang w:val="en-US" w:eastAsia="en-GB"/>
        </w:rPr>
        <w:t>Nominal and real increases/decreases in the Air Defence Programme</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lastRenderedPageBreak/>
        <w:t>7</w:t>
      </w:r>
      <w:r w:rsidR="00194FC2" w:rsidRPr="000E7F48">
        <w:rPr>
          <w:rFonts w:ascii="Arial" w:eastAsia="Times New Roman" w:hAnsi="Arial" w:cs="Arial"/>
          <w:b/>
          <w:color w:val="000000"/>
          <w:spacing w:val="6"/>
          <w:sz w:val="20"/>
          <w:szCs w:val="20"/>
          <w:lang w:val="en-GB" w:eastAsia="en-GB"/>
        </w:rPr>
        <w:t>.4.2</w:t>
      </w:r>
      <w:r w:rsidR="00194FC2" w:rsidRPr="000E7F48">
        <w:rPr>
          <w:rFonts w:ascii="Arial" w:eastAsia="Times New Roman" w:hAnsi="Arial" w:cs="Arial"/>
          <w:b/>
          <w:color w:val="000000"/>
          <w:spacing w:val="6"/>
          <w:sz w:val="20"/>
          <w:szCs w:val="20"/>
          <w:lang w:val="en-GB" w:eastAsia="en-GB"/>
        </w:rPr>
        <w:tab/>
        <w:t>Programme 4 Performance Planning</w:t>
      </w:r>
    </w:p>
    <w:p w:rsidR="000E2B82" w:rsidRPr="000E7F48" w:rsidRDefault="000E2B82" w:rsidP="000E7F48">
      <w:pPr>
        <w:spacing w:after="0" w:line="240" w:lineRule="auto"/>
        <w:rPr>
          <w:rFonts w:ascii="Arial" w:hAnsi="Arial" w:cs="Arial"/>
          <w:sz w:val="20"/>
          <w:szCs w:val="20"/>
          <w:lang w:val="en-GB" w:eastAsia="en-GB"/>
        </w:rPr>
      </w:pPr>
      <w:bookmarkStart w:id="9" w:name="_Toc36489534"/>
    </w:p>
    <w:p w:rsidR="00907F2D" w:rsidRPr="000E7F48" w:rsidRDefault="00907F2D" w:rsidP="000E7F48">
      <w:pPr>
        <w:keepNext/>
        <w:keepLines/>
        <w:spacing w:after="0" w:line="240" w:lineRule="auto"/>
        <w:outlineLvl w:val="1"/>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Five targets have been set for the Air Defence Programme of which two remain classified (‘percentage combat-ready capabilities available to the SANDF’ and ‘</w:t>
      </w:r>
      <w:r w:rsidRPr="000E7F48">
        <w:rPr>
          <w:rFonts w:ascii="Arial" w:eastAsia="Times New Roman" w:hAnsi="Arial" w:cs="Arial"/>
          <w:color w:val="000000"/>
          <w:spacing w:val="6"/>
          <w:sz w:val="20"/>
          <w:szCs w:val="20"/>
          <w:lang w:eastAsia="en-GB"/>
        </w:rPr>
        <w:t>percentage compliance with Joint Force Employment requirements’)</w:t>
      </w:r>
      <w:r w:rsidRPr="000E7F48">
        <w:rPr>
          <w:rFonts w:ascii="Arial" w:eastAsia="Times New Roman" w:hAnsi="Arial" w:cs="Arial"/>
          <w:color w:val="000000"/>
          <w:spacing w:val="6"/>
          <w:sz w:val="20"/>
          <w:szCs w:val="20"/>
          <w:lang w:val="en-GB" w:eastAsia="en-GB"/>
        </w:rPr>
        <w:t xml:space="preserve">. </w:t>
      </w:r>
    </w:p>
    <w:p w:rsidR="00907F2D" w:rsidRPr="000E7F48" w:rsidRDefault="00907F2D" w:rsidP="000E7F48">
      <w:pPr>
        <w:keepNext/>
        <w:keepLines/>
        <w:spacing w:after="0" w:line="240" w:lineRule="auto"/>
        <w:outlineLvl w:val="1"/>
        <w:rPr>
          <w:rFonts w:ascii="Arial" w:eastAsia="Times New Roman" w:hAnsi="Arial" w:cs="Arial"/>
          <w:color w:val="000000"/>
          <w:spacing w:val="6"/>
          <w:sz w:val="20"/>
          <w:szCs w:val="20"/>
          <w:lang w:val="en-GB" w:eastAsia="en-GB"/>
        </w:rPr>
      </w:pPr>
    </w:p>
    <w:p w:rsidR="00907F2D" w:rsidRPr="000E7F48" w:rsidRDefault="00907F2D" w:rsidP="000E7F48">
      <w:pPr>
        <w:keepNext/>
        <w:keepLines/>
        <w:spacing w:after="0" w:line="240" w:lineRule="auto"/>
        <w:outlineLvl w:val="1"/>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val="en-GB" w:eastAsia="en-GB"/>
        </w:rPr>
        <w:t xml:space="preserve">The percentage compliance with DOD training targets for 2023/24 remains at 80%, but with a reduced number of 537 learning opportunities provided. </w:t>
      </w:r>
      <w:r w:rsidRPr="000E7F48">
        <w:rPr>
          <w:rFonts w:ascii="Arial" w:eastAsia="Times New Roman" w:hAnsi="Arial" w:cs="Arial"/>
          <w:color w:val="000000"/>
          <w:spacing w:val="6"/>
          <w:sz w:val="20"/>
          <w:szCs w:val="20"/>
          <w:lang w:eastAsia="en-GB"/>
        </w:rPr>
        <w:t xml:space="preserve">The Air Defence programme, reduced the training targets from 2022/23 to 2023/24 by 100 learners (number of military development training by 50 learners to accommodate an increase of number of learners on advanced training and technical engineers training for the 2023/24 and reduction in the number of MSDS by 50 members). </w:t>
      </w:r>
    </w:p>
    <w:p w:rsidR="00907F2D" w:rsidRPr="000E7F48" w:rsidRDefault="00907F2D" w:rsidP="000E7F48">
      <w:pPr>
        <w:spacing w:after="0" w:line="240" w:lineRule="auto"/>
        <w:rPr>
          <w:rFonts w:ascii="Arial" w:hAnsi="Arial" w:cs="Arial"/>
          <w:sz w:val="20"/>
          <w:szCs w:val="20"/>
          <w:lang w:val="en-GB" w:eastAsia="en-GB"/>
        </w:rPr>
      </w:pPr>
    </w:p>
    <w:p w:rsidR="00E416E9" w:rsidRPr="000E7F48" w:rsidRDefault="00E416E9" w:rsidP="000E7F48">
      <w:pPr>
        <w:spacing w:after="0" w:line="240" w:lineRule="auto"/>
        <w:rPr>
          <w:rFonts w:ascii="Arial" w:hAnsi="Arial" w:cs="Arial"/>
          <w:sz w:val="20"/>
          <w:szCs w:val="20"/>
          <w:lang w:eastAsia="en-GB"/>
        </w:rPr>
      </w:pPr>
    </w:p>
    <w:p w:rsidR="00E416E9" w:rsidRPr="000E7F48" w:rsidRDefault="00E416E9" w:rsidP="000E7F48">
      <w:pPr>
        <w:keepNext/>
        <w:keepLines/>
        <w:spacing w:after="0" w:line="240" w:lineRule="auto"/>
        <w:outlineLvl w:val="1"/>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The target on flying hours for the year is set for 12 000, which is the same as the estimated 12 000 hours flown in 2022/23. The 12 000 planned hours for 2022/23 is set to include </w:t>
      </w:r>
      <w:r w:rsidRPr="000E7F48">
        <w:rPr>
          <w:rFonts w:ascii="Arial" w:eastAsia="Times New Roman" w:hAnsi="Arial" w:cs="Arial"/>
          <w:color w:val="000000"/>
          <w:spacing w:val="6"/>
          <w:sz w:val="20"/>
          <w:szCs w:val="20"/>
          <w:lang w:eastAsia="en-GB"/>
        </w:rPr>
        <w:t>force preparation (7 000 hours), force employment (4 000 hours) and (1 000 VVIP hours)</w:t>
      </w:r>
      <w:r w:rsidR="008C726F" w:rsidRPr="000E7F48">
        <w:rPr>
          <w:rFonts w:ascii="Arial" w:eastAsia="Times New Roman" w:hAnsi="Arial" w:cs="Arial"/>
          <w:color w:val="000000"/>
          <w:spacing w:val="6"/>
          <w:sz w:val="20"/>
          <w:szCs w:val="20"/>
          <w:lang w:val="en-GB" w:eastAsia="en-GB"/>
        </w:rPr>
        <w:t xml:space="preserve">, </w:t>
      </w:r>
      <w:r w:rsidRPr="000E7F48">
        <w:rPr>
          <w:rFonts w:ascii="Arial" w:eastAsia="Times New Roman" w:hAnsi="Arial" w:cs="Arial"/>
          <w:color w:val="000000"/>
          <w:spacing w:val="6"/>
          <w:sz w:val="20"/>
          <w:szCs w:val="20"/>
          <w:lang w:val="en-GB" w:eastAsia="en-GB"/>
        </w:rPr>
        <w:t>as follows:</w:t>
      </w:r>
    </w:p>
    <w:p w:rsidR="00E416E9" w:rsidRPr="000E7F48" w:rsidRDefault="00E416E9" w:rsidP="000E7F48">
      <w:pPr>
        <w:keepNext/>
        <w:keepLines/>
        <w:numPr>
          <w:ilvl w:val="0"/>
          <w:numId w:val="34"/>
        </w:numPr>
        <w:spacing w:after="0" w:line="240" w:lineRule="auto"/>
        <w:outlineLvl w:val="1"/>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2019/20: 16 232 flying hours</w:t>
      </w:r>
    </w:p>
    <w:p w:rsidR="00E416E9" w:rsidRPr="000E7F48" w:rsidRDefault="00E416E9" w:rsidP="000E7F48">
      <w:pPr>
        <w:keepNext/>
        <w:keepLines/>
        <w:numPr>
          <w:ilvl w:val="0"/>
          <w:numId w:val="34"/>
        </w:numPr>
        <w:spacing w:after="0" w:line="240" w:lineRule="auto"/>
        <w:outlineLvl w:val="1"/>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2020/21: 13 726 flying hours</w:t>
      </w:r>
    </w:p>
    <w:p w:rsidR="000E2B82" w:rsidRPr="000E7F48" w:rsidRDefault="00E416E9" w:rsidP="000E7F48">
      <w:pPr>
        <w:pStyle w:val="ListParagraph"/>
        <w:keepNext/>
        <w:keepLines/>
        <w:numPr>
          <w:ilvl w:val="0"/>
          <w:numId w:val="34"/>
        </w:numPr>
        <w:outlineLvl w:val="1"/>
        <w:rPr>
          <w:rFonts w:ascii="Arial" w:eastAsiaTheme="majorEastAsia" w:hAnsi="Arial" w:cs="Arial"/>
          <w:b/>
          <w:sz w:val="20"/>
          <w:szCs w:val="20"/>
        </w:rPr>
      </w:pPr>
      <w:r w:rsidRPr="000E7F48">
        <w:rPr>
          <w:rFonts w:ascii="Arial" w:hAnsi="Arial" w:cs="Arial"/>
          <w:color w:val="000000"/>
          <w:spacing w:val="6"/>
          <w:sz w:val="20"/>
          <w:szCs w:val="20"/>
          <w:lang w:eastAsia="en-GB"/>
        </w:rPr>
        <w:t>2021/22: 15 215 flying hours</w:t>
      </w:r>
    </w:p>
    <w:p w:rsidR="00E416E9" w:rsidRPr="000E7F48" w:rsidRDefault="00E416E9" w:rsidP="000E7F48">
      <w:pPr>
        <w:pStyle w:val="ListParagraph"/>
        <w:keepNext/>
        <w:keepLines/>
        <w:outlineLvl w:val="1"/>
        <w:rPr>
          <w:rFonts w:ascii="Arial" w:eastAsiaTheme="majorEastAsia" w:hAnsi="Arial" w:cs="Arial"/>
          <w:b/>
          <w:sz w:val="20"/>
          <w:szCs w:val="20"/>
        </w:rPr>
      </w:pPr>
    </w:p>
    <w:p w:rsidR="00194FC2" w:rsidRPr="000E7F48" w:rsidRDefault="006D401C"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7</w:t>
      </w:r>
      <w:r w:rsidR="00194FC2" w:rsidRPr="000E7F48">
        <w:rPr>
          <w:rFonts w:ascii="Arial" w:eastAsiaTheme="majorEastAsia" w:hAnsi="Arial" w:cs="Arial"/>
          <w:b/>
          <w:sz w:val="20"/>
          <w:szCs w:val="20"/>
        </w:rPr>
        <w:t>.5</w:t>
      </w:r>
      <w:r w:rsidR="00194FC2" w:rsidRPr="000E7F48">
        <w:rPr>
          <w:rFonts w:ascii="Arial" w:eastAsiaTheme="majorEastAsia" w:hAnsi="Arial" w:cs="Arial"/>
          <w:b/>
          <w:sz w:val="20"/>
          <w:szCs w:val="20"/>
        </w:rPr>
        <w:tab/>
        <w:t>Programme 5 (Maritime Defence)</w:t>
      </w:r>
      <w:bookmarkEnd w:id="9"/>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.5.1</w:t>
      </w:r>
      <w:r w:rsidR="00194FC2" w:rsidRPr="000E7F48">
        <w:rPr>
          <w:rFonts w:ascii="Arial" w:eastAsia="Times New Roman" w:hAnsi="Arial" w:cs="Arial"/>
          <w:b/>
          <w:color w:val="000000"/>
          <w:spacing w:val="6"/>
          <w:sz w:val="20"/>
          <w:szCs w:val="20"/>
          <w:lang w:val="en-GB" w:eastAsia="en-GB"/>
        </w:rPr>
        <w:tab/>
        <w:t>Programme 5 Budget Analysis</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overall allocation to the Maritime Defence programme has remained fairly stable in recent years. However, in 2023/24 and over the MTEF it shows a fair increase. This is largely due to the 13.3% MTEF growth for the Maritime Logistics Support Capability subprogramme, which is likely related to the increased funding for SA Navy Frigates and Submarine repairs (See the 2022 BRRR recommendations and responses). For 2023/24, the Maritime Logistics Support Capability subprogramme received a nominal increase of 37.7%, increasing its allocation from R1.191 billion in 2022/23 to R1.640 billion in 2023/24. In contrast, the Maritime Combat Capability saw its allocation decrease by 14.2% percent from R1.693 billion in 2022/23 to R1.452 billion in 2023/24.</w:t>
      </w: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In terms of economic classifications, the following increases and decreases from 2022/23 to 2023/24 can be noted:</w:t>
      </w:r>
    </w:p>
    <w:p w:rsidR="00CC2EAC" w:rsidRPr="000E7F48" w:rsidRDefault="00CC2EAC" w:rsidP="000E7F48">
      <w:pPr>
        <w:numPr>
          <w:ilvl w:val="0"/>
          <w:numId w:val="4"/>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w:t>
      </w:r>
      <w:r w:rsidRPr="000E7F48">
        <w:rPr>
          <w:rFonts w:ascii="Arial" w:eastAsia="Times New Roman" w:hAnsi="Arial" w:cs="Arial"/>
          <w:i/>
          <w:color w:val="000000"/>
          <w:spacing w:val="6"/>
          <w:sz w:val="20"/>
          <w:szCs w:val="20"/>
          <w:lang w:eastAsia="en-GB"/>
        </w:rPr>
        <w:t xml:space="preserve">Contractors </w:t>
      </w:r>
      <w:r w:rsidRPr="000E7F48">
        <w:rPr>
          <w:rFonts w:ascii="Arial" w:eastAsia="Times New Roman" w:hAnsi="Arial" w:cs="Arial"/>
          <w:color w:val="000000"/>
          <w:spacing w:val="6"/>
          <w:sz w:val="20"/>
          <w:szCs w:val="20"/>
          <w:lang w:eastAsia="en-GB"/>
        </w:rPr>
        <w:t>increases from R376.6 million to R826.4 million. Over the MTEF, the allocation to contractors is set to rise by 38.2%.</w:t>
      </w:r>
    </w:p>
    <w:p w:rsidR="00CC2EAC" w:rsidRPr="000E7F48" w:rsidRDefault="00CC2EAC" w:rsidP="000E7F48">
      <w:pPr>
        <w:numPr>
          <w:ilvl w:val="0"/>
          <w:numId w:val="4"/>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Operating payments </w:t>
      </w:r>
      <w:r w:rsidRPr="000E7F48">
        <w:rPr>
          <w:rFonts w:ascii="Arial" w:eastAsia="Times New Roman" w:hAnsi="Arial" w:cs="Arial"/>
          <w:color w:val="000000"/>
          <w:spacing w:val="6"/>
          <w:sz w:val="20"/>
          <w:szCs w:val="20"/>
          <w:lang w:eastAsia="en-GB"/>
        </w:rPr>
        <w:t>increases from R40.3 million to R55.9 million.</w:t>
      </w:r>
    </w:p>
    <w:p w:rsidR="00CC2EAC" w:rsidRPr="000E7F48" w:rsidRDefault="00CC2EAC" w:rsidP="000E7F48">
      <w:pPr>
        <w:numPr>
          <w:ilvl w:val="0"/>
          <w:numId w:val="4"/>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Machinery and equipment </w:t>
      </w:r>
      <w:r w:rsidRPr="000E7F48">
        <w:rPr>
          <w:rFonts w:ascii="Arial" w:eastAsia="Times New Roman" w:hAnsi="Arial" w:cs="Arial"/>
          <w:color w:val="000000"/>
          <w:spacing w:val="6"/>
          <w:sz w:val="20"/>
          <w:szCs w:val="20"/>
          <w:lang w:eastAsia="en-GB"/>
        </w:rPr>
        <w:t>increases substantially from R6.4 million in 2022/23 to R103.8 million in 2023/24.</w:t>
      </w:r>
    </w:p>
    <w:p w:rsidR="000E2B82" w:rsidRPr="000E7F48" w:rsidRDefault="00CC2EAC" w:rsidP="000E7F48">
      <w:pPr>
        <w:spacing w:after="0" w:line="240" w:lineRule="auto"/>
        <w:ind w:left="720"/>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allocation to the SDA decreases from R738.2 million in 2022/23 to R622.5 million in 2023/24, which is likely related to Project Biro having one vessel delivered already.</w:t>
      </w:r>
    </w:p>
    <w:p w:rsidR="00CC2EAC" w:rsidRPr="000E7F48" w:rsidRDefault="00CC2EAC" w:rsidP="000E7F48">
      <w:pPr>
        <w:spacing w:after="0" w:line="240" w:lineRule="auto"/>
        <w:ind w:left="720"/>
        <w:rPr>
          <w:rFonts w:ascii="Arial" w:eastAsia="Times New Roman" w:hAnsi="Arial" w:cs="Arial"/>
          <w:color w:val="000000"/>
          <w:spacing w:val="6"/>
          <w:sz w:val="20"/>
          <w:szCs w:val="20"/>
          <w:lang w:eastAsia="en-GB"/>
        </w:rPr>
      </w:pPr>
    </w:p>
    <w:p w:rsidR="00907F2D" w:rsidRPr="000E7F48" w:rsidRDefault="00907F2D" w:rsidP="000E7F48">
      <w:pPr>
        <w:spacing w:after="0" w:line="240" w:lineRule="auto"/>
        <w:ind w:left="720"/>
        <w:rPr>
          <w:rFonts w:ascii="Arial" w:eastAsia="Times New Roman" w:hAnsi="Arial" w:cs="Arial"/>
          <w:color w:val="000000"/>
          <w:spacing w:val="6"/>
          <w:sz w:val="20"/>
          <w:szCs w:val="20"/>
          <w:lang w:eastAsia="en-GB"/>
        </w:rPr>
      </w:pPr>
    </w:p>
    <w:tbl>
      <w:tblPr>
        <w:tblStyle w:val="TableGrid"/>
        <w:tblW w:w="10024" w:type="dxa"/>
        <w:jc w:val="center"/>
        <w:tblLook w:val="04A0"/>
      </w:tblPr>
      <w:tblGrid>
        <w:gridCol w:w="3510"/>
        <w:gridCol w:w="1248"/>
        <w:gridCol w:w="1012"/>
        <w:gridCol w:w="1136"/>
        <w:gridCol w:w="1134"/>
        <w:gridCol w:w="1005"/>
        <w:gridCol w:w="992"/>
      </w:tblGrid>
      <w:tr w:rsidR="00CC2EAC" w:rsidRPr="000E7F48" w:rsidTr="0042177B">
        <w:trPr>
          <w:trHeight w:val="765"/>
          <w:jc w:val="center"/>
        </w:trPr>
        <w:tc>
          <w:tcPr>
            <w:tcW w:w="3510"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Programme</w:t>
            </w:r>
          </w:p>
        </w:tc>
        <w:tc>
          <w:tcPr>
            <w:tcW w:w="2260" w:type="dxa"/>
            <w:gridSpan w:val="2"/>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Budget</w:t>
            </w:r>
          </w:p>
        </w:tc>
        <w:tc>
          <w:tcPr>
            <w:tcW w:w="1136"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Real Increase / Decrease in 2023/24</w:t>
            </w:r>
          </w:p>
        </w:tc>
        <w:tc>
          <w:tcPr>
            <w:tcW w:w="992"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Percent change in 2023/24</w:t>
            </w:r>
          </w:p>
        </w:tc>
        <w:tc>
          <w:tcPr>
            <w:tcW w:w="992"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Real Percent change in 2023/24</w:t>
            </w:r>
          </w:p>
          <w:p w:rsidR="00CC2EAC" w:rsidRPr="000E7F48" w:rsidRDefault="00CC2EAC" w:rsidP="000E7F48">
            <w:pPr>
              <w:rPr>
                <w:rFonts w:ascii="Arial" w:hAnsi="Arial" w:cs="Arial"/>
                <w:b/>
                <w:bCs/>
                <w:sz w:val="20"/>
                <w:szCs w:val="20"/>
              </w:rPr>
            </w:pPr>
          </w:p>
        </w:tc>
      </w:tr>
      <w:tr w:rsidR="00CC2EAC" w:rsidRPr="000E7F48" w:rsidTr="0042177B">
        <w:trPr>
          <w:trHeight w:val="255"/>
          <w:jc w:val="center"/>
        </w:trPr>
        <w:tc>
          <w:tcPr>
            <w:tcW w:w="3510"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 million</w:t>
            </w:r>
          </w:p>
        </w:tc>
        <w:tc>
          <w:tcPr>
            <w:tcW w:w="1248"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2023/24</w:t>
            </w:r>
          </w:p>
        </w:tc>
        <w:tc>
          <w:tcPr>
            <w:tcW w:w="1136"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992"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992"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r>
      <w:tr w:rsidR="00CC2EAC" w:rsidRPr="000E7F48" w:rsidTr="00CC2EAC">
        <w:trPr>
          <w:trHeight w:val="255"/>
          <w:jc w:val="center"/>
        </w:trPr>
        <w:tc>
          <w:tcPr>
            <w:tcW w:w="351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1: Maritime Direction</w:t>
            </w:r>
          </w:p>
        </w:tc>
        <w:tc>
          <w:tcPr>
            <w:tcW w:w="124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788,1</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798,4</w:t>
            </w:r>
          </w:p>
        </w:tc>
        <w:tc>
          <w:tcPr>
            <w:tcW w:w="1136"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10,3</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27,0</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1,31%</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-3,43%</w:t>
            </w:r>
          </w:p>
        </w:tc>
      </w:tr>
      <w:tr w:rsidR="00CC2EAC" w:rsidRPr="000E7F48" w:rsidTr="00CC2EAC">
        <w:trPr>
          <w:trHeight w:val="255"/>
          <w:jc w:val="center"/>
        </w:trPr>
        <w:tc>
          <w:tcPr>
            <w:tcW w:w="351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2: Maritime Combat Capability</w:t>
            </w:r>
          </w:p>
        </w:tc>
        <w:tc>
          <w:tcPr>
            <w:tcW w:w="124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1 692,6</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1 451,9</w:t>
            </w:r>
          </w:p>
        </w:tc>
        <w:tc>
          <w:tcPr>
            <w:tcW w:w="1136"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240,7</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308,5</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-14,22%</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-18,23%</w:t>
            </w:r>
          </w:p>
        </w:tc>
      </w:tr>
      <w:tr w:rsidR="00CC2EAC" w:rsidRPr="000E7F48" w:rsidTr="00CC2EAC">
        <w:trPr>
          <w:trHeight w:val="255"/>
          <w:jc w:val="center"/>
        </w:trPr>
        <w:tc>
          <w:tcPr>
            <w:tcW w:w="351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3: Maritime Logistics support Capability</w:t>
            </w:r>
          </w:p>
        </w:tc>
        <w:tc>
          <w:tcPr>
            <w:tcW w:w="124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1 190,7</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1 639,5</w:t>
            </w:r>
          </w:p>
        </w:tc>
        <w:tc>
          <w:tcPr>
            <w:tcW w:w="1136"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448,8</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372,2</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37,69%</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31,26%</w:t>
            </w:r>
          </w:p>
        </w:tc>
      </w:tr>
      <w:tr w:rsidR="00CC2EAC" w:rsidRPr="000E7F48" w:rsidTr="00CC2EAC">
        <w:trPr>
          <w:trHeight w:val="255"/>
          <w:jc w:val="center"/>
        </w:trPr>
        <w:tc>
          <w:tcPr>
            <w:tcW w:w="351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4: Maritime HR and Training Capability</w:t>
            </w:r>
          </w:p>
        </w:tc>
        <w:tc>
          <w:tcPr>
            <w:tcW w:w="124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526,3</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522,8</w:t>
            </w:r>
          </w:p>
        </w:tc>
        <w:tc>
          <w:tcPr>
            <w:tcW w:w="1136"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3,5</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27,9</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-0,67%</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-5,31%</w:t>
            </w:r>
          </w:p>
        </w:tc>
      </w:tr>
      <w:tr w:rsidR="00CC2EAC" w:rsidRPr="000E7F48" w:rsidTr="00CC2EAC">
        <w:trPr>
          <w:trHeight w:val="255"/>
          <w:jc w:val="center"/>
        </w:trPr>
        <w:tc>
          <w:tcPr>
            <w:tcW w:w="351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5: Base Support Capability</w:t>
            </w:r>
          </w:p>
        </w:tc>
        <w:tc>
          <w:tcPr>
            <w:tcW w:w="124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529,0</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572,0</w:t>
            </w:r>
          </w:p>
        </w:tc>
        <w:tc>
          <w:tcPr>
            <w:tcW w:w="1136"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43,0</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16,3</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8,13%</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3,08%</w:t>
            </w:r>
          </w:p>
        </w:tc>
      </w:tr>
      <w:tr w:rsidR="00CC2EAC" w:rsidRPr="000E7F48" w:rsidTr="00CC2EAC">
        <w:trPr>
          <w:trHeight w:val="255"/>
          <w:jc w:val="center"/>
        </w:trPr>
        <w:tc>
          <w:tcPr>
            <w:tcW w:w="3510" w:type="dxa"/>
            <w:noWrap/>
            <w:hideMark/>
          </w:tcPr>
          <w:p w:rsidR="00CC2EAC" w:rsidRPr="000E7F48" w:rsidRDefault="00CC2EAC" w:rsidP="000E7F48">
            <w:pPr>
              <w:rPr>
                <w:rFonts w:ascii="Arial" w:hAnsi="Arial" w:cs="Arial"/>
                <w:b/>
                <w:sz w:val="20"/>
                <w:szCs w:val="20"/>
              </w:rPr>
            </w:pPr>
            <w:r w:rsidRPr="000E7F48">
              <w:rPr>
                <w:rFonts w:ascii="Arial" w:hAnsi="Arial" w:cs="Arial"/>
                <w:b/>
                <w:sz w:val="20"/>
                <w:szCs w:val="20"/>
              </w:rPr>
              <w:t>TOTAL</w:t>
            </w:r>
          </w:p>
        </w:tc>
        <w:tc>
          <w:tcPr>
            <w:tcW w:w="1248"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4 726,7</w:t>
            </w:r>
          </w:p>
        </w:tc>
        <w:tc>
          <w:tcPr>
            <w:tcW w:w="101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4 984,6</w:t>
            </w:r>
          </w:p>
        </w:tc>
        <w:tc>
          <w:tcPr>
            <w:tcW w:w="1136"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257,9</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25,1</w:t>
            </w:r>
          </w:p>
        </w:tc>
        <w:tc>
          <w:tcPr>
            <w:tcW w:w="99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5,5%</w:t>
            </w:r>
          </w:p>
        </w:tc>
        <w:tc>
          <w:tcPr>
            <w:tcW w:w="99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0,53%</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lastRenderedPageBreak/>
        <w:t xml:space="preserve">Table 8: </w:t>
      </w:r>
      <w:r w:rsidRPr="000E7F48">
        <w:rPr>
          <w:rFonts w:ascii="Arial" w:eastAsia="Times New Roman" w:hAnsi="Arial" w:cs="Arial"/>
          <w:b/>
          <w:bCs/>
          <w:color w:val="000000"/>
          <w:spacing w:val="6"/>
          <w:sz w:val="20"/>
          <w:szCs w:val="20"/>
          <w:lang w:val="en-US" w:eastAsia="en-GB"/>
        </w:rPr>
        <w:t>Nominal and real increases/decreases in the Maritime Defence Programme</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.5.2</w:t>
      </w:r>
      <w:r w:rsidR="00194FC2" w:rsidRPr="000E7F48">
        <w:rPr>
          <w:rFonts w:ascii="Arial" w:eastAsia="Times New Roman" w:hAnsi="Arial" w:cs="Arial"/>
          <w:b/>
          <w:color w:val="000000"/>
          <w:spacing w:val="6"/>
          <w:sz w:val="20"/>
          <w:szCs w:val="20"/>
          <w:lang w:val="en-GB" w:eastAsia="en-GB"/>
        </w:rPr>
        <w:tab/>
        <w:t>Programme 5 Performance Planning</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Five targets were set for the programme of which two are classified (‘percentage combat-ready capabilities available to the SANDF’ and ‘</w:t>
      </w:r>
      <w:r w:rsidRPr="000E7F48">
        <w:rPr>
          <w:rFonts w:ascii="Arial" w:eastAsia="Times New Roman" w:hAnsi="Arial" w:cs="Arial"/>
          <w:color w:val="000000"/>
          <w:spacing w:val="6"/>
          <w:sz w:val="20"/>
          <w:szCs w:val="20"/>
          <w:lang w:eastAsia="en-GB"/>
        </w:rPr>
        <w:t>percentage compliance with Joint Force Employment requirements’)</w:t>
      </w:r>
      <w:r w:rsidRPr="000E7F48">
        <w:rPr>
          <w:rFonts w:ascii="Arial" w:eastAsia="Times New Roman" w:hAnsi="Arial" w:cs="Arial"/>
          <w:color w:val="000000"/>
          <w:spacing w:val="6"/>
          <w:sz w:val="20"/>
          <w:szCs w:val="20"/>
          <w:lang w:val="en-GB" w:eastAsia="en-GB"/>
        </w:rPr>
        <w:t xml:space="preserve">. </w:t>
      </w: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percentage compliance with maritime defence training targets remain at 80%, but in actual terms the number of learning opportunities for 2023/24 decreases to 190. This is the lowest number of learning opportunities over the past five financial years. The target for the number of sea hours was reduced from 10 000 for 2020/21 to 8 000 in 2021/22 and remains at this level since, including for 2023/24. It includes 2 144 hours for Force Preparation and 5 856 hours for Force Employment. However, the SA Navy has not been able to meet its target for the past five financial years, with actual sea hours as follows in audited years:</w:t>
      </w:r>
    </w:p>
    <w:p w:rsidR="00CC2EAC" w:rsidRPr="000E7F48" w:rsidRDefault="00CC2EAC" w:rsidP="000E7F48">
      <w:pPr>
        <w:numPr>
          <w:ilvl w:val="0"/>
          <w:numId w:val="3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2019/20: 6 612 sea hours</w:t>
      </w:r>
    </w:p>
    <w:p w:rsidR="00CC2EAC" w:rsidRPr="000E7F48" w:rsidRDefault="00CC2EAC" w:rsidP="000E7F48">
      <w:pPr>
        <w:numPr>
          <w:ilvl w:val="0"/>
          <w:numId w:val="3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2020/21: 6 818 sea hours</w:t>
      </w:r>
    </w:p>
    <w:p w:rsidR="00CC2EAC" w:rsidRPr="000E7F48" w:rsidRDefault="00CC2EAC" w:rsidP="000E7F48">
      <w:pPr>
        <w:numPr>
          <w:ilvl w:val="0"/>
          <w:numId w:val="3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2021/22: 7 614 sea hours</w:t>
      </w:r>
    </w:p>
    <w:p w:rsidR="006A5725" w:rsidRPr="000E7F48" w:rsidRDefault="006A5725"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6D401C" w:rsidP="000E7F48">
      <w:pPr>
        <w:keepNext/>
        <w:keepLines/>
        <w:spacing w:after="0" w:line="240" w:lineRule="auto"/>
        <w:outlineLvl w:val="1"/>
        <w:rPr>
          <w:rFonts w:ascii="Arial" w:eastAsiaTheme="majorEastAsia" w:hAnsi="Arial" w:cs="Arial"/>
          <w:b/>
          <w:sz w:val="20"/>
          <w:szCs w:val="20"/>
        </w:rPr>
      </w:pPr>
      <w:bookmarkStart w:id="10" w:name="_Toc36489535"/>
      <w:r w:rsidRPr="000E7F48">
        <w:rPr>
          <w:rFonts w:ascii="Arial" w:eastAsiaTheme="majorEastAsia" w:hAnsi="Arial" w:cs="Arial"/>
          <w:b/>
          <w:sz w:val="20"/>
          <w:szCs w:val="20"/>
        </w:rPr>
        <w:t>7</w:t>
      </w:r>
      <w:r w:rsidR="00194FC2" w:rsidRPr="000E7F48">
        <w:rPr>
          <w:rFonts w:ascii="Arial" w:eastAsiaTheme="majorEastAsia" w:hAnsi="Arial" w:cs="Arial"/>
          <w:b/>
          <w:sz w:val="20"/>
          <w:szCs w:val="20"/>
        </w:rPr>
        <w:t>.6</w:t>
      </w:r>
      <w:r w:rsidR="00194FC2" w:rsidRPr="000E7F48">
        <w:rPr>
          <w:rFonts w:ascii="Arial" w:eastAsiaTheme="majorEastAsia" w:hAnsi="Arial" w:cs="Arial"/>
          <w:b/>
          <w:sz w:val="20"/>
          <w:szCs w:val="20"/>
        </w:rPr>
        <w:tab/>
        <w:t>Programme 6 (Military Health Support)</w:t>
      </w:r>
      <w:bookmarkEnd w:id="10"/>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.6.1</w:t>
      </w:r>
      <w:r w:rsidR="00194FC2" w:rsidRPr="000E7F48">
        <w:rPr>
          <w:rFonts w:ascii="Arial" w:eastAsia="Times New Roman" w:hAnsi="Arial" w:cs="Arial"/>
          <w:b/>
          <w:color w:val="000000"/>
          <w:spacing w:val="6"/>
          <w:sz w:val="20"/>
          <w:szCs w:val="20"/>
          <w:lang w:val="en-GB" w:eastAsia="en-GB"/>
        </w:rPr>
        <w:tab/>
        <w:t>Programme 6 Budget Analysis</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Military Health Support programme’s allocation was decreased by R177.2 million (3.1%) in 2023/24, bringing its total allocation to R5.455 billion. When adjusted for inflation, this reflects a real percentage reduction of 7.671%. The most significant reductions are visible in the </w:t>
      </w:r>
      <w:r w:rsidRPr="000E7F48">
        <w:rPr>
          <w:rFonts w:ascii="Arial" w:eastAsia="Times New Roman" w:hAnsi="Arial" w:cs="Arial"/>
          <w:i/>
          <w:color w:val="000000"/>
          <w:spacing w:val="6"/>
          <w:sz w:val="20"/>
          <w:szCs w:val="20"/>
          <w:lang w:eastAsia="en-GB"/>
        </w:rPr>
        <w:t xml:space="preserve">Military Health Training Capability </w:t>
      </w:r>
      <w:r w:rsidRPr="000E7F48">
        <w:rPr>
          <w:rFonts w:ascii="Arial" w:eastAsia="Times New Roman" w:hAnsi="Arial" w:cs="Arial"/>
          <w:color w:val="000000"/>
          <w:spacing w:val="6"/>
          <w:sz w:val="20"/>
          <w:szCs w:val="20"/>
          <w:lang w:eastAsia="en-GB"/>
        </w:rPr>
        <w:t>that sees an 8.2% reduction from R371.6 million in 2022/23 to R362.6 million in 2023/24. The Specialist Health Services subprogramme sees a reduction of 6.1% from R2.267 billion to R2.128 billion over the same period.</w:t>
      </w: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In terms of economic classifications, several changes from 2022/23 to 2023/24 can be noted:</w:t>
      </w:r>
    </w:p>
    <w:p w:rsidR="00CC2EAC" w:rsidRPr="000E7F48" w:rsidRDefault="00CC2EAC" w:rsidP="000E7F48">
      <w:pPr>
        <w:numPr>
          <w:ilvl w:val="0"/>
          <w:numId w:val="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w:t>
      </w:r>
      <w:r w:rsidRPr="000E7F48">
        <w:rPr>
          <w:rFonts w:ascii="Arial" w:eastAsia="Times New Roman" w:hAnsi="Arial" w:cs="Arial"/>
          <w:i/>
          <w:color w:val="000000"/>
          <w:spacing w:val="6"/>
          <w:sz w:val="20"/>
          <w:szCs w:val="20"/>
          <w:lang w:eastAsia="en-GB"/>
        </w:rPr>
        <w:t xml:space="preserve">Inventory (Medical supplies) </w:t>
      </w:r>
      <w:r w:rsidRPr="000E7F48">
        <w:rPr>
          <w:rFonts w:ascii="Arial" w:eastAsia="Times New Roman" w:hAnsi="Arial" w:cs="Arial"/>
          <w:color w:val="000000"/>
          <w:spacing w:val="6"/>
          <w:sz w:val="20"/>
          <w:szCs w:val="20"/>
          <w:lang w:eastAsia="en-GB"/>
        </w:rPr>
        <w:t xml:space="preserve">decreases from R127.2 million to R102.9 million. </w:t>
      </w:r>
      <w:r w:rsidR="001B7C22" w:rsidRPr="000E7F48">
        <w:rPr>
          <w:rFonts w:ascii="Arial" w:eastAsia="Times New Roman" w:hAnsi="Arial" w:cs="Arial"/>
          <w:color w:val="000000"/>
          <w:spacing w:val="6"/>
          <w:sz w:val="20"/>
          <w:szCs w:val="20"/>
          <w:lang w:eastAsia="en-GB"/>
        </w:rPr>
        <w:t>T</w:t>
      </w:r>
      <w:r w:rsidRPr="000E7F48">
        <w:rPr>
          <w:rFonts w:ascii="Arial" w:eastAsia="Times New Roman" w:hAnsi="Arial" w:cs="Arial"/>
          <w:color w:val="000000"/>
          <w:spacing w:val="6"/>
          <w:sz w:val="20"/>
          <w:szCs w:val="20"/>
          <w:lang w:eastAsia="en-GB"/>
        </w:rPr>
        <w:t>his may impact directly on service delivery to SANDF members and military veterans if there are insufficient medical supplies.</w:t>
      </w:r>
    </w:p>
    <w:p w:rsidR="00CC2EAC" w:rsidRPr="000E7F48" w:rsidRDefault="00CC2EAC" w:rsidP="000E7F48">
      <w:pPr>
        <w:numPr>
          <w:ilvl w:val="0"/>
          <w:numId w:val="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Travel and subsistence increases from R49.7 million to R58 million.</w:t>
      </w:r>
    </w:p>
    <w:p w:rsidR="00CC2EAC" w:rsidRPr="000E7F48" w:rsidRDefault="00CC2EAC" w:rsidP="000E7F48">
      <w:pPr>
        <w:numPr>
          <w:ilvl w:val="0"/>
          <w:numId w:val="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Machinery and equipment </w:t>
      </w:r>
      <w:r w:rsidRPr="000E7F48">
        <w:rPr>
          <w:rFonts w:ascii="Arial" w:eastAsia="Times New Roman" w:hAnsi="Arial" w:cs="Arial"/>
          <w:color w:val="000000"/>
          <w:spacing w:val="6"/>
          <w:sz w:val="20"/>
          <w:szCs w:val="20"/>
          <w:lang w:eastAsia="en-GB"/>
        </w:rPr>
        <w:t>increases from R8.9 million to R82.5 million. This allocation grows by 119.3% over the MTEF.</w:t>
      </w:r>
    </w:p>
    <w:p w:rsidR="00CC2EAC" w:rsidRPr="000E7F48" w:rsidRDefault="00CC2EAC" w:rsidP="000E7F48">
      <w:pPr>
        <w:numPr>
          <w:ilvl w:val="0"/>
          <w:numId w:val="5"/>
        </w:num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No funds are allocated to the Special Defence Account.</w:t>
      </w: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p>
    <w:tbl>
      <w:tblPr>
        <w:tblStyle w:val="TableGrid"/>
        <w:tblW w:w="10308" w:type="dxa"/>
        <w:jc w:val="center"/>
        <w:tblLook w:val="04A0"/>
      </w:tblPr>
      <w:tblGrid>
        <w:gridCol w:w="3929"/>
        <w:gridCol w:w="939"/>
        <w:gridCol w:w="1012"/>
        <w:gridCol w:w="1106"/>
        <w:gridCol w:w="1134"/>
        <w:gridCol w:w="1134"/>
        <w:gridCol w:w="1134"/>
      </w:tblGrid>
      <w:tr w:rsidR="00CC2EAC" w:rsidRPr="000E7F48" w:rsidTr="0042177B">
        <w:trPr>
          <w:trHeight w:val="765"/>
          <w:jc w:val="center"/>
        </w:trPr>
        <w:tc>
          <w:tcPr>
            <w:tcW w:w="3929"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Programme</w:t>
            </w:r>
          </w:p>
        </w:tc>
        <w:tc>
          <w:tcPr>
            <w:tcW w:w="1879" w:type="dxa"/>
            <w:gridSpan w:val="2"/>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Budget</w:t>
            </w:r>
          </w:p>
        </w:tc>
        <w:tc>
          <w:tcPr>
            <w:tcW w:w="1098"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Real Increase / Decrease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Percent change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Real Percent change in 2023/24</w:t>
            </w:r>
          </w:p>
        </w:tc>
      </w:tr>
      <w:tr w:rsidR="00CC2EAC" w:rsidRPr="000E7F48" w:rsidTr="0042177B">
        <w:trPr>
          <w:trHeight w:val="255"/>
          <w:jc w:val="center"/>
        </w:trPr>
        <w:tc>
          <w:tcPr>
            <w:tcW w:w="3929"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 million</w:t>
            </w:r>
          </w:p>
        </w:tc>
        <w:tc>
          <w:tcPr>
            <w:tcW w:w="867"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2023/24</w:t>
            </w:r>
          </w:p>
        </w:tc>
        <w:tc>
          <w:tcPr>
            <w:tcW w:w="1098"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1: Strategic Direction</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324,0</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297,5</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26,5</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40,4</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-8,18%</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-12,47%</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2: Mobile Military Health Support</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187,0</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206,4</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19,4</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9,8</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10,37%</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5,22%</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3: Area Military Health Support</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2 088,8</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2 057,2</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31,6</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127,7</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-1,51%</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-6,11%</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4: Specialist Health Services</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2 266,9</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2 127,9</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139,0</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238,4</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-6,13%</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-10,52%</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5: Military Health Product Support</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393,9</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403,4</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9,5</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9,3</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2,41%</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-2,37%</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6: Military Health Maintenance</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371,6</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362,6</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9,0</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25,9</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-2,42%</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-6,98%</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7: Military Health Training Capability</w:t>
            </w:r>
          </w:p>
        </w:tc>
        <w:tc>
          <w:tcPr>
            <w:tcW w:w="867"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324,0</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297,5</w:t>
            </w:r>
          </w:p>
        </w:tc>
        <w:tc>
          <w:tcPr>
            <w:tcW w:w="109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26,5</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40,4</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-8,18%</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-12,47%</w:t>
            </w:r>
          </w:p>
        </w:tc>
      </w:tr>
      <w:tr w:rsidR="00CC2EAC" w:rsidRPr="000E7F48" w:rsidTr="00CC2EAC">
        <w:trPr>
          <w:trHeight w:val="255"/>
          <w:jc w:val="center"/>
        </w:trPr>
        <w:tc>
          <w:tcPr>
            <w:tcW w:w="3929" w:type="dxa"/>
            <w:noWrap/>
            <w:hideMark/>
          </w:tcPr>
          <w:p w:rsidR="00CC2EAC" w:rsidRPr="000E7F48" w:rsidRDefault="00CC2EAC" w:rsidP="000E7F48">
            <w:pPr>
              <w:rPr>
                <w:rFonts w:ascii="Arial" w:hAnsi="Arial" w:cs="Arial"/>
                <w:b/>
                <w:sz w:val="20"/>
                <w:szCs w:val="20"/>
              </w:rPr>
            </w:pPr>
            <w:r w:rsidRPr="000E7F48">
              <w:rPr>
                <w:rFonts w:ascii="Arial" w:hAnsi="Arial" w:cs="Arial"/>
                <w:b/>
                <w:sz w:val="20"/>
                <w:szCs w:val="20"/>
              </w:rPr>
              <w:t>TOTAL</w:t>
            </w:r>
          </w:p>
        </w:tc>
        <w:tc>
          <w:tcPr>
            <w:tcW w:w="867"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5 632,2</w:t>
            </w:r>
          </w:p>
        </w:tc>
        <w:tc>
          <w:tcPr>
            <w:tcW w:w="101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5 455,0</w:t>
            </w:r>
          </w:p>
        </w:tc>
        <w:tc>
          <w:tcPr>
            <w:tcW w:w="1098"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177,2</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432,0</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-3,1%</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-7,67 per cent</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9: </w:t>
      </w:r>
      <w:r w:rsidRPr="000E7F48">
        <w:rPr>
          <w:rFonts w:ascii="Arial" w:eastAsia="Times New Roman" w:hAnsi="Arial" w:cs="Arial"/>
          <w:b/>
          <w:bCs/>
          <w:color w:val="000000"/>
          <w:spacing w:val="6"/>
          <w:sz w:val="20"/>
          <w:szCs w:val="20"/>
          <w:lang w:val="en-US" w:eastAsia="en-GB"/>
        </w:rPr>
        <w:t>Nominal and real increases/decreases in the Military Health Support</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.6.2</w:t>
      </w:r>
      <w:r w:rsidR="00194FC2" w:rsidRPr="000E7F48">
        <w:rPr>
          <w:rFonts w:ascii="Arial" w:eastAsia="Times New Roman" w:hAnsi="Arial" w:cs="Arial"/>
          <w:b/>
          <w:color w:val="000000"/>
          <w:spacing w:val="6"/>
          <w:sz w:val="20"/>
          <w:szCs w:val="20"/>
          <w:lang w:val="en-GB" w:eastAsia="en-GB"/>
        </w:rPr>
        <w:tab/>
        <w:t>Programme 6 Performance Planning</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Only four targets were set for Programme 6 of which three are considered classified. Only the target related to training is not classified (80% compliance for 2023/24 which includes 528 learning opportunities). Classified targets include:</w:t>
      </w: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p>
    <w:p w:rsidR="00CC2EAC" w:rsidRPr="000E7F48" w:rsidRDefault="00CC2EAC" w:rsidP="000E7F48">
      <w:pPr>
        <w:numPr>
          <w:ilvl w:val="0"/>
          <w:numId w:val="8"/>
        </w:num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Percentage compliance with Joint Force Employment requirements as resourced.</w:t>
      </w:r>
    </w:p>
    <w:p w:rsidR="00CC2EAC" w:rsidRPr="000E7F48" w:rsidRDefault="00CC2EAC" w:rsidP="000E7F48">
      <w:pPr>
        <w:numPr>
          <w:ilvl w:val="0"/>
          <w:numId w:val="8"/>
        </w:num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Percentage combat-ready capabilities available to the SANDF.</w:t>
      </w:r>
    </w:p>
    <w:p w:rsidR="00CC2EAC" w:rsidRPr="000E7F48" w:rsidRDefault="00CC2EAC" w:rsidP="000E7F48">
      <w:pPr>
        <w:numPr>
          <w:ilvl w:val="0"/>
          <w:numId w:val="8"/>
        </w:num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Percentage compliance with availability of medical stock.</w:t>
      </w:r>
    </w:p>
    <w:p w:rsidR="00FA22BD" w:rsidRPr="000E7F48" w:rsidRDefault="00FA22BD"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6D401C" w:rsidP="000E7F48">
      <w:pPr>
        <w:keepNext/>
        <w:keepLines/>
        <w:spacing w:after="0" w:line="240" w:lineRule="auto"/>
        <w:outlineLvl w:val="1"/>
        <w:rPr>
          <w:rFonts w:ascii="Arial" w:eastAsiaTheme="majorEastAsia" w:hAnsi="Arial" w:cs="Arial"/>
          <w:b/>
          <w:sz w:val="20"/>
          <w:szCs w:val="20"/>
        </w:rPr>
      </w:pPr>
      <w:bookmarkStart w:id="11" w:name="_Toc36489536"/>
      <w:r w:rsidRPr="000E7F48">
        <w:rPr>
          <w:rFonts w:ascii="Arial" w:eastAsiaTheme="majorEastAsia" w:hAnsi="Arial" w:cs="Arial"/>
          <w:b/>
          <w:sz w:val="20"/>
          <w:szCs w:val="20"/>
        </w:rPr>
        <w:t>7</w:t>
      </w:r>
      <w:r w:rsidR="00194FC2" w:rsidRPr="000E7F48">
        <w:rPr>
          <w:rFonts w:ascii="Arial" w:eastAsiaTheme="majorEastAsia" w:hAnsi="Arial" w:cs="Arial"/>
          <w:b/>
          <w:sz w:val="20"/>
          <w:szCs w:val="20"/>
        </w:rPr>
        <w:t>.7</w:t>
      </w:r>
      <w:r w:rsidR="00194FC2" w:rsidRPr="000E7F48">
        <w:rPr>
          <w:rFonts w:ascii="Arial" w:eastAsiaTheme="majorEastAsia" w:hAnsi="Arial" w:cs="Arial"/>
          <w:b/>
          <w:sz w:val="20"/>
          <w:szCs w:val="20"/>
        </w:rPr>
        <w:tab/>
        <w:t>Programme 7 (Defence Intelligence)</w:t>
      </w:r>
      <w:bookmarkEnd w:id="11"/>
    </w:p>
    <w:p w:rsidR="00194FC2" w:rsidRPr="000E7F48" w:rsidRDefault="006D401C"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.7.1</w:t>
      </w:r>
      <w:r w:rsidR="00194FC2" w:rsidRPr="000E7F48">
        <w:rPr>
          <w:rFonts w:ascii="Arial" w:eastAsia="Times New Roman" w:hAnsi="Arial" w:cs="Arial"/>
          <w:b/>
          <w:color w:val="000000"/>
          <w:spacing w:val="6"/>
          <w:sz w:val="20"/>
          <w:szCs w:val="20"/>
          <w:lang w:val="en-GB" w:eastAsia="en-GB"/>
        </w:rPr>
        <w:tab/>
        <w:t>Programme 7 Budget Analysis</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CC2EAC" w:rsidRPr="000E7F48" w:rsidRDefault="00CC2EAC" w:rsidP="000E7F48">
      <w:p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Defence Intelligence in 2022/24 reflects a decrease from R1.166 billion in 2022/23 to R1.033 billion in 2023/24. The main decrease is in terms of the </w:t>
      </w:r>
      <w:r w:rsidRPr="000E7F48">
        <w:rPr>
          <w:rFonts w:ascii="Arial" w:eastAsia="Times New Roman" w:hAnsi="Arial" w:cs="Arial"/>
          <w:i/>
          <w:color w:val="000000"/>
          <w:spacing w:val="6"/>
          <w:sz w:val="20"/>
          <w:szCs w:val="20"/>
          <w:lang w:eastAsia="en-GB"/>
        </w:rPr>
        <w:t xml:space="preserve">Operations </w:t>
      </w:r>
      <w:r w:rsidRPr="000E7F48">
        <w:rPr>
          <w:rFonts w:ascii="Arial" w:eastAsia="Times New Roman" w:hAnsi="Arial" w:cs="Arial"/>
          <w:color w:val="000000"/>
          <w:spacing w:val="6"/>
          <w:sz w:val="20"/>
          <w:szCs w:val="20"/>
          <w:lang w:eastAsia="en-GB"/>
        </w:rPr>
        <w:t xml:space="preserve">subprogramme which sees its allocation decrease by 48.8% from R584 million in 2022/23 to R299 million in 2023/24. </w:t>
      </w:r>
    </w:p>
    <w:p w:rsidR="00CC2EAC" w:rsidRPr="000E7F48" w:rsidRDefault="00CC2EAC" w:rsidP="000E7F48">
      <w:pPr>
        <w:spacing w:after="0" w:line="240" w:lineRule="auto"/>
        <w:contextualSpacing/>
        <w:rPr>
          <w:rFonts w:ascii="Arial" w:eastAsia="Times New Roman" w:hAnsi="Arial" w:cs="Arial"/>
          <w:color w:val="000000"/>
          <w:spacing w:val="6"/>
          <w:sz w:val="20"/>
          <w:szCs w:val="20"/>
          <w:lang w:eastAsia="en-GB"/>
        </w:rPr>
      </w:pPr>
    </w:p>
    <w:p w:rsidR="00CC2EAC" w:rsidRPr="000E7F48" w:rsidRDefault="00CC2EAC" w:rsidP="000E7F48">
      <w:p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In terms of economic classifications, Defence Intelligence sees a significantly higher increase in CoE that other programmes, increasing from R463.6 million in 2022/23 to R598.4 million in 2023/24. The Estimates of National Expenditure notes that the personnel establishment of Defence Intelligence will increase from 840 in 2022/23 to 1 156 in 2023/24. The transfer to the SDA decreases from R584 million in 202/23 to R299 million in 2023/24. The SDA contribution sees an 18.4% decline over the MTEF.</w:t>
      </w:r>
    </w:p>
    <w:p w:rsidR="006A5725" w:rsidRPr="000E7F48" w:rsidRDefault="006A5725" w:rsidP="000E7F48">
      <w:pPr>
        <w:spacing w:after="0" w:line="240" w:lineRule="auto"/>
        <w:ind w:left="360"/>
        <w:contextualSpacing/>
        <w:rPr>
          <w:rFonts w:ascii="Arial" w:eastAsia="Times New Roman" w:hAnsi="Arial" w:cs="Arial"/>
          <w:sz w:val="20"/>
          <w:szCs w:val="20"/>
          <w:lang w:val="en-GB"/>
        </w:rPr>
      </w:pPr>
    </w:p>
    <w:tbl>
      <w:tblPr>
        <w:tblStyle w:val="TableGrid"/>
        <w:tblW w:w="9741" w:type="dxa"/>
        <w:jc w:val="center"/>
        <w:tblLook w:val="04A0"/>
      </w:tblPr>
      <w:tblGrid>
        <w:gridCol w:w="3240"/>
        <w:gridCol w:w="1232"/>
        <w:gridCol w:w="1012"/>
        <w:gridCol w:w="1138"/>
        <w:gridCol w:w="1134"/>
        <w:gridCol w:w="1005"/>
        <w:gridCol w:w="993"/>
      </w:tblGrid>
      <w:tr w:rsidR="00CC2EAC" w:rsidRPr="000E7F48" w:rsidTr="0042177B">
        <w:trPr>
          <w:trHeight w:val="765"/>
          <w:jc w:val="center"/>
        </w:trPr>
        <w:tc>
          <w:tcPr>
            <w:tcW w:w="3240"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Programme</w:t>
            </w:r>
          </w:p>
        </w:tc>
        <w:tc>
          <w:tcPr>
            <w:tcW w:w="2244" w:type="dxa"/>
            <w:gridSpan w:val="2"/>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Budget</w:t>
            </w:r>
          </w:p>
        </w:tc>
        <w:tc>
          <w:tcPr>
            <w:tcW w:w="1138"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Real Increase / Decrease in 2023/24</w:t>
            </w:r>
          </w:p>
        </w:tc>
        <w:tc>
          <w:tcPr>
            <w:tcW w:w="992"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Percent change in 2023/24</w:t>
            </w:r>
          </w:p>
        </w:tc>
        <w:tc>
          <w:tcPr>
            <w:tcW w:w="993"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 xml:space="preserve">Real Percent change in </w:t>
            </w:r>
          </w:p>
          <w:p w:rsidR="00CC2EAC" w:rsidRPr="000E7F48" w:rsidRDefault="00CC2EAC" w:rsidP="000E7F48">
            <w:pPr>
              <w:rPr>
                <w:rFonts w:ascii="Arial" w:hAnsi="Arial" w:cs="Arial"/>
                <w:b/>
                <w:bCs/>
                <w:sz w:val="20"/>
                <w:szCs w:val="20"/>
              </w:rPr>
            </w:pPr>
            <w:r w:rsidRPr="000E7F48">
              <w:rPr>
                <w:rFonts w:ascii="Arial" w:hAnsi="Arial" w:cs="Arial"/>
                <w:b/>
                <w:bCs/>
                <w:sz w:val="20"/>
                <w:szCs w:val="20"/>
              </w:rPr>
              <w:t>2023/24</w:t>
            </w:r>
          </w:p>
        </w:tc>
      </w:tr>
      <w:tr w:rsidR="00CC2EAC" w:rsidRPr="000E7F48" w:rsidTr="0042177B">
        <w:trPr>
          <w:trHeight w:val="255"/>
          <w:jc w:val="center"/>
        </w:trPr>
        <w:tc>
          <w:tcPr>
            <w:tcW w:w="3240"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 million</w:t>
            </w:r>
          </w:p>
        </w:tc>
        <w:tc>
          <w:tcPr>
            <w:tcW w:w="1232"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2023/24</w:t>
            </w:r>
          </w:p>
        </w:tc>
        <w:tc>
          <w:tcPr>
            <w:tcW w:w="1138"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992"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993"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r>
      <w:tr w:rsidR="00CC2EAC" w:rsidRPr="000E7F48" w:rsidTr="00CC2EAC">
        <w:trPr>
          <w:trHeight w:val="255"/>
          <w:jc w:val="center"/>
        </w:trPr>
        <w:tc>
          <w:tcPr>
            <w:tcW w:w="324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1: Operations</w:t>
            </w:r>
          </w:p>
        </w:tc>
        <w:tc>
          <w:tcPr>
            <w:tcW w:w="123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584,0</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299,0</w:t>
            </w:r>
          </w:p>
        </w:tc>
        <w:tc>
          <w:tcPr>
            <w:tcW w:w="113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285,0</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299,0</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-48,80%</w:t>
            </w:r>
          </w:p>
        </w:tc>
        <w:tc>
          <w:tcPr>
            <w:tcW w:w="993"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-51,19%</w:t>
            </w:r>
          </w:p>
        </w:tc>
      </w:tr>
      <w:tr w:rsidR="00CC2EAC" w:rsidRPr="000E7F48" w:rsidTr="00CC2EAC">
        <w:trPr>
          <w:trHeight w:val="255"/>
          <w:jc w:val="center"/>
        </w:trPr>
        <w:tc>
          <w:tcPr>
            <w:tcW w:w="324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2: DI Support Services</w:t>
            </w:r>
          </w:p>
        </w:tc>
        <w:tc>
          <w:tcPr>
            <w:tcW w:w="123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582,3</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734,3</w:t>
            </w:r>
          </w:p>
        </w:tc>
        <w:tc>
          <w:tcPr>
            <w:tcW w:w="113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152,0</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117,7</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26,10%</w:t>
            </w:r>
          </w:p>
        </w:tc>
        <w:tc>
          <w:tcPr>
            <w:tcW w:w="993"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20,21%</w:t>
            </w:r>
          </w:p>
        </w:tc>
      </w:tr>
      <w:tr w:rsidR="00CC2EAC" w:rsidRPr="000E7F48" w:rsidTr="00CC2EAC">
        <w:trPr>
          <w:trHeight w:val="255"/>
          <w:jc w:val="center"/>
        </w:trPr>
        <w:tc>
          <w:tcPr>
            <w:tcW w:w="3240" w:type="dxa"/>
            <w:noWrap/>
            <w:hideMark/>
          </w:tcPr>
          <w:p w:rsidR="00CC2EAC" w:rsidRPr="000E7F48" w:rsidRDefault="00CC2EAC" w:rsidP="000E7F48">
            <w:pPr>
              <w:rPr>
                <w:rFonts w:ascii="Arial" w:hAnsi="Arial" w:cs="Arial"/>
                <w:b/>
                <w:sz w:val="20"/>
                <w:szCs w:val="20"/>
              </w:rPr>
            </w:pPr>
            <w:r w:rsidRPr="000E7F48">
              <w:rPr>
                <w:rFonts w:ascii="Arial" w:hAnsi="Arial" w:cs="Arial"/>
                <w:b/>
                <w:sz w:val="20"/>
                <w:szCs w:val="20"/>
              </w:rPr>
              <w:t>TOTAL</w:t>
            </w:r>
          </w:p>
        </w:tc>
        <w:tc>
          <w:tcPr>
            <w:tcW w:w="123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1 166,3</w:t>
            </w:r>
          </w:p>
        </w:tc>
        <w:tc>
          <w:tcPr>
            <w:tcW w:w="101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1 033,3</w:t>
            </w:r>
          </w:p>
        </w:tc>
        <w:tc>
          <w:tcPr>
            <w:tcW w:w="1138"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133,0</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181,3</w:t>
            </w:r>
          </w:p>
        </w:tc>
        <w:tc>
          <w:tcPr>
            <w:tcW w:w="99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-11,4%</w:t>
            </w:r>
          </w:p>
        </w:tc>
        <w:tc>
          <w:tcPr>
            <w:tcW w:w="993"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-15,54%</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10: </w:t>
      </w:r>
      <w:r w:rsidRPr="000E7F48">
        <w:rPr>
          <w:rFonts w:ascii="Arial" w:eastAsia="Times New Roman" w:hAnsi="Arial" w:cs="Arial"/>
          <w:b/>
          <w:bCs/>
          <w:color w:val="000000"/>
          <w:spacing w:val="6"/>
          <w:sz w:val="20"/>
          <w:szCs w:val="20"/>
          <w:lang w:val="en-US" w:eastAsia="en-GB"/>
        </w:rPr>
        <w:t>Nominal and real increases/decreases in the Defence Intelligence Programme</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2401A6"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.7.2</w:t>
      </w:r>
      <w:r w:rsidR="00194FC2" w:rsidRPr="000E7F48">
        <w:rPr>
          <w:rFonts w:ascii="Arial" w:eastAsia="Times New Roman" w:hAnsi="Arial" w:cs="Arial"/>
          <w:b/>
          <w:color w:val="000000"/>
          <w:spacing w:val="6"/>
          <w:sz w:val="20"/>
          <w:szCs w:val="20"/>
          <w:lang w:val="en-GB" w:eastAsia="en-GB"/>
        </w:rPr>
        <w:tab/>
        <w:t>Programme 7 Performance Planning</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Two performance target was included for 2023/24 as follows:</w:t>
      </w: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p>
    <w:p w:rsidR="00CC2EAC" w:rsidRPr="000E7F48" w:rsidRDefault="00CC2EAC" w:rsidP="000E7F48">
      <w:pPr>
        <w:numPr>
          <w:ilvl w:val="0"/>
          <w:numId w:val="36"/>
        </w:num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number of vetting decisions taken (6 000 for 2023/24, compared to 6 308 achieved in 2021/22 and an estimated performance of 5 500 in 2022/23).</w:t>
      </w:r>
    </w:p>
    <w:p w:rsidR="00CC2EAC" w:rsidRPr="000E7F48" w:rsidRDefault="00CC2EAC" w:rsidP="000E7F48">
      <w:pPr>
        <w:numPr>
          <w:ilvl w:val="0"/>
          <w:numId w:val="36"/>
        </w:num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total number of Defence Attache offices remain at 44, as in previous years.</w:t>
      </w: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It must be noted that the target related to the number of intelligence products produced was removed from the 2022 APP.</w:t>
      </w:r>
    </w:p>
    <w:p w:rsidR="00194FC2" w:rsidRPr="000E7F48" w:rsidRDefault="002401A6" w:rsidP="000E7F48">
      <w:pPr>
        <w:keepNext/>
        <w:keepLines/>
        <w:spacing w:after="0" w:line="240" w:lineRule="auto"/>
        <w:outlineLvl w:val="1"/>
        <w:rPr>
          <w:rFonts w:ascii="Arial" w:eastAsiaTheme="majorEastAsia" w:hAnsi="Arial" w:cs="Arial"/>
          <w:b/>
          <w:sz w:val="20"/>
          <w:szCs w:val="20"/>
        </w:rPr>
      </w:pPr>
      <w:bookmarkStart w:id="12" w:name="_Toc36489537"/>
      <w:r w:rsidRPr="000E7F48">
        <w:rPr>
          <w:rFonts w:ascii="Arial" w:eastAsiaTheme="majorEastAsia" w:hAnsi="Arial" w:cs="Arial"/>
          <w:b/>
          <w:sz w:val="20"/>
          <w:szCs w:val="20"/>
        </w:rPr>
        <w:t>7</w:t>
      </w:r>
      <w:r w:rsidR="00194FC2" w:rsidRPr="000E7F48">
        <w:rPr>
          <w:rFonts w:ascii="Arial" w:eastAsiaTheme="majorEastAsia" w:hAnsi="Arial" w:cs="Arial"/>
          <w:b/>
          <w:sz w:val="20"/>
          <w:szCs w:val="20"/>
        </w:rPr>
        <w:t>.8</w:t>
      </w:r>
      <w:r w:rsidR="00194FC2" w:rsidRPr="000E7F48">
        <w:rPr>
          <w:rFonts w:ascii="Arial" w:eastAsiaTheme="majorEastAsia" w:hAnsi="Arial" w:cs="Arial"/>
          <w:b/>
          <w:sz w:val="20"/>
          <w:szCs w:val="20"/>
        </w:rPr>
        <w:tab/>
        <w:t>Programme 8 (General Support)</w:t>
      </w:r>
      <w:bookmarkEnd w:id="12"/>
    </w:p>
    <w:p w:rsidR="00194FC2" w:rsidRPr="000E7F48" w:rsidRDefault="002401A6"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.8.1</w:t>
      </w:r>
      <w:r w:rsidR="00194FC2" w:rsidRPr="000E7F48">
        <w:rPr>
          <w:rFonts w:ascii="Arial" w:eastAsia="Times New Roman" w:hAnsi="Arial" w:cs="Arial"/>
          <w:b/>
          <w:color w:val="000000"/>
          <w:spacing w:val="6"/>
          <w:sz w:val="20"/>
          <w:szCs w:val="20"/>
          <w:lang w:val="en-GB" w:eastAsia="en-GB"/>
        </w:rPr>
        <w:tab/>
        <w:t>Programme 8 Budget Analysis</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CC2EAC" w:rsidRPr="000E7F48" w:rsidRDefault="00CC2EAC" w:rsidP="000E7F48">
      <w:p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General Support programme’s allocation was increased marginally by 3.7% from R6.593 billion in 2022/23 to R6.837 billion in 2023/24. The R75.9 million increase translates to a 1.15% reduction in real terms when adjusted for inflation. The allocation to most programmes remained stable, but one programme (Technology Development) received a significant increase from R133.5 million in 2022/23 to R315.9 million in 2023/24. The Technology Development Programme’s allocation will grow by 40.2% over the MTEF</w:t>
      </w:r>
    </w:p>
    <w:p w:rsidR="00CC2EAC" w:rsidRPr="000E7F48" w:rsidRDefault="00CC2EAC" w:rsidP="000E7F48">
      <w:pPr>
        <w:spacing w:after="0" w:line="240" w:lineRule="auto"/>
        <w:contextualSpacing/>
        <w:rPr>
          <w:rFonts w:ascii="Arial" w:eastAsia="Times New Roman" w:hAnsi="Arial" w:cs="Arial"/>
          <w:color w:val="000000"/>
          <w:spacing w:val="6"/>
          <w:sz w:val="20"/>
          <w:szCs w:val="20"/>
          <w:lang w:eastAsia="en-GB"/>
        </w:rPr>
      </w:pPr>
    </w:p>
    <w:p w:rsidR="00CC2EAC" w:rsidRPr="000E7F48" w:rsidRDefault="00CC2EAC" w:rsidP="000E7F48">
      <w:p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In terms of economic classifications, the following increases and decreases from 2022/23 to 2023/24 can be noted:</w:t>
      </w:r>
    </w:p>
    <w:p w:rsidR="00CC2EAC" w:rsidRPr="000E7F48" w:rsidRDefault="00CC2EAC" w:rsidP="000E7F48">
      <w:pPr>
        <w:numPr>
          <w:ilvl w:val="0"/>
          <w:numId w:val="5"/>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w:t>
      </w:r>
      <w:r w:rsidRPr="000E7F48">
        <w:rPr>
          <w:rFonts w:ascii="Arial" w:eastAsia="Times New Roman" w:hAnsi="Arial" w:cs="Arial"/>
          <w:i/>
          <w:color w:val="000000"/>
          <w:spacing w:val="6"/>
          <w:sz w:val="20"/>
          <w:szCs w:val="20"/>
          <w:lang w:eastAsia="en-GB"/>
        </w:rPr>
        <w:t xml:space="preserve">Minor Assets </w:t>
      </w:r>
      <w:r w:rsidRPr="000E7F48">
        <w:rPr>
          <w:rFonts w:ascii="Arial" w:eastAsia="Times New Roman" w:hAnsi="Arial" w:cs="Arial"/>
          <w:color w:val="000000"/>
          <w:spacing w:val="6"/>
          <w:sz w:val="20"/>
          <w:szCs w:val="20"/>
          <w:lang w:eastAsia="en-GB"/>
        </w:rPr>
        <w:t>increases from R69.5 million to R103.7 million.</w:t>
      </w:r>
    </w:p>
    <w:p w:rsidR="00CC2EAC" w:rsidRPr="000E7F48" w:rsidRDefault="00CC2EAC" w:rsidP="000E7F48">
      <w:pPr>
        <w:numPr>
          <w:ilvl w:val="0"/>
          <w:numId w:val="5"/>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lastRenderedPageBreak/>
        <w:t xml:space="preserve">Contractors </w:t>
      </w:r>
      <w:r w:rsidRPr="000E7F48">
        <w:rPr>
          <w:rFonts w:ascii="Arial" w:eastAsia="Times New Roman" w:hAnsi="Arial" w:cs="Arial"/>
          <w:color w:val="000000"/>
          <w:spacing w:val="6"/>
          <w:sz w:val="20"/>
          <w:szCs w:val="20"/>
          <w:lang w:eastAsia="en-GB"/>
        </w:rPr>
        <w:t>increases from R80.8 million to R102.9 million, with a growth of 16.5% over the MTEF.</w:t>
      </w:r>
    </w:p>
    <w:p w:rsidR="00CC2EAC" w:rsidRPr="000E7F48" w:rsidRDefault="00CC2EAC" w:rsidP="000E7F48">
      <w:pPr>
        <w:numPr>
          <w:ilvl w:val="0"/>
          <w:numId w:val="5"/>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i/>
          <w:color w:val="000000"/>
          <w:spacing w:val="6"/>
          <w:sz w:val="20"/>
          <w:szCs w:val="20"/>
          <w:lang w:eastAsia="en-GB"/>
        </w:rPr>
        <w:t xml:space="preserve">Food and food supplies </w:t>
      </w:r>
      <w:r w:rsidRPr="000E7F48">
        <w:rPr>
          <w:rFonts w:ascii="Arial" w:eastAsia="Times New Roman" w:hAnsi="Arial" w:cs="Arial"/>
          <w:color w:val="000000"/>
          <w:spacing w:val="6"/>
          <w:sz w:val="20"/>
          <w:szCs w:val="20"/>
          <w:lang w:eastAsia="en-GB"/>
        </w:rPr>
        <w:t>increases from R26.2 million to R77.4 million.</w:t>
      </w:r>
    </w:p>
    <w:p w:rsidR="00CC2EAC" w:rsidRPr="000E7F48" w:rsidRDefault="00CC2EAC" w:rsidP="000E7F48">
      <w:pPr>
        <w:numPr>
          <w:ilvl w:val="0"/>
          <w:numId w:val="5"/>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 xml:space="preserve">The allocation for </w:t>
      </w:r>
      <w:r w:rsidRPr="000E7F48">
        <w:rPr>
          <w:rFonts w:ascii="Arial" w:eastAsia="Times New Roman" w:hAnsi="Arial" w:cs="Arial"/>
          <w:i/>
          <w:color w:val="000000"/>
          <w:spacing w:val="6"/>
          <w:sz w:val="20"/>
          <w:szCs w:val="20"/>
          <w:lang w:eastAsia="en-GB"/>
        </w:rPr>
        <w:t xml:space="preserve">Machinery and equipment </w:t>
      </w:r>
      <w:r w:rsidRPr="000E7F48">
        <w:rPr>
          <w:rFonts w:ascii="Arial" w:eastAsia="Times New Roman" w:hAnsi="Arial" w:cs="Arial"/>
          <w:color w:val="000000"/>
          <w:spacing w:val="6"/>
          <w:sz w:val="20"/>
          <w:szCs w:val="20"/>
          <w:lang w:eastAsia="en-GB"/>
        </w:rPr>
        <w:t>decreases from R118.8 million to R81.5 million.</w:t>
      </w:r>
    </w:p>
    <w:p w:rsidR="00CC2EAC" w:rsidRPr="000E7F48" w:rsidRDefault="00CC2EAC" w:rsidP="000E7F48">
      <w:pPr>
        <w:numPr>
          <w:ilvl w:val="0"/>
          <w:numId w:val="5"/>
        </w:numPr>
        <w:spacing w:after="0" w:line="240" w:lineRule="auto"/>
        <w:contextualSpacing/>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R319.6 million will be transferred from the programme to the SDA in 2023/24.</w:t>
      </w:r>
    </w:p>
    <w:p w:rsidR="00194FC2" w:rsidRPr="000E7F48" w:rsidRDefault="00194FC2" w:rsidP="000E7F48">
      <w:pPr>
        <w:spacing w:after="0" w:line="240" w:lineRule="auto"/>
        <w:ind w:left="360"/>
        <w:contextualSpacing/>
        <w:rPr>
          <w:rFonts w:ascii="Arial" w:eastAsia="Times New Roman" w:hAnsi="Arial" w:cs="Arial"/>
          <w:sz w:val="20"/>
          <w:szCs w:val="20"/>
          <w:lang w:val="en-GB"/>
        </w:rPr>
      </w:pPr>
    </w:p>
    <w:tbl>
      <w:tblPr>
        <w:tblStyle w:val="TableGrid"/>
        <w:tblW w:w="10449" w:type="dxa"/>
        <w:jc w:val="center"/>
        <w:tblLook w:val="04A0"/>
      </w:tblPr>
      <w:tblGrid>
        <w:gridCol w:w="3870"/>
        <w:gridCol w:w="1228"/>
        <w:gridCol w:w="1012"/>
        <w:gridCol w:w="1106"/>
        <w:gridCol w:w="1134"/>
        <w:gridCol w:w="1006"/>
        <w:gridCol w:w="1134"/>
      </w:tblGrid>
      <w:tr w:rsidR="00CC2EAC" w:rsidRPr="000E7F48" w:rsidTr="0042177B">
        <w:trPr>
          <w:trHeight w:val="765"/>
          <w:tblHeader/>
          <w:jc w:val="center"/>
        </w:trPr>
        <w:tc>
          <w:tcPr>
            <w:tcW w:w="3870"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Programme</w:t>
            </w:r>
          </w:p>
        </w:tc>
        <w:tc>
          <w:tcPr>
            <w:tcW w:w="2240" w:type="dxa"/>
            <w:gridSpan w:val="2"/>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Budget</w:t>
            </w:r>
          </w:p>
        </w:tc>
        <w:tc>
          <w:tcPr>
            <w:tcW w:w="1079"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Real Increase / Decrease in 2023/24</w:t>
            </w:r>
          </w:p>
        </w:tc>
        <w:tc>
          <w:tcPr>
            <w:tcW w:w="992"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Nominal Percent change in 2023/24</w:t>
            </w:r>
          </w:p>
        </w:tc>
        <w:tc>
          <w:tcPr>
            <w:tcW w:w="1134" w:type="dxa"/>
            <w:vMerge w:val="restart"/>
            <w:shd w:val="clear" w:color="auto" w:fill="F2F2F2" w:themeFill="background1" w:themeFillShade="F2"/>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 xml:space="preserve">Real Percent change in </w:t>
            </w:r>
          </w:p>
          <w:p w:rsidR="00CC2EAC" w:rsidRPr="000E7F48" w:rsidRDefault="00CC2EAC" w:rsidP="000E7F48">
            <w:pPr>
              <w:rPr>
                <w:rFonts w:ascii="Arial" w:hAnsi="Arial" w:cs="Arial"/>
                <w:b/>
                <w:bCs/>
                <w:sz w:val="20"/>
                <w:szCs w:val="20"/>
              </w:rPr>
            </w:pPr>
            <w:r w:rsidRPr="000E7F48">
              <w:rPr>
                <w:rFonts w:ascii="Arial" w:hAnsi="Arial" w:cs="Arial"/>
                <w:b/>
                <w:bCs/>
                <w:sz w:val="20"/>
                <w:szCs w:val="20"/>
              </w:rPr>
              <w:t>2023/24</w:t>
            </w:r>
          </w:p>
        </w:tc>
      </w:tr>
      <w:tr w:rsidR="00CC2EAC" w:rsidRPr="000E7F48" w:rsidTr="0042177B">
        <w:trPr>
          <w:trHeight w:val="255"/>
          <w:jc w:val="center"/>
        </w:trPr>
        <w:tc>
          <w:tcPr>
            <w:tcW w:w="3870"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R million</w:t>
            </w:r>
          </w:p>
        </w:tc>
        <w:tc>
          <w:tcPr>
            <w:tcW w:w="1228"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2022/23</w:t>
            </w:r>
          </w:p>
        </w:tc>
        <w:tc>
          <w:tcPr>
            <w:tcW w:w="1012" w:type="dxa"/>
            <w:shd w:val="clear" w:color="auto" w:fill="F2F2F2" w:themeFill="background1" w:themeFillShade="F2"/>
            <w:noWrap/>
            <w:hideMark/>
          </w:tcPr>
          <w:p w:rsidR="00CC2EAC" w:rsidRPr="000E7F48" w:rsidRDefault="00CC2EAC" w:rsidP="000E7F48">
            <w:pPr>
              <w:rPr>
                <w:rFonts w:ascii="Arial" w:hAnsi="Arial" w:cs="Arial"/>
                <w:b/>
                <w:bCs/>
                <w:sz w:val="20"/>
                <w:szCs w:val="20"/>
              </w:rPr>
            </w:pPr>
            <w:r w:rsidRPr="000E7F48">
              <w:rPr>
                <w:rFonts w:ascii="Arial" w:hAnsi="Arial" w:cs="Arial"/>
                <w:b/>
                <w:bCs/>
                <w:sz w:val="20"/>
                <w:szCs w:val="20"/>
              </w:rPr>
              <w:t>2023/24</w:t>
            </w:r>
          </w:p>
        </w:tc>
        <w:tc>
          <w:tcPr>
            <w:tcW w:w="1079"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992"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c>
          <w:tcPr>
            <w:tcW w:w="1134" w:type="dxa"/>
            <w:vMerge/>
            <w:shd w:val="clear" w:color="auto" w:fill="F2F2F2" w:themeFill="background1" w:themeFillShade="F2"/>
            <w:hideMark/>
          </w:tcPr>
          <w:p w:rsidR="00CC2EAC" w:rsidRPr="000E7F48" w:rsidRDefault="00CC2EAC" w:rsidP="000E7F48">
            <w:pPr>
              <w:rPr>
                <w:rFonts w:ascii="Arial" w:hAnsi="Arial" w:cs="Arial"/>
                <w:b/>
                <w:bCs/>
                <w:sz w:val="20"/>
                <w:szCs w:val="20"/>
              </w:rPr>
            </w:pPr>
          </w:p>
        </w:tc>
      </w:tr>
      <w:tr w:rsidR="00CC2EAC" w:rsidRPr="000E7F48" w:rsidTr="00CC2EAC">
        <w:trPr>
          <w:trHeight w:val="255"/>
          <w:jc w:val="center"/>
        </w:trPr>
        <w:tc>
          <w:tcPr>
            <w:tcW w:w="387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1: Joint Logistics Services</w:t>
            </w:r>
          </w:p>
        </w:tc>
        <w:tc>
          <w:tcPr>
            <w:tcW w:w="122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3 418,6</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3 450,7</w:t>
            </w:r>
          </w:p>
        </w:tc>
        <w:tc>
          <w:tcPr>
            <w:tcW w:w="1079"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32,1</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129,1</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0,94%</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-3,78%</w:t>
            </w:r>
          </w:p>
        </w:tc>
      </w:tr>
      <w:tr w:rsidR="00CC2EAC" w:rsidRPr="000E7F48" w:rsidTr="00CC2EAC">
        <w:trPr>
          <w:trHeight w:val="255"/>
          <w:jc w:val="center"/>
        </w:trPr>
        <w:tc>
          <w:tcPr>
            <w:tcW w:w="387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2: Command and Maintenance Information Systems</w:t>
            </w:r>
          </w:p>
        </w:tc>
        <w:tc>
          <w:tcPr>
            <w:tcW w:w="122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1 046,1</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1 063,6</w:t>
            </w:r>
          </w:p>
        </w:tc>
        <w:tc>
          <w:tcPr>
            <w:tcW w:w="1079"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17,5</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32,2</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1,67%</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-3,08%</w:t>
            </w:r>
          </w:p>
        </w:tc>
      </w:tr>
      <w:tr w:rsidR="00CC2EAC" w:rsidRPr="000E7F48" w:rsidTr="00CC2EAC">
        <w:trPr>
          <w:trHeight w:val="255"/>
          <w:jc w:val="center"/>
        </w:trPr>
        <w:tc>
          <w:tcPr>
            <w:tcW w:w="387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3: Military Police</w:t>
            </w:r>
          </w:p>
        </w:tc>
        <w:tc>
          <w:tcPr>
            <w:tcW w:w="122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736,8</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742,9</w:t>
            </w:r>
          </w:p>
        </w:tc>
        <w:tc>
          <w:tcPr>
            <w:tcW w:w="1079"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6,1</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28,6</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0,83%</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-3,88%</w:t>
            </w:r>
          </w:p>
        </w:tc>
      </w:tr>
      <w:tr w:rsidR="00CC2EAC" w:rsidRPr="000E7F48" w:rsidTr="00CC2EAC">
        <w:trPr>
          <w:trHeight w:val="255"/>
          <w:jc w:val="center"/>
        </w:trPr>
        <w:tc>
          <w:tcPr>
            <w:tcW w:w="387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Sub-programme 4: Technology Development</w:t>
            </w:r>
          </w:p>
        </w:tc>
        <w:tc>
          <w:tcPr>
            <w:tcW w:w="122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133,5</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315,9</w:t>
            </w:r>
          </w:p>
        </w:tc>
        <w:tc>
          <w:tcPr>
            <w:tcW w:w="1079"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182,4</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167,6</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136,63%</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125,58%</w:t>
            </w:r>
          </w:p>
        </w:tc>
      </w:tr>
      <w:tr w:rsidR="00CC2EAC" w:rsidRPr="000E7F48" w:rsidTr="00CC2EAC">
        <w:trPr>
          <w:trHeight w:val="255"/>
          <w:jc w:val="center"/>
        </w:trPr>
        <w:tc>
          <w:tcPr>
            <w:tcW w:w="3870" w:type="dxa"/>
            <w:noWrap/>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Sub-programme 5: Departmental Support</w:t>
            </w:r>
          </w:p>
        </w:tc>
        <w:tc>
          <w:tcPr>
            <w:tcW w:w="1228"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1 258,3</w:t>
            </w:r>
          </w:p>
        </w:tc>
        <w:tc>
          <w:tcPr>
            <w:tcW w:w="101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1 263,6</w:t>
            </w:r>
          </w:p>
        </w:tc>
        <w:tc>
          <w:tcPr>
            <w:tcW w:w="1079"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xml:space="preserve">  5,3</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  53,7</w:t>
            </w:r>
          </w:p>
        </w:tc>
        <w:tc>
          <w:tcPr>
            <w:tcW w:w="992"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0,42%</w:t>
            </w:r>
          </w:p>
        </w:tc>
        <w:tc>
          <w:tcPr>
            <w:tcW w:w="1134" w:type="dxa"/>
            <w:noWrap/>
            <w:vAlign w:val="bottom"/>
            <w:hideMark/>
          </w:tcPr>
          <w:p w:rsidR="00CC2EAC" w:rsidRPr="000E7F48" w:rsidRDefault="00CC2EAC" w:rsidP="000E7F48">
            <w:pPr>
              <w:rPr>
                <w:rFonts w:ascii="Arial" w:hAnsi="Arial" w:cs="Arial"/>
                <w:sz w:val="20"/>
                <w:szCs w:val="20"/>
              </w:rPr>
            </w:pPr>
            <w:r w:rsidRPr="000E7F48">
              <w:rPr>
                <w:rFonts w:ascii="Arial" w:hAnsi="Arial" w:cs="Arial"/>
                <w:sz w:val="20"/>
                <w:szCs w:val="20"/>
              </w:rPr>
              <w:t>-4,27%</w:t>
            </w:r>
          </w:p>
        </w:tc>
      </w:tr>
      <w:tr w:rsidR="00CC2EAC" w:rsidRPr="000E7F48" w:rsidTr="00CC2EAC">
        <w:trPr>
          <w:trHeight w:val="70"/>
          <w:jc w:val="center"/>
        </w:trPr>
        <w:tc>
          <w:tcPr>
            <w:tcW w:w="3870" w:type="dxa"/>
            <w:noWrap/>
            <w:hideMark/>
          </w:tcPr>
          <w:p w:rsidR="00CC2EAC" w:rsidRPr="000E7F48" w:rsidRDefault="00CC2EAC" w:rsidP="000E7F48">
            <w:pPr>
              <w:rPr>
                <w:rFonts w:ascii="Arial" w:hAnsi="Arial" w:cs="Arial"/>
                <w:b/>
                <w:sz w:val="20"/>
                <w:szCs w:val="20"/>
              </w:rPr>
            </w:pPr>
            <w:r w:rsidRPr="000E7F48">
              <w:rPr>
                <w:rFonts w:ascii="Arial" w:hAnsi="Arial" w:cs="Arial"/>
                <w:b/>
                <w:sz w:val="20"/>
                <w:szCs w:val="20"/>
              </w:rPr>
              <w:t>TOTAL</w:t>
            </w:r>
          </w:p>
        </w:tc>
        <w:tc>
          <w:tcPr>
            <w:tcW w:w="1228"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6 593,3</w:t>
            </w:r>
          </w:p>
        </w:tc>
        <w:tc>
          <w:tcPr>
            <w:tcW w:w="101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6 836,8</w:t>
            </w:r>
          </w:p>
        </w:tc>
        <w:tc>
          <w:tcPr>
            <w:tcW w:w="1079"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xml:space="preserve">  243,5</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  75,9</w:t>
            </w:r>
          </w:p>
        </w:tc>
        <w:tc>
          <w:tcPr>
            <w:tcW w:w="992"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3,7%</w:t>
            </w:r>
          </w:p>
        </w:tc>
        <w:tc>
          <w:tcPr>
            <w:tcW w:w="1134" w:type="dxa"/>
            <w:noWrap/>
            <w:vAlign w:val="bottom"/>
            <w:hideMark/>
          </w:tcPr>
          <w:p w:rsidR="00CC2EAC" w:rsidRPr="000E7F48" w:rsidRDefault="00CC2EAC" w:rsidP="000E7F48">
            <w:pPr>
              <w:rPr>
                <w:rFonts w:ascii="Arial" w:hAnsi="Arial" w:cs="Arial"/>
                <w:b/>
                <w:sz w:val="20"/>
                <w:szCs w:val="20"/>
              </w:rPr>
            </w:pPr>
            <w:r w:rsidRPr="000E7F48">
              <w:rPr>
                <w:rFonts w:ascii="Arial" w:hAnsi="Arial" w:cs="Arial"/>
                <w:b/>
                <w:sz w:val="20"/>
                <w:szCs w:val="20"/>
              </w:rPr>
              <w:t>-1,15%</w:t>
            </w:r>
          </w:p>
        </w:tc>
      </w:tr>
    </w:tbl>
    <w:p w:rsidR="00194FC2" w:rsidRPr="000E7F48" w:rsidRDefault="00194FC2" w:rsidP="000E7F48">
      <w:pPr>
        <w:spacing w:after="0" w:line="240" w:lineRule="auto"/>
        <w:rPr>
          <w:rFonts w:ascii="Arial" w:eastAsia="Times New Roman" w:hAnsi="Arial" w:cs="Arial"/>
          <w:b/>
          <w:bCs/>
          <w:color w:val="000000"/>
          <w:spacing w:val="6"/>
          <w:sz w:val="20"/>
          <w:szCs w:val="20"/>
          <w:lang w:val="en-US" w:eastAsia="en-GB"/>
        </w:rPr>
      </w:pPr>
      <w:r w:rsidRPr="000E7F48">
        <w:rPr>
          <w:rFonts w:ascii="Arial" w:eastAsia="Times New Roman" w:hAnsi="Arial" w:cs="Arial"/>
          <w:b/>
          <w:color w:val="000000"/>
          <w:spacing w:val="6"/>
          <w:sz w:val="20"/>
          <w:szCs w:val="20"/>
          <w:lang w:val="en-GB" w:eastAsia="en-GB"/>
        </w:rPr>
        <w:t xml:space="preserve">Table 11: </w:t>
      </w:r>
      <w:r w:rsidRPr="000E7F48">
        <w:rPr>
          <w:rFonts w:ascii="Arial" w:eastAsia="Times New Roman" w:hAnsi="Arial" w:cs="Arial"/>
          <w:b/>
          <w:bCs/>
          <w:color w:val="000000"/>
          <w:spacing w:val="6"/>
          <w:sz w:val="20"/>
          <w:szCs w:val="20"/>
          <w:lang w:val="en-US" w:eastAsia="en-GB"/>
        </w:rPr>
        <w:t>Nominal and real increases/decreases in the General Support Programme</w:t>
      </w:r>
    </w:p>
    <w:p w:rsidR="000E2B82" w:rsidRPr="000E7F48" w:rsidRDefault="000E2B82"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2401A6"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7</w:t>
      </w:r>
      <w:r w:rsidR="00194FC2" w:rsidRPr="000E7F48">
        <w:rPr>
          <w:rFonts w:ascii="Arial" w:eastAsia="Times New Roman" w:hAnsi="Arial" w:cs="Arial"/>
          <w:b/>
          <w:color w:val="000000"/>
          <w:spacing w:val="6"/>
          <w:sz w:val="20"/>
          <w:szCs w:val="20"/>
          <w:lang w:val="en-GB" w:eastAsia="en-GB"/>
        </w:rPr>
        <w:t>.8.2</w:t>
      </w:r>
      <w:r w:rsidR="00194FC2" w:rsidRPr="000E7F48">
        <w:rPr>
          <w:rFonts w:ascii="Arial" w:eastAsia="Times New Roman" w:hAnsi="Arial" w:cs="Arial"/>
          <w:b/>
          <w:color w:val="000000"/>
          <w:spacing w:val="6"/>
          <w:sz w:val="20"/>
          <w:szCs w:val="20"/>
          <w:lang w:val="en-GB" w:eastAsia="en-GB"/>
        </w:rPr>
        <w:tab/>
        <w:t>Programme 8 Performance Planning</w:t>
      </w: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p>
    <w:p w:rsidR="00CC2EAC" w:rsidRPr="000E7F48" w:rsidRDefault="00CC2EAC" w:rsidP="000E7F48">
      <w:pPr>
        <w:spacing w:after="0" w:line="240" w:lineRule="auto"/>
        <w:rPr>
          <w:rFonts w:ascii="Arial" w:eastAsia="Times New Roman" w:hAnsi="Arial" w:cs="Arial"/>
          <w:color w:val="000000"/>
          <w:spacing w:val="6"/>
          <w:sz w:val="20"/>
          <w:szCs w:val="20"/>
          <w:lang w:eastAsia="en-GB"/>
        </w:rPr>
      </w:pPr>
      <w:r w:rsidRPr="000E7F48">
        <w:rPr>
          <w:rFonts w:ascii="Arial" w:eastAsia="Times New Roman" w:hAnsi="Arial" w:cs="Arial"/>
          <w:color w:val="000000"/>
          <w:spacing w:val="6"/>
          <w:sz w:val="20"/>
          <w:szCs w:val="20"/>
          <w:lang w:eastAsia="en-GB"/>
        </w:rPr>
        <w:t>The number of performance indicators used to track performance in Programme 8 remain at six for 2023/24. Targets set for 2022/23 include the following:</w:t>
      </w:r>
    </w:p>
    <w:p w:rsidR="002401A6" w:rsidRPr="000E7F48" w:rsidRDefault="002401A6" w:rsidP="000E7F48">
      <w:pPr>
        <w:spacing w:after="0" w:line="240" w:lineRule="auto"/>
        <w:rPr>
          <w:rFonts w:ascii="Arial" w:eastAsia="Times New Roman" w:hAnsi="Arial" w:cs="Arial"/>
          <w:color w:val="000000"/>
          <w:spacing w:val="6"/>
          <w:sz w:val="20"/>
          <w:szCs w:val="20"/>
          <w:lang w:eastAsia="en-GB"/>
        </w:rPr>
      </w:pPr>
    </w:p>
    <w:tbl>
      <w:tblPr>
        <w:tblStyle w:val="TableGrid"/>
        <w:tblW w:w="0" w:type="auto"/>
        <w:jc w:val="center"/>
        <w:tblLook w:val="04A0"/>
      </w:tblPr>
      <w:tblGrid>
        <w:gridCol w:w="3415"/>
        <w:gridCol w:w="1823"/>
        <w:gridCol w:w="1876"/>
        <w:gridCol w:w="1902"/>
      </w:tblGrid>
      <w:tr w:rsidR="00CC2EAC" w:rsidRPr="000E7F48" w:rsidTr="0042177B">
        <w:trPr>
          <w:tblHeader/>
          <w:jc w:val="center"/>
        </w:trPr>
        <w:tc>
          <w:tcPr>
            <w:tcW w:w="3415" w:type="dxa"/>
            <w:vMerge w:val="restart"/>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Performance Indicator</w:t>
            </w:r>
          </w:p>
        </w:tc>
        <w:tc>
          <w:tcPr>
            <w:tcW w:w="1823" w:type="dxa"/>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Audited Outcome</w:t>
            </w:r>
          </w:p>
        </w:tc>
        <w:tc>
          <w:tcPr>
            <w:tcW w:w="1876" w:type="dxa"/>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Estimated Performance</w:t>
            </w:r>
          </w:p>
        </w:tc>
        <w:tc>
          <w:tcPr>
            <w:tcW w:w="1902" w:type="dxa"/>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Target</w:t>
            </w:r>
          </w:p>
        </w:tc>
      </w:tr>
      <w:tr w:rsidR="00CC2EAC" w:rsidRPr="000E7F48" w:rsidTr="0042177B">
        <w:trPr>
          <w:tblHeader/>
          <w:jc w:val="center"/>
        </w:trPr>
        <w:tc>
          <w:tcPr>
            <w:tcW w:w="3415" w:type="dxa"/>
            <w:vMerge/>
            <w:shd w:val="clear" w:color="auto" w:fill="BFBFBF" w:themeFill="background1" w:themeFillShade="BF"/>
          </w:tcPr>
          <w:p w:rsidR="00CC2EAC" w:rsidRPr="000E7F48" w:rsidRDefault="00CC2EAC" w:rsidP="000E7F48">
            <w:pPr>
              <w:rPr>
                <w:rFonts w:ascii="Arial" w:hAnsi="Arial" w:cs="Arial"/>
                <w:sz w:val="20"/>
                <w:szCs w:val="20"/>
              </w:rPr>
            </w:pPr>
          </w:p>
        </w:tc>
        <w:tc>
          <w:tcPr>
            <w:tcW w:w="1823" w:type="dxa"/>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2021/22</w:t>
            </w:r>
          </w:p>
        </w:tc>
        <w:tc>
          <w:tcPr>
            <w:tcW w:w="1876" w:type="dxa"/>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2022/23</w:t>
            </w:r>
          </w:p>
        </w:tc>
        <w:tc>
          <w:tcPr>
            <w:tcW w:w="1902" w:type="dxa"/>
            <w:shd w:val="clear" w:color="auto" w:fill="F2F2F2" w:themeFill="background1" w:themeFillShade="F2"/>
          </w:tcPr>
          <w:p w:rsidR="00CC2EAC" w:rsidRPr="000E7F48" w:rsidRDefault="00CC2EAC" w:rsidP="000E7F48">
            <w:pPr>
              <w:rPr>
                <w:rFonts w:ascii="Arial" w:hAnsi="Arial" w:cs="Arial"/>
                <w:b/>
                <w:sz w:val="20"/>
                <w:szCs w:val="20"/>
              </w:rPr>
            </w:pPr>
            <w:r w:rsidRPr="000E7F48">
              <w:rPr>
                <w:rFonts w:ascii="Arial" w:hAnsi="Arial" w:cs="Arial"/>
                <w:b/>
                <w:sz w:val="20"/>
                <w:szCs w:val="20"/>
              </w:rPr>
              <w:t>2023/24</w:t>
            </w:r>
          </w:p>
        </w:tc>
      </w:tr>
      <w:tr w:rsidR="00CC2EAC" w:rsidRPr="000E7F48" w:rsidTr="0042177B">
        <w:trPr>
          <w:jc w:val="center"/>
        </w:trPr>
        <w:tc>
          <w:tcPr>
            <w:tcW w:w="3415" w:type="dxa"/>
          </w:tcPr>
          <w:p w:rsidR="00CC2EAC" w:rsidRPr="000E7F48" w:rsidRDefault="00CC2EAC" w:rsidP="000E7F48">
            <w:pPr>
              <w:rPr>
                <w:rFonts w:ascii="Arial" w:hAnsi="Arial" w:cs="Arial"/>
                <w:sz w:val="20"/>
                <w:szCs w:val="20"/>
              </w:rPr>
            </w:pPr>
            <w:r w:rsidRPr="000E7F48">
              <w:rPr>
                <w:rFonts w:ascii="Arial" w:hAnsi="Arial" w:cs="Arial"/>
                <w:sz w:val="20"/>
                <w:szCs w:val="20"/>
              </w:rPr>
              <w:t>Percentage procurement requests fully completed within 90 days from registration</w:t>
            </w:r>
          </w:p>
        </w:tc>
        <w:tc>
          <w:tcPr>
            <w:tcW w:w="1823" w:type="dxa"/>
          </w:tcPr>
          <w:p w:rsidR="00CC2EAC" w:rsidRPr="000E7F48" w:rsidRDefault="00CC2EAC" w:rsidP="000E7F48">
            <w:pPr>
              <w:rPr>
                <w:rFonts w:ascii="Arial" w:hAnsi="Arial" w:cs="Arial"/>
                <w:sz w:val="20"/>
                <w:szCs w:val="20"/>
              </w:rPr>
            </w:pPr>
            <w:r w:rsidRPr="000E7F48">
              <w:rPr>
                <w:rFonts w:ascii="Arial" w:hAnsi="Arial" w:cs="Arial"/>
                <w:sz w:val="20"/>
                <w:szCs w:val="20"/>
              </w:rPr>
              <w:t>97.5%</w:t>
            </w:r>
          </w:p>
        </w:tc>
        <w:tc>
          <w:tcPr>
            <w:tcW w:w="1876" w:type="dxa"/>
          </w:tcPr>
          <w:p w:rsidR="00CC2EAC" w:rsidRPr="000E7F48" w:rsidRDefault="00CC2EAC" w:rsidP="000E7F48">
            <w:pPr>
              <w:rPr>
                <w:rFonts w:ascii="Arial" w:hAnsi="Arial" w:cs="Arial"/>
                <w:sz w:val="20"/>
                <w:szCs w:val="20"/>
              </w:rPr>
            </w:pPr>
            <w:r w:rsidRPr="000E7F48">
              <w:rPr>
                <w:rFonts w:ascii="Arial" w:hAnsi="Arial" w:cs="Arial"/>
                <w:sz w:val="20"/>
                <w:szCs w:val="20"/>
              </w:rPr>
              <w:t>95%</w:t>
            </w:r>
          </w:p>
        </w:tc>
        <w:tc>
          <w:tcPr>
            <w:tcW w:w="1902" w:type="dxa"/>
            <w:shd w:val="clear" w:color="auto" w:fill="F2F2F2" w:themeFill="background1" w:themeFillShade="F2"/>
          </w:tcPr>
          <w:p w:rsidR="00CC2EAC" w:rsidRPr="000E7F48" w:rsidRDefault="00CC2EAC" w:rsidP="000E7F48">
            <w:pPr>
              <w:rPr>
                <w:rFonts w:ascii="Arial" w:hAnsi="Arial" w:cs="Arial"/>
                <w:sz w:val="20"/>
                <w:szCs w:val="20"/>
              </w:rPr>
            </w:pPr>
            <w:r w:rsidRPr="000E7F48">
              <w:rPr>
                <w:rFonts w:ascii="Arial" w:hAnsi="Arial" w:cs="Arial"/>
                <w:sz w:val="20"/>
                <w:szCs w:val="20"/>
              </w:rPr>
              <w:t>95%</w:t>
            </w:r>
          </w:p>
        </w:tc>
      </w:tr>
      <w:tr w:rsidR="00CC2EAC" w:rsidRPr="000E7F48" w:rsidTr="0042177B">
        <w:trPr>
          <w:jc w:val="center"/>
        </w:trPr>
        <w:tc>
          <w:tcPr>
            <w:tcW w:w="3415" w:type="dxa"/>
          </w:tcPr>
          <w:p w:rsidR="00CC2EAC" w:rsidRPr="000E7F48" w:rsidRDefault="00CC2EAC" w:rsidP="000E7F48">
            <w:pPr>
              <w:rPr>
                <w:rFonts w:ascii="Arial" w:hAnsi="Arial" w:cs="Arial"/>
                <w:sz w:val="20"/>
                <w:szCs w:val="20"/>
              </w:rPr>
            </w:pPr>
            <w:r w:rsidRPr="000E7F48">
              <w:rPr>
                <w:rFonts w:ascii="Arial" w:hAnsi="Arial" w:cs="Arial"/>
                <w:sz w:val="20"/>
                <w:szCs w:val="20"/>
              </w:rPr>
              <w:t>Percentage expenditure in accordance with facilities plan</w:t>
            </w:r>
          </w:p>
        </w:tc>
        <w:tc>
          <w:tcPr>
            <w:tcW w:w="1823" w:type="dxa"/>
          </w:tcPr>
          <w:p w:rsidR="00CC2EAC" w:rsidRPr="000E7F48" w:rsidRDefault="00CC2EAC" w:rsidP="000E7F48">
            <w:pPr>
              <w:rPr>
                <w:rFonts w:ascii="Arial" w:hAnsi="Arial" w:cs="Arial"/>
                <w:sz w:val="20"/>
                <w:szCs w:val="20"/>
              </w:rPr>
            </w:pPr>
            <w:r w:rsidRPr="000E7F48">
              <w:rPr>
                <w:rFonts w:ascii="Arial" w:hAnsi="Arial" w:cs="Arial"/>
                <w:sz w:val="20"/>
                <w:szCs w:val="20"/>
              </w:rPr>
              <w:t>102.65%</w:t>
            </w:r>
          </w:p>
        </w:tc>
        <w:tc>
          <w:tcPr>
            <w:tcW w:w="1876" w:type="dxa"/>
          </w:tcPr>
          <w:p w:rsidR="00CC2EAC" w:rsidRPr="000E7F48" w:rsidRDefault="00CC2EAC" w:rsidP="000E7F48">
            <w:pPr>
              <w:rPr>
                <w:rFonts w:ascii="Arial" w:hAnsi="Arial" w:cs="Arial"/>
                <w:sz w:val="20"/>
                <w:szCs w:val="20"/>
              </w:rPr>
            </w:pPr>
            <w:r w:rsidRPr="000E7F48">
              <w:rPr>
                <w:rFonts w:ascii="Arial" w:hAnsi="Arial" w:cs="Arial"/>
                <w:sz w:val="20"/>
                <w:szCs w:val="20"/>
              </w:rPr>
              <w:t>100%</w:t>
            </w:r>
          </w:p>
          <w:p w:rsidR="00CC2EAC" w:rsidRPr="000E7F48" w:rsidRDefault="00CC2EAC" w:rsidP="000E7F48">
            <w:pPr>
              <w:rPr>
                <w:rFonts w:ascii="Arial" w:hAnsi="Arial" w:cs="Arial"/>
                <w:sz w:val="20"/>
                <w:szCs w:val="20"/>
              </w:rPr>
            </w:pPr>
          </w:p>
        </w:tc>
        <w:tc>
          <w:tcPr>
            <w:tcW w:w="1902" w:type="dxa"/>
            <w:shd w:val="clear" w:color="auto" w:fill="F2F2F2" w:themeFill="background1" w:themeFillShade="F2"/>
          </w:tcPr>
          <w:p w:rsidR="00CC2EAC" w:rsidRPr="000E7F48" w:rsidRDefault="00CC2EAC" w:rsidP="000E7F48">
            <w:pPr>
              <w:rPr>
                <w:rFonts w:ascii="Arial" w:hAnsi="Arial" w:cs="Arial"/>
                <w:sz w:val="20"/>
                <w:szCs w:val="20"/>
              </w:rPr>
            </w:pPr>
            <w:r w:rsidRPr="000E7F48">
              <w:rPr>
                <w:rFonts w:ascii="Arial" w:hAnsi="Arial" w:cs="Arial"/>
                <w:sz w:val="20"/>
                <w:szCs w:val="20"/>
              </w:rPr>
              <w:t>100%</w:t>
            </w:r>
          </w:p>
        </w:tc>
      </w:tr>
      <w:tr w:rsidR="00CC2EAC" w:rsidRPr="000E7F48" w:rsidTr="0042177B">
        <w:trPr>
          <w:jc w:val="center"/>
        </w:trPr>
        <w:tc>
          <w:tcPr>
            <w:tcW w:w="3415" w:type="dxa"/>
          </w:tcPr>
          <w:p w:rsidR="00CC2EAC" w:rsidRPr="000E7F48" w:rsidRDefault="00CC2EAC" w:rsidP="000E7F48">
            <w:pPr>
              <w:rPr>
                <w:rFonts w:ascii="Arial" w:hAnsi="Arial" w:cs="Arial"/>
                <w:sz w:val="20"/>
                <w:szCs w:val="20"/>
              </w:rPr>
            </w:pPr>
            <w:r w:rsidRPr="000E7F48">
              <w:rPr>
                <w:rFonts w:ascii="Arial" w:hAnsi="Arial" w:cs="Arial"/>
                <w:sz w:val="20"/>
                <w:szCs w:val="20"/>
              </w:rPr>
              <w:t>Percentage compliance with DOD ICT Plan</w:t>
            </w:r>
          </w:p>
        </w:tc>
        <w:tc>
          <w:tcPr>
            <w:tcW w:w="1823" w:type="dxa"/>
          </w:tcPr>
          <w:p w:rsidR="00CC2EAC" w:rsidRPr="000E7F48" w:rsidRDefault="00CC2EAC" w:rsidP="000E7F48">
            <w:pPr>
              <w:rPr>
                <w:rFonts w:ascii="Arial" w:hAnsi="Arial" w:cs="Arial"/>
                <w:sz w:val="20"/>
                <w:szCs w:val="20"/>
              </w:rPr>
            </w:pPr>
            <w:r w:rsidRPr="000E7F48">
              <w:rPr>
                <w:rFonts w:ascii="Arial" w:hAnsi="Arial" w:cs="Arial"/>
                <w:sz w:val="20"/>
                <w:szCs w:val="20"/>
              </w:rPr>
              <w:t>45.77%</w:t>
            </w:r>
          </w:p>
        </w:tc>
        <w:tc>
          <w:tcPr>
            <w:tcW w:w="1876" w:type="dxa"/>
          </w:tcPr>
          <w:p w:rsidR="00CC2EAC" w:rsidRPr="000E7F48" w:rsidRDefault="00CC2EAC" w:rsidP="000E7F48">
            <w:pPr>
              <w:rPr>
                <w:rFonts w:ascii="Arial" w:hAnsi="Arial" w:cs="Arial"/>
                <w:sz w:val="20"/>
                <w:szCs w:val="20"/>
              </w:rPr>
            </w:pPr>
            <w:r w:rsidRPr="000E7F48">
              <w:rPr>
                <w:rFonts w:ascii="Arial" w:hAnsi="Arial" w:cs="Arial"/>
                <w:sz w:val="20"/>
                <w:szCs w:val="20"/>
              </w:rPr>
              <w:t>90%</w:t>
            </w:r>
          </w:p>
        </w:tc>
        <w:tc>
          <w:tcPr>
            <w:tcW w:w="1902" w:type="dxa"/>
            <w:shd w:val="clear" w:color="auto" w:fill="F2F2F2" w:themeFill="background1" w:themeFillShade="F2"/>
          </w:tcPr>
          <w:p w:rsidR="00CC2EAC" w:rsidRPr="000E7F48" w:rsidRDefault="00CC2EAC" w:rsidP="000E7F48">
            <w:pPr>
              <w:rPr>
                <w:rFonts w:ascii="Arial" w:hAnsi="Arial" w:cs="Arial"/>
                <w:sz w:val="20"/>
                <w:szCs w:val="20"/>
              </w:rPr>
            </w:pPr>
            <w:r w:rsidRPr="000E7F48">
              <w:rPr>
                <w:rFonts w:ascii="Arial" w:hAnsi="Arial" w:cs="Arial"/>
                <w:sz w:val="20"/>
                <w:szCs w:val="20"/>
              </w:rPr>
              <w:t>90%</w:t>
            </w:r>
          </w:p>
        </w:tc>
      </w:tr>
      <w:tr w:rsidR="00CC2EAC" w:rsidRPr="000E7F48" w:rsidTr="0042177B">
        <w:trPr>
          <w:jc w:val="center"/>
        </w:trPr>
        <w:tc>
          <w:tcPr>
            <w:tcW w:w="3415" w:type="dxa"/>
          </w:tcPr>
          <w:p w:rsidR="00CC2EAC" w:rsidRPr="000E7F48" w:rsidRDefault="00CC2EAC" w:rsidP="000E7F48">
            <w:pPr>
              <w:rPr>
                <w:rFonts w:ascii="Arial" w:hAnsi="Arial" w:cs="Arial"/>
                <w:sz w:val="20"/>
                <w:szCs w:val="20"/>
              </w:rPr>
            </w:pPr>
            <w:r w:rsidRPr="000E7F48">
              <w:rPr>
                <w:rFonts w:ascii="Arial" w:hAnsi="Arial" w:cs="Arial"/>
                <w:sz w:val="20"/>
                <w:szCs w:val="20"/>
              </w:rPr>
              <w:t>Number of crime prevention operations</w:t>
            </w:r>
          </w:p>
        </w:tc>
        <w:tc>
          <w:tcPr>
            <w:tcW w:w="1823" w:type="dxa"/>
          </w:tcPr>
          <w:p w:rsidR="00CC2EAC" w:rsidRPr="000E7F48" w:rsidRDefault="00CC2EAC" w:rsidP="000E7F48">
            <w:pPr>
              <w:rPr>
                <w:rFonts w:ascii="Arial" w:hAnsi="Arial" w:cs="Arial"/>
                <w:sz w:val="20"/>
                <w:szCs w:val="20"/>
              </w:rPr>
            </w:pPr>
            <w:r w:rsidRPr="000E7F48">
              <w:rPr>
                <w:rFonts w:ascii="Arial" w:hAnsi="Arial" w:cs="Arial"/>
                <w:sz w:val="20"/>
                <w:szCs w:val="20"/>
              </w:rPr>
              <w:t>118</w:t>
            </w:r>
          </w:p>
        </w:tc>
        <w:tc>
          <w:tcPr>
            <w:tcW w:w="1876" w:type="dxa"/>
          </w:tcPr>
          <w:p w:rsidR="00CC2EAC" w:rsidRPr="000E7F48" w:rsidRDefault="00CC2EAC" w:rsidP="000E7F48">
            <w:pPr>
              <w:rPr>
                <w:rFonts w:ascii="Arial" w:hAnsi="Arial" w:cs="Arial"/>
                <w:sz w:val="20"/>
                <w:szCs w:val="20"/>
              </w:rPr>
            </w:pPr>
            <w:r w:rsidRPr="000E7F48">
              <w:rPr>
                <w:rFonts w:ascii="Arial" w:hAnsi="Arial" w:cs="Arial"/>
                <w:sz w:val="20"/>
                <w:szCs w:val="20"/>
              </w:rPr>
              <w:t>124</w:t>
            </w:r>
          </w:p>
        </w:tc>
        <w:tc>
          <w:tcPr>
            <w:tcW w:w="1902" w:type="dxa"/>
            <w:shd w:val="clear" w:color="auto" w:fill="F2F2F2" w:themeFill="background1" w:themeFillShade="F2"/>
          </w:tcPr>
          <w:p w:rsidR="00CC2EAC" w:rsidRPr="000E7F48" w:rsidRDefault="00CC2EAC" w:rsidP="000E7F48">
            <w:pPr>
              <w:rPr>
                <w:rFonts w:ascii="Arial" w:hAnsi="Arial" w:cs="Arial"/>
                <w:sz w:val="20"/>
                <w:szCs w:val="20"/>
              </w:rPr>
            </w:pPr>
            <w:r w:rsidRPr="000E7F48">
              <w:rPr>
                <w:rFonts w:ascii="Arial" w:hAnsi="Arial" w:cs="Arial"/>
                <w:sz w:val="20"/>
                <w:szCs w:val="20"/>
              </w:rPr>
              <w:t>124</w:t>
            </w:r>
          </w:p>
        </w:tc>
      </w:tr>
      <w:tr w:rsidR="00CC2EAC" w:rsidRPr="000E7F48" w:rsidTr="0042177B">
        <w:trPr>
          <w:jc w:val="center"/>
        </w:trPr>
        <w:tc>
          <w:tcPr>
            <w:tcW w:w="3415" w:type="dxa"/>
          </w:tcPr>
          <w:p w:rsidR="00CC2EAC" w:rsidRPr="000E7F48" w:rsidRDefault="00CC2EAC" w:rsidP="000E7F48">
            <w:pPr>
              <w:rPr>
                <w:rFonts w:ascii="Arial" w:hAnsi="Arial" w:cs="Arial"/>
                <w:sz w:val="20"/>
                <w:szCs w:val="20"/>
              </w:rPr>
            </w:pPr>
            <w:r w:rsidRPr="000E7F48">
              <w:rPr>
                <w:rFonts w:ascii="Arial" w:hAnsi="Arial" w:cs="Arial"/>
                <w:sz w:val="20"/>
                <w:szCs w:val="20"/>
              </w:rPr>
              <w:t>Percentage criminal cases investigated (backlog)</w:t>
            </w:r>
          </w:p>
        </w:tc>
        <w:tc>
          <w:tcPr>
            <w:tcW w:w="1823" w:type="dxa"/>
          </w:tcPr>
          <w:p w:rsidR="00CC2EAC" w:rsidRPr="000E7F48" w:rsidRDefault="00CC2EAC" w:rsidP="000E7F48">
            <w:pPr>
              <w:rPr>
                <w:rFonts w:ascii="Arial" w:hAnsi="Arial" w:cs="Arial"/>
                <w:sz w:val="20"/>
                <w:szCs w:val="20"/>
              </w:rPr>
            </w:pPr>
            <w:r w:rsidRPr="000E7F48">
              <w:rPr>
                <w:rFonts w:ascii="Arial" w:hAnsi="Arial" w:cs="Arial"/>
                <w:sz w:val="20"/>
                <w:szCs w:val="20"/>
              </w:rPr>
              <w:t>73.97%</w:t>
            </w:r>
          </w:p>
        </w:tc>
        <w:tc>
          <w:tcPr>
            <w:tcW w:w="1876" w:type="dxa"/>
          </w:tcPr>
          <w:p w:rsidR="00CC2EAC" w:rsidRPr="000E7F48" w:rsidRDefault="00CC2EAC" w:rsidP="000E7F48">
            <w:pPr>
              <w:rPr>
                <w:rFonts w:ascii="Arial" w:hAnsi="Arial" w:cs="Arial"/>
                <w:sz w:val="20"/>
                <w:szCs w:val="20"/>
              </w:rPr>
            </w:pPr>
            <w:r w:rsidRPr="000E7F48">
              <w:rPr>
                <w:rFonts w:ascii="Arial" w:hAnsi="Arial" w:cs="Arial"/>
                <w:sz w:val="20"/>
                <w:szCs w:val="20"/>
              </w:rPr>
              <w:t>50%</w:t>
            </w:r>
          </w:p>
        </w:tc>
        <w:tc>
          <w:tcPr>
            <w:tcW w:w="1902" w:type="dxa"/>
            <w:shd w:val="clear" w:color="auto" w:fill="F2F2F2" w:themeFill="background1" w:themeFillShade="F2"/>
          </w:tcPr>
          <w:p w:rsidR="00CC2EAC" w:rsidRPr="000E7F48" w:rsidRDefault="00CC2EAC" w:rsidP="000E7F48">
            <w:pPr>
              <w:rPr>
                <w:rFonts w:ascii="Arial" w:hAnsi="Arial" w:cs="Arial"/>
                <w:sz w:val="20"/>
                <w:szCs w:val="20"/>
              </w:rPr>
            </w:pPr>
            <w:r w:rsidRPr="000E7F48">
              <w:rPr>
                <w:rFonts w:ascii="Arial" w:hAnsi="Arial" w:cs="Arial"/>
                <w:sz w:val="20"/>
                <w:szCs w:val="20"/>
              </w:rPr>
              <w:t>50%</w:t>
            </w:r>
          </w:p>
        </w:tc>
      </w:tr>
      <w:tr w:rsidR="00CC2EAC" w:rsidRPr="000E7F48" w:rsidTr="0042177B">
        <w:trPr>
          <w:jc w:val="center"/>
        </w:trPr>
        <w:tc>
          <w:tcPr>
            <w:tcW w:w="3415" w:type="dxa"/>
          </w:tcPr>
          <w:p w:rsidR="00CC2EAC" w:rsidRPr="000E7F48" w:rsidRDefault="00CC2EAC" w:rsidP="000E7F48">
            <w:pPr>
              <w:rPr>
                <w:rFonts w:ascii="Arial" w:hAnsi="Arial" w:cs="Arial"/>
                <w:sz w:val="20"/>
                <w:szCs w:val="20"/>
              </w:rPr>
            </w:pPr>
            <w:r w:rsidRPr="000E7F48">
              <w:rPr>
                <w:rFonts w:ascii="Arial" w:hAnsi="Arial" w:cs="Arial"/>
                <w:sz w:val="20"/>
                <w:szCs w:val="20"/>
              </w:rPr>
              <w:t>Percentage criminal cases investigated (in-year)</w:t>
            </w:r>
          </w:p>
        </w:tc>
        <w:tc>
          <w:tcPr>
            <w:tcW w:w="1823" w:type="dxa"/>
          </w:tcPr>
          <w:p w:rsidR="00CC2EAC" w:rsidRPr="000E7F48" w:rsidRDefault="00CC2EAC" w:rsidP="000E7F48">
            <w:pPr>
              <w:rPr>
                <w:rFonts w:ascii="Arial" w:hAnsi="Arial" w:cs="Arial"/>
                <w:sz w:val="20"/>
                <w:szCs w:val="20"/>
              </w:rPr>
            </w:pPr>
            <w:r w:rsidRPr="000E7F48">
              <w:rPr>
                <w:rFonts w:ascii="Arial" w:hAnsi="Arial" w:cs="Arial"/>
                <w:sz w:val="20"/>
                <w:szCs w:val="20"/>
              </w:rPr>
              <w:t>53.61%</w:t>
            </w:r>
          </w:p>
        </w:tc>
        <w:tc>
          <w:tcPr>
            <w:tcW w:w="1876" w:type="dxa"/>
          </w:tcPr>
          <w:p w:rsidR="00CC2EAC" w:rsidRPr="000E7F48" w:rsidRDefault="00CC2EAC" w:rsidP="000E7F48">
            <w:pPr>
              <w:rPr>
                <w:rFonts w:ascii="Arial" w:hAnsi="Arial" w:cs="Arial"/>
                <w:sz w:val="20"/>
                <w:szCs w:val="20"/>
              </w:rPr>
            </w:pPr>
            <w:r w:rsidRPr="000E7F48">
              <w:rPr>
                <w:rFonts w:ascii="Arial" w:hAnsi="Arial" w:cs="Arial"/>
                <w:sz w:val="20"/>
                <w:szCs w:val="20"/>
              </w:rPr>
              <w:t>30%</w:t>
            </w:r>
          </w:p>
        </w:tc>
        <w:tc>
          <w:tcPr>
            <w:tcW w:w="1902" w:type="dxa"/>
            <w:shd w:val="clear" w:color="auto" w:fill="F2F2F2" w:themeFill="background1" w:themeFillShade="F2"/>
          </w:tcPr>
          <w:p w:rsidR="00CC2EAC" w:rsidRPr="000E7F48" w:rsidRDefault="00CC2EAC" w:rsidP="000E7F48">
            <w:pPr>
              <w:rPr>
                <w:rFonts w:ascii="Arial" w:hAnsi="Arial" w:cs="Arial"/>
                <w:sz w:val="20"/>
                <w:szCs w:val="20"/>
              </w:rPr>
            </w:pPr>
            <w:r w:rsidRPr="000E7F48">
              <w:rPr>
                <w:rFonts w:ascii="Arial" w:hAnsi="Arial" w:cs="Arial"/>
                <w:sz w:val="20"/>
                <w:szCs w:val="20"/>
              </w:rPr>
              <w:t>30%</w:t>
            </w:r>
          </w:p>
        </w:tc>
      </w:tr>
    </w:tbl>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Table 12: Performance Indicators for Programme 8</w:t>
      </w:r>
    </w:p>
    <w:p w:rsidR="002401A6" w:rsidRPr="000E7F48" w:rsidRDefault="002401A6" w:rsidP="000E7F48">
      <w:pPr>
        <w:spacing w:after="0" w:line="240" w:lineRule="auto"/>
        <w:rPr>
          <w:rFonts w:ascii="Arial" w:eastAsia="Times New Roman" w:hAnsi="Arial" w:cs="Arial"/>
          <w:b/>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9.</w:t>
      </w:r>
      <w:r w:rsidRPr="000E7F48">
        <w:rPr>
          <w:rFonts w:ascii="Arial" w:eastAsia="Times New Roman" w:hAnsi="Arial" w:cs="Arial"/>
          <w:b/>
          <w:color w:val="000000"/>
          <w:spacing w:val="6"/>
          <w:sz w:val="20"/>
          <w:szCs w:val="20"/>
          <w:lang w:val="en-GB" w:eastAsia="en-GB"/>
        </w:rPr>
        <w:tab/>
        <w:t>COMMITTEE OBSERVATIONS</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During deliberations with the DOD on </w:t>
      </w:r>
      <w:r w:rsidR="00CC2EAC"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 xml:space="preserve"> May 202</w:t>
      </w:r>
      <w:r w:rsidR="00CC2EAC"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 Members of the PCDMV made several observations related to the budget allocation, the performance indicators and the targets set in the Strategic Plan and the APP. The following were noted:</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4466F4" w:rsidRPr="000E7F48" w:rsidRDefault="00890539" w:rsidP="000E7F48">
      <w:pPr>
        <w:pStyle w:val="ListParagraph"/>
        <w:numPr>
          <w:ilvl w:val="0"/>
          <w:numId w:val="41"/>
        </w:numPr>
        <w:rPr>
          <w:rFonts w:ascii="Arial" w:hAnsi="Arial" w:cs="Arial"/>
          <w:sz w:val="20"/>
          <w:szCs w:val="20"/>
        </w:rPr>
      </w:pPr>
      <w:r w:rsidRPr="000E7F48">
        <w:rPr>
          <w:rFonts w:ascii="Arial" w:hAnsi="Arial" w:cs="Arial"/>
          <w:color w:val="000000"/>
          <w:spacing w:val="6"/>
          <w:sz w:val="20"/>
          <w:szCs w:val="20"/>
          <w:lang w:eastAsia="en-GB"/>
        </w:rPr>
        <w:t xml:space="preserve">The Committee noted that the ability of the DOD to achieve its targets for 2023/24 </w:t>
      </w:r>
      <w:r w:rsidR="00F354B0" w:rsidRPr="000E7F48">
        <w:rPr>
          <w:rFonts w:ascii="Arial" w:hAnsi="Arial" w:cs="Arial"/>
          <w:color w:val="000000"/>
          <w:spacing w:val="6"/>
          <w:sz w:val="20"/>
          <w:szCs w:val="20"/>
          <w:lang w:eastAsia="en-GB"/>
        </w:rPr>
        <w:t xml:space="preserve">as </w:t>
      </w:r>
      <w:r w:rsidRPr="000E7F48">
        <w:rPr>
          <w:rFonts w:ascii="Arial" w:hAnsi="Arial" w:cs="Arial"/>
          <w:color w:val="000000"/>
          <w:spacing w:val="6"/>
          <w:sz w:val="20"/>
          <w:szCs w:val="20"/>
          <w:lang w:eastAsia="en-GB"/>
        </w:rPr>
        <w:t xml:space="preserve">set in the APP, is highly dependent on the availability of military platforms and hardware. However, these platforms currently have low levels of serviceability and therefore put at risk the ability of the DOD to </w:t>
      </w:r>
      <w:r w:rsidR="00B73CA3" w:rsidRPr="000E7F48">
        <w:rPr>
          <w:rFonts w:ascii="Arial" w:hAnsi="Arial" w:cs="Arial"/>
          <w:color w:val="000000"/>
          <w:spacing w:val="6"/>
          <w:sz w:val="20"/>
          <w:szCs w:val="20"/>
          <w:lang w:eastAsia="en-GB"/>
        </w:rPr>
        <w:t>achieve</w:t>
      </w:r>
      <w:r w:rsidRPr="000E7F48">
        <w:rPr>
          <w:rFonts w:ascii="Arial" w:hAnsi="Arial" w:cs="Arial"/>
          <w:color w:val="000000"/>
          <w:spacing w:val="6"/>
          <w:sz w:val="20"/>
          <w:szCs w:val="20"/>
          <w:lang w:eastAsia="en-GB"/>
        </w:rPr>
        <w:t xml:space="preserve"> its targets. For example, a large number of SA Air Force and SA Navy platforms are known to be unserviceable, which will result in these divisions not achieving the targets for sea and flying hours.</w:t>
      </w:r>
      <w:r w:rsidR="00246E58" w:rsidRPr="000E7F48">
        <w:rPr>
          <w:rFonts w:ascii="Arial" w:hAnsi="Arial" w:cs="Arial"/>
          <w:color w:val="000000"/>
          <w:spacing w:val="6"/>
          <w:sz w:val="20"/>
          <w:szCs w:val="20"/>
          <w:lang w:eastAsia="en-GB"/>
        </w:rPr>
        <w:t xml:space="preserve"> The DOD conceded that the status of prime mission </w:t>
      </w:r>
      <w:r w:rsidR="00246E58" w:rsidRPr="000E7F48">
        <w:rPr>
          <w:rFonts w:ascii="Arial" w:hAnsi="Arial" w:cs="Arial"/>
          <w:color w:val="000000"/>
          <w:spacing w:val="6"/>
          <w:sz w:val="20"/>
          <w:szCs w:val="20"/>
          <w:lang w:eastAsia="en-GB"/>
        </w:rPr>
        <w:lastRenderedPageBreak/>
        <w:t xml:space="preserve">equipment in the SANDF is of major concern and will require additional funding to </w:t>
      </w:r>
      <w:r w:rsidR="00F354B0" w:rsidRPr="000E7F48">
        <w:rPr>
          <w:rFonts w:ascii="Arial" w:hAnsi="Arial" w:cs="Arial"/>
          <w:color w:val="000000"/>
          <w:spacing w:val="6"/>
          <w:sz w:val="20"/>
          <w:szCs w:val="20"/>
          <w:lang w:eastAsia="en-GB"/>
        </w:rPr>
        <w:t xml:space="preserve">be </w:t>
      </w:r>
      <w:r w:rsidR="00246E58" w:rsidRPr="000E7F48">
        <w:rPr>
          <w:rFonts w:ascii="Arial" w:hAnsi="Arial" w:cs="Arial"/>
          <w:color w:val="000000"/>
          <w:spacing w:val="6"/>
          <w:sz w:val="20"/>
          <w:szCs w:val="20"/>
          <w:lang w:eastAsia="en-GB"/>
        </w:rPr>
        <w:t>address</w:t>
      </w:r>
      <w:r w:rsidR="00F354B0" w:rsidRPr="000E7F48">
        <w:rPr>
          <w:rFonts w:ascii="Arial" w:hAnsi="Arial" w:cs="Arial"/>
          <w:color w:val="000000"/>
          <w:spacing w:val="6"/>
          <w:sz w:val="20"/>
          <w:szCs w:val="20"/>
          <w:lang w:eastAsia="en-GB"/>
        </w:rPr>
        <w:t>ed</w:t>
      </w:r>
      <w:r w:rsidR="00246E58" w:rsidRPr="000E7F48">
        <w:rPr>
          <w:rFonts w:ascii="Arial" w:hAnsi="Arial" w:cs="Arial"/>
          <w:color w:val="000000"/>
          <w:spacing w:val="6"/>
          <w:sz w:val="20"/>
          <w:szCs w:val="20"/>
          <w:lang w:eastAsia="en-GB"/>
        </w:rPr>
        <w:t>. The 2023/24 additional allocation from National Treasury will start the process of addressing these challenges</w:t>
      </w:r>
      <w:r w:rsidR="00C56C4D" w:rsidRPr="000E7F48">
        <w:rPr>
          <w:rFonts w:ascii="Arial" w:hAnsi="Arial" w:cs="Arial"/>
          <w:color w:val="000000"/>
          <w:spacing w:val="6"/>
          <w:sz w:val="20"/>
          <w:szCs w:val="20"/>
          <w:lang w:eastAsia="en-GB"/>
        </w:rPr>
        <w:t>, but it will take at least 18 months to see the impacts of these funds on improved vessel and aircraft availability</w:t>
      </w:r>
      <w:r w:rsidR="00246E58" w:rsidRPr="000E7F48">
        <w:rPr>
          <w:rFonts w:ascii="Arial" w:hAnsi="Arial" w:cs="Arial"/>
          <w:color w:val="000000"/>
          <w:spacing w:val="6"/>
          <w:sz w:val="20"/>
          <w:szCs w:val="20"/>
          <w:lang w:eastAsia="en-GB"/>
        </w:rPr>
        <w:t xml:space="preserve">. </w:t>
      </w:r>
      <w:r w:rsidR="00033C98" w:rsidRPr="000E7F48">
        <w:rPr>
          <w:rFonts w:ascii="Arial" w:hAnsi="Arial" w:cs="Arial"/>
          <w:color w:val="000000"/>
          <w:spacing w:val="6"/>
          <w:sz w:val="20"/>
          <w:szCs w:val="20"/>
          <w:lang w:eastAsia="en-GB"/>
        </w:rPr>
        <w:t>Nonetheless, in the SA Navy, progress is made on the repair of one frigate, one submarine and the SAS Drakensberg for use in 2023/24.</w:t>
      </w:r>
    </w:p>
    <w:p w:rsidR="001E753D" w:rsidRPr="000E7F48" w:rsidRDefault="001E753D" w:rsidP="000E7F48">
      <w:pPr>
        <w:pStyle w:val="ListParagraph"/>
        <w:numPr>
          <w:ilvl w:val="0"/>
          <w:numId w:val="41"/>
        </w:numPr>
        <w:rPr>
          <w:rFonts w:ascii="Arial" w:hAnsi="Arial" w:cs="Arial"/>
          <w:sz w:val="20"/>
          <w:szCs w:val="20"/>
        </w:rPr>
      </w:pPr>
      <w:r w:rsidRPr="000E7F48">
        <w:rPr>
          <w:rFonts w:ascii="Arial" w:hAnsi="Arial" w:cs="Arial"/>
          <w:color w:val="000000"/>
          <w:spacing w:val="6"/>
          <w:sz w:val="20"/>
          <w:szCs w:val="20"/>
          <w:lang w:eastAsia="en-GB"/>
        </w:rPr>
        <w:t xml:space="preserve">In line with the observation </w:t>
      </w:r>
      <w:r w:rsidR="0033379D" w:rsidRPr="000E7F48">
        <w:rPr>
          <w:rFonts w:ascii="Arial" w:hAnsi="Arial" w:cs="Arial"/>
          <w:color w:val="000000"/>
          <w:spacing w:val="6"/>
          <w:sz w:val="20"/>
          <w:szCs w:val="20"/>
          <w:lang w:eastAsia="en-GB"/>
        </w:rPr>
        <w:t>above, the Committee requested</w:t>
      </w:r>
      <w:r w:rsidR="000976C5" w:rsidRPr="000E7F48">
        <w:rPr>
          <w:rFonts w:ascii="Arial" w:hAnsi="Arial" w:cs="Arial"/>
          <w:color w:val="000000"/>
          <w:spacing w:val="6"/>
          <w:sz w:val="20"/>
          <w:szCs w:val="20"/>
          <w:lang w:eastAsia="en-GB"/>
        </w:rPr>
        <w:t xml:space="preserve"> regular </w:t>
      </w:r>
      <w:r w:rsidRPr="000E7F48">
        <w:rPr>
          <w:rFonts w:ascii="Arial" w:hAnsi="Arial" w:cs="Arial"/>
          <w:color w:val="000000"/>
          <w:spacing w:val="6"/>
          <w:sz w:val="20"/>
          <w:szCs w:val="20"/>
          <w:lang w:eastAsia="en-GB"/>
        </w:rPr>
        <w:t>update</w:t>
      </w:r>
      <w:r w:rsidR="0033379D" w:rsidRPr="000E7F48">
        <w:rPr>
          <w:rFonts w:ascii="Arial" w:hAnsi="Arial" w:cs="Arial"/>
          <w:color w:val="000000"/>
          <w:spacing w:val="6"/>
          <w:sz w:val="20"/>
          <w:szCs w:val="20"/>
          <w:lang w:eastAsia="en-GB"/>
        </w:rPr>
        <w:t>s</w:t>
      </w:r>
      <w:r w:rsidRPr="000E7F48">
        <w:rPr>
          <w:rFonts w:ascii="Arial" w:hAnsi="Arial" w:cs="Arial"/>
          <w:color w:val="000000"/>
          <w:spacing w:val="6"/>
          <w:sz w:val="20"/>
          <w:szCs w:val="20"/>
          <w:lang w:eastAsia="en-GB"/>
        </w:rPr>
        <w:t xml:space="preserve"> on the status of the production the SA Navy’s new inshore patrol vessels under Project Biro.</w:t>
      </w:r>
    </w:p>
    <w:p w:rsidR="003D78CD" w:rsidRPr="000E7F48" w:rsidRDefault="003D78CD" w:rsidP="000E7F48">
      <w:pPr>
        <w:pStyle w:val="ListParagraph"/>
        <w:numPr>
          <w:ilvl w:val="0"/>
          <w:numId w:val="41"/>
        </w:numPr>
        <w:rPr>
          <w:rFonts w:ascii="Arial" w:hAnsi="Arial" w:cs="Arial"/>
          <w:sz w:val="20"/>
          <w:szCs w:val="20"/>
        </w:rPr>
      </w:pPr>
      <w:r w:rsidRPr="000E7F48">
        <w:rPr>
          <w:rFonts w:ascii="Arial" w:hAnsi="Arial" w:cs="Arial"/>
          <w:sz w:val="20"/>
          <w:szCs w:val="20"/>
        </w:rPr>
        <w:t>The Committee expressed concern around the fact that the position of Secretary for Defence and the DOD Chief Financial Officer (CFO) remain vacant. The Department indicated that both posts were advertised in April 2023.</w:t>
      </w:r>
    </w:p>
    <w:p w:rsidR="006409FB" w:rsidRPr="000E7F48" w:rsidRDefault="006409FB" w:rsidP="000E7F48">
      <w:pPr>
        <w:pStyle w:val="ListParagraph"/>
        <w:numPr>
          <w:ilvl w:val="0"/>
          <w:numId w:val="41"/>
        </w:numPr>
        <w:ind w:left="714" w:hanging="357"/>
        <w:rPr>
          <w:rFonts w:ascii="Arial" w:hAnsi="Arial" w:cs="Arial"/>
          <w:sz w:val="20"/>
          <w:szCs w:val="20"/>
        </w:rPr>
      </w:pPr>
      <w:r w:rsidRPr="000E7F48">
        <w:rPr>
          <w:rFonts w:ascii="Arial" w:hAnsi="Arial" w:cs="Arial"/>
          <w:sz w:val="20"/>
          <w:szCs w:val="20"/>
        </w:rPr>
        <w:t xml:space="preserve">The Committee questioned indications by the DOD that R3 billion remains in the Special Defence Account (SDA), given that the Committee was previously informed that this account would be phased out. The Committee was informed that the account remains in use for the repair and maintenance of prime mission equipment from the ring fenced funding allocated by National Treasury. </w:t>
      </w:r>
    </w:p>
    <w:p w:rsidR="00890539" w:rsidRPr="000E7F48" w:rsidRDefault="00890539" w:rsidP="000E7F48">
      <w:pPr>
        <w:pStyle w:val="ListParagraph"/>
        <w:numPr>
          <w:ilvl w:val="0"/>
          <w:numId w:val="41"/>
        </w:numPr>
        <w:rPr>
          <w:rFonts w:ascii="Arial" w:hAnsi="Arial" w:cs="Arial"/>
          <w:sz w:val="20"/>
          <w:szCs w:val="20"/>
        </w:rPr>
      </w:pPr>
      <w:r w:rsidRPr="000E7F48">
        <w:rPr>
          <w:rFonts w:ascii="Arial" w:hAnsi="Arial" w:cs="Arial"/>
          <w:sz w:val="20"/>
          <w:szCs w:val="20"/>
        </w:rPr>
        <w:t xml:space="preserve">The Committee noted the DOD’s </w:t>
      </w:r>
      <w:r w:rsidR="0017781F" w:rsidRPr="000E7F48">
        <w:rPr>
          <w:rFonts w:ascii="Arial" w:hAnsi="Arial" w:cs="Arial"/>
          <w:sz w:val="20"/>
          <w:szCs w:val="20"/>
        </w:rPr>
        <w:t>assertion</w:t>
      </w:r>
      <w:r w:rsidRPr="000E7F48">
        <w:rPr>
          <w:rFonts w:ascii="Arial" w:hAnsi="Arial" w:cs="Arial"/>
          <w:sz w:val="20"/>
          <w:szCs w:val="20"/>
        </w:rPr>
        <w:t xml:space="preserve"> that the implementation of the 2015 Defence Review </w:t>
      </w:r>
      <w:r w:rsidR="000976C5" w:rsidRPr="000E7F48">
        <w:rPr>
          <w:rFonts w:ascii="Arial" w:hAnsi="Arial" w:cs="Arial"/>
          <w:sz w:val="20"/>
          <w:szCs w:val="20"/>
        </w:rPr>
        <w:t xml:space="preserve">has regressed from Milestone 1 to </w:t>
      </w:r>
      <w:r w:rsidRPr="000E7F48">
        <w:rPr>
          <w:rFonts w:ascii="Arial" w:hAnsi="Arial" w:cs="Arial"/>
          <w:sz w:val="20"/>
          <w:szCs w:val="20"/>
        </w:rPr>
        <w:t>Milestone 0. This points to the non-implementable nature of the Defence Review in its current form. The Committee welcomed the Minister of Defence’s statement in the APP to call for a review of the 2015 Defence Review, but expressed the need for this process to be brought forward.</w:t>
      </w:r>
      <w:r w:rsidR="001A06BD" w:rsidRPr="000E7F48">
        <w:rPr>
          <w:rFonts w:ascii="Arial" w:hAnsi="Arial" w:cs="Arial"/>
          <w:sz w:val="20"/>
          <w:szCs w:val="20"/>
        </w:rPr>
        <w:t xml:space="preserve"> To this extent, the Committee noted the </w:t>
      </w:r>
      <w:r w:rsidR="0033379D" w:rsidRPr="000E7F48">
        <w:rPr>
          <w:rFonts w:ascii="Arial" w:hAnsi="Arial" w:cs="Arial"/>
          <w:sz w:val="20"/>
          <w:szCs w:val="20"/>
        </w:rPr>
        <w:t>indication by</w:t>
      </w:r>
      <w:r w:rsidR="001A06BD" w:rsidRPr="000E7F48">
        <w:rPr>
          <w:rFonts w:ascii="Arial" w:hAnsi="Arial" w:cs="Arial"/>
          <w:sz w:val="20"/>
          <w:szCs w:val="20"/>
        </w:rPr>
        <w:t xml:space="preserve"> the DOD that it is 44% underfunded, but </w:t>
      </w:r>
      <w:r w:rsidR="00DE78DF" w:rsidRPr="000E7F48">
        <w:rPr>
          <w:rFonts w:ascii="Arial" w:hAnsi="Arial" w:cs="Arial"/>
          <w:sz w:val="20"/>
          <w:szCs w:val="20"/>
        </w:rPr>
        <w:t xml:space="preserve">Members highlighted that the current APP does not address the fiscal realities and it </w:t>
      </w:r>
      <w:r w:rsidR="00F354B0" w:rsidRPr="000E7F48">
        <w:rPr>
          <w:rFonts w:ascii="Arial" w:hAnsi="Arial" w:cs="Arial"/>
          <w:sz w:val="20"/>
          <w:szCs w:val="20"/>
        </w:rPr>
        <w:t xml:space="preserve">proposes </w:t>
      </w:r>
      <w:r w:rsidR="00DE78DF" w:rsidRPr="000E7F48">
        <w:rPr>
          <w:rFonts w:ascii="Arial" w:hAnsi="Arial" w:cs="Arial"/>
          <w:sz w:val="20"/>
          <w:szCs w:val="20"/>
        </w:rPr>
        <w:t>no plans to ensure the maintenance of capabilities within current fiscal constraints.</w:t>
      </w:r>
      <w:r w:rsidR="003D78CD" w:rsidRPr="000E7F48">
        <w:rPr>
          <w:rFonts w:ascii="Arial" w:hAnsi="Arial" w:cs="Arial"/>
          <w:sz w:val="20"/>
          <w:szCs w:val="20"/>
        </w:rPr>
        <w:t xml:space="preserve"> The DOD indicated that the APP submitted reflects a resource</w:t>
      </w:r>
      <w:r w:rsidR="0033379D" w:rsidRPr="000E7F48">
        <w:rPr>
          <w:rFonts w:ascii="Arial" w:hAnsi="Arial" w:cs="Arial"/>
          <w:sz w:val="20"/>
          <w:szCs w:val="20"/>
        </w:rPr>
        <w:t>d</w:t>
      </w:r>
      <w:r w:rsidR="003D78CD" w:rsidRPr="000E7F48">
        <w:rPr>
          <w:rFonts w:ascii="Arial" w:hAnsi="Arial" w:cs="Arial"/>
          <w:sz w:val="20"/>
          <w:szCs w:val="20"/>
        </w:rPr>
        <w:t xml:space="preserve"> plan and therefore </w:t>
      </w:r>
      <w:r w:rsidR="00F354B0" w:rsidRPr="000E7F48">
        <w:rPr>
          <w:rFonts w:ascii="Arial" w:hAnsi="Arial" w:cs="Arial"/>
          <w:sz w:val="20"/>
          <w:szCs w:val="20"/>
        </w:rPr>
        <w:t xml:space="preserve">is </w:t>
      </w:r>
      <w:r w:rsidR="003D78CD" w:rsidRPr="000E7F48">
        <w:rPr>
          <w:rFonts w:ascii="Arial" w:hAnsi="Arial" w:cs="Arial"/>
          <w:sz w:val="20"/>
          <w:szCs w:val="20"/>
        </w:rPr>
        <w:t>achievable. However, the DOD also indicated that the implementation of the 2015 Defence Review is dependent on additional funding.</w:t>
      </w:r>
    </w:p>
    <w:p w:rsidR="00DE78DF" w:rsidRPr="000E7F48" w:rsidRDefault="00DE78DF" w:rsidP="000E7F48">
      <w:pPr>
        <w:pStyle w:val="ListParagraph"/>
        <w:numPr>
          <w:ilvl w:val="0"/>
          <w:numId w:val="41"/>
        </w:numPr>
        <w:rPr>
          <w:rFonts w:ascii="Arial" w:hAnsi="Arial" w:cs="Arial"/>
          <w:sz w:val="20"/>
          <w:szCs w:val="20"/>
        </w:rPr>
      </w:pPr>
      <w:r w:rsidRPr="000E7F48">
        <w:rPr>
          <w:rFonts w:ascii="Arial" w:hAnsi="Arial" w:cs="Arial"/>
          <w:sz w:val="20"/>
          <w:szCs w:val="20"/>
        </w:rPr>
        <w:t>The Committee welcomed the reduction of Compensation of Employees (CoE) as a segment of the DOD budget for 2023/24, but urged ongoing action in this regard. Specifically, Members noted the high rate of Reserve Force utilisation which will limit the DOD’s capacity to reduce CoE expenditure according to its set plans.</w:t>
      </w:r>
      <w:r w:rsidR="00243BF7" w:rsidRPr="000E7F48">
        <w:rPr>
          <w:rFonts w:ascii="Arial" w:hAnsi="Arial" w:cs="Arial"/>
          <w:sz w:val="20"/>
          <w:szCs w:val="20"/>
        </w:rPr>
        <w:t xml:space="preserve"> The </w:t>
      </w:r>
      <w:r w:rsidR="00033C98" w:rsidRPr="000E7F48">
        <w:rPr>
          <w:rFonts w:ascii="Arial" w:hAnsi="Arial" w:cs="Arial"/>
          <w:sz w:val="20"/>
          <w:szCs w:val="20"/>
        </w:rPr>
        <w:t>DOD</w:t>
      </w:r>
      <w:r w:rsidR="00243BF7" w:rsidRPr="000E7F48">
        <w:rPr>
          <w:rFonts w:ascii="Arial" w:hAnsi="Arial" w:cs="Arial"/>
          <w:sz w:val="20"/>
          <w:szCs w:val="20"/>
        </w:rPr>
        <w:t xml:space="preserve"> </w:t>
      </w:r>
      <w:r w:rsidR="00E04B5F" w:rsidRPr="000E7F48">
        <w:rPr>
          <w:rFonts w:ascii="Arial" w:hAnsi="Arial" w:cs="Arial"/>
          <w:sz w:val="20"/>
          <w:szCs w:val="20"/>
        </w:rPr>
        <w:t>noted that, with all thing being equal, they should meet the target for Reserve Force mandays, but that the historic trend has been that additional deployments are often required, which will impact on the Reserve Force utilisation.</w:t>
      </w:r>
    </w:p>
    <w:p w:rsidR="00033C98" w:rsidRPr="000E7F48" w:rsidRDefault="00033C98" w:rsidP="000E7F48">
      <w:pPr>
        <w:pStyle w:val="ListParagraph"/>
        <w:numPr>
          <w:ilvl w:val="0"/>
          <w:numId w:val="41"/>
        </w:numPr>
        <w:rPr>
          <w:rFonts w:ascii="Arial" w:hAnsi="Arial" w:cs="Arial"/>
          <w:sz w:val="20"/>
          <w:szCs w:val="20"/>
        </w:rPr>
      </w:pPr>
      <w:r w:rsidRPr="000E7F48">
        <w:rPr>
          <w:rFonts w:ascii="Arial" w:hAnsi="Arial" w:cs="Arial"/>
          <w:sz w:val="20"/>
          <w:szCs w:val="20"/>
        </w:rPr>
        <w:t xml:space="preserve">Related to high spending on CoE, the Committee also expressed concern around the high number of personnel on suspension for long periods of time without the conditions of their suspension being finalised. </w:t>
      </w:r>
      <w:r w:rsidR="008513AD" w:rsidRPr="000E7F48">
        <w:rPr>
          <w:rFonts w:ascii="Arial" w:hAnsi="Arial" w:cs="Arial"/>
          <w:sz w:val="20"/>
          <w:szCs w:val="20"/>
        </w:rPr>
        <w:t>The DOD noted that they can submit plans to deal with suspended personnel in this regard to the Committee.</w:t>
      </w:r>
    </w:p>
    <w:p w:rsidR="00DE78DF" w:rsidRPr="000E7F48" w:rsidRDefault="00DE78DF" w:rsidP="000E7F48">
      <w:pPr>
        <w:pStyle w:val="ListParagraph"/>
        <w:numPr>
          <w:ilvl w:val="0"/>
          <w:numId w:val="41"/>
        </w:numPr>
        <w:rPr>
          <w:rFonts w:ascii="Arial" w:hAnsi="Arial" w:cs="Arial"/>
          <w:sz w:val="20"/>
          <w:szCs w:val="20"/>
        </w:rPr>
      </w:pPr>
      <w:r w:rsidRPr="000E7F48">
        <w:rPr>
          <w:rFonts w:ascii="Arial" w:hAnsi="Arial" w:cs="Arial"/>
          <w:sz w:val="20"/>
          <w:szCs w:val="20"/>
        </w:rPr>
        <w:t>The increasing planned expenditure on ‘contractors’ in 2023/24 was noted as a concern by Members.</w:t>
      </w:r>
    </w:p>
    <w:p w:rsidR="00DE78DF" w:rsidRPr="000E7F48" w:rsidRDefault="00605F1E" w:rsidP="000E7F48">
      <w:pPr>
        <w:pStyle w:val="ListParagraph"/>
        <w:numPr>
          <w:ilvl w:val="0"/>
          <w:numId w:val="41"/>
        </w:numPr>
        <w:rPr>
          <w:rFonts w:ascii="Arial" w:hAnsi="Arial" w:cs="Arial"/>
          <w:sz w:val="20"/>
          <w:szCs w:val="20"/>
        </w:rPr>
      </w:pPr>
      <w:r w:rsidRPr="000E7F48">
        <w:rPr>
          <w:rFonts w:ascii="Arial" w:hAnsi="Arial" w:cs="Arial"/>
          <w:sz w:val="20"/>
          <w:szCs w:val="20"/>
        </w:rPr>
        <w:t xml:space="preserve">The Committee expressed concern around the </w:t>
      </w:r>
      <w:r w:rsidR="0033379D" w:rsidRPr="000E7F48">
        <w:rPr>
          <w:rFonts w:ascii="Arial" w:hAnsi="Arial" w:cs="Arial"/>
          <w:sz w:val="20"/>
          <w:szCs w:val="20"/>
        </w:rPr>
        <w:t>need for the</w:t>
      </w:r>
      <w:r w:rsidRPr="000E7F48">
        <w:rPr>
          <w:rFonts w:ascii="Arial" w:hAnsi="Arial" w:cs="Arial"/>
          <w:sz w:val="20"/>
          <w:szCs w:val="20"/>
        </w:rPr>
        <w:t xml:space="preserve"> DOD to make payments to the Southern African </w:t>
      </w:r>
      <w:r w:rsidR="00BE29DC" w:rsidRPr="000E7F48">
        <w:rPr>
          <w:rFonts w:ascii="Arial" w:hAnsi="Arial" w:cs="Arial"/>
          <w:sz w:val="20"/>
          <w:szCs w:val="20"/>
        </w:rPr>
        <w:t>Development</w:t>
      </w:r>
      <w:r w:rsidRPr="000E7F48">
        <w:rPr>
          <w:rFonts w:ascii="Arial" w:hAnsi="Arial" w:cs="Arial"/>
          <w:sz w:val="20"/>
          <w:szCs w:val="20"/>
        </w:rPr>
        <w:t xml:space="preserve"> Community for the mission in Mozambique and that this results in a larger portion of the SANDF’s deployment </w:t>
      </w:r>
      <w:r w:rsidR="001A062F" w:rsidRPr="000E7F48">
        <w:rPr>
          <w:rFonts w:ascii="Arial" w:hAnsi="Arial" w:cs="Arial"/>
          <w:sz w:val="20"/>
          <w:szCs w:val="20"/>
        </w:rPr>
        <w:t xml:space="preserve">in this area </w:t>
      </w:r>
      <w:r w:rsidRPr="000E7F48">
        <w:rPr>
          <w:rFonts w:ascii="Arial" w:hAnsi="Arial" w:cs="Arial"/>
          <w:sz w:val="20"/>
          <w:szCs w:val="20"/>
        </w:rPr>
        <w:t>having to be funded from within the existing defence budget.</w:t>
      </w:r>
      <w:r w:rsidR="005C69C1" w:rsidRPr="000E7F48">
        <w:rPr>
          <w:rFonts w:ascii="Arial" w:hAnsi="Arial" w:cs="Arial"/>
          <w:sz w:val="20"/>
          <w:szCs w:val="20"/>
        </w:rPr>
        <w:t xml:space="preserve"> The DOD confirmed that they are underfunded for the SANDF deployment in Mozambique and has to use internal reprioritisation </w:t>
      </w:r>
      <w:r w:rsidR="001A062F" w:rsidRPr="000E7F48">
        <w:rPr>
          <w:rFonts w:ascii="Arial" w:hAnsi="Arial" w:cs="Arial"/>
          <w:sz w:val="20"/>
          <w:szCs w:val="20"/>
        </w:rPr>
        <w:t xml:space="preserve">of its budget </w:t>
      </w:r>
      <w:r w:rsidR="005C69C1" w:rsidRPr="000E7F48">
        <w:rPr>
          <w:rFonts w:ascii="Arial" w:hAnsi="Arial" w:cs="Arial"/>
          <w:sz w:val="20"/>
          <w:szCs w:val="20"/>
        </w:rPr>
        <w:t>to fund the shortfall.</w:t>
      </w:r>
    </w:p>
    <w:p w:rsidR="00605F1E" w:rsidRPr="000E7F48" w:rsidRDefault="00605F1E" w:rsidP="000E7F48">
      <w:pPr>
        <w:pStyle w:val="ListParagraph"/>
        <w:numPr>
          <w:ilvl w:val="0"/>
          <w:numId w:val="41"/>
        </w:numPr>
        <w:rPr>
          <w:rFonts w:ascii="Arial" w:hAnsi="Arial" w:cs="Arial"/>
          <w:sz w:val="20"/>
          <w:szCs w:val="20"/>
        </w:rPr>
      </w:pPr>
      <w:r w:rsidRPr="000E7F48">
        <w:rPr>
          <w:rFonts w:ascii="Arial" w:hAnsi="Arial" w:cs="Arial"/>
          <w:sz w:val="20"/>
          <w:szCs w:val="20"/>
        </w:rPr>
        <w:t>Members expressed concern around the ongoing non-serviceability of environmentally controlled warehouses in the SANDF, despite previous recommendations by the Committee in this regard.</w:t>
      </w:r>
    </w:p>
    <w:p w:rsidR="00605F1E" w:rsidRPr="000E7F48" w:rsidRDefault="00BB3DE2" w:rsidP="000E7F48">
      <w:pPr>
        <w:pStyle w:val="ListParagraph"/>
        <w:numPr>
          <w:ilvl w:val="0"/>
          <w:numId w:val="41"/>
        </w:numPr>
        <w:rPr>
          <w:rFonts w:ascii="Arial" w:hAnsi="Arial" w:cs="Arial"/>
          <w:sz w:val="20"/>
          <w:szCs w:val="20"/>
        </w:rPr>
      </w:pPr>
      <w:r w:rsidRPr="000E7F48">
        <w:rPr>
          <w:rFonts w:ascii="Arial" w:hAnsi="Arial" w:cs="Arial"/>
          <w:sz w:val="20"/>
          <w:szCs w:val="20"/>
        </w:rPr>
        <w:t xml:space="preserve">The Committee requested clarity on the </w:t>
      </w:r>
      <w:r w:rsidR="00D01525" w:rsidRPr="000E7F48">
        <w:rPr>
          <w:rFonts w:ascii="Arial" w:hAnsi="Arial" w:cs="Arial"/>
          <w:sz w:val="20"/>
          <w:szCs w:val="20"/>
        </w:rPr>
        <w:t>status of SA Air Force platforms for</w:t>
      </w:r>
      <w:r w:rsidRPr="000E7F48">
        <w:rPr>
          <w:rFonts w:ascii="Arial" w:hAnsi="Arial" w:cs="Arial"/>
          <w:sz w:val="20"/>
          <w:szCs w:val="20"/>
        </w:rPr>
        <w:t xml:space="preserve"> the United Nations (UN) Mission in the Democratic Republic of the Congo (DRC) and the current status of reimbursements for </w:t>
      </w:r>
      <w:r w:rsidR="00D01525" w:rsidRPr="000E7F48">
        <w:rPr>
          <w:rFonts w:ascii="Arial" w:hAnsi="Arial" w:cs="Arial"/>
          <w:sz w:val="20"/>
          <w:szCs w:val="20"/>
        </w:rPr>
        <w:t>these platforms</w:t>
      </w:r>
      <w:r w:rsidRPr="000E7F48">
        <w:rPr>
          <w:rFonts w:ascii="Arial" w:hAnsi="Arial" w:cs="Arial"/>
          <w:sz w:val="20"/>
          <w:szCs w:val="20"/>
        </w:rPr>
        <w:t>.</w:t>
      </w:r>
      <w:r w:rsidR="00300175" w:rsidRPr="000E7F48">
        <w:rPr>
          <w:rFonts w:ascii="Arial" w:hAnsi="Arial" w:cs="Arial"/>
          <w:sz w:val="20"/>
          <w:szCs w:val="20"/>
        </w:rPr>
        <w:t xml:space="preserve"> </w:t>
      </w:r>
      <w:r w:rsidR="00321340" w:rsidRPr="000E7F48">
        <w:rPr>
          <w:rFonts w:ascii="Arial" w:hAnsi="Arial" w:cs="Arial"/>
          <w:sz w:val="20"/>
          <w:szCs w:val="20"/>
        </w:rPr>
        <w:t xml:space="preserve">The DOD indicated that the matter </w:t>
      </w:r>
      <w:r w:rsidR="00D01525" w:rsidRPr="000E7F48">
        <w:rPr>
          <w:rFonts w:ascii="Arial" w:hAnsi="Arial" w:cs="Arial"/>
          <w:sz w:val="20"/>
          <w:szCs w:val="20"/>
        </w:rPr>
        <w:t>is currently</w:t>
      </w:r>
      <w:r w:rsidR="00321340" w:rsidRPr="000E7F48">
        <w:rPr>
          <w:rFonts w:ascii="Arial" w:hAnsi="Arial" w:cs="Arial"/>
          <w:sz w:val="20"/>
          <w:szCs w:val="20"/>
        </w:rPr>
        <w:t xml:space="preserve"> before the Military Command Council for </w:t>
      </w:r>
      <w:r w:rsidR="0033379D" w:rsidRPr="000E7F48">
        <w:rPr>
          <w:rFonts w:ascii="Arial" w:hAnsi="Arial" w:cs="Arial"/>
          <w:sz w:val="20"/>
          <w:szCs w:val="20"/>
        </w:rPr>
        <w:t>deliberation</w:t>
      </w:r>
      <w:r w:rsidR="00321340" w:rsidRPr="000E7F48">
        <w:rPr>
          <w:rFonts w:ascii="Arial" w:hAnsi="Arial" w:cs="Arial"/>
          <w:sz w:val="20"/>
          <w:szCs w:val="20"/>
        </w:rPr>
        <w:t>.</w:t>
      </w:r>
    </w:p>
    <w:p w:rsidR="00BB3DE2" w:rsidRPr="000E7F48" w:rsidRDefault="00BB3DE2" w:rsidP="000E7F48">
      <w:pPr>
        <w:pStyle w:val="ListParagraph"/>
        <w:numPr>
          <w:ilvl w:val="0"/>
          <w:numId w:val="41"/>
        </w:numPr>
        <w:rPr>
          <w:rFonts w:ascii="Arial" w:hAnsi="Arial" w:cs="Arial"/>
          <w:sz w:val="20"/>
          <w:szCs w:val="20"/>
        </w:rPr>
      </w:pPr>
      <w:r w:rsidRPr="000E7F48">
        <w:rPr>
          <w:rFonts w:ascii="Arial" w:hAnsi="Arial" w:cs="Arial"/>
          <w:sz w:val="20"/>
          <w:szCs w:val="20"/>
        </w:rPr>
        <w:t xml:space="preserve">The Committee noted the intention of the DOD to table the Military Discipline Bill in 2023/24 and stated that this Bill will not be able to </w:t>
      </w:r>
      <w:r w:rsidR="000B6871" w:rsidRPr="000E7F48">
        <w:rPr>
          <w:rFonts w:ascii="Arial" w:hAnsi="Arial" w:cs="Arial"/>
          <w:sz w:val="20"/>
          <w:szCs w:val="20"/>
        </w:rPr>
        <w:t>be processed in the current parliamentary term.</w:t>
      </w:r>
    </w:p>
    <w:p w:rsidR="00890539" w:rsidRPr="000E7F48" w:rsidRDefault="001E753D" w:rsidP="000E7F48">
      <w:pPr>
        <w:pStyle w:val="ListParagraph"/>
        <w:numPr>
          <w:ilvl w:val="0"/>
          <w:numId w:val="41"/>
        </w:numPr>
        <w:rPr>
          <w:rFonts w:ascii="Arial" w:hAnsi="Arial" w:cs="Arial"/>
          <w:sz w:val="20"/>
          <w:szCs w:val="20"/>
        </w:rPr>
      </w:pPr>
      <w:r w:rsidRPr="000E7F48">
        <w:rPr>
          <w:rFonts w:ascii="Arial" w:hAnsi="Arial" w:cs="Arial"/>
          <w:sz w:val="20"/>
          <w:szCs w:val="20"/>
        </w:rPr>
        <w:t xml:space="preserve">The Committee expressed concern that the APP made </w:t>
      </w:r>
      <w:r w:rsidR="00AE1182" w:rsidRPr="000E7F48">
        <w:rPr>
          <w:rFonts w:ascii="Arial" w:hAnsi="Arial" w:cs="Arial"/>
          <w:sz w:val="20"/>
          <w:szCs w:val="20"/>
        </w:rPr>
        <w:t>inadequate</w:t>
      </w:r>
      <w:r w:rsidRPr="000E7F48">
        <w:rPr>
          <w:rFonts w:ascii="Arial" w:hAnsi="Arial" w:cs="Arial"/>
          <w:sz w:val="20"/>
          <w:szCs w:val="20"/>
        </w:rPr>
        <w:t xml:space="preserve"> reference to the use of technology as a force multiplier for SANDF missions.</w:t>
      </w:r>
    </w:p>
    <w:p w:rsidR="00890539" w:rsidRPr="000E7F48" w:rsidRDefault="00890539" w:rsidP="000E7F48">
      <w:pPr>
        <w:pStyle w:val="ListParagraph"/>
        <w:rPr>
          <w:rFonts w:ascii="Arial" w:hAnsi="Arial" w:cs="Arial"/>
          <w:sz w:val="20"/>
          <w:szCs w:val="20"/>
        </w:rPr>
      </w:pPr>
    </w:p>
    <w:p w:rsidR="00194FC2" w:rsidRPr="000E7F48" w:rsidRDefault="00194FC2" w:rsidP="000E7F48">
      <w:pPr>
        <w:spacing w:after="0" w:line="240" w:lineRule="auto"/>
        <w:rPr>
          <w:rFonts w:ascii="Arial" w:eastAsia="Times New Roman" w:hAnsi="Arial" w:cs="Arial"/>
          <w:b/>
          <w:color w:val="000000"/>
          <w:spacing w:val="6"/>
          <w:sz w:val="20"/>
          <w:szCs w:val="20"/>
          <w:lang w:val="en-GB" w:eastAsia="en-GB"/>
        </w:rPr>
      </w:pPr>
      <w:r w:rsidRPr="000E7F48">
        <w:rPr>
          <w:rFonts w:ascii="Arial" w:eastAsia="Times New Roman" w:hAnsi="Arial" w:cs="Arial"/>
          <w:b/>
          <w:color w:val="000000"/>
          <w:spacing w:val="6"/>
          <w:sz w:val="20"/>
          <w:szCs w:val="20"/>
          <w:lang w:val="en-GB" w:eastAsia="en-GB"/>
        </w:rPr>
        <w:t>10.</w:t>
      </w:r>
      <w:r w:rsidRPr="000E7F48">
        <w:rPr>
          <w:rFonts w:ascii="Arial" w:eastAsia="Times New Roman" w:hAnsi="Arial" w:cs="Arial"/>
          <w:b/>
          <w:color w:val="000000"/>
          <w:spacing w:val="6"/>
          <w:sz w:val="20"/>
          <w:szCs w:val="20"/>
          <w:lang w:val="en-GB" w:eastAsia="en-GB"/>
        </w:rPr>
        <w:tab/>
        <w:t>RECOMMENDATIONS</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PCDMV identified the following areas that will be subject to monitoring by the Committee throughout the 202</w:t>
      </w:r>
      <w:r w:rsidR="00CD34FF" w:rsidRPr="000E7F48">
        <w:rPr>
          <w:rFonts w:ascii="Arial" w:eastAsia="Times New Roman" w:hAnsi="Arial" w:cs="Arial"/>
          <w:color w:val="000000"/>
          <w:spacing w:val="6"/>
          <w:sz w:val="20"/>
          <w:szCs w:val="20"/>
          <w:lang w:val="en-GB" w:eastAsia="en-GB"/>
        </w:rPr>
        <w:t>3</w:t>
      </w:r>
      <w:r w:rsidRPr="000E7F48">
        <w:rPr>
          <w:rFonts w:ascii="Arial" w:eastAsia="Times New Roman" w:hAnsi="Arial" w:cs="Arial"/>
          <w:color w:val="000000"/>
          <w:spacing w:val="6"/>
          <w:sz w:val="20"/>
          <w:szCs w:val="20"/>
          <w:lang w:val="en-GB" w:eastAsia="en-GB"/>
        </w:rPr>
        <w:t>/2</w:t>
      </w:r>
      <w:r w:rsidR="00CD34FF" w:rsidRPr="000E7F48">
        <w:rPr>
          <w:rFonts w:ascii="Arial" w:eastAsia="Times New Roman" w:hAnsi="Arial" w:cs="Arial"/>
          <w:color w:val="000000"/>
          <w:spacing w:val="6"/>
          <w:sz w:val="20"/>
          <w:szCs w:val="20"/>
          <w:lang w:val="en-GB" w:eastAsia="en-GB"/>
        </w:rPr>
        <w:t>4</w:t>
      </w:r>
      <w:r w:rsidRPr="000E7F48">
        <w:rPr>
          <w:rFonts w:ascii="Arial" w:eastAsia="Times New Roman" w:hAnsi="Arial" w:cs="Arial"/>
          <w:color w:val="000000"/>
          <w:spacing w:val="6"/>
          <w:sz w:val="20"/>
          <w:szCs w:val="20"/>
          <w:lang w:val="en-GB" w:eastAsia="en-GB"/>
        </w:rPr>
        <w:t xml:space="preserve"> financial year:</w:t>
      </w: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p>
    <w:p w:rsidR="00985BB6" w:rsidRPr="000E7F48" w:rsidRDefault="000E4B38" w:rsidP="000E7F48">
      <w:pPr>
        <w:pStyle w:val="ListParagraph"/>
        <w:numPr>
          <w:ilvl w:val="0"/>
          <w:numId w:val="43"/>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The </w:t>
      </w:r>
      <w:r w:rsidR="00BD634F" w:rsidRPr="000E7F48">
        <w:rPr>
          <w:rFonts w:ascii="Arial" w:hAnsi="Arial" w:cs="Arial"/>
          <w:color w:val="000000"/>
          <w:spacing w:val="6"/>
          <w:sz w:val="20"/>
          <w:szCs w:val="20"/>
          <w:lang w:eastAsia="en-GB"/>
        </w:rPr>
        <w:t xml:space="preserve">Committee noted the statement by the DOD that there is misalignment between the requirements set in the Estimates of National Expenditure and more realistic requirements </w:t>
      </w:r>
      <w:r w:rsidR="00BD634F" w:rsidRPr="000E7F48">
        <w:rPr>
          <w:rFonts w:ascii="Arial" w:hAnsi="Arial" w:cs="Arial"/>
          <w:color w:val="000000"/>
          <w:spacing w:val="6"/>
          <w:sz w:val="20"/>
          <w:szCs w:val="20"/>
          <w:lang w:eastAsia="en-GB"/>
        </w:rPr>
        <w:lastRenderedPageBreak/>
        <w:t>posted in the APP. The Committee encourages the DOD to ensure that it achieves the targets it set for itself in the APP, which it claims is an achievable plan within the current fiscal context. The Committee will track performance in this regard on a quarterly basis.</w:t>
      </w:r>
    </w:p>
    <w:p w:rsidR="00BD634F" w:rsidRPr="000E7F48" w:rsidRDefault="00BD634F" w:rsidP="000E7F48">
      <w:pPr>
        <w:pStyle w:val="ListParagraph"/>
        <w:numPr>
          <w:ilvl w:val="0"/>
          <w:numId w:val="43"/>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The DOD is encouraged to urgently ensure permanent appointments in the positions of </w:t>
      </w:r>
      <w:r w:rsidRPr="000E7F48">
        <w:rPr>
          <w:rFonts w:ascii="Arial" w:hAnsi="Arial" w:cs="Arial"/>
          <w:color w:val="000000"/>
          <w:spacing w:val="6"/>
          <w:sz w:val="20"/>
          <w:szCs w:val="20"/>
          <w:lang w:val="en-ZA" w:eastAsia="en-GB"/>
        </w:rPr>
        <w:t>Secretary for Defence and the DOD Chief Financial Officer.</w:t>
      </w:r>
    </w:p>
    <w:p w:rsidR="00BD634F" w:rsidRPr="000E7F48" w:rsidRDefault="00BD634F" w:rsidP="000E7F48">
      <w:pPr>
        <w:pStyle w:val="ListParagraph"/>
        <w:numPr>
          <w:ilvl w:val="0"/>
          <w:numId w:val="43"/>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The Committee welcomes the commitment from the Minister of Defence for a review of the 2015 Defence Review to be completed in 2023/24</w:t>
      </w:r>
      <w:r w:rsidR="00AE1182" w:rsidRPr="000E7F48">
        <w:rPr>
          <w:rFonts w:ascii="Arial" w:hAnsi="Arial" w:cs="Arial"/>
          <w:color w:val="000000"/>
          <w:spacing w:val="6"/>
          <w:sz w:val="20"/>
          <w:szCs w:val="20"/>
          <w:lang w:eastAsia="en-GB"/>
        </w:rPr>
        <w:t xml:space="preserve"> and the DOD should report on progress to the Committee on a quarterly basis</w:t>
      </w:r>
      <w:r w:rsidR="0033379D" w:rsidRPr="000E7F48">
        <w:rPr>
          <w:rFonts w:ascii="Arial" w:hAnsi="Arial" w:cs="Arial"/>
          <w:color w:val="000000"/>
          <w:spacing w:val="6"/>
          <w:sz w:val="20"/>
          <w:szCs w:val="20"/>
          <w:lang w:eastAsia="en-GB"/>
        </w:rPr>
        <w:t>.</w:t>
      </w:r>
      <w:r w:rsidRPr="000E7F48">
        <w:rPr>
          <w:rFonts w:ascii="Arial" w:hAnsi="Arial" w:cs="Arial"/>
          <w:color w:val="000000"/>
          <w:spacing w:val="6"/>
          <w:sz w:val="20"/>
          <w:szCs w:val="20"/>
          <w:lang w:eastAsia="en-GB"/>
        </w:rPr>
        <w:t xml:space="preserve"> </w:t>
      </w:r>
    </w:p>
    <w:p w:rsidR="00BE0540" w:rsidRPr="000E7F48" w:rsidRDefault="00BD634F" w:rsidP="000E7F48">
      <w:pPr>
        <w:pStyle w:val="ListParagraph"/>
        <w:numPr>
          <w:ilvl w:val="0"/>
          <w:numId w:val="43"/>
        </w:numPr>
        <w:rPr>
          <w:rFonts w:ascii="Arial" w:hAnsi="Arial" w:cs="Arial"/>
          <w:spacing w:val="6"/>
          <w:sz w:val="20"/>
          <w:szCs w:val="20"/>
          <w:lang w:eastAsia="en-GB"/>
        </w:rPr>
      </w:pPr>
      <w:r w:rsidRPr="000E7F48">
        <w:rPr>
          <w:rFonts w:ascii="Arial" w:hAnsi="Arial" w:cs="Arial"/>
          <w:color w:val="000000"/>
          <w:spacing w:val="6"/>
          <w:sz w:val="20"/>
          <w:szCs w:val="20"/>
          <w:lang w:eastAsia="en-GB"/>
        </w:rPr>
        <w:t xml:space="preserve">The Committee notes that, historically, additional deployment requirements have meant an increased use of Reserve Force mandays and that this is likely to repeat itself in 2023/24, impacting on the DOD’s ability to cut down on mandays as planned. </w:t>
      </w:r>
      <w:r w:rsidRPr="000E7F48">
        <w:rPr>
          <w:rFonts w:ascii="Arial" w:hAnsi="Arial" w:cs="Arial"/>
          <w:spacing w:val="6"/>
          <w:sz w:val="20"/>
          <w:szCs w:val="20"/>
          <w:lang w:eastAsia="en-GB"/>
        </w:rPr>
        <w:t>The</w:t>
      </w:r>
      <w:r w:rsidRPr="000E7F48">
        <w:rPr>
          <w:rFonts w:ascii="Arial" w:hAnsi="Arial" w:cs="Arial"/>
          <w:color w:val="000000"/>
          <w:spacing w:val="6"/>
          <w:sz w:val="20"/>
          <w:szCs w:val="20"/>
          <w:lang w:eastAsia="en-GB"/>
        </w:rPr>
        <w:t xml:space="preserve"> </w:t>
      </w:r>
      <w:r w:rsidRPr="000E7F48">
        <w:rPr>
          <w:rFonts w:ascii="Arial" w:hAnsi="Arial" w:cs="Arial"/>
          <w:spacing w:val="6"/>
          <w:sz w:val="20"/>
          <w:szCs w:val="20"/>
          <w:lang w:eastAsia="en-GB"/>
        </w:rPr>
        <w:t>Committee will engage National Treasury on this matter and to find funding solutions to ad hoc deployments.</w:t>
      </w:r>
    </w:p>
    <w:p w:rsidR="00BE0540" w:rsidRPr="000E7F48" w:rsidRDefault="00BD634F" w:rsidP="000E7F48">
      <w:pPr>
        <w:pStyle w:val="ListParagraph"/>
        <w:numPr>
          <w:ilvl w:val="0"/>
          <w:numId w:val="43"/>
        </w:numPr>
        <w:rPr>
          <w:rFonts w:ascii="Arial" w:hAnsi="Arial" w:cs="Arial"/>
          <w:spacing w:val="6"/>
          <w:sz w:val="20"/>
          <w:szCs w:val="20"/>
          <w:lang w:eastAsia="en-GB"/>
        </w:rPr>
      </w:pPr>
      <w:r w:rsidRPr="000E7F48">
        <w:rPr>
          <w:rFonts w:ascii="Arial" w:hAnsi="Arial" w:cs="Arial"/>
          <w:spacing w:val="6"/>
          <w:sz w:val="20"/>
          <w:szCs w:val="20"/>
          <w:lang w:eastAsia="en-GB"/>
        </w:rPr>
        <w:t xml:space="preserve">The Committee will engage National Treasury on the shortfall in funding of the SANDF’s deployment in Mozambique which </w:t>
      </w:r>
      <w:r w:rsidR="0033379D" w:rsidRPr="000E7F48">
        <w:rPr>
          <w:rFonts w:ascii="Arial" w:hAnsi="Arial" w:cs="Arial"/>
          <w:spacing w:val="6"/>
          <w:sz w:val="20"/>
          <w:szCs w:val="20"/>
          <w:lang w:eastAsia="en-GB"/>
        </w:rPr>
        <w:t xml:space="preserve">the DOD indicated </w:t>
      </w:r>
      <w:r w:rsidR="00E93E44" w:rsidRPr="000E7F48">
        <w:rPr>
          <w:rFonts w:ascii="Arial" w:hAnsi="Arial" w:cs="Arial"/>
          <w:spacing w:val="6"/>
          <w:sz w:val="20"/>
          <w:szCs w:val="20"/>
          <w:lang w:eastAsia="en-GB"/>
        </w:rPr>
        <w:t xml:space="preserve">must be </w:t>
      </w:r>
      <w:r w:rsidR="0017781F" w:rsidRPr="000E7F48">
        <w:rPr>
          <w:rFonts w:ascii="Arial" w:hAnsi="Arial" w:cs="Arial"/>
          <w:spacing w:val="6"/>
          <w:sz w:val="20"/>
          <w:szCs w:val="20"/>
          <w:lang w:eastAsia="en-GB"/>
        </w:rPr>
        <w:t xml:space="preserve">partly </w:t>
      </w:r>
      <w:r w:rsidRPr="000E7F48">
        <w:rPr>
          <w:rFonts w:ascii="Arial" w:hAnsi="Arial" w:cs="Arial"/>
          <w:spacing w:val="6"/>
          <w:sz w:val="20"/>
          <w:szCs w:val="20"/>
          <w:lang w:eastAsia="en-GB"/>
        </w:rPr>
        <w:t>funded through internal reprioritisation.</w:t>
      </w:r>
    </w:p>
    <w:p w:rsidR="00BE0540" w:rsidRPr="000E7F48" w:rsidRDefault="00BE0553" w:rsidP="000E7F48">
      <w:pPr>
        <w:pStyle w:val="ListParagraph"/>
        <w:numPr>
          <w:ilvl w:val="0"/>
          <w:numId w:val="43"/>
        </w:numPr>
        <w:rPr>
          <w:rFonts w:ascii="Arial" w:hAnsi="Arial" w:cs="Arial"/>
          <w:spacing w:val="6"/>
          <w:sz w:val="20"/>
          <w:szCs w:val="20"/>
          <w:lang w:eastAsia="en-GB"/>
        </w:rPr>
      </w:pPr>
      <w:r w:rsidRPr="000E7F48">
        <w:rPr>
          <w:rFonts w:ascii="Arial" w:hAnsi="Arial" w:cs="Arial"/>
          <w:color w:val="000000"/>
          <w:spacing w:val="6"/>
          <w:sz w:val="20"/>
          <w:szCs w:val="20"/>
          <w:lang w:eastAsia="en-GB"/>
        </w:rPr>
        <w:t xml:space="preserve">The Committee notes efforts by the DOD to reprioritise funds </w:t>
      </w:r>
      <w:r w:rsidR="00931A83" w:rsidRPr="000E7F48">
        <w:rPr>
          <w:rFonts w:ascii="Arial" w:hAnsi="Arial" w:cs="Arial"/>
          <w:color w:val="000000"/>
          <w:spacing w:val="6"/>
          <w:sz w:val="20"/>
          <w:szCs w:val="20"/>
          <w:lang w:eastAsia="en-GB"/>
        </w:rPr>
        <w:t>in-year</w:t>
      </w:r>
      <w:r w:rsidRPr="000E7F48">
        <w:rPr>
          <w:rFonts w:ascii="Arial" w:hAnsi="Arial" w:cs="Arial"/>
          <w:color w:val="000000"/>
          <w:spacing w:val="6"/>
          <w:sz w:val="20"/>
          <w:szCs w:val="20"/>
          <w:lang w:eastAsia="en-GB"/>
        </w:rPr>
        <w:t xml:space="preserve">, but it maintains that further scope to cut unnecessary costs remain, for example in relation to the use of </w:t>
      </w:r>
      <w:r w:rsidR="00297538" w:rsidRPr="000E7F48">
        <w:rPr>
          <w:rFonts w:ascii="Arial" w:hAnsi="Arial" w:cs="Arial"/>
          <w:color w:val="000000"/>
          <w:spacing w:val="6"/>
          <w:sz w:val="20"/>
          <w:szCs w:val="20"/>
          <w:lang w:eastAsia="en-GB"/>
        </w:rPr>
        <w:t>C</w:t>
      </w:r>
      <w:r w:rsidRPr="000E7F48">
        <w:rPr>
          <w:rFonts w:ascii="Arial" w:hAnsi="Arial" w:cs="Arial"/>
          <w:color w:val="000000"/>
          <w:spacing w:val="6"/>
          <w:sz w:val="20"/>
          <w:szCs w:val="20"/>
          <w:lang w:eastAsia="en-GB"/>
        </w:rPr>
        <w:t>ontractors and high expenditure on Travel and Subsistence. The DOD should revisit some of these expenditure items to ensure that funds are rather reprioritised for key military functions such as prime-mission equipment maintenance.</w:t>
      </w:r>
    </w:p>
    <w:p w:rsidR="00BE0540" w:rsidRPr="000E7F48" w:rsidRDefault="008266F1" w:rsidP="000E7F48">
      <w:pPr>
        <w:pStyle w:val="ListParagraph"/>
        <w:numPr>
          <w:ilvl w:val="0"/>
          <w:numId w:val="43"/>
        </w:numPr>
        <w:rPr>
          <w:rFonts w:ascii="Arial" w:hAnsi="Arial" w:cs="Arial"/>
          <w:spacing w:val="6"/>
          <w:sz w:val="20"/>
          <w:szCs w:val="20"/>
          <w:lang w:eastAsia="en-GB"/>
        </w:rPr>
      </w:pPr>
      <w:r w:rsidRPr="000E7F48">
        <w:rPr>
          <w:rFonts w:ascii="Arial" w:hAnsi="Arial" w:cs="Arial"/>
          <w:sz w:val="20"/>
          <w:szCs w:val="20"/>
          <w:lang w:val="en-US"/>
        </w:rPr>
        <w:t>The Committee expresses its concern to Cabinet around the</w:t>
      </w:r>
      <w:r w:rsidR="00BC5B48" w:rsidRPr="000E7F48">
        <w:rPr>
          <w:rFonts w:ascii="Arial" w:hAnsi="Arial" w:cs="Arial"/>
          <w:sz w:val="20"/>
          <w:szCs w:val="20"/>
          <w:lang w:val="en-US"/>
        </w:rPr>
        <w:t xml:space="preserve"> inadequate </w:t>
      </w:r>
      <w:r w:rsidR="00AE1182" w:rsidRPr="000E7F48">
        <w:rPr>
          <w:rFonts w:ascii="Arial" w:hAnsi="Arial" w:cs="Arial"/>
          <w:sz w:val="20"/>
          <w:szCs w:val="20"/>
          <w:lang w:val="en-US"/>
        </w:rPr>
        <w:t>budgetary allocation of the DOD and, specifically, the</w:t>
      </w:r>
      <w:r w:rsidRPr="000E7F48">
        <w:rPr>
          <w:rFonts w:ascii="Arial" w:hAnsi="Arial" w:cs="Arial"/>
          <w:sz w:val="20"/>
          <w:szCs w:val="20"/>
          <w:lang w:val="en-US"/>
        </w:rPr>
        <w:t xml:space="preserve"> impact of its previous decisions on the implementation of a CoE ceiling. The ceiling remains largely </w:t>
      </w:r>
      <w:r w:rsidR="00040DDC" w:rsidRPr="000E7F48">
        <w:rPr>
          <w:rFonts w:ascii="Arial" w:hAnsi="Arial" w:cs="Arial"/>
          <w:sz w:val="20"/>
          <w:szCs w:val="20"/>
          <w:lang w:val="en-US"/>
        </w:rPr>
        <w:t>un-</w:t>
      </w:r>
      <w:r w:rsidRPr="000E7F48">
        <w:rPr>
          <w:rFonts w:ascii="Arial" w:hAnsi="Arial" w:cs="Arial"/>
          <w:sz w:val="20"/>
          <w:szCs w:val="20"/>
          <w:lang w:val="en-US"/>
        </w:rPr>
        <w:t xml:space="preserve">implementable, contributes to irregular expenditure and impacts heavily on the country’s defence capabilities. </w:t>
      </w:r>
      <w:r w:rsidR="00DF11BB" w:rsidRPr="000E7F48">
        <w:rPr>
          <w:rFonts w:ascii="Arial" w:hAnsi="Arial" w:cs="Arial"/>
          <w:sz w:val="20"/>
          <w:szCs w:val="20"/>
          <w:lang w:val="en-US"/>
        </w:rPr>
        <w:t xml:space="preserve">Of specific concern is that this ceiling limits the ability of the SANDF to recruit annually for both the Regular and Reserve Force. </w:t>
      </w:r>
      <w:r w:rsidRPr="000E7F48">
        <w:rPr>
          <w:rFonts w:ascii="Arial" w:hAnsi="Arial" w:cs="Arial"/>
          <w:sz w:val="20"/>
          <w:szCs w:val="20"/>
          <w:lang w:val="en-US"/>
        </w:rPr>
        <w:t>Consideration should be given to re-evaluate the ceiling, along with internal DOD interventions such as the development and implementation of a Human Resources Rejuvenation Strategy.</w:t>
      </w:r>
    </w:p>
    <w:p w:rsidR="00BE0540" w:rsidRPr="000E7F48" w:rsidRDefault="008266F1" w:rsidP="000E7F48">
      <w:pPr>
        <w:pStyle w:val="ListParagraph"/>
        <w:numPr>
          <w:ilvl w:val="0"/>
          <w:numId w:val="43"/>
        </w:numPr>
        <w:rPr>
          <w:rFonts w:ascii="Arial" w:hAnsi="Arial" w:cs="Arial"/>
          <w:spacing w:val="6"/>
          <w:sz w:val="20"/>
          <w:szCs w:val="20"/>
          <w:lang w:eastAsia="en-GB"/>
        </w:rPr>
      </w:pPr>
      <w:r w:rsidRPr="000E7F48">
        <w:rPr>
          <w:rFonts w:ascii="Arial" w:hAnsi="Arial" w:cs="Arial"/>
          <w:sz w:val="20"/>
          <w:szCs w:val="20"/>
          <w:lang w:val="en-US"/>
        </w:rPr>
        <w:t xml:space="preserve">The DOD should prioritise the development </w:t>
      </w:r>
      <w:r w:rsidR="00BC5B48" w:rsidRPr="000E7F48">
        <w:rPr>
          <w:rFonts w:ascii="Arial" w:hAnsi="Arial" w:cs="Arial"/>
          <w:sz w:val="20"/>
          <w:szCs w:val="20"/>
          <w:lang w:val="en-US"/>
        </w:rPr>
        <w:t xml:space="preserve">and implementation </w:t>
      </w:r>
      <w:r w:rsidRPr="000E7F48">
        <w:rPr>
          <w:rFonts w:ascii="Arial" w:hAnsi="Arial" w:cs="Arial"/>
          <w:sz w:val="20"/>
          <w:szCs w:val="20"/>
          <w:lang w:val="en-US"/>
        </w:rPr>
        <w:t xml:space="preserve">of its Human Resources Rejuvenation Strategy, separate to that of an exit mechanism strategy, to ensure an overall younger and deployable Force. This may require a system that allows for soldiers to be exited at different levels and a revision of the concept of ‘soldier for life’. </w:t>
      </w:r>
    </w:p>
    <w:p w:rsidR="00BE0540" w:rsidRPr="000E7F48" w:rsidRDefault="008266F1" w:rsidP="000E7F48">
      <w:pPr>
        <w:pStyle w:val="ListParagraph"/>
        <w:numPr>
          <w:ilvl w:val="0"/>
          <w:numId w:val="43"/>
        </w:numPr>
        <w:rPr>
          <w:rFonts w:ascii="Arial" w:hAnsi="Arial" w:cs="Arial"/>
          <w:spacing w:val="6"/>
          <w:sz w:val="20"/>
          <w:szCs w:val="20"/>
          <w:lang w:eastAsia="en-GB"/>
        </w:rPr>
      </w:pPr>
      <w:r w:rsidRPr="000E7F48">
        <w:rPr>
          <w:rFonts w:ascii="Arial" w:hAnsi="Arial" w:cs="Arial"/>
          <w:sz w:val="20"/>
          <w:szCs w:val="20"/>
          <w:lang w:val="en-US"/>
        </w:rPr>
        <w:t xml:space="preserve">The Committee instructs the DOD and National Treasury to meet on finding a feasible way forward in dealing with the matter of CoE expenditure, continued irregular expenditure in this regard and the non-sustainability of the CoE ceilings imposed by National Treasury as a result of Cabinet decisions. The Committee will call the DOD and National Treasury to report back on its engagement in in the third quarter of 2023. </w:t>
      </w:r>
    </w:p>
    <w:p w:rsidR="008266F1" w:rsidRPr="000E7F48" w:rsidRDefault="008266F1" w:rsidP="000E7F48">
      <w:pPr>
        <w:pStyle w:val="ListParagraph"/>
        <w:numPr>
          <w:ilvl w:val="0"/>
          <w:numId w:val="43"/>
        </w:numPr>
        <w:rPr>
          <w:rFonts w:ascii="Arial" w:hAnsi="Arial" w:cs="Arial"/>
          <w:spacing w:val="6"/>
          <w:sz w:val="20"/>
          <w:szCs w:val="20"/>
          <w:lang w:eastAsia="en-GB"/>
        </w:rPr>
      </w:pPr>
      <w:r w:rsidRPr="000E7F48">
        <w:rPr>
          <w:rFonts w:ascii="Arial" w:hAnsi="Arial" w:cs="Arial"/>
          <w:sz w:val="20"/>
          <w:szCs w:val="20"/>
          <w:lang w:val="en-US"/>
        </w:rPr>
        <w:t>The DOD should give consideration to the potential area</w:t>
      </w:r>
      <w:r w:rsidR="00EF4BFF" w:rsidRPr="000E7F48">
        <w:rPr>
          <w:rFonts w:ascii="Arial" w:hAnsi="Arial" w:cs="Arial"/>
          <w:sz w:val="20"/>
          <w:szCs w:val="20"/>
          <w:lang w:val="en-US"/>
        </w:rPr>
        <w:t>s</w:t>
      </w:r>
      <w:r w:rsidRPr="000E7F48">
        <w:rPr>
          <w:rFonts w:ascii="Arial" w:hAnsi="Arial" w:cs="Arial"/>
          <w:sz w:val="20"/>
          <w:szCs w:val="20"/>
          <w:lang w:val="en-US"/>
        </w:rPr>
        <w:t xml:space="preserve"> for expenditure optimisation identified by National Treasury and report back to Parliament on the feasibility of implementing these measures.</w:t>
      </w:r>
    </w:p>
    <w:p w:rsidR="00BD634F" w:rsidRPr="000E7F48" w:rsidRDefault="00BD634F" w:rsidP="000E7F48">
      <w:pPr>
        <w:spacing w:after="0" w:line="240" w:lineRule="auto"/>
        <w:rPr>
          <w:rFonts w:ascii="Arial" w:eastAsia="Times New Roman" w:hAnsi="Arial" w:cs="Arial"/>
          <w:color w:val="000000"/>
          <w:spacing w:val="6"/>
          <w:sz w:val="20"/>
          <w:szCs w:val="20"/>
          <w:lang w:val="en-GB" w:eastAsia="en-GB"/>
        </w:rPr>
      </w:pPr>
    </w:p>
    <w:p w:rsidR="00BD634F" w:rsidRPr="000E7F48" w:rsidRDefault="00BD634F"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The PCDMV requires the following feedback </w:t>
      </w:r>
      <w:r w:rsidR="00EF4BFF" w:rsidRPr="000E7F48">
        <w:rPr>
          <w:rFonts w:ascii="Arial" w:eastAsia="Times New Roman" w:hAnsi="Arial" w:cs="Arial"/>
          <w:color w:val="000000"/>
          <w:spacing w:val="6"/>
          <w:sz w:val="20"/>
          <w:szCs w:val="20"/>
          <w:lang w:val="en-GB" w:eastAsia="en-GB"/>
        </w:rPr>
        <w:t xml:space="preserve">to be presented to the Committee in the third quarter </w:t>
      </w:r>
      <w:r w:rsidRPr="000E7F48">
        <w:rPr>
          <w:rFonts w:ascii="Arial" w:eastAsia="Times New Roman" w:hAnsi="Arial" w:cs="Arial"/>
          <w:color w:val="000000"/>
          <w:spacing w:val="6"/>
          <w:sz w:val="20"/>
          <w:szCs w:val="20"/>
          <w:lang w:val="en-GB" w:eastAsia="en-GB"/>
        </w:rPr>
        <w:t>based on the recommendations above:</w:t>
      </w:r>
    </w:p>
    <w:p w:rsidR="00BD634F" w:rsidRPr="000E7F48" w:rsidRDefault="00BD634F" w:rsidP="000E7F48">
      <w:pPr>
        <w:pStyle w:val="ListParagraph"/>
        <w:numPr>
          <w:ilvl w:val="0"/>
          <w:numId w:val="42"/>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Members expressed concern around the ongoing non-serviceability of environmentally controlled warehouses in the SANDF, despite previous recommendations by the Committee</w:t>
      </w:r>
      <w:r w:rsidR="00BE0553" w:rsidRPr="000E7F48">
        <w:rPr>
          <w:rFonts w:ascii="Arial" w:hAnsi="Arial" w:cs="Arial"/>
          <w:color w:val="000000"/>
          <w:spacing w:val="6"/>
          <w:sz w:val="20"/>
          <w:szCs w:val="20"/>
          <w:lang w:eastAsia="en-GB"/>
        </w:rPr>
        <w:t xml:space="preserve">. The DOD should provide feedback as to the status of these warehouses, the status of contracts for the maintenance of environmental control systems and dates for the finalisation of contracts to ensure these facilities remain operational. </w:t>
      </w:r>
    </w:p>
    <w:p w:rsidR="00BE0553" w:rsidRPr="000E7F48" w:rsidRDefault="00BE0553" w:rsidP="000E7F48">
      <w:pPr>
        <w:pStyle w:val="ListParagraph"/>
        <w:numPr>
          <w:ilvl w:val="0"/>
          <w:numId w:val="42"/>
        </w:numPr>
        <w:rPr>
          <w:rFonts w:ascii="Arial" w:hAnsi="Arial" w:cs="Arial"/>
          <w:sz w:val="20"/>
          <w:szCs w:val="20"/>
        </w:rPr>
      </w:pPr>
      <w:r w:rsidRPr="000E7F48">
        <w:rPr>
          <w:rFonts w:ascii="Arial" w:hAnsi="Arial" w:cs="Arial"/>
          <w:sz w:val="20"/>
          <w:szCs w:val="20"/>
        </w:rPr>
        <w:t xml:space="preserve">The Committee also expressed concern around the high number of personnel on suspension for long periods of time without the conditions of their suspension being finalised. The DOD should submit plans to deal with suspended personnel to the Committee, including clear timelines. </w:t>
      </w:r>
    </w:p>
    <w:p w:rsidR="00BE0553" w:rsidRPr="000E7F48" w:rsidRDefault="00BE0553" w:rsidP="000E7F48">
      <w:pPr>
        <w:pStyle w:val="ListParagraph"/>
        <w:numPr>
          <w:ilvl w:val="0"/>
          <w:numId w:val="42"/>
        </w:numPr>
        <w:rPr>
          <w:rFonts w:ascii="Arial" w:hAnsi="Arial" w:cs="Arial"/>
          <w:spacing w:val="6"/>
          <w:sz w:val="20"/>
          <w:szCs w:val="20"/>
          <w:lang w:eastAsia="en-GB"/>
        </w:rPr>
      </w:pPr>
      <w:r w:rsidRPr="000E7F48">
        <w:rPr>
          <w:rFonts w:ascii="Arial" w:hAnsi="Arial" w:cs="Arial"/>
          <w:spacing w:val="6"/>
          <w:sz w:val="20"/>
          <w:szCs w:val="20"/>
          <w:lang w:eastAsia="en-GB"/>
        </w:rPr>
        <w:t xml:space="preserve">The Military Command Council is encouraged to urgently </w:t>
      </w:r>
      <w:r w:rsidR="00E93E44" w:rsidRPr="000E7F48">
        <w:rPr>
          <w:rFonts w:ascii="Arial" w:hAnsi="Arial" w:cs="Arial"/>
          <w:spacing w:val="6"/>
          <w:sz w:val="20"/>
          <w:szCs w:val="20"/>
          <w:lang w:eastAsia="en-GB"/>
        </w:rPr>
        <w:t xml:space="preserve">deliberate on the status of Sa Air Force platforms in the DRC. The DOD should then report back to the Committee on any decisions taken as well as the financial implications in terms of expenditure and reimbursement. </w:t>
      </w:r>
    </w:p>
    <w:p w:rsidR="00BE0553" w:rsidRPr="000E7F48" w:rsidRDefault="00BE0553" w:rsidP="000E7F48">
      <w:pPr>
        <w:pStyle w:val="ListParagraph"/>
        <w:numPr>
          <w:ilvl w:val="0"/>
          <w:numId w:val="42"/>
        </w:numPr>
        <w:ind w:left="714" w:hanging="357"/>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In future, when the DOD presents to the Joint Standing Committee on Defence (JSCD)</w:t>
      </w:r>
      <w:r w:rsidR="00931A83" w:rsidRPr="000E7F48">
        <w:rPr>
          <w:rFonts w:ascii="Arial" w:hAnsi="Arial" w:cs="Arial"/>
          <w:color w:val="000000"/>
          <w:spacing w:val="6"/>
          <w:sz w:val="20"/>
          <w:szCs w:val="20"/>
          <w:lang w:eastAsia="en-GB"/>
        </w:rPr>
        <w:t>,</w:t>
      </w:r>
      <w:r w:rsidRPr="000E7F48">
        <w:rPr>
          <w:rFonts w:ascii="Arial" w:hAnsi="Arial" w:cs="Arial"/>
          <w:color w:val="000000"/>
          <w:spacing w:val="6"/>
          <w:sz w:val="20"/>
          <w:szCs w:val="20"/>
          <w:lang w:eastAsia="en-GB"/>
        </w:rPr>
        <w:t xml:space="preserve"> its deployment plans in line with Presidential letters of employment, </w:t>
      </w:r>
      <w:r w:rsidR="00BE0540" w:rsidRPr="000E7F48">
        <w:rPr>
          <w:rFonts w:ascii="Arial" w:hAnsi="Arial" w:cs="Arial"/>
          <w:color w:val="000000"/>
          <w:spacing w:val="6"/>
          <w:sz w:val="20"/>
          <w:szCs w:val="20"/>
          <w:lang w:eastAsia="en-GB"/>
        </w:rPr>
        <w:t xml:space="preserve">the Department </w:t>
      </w:r>
      <w:r w:rsidRPr="000E7F48">
        <w:rPr>
          <w:rFonts w:ascii="Arial" w:hAnsi="Arial" w:cs="Arial"/>
          <w:color w:val="000000"/>
          <w:spacing w:val="6"/>
          <w:sz w:val="20"/>
          <w:szCs w:val="20"/>
          <w:lang w:eastAsia="en-GB"/>
        </w:rPr>
        <w:t>should indicate to the Committee the impact of such a deployment on the utilisation of Reserve Force mandays and broader efforts to curb CoE expenditure.</w:t>
      </w:r>
      <w:r w:rsidR="00D67F83" w:rsidRPr="000E7F48">
        <w:rPr>
          <w:rFonts w:ascii="Arial" w:hAnsi="Arial" w:cs="Arial"/>
          <w:color w:val="000000"/>
          <w:spacing w:val="6"/>
          <w:sz w:val="20"/>
          <w:szCs w:val="20"/>
          <w:lang w:eastAsia="en-GB"/>
        </w:rPr>
        <w:t xml:space="preserve"> </w:t>
      </w:r>
    </w:p>
    <w:p w:rsidR="00173F4D" w:rsidRPr="000E7F48" w:rsidRDefault="00173F4D" w:rsidP="000E7F48">
      <w:pPr>
        <w:pStyle w:val="ListParagraph"/>
        <w:numPr>
          <w:ilvl w:val="0"/>
          <w:numId w:val="42"/>
        </w:numPr>
        <w:ind w:left="714" w:hanging="357"/>
        <w:rPr>
          <w:rFonts w:ascii="Arial" w:hAnsi="Arial" w:cs="Arial"/>
          <w:sz w:val="20"/>
          <w:szCs w:val="20"/>
          <w:lang w:val="en-US"/>
        </w:rPr>
      </w:pPr>
      <w:r w:rsidRPr="000E7F48">
        <w:rPr>
          <w:rFonts w:ascii="Arial" w:hAnsi="Arial" w:cs="Arial"/>
          <w:sz w:val="20"/>
          <w:szCs w:val="20"/>
          <w:lang w:val="en-US"/>
        </w:rPr>
        <w:t>The DOD should consider the development of a Cost Recovery Framework/Model for consideration to Cabinet</w:t>
      </w:r>
      <w:r w:rsidR="00BE0540" w:rsidRPr="000E7F48">
        <w:rPr>
          <w:rFonts w:ascii="Arial" w:hAnsi="Arial" w:cs="Arial"/>
          <w:sz w:val="20"/>
          <w:szCs w:val="20"/>
          <w:lang w:val="en-US"/>
        </w:rPr>
        <w:t xml:space="preserve"> and report back to the Committee on the feasibility of such a model/framework</w:t>
      </w:r>
      <w:r w:rsidRPr="000E7F48">
        <w:rPr>
          <w:rFonts w:ascii="Arial" w:hAnsi="Arial" w:cs="Arial"/>
          <w:sz w:val="20"/>
          <w:szCs w:val="20"/>
          <w:lang w:val="en-US"/>
        </w:rPr>
        <w:t xml:space="preserve">. </w:t>
      </w:r>
    </w:p>
    <w:p w:rsidR="00173F4D" w:rsidRPr="000E7F48" w:rsidRDefault="00173F4D" w:rsidP="000E7F48">
      <w:pPr>
        <w:pStyle w:val="ListParagraph"/>
        <w:ind w:left="714"/>
        <w:rPr>
          <w:rFonts w:ascii="Arial" w:hAnsi="Arial" w:cs="Arial"/>
          <w:color w:val="000000"/>
          <w:spacing w:val="6"/>
          <w:sz w:val="20"/>
          <w:szCs w:val="20"/>
          <w:lang w:eastAsia="en-GB"/>
        </w:rPr>
      </w:pPr>
    </w:p>
    <w:p w:rsidR="00BE0540" w:rsidRPr="000E7F48" w:rsidRDefault="00BE0540" w:rsidP="000E7F48">
      <w:pPr>
        <w:pStyle w:val="ListParagraph"/>
        <w:ind w:left="714"/>
        <w:rPr>
          <w:rFonts w:ascii="Arial" w:hAnsi="Arial" w:cs="Arial"/>
          <w:color w:val="000000"/>
          <w:spacing w:val="6"/>
          <w:sz w:val="20"/>
          <w:szCs w:val="20"/>
          <w:lang w:eastAsia="en-GB"/>
        </w:rPr>
      </w:pPr>
    </w:p>
    <w:p w:rsidR="00BE0540" w:rsidRPr="000E7F48" w:rsidRDefault="00BE0540" w:rsidP="000E7F48">
      <w:pPr>
        <w:pStyle w:val="ListParagraph"/>
        <w:ind w:left="714"/>
        <w:rPr>
          <w:rFonts w:ascii="Arial" w:hAnsi="Arial" w:cs="Arial"/>
          <w:color w:val="000000"/>
          <w:spacing w:val="6"/>
          <w:sz w:val="20"/>
          <w:szCs w:val="20"/>
          <w:lang w:eastAsia="en-GB"/>
        </w:rPr>
      </w:pPr>
    </w:p>
    <w:p w:rsidR="00BE0540" w:rsidRPr="000E7F48" w:rsidRDefault="00BE0540" w:rsidP="000E7F48">
      <w:pPr>
        <w:pStyle w:val="ListParagraph"/>
        <w:ind w:left="714"/>
        <w:rPr>
          <w:rFonts w:ascii="Arial" w:hAnsi="Arial" w:cs="Arial"/>
          <w:color w:val="000000"/>
          <w:spacing w:val="6"/>
          <w:sz w:val="20"/>
          <w:szCs w:val="20"/>
          <w:lang w:eastAsia="en-GB"/>
        </w:rPr>
      </w:pPr>
    </w:p>
    <w:p w:rsidR="00BE0540" w:rsidRPr="000E7F48" w:rsidRDefault="00BE0540" w:rsidP="000E7F48">
      <w:pPr>
        <w:pStyle w:val="ListParagraph"/>
        <w:ind w:left="714"/>
        <w:rPr>
          <w:rFonts w:ascii="Arial" w:hAnsi="Arial" w:cs="Arial"/>
          <w:color w:val="000000"/>
          <w:spacing w:val="6"/>
          <w:sz w:val="20"/>
          <w:szCs w:val="20"/>
          <w:lang w:eastAsia="en-GB"/>
        </w:rPr>
      </w:pPr>
    </w:p>
    <w:p w:rsidR="00BD634F" w:rsidRPr="000E7F48" w:rsidRDefault="00BD634F" w:rsidP="000E7F48">
      <w:pPr>
        <w:spacing w:after="0" w:line="240" w:lineRule="auto"/>
        <w:rPr>
          <w:rFonts w:ascii="Arial" w:hAnsi="Arial" w:cs="Arial"/>
          <w:b/>
          <w:sz w:val="20"/>
          <w:szCs w:val="20"/>
        </w:rPr>
      </w:pPr>
    </w:p>
    <w:p w:rsidR="00194FC2" w:rsidRPr="000E7F48" w:rsidRDefault="00194FC2" w:rsidP="000E7F48">
      <w:pPr>
        <w:spacing w:after="0" w:line="240" w:lineRule="auto"/>
        <w:rPr>
          <w:rFonts w:ascii="Arial" w:eastAsia="Arial Unicode MS" w:hAnsi="Arial" w:cs="Arial"/>
          <w:b/>
          <w:sz w:val="20"/>
          <w:szCs w:val="20"/>
          <w:u w:color="000000"/>
        </w:rPr>
      </w:pPr>
      <w:r w:rsidRPr="000E7F48">
        <w:rPr>
          <w:rFonts w:ascii="Arial" w:hAnsi="Arial" w:cs="Arial"/>
          <w:b/>
          <w:sz w:val="20"/>
          <w:szCs w:val="20"/>
        </w:rPr>
        <w:t>PART B: DEFENCE ENTITIES</w:t>
      </w:r>
    </w:p>
    <w:p w:rsidR="00194FC2" w:rsidRPr="000E7F48" w:rsidRDefault="00194FC2" w:rsidP="000E7F48">
      <w:pPr>
        <w:spacing w:after="0" w:line="240" w:lineRule="auto"/>
        <w:ind w:right="282"/>
        <w:rPr>
          <w:rFonts w:ascii="Arial" w:eastAsia="Arial Unicode MS" w:hAnsi="Arial" w:cs="Arial"/>
          <w:b/>
          <w:sz w:val="20"/>
          <w:szCs w:val="20"/>
          <w:u w:color="000000"/>
        </w:rPr>
      </w:pPr>
    </w:p>
    <w:p w:rsidR="00194FC2" w:rsidRPr="000E7F48" w:rsidRDefault="00194FC2" w:rsidP="000E7F48">
      <w:pPr>
        <w:spacing w:after="0" w:line="240" w:lineRule="auto"/>
        <w:outlineLvl w:val="0"/>
        <w:rPr>
          <w:rFonts w:ascii="Arial" w:eastAsia="Arial Unicode MS" w:hAnsi="Arial" w:cs="Arial"/>
          <w:sz w:val="20"/>
          <w:szCs w:val="20"/>
          <w:u w:color="000000"/>
          <w:lang w:eastAsia="en-ZA"/>
        </w:rPr>
      </w:pPr>
      <w:r w:rsidRPr="000E7F48">
        <w:rPr>
          <w:rFonts w:ascii="Arial" w:eastAsia="Arial Unicode MS" w:hAnsi="Arial" w:cs="Arial"/>
          <w:sz w:val="20"/>
          <w:szCs w:val="20"/>
          <w:u w:color="000000"/>
          <w:lang w:eastAsia="en-ZA"/>
        </w:rPr>
        <w:t>The Portfolio Committee on De</w:t>
      </w:r>
      <w:r w:rsidR="00CD34FF" w:rsidRPr="000E7F48">
        <w:rPr>
          <w:rFonts w:ascii="Arial" w:eastAsia="Arial Unicode MS" w:hAnsi="Arial" w:cs="Arial"/>
          <w:sz w:val="20"/>
          <w:szCs w:val="20"/>
          <w:u w:color="000000"/>
          <w:lang w:eastAsia="en-ZA"/>
        </w:rPr>
        <w:t>fence and Military Veterans (PC</w:t>
      </w:r>
      <w:r w:rsidRPr="000E7F48">
        <w:rPr>
          <w:rFonts w:ascii="Arial" w:eastAsia="Arial Unicode MS" w:hAnsi="Arial" w:cs="Arial"/>
          <w:sz w:val="20"/>
          <w:szCs w:val="20"/>
          <w:u w:color="000000"/>
          <w:lang w:eastAsia="en-ZA"/>
        </w:rPr>
        <w:t xml:space="preserve">DMV), having considered </w:t>
      </w:r>
      <w:r w:rsidR="00CD34FF" w:rsidRPr="000E7F48">
        <w:rPr>
          <w:rFonts w:ascii="Arial" w:eastAsia="Arial Unicode MS" w:hAnsi="Arial" w:cs="Arial"/>
          <w:sz w:val="20"/>
          <w:szCs w:val="20"/>
          <w:u w:color="000000"/>
          <w:lang w:eastAsia="en-ZA"/>
        </w:rPr>
        <w:t xml:space="preserve">the </w:t>
      </w:r>
      <w:r w:rsidR="00CD34FF" w:rsidRPr="000E7F48">
        <w:rPr>
          <w:rFonts w:ascii="Arial" w:hAnsi="Arial" w:cs="Arial"/>
          <w:sz w:val="20"/>
          <w:szCs w:val="20"/>
        </w:rPr>
        <w:t>2023/24 Annual Performance Plan of the Castle Control Board (CCB) on 3</w:t>
      </w:r>
      <w:r w:rsidR="00CD34FF" w:rsidRPr="000E7F48">
        <w:rPr>
          <w:rFonts w:ascii="Arial" w:eastAsia="Arial Unicode MS" w:hAnsi="Arial" w:cs="Arial"/>
          <w:sz w:val="20"/>
          <w:szCs w:val="20"/>
          <w:u w:color="000000"/>
          <w:lang w:eastAsia="en-ZA"/>
        </w:rPr>
        <w:t xml:space="preserve"> </w:t>
      </w:r>
      <w:r w:rsidR="00CD34FF" w:rsidRPr="000E7F48">
        <w:rPr>
          <w:rFonts w:ascii="Arial" w:hAnsi="Arial" w:cs="Arial"/>
          <w:sz w:val="20"/>
          <w:szCs w:val="20"/>
        </w:rPr>
        <w:t xml:space="preserve">May 2023 and </w:t>
      </w:r>
      <w:r w:rsidRPr="000E7F48">
        <w:rPr>
          <w:rFonts w:ascii="Arial" w:eastAsia="Arial Unicode MS" w:hAnsi="Arial" w:cs="Arial"/>
          <w:sz w:val="20"/>
          <w:szCs w:val="20"/>
          <w:u w:color="000000"/>
          <w:lang w:eastAsia="en-ZA"/>
        </w:rPr>
        <w:t>the</w:t>
      </w:r>
      <w:r w:rsidR="00723AF7" w:rsidRPr="000E7F48">
        <w:rPr>
          <w:rFonts w:ascii="Arial" w:hAnsi="Arial" w:cs="Arial"/>
          <w:sz w:val="20"/>
          <w:szCs w:val="20"/>
        </w:rPr>
        <w:t xml:space="preserve"> 202</w:t>
      </w:r>
      <w:r w:rsidR="00CD34FF" w:rsidRPr="000E7F48">
        <w:rPr>
          <w:rFonts w:ascii="Arial" w:hAnsi="Arial" w:cs="Arial"/>
          <w:sz w:val="20"/>
          <w:szCs w:val="20"/>
        </w:rPr>
        <w:t>3</w:t>
      </w:r>
      <w:r w:rsidR="00723AF7" w:rsidRPr="000E7F48">
        <w:rPr>
          <w:rFonts w:ascii="Arial" w:hAnsi="Arial" w:cs="Arial"/>
          <w:sz w:val="20"/>
          <w:szCs w:val="20"/>
        </w:rPr>
        <w:t xml:space="preserve"> Corporate Plan and budgetary allocation of the </w:t>
      </w:r>
      <w:r w:rsidR="00723AF7" w:rsidRPr="000E7F48">
        <w:rPr>
          <w:rFonts w:ascii="Arial" w:eastAsia="Arial Unicode MS" w:hAnsi="Arial" w:cs="Arial"/>
          <w:sz w:val="20"/>
          <w:szCs w:val="20"/>
          <w:u w:color="000000"/>
          <w:lang w:eastAsia="en-ZA"/>
        </w:rPr>
        <w:t xml:space="preserve">Armaments Corporation of South Africa (Armscor) on </w:t>
      </w:r>
      <w:r w:rsidR="00CD34FF" w:rsidRPr="000E7F48">
        <w:rPr>
          <w:rFonts w:ascii="Arial" w:eastAsia="Arial Unicode MS" w:hAnsi="Arial" w:cs="Arial"/>
          <w:sz w:val="20"/>
          <w:szCs w:val="20"/>
          <w:u w:color="000000"/>
          <w:lang w:eastAsia="en-ZA"/>
        </w:rPr>
        <w:t>10</w:t>
      </w:r>
      <w:r w:rsidR="00723AF7" w:rsidRPr="000E7F48">
        <w:rPr>
          <w:rFonts w:ascii="Arial" w:eastAsia="Arial Unicode MS" w:hAnsi="Arial" w:cs="Arial"/>
          <w:sz w:val="20"/>
          <w:szCs w:val="20"/>
          <w:u w:color="000000"/>
          <w:lang w:eastAsia="en-ZA"/>
        </w:rPr>
        <w:t xml:space="preserve"> May 202</w:t>
      </w:r>
      <w:r w:rsidR="00CD34FF" w:rsidRPr="000E7F48">
        <w:rPr>
          <w:rFonts w:ascii="Arial" w:eastAsia="Arial Unicode MS" w:hAnsi="Arial" w:cs="Arial"/>
          <w:sz w:val="20"/>
          <w:szCs w:val="20"/>
          <w:u w:color="000000"/>
          <w:lang w:eastAsia="en-ZA"/>
        </w:rPr>
        <w:t>3</w:t>
      </w:r>
      <w:r w:rsidR="00723AF7" w:rsidRPr="000E7F48">
        <w:rPr>
          <w:rFonts w:ascii="Arial" w:eastAsia="Arial Unicode MS" w:hAnsi="Arial" w:cs="Arial"/>
          <w:sz w:val="20"/>
          <w:szCs w:val="20"/>
          <w:u w:color="000000"/>
          <w:lang w:eastAsia="en-ZA"/>
        </w:rPr>
        <w:t xml:space="preserve"> </w:t>
      </w:r>
      <w:r w:rsidR="00785389" w:rsidRPr="000E7F48">
        <w:rPr>
          <w:rFonts w:ascii="Arial" w:hAnsi="Arial" w:cs="Arial"/>
          <w:sz w:val="20"/>
          <w:szCs w:val="20"/>
        </w:rPr>
        <w:t>respectively</w:t>
      </w:r>
      <w:r w:rsidRPr="000E7F48">
        <w:rPr>
          <w:rFonts w:ascii="Arial" w:eastAsia="Arial Unicode MS" w:hAnsi="Arial" w:cs="Arial"/>
          <w:sz w:val="20"/>
          <w:szCs w:val="20"/>
          <w:u w:color="000000"/>
          <w:lang w:eastAsia="en-ZA"/>
        </w:rPr>
        <w:t>, reports as follows:</w:t>
      </w:r>
    </w:p>
    <w:p w:rsidR="00194FC2" w:rsidRPr="000E7F48" w:rsidRDefault="00194FC2" w:rsidP="000E7F48">
      <w:pPr>
        <w:spacing w:after="0" w:line="240" w:lineRule="auto"/>
        <w:outlineLvl w:val="0"/>
        <w:rPr>
          <w:rFonts w:ascii="Arial" w:eastAsia="Arial Unicode MS" w:hAnsi="Arial" w:cs="Arial"/>
          <w:sz w:val="20"/>
          <w:szCs w:val="20"/>
          <w:u w:color="000000"/>
          <w:lang w:eastAsia="en-ZA"/>
        </w:rPr>
      </w:pPr>
    </w:p>
    <w:p w:rsidR="00194FC2" w:rsidRPr="000E7F48" w:rsidRDefault="00194FC2" w:rsidP="000E7F48">
      <w:pPr>
        <w:spacing w:after="0" w:line="240" w:lineRule="auto"/>
        <w:outlineLvl w:val="0"/>
        <w:rPr>
          <w:rFonts w:ascii="Arial" w:eastAsia="Arial Unicode MS" w:hAnsi="Arial" w:cs="Arial"/>
          <w:b/>
          <w:sz w:val="20"/>
          <w:szCs w:val="20"/>
          <w:u w:val="single" w:color="000000"/>
          <w:lang w:eastAsia="en-ZA"/>
        </w:rPr>
      </w:pPr>
      <w:r w:rsidRPr="000E7F48">
        <w:rPr>
          <w:rFonts w:ascii="Arial" w:eastAsia="Arial Unicode MS" w:hAnsi="Arial" w:cs="Arial"/>
          <w:b/>
          <w:sz w:val="20"/>
          <w:szCs w:val="20"/>
          <w:u w:val="single" w:color="000000"/>
          <w:lang w:eastAsia="en-ZA"/>
        </w:rPr>
        <w:t>THE CASTLE CONTROL BOARD (CCB)</w:t>
      </w:r>
    </w:p>
    <w:p w:rsidR="00194FC2" w:rsidRPr="000E7F48" w:rsidRDefault="00194FC2" w:rsidP="000E7F48">
      <w:pPr>
        <w:spacing w:after="0" w:line="240" w:lineRule="auto"/>
        <w:ind w:left="284" w:right="282"/>
        <w:outlineLvl w:val="0"/>
        <w:rPr>
          <w:rFonts w:ascii="Arial" w:eastAsia="Arial Unicode MS" w:hAnsi="Arial" w:cs="Arial"/>
          <w:sz w:val="20"/>
          <w:szCs w:val="20"/>
          <w:u w:color="000000"/>
          <w:lang w:eastAsia="en-ZA"/>
        </w:rPr>
      </w:pPr>
    </w:p>
    <w:p w:rsidR="00194FC2" w:rsidRPr="000E7F48" w:rsidRDefault="00194FC2" w:rsidP="000E7F48">
      <w:pPr>
        <w:spacing w:after="0" w:line="240" w:lineRule="auto"/>
        <w:ind w:right="-279"/>
        <w:outlineLvl w:val="0"/>
        <w:rPr>
          <w:rFonts w:ascii="Arial" w:eastAsia="Arial Unicode MS" w:hAnsi="Arial" w:cs="Arial"/>
          <w:b/>
          <w:caps/>
          <w:sz w:val="20"/>
          <w:szCs w:val="20"/>
          <w:u w:color="000000"/>
        </w:rPr>
      </w:pPr>
      <w:r w:rsidRPr="000E7F48">
        <w:rPr>
          <w:rFonts w:ascii="Arial" w:eastAsia="Arial Unicode MS" w:hAnsi="Arial" w:cs="Arial"/>
          <w:b/>
          <w:caps/>
          <w:sz w:val="20"/>
          <w:szCs w:val="20"/>
          <w:u w:color="000000"/>
        </w:rPr>
        <w:t>1.</w:t>
      </w:r>
      <w:r w:rsidRPr="000E7F48">
        <w:rPr>
          <w:rFonts w:ascii="Arial" w:eastAsia="Arial Unicode MS" w:hAnsi="Arial" w:cs="Arial"/>
          <w:b/>
          <w:caps/>
          <w:sz w:val="20"/>
          <w:szCs w:val="20"/>
          <w:u w:color="000000"/>
        </w:rPr>
        <w:tab/>
        <w:t xml:space="preserve">Introduction </w:t>
      </w:r>
    </w:p>
    <w:p w:rsidR="00194FC2" w:rsidRPr="000E7F48" w:rsidRDefault="00194FC2" w:rsidP="000E7F48">
      <w:pPr>
        <w:spacing w:after="0" w:line="240" w:lineRule="auto"/>
        <w:ind w:left="-142" w:right="-279" w:firstLine="142"/>
        <w:outlineLvl w:val="0"/>
        <w:rPr>
          <w:rFonts w:ascii="Arial" w:eastAsia="Arial Unicode MS" w:hAnsi="Arial" w:cs="Arial"/>
          <w:sz w:val="20"/>
          <w:szCs w:val="20"/>
          <w:u w:color="000000"/>
        </w:rPr>
      </w:pPr>
    </w:p>
    <w:p w:rsidR="00194FC2" w:rsidRPr="000E7F48" w:rsidRDefault="00194FC2" w:rsidP="000E7F48">
      <w:pPr>
        <w:tabs>
          <w:tab w:val="num" w:pos="1080"/>
        </w:tabs>
        <w:spacing w:after="0" w:line="240" w:lineRule="auto"/>
        <w:rPr>
          <w:rFonts w:ascii="Arial" w:hAnsi="Arial" w:cs="Arial"/>
          <w:bCs/>
          <w:sz w:val="20"/>
          <w:szCs w:val="20"/>
        </w:rPr>
      </w:pPr>
      <w:r w:rsidRPr="000E7F48">
        <w:rPr>
          <w:rFonts w:ascii="Arial" w:hAnsi="Arial" w:cs="Arial"/>
          <w:sz w:val="20"/>
          <w:szCs w:val="20"/>
        </w:rPr>
        <w:t>The Castle Management Act, 1993 (No. 207</w:t>
      </w:r>
      <w:r w:rsidR="00542EFC" w:rsidRPr="000E7F48">
        <w:rPr>
          <w:rFonts w:ascii="Arial" w:hAnsi="Arial" w:cs="Arial"/>
          <w:sz w:val="20"/>
          <w:szCs w:val="20"/>
        </w:rPr>
        <w:t xml:space="preserve"> of 1993) provides for a </w:t>
      </w:r>
      <w:r w:rsidRPr="000E7F48">
        <w:rPr>
          <w:rFonts w:ascii="Arial" w:hAnsi="Arial" w:cs="Arial"/>
          <w:sz w:val="20"/>
          <w:szCs w:val="20"/>
        </w:rPr>
        <w:t xml:space="preserve">CCB to govern and manage the Castle of Good Hope (CGH) – South Africa’s oldest architectural structure - on behalf of the Minister of Defence and Military Veterans. The National Heritage Resources Act (No. 25 of 1999) provides for the management of the Castle as a national heritage site. </w:t>
      </w:r>
      <w:r w:rsidRPr="000E7F48">
        <w:rPr>
          <w:rFonts w:ascii="Arial" w:hAnsi="Arial" w:cs="Arial"/>
          <w:bCs/>
          <w:sz w:val="20"/>
          <w:szCs w:val="20"/>
        </w:rPr>
        <w:t xml:space="preserve">The Castle’s objectives are set out in the Castle Management Act as follows: </w:t>
      </w:r>
    </w:p>
    <w:p w:rsidR="00194FC2" w:rsidRPr="000E7F48" w:rsidRDefault="00194FC2" w:rsidP="000E7F48">
      <w:pPr>
        <w:spacing w:after="0" w:line="240" w:lineRule="auto"/>
        <w:rPr>
          <w:rFonts w:ascii="Arial" w:hAnsi="Arial" w:cs="Arial"/>
          <w:bCs/>
          <w:sz w:val="20"/>
          <w:szCs w:val="20"/>
        </w:rPr>
      </w:pPr>
    </w:p>
    <w:p w:rsidR="00194FC2" w:rsidRPr="000E7F48" w:rsidRDefault="00194FC2" w:rsidP="000E7F48">
      <w:pPr>
        <w:numPr>
          <w:ilvl w:val="0"/>
          <w:numId w:val="10"/>
        </w:numPr>
        <w:tabs>
          <w:tab w:val="num" w:pos="1080"/>
        </w:tabs>
        <w:spacing w:after="0" w:line="240" w:lineRule="auto"/>
        <w:rPr>
          <w:rFonts w:ascii="Arial" w:hAnsi="Arial" w:cs="Arial"/>
          <w:bCs/>
          <w:sz w:val="20"/>
          <w:szCs w:val="20"/>
        </w:rPr>
      </w:pPr>
      <w:r w:rsidRPr="000E7F48">
        <w:rPr>
          <w:rFonts w:ascii="Arial" w:hAnsi="Arial" w:cs="Arial"/>
          <w:bCs/>
          <w:sz w:val="20"/>
          <w:szCs w:val="20"/>
        </w:rPr>
        <w:t>To preserve and protect the military and cultural heritage of the Castle;</w:t>
      </w:r>
    </w:p>
    <w:p w:rsidR="00194FC2" w:rsidRPr="000E7F48" w:rsidRDefault="00194FC2" w:rsidP="000E7F48">
      <w:pPr>
        <w:numPr>
          <w:ilvl w:val="0"/>
          <w:numId w:val="10"/>
        </w:numPr>
        <w:tabs>
          <w:tab w:val="num" w:pos="1080"/>
        </w:tabs>
        <w:spacing w:after="0" w:line="240" w:lineRule="auto"/>
        <w:rPr>
          <w:rFonts w:ascii="Arial" w:hAnsi="Arial" w:cs="Arial"/>
          <w:bCs/>
          <w:sz w:val="20"/>
          <w:szCs w:val="20"/>
        </w:rPr>
      </w:pPr>
      <w:r w:rsidRPr="000E7F48">
        <w:rPr>
          <w:rFonts w:ascii="Arial" w:hAnsi="Arial" w:cs="Arial"/>
          <w:bCs/>
          <w:sz w:val="20"/>
          <w:szCs w:val="20"/>
        </w:rPr>
        <w:t>To optimise the tourist potential of the Castle; and</w:t>
      </w:r>
    </w:p>
    <w:p w:rsidR="00194FC2" w:rsidRPr="000E7F48" w:rsidRDefault="00194FC2" w:rsidP="000E7F48">
      <w:pPr>
        <w:numPr>
          <w:ilvl w:val="0"/>
          <w:numId w:val="10"/>
        </w:numPr>
        <w:tabs>
          <w:tab w:val="num" w:pos="1080"/>
        </w:tabs>
        <w:spacing w:after="0" w:line="240" w:lineRule="auto"/>
        <w:rPr>
          <w:rFonts w:ascii="Arial" w:hAnsi="Arial" w:cs="Arial"/>
          <w:bCs/>
          <w:sz w:val="20"/>
          <w:szCs w:val="20"/>
        </w:rPr>
      </w:pPr>
      <w:r w:rsidRPr="000E7F48">
        <w:rPr>
          <w:rFonts w:ascii="Arial" w:hAnsi="Arial" w:cs="Arial"/>
          <w:bCs/>
          <w:sz w:val="20"/>
          <w:szCs w:val="20"/>
        </w:rPr>
        <w:t>To maximise accessibility to the public.</w:t>
      </w:r>
    </w:p>
    <w:p w:rsidR="007C2A7A" w:rsidRPr="000E7F48" w:rsidRDefault="007C2A7A" w:rsidP="000E7F48">
      <w:pPr>
        <w:tabs>
          <w:tab w:val="num" w:pos="1080"/>
        </w:tabs>
        <w:spacing w:after="0" w:line="240" w:lineRule="auto"/>
        <w:rPr>
          <w:rFonts w:ascii="Arial" w:hAnsi="Arial" w:cs="Arial"/>
          <w:bCs/>
          <w:sz w:val="20"/>
          <w:szCs w:val="20"/>
        </w:rPr>
      </w:pPr>
    </w:p>
    <w:p w:rsidR="007C2A7A" w:rsidRPr="000E7F48" w:rsidRDefault="007C2A7A" w:rsidP="000E7F48">
      <w:pPr>
        <w:tabs>
          <w:tab w:val="num" w:pos="1080"/>
        </w:tabs>
        <w:spacing w:after="0" w:line="240" w:lineRule="auto"/>
        <w:rPr>
          <w:rFonts w:ascii="Arial" w:hAnsi="Arial" w:cs="Arial"/>
          <w:bCs/>
          <w:sz w:val="20"/>
          <w:szCs w:val="20"/>
        </w:rPr>
      </w:pPr>
      <w:r w:rsidRPr="000E7F48">
        <w:rPr>
          <w:rFonts w:ascii="Arial" w:hAnsi="Arial" w:cs="Arial"/>
          <w:sz w:val="20"/>
          <w:szCs w:val="20"/>
        </w:rPr>
        <w:t>The Castle Control Board (CCB) submitted its Annual Performance Plan (APP) for 2023/24 to Parliament on 17 March 2023. In the APP, the CCB is proposing to amend the Castle Management Act and the Defence Endowment Property and Account Act. As with the previous APP, it is stated that the “Board has identified that the current founding legislation is dated and submitted a review document to the Ministry of Defence and Military Veterans.</w:t>
      </w:r>
    </w:p>
    <w:p w:rsidR="001B3CCE" w:rsidRPr="000E7F48" w:rsidRDefault="001B3CCE" w:rsidP="000E7F48">
      <w:pPr>
        <w:tabs>
          <w:tab w:val="num" w:pos="1080"/>
        </w:tabs>
        <w:spacing w:after="0" w:line="240" w:lineRule="auto"/>
        <w:rPr>
          <w:rFonts w:ascii="Arial" w:hAnsi="Arial" w:cs="Arial"/>
          <w:bCs/>
          <w:sz w:val="20"/>
          <w:szCs w:val="20"/>
        </w:rPr>
      </w:pPr>
    </w:p>
    <w:p w:rsidR="001B3CCE" w:rsidRPr="000E7F48" w:rsidRDefault="00785389" w:rsidP="000E7F48">
      <w:pPr>
        <w:spacing w:after="0" w:line="240" w:lineRule="auto"/>
        <w:rPr>
          <w:rFonts w:ascii="Arial" w:hAnsi="Arial" w:cs="Arial"/>
          <w:sz w:val="20"/>
          <w:szCs w:val="20"/>
        </w:rPr>
      </w:pPr>
      <w:r w:rsidRPr="000E7F48">
        <w:rPr>
          <w:rFonts w:ascii="Arial" w:hAnsi="Arial" w:cs="Arial"/>
          <w:b/>
          <w:sz w:val="20"/>
          <w:szCs w:val="20"/>
        </w:rPr>
        <w:t>2.</w:t>
      </w:r>
      <w:r w:rsidRPr="000E7F48">
        <w:rPr>
          <w:rFonts w:ascii="Arial" w:hAnsi="Arial" w:cs="Arial"/>
          <w:b/>
          <w:sz w:val="20"/>
          <w:szCs w:val="20"/>
        </w:rPr>
        <w:tab/>
      </w:r>
      <w:r w:rsidR="001B3CCE" w:rsidRPr="000E7F48">
        <w:rPr>
          <w:rFonts w:ascii="Arial" w:hAnsi="Arial" w:cs="Arial"/>
          <w:b/>
          <w:sz w:val="20"/>
          <w:szCs w:val="20"/>
        </w:rPr>
        <w:t xml:space="preserve">THE </w:t>
      </w:r>
      <w:r w:rsidR="007C2A7A" w:rsidRPr="000E7F48">
        <w:rPr>
          <w:rFonts w:ascii="Arial" w:hAnsi="Arial" w:cs="Arial"/>
          <w:b/>
          <w:sz w:val="20"/>
          <w:szCs w:val="20"/>
        </w:rPr>
        <w:t>CCB PRIORITIES FOR 2023/24</w:t>
      </w:r>
    </w:p>
    <w:p w:rsidR="007C2A7A" w:rsidRPr="000E7F48" w:rsidRDefault="007C2A7A" w:rsidP="000E7F48">
      <w:pPr>
        <w:spacing w:after="0" w:line="240" w:lineRule="auto"/>
        <w:rPr>
          <w:rFonts w:ascii="Arial" w:hAnsi="Arial" w:cs="Arial"/>
          <w:bCs/>
          <w:sz w:val="20"/>
          <w:szCs w:val="20"/>
        </w:rPr>
      </w:pPr>
      <w:r w:rsidRPr="000E7F48">
        <w:rPr>
          <w:rFonts w:ascii="Arial" w:hAnsi="Arial" w:cs="Arial"/>
          <w:bCs/>
          <w:sz w:val="20"/>
          <w:szCs w:val="20"/>
        </w:rPr>
        <w:t>The Board Chairperson, Lt Gen JS Mbuli, highlights a number of strategic risks that will occupy the CCB in 2023/24, including the following:</w:t>
      </w:r>
    </w:p>
    <w:p w:rsidR="007C2A7A" w:rsidRPr="000E7F48" w:rsidRDefault="007C2A7A" w:rsidP="000E7F48">
      <w:pPr>
        <w:spacing w:after="0" w:line="240" w:lineRule="auto"/>
        <w:rPr>
          <w:rFonts w:ascii="Arial" w:hAnsi="Arial" w:cs="Arial"/>
          <w:bCs/>
          <w:sz w:val="20"/>
          <w:szCs w:val="20"/>
        </w:rPr>
      </w:pP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Overcome the economic devastation caused by the COVID-19 pandemic related to the CCB's going concern status.</w:t>
      </w: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Aggressive marketing and promotion of the Castle.</w:t>
      </w: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Health, safety and security concerns (securing the perimeter fence has become imperative for positioning itself for UNESCO World Heritage status).</w:t>
      </w: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Cost-effectively maintain, enhance, and promote the Castle of Good Hope's built and intangible heritage.</w:t>
      </w: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 xml:space="preserve">Provide visitors with a life-changing educational and conscientization </w:t>
      </w:r>
      <w:r w:rsidRPr="000E7F48">
        <w:rPr>
          <w:rFonts w:ascii="Arial" w:hAnsi="Arial" w:cs="Arial"/>
          <w:bCs/>
          <w:i/>
          <w:sz w:val="20"/>
          <w:szCs w:val="20"/>
        </w:rPr>
        <w:t>[sic]</w:t>
      </w:r>
      <w:r w:rsidRPr="000E7F48">
        <w:rPr>
          <w:rFonts w:ascii="Arial" w:hAnsi="Arial" w:cs="Arial"/>
          <w:bCs/>
          <w:sz w:val="20"/>
          <w:szCs w:val="20"/>
        </w:rPr>
        <w:t xml:space="preserve"> experience</w:t>
      </w: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Achieve another clean audit outcome.</w:t>
      </w:r>
    </w:p>
    <w:p w:rsidR="007C2A7A" w:rsidRPr="000E7F48" w:rsidRDefault="007C2A7A" w:rsidP="000E7F48">
      <w:pPr>
        <w:numPr>
          <w:ilvl w:val="0"/>
          <w:numId w:val="37"/>
        </w:numPr>
        <w:spacing w:after="0" w:line="240" w:lineRule="auto"/>
        <w:rPr>
          <w:rFonts w:ascii="Arial" w:hAnsi="Arial" w:cs="Arial"/>
          <w:bCs/>
          <w:sz w:val="20"/>
          <w:szCs w:val="20"/>
        </w:rPr>
      </w:pPr>
      <w:r w:rsidRPr="000E7F48">
        <w:rPr>
          <w:rFonts w:ascii="Arial" w:hAnsi="Arial" w:cs="Arial"/>
          <w:bCs/>
          <w:sz w:val="20"/>
          <w:szCs w:val="20"/>
        </w:rPr>
        <w:t>Promoting the interests of women, youth and persons living with disabilities.</w:t>
      </w:r>
    </w:p>
    <w:p w:rsidR="00E34EBC" w:rsidRPr="000E7F48" w:rsidRDefault="00E34EBC" w:rsidP="000E7F48">
      <w:pPr>
        <w:spacing w:after="0" w:line="240" w:lineRule="auto"/>
        <w:ind w:left="720"/>
        <w:rPr>
          <w:rFonts w:ascii="Arial" w:hAnsi="Arial" w:cs="Arial"/>
          <w:bCs/>
          <w:sz w:val="20"/>
          <w:szCs w:val="20"/>
        </w:rPr>
      </w:pPr>
    </w:p>
    <w:p w:rsidR="001B3CCE" w:rsidRPr="000E7F48" w:rsidRDefault="001B3CCE" w:rsidP="000E7F48">
      <w:pPr>
        <w:spacing w:after="0" w:line="240" w:lineRule="auto"/>
        <w:rPr>
          <w:rFonts w:ascii="Arial" w:hAnsi="Arial" w:cs="Arial"/>
          <w:b/>
          <w:sz w:val="20"/>
          <w:szCs w:val="20"/>
        </w:rPr>
      </w:pPr>
      <w:r w:rsidRPr="000E7F48">
        <w:rPr>
          <w:rFonts w:ascii="Arial" w:hAnsi="Arial" w:cs="Arial"/>
          <w:b/>
          <w:sz w:val="20"/>
          <w:szCs w:val="20"/>
        </w:rPr>
        <w:t xml:space="preserve">3. </w:t>
      </w:r>
      <w:r w:rsidRPr="000E7F48">
        <w:rPr>
          <w:rFonts w:ascii="Arial" w:hAnsi="Arial" w:cs="Arial"/>
          <w:b/>
          <w:sz w:val="20"/>
          <w:szCs w:val="20"/>
        </w:rPr>
        <w:tab/>
        <w:t>ANNUAL PERFORMANCE PLAN 202</w:t>
      </w:r>
      <w:r w:rsidR="007C2A7A" w:rsidRPr="000E7F48">
        <w:rPr>
          <w:rFonts w:ascii="Arial" w:hAnsi="Arial" w:cs="Arial"/>
          <w:b/>
          <w:sz w:val="20"/>
          <w:szCs w:val="20"/>
        </w:rPr>
        <w:t>3</w:t>
      </w:r>
      <w:r w:rsidRPr="000E7F48">
        <w:rPr>
          <w:rFonts w:ascii="Arial" w:hAnsi="Arial" w:cs="Arial"/>
          <w:b/>
          <w:sz w:val="20"/>
          <w:szCs w:val="20"/>
        </w:rPr>
        <w:t>/2</w:t>
      </w:r>
      <w:r w:rsidR="007C2A7A" w:rsidRPr="000E7F48">
        <w:rPr>
          <w:rFonts w:ascii="Arial" w:hAnsi="Arial" w:cs="Arial"/>
          <w:b/>
          <w:sz w:val="20"/>
          <w:szCs w:val="20"/>
        </w:rPr>
        <w:t>4</w:t>
      </w:r>
    </w:p>
    <w:p w:rsidR="001B3CCE" w:rsidRPr="000E7F48" w:rsidRDefault="001B3CCE" w:rsidP="000E7F48">
      <w:pPr>
        <w:spacing w:after="0" w:line="240" w:lineRule="auto"/>
        <w:rPr>
          <w:rFonts w:ascii="Arial" w:hAnsi="Arial" w:cs="Arial"/>
          <w:b/>
          <w:sz w:val="20"/>
          <w:szCs w:val="20"/>
        </w:rPr>
      </w:pPr>
      <w:r w:rsidRPr="000E7F48">
        <w:rPr>
          <w:rFonts w:ascii="Arial" w:hAnsi="Arial" w:cs="Arial"/>
          <w:b/>
          <w:sz w:val="20"/>
          <w:szCs w:val="20"/>
        </w:rPr>
        <w:t>3</w:t>
      </w:r>
      <w:r w:rsidR="007C2A7A" w:rsidRPr="000E7F48">
        <w:rPr>
          <w:rFonts w:ascii="Arial" w:hAnsi="Arial" w:cs="Arial"/>
          <w:b/>
          <w:sz w:val="20"/>
          <w:szCs w:val="20"/>
        </w:rPr>
        <w:t>.1</w:t>
      </w:r>
      <w:r w:rsidRPr="000E7F48">
        <w:rPr>
          <w:rFonts w:ascii="Arial" w:hAnsi="Arial" w:cs="Arial"/>
          <w:b/>
          <w:sz w:val="20"/>
          <w:szCs w:val="20"/>
        </w:rPr>
        <w:t xml:space="preserve"> </w:t>
      </w:r>
      <w:r w:rsidRPr="000E7F48">
        <w:rPr>
          <w:rFonts w:ascii="Arial" w:hAnsi="Arial" w:cs="Arial"/>
          <w:b/>
          <w:sz w:val="20"/>
          <w:szCs w:val="20"/>
        </w:rPr>
        <w:tab/>
        <w:t>CCB</w:t>
      </w:r>
      <w:r w:rsidR="007C2A7A" w:rsidRPr="000E7F48">
        <w:rPr>
          <w:rFonts w:ascii="Arial" w:hAnsi="Arial" w:cs="Arial"/>
          <w:b/>
          <w:sz w:val="20"/>
          <w:szCs w:val="20"/>
        </w:rPr>
        <w:t xml:space="preserve"> </w:t>
      </w:r>
      <w:r w:rsidRPr="000E7F48">
        <w:rPr>
          <w:rFonts w:ascii="Arial" w:hAnsi="Arial" w:cs="Arial"/>
          <w:b/>
          <w:sz w:val="20"/>
          <w:szCs w:val="20"/>
        </w:rPr>
        <w:t xml:space="preserve">Situational analysis </w:t>
      </w:r>
    </w:p>
    <w:p w:rsidR="001B3CCE" w:rsidRPr="000E7F48" w:rsidRDefault="001B3CCE" w:rsidP="000E7F48">
      <w:pPr>
        <w:autoSpaceDE w:val="0"/>
        <w:autoSpaceDN w:val="0"/>
        <w:adjustRightInd w:val="0"/>
        <w:spacing w:after="0" w:line="240" w:lineRule="auto"/>
        <w:rPr>
          <w:rFonts w:ascii="Arial" w:hAnsi="Arial" w:cs="Arial"/>
          <w:sz w:val="20"/>
          <w:szCs w:val="20"/>
        </w:rPr>
      </w:pPr>
      <w:r w:rsidRPr="000E7F48">
        <w:rPr>
          <w:rFonts w:ascii="Arial" w:hAnsi="Arial" w:cs="Arial"/>
          <w:bCs/>
          <w:sz w:val="20"/>
          <w:szCs w:val="20"/>
        </w:rPr>
        <w:t>The Updated 202</w:t>
      </w:r>
      <w:r w:rsidR="007C2A7A" w:rsidRPr="000E7F48">
        <w:rPr>
          <w:rFonts w:ascii="Arial" w:hAnsi="Arial" w:cs="Arial"/>
          <w:bCs/>
          <w:sz w:val="20"/>
          <w:szCs w:val="20"/>
        </w:rPr>
        <w:t>3</w:t>
      </w:r>
      <w:r w:rsidRPr="000E7F48">
        <w:rPr>
          <w:rFonts w:ascii="Arial" w:hAnsi="Arial" w:cs="Arial"/>
          <w:bCs/>
          <w:sz w:val="20"/>
          <w:szCs w:val="20"/>
        </w:rPr>
        <w:t xml:space="preserve"> Situational Analysis</w:t>
      </w:r>
      <w:r w:rsidRPr="000E7F48">
        <w:rPr>
          <w:rFonts w:ascii="Arial" w:hAnsi="Arial" w:cs="Arial"/>
          <w:sz w:val="20"/>
          <w:szCs w:val="20"/>
        </w:rPr>
        <w:t xml:space="preserve"> starts off with a reference to the COVID-19 pandemic, and the </w:t>
      </w:r>
      <w:r w:rsidR="007C2A7A" w:rsidRPr="000E7F48">
        <w:rPr>
          <w:rFonts w:ascii="Arial" w:hAnsi="Arial" w:cs="Arial"/>
          <w:sz w:val="20"/>
          <w:szCs w:val="20"/>
        </w:rPr>
        <w:t>impact thereof on the Castle</w:t>
      </w:r>
      <w:r w:rsidRPr="000E7F48">
        <w:rPr>
          <w:rFonts w:ascii="Arial" w:hAnsi="Arial" w:cs="Arial"/>
          <w:sz w:val="20"/>
          <w:szCs w:val="20"/>
        </w:rPr>
        <w:t xml:space="preserve">.  </w:t>
      </w:r>
      <w:r w:rsidR="007C2A7A" w:rsidRPr="000E7F48">
        <w:rPr>
          <w:rFonts w:ascii="Arial" w:hAnsi="Arial" w:cs="Arial"/>
          <w:sz w:val="20"/>
          <w:szCs w:val="20"/>
        </w:rPr>
        <w:t xml:space="preserve">The CCB notes the generous provision of R3 million relief funding by </w:t>
      </w:r>
      <w:r w:rsidR="002B6320" w:rsidRPr="000E7F48">
        <w:rPr>
          <w:rFonts w:ascii="Arial" w:hAnsi="Arial" w:cs="Arial"/>
          <w:sz w:val="20"/>
          <w:szCs w:val="20"/>
        </w:rPr>
        <w:t>the Department of Defence to the CCB on 20 May 2020. However, the CCB notes that, besides this once-off relief funding, the CCB desperately requires a similar, annual operational subsidy to fulfil its constitutional mandate over the MTEF. The Situation analysis includes the following other factors:</w:t>
      </w:r>
    </w:p>
    <w:p w:rsidR="002B6320" w:rsidRPr="000E7F48" w:rsidRDefault="002B6320" w:rsidP="000E7F48">
      <w:pPr>
        <w:pStyle w:val="ListParagraph"/>
        <w:numPr>
          <w:ilvl w:val="0"/>
          <w:numId w:val="38"/>
        </w:numPr>
        <w:autoSpaceDE w:val="0"/>
        <w:autoSpaceDN w:val="0"/>
        <w:adjustRightInd w:val="0"/>
        <w:rPr>
          <w:rFonts w:ascii="Arial" w:hAnsi="Arial" w:cs="Arial"/>
          <w:sz w:val="20"/>
          <w:szCs w:val="20"/>
        </w:rPr>
      </w:pPr>
      <w:r w:rsidRPr="000E7F48">
        <w:rPr>
          <w:rFonts w:ascii="Arial" w:hAnsi="Arial" w:cs="Arial"/>
          <w:i/>
          <w:sz w:val="20"/>
          <w:szCs w:val="20"/>
        </w:rPr>
        <w:t xml:space="preserve">Political environment analysis. </w:t>
      </w:r>
      <w:r w:rsidRPr="000E7F48">
        <w:rPr>
          <w:rFonts w:ascii="Arial" w:hAnsi="Arial" w:cs="Arial"/>
          <w:sz w:val="20"/>
          <w:szCs w:val="20"/>
        </w:rPr>
        <w:t>Given the Castle of Good Hope's historical association with armed colonial conquest, land dispossession, imperialism, apartheid and oppression, its strategic operations cannot be divorced from a dynamic and sometimes explosive international but also domestic political environment. The political dimension plays itself out in numerous ways: at the level of heritage management, there is the perpetual contestation between social groups who view it as a "bastion of white civilization in darkest Africa", as to those who perceive it as a symbol of armed colonial conquest".</w:t>
      </w:r>
    </w:p>
    <w:p w:rsidR="002B6320" w:rsidRPr="000E7F48" w:rsidRDefault="002B6320" w:rsidP="000E7F48">
      <w:pPr>
        <w:pStyle w:val="ListParagraph"/>
        <w:numPr>
          <w:ilvl w:val="0"/>
          <w:numId w:val="38"/>
        </w:numPr>
        <w:autoSpaceDE w:val="0"/>
        <w:autoSpaceDN w:val="0"/>
        <w:adjustRightInd w:val="0"/>
        <w:rPr>
          <w:rFonts w:ascii="Arial" w:hAnsi="Arial" w:cs="Arial"/>
          <w:sz w:val="20"/>
          <w:szCs w:val="20"/>
        </w:rPr>
      </w:pPr>
      <w:r w:rsidRPr="000E7F48">
        <w:rPr>
          <w:rFonts w:ascii="Arial" w:hAnsi="Arial" w:cs="Arial"/>
          <w:i/>
          <w:sz w:val="20"/>
          <w:szCs w:val="20"/>
        </w:rPr>
        <w:lastRenderedPageBreak/>
        <w:t xml:space="preserve">Economic environment analysis. </w:t>
      </w:r>
      <w:r w:rsidRPr="000E7F48">
        <w:rPr>
          <w:rFonts w:ascii="Arial" w:hAnsi="Arial" w:cs="Arial"/>
          <w:sz w:val="20"/>
          <w:szCs w:val="20"/>
        </w:rPr>
        <w:t>The Castle Control Board is almost entirely reliant (98%) on self-generated income from tourism, events, and rentals to fund its heritage and educational programmes. Given that the organisation primarily relies on domestic tourism, the South African economy set to grow at a meagre 1.2% over the next MTSF poses a significant threat to this small but vibrant heritage-enterprise entity</w:t>
      </w:r>
    </w:p>
    <w:p w:rsidR="002B6320" w:rsidRPr="000E7F48" w:rsidRDefault="002B6320" w:rsidP="000E7F48">
      <w:pPr>
        <w:pStyle w:val="ListParagraph"/>
        <w:numPr>
          <w:ilvl w:val="0"/>
          <w:numId w:val="38"/>
        </w:numPr>
        <w:autoSpaceDE w:val="0"/>
        <w:autoSpaceDN w:val="0"/>
        <w:adjustRightInd w:val="0"/>
        <w:rPr>
          <w:rFonts w:ascii="Arial" w:hAnsi="Arial" w:cs="Arial"/>
          <w:sz w:val="20"/>
          <w:szCs w:val="20"/>
        </w:rPr>
      </w:pPr>
      <w:r w:rsidRPr="000E7F48">
        <w:rPr>
          <w:rFonts w:ascii="Arial" w:hAnsi="Arial" w:cs="Arial"/>
          <w:i/>
          <w:sz w:val="20"/>
          <w:szCs w:val="20"/>
        </w:rPr>
        <w:t>Social environment analysis.</w:t>
      </w:r>
      <w:r w:rsidRPr="000E7F48">
        <w:rPr>
          <w:rFonts w:ascii="Arial" w:hAnsi="Arial" w:cs="Arial"/>
          <w:sz w:val="20"/>
          <w:szCs w:val="20"/>
        </w:rPr>
        <w:t xml:space="preserve"> The 4th Industrial Revolution will have a profound impact on the social construct. This revolution will revolutionize education to provide the skills for sustainable employment. Automation, robotics, and artificial intelligence will reduce the demand for unskilled labour, consequently placing additional social services pressure.</w:t>
      </w:r>
    </w:p>
    <w:p w:rsidR="002B6320" w:rsidRPr="000E7F48" w:rsidRDefault="002B6320" w:rsidP="000E7F48">
      <w:pPr>
        <w:pStyle w:val="ListParagraph"/>
        <w:numPr>
          <w:ilvl w:val="0"/>
          <w:numId w:val="38"/>
        </w:numPr>
        <w:autoSpaceDE w:val="0"/>
        <w:autoSpaceDN w:val="0"/>
        <w:adjustRightInd w:val="0"/>
        <w:rPr>
          <w:rFonts w:ascii="Arial" w:hAnsi="Arial" w:cs="Arial"/>
          <w:sz w:val="20"/>
          <w:szCs w:val="20"/>
        </w:rPr>
      </w:pPr>
      <w:r w:rsidRPr="000E7F48">
        <w:rPr>
          <w:rFonts w:ascii="Arial" w:hAnsi="Arial" w:cs="Arial"/>
          <w:i/>
          <w:sz w:val="20"/>
          <w:szCs w:val="20"/>
        </w:rPr>
        <w:t>Technological environment analysis.</w:t>
      </w:r>
      <w:r w:rsidRPr="000E7F48">
        <w:rPr>
          <w:rFonts w:ascii="Arial" w:hAnsi="Arial" w:cs="Arial"/>
          <w:sz w:val="20"/>
          <w:szCs w:val="20"/>
        </w:rPr>
        <w:t xml:space="preserve"> In 2018, individual members gained access to emails and other electronic information and smeared the Board's name. The State and the Castle Control Board must place cybersecurity as a strategic priority.</w:t>
      </w:r>
    </w:p>
    <w:p w:rsidR="002B6320" w:rsidRPr="000E7F48" w:rsidRDefault="002B6320" w:rsidP="000E7F48">
      <w:pPr>
        <w:pStyle w:val="ListParagraph"/>
        <w:numPr>
          <w:ilvl w:val="0"/>
          <w:numId w:val="38"/>
        </w:numPr>
        <w:autoSpaceDE w:val="0"/>
        <w:autoSpaceDN w:val="0"/>
        <w:adjustRightInd w:val="0"/>
        <w:rPr>
          <w:rFonts w:ascii="Arial" w:hAnsi="Arial" w:cs="Arial"/>
          <w:sz w:val="20"/>
          <w:szCs w:val="20"/>
        </w:rPr>
      </w:pPr>
      <w:r w:rsidRPr="000E7F48">
        <w:rPr>
          <w:rFonts w:ascii="Arial" w:hAnsi="Arial" w:cs="Arial"/>
          <w:i/>
          <w:sz w:val="20"/>
          <w:szCs w:val="20"/>
        </w:rPr>
        <w:t>Internal environment analysis.</w:t>
      </w:r>
      <w:r w:rsidRPr="000E7F48">
        <w:rPr>
          <w:rFonts w:ascii="Arial" w:hAnsi="Arial" w:cs="Arial"/>
          <w:sz w:val="20"/>
          <w:szCs w:val="20"/>
        </w:rPr>
        <w:t xml:space="preserve"> One of CCB's most significant threats is its going concern linked to financial sustainability. </w:t>
      </w:r>
      <w:r w:rsidR="00E8747E" w:rsidRPr="000E7F48">
        <w:rPr>
          <w:rFonts w:ascii="Arial" w:hAnsi="Arial" w:cs="Arial"/>
          <w:sz w:val="20"/>
          <w:szCs w:val="20"/>
        </w:rPr>
        <w:t>The Castle needs to be operationally managed solely by the CCB, and all other entities present on or connected to the site – military and non-military - must adhere to the policies and procedures of the CCB.</w:t>
      </w:r>
    </w:p>
    <w:p w:rsidR="00E8747E" w:rsidRPr="000E7F48" w:rsidRDefault="00E8747E" w:rsidP="000E7F48">
      <w:pPr>
        <w:pStyle w:val="ListParagraph"/>
        <w:autoSpaceDE w:val="0"/>
        <w:autoSpaceDN w:val="0"/>
        <w:adjustRightInd w:val="0"/>
        <w:rPr>
          <w:rFonts w:ascii="Arial" w:hAnsi="Arial" w:cs="Arial"/>
          <w:sz w:val="20"/>
          <w:szCs w:val="20"/>
        </w:rPr>
      </w:pPr>
    </w:p>
    <w:p w:rsidR="001B3CCE" w:rsidRPr="000E7F48" w:rsidRDefault="00E8747E" w:rsidP="000E7F48">
      <w:pPr>
        <w:spacing w:after="0" w:line="240" w:lineRule="auto"/>
        <w:rPr>
          <w:rFonts w:ascii="Arial" w:hAnsi="Arial" w:cs="Arial"/>
          <w:b/>
          <w:sz w:val="20"/>
          <w:szCs w:val="20"/>
        </w:rPr>
      </w:pPr>
      <w:r w:rsidRPr="000E7F48">
        <w:rPr>
          <w:rFonts w:ascii="Arial" w:hAnsi="Arial" w:cs="Arial"/>
          <w:b/>
          <w:sz w:val="20"/>
          <w:szCs w:val="20"/>
        </w:rPr>
        <w:t>3.2</w:t>
      </w:r>
      <w:r w:rsidR="001B3CCE" w:rsidRPr="000E7F48">
        <w:rPr>
          <w:rFonts w:ascii="Arial" w:hAnsi="Arial" w:cs="Arial"/>
          <w:b/>
          <w:sz w:val="20"/>
          <w:szCs w:val="20"/>
        </w:rPr>
        <w:tab/>
        <w:t>Measuring CCB Performance</w:t>
      </w:r>
    </w:p>
    <w:p w:rsidR="001B3CCE" w:rsidRPr="000E7F48" w:rsidRDefault="001B3CCE" w:rsidP="000E7F48">
      <w:pPr>
        <w:autoSpaceDE w:val="0"/>
        <w:autoSpaceDN w:val="0"/>
        <w:adjustRightInd w:val="0"/>
        <w:spacing w:after="0" w:line="240" w:lineRule="auto"/>
        <w:rPr>
          <w:rFonts w:ascii="Arial" w:hAnsi="Arial" w:cs="Arial"/>
          <w:sz w:val="20"/>
          <w:szCs w:val="20"/>
        </w:rPr>
      </w:pPr>
      <w:r w:rsidRPr="000E7F48">
        <w:rPr>
          <w:rFonts w:ascii="Arial" w:hAnsi="Arial" w:cs="Arial"/>
          <w:sz w:val="20"/>
          <w:szCs w:val="20"/>
        </w:rPr>
        <w:t xml:space="preserve">The </w:t>
      </w:r>
      <w:r w:rsidR="00462A2C" w:rsidRPr="000E7F48">
        <w:rPr>
          <w:rFonts w:ascii="Arial" w:hAnsi="Arial" w:cs="Arial"/>
          <w:sz w:val="20"/>
          <w:szCs w:val="20"/>
        </w:rPr>
        <w:t>202</w:t>
      </w:r>
      <w:r w:rsidR="00E8747E" w:rsidRPr="000E7F48">
        <w:rPr>
          <w:rFonts w:ascii="Arial" w:hAnsi="Arial" w:cs="Arial"/>
          <w:sz w:val="20"/>
          <w:szCs w:val="20"/>
        </w:rPr>
        <w:t>3</w:t>
      </w:r>
      <w:r w:rsidR="00462A2C" w:rsidRPr="000E7F48">
        <w:rPr>
          <w:rFonts w:ascii="Arial" w:hAnsi="Arial" w:cs="Arial"/>
          <w:sz w:val="20"/>
          <w:szCs w:val="20"/>
        </w:rPr>
        <w:t>/2</w:t>
      </w:r>
      <w:r w:rsidR="00E8747E" w:rsidRPr="000E7F48">
        <w:rPr>
          <w:rFonts w:ascii="Arial" w:hAnsi="Arial" w:cs="Arial"/>
          <w:sz w:val="20"/>
          <w:szCs w:val="20"/>
        </w:rPr>
        <w:t>4</w:t>
      </w:r>
      <w:r w:rsidR="00462A2C" w:rsidRPr="000E7F48">
        <w:rPr>
          <w:rFonts w:ascii="Arial" w:hAnsi="Arial" w:cs="Arial"/>
          <w:sz w:val="20"/>
          <w:szCs w:val="20"/>
        </w:rPr>
        <w:t xml:space="preserve"> </w:t>
      </w:r>
      <w:r w:rsidRPr="000E7F48">
        <w:rPr>
          <w:rFonts w:ascii="Arial" w:hAnsi="Arial" w:cs="Arial"/>
          <w:sz w:val="20"/>
          <w:szCs w:val="20"/>
        </w:rPr>
        <w:t>APP states that the CCB will, over the 2019-2024 MTSF period, support the government's priorities and ultimately, the National Development Plan (NDP), Vision 2030 as well as the NDP 5-year Implementation Plan.</w:t>
      </w:r>
      <w:r w:rsidR="00E8747E" w:rsidRPr="000E7F48">
        <w:rPr>
          <w:rFonts w:ascii="Arial" w:hAnsi="Arial" w:cs="Arial"/>
          <w:sz w:val="20"/>
          <w:szCs w:val="20"/>
        </w:rPr>
        <w:t xml:space="preserve"> </w:t>
      </w:r>
      <w:r w:rsidRPr="000E7F48">
        <w:rPr>
          <w:rFonts w:ascii="Arial" w:hAnsi="Arial" w:cs="Arial"/>
          <w:sz w:val="20"/>
          <w:szCs w:val="20"/>
        </w:rPr>
        <w:t xml:space="preserve">The detailed performance Outcomes </w:t>
      </w:r>
      <w:r w:rsidR="00E8747E" w:rsidRPr="000E7F48">
        <w:rPr>
          <w:rFonts w:ascii="Arial" w:hAnsi="Arial" w:cs="Arial"/>
          <w:sz w:val="20"/>
          <w:szCs w:val="20"/>
        </w:rPr>
        <w:t>for 2023/24</w:t>
      </w:r>
      <w:r w:rsidRPr="000E7F48">
        <w:rPr>
          <w:rFonts w:ascii="Arial" w:hAnsi="Arial" w:cs="Arial"/>
          <w:sz w:val="20"/>
          <w:szCs w:val="20"/>
        </w:rPr>
        <w:t xml:space="preserve"> is provided in the table below</w:t>
      </w:r>
      <w:r w:rsidR="00E8747E" w:rsidRPr="000E7F48">
        <w:rPr>
          <w:rFonts w:ascii="Arial" w:hAnsi="Arial" w:cs="Arial"/>
          <w:sz w:val="20"/>
          <w:szCs w:val="20"/>
        </w:rPr>
        <w:t xml:space="preserve">. </w:t>
      </w:r>
      <w:r w:rsidRPr="000E7F48">
        <w:rPr>
          <w:rFonts w:ascii="Arial" w:hAnsi="Arial" w:cs="Arial"/>
          <w:sz w:val="20"/>
          <w:szCs w:val="20"/>
        </w:rPr>
        <w:t xml:space="preserve">These are the high level, measurable, impactful outcomes. </w:t>
      </w:r>
    </w:p>
    <w:p w:rsidR="00E8747E" w:rsidRPr="000E7F48" w:rsidRDefault="00E8747E" w:rsidP="000E7F48">
      <w:pPr>
        <w:pStyle w:val="ListParagraph"/>
        <w:autoSpaceDE w:val="0"/>
        <w:autoSpaceDN w:val="0"/>
        <w:adjustRightInd w:val="0"/>
        <w:ind w:left="0"/>
        <w:rPr>
          <w:rFonts w:ascii="Arial" w:eastAsiaTheme="minorHAnsi" w:hAnsi="Arial" w:cs="Arial"/>
          <w:sz w:val="20"/>
          <w:szCs w:val="20"/>
          <w:lang w:val="en-ZA"/>
        </w:rPr>
      </w:pPr>
    </w:p>
    <w:tbl>
      <w:tblPr>
        <w:tblStyle w:val="TableGrid"/>
        <w:tblW w:w="0" w:type="auto"/>
        <w:jc w:val="center"/>
        <w:tblLook w:val="04A0"/>
      </w:tblPr>
      <w:tblGrid>
        <w:gridCol w:w="4390"/>
        <w:gridCol w:w="1439"/>
        <w:gridCol w:w="1701"/>
        <w:gridCol w:w="1508"/>
      </w:tblGrid>
      <w:tr w:rsidR="00E8747E" w:rsidRPr="000E7F48" w:rsidTr="009048AA">
        <w:trPr>
          <w:tblHeader/>
          <w:jc w:val="center"/>
        </w:trPr>
        <w:tc>
          <w:tcPr>
            <w:tcW w:w="4390" w:type="dxa"/>
            <w:shd w:val="clear" w:color="auto" w:fill="D9D9D9" w:themeFill="background1" w:themeFillShade="D9"/>
          </w:tcPr>
          <w:p w:rsidR="00E8747E" w:rsidRPr="000E7F48" w:rsidRDefault="00E8747E" w:rsidP="000E7F48">
            <w:pPr>
              <w:rPr>
                <w:rFonts w:ascii="Arial" w:hAnsi="Arial" w:cs="Arial"/>
                <w:b/>
                <w:sz w:val="20"/>
                <w:szCs w:val="20"/>
              </w:rPr>
            </w:pPr>
            <w:r w:rsidRPr="000E7F48">
              <w:rPr>
                <w:rFonts w:ascii="Arial" w:hAnsi="Arial" w:cs="Arial"/>
                <w:b/>
                <w:sz w:val="20"/>
                <w:szCs w:val="20"/>
              </w:rPr>
              <w:t>Output indicator</w:t>
            </w:r>
          </w:p>
        </w:tc>
        <w:tc>
          <w:tcPr>
            <w:tcW w:w="1417" w:type="dxa"/>
            <w:shd w:val="clear" w:color="auto" w:fill="D9D9D9" w:themeFill="background1" w:themeFillShade="D9"/>
          </w:tcPr>
          <w:p w:rsidR="00E8747E" w:rsidRPr="000E7F48" w:rsidRDefault="00E8747E" w:rsidP="000E7F48">
            <w:pPr>
              <w:rPr>
                <w:rFonts w:ascii="Arial" w:hAnsi="Arial" w:cs="Arial"/>
                <w:b/>
                <w:sz w:val="20"/>
                <w:szCs w:val="20"/>
              </w:rPr>
            </w:pPr>
            <w:r w:rsidRPr="000E7F48">
              <w:rPr>
                <w:rFonts w:ascii="Arial" w:hAnsi="Arial" w:cs="Arial"/>
                <w:b/>
                <w:sz w:val="20"/>
                <w:szCs w:val="20"/>
              </w:rPr>
              <w:t>Performance 2020/21</w:t>
            </w:r>
          </w:p>
        </w:tc>
        <w:tc>
          <w:tcPr>
            <w:tcW w:w="1701" w:type="dxa"/>
            <w:shd w:val="clear" w:color="auto" w:fill="D9D9D9" w:themeFill="background1" w:themeFillShade="D9"/>
          </w:tcPr>
          <w:p w:rsidR="00E8747E" w:rsidRPr="000E7F48" w:rsidRDefault="00E8747E" w:rsidP="000E7F48">
            <w:pPr>
              <w:rPr>
                <w:rFonts w:ascii="Arial" w:hAnsi="Arial" w:cs="Arial"/>
                <w:b/>
                <w:sz w:val="20"/>
                <w:szCs w:val="20"/>
              </w:rPr>
            </w:pPr>
            <w:r w:rsidRPr="000E7F48">
              <w:rPr>
                <w:rFonts w:ascii="Arial" w:hAnsi="Arial" w:cs="Arial"/>
                <w:b/>
                <w:sz w:val="20"/>
                <w:szCs w:val="20"/>
              </w:rPr>
              <w:t>Performance 2021/22 (estimated)</w:t>
            </w:r>
          </w:p>
        </w:tc>
        <w:tc>
          <w:tcPr>
            <w:tcW w:w="1508" w:type="dxa"/>
            <w:shd w:val="clear" w:color="auto" w:fill="D9D9D9" w:themeFill="background1" w:themeFillShade="D9"/>
          </w:tcPr>
          <w:p w:rsidR="00E8747E" w:rsidRPr="000E7F48" w:rsidRDefault="00E8747E" w:rsidP="000E7F48">
            <w:pPr>
              <w:rPr>
                <w:rFonts w:ascii="Arial" w:hAnsi="Arial" w:cs="Arial"/>
                <w:b/>
                <w:sz w:val="20"/>
                <w:szCs w:val="20"/>
              </w:rPr>
            </w:pPr>
            <w:r w:rsidRPr="000E7F48">
              <w:rPr>
                <w:rFonts w:ascii="Arial" w:hAnsi="Arial" w:cs="Arial"/>
                <w:b/>
                <w:sz w:val="20"/>
                <w:szCs w:val="20"/>
              </w:rPr>
              <w:t>Target 2023/24</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Percentage payments within 30 days from receipt of legitimate invoices</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New indicator</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New indicator</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95%</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Number of preventative and regulation maintenance projects completed</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8</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8</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8</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Number of non-commercial, cultural events hosted annually at the Castle of Good Hope</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10</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10</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15</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The annual number of visitors and tourists attracted</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33 452</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120 000</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125 000</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Gross revenue generated</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R9.438 million</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R10.005 million</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R10.455 million</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Number of tourism infrastructure upgrades completed</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1</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1</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1</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The annual number of potential visitors reached through the media</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80 000</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90 000</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100 000</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Number of student interns</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8</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12</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12</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Number of heritage educational programmes organized for women, unemployed youth, disabled and traditional communities</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12</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15</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18</w:t>
            </w:r>
          </w:p>
        </w:tc>
      </w:tr>
      <w:tr w:rsidR="00E8747E" w:rsidRPr="000E7F48" w:rsidTr="009048AA">
        <w:trPr>
          <w:jc w:val="center"/>
        </w:trPr>
        <w:tc>
          <w:tcPr>
            <w:tcW w:w="4390" w:type="dxa"/>
          </w:tcPr>
          <w:p w:rsidR="00E8747E" w:rsidRPr="000E7F48" w:rsidRDefault="00E8747E" w:rsidP="000E7F48">
            <w:pPr>
              <w:rPr>
                <w:rFonts w:ascii="Arial" w:hAnsi="Arial" w:cs="Arial"/>
                <w:sz w:val="20"/>
                <w:szCs w:val="20"/>
              </w:rPr>
            </w:pPr>
            <w:r w:rsidRPr="000E7F48">
              <w:rPr>
                <w:rFonts w:ascii="Arial" w:hAnsi="Arial" w:cs="Arial"/>
                <w:sz w:val="20"/>
                <w:szCs w:val="20"/>
              </w:rPr>
              <w:t>Number of heritage programmes organised for Military Veterans</w:t>
            </w:r>
          </w:p>
        </w:tc>
        <w:tc>
          <w:tcPr>
            <w:tcW w:w="1417" w:type="dxa"/>
          </w:tcPr>
          <w:p w:rsidR="00E8747E" w:rsidRPr="000E7F48" w:rsidRDefault="00E8747E" w:rsidP="000E7F48">
            <w:pPr>
              <w:rPr>
                <w:rFonts w:ascii="Arial" w:hAnsi="Arial" w:cs="Arial"/>
                <w:sz w:val="20"/>
                <w:szCs w:val="20"/>
              </w:rPr>
            </w:pPr>
            <w:r w:rsidRPr="000E7F48">
              <w:rPr>
                <w:rFonts w:ascii="Arial" w:hAnsi="Arial" w:cs="Arial"/>
                <w:sz w:val="20"/>
                <w:szCs w:val="20"/>
              </w:rPr>
              <w:t>6</w:t>
            </w:r>
          </w:p>
        </w:tc>
        <w:tc>
          <w:tcPr>
            <w:tcW w:w="1701" w:type="dxa"/>
          </w:tcPr>
          <w:p w:rsidR="00E8747E" w:rsidRPr="000E7F48" w:rsidRDefault="00E8747E" w:rsidP="000E7F48">
            <w:pPr>
              <w:rPr>
                <w:rFonts w:ascii="Arial" w:hAnsi="Arial" w:cs="Arial"/>
                <w:sz w:val="20"/>
                <w:szCs w:val="20"/>
              </w:rPr>
            </w:pPr>
            <w:r w:rsidRPr="000E7F48">
              <w:rPr>
                <w:rFonts w:ascii="Arial" w:hAnsi="Arial" w:cs="Arial"/>
                <w:sz w:val="20"/>
                <w:szCs w:val="20"/>
              </w:rPr>
              <w:t>6</w:t>
            </w:r>
          </w:p>
        </w:tc>
        <w:tc>
          <w:tcPr>
            <w:tcW w:w="1508" w:type="dxa"/>
            <w:shd w:val="clear" w:color="auto" w:fill="auto"/>
          </w:tcPr>
          <w:p w:rsidR="00E8747E" w:rsidRPr="000E7F48" w:rsidRDefault="00E8747E" w:rsidP="000E7F48">
            <w:pPr>
              <w:rPr>
                <w:rFonts w:ascii="Arial" w:hAnsi="Arial" w:cs="Arial"/>
                <w:sz w:val="20"/>
                <w:szCs w:val="20"/>
              </w:rPr>
            </w:pPr>
            <w:r w:rsidRPr="000E7F48">
              <w:rPr>
                <w:rFonts w:ascii="Arial" w:hAnsi="Arial" w:cs="Arial"/>
                <w:sz w:val="20"/>
                <w:szCs w:val="20"/>
              </w:rPr>
              <w:t>6</w:t>
            </w:r>
          </w:p>
        </w:tc>
      </w:tr>
    </w:tbl>
    <w:p w:rsidR="00785389" w:rsidRPr="000E7F48" w:rsidRDefault="00785389" w:rsidP="000E7F48">
      <w:pPr>
        <w:pStyle w:val="ListParagraph"/>
        <w:autoSpaceDE w:val="0"/>
        <w:autoSpaceDN w:val="0"/>
        <w:adjustRightInd w:val="0"/>
        <w:ind w:left="0"/>
        <w:rPr>
          <w:rFonts w:ascii="Arial" w:eastAsiaTheme="minorHAnsi" w:hAnsi="Arial" w:cs="Arial"/>
          <w:b/>
          <w:i/>
          <w:sz w:val="20"/>
          <w:szCs w:val="20"/>
          <w:lang w:val="en-ZA"/>
        </w:rPr>
      </w:pPr>
      <w:r w:rsidRPr="000E7F48">
        <w:rPr>
          <w:rFonts w:ascii="Arial" w:eastAsiaTheme="minorHAnsi" w:hAnsi="Arial" w:cs="Arial"/>
          <w:b/>
          <w:i/>
          <w:sz w:val="20"/>
          <w:szCs w:val="20"/>
          <w:lang w:val="en-ZA"/>
        </w:rPr>
        <w:t xml:space="preserve">Table 1: </w:t>
      </w:r>
      <w:r w:rsidR="00E8747E" w:rsidRPr="000E7F48">
        <w:rPr>
          <w:rFonts w:ascii="Arial" w:eastAsiaTheme="minorHAnsi" w:hAnsi="Arial" w:cs="Arial"/>
          <w:b/>
          <w:i/>
          <w:sz w:val="20"/>
          <w:szCs w:val="20"/>
          <w:lang w:val="en-ZA"/>
        </w:rPr>
        <w:t xml:space="preserve">CCB </w:t>
      </w:r>
      <w:r w:rsidRPr="000E7F48">
        <w:rPr>
          <w:rFonts w:ascii="Arial" w:eastAsiaTheme="minorHAnsi" w:hAnsi="Arial" w:cs="Arial"/>
          <w:b/>
          <w:i/>
          <w:sz w:val="20"/>
          <w:szCs w:val="20"/>
          <w:lang w:val="en-ZA"/>
        </w:rPr>
        <w:t xml:space="preserve">Outcome indicators </w:t>
      </w:r>
    </w:p>
    <w:p w:rsidR="00785389" w:rsidRPr="000E7F48" w:rsidRDefault="00785389" w:rsidP="000E7F48">
      <w:pPr>
        <w:pStyle w:val="ListParagraph"/>
        <w:autoSpaceDE w:val="0"/>
        <w:autoSpaceDN w:val="0"/>
        <w:adjustRightInd w:val="0"/>
        <w:ind w:left="0"/>
        <w:rPr>
          <w:rFonts w:ascii="Arial" w:eastAsiaTheme="minorHAnsi" w:hAnsi="Arial" w:cs="Arial"/>
          <w:b/>
          <w:bCs/>
          <w:color w:val="7030A0"/>
          <w:sz w:val="20"/>
          <w:szCs w:val="20"/>
          <w:lang w:val="en-ZA"/>
        </w:rPr>
      </w:pPr>
    </w:p>
    <w:p w:rsidR="001B3CCE" w:rsidRPr="000E7F48" w:rsidRDefault="001B3CCE" w:rsidP="000E7F48">
      <w:pPr>
        <w:pStyle w:val="ListParagraph"/>
        <w:autoSpaceDE w:val="0"/>
        <w:autoSpaceDN w:val="0"/>
        <w:adjustRightInd w:val="0"/>
        <w:ind w:left="0"/>
        <w:rPr>
          <w:rFonts w:ascii="Arial" w:eastAsiaTheme="minorHAnsi" w:hAnsi="Arial" w:cs="Arial"/>
          <w:b/>
          <w:bCs/>
          <w:sz w:val="20"/>
          <w:szCs w:val="20"/>
          <w:lang w:val="en-ZA"/>
        </w:rPr>
      </w:pPr>
      <w:r w:rsidRPr="000E7F48">
        <w:rPr>
          <w:rFonts w:ascii="Arial" w:eastAsiaTheme="minorHAnsi" w:hAnsi="Arial" w:cs="Arial"/>
          <w:b/>
          <w:bCs/>
          <w:sz w:val="20"/>
          <w:szCs w:val="20"/>
          <w:lang w:val="en-ZA"/>
        </w:rPr>
        <w:t>4.</w:t>
      </w:r>
      <w:r w:rsidRPr="000E7F48">
        <w:rPr>
          <w:rFonts w:ascii="Arial" w:eastAsiaTheme="minorHAnsi" w:hAnsi="Arial" w:cs="Arial"/>
          <w:b/>
          <w:bCs/>
          <w:sz w:val="20"/>
          <w:szCs w:val="20"/>
          <w:lang w:val="en-ZA"/>
        </w:rPr>
        <w:tab/>
        <w:t>CASTLE CONTROL BOARD PROGRAMM</w:t>
      </w:r>
      <w:r w:rsidR="00E8747E" w:rsidRPr="000E7F48">
        <w:rPr>
          <w:rFonts w:ascii="Arial" w:eastAsiaTheme="minorHAnsi" w:hAnsi="Arial" w:cs="Arial"/>
          <w:b/>
          <w:bCs/>
          <w:sz w:val="20"/>
          <w:szCs w:val="20"/>
          <w:lang w:val="en-ZA"/>
        </w:rPr>
        <w:t>ES FOR 2023</w:t>
      </w:r>
      <w:r w:rsidRPr="000E7F48">
        <w:rPr>
          <w:rFonts w:ascii="Arial" w:eastAsiaTheme="minorHAnsi" w:hAnsi="Arial" w:cs="Arial"/>
          <w:b/>
          <w:bCs/>
          <w:sz w:val="20"/>
          <w:szCs w:val="20"/>
          <w:lang w:val="en-ZA"/>
        </w:rPr>
        <w:t>/2</w:t>
      </w:r>
      <w:r w:rsidR="00E8747E" w:rsidRPr="000E7F48">
        <w:rPr>
          <w:rFonts w:ascii="Arial" w:eastAsiaTheme="minorHAnsi" w:hAnsi="Arial" w:cs="Arial"/>
          <w:b/>
          <w:bCs/>
          <w:sz w:val="20"/>
          <w:szCs w:val="20"/>
          <w:lang w:val="en-ZA"/>
        </w:rPr>
        <w:t>4</w:t>
      </w:r>
    </w:p>
    <w:p w:rsidR="001B3CCE" w:rsidRPr="000E7F48" w:rsidRDefault="001B3CCE" w:rsidP="000E7F48">
      <w:pPr>
        <w:pStyle w:val="ListParagraph"/>
        <w:autoSpaceDE w:val="0"/>
        <w:autoSpaceDN w:val="0"/>
        <w:adjustRightInd w:val="0"/>
        <w:ind w:left="0"/>
        <w:rPr>
          <w:rFonts w:ascii="Arial" w:eastAsiaTheme="minorHAnsi" w:hAnsi="Arial" w:cs="Arial"/>
          <w:b/>
          <w:bCs/>
          <w:sz w:val="20"/>
          <w:szCs w:val="20"/>
          <w:lang w:val="en-ZA"/>
        </w:rPr>
      </w:pPr>
    </w:p>
    <w:p w:rsidR="001B3CCE" w:rsidRPr="000E7F48" w:rsidRDefault="001B3CCE" w:rsidP="000E7F48">
      <w:pPr>
        <w:pStyle w:val="ListParagraph"/>
        <w:autoSpaceDE w:val="0"/>
        <w:autoSpaceDN w:val="0"/>
        <w:adjustRightInd w:val="0"/>
        <w:ind w:left="0"/>
        <w:rPr>
          <w:rFonts w:ascii="Arial" w:eastAsiaTheme="minorHAnsi" w:hAnsi="Arial" w:cs="Arial"/>
          <w:b/>
          <w:bCs/>
          <w:sz w:val="20"/>
          <w:szCs w:val="20"/>
          <w:lang w:val="en-ZA"/>
        </w:rPr>
      </w:pPr>
      <w:r w:rsidRPr="000E7F48">
        <w:rPr>
          <w:rFonts w:ascii="Arial" w:eastAsiaTheme="minorHAnsi" w:hAnsi="Arial" w:cs="Arial"/>
          <w:b/>
          <w:bCs/>
          <w:sz w:val="20"/>
          <w:szCs w:val="20"/>
          <w:lang w:val="en-ZA"/>
        </w:rPr>
        <w:t>4.1</w:t>
      </w:r>
      <w:r w:rsidRPr="000E7F48">
        <w:rPr>
          <w:rFonts w:ascii="Arial" w:eastAsiaTheme="minorHAnsi" w:hAnsi="Arial" w:cs="Arial"/>
          <w:b/>
          <w:bCs/>
          <w:sz w:val="20"/>
          <w:szCs w:val="20"/>
          <w:lang w:val="en-ZA"/>
        </w:rPr>
        <w:tab/>
        <w:t>Programme 1: Administration</w:t>
      </w:r>
    </w:p>
    <w:p w:rsidR="001B3CCE" w:rsidRPr="000E7F48" w:rsidRDefault="001B3CCE" w:rsidP="000E7F48">
      <w:pPr>
        <w:pStyle w:val="ListParagraph"/>
        <w:autoSpaceDE w:val="0"/>
        <w:autoSpaceDN w:val="0"/>
        <w:adjustRightInd w:val="0"/>
        <w:ind w:left="0"/>
        <w:rPr>
          <w:rFonts w:ascii="Arial" w:eastAsiaTheme="minorHAnsi" w:hAnsi="Arial" w:cs="Arial"/>
          <w:b/>
          <w:bCs/>
          <w:sz w:val="20"/>
          <w:szCs w:val="20"/>
          <w:lang w:val="en-ZA"/>
        </w:rPr>
      </w:pPr>
    </w:p>
    <w:p w:rsidR="001B3CCE" w:rsidRPr="000E7F48" w:rsidRDefault="001B3CCE" w:rsidP="000E7F48">
      <w:pPr>
        <w:pStyle w:val="ListParagraph"/>
        <w:autoSpaceDE w:val="0"/>
        <w:autoSpaceDN w:val="0"/>
        <w:adjustRightInd w:val="0"/>
        <w:ind w:left="0"/>
        <w:rPr>
          <w:rFonts w:ascii="Arial" w:eastAsiaTheme="minorHAnsi" w:hAnsi="Arial" w:cs="Arial"/>
          <w:sz w:val="20"/>
          <w:szCs w:val="20"/>
          <w:lang w:val="en-ZA"/>
        </w:rPr>
      </w:pPr>
      <w:r w:rsidRPr="000E7F48">
        <w:rPr>
          <w:rFonts w:ascii="Arial" w:eastAsiaTheme="minorHAnsi" w:hAnsi="Arial" w:cs="Arial"/>
          <w:sz w:val="20"/>
          <w:szCs w:val="20"/>
          <w:lang w:val="en-ZA"/>
        </w:rPr>
        <w:t>The purpose of the Administration programme is to ensure clean, sound administration and good corporate governance.</w:t>
      </w:r>
    </w:p>
    <w:p w:rsidR="001B3CCE" w:rsidRPr="000E7F48" w:rsidRDefault="001B3CCE" w:rsidP="000E7F48">
      <w:pPr>
        <w:autoSpaceDE w:val="0"/>
        <w:autoSpaceDN w:val="0"/>
        <w:adjustRightInd w:val="0"/>
        <w:spacing w:after="0" w:line="240" w:lineRule="auto"/>
        <w:rPr>
          <w:rFonts w:ascii="Arial" w:hAnsi="Arial" w:cs="Arial"/>
          <w:sz w:val="20"/>
          <w:szCs w:val="20"/>
        </w:rPr>
      </w:pPr>
    </w:p>
    <w:tbl>
      <w:tblPr>
        <w:tblStyle w:val="TableGrid"/>
        <w:tblW w:w="0" w:type="auto"/>
        <w:tblLook w:val="04A0"/>
      </w:tblPr>
      <w:tblGrid>
        <w:gridCol w:w="5240"/>
        <w:gridCol w:w="992"/>
        <w:gridCol w:w="993"/>
        <w:gridCol w:w="728"/>
        <w:gridCol w:w="851"/>
        <w:gridCol w:w="844"/>
      </w:tblGrid>
      <w:tr w:rsidR="001B3CCE" w:rsidRPr="000E7F48" w:rsidTr="009048AA">
        <w:trPr>
          <w:trHeight w:val="418"/>
          <w:tblHeader/>
        </w:trPr>
        <w:tc>
          <w:tcPr>
            <w:tcW w:w="5240" w:type="dxa"/>
            <w:vMerge w:val="restart"/>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Output indicators</w:t>
            </w:r>
          </w:p>
        </w:tc>
        <w:tc>
          <w:tcPr>
            <w:tcW w:w="992" w:type="dxa"/>
            <w:vMerge w:val="restart"/>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Annual Target</w:t>
            </w:r>
          </w:p>
        </w:tc>
        <w:tc>
          <w:tcPr>
            <w:tcW w:w="3396" w:type="dxa"/>
            <w:gridSpan w:val="4"/>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 xml:space="preserve">Quarterly targets </w:t>
            </w:r>
          </w:p>
        </w:tc>
      </w:tr>
      <w:tr w:rsidR="001B3CCE" w:rsidRPr="000E7F48" w:rsidTr="009048AA">
        <w:trPr>
          <w:trHeight w:val="116"/>
        </w:trPr>
        <w:tc>
          <w:tcPr>
            <w:tcW w:w="5240" w:type="dxa"/>
            <w:vMerge/>
            <w:shd w:val="clear" w:color="auto" w:fill="D9D9D9" w:themeFill="background1" w:themeFillShade="D9"/>
          </w:tcPr>
          <w:p w:rsidR="001B3CCE" w:rsidRPr="000E7F48" w:rsidRDefault="001B3CCE" w:rsidP="000E7F48">
            <w:pPr>
              <w:autoSpaceDE w:val="0"/>
              <w:autoSpaceDN w:val="0"/>
              <w:adjustRightInd w:val="0"/>
              <w:rPr>
                <w:rFonts w:ascii="Arial" w:hAnsi="Arial" w:cs="Arial"/>
                <w:b/>
                <w:sz w:val="20"/>
                <w:szCs w:val="20"/>
              </w:rPr>
            </w:pPr>
          </w:p>
        </w:tc>
        <w:tc>
          <w:tcPr>
            <w:tcW w:w="992" w:type="dxa"/>
            <w:vMerge/>
            <w:shd w:val="clear" w:color="auto" w:fill="D9D9D9" w:themeFill="background1" w:themeFillShade="D9"/>
          </w:tcPr>
          <w:p w:rsidR="001B3CCE" w:rsidRPr="000E7F48" w:rsidRDefault="001B3CCE" w:rsidP="000E7F48">
            <w:pPr>
              <w:rPr>
                <w:rFonts w:ascii="Arial" w:hAnsi="Arial" w:cs="Arial"/>
                <w:b/>
                <w:sz w:val="20"/>
                <w:szCs w:val="20"/>
              </w:rPr>
            </w:pPr>
          </w:p>
        </w:tc>
        <w:tc>
          <w:tcPr>
            <w:tcW w:w="993" w:type="dxa"/>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Q1</w:t>
            </w:r>
          </w:p>
        </w:tc>
        <w:tc>
          <w:tcPr>
            <w:tcW w:w="708" w:type="dxa"/>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Q2</w:t>
            </w:r>
          </w:p>
        </w:tc>
        <w:tc>
          <w:tcPr>
            <w:tcW w:w="851" w:type="dxa"/>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Q3</w:t>
            </w:r>
          </w:p>
        </w:tc>
        <w:tc>
          <w:tcPr>
            <w:tcW w:w="844" w:type="dxa"/>
            <w:shd w:val="clear" w:color="auto" w:fill="D9D9D9" w:themeFill="background1" w:themeFillShade="D9"/>
          </w:tcPr>
          <w:p w:rsidR="001B3CCE" w:rsidRPr="000E7F48" w:rsidRDefault="001B3CCE" w:rsidP="000E7F48">
            <w:pPr>
              <w:rPr>
                <w:rFonts w:ascii="Arial" w:hAnsi="Arial" w:cs="Arial"/>
                <w:b/>
                <w:sz w:val="20"/>
                <w:szCs w:val="20"/>
              </w:rPr>
            </w:pPr>
            <w:r w:rsidRPr="000E7F48">
              <w:rPr>
                <w:rFonts w:ascii="Arial" w:hAnsi="Arial" w:cs="Arial"/>
                <w:b/>
                <w:sz w:val="20"/>
                <w:szCs w:val="20"/>
              </w:rPr>
              <w:t>Q4</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Number of corporate governance policies approved per annum</w:t>
            </w:r>
          </w:p>
        </w:tc>
        <w:tc>
          <w:tcPr>
            <w:tcW w:w="992" w:type="dxa"/>
            <w:shd w:val="clear" w:color="auto" w:fill="auto"/>
          </w:tcPr>
          <w:p w:rsidR="001B3CCE" w:rsidRPr="000E7F48" w:rsidRDefault="00E8747E" w:rsidP="000E7F48">
            <w:pPr>
              <w:rPr>
                <w:rFonts w:ascii="Arial" w:hAnsi="Arial" w:cs="Arial"/>
                <w:sz w:val="20"/>
                <w:szCs w:val="20"/>
              </w:rPr>
            </w:pPr>
            <w:r w:rsidRPr="000E7F48">
              <w:rPr>
                <w:rFonts w:ascii="Arial" w:hAnsi="Arial" w:cs="Arial"/>
                <w:sz w:val="20"/>
                <w:szCs w:val="20"/>
              </w:rPr>
              <w:t>3</w:t>
            </w:r>
          </w:p>
        </w:tc>
        <w:tc>
          <w:tcPr>
            <w:tcW w:w="993" w:type="dxa"/>
            <w:shd w:val="clear" w:color="auto" w:fill="auto"/>
          </w:tcPr>
          <w:p w:rsidR="001B3CCE" w:rsidRPr="000E7F48" w:rsidRDefault="001B3CCE" w:rsidP="000E7F48">
            <w:pPr>
              <w:rPr>
                <w:rFonts w:ascii="Arial" w:hAnsi="Arial" w:cs="Arial"/>
                <w:sz w:val="20"/>
                <w:szCs w:val="20"/>
              </w:rPr>
            </w:pPr>
          </w:p>
        </w:tc>
        <w:tc>
          <w:tcPr>
            <w:tcW w:w="708"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w:t>
            </w:r>
          </w:p>
        </w:tc>
        <w:tc>
          <w:tcPr>
            <w:tcW w:w="844"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lastRenderedPageBreak/>
              <w:t>Percentage reduction in the number of audit findings within the CCB</w:t>
            </w:r>
          </w:p>
        </w:tc>
        <w:tc>
          <w:tcPr>
            <w:tcW w:w="992" w:type="dxa"/>
            <w:shd w:val="clear" w:color="auto" w:fill="auto"/>
          </w:tcPr>
          <w:p w:rsidR="001B3CCE" w:rsidRPr="000E7F48" w:rsidRDefault="00E8747E" w:rsidP="000E7F48">
            <w:pPr>
              <w:rPr>
                <w:rFonts w:ascii="Arial" w:hAnsi="Arial" w:cs="Arial"/>
                <w:sz w:val="20"/>
                <w:szCs w:val="20"/>
              </w:rPr>
            </w:pPr>
            <w:r w:rsidRPr="000E7F48">
              <w:rPr>
                <w:rFonts w:ascii="Arial" w:hAnsi="Arial" w:cs="Arial"/>
                <w:sz w:val="20"/>
                <w:szCs w:val="20"/>
              </w:rPr>
              <w:t>85%</w:t>
            </w:r>
          </w:p>
        </w:tc>
        <w:tc>
          <w:tcPr>
            <w:tcW w:w="993"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708"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E8747E" w:rsidP="000E7F48">
            <w:pPr>
              <w:rPr>
                <w:rFonts w:ascii="Arial" w:hAnsi="Arial" w:cs="Arial"/>
                <w:sz w:val="20"/>
                <w:szCs w:val="20"/>
              </w:rPr>
            </w:pPr>
            <w:r w:rsidRPr="000E7F48">
              <w:rPr>
                <w:rFonts w:ascii="Arial" w:hAnsi="Arial" w:cs="Arial"/>
                <w:sz w:val="20"/>
                <w:szCs w:val="20"/>
              </w:rPr>
              <w:t>85</w:t>
            </w:r>
            <w:r w:rsidR="001B3CCE" w:rsidRPr="000E7F48">
              <w:rPr>
                <w:rFonts w:ascii="Arial" w:hAnsi="Arial" w:cs="Arial"/>
                <w:sz w:val="20"/>
                <w:szCs w:val="20"/>
              </w:rPr>
              <w:t>%</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CCB Annual Performance Plan timeously submitted to the Executive Authority</w:t>
            </w:r>
          </w:p>
        </w:tc>
        <w:tc>
          <w:tcPr>
            <w:tcW w:w="992"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 xml:space="preserve">100% </w:t>
            </w:r>
            <w:r w:rsidR="009048AA" w:rsidRPr="000E7F48">
              <w:rPr>
                <w:rFonts w:ascii="Arial" w:hAnsi="Arial" w:cs="Arial"/>
                <w:sz w:val="20"/>
                <w:szCs w:val="20"/>
              </w:rPr>
              <w:br/>
            </w:r>
            <w:r w:rsidRPr="000E7F48">
              <w:rPr>
                <w:rFonts w:ascii="Arial" w:hAnsi="Arial" w:cs="Arial"/>
                <w:sz w:val="20"/>
                <w:szCs w:val="20"/>
              </w:rPr>
              <w:t>(1)</w:t>
            </w:r>
          </w:p>
        </w:tc>
        <w:tc>
          <w:tcPr>
            <w:tcW w:w="993"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708"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100%</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CCB Annual Report timeously submitted to the Executive Authority</w:t>
            </w:r>
          </w:p>
        </w:tc>
        <w:tc>
          <w:tcPr>
            <w:tcW w:w="992"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 xml:space="preserve">100% </w:t>
            </w:r>
            <w:r w:rsidR="009048AA" w:rsidRPr="000E7F48">
              <w:rPr>
                <w:rFonts w:ascii="Arial" w:hAnsi="Arial" w:cs="Arial"/>
                <w:sz w:val="20"/>
                <w:szCs w:val="20"/>
              </w:rPr>
              <w:br/>
            </w:r>
            <w:r w:rsidRPr="000E7F48">
              <w:rPr>
                <w:rFonts w:ascii="Arial" w:hAnsi="Arial" w:cs="Arial"/>
                <w:sz w:val="20"/>
                <w:szCs w:val="20"/>
              </w:rPr>
              <w:t>(1)</w:t>
            </w:r>
          </w:p>
        </w:tc>
        <w:tc>
          <w:tcPr>
            <w:tcW w:w="993"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708"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100% (1)</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 xml:space="preserve">CCB Quarterly Performance Reports timeously submitted to the Executive Authority </w:t>
            </w:r>
          </w:p>
        </w:tc>
        <w:tc>
          <w:tcPr>
            <w:tcW w:w="992"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 xml:space="preserve">100% </w:t>
            </w:r>
            <w:r w:rsidR="009048AA" w:rsidRPr="000E7F48">
              <w:rPr>
                <w:rFonts w:ascii="Arial" w:hAnsi="Arial" w:cs="Arial"/>
                <w:sz w:val="20"/>
                <w:szCs w:val="20"/>
              </w:rPr>
              <w:br/>
            </w:r>
            <w:r w:rsidRPr="000E7F48">
              <w:rPr>
                <w:rFonts w:ascii="Arial" w:hAnsi="Arial" w:cs="Arial"/>
                <w:sz w:val="20"/>
                <w:szCs w:val="20"/>
              </w:rPr>
              <w:t>[4]</w:t>
            </w:r>
          </w:p>
        </w:tc>
        <w:tc>
          <w:tcPr>
            <w:tcW w:w="993"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 xml:space="preserve">100% </w:t>
            </w:r>
            <w:r w:rsidR="009048AA" w:rsidRPr="000E7F48">
              <w:rPr>
                <w:rFonts w:ascii="Arial" w:hAnsi="Arial" w:cs="Arial"/>
                <w:sz w:val="20"/>
                <w:szCs w:val="20"/>
              </w:rPr>
              <w:br/>
            </w:r>
            <w:r w:rsidRPr="000E7F48">
              <w:rPr>
                <w:rFonts w:ascii="Arial" w:hAnsi="Arial" w:cs="Arial"/>
                <w:sz w:val="20"/>
                <w:szCs w:val="20"/>
              </w:rPr>
              <w:t>(1)</w:t>
            </w:r>
          </w:p>
        </w:tc>
        <w:tc>
          <w:tcPr>
            <w:tcW w:w="708"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100% (1)</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100% (1)</w:t>
            </w:r>
          </w:p>
        </w:tc>
        <w:tc>
          <w:tcPr>
            <w:tcW w:w="844"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100% (1)</w:t>
            </w:r>
          </w:p>
        </w:tc>
      </w:tr>
      <w:tr w:rsidR="009048AA" w:rsidRPr="000E7F48" w:rsidTr="009048AA">
        <w:tc>
          <w:tcPr>
            <w:tcW w:w="5240" w:type="dxa"/>
            <w:shd w:val="clear" w:color="auto" w:fill="auto"/>
          </w:tcPr>
          <w:p w:rsidR="009048AA"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CCB Quarterly Financial Reports timeously submitted to the Executive Authority and National Treasury</w:t>
            </w:r>
          </w:p>
        </w:tc>
        <w:tc>
          <w:tcPr>
            <w:tcW w:w="992"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 xml:space="preserve">100% </w:t>
            </w:r>
            <w:r w:rsidRPr="000E7F48">
              <w:rPr>
                <w:rFonts w:ascii="Arial" w:hAnsi="Arial" w:cs="Arial"/>
                <w:sz w:val="20"/>
                <w:szCs w:val="20"/>
              </w:rPr>
              <w:br/>
              <w:t>[4]</w:t>
            </w:r>
          </w:p>
        </w:tc>
        <w:tc>
          <w:tcPr>
            <w:tcW w:w="993"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 xml:space="preserve">100% </w:t>
            </w:r>
            <w:r w:rsidRPr="000E7F48">
              <w:rPr>
                <w:rFonts w:ascii="Arial" w:hAnsi="Arial" w:cs="Arial"/>
                <w:sz w:val="20"/>
                <w:szCs w:val="20"/>
              </w:rPr>
              <w:br/>
              <w:t>(1)</w:t>
            </w:r>
          </w:p>
        </w:tc>
        <w:tc>
          <w:tcPr>
            <w:tcW w:w="708"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100% (1)</w:t>
            </w:r>
          </w:p>
        </w:tc>
        <w:tc>
          <w:tcPr>
            <w:tcW w:w="851"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100% (1)</w:t>
            </w:r>
          </w:p>
        </w:tc>
        <w:tc>
          <w:tcPr>
            <w:tcW w:w="844"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100% (1)</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CCB CEO Performance Agreement timeously submitted to the Executive Authority and National Treasury</w:t>
            </w:r>
          </w:p>
        </w:tc>
        <w:tc>
          <w:tcPr>
            <w:tcW w:w="992"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100% (1)</w:t>
            </w:r>
          </w:p>
        </w:tc>
        <w:tc>
          <w:tcPr>
            <w:tcW w:w="993"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100% (1)</w:t>
            </w:r>
          </w:p>
        </w:tc>
        <w:tc>
          <w:tcPr>
            <w:tcW w:w="708"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 xml:space="preserve">CCB CEO performance agreements submitted to the Board for approval </w:t>
            </w:r>
          </w:p>
        </w:tc>
        <w:tc>
          <w:tcPr>
            <w:tcW w:w="992" w:type="dxa"/>
            <w:shd w:val="clear" w:color="auto" w:fill="auto"/>
          </w:tcPr>
          <w:p w:rsidR="001B3CCE" w:rsidRPr="000E7F48" w:rsidRDefault="001B3CCE" w:rsidP="000E7F48">
            <w:pPr>
              <w:autoSpaceDE w:val="0"/>
              <w:autoSpaceDN w:val="0"/>
              <w:adjustRightInd w:val="0"/>
              <w:rPr>
                <w:rFonts w:ascii="Arial" w:hAnsi="Arial" w:cs="Arial"/>
                <w:i/>
                <w:sz w:val="20"/>
                <w:szCs w:val="20"/>
              </w:rPr>
            </w:pPr>
            <w:r w:rsidRPr="000E7F48">
              <w:rPr>
                <w:rFonts w:ascii="Arial" w:hAnsi="Arial" w:cs="Arial"/>
                <w:i/>
                <w:sz w:val="20"/>
                <w:szCs w:val="20"/>
              </w:rPr>
              <w:t>100%  (1)</w:t>
            </w:r>
          </w:p>
        </w:tc>
        <w:tc>
          <w:tcPr>
            <w:tcW w:w="993" w:type="dxa"/>
            <w:shd w:val="clear" w:color="auto" w:fill="auto"/>
          </w:tcPr>
          <w:p w:rsidR="001B3CCE" w:rsidRPr="000E7F48" w:rsidRDefault="001B3CCE" w:rsidP="000E7F48">
            <w:pPr>
              <w:autoSpaceDE w:val="0"/>
              <w:autoSpaceDN w:val="0"/>
              <w:adjustRightInd w:val="0"/>
              <w:rPr>
                <w:rFonts w:ascii="Arial" w:hAnsi="Arial" w:cs="Arial"/>
                <w:i/>
                <w:sz w:val="20"/>
                <w:szCs w:val="20"/>
              </w:rPr>
            </w:pPr>
            <w:r w:rsidRPr="000E7F48">
              <w:rPr>
                <w:rFonts w:ascii="Arial" w:hAnsi="Arial" w:cs="Arial"/>
                <w:i/>
                <w:sz w:val="20"/>
                <w:szCs w:val="20"/>
              </w:rPr>
              <w:t>100% (1)</w:t>
            </w:r>
          </w:p>
        </w:tc>
        <w:tc>
          <w:tcPr>
            <w:tcW w:w="708" w:type="dxa"/>
            <w:shd w:val="clear" w:color="auto" w:fill="auto"/>
          </w:tcPr>
          <w:p w:rsidR="001B3CCE" w:rsidRPr="000E7F48" w:rsidRDefault="001B3CCE" w:rsidP="000E7F48">
            <w:pPr>
              <w:rPr>
                <w:rFonts w:ascii="Arial" w:hAnsi="Arial" w:cs="Arial"/>
                <w:i/>
                <w:sz w:val="20"/>
                <w:szCs w:val="20"/>
              </w:rPr>
            </w:pPr>
            <w:r w:rsidRPr="000E7F48">
              <w:rPr>
                <w:rFonts w:ascii="Arial" w:hAnsi="Arial" w:cs="Arial"/>
                <w:i/>
                <w:sz w:val="20"/>
                <w:szCs w:val="20"/>
              </w:rPr>
              <w:t>-</w:t>
            </w:r>
          </w:p>
        </w:tc>
        <w:tc>
          <w:tcPr>
            <w:tcW w:w="851" w:type="dxa"/>
            <w:shd w:val="clear" w:color="auto" w:fill="auto"/>
          </w:tcPr>
          <w:p w:rsidR="001B3CCE" w:rsidRPr="000E7F48" w:rsidRDefault="001B3CCE" w:rsidP="000E7F48">
            <w:pPr>
              <w:rPr>
                <w:rFonts w:ascii="Arial" w:hAnsi="Arial" w:cs="Arial"/>
                <w:i/>
                <w:sz w:val="20"/>
                <w:szCs w:val="20"/>
              </w:rPr>
            </w:pPr>
            <w:r w:rsidRPr="000E7F48">
              <w:rPr>
                <w:rFonts w:ascii="Arial" w:hAnsi="Arial" w:cs="Arial"/>
                <w:i/>
                <w:sz w:val="20"/>
                <w:szCs w:val="20"/>
              </w:rPr>
              <w:t>-</w:t>
            </w:r>
          </w:p>
        </w:tc>
        <w:tc>
          <w:tcPr>
            <w:tcW w:w="844" w:type="dxa"/>
            <w:shd w:val="clear" w:color="auto" w:fill="auto"/>
          </w:tcPr>
          <w:p w:rsidR="001B3CCE" w:rsidRPr="000E7F48" w:rsidRDefault="001B3CCE" w:rsidP="000E7F48">
            <w:pPr>
              <w:rPr>
                <w:rFonts w:ascii="Arial" w:hAnsi="Arial" w:cs="Arial"/>
                <w:i/>
                <w:sz w:val="20"/>
                <w:szCs w:val="20"/>
              </w:rPr>
            </w:pPr>
            <w:r w:rsidRPr="000E7F48">
              <w:rPr>
                <w:rFonts w:ascii="Arial" w:hAnsi="Arial" w:cs="Arial"/>
                <w:i/>
                <w:sz w:val="20"/>
                <w:szCs w:val="20"/>
              </w:rPr>
              <w:t>-</w:t>
            </w:r>
          </w:p>
        </w:tc>
      </w:tr>
      <w:tr w:rsidR="001B3CCE" w:rsidRPr="000E7F48" w:rsidTr="009048AA">
        <w:tc>
          <w:tcPr>
            <w:tcW w:w="5240" w:type="dxa"/>
            <w:shd w:val="clear" w:color="auto" w:fill="auto"/>
          </w:tcPr>
          <w:p w:rsidR="001B3CCE"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CCB SMS’ performance agreements to the CEO for approval</w:t>
            </w:r>
          </w:p>
        </w:tc>
        <w:tc>
          <w:tcPr>
            <w:tcW w:w="992" w:type="dxa"/>
            <w:shd w:val="clear" w:color="auto" w:fill="auto"/>
          </w:tcPr>
          <w:p w:rsidR="001B3CCE" w:rsidRPr="000E7F48" w:rsidRDefault="001B3CCE" w:rsidP="000E7F48">
            <w:pPr>
              <w:rPr>
                <w:rFonts w:ascii="Arial" w:hAnsi="Arial" w:cs="Arial"/>
                <w:sz w:val="20"/>
                <w:szCs w:val="20"/>
              </w:rPr>
            </w:pPr>
            <w:r w:rsidRPr="000E7F48">
              <w:rPr>
                <w:rFonts w:ascii="Arial" w:hAnsi="Arial" w:cs="Arial"/>
                <w:i/>
                <w:sz w:val="20"/>
                <w:szCs w:val="20"/>
              </w:rPr>
              <w:t>100%  (3)</w:t>
            </w:r>
          </w:p>
        </w:tc>
        <w:tc>
          <w:tcPr>
            <w:tcW w:w="993" w:type="dxa"/>
            <w:shd w:val="clear" w:color="auto" w:fill="auto"/>
          </w:tcPr>
          <w:p w:rsidR="001B3CCE" w:rsidRPr="000E7F48" w:rsidRDefault="009048AA" w:rsidP="000E7F48">
            <w:pPr>
              <w:rPr>
                <w:rFonts w:ascii="Arial" w:hAnsi="Arial" w:cs="Arial"/>
                <w:sz w:val="20"/>
                <w:szCs w:val="20"/>
              </w:rPr>
            </w:pPr>
            <w:r w:rsidRPr="000E7F48">
              <w:rPr>
                <w:rFonts w:ascii="Arial" w:hAnsi="Arial" w:cs="Arial"/>
                <w:i/>
                <w:sz w:val="20"/>
                <w:szCs w:val="20"/>
              </w:rPr>
              <w:t>100%  (3)</w:t>
            </w:r>
          </w:p>
        </w:tc>
        <w:tc>
          <w:tcPr>
            <w:tcW w:w="708"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r>
      <w:tr w:rsidR="001B3CCE" w:rsidRPr="000E7F48" w:rsidTr="009048AA">
        <w:tc>
          <w:tcPr>
            <w:tcW w:w="5240" w:type="dxa"/>
            <w:shd w:val="clear" w:color="auto" w:fill="auto"/>
          </w:tcPr>
          <w:p w:rsidR="001B3CCE"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CCB SMS’s Financial Disclosures submitted for approval</w:t>
            </w:r>
          </w:p>
        </w:tc>
        <w:tc>
          <w:tcPr>
            <w:tcW w:w="992" w:type="dxa"/>
            <w:shd w:val="clear" w:color="auto" w:fill="auto"/>
          </w:tcPr>
          <w:p w:rsidR="001B3CCE" w:rsidRPr="000E7F48" w:rsidRDefault="001B3CCE" w:rsidP="000E7F48">
            <w:pPr>
              <w:rPr>
                <w:rFonts w:ascii="Arial" w:hAnsi="Arial" w:cs="Arial"/>
                <w:sz w:val="20"/>
                <w:szCs w:val="20"/>
              </w:rPr>
            </w:pPr>
            <w:r w:rsidRPr="000E7F48">
              <w:rPr>
                <w:rFonts w:ascii="Arial" w:hAnsi="Arial" w:cs="Arial"/>
                <w:i/>
                <w:sz w:val="20"/>
                <w:szCs w:val="20"/>
              </w:rPr>
              <w:t xml:space="preserve">100%  </w:t>
            </w:r>
          </w:p>
        </w:tc>
        <w:tc>
          <w:tcPr>
            <w:tcW w:w="993" w:type="dxa"/>
            <w:shd w:val="clear" w:color="auto" w:fill="auto"/>
          </w:tcPr>
          <w:p w:rsidR="001B3CCE" w:rsidRPr="000E7F48" w:rsidRDefault="001B3CCE" w:rsidP="000E7F48">
            <w:pPr>
              <w:rPr>
                <w:rFonts w:ascii="Arial" w:hAnsi="Arial" w:cs="Arial"/>
                <w:sz w:val="20"/>
                <w:szCs w:val="20"/>
              </w:rPr>
            </w:pPr>
            <w:r w:rsidRPr="000E7F48">
              <w:rPr>
                <w:rFonts w:ascii="Arial" w:hAnsi="Arial" w:cs="Arial"/>
                <w:i/>
                <w:sz w:val="20"/>
                <w:szCs w:val="20"/>
              </w:rPr>
              <w:t xml:space="preserve">100%  </w:t>
            </w:r>
          </w:p>
        </w:tc>
        <w:tc>
          <w:tcPr>
            <w:tcW w:w="708"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w:t>
            </w:r>
          </w:p>
        </w:tc>
      </w:tr>
      <w:tr w:rsidR="001B3CCE" w:rsidRPr="000E7F48" w:rsidTr="009048AA">
        <w:tc>
          <w:tcPr>
            <w:tcW w:w="5240" w:type="dxa"/>
            <w:shd w:val="clear" w:color="auto" w:fill="auto"/>
          </w:tcPr>
          <w:p w:rsidR="001B3CCE"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Submission of all reports and attendance of committee meetings in support of parliamentary activities</w:t>
            </w:r>
          </w:p>
        </w:tc>
        <w:tc>
          <w:tcPr>
            <w:tcW w:w="992" w:type="dxa"/>
            <w:shd w:val="clear" w:color="auto" w:fill="auto"/>
          </w:tcPr>
          <w:p w:rsidR="001B3CCE" w:rsidRPr="000E7F48" w:rsidRDefault="009048AA" w:rsidP="000E7F48">
            <w:pPr>
              <w:rPr>
                <w:rFonts w:ascii="Arial" w:hAnsi="Arial" w:cs="Arial"/>
                <w:sz w:val="20"/>
                <w:szCs w:val="20"/>
              </w:rPr>
            </w:pPr>
            <w:r w:rsidRPr="000E7F48">
              <w:rPr>
                <w:rFonts w:ascii="Arial" w:hAnsi="Arial" w:cs="Arial"/>
                <w:i/>
                <w:sz w:val="20"/>
                <w:szCs w:val="20"/>
              </w:rPr>
              <w:t xml:space="preserve">100%  </w:t>
            </w:r>
          </w:p>
        </w:tc>
        <w:tc>
          <w:tcPr>
            <w:tcW w:w="993" w:type="dxa"/>
            <w:shd w:val="clear" w:color="auto" w:fill="auto"/>
          </w:tcPr>
          <w:p w:rsidR="001B3CCE" w:rsidRPr="000E7F48" w:rsidRDefault="009048AA" w:rsidP="000E7F48">
            <w:pPr>
              <w:rPr>
                <w:rFonts w:ascii="Arial" w:hAnsi="Arial" w:cs="Arial"/>
                <w:sz w:val="20"/>
                <w:szCs w:val="20"/>
              </w:rPr>
            </w:pPr>
            <w:r w:rsidRPr="000E7F48">
              <w:rPr>
                <w:rFonts w:ascii="Arial" w:hAnsi="Arial" w:cs="Arial"/>
                <w:i/>
                <w:sz w:val="20"/>
                <w:szCs w:val="20"/>
              </w:rPr>
              <w:t xml:space="preserve">100%  </w:t>
            </w:r>
          </w:p>
        </w:tc>
        <w:tc>
          <w:tcPr>
            <w:tcW w:w="708" w:type="dxa"/>
            <w:shd w:val="clear" w:color="auto" w:fill="auto"/>
          </w:tcPr>
          <w:p w:rsidR="001B3CCE" w:rsidRPr="000E7F48" w:rsidRDefault="009048AA" w:rsidP="000E7F48">
            <w:pPr>
              <w:rPr>
                <w:rFonts w:ascii="Arial" w:hAnsi="Arial" w:cs="Arial"/>
                <w:sz w:val="20"/>
                <w:szCs w:val="20"/>
              </w:rPr>
            </w:pPr>
            <w:r w:rsidRPr="000E7F48">
              <w:rPr>
                <w:rFonts w:ascii="Arial" w:hAnsi="Arial" w:cs="Arial"/>
                <w:i/>
                <w:sz w:val="20"/>
                <w:szCs w:val="20"/>
              </w:rPr>
              <w:t xml:space="preserve">100%  </w:t>
            </w:r>
          </w:p>
        </w:tc>
        <w:tc>
          <w:tcPr>
            <w:tcW w:w="851" w:type="dxa"/>
            <w:shd w:val="clear" w:color="auto" w:fill="auto"/>
          </w:tcPr>
          <w:p w:rsidR="001B3CCE" w:rsidRPr="000E7F48" w:rsidRDefault="009048AA" w:rsidP="000E7F48">
            <w:pPr>
              <w:rPr>
                <w:rFonts w:ascii="Arial" w:hAnsi="Arial" w:cs="Arial"/>
                <w:sz w:val="20"/>
                <w:szCs w:val="20"/>
              </w:rPr>
            </w:pPr>
            <w:r w:rsidRPr="000E7F48">
              <w:rPr>
                <w:rFonts w:ascii="Arial" w:hAnsi="Arial" w:cs="Arial"/>
                <w:i/>
                <w:sz w:val="20"/>
                <w:szCs w:val="20"/>
              </w:rPr>
              <w:t xml:space="preserve">100%  </w:t>
            </w:r>
          </w:p>
        </w:tc>
        <w:tc>
          <w:tcPr>
            <w:tcW w:w="844" w:type="dxa"/>
            <w:shd w:val="clear" w:color="auto" w:fill="auto"/>
          </w:tcPr>
          <w:p w:rsidR="001B3CCE" w:rsidRPr="000E7F48" w:rsidRDefault="009048AA" w:rsidP="000E7F48">
            <w:pPr>
              <w:rPr>
                <w:rFonts w:ascii="Arial" w:hAnsi="Arial" w:cs="Arial"/>
                <w:sz w:val="20"/>
                <w:szCs w:val="20"/>
              </w:rPr>
            </w:pPr>
            <w:r w:rsidRPr="000E7F48">
              <w:rPr>
                <w:rFonts w:ascii="Arial" w:hAnsi="Arial" w:cs="Arial"/>
                <w:i/>
                <w:sz w:val="20"/>
                <w:szCs w:val="20"/>
              </w:rPr>
              <w:t xml:space="preserve">100%  </w:t>
            </w:r>
          </w:p>
        </w:tc>
      </w:tr>
      <w:tr w:rsidR="009048AA" w:rsidRPr="000E7F48" w:rsidTr="009048AA">
        <w:tc>
          <w:tcPr>
            <w:tcW w:w="5240" w:type="dxa"/>
            <w:shd w:val="clear" w:color="auto" w:fill="auto"/>
          </w:tcPr>
          <w:p w:rsidR="009048AA"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Percentage reduction of the number of irregular expenditure within the CCB</w:t>
            </w:r>
          </w:p>
        </w:tc>
        <w:tc>
          <w:tcPr>
            <w:tcW w:w="992" w:type="dxa"/>
            <w:shd w:val="clear" w:color="auto" w:fill="auto"/>
          </w:tcPr>
          <w:p w:rsidR="009048AA" w:rsidRPr="000E7F48" w:rsidRDefault="009048AA" w:rsidP="000E7F48">
            <w:pPr>
              <w:rPr>
                <w:rFonts w:ascii="Arial" w:hAnsi="Arial" w:cs="Arial"/>
                <w:i/>
                <w:sz w:val="20"/>
                <w:szCs w:val="20"/>
              </w:rPr>
            </w:pPr>
            <w:r w:rsidRPr="000E7F48">
              <w:rPr>
                <w:rFonts w:ascii="Arial" w:hAnsi="Arial" w:cs="Arial"/>
                <w:i/>
                <w:sz w:val="20"/>
                <w:szCs w:val="20"/>
              </w:rPr>
              <w:t>75%</w:t>
            </w:r>
          </w:p>
        </w:tc>
        <w:tc>
          <w:tcPr>
            <w:tcW w:w="993" w:type="dxa"/>
            <w:shd w:val="clear" w:color="auto" w:fill="auto"/>
          </w:tcPr>
          <w:p w:rsidR="009048AA" w:rsidRPr="000E7F48" w:rsidRDefault="009048AA" w:rsidP="000E7F48">
            <w:pPr>
              <w:rPr>
                <w:rFonts w:ascii="Arial" w:hAnsi="Arial" w:cs="Arial"/>
                <w:i/>
                <w:sz w:val="20"/>
                <w:szCs w:val="20"/>
              </w:rPr>
            </w:pPr>
          </w:p>
        </w:tc>
        <w:tc>
          <w:tcPr>
            <w:tcW w:w="708" w:type="dxa"/>
            <w:shd w:val="clear" w:color="auto" w:fill="auto"/>
          </w:tcPr>
          <w:p w:rsidR="009048AA" w:rsidRPr="000E7F48" w:rsidRDefault="009048AA" w:rsidP="000E7F48">
            <w:pPr>
              <w:rPr>
                <w:rFonts w:ascii="Arial" w:hAnsi="Arial" w:cs="Arial"/>
                <w:i/>
                <w:sz w:val="20"/>
                <w:szCs w:val="20"/>
              </w:rPr>
            </w:pPr>
          </w:p>
        </w:tc>
        <w:tc>
          <w:tcPr>
            <w:tcW w:w="851" w:type="dxa"/>
            <w:shd w:val="clear" w:color="auto" w:fill="auto"/>
          </w:tcPr>
          <w:p w:rsidR="009048AA" w:rsidRPr="000E7F48" w:rsidRDefault="009048AA" w:rsidP="000E7F48">
            <w:pPr>
              <w:rPr>
                <w:rFonts w:ascii="Arial" w:hAnsi="Arial" w:cs="Arial"/>
                <w:i/>
                <w:sz w:val="20"/>
                <w:szCs w:val="20"/>
              </w:rPr>
            </w:pPr>
          </w:p>
        </w:tc>
        <w:tc>
          <w:tcPr>
            <w:tcW w:w="844" w:type="dxa"/>
            <w:shd w:val="clear" w:color="auto" w:fill="auto"/>
          </w:tcPr>
          <w:p w:rsidR="009048AA" w:rsidRPr="000E7F48" w:rsidRDefault="009048AA" w:rsidP="000E7F48">
            <w:pPr>
              <w:rPr>
                <w:rFonts w:ascii="Arial" w:hAnsi="Arial" w:cs="Arial"/>
                <w:i/>
                <w:sz w:val="20"/>
                <w:szCs w:val="20"/>
              </w:rPr>
            </w:pPr>
            <w:r w:rsidRPr="000E7F48">
              <w:rPr>
                <w:rFonts w:ascii="Arial" w:hAnsi="Arial" w:cs="Arial"/>
                <w:i/>
                <w:sz w:val="20"/>
                <w:szCs w:val="20"/>
              </w:rPr>
              <w:t>75%</w:t>
            </w:r>
          </w:p>
        </w:tc>
      </w:tr>
      <w:tr w:rsidR="001B3CCE" w:rsidRPr="000E7F48" w:rsidTr="009048AA">
        <w:tc>
          <w:tcPr>
            <w:tcW w:w="5240" w:type="dxa"/>
            <w:shd w:val="clear" w:color="auto" w:fill="auto"/>
          </w:tcPr>
          <w:p w:rsidR="001B3CCE" w:rsidRPr="000E7F48" w:rsidRDefault="001B3CCE" w:rsidP="000E7F48">
            <w:pPr>
              <w:autoSpaceDE w:val="0"/>
              <w:autoSpaceDN w:val="0"/>
              <w:adjustRightInd w:val="0"/>
              <w:rPr>
                <w:rFonts w:ascii="Arial" w:hAnsi="Arial" w:cs="Arial"/>
                <w:sz w:val="20"/>
                <w:szCs w:val="20"/>
              </w:rPr>
            </w:pPr>
            <w:r w:rsidRPr="000E7F48">
              <w:rPr>
                <w:rFonts w:ascii="Arial" w:hAnsi="Arial" w:cs="Arial"/>
                <w:sz w:val="20"/>
                <w:szCs w:val="20"/>
              </w:rPr>
              <w:t>Percentage reduction in the number of fruitless and wasteful expenditures within the CCB</w:t>
            </w:r>
          </w:p>
        </w:tc>
        <w:tc>
          <w:tcPr>
            <w:tcW w:w="992"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100</w:t>
            </w:r>
            <w:r w:rsidR="001B3CCE" w:rsidRPr="000E7F48">
              <w:rPr>
                <w:rFonts w:ascii="Arial" w:hAnsi="Arial" w:cs="Arial"/>
                <w:sz w:val="20"/>
                <w:szCs w:val="20"/>
              </w:rPr>
              <w:t>%</w:t>
            </w:r>
          </w:p>
        </w:tc>
        <w:tc>
          <w:tcPr>
            <w:tcW w:w="993"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708"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51" w:type="dxa"/>
            <w:shd w:val="clear" w:color="auto" w:fill="auto"/>
          </w:tcPr>
          <w:p w:rsidR="001B3CCE" w:rsidRPr="000E7F48" w:rsidRDefault="001B3CCE" w:rsidP="000E7F48">
            <w:pPr>
              <w:rPr>
                <w:rFonts w:ascii="Arial" w:hAnsi="Arial" w:cs="Arial"/>
                <w:sz w:val="20"/>
                <w:szCs w:val="20"/>
              </w:rPr>
            </w:pPr>
            <w:r w:rsidRPr="000E7F48">
              <w:rPr>
                <w:rFonts w:ascii="Arial" w:hAnsi="Arial" w:cs="Arial"/>
                <w:sz w:val="20"/>
                <w:szCs w:val="20"/>
              </w:rPr>
              <w:t>-</w:t>
            </w:r>
          </w:p>
        </w:tc>
        <w:tc>
          <w:tcPr>
            <w:tcW w:w="844" w:type="dxa"/>
            <w:shd w:val="clear" w:color="auto" w:fill="auto"/>
          </w:tcPr>
          <w:p w:rsidR="001B3CCE" w:rsidRPr="000E7F48" w:rsidRDefault="009048AA" w:rsidP="000E7F48">
            <w:pPr>
              <w:rPr>
                <w:rFonts w:ascii="Arial" w:hAnsi="Arial" w:cs="Arial"/>
                <w:sz w:val="20"/>
                <w:szCs w:val="20"/>
              </w:rPr>
            </w:pPr>
            <w:r w:rsidRPr="000E7F48">
              <w:rPr>
                <w:rFonts w:ascii="Arial" w:hAnsi="Arial" w:cs="Arial"/>
                <w:sz w:val="20"/>
                <w:szCs w:val="20"/>
              </w:rPr>
              <w:t>100</w:t>
            </w:r>
            <w:r w:rsidR="001B3CCE" w:rsidRPr="000E7F48">
              <w:rPr>
                <w:rFonts w:ascii="Arial" w:hAnsi="Arial" w:cs="Arial"/>
                <w:sz w:val="20"/>
                <w:szCs w:val="20"/>
              </w:rPr>
              <w:t>%</w:t>
            </w:r>
          </w:p>
        </w:tc>
      </w:tr>
      <w:tr w:rsidR="009048AA" w:rsidRPr="000E7F48" w:rsidTr="009048AA">
        <w:tc>
          <w:tcPr>
            <w:tcW w:w="5240" w:type="dxa"/>
            <w:shd w:val="clear" w:color="auto" w:fill="auto"/>
          </w:tcPr>
          <w:p w:rsidR="009048AA"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Percentage payments within 30 days from receipt of legitimate invoices</w:t>
            </w:r>
          </w:p>
        </w:tc>
        <w:tc>
          <w:tcPr>
            <w:tcW w:w="992"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95%</w:t>
            </w:r>
          </w:p>
        </w:tc>
        <w:tc>
          <w:tcPr>
            <w:tcW w:w="993" w:type="dxa"/>
            <w:shd w:val="clear" w:color="auto" w:fill="auto"/>
          </w:tcPr>
          <w:p w:rsidR="009048AA" w:rsidRPr="000E7F48" w:rsidRDefault="009048AA" w:rsidP="000E7F48">
            <w:pPr>
              <w:rPr>
                <w:rFonts w:ascii="Arial" w:hAnsi="Arial" w:cs="Arial"/>
                <w:sz w:val="20"/>
                <w:szCs w:val="20"/>
              </w:rPr>
            </w:pPr>
          </w:p>
        </w:tc>
        <w:tc>
          <w:tcPr>
            <w:tcW w:w="708" w:type="dxa"/>
            <w:shd w:val="clear" w:color="auto" w:fill="auto"/>
          </w:tcPr>
          <w:p w:rsidR="009048AA" w:rsidRPr="000E7F48" w:rsidRDefault="009048AA" w:rsidP="000E7F48">
            <w:pPr>
              <w:rPr>
                <w:rFonts w:ascii="Arial" w:hAnsi="Arial" w:cs="Arial"/>
                <w:sz w:val="20"/>
                <w:szCs w:val="20"/>
              </w:rPr>
            </w:pPr>
          </w:p>
        </w:tc>
        <w:tc>
          <w:tcPr>
            <w:tcW w:w="851" w:type="dxa"/>
            <w:shd w:val="clear" w:color="auto" w:fill="auto"/>
          </w:tcPr>
          <w:p w:rsidR="009048AA" w:rsidRPr="000E7F48" w:rsidRDefault="009048AA" w:rsidP="000E7F48">
            <w:pPr>
              <w:rPr>
                <w:rFonts w:ascii="Arial" w:hAnsi="Arial" w:cs="Arial"/>
                <w:sz w:val="20"/>
                <w:szCs w:val="20"/>
              </w:rPr>
            </w:pPr>
          </w:p>
        </w:tc>
        <w:tc>
          <w:tcPr>
            <w:tcW w:w="844" w:type="dxa"/>
            <w:shd w:val="clear" w:color="auto" w:fill="auto"/>
          </w:tcPr>
          <w:p w:rsidR="009048AA" w:rsidRPr="000E7F48" w:rsidRDefault="009048AA" w:rsidP="000E7F48">
            <w:pPr>
              <w:rPr>
                <w:rFonts w:ascii="Arial" w:hAnsi="Arial" w:cs="Arial"/>
                <w:sz w:val="20"/>
                <w:szCs w:val="20"/>
              </w:rPr>
            </w:pPr>
            <w:r w:rsidRPr="000E7F48">
              <w:rPr>
                <w:rFonts w:ascii="Arial" w:hAnsi="Arial" w:cs="Arial"/>
                <w:sz w:val="20"/>
                <w:szCs w:val="20"/>
              </w:rPr>
              <w:t>95%</w:t>
            </w:r>
          </w:p>
        </w:tc>
      </w:tr>
    </w:tbl>
    <w:p w:rsidR="001B3CCE" w:rsidRPr="000E7F48" w:rsidRDefault="001B3CCE" w:rsidP="000E7F48">
      <w:pPr>
        <w:pStyle w:val="ListParagraph"/>
        <w:autoSpaceDE w:val="0"/>
        <w:autoSpaceDN w:val="0"/>
        <w:adjustRightInd w:val="0"/>
        <w:ind w:left="0"/>
        <w:rPr>
          <w:rFonts w:ascii="Arial" w:hAnsi="Arial" w:cs="Arial"/>
          <w:b/>
          <w:i/>
          <w:sz w:val="20"/>
          <w:szCs w:val="20"/>
        </w:rPr>
      </w:pPr>
      <w:r w:rsidRPr="000E7F48">
        <w:rPr>
          <w:rFonts w:ascii="Arial" w:hAnsi="Arial" w:cs="Arial"/>
          <w:b/>
          <w:i/>
          <w:sz w:val="20"/>
          <w:szCs w:val="20"/>
        </w:rPr>
        <w:t>Table 2: Programme Annual and quarterly targets</w:t>
      </w:r>
    </w:p>
    <w:p w:rsidR="00BA38C1" w:rsidRPr="000E7F48" w:rsidRDefault="00BA38C1" w:rsidP="000E7F48">
      <w:pPr>
        <w:pStyle w:val="ListParagraph"/>
        <w:autoSpaceDE w:val="0"/>
        <w:autoSpaceDN w:val="0"/>
        <w:adjustRightInd w:val="0"/>
        <w:ind w:left="0"/>
        <w:rPr>
          <w:rFonts w:ascii="Arial" w:hAnsi="Arial" w:cs="Arial"/>
          <w:b/>
          <w:i/>
          <w:sz w:val="20"/>
          <w:szCs w:val="20"/>
        </w:rPr>
      </w:pPr>
    </w:p>
    <w:p w:rsidR="00BA38C1" w:rsidRPr="000E7F48" w:rsidRDefault="00BA38C1" w:rsidP="000E7F48">
      <w:pPr>
        <w:spacing w:after="0" w:line="240" w:lineRule="auto"/>
        <w:rPr>
          <w:rFonts w:ascii="Arial" w:hAnsi="Arial" w:cs="Arial"/>
          <w:b/>
          <w:sz w:val="20"/>
          <w:szCs w:val="20"/>
        </w:rPr>
      </w:pPr>
      <w:r w:rsidRPr="000E7F48">
        <w:rPr>
          <w:rFonts w:ascii="Arial" w:hAnsi="Arial" w:cs="Arial"/>
          <w:b/>
          <w:sz w:val="20"/>
          <w:szCs w:val="20"/>
        </w:rPr>
        <w:t>4.2</w:t>
      </w:r>
      <w:r w:rsidRPr="000E7F48">
        <w:rPr>
          <w:rFonts w:ascii="Arial" w:hAnsi="Arial" w:cs="Arial"/>
          <w:sz w:val="20"/>
          <w:szCs w:val="20"/>
        </w:rPr>
        <w:tab/>
      </w:r>
      <w:r w:rsidRPr="000E7F48">
        <w:rPr>
          <w:rFonts w:ascii="Arial" w:hAnsi="Arial" w:cs="Arial"/>
          <w:b/>
          <w:sz w:val="20"/>
          <w:szCs w:val="20"/>
        </w:rPr>
        <w:t>Programme 2: Maintenance and Conservation at the CGH</w:t>
      </w:r>
    </w:p>
    <w:p w:rsidR="00BA38C1" w:rsidRPr="000E7F48" w:rsidRDefault="00BA38C1" w:rsidP="000E7F48">
      <w:pPr>
        <w:spacing w:after="0" w:line="240" w:lineRule="auto"/>
        <w:rPr>
          <w:rFonts w:ascii="Arial" w:hAnsi="Arial" w:cs="Arial"/>
          <w:sz w:val="20"/>
          <w:szCs w:val="20"/>
        </w:rPr>
      </w:pPr>
      <w:r w:rsidRPr="000E7F48">
        <w:rPr>
          <w:rFonts w:ascii="Arial" w:hAnsi="Arial" w:cs="Arial"/>
          <w:sz w:val="20"/>
          <w:szCs w:val="20"/>
        </w:rPr>
        <w:t>This programme aims to ensure the maintenance, preservation, interpretation and showcasing of the history of the CGH.</w:t>
      </w:r>
    </w:p>
    <w:tbl>
      <w:tblPr>
        <w:tblStyle w:val="TableGrid"/>
        <w:tblW w:w="0" w:type="auto"/>
        <w:tblLook w:val="04A0"/>
      </w:tblPr>
      <w:tblGrid>
        <w:gridCol w:w="3932"/>
        <w:gridCol w:w="1166"/>
        <w:gridCol w:w="1418"/>
        <w:gridCol w:w="1134"/>
        <w:gridCol w:w="992"/>
        <w:gridCol w:w="986"/>
      </w:tblGrid>
      <w:tr w:rsidR="00BA38C1" w:rsidRPr="000E7F48" w:rsidTr="009048AA">
        <w:tc>
          <w:tcPr>
            <w:tcW w:w="3932" w:type="dxa"/>
            <w:vMerge w:val="restart"/>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 xml:space="preserve"> </w:t>
            </w:r>
          </w:p>
          <w:p w:rsidR="00BA38C1" w:rsidRPr="000E7F48" w:rsidRDefault="00BA38C1" w:rsidP="000E7F48">
            <w:pPr>
              <w:rPr>
                <w:rFonts w:ascii="Arial" w:hAnsi="Arial" w:cs="Arial"/>
                <w:b/>
                <w:sz w:val="20"/>
                <w:szCs w:val="20"/>
              </w:rPr>
            </w:pPr>
            <w:r w:rsidRPr="000E7F48">
              <w:rPr>
                <w:rFonts w:ascii="Arial" w:hAnsi="Arial" w:cs="Arial"/>
                <w:b/>
                <w:sz w:val="20"/>
                <w:szCs w:val="20"/>
              </w:rPr>
              <w:t>Output indicators</w:t>
            </w:r>
          </w:p>
        </w:tc>
        <w:tc>
          <w:tcPr>
            <w:tcW w:w="1166" w:type="dxa"/>
            <w:vMerge w:val="restart"/>
            <w:shd w:val="clear" w:color="auto" w:fill="D9D9D9" w:themeFill="background1" w:themeFillShade="D9"/>
          </w:tcPr>
          <w:p w:rsidR="00BA38C1" w:rsidRPr="000E7F48" w:rsidRDefault="00BA38C1" w:rsidP="000E7F48">
            <w:pPr>
              <w:rPr>
                <w:rFonts w:ascii="Arial" w:hAnsi="Arial" w:cs="Arial"/>
                <w:b/>
                <w:sz w:val="20"/>
                <w:szCs w:val="20"/>
              </w:rPr>
            </w:pPr>
          </w:p>
          <w:p w:rsidR="00BA38C1" w:rsidRPr="000E7F48" w:rsidRDefault="00BA38C1" w:rsidP="000E7F48">
            <w:pPr>
              <w:rPr>
                <w:rFonts w:ascii="Arial" w:hAnsi="Arial" w:cs="Arial"/>
                <w:b/>
                <w:sz w:val="20"/>
                <w:szCs w:val="20"/>
              </w:rPr>
            </w:pPr>
            <w:r w:rsidRPr="000E7F48">
              <w:rPr>
                <w:rFonts w:ascii="Arial" w:hAnsi="Arial" w:cs="Arial"/>
                <w:b/>
                <w:sz w:val="20"/>
                <w:szCs w:val="20"/>
              </w:rPr>
              <w:t>Annual Target</w:t>
            </w:r>
          </w:p>
        </w:tc>
        <w:tc>
          <w:tcPr>
            <w:tcW w:w="4530" w:type="dxa"/>
            <w:gridSpan w:val="4"/>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Quarterly targets with sources of verification noted</w:t>
            </w:r>
          </w:p>
        </w:tc>
      </w:tr>
      <w:tr w:rsidR="00BA38C1" w:rsidRPr="000E7F48" w:rsidTr="009048AA">
        <w:trPr>
          <w:trHeight w:val="179"/>
        </w:trPr>
        <w:tc>
          <w:tcPr>
            <w:tcW w:w="3932" w:type="dxa"/>
            <w:vMerge/>
            <w:shd w:val="clear" w:color="auto" w:fill="D9D9D9" w:themeFill="background1" w:themeFillShade="D9"/>
          </w:tcPr>
          <w:p w:rsidR="00BA38C1" w:rsidRPr="000E7F48" w:rsidRDefault="00BA38C1" w:rsidP="000E7F48">
            <w:pPr>
              <w:autoSpaceDE w:val="0"/>
              <w:autoSpaceDN w:val="0"/>
              <w:adjustRightInd w:val="0"/>
              <w:rPr>
                <w:rFonts w:ascii="Arial" w:hAnsi="Arial" w:cs="Arial"/>
                <w:b/>
                <w:sz w:val="20"/>
                <w:szCs w:val="20"/>
              </w:rPr>
            </w:pPr>
          </w:p>
        </w:tc>
        <w:tc>
          <w:tcPr>
            <w:tcW w:w="1166" w:type="dxa"/>
            <w:vMerge/>
            <w:shd w:val="clear" w:color="auto" w:fill="D9D9D9" w:themeFill="background1" w:themeFillShade="D9"/>
          </w:tcPr>
          <w:p w:rsidR="00BA38C1" w:rsidRPr="000E7F48" w:rsidRDefault="00BA38C1" w:rsidP="000E7F48">
            <w:pPr>
              <w:rPr>
                <w:rFonts w:ascii="Arial" w:hAnsi="Arial" w:cs="Arial"/>
                <w:b/>
                <w:sz w:val="20"/>
                <w:szCs w:val="20"/>
              </w:rPr>
            </w:pPr>
          </w:p>
        </w:tc>
        <w:tc>
          <w:tcPr>
            <w:tcW w:w="1418"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Q1</w:t>
            </w:r>
          </w:p>
        </w:tc>
        <w:tc>
          <w:tcPr>
            <w:tcW w:w="1134"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Q2</w:t>
            </w:r>
          </w:p>
        </w:tc>
        <w:tc>
          <w:tcPr>
            <w:tcW w:w="992"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Q3</w:t>
            </w:r>
          </w:p>
        </w:tc>
        <w:tc>
          <w:tcPr>
            <w:tcW w:w="986"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Q4</w:t>
            </w:r>
          </w:p>
        </w:tc>
      </w:tr>
      <w:tr w:rsidR="00BA38C1" w:rsidRPr="000E7F48" w:rsidTr="009048AA">
        <w:tc>
          <w:tcPr>
            <w:tcW w:w="3932"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 xml:space="preserve">Number of preventative and regulation maintenance projects completed </w:t>
            </w:r>
          </w:p>
        </w:tc>
        <w:tc>
          <w:tcPr>
            <w:tcW w:w="116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8</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1134"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992"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98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2</w:t>
            </w:r>
          </w:p>
        </w:tc>
      </w:tr>
      <w:tr w:rsidR="00BA38C1" w:rsidRPr="000E7F48" w:rsidTr="009048AA">
        <w:tc>
          <w:tcPr>
            <w:tcW w:w="3932"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 xml:space="preserve">An annual increase in number of tangible heritage projects implemented at the CGH </w:t>
            </w:r>
          </w:p>
        </w:tc>
        <w:tc>
          <w:tcPr>
            <w:tcW w:w="116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 xml:space="preserve">4 </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w:t>
            </w:r>
          </w:p>
        </w:tc>
        <w:tc>
          <w:tcPr>
            <w:tcW w:w="1134"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1</w:t>
            </w:r>
          </w:p>
        </w:tc>
        <w:tc>
          <w:tcPr>
            <w:tcW w:w="992"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1</w:t>
            </w:r>
          </w:p>
        </w:tc>
        <w:tc>
          <w:tcPr>
            <w:tcW w:w="98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w:t>
            </w:r>
          </w:p>
        </w:tc>
      </w:tr>
      <w:tr w:rsidR="00BA38C1" w:rsidRPr="000E7F48" w:rsidTr="009048AA">
        <w:tc>
          <w:tcPr>
            <w:tcW w:w="3932"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 xml:space="preserve">Number of non-commercial, cultural events hosted at the CGH </w:t>
            </w:r>
          </w:p>
        </w:tc>
        <w:tc>
          <w:tcPr>
            <w:tcW w:w="116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15</w:t>
            </w:r>
          </w:p>
        </w:tc>
        <w:tc>
          <w:tcPr>
            <w:tcW w:w="1418"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4</w:t>
            </w:r>
          </w:p>
        </w:tc>
        <w:tc>
          <w:tcPr>
            <w:tcW w:w="1134"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4</w:t>
            </w:r>
          </w:p>
        </w:tc>
        <w:tc>
          <w:tcPr>
            <w:tcW w:w="992"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4</w:t>
            </w:r>
          </w:p>
        </w:tc>
        <w:tc>
          <w:tcPr>
            <w:tcW w:w="98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3</w:t>
            </w:r>
          </w:p>
        </w:tc>
      </w:tr>
      <w:tr w:rsidR="00BA38C1" w:rsidRPr="000E7F48" w:rsidTr="009048AA">
        <w:tc>
          <w:tcPr>
            <w:tcW w:w="3932"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Number of exhibitions hosted annually at the CGH</w:t>
            </w:r>
          </w:p>
        </w:tc>
        <w:tc>
          <w:tcPr>
            <w:tcW w:w="116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 xml:space="preserve">3 </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w:t>
            </w:r>
          </w:p>
        </w:tc>
        <w:tc>
          <w:tcPr>
            <w:tcW w:w="1134"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w:t>
            </w:r>
          </w:p>
        </w:tc>
        <w:tc>
          <w:tcPr>
            <w:tcW w:w="992"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w:t>
            </w:r>
          </w:p>
        </w:tc>
        <w:tc>
          <w:tcPr>
            <w:tcW w:w="98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2</w:t>
            </w:r>
          </w:p>
        </w:tc>
      </w:tr>
    </w:tbl>
    <w:p w:rsidR="00BA38C1" w:rsidRPr="000E7F48" w:rsidRDefault="00BA38C1" w:rsidP="000E7F48">
      <w:pPr>
        <w:spacing w:after="0" w:line="240" w:lineRule="auto"/>
        <w:rPr>
          <w:rFonts w:ascii="Arial" w:hAnsi="Arial" w:cs="Arial"/>
          <w:b/>
          <w:sz w:val="20"/>
          <w:szCs w:val="20"/>
        </w:rPr>
      </w:pPr>
      <w:r w:rsidRPr="000E7F48">
        <w:rPr>
          <w:rFonts w:ascii="Arial" w:hAnsi="Arial" w:cs="Arial"/>
          <w:b/>
          <w:i/>
          <w:sz w:val="20"/>
          <w:szCs w:val="20"/>
        </w:rPr>
        <w:t>Table 3: Programme 2 Annual and quarterly targets</w:t>
      </w:r>
    </w:p>
    <w:p w:rsidR="00BA38C1" w:rsidRPr="000E7F48" w:rsidRDefault="00BA38C1" w:rsidP="000E7F48">
      <w:pPr>
        <w:pStyle w:val="ListParagraph"/>
        <w:autoSpaceDE w:val="0"/>
        <w:autoSpaceDN w:val="0"/>
        <w:adjustRightInd w:val="0"/>
        <w:ind w:left="0"/>
        <w:rPr>
          <w:rFonts w:ascii="Arial" w:eastAsiaTheme="minorHAnsi" w:hAnsi="Arial" w:cs="Arial"/>
          <w:b/>
          <w:bCs/>
          <w:color w:val="7030A0"/>
          <w:sz w:val="20"/>
          <w:szCs w:val="20"/>
          <w:lang w:val="en-ZA"/>
        </w:rPr>
      </w:pPr>
    </w:p>
    <w:p w:rsidR="00BA38C1" w:rsidRPr="000E7F48" w:rsidRDefault="00BA38C1" w:rsidP="000E7F48">
      <w:pPr>
        <w:spacing w:after="0" w:line="240" w:lineRule="auto"/>
        <w:rPr>
          <w:rFonts w:ascii="Arial" w:hAnsi="Arial" w:cs="Arial"/>
          <w:b/>
          <w:sz w:val="20"/>
          <w:szCs w:val="20"/>
        </w:rPr>
      </w:pPr>
      <w:r w:rsidRPr="000E7F48">
        <w:rPr>
          <w:rFonts w:ascii="Arial" w:hAnsi="Arial" w:cs="Arial"/>
          <w:b/>
          <w:sz w:val="20"/>
          <w:szCs w:val="20"/>
        </w:rPr>
        <w:t>4.3</w:t>
      </w:r>
      <w:r w:rsidRPr="000E7F48">
        <w:rPr>
          <w:rFonts w:ascii="Arial" w:hAnsi="Arial" w:cs="Arial"/>
          <w:sz w:val="20"/>
          <w:szCs w:val="20"/>
        </w:rPr>
        <w:tab/>
      </w:r>
      <w:r w:rsidRPr="000E7F48">
        <w:rPr>
          <w:rFonts w:ascii="Arial" w:hAnsi="Arial" w:cs="Arial"/>
          <w:b/>
          <w:sz w:val="20"/>
          <w:szCs w:val="20"/>
        </w:rPr>
        <w:t>Programme 3: Maximising the Castle’s Tourism Potential</w:t>
      </w:r>
    </w:p>
    <w:p w:rsidR="00BA38C1" w:rsidRPr="000E7F48" w:rsidRDefault="00BA38C1" w:rsidP="000E7F48">
      <w:pPr>
        <w:spacing w:after="0" w:line="240" w:lineRule="auto"/>
        <w:rPr>
          <w:rFonts w:ascii="Arial" w:hAnsi="Arial" w:cs="Arial"/>
          <w:sz w:val="20"/>
          <w:szCs w:val="20"/>
        </w:rPr>
      </w:pPr>
      <w:r w:rsidRPr="000E7F48">
        <w:rPr>
          <w:rFonts w:ascii="Arial" w:hAnsi="Arial" w:cs="Arial"/>
          <w:sz w:val="20"/>
          <w:szCs w:val="20"/>
        </w:rPr>
        <w:t>The purpose of this programme is to optimise the tourism potential of the CGH.</w:t>
      </w:r>
    </w:p>
    <w:tbl>
      <w:tblPr>
        <w:tblStyle w:val="TableGrid"/>
        <w:tblW w:w="9918" w:type="dxa"/>
        <w:tblLayout w:type="fixed"/>
        <w:tblLook w:val="04A0"/>
      </w:tblPr>
      <w:tblGrid>
        <w:gridCol w:w="3114"/>
        <w:gridCol w:w="1276"/>
        <w:gridCol w:w="1417"/>
        <w:gridCol w:w="1418"/>
        <w:gridCol w:w="1417"/>
        <w:gridCol w:w="1276"/>
      </w:tblGrid>
      <w:tr w:rsidR="00BA38C1" w:rsidRPr="000E7F48" w:rsidTr="009048AA">
        <w:tc>
          <w:tcPr>
            <w:tcW w:w="3114" w:type="dxa"/>
            <w:vMerge w:val="restart"/>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Output indicators</w:t>
            </w:r>
          </w:p>
        </w:tc>
        <w:tc>
          <w:tcPr>
            <w:tcW w:w="1276" w:type="dxa"/>
            <w:vMerge w:val="restart"/>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Annual Target</w:t>
            </w:r>
          </w:p>
        </w:tc>
        <w:tc>
          <w:tcPr>
            <w:tcW w:w="5528" w:type="dxa"/>
            <w:gridSpan w:val="4"/>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Quarterly targets with sources of verification noted</w:t>
            </w:r>
          </w:p>
        </w:tc>
      </w:tr>
      <w:tr w:rsidR="00BA38C1" w:rsidRPr="000E7F48" w:rsidTr="009048AA">
        <w:trPr>
          <w:trHeight w:val="299"/>
        </w:trPr>
        <w:tc>
          <w:tcPr>
            <w:tcW w:w="3114" w:type="dxa"/>
            <w:vMerge/>
            <w:shd w:val="clear" w:color="auto" w:fill="D9D9D9" w:themeFill="background1" w:themeFillShade="D9"/>
          </w:tcPr>
          <w:p w:rsidR="00BA38C1" w:rsidRPr="000E7F48" w:rsidRDefault="00BA38C1" w:rsidP="000E7F48">
            <w:pPr>
              <w:autoSpaceDE w:val="0"/>
              <w:autoSpaceDN w:val="0"/>
              <w:adjustRightInd w:val="0"/>
              <w:rPr>
                <w:rFonts w:ascii="Arial" w:hAnsi="Arial" w:cs="Arial"/>
                <w:b/>
                <w:sz w:val="20"/>
                <w:szCs w:val="20"/>
              </w:rPr>
            </w:pPr>
          </w:p>
        </w:tc>
        <w:tc>
          <w:tcPr>
            <w:tcW w:w="1276" w:type="dxa"/>
            <w:vMerge/>
            <w:shd w:val="clear" w:color="auto" w:fill="D9D9D9" w:themeFill="background1" w:themeFillShade="D9"/>
          </w:tcPr>
          <w:p w:rsidR="00BA38C1" w:rsidRPr="000E7F48" w:rsidRDefault="00BA38C1" w:rsidP="000E7F48">
            <w:pPr>
              <w:rPr>
                <w:rFonts w:ascii="Arial" w:hAnsi="Arial" w:cs="Arial"/>
                <w:b/>
                <w:sz w:val="20"/>
                <w:szCs w:val="20"/>
              </w:rPr>
            </w:pPr>
          </w:p>
        </w:tc>
        <w:tc>
          <w:tcPr>
            <w:tcW w:w="1417"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Q1</w:t>
            </w:r>
          </w:p>
        </w:tc>
        <w:tc>
          <w:tcPr>
            <w:tcW w:w="1418"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Q2</w:t>
            </w:r>
          </w:p>
        </w:tc>
        <w:tc>
          <w:tcPr>
            <w:tcW w:w="1417"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Q3</w:t>
            </w:r>
          </w:p>
        </w:tc>
        <w:tc>
          <w:tcPr>
            <w:tcW w:w="1276"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Q4</w:t>
            </w:r>
          </w:p>
        </w:tc>
      </w:tr>
      <w:tr w:rsidR="00BA38C1" w:rsidRPr="000E7F48" w:rsidTr="009048AA">
        <w:tc>
          <w:tcPr>
            <w:tcW w:w="3114" w:type="dxa"/>
            <w:shd w:val="clear" w:color="auto" w:fill="FFFFFF" w:themeFill="background1"/>
          </w:tcPr>
          <w:p w:rsidR="00BA38C1" w:rsidRPr="000E7F48" w:rsidRDefault="00BA38C1" w:rsidP="000E7F48">
            <w:pPr>
              <w:autoSpaceDE w:val="0"/>
              <w:autoSpaceDN w:val="0"/>
              <w:adjustRightInd w:val="0"/>
              <w:rPr>
                <w:rFonts w:ascii="Arial" w:hAnsi="Arial" w:cs="Arial"/>
                <w:i/>
                <w:sz w:val="20"/>
                <w:szCs w:val="20"/>
              </w:rPr>
            </w:pPr>
            <w:r w:rsidRPr="000E7F48">
              <w:rPr>
                <w:rFonts w:ascii="Arial" w:hAnsi="Arial" w:cs="Arial"/>
                <w:sz w:val="20"/>
                <w:szCs w:val="20"/>
              </w:rPr>
              <w:t>The annual number of visitors and tourists attracted to the CGH</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12</w:t>
            </w:r>
            <w:r w:rsidR="009048AA" w:rsidRPr="000E7F48">
              <w:rPr>
                <w:rFonts w:ascii="Arial" w:hAnsi="Arial" w:cs="Arial"/>
                <w:sz w:val="20"/>
                <w:szCs w:val="20"/>
              </w:rPr>
              <w:t>5</w:t>
            </w:r>
            <w:r w:rsidRPr="000E7F48">
              <w:rPr>
                <w:rFonts w:ascii="Arial" w:hAnsi="Arial" w:cs="Arial"/>
                <w:sz w:val="20"/>
                <w:szCs w:val="20"/>
              </w:rPr>
              <w:t xml:space="preserve"> 000 </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 xml:space="preserve">20 000 </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 xml:space="preserve">20 000 </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 xml:space="preserve">35 000 </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 xml:space="preserve">45 000 </w:t>
            </w:r>
          </w:p>
        </w:tc>
      </w:tr>
      <w:tr w:rsidR="00BA38C1" w:rsidRPr="000E7F48" w:rsidTr="009048AA">
        <w:trPr>
          <w:trHeight w:val="615"/>
        </w:trPr>
        <w:tc>
          <w:tcPr>
            <w:tcW w:w="3114"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Gross revenue generated through tourism and Events</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R10</w:t>
            </w:r>
            <w:r w:rsidR="009048AA" w:rsidRPr="000E7F48">
              <w:rPr>
                <w:rFonts w:ascii="Arial" w:hAnsi="Arial" w:cs="Arial"/>
                <w:sz w:val="20"/>
                <w:szCs w:val="20"/>
              </w:rPr>
              <w:t> 455 000</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R 1 </w:t>
            </w:r>
            <w:r w:rsidR="009048AA" w:rsidRPr="000E7F48">
              <w:rPr>
                <w:rFonts w:ascii="Arial" w:hAnsi="Arial" w:cs="Arial"/>
                <w:sz w:val="20"/>
                <w:szCs w:val="20"/>
              </w:rPr>
              <w:t>150</w:t>
            </w:r>
            <w:r w:rsidRPr="000E7F48">
              <w:rPr>
                <w:rFonts w:ascii="Arial" w:hAnsi="Arial" w:cs="Arial"/>
                <w:sz w:val="20"/>
                <w:szCs w:val="20"/>
              </w:rPr>
              <w:t xml:space="preserve"> 000 </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R 2 </w:t>
            </w:r>
            <w:r w:rsidR="009048AA" w:rsidRPr="000E7F48">
              <w:rPr>
                <w:rFonts w:ascii="Arial" w:hAnsi="Arial" w:cs="Arial"/>
                <w:sz w:val="20"/>
                <w:szCs w:val="20"/>
              </w:rPr>
              <w:t>900</w:t>
            </w:r>
            <w:r w:rsidRPr="000E7F48">
              <w:rPr>
                <w:rFonts w:ascii="Arial" w:hAnsi="Arial" w:cs="Arial"/>
                <w:sz w:val="20"/>
                <w:szCs w:val="20"/>
              </w:rPr>
              <w:t xml:space="preserve"> 000 </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R</w:t>
            </w:r>
            <w:r w:rsidR="009048AA" w:rsidRPr="000E7F48">
              <w:rPr>
                <w:rFonts w:ascii="Arial" w:hAnsi="Arial" w:cs="Arial"/>
                <w:sz w:val="20"/>
                <w:szCs w:val="20"/>
              </w:rPr>
              <w:t>3</w:t>
            </w:r>
            <w:r w:rsidRPr="000E7F48">
              <w:rPr>
                <w:rFonts w:ascii="Arial" w:hAnsi="Arial" w:cs="Arial"/>
                <w:sz w:val="20"/>
                <w:szCs w:val="20"/>
              </w:rPr>
              <w:t xml:space="preserve"> </w:t>
            </w:r>
            <w:r w:rsidR="009048AA" w:rsidRPr="000E7F48">
              <w:rPr>
                <w:rFonts w:ascii="Arial" w:hAnsi="Arial" w:cs="Arial"/>
                <w:sz w:val="20"/>
                <w:szCs w:val="20"/>
              </w:rPr>
              <w:t>175</w:t>
            </w:r>
            <w:r w:rsidRPr="000E7F48">
              <w:rPr>
                <w:rFonts w:ascii="Arial" w:hAnsi="Arial" w:cs="Arial"/>
                <w:sz w:val="20"/>
                <w:szCs w:val="20"/>
              </w:rPr>
              <w:t xml:space="preserve"> 000 </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R3 </w:t>
            </w:r>
            <w:r w:rsidR="009048AA" w:rsidRPr="000E7F48">
              <w:rPr>
                <w:rFonts w:ascii="Arial" w:hAnsi="Arial" w:cs="Arial"/>
                <w:sz w:val="20"/>
                <w:szCs w:val="20"/>
              </w:rPr>
              <w:t>230</w:t>
            </w:r>
            <w:r w:rsidRPr="000E7F48">
              <w:rPr>
                <w:rFonts w:ascii="Arial" w:hAnsi="Arial" w:cs="Arial"/>
                <w:sz w:val="20"/>
                <w:szCs w:val="20"/>
              </w:rPr>
              <w:t xml:space="preserve"> 000 </w:t>
            </w:r>
          </w:p>
        </w:tc>
      </w:tr>
      <w:tr w:rsidR="00BA38C1" w:rsidRPr="000E7F48" w:rsidTr="009048AA">
        <w:tc>
          <w:tcPr>
            <w:tcW w:w="3114"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Number of commercial events hosted annually at the CGH</w:t>
            </w:r>
          </w:p>
        </w:tc>
        <w:tc>
          <w:tcPr>
            <w:tcW w:w="127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25</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5</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5</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5</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5</w:t>
            </w:r>
          </w:p>
        </w:tc>
      </w:tr>
      <w:tr w:rsidR="00BA38C1" w:rsidRPr="000E7F48" w:rsidTr="009048AA">
        <w:tc>
          <w:tcPr>
            <w:tcW w:w="3114" w:type="dxa"/>
            <w:shd w:val="clear" w:color="auto" w:fill="FFFFFF" w:themeFill="background1"/>
          </w:tcPr>
          <w:p w:rsidR="00BA38C1"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F</w:t>
            </w:r>
            <w:r w:rsidR="00BA38C1" w:rsidRPr="000E7F48">
              <w:rPr>
                <w:rFonts w:ascii="Arial" w:hAnsi="Arial" w:cs="Arial"/>
                <w:sz w:val="20"/>
                <w:szCs w:val="20"/>
              </w:rPr>
              <w:t>ilm and fashion shoots</w:t>
            </w:r>
          </w:p>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lastRenderedPageBreak/>
              <w:t xml:space="preserve">accommodated at the CGH </w:t>
            </w:r>
          </w:p>
        </w:tc>
        <w:tc>
          <w:tcPr>
            <w:tcW w:w="127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lastRenderedPageBreak/>
              <w:t>15</w:t>
            </w:r>
          </w:p>
        </w:tc>
        <w:tc>
          <w:tcPr>
            <w:tcW w:w="1417"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4</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 xml:space="preserve">4 </w:t>
            </w:r>
          </w:p>
        </w:tc>
        <w:tc>
          <w:tcPr>
            <w:tcW w:w="1417"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 xml:space="preserve">4 </w:t>
            </w:r>
          </w:p>
        </w:tc>
        <w:tc>
          <w:tcPr>
            <w:tcW w:w="127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3</w:t>
            </w:r>
          </w:p>
        </w:tc>
      </w:tr>
      <w:tr w:rsidR="00BA38C1" w:rsidRPr="000E7F48" w:rsidTr="009048AA">
        <w:tc>
          <w:tcPr>
            <w:tcW w:w="3114"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lastRenderedPageBreak/>
              <w:t>Number of tourism infrastructure upgrades Completed</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w:t>
            </w:r>
            <w:r w:rsidR="009048AA" w:rsidRPr="000E7F48">
              <w:rPr>
                <w:rFonts w:ascii="Arial" w:hAnsi="Arial" w:cs="Arial"/>
                <w:sz w:val="20"/>
                <w:szCs w:val="20"/>
              </w:rPr>
              <w:t xml:space="preserve"> </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w:t>
            </w:r>
          </w:p>
        </w:tc>
        <w:tc>
          <w:tcPr>
            <w:tcW w:w="1418"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w:t>
            </w:r>
          </w:p>
        </w:tc>
        <w:tc>
          <w:tcPr>
            <w:tcW w:w="1417"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w:t>
            </w:r>
          </w:p>
        </w:tc>
        <w:tc>
          <w:tcPr>
            <w:tcW w:w="1276" w:type="dxa"/>
            <w:shd w:val="clear" w:color="auto" w:fill="FFFFFF" w:themeFill="background1"/>
          </w:tcPr>
          <w:p w:rsidR="00BA38C1" w:rsidRPr="000E7F48" w:rsidRDefault="009048AA" w:rsidP="000E7F48">
            <w:pPr>
              <w:rPr>
                <w:rFonts w:ascii="Arial" w:hAnsi="Arial" w:cs="Arial"/>
                <w:sz w:val="20"/>
                <w:szCs w:val="20"/>
              </w:rPr>
            </w:pPr>
            <w:r w:rsidRPr="000E7F48">
              <w:rPr>
                <w:rFonts w:ascii="Arial" w:hAnsi="Arial" w:cs="Arial"/>
                <w:sz w:val="20"/>
                <w:szCs w:val="20"/>
              </w:rPr>
              <w:t>-</w:t>
            </w:r>
          </w:p>
        </w:tc>
      </w:tr>
      <w:tr w:rsidR="00BA38C1" w:rsidRPr="000E7F48" w:rsidTr="009048AA">
        <w:tc>
          <w:tcPr>
            <w:tcW w:w="3114" w:type="dxa"/>
            <w:shd w:val="clear" w:color="auto" w:fill="FFFFFF" w:themeFill="background1"/>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Number of Joint Marketing Initiatives</w:t>
            </w:r>
            <w:r w:rsidR="009048AA" w:rsidRPr="000E7F48">
              <w:rPr>
                <w:rFonts w:ascii="Arial" w:hAnsi="Arial" w:cs="Arial"/>
                <w:sz w:val="20"/>
                <w:szCs w:val="20"/>
              </w:rPr>
              <w:t xml:space="preserve"> </w:t>
            </w:r>
            <w:r w:rsidRPr="000E7F48">
              <w:rPr>
                <w:rFonts w:ascii="Arial" w:hAnsi="Arial" w:cs="Arial"/>
                <w:sz w:val="20"/>
                <w:szCs w:val="20"/>
              </w:rPr>
              <w:t>undertaken per year</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w:t>
            </w:r>
          </w:p>
        </w:tc>
        <w:tc>
          <w:tcPr>
            <w:tcW w:w="1418"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w:t>
            </w:r>
          </w:p>
        </w:tc>
        <w:tc>
          <w:tcPr>
            <w:tcW w:w="1417"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w:t>
            </w:r>
          </w:p>
        </w:tc>
        <w:tc>
          <w:tcPr>
            <w:tcW w:w="1276" w:type="dxa"/>
            <w:shd w:val="clear" w:color="auto" w:fill="FFFFFF" w:themeFill="background1"/>
          </w:tcPr>
          <w:p w:rsidR="00BA38C1" w:rsidRPr="000E7F48" w:rsidRDefault="00BA38C1" w:rsidP="000E7F48">
            <w:pPr>
              <w:rPr>
                <w:rFonts w:ascii="Arial" w:hAnsi="Arial" w:cs="Arial"/>
                <w:sz w:val="20"/>
                <w:szCs w:val="20"/>
              </w:rPr>
            </w:pPr>
            <w:r w:rsidRPr="000E7F48">
              <w:rPr>
                <w:rFonts w:ascii="Arial" w:hAnsi="Arial" w:cs="Arial"/>
                <w:sz w:val="20"/>
                <w:szCs w:val="20"/>
              </w:rPr>
              <w:t>1</w:t>
            </w:r>
          </w:p>
        </w:tc>
      </w:tr>
    </w:tbl>
    <w:p w:rsidR="00B244B0" w:rsidRPr="000E7F48" w:rsidRDefault="00BA38C1" w:rsidP="000E7F48">
      <w:pPr>
        <w:pStyle w:val="ListParagraph"/>
        <w:autoSpaceDE w:val="0"/>
        <w:autoSpaceDN w:val="0"/>
        <w:adjustRightInd w:val="0"/>
        <w:ind w:left="0"/>
        <w:rPr>
          <w:rFonts w:ascii="Arial" w:hAnsi="Arial" w:cs="Arial"/>
          <w:b/>
          <w:i/>
          <w:sz w:val="20"/>
          <w:szCs w:val="20"/>
        </w:rPr>
      </w:pPr>
      <w:r w:rsidRPr="000E7F48">
        <w:rPr>
          <w:rFonts w:ascii="Arial" w:hAnsi="Arial" w:cs="Arial"/>
          <w:b/>
          <w:i/>
          <w:sz w:val="20"/>
          <w:szCs w:val="20"/>
        </w:rPr>
        <w:t>Table 4: Programme 3 Annual and quarterly targets</w:t>
      </w:r>
    </w:p>
    <w:p w:rsidR="00BA38C1" w:rsidRPr="000E7F48" w:rsidRDefault="00BA38C1" w:rsidP="000E7F48">
      <w:pPr>
        <w:pStyle w:val="ListParagraph"/>
        <w:autoSpaceDE w:val="0"/>
        <w:autoSpaceDN w:val="0"/>
        <w:adjustRightInd w:val="0"/>
        <w:ind w:left="0"/>
        <w:rPr>
          <w:rFonts w:ascii="Arial" w:eastAsiaTheme="minorHAnsi" w:hAnsi="Arial" w:cs="Arial"/>
          <w:b/>
          <w:bCs/>
          <w:color w:val="7030A0"/>
          <w:sz w:val="20"/>
          <w:szCs w:val="20"/>
          <w:lang w:val="en-ZA"/>
        </w:rPr>
      </w:pPr>
    </w:p>
    <w:p w:rsidR="001976C6" w:rsidRPr="000E7F48" w:rsidRDefault="001976C6" w:rsidP="000E7F48">
      <w:pPr>
        <w:pStyle w:val="ListParagraph"/>
        <w:autoSpaceDE w:val="0"/>
        <w:autoSpaceDN w:val="0"/>
        <w:adjustRightInd w:val="0"/>
        <w:ind w:left="0"/>
        <w:rPr>
          <w:rFonts w:ascii="Arial" w:eastAsiaTheme="minorHAnsi" w:hAnsi="Arial" w:cs="Arial"/>
          <w:b/>
          <w:bCs/>
          <w:color w:val="7030A0"/>
          <w:sz w:val="20"/>
          <w:szCs w:val="20"/>
          <w:lang w:val="en-ZA"/>
        </w:rPr>
      </w:pPr>
    </w:p>
    <w:p w:rsidR="00BA38C1" w:rsidRPr="000E7F48" w:rsidRDefault="00BA38C1" w:rsidP="000E7F48">
      <w:pPr>
        <w:spacing w:after="0" w:line="240" w:lineRule="auto"/>
        <w:rPr>
          <w:rFonts w:ascii="Arial" w:hAnsi="Arial" w:cs="Arial"/>
          <w:b/>
          <w:sz w:val="20"/>
          <w:szCs w:val="20"/>
        </w:rPr>
      </w:pPr>
      <w:r w:rsidRPr="000E7F48">
        <w:rPr>
          <w:rFonts w:ascii="Arial" w:hAnsi="Arial" w:cs="Arial"/>
          <w:b/>
          <w:sz w:val="20"/>
          <w:szCs w:val="20"/>
        </w:rPr>
        <w:t>4.4</w:t>
      </w:r>
      <w:r w:rsidRPr="000E7F48">
        <w:rPr>
          <w:rFonts w:ascii="Arial" w:hAnsi="Arial" w:cs="Arial"/>
          <w:sz w:val="20"/>
          <w:szCs w:val="20"/>
        </w:rPr>
        <w:tab/>
      </w:r>
      <w:r w:rsidRPr="000E7F48">
        <w:rPr>
          <w:rFonts w:ascii="Arial" w:hAnsi="Arial" w:cs="Arial"/>
          <w:b/>
          <w:sz w:val="20"/>
          <w:szCs w:val="20"/>
        </w:rPr>
        <w:t>Programme 4: Increase public access to the CGH</w:t>
      </w:r>
    </w:p>
    <w:p w:rsidR="00BA38C1" w:rsidRPr="000E7F48" w:rsidRDefault="00BA38C1" w:rsidP="000E7F48">
      <w:pPr>
        <w:spacing w:after="0" w:line="240" w:lineRule="auto"/>
        <w:rPr>
          <w:rFonts w:ascii="Arial" w:hAnsi="Arial" w:cs="Arial"/>
          <w:sz w:val="20"/>
          <w:szCs w:val="20"/>
        </w:rPr>
      </w:pPr>
      <w:r w:rsidRPr="000E7F48">
        <w:rPr>
          <w:rFonts w:ascii="Arial" w:hAnsi="Arial" w:cs="Arial"/>
          <w:sz w:val="20"/>
          <w:szCs w:val="20"/>
        </w:rPr>
        <w:t xml:space="preserve"> This programme aims to optimise public access and increase the CGH’s public profile and positive perception across all community sectors.</w:t>
      </w:r>
    </w:p>
    <w:tbl>
      <w:tblPr>
        <w:tblStyle w:val="TableGrid"/>
        <w:tblW w:w="9918" w:type="dxa"/>
        <w:tblLayout w:type="fixed"/>
        <w:tblLook w:val="04A0"/>
      </w:tblPr>
      <w:tblGrid>
        <w:gridCol w:w="4248"/>
        <w:gridCol w:w="1134"/>
        <w:gridCol w:w="1134"/>
        <w:gridCol w:w="1134"/>
        <w:gridCol w:w="1134"/>
        <w:gridCol w:w="1134"/>
      </w:tblGrid>
      <w:tr w:rsidR="00BA38C1" w:rsidRPr="000E7F48" w:rsidTr="009048AA">
        <w:tc>
          <w:tcPr>
            <w:tcW w:w="4248" w:type="dxa"/>
            <w:vMerge w:val="restart"/>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Output indicators</w:t>
            </w:r>
          </w:p>
        </w:tc>
        <w:tc>
          <w:tcPr>
            <w:tcW w:w="1134" w:type="dxa"/>
            <w:vMerge w:val="restart"/>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Annual Target</w:t>
            </w:r>
          </w:p>
        </w:tc>
        <w:tc>
          <w:tcPr>
            <w:tcW w:w="4536" w:type="dxa"/>
            <w:gridSpan w:val="4"/>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Quarterly targets with sources of verification noted</w:t>
            </w:r>
          </w:p>
        </w:tc>
      </w:tr>
      <w:tr w:rsidR="00BA38C1" w:rsidRPr="000E7F48" w:rsidTr="009048AA">
        <w:trPr>
          <w:trHeight w:val="451"/>
        </w:trPr>
        <w:tc>
          <w:tcPr>
            <w:tcW w:w="4248" w:type="dxa"/>
            <w:vMerge/>
            <w:shd w:val="clear" w:color="auto" w:fill="D9D9D9" w:themeFill="background1" w:themeFillShade="D9"/>
          </w:tcPr>
          <w:p w:rsidR="00BA38C1" w:rsidRPr="000E7F48" w:rsidRDefault="00BA38C1" w:rsidP="000E7F48">
            <w:pPr>
              <w:autoSpaceDE w:val="0"/>
              <w:autoSpaceDN w:val="0"/>
              <w:adjustRightInd w:val="0"/>
              <w:rPr>
                <w:rFonts w:ascii="Arial" w:hAnsi="Arial" w:cs="Arial"/>
                <w:b/>
                <w:sz w:val="20"/>
                <w:szCs w:val="20"/>
              </w:rPr>
            </w:pPr>
          </w:p>
        </w:tc>
        <w:tc>
          <w:tcPr>
            <w:tcW w:w="1134" w:type="dxa"/>
            <w:vMerge/>
            <w:shd w:val="clear" w:color="auto" w:fill="D9D9D9" w:themeFill="background1" w:themeFillShade="D9"/>
          </w:tcPr>
          <w:p w:rsidR="00BA38C1" w:rsidRPr="000E7F48" w:rsidRDefault="00BA38C1" w:rsidP="000E7F48">
            <w:pPr>
              <w:rPr>
                <w:rFonts w:ascii="Arial" w:hAnsi="Arial" w:cs="Arial"/>
                <w:b/>
                <w:sz w:val="20"/>
                <w:szCs w:val="20"/>
              </w:rPr>
            </w:pPr>
          </w:p>
        </w:tc>
        <w:tc>
          <w:tcPr>
            <w:tcW w:w="1134"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Q1</w:t>
            </w:r>
          </w:p>
        </w:tc>
        <w:tc>
          <w:tcPr>
            <w:tcW w:w="1134"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Q2</w:t>
            </w:r>
          </w:p>
        </w:tc>
        <w:tc>
          <w:tcPr>
            <w:tcW w:w="1134"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Q3</w:t>
            </w:r>
          </w:p>
        </w:tc>
        <w:tc>
          <w:tcPr>
            <w:tcW w:w="1134" w:type="dxa"/>
            <w:shd w:val="clear" w:color="auto" w:fill="D9D9D9" w:themeFill="background1" w:themeFillShade="D9"/>
          </w:tcPr>
          <w:p w:rsidR="00BA38C1" w:rsidRPr="000E7F48" w:rsidRDefault="00BA38C1" w:rsidP="000E7F48">
            <w:pPr>
              <w:rPr>
                <w:rFonts w:ascii="Arial" w:hAnsi="Arial" w:cs="Arial"/>
                <w:b/>
                <w:sz w:val="20"/>
                <w:szCs w:val="20"/>
              </w:rPr>
            </w:pPr>
            <w:r w:rsidRPr="000E7F48">
              <w:rPr>
                <w:rFonts w:ascii="Arial" w:hAnsi="Arial" w:cs="Arial"/>
                <w:b/>
                <w:sz w:val="20"/>
                <w:szCs w:val="20"/>
              </w:rPr>
              <w:t>Q4</w:t>
            </w:r>
          </w:p>
        </w:tc>
      </w:tr>
      <w:tr w:rsidR="00BA38C1" w:rsidRPr="000E7F48" w:rsidTr="00CA48B0">
        <w:tc>
          <w:tcPr>
            <w:tcW w:w="4248" w:type="dxa"/>
            <w:tcBorders>
              <w:bottom w:val="single" w:sz="4" w:space="0" w:color="auto"/>
            </w:tcBorders>
            <w:shd w:val="clear" w:color="auto" w:fill="auto"/>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The annual number of potential visitors</w:t>
            </w:r>
          </w:p>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reached through the media</w:t>
            </w:r>
          </w:p>
        </w:tc>
        <w:tc>
          <w:tcPr>
            <w:tcW w:w="1134" w:type="dxa"/>
            <w:tcBorders>
              <w:bottom w:val="single" w:sz="4" w:space="0" w:color="auto"/>
            </w:tcBorders>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100 million</w:t>
            </w:r>
          </w:p>
        </w:tc>
        <w:tc>
          <w:tcPr>
            <w:tcW w:w="1134" w:type="dxa"/>
            <w:tcBorders>
              <w:bottom w:val="single" w:sz="4" w:space="0" w:color="auto"/>
            </w:tcBorders>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2</w:t>
            </w:r>
            <w:r w:rsidR="009048AA" w:rsidRPr="000E7F48">
              <w:rPr>
                <w:rFonts w:ascii="Arial" w:hAnsi="Arial" w:cs="Arial"/>
                <w:sz w:val="20"/>
                <w:szCs w:val="20"/>
              </w:rPr>
              <w:t xml:space="preserve">5 </w:t>
            </w:r>
            <w:r w:rsidRPr="000E7F48">
              <w:rPr>
                <w:rFonts w:ascii="Arial" w:hAnsi="Arial" w:cs="Arial"/>
                <w:sz w:val="20"/>
                <w:szCs w:val="20"/>
              </w:rPr>
              <w:t>m</w:t>
            </w:r>
            <w:r w:rsidR="009048AA" w:rsidRPr="000E7F48">
              <w:rPr>
                <w:rFonts w:ascii="Arial" w:hAnsi="Arial" w:cs="Arial"/>
                <w:sz w:val="20"/>
                <w:szCs w:val="20"/>
              </w:rPr>
              <w:t>illion</w:t>
            </w:r>
          </w:p>
        </w:tc>
        <w:tc>
          <w:tcPr>
            <w:tcW w:w="1134" w:type="dxa"/>
            <w:tcBorders>
              <w:bottom w:val="single" w:sz="4" w:space="0" w:color="auto"/>
            </w:tcBorders>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25 million</w:t>
            </w:r>
          </w:p>
        </w:tc>
        <w:tc>
          <w:tcPr>
            <w:tcW w:w="1134" w:type="dxa"/>
            <w:tcBorders>
              <w:bottom w:val="single" w:sz="4" w:space="0" w:color="auto"/>
            </w:tcBorders>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25 million</w:t>
            </w:r>
          </w:p>
        </w:tc>
        <w:tc>
          <w:tcPr>
            <w:tcW w:w="1134" w:type="dxa"/>
            <w:tcBorders>
              <w:bottom w:val="single" w:sz="4" w:space="0" w:color="auto"/>
            </w:tcBorders>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25 million</w:t>
            </w:r>
          </w:p>
        </w:tc>
      </w:tr>
      <w:tr w:rsidR="00BA38C1" w:rsidRPr="000E7F48" w:rsidTr="00CA48B0">
        <w:tc>
          <w:tcPr>
            <w:tcW w:w="4248" w:type="dxa"/>
            <w:shd w:val="clear" w:color="auto" w:fill="auto"/>
          </w:tcPr>
          <w:p w:rsidR="00BA38C1"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S</w:t>
            </w:r>
            <w:r w:rsidR="00BA38C1" w:rsidRPr="000E7F48">
              <w:rPr>
                <w:rFonts w:ascii="Arial" w:hAnsi="Arial" w:cs="Arial"/>
                <w:sz w:val="20"/>
                <w:szCs w:val="20"/>
              </w:rPr>
              <w:t>tudent interns hosted at the CGH</w:t>
            </w:r>
            <w:r w:rsidRPr="000E7F48">
              <w:rPr>
                <w:rFonts w:ascii="Arial" w:hAnsi="Arial" w:cs="Arial"/>
                <w:sz w:val="20"/>
                <w:szCs w:val="20"/>
              </w:rPr>
              <w:t xml:space="preserve"> </w:t>
            </w:r>
            <w:r w:rsidR="00BA38C1" w:rsidRPr="000E7F48">
              <w:rPr>
                <w:rFonts w:ascii="Arial" w:hAnsi="Arial" w:cs="Arial"/>
                <w:sz w:val="20"/>
                <w:szCs w:val="20"/>
              </w:rPr>
              <w:t>per annum</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 xml:space="preserve">12 </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6</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2</w:t>
            </w:r>
          </w:p>
        </w:tc>
      </w:tr>
      <w:tr w:rsidR="00BA38C1" w:rsidRPr="000E7F48" w:rsidTr="00CA48B0">
        <w:tc>
          <w:tcPr>
            <w:tcW w:w="4248" w:type="dxa"/>
            <w:shd w:val="clear" w:color="auto" w:fill="auto"/>
          </w:tcPr>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Number of heritage-educational programmes</w:t>
            </w:r>
          </w:p>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organised for women, unemployed youth,</w:t>
            </w:r>
          </w:p>
          <w:p w:rsidR="00BA38C1" w:rsidRPr="000E7F48" w:rsidRDefault="00BA38C1" w:rsidP="000E7F48">
            <w:pPr>
              <w:autoSpaceDE w:val="0"/>
              <w:autoSpaceDN w:val="0"/>
              <w:adjustRightInd w:val="0"/>
              <w:rPr>
                <w:rFonts w:ascii="Arial" w:hAnsi="Arial" w:cs="Arial"/>
                <w:sz w:val="20"/>
                <w:szCs w:val="20"/>
              </w:rPr>
            </w:pPr>
            <w:r w:rsidRPr="000E7F48">
              <w:rPr>
                <w:rFonts w:ascii="Arial" w:hAnsi="Arial" w:cs="Arial"/>
                <w:sz w:val="20"/>
                <w:szCs w:val="20"/>
              </w:rPr>
              <w:t>disabled and traditional communities</w:t>
            </w:r>
          </w:p>
        </w:tc>
        <w:tc>
          <w:tcPr>
            <w:tcW w:w="1134" w:type="dxa"/>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18</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 xml:space="preserve">4 </w:t>
            </w:r>
          </w:p>
        </w:tc>
        <w:tc>
          <w:tcPr>
            <w:tcW w:w="1134" w:type="dxa"/>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4</w:t>
            </w:r>
          </w:p>
        </w:tc>
        <w:tc>
          <w:tcPr>
            <w:tcW w:w="1134" w:type="dxa"/>
            <w:shd w:val="clear" w:color="auto" w:fill="auto"/>
          </w:tcPr>
          <w:p w:rsidR="00BA38C1" w:rsidRPr="000E7F48" w:rsidRDefault="009048AA" w:rsidP="000E7F48">
            <w:pPr>
              <w:rPr>
                <w:rFonts w:ascii="Arial" w:hAnsi="Arial" w:cs="Arial"/>
                <w:sz w:val="20"/>
                <w:szCs w:val="20"/>
              </w:rPr>
            </w:pPr>
            <w:r w:rsidRPr="000E7F48">
              <w:rPr>
                <w:rFonts w:ascii="Arial" w:hAnsi="Arial" w:cs="Arial"/>
                <w:sz w:val="20"/>
                <w:szCs w:val="20"/>
              </w:rPr>
              <w:t>5</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5</w:t>
            </w:r>
          </w:p>
        </w:tc>
      </w:tr>
      <w:tr w:rsidR="00BA38C1" w:rsidRPr="000E7F48" w:rsidTr="00CA48B0">
        <w:tc>
          <w:tcPr>
            <w:tcW w:w="4248" w:type="dxa"/>
            <w:shd w:val="clear" w:color="auto" w:fill="auto"/>
          </w:tcPr>
          <w:p w:rsidR="00BA38C1" w:rsidRPr="000E7F48" w:rsidRDefault="009048AA" w:rsidP="000E7F48">
            <w:pPr>
              <w:autoSpaceDE w:val="0"/>
              <w:autoSpaceDN w:val="0"/>
              <w:adjustRightInd w:val="0"/>
              <w:rPr>
                <w:rFonts w:ascii="Arial" w:hAnsi="Arial" w:cs="Arial"/>
                <w:sz w:val="20"/>
                <w:szCs w:val="20"/>
              </w:rPr>
            </w:pPr>
            <w:r w:rsidRPr="000E7F48">
              <w:rPr>
                <w:rFonts w:ascii="Arial" w:hAnsi="Arial" w:cs="Arial"/>
                <w:sz w:val="20"/>
                <w:szCs w:val="20"/>
              </w:rPr>
              <w:t>H</w:t>
            </w:r>
            <w:r w:rsidR="00BA38C1" w:rsidRPr="000E7F48">
              <w:rPr>
                <w:rFonts w:ascii="Arial" w:hAnsi="Arial" w:cs="Arial"/>
                <w:sz w:val="20"/>
                <w:szCs w:val="20"/>
              </w:rPr>
              <w:t>eritage programmes organised for</w:t>
            </w:r>
            <w:r w:rsidRPr="000E7F48">
              <w:rPr>
                <w:rFonts w:ascii="Arial" w:hAnsi="Arial" w:cs="Arial"/>
                <w:sz w:val="20"/>
                <w:szCs w:val="20"/>
              </w:rPr>
              <w:t xml:space="preserve"> </w:t>
            </w:r>
            <w:r w:rsidR="00BA38C1" w:rsidRPr="000E7F48">
              <w:rPr>
                <w:rFonts w:ascii="Arial" w:hAnsi="Arial" w:cs="Arial"/>
                <w:sz w:val="20"/>
                <w:szCs w:val="20"/>
              </w:rPr>
              <w:t>Military Veterans</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6</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2</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1</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1</w:t>
            </w:r>
          </w:p>
        </w:tc>
        <w:tc>
          <w:tcPr>
            <w:tcW w:w="1134" w:type="dxa"/>
            <w:shd w:val="clear" w:color="auto" w:fill="auto"/>
          </w:tcPr>
          <w:p w:rsidR="00BA38C1" w:rsidRPr="000E7F48" w:rsidRDefault="00BA38C1" w:rsidP="000E7F48">
            <w:pPr>
              <w:rPr>
                <w:rFonts w:ascii="Arial" w:hAnsi="Arial" w:cs="Arial"/>
                <w:sz w:val="20"/>
                <w:szCs w:val="20"/>
              </w:rPr>
            </w:pPr>
            <w:r w:rsidRPr="000E7F48">
              <w:rPr>
                <w:rFonts w:ascii="Arial" w:hAnsi="Arial" w:cs="Arial"/>
                <w:sz w:val="20"/>
                <w:szCs w:val="20"/>
              </w:rPr>
              <w:t>2</w:t>
            </w:r>
          </w:p>
        </w:tc>
      </w:tr>
    </w:tbl>
    <w:p w:rsidR="00BA38C1" w:rsidRPr="000E7F48" w:rsidRDefault="00BA38C1" w:rsidP="000E7F48">
      <w:pPr>
        <w:spacing w:after="0" w:line="240" w:lineRule="auto"/>
        <w:ind w:right="-1"/>
        <w:rPr>
          <w:rFonts w:ascii="Arial" w:hAnsi="Arial" w:cs="Arial"/>
          <w:b/>
          <w:i/>
          <w:sz w:val="20"/>
          <w:szCs w:val="20"/>
        </w:rPr>
      </w:pPr>
      <w:r w:rsidRPr="000E7F48">
        <w:rPr>
          <w:rFonts w:ascii="Arial" w:hAnsi="Arial" w:cs="Arial"/>
          <w:b/>
          <w:i/>
          <w:sz w:val="20"/>
          <w:szCs w:val="20"/>
        </w:rPr>
        <w:t>Table 5: Programme 4 Annual and quarterly targets</w:t>
      </w:r>
    </w:p>
    <w:p w:rsidR="00E34EBC" w:rsidRPr="000E7F48" w:rsidRDefault="00E34EBC" w:rsidP="000E7F48">
      <w:pPr>
        <w:spacing w:after="0" w:line="240" w:lineRule="auto"/>
        <w:ind w:right="-1"/>
        <w:rPr>
          <w:rFonts w:ascii="Arial" w:hAnsi="Arial" w:cs="Arial"/>
          <w:b/>
          <w:i/>
          <w:sz w:val="20"/>
          <w:szCs w:val="20"/>
        </w:rPr>
      </w:pPr>
    </w:p>
    <w:p w:rsidR="00E34EBC" w:rsidRPr="000E7F48" w:rsidRDefault="00E34EBC" w:rsidP="000E7F48">
      <w:pPr>
        <w:spacing w:after="0" w:line="240" w:lineRule="auto"/>
        <w:ind w:right="-1"/>
        <w:rPr>
          <w:rFonts w:ascii="Arial" w:hAnsi="Arial" w:cs="Arial"/>
          <w:b/>
          <w:i/>
          <w:sz w:val="20"/>
          <w:szCs w:val="20"/>
        </w:rPr>
      </w:pPr>
    </w:p>
    <w:p w:rsidR="00BA38C1" w:rsidRPr="000E7F48" w:rsidRDefault="00BA38C1" w:rsidP="000E7F48">
      <w:pPr>
        <w:spacing w:after="0" w:line="240" w:lineRule="auto"/>
        <w:rPr>
          <w:rFonts w:ascii="Arial" w:hAnsi="Arial" w:cs="Arial"/>
          <w:b/>
          <w:sz w:val="20"/>
          <w:szCs w:val="20"/>
        </w:rPr>
      </w:pPr>
      <w:r w:rsidRPr="000E7F48">
        <w:rPr>
          <w:rFonts w:ascii="Arial" w:hAnsi="Arial" w:cs="Arial"/>
          <w:b/>
          <w:sz w:val="20"/>
          <w:szCs w:val="20"/>
        </w:rPr>
        <w:t>5.</w:t>
      </w:r>
      <w:r w:rsidRPr="000E7F48">
        <w:rPr>
          <w:rFonts w:ascii="Arial" w:hAnsi="Arial" w:cs="Arial"/>
          <w:b/>
          <w:sz w:val="20"/>
          <w:szCs w:val="20"/>
        </w:rPr>
        <w:tab/>
        <w:t xml:space="preserve"> RESOURCE CONSIDERATIONS</w:t>
      </w:r>
    </w:p>
    <w:p w:rsidR="00F42111" w:rsidRPr="000E7F48" w:rsidRDefault="00BA38C1" w:rsidP="000E7F48">
      <w:pPr>
        <w:spacing w:after="0" w:line="240" w:lineRule="auto"/>
        <w:rPr>
          <w:rFonts w:ascii="Arial" w:hAnsi="Arial" w:cs="Arial"/>
          <w:sz w:val="20"/>
          <w:szCs w:val="20"/>
        </w:rPr>
      </w:pPr>
      <w:r w:rsidRPr="000E7F48">
        <w:rPr>
          <w:rFonts w:ascii="Arial" w:hAnsi="Arial" w:cs="Arial"/>
          <w:sz w:val="20"/>
          <w:szCs w:val="20"/>
        </w:rPr>
        <w:t xml:space="preserve">This section </w:t>
      </w:r>
      <w:r w:rsidR="00F42111" w:rsidRPr="000E7F48">
        <w:rPr>
          <w:rFonts w:ascii="Arial" w:hAnsi="Arial" w:cs="Arial"/>
          <w:sz w:val="20"/>
          <w:szCs w:val="20"/>
        </w:rPr>
        <w:t>provides a high-level overview of the CCB’s programme resource allocations for 2023/24</w:t>
      </w:r>
      <w:r w:rsidRPr="000E7F48">
        <w:rPr>
          <w:rFonts w:ascii="Arial" w:hAnsi="Arial" w:cs="Arial"/>
          <w:sz w:val="20"/>
          <w:szCs w:val="20"/>
        </w:rPr>
        <w:t xml:space="preserve">.  </w:t>
      </w:r>
      <w:r w:rsidR="00F42111" w:rsidRPr="000E7F48">
        <w:rPr>
          <w:rFonts w:ascii="Arial" w:hAnsi="Arial" w:cs="Arial"/>
          <w:sz w:val="20"/>
          <w:szCs w:val="20"/>
        </w:rPr>
        <w:t>The projected expenditure for 2023/24 is R10.455 million, an increase of R450 000 from the previous year. The Administration Programme remains the largest programme with expected expenditure of R9.360 million for 2023/24 (89.5% of the total allocation). The Administration Programme is the most significant spending programme given that within this programme employment cost is the primary expenditure driver with 19 people according to the 2023 Estimates of National Expenditure.</w:t>
      </w:r>
      <w:r w:rsidR="00F42111" w:rsidRPr="000E7F48">
        <w:rPr>
          <w:rFonts w:ascii="Arial" w:hAnsi="Arial" w:cs="Arial"/>
          <w:sz w:val="20"/>
          <w:szCs w:val="20"/>
          <w:vertAlign w:val="superscript"/>
        </w:rPr>
        <w:footnoteReference w:id="2"/>
      </w:r>
      <w:r w:rsidR="00F42111" w:rsidRPr="000E7F48">
        <w:rPr>
          <w:rFonts w:ascii="Arial" w:hAnsi="Arial" w:cs="Arial"/>
          <w:sz w:val="20"/>
          <w:szCs w:val="20"/>
        </w:rPr>
        <w:t xml:space="preserve"> The overall expenditure trends remain fairly stable from 2022/23 to 2023/24, with a 4.5% nominal increase.</w:t>
      </w:r>
    </w:p>
    <w:p w:rsidR="00F42111" w:rsidRPr="000E7F48" w:rsidRDefault="00F42111" w:rsidP="000E7F48">
      <w:pPr>
        <w:spacing w:after="0" w:line="240" w:lineRule="auto"/>
        <w:rPr>
          <w:rFonts w:ascii="Arial" w:hAnsi="Arial" w:cs="Arial"/>
          <w:sz w:val="20"/>
          <w:szCs w:val="20"/>
        </w:rPr>
      </w:pPr>
    </w:p>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It should also be noted that 2023/24 will be the last year the CCB is allocated the Covid relief grant (R4.5 million). The operation grant is necessary to cushion the CCB from the impact that the pandemic has had on tourism. Through the SANDF’s Chief of Logistics, the DOD has ring-fenced an amount of R4.5 million to assist with the day-to-day maintenance of the Castle of Good Hope.</w:t>
      </w:r>
    </w:p>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w:t>
      </w:r>
    </w:p>
    <w:tbl>
      <w:tblPr>
        <w:tblW w:w="97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268"/>
        <w:gridCol w:w="1134"/>
        <w:gridCol w:w="1098"/>
        <w:gridCol w:w="1276"/>
        <w:gridCol w:w="1276"/>
        <w:gridCol w:w="1417"/>
        <w:gridCol w:w="1276"/>
      </w:tblGrid>
      <w:tr w:rsidR="00F42111" w:rsidRPr="000E7F48" w:rsidTr="00F42111">
        <w:trPr>
          <w:trHeight w:val="765"/>
          <w:jc w:val="center"/>
        </w:trPr>
        <w:tc>
          <w:tcPr>
            <w:tcW w:w="2268" w:type="dxa"/>
            <w:tcBorders>
              <w:top w:val="single" w:sz="4" w:space="0" w:color="auto"/>
              <w:bottom w:val="single" w:sz="4" w:space="0" w:color="auto"/>
            </w:tcBorders>
            <w:shd w:val="clear" w:color="auto" w:fill="D9D9D9" w:themeFill="background1" w:themeFillShade="D9"/>
            <w:noWrap/>
            <w:vAlign w:val="bottom"/>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Programme</w:t>
            </w:r>
          </w:p>
        </w:tc>
        <w:tc>
          <w:tcPr>
            <w:tcW w:w="2232" w:type="dxa"/>
            <w:gridSpan w:val="2"/>
            <w:tcBorders>
              <w:top w:val="single" w:sz="4" w:space="0" w:color="auto"/>
              <w:bottom w:val="single" w:sz="4" w:space="0" w:color="auto"/>
            </w:tcBorders>
            <w:shd w:val="clear" w:color="auto" w:fill="D9D9D9" w:themeFill="background1" w:themeFillShade="D9"/>
            <w:vAlign w:val="center"/>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Budget</w:t>
            </w:r>
          </w:p>
        </w:tc>
        <w:tc>
          <w:tcPr>
            <w:tcW w:w="1276" w:type="dxa"/>
            <w:vMerge w:val="restart"/>
            <w:tcBorders>
              <w:top w:val="single" w:sz="4" w:space="0" w:color="auto"/>
              <w:bottom w:val="single" w:sz="6" w:space="0" w:color="auto"/>
            </w:tcBorders>
            <w:shd w:val="clear" w:color="auto" w:fill="D9D9D9" w:themeFill="background1" w:themeFillShade="D9"/>
            <w:vAlign w:val="center"/>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Nominal Increase / Decrease in 2023/24</w:t>
            </w:r>
          </w:p>
        </w:tc>
        <w:tc>
          <w:tcPr>
            <w:tcW w:w="1276" w:type="dxa"/>
            <w:vMerge w:val="restart"/>
            <w:tcBorders>
              <w:top w:val="single" w:sz="4" w:space="0" w:color="auto"/>
              <w:bottom w:val="single" w:sz="6" w:space="0" w:color="auto"/>
            </w:tcBorders>
            <w:shd w:val="clear" w:color="auto" w:fill="D9D9D9" w:themeFill="background1" w:themeFillShade="D9"/>
            <w:vAlign w:val="center"/>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Real Increase / Decrease in 2023/24</w:t>
            </w:r>
          </w:p>
        </w:tc>
        <w:tc>
          <w:tcPr>
            <w:tcW w:w="1417" w:type="dxa"/>
            <w:vMerge w:val="restart"/>
            <w:tcBorders>
              <w:top w:val="single" w:sz="4" w:space="0" w:color="auto"/>
              <w:bottom w:val="single" w:sz="6" w:space="0" w:color="auto"/>
            </w:tcBorders>
            <w:shd w:val="clear" w:color="auto" w:fill="D9D9D9" w:themeFill="background1" w:themeFillShade="D9"/>
            <w:vAlign w:val="center"/>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Nominal Percent change in 2023/24</w:t>
            </w:r>
          </w:p>
        </w:tc>
        <w:tc>
          <w:tcPr>
            <w:tcW w:w="1276" w:type="dxa"/>
            <w:vMerge w:val="restart"/>
            <w:tcBorders>
              <w:top w:val="single" w:sz="4" w:space="0" w:color="auto"/>
              <w:bottom w:val="single" w:sz="6" w:space="0" w:color="auto"/>
            </w:tcBorders>
            <w:shd w:val="clear" w:color="auto" w:fill="D9D9D9" w:themeFill="background1" w:themeFillShade="D9"/>
            <w:vAlign w:val="center"/>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Real Percent change in 2023/24</w:t>
            </w:r>
          </w:p>
        </w:tc>
      </w:tr>
      <w:tr w:rsidR="00F42111" w:rsidRPr="000E7F48" w:rsidTr="00F42111">
        <w:trPr>
          <w:trHeight w:val="255"/>
          <w:jc w:val="center"/>
        </w:trPr>
        <w:tc>
          <w:tcPr>
            <w:tcW w:w="2268" w:type="dxa"/>
            <w:tcBorders>
              <w:top w:val="single" w:sz="4" w:space="0" w:color="auto"/>
              <w:bottom w:val="single" w:sz="6" w:space="0" w:color="auto"/>
              <w:right w:val="single" w:sz="4" w:space="0" w:color="auto"/>
            </w:tcBorders>
            <w:shd w:val="clear" w:color="auto" w:fill="D9D9D9" w:themeFill="background1" w:themeFillShade="D9"/>
            <w:noWrap/>
            <w:vAlign w:val="bottom"/>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R million</w:t>
            </w:r>
          </w:p>
        </w:tc>
        <w:tc>
          <w:tcPr>
            <w:tcW w:w="1134" w:type="dxa"/>
            <w:tcBorders>
              <w:top w:val="single" w:sz="4" w:space="0" w:color="auto"/>
              <w:left w:val="single" w:sz="4" w:space="0" w:color="auto"/>
              <w:bottom w:val="single" w:sz="6" w:space="0" w:color="auto"/>
            </w:tcBorders>
            <w:shd w:val="clear" w:color="auto" w:fill="D9D9D9" w:themeFill="background1" w:themeFillShade="D9"/>
            <w:noWrap/>
            <w:vAlign w:val="bottom"/>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2022/23</w:t>
            </w:r>
          </w:p>
        </w:tc>
        <w:tc>
          <w:tcPr>
            <w:tcW w:w="1098" w:type="dxa"/>
            <w:tcBorders>
              <w:top w:val="single" w:sz="4" w:space="0" w:color="auto"/>
              <w:bottom w:val="single" w:sz="6" w:space="0" w:color="auto"/>
              <w:right w:val="single" w:sz="4" w:space="0" w:color="auto"/>
            </w:tcBorders>
            <w:shd w:val="clear" w:color="auto" w:fill="D9D9D9" w:themeFill="background1" w:themeFillShade="D9"/>
            <w:noWrap/>
            <w:vAlign w:val="bottom"/>
            <w:hideMark/>
          </w:tcPr>
          <w:p w:rsidR="00F42111" w:rsidRPr="000E7F48" w:rsidRDefault="00F42111" w:rsidP="000E7F48">
            <w:pPr>
              <w:spacing w:after="0" w:line="240" w:lineRule="auto"/>
              <w:rPr>
                <w:rFonts w:ascii="Arial" w:hAnsi="Arial" w:cs="Arial"/>
                <w:b/>
                <w:bCs/>
                <w:sz w:val="20"/>
                <w:szCs w:val="20"/>
              </w:rPr>
            </w:pPr>
            <w:r w:rsidRPr="000E7F48">
              <w:rPr>
                <w:rFonts w:ascii="Arial" w:hAnsi="Arial" w:cs="Arial"/>
                <w:b/>
                <w:bCs/>
                <w:sz w:val="20"/>
                <w:szCs w:val="20"/>
              </w:rPr>
              <w:t>2023/24</w:t>
            </w:r>
          </w:p>
        </w:tc>
        <w:tc>
          <w:tcPr>
            <w:tcW w:w="1276" w:type="dxa"/>
            <w:vMerge/>
            <w:tcBorders>
              <w:top w:val="single" w:sz="6" w:space="0" w:color="auto"/>
              <w:left w:val="single" w:sz="4" w:space="0" w:color="auto"/>
              <w:bottom w:val="single" w:sz="6" w:space="0" w:color="auto"/>
            </w:tcBorders>
            <w:shd w:val="clear" w:color="auto" w:fill="auto"/>
            <w:vAlign w:val="center"/>
            <w:hideMark/>
          </w:tcPr>
          <w:p w:rsidR="00F42111" w:rsidRPr="000E7F48" w:rsidRDefault="00F42111" w:rsidP="000E7F48">
            <w:pPr>
              <w:spacing w:after="0" w:line="240" w:lineRule="auto"/>
              <w:rPr>
                <w:rFonts w:ascii="Arial" w:hAnsi="Arial" w:cs="Arial"/>
                <w:b/>
                <w:bCs/>
                <w:sz w:val="20"/>
                <w:szCs w:val="20"/>
              </w:rPr>
            </w:pPr>
          </w:p>
        </w:tc>
        <w:tc>
          <w:tcPr>
            <w:tcW w:w="1276" w:type="dxa"/>
            <w:vMerge/>
            <w:tcBorders>
              <w:top w:val="single" w:sz="6" w:space="0" w:color="auto"/>
              <w:bottom w:val="single" w:sz="6" w:space="0" w:color="auto"/>
            </w:tcBorders>
            <w:shd w:val="clear" w:color="auto" w:fill="auto"/>
            <w:vAlign w:val="center"/>
            <w:hideMark/>
          </w:tcPr>
          <w:p w:rsidR="00F42111" w:rsidRPr="000E7F48" w:rsidRDefault="00F42111" w:rsidP="000E7F48">
            <w:pPr>
              <w:spacing w:after="0" w:line="240" w:lineRule="auto"/>
              <w:rPr>
                <w:rFonts w:ascii="Arial" w:hAnsi="Arial" w:cs="Arial"/>
                <w:b/>
                <w:bCs/>
                <w:sz w:val="20"/>
                <w:szCs w:val="20"/>
              </w:rPr>
            </w:pPr>
          </w:p>
        </w:tc>
        <w:tc>
          <w:tcPr>
            <w:tcW w:w="1417" w:type="dxa"/>
            <w:vMerge/>
            <w:tcBorders>
              <w:top w:val="single" w:sz="6" w:space="0" w:color="auto"/>
              <w:bottom w:val="single" w:sz="6" w:space="0" w:color="auto"/>
            </w:tcBorders>
            <w:shd w:val="clear" w:color="auto" w:fill="auto"/>
            <w:vAlign w:val="center"/>
            <w:hideMark/>
          </w:tcPr>
          <w:p w:rsidR="00F42111" w:rsidRPr="000E7F48" w:rsidRDefault="00F42111" w:rsidP="000E7F48">
            <w:pPr>
              <w:spacing w:after="0" w:line="240" w:lineRule="auto"/>
              <w:rPr>
                <w:rFonts w:ascii="Arial" w:hAnsi="Arial" w:cs="Arial"/>
                <w:b/>
                <w:bCs/>
                <w:sz w:val="20"/>
                <w:szCs w:val="20"/>
              </w:rPr>
            </w:pPr>
          </w:p>
        </w:tc>
        <w:tc>
          <w:tcPr>
            <w:tcW w:w="1276" w:type="dxa"/>
            <w:vMerge/>
            <w:tcBorders>
              <w:top w:val="single" w:sz="6" w:space="0" w:color="auto"/>
              <w:bottom w:val="single" w:sz="6" w:space="0" w:color="auto"/>
            </w:tcBorders>
            <w:shd w:val="clear" w:color="auto" w:fill="auto"/>
            <w:vAlign w:val="center"/>
            <w:hideMark/>
          </w:tcPr>
          <w:p w:rsidR="00F42111" w:rsidRPr="000E7F48" w:rsidRDefault="00F42111" w:rsidP="000E7F48">
            <w:pPr>
              <w:spacing w:after="0" w:line="240" w:lineRule="auto"/>
              <w:rPr>
                <w:rFonts w:ascii="Arial" w:hAnsi="Arial" w:cs="Arial"/>
                <w:b/>
                <w:bCs/>
                <w:sz w:val="20"/>
                <w:szCs w:val="20"/>
              </w:rPr>
            </w:pPr>
          </w:p>
        </w:tc>
      </w:tr>
      <w:tr w:rsidR="00F42111" w:rsidRPr="000E7F48" w:rsidTr="00F42111">
        <w:trPr>
          <w:trHeight w:val="255"/>
          <w:jc w:val="center"/>
        </w:trPr>
        <w:tc>
          <w:tcPr>
            <w:tcW w:w="2268" w:type="dxa"/>
            <w:tcBorders>
              <w:top w:val="single" w:sz="6" w:space="0" w:color="auto"/>
              <w:bottom w:val="single" w:sz="6" w:space="0" w:color="auto"/>
              <w:right w:val="single" w:sz="4"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Administration</w:t>
            </w:r>
          </w:p>
        </w:tc>
        <w:tc>
          <w:tcPr>
            <w:tcW w:w="1134" w:type="dxa"/>
            <w:tcBorders>
              <w:top w:val="single" w:sz="6" w:space="0" w:color="auto"/>
              <w:left w:val="single" w:sz="4"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8 957,0</w:t>
            </w:r>
          </w:p>
        </w:tc>
        <w:tc>
          <w:tcPr>
            <w:tcW w:w="1098"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9 360,0</w:t>
            </w:r>
          </w:p>
        </w:tc>
        <w:tc>
          <w:tcPr>
            <w:tcW w:w="1276" w:type="dxa"/>
            <w:tcBorders>
              <w:top w:val="single" w:sz="6" w:space="0" w:color="auto"/>
              <w:bottom w:val="single" w:sz="6"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403,0</w:t>
            </w:r>
          </w:p>
        </w:tc>
        <w:tc>
          <w:tcPr>
            <w:tcW w:w="1276"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0,1</w:t>
            </w:r>
          </w:p>
        </w:tc>
        <w:tc>
          <w:tcPr>
            <w:tcW w:w="1417"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4,50%</w:t>
            </w:r>
          </w:p>
        </w:tc>
        <w:tc>
          <w:tcPr>
            <w:tcW w:w="1276"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0,00%</w:t>
            </w:r>
          </w:p>
        </w:tc>
      </w:tr>
      <w:tr w:rsidR="00F42111" w:rsidRPr="000E7F48" w:rsidTr="00F42111">
        <w:trPr>
          <w:trHeight w:val="255"/>
          <w:jc w:val="center"/>
        </w:trPr>
        <w:tc>
          <w:tcPr>
            <w:tcW w:w="2268" w:type="dxa"/>
            <w:tcBorders>
              <w:top w:val="single" w:sz="6" w:space="0" w:color="auto"/>
              <w:bottom w:val="single" w:sz="6" w:space="0" w:color="auto"/>
              <w:right w:val="single" w:sz="4"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Conservation Management</w:t>
            </w:r>
          </w:p>
        </w:tc>
        <w:tc>
          <w:tcPr>
            <w:tcW w:w="1134" w:type="dxa"/>
            <w:tcBorders>
              <w:top w:val="single" w:sz="6" w:space="0" w:color="auto"/>
              <w:left w:val="single" w:sz="4"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700,0</w:t>
            </w:r>
          </w:p>
        </w:tc>
        <w:tc>
          <w:tcPr>
            <w:tcW w:w="1098"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732,0</w:t>
            </w:r>
          </w:p>
        </w:tc>
        <w:tc>
          <w:tcPr>
            <w:tcW w:w="1276" w:type="dxa"/>
            <w:tcBorders>
              <w:top w:val="single" w:sz="6" w:space="0" w:color="auto"/>
              <w:bottom w:val="single" w:sz="6"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32,0</w:t>
            </w:r>
          </w:p>
        </w:tc>
        <w:tc>
          <w:tcPr>
            <w:tcW w:w="1276"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0,5</w:t>
            </w:r>
          </w:p>
        </w:tc>
        <w:tc>
          <w:tcPr>
            <w:tcW w:w="1417"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4,57%</w:t>
            </w:r>
          </w:p>
        </w:tc>
        <w:tc>
          <w:tcPr>
            <w:tcW w:w="1276"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0,07%</w:t>
            </w:r>
          </w:p>
        </w:tc>
      </w:tr>
      <w:tr w:rsidR="00F42111" w:rsidRPr="000E7F48" w:rsidTr="00F42111">
        <w:trPr>
          <w:trHeight w:val="255"/>
          <w:jc w:val="center"/>
        </w:trPr>
        <w:tc>
          <w:tcPr>
            <w:tcW w:w="2268" w:type="dxa"/>
            <w:tcBorders>
              <w:top w:val="single" w:sz="6" w:space="0" w:color="auto"/>
              <w:bottom w:val="single" w:sz="6" w:space="0" w:color="auto"/>
              <w:right w:val="single" w:sz="4"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Tourism Management</w:t>
            </w:r>
          </w:p>
        </w:tc>
        <w:tc>
          <w:tcPr>
            <w:tcW w:w="1134" w:type="dxa"/>
            <w:tcBorders>
              <w:top w:val="single" w:sz="6" w:space="0" w:color="auto"/>
              <w:left w:val="single" w:sz="4"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90,0</w:t>
            </w:r>
          </w:p>
        </w:tc>
        <w:tc>
          <w:tcPr>
            <w:tcW w:w="1098"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94,0</w:t>
            </w:r>
          </w:p>
        </w:tc>
        <w:tc>
          <w:tcPr>
            <w:tcW w:w="1276" w:type="dxa"/>
            <w:tcBorders>
              <w:top w:val="single" w:sz="6" w:space="0" w:color="auto"/>
              <w:bottom w:val="single" w:sz="6"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4,0</w:t>
            </w:r>
          </w:p>
        </w:tc>
        <w:tc>
          <w:tcPr>
            <w:tcW w:w="1276"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0,0</w:t>
            </w:r>
          </w:p>
        </w:tc>
        <w:tc>
          <w:tcPr>
            <w:tcW w:w="1417"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4,44%</w:t>
            </w:r>
          </w:p>
        </w:tc>
        <w:tc>
          <w:tcPr>
            <w:tcW w:w="1276" w:type="dxa"/>
            <w:tcBorders>
              <w:top w:val="single" w:sz="6" w:space="0" w:color="auto"/>
              <w:bottom w:val="single" w:sz="6"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-0,05%</w:t>
            </w:r>
          </w:p>
        </w:tc>
      </w:tr>
      <w:tr w:rsidR="00F42111" w:rsidRPr="000E7F48" w:rsidTr="00F42111">
        <w:trPr>
          <w:trHeight w:val="255"/>
          <w:jc w:val="center"/>
        </w:trPr>
        <w:tc>
          <w:tcPr>
            <w:tcW w:w="2268" w:type="dxa"/>
            <w:tcBorders>
              <w:top w:val="single" w:sz="6" w:space="0" w:color="auto"/>
              <w:bottom w:val="single" w:sz="6" w:space="0" w:color="auto"/>
              <w:right w:val="single" w:sz="4"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Public Access</w:t>
            </w:r>
          </w:p>
        </w:tc>
        <w:tc>
          <w:tcPr>
            <w:tcW w:w="1134" w:type="dxa"/>
            <w:tcBorders>
              <w:top w:val="single" w:sz="6" w:space="0" w:color="auto"/>
              <w:left w:val="single" w:sz="4" w:space="0" w:color="auto"/>
              <w:bottom w:val="single" w:sz="4"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258,0</w:t>
            </w:r>
          </w:p>
        </w:tc>
        <w:tc>
          <w:tcPr>
            <w:tcW w:w="1098" w:type="dxa"/>
            <w:tcBorders>
              <w:top w:val="single" w:sz="6" w:space="0" w:color="auto"/>
              <w:bottom w:val="single" w:sz="4"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269,0</w:t>
            </w:r>
          </w:p>
        </w:tc>
        <w:tc>
          <w:tcPr>
            <w:tcW w:w="1276" w:type="dxa"/>
            <w:tcBorders>
              <w:top w:val="single" w:sz="6" w:space="0" w:color="auto"/>
              <w:bottom w:val="single" w:sz="4" w:space="0" w:color="auto"/>
            </w:tcBorders>
            <w:shd w:val="clear" w:color="auto" w:fill="FFFFFF" w:themeFill="background1"/>
            <w:noWrap/>
            <w:vAlign w:val="bottom"/>
            <w:hideMark/>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xml:space="preserve">  11,0</w:t>
            </w:r>
          </w:p>
        </w:tc>
        <w:tc>
          <w:tcPr>
            <w:tcW w:w="1276" w:type="dxa"/>
            <w:tcBorders>
              <w:top w:val="single" w:sz="6" w:space="0" w:color="auto"/>
              <w:bottom w:val="single" w:sz="4"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  0,6</w:t>
            </w:r>
          </w:p>
        </w:tc>
        <w:tc>
          <w:tcPr>
            <w:tcW w:w="1417" w:type="dxa"/>
            <w:tcBorders>
              <w:top w:val="single" w:sz="6" w:space="0" w:color="auto"/>
              <w:bottom w:val="single" w:sz="4"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4,26%</w:t>
            </w:r>
          </w:p>
        </w:tc>
        <w:tc>
          <w:tcPr>
            <w:tcW w:w="1276" w:type="dxa"/>
            <w:tcBorders>
              <w:top w:val="single" w:sz="6" w:space="0" w:color="auto"/>
              <w:bottom w:val="single" w:sz="4" w:space="0" w:color="auto"/>
            </w:tcBorders>
            <w:shd w:val="clear" w:color="auto" w:fill="FFFFFF" w:themeFill="background1"/>
            <w:noWrap/>
            <w:vAlign w:val="bottom"/>
          </w:tcPr>
          <w:p w:rsidR="00F42111" w:rsidRPr="000E7F48" w:rsidRDefault="00F42111" w:rsidP="000E7F48">
            <w:pPr>
              <w:spacing w:after="0" w:line="240" w:lineRule="auto"/>
              <w:rPr>
                <w:rFonts w:ascii="Arial" w:hAnsi="Arial" w:cs="Arial"/>
                <w:sz w:val="20"/>
                <w:szCs w:val="20"/>
              </w:rPr>
            </w:pPr>
            <w:r w:rsidRPr="000E7F48">
              <w:rPr>
                <w:rFonts w:ascii="Arial" w:hAnsi="Arial" w:cs="Arial"/>
                <w:sz w:val="20"/>
                <w:szCs w:val="20"/>
              </w:rPr>
              <w:t>-0,23%</w:t>
            </w:r>
          </w:p>
        </w:tc>
      </w:tr>
      <w:tr w:rsidR="00F42111" w:rsidRPr="000E7F48" w:rsidTr="00F42111">
        <w:trPr>
          <w:trHeight w:val="255"/>
          <w:jc w:val="center"/>
        </w:trPr>
        <w:tc>
          <w:tcPr>
            <w:tcW w:w="2268" w:type="dxa"/>
            <w:tcBorders>
              <w:top w:val="single" w:sz="6" w:space="0" w:color="auto"/>
              <w:bottom w:val="single" w:sz="6" w:space="0" w:color="auto"/>
              <w:right w:val="single" w:sz="4"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TOTAL</w:t>
            </w:r>
          </w:p>
        </w:tc>
        <w:tc>
          <w:tcPr>
            <w:tcW w:w="1134" w:type="dxa"/>
            <w:tcBorders>
              <w:top w:val="single" w:sz="4" w:space="0" w:color="auto"/>
              <w:left w:val="single" w:sz="4" w:space="0" w:color="auto"/>
              <w:bottom w:val="single" w:sz="6"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 xml:space="preserve"> 10 005,0</w:t>
            </w:r>
          </w:p>
        </w:tc>
        <w:tc>
          <w:tcPr>
            <w:tcW w:w="1098" w:type="dxa"/>
            <w:tcBorders>
              <w:top w:val="single" w:sz="4" w:space="0" w:color="auto"/>
              <w:bottom w:val="single" w:sz="6"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 xml:space="preserve"> 10 455,0</w:t>
            </w:r>
          </w:p>
        </w:tc>
        <w:tc>
          <w:tcPr>
            <w:tcW w:w="1276" w:type="dxa"/>
            <w:tcBorders>
              <w:top w:val="single" w:sz="4" w:space="0" w:color="auto"/>
              <w:bottom w:val="single" w:sz="6"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 xml:space="preserve">  450,0</w:t>
            </w:r>
          </w:p>
        </w:tc>
        <w:tc>
          <w:tcPr>
            <w:tcW w:w="1276" w:type="dxa"/>
            <w:tcBorders>
              <w:top w:val="single" w:sz="4" w:space="0" w:color="auto"/>
              <w:bottom w:val="single" w:sz="6"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  0,2</w:t>
            </w:r>
          </w:p>
        </w:tc>
        <w:tc>
          <w:tcPr>
            <w:tcW w:w="1417" w:type="dxa"/>
            <w:tcBorders>
              <w:top w:val="single" w:sz="4" w:space="0" w:color="auto"/>
              <w:bottom w:val="single" w:sz="6"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4,5%</w:t>
            </w:r>
          </w:p>
        </w:tc>
        <w:tc>
          <w:tcPr>
            <w:tcW w:w="1276" w:type="dxa"/>
            <w:tcBorders>
              <w:top w:val="single" w:sz="4" w:space="0" w:color="auto"/>
              <w:bottom w:val="single" w:sz="6" w:space="0" w:color="auto"/>
            </w:tcBorders>
            <w:shd w:val="clear" w:color="auto" w:fill="D9D9D9" w:themeFill="background1" w:themeFillShade="D9"/>
            <w:noWrap/>
            <w:vAlign w:val="bottom"/>
          </w:tcPr>
          <w:p w:rsidR="00F42111" w:rsidRPr="000E7F48" w:rsidRDefault="00F42111" w:rsidP="000E7F48">
            <w:pPr>
              <w:spacing w:after="0" w:line="240" w:lineRule="auto"/>
              <w:rPr>
                <w:rFonts w:ascii="Arial" w:hAnsi="Arial" w:cs="Arial"/>
                <w:b/>
                <w:sz w:val="20"/>
                <w:szCs w:val="20"/>
              </w:rPr>
            </w:pPr>
            <w:r w:rsidRPr="000E7F48">
              <w:rPr>
                <w:rFonts w:ascii="Arial" w:hAnsi="Arial" w:cs="Arial"/>
                <w:b/>
                <w:sz w:val="20"/>
                <w:szCs w:val="20"/>
              </w:rPr>
              <w:t>0,00%</w:t>
            </w:r>
          </w:p>
        </w:tc>
      </w:tr>
    </w:tbl>
    <w:p w:rsidR="00F42111" w:rsidRPr="000E7F48" w:rsidRDefault="00F42111" w:rsidP="000E7F48">
      <w:pPr>
        <w:spacing w:after="0" w:line="240" w:lineRule="auto"/>
        <w:ind w:right="-1"/>
        <w:rPr>
          <w:rFonts w:ascii="Arial" w:hAnsi="Arial" w:cs="Arial"/>
          <w:b/>
          <w:i/>
          <w:sz w:val="20"/>
          <w:szCs w:val="20"/>
        </w:rPr>
      </w:pPr>
      <w:r w:rsidRPr="000E7F48">
        <w:rPr>
          <w:rFonts w:ascii="Arial" w:hAnsi="Arial" w:cs="Arial"/>
          <w:b/>
          <w:i/>
          <w:sz w:val="20"/>
          <w:szCs w:val="20"/>
        </w:rPr>
        <w:t>Table 6: CCB Programme resource allocations</w:t>
      </w:r>
    </w:p>
    <w:p w:rsidR="00CA48B0" w:rsidRPr="000E7F48" w:rsidRDefault="00CA48B0" w:rsidP="000E7F48">
      <w:pPr>
        <w:pStyle w:val="ListParagraph"/>
        <w:autoSpaceDE w:val="0"/>
        <w:autoSpaceDN w:val="0"/>
        <w:adjustRightInd w:val="0"/>
        <w:ind w:left="0"/>
        <w:rPr>
          <w:rFonts w:ascii="Arial" w:hAnsi="Arial" w:cs="Arial"/>
          <w:b/>
          <w:sz w:val="20"/>
          <w:szCs w:val="20"/>
        </w:rPr>
      </w:pPr>
    </w:p>
    <w:p w:rsidR="00B1398B" w:rsidRPr="000E7F48" w:rsidRDefault="00B1398B" w:rsidP="000E7F48">
      <w:pPr>
        <w:pStyle w:val="ListParagraph"/>
        <w:autoSpaceDE w:val="0"/>
        <w:autoSpaceDN w:val="0"/>
        <w:adjustRightInd w:val="0"/>
        <w:ind w:left="0"/>
        <w:rPr>
          <w:rFonts w:ascii="Arial" w:eastAsiaTheme="minorHAnsi" w:hAnsi="Arial" w:cs="Arial"/>
          <w:b/>
          <w:sz w:val="20"/>
          <w:szCs w:val="20"/>
          <w:lang w:val="en-ZA"/>
        </w:rPr>
      </w:pPr>
      <w:r w:rsidRPr="000E7F48">
        <w:rPr>
          <w:rFonts w:ascii="Arial" w:hAnsi="Arial" w:cs="Arial"/>
          <w:b/>
          <w:sz w:val="20"/>
          <w:szCs w:val="20"/>
        </w:rPr>
        <w:t>6.</w:t>
      </w:r>
      <w:r w:rsidRPr="000E7F48">
        <w:rPr>
          <w:rFonts w:ascii="Arial" w:hAnsi="Arial" w:cs="Arial"/>
          <w:b/>
          <w:sz w:val="20"/>
          <w:szCs w:val="20"/>
        </w:rPr>
        <w:tab/>
      </w:r>
      <w:r w:rsidRPr="000E7F48">
        <w:rPr>
          <w:rFonts w:ascii="Arial" w:eastAsiaTheme="minorHAnsi" w:hAnsi="Arial" w:cs="Arial"/>
          <w:b/>
          <w:sz w:val="20"/>
          <w:szCs w:val="20"/>
          <w:lang w:val="en-ZA"/>
        </w:rPr>
        <w:t>CASTLE CONTROL BOARD ENTERPRISE RISK MANAGEMENT</w:t>
      </w:r>
    </w:p>
    <w:p w:rsidR="00B1398B" w:rsidRPr="000E7F48" w:rsidRDefault="00B1398B" w:rsidP="000E7F48">
      <w:pPr>
        <w:autoSpaceDE w:val="0"/>
        <w:autoSpaceDN w:val="0"/>
        <w:adjustRightInd w:val="0"/>
        <w:spacing w:after="0" w:line="240" w:lineRule="auto"/>
        <w:rPr>
          <w:rFonts w:ascii="Arial" w:hAnsi="Arial" w:cs="Arial"/>
          <w:sz w:val="20"/>
          <w:szCs w:val="20"/>
        </w:rPr>
      </w:pPr>
      <w:r w:rsidRPr="000E7F48">
        <w:rPr>
          <w:rFonts w:ascii="Arial" w:hAnsi="Arial" w:cs="Arial"/>
          <w:sz w:val="20"/>
          <w:szCs w:val="20"/>
        </w:rPr>
        <w:t xml:space="preserve">The identified CCB Enterprise Risks of the CCB is listed in the APP and differs with those in the previous APP. </w:t>
      </w:r>
    </w:p>
    <w:tbl>
      <w:tblPr>
        <w:tblStyle w:val="TableGrid"/>
        <w:tblW w:w="0" w:type="auto"/>
        <w:tblLook w:val="04A0"/>
      </w:tblPr>
      <w:tblGrid>
        <w:gridCol w:w="2830"/>
        <w:gridCol w:w="3588"/>
        <w:gridCol w:w="3210"/>
      </w:tblGrid>
      <w:tr w:rsidR="00B1398B" w:rsidRPr="000E7F48" w:rsidTr="00B15D45">
        <w:tc>
          <w:tcPr>
            <w:tcW w:w="2830" w:type="dxa"/>
          </w:tcPr>
          <w:p w:rsidR="00B1398B" w:rsidRPr="000E7F48" w:rsidRDefault="00B1398B" w:rsidP="000E7F48">
            <w:pPr>
              <w:rPr>
                <w:rFonts w:ascii="Arial" w:hAnsi="Arial" w:cs="Arial"/>
                <w:sz w:val="20"/>
                <w:szCs w:val="20"/>
              </w:rPr>
            </w:pPr>
            <w:r w:rsidRPr="000E7F48">
              <w:rPr>
                <w:rFonts w:ascii="Arial" w:hAnsi="Arial" w:cs="Arial"/>
                <w:b/>
                <w:bCs/>
                <w:sz w:val="20"/>
                <w:szCs w:val="20"/>
              </w:rPr>
              <w:t xml:space="preserve">Outcome </w:t>
            </w:r>
          </w:p>
        </w:tc>
        <w:tc>
          <w:tcPr>
            <w:tcW w:w="3588" w:type="dxa"/>
          </w:tcPr>
          <w:p w:rsidR="00B1398B" w:rsidRPr="000E7F48" w:rsidRDefault="00B1398B" w:rsidP="000E7F48">
            <w:pPr>
              <w:rPr>
                <w:rFonts w:ascii="Arial" w:hAnsi="Arial" w:cs="Arial"/>
                <w:sz w:val="20"/>
                <w:szCs w:val="20"/>
              </w:rPr>
            </w:pPr>
            <w:r w:rsidRPr="000E7F48">
              <w:rPr>
                <w:rFonts w:ascii="Arial" w:hAnsi="Arial" w:cs="Arial"/>
                <w:b/>
                <w:bCs/>
                <w:sz w:val="20"/>
                <w:szCs w:val="20"/>
              </w:rPr>
              <w:t xml:space="preserve">Key risks </w:t>
            </w:r>
          </w:p>
        </w:tc>
        <w:tc>
          <w:tcPr>
            <w:tcW w:w="3210" w:type="dxa"/>
          </w:tcPr>
          <w:p w:rsidR="00B1398B" w:rsidRPr="000E7F48" w:rsidRDefault="00B1398B" w:rsidP="000E7F48">
            <w:pPr>
              <w:rPr>
                <w:rFonts w:ascii="Arial" w:hAnsi="Arial" w:cs="Arial"/>
                <w:sz w:val="20"/>
                <w:szCs w:val="20"/>
              </w:rPr>
            </w:pPr>
            <w:r w:rsidRPr="000E7F48">
              <w:rPr>
                <w:rFonts w:ascii="Arial" w:hAnsi="Arial" w:cs="Arial"/>
                <w:b/>
                <w:bCs/>
                <w:sz w:val="20"/>
                <w:szCs w:val="20"/>
              </w:rPr>
              <w:t>Risk mitigation</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lastRenderedPageBreak/>
              <w:t>A well-conserved maintained and</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protected Castle of Good Hope</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The inability of the CCB to remain a going concern in the aftermath of the most devastating event (COVID-19) because it cannot generate revenue</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from its tourism and events portfolios.</w:t>
            </w:r>
          </w:p>
        </w:tc>
        <w:tc>
          <w:tcPr>
            <w:tcW w:w="321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Aggressive marketing and a compact</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with government departments to use</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the Castle facilities for their smaller meetings and conferences.</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 well-conserved maintained and</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protected Castle of Good Hope</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We are experiencing a decline in financial resources inhibiting us from executing our primary mandate to conserve and promote CGH as a Heritage Site.</w:t>
            </w:r>
          </w:p>
        </w:tc>
        <w:tc>
          <w:tcPr>
            <w:tcW w:w="321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See through the legal and compliance processes to apply to Treasury for the retention of historic surpluses.</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Accountable and effective governance of the CCB</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We have insufficient Human Resources capacity hampering our endeavours to fulfil our core mandates.</w:t>
            </w:r>
          </w:p>
        </w:tc>
        <w:tc>
          <w:tcPr>
            <w:tcW w:w="321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Retrain and redeploy existing staff and recruit key staff, e.g., financial manager, in an HRD Plan.</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 well-conserved maintained and</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protected Castle of Good Hope</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 xml:space="preserve">Blurred and overlapping responsibilities regarding the overall management of the CGH precinct negatively affecting our ability to coordinate and optimize the resource base. </w:t>
            </w:r>
          </w:p>
        </w:tc>
        <w:tc>
          <w:tcPr>
            <w:tcW w:w="3210" w:type="dxa"/>
          </w:tcPr>
          <w:p w:rsidR="00B1398B" w:rsidRPr="000E7F48" w:rsidRDefault="00F42111" w:rsidP="000E7F48">
            <w:pPr>
              <w:autoSpaceDE w:val="0"/>
              <w:autoSpaceDN w:val="0"/>
              <w:adjustRightInd w:val="0"/>
              <w:rPr>
                <w:rFonts w:ascii="Arial" w:hAnsi="Arial" w:cs="Arial"/>
                <w:sz w:val="20"/>
                <w:szCs w:val="20"/>
              </w:rPr>
            </w:pPr>
            <w:r w:rsidRPr="000E7F48">
              <w:rPr>
                <w:rFonts w:ascii="Arial" w:hAnsi="Arial" w:cs="Arial"/>
                <w:sz w:val="20"/>
                <w:szCs w:val="20"/>
              </w:rPr>
              <w:t>Executive Director engages with Reserve Force Units, SAPS and City Improvement District to address this serious issue.</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 well-conserved maintained and</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 xml:space="preserve">protected Castle of Good Hope </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Compromised security in and around the CGH undermining the work of the CCB.</w:t>
            </w:r>
          </w:p>
        </w:tc>
        <w:tc>
          <w:tcPr>
            <w:tcW w:w="321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Compromised security in and around the CGH undermining the work of the CCB.</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Accountable and effective governance of the CCB</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Lack of adherence to a Manual of Policies and Procedures to regulate control and compliance environment undermines our ability to build win-win partnerships with the private and public sectors.</w:t>
            </w:r>
          </w:p>
        </w:tc>
        <w:tc>
          <w:tcPr>
            <w:tcW w:w="321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Newly appointed Executive Director</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and Chief Financial Officer are leading the initiative to ensure complete compliance</w:t>
            </w:r>
          </w:p>
        </w:tc>
      </w:tr>
      <w:tr w:rsidR="00B1398B" w:rsidRPr="000E7F48" w:rsidTr="00B15D45">
        <w:tc>
          <w:tcPr>
            <w:tcW w:w="283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A well-conserved maintained and</w:t>
            </w:r>
          </w:p>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protected Castle of Good Hope</w:t>
            </w:r>
          </w:p>
        </w:tc>
        <w:tc>
          <w:tcPr>
            <w:tcW w:w="3588"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The compromising of the image of the Castle either through malice or abuse of its spaces and amenities</w:t>
            </w:r>
          </w:p>
        </w:tc>
        <w:tc>
          <w:tcPr>
            <w:tcW w:w="3210" w:type="dxa"/>
          </w:tcPr>
          <w:p w:rsidR="00B1398B" w:rsidRPr="000E7F48" w:rsidRDefault="00B1398B" w:rsidP="000E7F48">
            <w:pPr>
              <w:autoSpaceDE w:val="0"/>
              <w:autoSpaceDN w:val="0"/>
              <w:adjustRightInd w:val="0"/>
              <w:rPr>
                <w:rFonts w:ascii="Arial" w:hAnsi="Arial" w:cs="Arial"/>
                <w:sz w:val="20"/>
                <w:szCs w:val="20"/>
              </w:rPr>
            </w:pPr>
            <w:r w:rsidRPr="000E7F48">
              <w:rPr>
                <w:rFonts w:ascii="Arial" w:hAnsi="Arial" w:cs="Arial"/>
                <w:sz w:val="20"/>
                <w:szCs w:val="20"/>
              </w:rPr>
              <w:t>The Executive Director shall actively engage stakeholders and the media.</w:t>
            </w:r>
          </w:p>
        </w:tc>
      </w:tr>
    </w:tbl>
    <w:p w:rsidR="00B1398B" w:rsidRPr="000E7F48" w:rsidRDefault="00B1398B" w:rsidP="000E7F48">
      <w:pPr>
        <w:spacing w:after="0" w:line="240" w:lineRule="auto"/>
        <w:rPr>
          <w:rFonts w:ascii="Arial" w:hAnsi="Arial" w:cs="Arial"/>
          <w:sz w:val="20"/>
          <w:szCs w:val="20"/>
        </w:rPr>
      </w:pPr>
      <w:r w:rsidRPr="000E7F48">
        <w:rPr>
          <w:rFonts w:ascii="Arial" w:hAnsi="Arial" w:cs="Arial"/>
          <w:b/>
          <w:i/>
          <w:sz w:val="20"/>
          <w:szCs w:val="20"/>
        </w:rPr>
        <w:t xml:space="preserve">Table </w:t>
      </w:r>
      <w:r w:rsidR="00F42111" w:rsidRPr="000E7F48">
        <w:rPr>
          <w:rFonts w:ascii="Arial" w:hAnsi="Arial" w:cs="Arial"/>
          <w:b/>
          <w:i/>
          <w:sz w:val="20"/>
          <w:szCs w:val="20"/>
        </w:rPr>
        <w:t>6</w:t>
      </w:r>
      <w:r w:rsidRPr="000E7F48">
        <w:rPr>
          <w:rFonts w:ascii="Arial" w:hAnsi="Arial" w:cs="Arial"/>
          <w:b/>
          <w:i/>
          <w:sz w:val="20"/>
          <w:szCs w:val="20"/>
        </w:rPr>
        <w:t>: Enterprise risk and Risk Mitigation</w:t>
      </w:r>
    </w:p>
    <w:p w:rsidR="00F42111" w:rsidRPr="000E7F48" w:rsidRDefault="00F42111" w:rsidP="000E7F48">
      <w:pPr>
        <w:spacing w:after="0" w:line="240" w:lineRule="auto"/>
        <w:rPr>
          <w:rFonts w:ascii="Arial" w:hAnsi="Arial" w:cs="Arial"/>
          <w:b/>
          <w:sz w:val="20"/>
          <w:szCs w:val="20"/>
        </w:rPr>
      </w:pPr>
    </w:p>
    <w:p w:rsidR="00F42111" w:rsidRPr="000E7F48" w:rsidRDefault="00F42111" w:rsidP="000E7F48">
      <w:pPr>
        <w:spacing w:after="0" w:line="240" w:lineRule="auto"/>
        <w:rPr>
          <w:rFonts w:ascii="Arial" w:hAnsi="Arial" w:cs="Arial"/>
          <w:b/>
          <w:sz w:val="20"/>
          <w:szCs w:val="20"/>
        </w:rPr>
      </w:pPr>
    </w:p>
    <w:p w:rsidR="00194FC2" w:rsidRPr="000E7F48" w:rsidRDefault="00B1398B" w:rsidP="000E7F48">
      <w:pPr>
        <w:spacing w:after="0" w:line="240" w:lineRule="auto"/>
        <w:rPr>
          <w:rFonts w:ascii="Arial" w:hAnsi="Arial" w:cs="Arial"/>
          <w:b/>
          <w:sz w:val="20"/>
          <w:szCs w:val="20"/>
        </w:rPr>
      </w:pPr>
      <w:r w:rsidRPr="000E7F48">
        <w:rPr>
          <w:rFonts w:ascii="Arial" w:hAnsi="Arial" w:cs="Arial"/>
          <w:b/>
          <w:sz w:val="20"/>
          <w:szCs w:val="20"/>
        </w:rPr>
        <w:t>7</w:t>
      </w:r>
      <w:r w:rsidR="00194FC2" w:rsidRPr="000E7F48">
        <w:rPr>
          <w:rFonts w:ascii="Arial" w:hAnsi="Arial" w:cs="Arial"/>
          <w:b/>
          <w:sz w:val="20"/>
          <w:szCs w:val="20"/>
        </w:rPr>
        <w:t>.</w:t>
      </w:r>
      <w:r w:rsidR="00194FC2" w:rsidRPr="000E7F48">
        <w:rPr>
          <w:rFonts w:ascii="Arial" w:hAnsi="Arial" w:cs="Arial"/>
          <w:b/>
          <w:sz w:val="20"/>
          <w:szCs w:val="20"/>
        </w:rPr>
        <w:tab/>
        <w:t>COMMITTEE OBSERVATIONS</w:t>
      </w:r>
    </w:p>
    <w:p w:rsidR="00194FC2" w:rsidRPr="000E7F48" w:rsidRDefault="00194FC2" w:rsidP="000E7F48">
      <w:pPr>
        <w:spacing w:after="0" w:line="240" w:lineRule="auto"/>
        <w:rPr>
          <w:rFonts w:ascii="Arial" w:hAnsi="Arial" w:cs="Arial"/>
          <w:sz w:val="20"/>
          <w:szCs w:val="20"/>
          <w:lang w:val="en-GB"/>
        </w:rPr>
      </w:pPr>
    </w:p>
    <w:p w:rsidR="00194FC2" w:rsidRPr="000E7F48" w:rsidRDefault="00194FC2" w:rsidP="000E7F48">
      <w:pPr>
        <w:spacing w:after="0" w:line="240" w:lineRule="auto"/>
        <w:rPr>
          <w:rFonts w:ascii="Arial" w:hAnsi="Arial" w:cs="Arial"/>
          <w:sz w:val="20"/>
          <w:szCs w:val="20"/>
          <w:lang w:val="en-GB"/>
        </w:rPr>
      </w:pPr>
      <w:r w:rsidRPr="000E7F48">
        <w:rPr>
          <w:rFonts w:ascii="Arial" w:hAnsi="Arial" w:cs="Arial"/>
          <w:sz w:val="20"/>
          <w:szCs w:val="20"/>
          <w:lang w:val="en-GB"/>
        </w:rPr>
        <w:t>During</w:t>
      </w:r>
      <w:r w:rsidR="00785389" w:rsidRPr="000E7F48">
        <w:rPr>
          <w:rFonts w:ascii="Arial" w:hAnsi="Arial" w:cs="Arial"/>
          <w:sz w:val="20"/>
          <w:szCs w:val="20"/>
          <w:lang w:val="en-GB"/>
        </w:rPr>
        <w:t xml:space="preserve"> deliberations with the CCB on </w:t>
      </w:r>
      <w:r w:rsidR="00F42111" w:rsidRPr="000E7F48">
        <w:rPr>
          <w:rFonts w:ascii="Arial" w:hAnsi="Arial" w:cs="Arial"/>
          <w:sz w:val="20"/>
          <w:szCs w:val="20"/>
          <w:lang w:val="en-GB"/>
        </w:rPr>
        <w:t>3 May 2023, Members of the PC</w:t>
      </w:r>
      <w:r w:rsidRPr="000E7F48">
        <w:rPr>
          <w:rFonts w:ascii="Arial" w:hAnsi="Arial" w:cs="Arial"/>
          <w:sz w:val="20"/>
          <w:szCs w:val="20"/>
          <w:lang w:val="en-GB"/>
        </w:rPr>
        <w:t>DMV made observations related to the budgetary allocation, the performance indicators and the targets set in the APP of the CCB. The following were noted:</w:t>
      </w:r>
    </w:p>
    <w:p w:rsidR="00663C60" w:rsidRPr="000E7F48" w:rsidRDefault="00663C60" w:rsidP="000E7F48">
      <w:pPr>
        <w:spacing w:after="0" w:line="240" w:lineRule="auto"/>
        <w:rPr>
          <w:rFonts w:ascii="Arial" w:hAnsi="Arial" w:cs="Arial"/>
          <w:sz w:val="20"/>
          <w:szCs w:val="20"/>
          <w:lang w:val="en-GB"/>
        </w:rPr>
      </w:pPr>
    </w:p>
    <w:p w:rsidR="00D41780" w:rsidRPr="000E7F48" w:rsidRDefault="00D41780" w:rsidP="000E7F48">
      <w:pPr>
        <w:pStyle w:val="ListParagraph"/>
        <w:numPr>
          <w:ilvl w:val="0"/>
          <w:numId w:val="44"/>
        </w:numPr>
        <w:autoSpaceDE w:val="0"/>
        <w:autoSpaceDN w:val="0"/>
        <w:adjustRightInd w:val="0"/>
        <w:rPr>
          <w:rFonts w:ascii="Arial" w:hAnsi="Arial" w:cs="Arial"/>
          <w:sz w:val="20"/>
          <w:szCs w:val="20"/>
        </w:rPr>
      </w:pPr>
      <w:r w:rsidRPr="000E7F48">
        <w:rPr>
          <w:rFonts w:ascii="Arial" w:hAnsi="Arial" w:cs="Arial"/>
          <w:sz w:val="20"/>
          <w:szCs w:val="20"/>
        </w:rPr>
        <w:t xml:space="preserve">The Committee expressed concern with regards to illegal occupation of the land outside the Castle, which has resulted in the erection of temporary structures on the perimeter fence of the Castle. The Committee noted the negative effect this could have on </w:t>
      </w:r>
      <w:r w:rsidR="00AB0550" w:rsidRPr="000E7F48">
        <w:rPr>
          <w:rFonts w:ascii="Arial" w:hAnsi="Arial" w:cs="Arial"/>
          <w:sz w:val="20"/>
          <w:szCs w:val="20"/>
        </w:rPr>
        <w:t xml:space="preserve">the Castle as a </w:t>
      </w:r>
      <w:r w:rsidRPr="000E7F48">
        <w:rPr>
          <w:rFonts w:ascii="Arial" w:hAnsi="Arial" w:cs="Arial"/>
          <w:sz w:val="20"/>
          <w:szCs w:val="20"/>
        </w:rPr>
        <w:t>tourist attraction. The CCB informed the Committee that the matter is being deal with through the courts</w:t>
      </w:r>
      <w:r w:rsidR="00AB0550" w:rsidRPr="000E7F48">
        <w:rPr>
          <w:rFonts w:ascii="Arial" w:hAnsi="Arial" w:cs="Arial"/>
          <w:sz w:val="20"/>
          <w:szCs w:val="20"/>
        </w:rPr>
        <w:t>,</w:t>
      </w:r>
      <w:r w:rsidRPr="000E7F48">
        <w:rPr>
          <w:rFonts w:ascii="Arial" w:hAnsi="Arial" w:cs="Arial"/>
          <w:sz w:val="20"/>
          <w:szCs w:val="20"/>
        </w:rPr>
        <w:t xml:space="preserve"> as well as through negotiation with the illegal occupants.</w:t>
      </w:r>
    </w:p>
    <w:p w:rsidR="00D41780" w:rsidRPr="000E7F48" w:rsidRDefault="00D41780" w:rsidP="000E7F48">
      <w:pPr>
        <w:pStyle w:val="ListParagraph"/>
        <w:numPr>
          <w:ilvl w:val="0"/>
          <w:numId w:val="44"/>
        </w:numPr>
        <w:suppressAutoHyphens/>
        <w:autoSpaceDN w:val="0"/>
        <w:ind w:left="1077" w:hanging="357"/>
        <w:contextualSpacing w:val="0"/>
        <w:textAlignment w:val="baseline"/>
        <w:rPr>
          <w:rFonts w:ascii="Arial" w:hAnsi="Arial" w:cs="Arial"/>
          <w:sz w:val="20"/>
          <w:szCs w:val="20"/>
        </w:rPr>
      </w:pPr>
      <w:r w:rsidRPr="000E7F48">
        <w:rPr>
          <w:rFonts w:ascii="Arial" w:hAnsi="Arial" w:cs="Arial"/>
          <w:sz w:val="20"/>
          <w:szCs w:val="20"/>
        </w:rPr>
        <w:t>The Committee questioned whether the Castle would be in a position to attain the increased target of the number of visitors to 125 000. The Committee was assured that</w:t>
      </w:r>
      <w:r w:rsidR="00AB0550" w:rsidRPr="000E7F48">
        <w:rPr>
          <w:rFonts w:ascii="Arial" w:hAnsi="Arial" w:cs="Arial"/>
          <w:sz w:val="20"/>
          <w:szCs w:val="20"/>
        </w:rPr>
        <w:t>,</w:t>
      </w:r>
      <w:r w:rsidRPr="000E7F48">
        <w:rPr>
          <w:rFonts w:ascii="Arial" w:hAnsi="Arial" w:cs="Arial"/>
          <w:sz w:val="20"/>
          <w:szCs w:val="20"/>
        </w:rPr>
        <w:t xml:space="preserve"> with the upsurge within the tourism industry, the Castle will be able to attract the targeted number of visitors.</w:t>
      </w:r>
    </w:p>
    <w:p w:rsidR="00D41780" w:rsidRPr="000E7F48" w:rsidRDefault="00D41780" w:rsidP="000E7F48">
      <w:pPr>
        <w:pStyle w:val="ListParagraph"/>
        <w:numPr>
          <w:ilvl w:val="0"/>
          <w:numId w:val="44"/>
        </w:numPr>
        <w:suppressAutoHyphens/>
        <w:autoSpaceDN w:val="0"/>
        <w:ind w:left="1077" w:hanging="357"/>
        <w:contextualSpacing w:val="0"/>
        <w:textAlignment w:val="baseline"/>
        <w:rPr>
          <w:rFonts w:ascii="Arial" w:hAnsi="Arial" w:cs="Arial"/>
          <w:sz w:val="20"/>
          <w:szCs w:val="20"/>
        </w:rPr>
      </w:pPr>
      <w:r w:rsidRPr="000E7F48">
        <w:rPr>
          <w:rFonts w:ascii="Arial" w:hAnsi="Arial" w:cs="Arial"/>
          <w:sz w:val="20"/>
          <w:szCs w:val="20"/>
        </w:rPr>
        <w:t>The Committee further questioned whether, in the near future, the CCB could be in a position to be self-sustainable.</w:t>
      </w:r>
    </w:p>
    <w:p w:rsidR="008D4072" w:rsidRPr="000E7F48" w:rsidRDefault="00D41780" w:rsidP="000E7F48">
      <w:pPr>
        <w:pStyle w:val="ListParagraph"/>
        <w:numPr>
          <w:ilvl w:val="0"/>
          <w:numId w:val="44"/>
        </w:numPr>
        <w:suppressAutoHyphens/>
        <w:autoSpaceDE w:val="0"/>
        <w:autoSpaceDN w:val="0"/>
        <w:adjustRightInd w:val="0"/>
        <w:ind w:hanging="357"/>
        <w:contextualSpacing w:val="0"/>
        <w:textAlignment w:val="baseline"/>
        <w:rPr>
          <w:rFonts w:ascii="Arial" w:hAnsi="Arial" w:cs="Arial"/>
          <w:sz w:val="20"/>
          <w:szCs w:val="20"/>
        </w:rPr>
      </w:pPr>
      <w:r w:rsidRPr="000E7F48">
        <w:rPr>
          <w:rFonts w:ascii="Arial" w:hAnsi="Arial" w:cs="Arial"/>
          <w:sz w:val="20"/>
          <w:szCs w:val="20"/>
        </w:rPr>
        <w:t xml:space="preserve">The Committee expressed concern with the </w:t>
      </w:r>
      <w:r w:rsidR="00B56A70" w:rsidRPr="000E7F48">
        <w:rPr>
          <w:rFonts w:ascii="Arial" w:hAnsi="Arial" w:cs="Arial"/>
          <w:sz w:val="20"/>
          <w:szCs w:val="20"/>
        </w:rPr>
        <w:t xml:space="preserve">vacancies in </w:t>
      </w:r>
      <w:r w:rsidRPr="000E7F48">
        <w:rPr>
          <w:rFonts w:ascii="Arial" w:hAnsi="Arial" w:cs="Arial"/>
          <w:sz w:val="20"/>
          <w:szCs w:val="20"/>
        </w:rPr>
        <w:t>key management positions, including the Heritage, Culture and Education Manager; the Tourism Marketing Manager and the Events Manager. The Committee urged the CCB to expedite the filling of key management positions.</w:t>
      </w:r>
    </w:p>
    <w:p w:rsidR="001976C6" w:rsidRPr="000E7F48" w:rsidRDefault="001976C6" w:rsidP="000E7F48">
      <w:pPr>
        <w:suppressAutoHyphens/>
        <w:autoSpaceDE w:val="0"/>
        <w:autoSpaceDN w:val="0"/>
        <w:adjustRightInd w:val="0"/>
        <w:spacing w:after="0" w:line="240" w:lineRule="auto"/>
        <w:textAlignment w:val="baseline"/>
        <w:rPr>
          <w:rFonts w:ascii="Arial" w:hAnsi="Arial" w:cs="Arial"/>
          <w:sz w:val="20"/>
          <w:szCs w:val="20"/>
        </w:rPr>
      </w:pPr>
    </w:p>
    <w:p w:rsidR="001976C6" w:rsidRPr="000E7F48" w:rsidRDefault="001976C6" w:rsidP="000E7F48">
      <w:pPr>
        <w:suppressAutoHyphens/>
        <w:autoSpaceDE w:val="0"/>
        <w:autoSpaceDN w:val="0"/>
        <w:adjustRightInd w:val="0"/>
        <w:spacing w:after="0" w:line="240" w:lineRule="auto"/>
        <w:textAlignment w:val="baseline"/>
        <w:rPr>
          <w:rFonts w:ascii="Arial" w:hAnsi="Arial" w:cs="Arial"/>
          <w:sz w:val="20"/>
          <w:szCs w:val="20"/>
        </w:rPr>
      </w:pPr>
    </w:p>
    <w:p w:rsidR="001976C6" w:rsidRPr="000E7F48" w:rsidRDefault="001976C6" w:rsidP="000E7F48">
      <w:pPr>
        <w:suppressAutoHyphens/>
        <w:autoSpaceDE w:val="0"/>
        <w:autoSpaceDN w:val="0"/>
        <w:adjustRightInd w:val="0"/>
        <w:spacing w:after="0" w:line="240" w:lineRule="auto"/>
        <w:textAlignment w:val="baseline"/>
        <w:rPr>
          <w:rFonts w:ascii="Arial" w:hAnsi="Arial" w:cs="Arial"/>
          <w:sz w:val="20"/>
          <w:szCs w:val="20"/>
        </w:rPr>
      </w:pPr>
    </w:p>
    <w:p w:rsidR="00663C60" w:rsidRPr="000E7F48" w:rsidRDefault="00663C60" w:rsidP="000E7F48">
      <w:pPr>
        <w:spacing w:after="0" w:line="240" w:lineRule="auto"/>
        <w:rPr>
          <w:rFonts w:ascii="Arial" w:hAnsi="Arial" w:cs="Arial"/>
          <w:b/>
          <w:sz w:val="20"/>
          <w:szCs w:val="20"/>
          <w:lang w:val="en-GB"/>
        </w:rPr>
      </w:pPr>
      <w:r w:rsidRPr="000E7F48">
        <w:rPr>
          <w:rFonts w:ascii="Arial" w:hAnsi="Arial" w:cs="Arial"/>
          <w:b/>
          <w:sz w:val="20"/>
          <w:szCs w:val="20"/>
          <w:lang w:val="en-GB"/>
        </w:rPr>
        <w:lastRenderedPageBreak/>
        <w:t>10.</w:t>
      </w:r>
      <w:r w:rsidRPr="000E7F48">
        <w:rPr>
          <w:rFonts w:ascii="Arial" w:hAnsi="Arial" w:cs="Arial"/>
          <w:b/>
          <w:sz w:val="20"/>
          <w:szCs w:val="20"/>
          <w:lang w:val="en-GB"/>
        </w:rPr>
        <w:tab/>
        <w:t>RECOMMENDATIONS</w:t>
      </w:r>
    </w:p>
    <w:p w:rsidR="00663C60" w:rsidRPr="000E7F48" w:rsidRDefault="00663C60" w:rsidP="000E7F48">
      <w:pPr>
        <w:spacing w:after="0" w:line="240" w:lineRule="auto"/>
        <w:rPr>
          <w:rFonts w:ascii="Arial" w:hAnsi="Arial" w:cs="Arial"/>
          <w:sz w:val="20"/>
          <w:szCs w:val="20"/>
          <w:lang w:val="en-GB"/>
        </w:rPr>
      </w:pPr>
    </w:p>
    <w:p w:rsidR="00663C60" w:rsidRPr="000E7F48" w:rsidRDefault="008D4072" w:rsidP="000E7F48">
      <w:pPr>
        <w:spacing w:after="0" w:line="240" w:lineRule="auto"/>
        <w:rPr>
          <w:rFonts w:ascii="Arial" w:hAnsi="Arial" w:cs="Arial"/>
          <w:sz w:val="20"/>
          <w:szCs w:val="20"/>
          <w:lang w:val="en-GB"/>
        </w:rPr>
      </w:pPr>
      <w:r w:rsidRPr="000E7F48">
        <w:rPr>
          <w:rFonts w:ascii="Arial" w:hAnsi="Arial" w:cs="Arial"/>
          <w:sz w:val="20"/>
          <w:szCs w:val="20"/>
          <w:lang w:val="en-GB"/>
        </w:rPr>
        <w:t>The PC</w:t>
      </w:r>
      <w:r w:rsidR="00663C60" w:rsidRPr="000E7F48">
        <w:rPr>
          <w:rFonts w:ascii="Arial" w:hAnsi="Arial" w:cs="Arial"/>
          <w:sz w:val="20"/>
          <w:szCs w:val="20"/>
          <w:lang w:val="en-GB"/>
        </w:rPr>
        <w:t>DMV identified the following areas that will be subject to monitoring by the Committee throughout the 202</w:t>
      </w:r>
      <w:r w:rsidRPr="000E7F48">
        <w:rPr>
          <w:rFonts w:ascii="Arial" w:hAnsi="Arial" w:cs="Arial"/>
          <w:sz w:val="20"/>
          <w:szCs w:val="20"/>
          <w:lang w:val="en-GB"/>
        </w:rPr>
        <w:t>3</w:t>
      </w:r>
      <w:r w:rsidR="00663C60" w:rsidRPr="000E7F48">
        <w:rPr>
          <w:rFonts w:ascii="Arial" w:hAnsi="Arial" w:cs="Arial"/>
          <w:sz w:val="20"/>
          <w:szCs w:val="20"/>
          <w:lang w:val="en-GB"/>
        </w:rPr>
        <w:t>/2</w:t>
      </w:r>
      <w:r w:rsidRPr="000E7F48">
        <w:rPr>
          <w:rFonts w:ascii="Arial" w:hAnsi="Arial" w:cs="Arial"/>
          <w:sz w:val="20"/>
          <w:szCs w:val="20"/>
          <w:lang w:val="en-GB"/>
        </w:rPr>
        <w:t>4</w:t>
      </w:r>
      <w:r w:rsidR="00663C60" w:rsidRPr="000E7F48">
        <w:rPr>
          <w:rFonts w:ascii="Arial" w:hAnsi="Arial" w:cs="Arial"/>
          <w:sz w:val="20"/>
          <w:szCs w:val="20"/>
          <w:lang w:val="en-GB"/>
        </w:rPr>
        <w:t xml:space="preserve"> financial year and beyond:</w:t>
      </w:r>
    </w:p>
    <w:p w:rsidR="00663C60" w:rsidRPr="000E7F48" w:rsidRDefault="00663C60" w:rsidP="000E7F48">
      <w:pPr>
        <w:spacing w:after="0" w:line="240" w:lineRule="auto"/>
        <w:rPr>
          <w:rFonts w:ascii="Arial" w:hAnsi="Arial" w:cs="Arial"/>
          <w:sz w:val="20"/>
          <w:szCs w:val="20"/>
          <w:lang w:val="en-GB"/>
        </w:rPr>
      </w:pPr>
    </w:p>
    <w:p w:rsidR="00194FC2" w:rsidRPr="000E7F48" w:rsidRDefault="00663C60" w:rsidP="000E7F48">
      <w:pPr>
        <w:pStyle w:val="ListParagraph"/>
        <w:numPr>
          <w:ilvl w:val="0"/>
          <w:numId w:val="50"/>
        </w:numPr>
        <w:rPr>
          <w:rFonts w:ascii="Arial" w:hAnsi="Arial" w:cs="Arial"/>
          <w:sz w:val="20"/>
          <w:szCs w:val="20"/>
        </w:rPr>
      </w:pPr>
      <w:r w:rsidRPr="000E7F48">
        <w:rPr>
          <w:rFonts w:ascii="Arial" w:hAnsi="Arial" w:cs="Arial"/>
          <w:sz w:val="20"/>
          <w:szCs w:val="20"/>
        </w:rPr>
        <w:t xml:space="preserve">The </w:t>
      </w:r>
      <w:r w:rsidR="00D41780" w:rsidRPr="000E7F48">
        <w:rPr>
          <w:rFonts w:ascii="Arial" w:hAnsi="Arial" w:cs="Arial"/>
          <w:sz w:val="20"/>
          <w:szCs w:val="20"/>
        </w:rPr>
        <w:t xml:space="preserve">Committee wishes to reiterate the need to finalise the matter of illegal occupation of the land outside the Castle, which has been raised as a major concern by the Committee in the last Budget Report as well. </w:t>
      </w:r>
      <w:r w:rsidR="00866E53" w:rsidRPr="000E7F48">
        <w:rPr>
          <w:rFonts w:ascii="Arial" w:hAnsi="Arial" w:cs="Arial"/>
          <w:sz w:val="20"/>
          <w:szCs w:val="20"/>
        </w:rPr>
        <w:t>The Committee takes note that the matter is currently before the court and has been postponed to the end of October. Nonetheless, the Committee encourages the CCB to continue efforts to resolve impasse as soon as possible.</w:t>
      </w:r>
    </w:p>
    <w:p w:rsidR="00866E53" w:rsidRPr="000E7F48" w:rsidRDefault="00866E53" w:rsidP="000E7F48">
      <w:pPr>
        <w:pStyle w:val="ListParagraph"/>
        <w:numPr>
          <w:ilvl w:val="0"/>
          <w:numId w:val="50"/>
        </w:numPr>
        <w:rPr>
          <w:rFonts w:ascii="Arial" w:hAnsi="Arial" w:cs="Arial"/>
          <w:sz w:val="20"/>
          <w:szCs w:val="20"/>
        </w:rPr>
      </w:pPr>
      <w:r w:rsidRPr="000E7F48">
        <w:rPr>
          <w:rFonts w:ascii="Arial" w:hAnsi="Arial" w:cs="Arial"/>
          <w:sz w:val="20"/>
          <w:szCs w:val="20"/>
        </w:rPr>
        <w:t>The Committee urges the CCB to expedite the filling of key vacant management positions.</w:t>
      </w:r>
    </w:p>
    <w:p w:rsidR="00F777F8" w:rsidRPr="000E7F48" w:rsidRDefault="00F777F8" w:rsidP="000E7F48">
      <w:pPr>
        <w:autoSpaceDE w:val="0"/>
        <w:autoSpaceDN w:val="0"/>
        <w:adjustRightInd w:val="0"/>
        <w:spacing w:after="0" w:line="240" w:lineRule="auto"/>
        <w:rPr>
          <w:rFonts w:ascii="Arial" w:hAnsi="Arial" w:cs="Arial"/>
          <w:sz w:val="20"/>
          <w:szCs w:val="20"/>
        </w:rPr>
      </w:pPr>
    </w:p>
    <w:p w:rsidR="00866E53" w:rsidRPr="000E7F48" w:rsidRDefault="00866E53"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The PCDMV requires the following written feedback from the CCB based on the recommendations above:</w:t>
      </w:r>
    </w:p>
    <w:p w:rsidR="00866E53" w:rsidRPr="000E7F48" w:rsidRDefault="00866E53" w:rsidP="000E7F48">
      <w:pPr>
        <w:pStyle w:val="ListParagraph"/>
        <w:numPr>
          <w:ilvl w:val="0"/>
          <w:numId w:val="45"/>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The CCB should provide the Committee with quarterly written feedback on its efforts and the status of the court case regarding the </w:t>
      </w:r>
      <w:r w:rsidRPr="000E7F48">
        <w:rPr>
          <w:rFonts w:ascii="Arial" w:hAnsi="Arial" w:cs="Arial"/>
          <w:sz w:val="20"/>
          <w:szCs w:val="20"/>
        </w:rPr>
        <w:t>matter of illegal occupation of the land outside the Castle.</w:t>
      </w:r>
    </w:p>
    <w:p w:rsidR="00866E53" w:rsidRPr="000E7F48" w:rsidRDefault="00866E53" w:rsidP="000E7F48">
      <w:pPr>
        <w:pStyle w:val="ListParagraph"/>
        <w:numPr>
          <w:ilvl w:val="0"/>
          <w:numId w:val="45"/>
        </w:numPr>
        <w:rPr>
          <w:rFonts w:ascii="Arial" w:hAnsi="Arial" w:cs="Arial"/>
          <w:color w:val="000000"/>
          <w:spacing w:val="6"/>
          <w:sz w:val="20"/>
          <w:szCs w:val="20"/>
          <w:lang w:eastAsia="en-GB"/>
        </w:rPr>
      </w:pPr>
      <w:r w:rsidRPr="000E7F48">
        <w:rPr>
          <w:rFonts w:ascii="Arial" w:hAnsi="Arial" w:cs="Arial"/>
          <w:color w:val="000000"/>
          <w:spacing w:val="6"/>
          <w:sz w:val="20"/>
          <w:szCs w:val="20"/>
          <w:lang w:eastAsia="en-GB"/>
        </w:rPr>
        <w:t xml:space="preserve">The CCB should provide the Committee with quarterly written feedback on (1) the number of tourist attracted in that specific quarter and (2) funds raised through commercial activities at the Castle in that quarter. This will enable the Committee to better track and oversee the CCB’s performance in-year. </w:t>
      </w:r>
    </w:p>
    <w:p w:rsidR="00866E53" w:rsidRPr="000E7F48" w:rsidRDefault="00866E53" w:rsidP="000E7F48">
      <w:pPr>
        <w:autoSpaceDE w:val="0"/>
        <w:autoSpaceDN w:val="0"/>
        <w:adjustRightInd w:val="0"/>
        <w:spacing w:after="0" w:line="240" w:lineRule="auto"/>
        <w:rPr>
          <w:rFonts w:ascii="Arial" w:hAnsi="Arial" w:cs="Arial"/>
          <w:sz w:val="20"/>
          <w:szCs w:val="20"/>
        </w:rPr>
      </w:pPr>
    </w:p>
    <w:p w:rsidR="00B1398B" w:rsidRPr="000E7F48" w:rsidRDefault="00B1398B" w:rsidP="000E7F48">
      <w:pPr>
        <w:spacing w:after="0" w:line="240" w:lineRule="auto"/>
        <w:rPr>
          <w:rFonts w:ascii="Arial" w:hAnsi="Arial" w:cs="Arial"/>
          <w:sz w:val="20"/>
          <w:szCs w:val="20"/>
        </w:rPr>
      </w:pPr>
      <w:r w:rsidRPr="000E7F48">
        <w:rPr>
          <w:rFonts w:ascii="Arial" w:hAnsi="Arial" w:cs="Arial"/>
          <w:sz w:val="20"/>
          <w:szCs w:val="20"/>
        </w:rPr>
        <w:br w:type="page"/>
      </w:r>
    </w:p>
    <w:p w:rsidR="00194FC2" w:rsidRPr="000E7F48" w:rsidRDefault="00194FC2" w:rsidP="000E7F48">
      <w:pPr>
        <w:spacing w:after="0" w:line="240" w:lineRule="auto"/>
        <w:ind w:left="-426" w:hanging="141"/>
        <w:rPr>
          <w:rFonts w:ascii="Arial" w:hAnsi="Arial" w:cs="Arial"/>
          <w:b/>
          <w:sz w:val="20"/>
          <w:szCs w:val="20"/>
          <w:u w:val="single"/>
        </w:rPr>
      </w:pPr>
      <w:r w:rsidRPr="000E7F48">
        <w:rPr>
          <w:rFonts w:ascii="Arial" w:hAnsi="Arial" w:cs="Arial"/>
          <w:b/>
          <w:sz w:val="20"/>
          <w:szCs w:val="20"/>
          <w:u w:val="single"/>
        </w:rPr>
        <w:lastRenderedPageBreak/>
        <w:t>ARMAMENTS CORPORATION OF SOUTH AFRICA (ARMSCOR)</w:t>
      </w:r>
    </w:p>
    <w:p w:rsidR="00194FC2" w:rsidRPr="000E7F48" w:rsidRDefault="00194FC2" w:rsidP="000E7F48">
      <w:pPr>
        <w:spacing w:after="0" w:line="240" w:lineRule="auto"/>
        <w:rPr>
          <w:rFonts w:ascii="Arial" w:eastAsia="Arial Unicode MS" w:hAnsi="Arial" w:cs="Arial"/>
          <w:b/>
          <w:sz w:val="20"/>
          <w:szCs w:val="20"/>
          <w:u w:color="000000"/>
        </w:rPr>
      </w:pPr>
    </w:p>
    <w:p w:rsidR="00194FC2" w:rsidRPr="000E7F48" w:rsidRDefault="00194FC2" w:rsidP="000E7F48">
      <w:pPr>
        <w:spacing w:after="0" w:line="240" w:lineRule="auto"/>
        <w:rPr>
          <w:rFonts w:ascii="Arial" w:hAnsi="Arial" w:cs="Arial"/>
          <w:sz w:val="20"/>
          <w:szCs w:val="20"/>
        </w:rPr>
      </w:pPr>
      <w:r w:rsidRPr="000E7F48">
        <w:rPr>
          <w:rFonts w:ascii="Arial" w:hAnsi="Arial" w:cs="Arial"/>
          <w:sz w:val="20"/>
          <w:szCs w:val="20"/>
        </w:rPr>
        <w:t>The PCDMV, having considered the 202</w:t>
      </w:r>
      <w:r w:rsidR="008D4072" w:rsidRPr="000E7F48">
        <w:rPr>
          <w:rFonts w:ascii="Arial" w:hAnsi="Arial" w:cs="Arial"/>
          <w:sz w:val="20"/>
          <w:szCs w:val="20"/>
        </w:rPr>
        <w:t>3</w:t>
      </w:r>
      <w:r w:rsidRPr="000E7F48">
        <w:rPr>
          <w:rFonts w:ascii="Arial" w:hAnsi="Arial" w:cs="Arial"/>
          <w:sz w:val="20"/>
          <w:szCs w:val="20"/>
        </w:rPr>
        <w:t xml:space="preserve"> Corporate Plan of Armscor on </w:t>
      </w:r>
      <w:r w:rsidR="008D4072" w:rsidRPr="000E7F48">
        <w:rPr>
          <w:rFonts w:ascii="Arial" w:hAnsi="Arial" w:cs="Arial"/>
          <w:sz w:val="20"/>
          <w:szCs w:val="20"/>
        </w:rPr>
        <w:t>10</w:t>
      </w:r>
      <w:r w:rsidRPr="000E7F48">
        <w:rPr>
          <w:rFonts w:ascii="Arial" w:hAnsi="Arial" w:cs="Arial"/>
          <w:sz w:val="20"/>
          <w:szCs w:val="20"/>
        </w:rPr>
        <w:t xml:space="preserve"> May 202</w:t>
      </w:r>
      <w:r w:rsidR="008D4072" w:rsidRPr="000E7F48">
        <w:rPr>
          <w:rFonts w:ascii="Arial" w:hAnsi="Arial" w:cs="Arial"/>
          <w:sz w:val="20"/>
          <w:szCs w:val="20"/>
        </w:rPr>
        <w:t>3</w:t>
      </w:r>
      <w:r w:rsidRPr="000E7F48">
        <w:rPr>
          <w:rFonts w:ascii="Arial" w:hAnsi="Arial" w:cs="Arial"/>
          <w:sz w:val="20"/>
          <w:szCs w:val="20"/>
        </w:rPr>
        <w:t>, reports as follows:</w:t>
      </w:r>
    </w:p>
    <w:p w:rsidR="00194FC2" w:rsidRPr="000E7F48" w:rsidRDefault="00194FC2" w:rsidP="000E7F48">
      <w:pPr>
        <w:spacing w:after="0" w:line="240" w:lineRule="auto"/>
        <w:ind w:right="4"/>
        <w:outlineLvl w:val="0"/>
        <w:rPr>
          <w:rFonts w:ascii="Arial" w:eastAsia="Arial Unicode MS" w:hAnsi="Arial" w:cs="Arial"/>
          <w:b/>
          <w:caps/>
          <w:sz w:val="20"/>
          <w:szCs w:val="20"/>
          <w:u w:color="000000"/>
        </w:rPr>
      </w:pPr>
    </w:p>
    <w:p w:rsidR="00FA22BD" w:rsidRPr="000E7F48" w:rsidRDefault="00FA22BD" w:rsidP="000E7F48">
      <w:pPr>
        <w:numPr>
          <w:ilvl w:val="0"/>
          <w:numId w:val="9"/>
        </w:numPr>
        <w:spacing w:after="0" w:line="240" w:lineRule="auto"/>
        <w:ind w:right="4"/>
        <w:outlineLvl w:val="0"/>
        <w:rPr>
          <w:rFonts w:ascii="Arial" w:eastAsia="Arial Unicode MS" w:hAnsi="Arial" w:cs="Arial"/>
          <w:b/>
          <w:caps/>
          <w:sz w:val="20"/>
          <w:szCs w:val="20"/>
          <w:u w:color="000000"/>
        </w:rPr>
      </w:pPr>
      <w:r w:rsidRPr="000E7F48">
        <w:rPr>
          <w:rFonts w:ascii="Arial" w:eastAsia="Arial Unicode MS" w:hAnsi="Arial" w:cs="Arial"/>
          <w:b/>
          <w:caps/>
          <w:sz w:val="20"/>
          <w:szCs w:val="20"/>
          <w:u w:color="000000"/>
        </w:rPr>
        <w:t>1.</w:t>
      </w:r>
      <w:r w:rsidRPr="000E7F48">
        <w:rPr>
          <w:rFonts w:ascii="Arial" w:eastAsia="Arial Unicode MS" w:hAnsi="Arial" w:cs="Arial"/>
          <w:b/>
          <w:caps/>
          <w:sz w:val="20"/>
          <w:szCs w:val="20"/>
          <w:u w:color="000000"/>
        </w:rPr>
        <w:tab/>
        <w:t xml:space="preserve">Introduction </w:t>
      </w:r>
    </w:p>
    <w:p w:rsidR="00FA22BD" w:rsidRPr="000E7F48" w:rsidRDefault="00FA22BD" w:rsidP="000E7F48">
      <w:pPr>
        <w:spacing w:after="0" w:line="240" w:lineRule="auto"/>
        <w:ind w:right="4"/>
        <w:outlineLvl w:val="0"/>
        <w:rPr>
          <w:rFonts w:ascii="Arial" w:eastAsia="Arial Unicode MS" w:hAnsi="Arial" w:cs="Arial"/>
          <w:sz w:val="20"/>
          <w:szCs w:val="20"/>
          <w:u w:color="000000"/>
        </w:rPr>
      </w:pPr>
    </w:p>
    <w:p w:rsidR="00FA22BD" w:rsidRPr="000E7F48" w:rsidRDefault="00FA22BD" w:rsidP="000E7F48">
      <w:pPr>
        <w:spacing w:after="0" w:line="240" w:lineRule="auto"/>
        <w:ind w:right="4"/>
        <w:outlineLvl w:val="0"/>
        <w:rPr>
          <w:rFonts w:ascii="Arial" w:eastAsia="Arial Unicode MS" w:hAnsi="Arial" w:cs="Arial"/>
          <w:sz w:val="20"/>
          <w:szCs w:val="20"/>
          <w:u w:color="000000"/>
        </w:rPr>
      </w:pPr>
      <w:r w:rsidRPr="000E7F48">
        <w:rPr>
          <w:rFonts w:ascii="Arial" w:eastAsia="Arial Unicode MS" w:hAnsi="Arial" w:cs="Arial"/>
          <w:sz w:val="20"/>
          <w:szCs w:val="20"/>
          <w:u w:color="000000"/>
        </w:rPr>
        <w:t>Armscor was established in terms of the Armaments Production and Development Act (No. 57 of 1968) to satisfy the requirements of the South African National Defence Force (SANDF) in respect of Defence Matériel.</w:t>
      </w:r>
    </w:p>
    <w:p w:rsidR="00FA22BD" w:rsidRPr="000E7F48" w:rsidRDefault="00FA22BD" w:rsidP="000E7F48">
      <w:pPr>
        <w:spacing w:after="0" w:line="240" w:lineRule="auto"/>
        <w:ind w:right="4"/>
        <w:outlineLvl w:val="0"/>
        <w:rPr>
          <w:rFonts w:ascii="Arial" w:eastAsia="Arial Unicode MS" w:hAnsi="Arial" w:cs="Arial"/>
          <w:sz w:val="20"/>
          <w:szCs w:val="20"/>
          <w:u w:color="000000"/>
        </w:rPr>
      </w:pPr>
    </w:p>
    <w:p w:rsidR="00FA22BD" w:rsidRPr="000E7F48" w:rsidRDefault="00FA22BD" w:rsidP="000E7F48">
      <w:pPr>
        <w:spacing w:after="0" w:line="240" w:lineRule="auto"/>
        <w:ind w:right="4"/>
        <w:outlineLvl w:val="0"/>
        <w:rPr>
          <w:rFonts w:ascii="Arial" w:eastAsia="Arial Unicode MS" w:hAnsi="Arial" w:cs="Arial"/>
          <w:sz w:val="20"/>
          <w:szCs w:val="20"/>
          <w:u w:color="000000"/>
        </w:rPr>
      </w:pPr>
      <w:r w:rsidRPr="000E7F48">
        <w:rPr>
          <w:rFonts w:ascii="Arial" w:eastAsia="Arial Unicode MS" w:hAnsi="Arial" w:cs="Arial"/>
          <w:sz w:val="20"/>
          <w:szCs w:val="20"/>
          <w:u w:color="000000"/>
        </w:rPr>
        <w:t xml:space="preserve">The objectives and mandate of Armscor are defined in the Armaments Corporation of South Africa Limited Act of 2003 and includes the objective of meeting the defence matériel requirements of the </w:t>
      </w:r>
      <w:r w:rsidR="00974BEA" w:rsidRPr="000E7F48">
        <w:rPr>
          <w:rFonts w:ascii="Arial" w:eastAsia="Arial Unicode MS" w:hAnsi="Arial" w:cs="Arial"/>
          <w:sz w:val="20"/>
          <w:szCs w:val="20"/>
          <w:u w:color="000000"/>
        </w:rPr>
        <w:t>Department of Defence (</w:t>
      </w:r>
      <w:r w:rsidRPr="000E7F48">
        <w:rPr>
          <w:rFonts w:ascii="Arial" w:eastAsia="Arial Unicode MS" w:hAnsi="Arial" w:cs="Arial"/>
          <w:sz w:val="20"/>
          <w:szCs w:val="20"/>
          <w:u w:color="000000"/>
        </w:rPr>
        <w:t>DOD</w:t>
      </w:r>
      <w:r w:rsidR="00974BEA" w:rsidRPr="000E7F48">
        <w:rPr>
          <w:rFonts w:ascii="Arial" w:eastAsia="Arial Unicode MS" w:hAnsi="Arial" w:cs="Arial"/>
          <w:sz w:val="20"/>
          <w:szCs w:val="20"/>
          <w:u w:color="000000"/>
        </w:rPr>
        <w:t>)</w:t>
      </w:r>
      <w:r w:rsidRPr="000E7F48">
        <w:rPr>
          <w:rFonts w:ascii="Arial" w:eastAsia="Arial Unicode MS" w:hAnsi="Arial" w:cs="Arial"/>
          <w:sz w:val="20"/>
          <w:szCs w:val="20"/>
          <w:u w:color="000000"/>
        </w:rPr>
        <w:t xml:space="preserve"> effectively, efficiently, and economically. Furthermore, Armscor are to meet the defence technology, research, development, analysis, and test and evaluation requirements of the DOD effectively, efficiently, and economically.</w:t>
      </w:r>
    </w:p>
    <w:p w:rsidR="00425855" w:rsidRPr="000E7F48" w:rsidRDefault="00425855" w:rsidP="000E7F48">
      <w:pPr>
        <w:spacing w:after="0" w:line="240" w:lineRule="auto"/>
        <w:ind w:right="4"/>
        <w:outlineLvl w:val="0"/>
        <w:rPr>
          <w:rFonts w:ascii="Arial" w:eastAsia="Arial Unicode MS" w:hAnsi="Arial" w:cs="Arial"/>
          <w:sz w:val="20"/>
          <w:szCs w:val="20"/>
          <w:u w:color="000000"/>
        </w:rPr>
      </w:pPr>
    </w:p>
    <w:p w:rsidR="00FA22BD" w:rsidRPr="000E7F48" w:rsidRDefault="00FA22BD" w:rsidP="000E7F48">
      <w:pPr>
        <w:keepNext/>
        <w:keepLines/>
        <w:numPr>
          <w:ilvl w:val="0"/>
          <w:numId w:val="18"/>
        </w:numPr>
        <w:spacing w:after="0" w:line="240" w:lineRule="auto"/>
        <w:outlineLvl w:val="0"/>
        <w:rPr>
          <w:rFonts w:ascii="Arial" w:eastAsiaTheme="majorEastAsia" w:hAnsi="Arial" w:cs="Arial"/>
          <w:b/>
          <w:caps/>
          <w:sz w:val="20"/>
          <w:szCs w:val="20"/>
        </w:rPr>
      </w:pPr>
      <w:bookmarkStart w:id="13" w:name="_Toc37083642"/>
      <w:r w:rsidRPr="000E7F48">
        <w:rPr>
          <w:rFonts w:ascii="Arial" w:eastAsiaTheme="majorEastAsia" w:hAnsi="Arial" w:cs="Arial"/>
          <w:b/>
          <w:caps/>
          <w:sz w:val="20"/>
          <w:szCs w:val="20"/>
        </w:rPr>
        <w:tab/>
        <w:t>strategic focus areas</w:t>
      </w:r>
      <w:bookmarkEnd w:id="13"/>
      <w:r w:rsidRPr="000E7F48">
        <w:rPr>
          <w:rFonts w:ascii="Arial" w:eastAsiaTheme="majorEastAsia" w:hAnsi="Arial" w:cs="Arial"/>
          <w:b/>
          <w:caps/>
          <w:sz w:val="20"/>
          <w:szCs w:val="20"/>
        </w:rPr>
        <w:t xml:space="preserve"> </w:t>
      </w:r>
    </w:p>
    <w:p w:rsidR="00CA31CD" w:rsidRPr="000E7F48" w:rsidRDefault="00CA31CD" w:rsidP="000E7F48">
      <w:pPr>
        <w:keepNext/>
        <w:keepLines/>
        <w:spacing w:after="0" w:line="240" w:lineRule="auto"/>
        <w:outlineLvl w:val="1"/>
        <w:rPr>
          <w:rFonts w:ascii="Arial" w:eastAsiaTheme="majorEastAsia" w:hAnsi="Arial" w:cs="Arial"/>
          <w:b/>
          <w:sz w:val="20"/>
          <w:szCs w:val="20"/>
        </w:rPr>
      </w:pPr>
      <w:bookmarkStart w:id="14" w:name="_Toc37083643"/>
    </w:p>
    <w:p w:rsidR="00CA31CD" w:rsidRPr="000E7F48" w:rsidRDefault="00CA31CD" w:rsidP="000E7F48">
      <w:pPr>
        <w:pStyle w:val="ListParagraph"/>
        <w:numPr>
          <w:ilvl w:val="1"/>
          <w:numId w:val="18"/>
        </w:numPr>
        <w:rPr>
          <w:rFonts w:ascii="Arial" w:hAnsi="Arial" w:cs="Arial"/>
          <w:b/>
          <w:sz w:val="20"/>
          <w:szCs w:val="20"/>
        </w:rPr>
      </w:pPr>
      <w:r w:rsidRPr="000E7F48">
        <w:rPr>
          <w:rFonts w:ascii="Arial" w:hAnsi="Arial" w:cs="Arial"/>
          <w:b/>
          <w:sz w:val="20"/>
          <w:szCs w:val="20"/>
        </w:rPr>
        <w:t>Notes from the introductory statement</w:t>
      </w:r>
    </w:p>
    <w:p w:rsidR="00CA31CD" w:rsidRPr="000E7F48" w:rsidRDefault="00CA31CD" w:rsidP="000E7F48">
      <w:pPr>
        <w:spacing w:after="0" w:line="240" w:lineRule="auto"/>
        <w:rPr>
          <w:rFonts w:ascii="Arial" w:eastAsiaTheme="majorEastAsia" w:hAnsi="Arial" w:cs="Arial"/>
          <w:bCs/>
          <w:sz w:val="20"/>
          <w:szCs w:val="20"/>
        </w:rPr>
      </w:pPr>
    </w:p>
    <w:p w:rsidR="008B3359" w:rsidRPr="000E7F48" w:rsidRDefault="00425855" w:rsidP="000E7F48">
      <w:pPr>
        <w:spacing w:after="0" w:line="240" w:lineRule="auto"/>
        <w:rPr>
          <w:rFonts w:ascii="Arial" w:hAnsi="Arial" w:cs="Arial"/>
          <w:bCs/>
          <w:sz w:val="20"/>
          <w:szCs w:val="20"/>
        </w:rPr>
      </w:pPr>
      <w:r w:rsidRPr="000E7F48">
        <w:rPr>
          <w:rFonts w:ascii="Arial" w:hAnsi="Arial" w:cs="Arial"/>
          <w:bCs/>
          <w:sz w:val="20"/>
          <w:szCs w:val="20"/>
        </w:rPr>
        <w:t>A key observation</w:t>
      </w:r>
      <w:r w:rsidR="008B3359" w:rsidRPr="000E7F48">
        <w:rPr>
          <w:rFonts w:ascii="Arial" w:hAnsi="Arial" w:cs="Arial"/>
          <w:bCs/>
          <w:sz w:val="20"/>
          <w:szCs w:val="20"/>
        </w:rPr>
        <w:t xml:space="preserve"> by the Armscor Board Chairperson re</w:t>
      </w:r>
      <w:r w:rsidRPr="000E7F48">
        <w:rPr>
          <w:rFonts w:ascii="Arial" w:hAnsi="Arial" w:cs="Arial"/>
          <w:bCs/>
          <w:sz w:val="20"/>
          <w:szCs w:val="20"/>
        </w:rPr>
        <w:t>volved around the status of the Simons Town Naval Dockyard. He noted that Armscor has successfully turned around the Simon’s Town Naval Dockyard. The facility is being considered as a resource that is capable of doing more than refurbishing and maintaining vessels. Building capacity to manufacture vessels is now a realisable prospect.</w:t>
      </w:r>
    </w:p>
    <w:p w:rsidR="008B3359" w:rsidRPr="000E7F48" w:rsidRDefault="008B3359" w:rsidP="000E7F48">
      <w:pPr>
        <w:spacing w:after="0" w:line="240" w:lineRule="auto"/>
        <w:rPr>
          <w:rFonts w:ascii="Arial" w:hAnsi="Arial" w:cs="Arial"/>
          <w:bCs/>
          <w:sz w:val="20"/>
          <w:szCs w:val="20"/>
        </w:rPr>
      </w:pPr>
    </w:p>
    <w:p w:rsidR="008B3359" w:rsidRPr="000E7F48" w:rsidRDefault="008B3359" w:rsidP="000E7F48">
      <w:pPr>
        <w:spacing w:after="0" w:line="240" w:lineRule="auto"/>
        <w:rPr>
          <w:rFonts w:ascii="Arial" w:hAnsi="Arial" w:cs="Arial"/>
          <w:sz w:val="20"/>
          <w:szCs w:val="20"/>
        </w:rPr>
      </w:pPr>
      <w:r w:rsidRPr="000E7F48">
        <w:rPr>
          <w:rFonts w:ascii="Arial" w:hAnsi="Arial" w:cs="Arial"/>
          <w:sz w:val="20"/>
          <w:szCs w:val="20"/>
        </w:rPr>
        <w:t>The Armscor CEO noted a number of key focus areas for Armscor going forward as it aims to optimise operations amid significant fiscal constra</w:t>
      </w:r>
      <w:r w:rsidR="00425855" w:rsidRPr="000E7F48">
        <w:rPr>
          <w:rFonts w:ascii="Arial" w:hAnsi="Arial" w:cs="Arial"/>
          <w:sz w:val="20"/>
          <w:szCs w:val="20"/>
        </w:rPr>
        <w:t>ints in the defence environment:</w:t>
      </w:r>
    </w:p>
    <w:p w:rsidR="008B3359" w:rsidRPr="000E7F48" w:rsidRDefault="00425855" w:rsidP="000E7F48">
      <w:pPr>
        <w:numPr>
          <w:ilvl w:val="0"/>
          <w:numId w:val="29"/>
        </w:numPr>
        <w:spacing w:after="0" w:line="240" w:lineRule="auto"/>
        <w:rPr>
          <w:rFonts w:ascii="Arial" w:hAnsi="Arial" w:cs="Arial"/>
          <w:sz w:val="20"/>
          <w:szCs w:val="20"/>
        </w:rPr>
      </w:pPr>
      <w:r w:rsidRPr="000E7F48">
        <w:rPr>
          <w:rFonts w:ascii="Arial" w:hAnsi="Arial" w:cs="Arial"/>
          <w:bCs/>
          <w:sz w:val="20"/>
          <w:szCs w:val="20"/>
        </w:rPr>
        <w:t>Armscor needs to continue to improve efficiencies as the gap between the operational costs and income is getting higher.</w:t>
      </w:r>
    </w:p>
    <w:p w:rsidR="00425855" w:rsidRPr="000E7F48" w:rsidRDefault="00425855" w:rsidP="000E7F48">
      <w:pPr>
        <w:numPr>
          <w:ilvl w:val="0"/>
          <w:numId w:val="29"/>
        </w:numPr>
        <w:spacing w:after="0" w:line="240" w:lineRule="auto"/>
        <w:rPr>
          <w:rFonts w:ascii="Arial" w:hAnsi="Arial" w:cs="Arial"/>
          <w:bCs/>
          <w:sz w:val="20"/>
          <w:szCs w:val="20"/>
        </w:rPr>
      </w:pPr>
      <w:r w:rsidRPr="000E7F48">
        <w:rPr>
          <w:rFonts w:ascii="Arial" w:hAnsi="Arial" w:cs="Arial"/>
          <w:bCs/>
          <w:sz w:val="20"/>
          <w:szCs w:val="20"/>
        </w:rPr>
        <w:t xml:space="preserve">Over and above serving its primary client, the DOD, Armscor is also empowered to support other government departments. This is demonstrated in the Service Level Agreement signed with the South African Police Service. </w:t>
      </w:r>
    </w:p>
    <w:p w:rsidR="00425855" w:rsidRPr="000E7F48" w:rsidRDefault="00425855" w:rsidP="000E7F48">
      <w:pPr>
        <w:numPr>
          <w:ilvl w:val="0"/>
          <w:numId w:val="29"/>
        </w:numPr>
        <w:spacing w:after="0" w:line="240" w:lineRule="auto"/>
        <w:rPr>
          <w:rFonts w:ascii="Arial" w:hAnsi="Arial" w:cs="Arial"/>
          <w:bCs/>
          <w:sz w:val="20"/>
          <w:szCs w:val="20"/>
        </w:rPr>
      </w:pPr>
      <w:r w:rsidRPr="000E7F48">
        <w:rPr>
          <w:rFonts w:ascii="Arial" w:hAnsi="Arial" w:cs="Arial"/>
          <w:bCs/>
          <w:sz w:val="20"/>
          <w:szCs w:val="20"/>
        </w:rPr>
        <w:t>The Board has approved the commercialisation strategy</w:t>
      </w:r>
      <w:r w:rsidRPr="000E7F48">
        <w:rPr>
          <w:rFonts w:ascii="Arial" w:hAnsi="Arial" w:cs="Arial"/>
          <w:b/>
          <w:bCs/>
          <w:sz w:val="20"/>
          <w:szCs w:val="20"/>
        </w:rPr>
        <w:t xml:space="preserve"> </w:t>
      </w:r>
      <w:r w:rsidRPr="000E7F48">
        <w:rPr>
          <w:rFonts w:ascii="Arial" w:hAnsi="Arial" w:cs="Arial"/>
          <w:bCs/>
          <w:sz w:val="20"/>
          <w:szCs w:val="20"/>
        </w:rPr>
        <w:t>for implementation.</w:t>
      </w:r>
    </w:p>
    <w:p w:rsidR="00425855" w:rsidRPr="000E7F48" w:rsidRDefault="00425855" w:rsidP="000E7F48">
      <w:pPr>
        <w:numPr>
          <w:ilvl w:val="0"/>
          <w:numId w:val="29"/>
        </w:numPr>
        <w:spacing w:after="0" w:line="240" w:lineRule="auto"/>
        <w:rPr>
          <w:rFonts w:ascii="Arial" w:hAnsi="Arial" w:cs="Arial"/>
          <w:b/>
          <w:bCs/>
          <w:sz w:val="20"/>
          <w:szCs w:val="20"/>
        </w:rPr>
      </w:pPr>
      <w:r w:rsidRPr="000E7F48">
        <w:rPr>
          <w:rFonts w:ascii="Arial" w:hAnsi="Arial" w:cs="Arial"/>
          <w:bCs/>
          <w:sz w:val="20"/>
          <w:szCs w:val="20"/>
        </w:rPr>
        <w:t>The establishment of the cyber defence unit is progressing well.</w:t>
      </w:r>
    </w:p>
    <w:p w:rsidR="00425855" w:rsidRPr="000E7F48" w:rsidRDefault="00425855" w:rsidP="000E7F48">
      <w:pPr>
        <w:keepNext/>
        <w:keepLines/>
        <w:spacing w:after="0" w:line="240" w:lineRule="auto"/>
        <w:outlineLvl w:val="1"/>
        <w:rPr>
          <w:rFonts w:ascii="Arial" w:eastAsiaTheme="majorEastAsia" w:hAnsi="Arial" w:cs="Arial"/>
          <w:b/>
          <w:sz w:val="20"/>
          <w:szCs w:val="20"/>
        </w:rPr>
      </w:pPr>
    </w:p>
    <w:p w:rsidR="00FA22BD" w:rsidRPr="000E7F48" w:rsidRDefault="005E1318"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2</w:t>
      </w:r>
      <w:r w:rsidR="00FA22BD" w:rsidRPr="000E7F48">
        <w:rPr>
          <w:rFonts w:ascii="Arial" w:eastAsiaTheme="majorEastAsia" w:hAnsi="Arial" w:cs="Arial"/>
          <w:b/>
          <w:sz w:val="20"/>
          <w:szCs w:val="20"/>
        </w:rPr>
        <w:t>.</w:t>
      </w:r>
      <w:r w:rsidRPr="000E7F48">
        <w:rPr>
          <w:rFonts w:ascii="Arial" w:eastAsiaTheme="majorEastAsia" w:hAnsi="Arial" w:cs="Arial"/>
          <w:b/>
          <w:sz w:val="20"/>
          <w:szCs w:val="20"/>
        </w:rPr>
        <w:t>2</w:t>
      </w:r>
      <w:r w:rsidR="00FA22BD" w:rsidRPr="000E7F48">
        <w:rPr>
          <w:rFonts w:ascii="Arial" w:eastAsiaTheme="majorEastAsia" w:hAnsi="Arial" w:cs="Arial"/>
          <w:b/>
          <w:sz w:val="20"/>
          <w:szCs w:val="20"/>
        </w:rPr>
        <w:tab/>
        <w:t>Environmental scan</w:t>
      </w:r>
      <w:bookmarkEnd w:id="14"/>
    </w:p>
    <w:p w:rsidR="00FA22BD" w:rsidRPr="000E7F48" w:rsidRDefault="00FA22BD" w:rsidP="000E7F48">
      <w:pPr>
        <w:spacing w:after="0" w:line="240" w:lineRule="auto"/>
        <w:rPr>
          <w:rFonts w:ascii="Arial" w:hAnsi="Arial" w:cs="Arial"/>
          <w:bCs/>
          <w:sz w:val="20"/>
          <w:szCs w:val="20"/>
        </w:rPr>
      </w:pPr>
    </w:p>
    <w:p w:rsidR="00425855" w:rsidRPr="000E7F48" w:rsidRDefault="00425855" w:rsidP="000E7F48">
      <w:pPr>
        <w:spacing w:after="0" w:line="240" w:lineRule="auto"/>
        <w:rPr>
          <w:rFonts w:ascii="Arial" w:hAnsi="Arial" w:cs="Arial"/>
          <w:bCs/>
          <w:sz w:val="20"/>
          <w:szCs w:val="20"/>
        </w:rPr>
      </w:pPr>
      <w:r w:rsidRPr="000E7F48">
        <w:rPr>
          <w:rFonts w:ascii="Arial" w:hAnsi="Arial" w:cs="Arial"/>
          <w:bCs/>
          <w:sz w:val="20"/>
          <w:szCs w:val="20"/>
        </w:rPr>
        <w:t xml:space="preserve">The Corporate Plan further contains a detailed situational awareness which maps the external and internal environments that affect the Corporation. The consideration of these factors are essential as it shapes the constraints and conditions under which Armscor will have to operate in the medium-term. These factors remain constant, are similar to those reported on in the 2022 APP and will likely persist throughout the medium-term. </w:t>
      </w:r>
    </w:p>
    <w:p w:rsidR="00425855" w:rsidRPr="000E7F48" w:rsidRDefault="00425855" w:rsidP="000E7F48">
      <w:pPr>
        <w:spacing w:after="0" w:line="240" w:lineRule="auto"/>
        <w:rPr>
          <w:rFonts w:ascii="Arial" w:hAnsi="Arial" w:cs="Arial"/>
          <w:bCs/>
          <w:sz w:val="20"/>
          <w:szCs w:val="20"/>
        </w:rPr>
      </w:pPr>
    </w:p>
    <w:p w:rsidR="00FA22BD" w:rsidRPr="000E7F48" w:rsidRDefault="00FA22BD" w:rsidP="000E7F48">
      <w:pPr>
        <w:spacing w:after="0" w:line="240" w:lineRule="auto"/>
        <w:rPr>
          <w:rFonts w:ascii="Arial" w:hAnsi="Arial" w:cs="Arial"/>
          <w:b/>
          <w:bCs/>
          <w:sz w:val="20"/>
          <w:szCs w:val="20"/>
        </w:rPr>
      </w:pPr>
      <w:r w:rsidRPr="000E7F48">
        <w:rPr>
          <w:rFonts w:ascii="Arial" w:hAnsi="Arial" w:cs="Arial"/>
          <w:b/>
          <w:bCs/>
          <w:sz w:val="20"/>
          <w:szCs w:val="20"/>
        </w:rPr>
        <w:t>External environment</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t>Political</w:t>
      </w:r>
      <w:r w:rsidRPr="000E7F48">
        <w:rPr>
          <w:rFonts w:ascii="Arial" w:hAnsi="Arial" w:cs="Arial"/>
          <w:bCs/>
          <w:sz w:val="20"/>
          <w:szCs w:val="20"/>
        </w:rPr>
        <w:t xml:space="preserve">: The domestic focus of national security is on Human Security and the growth of South Africa is dependent on peace, stability and economic development on the continent. The focus on human security was encapsulated in 2020 with the deployment of the military to assist in the country’s efforts to prevent the spread of the Covid-19 pandemic. </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t>Economic</w:t>
      </w:r>
      <w:r w:rsidRPr="000E7F48">
        <w:rPr>
          <w:rFonts w:ascii="Arial" w:hAnsi="Arial" w:cs="Arial"/>
          <w:bCs/>
          <w:sz w:val="20"/>
          <w:szCs w:val="20"/>
        </w:rPr>
        <w:t>: There is increasing fear of economic downturn, with GDP growth continuously revised downwards. This downturn was exacerbated by the Covid-19 pandemic, negatively impacting the implementation of the National Development Plan (NDP). The defence allocation is expected to further decline over the medium-term.</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t xml:space="preserve">Social: </w:t>
      </w:r>
      <w:r w:rsidRPr="000E7F48">
        <w:rPr>
          <w:rFonts w:ascii="Arial" w:hAnsi="Arial" w:cs="Arial"/>
          <w:bCs/>
          <w:sz w:val="20"/>
          <w:szCs w:val="20"/>
        </w:rPr>
        <w:t>Four aspects will shape future economic and political conditions, namely increased life expectancy; population growth and the youth bulge; migration; and, urbanisation. In addition, the social sphere will be impacted by the Fourth Industrial Revolution and cyber connectivity.</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t>Technology:</w:t>
      </w:r>
      <w:r w:rsidRPr="000E7F48">
        <w:rPr>
          <w:rFonts w:ascii="Arial" w:hAnsi="Arial" w:cs="Arial"/>
          <w:bCs/>
          <w:sz w:val="20"/>
          <w:szCs w:val="20"/>
        </w:rPr>
        <w:t xml:space="preserve"> The SANDF will be required to improve its Information Warfare capability while the Defence industry requires funding and planning to maximise its economic contribution.</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t>Legal:</w:t>
      </w:r>
      <w:r w:rsidRPr="000E7F48">
        <w:rPr>
          <w:rFonts w:ascii="Arial" w:hAnsi="Arial" w:cs="Arial"/>
          <w:bCs/>
          <w:sz w:val="20"/>
          <w:szCs w:val="20"/>
        </w:rPr>
        <w:t xml:space="preserve"> The DOD, especially the SANDF commanders could face various new international legal challenges during external operations. The SANDF must ensure that it operates within International Law.</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lastRenderedPageBreak/>
        <w:t>Physical:</w:t>
      </w:r>
      <w:r w:rsidRPr="000E7F48">
        <w:rPr>
          <w:rFonts w:ascii="Arial" w:hAnsi="Arial" w:cs="Arial"/>
          <w:bCs/>
          <w:sz w:val="20"/>
          <w:szCs w:val="20"/>
        </w:rPr>
        <w:t xml:space="preserve"> The SANDF could increasingly be required to become involved in humanitarian operations, specifically as a result of climate change. Furthermore, as demonstrated during the Covid-19 pandemic, SANDF involvement may be required to deal with humanitarian operations related to pandemic outbreaks.</w:t>
      </w:r>
    </w:p>
    <w:p w:rsidR="005E1318" w:rsidRPr="000E7F48" w:rsidRDefault="005E1318" w:rsidP="000E7F48">
      <w:pPr>
        <w:pStyle w:val="ListParagraph"/>
        <w:numPr>
          <w:ilvl w:val="0"/>
          <w:numId w:val="12"/>
        </w:numPr>
        <w:rPr>
          <w:rFonts w:ascii="Arial" w:hAnsi="Arial" w:cs="Arial"/>
          <w:bCs/>
          <w:sz w:val="20"/>
          <w:szCs w:val="20"/>
        </w:rPr>
      </w:pPr>
      <w:r w:rsidRPr="000E7F48">
        <w:rPr>
          <w:rFonts w:ascii="Arial" w:hAnsi="Arial" w:cs="Arial"/>
          <w:bCs/>
          <w:i/>
          <w:sz w:val="20"/>
          <w:szCs w:val="20"/>
        </w:rPr>
        <w:t>Military:</w:t>
      </w:r>
      <w:r w:rsidRPr="000E7F48">
        <w:rPr>
          <w:rFonts w:ascii="Arial" w:hAnsi="Arial" w:cs="Arial"/>
          <w:bCs/>
          <w:sz w:val="20"/>
          <w:szCs w:val="20"/>
        </w:rPr>
        <w:t xml:space="preserve"> The military will have to prepare for a deployment environment where the distinction between military and other containment measures become increasingly blurred. Of particular importance will be the SANDF’s role in border safeguarding as well as the need for technological means of securing the country’s borders.</w:t>
      </w:r>
    </w:p>
    <w:p w:rsidR="005E1318" w:rsidRPr="000E7F48" w:rsidRDefault="005E1318" w:rsidP="000E7F48">
      <w:pPr>
        <w:spacing w:after="0" w:line="240" w:lineRule="auto"/>
        <w:rPr>
          <w:rFonts w:ascii="Arial" w:hAnsi="Arial" w:cs="Arial"/>
          <w:b/>
          <w:bCs/>
          <w:sz w:val="20"/>
          <w:szCs w:val="20"/>
        </w:rPr>
      </w:pPr>
    </w:p>
    <w:p w:rsidR="00FA22BD" w:rsidRPr="000E7F48" w:rsidRDefault="00FA22BD" w:rsidP="000E7F48">
      <w:pPr>
        <w:spacing w:after="0" w:line="240" w:lineRule="auto"/>
        <w:rPr>
          <w:rFonts w:ascii="Arial" w:hAnsi="Arial" w:cs="Arial"/>
          <w:b/>
          <w:bCs/>
          <w:sz w:val="20"/>
          <w:szCs w:val="20"/>
        </w:rPr>
      </w:pPr>
      <w:r w:rsidRPr="000E7F48">
        <w:rPr>
          <w:rFonts w:ascii="Arial" w:hAnsi="Arial" w:cs="Arial"/>
          <w:b/>
          <w:bCs/>
          <w:sz w:val="20"/>
          <w:szCs w:val="20"/>
        </w:rPr>
        <w:t>Internal environment</w:t>
      </w:r>
    </w:p>
    <w:p w:rsidR="008B3359" w:rsidRPr="000E7F48" w:rsidRDefault="008B3359" w:rsidP="000E7F48">
      <w:pPr>
        <w:pStyle w:val="ListParagraph"/>
        <w:numPr>
          <w:ilvl w:val="0"/>
          <w:numId w:val="13"/>
        </w:numPr>
        <w:rPr>
          <w:rFonts w:ascii="Arial" w:hAnsi="Arial" w:cs="Arial"/>
          <w:bCs/>
          <w:sz w:val="20"/>
          <w:szCs w:val="20"/>
        </w:rPr>
      </w:pPr>
      <w:r w:rsidRPr="000E7F48">
        <w:rPr>
          <w:rFonts w:ascii="Arial" w:hAnsi="Arial" w:cs="Arial"/>
          <w:bCs/>
          <w:i/>
          <w:sz w:val="20"/>
          <w:szCs w:val="20"/>
        </w:rPr>
        <w:t xml:space="preserve">Economic recession: </w:t>
      </w:r>
      <w:r w:rsidRPr="000E7F48">
        <w:rPr>
          <w:rFonts w:ascii="Arial" w:hAnsi="Arial" w:cs="Arial"/>
          <w:bCs/>
          <w:sz w:val="20"/>
          <w:szCs w:val="20"/>
        </w:rPr>
        <w:t>Slow economic growth will hamper the creation of job opportunities, industrial strikes and possibly contribute to conflict from the unemployed youth demographic.</w:t>
      </w:r>
    </w:p>
    <w:p w:rsidR="008B3359" w:rsidRPr="000E7F48" w:rsidRDefault="008B3359" w:rsidP="000E7F48">
      <w:pPr>
        <w:pStyle w:val="ListParagraph"/>
        <w:numPr>
          <w:ilvl w:val="0"/>
          <w:numId w:val="13"/>
        </w:numPr>
        <w:rPr>
          <w:rFonts w:ascii="Arial" w:hAnsi="Arial" w:cs="Arial"/>
          <w:bCs/>
          <w:sz w:val="20"/>
          <w:szCs w:val="20"/>
        </w:rPr>
      </w:pPr>
      <w:r w:rsidRPr="000E7F48">
        <w:rPr>
          <w:rFonts w:ascii="Arial" w:hAnsi="Arial" w:cs="Arial"/>
          <w:bCs/>
          <w:i/>
          <w:sz w:val="20"/>
          <w:szCs w:val="20"/>
        </w:rPr>
        <w:t xml:space="preserve">Defence budget allocation: </w:t>
      </w:r>
      <w:r w:rsidRPr="000E7F48">
        <w:rPr>
          <w:rFonts w:ascii="Arial" w:hAnsi="Arial" w:cs="Arial"/>
          <w:bCs/>
          <w:sz w:val="20"/>
          <w:szCs w:val="20"/>
        </w:rPr>
        <w:t>The Defence Force is Armscor’s largest client and its budget allocation will remain constrained over the medium-term. DOD’s Human Resources expenditure is foreseen to continue rising, slightly above the inflation rate, effectively reducing the operating and capital budgets. This introduces an era where the ability of the SANDF to conduct operations is substantially curtailed, possibly negatively influencing the demand for Armscor capacity related to the contracting of maintenance, repair and overhaul (MRO) services. The impact of this, on the Strategic Capital Acquisition Master Plan (SCAMP) is severe.</w:t>
      </w:r>
    </w:p>
    <w:p w:rsidR="008B3359" w:rsidRPr="000E7F48" w:rsidRDefault="008B3359" w:rsidP="000E7F48">
      <w:pPr>
        <w:pStyle w:val="ListParagraph"/>
        <w:rPr>
          <w:rFonts w:ascii="Arial" w:hAnsi="Arial" w:cs="Arial"/>
          <w:bCs/>
          <w:sz w:val="20"/>
          <w:szCs w:val="20"/>
        </w:rPr>
      </w:pPr>
      <w:r w:rsidRPr="000E7F48">
        <w:rPr>
          <w:rFonts w:ascii="Arial" w:hAnsi="Arial" w:cs="Arial"/>
          <w:bCs/>
          <w:sz w:val="20"/>
          <w:szCs w:val="20"/>
        </w:rPr>
        <w:t>The initiatives to position Armscor as the primary procurement agency for the security cluster; sweating its own assets; sourcing contracts from foreign governments and IP exploitation is taking longer than expected.</w:t>
      </w:r>
    </w:p>
    <w:p w:rsidR="008B3359" w:rsidRPr="000E7F48" w:rsidRDefault="008B3359" w:rsidP="000E7F48">
      <w:pPr>
        <w:pStyle w:val="ListParagraph"/>
        <w:numPr>
          <w:ilvl w:val="0"/>
          <w:numId w:val="13"/>
        </w:numPr>
        <w:rPr>
          <w:rFonts w:ascii="Arial" w:hAnsi="Arial" w:cs="Arial"/>
          <w:bCs/>
          <w:sz w:val="20"/>
          <w:szCs w:val="20"/>
        </w:rPr>
      </w:pPr>
      <w:r w:rsidRPr="000E7F48">
        <w:rPr>
          <w:rFonts w:ascii="Arial" w:hAnsi="Arial" w:cs="Arial"/>
          <w:bCs/>
          <w:i/>
          <w:sz w:val="20"/>
          <w:szCs w:val="20"/>
        </w:rPr>
        <w:t>Corporate governance accountability:</w:t>
      </w:r>
      <w:r w:rsidRPr="000E7F48">
        <w:rPr>
          <w:rFonts w:ascii="Arial" w:hAnsi="Arial" w:cs="Arial"/>
          <w:bCs/>
          <w:sz w:val="20"/>
          <w:szCs w:val="20"/>
        </w:rPr>
        <w:t xml:space="preserve"> Armscor will continue to operate and function under good governance principles as per the King IV Report and other guiding documents.</w:t>
      </w:r>
    </w:p>
    <w:p w:rsidR="008B3359" w:rsidRPr="000E7F48" w:rsidRDefault="008B3359" w:rsidP="000E7F48">
      <w:pPr>
        <w:pStyle w:val="ListParagraph"/>
        <w:numPr>
          <w:ilvl w:val="0"/>
          <w:numId w:val="13"/>
        </w:numPr>
        <w:rPr>
          <w:rFonts w:ascii="Arial" w:hAnsi="Arial" w:cs="Arial"/>
          <w:bCs/>
          <w:sz w:val="20"/>
          <w:szCs w:val="20"/>
        </w:rPr>
      </w:pPr>
      <w:r w:rsidRPr="000E7F48">
        <w:rPr>
          <w:rFonts w:ascii="Arial" w:hAnsi="Arial" w:cs="Arial"/>
          <w:bCs/>
          <w:i/>
          <w:sz w:val="20"/>
          <w:szCs w:val="20"/>
        </w:rPr>
        <w:t>National cost containing measures:</w:t>
      </w:r>
      <w:r w:rsidRPr="000E7F48">
        <w:rPr>
          <w:rFonts w:ascii="Arial" w:hAnsi="Arial" w:cs="Arial"/>
          <w:bCs/>
          <w:sz w:val="20"/>
          <w:szCs w:val="20"/>
        </w:rPr>
        <w:t xml:space="preserve"> Armscor will continue to implement cost containment measures as per National Treasury directives.</w:t>
      </w:r>
    </w:p>
    <w:p w:rsidR="008B3359" w:rsidRPr="000E7F48" w:rsidRDefault="008B3359" w:rsidP="000E7F48">
      <w:pPr>
        <w:pStyle w:val="ListParagraph"/>
        <w:numPr>
          <w:ilvl w:val="0"/>
          <w:numId w:val="13"/>
        </w:numPr>
        <w:rPr>
          <w:rFonts w:ascii="Arial" w:hAnsi="Arial" w:cs="Arial"/>
          <w:bCs/>
          <w:i/>
          <w:sz w:val="20"/>
          <w:szCs w:val="20"/>
        </w:rPr>
      </w:pPr>
      <w:r w:rsidRPr="000E7F48">
        <w:rPr>
          <w:rFonts w:ascii="Arial" w:hAnsi="Arial" w:cs="Arial"/>
          <w:bCs/>
          <w:i/>
          <w:sz w:val="20"/>
          <w:szCs w:val="20"/>
        </w:rPr>
        <w:t xml:space="preserve">Service delivery improvement: </w:t>
      </w:r>
      <w:r w:rsidRPr="000E7F48">
        <w:rPr>
          <w:rFonts w:ascii="Arial" w:hAnsi="Arial" w:cs="Arial"/>
          <w:bCs/>
          <w:sz w:val="20"/>
          <w:szCs w:val="20"/>
        </w:rPr>
        <w:t>The Acquisition process and contracting process at Armscor will be improved to better serve the DOD needs.</w:t>
      </w:r>
    </w:p>
    <w:p w:rsidR="00FA22BD" w:rsidRPr="000E7F48" w:rsidRDefault="00FA22BD" w:rsidP="000E7F48">
      <w:pPr>
        <w:spacing w:after="0" w:line="240" w:lineRule="auto"/>
        <w:rPr>
          <w:rFonts w:ascii="Arial" w:hAnsi="Arial" w:cs="Arial"/>
          <w:bCs/>
          <w:i/>
          <w:sz w:val="20"/>
          <w:szCs w:val="20"/>
        </w:rPr>
      </w:pPr>
    </w:p>
    <w:p w:rsidR="00425855" w:rsidRPr="000E7F48" w:rsidRDefault="00425855" w:rsidP="000E7F48">
      <w:pPr>
        <w:keepNext/>
        <w:keepLines/>
        <w:spacing w:after="0" w:line="240" w:lineRule="auto"/>
        <w:outlineLvl w:val="1"/>
        <w:rPr>
          <w:rFonts w:ascii="Arial" w:eastAsiaTheme="majorEastAsia" w:hAnsi="Arial" w:cs="Arial"/>
          <w:b/>
          <w:sz w:val="20"/>
          <w:szCs w:val="20"/>
        </w:rPr>
      </w:pPr>
      <w:bookmarkStart w:id="15" w:name="_Toc37083644"/>
      <w:r w:rsidRPr="000E7F48">
        <w:rPr>
          <w:rFonts w:ascii="Arial" w:eastAsiaTheme="majorEastAsia" w:hAnsi="Arial" w:cs="Arial"/>
          <w:b/>
          <w:sz w:val="20"/>
          <w:szCs w:val="20"/>
        </w:rPr>
        <w:t>2.3</w:t>
      </w:r>
      <w:r w:rsidRPr="000E7F48">
        <w:rPr>
          <w:rFonts w:ascii="Arial" w:eastAsiaTheme="majorEastAsia" w:hAnsi="Arial" w:cs="Arial"/>
          <w:b/>
          <w:sz w:val="20"/>
          <w:szCs w:val="20"/>
        </w:rPr>
        <w:tab/>
        <w:t>Identified weaknesses and threats</w:t>
      </w:r>
    </w:p>
    <w:p w:rsidR="00425855" w:rsidRPr="000E7F48" w:rsidRDefault="00425855" w:rsidP="000E7F48">
      <w:pPr>
        <w:spacing w:after="0" w:line="240" w:lineRule="auto"/>
        <w:rPr>
          <w:rFonts w:ascii="Arial" w:hAnsi="Arial" w:cs="Arial"/>
          <w:bCs/>
          <w:sz w:val="20"/>
          <w:szCs w:val="20"/>
        </w:rPr>
      </w:pPr>
      <w:r w:rsidRPr="000E7F48">
        <w:rPr>
          <w:rFonts w:ascii="Arial" w:hAnsi="Arial" w:cs="Arial"/>
          <w:bCs/>
          <w:sz w:val="20"/>
          <w:szCs w:val="20"/>
        </w:rPr>
        <w:t>Armscor identified the following weaknesses and threats in its SWOT analysis for 2023, and the PCDMV may wish to engage the entity on how these matters will be addressed.</w:t>
      </w:r>
    </w:p>
    <w:p w:rsidR="00425855" w:rsidRPr="000E7F48" w:rsidRDefault="00425855" w:rsidP="000E7F48">
      <w:pPr>
        <w:spacing w:after="0" w:line="240" w:lineRule="auto"/>
        <w:rPr>
          <w:rFonts w:ascii="Arial" w:hAnsi="Arial" w:cs="Arial"/>
          <w:bCs/>
          <w:sz w:val="20"/>
          <w:szCs w:val="20"/>
        </w:rPr>
      </w:pPr>
    </w:p>
    <w:p w:rsidR="00425855" w:rsidRPr="000E7F48" w:rsidRDefault="00425855" w:rsidP="000E7F48">
      <w:pPr>
        <w:spacing w:after="0" w:line="240" w:lineRule="auto"/>
        <w:rPr>
          <w:rFonts w:ascii="Arial" w:hAnsi="Arial" w:cs="Arial"/>
          <w:bCs/>
          <w:i/>
          <w:sz w:val="20"/>
          <w:szCs w:val="20"/>
        </w:rPr>
      </w:pPr>
      <w:r w:rsidRPr="000E7F48">
        <w:rPr>
          <w:rFonts w:ascii="Arial" w:hAnsi="Arial" w:cs="Arial"/>
          <w:bCs/>
          <w:i/>
          <w:sz w:val="20"/>
          <w:szCs w:val="20"/>
        </w:rPr>
        <w:t>Weaknesses:</w:t>
      </w:r>
    </w:p>
    <w:p w:rsidR="00425855" w:rsidRPr="000E7F48" w:rsidRDefault="00425855" w:rsidP="000E7F48">
      <w:pPr>
        <w:numPr>
          <w:ilvl w:val="0"/>
          <w:numId w:val="40"/>
        </w:numPr>
        <w:spacing w:after="0" w:line="240" w:lineRule="auto"/>
        <w:rPr>
          <w:rFonts w:ascii="Arial" w:hAnsi="Arial" w:cs="Arial"/>
          <w:bCs/>
          <w:i/>
          <w:sz w:val="20"/>
          <w:szCs w:val="20"/>
        </w:rPr>
      </w:pPr>
      <w:r w:rsidRPr="000E7F48">
        <w:rPr>
          <w:rFonts w:ascii="Arial" w:hAnsi="Arial" w:cs="Arial"/>
          <w:bCs/>
          <w:sz w:val="20"/>
          <w:szCs w:val="20"/>
        </w:rPr>
        <w:t>Limited commercialisation and business development capabilities.</w:t>
      </w:r>
    </w:p>
    <w:p w:rsidR="00425855" w:rsidRPr="000E7F48" w:rsidRDefault="00425855" w:rsidP="000E7F48">
      <w:pPr>
        <w:numPr>
          <w:ilvl w:val="0"/>
          <w:numId w:val="40"/>
        </w:numPr>
        <w:spacing w:after="0" w:line="240" w:lineRule="auto"/>
        <w:rPr>
          <w:rFonts w:ascii="Arial" w:hAnsi="Arial" w:cs="Arial"/>
          <w:bCs/>
          <w:i/>
          <w:sz w:val="20"/>
          <w:szCs w:val="20"/>
        </w:rPr>
      </w:pPr>
      <w:r w:rsidRPr="000E7F48">
        <w:rPr>
          <w:rFonts w:ascii="Arial" w:hAnsi="Arial" w:cs="Arial"/>
          <w:bCs/>
          <w:sz w:val="20"/>
          <w:szCs w:val="20"/>
        </w:rPr>
        <w:t>Slow conversion rate of business opportunities.</w:t>
      </w:r>
    </w:p>
    <w:p w:rsidR="00425855" w:rsidRPr="000E7F48" w:rsidRDefault="00425855" w:rsidP="000E7F48">
      <w:pPr>
        <w:numPr>
          <w:ilvl w:val="0"/>
          <w:numId w:val="40"/>
        </w:numPr>
        <w:spacing w:after="0" w:line="240" w:lineRule="auto"/>
        <w:rPr>
          <w:rFonts w:ascii="Arial" w:hAnsi="Arial" w:cs="Arial"/>
          <w:bCs/>
          <w:i/>
          <w:sz w:val="20"/>
          <w:szCs w:val="20"/>
        </w:rPr>
      </w:pPr>
      <w:r w:rsidRPr="000E7F48">
        <w:rPr>
          <w:rFonts w:ascii="Arial" w:hAnsi="Arial" w:cs="Arial"/>
          <w:bCs/>
          <w:sz w:val="20"/>
          <w:szCs w:val="20"/>
        </w:rPr>
        <w:t>Acquisition turnaround times.</w:t>
      </w:r>
    </w:p>
    <w:p w:rsidR="00425855" w:rsidRPr="000E7F48" w:rsidRDefault="00425855" w:rsidP="000E7F48">
      <w:pPr>
        <w:spacing w:after="0" w:line="240" w:lineRule="auto"/>
        <w:rPr>
          <w:rFonts w:ascii="Arial" w:hAnsi="Arial" w:cs="Arial"/>
          <w:bCs/>
          <w:i/>
          <w:sz w:val="20"/>
          <w:szCs w:val="20"/>
        </w:rPr>
      </w:pPr>
    </w:p>
    <w:p w:rsidR="00425855" w:rsidRPr="000E7F48" w:rsidRDefault="00425855" w:rsidP="000E7F48">
      <w:pPr>
        <w:spacing w:after="0" w:line="240" w:lineRule="auto"/>
        <w:rPr>
          <w:rFonts w:ascii="Arial" w:hAnsi="Arial" w:cs="Arial"/>
          <w:bCs/>
          <w:i/>
          <w:sz w:val="20"/>
          <w:szCs w:val="20"/>
        </w:rPr>
      </w:pPr>
      <w:r w:rsidRPr="000E7F48">
        <w:rPr>
          <w:rFonts w:ascii="Arial" w:hAnsi="Arial" w:cs="Arial"/>
          <w:bCs/>
          <w:i/>
          <w:sz w:val="20"/>
          <w:szCs w:val="20"/>
        </w:rPr>
        <w:t>Threats</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Denel’s sustainability and current performance on defence contracts.</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Industry performance and sustainability.</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Inadequate information and communication technologies in South Africa.</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Reliance on insufficient DOD transfer payment.</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Reduction in the DOD budget.</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Insufficient funding to sustain facilities.</w:t>
      </w:r>
    </w:p>
    <w:p w:rsidR="00425855" w:rsidRPr="000E7F48" w:rsidRDefault="00425855" w:rsidP="000E7F48">
      <w:pPr>
        <w:numPr>
          <w:ilvl w:val="0"/>
          <w:numId w:val="39"/>
        </w:numPr>
        <w:spacing w:after="0" w:line="240" w:lineRule="auto"/>
        <w:rPr>
          <w:rFonts w:ascii="Arial" w:hAnsi="Arial" w:cs="Arial"/>
          <w:bCs/>
          <w:sz w:val="20"/>
          <w:szCs w:val="20"/>
        </w:rPr>
      </w:pPr>
      <w:r w:rsidRPr="000E7F48">
        <w:rPr>
          <w:rFonts w:ascii="Arial" w:hAnsi="Arial" w:cs="Arial"/>
          <w:bCs/>
          <w:sz w:val="20"/>
          <w:szCs w:val="20"/>
        </w:rPr>
        <w:t>Pandemics.</w:t>
      </w:r>
    </w:p>
    <w:p w:rsidR="00425855" w:rsidRPr="000E7F48" w:rsidRDefault="00425855" w:rsidP="000E7F48">
      <w:pPr>
        <w:keepNext/>
        <w:keepLines/>
        <w:spacing w:after="0" w:line="240" w:lineRule="auto"/>
        <w:outlineLvl w:val="1"/>
        <w:rPr>
          <w:rFonts w:ascii="Arial" w:eastAsiaTheme="majorEastAsia" w:hAnsi="Arial" w:cs="Arial"/>
          <w:b/>
          <w:sz w:val="20"/>
          <w:szCs w:val="20"/>
        </w:rPr>
      </w:pPr>
    </w:p>
    <w:p w:rsidR="00FA22BD" w:rsidRPr="000E7F48" w:rsidRDefault="005E1318"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2</w:t>
      </w:r>
      <w:r w:rsidR="00FA22BD" w:rsidRPr="000E7F48">
        <w:rPr>
          <w:rFonts w:ascii="Arial" w:eastAsiaTheme="majorEastAsia" w:hAnsi="Arial" w:cs="Arial"/>
          <w:b/>
          <w:sz w:val="20"/>
          <w:szCs w:val="20"/>
        </w:rPr>
        <w:t>.</w:t>
      </w:r>
      <w:r w:rsidR="00425855" w:rsidRPr="000E7F48">
        <w:rPr>
          <w:rFonts w:ascii="Arial" w:eastAsiaTheme="majorEastAsia" w:hAnsi="Arial" w:cs="Arial"/>
          <w:b/>
          <w:sz w:val="20"/>
          <w:szCs w:val="20"/>
        </w:rPr>
        <w:t>4</w:t>
      </w:r>
      <w:r w:rsidR="00FA22BD" w:rsidRPr="000E7F48">
        <w:rPr>
          <w:rFonts w:ascii="Arial" w:eastAsiaTheme="majorEastAsia" w:hAnsi="Arial" w:cs="Arial"/>
          <w:b/>
          <w:sz w:val="20"/>
          <w:szCs w:val="20"/>
        </w:rPr>
        <w:tab/>
        <w:t>Armscor contribution to national government planning</w:t>
      </w:r>
      <w:bookmarkEnd w:id="15"/>
    </w:p>
    <w:p w:rsidR="00FA22BD" w:rsidRPr="000E7F48" w:rsidRDefault="00FA22BD" w:rsidP="000E7F48">
      <w:pPr>
        <w:spacing w:after="0" w:line="240" w:lineRule="auto"/>
        <w:rPr>
          <w:rFonts w:ascii="Arial" w:hAnsi="Arial" w:cs="Arial"/>
          <w:bCs/>
          <w:sz w:val="20"/>
          <w:szCs w:val="20"/>
        </w:rPr>
      </w:pPr>
    </w:p>
    <w:p w:rsidR="005E1318" w:rsidRPr="000E7F48" w:rsidRDefault="005E1318" w:rsidP="000E7F48">
      <w:pPr>
        <w:spacing w:after="0" w:line="240" w:lineRule="auto"/>
        <w:rPr>
          <w:rFonts w:ascii="Arial" w:hAnsi="Arial" w:cs="Arial"/>
          <w:bCs/>
          <w:sz w:val="20"/>
          <w:szCs w:val="20"/>
        </w:rPr>
      </w:pPr>
      <w:r w:rsidRPr="000E7F48">
        <w:rPr>
          <w:rFonts w:ascii="Arial" w:hAnsi="Arial" w:cs="Arial"/>
          <w:bCs/>
          <w:sz w:val="20"/>
          <w:szCs w:val="20"/>
        </w:rPr>
        <w:t>Armscor will seek to contribute to several Government outcomes as per the NDP and the Medium-Term Strategic Framework (MTSF) (2019-2024).</w:t>
      </w:r>
    </w:p>
    <w:p w:rsidR="008B3359" w:rsidRPr="000E7F48" w:rsidRDefault="008B3359" w:rsidP="000E7F48">
      <w:pPr>
        <w:spacing w:after="0" w:line="240" w:lineRule="auto"/>
        <w:rPr>
          <w:rFonts w:ascii="Arial" w:hAnsi="Arial" w:cs="Arial"/>
          <w:bCs/>
          <w:sz w:val="20"/>
          <w:szCs w:val="20"/>
        </w:rPr>
      </w:pPr>
    </w:p>
    <w:p w:rsidR="005E1318" w:rsidRPr="000E7F48" w:rsidRDefault="005E1318" w:rsidP="000E7F48">
      <w:pPr>
        <w:spacing w:after="0" w:line="240" w:lineRule="auto"/>
        <w:rPr>
          <w:rFonts w:ascii="Arial" w:hAnsi="Arial" w:cs="Arial"/>
          <w:bCs/>
          <w:sz w:val="20"/>
          <w:szCs w:val="20"/>
        </w:rPr>
      </w:pPr>
      <w:r w:rsidRPr="000E7F48">
        <w:rPr>
          <w:rFonts w:ascii="Arial" w:hAnsi="Arial" w:cs="Arial"/>
          <w:bCs/>
          <w:sz w:val="20"/>
          <w:szCs w:val="20"/>
        </w:rPr>
        <w:t xml:space="preserve">Armscor contributions to the </w:t>
      </w:r>
      <w:r w:rsidRPr="000E7F48">
        <w:rPr>
          <w:rFonts w:ascii="Arial" w:hAnsi="Arial" w:cs="Arial"/>
          <w:bCs/>
          <w:i/>
          <w:sz w:val="20"/>
          <w:szCs w:val="20"/>
        </w:rPr>
        <w:t>NDP</w:t>
      </w:r>
      <w:r w:rsidRPr="000E7F48">
        <w:rPr>
          <w:rFonts w:ascii="Arial" w:hAnsi="Arial" w:cs="Arial"/>
          <w:bCs/>
          <w:sz w:val="20"/>
          <w:szCs w:val="20"/>
        </w:rPr>
        <w:t>:</w:t>
      </w:r>
    </w:p>
    <w:p w:rsidR="005E1318" w:rsidRPr="000E7F48" w:rsidRDefault="005E1318" w:rsidP="000E7F48">
      <w:pPr>
        <w:pStyle w:val="ListParagraph"/>
        <w:numPr>
          <w:ilvl w:val="0"/>
          <w:numId w:val="14"/>
        </w:numPr>
        <w:rPr>
          <w:rFonts w:ascii="Arial" w:hAnsi="Arial" w:cs="Arial"/>
          <w:bCs/>
          <w:sz w:val="20"/>
          <w:szCs w:val="20"/>
        </w:rPr>
      </w:pPr>
      <w:r w:rsidRPr="000E7F48">
        <w:rPr>
          <w:rFonts w:ascii="Arial" w:hAnsi="Arial" w:cs="Arial"/>
          <w:bCs/>
          <w:sz w:val="20"/>
          <w:szCs w:val="20"/>
        </w:rPr>
        <w:t>Sharpening South Africa’s innovative edge by contributing to global scientific and technological advancement;</w:t>
      </w:r>
    </w:p>
    <w:p w:rsidR="005E1318" w:rsidRPr="000E7F48" w:rsidRDefault="005E1318" w:rsidP="000E7F48">
      <w:pPr>
        <w:pStyle w:val="ListParagraph"/>
        <w:numPr>
          <w:ilvl w:val="0"/>
          <w:numId w:val="14"/>
        </w:numPr>
        <w:rPr>
          <w:rFonts w:ascii="Arial" w:hAnsi="Arial" w:cs="Arial"/>
          <w:bCs/>
          <w:sz w:val="20"/>
          <w:szCs w:val="20"/>
        </w:rPr>
      </w:pPr>
      <w:r w:rsidRPr="000E7F48">
        <w:rPr>
          <w:rFonts w:ascii="Arial" w:hAnsi="Arial" w:cs="Arial"/>
          <w:bCs/>
          <w:sz w:val="20"/>
          <w:szCs w:val="20"/>
        </w:rPr>
        <w:t>Investing in Research and Development;</w:t>
      </w:r>
    </w:p>
    <w:p w:rsidR="005E1318" w:rsidRPr="000E7F48" w:rsidRDefault="005E1318" w:rsidP="000E7F48">
      <w:pPr>
        <w:pStyle w:val="ListParagraph"/>
        <w:numPr>
          <w:ilvl w:val="0"/>
          <w:numId w:val="14"/>
        </w:numPr>
        <w:rPr>
          <w:rFonts w:ascii="Arial" w:hAnsi="Arial" w:cs="Arial"/>
          <w:bCs/>
          <w:sz w:val="20"/>
          <w:szCs w:val="20"/>
        </w:rPr>
      </w:pPr>
      <w:r w:rsidRPr="000E7F48">
        <w:rPr>
          <w:rFonts w:ascii="Arial" w:hAnsi="Arial" w:cs="Arial"/>
          <w:bCs/>
          <w:sz w:val="20"/>
          <w:szCs w:val="20"/>
        </w:rPr>
        <w:t>Facilitating cooperation between public service and technology institutions;</w:t>
      </w:r>
    </w:p>
    <w:p w:rsidR="005E1318" w:rsidRPr="000E7F48" w:rsidRDefault="005E1318" w:rsidP="000E7F48">
      <w:pPr>
        <w:pStyle w:val="ListParagraph"/>
        <w:numPr>
          <w:ilvl w:val="0"/>
          <w:numId w:val="14"/>
        </w:numPr>
        <w:rPr>
          <w:rFonts w:ascii="Arial" w:hAnsi="Arial" w:cs="Arial"/>
          <w:bCs/>
          <w:sz w:val="20"/>
          <w:szCs w:val="20"/>
        </w:rPr>
      </w:pPr>
      <w:r w:rsidRPr="000E7F48">
        <w:rPr>
          <w:rFonts w:ascii="Arial" w:hAnsi="Arial" w:cs="Arial"/>
          <w:bCs/>
          <w:sz w:val="20"/>
          <w:szCs w:val="20"/>
        </w:rPr>
        <w:t>Committing to procurement approaches that stimulate domestic industry and job creation;</w:t>
      </w:r>
    </w:p>
    <w:p w:rsidR="005E1318" w:rsidRPr="000E7F48" w:rsidRDefault="005E1318" w:rsidP="000E7F48">
      <w:pPr>
        <w:pStyle w:val="ListParagraph"/>
        <w:numPr>
          <w:ilvl w:val="0"/>
          <w:numId w:val="14"/>
        </w:numPr>
        <w:rPr>
          <w:rFonts w:ascii="Arial" w:hAnsi="Arial" w:cs="Arial"/>
          <w:bCs/>
          <w:sz w:val="20"/>
          <w:szCs w:val="20"/>
        </w:rPr>
      </w:pPr>
      <w:r w:rsidRPr="000E7F48">
        <w:rPr>
          <w:rFonts w:ascii="Arial" w:hAnsi="Arial" w:cs="Arial"/>
          <w:bCs/>
          <w:sz w:val="20"/>
          <w:szCs w:val="20"/>
        </w:rPr>
        <w:t>Procuring from and supporting SMMEs, black-owned and black managed enterprises and female-led enterprises, the youth and military veterans.</w:t>
      </w:r>
    </w:p>
    <w:p w:rsidR="005E1318" w:rsidRPr="000E7F48" w:rsidRDefault="005E1318" w:rsidP="000E7F48">
      <w:pPr>
        <w:spacing w:after="0" w:line="240" w:lineRule="auto"/>
        <w:rPr>
          <w:rFonts w:ascii="Arial" w:hAnsi="Arial" w:cs="Arial"/>
          <w:bCs/>
          <w:sz w:val="20"/>
          <w:szCs w:val="20"/>
        </w:rPr>
      </w:pPr>
    </w:p>
    <w:p w:rsidR="005E1318" w:rsidRPr="000E7F48" w:rsidRDefault="005E1318" w:rsidP="000E7F48">
      <w:pPr>
        <w:spacing w:after="0" w:line="240" w:lineRule="auto"/>
        <w:rPr>
          <w:rFonts w:ascii="Arial" w:hAnsi="Arial" w:cs="Arial"/>
          <w:bCs/>
          <w:sz w:val="20"/>
          <w:szCs w:val="20"/>
        </w:rPr>
      </w:pPr>
      <w:r w:rsidRPr="000E7F48">
        <w:rPr>
          <w:rFonts w:ascii="Arial" w:hAnsi="Arial" w:cs="Arial"/>
          <w:bCs/>
          <w:sz w:val="20"/>
          <w:szCs w:val="20"/>
        </w:rPr>
        <w:t xml:space="preserve">Armscor contributions to the 2019-2024 </w:t>
      </w:r>
      <w:r w:rsidRPr="000E7F48">
        <w:rPr>
          <w:rFonts w:ascii="Arial" w:hAnsi="Arial" w:cs="Arial"/>
          <w:bCs/>
          <w:i/>
          <w:sz w:val="20"/>
          <w:szCs w:val="20"/>
        </w:rPr>
        <w:t>MTSF</w:t>
      </w:r>
      <w:r w:rsidR="00425855" w:rsidRPr="000E7F48">
        <w:rPr>
          <w:rFonts w:ascii="Arial" w:hAnsi="Arial" w:cs="Arial"/>
          <w:bCs/>
          <w:i/>
          <w:sz w:val="20"/>
          <w:szCs w:val="20"/>
        </w:rPr>
        <w:t>:</w:t>
      </w:r>
    </w:p>
    <w:p w:rsidR="005E1318" w:rsidRPr="000E7F48" w:rsidRDefault="005E1318" w:rsidP="000E7F48">
      <w:pPr>
        <w:pStyle w:val="ListParagraph"/>
        <w:numPr>
          <w:ilvl w:val="0"/>
          <w:numId w:val="15"/>
        </w:numPr>
        <w:rPr>
          <w:rFonts w:ascii="Arial" w:hAnsi="Arial" w:cs="Arial"/>
          <w:b/>
          <w:bCs/>
          <w:sz w:val="20"/>
          <w:szCs w:val="20"/>
        </w:rPr>
      </w:pPr>
      <w:r w:rsidRPr="000E7F48">
        <w:rPr>
          <w:rFonts w:ascii="Arial" w:hAnsi="Arial" w:cs="Arial"/>
          <w:bCs/>
          <w:i/>
          <w:sz w:val="20"/>
          <w:szCs w:val="20"/>
        </w:rPr>
        <w:t>Priority 1:</w:t>
      </w:r>
      <w:r w:rsidRPr="000E7F48">
        <w:rPr>
          <w:rFonts w:ascii="Arial" w:hAnsi="Arial" w:cs="Arial"/>
          <w:bCs/>
          <w:sz w:val="20"/>
          <w:szCs w:val="20"/>
        </w:rPr>
        <w:t xml:space="preserve"> Capable, ethical and developmental state. Armscor will contribute to improved corporate governance and continue to fight corruption. The institution will also follow a zero tolerance approach to sexual abuse toward women, the youth and people with disabilities.</w:t>
      </w:r>
    </w:p>
    <w:p w:rsidR="005E1318" w:rsidRPr="000E7F48" w:rsidRDefault="005E1318" w:rsidP="000E7F48">
      <w:pPr>
        <w:pStyle w:val="ListParagraph"/>
        <w:numPr>
          <w:ilvl w:val="0"/>
          <w:numId w:val="15"/>
        </w:numPr>
        <w:rPr>
          <w:rFonts w:ascii="Arial" w:hAnsi="Arial" w:cs="Arial"/>
          <w:b/>
          <w:bCs/>
          <w:sz w:val="20"/>
          <w:szCs w:val="20"/>
        </w:rPr>
      </w:pPr>
      <w:r w:rsidRPr="000E7F48">
        <w:rPr>
          <w:rFonts w:ascii="Arial" w:hAnsi="Arial" w:cs="Arial"/>
          <w:bCs/>
          <w:i/>
          <w:sz w:val="20"/>
          <w:szCs w:val="20"/>
        </w:rPr>
        <w:t>Priority 2:</w:t>
      </w:r>
      <w:r w:rsidRPr="000E7F48">
        <w:rPr>
          <w:rFonts w:ascii="Arial" w:hAnsi="Arial" w:cs="Arial"/>
          <w:bCs/>
          <w:sz w:val="20"/>
          <w:szCs w:val="20"/>
        </w:rPr>
        <w:t xml:space="preserve"> Economic transformation and job creation. Armscor will focus on domestic procurement of goods and services. Over 146 bursaries will be awarded for science and engineering. Military veterans support programmes were created to ensure access for this select group to the defence industry.</w:t>
      </w:r>
    </w:p>
    <w:p w:rsidR="005E1318" w:rsidRPr="000E7F48" w:rsidRDefault="005E1318" w:rsidP="000E7F48">
      <w:pPr>
        <w:pStyle w:val="ListParagraph"/>
        <w:numPr>
          <w:ilvl w:val="0"/>
          <w:numId w:val="15"/>
        </w:numPr>
        <w:rPr>
          <w:rFonts w:ascii="Arial" w:hAnsi="Arial" w:cs="Arial"/>
          <w:bCs/>
          <w:sz w:val="20"/>
          <w:szCs w:val="20"/>
        </w:rPr>
      </w:pPr>
      <w:r w:rsidRPr="000E7F48">
        <w:rPr>
          <w:rFonts w:ascii="Arial" w:hAnsi="Arial" w:cs="Arial"/>
          <w:bCs/>
          <w:i/>
          <w:sz w:val="20"/>
          <w:szCs w:val="20"/>
        </w:rPr>
        <w:t>Priority 3:</w:t>
      </w:r>
      <w:r w:rsidRPr="000E7F48">
        <w:rPr>
          <w:rFonts w:ascii="Arial" w:hAnsi="Arial" w:cs="Arial"/>
          <w:bCs/>
          <w:sz w:val="20"/>
          <w:szCs w:val="20"/>
        </w:rPr>
        <w:t xml:space="preserve"> Education skills and health. Armscor’s focus will be on the provision of domestic and foreign learning opportunities in the fields of science and technology.</w:t>
      </w:r>
    </w:p>
    <w:p w:rsidR="005E1318" w:rsidRPr="000E7F48" w:rsidRDefault="005E1318" w:rsidP="000E7F48">
      <w:pPr>
        <w:pStyle w:val="ListParagraph"/>
        <w:numPr>
          <w:ilvl w:val="0"/>
          <w:numId w:val="15"/>
        </w:numPr>
        <w:rPr>
          <w:rFonts w:ascii="Arial" w:hAnsi="Arial" w:cs="Arial"/>
          <w:bCs/>
          <w:sz w:val="20"/>
          <w:szCs w:val="20"/>
        </w:rPr>
      </w:pPr>
      <w:r w:rsidRPr="000E7F48">
        <w:rPr>
          <w:rFonts w:ascii="Arial" w:hAnsi="Arial" w:cs="Arial"/>
          <w:bCs/>
          <w:i/>
          <w:sz w:val="20"/>
          <w:szCs w:val="20"/>
        </w:rPr>
        <w:t>Priority 5:</w:t>
      </w:r>
      <w:r w:rsidRPr="000E7F48">
        <w:rPr>
          <w:rFonts w:ascii="Arial" w:hAnsi="Arial" w:cs="Arial"/>
          <w:bCs/>
          <w:sz w:val="20"/>
          <w:szCs w:val="20"/>
        </w:rPr>
        <w:t xml:space="preserve">  Spatial development, human settlements and local government. Armscor will support women, the youth and economic development in rural areas through Project Koba Tlala.</w:t>
      </w:r>
    </w:p>
    <w:p w:rsidR="005E1318" w:rsidRPr="000E7F48" w:rsidRDefault="005E1318" w:rsidP="000E7F48">
      <w:pPr>
        <w:pStyle w:val="ListParagraph"/>
        <w:numPr>
          <w:ilvl w:val="0"/>
          <w:numId w:val="15"/>
        </w:numPr>
        <w:rPr>
          <w:rFonts w:ascii="Arial" w:hAnsi="Arial" w:cs="Arial"/>
          <w:bCs/>
          <w:sz w:val="20"/>
          <w:szCs w:val="20"/>
        </w:rPr>
      </w:pPr>
      <w:r w:rsidRPr="000E7F48">
        <w:rPr>
          <w:rFonts w:ascii="Arial" w:hAnsi="Arial" w:cs="Arial"/>
          <w:bCs/>
          <w:i/>
          <w:sz w:val="20"/>
          <w:szCs w:val="20"/>
        </w:rPr>
        <w:t>Priority 6:</w:t>
      </w:r>
      <w:r w:rsidRPr="000E7F48">
        <w:rPr>
          <w:rFonts w:ascii="Arial" w:hAnsi="Arial" w:cs="Arial"/>
          <w:bCs/>
          <w:sz w:val="20"/>
          <w:szCs w:val="20"/>
        </w:rPr>
        <w:t xml:space="preserve"> Social cohesion and safer communities. Armscor will contribute to this priority through its contribution to the SANDF’s border safeguarding operations and the provision/acquisition of technology and equipment for the SANDF.</w:t>
      </w:r>
    </w:p>
    <w:p w:rsidR="005E1318" w:rsidRPr="000E7F48" w:rsidRDefault="005E1318" w:rsidP="000E7F48">
      <w:pPr>
        <w:pStyle w:val="ListParagraph"/>
        <w:numPr>
          <w:ilvl w:val="0"/>
          <w:numId w:val="15"/>
        </w:numPr>
        <w:rPr>
          <w:rFonts w:ascii="Arial" w:hAnsi="Arial" w:cs="Arial"/>
          <w:bCs/>
          <w:sz w:val="20"/>
          <w:szCs w:val="20"/>
        </w:rPr>
      </w:pPr>
      <w:r w:rsidRPr="000E7F48">
        <w:rPr>
          <w:rFonts w:ascii="Arial" w:hAnsi="Arial" w:cs="Arial"/>
          <w:bCs/>
          <w:i/>
          <w:sz w:val="20"/>
          <w:szCs w:val="20"/>
        </w:rPr>
        <w:t>Priority 7:</w:t>
      </w:r>
      <w:r w:rsidRPr="000E7F48">
        <w:rPr>
          <w:rFonts w:ascii="Arial" w:hAnsi="Arial" w:cs="Arial"/>
          <w:bCs/>
          <w:sz w:val="20"/>
          <w:szCs w:val="20"/>
        </w:rPr>
        <w:t xml:space="preserve"> A better Africa and a better world. Through supporting the DOD’s external operations in Africa, Armscor will contribute to regional and continental peace, security and stability.</w:t>
      </w:r>
    </w:p>
    <w:p w:rsidR="00FA22BD" w:rsidRPr="000E7F48" w:rsidRDefault="00FA22BD" w:rsidP="000E7F48">
      <w:pPr>
        <w:spacing w:after="0" w:line="240" w:lineRule="auto"/>
        <w:ind w:left="720"/>
        <w:contextualSpacing/>
        <w:rPr>
          <w:rFonts w:ascii="Arial" w:hAnsi="Arial" w:cs="Arial"/>
          <w:bCs/>
          <w:sz w:val="20"/>
          <w:szCs w:val="20"/>
        </w:rPr>
      </w:pPr>
    </w:p>
    <w:p w:rsidR="00FA22BD" w:rsidRPr="000E7F48" w:rsidRDefault="00FA22BD" w:rsidP="000E7F48">
      <w:pPr>
        <w:keepNext/>
        <w:keepLines/>
        <w:numPr>
          <w:ilvl w:val="0"/>
          <w:numId w:val="18"/>
        </w:numPr>
        <w:spacing w:after="0" w:line="240" w:lineRule="auto"/>
        <w:outlineLvl w:val="0"/>
        <w:rPr>
          <w:rFonts w:ascii="Arial" w:eastAsiaTheme="majorEastAsia" w:hAnsi="Arial" w:cs="Arial"/>
          <w:b/>
          <w:caps/>
          <w:sz w:val="20"/>
          <w:szCs w:val="20"/>
        </w:rPr>
      </w:pPr>
      <w:bookmarkStart w:id="16" w:name="_Toc37083645"/>
      <w:r w:rsidRPr="000E7F48">
        <w:rPr>
          <w:rFonts w:ascii="Arial" w:eastAsiaTheme="majorEastAsia" w:hAnsi="Arial" w:cs="Arial"/>
          <w:b/>
          <w:caps/>
          <w:sz w:val="20"/>
          <w:szCs w:val="20"/>
        </w:rPr>
        <w:t>Budget Analysis</w:t>
      </w:r>
      <w:bookmarkEnd w:id="16"/>
    </w:p>
    <w:p w:rsidR="00FA22BD" w:rsidRPr="000E7F48" w:rsidRDefault="00FA22BD" w:rsidP="000E7F48">
      <w:pPr>
        <w:keepNext/>
        <w:keepLines/>
        <w:spacing w:after="0" w:line="240" w:lineRule="auto"/>
        <w:outlineLvl w:val="1"/>
        <w:rPr>
          <w:rFonts w:ascii="Arial" w:eastAsiaTheme="majorEastAsia" w:hAnsi="Arial" w:cs="Arial"/>
          <w:sz w:val="20"/>
          <w:szCs w:val="20"/>
        </w:rPr>
      </w:pPr>
      <w:bookmarkStart w:id="17" w:name="_Toc37083646"/>
    </w:p>
    <w:p w:rsidR="00FA22BD" w:rsidRPr="000E7F48" w:rsidRDefault="005E1318"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3</w:t>
      </w:r>
      <w:r w:rsidR="00FA22BD" w:rsidRPr="000E7F48">
        <w:rPr>
          <w:rFonts w:ascii="Arial" w:eastAsiaTheme="majorEastAsia" w:hAnsi="Arial" w:cs="Arial"/>
          <w:b/>
          <w:sz w:val="20"/>
          <w:szCs w:val="20"/>
        </w:rPr>
        <w:t>.1</w:t>
      </w:r>
      <w:r w:rsidR="00FA22BD" w:rsidRPr="000E7F48">
        <w:rPr>
          <w:rFonts w:ascii="Arial" w:eastAsiaTheme="majorEastAsia" w:hAnsi="Arial" w:cs="Arial"/>
          <w:b/>
          <w:sz w:val="20"/>
          <w:szCs w:val="20"/>
        </w:rPr>
        <w:tab/>
        <w:t>Overview of 202</w:t>
      </w:r>
      <w:r w:rsidR="008B3359" w:rsidRPr="000E7F48">
        <w:rPr>
          <w:rFonts w:ascii="Arial" w:eastAsiaTheme="majorEastAsia" w:hAnsi="Arial" w:cs="Arial"/>
          <w:b/>
          <w:sz w:val="20"/>
          <w:szCs w:val="20"/>
        </w:rPr>
        <w:t>2</w:t>
      </w:r>
      <w:r w:rsidR="00FA22BD" w:rsidRPr="000E7F48">
        <w:rPr>
          <w:rFonts w:ascii="Arial" w:eastAsiaTheme="majorEastAsia" w:hAnsi="Arial" w:cs="Arial"/>
          <w:b/>
          <w:sz w:val="20"/>
          <w:szCs w:val="20"/>
        </w:rPr>
        <w:t>/2</w:t>
      </w:r>
      <w:r w:rsidR="008B3359" w:rsidRPr="000E7F48">
        <w:rPr>
          <w:rFonts w:ascii="Arial" w:eastAsiaTheme="majorEastAsia" w:hAnsi="Arial" w:cs="Arial"/>
          <w:b/>
          <w:sz w:val="20"/>
          <w:szCs w:val="20"/>
        </w:rPr>
        <w:t>3</w:t>
      </w:r>
      <w:r w:rsidR="00FA22BD" w:rsidRPr="000E7F48">
        <w:rPr>
          <w:rFonts w:ascii="Arial" w:eastAsiaTheme="majorEastAsia" w:hAnsi="Arial" w:cs="Arial"/>
          <w:b/>
          <w:sz w:val="20"/>
          <w:szCs w:val="20"/>
        </w:rPr>
        <w:t xml:space="preserve"> income and expenditure</w:t>
      </w:r>
      <w:bookmarkEnd w:id="17"/>
    </w:p>
    <w:p w:rsidR="00FA22BD" w:rsidRPr="000E7F48" w:rsidRDefault="00FA22BD" w:rsidP="000E7F48">
      <w:pPr>
        <w:spacing w:after="0" w:line="240" w:lineRule="auto"/>
        <w:rPr>
          <w:rFonts w:ascii="Arial" w:hAnsi="Arial" w:cs="Arial"/>
          <w:sz w:val="20"/>
          <w:szCs w:val="20"/>
          <w:lang w:val="en-GB"/>
        </w:rPr>
      </w:pPr>
    </w:p>
    <w:p w:rsidR="00425855" w:rsidRPr="000E7F48" w:rsidRDefault="00425855" w:rsidP="000E7F48">
      <w:pPr>
        <w:spacing w:after="0" w:line="240" w:lineRule="auto"/>
        <w:rPr>
          <w:rFonts w:ascii="Arial" w:hAnsi="Arial" w:cs="Arial"/>
          <w:sz w:val="20"/>
          <w:szCs w:val="20"/>
          <w:lang w:val="en-GB"/>
        </w:rPr>
      </w:pPr>
      <w:r w:rsidRPr="000E7F48">
        <w:rPr>
          <w:rFonts w:ascii="Arial" w:hAnsi="Arial" w:cs="Arial"/>
          <w:sz w:val="20"/>
          <w:szCs w:val="20"/>
          <w:lang w:val="en-GB"/>
        </w:rPr>
        <w:t xml:space="preserve">The projected revenue for the Armscor Group in 2023/24 (R1.811 billion) is higher than that which was projected for 2022/23 (R1.616 billion). After the inclusion of depreciation, Armscor is expected to have a net surplus of R24.3 million for 2023/24, which is an improvement on the expected R16.1 million deficit projected for the end of 2022/23. </w:t>
      </w:r>
    </w:p>
    <w:p w:rsidR="00425855" w:rsidRPr="000E7F48" w:rsidRDefault="00425855" w:rsidP="000E7F48">
      <w:pPr>
        <w:spacing w:after="0" w:line="240" w:lineRule="auto"/>
        <w:rPr>
          <w:rFonts w:ascii="Arial" w:hAnsi="Arial" w:cs="Arial"/>
          <w:sz w:val="20"/>
          <w:szCs w:val="20"/>
          <w:lang w:val="en-GB"/>
        </w:rPr>
      </w:pPr>
    </w:p>
    <w:p w:rsidR="00425855" w:rsidRPr="000E7F48" w:rsidRDefault="00425855" w:rsidP="000E7F48">
      <w:pPr>
        <w:spacing w:after="0" w:line="240" w:lineRule="auto"/>
        <w:rPr>
          <w:rFonts w:ascii="Arial" w:hAnsi="Arial" w:cs="Arial"/>
          <w:sz w:val="20"/>
          <w:szCs w:val="20"/>
          <w:lang w:val="en-GB"/>
        </w:rPr>
      </w:pPr>
      <w:r w:rsidRPr="000E7F48">
        <w:rPr>
          <w:rFonts w:ascii="Arial" w:hAnsi="Arial" w:cs="Arial"/>
          <w:sz w:val="20"/>
          <w:szCs w:val="20"/>
          <w:lang w:val="en-GB"/>
        </w:rPr>
        <w:t>The main cost drivers for Armscor in the 2023/24 financial year include the following:</w:t>
      </w:r>
    </w:p>
    <w:p w:rsidR="00425855" w:rsidRPr="000E7F48" w:rsidRDefault="00425855" w:rsidP="000E7F48">
      <w:pPr>
        <w:numPr>
          <w:ilvl w:val="0"/>
          <w:numId w:val="22"/>
        </w:numPr>
        <w:spacing w:after="0" w:line="240" w:lineRule="auto"/>
        <w:rPr>
          <w:rFonts w:ascii="Arial" w:hAnsi="Arial" w:cs="Arial"/>
          <w:sz w:val="20"/>
          <w:szCs w:val="20"/>
          <w:lang w:val="en-GB"/>
        </w:rPr>
      </w:pPr>
      <w:r w:rsidRPr="000E7F48">
        <w:rPr>
          <w:rFonts w:ascii="Arial" w:hAnsi="Arial" w:cs="Arial"/>
          <w:sz w:val="20"/>
          <w:szCs w:val="20"/>
          <w:lang w:val="en-GB"/>
        </w:rPr>
        <w:t xml:space="preserve">Direct personnel cost increases from R1.059 billion in 2022/23 to R1.168 billion in 2023/24. </w:t>
      </w:r>
    </w:p>
    <w:p w:rsidR="00425855" w:rsidRPr="000E7F48" w:rsidRDefault="00425855" w:rsidP="000E7F48">
      <w:pPr>
        <w:numPr>
          <w:ilvl w:val="0"/>
          <w:numId w:val="22"/>
        </w:numPr>
        <w:spacing w:after="0" w:line="240" w:lineRule="auto"/>
        <w:rPr>
          <w:rFonts w:ascii="Arial" w:hAnsi="Arial" w:cs="Arial"/>
          <w:sz w:val="20"/>
          <w:szCs w:val="20"/>
          <w:lang w:val="en-GB"/>
        </w:rPr>
      </w:pPr>
      <w:r w:rsidRPr="000E7F48">
        <w:rPr>
          <w:rFonts w:ascii="Arial" w:hAnsi="Arial" w:cs="Arial"/>
          <w:sz w:val="20"/>
          <w:szCs w:val="20"/>
          <w:lang w:val="en-GB"/>
        </w:rPr>
        <w:t>Depreciation decreases from R111.3 million in 2022/23 to R108.6 million in 2023/24.</w:t>
      </w:r>
    </w:p>
    <w:p w:rsidR="00425855" w:rsidRPr="000E7F48" w:rsidRDefault="00425855" w:rsidP="000E7F48">
      <w:pPr>
        <w:numPr>
          <w:ilvl w:val="0"/>
          <w:numId w:val="22"/>
        </w:numPr>
        <w:spacing w:after="0" w:line="240" w:lineRule="auto"/>
        <w:rPr>
          <w:rFonts w:ascii="Arial" w:hAnsi="Arial" w:cs="Arial"/>
          <w:sz w:val="20"/>
          <w:szCs w:val="20"/>
          <w:lang w:val="en-GB"/>
        </w:rPr>
      </w:pPr>
      <w:r w:rsidRPr="000E7F48">
        <w:rPr>
          <w:rFonts w:ascii="Arial" w:hAnsi="Arial" w:cs="Arial"/>
          <w:sz w:val="20"/>
          <w:szCs w:val="20"/>
          <w:lang w:val="en-GB"/>
        </w:rPr>
        <w:t>Cost of sales increases from R90.9 million in 2022/23 to R130.2 million in 2023/24.</w:t>
      </w:r>
    </w:p>
    <w:p w:rsidR="00425855" w:rsidRPr="000E7F48" w:rsidRDefault="00425855" w:rsidP="000E7F48">
      <w:pPr>
        <w:numPr>
          <w:ilvl w:val="0"/>
          <w:numId w:val="22"/>
        </w:numPr>
        <w:spacing w:after="0" w:line="240" w:lineRule="auto"/>
        <w:rPr>
          <w:rFonts w:ascii="Arial" w:hAnsi="Arial" w:cs="Arial"/>
          <w:sz w:val="20"/>
          <w:szCs w:val="20"/>
          <w:lang w:val="en-GB"/>
        </w:rPr>
      </w:pPr>
      <w:r w:rsidRPr="000E7F48">
        <w:rPr>
          <w:rFonts w:ascii="Arial" w:hAnsi="Arial" w:cs="Arial"/>
          <w:sz w:val="20"/>
          <w:szCs w:val="20"/>
          <w:lang w:val="en-GB"/>
        </w:rPr>
        <w:t>Group Capital Expenditure increases from R276.9 million on 2022/23 to R350.1 million in 2023/24, of which the following can be noted:</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Computer equipment increases from R16.98 million to R32.23 million.</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Computer software increases from R79.65 million to R118.44 million.</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Buildings and infrastructure decreases from R125.9 million to R109.4 million.</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Capital assets increases from R7.08 million to R35.73 million.</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Machinery and equipment increases from R35.6 million to R35.5 million.</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Motor vehicles increases from R2.8 million to R4.9 million.</w:t>
      </w:r>
    </w:p>
    <w:p w:rsidR="00425855" w:rsidRPr="000E7F48" w:rsidRDefault="00425855" w:rsidP="000E7F48">
      <w:pPr>
        <w:numPr>
          <w:ilvl w:val="1"/>
          <w:numId w:val="22"/>
        </w:numPr>
        <w:spacing w:after="0" w:line="240" w:lineRule="auto"/>
        <w:rPr>
          <w:rFonts w:ascii="Arial" w:hAnsi="Arial" w:cs="Arial"/>
          <w:sz w:val="20"/>
          <w:szCs w:val="20"/>
          <w:lang w:val="en-GB"/>
        </w:rPr>
      </w:pPr>
      <w:r w:rsidRPr="000E7F48">
        <w:rPr>
          <w:rFonts w:ascii="Arial" w:hAnsi="Arial" w:cs="Arial"/>
          <w:sz w:val="20"/>
          <w:szCs w:val="20"/>
          <w:lang w:val="en-GB"/>
        </w:rPr>
        <w:t>Capital assets increases from R7.1 million to R35.7 million.</w:t>
      </w:r>
    </w:p>
    <w:p w:rsidR="005E1318" w:rsidRPr="000E7F48" w:rsidRDefault="005E1318" w:rsidP="000E7F48">
      <w:pPr>
        <w:spacing w:after="0" w:line="240" w:lineRule="auto"/>
        <w:rPr>
          <w:rFonts w:ascii="Arial" w:hAnsi="Arial" w:cs="Arial"/>
          <w:sz w:val="20"/>
          <w:szCs w:val="20"/>
          <w:lang w:val="en-GB"/>
        </w:rPr>
      </w:pPr>
    </w:p>
    <w:p w:rsidR="005E1318" w:rsidRPr="000E7F48" w:rsidRDefault="005E1318" w:rsidP="000E7F48">
      <w:pPr>
        <w:spacing w:after="0" w:line="240" w:lineRule="auto"/>
        <w:rPr>
          <w:rFonts w:ascii="Arial" w:hAnsi="Arial" w:cs="Arial"/>
          <w:b/>
          <w:sz w:val="20"/>
          <w:szCs w:val="20"/>
          <w:lang w:val="en-GB"/>
        </w:rPr>
      </w:pPr>
      <w:r w:rsidRPr="000E7F48">
        <w:rPr>
          <w:rFonts w:ascii="Arial" w:hAnsi="Arial" w:cs="Arial"/>
          <w:b/>
          <w:sz w:val="20"/>
          <w:szCs w:val="20"/>
          <w:lang w:val="en-GB"/>
        </w:rPr>
        <w:t>3.2</w:t>
      </w:r>
      <w:r w:rsidRPr="000E7F48">
        <w:rPr>
          <w:rFonts w:ascii="Arial" w:hAnsi="Arial" w:cs="Arial"/>
          <w:b/>
          <w:sz w:val="20"/>
          <w:szCs w:val="20"/>
          <w:lang w:val="en-GB"/>
        </w:rPr>
        <w:tab/>
        <w:t>Armscor</w:t>
      </w:r>
      <w:r w:rsidR="00425855" w:rsidRPr="000E7F48">
        <w:rPr>
          <w:rFonts w:ascii="Arial" w:hAnsi="Arial" w:cs="Arial"/>
          <w:b/>
          <w:sz w:val="20"/>
          <w:szCs w:val="20"/>
          <w:lang w:val="en-GB"/>
        </w:rPr>
        <w:t>’s</w:t>
      </w:r>
      <w:r w:rsidRPr="000E7F48">
        <w:rPr>
          <w:rFonts w:ascii="Arial" w:hAnsi="Arial" w:cs="Arial"/>
          <w:b/>
          <w:sz w:val="20"/>
          <w:szCs w:val="20"/>
          <w:lang w:val="en-GB"/>
        </w:rPr>
        <w:t xml:space="preserve"> fund</w:t>
      </w:r>
      <w:r w:rsidR="00425855" w:rsidRPr="000E7F48">
        <w:rPr>
          <w:rFonts w:ascii="Arial" w:hAnsi="Arial" w:cs="Arial"/>
          <w:b/>
          <w:sz w:val="20"/>
          <w:szCs w:val="20"/>
          <w:lang w:val="en-GB"/>
        </w:rPr>
        <w:t>ing</w:t>
      </w:r>
      <w:r w:rsidRPr="000E7F48">
        <w:rPr>
          <w:rFonts w:ascii="Arial" w:hAnsi="Arial" w:cs="Arial"/>
          <w:b/>
          <w:sz w:val="20"/>
          <w:szCs w:val="20"/>
          <w:lang w:val="en-GB"/>
        </w:rPr>
        <w:t>?</w:t>
      </w:r>
    </w:p>
    <w:p w:rsidR="005E1318" w:rsidRPr="000E7F48" w:rsidRDefault="005E1318" w:rsidP="000E7F48">
      <w:pPr>
        <w:spacing w:after="0" w:line="240" w:lineRule="auto"/>
        <w:rPr>
          <w:rFonts w:ascii="Arial" w:hAnsi="Arial" w:cs="Arial"/>
          <w:b/>
          <w:sz w:val="20"/>
          <w:szCs w:val="20"/>
          <w:lang w:val="en-GB"/>
        </w:rPr>
      </w:pPr>
    </w:p>
    <w:p w:rsidR="00425855" w:rsidRPr="000E7F48" w:rsidRDefault="00425855" w:rsidP="000E7F48">
      <w:pPr>
        <w:spacing w:after="0" w:line="240" w:lineRule="auto"/>
        <w:rPr>
          <w:rFonts w:ascii="Arial" w:hAnsi="Arial" w:cs="Arial"/>
          <w:sz w:val="20"/>
          <w:szCs w:val="20"/>
          <w:lang w:val="en-GB"/>
        </w:rPr>
      </w:pPr>
      <w:r w:rsidRPr="000E7F48">
        <w:rPr>
          <w:rFonts w:ascii="Arial" w:hAnsi="Arial" w:cs="Arial"/>
          <w:sz w:val="20"/>
          <w:szCs w:val="20"/>
          <w:lang w:val="en-GB"/>
        </w:rPr>
        <w:t>Armscor is largely funded from state finances through a transfer payment. The reduced defence allocation is pressuring Armscor to supplement this income with other commercial projects. In order to lessen the pressure on the fiscus, these projects require expansion, as per Armscor’s APP, to increase commercial activities in order to increase Armscor’s economic viability. For 2023/24, Armscor planned funding comprises the following:</w:t>
      </w:r>
    </w:p>
    <w:p w:rsidR="00425855" w:rsidRPr="000E7F48" w:rsidRDefault="00425855" w:rsidP="000E7F48">
      <w:pPr>
        <w:spacing w:after="0" w:line="240" w:lineRule="auto"/>
        <w:ind w:left="720"/>
        <w:rPr>
          <w:rFonts w:ascii="Arial" w:hAnsi="Arial" w:cs="Arial"/>
          <w:sz w:val="20"/>
          <w:szCs w:val="20"/>
          <w:lang w:val="en-GB"/>
        </w:rPr>
      </w:pPr>
    </w:p>
    <w:p w:rsidR="00425855" w:rsidRPr="000E7F48" w:rsidRDefault="00425855" w:rsidP="000E7F48">
      <w:pPr>
        <w:numPr>
          <w:ilvl w:val="0"/>
          <w:numId w:val="17"/>
        </w:numPr>
        <w:spacing w:after="0" w:line="240" w:lineRule="auto"/>
        <w:rPr>
          <w:rFonts w:ascii="Arial" w:hAnsi="Arial" w:cs="Arial"/>
          <w:sz w:val="20"/>
          <w:szCs w:val="20"/>
          <w:lang w:val="en-GB"/>
        </w:rPr>
      </w:pPr>
      <w:r w:rsidRPr="000E7F48">
        <w:rPr>
          <w:rFonts w:ascii="Arial" w:hAnsi="Arial" w:cs="Arial"/>
          <w:sz w:val="20"/>
          <w:szCs w:val="20"/>
          <w:lang w:val="en-GB"/>
        </w:rPr>
        <w:t>Transfer payment:</w:t>
      </w:r>
      <w:r w:rsidRPr="000E7F48">
        <w:rPr>
          <w:rFonts w:ascii="Arial" w:hAnsi="Arial" w:cs="Arial"/>
          <w:sz w:val="20"/>
          <w:szCs w:val="20"/>
          <w:lang w:val="en-GB"/>
        </w:rPr>
        <w:tab/>
      </w:r>
      <w:r w:rsidRPr="000E7F48">
        <w:rPr>
          <w:rFonts w:ascii="Arial" w:hAnsi="Arial" w:cs="Arial"/>
          <w:sz w:val="20"/>
          <w:szCs w:val="20"/>
          <w:lang w:val="en-GB"/>
        </w:rPr>
        <w:tab/>
        <w:t>R1.251 billion</w:t>
      </w:r>
      <w:r w:rsidR="008D268C" w:rsidRPr="000E7F48">
        <w:rPr>
          <w:rFonts w:ascii="Arial" w:hAnsi="Arial" w:cs="Arial"/>
          <w:sz w:val="20"/>
          <w:szCs w:val="20"/>
          <w:lang w:val="en-GB"/>
        </w:rPr>
        <w:t xml:space="preserve"> </w:t>
      </w:r>
      <w:r w:rsidRPr="000E7F48">
        <w:rPr>
          <w:rFonts w:ascii="Arial" w:hAnsi="Arial" w:cs="Arial"/>
          <w:sz w:val="20"/>
          <w:szCs w:val="20"/>
          <w:lang w:val="en-GB"/>
        </w:rPr>
        <w:t>(R1.242 billion in 2022/23)</w:t>
      </w:r>
    </w:p>
    <w:p w:rsidR="00425855" w:rsidRPr="000E7F48" w:rsidRDefault="00425855" w:rsidP="000E7F48">
      <w:pPr>
        <w:numPr>
          <w:ilvl w:val="0"/>
          <w:numId w:val="17"/>
        </w:numPr>
        <w:spacing w:after="0" w:line="240" w:lineRule="auto"/>
        <w:rPr>
          <w:rFonts w:ascii="Arial" w:hAnsi="Arial" w:cs="Arial"/>
          <w:sz w:val="20"/>
          <w:szCs w:val="20"/>
          <w:lang w:val="en-GB"/>
        </w:rPr>
      </w:pPr>
      <w:r w:rsidRPr="000E7F48">
        <w:rPr>
          <w:rFonts w:ascii="Arial" w:hAnsi="Arial" w:cs="Arial"/>
          <w:sz w:val="20"/>
          <w:szCs w:val="20"/>
          <w:lang w:val="en-GB"/>
        </w:rPr>
        <w:t>Sale of goods:</w:t>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t>R13.1 million (R15.1 million in 2022/23)</w:t>
      </w:r>
    </w:p>
    <w:p w:rsidR="00425855" w:rsidRPr="000E7F48" w:rsidRDefault="00425855" w:rsidP="000E7F48">
      <w:pPr>
        <w:numPr>
          <w:ilvl w:val="0"/>
          <w:numId w:val="17"/>
        </w:numPr>
        <w:spacing w:after="0" w:line="240" w:lineRule="auto"/>
        <w:rPr>
          <w:rFonts w:ascii="Arial" w:hAnsi="Arial" w:cs="Arial"/>
          <w:sz w:val="20"/>
          <w:szCs w:val="20"/>
          <w:lang w:val="en-GB"/>
        </w:rPr>
      </w:pPr>
      <w:r w:rsidRPr="000E7F48">
        <w:rPr>
          <w:rFonts w:ascii="Arial" w:hAnsi="Arial" w:cs="Arial"/>
          <w:sz w:val="20"/>
          <w:szCs w:val="20"/>
          <w:lang w:val="en-GB"/>
        </w:rPr>
        <w:t>Rendering of services:</w:t>
      </w:r>
      <w:r w:rsidRPr="000E7F48">
        <w:rPr>
          <w:rFonts w:ascii="Arial" w:hAnsi="Arial" w:cs="Arial"/>
          <w:sz w:val="20"/>
          <w:szCs w:val="20"/>
          <w:lang w:val="en-GB"/>
        </w:rPr>
        <w:tab/>
      </w:r>
      <w:r w:rsidR="008D268C" w:rsidRPr="000E7F48">
        <w:rPr>
          <w:rFonts w:ascii="Arial" w:hAnsi="Arial" w:cs="Arial"/>
          <w:sz w:val="20"/>
          <w:szCs w:val="20"/>
          <w:lang w:val="en-GB"/>
        </w:rPr>
        <w:tab/>
      </w:r>
      <w:r w:rsidRPr="000E7F48">
        <w:rPr>
          <w:rFonts w:ascii="Arial" w:hAnsi="Arial" w:cs="Arial"/>
          <w:sz w:val="20"/>
          <w:szCs w:val="20"/>
          <w:lang w:val="en-GB"/>
        </w:rPr>
        <w:t>R367.4 million (R198.8 million in 2022/23)</w:t>
      </w:r>
    </w:p>
    <w:p w:rsidR="00425855" w:rsidRPr="000E7F48" w:rsidRDefault="00425855" w:rsidP="000E7F48">
      <w:pPr>
        <w:numPr>
          <w:ilvl w:val="0"/>
          <w:numId w:val="17"/>
        </w:numPr>
        <w:spacing w:after="0" w:line="240" w:lineRule="auto"/>
        <w:rPr>
          <w:rFonts w:ascii="Arial" w:hAnsi="Arial" w:cs="Arial"/>
          <w:sz w:val="20"/>
          <w:szCs w:val="20"/>
          <w:lang w:val="en-GB"/>
        </w:rPr>
      </w:pPr>
      <w:r w:rsidRPr="000E7F48">
        <w:rPr>
          <w:rFonts w:ascii="Arial" w:hAnsi="Arial" w:cs="Arial"/>
          <w:sz w:val="20"/>
          <w:szCs w:val="20"/>
          <w:lang w:val="en-GB"/>
        </w:rPr>
        <w:t>Rental income:</w:t>
      </w:r>
      <w:r w:rsidRPr="000E7F48">
        <w:rPr>
          <w:rFonts w:ascii="Arial" w:hAnsi="Arial" w:cs="Arial"/>
          <w:sz w:val="20"/>
          <w:szCs w:val="20"/>
          <w:lang w:val="en-GB"/>
        </w:rPr>
        <w:tab/>
      </w:r>
      <w:r w:rsidRPr="000E7F48">
        <w:rPr>
          <w:rFonts w:ascii="Arial" w:hAnsi="Arial" w:cs="Arial"/>
          <w:sz w:val="20"/>
          <w:szCs w:val="20"/>
          <w:lang w:val="en-GB"/>
        </w:rPr>
        <w:tab/>
        <w:t>R65.9 million (R63.1 million in 2022/23)</w:t>
      </w:r>
    </w:p>
    <w:p w:rsidR="00425855" w:rsidRPr="000E7F48" w:rsidRDefault="00425855" w:rsidP="000E7F48">
      <w:pPr>
        <w:numPr>
          <w:ilvl w:val="0"/>
          <w:numId w:val="17"/>
        </w:numPr>
        <w:spacing w:after="0" w:line="240" w:lineRule="auto"/>
        <w:rPr>
          <w:rFonts w:ascii="Arial" w:hAnsi="Arial" w:cs="Arial"/>
          <w:sz w:val="20"/>
          <w:szCs w:val="20"/>
          <w:lang w:val="en-GB"/>
        </w:rPr>
      </w:pPr>
      <w:r w:rsidRPr="000E7F48">
        <w:rPr>
          <w:rFonts w:ascii="Arial" w:hAnsi="Arial" w:cs="Arial"/>
          <w:sz w:val="20"/>
          <w:szCs w:val="20"/>
          <w:lang w:val="en-GB"/>
        </w:rPr>
        <w:t>Other income:</w:t>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t>R29.0 million</w:t>
      </w:r>
      <w:r w:rsidRPr="000E7F48">
        <w:rPr>
          <w:rFonts w:ascii="Arial" w:hAnsi="Arial" w:cs="Arial"/>
          <w:sz w:val="20"/>
          <w:szCs w:val="20"/>
          <w:lang w:val="en-GB"/>
        </w:rPr>
        <w:tab/>
        <w:t>(R28.2 million in 2022/23)</w:t>
      </w:r>
    </w:p>
    <w:p w:rsidR="005E1318" w:rsidRPr="000E7F48" w:rsidRDefault="005E1318" w:rsidP="000E7F48">
      <w:pPr>
        <w:spacing w:after="0" w:line="240" w:lineRule="auto"/>
        <w:ind w:left="720"/>
        <w:rPr>
          <w:rFonts w:ascii="Arial" w:hAnsi="Arial" w:cs="Arial"/>
          <w:sz w:val="20"/>
          <w:szCs w:val="20"/>
          <w:lang w:val="en-GB"/>
        </w:rPr>
      </w:pPr>
    </w:p>
    <w:p w:rsidR="005E1318" w:rsidRPr="000E7F48" w:rsidRDefault="005E1318" w:rsidP="000E7F48">
      <w:pPr>
        <w:spacing w:after="0" w:line="240" w:lineRule="auto"/>
        <w:rPr>
          <w:rFonts w:ascii="Arial" w:hAnsi="Arial" w:cs="Arial"/>
          <w:b/>
          <w:sz w:val="20"/>
          <w:szCs w:val="20"/>
          <w:lang w:val="en-GB"/>
        </w:rPr>
      </w:pPr>
      <w:r w:rsidRPr="000E7F48">
        <w:rPr>
          <w:rFonts w:ascii="Arial" w:hAnsi="Arial" w:cs="Arial"/>
          <w:b/>
          <w:sz w:val="20"/>
          <w:szCs w:val="20"/>
          <w:lang w:val="en-GB"/>
        </w:rPr>
        <w:t>3.3</w:t>
      </w:r>
      <w:r w:rsidRPr="000E7F48">
        <w:rPr>
          <w:rFonts w:ascii="Arial" w:hAnsi="Arial" w:cs="Arial"/>
          <w:b/>
          <w:sz w:val="20"/>
          <w:szCs w:val="20"/>
          <w:lang w:val="en-GB"/>
        </w:rPr>
        <w:tab/>
        <w:t>Additional financial information:</w:t>
      </w:r>
    </w:p>
    <w:p w:rsidR="005E1318" w:rsidRPr="000E7F48" w:rsidRDefault="005E1318" w:rsidP="000E7F48">
      <w:pPr>
        <w:spacing w:after="0" w:line="240" w:lineRule="auto"/>
        <w:rPr>
          <w:rFonts w:ascii="Arial" w:hAnsi="Arial" w:cs="Arial"/>
          <w:sz w:val="20"/>
          <w:szCs w:val="20"/>
          <w:lang w:val="en-GB"/>
        </w:rPr>
      </w:pPr>
    </w:p>
    <w:p w:rsidR="00425855" w:rsidRPr="000E7F48" w:rsidRDefault="00425855" w:rsidP="000E7F48">
      <w:pPr>
        <w:spacing w:after="0" w:line="240" w:lineRule="auto"/>
        <w:rPr>
          <w:rFonts w:ascii="Arial" w:hAnsi="Arial" w:cs="Arial"/>
          <w:sz w:val="20"/>
          <w:szCs w:val="20"/>
          <w:lang w:val="en-GB"/>
        </w:rPr>
      </w:pPr>
      <w:r w:rsidRPr="000E7F48">
        <w:rPr>
          <w:rFonts w:ascii="Arial" w:hAnsi="Arial" w:cs="Arial"/>
          <w:sz w:val="20"/>
          <w:szCs w:val="20"/>
          <w:lang w:val="en-GB"/>
        </w:rPr>
        <w:t xml:space="preserve">Armscor has shown progress in returning most of its subsidiaries to profitability in recent years. However, for 2023/24, the Research and Development Division shows a projected shortfall of R27.3 million while the </w:t>
      </w:r>
      <w:r w:rsidRPr="000E7F48">
        <w:rPr>
          <w:rFonts w:ascii="Arial" w:hAnsi="Arial" w:cs="Arial"/>
          <w:sz w:val="20"/>
          <w:szCs w:val="20"/>
          <w:lang w:val="en-GB"/>
        </w:rPr>
        <w:lastRenderedPageBreak/>
        <w:t>Armscor Dockyard is likely to have a shortfall of R2.7 million. Projected profit/losses for the 2023/24 financial year per component includes (compared to the projected profits and losses for 2022/23):</w:t>
      </w:r>
    </w:p>
    <w:p w:rsidR="00425855" w:rsidRPr="000E7F48" w:rsidRDefault="00425855" w:rsidP="000E7F48">
      <w:pPr>
        <w:numPr>
          <w:ilvl w:val="0"/>
          <w:numId w:val="11"/>
        </w:numPr>
        <w:spacing w:after="0" w:line="240" w:lineRule="auto"/>
        <w:rPr>
          <w:rFonts w:ascii="Arial" w:hAnsi="Arial" w:cs="Arial"/>
          <w:sz w:val="20"/>
          <w:szCs w:val="20"/>
          <w:lang w:val="en-GB"/>
        </w:rPr>
      </w:pPr>
      <w:r w:rsidRPr="000E7F48">
        <w:rPr>
          <w:rFonts w:ascii="Arial" w:hAnsi="Arial" w:cs="Arial"/>
          <w:sz w:val="20"/>
          <w:szCs w:val="20"/>
          <w:lang w:val="en-GB"/>
        </w:rPr>
        <w:t>Armscor Corporate:</w:t>
      </w:r>
      <w:r w:rsidRPr="000E7F48">
        <w:rPr>
          <w:rFonts w:ascii="Arial" w:hAnsi="Arial" w:cs="Arial"/>
          <w:sz w:val="20"/>
          <w:szCs w:val="20"/>
          <w:lang w:val="en-GB"/>
        </w:rPr>
        <w:tab/>
      </w:r>
      <w:r w:rsidRPr="000E7F48">
        <w:rPr>
          <w:rFonts w:ascii="Arial" w:hAnsi="Arial" w:cs="Arial"/>
          <w:sz w:val="20"/>
          <w:szCs w:val="20"/>
          <w:lang w:val="en-GB"/>
        </w:rPr>
        <w:tab/>
        <w:t xml:space="preserve">Surplus of R54.3 million (R107.3 million shortfall was </w:t>
      </w:r>
      <w:r w:rsidRPr="000E7F48">
        <w:rPr>
          <w:rFonts w:ascii="Arial" w:hAnsi="Arial" w:cs="Arial"/>
          <w:sz w:val="20"/>
          <w:szCs w:val="20"/>
          <w:lang w:val="en-GB"/>
        </w:rPr>
        <w:br/>
        <w:t xml:space="preserve"> </w:t>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t>projected for 2022/23)</w:t>
      </w:r>
      <w:r w:rsidRPr="000E7F48">
        <w:rPr>
          <w:rFonts w:ascii="Arial" w:hAnsi="Arial" w:cs="Arial"/>
          <w:sz w:val="20"/>
          <w:szCs w:val="20"/>
          <w:lang w:val="en-GB"/>
        </w:rPr>
        <w:tab/>
      </w:r>
    </w:p>
    <w:p w:rsidR="00425855" w:rsidRPr="000E7F48" w:rsidRDefault="00425855" w:rsidP="000E7F48">
      <w:pPr>
        <w:numPr>
          <w:ilvl w:val="0"/>
          <w:numId w:val="11"/>
        </w:numPr>
        <w:spacing w:after="0" w:line="240" w:lineRule="auto"/>
        <w:rPr>
          <w:rFonts w:ascii="Arial" w:hAnsi="Arial" w:cs="Arial"/>
          <w:sz w:val="20"/>
          <w:szCs w:val="20"/>
          <w:lang w:val="en-GB"/>
        </w:rPr>
      </w:pPr>
      <w:r w:rsidRPr="000E7F48">
        <w:rPr>
          <w:rFonts w:ascii="Arial" w:hAnsi="Arial" w:cs="Arial"/>
          <w:sz w:val="20"/>
          <w:szCs w:val="20"/>
          <w:lang w:val="en-GB"/>
        </w:rPr>
        <w:t>Research and Development:</w:t>
      </w:r>
      <w:r w:rsidRPr="000E7F48">
        <w:rPr>
          <w:rFonts w:ascii="Arial" w:hAnsi="Arial" w:cs="Arial"/>
          <w:sz w:val="20"/>
          <w:szCs w:val="20"/>
          <w:lang w:val="en-GB"/>
        </w:rPr>
        <w:tab/>
        <w:t xml:space="preserve">Shortfall of R27.3 million (R130.0 million surplus was </w:t>
      </w:r>
      <w:r w:rsidRPr="000E7F48">
        <w:rPr>
          <w:rFonts w:ascii="Arial" w:hAnsi="Arial" w:cs="Arial"/>
          <w:sz w:val="20"/>
          <w:szCs w:val="20"/>
          <w:lang w:val="en-GB"/>
        </w:rPr>
        <w:br/>
        <w:t xml:space="preserve"> </w:t>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t>projected for 2022/23)</w:t>
      </w:r>
    </w:p>
    <w:p w:rsidR="00425855" w:rsidRPr="000E7F48" w:rsidRDefault="00425855" w:rsidP="000E7F48">
      <w:pPr>
        <w:numPr>
          <w:ilvl w:val="0"/>
          <w:numId w:val="11"/>
        </w:numPr>
        <w:spacing w:after="0" w:line="240" w:lineRule="auto"/>
        <w:rPr>
          <w:rFonts w:ascii="Arial" w:hAnsi="Arial" w:cs="Arial"/>
          <w:sz w:val="20"/>
          <w:szCs w:val="20"/>
          <w:lang w:val="en-GB"/>
        </w:rPr>
      </w:pPr>
      <w:r w:rsidRPr="000E7F48">
        <w:rPr>
          <w:rFonts w:ascii="Arial" w:hAnsi="Arial" w:cs="Arial"/>
          <w:sz w:val="20"/>
          <w:szCs w:val="20"/>
          <w:lang w:val="en-GB"/>
        </w:rPr>
        <w:t>Armscor Dockyard:</w:t>
      </w:r>
      <w:r w:rsidRPr="000E7F48">
        <w:rPr>
          <w:rFonts w:ascii="Arial" w:hAnsi="Arial" w:cs="Arial"/>
          <w:sz w:val="20"/>
          <w:szCs w:val="20"/>
          <w:lang w:val="en-GB"/>
        </w:rPr>
        <w:tab/>
      </w:r>
      <w:r w:rsidRPr="000E7F48">
        <w:rPr>
          <w:rFonts w:ascii="Arial" w:hAnsi="Arial" w:cs="Arial"/>
          <w:sz w:val="20"/>
          <w:szCs w:val="20"/>
          <w:lang w:val="en-GB"/>
        </w:rPr>
        <w:tab/>
        <w:t xml:space="preserve">Shortfall of R2.7 million (R6.6 million shortfall was </w:t>
      </w:r>
      <w:r w:rsidRPr="000E7F48">
        <w:rPr>
          <w:rFonts w:ascii="Arial" w:hAnsi="Arial" w:cs="Arial"/>
          <w:sz w:val="20"/>
          <w:szCs w:val="20"/>
          <w:lang w:val="en-GB"/>
        </w:rPr>
        <w:br/>
        <w:t xml:space="preserve"> </w:t>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r>
      <w:r w:rsidRPr="000E7F48">
        <w:rPr>
          <w:rFonts w:ascii="Arial" w:hAnsi="Arial" w:cs="Arial"/>
          <w:sz w:val="20"/>
          <w:szCs w:val="20"/>
          <w:lang w:val="en-GB"/>
        </w:rPr>
        <w:tab/>
        <w:t>projected for 2022/23)</w:t>
      </w:r>
    </w:p>
    <w:p w:rsidR="00425855" w:rsidRPr="000E7F48" w:rsidRDefault="00425855" w:rsidP="000E7F48">
      <w:pPr>
        <w:numPr>
          <w:ilvl w:val="0"/>
          <w:numId w:val="11"/>
        </w:numPr>
        <w:spacing w:after="0" w:line="240" w:lineRule="auto"/>
        <w:rPr>
          <w:rFonts w:ascii="Arial" w:hAnsi="Arial" w:cs="Arial"/>
          <w:sz w:val="20"/>
          <w:szCs w:val="20"/>
          <w:lang w:val="en-GB"/>
        </w:rPr>
      </w:pPr>
      <w:r w:rsidRPr="000E7F48">
        <w:rPr>
          <w:rFonts w:ascii="Arial" w:hAnsi="Arial" w:cs="Arial"/>
          <w:b/>
          <w:sz w:val="20"/>
          <w:szCs w:val="20"/>
          <w:lang w:val="en-GB"/>
        </w:rPr>
        <w:t>Armscor Group:</w:t>
      </w:r>
      <w:r w:rsidRPr="000E7F48">
        <w:rPr>
          <w:rFonts w:ascii="Arial" w:hAnsi="Arial" w:cs="Arial"/>
          <w:b/>
          <w:sz w:val="20"/>
          <w:szCs w:val="20"/>
          <w:lang w:val="en-GB"/>
        </w:rPr>
        <w:tab/>
      </w:r>
      <w:r w:rsidRPr="000E7F48">
        <w:rPr>
          <w:rFonts w:ascii="Arial" w:hAnsi="Arial" w:cs="Arial"/>
          <w:b/>
          <w:sz w:val="20"/>
          <w:szCs w:val="20"/>
          <w:lang w:val="en-GB"/>
        </w:rPr>
        <w:tab/>
        <w:t>Surplus of R24.3 million</w:t>
      </w:r>
    </w:p>
    <w:p w:rsidR="005E1318" w:rsidRPr="000E7F48" w:rsidRDefault="005E1318" w:rsidP="000E7F48">
      <w:pPr>
        <w:spacing w:after="0" w:line="240" w:lineRule="auto"/>
        <w:rPr>
          <w:rFonts w:ascii="Arial" w:hAnsi="Arial" w:cs="Arial"/>
          <w:sz w:val="20"/>
          <w:szCs w:val="20"/>
          <w:lang w:val="en-GB"/>
        </w:rPr>
      </w:pPr>
    </w:p>
    <w:p w:rsidR="00425855" w:rsidRPr="000E7F48" w:rsidRDefault="00425855" w:rsidP="000E7F48">
      <w:pPr>
        <w:spacing w:after="0" w:line="240" w:lineRule="auto"/>
        <w:rPr>
          <w:rFonts w:ascii="Arial" w:hAnsi="Arial" w:cs="Arial"/>
          <w:b/>
          <w:sz w:val="20"/>
          <w:szCs w:val="20"/>
          <w:lang w:val="en-GB"/>
        </w:rPr>
      </w:pPr>
      <w:r w:rsidRPr="000E7F48">
        <w:rPr>
          <w:rFonts w:ascii="Arial" w:hAnsi="Arial" w:cs="Arial"/>
          <w:b/>
          <w:sz w:val="20"/>
          <w:szCs w:val="20"/>
          <w:lang w:val="en-GB"/>
        </w:rPr>
        <w:t>3.4</w:t>
      </w:r>
      <w:r w:rsidRPr="000E7F48">
        <w:rPr>
          <w:rFonts w:ascii="Arial" w:hAnsi="Arial" w:cs="Arial"/>
          <w:b/>
          <w:sz w:val="20"/>
          <w:szCs w:val="20"/>
          <w:lang w:val="en-GB"/>
        </w:rPr>
        <w:tab/>
        <w:t>An alternative view on Armscor’s finances</w:t>
      </w:r>
    </w:p>
    <w:p w:rsidR="00425855" w:rsidRPr="000E7F48" w:rsidRDefault="00425855" w:rsidP="000E7F48">
      <w:pPr>
        <w:spacing w:after="0" w:line="240" w:lineRule="auto"/>
        <w:rPr>
          <w:rFonts w:ascii="Arial" w:hAnsi="Arial" w:cs="Arial"/>
          <w:sz w:val="20"/>
          <w:szCs w:val="20"/>
          <w:lang w:val="en-GB"/>
        </w:rPr>
      </w:pPr>
      <w:r w:rsidRPr="000E7F48">
        <w:rPr>
          <w:rFonts w:ascii="Arial" w:hAnsi="Arial" w:cs="Arial"/>
          <w:sz w:val="20"/>
          <w:szCs w:val="20"/>
          <w:lang w:val="en-GB"/>
        </w:rPr>
        <w:t>When reviewing the Armscor expenditure per activity, as presented by National Treasury, overall expenditure is set to increase from R1.989 billion in 2022/23 to R2.209 billion in 2023/24.</w:t>
      </w:r>
      <w:r w:rsidRPr="000E7F48">
        <w:rPr>
          <w:rFonts w:ascii="Arial" w:hAnsi="Arial" w:cs="Arial"/>
          <w:sz w:val="20"/>
          <w:szCs w:val="20"/>
          <w:vertAlign w:val="superscript"/>
          <w:lang w:val="en-GB"/>
        </w:rPr>
        <w:footnoteReference w:id="3"/>
      </w:r>
      <w:r w:rsidRPr="000E7F48">
        <w:rPr>
          <w:rFonts w:ascii="Arial" w:hAnsi="Arial" w:cs="Arial"/>
          <w:sz w:val="20"/>
          <w:szCs w:val="20"/>
          <w:lang w:val="en-GB"/>
        </w:rPr>
        <w:t xml:space="preserve"> This translates to a nominal increase in expenditure of 2.4%. A significant increase in expenditure is expected in terms of the Armscor Dockyard which increases by R93.3 million to R513.7 million in 2023/24. This aligns with the statement of the Board Chairperson which focused on the turnaround of the Dockyard. The </w:t>
      </w:r>
      <w:r w:rsidRPr="000E7F48">
        <w:rPr>
          <w:rFonts w:ascii="Arial" w:hAnsi="Arial" w:cs="Arial"/>
          <w:sz w:val="20"/>
          <w:szCs w:val="20"/>
        </w:rPr>
        <w:t xml:space="preserve">Management of strategic facilities (Research and Development) will see expenditure increase by R86.2 million to R468.0 million in 2023/24. The Administration capacity will see its allocation increase only marginally by R21.0 million to R855.3 million in 2023/24. This results in a 2.27% reduction in expenditure when adjusted for inflation. </w:t>
      </w:r>
    </w:p>
    <w:p w:rsidR="008B3359" w:rsidRPr="000E7F48" w:rsidRDefault="008B3359" w:rsidP="000E7F48">
      <w:pPr>
        <w:spacing w:after="0" w:line="240" w:lineRule="auto"/>
        <w:rPr>
          <w:rFonts w:ascii="Arial" w:hAnsi="Arial" w:cs="Arial"/>
          <w:sz w:val="20"/>
          <w:szCs w:val="20"/>
          <w:lang w:val="en-GB"/>
        </w:rPr>
      </w:pPr>
    </w:p>
    <w:tbl>
      <w:tblPr>
        <w:tblStyle w:val="TableGrid"/>
        <w:tblW w:w="9651" w:type="dxa"/>
        <w:jc w:val="center"/>
        <w:tblLook w:val="04A0"/>
      </w:tblPr>
      <w:tblGrid>
        <w:gridCol w:w="2610"/>
        <w:gridCol w:w="1170"/>
        <w:gridCol w:w="1170"/>
        <w:gridCol w:w="1157"/>
        <w:gridCol w:w="1134"/>
        <w:gridCol w:w="1276"/>
        <w:gridCol w:w="1134"/>
      </w:tblGrid>
      <w:tr w:rsidR="00425855" w:rsidRPr="000E7F48" w:rsidTr="00E34EBC">
        <w:trPr>
          <w:trHeight w:val="765"/>
          <w:tblHeader/>
          <w:jc w:val="center"/>
        </w:trPr>
        <w:tc>
          <w:tcPr>
            <w:tcW w:w="2610" w:type="dxa"/>
            <w:shd w:val="clear" w:color="auto" w:fill="F2F2F2" w:themeFill="background1" w:themeFillShade="F2"/>
            <w:noWrap/>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Programme/objective/</w:t>
            </w:r>
          </w:p>
          <w:p w:rsidR="00425855" w:rsidRPr="000E7F48" w:rsidRDefault="00425855" w:rsidP="000E7F48">
            <w:pPr>
              <w:rPr>
                <w:rFonts w:ascii="Arial" w:hAnsi="Arial" w:cs="Arial"/>
                <w:b/>
                <w:bCs/>
                <w:sz w:val="20"/>
                <w:szCs w:val="20"/>
              </w:rPr>
            </w:pPr>
            <w:r w:rsidRPr="000E7F48">
              <w:rPr>
                <w:rFonts w:ascii="Arial" w:hAnsi="Arial" w:cs="Arial"/>
                <w:b/>
                <w:bCs/>
                <w:sz w:val="20"/>
                <w:szCs w:val="20"/>
              </w:rPr>
              <w:t>activity</w:t>
            </w:r>
          </w:p>
        </w:tc>
        <w:tc>
          <w:tcPr>
            <w:tcW w:w="2340" w:type="dxa"/>
            <w:gridSpan w:val="2"/>
            <w:shd w:val="clear" w:color="auto" w:fill="F2F2F2" w:themeFill="background1" w:themeFillShade="F2"/>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Budget</w:t>
            </w:r>
          </w:p>
        </w:tc>
        <w:tc>
          <w:tcPr>
            <w:tcW w:w="1157" w:type="dxa"/>
            <w:vMerge w:val="restart"/>
            <w:shd w:val="clear" w:color="auto" w:fill="F2F2F2" w:themeFill="background1" w:themeFillShade="F2"/>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Nominal Increase / Decrease in 2023/24</w:t>
            </w:r>
          </w:p>
        </w:tc>
        <w:tc>
          <w:tcPr>
            <w:tcW w:w="1134" w:type="dxa"/>
            <w:vMerge w:val="restart"/>
            <w:shd w:val="clear" w:color="auto" w:fill="F2F2F2" w:themeFill="background1" w:themeFillShade="F2"/>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Real Increase / Decrease in 2023/24</w:t>
            </w:r>
          </w:p>
        </w:tc>
        <w:tc>
          <w:tcPr>
            <w:tcW w:w="1276" w:type="dxa"/>
            <w:vMerge w:val="restart"/>
            <w:shd w:val="clear" w:color="auto" w:fill="F2F2F2" w:themeFill="background1" w:themeFillShade="F2"/>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Nominal Percent change in 2023/24</w:t>
            </w:r>
          </w:p>
        </w:tc>
        <w:tc>
          <w:tcPr>
            <w:tcW w:w="1134" w:type="dxa"/>
            <w:vMerge w:val="restart"/>
            <w:shd w:val="clear" w:color="auto" w:fill="F2F2F2" w:themeFill="background1" w:themeFillShade="F2"/>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Real Percent change in 2023/24</w:t>
            </w:r>
          </w:p>
        </w:tc>
      </w:tr>
      <w:tr w:rsidR="00425855" w:rsidRPr="000E7F48" w:rsidTr="00E34EBC">
        <w:trPr>
          <w:trHeight w:val="255"/>
          <w:tblHeader/>
          <w:jc w:val="center"/>
        </w:trPr>
        <w:tc>
          <w:tcPr>
            <w:tcW w:w="2610" w:type="dxa"/>
            <w:shd w:val="clear" w:color="auto" w:fill="F2F2F2" w:themeFill="background1" w:themeFillShade="F2"/>
            <w:noWrap/>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R million</w:t>
            </w:r>
          </w:p>
        </w:tc>
        <w:tc>
          <w:tcPr>
            <w:tcW w:w="1170" w:type="dxa"/>
            <w:shd w:val="clear" w:color="auto" w:fill="F2F2F2" w:themeFill="background1" w:themeFillShade="F2"/>
            <w:noWrap/>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2022/23</w:t>
            </w:r>
          </w:p>
        </w:tc>
        <w:tc>
          <w:tcPr>
            <w:tcW w:w="1170" w:type="dxa"/>
            <w:shd w:val="clear" w:color="auto" w:fill="F2F2F2" w:themeFill="background1" w:themeFillShade="F2"/>
            <w:noWrap/>
            <w:hideMark/>
          </w:tcPr>
          <w:p w:rsidR="00425855" w:rsidRPr="000E7F48" w:rsidRDefault="00425855" w:rsidP="000E7F48">
            <w:pPr>
              <w:rPr>
                <w:rFonts w:ascii="Arial" w:hAnsi="Arial" w:cs="Arial"/>
                <w:b/>
                <w:bCs/>
                <w:sz w:val="20"/>
                <w:szCs w:val="20"/>
              </w:rPr>
            </w:pPr>
            <w:r w:rsidRPr="000E7F48">
              <w:rPr>
                <w:rFonts w:ascii="Arial" w:hAnsi="Arial" w:cs="Arial"/>
                <w:b/>
                <w:bCs/>
                <w:sz w:val="20"/>
                <w:szCs w:val="20"/>
              </w:rPr>
              <w:t>2023/24</w:t>
            </w:r>
          </w:p>
        </w:tc>
        <w:tc>
          <w:tcPr>
            <w:tcW w:w="1157" w:type="dxa"/>
            <w:vMerge/>
            <w:shd w:val="clear" w:color="auto" w:fill="F2F2F2" w:themeFill="background1" w:themeFillShade="F2"/>
            <w:hideMark/>
          </w:tcPr>
          <w:p w:rsidR="00425855" w:rsidRPr="000E7F48" w:rsidRDefault="00425855" w:rsidP="000E7F48">
            <w:pPr>
              <w:rPr>
                <w:rFonts w:ascii="Arial" w:hAnsi="Arial" w:cs="Arial"/>
                <w:b/>
                <w:bCs/>
                <w:sz w:val="20"/>
                <w:szCs w:val="20"/>
              </w:rPr>
            </w:pPr>
          </w:p>
        </w:tc>
        <w:tc>
          <w:tcPr>
            <w:tcW w:w="1134" w:type="dxa"/>
            <w:vMerge/>
            <w:shd w:val="clear" w:color="auto" w:fill="F2F2F2" w:themeFill="background1" w:themeFillShade="F2"/>
            <w:hideMark/>
          </w:tcPr>
          <w:p w:rsidR="00425855" w:rsidRPr="000E7F48" w:rsidRDefault="00425855" w:rsidP="000E7F48">
            <w:pPr>
              <w:rPr>
                <w:rFonts w:ascii="Arial" w:hAnsi="Arial" w:cs="Arial"/>
                <w:b/>
                <w:bCs/>
                <w:sz w:val="20"/>
                <w:szCs w:val="20"/>
              </w:rPr>
            </w:pPr>
          </w:p>
        </w:tc>
        <w:tc>
          <w:tcPr>
            <w:tcW w:w="1276" w:type="dxa"/>
            <w:vMerge/>
            <w:shd w:val="clear" w:color="auto" w:fill="F2F2F2" w:themeFill="background1" w:themeFillShade="F2"/>
            <w:hideMark/>
          </w:tcPr>
          <w:p w:rsidR="00425855" w:rsidRPr="000E7F48" w:rsidRDefault="00425855" w:rsidP="000E7F48">
            <w:pPr>
              <w:rPr>
                <w:rFonts w:ascii="Arial" w:hAnsi="Arial" w:cs="Arial"/>
                <w:b/>
                <w:bCs/>
                <w:sz w:val="20"/>
                <w:szCs w:val="20"/>
              </w:rPr>
            </w:pPr>
          </w:p>
        </w:tc>
        <w:tc>
          <w:tcPr>
            <w:tcW w:w="1134" w:type="dxa"/>
            <w:vMerge/>
            <w:shd w:val="clear" w:color="auto" w:fill="F2F2F2" w:themeFill="background1" w:themeFillShade="F2"/>
            <w:hideMark/>
          </w:tcPr>
          <w:p w:rsidR="00425855" w:rsidRPr="000E7F48" w:rsidRDefault="00425855" w:rsidP="000E7F48">
            <w:pPr>
              <w:rPr>
                <w:rFonts w:ascii="Arial" w:hAnsi="Arial" w:cs="Arial"/>
                <w:b/>
                <w:bCs/>
                <w:sz w:val="20"/>
                <w:szCs w:val="20"/>
              </w:rPr>
            </w:pP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sz w:val="20"/>
                <w:szCs w:val="20"/>
              </w:rPr>
            </w:pPr>
            <w:r w:rsidRPr="000E7F48">
              <w:rPr>
                <w:rFonts w:ascii="Arial" w:hAnsi="Arial" w:cs="Arial"/>
                <w:sz w:val="20"/>
                <w:szCs w:val="20"/>
              </w:rPr>
              <w:t>Administration</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834,3</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855,3</w:t>
            </w:r>
          </w:p>
        </w:tc>
        <w:tc>
          <w:tcPr>
            <w:tcW w:w="1157"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21,0</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19,0</w:t>
            </w:r>
          </w:p>
        </w:tc>
        <w:tc>
          <w:tcPr>
            <w:tcW w:w="1276"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2,52%</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-2,27%</w:t>
            </w: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sz w:val="20"/>
                <w:szCs w:val="20"/>
              </w:rPr>
            </w:pPr>
            <w:r w:rsidRPr="000E7F48">
              <w:rPr>
                <w:rFonts w:ascii="Arial" w:hAnsi="Arial" w:cs="Arial"/>
                <w:sz w:val="20"/>
                <w:szCs w:val="20"/>
              </w:rPr>
              <w:t>Quality Assurance</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119,0</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124,9</w:t>
            </w:r>
          </w:p>
        </w:tc>
        <w:tc>
          <w:tcPr>
            <w:tcW w:w="1157"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5,9</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0,1</w:t>
            </w:r>
          </w:p>
        </w:tc>
        <w:tc>
          <w:tcPr>
            <w:tcW w:w="1276"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4,96%</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0,06%</w:t>
            </w: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sz w:val="20"/>
                <w:szCs w:val="20"/>
              </w:rPr>
            </w:pPr>
            <w:r w:rsidRPr="000E7F48">
              <w:rPr>
                <w:rFonts w:ascii="Arial" w:hAnsi="Arial" w:cs="Arial"/>
                <w:sz w:val="20"/>
                <w:szCs w:val="20"/>
              </w:rPr>
              <w:t>Management of Defence Matériel Acquisition</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208,4</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219,2</w:t>
            </w:r>
          </w:p>
        </w:tc>
        <w:tc>
          <w:tcPr>
            <w:tcW w:w="1157"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10,8</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0,6</w:t>
            </w:r>
          </w:p>
        </w:tc>
        <w:tc>
          <w:tcPr>
            <w:tcW w:w="1276"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5,18%</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0,27%</w:t>
            </w: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sz w:val="20"/>
                <w:szCs w:val="20"/>
              </w:rPr>
            </w:pPr>
            <w:r w:rsidRPr="000E7F48">
              <w:rPr>
                <w:rFonts w:ascii="Arial" w:hAnsi="Arial" w:cs="Arial"/>
                <w:sz w:val="20"/>
                <w:szCs w:val="20"/>
              </w:rPr>
              <w:t>Logistics Support</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24,9</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27,8</w:t>
            </w:r>
          </w:p>
        </w:tc>
        <w:tc>
          <w:tcPr>
            <w:tcW w:w="1157"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2,9</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1,6</w:t>
            </w:r>
          </w:p>
        </w:tc>
        <w:tc>
          <w:tcPr>
            <w:tcW w:w="1276"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11,65%</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6,43%</w:t>
            </w: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sz w:val="20"/>
                <w:szCs w:val="20"/>
              </w:rPr>
            </w:pPr>
            <w:r w:rsidRPr="000E7F48">
              <w:rPr>
                <w:rFonts w:ascii="Arial" w:hAnsi="Arial" w:cs="Arial"/>
                <w:sz w:val="20"/>
                <w:szCs w:val="20"/>
              </w:rPr>
              <w:t>Management of strategic facilities: Armscor Dockyard</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420,4</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513,7</w:t>
            </w:r>
          </w:p>
        </w:tc>
        <w:tc>
          <w:tcPr>
            <w:tcW w:w="1157"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93,3</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69,3</w:t>
            </w:r>
          </w:p>
        </w:tc>
        <w:tc>
          <w:tcPr>
            <w:tcW w:w="1276"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22,19%</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16,49%</w:t>
            </w: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sz w:val="20"/>
                <w:szCs w:val="20"/>
              </w:rPr>
            </w:pPr>
            <w:r w:rsidRPr="000E7F48">
              <w:rPr>
                <w:rFonts w:ascii="Arial" w:hAnsi="Arial" w:cs="Arial"/>
                <w:sz w:val="20"/>
                <w:szCs w:val="20"/>
              </w:rPr>
              <w:t>Management of strategic facilities: Research and Development</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381,8</w:t>
            </w:r>
          </w:p>
        </w:tc>
        <w:tc>
          <w:tcPr>
            <w:tcW w:w="1170"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468,0</w:t>
            </w:r>
          </w:p>
        </w:tc>
        <w:tc>
          <w:tcPr>
            <w:tcW w:w="1157"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86,2</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 xml:space="preserve">  64,3</w:t>
            </w:r>
          </w:p>
        </w:tc>
        <w:tc>
          <w:tcPr>
            <w:tcW w:w="1276"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22,58%</w:t>
            </w:r>
          </w:p>
        </w:tc>
        <w:tc>
          <w:tcPr>
            <w:tcW w:w="1134" w:type="dxa"/>
            <w:noWrap/>
            <w:vAlign w:val="bottom"/>
            <w:hideMark/>
          </w:tcPr>
          <w:p w:rsidR="00425855" w:rsidRPr="000E7F48" w:rsidRDefault="00425855" w:rsidP="000E7F48">
            <w:pPr>
              <w:rPr>
                <w:rFonts w:ascii="Arial" w:hAnsi="Arial" w:cs="Arial"/>
                <w:sz w:val="20"/>
                <w:szCs w:val="20"/>
              </w:rPr>
            </w:pPr>
            <w:r w:rsidRPr="000E7F48">
              <w:rPr>
                <w:rFonts w:ascii="Arial" w:hAnsi="Arial" w:cs="Arial"/>
                <w:sz w:val="20"/>
                <w:szCs w:val="20"/>
              </w:rPr>
              <w:t>16,85%</w:t>
            </w:r>
          </w:p>
        </w:tc>
      </w:tr>
      <w:tr w:rsidR="00425855" w:rsidRPr="000E7F48" w:rsidTr="00425855">
        <w:trPr>
          <w:trHeight w:val="255"/>
          <w:jc w:val="center"/>
        </w:trPr>
        <w:tc>
          <w:tcPr>
            <w:tcW w:w="2610" w:type="dxa"/>
            <w:noWrap/>
            <w:hideMark/>
          </w:tcPr>
          <w:p w:rsidR="00425855" w:rsidRPr="000E7F48" w:rsidRDefault="00425855" w:rsidP="000E7F48">
            <w:pPr>
              <w:rPr>
                <w:rFonts w:ascii="Arial" w:hAnsi="Arial" w:cs="Arial"/>
                <w:b/>
                <w:sz w:val="20"/>
                <w:szCs w:val="20"/>
              </w:rPr>
            </w:pPr>
            <w:r w:rsidRPr="000E7F48">
              <w:rPr>
                <w:rFonts w:ascii="Arial" w:hAnsi="Arial" w:cs="Arial"/>
                <w:b/>
                <w:sz w:val="20"/>
                <w:szCs w:val="20"/>
              </w:rPr>
              <w:t>TOTAL</w:t>
            </w:r>
          </w:p>
        </w:tc>
        <w:tc>
          <w:tcPr>
            <w:tcW w:w="1170" w:type="dxa"/>
            <w:noWrap/>
            <w:vAlign w:val="bottom"/>
            <w:hideMark/>
          </w:tcPr>
          <w:p w:rsidR="00425855" w:rsidRPr="000E7F48" w:rsidRDefault="00425855" w:rsidP="000E7F48">
            <w:pPr>
              <w:rPr>
                <w:rFonts w:ascii="Arial" w:hAnsi="Arial" w:cs="Arial"/>
                <w:b/>
                <w:sz w:val="20"/>
                <w:szCs w:val="20"/>
              </w:rPr>
            </w:pPr>
            <w:r w:rsidRPr="000E7F48">
              <w:rPr>
                <w:rFonts w:ascii="Arial" w:hAnsi="Arial" w:cs="Arial"/>
                <w:b/>
                <w:sz w:val="20"/>
                <w:szCs w:val="20"/>
              </w:rPr>
              <w:t xml:space="preserve"> 1 988,8</w:t>
            </w:r>
          </w:p>
        </w:tc>
        <w:tc>
          <w:tcPr>
            <w:tcW w:w="1170" w:type="dxa"/>
            <w:noWrap/>
            <w:vAlign w:val="bottom"/>
            <w:hideMark/>
          </w:tcPr>
          <w:p w:rsidR="00425855" w:rsidRPr="000E7F48" w:rsidRDefault="00425855" w:rsidP="000E7F48">
            <w:pPr>
              <w:rPr>
                <w:rFonts w:ascii="Arial" w:hAnsi="Arial" w:cs="Arial"/>
                <w:b/>
                <w:sz w:val="20"/>
                <w:szCs w:val="20"/>
              </w:rPr>
            </w:pPr>
            <w:r w:rsidRPr="000E7F48">
              <w:rPr>
                <w:rFonts w:ascii="Arial" w:hAnsi="Arial" w:cs="Arial"/>
                <w:b/>
                <w:sz w:val="20"/>
                <w:szCs w:val="20"/>
              </w:rPr>
              <w:t xml:space="preserve"> 2 208,9</w:t>
            </w:r>
          </w:p>
        </w:tc>
        <w:tc>
          <w:tcPr>
            <w:tcW w:w="1157" w:type="dxa"/>
            <w:noWrap/>
            <w:vAlign w:val="bottom"/>
            <w:hideMark/>
          </w:tcPr>
          <w:p w:rsidR="00425855" w:rsidRPr="000E7F48" w:rsidRDefault="00425855" w:rsidP="000E7F48">
            <w:pPr>
              <w:rPr>
                <w:rFonts w:ascii="Arial" w:hAnsi="Arial" w:cs="Arial"/>
                <w:b/>
                <w:sz w:val="20"/>
                <w:szCs w:val="20"/>
              </w:rPr>
            </w:pPr>
            <w:r w:rsidRPr="000E7F48">
              <w:rPr>
                <w:rFonts w:ascii="Arial" w:hAnsi="Arial" w:cs="Arial"/>
                <w:b/>
                <w:sz w:val="20"/>
                <w:szCs w:val="20"/>
              </w:rPr>
              <w:t xml:space="preserve">  220,1</w:t>
            </w:r>
          </w:p>
        </w:tc>
        <w:tc>
          <w:tcPr>
            <w:tcW w:w="1134" w:type="dxa"/>
            <w:noWrap/>
            <w:vAlign w:val="bottom"/>
            <w:hideMark/>
          </w:tcPr>
          <w:p w:rsidR="00425855" w:rsidRPr="000E7F48" w:rsidRDefault="00425855" w:rsidP="000E7F48">
            <w:pPr>
              <w:rPr>
                <w:rFonts w:ascii="Arial" w:hAnsi="Arial" w:cs="Arial"/>
                <w:b/>
                <w:sz w:val="20"/>
                <w:szCs w:val="20"/>
              </w:rPr>
            </w:pPr>
            <w:r w:rsidRPr="000E7F48">
              <w:rPr>
                <w:rFonts w:ascii="Arial" w:hAnsi="Arial" w:cs="Arial"/>
                <w:b/>
                <w:sz w:val="20"/>
                <w:szCs w:val="20"/>
              </w:rPr>
              <w:t xml:space="preserve">  116,9</w:t>
            </w:r>
          </w:p>
        </w:tc>
        <w:tc>
          <w:tcPr>
            <w:tcW w:w="1276" w:type="dxa"/>
            <w:noWrap/>
            <w:vAlign w:val="bottom"/>
            <w:hideMark/>
          </w:tcPr>
          <w:p w:rsidR="00425855" w:rsidRPr="000E7F48" w:rsidRDefault="00425855" w:rsidP="000E7F48">
            <w:pPr>
              <w:rPr>
                <w:rFonts w:ascii="Arial" w:hAnsi="Arial" w:cs="Arial"/>
                <w:b/>
                <w:sz w:val="20"/>
                <w:szCs w:val="20"/>
              </w:rPr>
            </w:pPr>
            <w:r w:rsidRPr="000E7F48">
              <w:rPr>
                <w:rFonts w:ascii="Arial" w:hAnsi="Arial" w:cs="Arial"/>
                <w:b/>
                <w:sz w:val="20"/>
                <w:szCs w:val="20"/>
              </w:rPr>
              <w:t>11,1%</w:t>
            </w:r>
          </w:p>
        </w:tc>
        <w:tc>
          <w:tcPr>
            <w:tcW w:w="1134" w:type="dxa"/>
            <w:noWrap/>
            <w:vAlign w:val="bottom"/>
            <w:hideMark/>
          </w:tcPr>
          <w:p w:rsidR="00425855" w:rsidRPr="000E7F48" w:rsidRDefault="00425855" w:rsidP="000E7F48">
            <w:pPr>
              <w:rPr>
                <w:rFonts w:ascii="Arial" w:hAnsi="Arial" w:cs="Arial"/>
                <w:b/>
                <w:sz w:val="20"/>
                <w:szCs w:val="20"/>
              </w:rPr>
            </w:pPr>
            <w:r w:rsidRPr="000E7F48">
              <w:rPr>
                <w:rFonts w:ascii="Arial" w:hAnsi="Arial" w:cs="Arial"/>
                <w:b/>
                <w:sz w:val="20"/>
                <w:szCs w:val="20"/>
              </w:rPr>
              <w:t>5,88%</w:t>
            </w:r>
          </w:p>
        </w:tc>
      </w:tr>
    </w:tbl>
    <w:p w:rsidR="005E1318" w:rsidRPr="000E7F48" w:rsidRDefault="00FA22BD" w:rsidP="000E7F48">
      <w:pPr>
        <w:spacing w:after="0" w:line="240" w:lineRule="auto"/>
        <w:rPr>
          <w:rFonts w:ascii="Arial" w:hAnsi="Arial" w:cs="Arial"/>
          <w:b/>
          <w:sz w:val="20"/>
          <w:szCs w:val="20"/>
          <w:lang w:val="en-GB"/>
        </w:rPr>
      </w:pPr>
      <w:r w:rsidRPr="000E7F48">
        <w:rPr>
          <w:rFonts w:ascii="Arial" w:hAnsi="Arial" w:cs="Arial"/>
          <w:b/>
          <w:sz w:val="20"/>
          <w:szCs w:val="20"/>
          <w:lang w:val="en-GB"/>
        </w:rPr>
        <w:t xml:space="preserve">Table 1: Armscor expenditure trends </w:t>
      </w:r>
    </w:p>
    <w:p w:rsidR="00425855" w:rsidRPr="000E7F48" w:rsidRDefault="00425855" w:rsidP="000E7F48">
      <w:pPr>
        <w:spacing w:after="0" w:line="240" w:lineRule="auto"/>
        <w:rPr>
          <w:rFonts w:ascii="Arial" w:hAnsi="Arial" w:cs="Arial"/>
          <w:b/>
          <w:sz w:val="20"/>
          <w:szCs w:val="20"/>
          <w:lang w:val="en-GB"/>
        </w:rPr>
      </w:pPr>
    </w:p>
    <w:p w:rsidR="00FA22BD" w:rsidRPr="000E7F48" w:rsidRDefault="005E1318" w:rsidP="000E7F48">
      <w:pPr>
        <w:pStyle w:val="ListParagraph"/>
        <w:keepNext/>
        <w:keepLines/>
        <w:numPr>
          <w:ilvl w:val="0"/>
          <w:numId w:val="18"/>
        </w:numPr>
        <w:outlineLvl w:val="1"/>
        <w:rPr>
          <w:rFonts w:ascii="Arial" w:eastAsiaTheme="majorEastAsia" w:hAnsi="Arial" w:cs="Arial"/>
          <w:b/>
          <w:sz w:val="20"/>
          <w:szCs w:val="20"/>
        </w:rPr>
      </w:pPr>
      <w:bookmarkStart w:id="18" w:name="_Toc37083647"/>
      <w:r w:rsidRPr="000E7F48">
        <w:rPr>
          <w:rFonts w:ascii="Arial" w:eastAsiaTheme="majorEastAsia" w:hAnsi="Arial" w:cs="Arial"/>
          <w:b/>
          <w:sz w:val="20"/>
          <w:szCs w:val="20"/>
        </w:rPr>
        <w:t>THE SWEATING OF ASSETS</w:t>
      </w:r>
      <w:bookmarkEnd w:id="18"/>
    </w:p>
    <w:p w:rsidR="00570E82" w:rsidRPr="000E7F48" w:rsidRDefault="00570E82" w:rsidP="000E7F48">
      <w:pPr>
        <w:pStyle w:val="ListParagraph"/>
        <w:keepNext/>
        <w:keepLines/>
        <w:ind w:left="360"/>
        <w:outlineLvl w:val="1"/>
        <w:rPr>
          <w:rFonts w:ascii="Arial" w:eastAsiaTheme="majorEastAsia" w:hAnsi="Arial" w:cs="Arial"/>
          <w:b/>
          <w:sz w:val="20"/>
          <w:szCs w:val="20"/>
        </w:rPr>
      </w:pPr>
    </w:p>
    <w:p w:rsidR="00425855" w:rsidRPr="000E7F48" w:rsidRDefault="00425855" w:rsidP="000E7F48">
      <w:pPr>
        <w:keepNext/>
        <w:keepLines/>
        <w:spacing w:after="0" w:line="240" w:lineRule="auto"/>
        <w:outlineLvl w:val="0"/>
        <w:rPr>
          <w:rFonts w:ascii="Arial" w:hAnsi="Arial" w:cs="Arial"/>
          <w:sz w:val="20"/>
          <w:szCs w:val="20"/>
        </w:rPr>
      </w:pPr>
      <w:bookmarkStart w:id="19" w:name="_Toc37083648"/>
      <w:r w:rsidRPr="000E7F48">
        <w:rPr>
          <w:rFonts w:ascii="Arial" w:hAnsi="Arial" w:cs="Arial"/>
          <w:sz w:val="20"/>
          <w:szCs w:val="20"/>
        </w:rPr>
        <w:t>Neither the 2022/23 nor the 2023/24 APP notes any significant progress related to the sweating of these assets and it remains unclear whether the necessary approval was obtained. Armscor did, previously, note that it established the Property Management and Leveraging Division for the purposes of sweating property assets.”</w:t>
      </w:r>
      <w:r w:rsidRPr="000E7F48">
        <w:rPr>
          <w:rFonts w:ascii="Arial" w:hAnsi="Arial" w:cs="Arial"/>
          <w:sz w:val="20"/>
          <w:szCs w:val="20"/>
          <w:vertAlign w:val="superscript"/>
        </w:rPr>
        <w:footnoteReference w:id="4"/>
      </w:r>
    </w:p>
    <w:p w:rsidR="00356803" w:rsidRPr="000E7F48" w:rsidRDefault="00356803" w:rsidP="000E7F48">
      <w:pPr>
        <w:keepNext/>
        <w:keepLines/>
        <w:spacing w:after="0" w:line="240" w:lineRule="auto"/>
        <w:outlineLvl w:val="0"/>
        <w:rPr>
          <w:rFonts w:ascii="Arial" w:eastAsiaTheme="majorEastAsia" w:hAnsi="Arial" w:cs="Arial"/>
          <w:b/>
          <w:caps/>
          <w:sz w:val="20"/>
          <w:szCs w:val="20"/>
          <w:lang w:val="en-GB"/>
        </w:rPr>
      </w:pPr>
    </w:p>
    <w:p w:rsidR="00FA22BD" w:rsidRPr="000E7F48" w:rsidRDefault="00FA22BD" w:rsidP="000E7F48">
      <w:pPr>
        <w:keepNext/>
        <w:keepLines/>
        <w:numPr>
          <w:ilvl w:val="0"/>
          <w:numId w:val="18"/>
        </w:numPr>
        <w:spacing w:after="0" w:line="240" w:lineRule="auto"/>
        <w:outlineLvl w:val="0"/>
        <w:rPr>
          <w:rFonts w:ascii="Arial" w:eastAsiaTheme="majorEastAsia" w:hAnsi="Arial" w:cs="Arial"/>
          <w:b/>
          <w:caps/>
          <w:sz w:val="20"/>
          <w:szCs w:val="20"/>
          <w:lang w:val="en-GB"/>
        </w:rPr>
      </w:pPr>
      <w:r w:rsidRPr="000E7F48">
        <w:rPr>
          <w:rFonts w:ascii="Arial" w:eastAsiaTheme="majorEastAsia" w:hAnsi="Arial" w:cs="Arial"/>
          <w:b/>
          <w:caps/>
          <w:sz w:val="20"/>
          <w:szCs w:val="20"/>
          <w:lang w:val="en-GB"/>
        </w:rPr>
        <w:t>Personnel information</w:t>
      </w:r>
      <w:bookmarkEnd w:id="19"/>
    </w:p>
    <w:p w:rsidR="005E1318" w:rsidRPr="000E7F48" w:rsidRDefault="005E1318" w:rsidP="000E7F48">
      <w:pPr>
        <w:spacing w:after="0" w:line="240" w:lineRule="auto"/>
        <w:rPr>
          <w:rFonts w:ascii="Arial" w:hAnsi="Arial" w:cs="Arial"/>
          <w:sz w:val="20"/>
          <w:szCs w:val="20"/>
          <w:lang w:val="en-GB"/>
        </w:rPr>
      </w:pPr>
    </w:p>
    <w:p w:rsidR="00425855" w:rsidRPr="000E7F48" w:rsidRDefault="00425855" w:rsidP="000E7F48">
      <w:pPr>
        <w:spacing w:after="0" w:line="240" w:lineRule="auto"/>
        <w:rPr>
          <w:rFonts w:ascii="Arial" w:hAnsi="Arial" w:cs="Arial"/>
          <w:sz w:val="20"/>
          <w:szCs w:val="20"/>
          <w:lang w:val="en-GB"/>
        </w:rPr>
      </w:pPr>
      <w:r w:rsidRPr="000E7F48">
        <w:rPr>
          <w:rFonts w:ascii="Arial" w:hAnsi="Arial" w:cs="Arial"/>
          <w:sz w:val="20"/>
          <w:szCs w:val="20"/>
          <w:lang w:val="en-GB"/>
        </w:rPr>
        <w:t xml:space="preserve">Armscor’s personnel component has seen a significant reduction in recent years. The total personnel strength for 2023/24 is reflected in the table below and comes to 1 348, which is lower than the projection of 1 348 for 2022/23. This figure includes 56 Contract Employees as well as 56 personnel in the Talent Development Programme. </w:t>
      </w:r>
    </w:p>
    <w:p w:rsidR="00425855" w:rsidRPr="000E7F48" w:rsidRDefault="00425855" w:rsidP="000E7F48">
      <w:pPr>
        <w:spacing w:after="0" w:line="240" w:lineRule="auto"/>
        <w:rPr>
          <w:rFonts w:ascii="Arial" w:hAnsi="Arial" w:cs="Arial"/>
          <w:sz w:val="20"/>
          <w:szCs w:val="20"/>
          <w:lang w:val="en-GB"/>
        </w:rPr>
      </w:pPr>
    </w:p>
    <w:p w:rsidR="00425855" w:rsidRPr="000E7F48" w:rsidRDefault="00425855" w:rsidP="000E7F48">
      <w:pPr>
        <w:spacing w:after="0" w:line="240" w:lineRule="auto"/>
        <w:rPr>
          <w:rFonts w:ascii="Arial" w:hAnsi="Arial" w:cs="Arial"/>
          <w:sz w:val="20"/>
          <w:szCs w:val="20"/>
        </w:rPr>
      </w:pPr>
      <w:r w:rsidRPr="000E7F48">
        <w:rPr>
          <w:rFonts w:ascii="Arial" w:hAnsi="Arial" w:cs="Arial"/>
          <w:sz w:val="20"/>
          <w:szCs w:val="20"/>
        </w:rPr>
        <w:t xml:space="preserve">Clarity should be sought on the difference between personnel figures in the Armscor Corporate Plan (as per the table below) and those provided by National Treasury (which states a total personnel component for 2023/24 of 1 512). Furthermore, clarity should be obtained on the personnel figures. The projected figures </w:t>
      </w:r>
      <w:r w:rsidRPr="000E7F48">
        <w:rPr>
          <w:rFonts w:ascii="Arial" w:hAnsi="Arial" w:cs="Arial"/>
          <w:sz w:val="20"/>
          <w:szCs w:val="20"/>
        </w:rPr>
        <w:lastRenderedPageBreak/>
        <w:t>per division in the 2022 and 2023 APPs are exactly the same and it is unlikely that such consistency remained between the two years.</w:t>
      </w:r>
    </w:p>
    <w:p w:rsidR="005E1318" w:rsidRPr="000E7F48" w:rsidRDefault="005E1318" w:rsidP="000E7F48">
      <w:pPr>
        <w:spacing w:after="0" w:line="240" w:lineRule="auto"/>
        <w:rPr>
          <w:rFonts w:ascii="Arial" w:hAnsi="Arial" w:cs="Arial"/>
          <w:sz w:val="20"/>
          <w:szCs w:val="20"/>
        </w:rPr>
      </w:pPr>
    </w:p>
    <w:tbl>
      <w:tblPr>
        <w:tblStyle w:val="TableGrid"/>
        <w:tblW w:w="9067" w:type="dxa"/>
        <w:jc w:val="center"/>
        <w:tblLook w:val="04A0"/>
      </w:tblPr>
      <w:tblGrid>
        <w:gridCol w:w="2547"/>
        <w:gridCol w:w="2977"/>
        <w:gridCol w:w="3543"/>
      </w:tblGrid>
      <w:tr w:rsidR="00554EDF" w:rsidRPr="000E7F48" w:rsidTr="00E34EBC">
        <w:trPr>
          <w:trHeight w:val="1054"/>
          <w:jc w:val="center"/>
        </w:trPr>
        <w:tc>
          <w:tcPr>
            <w:tcW w:w="2547"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Armscor Group</w:t>
            </w:r>
          </w:p>
        </w:tc>
        <w:tc>
          <w:tcPr>
            <w:tcW w:w="2977"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Total Permanent employees projected in the 2022/23 Corporate Plan</w:t>
            </w:r>
          </w:p>
        </w:tc>
        <w:tc>
          <w:tcPr>
            <w:tcW w:w="3543"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Total Permanent employees provided for 2023/24</w:t>
            </w:r>
          </w:p>
        </w:tc>
      </w:tr>
      <w:tr w:rsidR="00554EDF" w:rsidRPr="000E7F48" w:rsidTr="001B3CCE">
        <w:trPr>
          <w:trHeight w:val="323"/>
          <w:jc w:val="center"/>
        </w:trPr>
        <w:tc>
          <w:tcPr>
            <w:tcW w:w="2547" w:type="dxa"/>
          </w:tcPr>
          <w:p w:rsidR="00554EDF" w:rsidRPr="000E7F48" w:rsidRDefault="00554EDF" w:rsidP="000E7F48">
            <w:pPr>
              <w:rPr>
                <w:rFonts w:ascii="Arial" w:hAnsi="Arial" w:cs="Arial"/>
                <w:sz w:val="20"/>
                <w:szCs w:val="20"/>
              </w:rPr>
            </w:pPr>
            <w:r w:rsidRPr="000E7F48">
              <w:rPr>
                <w:rFonts w:ascii="Arial" w:hAnsi="Arial" w:cs="Arial"/>
                <w:sz w:val="20"/>
                <w:szCs w:val="20"/>
              </w:rPr>
              <w:t>Armscor (excluding R&amp;D)</w:t>
            </w:r>
          </w:p>
        </w:tc>
        <w:tc>
          <w:tcPr>
            <w:tcW w:w="2977" w:type="dxa"/>
          </w:tcPr>
          <w:p w:rsidR="00554EDF" w:rsidRPr="000E7F48" w:rsidRDefault="00554EDF" w:rsidP="000E7F48">
            <w:pPr>
              <w:rPr>
                <w:rFonts w:ascii="Arial" w:hAnsi="Arial" w:cs="Arial"/>
                <w:sz w:val="20"/>
                <w:szCs w:val="20"/>
              </w:rPr>
            </w:pPr>
            <w:r w:rsidRPr="000E7F48">
              <w:rPr>
                <w:rFonts w:ascii="Arial" w:hAnsi="Arial" w:cs="Arial"/>
                <w:sz w:val="20"/>
                <w:szCs w:val="20"/>
              </w:rPr>
              <w:t>629</w:t>
            </w:r>
          </w:p>
        </w:tc>
        <w:tc>
          <w:tcPr>
            <w:tcW w:w="3543" w:type="dxa"/>
          </w:tcPr>
          <w:p w:rsidR="00554EDF" w:rsidRPr="000E7F48" w:rsidRDefault="00554EDF" w:rsidP="000E7F48">
            <w:pPr>
              <w:rPr>
                <w:rFonts w:ascii="Arial" w:hAnsi="Arial" w:cs="Arial"/>
                <w:sz w:val="20"/>
                <w:szCs w:val="20"/>
              </w:rPr>
            </w:pPr>
            <w:r w:rsidRPr="000E7F48">
              <w:rPr>
                <w:rFonts w:ascii="Arial" w:hAnsi="Arial" w:cs="Arial"/>
                <w:sz w:val="20"/>
                <w:szCs w:val="20"/>
              </w:rPr>
              <w:t>629</w:t>
            </w:r>
          </w:p>
        </w:tc>
      </w:tr>
      <w:tr w:rsidR="00554EDF" w:rsidRPr="000E7F48" w:rsidTr="001B3CCE">
        <w:trPr>
          <w:trHeight w:val="323"/>
          <w:jc w:val="center"/>
        </w:trPr>
        <w:tc>
          <w:tcPr>
            <w:tcW w:w="2547" w:type="dxa"/>
          </w:tcPr>
          <w:p w:rsidR="00554EDF" w:rsidRPr="000E7F48" w:rsidRDefault="00554EDF" w:rsidP="000E7F48">
            <w:pPr>
              <w:rPr>
                <w:rFonts w:ascii="Arial" w:hAnsi="Arial" w:cs="Arial"/>
                <w:sz w:val="20"/>
                <w:szCs w:val="20"/>
              </w:rPr>
            </w:pPr>
            <w:r w:rsidRPr="000E7F48">
              <w:rPr>
                <w:rFonts w:ascii="Arial" w:hAnsi="Arial" w:cs="Arial"/>
                <w:sz w:val="20"/>
                <w:szCs w:val="20"/>
              </w:rPr>
              <w:t>Research &amp; Development</w:t>
            </w:r>
          </w:p>
        </w:tc>
        <w:tc>
          <w:tcPr>
            <w:tcW w:w="2977" w:type="dxa"/>
          </w:tcPr>
          <w:p w:rsidR="00554EDF" w:rsidRPr="000E7F48" w:rsidRDefault="00554EDF" w:rsidP="000E7F48">
            <w:pPr>
              <w:rPr>
                <w:rFonts w:ascii="Arial" w:hAnsi="Arial" w:cs="Arial"/>
                <w:sz w:val="20"/>
                <w:szCs w:val="20"/>
              </w:rPr>
            </w:pPr>
            <w:r w:rsidRPr="000E7F48">
              <w:rPr>
                <w:rFonts w:ascii="Arial" w:hAnsi="Arial" w:cs="Arial"/>
                <w:sz w:val="20"/>
                <w:szCs w:val="20"/>
              </w:rPr>
              <w:t>347</w:t>
            </w:r>
          </w:p>
        </w:tc>
        <w:tc>
          <w:tcPr>
            <w:tcW w:w="3543" w:type="dxa"/>
          </w:tcPr>
          <w:p w:rsidR="00554EDF" w:rsidRPr="000E7F48" w:rsidRDefault="00554EDF" w:rsidP="000E7F48">
            <w:pPr>
              <w:rPr>
                <w:rFonts w:ascii="Arial" w:hAnsi="Arial" w:cs="Arial"/>
                <w:sz w:val="20"/>
                <w:szCs w:val="20"/>
              </w:rPr>
            </w:pPr>
            <w:r w:rsidRPr="000E7F48">
              <w:rPr>
                <w:rFonts w:ascii="Arial" w:hAnsi="Arial" w:cs="Arial"/>
                <w:sz w:val="20"/>
                <w:szCs w:val="20"/>
              </w:rPr>
              <w:t>347</w:t>
            </w:r>
          </w:p>
        </w:tc>
      </w:tr>
      <w:tr w:rsidR="00554EDF" w:rsidRPr="000E7F48" w:rsidTr="001B3CCE">
        <w:trPr>
          <w:jc w:val="center"/>
        </w:trPr>
        <w:tc>
          <w:tcPr>
            <w:tcW w:w="2547" w:type="dxa"/>
          </w:tcPr>
          <w:p w:rsidR="00554EDF" w:rsidRPr="000E7F48" w:rsidRDefault="00554EDF" w:rsidP="000E7F48">
            <w:pPr>
              <w:rPr>
                <w:rFonts w:ascii="Arial" w:hAnsi="Arial" w:cs="Arial"/>
                <w:sz w:val="20"/>
                <w:szCs w:val="20"/>
              </w:rPr>
            </w:pPr>
            <w:r w:rsidRPr="000E7F48">
              <w:rPr>
                <w:rFonts w:ascii="Arial" w:hAnsi="Arial" w:cs="Arial"/>
                <w:sz w:val="20"/>
                <w:szCs w:val="20"/>
              </w:rPr>
              <w:t>Armscor Dockyard</w:t>
            </w:r>
          </w:p>
        </w:tc>
        <w:tc>
          <w:tcPr>
            <w:tcW w:w="2977" w:type="dxa"/>
          </w:tcPr>
          <w:p w:rsidR="00554EDF" w:rsidRPr="000E7F48" w:rsidRDefault="00554EDF" w:rsidP="000E7F48">
            <w:pPr>
              <w:rPr>
                <w:rFonts w:ascii="Arial" w:hAnsi="Arial" w:cs="Arial"/>
                <w:sz w:val="20"/>
                <w:szCs w:val="20"/>
              </w:rPr>
            </w:pPr>
            <w:r w:rsidRPr="000E7F48">
              <w:rPr>
                <w:rFonts w:ascii="Arial" w:hAnsi="Arial" w:cs="Arial"/>
                <w:sz w:val="20"/>
                <w:szCs w:val="20"/>
              </w:rPr>
              <w:t>372</w:t>
            </w:r>
          </w:p>
        </w:tc>
        <w:tc>
          <w:tcPr>
            <w:tcW w:w="3543" w:type="dxa"/>
          </w:tcPr>
          <w:p w:rsidR="00554EDF" w:rsidRPr="000E7F48" w:rsidRDefault="00554EDF" w:rsidP="000E7F48">
            <w:pPr>
              <w:rPr>
                <w:rFonts w:ascii="Arial" w:hAnsi="Arial" w:cs="Arial"/>
                <w:sz w:val="20"/>
                <w:szCs w:val="20"/>
              </w:rPr>
            </w:pPr>
            <w:r w:rsidRPr="000E7F48">
              <w:rPr>
                <w:rFonts w:ascii="Arial" w:hAnsi="Arial" w:cs="Arial"/>
                <w:sz w:val="20"/>
                <w:szCs w:val="20"/>
              </w:rPr>
              <w:t>372</w:t>
            </w:r>
          </w:p>
        </w:tc>
      </w:tr>
      <w:tr w:rsidR="00554EDF" w:rsidRPr="000E7F48" w:rsidTr="001B3CCE">
        <w:trPr>
          <w:jc w:val="center"/>
        </w:trPr>
        <w:tc>
          <w:tcPr>
            <w:tcW w:w="2547" w:type="dxa"/>
            <w:shd w:val="clear" w:color="auto" w:fill="BFBFBF" w:themeFill="background1" w:themeFillShade="BF"/>
          </w:tcPr>
          <w:p w:rsidR="00554EDF" w:rsidRPr="000E7F48" w:rsidRDefault="00554EDF" w:rsidP="000E7F48">
            <w:pPr>
              <w:rPr>
                <w:rFonts w:ascii="Arial" w:hAnsi="Arial" w:cs="Arial"/>
                <w:b/>
                <w:sz w:val="20"/>
                <w:szCs w:val="20"/>
              </w:rPr>
            </w:pPr>
            <w:r w:rsidRPr="000E7F48">
              <w:rPr>
                <w:rFonts w:ascii="Arial" w:hAnsi="Arial" w:cs="Arial"/>
                <w:b/>
                <w:sz w:val="20"/>
                <w:szCs w:val="20"/>
              </w:rPr>
              <w:t>TOTAL</w:t>
            </w:r>
          </w:p>
        </w:tc>
        <w:tc>
          <w:tcPr>
            <w:tcW w:w="2977" w:type="dxa"/>
            <w:shd w:val="clear" w:color="auto" w:fill="BFBFBF" w:themeFill="background1" w:themeFillShade="BF"/>
          </w:tcPr>
          <w:p w:rsidR="00554EDF" w:rsidRPr="000E7F48" w:rsidRDefault="00554EDF" w:rsidP="000E7F48">
            <w:pPr>
              <w:rPr>
                <w:rFonts w:ascii="Arial" w:hAnsi="Arial" w:cs="Arial"/>
                <w:b/>
                <w:sz w:val="20"/>
                <w:szCs w:val="20"/>
              </w:rPr>
            </w:pPr>
            <w:r w:rsidRPr="000E7F48">
              <w:rPr>
                <w:rFonts w:ascii="Arial" w:hAnsi="Arial" w:cs="Arial"/>
                <w:b/>
                <w:sz w:val="20"/>
                <w:szCs w:val="20"/>
              </w:rPr>
              <w:t>1 348</w:t>
            </w:r>
          </w:p>
        </w:tc>
        <w:tc>
          <w:tcPr>
            <w:tcW w:w="3543" w:type="dxa"/>
            <w:shd w:val="clear" w:color="auto" w:fill="BFBFBF" w:themeFill="background1" w:themeFillShade="BF"/>
          </w:tcPr>
          <w:p w:rsidR="00554EDF" w:rsidRPr="000E7F48" w:rsidRDefault="00554EDF" w:rsidP="000E7F48">
            <w:pPr>
              <w:rPr>
                <w:rFonts w:ascii="Arial" w:hAnsi="Arial" w:cs="Arial"/>
                <w:b/>
                <w:sz w:val="20"/>
                <w:szCs w:val="20"/>
              </w:rPr>
            </w:pPr>
            <w:r w:rsidRPr="000E7F48">
              <w:rPr>
                <w:rFonts w:ascii="Arial" w:hAnsi="Arial" w:cs="Arial"/>
                <w:b/>
                <w:sz w:val="20"/>
                <w:szCs w:val="20"/>
              </w:rPr>
              <w:t>1 348</w:t>
            </w:r>
          </w:p>
        </w:tc>
      </w:tr>
    </w:tbl>
    <w:p w:rsidR="005E1318" w:rsidRPr="000E7F48" w:rsidRDefault="00FA22BD" w:rsidP="000E7F48">
      <w:pPr>
        <w:spacing w:after="0" w:line="240" w:lineRule="auto"/>
        <w:rPr>
          <w:rFonts w:ascii="Arial" w:hAnsi="Arial" w:cs="Arial"/>
          <w:b/>
          <w:sz w:val="20"/>
          <w:szCs w:val="20"/>
        </w:rPr>
      </w:pPr>
      <w:bookmarkStart w:id="20" w:name="_Toc37083649"/>
      <w:r w:rsidRPr="000E7F48">
        <w:rPr>
          <w:rFonts w:ascii="Arial" w:hAnsi="Arial" w:cs="Arial"/>
          <w:b/>
          <w:sz w:val="20"/>
          <w:szCs w:val="20"/>
        </w:rPr>
        <w:t xml:space="preserve">Table 2: </w:t>
      </w:r>
      <w:r w:rsidR="00554EDF" w:rsidRPr="000E7F48">
        <w:rPr>
          <w:rFonts w:ascii="Arial" w:hAnsi="Arial" w:cs="Arial"/>
          <w:b/>
          <w:sz w:val="20"/>
          <w:szCs w:val="20"/>
        </w:rPr>
        <w:t>Armscor p</w:t>
      </w:r>
      <w:r w:rsidRPr="000E7F48">
        <w:rPr>
          <w:rFonts w:ascii="Arial" w:hAnsi="Arial" w:cs="Arial"/>
          <w:b/>
          <w:sz w:val="20"/>
          <w:szCs w:val="20"/>
        </w:rPr>
        <w:t>ersonnel figure</w:t>
      </w:r>
      <w:r w:rsidR="00554EDF" w:rsidRPr="000E7F48">
        <w:rPr>
          <w:rFonts w:ascii="Arial" w:hAnsi="Arial" w:cs="Arial"/>
          <w:b/>
          <w:sz w:val="20"/>
          <w:szCs w:val="20"/>
        </w:rPr>
        <w:t>s</w:t>
      </w:r>
    </w:p>
    <w:p w:rsidR="00554EDF" w:rsidRPr="000E7F48" w:rsidRDefault="00554EDF" w:rsidP="000E7F48">
      <w:pPr>
        <w:spacing w:after="0" w:line="240" w:lineRule="auto"/>
        <w:rPr>
          <w:rFonts w:ascii="Arial" w:hAnsi="Arial" w:cs="Arial"/>
          <w:b/>
          <w:sz w:val="20"/>
          <w:szCs w:val="20"/>
        </w:rPr>
      </w:pPr>
    </w:p>
    <w:p w:rsidR="008D268C" w:rsidRPr="000E7F48" w:rsidRDefault="008D268C" w:rsidP="000E7F48">
      <w:pPr>
        <w:spacing w:after="0" w:line="240" w:lineRule="auto"/>
        <w:rPr>
          <w:rFonts w:ascii="Arial" w:hAnsi="Arial" w:cs="Arial"/>
          <w:b/>
          <w:sz w:val="20"/>
          <w:szCs w:val="20"/>
        </w:rPr>
      </w:pPr>
    </w:p>
    <w:p w:rsidR="00FA22BD" w:rsidRPr="000E7F48" w:rsidRDefault="00FA22BD" w:rsidP="000E7F48">
      <w:pPr>
        <w:spacing w:after="0" w:line="240" w:lineRule="auto"/>
        <w:rPr>
          <w:rFonts w:ascii="Arial" w:hAnsi="Arial" w:cs="Arial"/>
          <w:b/>
          <w:sz w:val="20"/>
          <w:szCs w:val="20"/>
        </w:rPr>
      </w:pPr>
      <w:r w:rsidRPr="000E7F48">
        <w:rPr>
          <w:rFonts w:ascii="Arial" w:hAnsi="Arial" w:cs="Arial"/>
          <w:b/>
          <w:sz w:val="20"/>
          <w:szCs w:val="20"/>
        </w:rPr>
        <w:t>6.</w:t>
      </w:r>
      <w:r w:rsidRPr="000E7F48">
        <w:rPr>
          <w:rFonts w:ascii="Arial" w:hAnsi="Arial" w:cs="Arial"/>
          <w:b/>
          <w:sz w:val="20"/>
          <w:szCs w:val="20"/>
        </w:rPr>
        <w:tab/>
        <w:t>SELECTED PERFORMANCE INDICATORS</w:t>
      </w:r>
      <w:bookmarkEnd w:id="20"/>
    </w:p>
    <w:p w:rsidR="00FA22BD" w:rsidRPr="000E7F48" w:rsidRDefault="00FA22BD" w:rsidP="000E7F48">
      <w:pPr>
        <w:keepNext/>
        <w:keepLines/>
        <w:spacing w:after="0" w:line="240" w:lineRule="auto"/>
        <w:outlineLvl w:val="1"/>
        <w:rPr>
          <w:rFonts w:ascii="Arial" w:eastAsiaTheme="majorEastAsia" w:hAnsi="Arial" w:cs="Arial"/>
          <w:b/>
          <w:sz w:val="20"/>
          <w:szCs w:val="20"/>
        </w:rPr>
      </w:pPr>
      <w:bookmarkStart w:id="21" w:name="_Toc37083650"/>
      <w:r w:rsidRPr="000E7F48">
        <w:rPr>
          <w:rFonts w:ascii="Arial" w:eastAsiaTheme="majorEastAsia" w:hAnsi="Arial" w:cs="Arial"/>
          <w:b/>
          <w:sz w:val="20"/>
          <w:szCs w:val="20"/>
        </w:rPr>
        <w:t>6.1</w:t>
      </w:r>
      <w:r w:rsidRPr="000E7F48">
        <w:rPr>
          <w:rFonts w:ascii="Arial" w:eastAsiaTheme="majorEastAsia" w:hAnsi="Arial" w:cs="Arial"/>
          <w:b/>
          <w:sz w:val="20"/>
          <w:szCs w:val="20"/>
        </w:rPr>
        <w:tab/>
        <w:t>Service delivery indicators</w:t>
      </w:r>
      <w:bookmarkEnd w:id="21"/>
    </w:p>
    <w:p w:rsidR="005E1318" w:rsidRPr="000E7F48" w:rsidRDefault="005E1318" w:rsidP="000E7F48">
      <w:pPr>
        <w:tabs>
          <w:tab w:val="left" w:pos="2460"/>
        </w:tabs>
        <w:spacing w:after="0" w:line="240" w:lineRule="auto"/>
        <w:rPr>
          <w:rFonts w:ascii="Arial" w:hAnsi="Arial" w:cs="Arial"/>
          <w:sz w:val="20"/>
          <w:szCs w:val="20"/>
        </w:rPr>
      </w:pPr>
    </w:p>
    <w:p w:rsidR="005E1318" w:rsidRPr="000E7F48" w:rsidRDefault="005E1318" w:rsidP="000E7F48">
      <w:pPr>
        <w:tabs>
          <w:tab w:val="left" w:pos="2460"/>
        </w:tabs>
        <w:spacing w:after="0" w:line="240" w:lineRule="auto"/>
        <w:rPr>
          <w:rFonts w:ascii="Arial" w:hAnsi="Arial" w:cs="Arial"/>
          <w:sz w:val="20"/>
          <w:szCs w:val="20"/>
        </w:rPr>
      </w:pPr>
      <w:r w:rsidRPr="000E7F48">
        <w:rPr>
          <w:rFonts w:ascii="Arial" w:hAnsi="Arial" w:cs="Arial"/>
          <w:sz w:val="20"/>
          <w:szCs w:val="20"/>
        </w:rPr>
        <w:t>The table below highlights a number of service delivery performance targets across Armscor’s six goals include the following:</w:t>
      </w:r>
    </w:p>
    <w:p w:rsidR="005E1318" w:rsidRPr="000E7F48" w:rsidRDefault="005E1318" w:rsidP="000E7F48">
      <w:pPr>
        <w:numPr>
          <w:ilvl w:val="0"/>
          <w:numId w:val="16"/>
        </w:numPr>
        <w:tabs>
          <w:tab w:val="left" w:pos="2460"/>
        </w:tabs>
        <w:spacing w:after="0" w:line="240" w:lineRule="auto"/>
        <w:rPr>
          <w:rFonts w:ascii="Arial" w:hAnsi="Arial" w:cs="Arial"/>
          <w:sz w:val="20"/>
          <w:szCs w:val="20"/>
        </w:rPr>
      </w:pPr>
      <w:r w:rsidRPr="000E7F48">
        <w:rPr>
          <w:rFonts w:ascii="Arial" w:hAnsi="Arial" w:cs="Arial"/>
          <w:sz w:val="20"/>
          <w:szCs w:val="20"/>
        </w:rPr>
        <w:t>Goal 1: Defence Materiel Acquisition.</w:t>
      </w:r>
    </w:p>
    <w:p w:rsidR="005E1318" w:rsidRPr="000E7F48" w:rsidRDefault="005E1318" w:rsidP="000E7F48">
      <w:pPr>
        <w:numPr>
          <w:ilvl w:val="0"/>
          <w:numId w:val="16"/>
        </w:numPr>
        <w:tabs>
          <w:tab w:val="left" w:pos="2460"/>
        </w:tabs>
        <w:spacing w:after="0" w:line="240" w:lineRule="auto"/>
        <w:rPr>
          <w:rFonts w:ascii="Arial" w:hAnsi="Arial" w:cs="Arial"/>
          <w:sz w:val="20"/>
          <w:szCs w:val="20"/>
        </w:rPr>
      </w:pPr>
      <w:r w:rsidRPr="000E7F48">
        <w:rPr>
          <w:rFonts w:ascii="Arial" w:hAnsi="Arial" w:cs="Arial"/>
          <w:sz w:val="20"/>
          <w:szCs w:val="20"/>
        </w:rPr>
        <w:t>Goal 2: System Support Acquisition</w:t>
      </w:r>
    </w:p>
    <w:p w:rsidR="005E1318" w:rsidRPr="000E7F48" w:rsidRDefault="005E1318" w:rsidP="000E7F48">
      <w:pPr>
        <w:numPr>
          <w:ilvl w:val="0"/>
          <w:numId w:val="16"/>
        </w:numPr>
        <w:tabs>
          <w:tab w:val="left" w:pos="2460"/>
        </w:tabs>
        <w:spacing w:after="0" w:line="240" w:lineRule="auto"/>
        <w:rPr>
          <w:rFonts w:ascii="Arial" w:hAnsi="Arial" w:cs="Arial"/>
          <w:sz w:val="20"/>
          <w:szCs w:val="20"/>
        </w:rPr>
      </w:pPr>
      <w:r w:rsidRPr="000E7F48">
        <w:rPr>
          <w:rFonts w:ascii="Arial" w:hAnsi="Arial" w:cs="Arial"/>
          <w:sz w:val="20"/>
          <w:szCs w:val="20"/>
        </w:rPr>
        <w:t>Goal 3: Schedule placement</w:t>
      </w:r>
    </w:p>
    <w:p w:rsidR="005E1318" w:rsidRPr="000E7F48" w:rsidRDefault="005E1318" w:rsidP="000E7F48">
      <w:pPr>
        <w:numPr>
          <w:ilvl w:val="0"/>
          <w:numId w:val="16"/>
        </w:numPr>
        <w:tabs>
          <w:tab w:val="left" w:pos="2460"/>
        </w:tabs>
        <w:spacing w:after="0" w:line="240" w:lineRule="auto"/>
        <w:rPr>
          <w:rFonts w:ascii="Arial" w:hAnsi="Arial" w:cs="Arial"/>
          <w:sz w:val="20"/>
          <w:szCs w:val="20"/>
        </w:rPr>
      </w:pPr>
      <w:r w:rsidRPr="000E7F48">
        <w:rPr>
          <w:rFonts w:ascii="Arial" w:hAnsi="Arial" w:cs="Arial"/>
          <w:sz w:val="20"/>
          <w:szCs w:val="20"/>
        </w:rPr>
        <w:t>Goal 4: Management of Defence Industrial Participation (DIP)</w:t>
      </w:r>
    </w:p>
    <w:p w:rsidR="005E1318" w:rsidRPr="000E7F48" w:rsidRDefault="005E1318" w:rsidP="000E7F48">
      <w:pPr>
        <w:numPr>
          <w:ilvl w:val="0"/>
          <w:numId w:val="16"/>
        </w:numPr>
        <w:tabs>
          <w:tab w:val="left" w:pos="2460"/>
        </w:tabs>
        <w:spacing w:after="0" w:line="240" w:lineRule="auto"/>
        <w:rPr>
          <w:rFonts w:ascii="Arial" w:hAnsi="Arial" w:cs="Arial"/>
          <w:sz w:val="20"/>
          <w:szCs w:val="20"/>
        </w:rPr>
      </w:pPr>
      <w:r w:rsidRPr="000E7F48">
        <w:rPr>
          <w:rFonts w:ascii="Arial" w:hAnsi="Arial" w:cs="Arial"/>
          <w:sz w:val="20"/>
          <w:szCs w:val="20"/>
        </w:rPr>
        <w:t>Goal 5: Defence technology research, test and evaluation; Intellectual Property management</w:t>
      </w:r>
    </w:p>
    <w:p w:rsidR="00FA22BD" w:rsidRPr="000E7F48" w:rsidRDefault="005E1318" w:rsidP="000E7F48">
      <w:pPr>
        <w:numPr>
          <w:ilvl w:val="0"/>
          <w:numId w:val="16"/>
        </w:numPr>
        <w:tabs>
          <w:tab w:val="left" w:pos="2460"/>
        </w:tabs>
        <w:spacing w:after="0" w:line="240" w:lineRule="auto"/>
        <w:rPr>
          <w:rFonts w:ascii="Arial" w:hAnsi="Arial" w:cs="Arial"/>
          <w:sz w:val="20"/>
          <w:szCs w:val="20"/>
        </w:rPr>
      </w:pPr>
      <w:r w:rsidRPr="000E7F48">
        <w:rPr>
          <w:rFonts w:ascii="Arial" w:hAnsi="Arial" w:cs="Arial"/>
          <w:sz w:val="20"/>
          <w:szCs w:val="20"/>
        </w:rPr>
        <w:t>Goal 6: Performance against Dockyard Mandate</w:t>
      </w:r>
      <w:r w:rsidR="00FA22BD" w:rsidRPr="000E7F48">
        <w:rPr>
          <w:rFonts w:ascii="Arial" w:hAnsi="Arial" w:cs="Arial"/>
          <w:sz w:val="20"/>
          <w:szCs w:val="20"/>
        </w:rPr>
        <w:tab/>
      </w:r>
    </w:p>
    <w:p w:rsidR="005E1318" w:rsidRPr="000E7F48" w:rsidRDefault="005E1318" w:rsidP="000E7F48">
      <w:pPr>
        <w:tabs>
          <w:tab w:val="left" w:pos="2460"/>
        </w:tabs>
        <w:spacing w:after="0" w:line="240" w:lineRule="auto"/>
        <w:rPr>
          <w:rFonts w:ascii="Arial" w:hAnsi="Arial" w:cs="Arial"/>
          <w:b/>
          <w:sz w:val="20"/>
          <w:szCs w:val="20"/>
        </w:rPr>
      </w:pPr>
    </w:p>
    <w:tbl>
      <w:tblPr>
        <w:tblStyle w:val="TableGrid"/>
        <w:tblW w:w="10260" w:type="dxa"/>
        <w:tblInd w:w="-635" w:type="dxa"/>
        <w:tblLook w:val="04A0"/>
      </w:tblPr>
      <w:tblGrid>
        <w:gridCol w:w="1450"/>
        <w:gridCol w:w="4070"/>
        <w:gridCol w:w="1602"/>
        <w:gridCol w:w="1613"/>
        <w:gridCol w:w="1525"/>
      </w:tblGrid>
      <w:tr w:rsidR="00554EDF" w:rsidRPr="000E7F48" w:rsidTr="00E34EBC">
        <w:trPr>
          <w:tblHeader/>
        </w:trPr>
        <w:tc>
          <w:tcPr>
            <w:tcW w:w="1450"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Goal</w:t>
            </w:r>
          </w:p>
        </w:tc>
        <w:tc>
          <w:tcPr>
            <w:tcW w:w="4070"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Performance indicator</w:t>
            </w:r>
          </w:p>
        </w:tc>
        <w:tc>
          <w:tcPr>
            <w:tcW w:w="1602"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2021/22</w:t>
            </w:r>
          </w:p>
          <w:p w:rsidR="00554EDF" w:rsidRPr="000E7F48" w:rsidRDefault="00554EDF" w:rsidP="000E7F48">
            <w:pPr>
              <w:rPr>
                <w:rFonts w:ascii="Arial" w:hAnsi="Arial" w:cs="Arial"/>
                <w:b/>
                <w:sz w:val="20"/>
                <w:szCs w:val="20"/>
              </w:rPr>
            </w:pPr>
            <w:r w:rsidRPr="000E7F48">
              <w:rPr>
                <w:rFonts w:ascii="Arial" w:hAnsi="Arial" w:cs="Arial"/>
                <w:b/>
                <w:sz w:val="20"/>
                <w:szCs w:val="20"/>
              </w:rPr>
              <w:t xml:space="preserve"> Achievement</w:t>
            </w:r>
          </w:p>
        </w:tc>
        <w:tc>
          <w:tcPr>
            <w:tcW w:w="1613"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 xml:space="preserve">2022/23 </w:t>
            </w:r>
          </w:p>
          <w:p w:rsidR="00554EDF" w:rsidRPr="000E7F48" w:rsidRDefault="00554EDF" w:rsidP="000E7F48">
            <w:pPr>
              <w:rPr>
                <w:rFonts w:ascii="Arial" w:hAnsi="Arial" w:cs="Arial"/>
                <w:b/>
                <w:sz w:val="20"/>
                <w:szCs w:val="20"/>
              </w:rPr>
            </w:pPr>
            <w:r w:rsidRPr="000E7F48">
              <w:rPr>
                <w:rFonts w:ascii="Arial" w:hAnsi="Arial" w:cs="Arial"/>
                <w:b/>
                <w:sz w:val="20"/>
                <w:szCs w:val="20"/>
              </w:rPr>
              <w:t>Target</w:t>
            </w:r>
          </w:p>
        </w:tc>
        <w:tc>
          <w:tcPr>
            <w:tcW w:w="1525"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 xml:space="preserve">2023/24 </w:t>
            </w:r>
          </w:p>
          <w:p w:rsidR="00554EDF" w:rsidRPr="000E7F48" w:rsidRDefault="00554EDF" w:rsidP="000E7F48">
            <w:pPr>
              <w:rPr>
                <w:rFonts w:ascii="Arial" w:hAnsi="Arial" w:cs="Arial"/>
                <w:b/>
                <w:sz w:val="20"/>
                <w:szCs w:val="20"/>
              </w:rPr>
            </w:pPr>
            <w:r w:rsidRPr="000E7F48">
              <w:rPr>
                <w:rFonts w:ascii="Arial" w:hAnsi="Arial" w:cs="Arial"/>
                <w:b/>
                <w:sz w:val="20"/>
                <w:szCs w:val="20"/>
              </w:rPr>
              <w:t>Target</w:t>
            </w:r>
          </w:p>
        </w:tc>
      </w:tr>
      <w:tr w:rsidR="00554EDF" w:rsidRPr="000E7F48" w:rsidTr="00E34EBC">
        <w:trPr>
          <w:trHeight w:val="698"/>
        </w:trPr>
        <w:tc>
          <w:tcPr>
            <w:tcW w:w="1450" w:type="dxa"/>
            <w:vMerge w:val="restart"/>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t>1</w:t>
            </w:r>
          </w:p>
          <w:p w:rsidR="00554EDF" w:rsidRPr="000E7F48" w:rsidRDefault="00554EDF" w:rsidP="000E7F48">
            <w:pPr>
              <w:rPr>
                <w:rFonts w:ascii="Arial" w:hAnsi="Arial" w:cs="Arial"/>
                <w:sz w:val="20"/>
                <w:szCs w:val="20"/>
              </w:rPr>
            </w:pPr>
            <w:r w:rsidRPr="000E7F48">
              <w:rPr>
                <w:rFonts w:ascii="Arial" w:hAnsi="Arial" w:cs="Arial"/>
                <w:sz w:val="20"/>
                <w:szCs w:val="20"/>
              </w:rPr>
              <w:t>(Defence Materiel acquisition)</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Percentage of DOD capital requirements converted into orders placed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 xml:space="preserve">100% </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r>
      <w:tr w:rsidR="00554EDF" w:rsidRPr="000E7F48" w:rsidTr="00E34EBC">
        <w:trPr>
          <w:trHeight w:val="709"/>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Execution of contracts measured through cash flow on DOD orders placed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107.42%</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r>
      <w:tr w:rsidR="00554EDF" w:rsidRPr="000E7F48" w:rsidTr="00E34EBC">
        <w:trPr>
          <w:trHeight w:val="973"/>
        </w:trPr>
        <w:tc>
          <w:tcPr>
            <w:tcW w:w="1450" w:type="dxa"/>
            <w:vMerge w:val="restart"/>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t>2</w:t>
            </w:r>
          </w:p>
          <w:p w:rsidR="00554EDF" w:rsidRPr="000E7F48" w:rsidRDefault="00554EDF" w:rsidP="000E7F48">
            <w:pPr>
              <w:rPr>
                <w:rFonts w:ascii="Arial" w:hAnsi="Arial" w:cs="Arial"/>
                <w:sz w:val="20"/>
                <w:szCs w:val="20"/>
              </w:rPr>
            </w:pPr>
            <w:r w:rsidRPr="000E7F48">
              <w:rPr>
                <w:rFonts w:ascii="Arial" w:hAnsi="Arial" w:cs="Arial"/>
                <w:sz w:val="20"/>
                <w:szCs w:val="20"/>
              </w:rPr>
              <w:t>(System Support Acquisition)</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Percentage of DOD system support and procurement requirements converted into orders placed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96.0%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r>
      <w:tr w:rsidR="00554EDF" w:rsidRPr="000E7F48" w:rsidTr="00E34EBC">
        <w:trPr>
          <w:trHeight w:val="703"/>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Execution of contracts measured through cash flow on DOD orders placed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103.2%</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r>
      <w:tr w:rsidR="00554EDF" w:rsidRPr="000E7F48" w:rsidTr="00E34EBC">
        <w:tc>
          <w:tcPr>
            <w:tcW w:w="1450" w:type="dxa"/>
            <w:shd w:val="clear" w:color="auto" w:fill="FFFFFF" w:themeFill="background1"/>
          </w:tcPr>
          <w:p w:rsidR="00554EDF" w:rsidRPr="000E7F48" w:rsidRDefault="00554EDF" w:rsidP="000E7F48">
            <w:pPr>
              <w:rPr>
                <w:rFonts w:ascii="Arial" w:hAnsi="Arial" w:cs="Arial"/>
                <w:b/>
                <w:sz w:val="20"/>
                <w:szCs w:val="20"/>
              </w:rPr>
            </w:pPr>
          </w:p>
          <w:p w:rsidR="00554EDF" w:rsidRPr="000E7F48" w:rsidRDefault="00554EDF" w:rsidP="000E7F48">
            <w:pPr>
              <w:rPr>
                <w:rFonts w:ascii="Arial" w:hAnsi="Arial" w:cs="Arial"/>
                <w:b/>
                <w:sz w:val="20"/>
                <w:szCs w:val="20"/>
              </w:rPr>
            </w:pPr>
          </w:p>
          <w:p w:rsidR="00554EDF" w:rsidRPr="000E7F48" w:rsidRDefault="00554EDF" w:rsidP="000E7F48">
            <w:pPr>
              <w:rPr>
                <w:rFonts w:ascii="Arial" w:hAnsi="Arial" w:cs="Arial"/>
                <w:b/>
                <w:sz w:val="20"/>
                <w:szCs w:val="20"/>
              </w:rPr>
            </w:pPr>
          </w:p>
          <w:p w:rsidR="00554EDF" w:rsidRPr="000E7F48" w:rsidRDefault="00554EDF" w:rsidP="000E7F48">
            <w:pPr>
              <w:rPr>
                <w:rFonts w:ascii="Arial" w:hAnsi="Arial" w:cs="Arial"/>
                <w:b/>
                <w:sz w:val="20"/>
                <w:szCs w:val="20"/>
              </w:rPr>
            </w:pPr>
            <w:r w:rsidRPr="000E7F48">
              <w:rPr>
                <w:rFonts w:ascii="Arial" w:hAnsi="Arial" w:cs="Arial"/>
                <w:b/>
                <w:sz w:val="20"/>
                <w:szCs w:val="20"/>
              </w:rPr>
              <w:t>3</w:t>
            </w:r>
          </w:p>
          <w:p w:rsidR="00554EDF" w:rsidRPr="000E7F48" w:rsidRDefault="00554EDF" w:rsidP="000E7F48">
            <w:pPr>
              <w:rPr>
                <w:rFonts w:ascii="Arial" w:hAnsi="Arial" w:cs="Arial"/>
                <w:sz w:val="20"/>
                <w:szCs w:val="20"/>
              </w:rPr>
            </w:pPr>
            <w:r w:rsidRPr="000E7F48">
              <w:rPr>
                <w:rFonts w:ascii="Arial" w:hAnsi="Arial" w:cs="Arial"/>
                <w:sz w:val="20"/>
                <w:szCs w:val="20"/>
              </w:rPr>
              <w:t>(Schedule placement)</w:t>
            </w:r>
          </w:p>
        </w:tc>
        <w:tc>
          <w:tcPr>
            <w:tcW w:w="4070" w:type="dxa"/>
            <w:shd w:val="clear" w:color="auto" w:fill="FFFFFF" w:themeFill="background1"/>
          </w:tcPr>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Average time from receipt of requirement to placement of contract</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78 days for shortened process items</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74 days for standard acquisition</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128 days for SDA programmes</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 days for shortened process items</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120 days for standard acquisition</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140 days for SDA programmes</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 days for shortened process items</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120 days for standard acquisition</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r w:rsidRPr="000E7F48">
              <w:rPr>
                <w:rFonts w:ascii="Arial" w:hAnsi="Arial" w:cs="Arial"/>
                <w:sz w:val="20"/>
                <w:szCs w:val="20"/>
              </w:rPr>
              <w:t>140 days for SDA programmes</w:t>
            </w:r>
          </w:p>
        </w:tc>
      </w:tr>
      <w:tr w:rsidR="00554EDF" w:rsidRPr="000E7F48" w:rsidTr="00E34EBC">
        <w:tc>
          <w:tcPr>
            <w:tcW w:w="1450" w:type="dxa"/>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t>4</w:t>
            </w:r>
          </w:p>
          <w:p w:rsidR="00554EDF" w:rsidRPr="000E7F48" w:rsidRDefault="00554EDF" w:rsidP="000E7F48">
            <w:pPr>
              <w:rPr>
                <w:rFonts w:ascii="Arial" w:hAnsi="Arial" w:cs="Arial"/>
                <w:sz w:val="20"/>
                <w:szCs w:val="20"/>
              </w:rPr>
            </w:pPr>
            <w:r w:rsidRPr="000E7F48">
              <w:rPr>
                <w:rFonts w:ascii="Arial" w:hAnsi="Arial" w:cs="Arial"/>
                <w:sz w:val="20"/>
                <w:szCs w:val="20"/>
              </w:rPr>
              <w:t>(DIP Management)</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Value of Defence Industrial Participation (DIP) credits granted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R260.4 million</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R111.3 million</w:t>
            </w:r>
          </w:p>
          <w:p w:rsidR="00554EDF" w:rsidRPr="000E7F48" w:rsidRDefault="00554EDF" w:rsidP="000E7F48">
            <w:pPr>
              <w:rPr>
                <w:rFonts w:ascii="Arial" w:hAnsi="Arial" w:cs="Arial"/>
                <w:sz w:val="20"/>
                <w:szCs w:val="20"/>
              </w:rPr>
            </w:pP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R50.3 million</w:t>
            </w:r>
          </w:p>
        </w:tc>
      </w:tr>
      <w:tr w:rsidR="00554EDF" w:rsidRPr="000E7F48" w:rsidTr="00E34EBC">
        <w:tc>
          <w:tcPr>
            <w:tcW w:w="1450" w:type="dxa"/>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t>5</w:t>
            </w:r>
          </w:p>
          <w:p w:rsidR="00554EDF" w:rsidRPr="000E7F48" w:rsidRDefault="00554EDF" w:rsidP="000E7F48">
            <w:pPr>
              <w:rPr>
                <w:rFonts w:ascii="Arial" w:hAnsi="Arial" w:cs="Arial"/>
                <w:sz w:val="20"/>
                <w:szCs w:val="20"/>
              </w:rPr>
            </w:pPr>
            <w:r w:rsidRPr="000E7F48">
              <w:rPr>
                <w:rFonts w:ascii="Arial" w:hAnsi="Arial" w:cs="Arial"/>
                <w:sz w:val="20"/>
                <w:szCs w:val="20"/>
              </w:rPr>
              <w:t xml:space="preserve">(Defence Technology </w:t>
            </w:r>
            <w:r w:rsidRPr="000E7F48">
              <w:rPr>
                <w:rFonts w:ascii="Arial" w:hAnsi="Arial" w:cs="Arial"/>
                <w:sz w:val="20"/>
                <w:szCs w:val="20"/>
              </w:rPr>
              <w:lastRenderedPageBreak/>
              <w:t>and Research)</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lastRenderedPageBreak/>
              <w:t>Percentage of execution of technology requirements</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97.86%</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r>
      <w:tr w:rsidR="00554EDF" w:rsidRPr="000E7F48" w:rsidTr="00E34EBC">
        <w:tc>
          <w:tcPr>
            <w:tcW w:w="1450" w:type="dxa"/>
            <w:vMerge w:val="restart"/>
            <w:shd w:val="clear" w:color="auto" w:fill="FFFFFF" w:themeFill="background1"/>
          </w:tcPr>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b/>
                <w:sz w:val="20"/>
                <w:szCs w:val="20"/>
              </w:rPr>
            </w:pPr>
            <w:r w:rsidRPr="000E7F48">
              <w:rPr>
                <w:rFonts w:ascii="Arial" w:hAnsi="Arial" w:cs="Arial"/>
                <w:b/>
                <w:sz w:val="20"/>
                <w:szCs w:val="20"/>
              </w:rPr>
              <w:t>6</w:t>
            </w:r>
          </w:p>
          <w:p w:rsidR="00554EDF" w:rsidRPr="000E7F48" w:rsidRDefault="00554EDF" w:rsidP="000E7F48">
            <w:pPr>
              <w:rPr>
                <w:rFonts w:ascii="Arial" w:hAnsi="Arial" w:cs="Arial"/>
                <w:sz w:val="20"/>
                <w:szCs w:val="20"/>
              </w:rPr>
            </w:pPr>
            <w:r w:rsidRPr="000E7F48">
              <w:rPr>
                <w:rFonts w:ascii="Arial" w:hAnsi="Arial" w:cs="Arial"/>
                <w:sz w:val="20"/>
                <w:szCs w:val="20"/>
              </w:rPr>
              <w:t>(Dockyard Management)</w:t>
            </w:r>
          </w:p>
          <w:p w:rsidR="00554EDF" w:rsidRPr="000E7F48" w:rsidRDefault="00554EDF" w:rsidP="000E7F48">
            <w:pPr>
              <w:rPr>
                <w:rFonts w:ascii="Arial" w:hAnsi="Arial" w:cs="Arial"/>
                <w:sz w:val="20"/>
                <w:szCs w:val="20"/>
              </w:rPr>
            </w:pPr>
          </w:p>
          <w:p w:rsidR="00554EDF" w:rsidRPr="000E7F48" w:rsidRDefault="00554EDF" w:rsidP="000E7F48">
            <w:pPr>
              <w:rPr>
                <w:rFonts w:ascii="Arial" w:hAnsi="Arial" w:cs="Arial"/>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Adherence to contractual project tasking and job cards executed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82.0%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r>
      <w:tr w:rsidR="00554EDF" w:rsidRPr="000E7F48" w:rsidTr="00E34EBC">
        <w:tc>
          <w:tcPr>
            <w:tcW w:w="1450" w:type="dxa"/>
            <w:vMerge/>
            <w:shd w:val="clear" w:color="auto" w:fill="FFFFFF" w:themeFill="background1"/>
          </w:tcPr>
          <w:p w:rsidR="00554EDF" w:rsidRPr="000E7F48" w:rsidRDefault="00554EDF" w:rsidP="000E7F48">
            <w:pPr>
              <w:rPr>
                <w:rFonts w:ascii="Arial" w:hAnsi="Arial" w:cs="Arial"/>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Percentage compliance to project finance</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50%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r>
      <w:tr w:rsidR="00554EDF" w:rsidRPr="000E7F48" w:rsidTr="00E34EBC">
        <w:tc>
          <w:tcPr>
            <w:tcW w:w="1450" w:type="dxa"/>
            <w:vMerge/>
            <w:shd w:val="clear" w:color="auto" w:fill="FFFFFF" w:themeFill="background1"/>
          </w:tcPr>
          <w:p w:rsidR="00554EDF" w:rsidRPr="000E7F48" w:rsidRDefault="00554EDF" w:rsidP="000E7F48">
            <w:pPr>
              <w:rPr>
                <w:rFonts w:ascii="Arial" w:hAnsi="Arial" w:cs="Arial"/>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Provision of Ancillary Services to the SA Navy</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95%</w:t>
            </w:r>
          </w:p>
        </w:tc>
      </w:tr>
      <w:tr w:rsidR="00554EDF" w:rsidRPr="000E7F48" w:rsidTr="00E34EBC">
        <w:tc>
          <w:tcPr>
            <w:tcW w:w="1450" w:type="dxa"/>
            <w:vMerge/>
            <w:shd w:val="clear" w:color="auto" w:fill="FFFFFF" w:themeFill="background1"/>
          </w:tcPr>
          <w:p w:rsidR="00554EDF" w:rsidRPr="000E7F48" w:rsidRDefault="00554EDF" w:rsidP="000E7F48">
            <w:pPr>
              <w:rPr>
                <w:rFonts w:ascii="Arial" w:hAnsi="Arial" w:cs="Arial"/>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Ensure training is provided in accordance with the requirements of the SA Navy</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r>
      <w:tr w:rsidR="00554EDF" w:rsidRPr="000E7F48" w:rsidTr="00E34EBC">
        <w:tc>
          <w:tcPr>
            <w:tcW w:w="1450" w:type="dxa"/>
            <w:vMerge/>
            <w:shd w:val="clear" w:color="auto" w:fill="FFFFFF" w:themeFill="background1"/>
          </w:tcPr>
          <w:p w:rsidR="00554EDF" w:rsidRPr="000E7F48" w:rsidRDefault="00554EDF" w:rsidP="000E7F48">
            <w:pPr>
              <w:rPr>
                <w:rFonts w:ascii="Arial" w:hAnsi="Arial" w:cs="Arial"/>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Percentage compliance with quarterly report timelines</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c>
          <w:tcPr>
            <w:tcW w:w="1525"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r>
    </w:tbl>
    <w:p w:rsidR="00FA22BD" w:rsidRPr="000E7F48" w:rsidRDefault="00FA22BD" w:rsidP="000E7F48">
      <w:pPr>
        <w:spacing w:after="0" w:line="240" w:lineRule="auto"/>
        <w:rPr>
          <w:rFonts w:ascii="Arial" w:hAnsi="Arial" w:cs="Arial"/>
          <w:sz w:val="20"/>
          <w:szCs w:val="20"/>
        </w:rPr>
      </w:pPr>
      <w:r w:rsidRPr="000E7F48">
        <w:rPr>
          <w:rFonts w:ascii="Arial" w:hAnsi="Arial" w:cs="Arial"/>
          <w:b/>
          <w:sz w:val="20"/>
          <w:szCs w:val="20"/>
        </w:rPr>
        <w:t>Table 3: Selected performance indicators per Armscor goal</w:t>
      </w:r>
      <w:bookmarkStart w:id="22" w:name="_Toc37083651"/>
    </w:p>
    <w:p w:rsidR="00570E82" w:rsidRPr="000E7F48" w:rsidRDefault="00570E82" w:rsidP="000E7F48">
      <w:pPr>
        <w:spacing w:after="0" w:line="240" w:lineRule="auto"/>
        <w:rPr>
          <w:rFonts w:ascii="Arial" w:hAnsi="Arial" w:cs="Arial"/>
          <w:sz w:val="20"/>
          <w:szCs w:val="20"/>
        </w:rPr>
      </w:pPr>
    </w:p>
    <w:p w:rsidR="00554EDF" w:rsidRPr="000E7F48" w:rsidRDefault="00554EDF" w:rsidP="000E7F48">
      <w:pPr>
        <w:spacing w:after="0" w:line="240" w:lineRule="auto"/>
        <w:rPr>
          <w:rFonts w:ascii="Arial" w:hAnsi="Arial" w:cs="Arial"/>
          <w:sz w:val="20"/>
          <w:szCs w:val="20"/>
        </w:rPr>
      </w:pPr>
      <w:r w:rsidRPr="000E7F48">
        <w:rPr>
          <w:rFonts w:ascii="Arial" w:hAnsi="Arial" w:cs="Arial"/>
          <w:sz w:val="20"/>
          <w:szCs w:val="20"/>
        </w:rPr>
        <w:t xml:space="preserve">Key Performance Indicators (KPI) contained in departmental and entity APPs are essential tools in ensuring departmental accountability and are therefore central to parliamentary oversight. KPI’s should be designed according to the SMART principle in that it should be </w:t>
      </w:r>
      <w:r w:rsidRPr="000E7F48">
        <w:rPr>
          <w:rFonts w:ascii="Arial" w:hAnsi="Arial" w:cs="Arial"/>
          <w:bCs/>
          <w:sz w:val="20"/>
          <w:szCs w:val="20"/>
        </w:rPr>
        <w:t>Specific, Measurable, Attainable, Relevant, and Time-Bound</w:t>
      </w:r>
      <w:r w:rsidRPr="000E7F48">
        <w:rPr>
          <w:rFonts w:ascii="Arial" w:hAnsi="Arial" w:cs="Arial"/>
          <w:sz w:val="20"/>
          <w:szCs w:val="20"/>
        </w:rPr>
        <w:t xml:space="preserve">. Armscor’s targets noted above conform very well to the SMART principles required. It also offers a broad overview of the entity’s strategic outputs when additional targets are considered. </w:t>
      </w:r>
    </w:p>
    <w:p w:rsidR="00554EDF" w:rsidRPr="000E7F48" w:rsidRDefault="00554EDF" w:rsidP="000E7F48">
      <w:pPr>
        <w:spacing w:after="0" w:line="240" w:lineRule="auto"/>
        <w:rPr>
          <w:rFonts w:ascii="Arial" w:hAnsi="Arial" w:cs="Arial"/>
          <w:sz w:val="20"/>
          <w:szCs w:val="20"/>
        </w:rPr>
      </w:pPr>
    </w:p>
    <w:p w:rsidR="00554EDF" w:rsidRPr="000E7F48" w:rsidRDefault="00554EDF" w:rsidP="000E7F48">
      <w:pPr>
        <w:spacing w:after="0" w:line="240" w:lineRule="auto"/>
        <w:rPr>
          <w:rFonts w:ascii="Arial" w:hAnsi="Arial" w:cs="Arial"/>
          <w:sz w:val="20"/>
          <w:szCs w:val="20"/>
        </w:rPr>
      </w:pPr>
      <w:r w:rsidRPr="000E7F48">
        <w:rPr>
          <w:rFonts w:ascii="Arial" w:hAnsi="Arial" w:cs="Arial"/>
          <w:sz w:val="20"/>
          <w:szCs w:val="20"/>
        </w:rPr>
        <w:t>Armscor states in its APP that it “aspires to settle all payable invoices within 30 days upon receipt thereof.”</w:t>
      </w:r>
      <w:r w:rsidRPr="000E7F48">
        <w:rPr>
          <w:rFonts w:ascii="Arial" w:hAnsi="Arial" w:cs="Arial"/>
          <w:sz w:val="20"/>
          <w:szCs w:val="20"/>
          <w:vertAlign w:val="superscript"/>
        </w:rPr>
        <w:footnoteReference w:id="5"/>
      </w:r>
      <w:r w:rsidRPr="000E7F48">
        <w:rPr>
          <w:rFonts w:ascii="Arial" w:hAnsi="Arial" w:cs="Arial"/>
          <w:sz w:val="20"/>
          <w:szCs w:val="20"/>
        </w:rPr>
        <w:t xml:space="preserve"> There is, however, no KPI in this regard that will allow the PCDMV to track compliance with National Treasury regulations on payments within 30 days.</w:t>
      </w:r>
    </w:p>
    <w:p w:rsidR="00554EDF" w:rsidRPr="000E7F48" w:rsidRDefault="00554EDF" w:rsidP="000E7F48">
      <w:pPr>
        <w:spacing w:after="0" w:line="240" w:lineRule="auto"/>
        <w:rPr>
          <w:rFonts w:ascii="Arial" w:hAnsi="Arial" w:cs="Arial"/>
          <w:sz w:val="20"/>
          <w:szCs w:val="20"/>
        </w:rPr>
      </w:pPr>
    </w:p>
    <w:p w:rsidR="00FA22BD" w:rsidRPr="000E7F48" w:rsidRDefault="00FA22BD" w:rsidP="000E7F48">
      <w:pPr>
        <w:keepNext/>
        <w:keepLines/>
        <w:spacing w:after="0" w:line="240" w:lineRule="auto"/>
        <w:outlineLvl w:val="1"/>
        <w:rPr>
          <w:rFonts w:ascii="Arial" w:eastAsiaTheme="majorEastAsia" w:hAnsi="Arial" w:cs="Arial"/>
          <w:b/>
          <w:sz w:val="20"/>
          <w:szCs w:val="20"/>
        </w:rPr>
      </w:pPr>
      <w:r w:rsidRPr="000E7F48">
        <w:rPr>
          <w:rFonts w:ascii="Arial" w:eastAsiaTheme="majorEastAsia" w:hAnsi="Arial" w:cs="Arial"/>
          <w:b/>
          <w:sz w:val="20"/>
          <w:szCs w:val="20"/>
        </w:rPr>
        <w:t>6.2</w:t>
      </w:r>
      <w:r w:rsidRPr="000E7F48">
        <w:rPr>
          <w:rFonts w:ascii="Arial" w:eastAsiaTheme="majorEastAsia" w:hAnsi="Arial" w:cs="Arial"/>
          <w:b/>
          <w:sz w:val="20"/>
          <w:szCs w:val="20"/>
        </w:rPr>
        <w:tab/>
        <w:t>Armscor strategic outputs</w:t>
      </w:r>
      <w:bookmarkEnd w:id="22"/>
    </w:p>
    <w:p w:rsidR="005E1318" w:rsidRPr="000E7F48" w:rsidRDefault="005E1318" w:rsidP="000E7F48">
      <w:pPr>
        <w:tabs>
          <w:tab w:val="left" w:pos="2460"/>
        </w:tabs>
        <w:spacing w:after="0" w:line="240" w:lineRule="auto"/>
        <w:rPr>
          <w:rFonts w:ascii="Arial" w:hAnsi="Arial" w:cs="Arial"/>
          <w:sz w:val="20"/>
          <w:szCs w:val="20"/>
        </w:rPr>
      </w:pPr>
      <w:r w:rsidRPr="000E7F48">
        <w:rPr>
          <w:rFonts w:ascii="Arial" w:hAnsi="Arial" w:cs="Arial"/>
          <w:sz w:val="20"/>
          <w:szCs w:val="20"/>
        </w:rPr>
        <w:t>In addition to the service delivery performance indicators, Armscor also set itself a number of targets in terms of its strategic output. These are summarised in the table below:</w:t>
      </w:r>
    </w:p>
    <w:p w:rsidR="00FA22BD" w:rsidRPr="000E7F48" w:rsidRDefault="00FA22BD" w:rsidP="000E7F48">
      <w:pPr>
        <w:tabs>
          <w:tab w:val="left" w:pos="2460"/>
        </w:tabs>
        <w:spacing w:after="0" w:line="240" w:lineRule="auto"/>
        <w:rPr>
          <w:rFonts w:ascii="Arial" w:hAnsi="Arial" w:cs="Arial"/>
          <w:b/>
          <w:sz w:val="20"/>
          <w:szCs w:val="20"/>
        </w:rPr>
      </w:pPr>
    </w:p>
    <w:tbl>
      <w:tblPr>
        <w:tblStyle w:val="TableGrid"/>
        <w:tblW w:w="10411" w:type="dxa"/>
        <w:tblInd w:w="-635" w:type="dxa"/>
        <w:tblLook w:val="04A0"/>
      </w:tblPr>
      <w:tblGrid>
        <w:gridCol w:w="1450"/>
        <w:gridCol w:w="4070"/>
        <w:gridCol w:w="1602"/>
        <w:gridCol w:w="1613"/>
        <w:gridCol w:w="1676"/>
      </w:tblGrid>
      <w:tr w:rsidR="00554EDF" w:rsidRPr="000E7F48" w:rsidTr="00E34EBC">
        <w:trPr>
          <w:tblHeader/>
        </w:trPr>
        <w:tc>
          <w:tcPr>
            <w:tcW w:w="1450"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Outcome</w:t>
            </w:r>
          </w:p>
        </w:tc>
        <w:tc>
          <w:tcPr>
            <w:tcW w:w="4070"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Output</w:t>
            </w:r>
          </w:p>
        </w:tc>
        <w:tc>
          <w:tcPr>
            <w:tcW w:w="1602"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2021/22</w:t>
            </w:r>
          </w:p>
          <w:p w:rsidR="00554EDF" w:rsidRPr="000E7F48" w:rsidRDefault="00554EDF" w:rsidP="000E7F48">
            <w:pPr>
              <w:rPr>
                <w:rFonts w:ascii="Arial" w:hAnsi="Arial" w:cs="Arial"/>
                <w:b/>
                <w:sz w:val="20"/>
                <w:szCs w:val="20"/>
              </w:rPr>
            </w:pPr>
            <w:r w:rsidRPr="000E7F48">
              <w:rPr>
                <w:rFonts w:ascii="Arial" w:hAnsi="Arial" w:cs="Arial"/>
                <w:b/>
                <w:sz w:val="20"/>
                <w:szCs w:val="20"/>
              </w:rPr>
              <w:t xml:space="preserve"> Achievement</w:t>
            </w:r>
          </w:p>
        </w:tc>
        <w:tc>
          <w:tcPr>
            <w:tcW w:w="1613"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 xml:space="preserve">2022/23 </w:t>
            </w:r>
          </w:p>
          <w:p w:rsidR="00554EDF" w:rsidRPr="000E7F48" w:rsidRDefault="00554EDF" w:rsidP="000E7F48">
            <w:pPr>
              <w:rPr>
                <w:rFonts w:ascii="Arial" w:hAnsi="Arial" w:cs="Arial"/>
                <w:b/>
                <w:sz w:val="20"/>
                <w:szCs w:val="20"/>
              </w:rPr>
            </w:pPr>
            <w:r w:rsidRPr="000E7F48">
              <w:rPr>
                <w:rFonts w:ascii="Arial" w:hAnsi="Arial" w:cs="Arial"/>
                <w:b/>
                <w:sz w:val="20"/>
                <w:szCs w:val="20"/>
              </w:rPr>
              <w:t>Target</w:t>
            </w:r>
          </w:p>
        </w:tc>
        <w:tc>
          <w:tcPr>
            <w:tcW w:w="1676" w:type="dxa"/>
            <w:shd w:val="clear" w:color="auto" w:fill="F2F2F2" w:themeFill="background1" w:themeFillShade="F2"/>
          </w:tcPr>
          <w:p w:rsidR="00554EDF" w:rsidRPr="000E7F48" w:rsidRDefault="00554EDF" w:rsidP="000E7F48">
            <w:pPr>
              <w:rPr>
                <w:rFonts w:ascii="Arial" w:hAnsi="Arial" w:cs="Arial"/>
                <w:b/>
                <w:sz w:val="20"/>
                <w:szCs w:val="20"/>
              </w:rPr>
            </w:pPr>
            <w:r w:rsidRPr="000E7F48">
              <w:rPr>
                <w:rFonts w:ascii="Arial" w:hAnsi="Arial" w:cs="Arial"/>
                <w:b/>
                <w:sz w:val="20"/>
                <w:szCs w:val="20"/>
              </w:rPr>
              <w:t xml:space="preserve">2023/24 </w:t>
            </w:r>
          </w:p>
          <w:p w:rsidR="00554EDF" w:rsidRPr="000E7F48" w:rsidRDefault="00554EDF" w:rsidP="000E7F48">
            <w:pPr>
              <w:rPr>
                <w:rFonts w:ascii="Arial" w:hAnsi="Arial" w:cs="Arial"/>
                <w:b/>
                <w:sz w:val="20"/>
                <w:szCs w:val="20"/>
              </w:rPr>
            </w:pPr>
            <w:r w:rsidRPr="000E7F48">
              <w:rPr>
                <w:rFonts w:ascii="Arial" w:hAnsi="Arial" w:cs="Arial"/>
                <w:b/>
                <w:sz w:val="20"/>
                <w:szCs w:val="20"/>
              </w:rPr>
              <w:t>Target</w:t>
            </w:r>
          </w:p>
        </w:tc>
      </w:tr>
      <w:tr w:rsidR="00554EDF" w:rsidRPr="000E7F48" w:rsidTr="00E34EBC">
        <w:trPr>
          <w:trHeight w:val="423"/>
        </w:trPr>
        <w:tc>
          <w:tcPr>
            <w:tcW w:w="1450" w:type="dxa"/>
            <w:vMerge w:val="restart"/>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t>Revenue generation</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Group revenue</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R1.429 billion</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R1.401 billion</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R1.430 billion</w:t>
            </w:r>
          </w:p>
        </w:tc>
      </w:tr>
      <w:tr w:rsidR="00554EDF" w:rsidRPr="000E7F48" w:rsidTr="00E34EBC">
        <w:trPr>
          <w:trHeight w:val="428"/>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Revenue from Armscor R&amp;D</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R328.3 million</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R206.5 million</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R371.3 million</w:t>
            </w:r>
          </w:p>
        </w:tc>
      </w:tr>
      <w:tr w:rsidR="00554EDF" w:rsidRPr="000E7F48" w:rsidTr="00E34EBC">
        <w:trPr>
          <w:trHeight w:val="428"/>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Revenue from Business Enablement Unit</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R17.6 million</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R31.4 million</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R31.5 million</w:t>
            </w:r>
          </w:p>
        </w:tc>
      </w:tr>
      <w:tr w:rsidR="00554EDF" w:rsidRPr="000E7F48" w:rsidTr="00E34EBC">
        <w:trPr>
          <w:trHeight w:val="542"/>
        </w:trPr>
        <w:tc>
          <w:tcPr>
            <w:tcW w:w="145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b/>
                <w:sz w:val="20"/>
                <w:szCs w:val="20"/>
              </w:rPr>
              <w:t>Cost Management</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Improve net financial position</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R12.5 million surplus</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R16.1 million deficit</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R24.3 million surplus</w:t>
            </w:r>
          </w:p>
        </w:tc>
      </w:tr>
      <w:tr w:rsidR="00554EDF" w:rsidRPr="000E7F48" w:rsidTr="00E34EBC">
        <w:trPr>
          <w:trHeight w:val="542"/>
        </w:trPr>
        <w:tc>
          <w:tcPr>
            <w:tcW w:w="1450" w:type="dxa"/>
            <w:vMerge w:val="restart"/>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t>Efficient and effective deliver</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Percentage compliance with work in accordance with DOD-Armscor SLA</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99.7%</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Completion of Intellectual Property requests</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100%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Commercialise one IP Technology</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21 April 2021</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March 2023</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March 2024</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Maintain a comprehensive IP register</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21 April 2021</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March 2023</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March 2024</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Appoint an Enterprise Resource Planning Service Provider</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New indicator</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May 2023</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Implementation of approved HR and payroll finance Digitisation plan</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30 Sep 2023</w:t>
            </w:r>
          </w:p>
          <w:p w:rsidR="00554EDF" w:rsidRPr="000E7F48" w:rsidRDefault="00554EDF" w:rsidP="000E7F48">
            <w:pPr>
              <w:rPr>
                <w:rFonts w:ascii="Arial" w:hAnsi="Arial" w:cs="Arial"/>
                <w:sz w:val="20"/>
                <w:szCs w:val="20"/>
              </w:rPr>
            </w:pPr>
            <w:r w:rsidRPr="000E7F48">
              <w:rPr>
                <w:rFonts w:ascii="Arial" w:hAnsi="Arial" w:cs="Arial"/>
                <w:sz w:val="20"/>
                <w:szCs w:val="20"/>
              </w:rPr>
              <w:t>31 Mar 2024</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Implementation of IT infrastructure Renewal for the Business Continuity Plan</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17 Mar 2022</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 2023</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30 Sep 2023</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Improve Cybersecurity Capability</w:t>
            </w:r>
          </w:p>
          <w:tbl>
            <w:tblPr>
              <w:tblW w:w="0" w:type="auto"/>
              <w:tblBorders>
                <w:top w:val="nil"/>
                <w:left w:val="nil"/>
                <w:bottom w:val="nil"/>
                <w:right w:val="nil"/>
              </w:tblBorders>
              <w:tblLook w:val="0000"/>
            </w:tblPr>
            <w:tblGrid>
              <w:gridCol w:w="3854"/>
            </w:tblGrid>
            <w:tr w:rsidR="00554EDF" w:rsidRPr="000E7F48" w:rsidTr="00BD634F">
              <w:trPr>
                <w:trHeight w:val="415"/>
              </w:trPr>
              <w:tc>
                <w:tcPr>
                  <w:tcW w:w="0" w:type="auto"/>
                </w:tcPr>
                <w:p w:rsidR="00554EDF" w:rsidRPr="000E7F48" w:rsidRDefault="00554EDF" w:rsidP="000E7F48">
                  <w:pPr>
                    <w:spacing w:after="0" w:line="240" w:lineRule="auto"/>
                    <w:rPr>
                      <w:rFonts w:ascii="Arial" w:hAnsi="Arial" w:cs="Arial"/>
                      <w:sz w:val="20"/>
                      <w:szCs w:val="20"/>
                    </w:rPr>
                  </w:pPr>
                  <w:r w:rsidRPr="000E7F48">
                    <w:rPr>
                      <w:rFonts w:ascii="Arial" w:hAnsi="Arial" w:cs="Arial"/>
                      <w:sz w:val="20"/>
                      <w:szCs w:val="20"/>
                    </w:rPr>
                    <w:t>(80% Implementation of the annually approved Cybersecurity Capability)</w:t>
                  </w:r>
                </w:p>
              </w:tc>
            </w:tr>
          </w:tbl>
          <w:p w:rsidR="00554EDF" w:rsidRPr="000E7F48" w:rsidRDefault="00554EDF" w:rsidP="000E7F48">
            <w:pPr>
              <w:rPr>
                <w:rFonts w:ascii="Arial" w:hAnsi="Arial" w:cs="Arial"/>
                <w:sz w:val="20"/>
                <w:szCs w:val="20"/>
              </w:rPr>
            </w:pP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March 2022</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 March 2023</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80%</w:t>
            </w:r>
          </w:p>
        </w:tc>
      </w:tr>
      <w:tr w:rsidR="00554EDF" w:rsidRPr="000E7F48" w:rsidTr="00E34EBC">
        <w:trPr>
          <w:trHeight w:val="542"/>
        </w:trPr>
        <w:tc>
          <w:tcPr>
            <w:tcW w:w="1450" w:type="dxa"/>
            <w:vMerge w:val="restart"/>
            <w:shd w:val="clear" w:color="auto" w:fill="FFFFFF" w:themeFill="background1"/>
          </w:tcPr>
          <w:p w:rsidR="00554EDF" w:rsidRPr="000E7F48" w:rsidRDefault="00554EDF" w:rsidP="000E7F48">
            <w:pPr>
              <w:rPr>
                <w:rFonts w:ascii="Arial" w:hAnsi="Arial" w:cs="Arial"/>
                <w:b/>
                <w:sz w:val="20"/>
                <w:szCs w:val="20"/>
              </w:rPr>
            </w:pPr>
            <w:r w:rsidRPr="000E7F48">
              <w:rPr>
                <w:rFonts w:ascii="Arial" w:hAnsi="Arial" w:cs="Arial"/>
                <w:b/>
                <w:sz w:val="20"/>
                <w:szCs w:val="20"/>
              </w:rPr>
              <w:lastRenderedPageBreak/>
              <w:t>Stakeholder management</w:t>
            </w: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Stakeholder satisfaction improvement survey</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NA</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1% improvement</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NA</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Employee engagement survey to determine baseline</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improvement on 2020/21 baseline</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60%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90%</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Improve female representation</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40% female employees</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40%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40%</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Controllable staff turnover</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2.03%</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&lt;4%</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&lt;4%</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Provision of bursaries for full-time students</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29</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23</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23</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 xml:space="preserve">Contracting and development of graduates as interns </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31</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30</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Succession Planning Development (Percentage compliance with succession plan)</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83.0%</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80%</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80%</w:t>
            </w:r>
          </w:p>
        </w:tc>
      </w:tr>
      <w:tr w:rsidR="00554EDF" w:rsidRPr="000E7F48" w:rsidTr="00E34EBC">
        <w:trPr>
          <w:trHeight w:val="542"/>
        </w:trPr>
        <w:tc>
          <w:tcPr>
            <w:tcW w:w="1450" w:type="dxa"/>
            <w:vMerge/>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Number of people with disabilities</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23</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28</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28</w:t>
            </w:r>
          </w:p>
        </w:tc>
      </w:tr>
      <w:tr w:rsidR="00554EDF" w:rsidRPr="000E7F48" w:rsidTr="00E34EBC">
        <w:trPr>
          <w:trHeight w:val="542"/>
        </w:trPr>
        <w:tc>
          <w:tcPr>
            <w:tcW w:w="1450" w:type="dxa"/>
            <w:shd w:val="clear" w:color="auto" w:fill="FFFFFF" w:themeFill="background1"/>
          </w:tcPr>
          <w:p w:rsidR="00554EDF" w:rsidRPr="000E7F48" w:rsidRDefault="00554EDF" w:rsidP="000E7F48">
            <w:pPr>
              <w:rPr>
                <w:rFonts w:ascii="Arial" w:hAnsi="Arial" w:cs="Arial"/>
                <w:b/>
                <w:sz w:val="20"/>
                <w:szCs w:val="20"/>
              </w:rPr>
            </w:pPr>
          </w:p>
        </w:tc>
        <w:tc>
          <w:tcPr>
            <w:tcW w:w="4070"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Preferential procurement from Military Veterans entities</w:t>
            </w:r>
          </w:p>
        </w:tc>
        <w:tc>
          <w:tcPr>
            <w:tcW w:w="1602"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New indicator</w:t>
            </w:r>
          </w:p>
        </w:tc>
        <w:tc>
          <w:tcPr>
            <w:tcW w:w="1613"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New indicator</w:t>
            </w:r>
          </w:p>
        </w:tc>
        <w:tc>
          <w:tcPr>
            <w:tcW w:w="1676" w:type="dxa"/>
            <w:shd w:val="clear" w:color="auto" w:fill="FFFFFF" w:themeFill="background1"/>
          </w:tcPr>
          <w:p w:rsidR="00554EDF" w:rsidRPr="000E7F48" w:rsidRDefault="00554EDF" w:rsidP="000E7F48">
            <w:pPr>
              <w:rPr>
                <w:rFonts w:ascii="Arial" w:hAnsi="Arial" w:cs="Arial"/>
                <w:sz w:val="20"/>
                <w:szCs w:val="20"/>
              </w:rPr>
            </w:pPr>
            <w:r w:rsidRPr="000E7F48">
              <w:rPr>
                <w:rFonts w:ascii="Arial" w:hAnsi="Arial" w:cs="Arial"/>
                <w:sz w:val="20"/>
                <w:szCs w:val="20"/>
              </w:rPr>
              <w:t>2%</w:t>
            </w:r>
          </w:p>
        </w:tc>
      </w:tr>
    </w:tbl>
    <w:p w:rsidR="00FA22BD" w:rsidRPr="000E7F48" w:rsidRDefault="00FA22BD" w:rsidP="000E7F48">
      <w:pPr>
        <w:tabs>
          <w:tab w:val="left" w:pos="2460"/>
        </w:tabs>
        <w:spacing w:after="0" w:line="240" w:lineRule="auto"/>
        <w:rPr>
          <w:rFonts w:ascii="Arial" w:hAnsi="Arial" w:cs="Arial"/>
          <w:b/>
          <w:sz w:val="20"/>
          <w:szCs w:val="20"/>
        </w:rPr>
      </w:pPr>
      <w:r w:rsidRPr="000E7F48">
        <w:rPr>
          <w:rFonts w:ascii="Arial" w:hAnsi="Arial" w:cs="Arial"/>
          <w:b/>
          <w:sz w:val="20"/>
          <w:szCs w:val="20"/>
        </w:rPr>
        <w:t>Table 4: Selected Armscor’s strategic outputs</w:t>
      </w:r>
    </w:p>
    <w:p w:rsidR="006642AF" w:rsidRPr="000E7F48" w:rsidRDefault="006642AF" w:rsidP="000E7F48">
      <w:pPr>
        <w:spacing w:after="0" w:line="240" w:lineRule="auto"/>
        <w:rPr>
          <w:rFonts w:ascii="Arial" w:hAnsi="Arial" w:cs="Arial"/>
          <w:sz w:val="20"/>
          <w:szCs w:val="20"/>
          <w:u w:color="000000"/>
        </w:rPr>
      </w:pPr>
    </w:p>
    <w:p w:rsidR="00FA22BD" w:rsidRPr="000E7F48" w:rsidRDefault="00FA22BD" w:rsidP="000E7F48">
      <w:pPr>
        <w:spacing w:after="0" w:line="240" w:lineRule="auto"/>
        <w:rPr>
          <w:rFonts w:ascii="Arial" w:hAnsi="Arial" w:cs="Arial"/>
          <w:b/>
          <w:sz w:val="20"/>
          <w:szCs w:val="20"/>
        </w:rPr>
      </w:pPr>
      <w:r w:rsidRPr="000E7F48">
        <w:rPr>
          <w:rFonts w:ascii="Arial" w:hAnsi="Arial" w:cs="Arial"/>
          <w:b/>
          <w:sz w:val="20"/>
          <w:szCs w:val="20"/>
        </w:rPr>
        <w:t>7.</w:t>
      </w:r>
      <w:r w:rsidRPr="000E7F48">
        <w:rPr>
          <w:rFonts w:ascii="Arial" w:hAnsi="Arial" w:cs="Arial"/>
          <w:b/>
          <w:sz w:val="20"/>
          <w:szCs w:val="20"/>
        </w:rPr>
        <w:tab/>
        <w:t>COMMITTEE OBSERVATIONS</w:t>
      </w:r>
    </w:p>
    <w:p w:rsidR="00FA22BD" w:rsidRPr="000E7F48" w:rsidRDefault="00FA22BD" w:rsidP="000E7F48">
      <w:pPr>
        <w:spacing w:after="0" w:line="240" w:lineRule="auto"/>
        <w:rPr>
          <w:rFonts w:ascii="Arial" w:hAnsi="Arial" w:cs="Arial"/>
          <w:sz w:val="20"/>
          <w:szCs w:val="20"/>
          <w:lang w:val="en-GB"/>
        </w:rPr>
      </w:pPr>
    </w:p>
    <w:p w:rsidR="00FA22BD" w:rsidRPr="000E7F48" w:rsidRDefault="00FA22BD" w:rsidP="000E7F48">
      <w:pPr>
        <w:spacing w:after="0" w:line="240" w:lineRule="auto"/>
        <w:rPr>
          <w:rFonts w:ascii="Arial" w:hAnsi="Arial" w:cs="Arial"/>
          <w:sz w:val="20"/>
          <w:szCs w:val="20"/>
          <w:lang w:val="en-GB"/>
        </w:rPr>
      </w:pPr>
      <w:r w:rsidRPr="000E7F48">
        <w:rPr>
          <w:rFonts w:ascii="Arial" w:hAnsi="Arial" w:cs="Arial"/>
          <w:sz w:val="20"/>
          <w:szCs w:val="20"/>
          <w:lang w:val="en-GB"/>
        </w:rPr>
        <w:t xml:space="preserve">During deliberations with </w:t>
      </w:r>
      <w:r w:rsidR="00525367" w:rsidRPr="000E7F48">
        <w:rPr>
          <w:rFonts w:ascii="Arial" w:hAnsi="Arial" w:cs="Arial"/>
          <w:sz w:val="20"/>
          <w:szCs w:val="20"/>
          <w:lang w:val="en-GB"/>
        </w:rPr>
        <w:t>Armscor</w:t>
      </w:r>
      <w:r w:rsidRPr="000E7F48">
        <w:rPr>
          <w:rFonts w:ascii="Arial" w:hAnsi="Arial" w:cs="Arial"/>
          <w:sz w:val="20"/>
          <w:szCs w:val="20"/>
          <w:lang w:val="en-GB"/>
        </w:rPr>
        <w:t xml:space="preserve"> on </w:t>
      </w:r>
      <w:r w:rsidR="00554EDF" w:rsidRPr="000E7F48">
        <w:rPr>
          <w:rFonts w:ascii="Arial" w:hAnsi="Arial" w:cs="Arial"/>
          <w:sz w:val="20"/>
          <w:szCs w:val="20"/>
          <w:lang w:val="en-GB"/>
        </w:rPr>
        <w:t>10</w:t>
      </w:r>
      <w:r w:rsidRPr="000E7F48">
        <w:rPr>
          <w:rFonts w:ascii="Arial" w:hAnsi="Arial" w:cs="Arial"/>
          <w:sz w:val="20"/>
          <w:szCs w:val="20"/>
          <w:lang w:val="en-GB"/>
        </w:rPr>
        <w:t xml:space="preserve"> May 202</w:t>
      </w:r>
      <w:r w:rsidR="00554EDF" w:rsidRPr="000E7F48">
        <w:rPr>
          <w:rFonts w:ascii="Arial" w:hAnsi="Arial" w:cs="Arial"/>
          <w:sz w:val="20"/>
          <w:szCs w:val="20"/>
          <w:lang w:val="en-GB"/>
        </w:rPr>
        <w:t>3, Members of the PC</w:t>
      </w:r>
      <w:r w:rsidRPr="000E7F48">
        <w:rPr>
          <w:rFonts w:ascii="Arial" w:hAnsi="Arial" w:cs="Arial"/>
          <w:sz w:val="20"/>
          <w:szCs w:val="20"/>
          <w:lang w:val="en-GB"/>
        </w:rPr>
        <w:t xml:space="preserve">DMV made several observations related to </w:t>
      </w:r>
      <w:r w:rsidR="00B15D45" w:rsidRPr="000E7F48">
        <w:rPr>
          <w:rFonts w:ascii="Arial" w:hAnsi="Arial" w:cs="Arial"/>
          <w:sz w:val="20"/>
          <w:szCs w:val="20"/>
          <w:lang w:val="en-GB"/>
        </w:rPr>
        <w:t xml:space="preserve">Armscor’s </w:t>
      </w:r>
      <w:r w:rsidRPr="000E7F48">
        <w:rPr>
          <w:rFonts w:ascii="Arial" w:hAnsi="Arial" w:cs="Arial"/>
          <w:sz w:val="20"/>
          <w:szCs w:val="20"/>
          <w:lang w:val="en-GB"/>
        </w:rPr>
        <w:t>Corporate Plan</w:t>
      </w:r>
      <w:r w:rsidR="00525367" w:rsidRPr="000E7F48">
        <w:rPr>
          <w:rFonts w:ascii="Arial" w:hAnsi="Arial" w:cs="Arial"/>
          <w:sz w:val="20"/>
          <w:szCs w:val="20"/>
          <w:lang w:val="en-GB"/>
        </w:rPr>
        <w:t xml:space="preserve">: </w:t>
      </w:r>
    </w:p>
    <w:p w:rsidR="00525367" w:rsidRPr="000E7F48" w:rsidRDefault="00525367" w:rsidP="000E7F48">
      <w:pPr>
        <w:spacing w:after="0" w:line="240" w:lineRule="auto"/>
        <w:rPr>
          <w:rFonts w:ascii="Arial" w:hAnsi="Arial" w:cs="Arial"/>
          <w:sz w:val="20"/>
          <w:szCs w:val="20"/>
        </w:rPr>
      </w:pPr>
    </w:p>
    <w:p w:rsidR="00525367" w:rsidRPr="000E7F48" w:rsidRDefault="006B3E38" w:rsidP="000E7F48">
      <w:pPr>
        <w:pStyle w:val="ListParagraph"/>
        <w:numPr>
          <w:ilvl w:val="0"/>
          <w:numId w:val="46"/>
        </w:numPr>
        <w:rPr>
          <w:rFonts w:ascii="Arial" w:hAnsi="Arial" w:cs="Arial"/>
          <w:sz w:val="20"/>
          <w:szCs w:val="20"/>
        </w:rPr>
      </w:pPr>
      <w:r w:rsidRPr="000E7F48">
        <w:rPr>
          <w:rFonts w:ascii="Arial" w:hAnsi="Arial" w:cs="Arial"/>
          <w:sz w:val="20"/>
          <w:szCs w:val="20"/>
        </w:rPr>
        <w:t>The Committee noted that it is sympathetic to Armscor given that it is hamstrung by the limited acquisition budget of the DOD. Yet, Members expressed the need for the DOD to derive value for money from Armscor services.</w:t>
      </w:r>
    </w:p>
    <w:p w:rsidR="006B3E38" w:rsidRPr="000E7F48" w:rsidRDefault="006B3E38" w:rsidP="000E7F48">
      <w:pPr>
        <w:pStyle w:val="ListParagraph"/>
        <w:numPr>
          <w:ilvl w:val="0"/>
          <w:numId w:val="46"/>
        </w:numPr>
        <w:rPr>
          <w:rFonts w:ascii="Arial" w:hAnsi="Arial" w:cs="Arial"/>
          <w:sz w:val="20"/>
          <w:szCs w:val="20"/>
        </w:rPr>
      </w:pPr>
      <w:r w:rsidRPr="000E7F48">
        <w:rPr>
          <w:rFonts w:ascii="Arial" w:hAnsi="Arial" w:cs="Arial"/>
          <w:sz w:val="20"/>
          <w:szCs w:val="20"/>
        </w:rPr>
        <w:t>The Committee noted a R21 million increase in the administration cost of Armscor for 2023/24 when compared to the previous year</w:t>
      </w:r>
      <w:r w:rsidR="002F2EE4" w:rsidRPr="000E7F48">
        <w:rPr>
          <w:rFonts w:ascii="Arial" w:hAnsi="Arial" w:cs="Arial"/>
          <w:sz w:val="20"/>
          <w:szCs w:val="20"/>
        </w:rPr>
        <w:t>,</w:t>
      </w:r>
      <w:r w:rsidRPr="000E7F48">
        <w:rPr>
          <w:rFonts w:ascii="Arial" w:hAnsi="Arial" w:cs="Arial"/>
          <w:sz w:val="20"/>
          <w:szCs w:val="20"/>
        </w:rPr>
        <w:t xml:space="preserve"> and </w:t>
      </w:r>
      <w:r w:rsidR="002F2EE4" w:rsidRPr="000E7F48">
        <w:rPr>
          <w:rFonts w:ascii="Arial" w:hAnsi="Arial" w:cs="Arial"/>
          <w:sz w:val="20"/>
          <w:szCs w:val="20"/>
        </w:rPr>
        <w:t xml:space="preserve">requested </w:t>
      </w:r>
      <w:r w:rsidRPr="000E7F48">
        <w:rPr>
          <w:rFonts w:ascii="Arial" w:hAnsi="Arial" w:cs="Arial"/>
          <w:sz w:val="20"/>
          <w:szCs w:val="20"/>
        </w:rPr>
        <w:t xml:space="preserve">clarity on </w:t>
      </w:r>
      <w:r w:rsidR="002F2EE4" w:rsidRPr="000E7F48">
        <w:rPr>
          <w:rFonts w:ascii="Arial" w:hAnsi="Arial" w:cs="Arial"/>
          <w:sz w:val="20"/>
          <w:szCs w:val="20"/>
        </w:rPr>
        <w:t xml:space="preserve">the </w:t>
      </w:r>
      <w:r w:rsidRPr="000E7F48">
        <w:rPr>
          <w:rFonts w:ascii="Arial" w:hAnsi="Arial" w:cs="Arial"/>
          <w:sz w:val="20"/>
          <w:szCs w:val="20"/>
        </w:rPr>
        <w:t>significant increase.</w:t>
      </w:r>
      <w:r w:rsidR="00B52DC2" w:rsidRPr="000E7F48">
        <w:rPr>
          <w:rFonts w:ascii="Arial" w:hAnsi="Arial" w:cs="Arial"/>
          <w:sz w:val="20"/>
          <w:szCs w:val="20"/>
        </w:rPr>
        <w:t xml:space="preserve"> Armscor indicated that this does not include major sponsorships, except for a small marketing budget, and that the Administrative programme is managed diligently.</w:t>
      </w:r>
      <w:r w:rsidR="00E3134D" w:rsidRPr="000E7F48">
        <w:rPr>
          <w:rFonts w:ascii="Arial" w:hAnsi="Arial" w:cs="Arial"/>
          <w:sz w:val="20"/>
          <w:szCs w:val="20"/>
        </w:rPr>
        <w:t xml:space="preserve"> </w:t>
      </w:r>
    </w:p>
    <w:p w:rsidR="006B3E38" w:rsidRPr="000E7F48" w:rsidRDefault="006B3E38" w:rsidP="000E7F48">
      <w:pPr>
        <w:pStyle w:val="ListParagraph"/>
        <w:numPr>
          <w:ilvl w:val="0"/>
          <w:numId w:val="46"/>
        </w:numPr>
        <w:rPr>
          <w:rFonts w:ascii="Arial" w:hAnsi="Arial" w:cs="Arial"/>
          <w:sz w:val="20"/>
          <w:szCs w:val="20"/>
        </w:rPr>
      </w:pPr>
      <w:r w:rsidRPr="000E7F48">
        <w:rPr>
          <w:rFonts w:ascii="Arial" w:hAnsi="Arial" w:cs="Arial"/>
          <w:sz w:val="20"/>
          <w:szCs w:val="20"/>
        </w:rPr>
        <w:t xml:space="preserve">The Committee noted </w:t>
      </w:r>
      <w:r w:rsidR="002F2EE4" w:rsidRPr="000E7F48">
        <w:rPr>
          <w:rFonts w:ascii="Arial" w:hAnsi="Arial" w:cs="Arial"/>
          <w:sz w:val="20"/>
          <w:szCs w:val="20"/>
        </w:rPr>
        <w:t xml:space="preserve">the </w:t>
      </w:r>
      <w:r w:rsidRPr="000E7F48">
        <w:rPr>
          <w:rFonts w:ascii="Arial" w:hAnsi="Arial" w:cs="Arial"/>
          <w:sz w:val="20"/>
          <w:szCs w:val="20"/>
        </w:rPr>
        <w:t>projected increase in Armscor’</w:t>
      </w:r>
      <w:r w:rsidR="00EE0351" w:rsidRPr="000E7F48">
        <w:rPr>
          <w:rFonts w:ascii="Arial" w:hAnsi="Arial" w:cs="Arial"/>
          <w:sz w:val="20"/>
          <w:szCs w:val="20"/>
        </w:rPr>
        <w:t>s revenue and requested clarity on whether this is attainable.</w:t>
      </w:r>
    </w:p>
    <w:p w:rsidR="00EE0351" w:rsidRPr="000E7F48" w:rsidRDefault="00A54B7D" w:rsidP="000E7F48">
      <w:pPr>
        <w:pStyle w:val="ListParagraph"/>
        <w:numPr>
          <w:ilvl w:val="0"/>
          <w:numId w:val="46"/>
        </w:numPr>
        <w:rPr>
          <w:rFonts w:ascii="Arial" w:hAnsi="Arial" w:cs="Arial"/>
          <w:sz w:val="20"/>
          <w:szCs w:val="20"/>
        </w:rPr>
      </w:pPr>
      <w:r w:rsidRPr="000E7F48">
        <w:rPr>
          <w:rFonts w:ascii="Arial" w:hAnsi="Arial" w:cs="Arial"/>
          <w:sz w:val="20"/>
          <w:szCs w:val="20"/>
        </w:rPr>
        <w:t>The Committee expressed concern</w:t>
      </w:r>
      <w:r w:rsidR="002F2EE4" w:rsidRPr="000E7F48">
        <w:rPr>
          <w:rFonts w:ascii="Arial" w:hAnsi="Arial" w:cs="Arial"/>
          <w:sz w:val="20"/>
          <w:szCs w:val="20"/>
        </w:rPr>
        <w:t>,</w:t>
      </w:r>
      <w:r w:rsidRPr="000E7F48">
        <w:rPr>
          <w:rFonts w:ascii="Arial" w:hAnsi="Arial" w:cs="Arial"/>
          <w:sz w:val="20"/>
          <w:szCs w:val="20"/>
        </w:rPr>
        <w:t xml:space="preserve"> and required clarity on some of the projected increases in expenditure items. </w:t>
      </w:r>
      <w:r w:rsidR="00EE0351" w:rsidRPr="000E7F48">
        <w:rPr>
          <w:rFonts w:ascii="Arial" w:hAnsi="Arial" w:cs="Arial"/>
          <w:sz w:val="20"/>
          <w:szCs w:val="20"/>
        </w:rPr>
        <w:t>Armscor’s personnel costs are also expected to rise significantly in 2023/24 and the Committee required clarity on whether this will include the payment of bonuses.</w:t>
      </w:r>
      <w:r w:rsidRPr="000E7F48">
        <w:rPr>
          <w:rFonts w:ascii="Arial" w:hAnsi="Arial" w:cs="Arial"/>
          <w:sz w:val="20"/>
          <w:szCs w:val="20"/>
        </w:rPr>
        <w:t xml:space="preserve"> Similarly, capital expenditure and motor vehicle acquisitions are set to increase and Members queried the need for these acquisition.</w:t>
      </w:r>
      <w:r w:rsidR="00E3134D" w:rsidRPr="000E7F48">
        <w:rPr>
          <w:rFonts w:ascii="Arial" w:hAnsi="Arial" w:cs="Arial"/>
          <w:sz w:val="20"/>
          <w:szCs w:val="20"/>
        </w:rPr>
        <w:t xml:space="preserve"> Armscor indicated that it did factor in a 6% increase for personnel, </w:t>
      </w:r>
      <w:r w:rsidR="002F2EE4" w:rsidRPr="000E7F48">
        <w:rPr>
          <w:rFonts w:ascii="Arial" w:hAnsi="Arial" w:cs="Arial"/>
          <w:sz w:val="20"/>
          <w:szCs w:val="20"/>
        </w:rPr>
        <w:t xml:space="preserve">and </w:t>
      </w:r>
      <w:r w:rsidR="00E3134D" w:rsidRPr="000E7F48">
        <w:rPr>
          <w:rFonts w:ascii="Arial" w:hAnsi="Arial" w:cs="Arial"/>
          <w:sz w:val="20"/>
          <w:szCs w:val="20"/>
        </w:rPr>
        <w:t>that no bonuses are included. Bonuses are based on Board decisions</w:t>
      </w:r>
      <w:r w:rsidR="00111856" w:rsidRPr="000E7F48">
        <w:rPr>
          <w:rFonts w:ascii="Arial" w:hAnsi="Arial" w:cs="Arial"/>
          <w:sz w:val="20"/>
          <w:szCs w:val="20"/>
        </w:rPr>
        <w:t xml:space="preserve"> at the end of the financial year if revenue allows</w:t>
      </w:r>
      <w:r w:rsidR="00E3134D" w:rsidRPr="000E7F48">
        <w:rPr>
          <w:rFonts w:ascii="Arial" w:hAnsi="Arial" w:cs="Arial"/>
          <w:sz w:val="20"/>
          <w:szCs w:val="20"/>
        </w:rPr>
        <w:t xml:space="preserve">. Capital expenditure is largely for the maintenance of the Armscor building that has not seen effective upgrades in recent years and is in need of attention. </w:t>
      </w:r>
    </w:p>
    <w:p w:rsidR="00EE0351" w:rsidRPr="000E7F48" w:rsidRDefault="00A54B7D" w:rsidP="000E7F48">
      <w:pPr>
        <w:pStyle w:val="ListParagraph"/>
        <w:numPr>
          <w:ilvl w:val="0"/>
          <w:numId w:val="46"/>
        </w:numPr>
        <w:rPr>
          <w:rFonts w:ascii="Arial" w:hAnsi="Arial" w:cs="Arial"/>
          <w:sz w:val="20"/>
          <w:szCs w:val="20"/>
        </w:rPr>
      </w:pPr>
      <w:r w:rsidRPr="000E7F48">
        <w:rPr>
          <w:rFonts w:ascii="Arial" w:hAnsi="Arial" w:cs="Arial"/>
          <w:sz w:val="20"/>
          <w:szCs w:val="20"/>
        </w:rPr>
        <w:t>The Committee expressed the importance of the Armscor Dockyard and noted a projected shortfall for the entity in 2023/24.</w:t>
      </w:r>
    </w:p>
    <w:p w:rsidR="00A54B7D" w:rsidRPr="000E7F48" w:rsidRDefault="00A54B7D" w:rsidP="000E7F48">
      <w:pPr>
        <w:pStyle w:val="ListParagraph"/>
        <w:numPr>
          <w:ilvl w:val="0"/>
          <w:numId w:val="46"/>
        </w:numPr>
        <w:rPr>
          <w:rFonts w:ascii="Arial" w:hAnsi="Arial" w:cs="Arial"/>
          <w:sz w:val="20"/>
          <w:szCs w:val="20"/>
        </w:rPr>
      </w:pPr>
      <w:r w:rsidRPr="000E7F48">
        <w:rPr>
          <w:rFonts w:ascii="Arial" w:hAnsi="Arial" w:cs="Arial"/>
          <w:sz w:val="20"/>
          <w:szCs w:val="20"/>
        </w:rPr>
        <w:t>The Committee expressed concern around the lack of information around the sweating of assets, specifically whether Armscor is involved in the sweating of assets for the DOD.</w:t>
      </w:r>
    </w:p>
    <w:p w:rsidR="00A54B7D" w:rsidRPr="000E7F48" w:rsidRDefault="00A54B7D" w:rsidP="000E7F48">
      <w:pPr>
        <w:pStyle w:val="ListParagraph"/>
        <w:numPr>
          <w:ilvl w:val="0"/>
          <w:numId w:val="46"/>
        </w:numPr>
        <w:rPr>
          <w:rFonts w:ascii="Arial" w:hAnsi="Arial" w:cs="Arial"/>
          <w:sz w:val="20"/>
          <w:szCs w:val="20"/>
        </w:rPr>
      </w:pPr>
      <w:r w:rsidRPr="000E7F48">
        <w:rPr>
          <w:rFonts w:ascii="Arial" w:hAnsi="Arial" w:cs="Arial"/>
          <w:sz w:val="20"/>
          <w:szCs w:val="20"/>
        </w:rPr>
        <w:t xml:space="preserve">Project Hoefyster remains a concern to the Committee </w:t>
      </w:r>
      <w:r w:rsidR="00F4431E" w:rsidRPr="000E7F48">
        <w:rPr>
          <w:rFonts w:ascii="Arial" w:hAnsi="Arial" w:cs="Arial"/>
          <w:sz w:val="20"/>
          <w:szCs w:val="20"/>
        </w:rPr>
        <w:t xml:space="preserve">as it has focused on this delayed process and made several related recommendations in the past. </w:t>
      </w:r>
      <w:r w:rsidRPr="000E7F48">
        <w:rPr>
          <w:rFonts w:ascii="Arial" w:hAnsi="Arial" w:cs="Arial"/>
          <w:sz w:val="20"/>
          <w:szCs w:val="20"/>
        </w:rPr>
        <w:t>Members requested an update on the matter</w:t>
      </w:r>
      <w:r w:rsidR="002F2EE4" w:rsidRPr="000E7F48">
        <w:rPr>
          <w:rFonts w:ascii="Arial" w:hAnsi="Arial" w:cs="Arial"/>
          <w:sz w:val="20"/>
          <w:szCs w:val="20"/>
        </w:rPr>
        <w:t>,</w:t>
      </w:r>
      <w:r w:rsidR="00F4431E" w:rsidRPr="000E7F48">
        <w:rPr>
          <w:rFonts w:ascii="Arial" w:hAnsi="Arial" w:cs="Arial"/>
          <w:sz w:val="20"/>
          <w:szCs w:val="20"/>
        </w:rPr>
        <w:t xml:space="preserve"> as well as other major strategic acquisition projects, such as Project Biro</w:t>
      </w:r>
      <w:r w:rsidR="00F06352" w:rsidRPr="000E7F48">
        <w:rPr>
          <w:rFonts w:ascii="Arial" w:hAnsi="Arial" w:cs="Arial"/>
          <w:sz w:val="20"/>
          <w:szCs w:val="20"/>
        </w:rPr>
        <w:t xml:space="preserve"> and the acquisition of Unmanned Aerial Vehicles for the SANDF</w:t>
      </w:r>
      <w:r w:rsidRPr="000E7F48">
        <w:rPr>
          <w:rFonts w:ascii="Arial" w:hAnsi="Arial" w:cs="Arial"/>
          <w:sz w:val="20"/>
          <w:szCs w:val="20"/>
        </w:rPr>
        <w:t>.</w:t>
      </w:r>
      <w:r w:rsidR="00111856" w:rsidRPr="000E7F48">
        <w:rPr>
          <w:rFonts w:ascii="Arial" w:hAnsi="Arial" w:cs="Arial"/>
          <w:sz w:val="20"/>
          <w:szCs w:val="20"/>
        </w:rPr>
        <w:t xml:space="preserve"> Armscor noted that </w:t>
      </w:r>
      <w:r w:rsidR="002F2EE4" w:rsidRPr="000E7F48">
        <w:rPr>
          <w:rFonts w:ascii="Arial" w:hAnsi="Arial" w:cs="Arial"/>
          <w:sz w:val="20"/>
          <w:szCs w:val="20"/>
        </w:rPr>
        <w:t xml:space="preserve">in terms of </w:t>
      </w:r>
      <w:r w:rsidR="00111856" w:rsidRPr="000E7F48">
        <w:rPr>
          <w:rFonts w:ascii="Arial" w:hAnsi="Arial" w:cs="Arial"/>
          <w:sz w:val="20"/>
          <w:szCs w:val="20"/>
        </w:rPr>
        <w:t>Project Hoefyster</w:t>
      </w:r>
      <w:r w:rsidR="002F2EE4" w:rsidRPr="000E7F48">
        <w:rPr>
          <w:rFonts w:ascii="Arial" w:hAnsi="Arial" w:cs="Arial"/>
          <w:sz w:val="20"/>
          <w:szCs w:val="20"/>
        </w:rPr>
        <w:t>, a</w:t>
      </w:r>
      <w:r w:rsidR="00111856" w:rsidRPr="000E7F48">
        <w:rPr>
          <w:rFonts w:ascii="Arial" w:hAnsi="Arial" w:cs="Arial"/>
          <w:sz w:val="20"/>
          <w:szCs w:val="20"/>
        </w:rPr>
        <w:t xml:space="preserve"> Project Control Board was convened in April 2023 and it was put forward that Phase 1 of the Project be completed</w:t>
      </w:r>
      <w:r w:rsidR="0081285E" w:rsidRPr="000E7F48">
        <w:rPr>
          <w:rFonts w:ascii="Arial" w:hAnsi="Arial" w:cs="Arial"/>
          <w:sz w:val="20"/>
          <w:szCs w:val="20"/>
        </w:rPr>
        <w:t xml:space="preserve"> and thereafter Phase 2</w:t>
      </w:r>
      <w:r w:rsidR="00111856" w:rsidRPr="000E7F48">
        <w:rPr>
          <w:rFonts w:ascii="Arial" w:hAnsi="Arial" w:cs="Arial"/>
          <w:sz w:val="20"/>
          <w:szCs w:val="20"/>
        </w:rPr>
        <w:t xml:space="preserve">. </w:t>
      </w:r>
      <w:r w:rsidR="0081285E" w:rsidRPr="000E7F48">
        <w:rPr>
          <w:rFonts w:ascii="Arial" w:hAnsi="Arial" w:cs="Arial"/>
          <w:sz w:val="20"/>
          <w:szCs w:val="20"/>
        </w:rPr>
        <w:t xml:space="preserve">However, this still needs to be confirmed by other SANDF structures. Project Biro’s second vessel is near completion and the project is running on schedule. </w:t>
      </w:r>
      <w:r w:rsidR="00C44B2F" w:rsidRPr="000E7F48">
        <w:rPr>
          <w:rFonts w:ascii="Arial" w:hAnsi="Arial" w:cs="Arial"/>
          <w:sz w:val="20"/>
          <w:szCs w:val="20"/>
        </w:rPr>
        <w:lastRenderedPageBreak/>
        <w:t xml:space="preserve">An Unmanned Aerial Vehicles </w:t>
      </w:r>
      <w:r w:rsidR="002F2EE4" w:rsidRPr="000E7F48">
        <w:rPr>
          <w:rFonts w:ascii="Arial" w:hAnsi="Arial" w:cs="Arial"/>
          <w:sz w:val="20"/>
          <w:szCs w:val="20"/>
        </w:rPr>
        <w:t xml:space="preserve">Strategy </w:t>
      </w:r>
      <w:r w:rsidR="00C44B2F" w:rsidRPr="000E7F48">
        <w:rPr>
          <w:rFonts w:ascii="Arial" w:hAnsi="Arial" w:cs="Arial"/>
          <w:sz w:val="20"/>
          <w:szCs w:val="20"/>
        </w:rPr>
        <w:t>is being developed by Armscor and other role-players/partners.</w:t>
      </w:r>
    </w:p>
    <w:p w:rsidR="00A54B7D" w:rsidRPr="000E7F48" w:rsidRDefault="00F4431E" w:rsidP="000E7F48">
      <w:pPr>
        <w:pStyle w:val="ListParagraph"/>
        <w:numPr>
          <w:ilvl w:val="0"/>
          <w:numId w:val="46"/>
        </w:numPr>
        <w:rPr>
          <w:rFonts w:ascii="Arial" w:hAnsi="Arial" w:cs="Arial"/>
          <w:sz w:val="20"/>
          <w:szCs w:val="20"/>
        </w:rPr>
      </w:pPr>
      <w:r w:rsidRPr="000E7F48">
        <w:rPr>
          <w:rFonts w:ascii="Arial" w:hAnsi="Arial" w:cs="Arial"/>
          <w:sz w:val="20"/>
          <w:szCs w:val="20"/>
        </w:rPr>
        <w:t xml:space="preserve">The Committee requested an update on the revenue generations of Armscor’s Alkantpan </w:t>
      </w:r>
      <w:r w:rsidR="005D5FEC" w:rsidRPr="000E7F48">
        <w:rPr>
          <w:rFonts w:ascii="Arial" w:hAnsi="Arial" w:cs="Arial"/>
          <w:sz w:val="20"/>
          <w:szCs w:val="20"/>
        </w:rPr>
        <w:t xml:space="preserve">and Gerotek </w:t>
      </w:r>
      <w:r w:rsidRPr="000E7F48">
        <w:rPr>
          <w:rFonts w:ascii="Arial" w:hAnsi="Arial" w:cs="Arial"/>
          <w:sz w:val="20"/>
          <w:szCs w:val="20"/>
        </w:rPr>
        <w:t>facilit</w:t>
      </w:r>
      <w:r w:rsidR="005D5FEC" w:rsidRPr="000E7F48">
        <w:rPr>
          <w:rFonts w:ascii="Arial" w:hAnsi="Arial" w:cs="Arial"/>
          <w:sz w:val="20"/>
          <w:szCs w:val="20"/>
        </w:rPr>
        <w:t>ies</w:t>
      </w:r>
      <w:r w:rsidRPr="000E7F48">
        <w:rPr>
          <w:rFonts w:ascii="Arial" w:hAnsi="Arial" w:cs="Arial"/>
          <w:sz w:val="20"/>
          <w:szCs w:val="20"/>
        </w:rPr>
        <w:t xml:space="preserve"> as this managed to raise significant revenue in the past.</w:t>
      </w:r>
      <w:r w:rsidR="00E3134D" w:rsidRPr="000E7F48">
        <w:rPr>
          <w:rFonts w:ascii="Arial" w:hAnsi="Arial" w:cs="Arial"/>
          <w:sz w:val="20"/>
          <w:szCs w:val="20"/>
        </w:rPr>
        <w:t xml:space="preserve"> Armscor indicated that there is a decrease in the revenue and this is due to some industry role-players such as Denel not doing tests.</w:t>
      </w:r>
      <w:r w:rsidR="0081285E" w:rsidRPr="000E7F48">
        <w:rPr>
          <w:rFonts w:ascii="Arial" w:hAnsi="Arial" w:cs="Arial"/>
          <w:sz w:val="20"/>
          <w:szCs w:val="20"/>
        </w:rPr>
        <w:t xml:space="preserve"> However, </w:t>
      </w:r>
      <w:r w:rsidR="005850E5" w:rsidRPr="000E7F48">
        <w:rPr>
          <w:rFonts w:ascii="Arial" w:hAnsi="Arial" w:cs="Arial"/>
          <w:sz w:val="20"/>
          <w:szCs w:val="20"/>
        </w:rPr>
        <w:t xml:space="preserve">Armscor indicted that </w:t>
      </w:r>
      <w:r w:rsidR="0081285E" w:rsidRPr="000E7F48">
        <w:rPr>
          <w:rFonts w:ascii="Arial" w:hAnsi="Arial" w:cs="Arial"/>
          <w:sz w:val="20"/>
          <w:szCs w:val="20"/>
        </w:rPr>
        <w:t>post-Covid</w:t>
      </w:r>
      <w:r w:rsidR="005850E5" w:rsidRPr="000E7F48">
        <w:rPr>
          <w:rFonts w:ascii="Arial" w:hAnsi="Arial" w:cs="Arial"/>
          <w:sz w:val="20"/>
          <w:szCs w:val="20"/>
        </w:rPr>
        <w:t>, it</w:t>
      </w:r>
      <w:r w:rsidR="0081285E" w:rsidRPr="000E7F48">
        <w:rPr>
          <w:rFonts w:ascii="Arial" w:hAnsi="Arial" w:cs="Arial"/>
          <w:sz w:val="20"/>
          <w:szCs w:val="20"/>
        </w:rPr>
        <w:t xml:space="preserve"> has seen a return of some international clients</w:t>
      </w:r>
      <w:r w:rsidR="00D84CE8" w:rsidRPr="000E7F48">
        <w:rPr>
          <w:rFonts w:ascii="Arial" w:hAnsi="Arial" w:cs="Arial"/>
          <w:sz w:val="20"/>
          <w:szCs w:val="20"/>
        </w:rPr>
        <w:t xml:space="preserve"> and Alkantpan manages to fund itself through commercial activities</w:t>
      </w:r>
      <w:r w:rsidR="0081285E" w:rsidRPr="000E7F48">
        <w:rPr>
          <w:rFonts w:ascii="Arial" w:hAnsi="Arial" w:cs="Arial"/>
          <w:sz w:val="20"/>
          <w:szCs w:val="20"/>
        </w:rPr>
        <w:t xml:space="preserve">. </w:t>
      </w:r>
      <w:r w:rsidR="005D5FEC" w:rsidRPr="000E7F48">
        <w:rPr>
          <w:rFonts w:ascii="Arial" w:hAnsi="Arial" w:cs="Arial"/>
          <w:sz w:val="20"/>
          <w:szCs w:val="20"/>
        </w:rPr>
        <w:t xml:space="preserve">Armscor maintains Gerotek as a strategic facility, but there is currently little activity at the facility. </w:t>
      </w:r>
    </w:p>
    <w:p w:rsidR="009568F3" w:rsidRPr="000E7F48" w:rsidRDefault="009568F3" w:rsidP="000E7F48">
      <w:pPr>
        <w:pStyle w:val="ListParagraph"/>
        <w:numPr>
          <w:ilvl w:val="0"/>
          <w:numId w:val="46"/>
        </w:numPr>
        <w:rPr>
          <w:rFonts w:ascii="Arial" w:hAnsi="Arial" w:cs="Arial"/>
          <w:sz w:val="20"/>
          <w:szCs w:val="20"/>
        </w:rPr>
      </w:pPr>
      <w:r w:rsidRPr="000E7F48">
        <w:rPr>
          <w:rFonts w:ascii="Arial" w:hAnsi="Arial" w:cs="Arial"/>
          <w:sz w:val="20"/>
          <w:szCs w:val="20"/>
        </w:rPr>
        <w:t>In terms of Armscor’s personnel numbers, the Corporate Plan for 2023/24 notes similar figures to that of the 2022/23 Corporate Plan.</w:t>
      </w:r>
    </w:p>
    <w:p w:rsidR="00F06352" w:rsidRPr="000E7F48" w:rsidRDefault="00F06352" w:rsidP="000E7F48">
      <w:pPr>
        <w:pStyle w:val="ListParagraph"/>
        <w:numPr>
          <w:ilvl w:val="0"/>
          <w:numId w:val="46"/>
        </w:numPr>
        <w:rPr>
          <w:rFonts w:ascii="Arial" w:hAnsi="Arial" w:cs="Arial"/>
          <w:sz w:val="20"/>
          <w:szCs w:val="20"/>
        </w:rPr>
      </w:pPr>
      <w:r w:rsidRPr="000E7F48">
        <w:rPr>
          <w:rFonts w:ascii="Arial" w:hAnsi="Arial" w:cs="Arial"/>
          <w:sz w:val="20"/>
          <w:szCs w:val="20"/>
        </w:rPr>
        <w:t>The Committee expressed concern that many of the DOD’s contracts with Denel, as managed by Armscor, reflects a model where the DOD is paying for Denel’s operating costs. Armscor indicated that this is a common model in the broader defence industry due to the level of skills required.</w:t>
      </w:r>
    </w:p>
    <w:p w:rsidR="009568F3" w:rsidRPr="000E7F48" w:rsidRDefault="009568F3" w:rsidP="000E7F48">
      <w:pPr>
        <w:pStyle w:val="ListParagraph"/>
        <w:numPr>
          <w:ilvl w:val="0"/>
          <w:numId w:val="46"/>
        </w:numPr>
        <w:rPr>
          <w:rFonts w:ascii="Arial" w:hAnsi="Arial" w:cs="Arial"/>
          <w:sz w:val="20"/>
          <w:szCs w:val="20"/>
        </w:rPr>
      </w:pPr>
      <w:r w:rsidRPr="000E7F48">
        <w:rPr>
          <w:rFonts w:ascii="Arial" w:hAnsi="Arial" w:cs="Arial"/>
          <w:sz w:val="20"/>
          <w:szCs w:val="20"/>
        </w:rPr>
        <w:t>The Committee required clarity on the effectiveness of the Armscor Board</w:t>
      </w:r>
      <w:r w:rsidR="00C44B2F" w:rsidRPr="000E7F48">
        <w:rPr>
          <w:rFonts w:ascii="Arial" w:hAnsi="Arial" w:cs="Arial"/>
          <w:sz w:val="20"/>
          <w:szCs w:val="20"/>
        </w:rPr>
        <w:t xml:space="preserve"> </w:t>
      </w:r>
      <w:r w:rsidR="006B30DE" w:rsidRPr="000E7F48">
        <w:rPr>
          <w:rFonts w:ascii="Arial" w:hAnsi="Arial" w:cs="Arial"/>
          <w:sz w:val="20"/>
          <w:szCs w:val="20"/>
        </w:rPr>
        <w:t>given the</w:t>
      </w:r>
      <w:r w:rsidR="00C44B2F" w:rsidRPr="000E7F48">
        <w:rPr>
          <w:rFonts w:ascii="Arial" w:hAnsi="Arial" w:cs="Arial"/>
          <w:sz w:val="20"/>
          <w:szCs w:val="20"/>
        </w:rPr>
        <w:t xml:space="preserve"> vacancies on the Board</w:t>
      </w:r>
      <w:r w:rsidRPr="000E7F48">
        <w:rPr>
          <w:rFonts w:ascii="Arial" w:hAnsi="Arial" w:cs="Arial"/>
          <w:sz w:val="20"/>
          <w:szCs w:val="20"/>
        </w:rPr>
        <w:t>.</w:t>
      </w:r>
    </w:p>
    <w:p w:rsidR="009568F3" w:rsidRPr="000E7F48" w:rsidRDefault="009568F3" w:rsidP="000E7F48">
      <w:pPr>
        <w:pStyle w:val="ListParagraph"/>
        <w:numPr>
          <w:ilvl w:val="0"/>
          <w:numId w:val="46"/>
        </w:numPr>
        <w:rPr>
          <w:rFonts w:ascii="Arial" w:hAnsi="Arial" w:cs="Arial"/>
          <w:sz w:val="20"/>
          <w:szCs w:val="20"/>
        </w:rPr>
      </w:pPr>
      <w:r w:rsidRPr="000E7F48">
        <w:rPr>
          <w:rFonts w:ascii="Arial" w:hAnsi="Arial" w:cs="Arial"/>
          <w:sz w:val="20"/>
          <w:szCs w:val="20"/>
        </w:rPr>
        <w:t xml:space="preserve">The </w:t>
      </w:r>
      <w:r w:rsidR="0008212D" w:rsidRPr="000E7F48">
        <w:rPr>
          <w:rFonts w:ascii="Arial" w:hAnsi="Arial" w:cs="Arial"/>
          <w:sz w:val="20"/>
          <w:szCs w:val="20"/>
        </w:rPr>
        <w:t xml:space="preserve">Committee </w:t>
      </w:r>
      <w:r w:rsidRPr="000E7F48">
        <w:rPr>
          <w:rFonts w:ascii="Arial" w:hAnsi="Arial" w:cs="Arial"/>
          <w:sz w:val="20"/>
          <w:szCs w:val="20"/>
        </w:rPr>
        <w:t>expressed concern around statements by Armscor that it has an ‘audit backlog’.</w:t>
      </w:r>
      <w:r w:rsidR="00CD5A6E" w:rsidRPr="000E7F48">
        <w:rPr>
          <w:rFonts w:ascii="Arial" w:hAnsi="Arial" w:cs="Arial"/>
          <w:sz w:val="20"/>
          <w:szCs w:val="20"/>
        </w:rPr>
        <w:t xml:space="preserve"> Armscor noted that this backlog only refers to ad hoc audit requests which is not part of the internal audit plan. </w:t>
      </w:r>
    </w:p>
    <w:p w:rsidR="00C44B2F" w:rsidRPr="000E7F48" w:rsidRDefault="00972F20" w:rsidP="000E7F48">
      <w:pPr>
        <w:pStyle w:val="ListParagraph"/>
        <w:numPr>
          <w:ilvl w:val="0"/>
          <w:numId w:val="46"/>
        </w:numPr>
        <w:rPr>
          <w:rFonts w:ascii="Arial" w:hAnsi="Arial" w:cs="Arial"/>
          <w:sz w:val="20"/>
          <w:szCs w:val="20"/>
        </w:rPr>
      </w:pPr>
      <w:r w:rsidRPr="000E7F48">
        <w:rPr>
          <w:rFonts w:ascii="Arial" w:hAnsi="Arial" w:cs="Arial"/>
          <w:sz w:val="20"/>
          <w:szCs w:val="20"/>
        </w:rPr>
        <w:t>The Committee expressed concern that limited information is provided around AB Logistics in the Corporate Plan of Armscor.</w:t>
      </w:r>
    </w:p>
    <w:p w:rsidR="006C144E" w:rsidRPr="000E7F48" w:rsidRDefault="006C144E" w:rsidP="000E7F48">
      <w:pPr>
        <w:pStyle w:val="ListParagraph"/>
        <w:numPr>
          <w:ilvl w:val="0"/>
          <w:numId w:val="46"/>
        </w:numPr>
        <w:rPr>
          <w:rFonts w:ascii="Arial" w:hAnsi="Arial" w:cs="Arial"/>
          <w:sz w:val="20"/>
          <w:szCs w:val="20"/>
        </w:rPr>
      </w:pPr>
      <w:r w:rsidRPr="000E7F48">
        <w:rPr>
          <w:rFonts w:ascii="Arial" w:hAnsi="Arial" w:cs="Arial"/>
          <w:sz w:val="20"/>
          <w:szCs w:val="20"/>
        </w:rPr>
        <w:t xml:space="preserve">The Committee again raised concern around the contracts for SA Air Force aircraft maintenance, including the Falcon 50 aircraft and the Presidential aircraft. </w:t>
      </w:r>
      <w:r w:rsidR="00A27360" w:rsidRPr="000E7F48">
        <w:rPr>
          <w:rFonts w:ascii="Arial" w:hAnsi="Arial" w:cs="Arial"/>
          <w:sz w:val="20"/>
          <w:szCs w:val="20"/>
        </w:rPr>
        <w:t>Similarly, concern</w:t>
      </w:r>
      <w:r w:rsidR="0008212D" w:rsidRPr="000E7F48">
        <w:rPr>
          <w:rFonts w:ascii="Arial" w:hAnsi="Arial" w:cs="Arial"/>
          <w:sz w:val="20"/>
          <w:szCs w:val="20"/>
        </w:rPr>
        <w:t>s</w:t>
      </w:r>
      <w:r w:rsidR="00A27360" w:rsidRPr="000E7F48">
        <w:rPr>
          <w:rFonts w:ascii="Arial" w:hAnsi="Arial" w:cs="Arial"/>
          <w:sz w:val="20"/>
          <w:szCs w:val="20"/>
        </w:rPr>
        <w:t xml:space="preserve"> </w:t>
      </w:r>
      <w:r w:rsidR="0008212D" w:rsidRPr="000E7F48">
        <w:rPr>
          <w:rFonts w:ascii="Arial" w:hAnsi="Arial" w:cs="Arial"/>
          <w:sz w:val="20"/>
          <w:szCs w:val="20"/>
        </w:rPr>
        <w:t xml:space="preserve">were </w:t>
      </w:r>
      <w:r w:rsidR="00A27360" w:rsidRPr="000E7F48">
        <w:rPr>
          <w:rFonts w:ascii="Arial" w:hAnsi="Arial" w:cs="Arial"/>
          <w:sz w:val="20"/>
          <w:szCs w:val="20"/>
        </w:rPr>
        <w:t xml:space="preserve">expressed on the low level of serviceability of the SA Aircraft Oryx </w:t>
      </w:r>
      <w:r w:rsidR="00FF701A" w:rsidRPr="000E7F48">
        <w:rPr>
          <w:rFonts w:ascii="Arial" w:hAnsi="Arial" w:cs="Arial"/>
          <w:sz w:val="20"/>
          <w:szCs w:val="20"/>
        </w:rPr>
        <w:t xml:space="preserve">and Rooivalk </w:t>
      </w:r>
      <w:r w:rsidR="00A27360" w:rsidRPr="000E7F48">
        <w:rPr>
          <w:rFonts w:ascii="Arial" w:hAnsi="Arial" w:cs="Arial"/>
          <w:sz w:val="20"/>
          <w:szCs w:val="20"/>
        </w:rPr>
        <w:t xml:space="preserve">helicopters. </w:t>
      </w:r>
      <w:r w:rsidR="007020B8" w:rsidRPr="000E7F48">
        <w:rPr>
          <w:rFonts w:ascii="Arial" w:hAnsi="Arial" w:cs="Arial"/>
          <w:sz w:val="20"/>
          <w:szCs w:val="20"/>
        </w:rPr>
        <w:t xml:space="preserve">Armscor indicated that there is one operational Falcon 50, but that others will become serviceable in the </w:t>
      </w:r>
      <w:r w:rsidR="0008212D" w:rsidRPr="000E7F48">
        <w:rPr>
          <w:rFonts w:ascii="Arial" w:hAnsi="Arial" w:cs="Arial"/>
          <w:sz w:val="20"/>
          <w:szCs w:val="20"/>
        </w:rPr>
        <w:t xml:space="preserve">following </w:t>
      </w:r>
      <w:r w:rsidR="007020B8" w:rsidRPr="000E7F48">
        <w:rPr>
          <w:rFonts w:ascii="Arial" w:hAnsi="Arial" w:cs="Arial"/>
          <w:sz w:val="20"/>
          <w:szCs w:val="20"/>
        </w:rPr>
        <w:t>months. A new contract for the Presidential plane will also be placed.</w:t>
      </w:r>
      <w:r w:rsidR="00FA209A" w:rsidRPr="000E7F48">
        <w:rPr>
          <w:rFonts w:ascii="Arial" w:hAnsi="Arial" w:cs="Arial"/>
          <w:sz w:val="20"/>
          <w:szCs w:val="20"/>
        </w:rPr>
        <w:t xml:space="preserve"> Currently the maintenance contracts for the Oryx and Rooivalk are underfunded, but the contract will be amended throughout as funds become available.</w:t>
      </w:r>
      <w:r w:rsidR="006F5C9D" w:rsidRPr="000E7F48">
        <w:rPr>
          <w:rFonts w:ascii="Arial" w:hAnsi="Arial" w:cs="Arial"/>
          <w:sz w:val="20"/>
          <w:szCs w:val="20"/>
        </w:rPr>
        <w:t xml:space="preserve"> Armscor also confirmed that a maintenance contract has been concluded for the Gripen aircraft, but that funding constraints remain a concern.</w:t>
      </w:r>
    </w:p>
    <w:p w:rsidR="00525367" w:rsidRPr="000E7F48" w:rsidRDefault="00525367" w:rsidP="000E7F48">
      <w:pPr>
        <w:pStyle w:val="ListParagraph"/>
        <w:rPr>
          <w:rFonts w:ascii="Arial" w:hAnsi="Arial" w:cs="Arial"/>
          <w:sz w:val="20"/>
          <w:szCs w:val="20"/>
        </w:rPr>
      </w:pPr>
    </w:p>
    <w:p w:rsidR="00721E5D" w:rsidRPr="000E7F48" w:rsidRDefault="00721E5D" w:rsidP="000E7F48">
      <w:pPr>
        <w:spacing w:after="0" w:line="240" w:lineRule="auto"/>
        <w:rPr>
          <w:rFonts w:ascii="Arial" w:hAnsi="Arial" w:cs="Arial"/>
          <w:b/>
          <w:sz w:val="20"/>
          <w:szCs w:val="20"/>
        </w:rPr>
      </w:pPr>
      <w:r w:rsidRPr="000E7F48">
        <w:rPr>
          <w:rFonts w:ascii="Arial" w:hAnsi="Arial" w:cs="Arial"/>
          <w:b/>
          <w:sz w:val="20"/>
          <w:szCs w:val="20"/>
        </w:rPr>
        <w:t>8.</w:t>
      </w:r>
      <w:r w:rsidRPr="000E7F48">
        <w:rPr>
          <w:rFonts w:ascii="Arial" w:hAnsi="Arial" w:cs="Arial"/>
          <w:b/>
          <w:sz w:val="20"/>
          <w:szCs w:val="20"/>
        </w:rPr>
        <w:tab/>
        <w:t>RECOMMENDATIONS</w:t>
      </w:r>
    </w:p>
    <w:p w:rsidR="00721E5D" w:rsidRPr="000E7F48" w:rsidRDefault="00721E5D" w:rsidP="000E7F48">
      <w:pPr>
        <w:spacing w:after="0" w:line="240" w:lineRule="auto"/>
        <w:rPr>
          <w:rFonts w:ascii="Arial" w:hAnsi="Arial" w:cs="Arial"/>
          <w:sz w:val="20"/>
          <w:szCs w:val="20"/>
          <w:lang w:val="en-GB"/>
        </w:rPr>
      </w:pPr>
    </w:p>
    <w:p w:rsidR="00721E5D" w:rsidRPr="000E7F48" w:rsidRDefault="00721E5D" w:rsidP="000E7F48">
      <w:pPr>
        <w:spacing w:after="0" w:line="240" w:lineRule="auto"/>
        <w:rPr>
          <w:rFonts w:ascii="Arial" w:hAnsi="Arial" w:cs="Arial"/>
          <w:sz w:val="20"/>
          <w:szCs w:val="20"/>
          <w:lang w:val="en-GB"/>
        </w:rPr>
      </w:pPr>
      <w:r w:rsidRPr="000E7F48">
        <w:rPr>
          <w:rFonts w:ascii="Arial" w:hAnsi="Arial" w:cs="Arial"/>
          <w:sz w:val="20"/>
          <w:szCs w:val="20"/>
          <w:lang w:val="en-GB"/>
        </w:rPr>
        <w:t>The PCDMV identified the following areas and proposes the following recommendation that will be subject to monitoring by the Committee throughout the 202</w:t>
      </w:r>
      <w:r w:rsidR="00554EDF" w:rsidRPr="000E7F48">
        <w:rPr>
          <w:rFonts w:ascii="Arial" w:hAnsi="Arial" w:cs="Arial"/>
          <w:sz w:val="20"/>
          <w:szCs w:val="20"/>
          <w:lang w:val="en-GB"/>
        </w:rPr>
        <w:t>3</w:t>
      </w:r>
      <w:r w:rsidRPr="000E7F48">
        <w:rPr>
          <w:rFonts w:ascii="Arial" w:hAnsi="Arial" w:cs="Arial"/>
          <w:sz w:val="20"/>
          <w:szCs w:val="20"/>
          <w:lang w:val="en-GB"/>
        </w:rPr>
        <w:t>/2</w:t>
      </w:r>
      <w:r w:rsidR="00554EDF" w:rsidRPr="000E7F48">
        <w:rPr>
          <w:rFonts w:ascii="Arial" w:hAnsi="Arial" w:cs="Arial"/>
          <w:sz w:val="20"/>
          <w:szCs w:val="20"/>
          <w:lang w:val="en-GB"/>
        </w:rPr>
        <w:t>4</w:t>
      </w:r>
      <w:r w:rsidRPr="000E7F48">
        <w:rPr>
          <w:rFonts w:ascii="Arial" w:hAnsi="Arial" w:cs="Arial"/>
          <w:sz w:val="20"/>
          <w:szCs w:val="20"/>
          <w:lang w:val="en-GB"/>
        </w:rPr>
        <w:t xml:space="preserve"> financial year:</w:t>
      </w:r>
    </w:p>
    <w:p w:rsidR="00721E5D" w:rsidRPr="000E7F48" w:rsidRDefault="00721E5D" w:rsidP="000E7F48">
      <w:pPr>
        <w:spacing w:after="0" w:line="240" w:lineRule="auto"/>
        <w:rPr>
          <w:rFonts w:ascii="Arial" w:hAnsi="Arial" w:cs="Arial"/>
          <w:sz w:val="20"/>
          <w:szCs w:val="20"/>
          <w:lang w:val="en-GB"/>
        </w:rPr>
      </w:pPr>
    </w:p>
    <w:p w:rsidR="00EF210B" w:rsidRPr="000E7F48" w:rsidRDefault="00525367" w:rsidP="000E7F48">
      <w:pPr>
        <w:pStyle w:val="ListParagraph"/>
        <w:numPr>
          <w:ilvl w:val="0"/>
          <w:numId w:val="51"/>
        </w:numPr>
        <w:rPr>
          <w:rFonts w:ascii="Arial" w:hAnsi="Arial" w:cs="Arial"/>
          <w:sz w:val="20"/>
          <w:szCs w:val="20"/>
        </w:rPr>
      </w:pPr>
      <w:r w:rsidRPr="000E7F48">
        <w:rPr>
          <w:rFonts w:ascii="Arial" w:hAnsi="Arial" w:cs="Arial"/>
          <w:spacing w:val="6"/>
          <w:sz w:val="20"/>
          <w:szCs w:val="20"/>
          <w:lang w:eastAsia="en-GB"/>
        </w:rPr>
        <w:t xml:space="preserve">Armscor </w:t>
      </w:r>
      <w:r w:rsidR="006F5C9D" w:rsidRPr="000E7F48">
        <w:rPr>
          <w:rFonts w:ascii="Arial" w:hAnsi="Arial" w:cs="Arial"/>
          <w:spacing w:val="6"/>
          <w:sz w:val="20"/>
          <w:szCs w:val="20"/>
          <w:lang w:eastAsia="en-GB"/>
        </w:rPr>
        <w:t>is encouraged, amid fiscal constraints, to keep its administrative costs as low as possible and focus funds on revenue-generating activities.</w:t>
      </w:r>
    </w:p>
    <w:p w:rsidR="006F5C9D" w:rsidRPr="000E7F48" w:rsidRDefault="006F5C9D" w:rsidP="000E7F48">
      <w:pPr>
        <w:pStyle w:val="ListParagraph"/>
        <w:numPr>
          <w:ilvl w:val="0"/>
          <w:numId w:val="51"/>
        </w:numPr>
        <w:rPr>
          <w:rFonts w:ascii="Arial" w:hAnsi="Arial" w:cs="Arial"/>
          <w:sz w:val="20"/>
          <w:szCs w:val="20"/>
        </w:rPr>
      </w:pPr>
      <w:r w:rsidRPr="000E7F48">
        <w:rPr>
          <w:rFonts w:ascii="Arial" w:hAnsi="Arial" w:cs="Arial"/>
          <w:sz w:val="20"/>
          <w:szCs w:val="20"/>
        </w:rPr>
        <w:t xml:space="preserve">Armscor should aim to bring the Armscor Dockyard to profitability as soon as possible, while ensuring value for money to the </w:t>
      </w:r>
      <w:r w:rsidR="006F34BC" w:rsidRPr="000E7F48">
        <w:rPr>
          <w:rFonts w:ascii="Arial" w:hAnsi="Arial" w:cs="Arial"/>
          <w:sz w:val="20"/>
          <w:szCs w:val="20"/>
        </w:rPr>
        <w:t xml:space="preserve">SA </w:t>
      </w:r>
      <w:r w:rsidRPr="000E7F48">
        <w:rPr>
          <w:rFonts w:ascii="Arial" w:hAnsi="Arial" w:cs="Arial"/>
          <w:sz w:val="20"/>
          <w:szCs w:val="20"/>
        </w:rPr>
        <w:t>Navy. The Committee undertakes to visit the Armscor Dockyard to oversee its capacity, activities and strategies to service the SA Navy.</w:t>
      </w:r>
    </w:p>
    <w:p w:rsidR="006F5C9D" w:rsidRPr="000E7F48" w:rsidRDefault="006F5C9D" w:rsidP="000E7F48">
      <w:pPr>
        <w:pStyle w:val="ListParagraph"/>
        <w:numPr>
          <w:ilvl w:val="0"/>
          <w:numId w:val="51"/>
        </w:numPr>
        <w:rPr>
          <w:rFonts w:ascii="Arial" w:hAnsi="Arial" w:cs="Arial"/>
          <w:sz w:val="20"/>
          <w:szCs w:val="20"/>
        </w:rPr>
      </w:pPr>
      <w:r w:rsidRPr="000E7F48">
        <w:rPr>
          <w:rFonts w:ascii="Arial" w:hAnsi="Arial" w:cs="Arial"/>
          <w:sz w:val="20"/>
          <w:szCs w:val="20"/>
        </w:rPr>
        <w:t xml:space="preserve">Armscor should prioritise the speedy development of the Unmanned Aerial Vehicles </w:t>
      </w:r>
      <w:r w:rsidR="006F34BC" w:rsidRPr="000E7F48">
        <w:rPr>
          <w:rFonts w:ascii="Arial" w:hAnsi="Arial" w:cs="Arial"/>
          <w:sz w:val="20"/>
          <w:szCs w:val="20"/>
        </w:rPr>
        <w:t xml:space="preserve">Strategy </w:t>
      </w:r>
      <w:r w:rsidRPr="000E7F48">
        <w:rPr>
          <w:rFonts w:ascii="Arial" w:hAnsi="Arial" w:cs="Arial"/>
          <w:sz w:val="20"/>
          <w:szCs w:val="20"/>
        </w:rPr>
        <w:t>and ensure thorough participation by all relevant industry role-players while also focusing on building this key strategic capacity in South Africa.</w:t>
      </w:r>
    </w:p>
    <w:p w:rsidR="006F5C9D" w:rsidRPr="000E7F48" w:rsidRDefault="006F5C9D" w:rsidP="000E7F48">
      <w:pPr>
        <w:pStyle w:val="ListParagraph"/>
        <w:numPr>
          <w:ilvl w:val="0"/>
          <w:numId w:val="51"/>
        </w:numPr>
        <w:rPr>
          <w:rFonts w:ascii="Arial" w:hAnsi="Arial" w:cs="Arial"/>
          <w:sz w:val="20"/>
          <w:szCs w:val="20"/>
        </w:rPr>
      </w:pPr>
      <w:r w:rsidRPr="000E7F48">
        <w:rPr>
          <w:rFonts w:ascii="Arial" w:hAnsi="Arial" w:cs="Arial"/>
          <w:sz w:val="20"/>
          <w:szCs w:val="20"/>
        </w:rPr>
        <w:t xml:space="preserve">The Committee welcomes the fact that the Project Hoefyster Project Control Board was convened in April 2023, but stresses that a final decision </w:t>
      </w:r>
      <w:r w:rsidR="00442777" w:rsidRPr="000E7F48">
        <w:rPr>
          <w:rFonts w:ascii="Arial" w:hAnsi="Arial" w:cs="Arial"/>
          <w:sz w:val="20"/>
          <w:szCs w:val="20"/>
        </w:rPr>
        <w:t>(</w:t>
      </w:r>
      <w:r w:rsidRPr="000E7F48">
        <w:rPr>
          <w:rFonts w:ascii="Arial" w:hAnsi="Arial" w:cs="Arial"/>
          <w:sz w:val="20"/>
          <w:szCs w:val="20"/>
        </w:rPr>
        <w:t>by all relevant structures</w:t>
      </w:r>
      <w:r w:rsidR="00442777" w:rsidRPr="000E7F48">
        <w:rPr>
          <w:rFonts w:ascii="Arial" w:hAnsi="Arial" w:cs="Arial"/>
          <w:sz w:val="20"/>
          <w:szCs w:val="20"/>
        </w:rPr>
        <w:t>)</w:t>
      </w:r>
      <w:r w:rsidRPr="000E7F48">
        <w:rPr>
          <w:rFonts w:ascii="Arial" w:hAnsi="Arial" w:cs="Arial"/>
          <w:sz w:val="20"/>
          <w:szCs w:val="20"/>
        </w:rPr>
        <w:t xml:space="preserve"> </w:t>
      </w:r>
      <w:r w:rsidR="00442777" w:rsidRPr="000E7F48">
        <w:rPr>
          <w:rFonts w:ascii="Arial" w:hAnsi="Arial" w:cs="Arial"/>
          <w:sz w:val="20"/>
          <w:szCs w:val="20"/>
        </w:rPr>
        <w:t xml:space="preserve">is </w:t>
      </w:r>
      <w:r w:rsidRPr="000E7F48">
        <w:rPr>
          <w:rFonts w:ascii="Arial" w:hAnsi="Arial" w:cs="Arial"/>
          <w:sz w:val="20"/>
          <w:szCs w:val="20"/>
        </w:rPr>
        <w:t>required. The current pace of developments is not aligned to previous PCDMV recommendations on the finalisation of a decision on the way forward for Project Hoefyster.</w:t>
      </w:r>
    </w:p>
    <w:p w:rsidR="0022577F" w:rsidRPr="000E7F48" w:rsidRDefault="0022577F" w:rsidP="000E7F48">
      <w:pPr>
        <w:pStyle w:val="ListParagraph"/>
        <w:numPr>
          <w:ilvl w:val="0"/>
          <w:numId w:val="51"/>
        </w:numPr>
        <w:rPr>
          <w:rFonts w:ascii="Arial" w:hAnsi="Arial" w:cs="Arial"/>
          <w:sz w:val="20"/>
          <w:szCs w:val="20"/>
        </w:rPr>
      </w:pPr>
      <w:r w:rsidRPr="000E7F48">
        <w:rPr>
          <w:rFonts w:ascii="Arial" w:hAnsi="Arial" w:cs="Arial"/>
          <w:sz w:val="20"/>
          <w:szCs w:val="20"/>
        </w:rPr>
        <w:t>Armscor’s internal audit division should prioritise and finalise all outstanding ad hoc audit queries as a matter of urgency.</w:t>
      </w:r>
    </w:p>
    <w:p w:rsidR="0022577F" w:rsidRPr="000E7F48" w:rsidRDefault="0022577F" w:rsidP="000E7F48">
      <w:pPr>
        <w:pStyle w:val="ListParagraph"/>
        <w:numPr>
          <w:ilvl w:val="0"/>
          <w:numId w:val="51"/>
        </w:numPr>
        <w:rPr>
          <w:rFonts w:ascii="Arial" w:hAnsi="Arial" w:cs="Arial"/>
          <w:sz w:val="20"/>
          <w:szCs w:val="20"/>
        </w:rPr>
      </w:pPr>
      <w:r w:rsidRPr="000E7F48">
        <w:rPr>
          <w:rFonts w:ascii="Arial" w:hAnsi="Arial" w:cs="Arial"/>
          <w:sz w:val="20"/>
          <w:szCs w:val="20"/>
        </w:rPr>
        <w:t xml:space="preserve">Armscor and the relevant role-players should make every effort to ensure that all SA Air Force maintenance contracts are in place and funded for the maximum operational readiness of all aircraft. </w:t>
      </w:r>
    </w:p>
    <w:p w:rsidR="00554EDF" w:rsidRPr="000E7F48" w:rsidRDefault="00554EDF" w:rsidP="000E7F48">
      <w:pPr>
        <w:spacing w:after="0" w:line="240" w:lineRule="auto"/>
        <w:rPr>
          <w:rFonts w:ascii="Arial" w:hAnsi="Arial" w:cs="Arial"/>
          <w:sz w:val="20"/>
          <w:szCs w:val="20"/>
        </w:rPr>
      </w:pPr>
    </w:p>
    <w:p w:rsidR="00972F20" w:rsidRPr="000E7F48" w:rsidRDefault="00972F20" w:rsidP="000E7F48">
      <w:pPr>
        <w:spacing w:after="0" w:line="240" w:lineRule="auto"/>
        <w:rPr>
          <w:rFonts w:ascii="Arial" w:eastAsia="Times New Roman" w:hAnsi="Arial" w:cs="Arial"/>
          <w:color w:val="000000"/>
          <w:spacing w:val="6"/>
          <w:sz w:val="20"/>
          <w:szCs w:val="20"/>
          <w:lang w:val="en-GB" w:eastAsia="en-GB"/>
        </w:rPr>
      </w:pPr>
      <w:r w:rsidRPr="000E7F48">
        <w:rPr>
          <w:rFonts w:ascii="Arial" w:eastAsia="Times New Roman" w:hAnsi="Arial" w:cs="Arial"/>
          <w:color w:val="000000"/>
          <w:spacing w:val="6"/>
          <w:sz w:val="20"/>
          <w:szCs w:val="20"/>
          <w:lang w:val="en-GB" w:eastAsia="en-GB"/>
        </w:rPr>
        <w:t xml:space="preserve">The PCDMV requires the following </w:t>
      </w:r>
      <w:r w:rsidR="008D268C" w:rsidRPr="000E7F48">
        <w:rPr>
          <w:rFonts w:ascii="Arial" w:eastAsia="Times New Roman" w:hAnsi="Arial" w:cs="Arial"/>
          <w:spacing w:val="6"/>
          <w:sz w:val="20"/>
          <w:szCs w:val="20"/>
          <w:lang w:val="en-GB" w:eastAsia="en-GB"/>
        </w:rPr>
        <w:t>from Armscor during the third quarter and will call Armscor to report on the following</w:t>
      </w:r>
      <w:r w:rsidRPr="000E7F48">
        <w:rPr>
          <w:rFonts w:ascii="Arial" w:eastAsia="Times New Roman" w:hAnsi="Arial" w:cs="Arial"/>
          <w:color w:val="000000"/>
          <w:spacing w:val="6"/>
          <w:sz w:val="20"/>
          <w:szCs w:val="20"/>
          <w:lang w:val="en-GB" w:eastAsia="en-GB"/>
        </w:rPr>
        <w:t>:</w:t>
      </w:r>
    </w:p>
    <w:p w:rsidR="00554EDF" w:rsidRPr="000E7F48" w:rsidRDefault="00972F20" w:rsidP="000E7F48">
      <w:pPr>
        <w:pStyle w:val="ListParagraph"/>
        <w:numPr>
          <w:ilvl w:val="0"/>
          <w:numId w:val="47"/>
        </w:numPr>
        <w:rPr>
          <w:rFonts w:ascii="Arial" w:hAnsi="Arial" w:cs="Arial"/>
          <w:sz w:val="20"/>
          <w:szCs w:val="20"/>
        </w:rPr>
      </w:pPr>
      <w:r w:rsidRPr="000E7F48">
        <w:rPr>
          <w:rFonts w:ascii="Arial" w:hAnsi="Arial" w:cs="Arial"/>
          <w:sz w:val="20"/>
          <w:szCs w:val="20"/>
        </w:rPr>
        <w:t>Armscor should provide further information on the financial contributions, costs and operating activities of AB Logistics.</w:t>
      </w:r>
    </w:p>
    <w:p w:rsidR="00972F20" w:rsidRPr="000E7F48" w:rsidRDefault="00972F20" w:rsidP="000E7F48">
      <w:pPr>
        <w:pStyle w:val="ListParagraph"/>
        <w:numPr>
          <w:ilvl w:val="0"/>
          <w:numId w:val="47"/>
        </w:numPr>
        <w:rPr>
          <w:rFonts w:ascii="Arial" w:hAnsi="Arial" w:cs="Arial"/>
          <w:sz w:val="20"/>
          <w:szCs w:val="20"/>
        </w:rPr>
      </w:pPr>
      <w:r w:rsidRPr="000E7F48">
        <w:rPr>
          <w:rFonts w:ascii="Arial" w:hAnsi="Arial" w:cs="Arial"/>
          <w:sz w:val="20"/>
          <w:szCs w:val="20"/>
        </w:rPr>
        <w:t xml:space="preserve">The Committee expressed concern around the skills gap in the Armscor Board due to </w:t>
      </w:r>
      <w:r w:rsidR="009F23B1" w:rsidRPr="000E7F48">
        <w:rPr>
          <w:rFonts w:ascii="Arial" w:hAnsi="Arial" w:cs="Arial"/>
          <w:sz w:val="20"/>
          <w:szCs w:val="20"/>
        </w:rPr>
        <w:t xml:space="preserve">a recent increase in </w:t>
      </w:r>
      <w:r w:rsidRPr="000E7F48">
        <w:rPr>
          <w:rFonts w:ascii="Arial" w:hAnsi="Arial" w:cs="Arial"/>
          <w:sz w:val="20"/>
          <w:szCs w:val="20"/>
        </w:rPr>
        <w:t xml:space="preserve">vacancies. </w:t>
      </w:r>
      <w:r w:rsidR="009F23B1" w:rsidRPr="000E7F48">
        <w:rPr>
          <w:rFonts w:ascii="Arial" w:hAnsi="Arial" w:cs="Arial"/>
          <w:sz w:val="20"/>
          <w:szCs w:val="20"/>
        </w:rPr>
        <w:t xml:space="preserve">The Minister of Defence should advise the Committee on steps taken to address these vacancies </w:t>
      </w:r>
      <w:r w:rsidR="007A3A51" w:rsidRPr="000E7F48">
        <w:rPr>
          <w:rFonts w:ascii="Arial" w:hAnsi="Arial" w:cs="Arial"/>
          <w:sz w:val="20"/>
          <w:szCs w:val="20"/>
        </w:rPr>
        <w:t>including</w:t>
      </w:r>
      <w:r w:rsidR="009F23B1" w:rsidRPr="000E7F48">
        <w:rPr>
          <w:rFonts w:ascii="Arial" w:hAnsi="Arial" w:cs="Arial"/>
          <w:sz w:val="20"/>
          <w:szCs w:val="20"/>
        </w:rPr>
        <w:t xml:space="preserve"> envisaged timelines.</w:t>
      </w:r>
    </w:p>
    <w:p w:rsidR="006F5C9D" w:rsidRPr="000E7F48" w:rsidRDefault="006F5C9D" w:rsidP="000E7F48">
      <w:pPr>
        <w:pStyle w:val="ListParagraph"/>
        <w:numPr>
          <w:ilvl w:val="0"/>
          <w:numId w:val="47"/>
        </w:numPr>
        <w:rPr>
          <w:rFonts w:ascii="Arial" w:hAnsi="Arial" w:cs="Arial"/>
          <w:sz w:val="20"/>
          <w:szCs w:val="20"/>
        </w:rPr>
      </w:pPr>
      <w:r w:rsidRPr="000E7F48">
        <w:rPr>
          <w:rFonts w:ascii="Arial" w:hAnsi="Arial" w:cs="Arial"/>
          <w:sz w:val="20"/>
          <w:szCs w:val="20"/>
        </w:rPr>
        <w:t xml:space="preserve">Following the Project Hoefyster Project Control Board meeting of April 2023, Armscor should </w:t>
      </w:r>
      <w:r w:rsidR="008D268C" w:rsidRPr="000E7F48">
        <w:rPr>
          <w:rFonts w:ascii="Arial" w:hAnsi="Arial" w:cs="Arial"/>
          <w:sz w:val="20"/>
          <w:szCs w:val="20"/>
        </w:rPr>
        <w:t>provide quarterly updates on the status of the Project and a final decision on the future thereof</w:t>
      </w:r>
      <w:r w:rsidR="0022577F" w:rsidRPr="000E7F48">
        <w:rPr>
          <w:rFonts w:ascii="Arial" w:hAnsi="Arial" w:cs="Arial"/>
          <w:sz w:val="20"/>
          <w:szCs w:val="20"/>
        </w:rPr>
        <w:t>.</w:t>
      </w:r>
    </w:p>
    <w:p w:rsidR="0022577F" w:rsidRPr="000E7F48" w:rsidRDefault="0022577F" w:rsidP="000E7F48">
      <w:pPr>
        <w:pStyle w:val="ListParagraph"/>
        <w:numPr>
          <w:ilvl w:val="0"/>
          <w:numId w:val="47"/>
        </w:numPr>
        <w:rPr>
          <w:rFonts w:ascii="Arial" w:hAnsi="Arial" w:cs="Arial"/>
          <w:sz w:val="20"/>
          <w:szCs w:val="20"/>
        </w:rPr>
      </w:pPr>
      <w:r w:rsidRPr="000E7F48">
        <w:rPr>
          <w:rFonts w:ascii="Arial" w:hAnsi="Arial" w:cs="Arial"/>
          <w:sz w:val="20"/>
          <w:szCs w:val="20"/>
        </w:rPr>
        <w:lastRenderedPageBreak/>
        <w:t xml:space="preserve">Armscor should provide the Committee with a list of all SA </w:t>
      </w:r>
      <w:r w:rsidR="007A3A51" w:rsidRPr="000E7F48">
        <w:rPr>
          <w:rFonts w:ascii="Arial" w:hAnsi="Arial" w:cs="Arial"/>
          <w:sz w:val="20"/>
          <w:szCs w:val="20"/>
        </w:rPr>
        <w:t xml:space="preserve">Air </w:t>
      </w:r>
      <w:r w:rsidRPr="000E7F48">
        <w:rPr>
          <w:rFonts w:ascii="Arial" w:hAnsi="Arial" w:cs="Arial"/>
          <w:sz w:val="20"/>
          <w:szCs w:val="20"/>
        </w:rPr>
        <w:t xml:space="preserve">Force maintenance contracts per aircraft, the status of this contract and what portion of the contract is funded per year over the MTEF. </w:t>
      </w:r>
      <w:r w:rsidR="008D268C" w:rsidRPr="000E7F48">
        <w:rPr>
          <w:rFonts w:ascii="Arial" w:hAnsi="Arial" w:cs="Arial"/>
          <w:sz w:val="20"/>
          <w:szCs w:val="20"/>
        </w:rPr>
        <w:t>Feedback</w:t>
      </w:r>
      <w:r w:rsidRPr="000E7F48">
        <w:rPr>
          <w:rFonts w:ascii="Arial" w:hAnsi="Arial" w:cs="Arial"/>
          <w:sz w:val="20"/>
          <w:szCs w:val="20"/>
        </w:rPr>
        <w:t xml:space="preserve"> should also highlight any problems with maintenance contracts where such contracts may be in place but are not executed effectively. </w:t>
      </w:r>
    </w:p>
    <w:p w:rsidR="00554EDF" w:rsidRPr="000E7F48" w:rsidRDefault="009F3210" w:rsidP="000E7F48">
      <w:pPr>
        <w:pStyle w:val="ListParagraph"/>
        <w:numPr>
          <w:ilvl w:val="0"/>
          <w:numId w:val="47"/>
        </w:numPr>
        <w:rPr>
          <w:rFonts w:ascii="Arial" w:hAnsi="Arial" w:cs="Arial"/>
          <w:sz w:val="20"/>
          <w:szCs w:val="20"/>
        </w:rPr>
      </w:pPr>
      <w:r w:rsidRPr="000E7F48">
        <w:rPr>
          <w:rFonts w:ascii="Arial" w:hAnsi="Arial" w:cs="Arial"/>
          <w:sz w:val="20"/>
          <w:szCs w:val="20"/>
        </w:rPr>
        <w:t>Armscor should provide the Committee with a list of all SA Army and SA Navy maintenance and refit contracts, the status of each contract and what portion of the contract is funded per year over the MTEF.</w:t>
      </w:r>
    </w:p>
    <w:p w:rsidR="001976C6" w:rsidRPr="000E7F48" w:rsidRDefault="001976C6" w:rsidP="000E7F48">
      <w:pPr>
        <w:pStyle w:val="ListParagraph"/>
        <w:rPr>
          <w:rFonts w:ascii="Arial" w:hAnsi="Arial" w:cs="Arial"/>
          <w:sz w:val="20"/>
          <w:szCs w:val="20"/>
        </w:rPr>
      </w:pPr>
    </w:p>
    <w:p w:rsidR="00194FC2" w:rsidRPr="000E7F48" w:rsidRDefault="00194FC2" w:rsidP="000E7F48">
      <w:pPr>
        <w:spacing w:after="0" w:line="240" w:lineRule="auto"/>
        <w:rPr>
          <w:rFonts w:ascii="Arial" w:eastAsia="Times New Roman" w:hAnsi="Arial" w:cs="Arial"/>
          <w:color w:val="000000"/>
          <w:spacing w:val="6"/>
          <w:sz w:val="20"/>
          <w:szCs w:val="20"/>
          <w:lang w:val="en-GB" w:eastAsia="en-GB"/>
        </w:rPr>
      </w:pPr>
      <w:r w:rsidRPr="000E7F48">
        <w:rPr>
          <w:rFonts w:ascii="Arial" w:hAnsi="Arial" w:cs="Arial"/>
          <w:b/>
          <w:i/>
          <w:sz w:val="20"/>
          <w:szCs w:val="20"/>
        </w:rPr>
        <w:t xml:space="preserve">Report </w:t>
      </w:r>
      <w:r w:rsidR="008F2AD7" w:rsidRPr="000E7F48">
        <w:rPr>
          <w:rFonts w:ascii="Arial" w:hAnsi="Arial" w:cs="Arial"/>
          <w:b/>
          <w:i/>
          <w:sz w:val="20"/>
          <w:szCs w:val="20"/>
        </w:rPr>
        <w:t>adopted</w:t>
      </w:r>
      <w:r w:rsidR="001D2AF3" w:rsidRPr="000E7F48">
        <w:rPr>
          <w:rFonts w:ascii="Arial" w:hAnsi="Arial" w:cs="Arial"/>
          <w:b/>
          <w:i/>
          <w:sz w:val="20"/>
          <w:szCs w:val="20"/>
        </w:rPr>
        <w:t xml:space="preserve"> on 17 May 2023</w:t>
      </w:r>
      <w:r w:rsidR="00554EDF" w:rsidRPr="000E7F48">
        <w:rPr>
          <w:rFonts w:ascii="Arial" w:hAnsi="Arial" w:cs="Arial"/>
          <w:b/>
          <w:i/>
          <w:sz w:val="20"/>
          <w:szCs w:val="20"/>
        </w:rPr>
        <w:t>.</w:t>
      </w:r>
      <w:r w:rsidRPr="000E7F48">
        <w:rPr>
          <w:rFonts w:ascii="Arial" w:hAnsi="Arial" w:cs="Arial"/>
          <w:b/>
          <w:i/>
          <w:sz w:val="20"/>
          <w:szCs w:val="20"/>
        </w:rPr>
        <w:t xml:space="preserve"> </w:t>
      </w:r>
    </w:p>
    <w:p w:rsidR="00194FC2" w:rsidRPr="000E7F48" w:rsidRDefault="00194FC2" w:rsidP="000E7F48">
      <w:pPr>
        <w:spacing w:after="0" w:line="240" w:lineRule="auto"/>
        <w:rPr>
          <w:rFonts w:ascii="Arial" w:hAnsi="Arial" w:cs="Arial"/>
          <w:sz w:val="20"/>
          <w:szCs w:val="20"/>
        </w:rPr>
      </w:pPr>
    </w:p>
    <w:sectPr w:rsidR="00194FC2" w:rsidRPr="000E7F48" w:rsidSect="001976C6">
      <w:headerReference w:type="default" r:id="rId8"/>
      <w:footerReference w:type="default" r:id="rId9"/>
      <w:footerReference w:type="first" r:id="rId10"/>
      <w:endnotePr>
        <w:numFmt w:val="decimal"/>
      </w:endnotePr>
      <w:pgSz w:w="11906" w:h="16838" w:code="9"/>
      <w:pgMar w:top="1170" w:right="1134" w:bottom="1134"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E6" w:rsidRDefault="003551E6">
      <w:pPr>
        <w:spacing w:after="0" w:line="240" w:lineRule="auto"/>
      </w:pPr>
      <w:r>
        <w:separator/>
      </w:r>
    </w:p>
  </w:endnote>
  <w:endnote w:type="continuationSeparator" w:id="0">
    <w:p w:rsidR="003551E6" w:rsidRDefault="00355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98337"/>
      <w:docPartObj>
        <w:docPartGallery w:val="Page Numbers (Bottom of Page)"/>
        <w:docPartUnique/>
      </w:docPartObj>
    </w:sdtPr>
    <w:sdtEndPr>
      <w:rPr>
        <w:rFonts w:ascii="Times New Roman" w:hAnsi="Times New Roman"/>
        <w:noProof/>
        <w:sz w:val="24"/>
        <w:szCs w:val="24"/>
      </w:rPr>
    </w:sdtEndPr>
    <w:sdtContent>
      <w:p w:rsidR="008241CD" w:rsidRPr="003534DD" w:rsidRDefault="00B91AF7">
        <w:pPr>
          <w:pStyle w:val="Footer"/>
          <w:jc w:val="right"/>
          <w:rPr>
            <w:rFonts w:ascii="Times New Roman" w:hAnsi="Times New Roman"/>
            <w:sz w:val="24"/>
            <w:szCs w:val="24"/>
          </w:rPr>
        </w:pPr>
        <w:r w:rsidRPr="003534DD">
          <w:rPr>
            <w:rFonts w:ascii="Times New Roman" w:hAnsi="Times New Roman"/>
            <w:sz w:val="24"/>
            <w:szCs w:val="24"/>
          </w:rPr>
          <w:fldChar w:fldCharType="begin"/>
        </w:r>
        <w:r w:rsidR="008241CD" w:rsidRPr="003534DD">
          <w:rPr>
            <w:rFonts w:ascii="Times New Roman" w:hAnsi="Times New Roman"/>
            <w:sz w:val="24"/>
            <w:szCs w:val="24"/>
          </w:rPr>
          <w:instrText xml:space="preserve"> PAGE   \* MERGEFORMAT </w:instrText>
        </w:r>
        <w:r w:rsidRPr="003534DD">
          <w:rPr>
            <w:rFonts w:ascii="Times New Roman" w:hAnsi="Times New Roman"/>
            <w:sz w:val="24"/>
            <w:szCs w:val="24"/>
          </w:rPr>
          <w:fldChar w:fldCharType="separate"/>
        </w:r>
        <w:r w:rsidR="000E7F48">
          <w:rPr>
            <w:rFonts w:ascii="Times New Roman" w:hAnsi="Times New Roman"/>
            <w:noProof/>
            <w:sz w:val="24"/>
            <w:szCs w:val="24"/>
          </w:rPr>
          <w:t>34</w:t>
        </w:r>
        <w:r w:rsidRPr="003534DD">
          <w:rPr>
            <w:rFonts w:ascii="Times New Roman" w:hAnsi="Times New Roman"/>
            <w:noProof/>
            <w:sz w:val="24"/>
            <w:szCs w:val="24"/>
          </w:rPr>
          <w:fldChar w:fldCharType="end"/>
        </w:r>
      </w:p>
    </w:sdtContent>
  </w:sdt>
  <w:p w:rsidR="008241CD" w:rsidRPr="007E5B31" w:rsidRDefault="008241CD" w:rsidP="00194F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CD" w:rsidRDefault="00B91AF7" w:rsidP="00194FC2">
    <w:pPr>
      <w:pStyle w:val="NormalBoldCenter"/>
      <w:rPr>
        <w:rStyle w:val="FooterboldChar"/>
      </w:rPr>
    </w:pPr>
    <w:r w:rsidRPr="00B91AF7">
      <w:rPr>
        <w:b w:val="0"/>
        <w:noProof/>
        <w:lang w:val="en-ZA" w:eastAsia="en-ZA"/>
      </w:rPr>
      <w:pict>
        <v:line id="Straight Connector 2" o:spid="_x0000_s2049" style="position:absolute;left:0;text-align:left;z-index:251660288;visibility:visible;mso-position-horizontal-relative:page;mso-position-vertical-relative:page" from="56.7pt,779.75pt" to="538.6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j2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">
          <w10:wrap anchorx="page" anchory="page"/>
        </v:line>
      </w:pict>
    </w:r>
  </w:p>
  <w:p w:rsidR="008241CD" w:rsidRDefault="008241CD" w:rsidP="00194FC2">
    <w:pPr>
      <w:pStyle w:val="Footer"/>
      <w:spacing w:line="240" w:lineRule="auto"/>
      <w:ind w:right="360"/>
    </w:pPr>
    <w:r>
      <w:tab/>
    </w:r>
    <w:r>
      <w:tab/>
    </w:r>
    <w:r>
      <w:tab/>
    </w:r>
    <w:r>
      <w:tab/>
    </w:r>
  </w:p>
  <w:p w:rsidR="008241CD" w:rsidRDefault="008241CD">
    <w:pPr>
      <w:pStyle w:val="Footer"/>
      <w:spacing w:line="240" w:lineRule="auto"/>
      <w:ind w:right="360"/>
    </w:pP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E6" w:rsidRDefault="003551E6">
      <w:pPr>
        <w:spacing w:after="0" w:line="240" w:lineRule="auto"/>
      </w:pPr>
      <w:r>
        <w:separator/>
      </w:r>
    </w:p>
  </w:footnote>
  <w:footnote w:type="continuationSeparator" w:id="0">
    <w:p w:rsidR="003551E6" w:rsidRDefault="003551E6">
      <w:pPr>
        <w:spacing w:after="0" w:line="240" w:lineRule="auto"/>
      </w:pPr>
      <w:r>
        <w:continuationSeparator/>
      </w:r>
    </w:p>
  </w:footnote>
  <w:footnote w:id="1">
    <w:p w:rsidR="008241CD" w:rsidRPr="000E5EC3" w:rsidRDefault="008241CD" w:rsidP="00141D05">
      <w:pPr>
        <w:pStyle w:val="FootnoteText"/>
        <w:rPr>
          <w:rFonts w:ascii="Arial" w:hAnsi="Arial" w:cs="Arial"/>
        </w:rPr>
      </w:pPr>
      <w:r w:rsidRPr="000E5EC3">
        <w:rPr>
          <w:rStyle w:val="FootnoteReference"/>
          <w:rFonts w:ascii="Arial" w:hAnsi="Arial" w:cs="Arial"/>
          <w:sz w:val="18"/>
        </w:rPr>
        <w:footnoteRef/>
      </w:r>
      <w:r w:rsidRPr="000E5EC3">
        <w:rPr>
          <w:rFonts w:ascii="Arial" w:hAnsi="Arial" w:cs="Arial"/>
          <w:sz w:val="18"/>
        </w:rPr>
        <w:t xml:space="preserve"> Real percentage takes into account Consumer-Price Inflation.</w:t>
      </w:r>
    </w:p>
  </w:footnote>
  <w:footnote w:id="2">
    <w:p w:rsidR="008241CD" w:rsidRPr="00C73AB2" w:rsidRDefault="008241CD" w:rsidP="00F42111">
      <w:pPr>
        <w:pStyle w:val="FootnoteText"/>
        <w:rPr>
          <w:rFonts w:ascii="Arial" w:hAnsi="Arial" w:cs="Arial"/>
        </w:rPr>
      </w:pPr>
      <w:r w:rsidRPr="00C73AB2">
        <w:rPr>
          <w:rStyle w:val="FootnoteReference"/>
          <w:rFonts w:ascii="Arial" w:hAnsi="Arial" w:cs="Arial"/>
          <w:sz w:val="18"/>
        </w:rPr>
        <w:footnoteRef/>
      </w:r>
      <w:r w:rsidRPr="00C73AB2">
        <w:rPr>
          <w:rFonts w:ascii="Arial" w:hAnsi="Arial" w:cs="Arial"/>
          <w:sz w:val="18"/>
        </w:rPr>
        <w:t xml:space="preserve"> National Treasury (2023) p. 428</w:t>
      </w:r>
    </w:p>
  </w:footnote>
  <w:footnote w:id="3">
    <w:p w:rsidR="008241CD" w:rsidRPr="00E00CEF" w:rsidRDefault="008241CD" w:rsidP="00425855">
      <w:pPr>
        <w:pStyle w:val="FootnoteText"/>
      </w:pPr>
      <w:r w:rsidRPr="00E00CEF">
        <w:rPr>
          <w:rStyle w:val="FootnoteReference"/>
          <w:sz w:val="18"/>
        </w:rPr>
        <w:footnoteRef/>
      </w:r>
      <w:r w:rsidRPr="00E00CEF">
        <w:rPr>
          <w:sz w:val="18"/>
        </w:rPr>
        <w:t xml:space="preserve"> These figures are based on a revised estimate as presented by National Treasury in the 20</w:t>
      </w:r>
      <w:r>
        <w:rPr>
          <w:sz w:val="18"/>
        </w:rPr>
        <w:t>22</w:t>
      </w:r>
      <w:r w:rsidRPr="00E00CEF">
        <w:rPr>
          <w:sz w:val="18"/>
        </w:rPr>
        <w:t xml:space="preserve"> ENE.</w:t>
      </w:r>
    </w:p>
  </w:footnote>
  <w:footnote w:id="4">
    <w:p w:rsidR="008241CD" w:rsidRPr="002800A3" w:rsidRDefault="008241CD" w:rsidP="00425855">
      <w:pPr>
        <w:pStyle w:val="FootnoteText"/>
        <w:rPr>
          <w:rFonts w:cs="Arial"/>
        </w:rPr>
      </w:pPr>
      <w:r w:rsidRPr="002800A3">
        <w:rPr>
          <w:rStyle w:val="FootnoteReference"/>
          <w:rFonts w:cs="Arial"/>
          <w:sz w:val="18"/>
        </w:rPr>
        <w:footnoteRef/>
      </w:r>
      <w:r w:rsidRPr="002800A3">
        <w:rPr>
          <w:rFonts w:cs="Arial"/>
          <w:sz w:val="18"/>
        </w:rPr>
        <w:t xml:space="preserve"> Armscor (202</w:t>
      </w:r>
      <w:r>
        <w:rPr>
          <w:rFonts w:cs="Arial"/>
          <w:sz w:val="18"/>
        </w:rPr>
        <w:t>2) p. 35</w:t>
      </w:r>
      <w:r w:rsidRPr="002800A3">
        <w:rPr>
          <w:rFonts w:cs="Arial"/>
          <w:sz w:val="18"/>
        </w:rPr>
        <w:t>.</w:t>
      </w:r>
    </w:p>
  </w:footnote>
  <w:footnote w:id="5">
    <w:p w:rsidR="008241CD" w:rsidRPr="0060617A" w:rsidRDefault="008241CD" w:rsidP="00554EDF">
      <w:pPr>
        <w:pStyle w:val="FootnoteText"/>
        <w:rPr>
          <w:rFonts w:cs="Arial"/>
          <w:lang w:val="en-US"/>
        </w:rPr>
      </w:pPr>
      <w:r w:rsidRPr="0060617A">
        <w:rPr>
          <w:rStyle w:val="FootnoteReference"/>
          <w:rFonts w:cs="Arial"/>
          <w:sz w:val="18"/>
        </w:rPr>
        <w:footnoteRef/>
      </w:r>
      <w:r w:rsidRPr="0060617A">
        <w:rPr>
          <w:rFonts w:cs="Arial"/>
          <w:sz w:val="18"/>
        </w:rPr>
        <w:t xml:space="preserve"> </w:t>
      </w:r>
      <w:r w:rsidRPr="0060617A">
        <w:rPr>
          <w:rFonts w:cs="Arial"/>
          <w:sz w:val="18"/>
          <w:lang w:val="en-US"/>
        </w:rPr>
        <w:t>Armscor (2022) p.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CD" w:rsidRDefault="008241CD" w:rsidP="00194FC2">
    <w:pPr>
      <w:pStyle w:val="Header"/>
      <w:tabs>
        <w:tab w:val="clear" w:pos="4153"/>
        <w:tab w:val="clear" w:pos="8306"/>
        <w:tab w:val="center" w:pos="481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008F9"/>
    <w:multiLevelType w:val="hybridMultilevel"/>
    <w:tmpl w:val="E22A15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C76A14"/>
    <w:multiLevelType w:val="hybridMultilevel"/>
    <w:tmpl w:val="A9BAD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4E57932"/>
    <w:multiLevelType w:val="hybridMultilevel"/>
    <w:tmpl w:val="9FE0E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53B516A"/>
    <w:multiLevelType w:val="hybridMultilevel"/>
    <w:tmpl w:val="4B208B2A"/>
    <w:lvl w:ilvl="0" w:tplc="AC746A42">
      <w:start w:val="4"/>
      <w:numFmt w:val="bullet"/>
      <w:lvlText w:val="-"/>
      <w:lvlJc w:val="left"/>
      <w:pPr>
        <w:ind w:left="408" w:hanging="360"/>
      </w:pPr>
      <w:rPr>
        <w:rFonts w:ascii="Calibri" w:eastAsiaTheme="minorHAnsi" w:hAnsi="Calibri" w:cs="Calibri" w:hint="default"/>
      </w:rPr>
    </w:lvl>
    <w:lvl w:ilvl="1" w:tplc="1C090003">
      <w:start w:val="1"/>
      <w:numFmt w:val="bullet"/>
      <w:lvlText w:val="o"/>
      <w:lvlJc w:val="left"/>
      <w:pPr>
        <w:ind w:left="1128" w:hanging="360"/>
      </w:pPr>
      <w:rPr>
        <w:rFonts w:ascii="Courier New" w:hAnsi="Courier New" w:cs="Courier New" w:hint="default"/>
      </w:rPr>
    </w:lvl>
    <w:lvl w:ilvl="2" w:tplc="1C090005">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5">
    <w:nsid w:val="0BFF785F"/>
    <w:multiLevelType w:val="hybridMultilevel"/>
    <w:tmpl w:val="2DC2D7DA"/>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7B76CD"/>
    <w:multiLevelType w:val="hybridMultilevel"/>
    <w:tmpl w:val="B52E3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E52DDE"/>
    <w:multiLevelType w:val="hybridMultilevel"/>
    <w:tmpl w:val="B3B47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25F09F0"/>
    <w:multiLevelType w:val="hybridMultilevel"/>
    <w:tmpl w:val="CA14EC1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40C551C"/>
    <w:multiLevelType w:val="multilevel"/>
    <w:tmpl w:val="BF6C0E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304AB"/>
    <w:multiLevelType w:val="hybridMultilevel"/>
    <w:tmpl w:val="910E602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6FB4FDF"/>
    <w:multiLevelType w:val="hybridMultilevel"/>
    <w:tmpl w:val="CB5AC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A52DBC"/>
    <w:multiLevelType w:val="hybridMultilevel"/>
    <w:tmpl w:val="821280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90D2D6E"/>
    <w:multiLevelType w:val="hybridMultilevel"/>
    <w:tmpl w:val="22E40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BAA6D97"/>
    <w:multiLevelType w:val="hybridMultilevel"/>
    <w:tmpl w:val="25C2D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08D77EF"/>
    <w:multiLevelType w:val="hybridMultilevel"/>
    <w:tmpl w:val="CE3086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B97321"/>
    <w:multiLevelType w:val="hybridMultilevel"/>
    <w:tmpl w:val="28BE71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9D4619E"/>
    <w:multiLevelType w:val="hybridMultilevel"/>
    <w:tmpl w:val="7DC69F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E2912EE"/>
    <w:multiLevelType w:val="hybridMultilevel"/>
    <w:tmpl w:val="BDACE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1666122"/>
    <w:multiLevelType w:val="hybridMultilevel"/>
    <w:tmpl w:val="2D86C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1E6C0D"/>
    <w:multiLevelType w:val="multilevel"/>
    <w:tmpl w:val="7D524652"/>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eastAsiaTheme="majorEastAsia" w:hint="default"/>
      </w:rPr>
    </w:lvl>
    <w:lvl w:ilvl="2">
      <w:start w:val="1"/>
      <w:numFmt w:val="decimal"/>
      <w:isLgl/>
      <w:lvlText w:val="%1.%2.%3"/>
      <w:lvlJc w:val="left"/>
      <w:pPr>
        <w:ind w:left="720" w:hanging="720"/>
      </w:pPr>
      <w:rPr>
        <w:rFonts w:eastAsiaTheme="majorEastAsia" w:hint="default"/>
      </w:rPr>
    </w:lvl>
    <w:lvl w:ilvl="3">
      <w:start w:val="1"/>
      <w:numFmt w:val="decimal"/>
      <w:isLgl/>
      <w:lvlText w:val="%1.%2.%3.%4"/>
      <w:lvlJc w:val="left"/>
      <w:pPr>
        <w:ind w:left="720" w:hanging="720"/>
      </w:pPr>
      <w:rPr>
        <w:rFonts w:eastAsiaTheme="majorEastAsia" w:hint="default"/>
      </w:rPr>
    </w:lvl>
    <w:lvl w:ilvl="4">
      <w:start w:val="1"/>
      <w:numFmt w:val="decimal"/>
      <w:isLgl/>
      <w:lvlText w:val="%1.%2.%3.%4.%5"/>
      <w:lvlJc w:val="left"/>
      <w:pPr>
        <w:ind w:left="1080" w:hanging="1080"/>
      </w:pPr>
      <w:rPr>
        <w:rFonts w:eastAsiaTheme="majorEastAsia" w:hint="default"/>
      </w:rPr>
    </w:lvl>
    <w:lvl w:ilvl="5">
      <w:start w:val="1"/>
      <w:numFmt w:val="decimal"/>
      <w:isLgl/>
      <w:lvlText w:val="%1.%2.%3.%4.%5.%6"/>
      <w:lvlJc w:val="left"/>
      <w:pPr>
        <w:ind w:left="1080" w:hanging="1080"/>
      </w:pPr>
      <w:rPr>
        <w:rFonts w:eastAsiaTheme="majorEastAsia" w:hint="default"/>
      </w:rPr>
    </w:lvl>
    <w:lvl w:ilvl="6">
      <w:start w:val="1"/>
      <w:numFmt w:val="decimal"/>
      <w:isLgl/>
      <w:lvlText w:val="%1.%2.%3.%4.%5.%6.%7"/>
      <w:lvlJc w:val="left"/>
      <w:pPr>
        <w:ind w:left="1440" w:hanging="1440"/>
      </w:pPr>
      <w:rPr>
        <w:rFonts w:eastAsiaTheme="majorEastAsia" w:hint="default"/>
      </w:rPr>
    </w:lvl>
    <w:lvl w:ilvl="7">
      <w:start w:val="1"/>
      <w:numFmt w:val="decimal"/>
      <w:isLgl/>
      <w:lvlText w:val="%1.%2.%3.%4.%5.%6.%7.%8"/>
      <w:lvlJc w:val="left"/>
      <w:pPr>
        <w:ind w:left="1440" w:hanging="1440"/>
      </w:pPr>
      <w:rPr>
        <w:rFonts w:eastAsiaTheme="majorEastAsia" w:hint="default"/>
      </w:rPr>
    </w:lvl>
    <w:lvl w:ilvl="8">
      <w:start w:val="1"/>
      <w:numFmt w:val="decimal"/>
      <w:isLgl/>
      <w:lvlText w:val="%1.%2.%3.%4.%5.%6.%7.%8.%9"/>
      <w:lvlJc w:val="left"/>
      <w:pPr>
        <w:ind w:left="1800" w:hanging="1800"/>
      </w:pPr>
      <w:rPr>
        <w:rFonts w:eastAsiaTheme="majorEastAsia" w:hint="default"/>
      </w:rPr>
    </w:lvl>
  </w:abstractNum>
  <w:abstractNum w:abstractNumId="21">
    <w:nsid w:val="32842F0F"/>
    <w:multiLevelType w:val="hybridMultilevel"/>
    <w:tmpl w:val="36F49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80274F2"/>
    <w:multiLevelType w:val="hybridMultilevel"/>
    <w:tmpl w:val="581A4C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1401D5"/>
    <w:multiLevelType w:val="hybridMultilevel"/>
    <w:tmpl w:val="C0E00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3AD121FC"/>
    <w:multiLevelType w:val="hybridMultilevel"/>
    <w:tmpl w:val="FCA050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CBF1E6D"/>
    <w:multiLevelType w:val="hybridMultilevel"/>
    <w:tmpl w:val="0810A9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4D43D4E"/>
    <w:multiLevelType w:val="hybridMultilevel"/>
    <w:tmpl w:val="1EE24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6EC1A96"/>
    <w:multiLevelType w:val="hybridMultilevel"/>
    <w:tmpl w:val="0212A3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4A23F1"/>
    <w:multiLevelType w:val="hybridMultilevel"/>
    <w:tmpl w:val="FDE83A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FA40F52"/>
    <w:multiLevelType w:val="hybridMultilevel"/>
    <w:tmpl w:val="C7C0C1E8"/>
    <w:lvl w:ilvl="0" w:tplc="1C090001">
      <w:start w:val="1"/>
      <w:numFmt w:val="bullet"/>
      <w:lvlText w:val=""/>
      <w:lvlJc w:val="left"/>
      <w:pPr>
        <w:ind w:left="788" w:hanging="360"/>
      </w:pPr>
      <w:rPr>
        <w:rFonts w:ascii="Symbol" w:hAnsi="Symbol" w:hint="default"/>
      </w:rPr>
    </w:lvl>
    <w:lvl w:ilvl="1" w:tplc="1C090003">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0">
    <w:nsid w:val="510274DB"/>
    <w:multiLevelType w:val="hybridMultilevel"/>
    <w:tmpl w:val="8B16561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66647A8"/>
    <w:multiLevelType w:val="hybridMultilevel"/>
    <w:tmpl w:val="859C3BFC"/>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2">
    <w:nsid w:val="58712A04"/>
    <w:multiLevelType w:val="hybridMultilevel"/>
    <w:tmpl w:val="3B06C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E693ECA"/>
    <w:multiLevelType w:val="hybridMultilevel"/>
    <w:tmpl w:val="E06ADA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F58712D"/>
    <w:multiLevelType w:val="hybridMultilevel"/>
    <w:tmpl w:val="1CFAF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A21D7D"/>
    <w:multiLevelType w:val="hybridMultilevel"/>
    <w:tmpl w:val="04A0CC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1065E7C"/>
    <w:multiLevelType w:val="hybridMultilevel"/>
    <w:tmpl w:val="0A640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1D85DE2"/>
    <w:multiLevelType w:val="hybridMultilevel"/>
    <w:tmpl w:val="207EC8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3935D80"/>
    <w:multiLevelType w:val="hybridMultilevel"/>
    <w:tmpl w:val="6CA8E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4264518"/>
    <w:multiLevelType w:val="hybridMultilevel"/>
    <w:tmpl w:val="CD78F96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651B0B33"/>
    <w:multiLevelType w:val="hybridMultilevel"/>
    <w:tmpl w:val="C7140248"/>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951269C"/>
    <w:multiLevelType w:val="hybridMultilevel"/>
    <w:tmpl w:val="B908F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D176162"/>
    <w:multiLevelType w:val="hybridMultilevel"/>
    <w:tmpl w:val="7744E0E4"/>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43">
    <w:nsid w:val="71760452"/>
    <w:multiLevelType w:val="hybridMultilevel"/>
    <w:tmpl w:val="FAC88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2091B9E"/>
    <w:multiLevelType w:val="hybridMultilevel"/>
    <w:tmpl w:val="75B8A61C"/>
    <w:lvl w:ilvl="0" w:tplc="1C090017">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20F0C46"/>
    <w:multiLevelType w:val="hybridMultilevel"/>
    <w:tmpl w:val="1A3A7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23C2CAF"/>
    <w:multiLevelType w:val="hybridMultilevel"/>
    <w:tmpl w:val="AFCA79B2"/>
    <w:lvl w:ilvl="0" w:tplc="59241024">
      <w:start w:val="4"/>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47">
    <w:nsid w:val="73BF3F86"/>
    <w:multiLevelType w:val="hybridMultilevel"/>
    <w:tmpl w:val="93D85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5A21AEE"/>
    <w:multiLevelType w:val="hybridMultilevel"/>
    <w:tmpl w:val="4C92DE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7E72396"/>
    <w:multiLevelType w:val="hybridMultilevel"/>
    <w:tmpl w:val="433A7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E571F5A"/>
    <w:multiLevelType w:val="hybridMultilevel"/>
    <w:tmpl w:val="EB6C3DDE"/>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7"/>
  </w:num>
  <w:num w:numId="2">
    <w:abstractNumId w:val="13"/>
  </w:num>
  <w:num w:numId="3">
    <w:abstractNumId w:val="16"/>
  </w:num>
  <w:num w:numId="4">
    <w:abstractNumId w:val="28"/>
  </w:num>
  <w:num w:numId="5">
    <w:abstractNumId w:val="35"/>
  </w:num>
  <w:num w:numId="6">
    <w:abstractNumId w:val="9"/>
  </w:num>
  <w:num w:numId="7">
    <w:abstractNumId w:val="25"/>
  </w:num>
  <w:num w:numId="8">
    <w:abstractNumId w:val="18"/>
  </w:num>
  <w:num w:numId="9">
    <w:abstractNumId w:val="0"/>
  </w:num>
  <w:num w:numId="10">
    <w:abstractNumId w:val="23"/>
  </w:num>
  <w:num w:numId="11">
    <w:abstractNumId w:val="21"/>
  </w:num>
  <w:num w:numId="12">
    <w:abstractNumId w:val="11"/>
  </w:num>
  <w:num w:numId="13">
    <w:abstractNumId w:val="34"/>
  </w:num>
  <w:num w:numId="14">
    <w:abstractNumId w:val="3"/>
  </w:num>
  <w:num w:numId="15">
    <w:abstractNumId w:val="7"/>
  </w:num>
  <w:num w:numId="16">
    <w:abstractNumId w:val="43"/>
  </w:num>
  <w:num w:numId="17">
    <w:abstractNumId w:val="38"/>
  </w:num>
  <w:num w:numId="18">
    <w:abstractNumId w:val="20"/>
  </w:num>
  <w:num w:numId="19">
    <w:abstractNumId w:val="37"/>
  </w:num>
  <w:num w:numId="20">
    <w:abstractNumId w:val="48"/>
  </w:num>
  <w:num w:numId="21">
    <w:abstractNumId w:val="29"/>
  </w:num>
  <w:num w:numId="22">
    <w:abstractNumId w:val="31"/>
  </w:num>
  <w:num w:numId="23">
    <w:abstractNumId w:val="39"/>
  </w:num>
  <w:num w:numId="24">
    <w:abstractNumId w:val="46"/>
  </w:num>
  <w:num w:numId="25">
    <w:abstractNumId w:val="27"/>
  </w:num>
  <w:num w:numId="26">
    <w:abstractNumId w:val="32"/>
  </w:num>
  <w:num w:numId="27">
    <w:abstractNumId w:val="14"/>
  </w:num>
  <w:num w:numId="28">
    <w:abstractNumId w:val="6"/>
  </w:num>
  <w:num w:numId="29">
    <w:abstractNumId w:val="1"/>
  </w:num>
  <w:num w:numId="30">
    <w:abstractNumId w:val="50"/>
  </w:num>
  <w:num w:numId="31">
    <w:abstractNumId w:val="2"/>
  </w:num>
  <w:num w:numId="32">
    <w:abstractNumId w:val="17"/>
  </w:num>
  <w:num w:numId="33">
    <w:abstractNumId w:val="33"/>
  </w:num>
  <w:num w:numId="34">
    <w:abstractNumId w:val="36"/>
  </w:num>
  <w:num w:numId="35">
    <w:abstractNumId w:val="26"/>
  </w:num>
  <w:num w:numId="36">
    <w:abstractNumId w:val="42"/>
  </w:num>
  <w:num w:numId="37">
    <w:abstractNumId w:val="24"/>
  </w:num>
  <w:num w:numId="38">
    <w:abstractNumId w:val="49"/>
  </w:num>
  <w:num w:numId="39">
    <w:abstractNumId w:val="41"/>
  </w:num>
  <w:num w:numId="40">
    <w:abstractNumId w:val="19"/>
  </w:num>
  <w:num w:numId="41">
    <w:abstractNumId w:val="8"/>
  </w:num>
  <w:num w:numId="42">
    <w:abstractNumId w:val="15"/>
  </w:num>
  <w:num w:numId="43">
    <w:abstractNumId w:val="44"/>
  </w:num>
  <w:num w:numId="44">
    <w:abstractNumId w:val="5"/>
  </w:num>
  <w:num w:numId="45">
    <w:abstractNumId w:val="12"/>
  </w:num>
  <w:num w:numId="46">
    <w:abstractNumId w:val="30"/>
  </w:num>
  <w:num w:numId="47">
    <w:abstractNumId w:val="22"/>
  </w:num>
  <w:num w:numId="48">
    <w:abstractNumId w:val="4"/>
  </w:num>
  <w:num w:numId="49">
    <w:abstractNumId w:val="45"/>
  </w:num>
  <w:num w:numId="50">
    <w:abstractNumId w:val="10"/>
  </w:num>
  <w:num w:numId="51">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194FC2"/>
    <w:rsid w:val="00000ABE"/>
    <w:rsid w:val="0000445A"/>
    <w:rsid w:val="000069EC"/>
    <w:rsid w:val="00031860"/>
    <w:rsid w:val="00033C98"/>
    <w:rsid w:val="00040DDC"/>
    <w:rsid w:val="00054834"/>
    <w:rsid w:val="0007409A"/>
    <w:rsid w:val="0008212D"/>
    <w:rsid w:val="000824C9"/>
    <w:rsid w:val="00082EE9"/>
    <w:rsid w:val="000976C5"/>
    <w:rsid w:val="000A3E6D"/>
    <w:rsid w:val="000B6871"/>
    <w:rsid w:val="000E2B82"/>
    <w:rsid w:val="000E4B38"/>
    <w:rsid w:val="000E7F48"/>
    <w:rsid w:val="00102E1A"/>
    <w:rsid w:val="00111856"/>
    <w:rsid w:val="00117B53"/>
    <w:rsid w:val="0013495D"/>
    <w:rsid w:val="00141D05"/>
    <w:rsid w:val="00146666"/>
    <w:rsid w:val="001729ED"/>
    <w:rsid w:val="00173F4D"/>
    <w:rsid w:val="0017781F"/>
    <w:rsid w:val="00194B13"/>
    <w:rsid w:val="00194FC2"/>
    <w:rsid w:val="001976C6"/>
    <w:rsid w:val="001A062F"/>
    <w:rsid w:val="001A06BD"/>
    <w:rsid w:val="001B3CCE"/>
    <w:rsid w:val="001B7C22"/>
    <w:rsid w:val="001C78B7"/>
    <w:rsid w:val="001D2AF3"/>
    <w:rsid w:val="001E5AD7"/>
    <w:rsid w:val="001E753D"/>
    <w:rsid w:val="0022577F"/>
    <w:rsid w:val="002313A5"/>
    <w:rsid w:val="00237B2C"/>
    <w:rsid w:val="002401A6"/>
    <w:rsid w:val="00243BF7"/>
    <w:rsid w:val="00246E58"/>
    <w:rsid w:val="00284707"/>
    <w:rsid w:val="00287F63"/>
    <w:rsid w:val="00297538"/>
    <w:rsid w:val="0029796D"/>
    <w:rsid w:val="002B6320"/>
    <w:rsid w:val="002E2E7D"/>
    <w:rsid w:val="002F2EE4"/>
    <w:rsid w:val="00300175"/>
    <w:rsid w:val="00304BC5"/>
    <w:rsid w:val="00321340"/>
    <w:rsid w:val="0033379D"/>
    <w:rsid w:val="003534DD"/>
    <w:rsid w:val="003551E6"/>
    <w:rsid w:val="00356803"/>
    <w:rsid w:val="003614D5"/>
    <w:rsid w:val="00393B4E"/>
    <w:rsid w:val="003B3BF4"/>
    <w:rsid w:val="003D12C8"/>
    <w:rsid w:val="003D78CD"/>
    <w:rsid w:val="003F7776"/>
    <w:rsid w:val="00402C9C"/>
    <w:rsid w:val="0042177B"/>
    <w:rsid w:val="004233EB"/>
    <w:rsid w:val="00425855"/>
    <w:rsid w:val="00442777"/>
    <w:rsid w:val="004466F4"/>
    <w:rsid w:val="00462A2C"/>
    <w:rsid w:val="00465C89"/>
    <w:rsid w:val="00473C87"/>
    <w:rsid w:val="00482609"/>
    <w:rsid w:val="00493471"/>
    <w:rsid w:val="004A6FFA"/>
    <w:rsid w:val="004C333E"/>
    <w:rsid w:val="004E32F4"/>
    <w:rsid w:val="0050214B"/>
    <w:rsid w:val="005108BA"/>
    <w:rsid w:val="00525367"/>
    <w:rsid w:val="00537203"/>
    <w:rsid w:val="00542EFC"/>
    <w:rsid w:val="00554EDF"/>
    <w:rsid w:val="005638D0"/>
    <w:rsid w:val="00570E82"/>
    <w:rsid w:val="005850E5"/>
    <w:rsid w:val="00594005"/>
    <w:rsid w:val="00594842"/>
    <w:rsid w:val="005951F4"/>
    <w:rsid w:val="005C69C1"/>
    <w:rsid w:val="005D5FEC"/>
    <w:rsid w:val="005E1318"/>
    <w:rsid w:val="005E5ABA"/>
    <w:rsid w:val="00605F1E"/>
    <w:rsid w:val="00617229"/>
    <w:rsid w:val="00622C6B"/>
    <w:rsid w:val="006409FB"/>
    <w:rsid w:val="00653DB4"/>
    <w:rsid w:val="00663C60"/>
    <w:rsid w:val="006642AF"/>
    <w:rsid w:val="00686FE2"/>
    <w:rsid w:val="006A290D"/>
    <w:rsid w:val="006A5725"/>
    <w:rsid w:val="006B30DE"/>
    <w:rsid w:val="006B3E38"/>
    <w:rsid w:val="006C144E"/>
    <w:rsid w:val="006D16C7"/>
    <w:rsid w:val="006D367F"/>
    <w:rsid w:val="006D401C"/>
    <w:rsid w:val="006E02ED"/>
    <w:rsid w:val="006E5014"/>
    <w:rsid w:val="006F27C6"/>
    <w:rsid w:val="006F34BC"/>
    <w:rsid w:val="006F5C9D"/>
    <w:rsid w:val="007020B8"/>
    <w:rsid w:val="00721E5D"/>
    <w:rsid w:val="00723AF7"/>
    <w:rsid w:val="00734CF2"/>
    <w:rsid w:val="007550AD"/>
    <w:rsid w:val="00774354"/>
    <w:rsid w:val="00785389"/>
    <w:rsid w:val="007A3A51"/>
    <w:rsid w:val="007B0694"/>
    <w:rsid w:val="007B09A8"/>
    <w:rsid w:val="007B0E9F"/>
    <w:rsid w:val="007C2A7A"/>
    <w:rsid w:val="007C6CAA"/>
    <w:rsid w:val="007E3DF8"/>
    <w:rsid w:val="007F28EE"/>
    <w:rsid w:val="0081285E"/>
    <w:rsid w:val="008241CD"/>
    <w:rsid w:val="008266F1"/>
    <w:rsid w:val="008513AD"/>
    <w:rsid w:val="00852B42"/>
    <w:rsid w:val="008643B9"/>
    <w:rsid w:val="00866E53"/>
    <w:rsid w:val="008677EC"/>
    <w:rsid w:val="00867E7C"/>
    <w:rsid w:val="00885001"/>
    <w:rsid w:val="008852E7"/>
    <w:rsid w:val="00890539"/>
    <w:rsid w:val="008973B7"/>
    <w:rsid w:val="008B3359"/>
    <w:rsid w:val="008C726F"/>
    <w:rsid w:val="008C7DC4"/>
    <w:rsid w:val="008D268C"/>
    <w:rsid w:val="008D4072"/>
    <w:rsid w:val="008F2AD7"/>
    <w:rsid w:val="009048AA"/>
    <w:rsid w:val="00907F2D"/>
    <w:rsid w:val="00925202"/>
    <w:rsid w:val="00931A83"/>
    <w:rsid w:val="009343F8"/>
    <w:rsid w:val="00946006"/>
    <w:rsid w:val="009516CB"/>
    <w:rsid w:val="00954350"/>
    <w:rsid w:val="009568F3"/>
    <w:rsid w:val="00961AB2"/>
    <w:rsid w:val="0096306A"/>
    <w:rsid w:val="00970359"/>
    <w:rsid w:val="00972F20"/>
    <w:rsid w:val="00974BEA"/>
    <w:rsid w:val="00982BF2"/>
    <w:rsid w:val="00985BB6"/>
    <w:rsid w:val="009B5D94"/>
    <w:rsid w:val="009C4B54"/>
    <w:rsid w:val="009E68D6"/>
    <w:rsid w:val="009F23B1"/>
    <w:rsid w:val="009F3210"/>
    <w:rsid w:val="009F552E"/>
    <w:rsid w:val="00A26542"/>
    <w:rsid w:val="00A27360"/>
    <w:rsid w:val="00A34A1E"/>
    <w:rsid w:val="00A36D2C"/>
    <w:rsid w:val="00A4335F"/>
    <w:rsid w:val="00A5282B"/>
    <w:rsid w:val="00A54B7D"/>
    <w:rsid w:val="00A73542"/>
    <w:rsid w:val="00A8227B"/>
    <w:rsid w:val="00A9272F"/>
    <w:rsid w:val="00AB0550"/>
    <w:rsid w:val="00AE1182"/>
    <w:rsid w:val="00AE561A"/>
    <w:rsid w:val="00B1398B"/>
    <w:rsid w:val="00B15D45"/>
    <w:rsid w:val="00B1621E"/>
    <w:rsid w:val="00B244B0"/>
    <w:rsid w:val="00B3622F"/>
    <w:rsid w:val="00B36C75"/>
    <w:rsid w:val="00B419F1"/>
    <w:rsid w:val="00B504DD"/>
    <w:rsid w:val="00B52DC2"/>
    <w:rsid w:val="00B554DD"/>
    <w:rsid w:val="00B56A70"/>
    <w:rsid w:val="00B73CA3"/>
    <w:rsid w:val="00B900E8"/>
    <w:rsid w:val="00B915C5"/>
    <w:rsid w:val="00B91AF7"/>
    <w:rsid w:val="00B93944"/>
    <w:rsid w:val="00BA38C1"/>
    <w:rsid w:val="00BB17E4"/>
    <w:rsid w:val="00BB3DE2"/>
    <w:rsid w:val="00BC5B48"/>
    <w:rsid w:val="00BD634F"/>
    <w:rsid w:val="00BE0540"/>
    <w:rsid w:val="00BE0553"/>
    <w:rsid w:val="00BE2890"/>
    <w:rsid w:val="00BE29DC"/>
    <w:rsid w:val="00BE453C"/>
    <w:rsid w:val="00BE6ECE"/>
    <w:rsid w:val="00C07853"/>
    <w:rsid w:val="00C11511"/>
    <w:rsid w:val="00C11AB1"/>
    <w:rsid w:val="00C25CC8"/>
    <w:rsid w:val="00C41468"/>
    <w:rsid w:val="00C44B2F"/>
    <w:rsid w:val="00C56C4D"/>
    <w:rsid w:val="00C661AB"/>
    <w:rsid w:val="00CA31CD"/>
    <w:rsid w:val="00CA48B0"/>
    <w:rsid w:val="00CC0FC0"/>
    <w:rsid w:val="00CC2EAC"/>
    <w:rsid w:val="00CC3B92"/>
    <w:rsid w:val="00CD34FF"/>
    <w:rsid w:val="00CD5A6E"/>
    <w:rsid w:val="00CD5FA2"/>
    <w:rsid w:val="00CF7A50"/>
    <w:rsid w:val="00D01525"/>
    <w:rsid w:val="00D31F76"/>
    <w:rsid w:val="00D32623"/>
    <w:rsid w:val="00D41780"/>
    <w:rsid w:val="00D67F83"/>
    <w:rsid w:val="00D825B2"/>
    <w:rsid w:val="00D84CE8"/>
    <w:rsid w:val="00D90E2C"/>
    <w:rsid w:val="00DB14CC"/>
    <w:rsid w:val="00DB6C75"/>
    <w:rsid w:val="00DD5E20"/>
    <w:rsid w:val="00DE5A68"/>
    <w:rsid w:val="00DE78DF"/>
    <w:rsid w:val="00DF11BB"/>
    <w:rsid w:val="00DF7CB5"/>
    <w:rsid w:val="00E018BC"/>
    <w:rsid w:val="00E04B5F"/>
    <w:rsid w:val="00E055A5"/>
    <w:rsid w:val="00E11B49"/>
    <w:rsid w:val="00E3134D"/>
    <w:rsid w:val="00E34EBC"/>
    <w:rsid w:val="00E40588"/>
    <w:rsid w:val="00E416E9"/>
    <w:rsid w:val="00E41E3A"/>
    <w:rsid w:val="00E465B3"/>
    <w:rsid w:val="00E57B92"/>
    <w:rsid w:val="00E8747E"/>
    <w:rsid w:val="00E93E44"/>
    <w:rsid w:val="00EA3087"/>
    <w:rsid w:val="00ED4C76"/>
    <w:rsid w:val="00EE0351"/>
    <w:rsid w:val="00EF210B"/>
    <w:rsid w:val="00EF4BFF"/>
    <w:rsid w:val="00F03770"/>
    <w:rsid w:val="00F06352"/>
    <w:rsid w:val="00F353AE"/>
    <w:rsid w:val="00F354B0"/>
    <w:rsid w:val="00F37B2F"/>
    <w:rsid w:val="00F42111"/>
    <w:rsid w:val="00F4431E"/>
    <w:rsid w:val="00F777F8"/>
    <w:rsid w:val="00F84E71"/>
    <w:rsid w:val="00FA209A"/>
    <w:rsid w:val="00FA22BD"/>
    <w:rsid w:val="00FB7E32"/>
    <w:rsid w:val="00FD6544"/>
    <w:rsid w:val="00FE5C0E"/>
    <w:rsid w:val="00FF4DD9"/>
    <w:rsid w:val="00FF7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2C"/>
    <w:rPr>
      <w:rFonts w:ascii="Times New Roman" w:hAnsi="Times New Roman"/>
      <w:sz w:val="24"/>
    </w:rPr>
  </w:style>
  <w:style w:type="paragraph" w:styleId="Heading1">
    <w:name w:val="heading 1"/>
    <w:basedOn w:val="Normal"/>
    <w:next w:val="Normal"/>
    <w:link w:val="Heading1Char"/>
    <w:uiPriority w:val="9"/>
    <w:qFormat/>
    <w:rsid w:val="00194FC2"/>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paragraph" w:styleId="Heading2">
    <w:name w:val="heading 2"/>
    <w:basedOn w:val="Normal"/>
    <w:next w:val="Normal"/>
    <w:link w:val="Heading2Char"/>
    <w:uiPriority w:val="9"/>
    <w:unhideWhenUsed/>
    <w:qFormat/>
    <w:rsid w:val="00194F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FC2"/>
    <w:rPr>
      <w:rFonts w:ascii="Arial" w:eastAsiaTheme="majorEastAsia" w:hAnsi="Arial" w:cstheme="majorBidi"/>
      <w:b/>
      <w:caps/>
      <w:color w:val="538135" w:themeColor="accent6" w:themeShade="BF"/>
      <w:szCs w:val="32"/>
    </w:rPr>
  </w:style>
  <w:style w:type="character" w:customStyle="1" w:styleId="Heading2Char">
    <w:name w:val="Heading 2 Char"/>
    <w:basedOn w:val="DefaultParagraphFont"/>
    <w:link w:val="Heading2"/>
    <w:uiPriority w:val="9"/>
    <w:rsid w:val="00194FC2"/>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194FC2"/>
  </w:style>
  <w:style w:type="paragraph" w:styleId="Footer">
    <w:name w:val="footer"/>
    <w:basedOn w:val="Normal"/>
    <w:link w:val="FooterChar"/>
    <w:uiPriority w:val="99"/>
    <w:rsid w:val="00194FC2"/>
    <w:pPr>
      <w:spacing w:after="0" w:line="280" w:lineRule="exact"/>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194FC2"/>
    <w:rPr>
      <w:rFonts w:ascii="Arial" w:eastAsia="Times New Roman" w:hAnsi="Arial" w:cs="Times New Roman"/>
      <w:spacing w:val="6"/>
      <w:sz w:val="14"/>
      <w:szCs w:val="14"/>
      <w:lang w:val="en-GB" w:eastAsia="en-GB"/>
    </w:rPr>
  </w:style>
  <w:style w:type="paragraph" w:styleId="Header">
    <w:name w:val="header"/>
    <w:basedOn w:val="Normal"/>
    <w:link w:val="HeaderChar"/>
    <w:uiPriority w:val="99"/>
    <w:rsid w:val="00194FC2"/>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194FC2"/>
    <w:rPr>
      <w:rFonts w:ascii="Arial" w:eastAsia="Times New Roman" w:hAnsi="Arial" w:cs="Times New Roman"/>
      <w:color w:val="000000"/>
      <w:spacing w:val="6"/>
      <w:sz w:val="18"/>
      <w:szCs w:val="18"/>
      <w:lang w:val="en-GB" w:eastAsia="en-GB"/>
    </w:rPr>
  </w:style>
  <w:style w:type="character" w:customStyle="1" w:styleId="FooterboldChar">
    <w:name w:val="Footer bold Char"/>
    <w:rsid w:val="00194FC2"/>
    <w:rPr>
      <w:rFonts w:ascii="Arial" w:hAnsi="Arial"/>
      <w:b/>
      <w:sz w:val="14"/>
      <w:szCs w:val="14"/>
      <w:lang w:val="en-GB" w:eastAsia="en-GB" w:bidi="ar-SA"/>
    </w:rPr>
  </w:style>
  <w:style w:type="paragraph" w:customStyle="1" w:styleId="NormalBoldCenter">
    <w:name w:val="Normal Bold Center"/>
    <w:basedOn w:val="Normal"/>
    <w:rsid w:val="00194FC2"/>
    <w:pPr>
      <w:spacing w:after="0" w:line="280" w:lineRule="exact"/>
      <w:jc w:val="center"/>
    </w:pPr>
    <w:rPr>
      <w:rFonts w:ascii="Arial" w:eastAsia="Times New Roman" w:hAnsi="Arial" w:cs="Times New Roman"/>
      <w:b/>
      <w:color w:val="000000"/>
      <w:spacing w:val="6"/>
      <w:sz w:val="18"/>
      <w:szCs w:val="18"/>
      <w:lang w:val="en-GB" w:eastAsia="en-GB"/>
    </w:rPr>
  </w:style>
  <w:style w:type="paragraph" w:styleId="ListParagraph">
    <w:name w:val="List Paragraph"/>
    <w:aliases w:val="Chapter Numbering,List Paragraph - 2,Riana Table Bullets 1,Bullets"/>
    <w:basedOn w:val="Normal"/>
    <w:link w:val="ListParagraphChar"/>
    <w:uiPriority w:val="34"/>
    <w:qFormat/>
    <w:rsid w:val="00194FC2"/>
    <w:pPr>
      <w:spacing w:after="0" w:line="240" w:lineRule="auto"/>
      <w:ind w:left="720"/>
      <w:contextualSpacing/>
    </w:pPr>
    <w:rPr>
      <w:rFonts w:eastAsia="Times New Roman" w:cs="Times New Roman"/>
      <w:szCs w:val="24"/>
      <w:lang w:val="en-GB"/>
    </w:rPr>
  </w:style>
  <w:style w:type="character" w:customStyle="1" w:styleId="ListParagraphChar">
    <w:name w:val="List Paragraph Char"/>
    <w:aliases w:val="Chapter Numbering Char,List Paragraph - 2 Char,Riana Table Bullets 1 Char,Bullets Char"/>
    <w:link w:val="ListParagraph"/>
    <w:uiPriority w:val="34"/>
    <w:locked/>
    <w:rsid w:val="00194FC2"/>
    <w:rPr>
      <w:rFonts w:ascii="Times New Roman" w:eastAsia="Times New Roman" w:hAnsi="Times New Roman" w:cs="Times New Roman"/>
      <w:sz w:val="24"/>
      <w:szCs w:val="24"/>
      <w:lang w:val="en-GB"/>
    </w:rPr>
  </w:style>
  <w:style w:type="paragraph" w:styleId="FootnoteText">
    <w:name w:val="footnote text"/>
    <w:basedOn w:val="Normal"/>
    <w:link w:val="FootnoteTextChar"/>
    <w:unhideWhenUsed/>
    <w:rsid w:val="00194FC2"/>
    <w:pPr>
      <w:spacing w:after="0" w:line="240" w:lineRule="auto"/>
    </w:pPr>
    <w:rPr>
      <w:sz w:val="20"/>
      <w:szCs w:val="20"/>
    </w:rPr>
  </w:style>
  <w:style w:type="character" w:customStyle="1" w:styleId="FootnoteTextChar">
    <w:name w:val="Footnote Text Char"/>
    <w:basedOn w:val="DefaultParagraphFont"/>
    <w:link w:val="FootnoteText"/>
    <w:rsid w:val="00194FC2"/>
    <w:rPr>
      <w:sz w:val="20"/>
      <w:szCs w:val="20"/>
    </w:rPr>
  </w:style>
  <w:style w:type="character" w:styleId="FootnoteReference">
    <w:name w:val="footnote reference"/>
    <w:basedOn w:val="DefaultParagraphFont"/>
    <w:unhideWhenUsed/>
    <w:rsid w:val="00194FC2"/>
    <w:rPr>
      <w:vertAlign w:val="superscript"/>
    </w:rPr>
  </w:style>
  <w:style w:type="table" w:styleId="TableGrid">
    <w:name w:val="Table Grid"/>
    <w:basedOn w:val="TableNormal"/>
    <w:rsid w:val="0019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FC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94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C2"/>
    <w:rPr>
      <w:rFonts w:ascii="Segoe UI" w:hAnsi="Segoe UI" w:cs="Segoe UI"/>
      <w:sz w:val="18"/>
      <w:szCs w:val="18"/>
    </w:rPr>
  </w:style>
  <w:style w:type="paragraph" w:styleId="CommentText">
    <w:name w:val="annotation text"/>
    <w:basedOn w:val="Normal"/>
    <w:link w:val="CommentTextChar"/>
    <w:uiPriority w:val="99"/>
    <w:unhideWhenUsed/>
    <w:rsid w:val="00194FC2"/>
    <w:pPr>
      <w:spacing w:line="240" w:lineRule="auto"/>
    </w:pPr>
    <w:rPr>
      <w:sz w:val="20"/>
      <w:szCs w:val="20"/>
    </w:rPr>
  </w:style>
  <w:style w:type="character" w:customStyle="1" w:styleId="CommentTextChar">
    <w:name w:val="Comment Text Char"/>
    <w:basedOn w:val="DefaultParagraphFont"/>
    <w:link w:val="CommentText"/>
    <w:uiPriority w:val="99"/>
    <w:rsid w:val="00194FC2"/>
    <w:rPr>
      <w:sz w:val="20"/>
      <w:szCs w:val="20"/>
    </w:rPr>
  </w:style>
  <w:style w:type="paragraph" w:styleId="CommentSubject">
    <w:name w:val="annotation subject"/>
    <w:basedOn w:val="CommentText"/>
    <w:next w:val="CommentText"/>
    <w:link w:val="CommentSubjectChar"/>
    <w:uiPriority w:val="99"/>
    <w:semiHidden/>
    <w:unhideWhenUsed/>
    <w:rsid w:val="00194FC2"/>
    <w:rPr>
      <w:b/>
      <w:bCs/>
    </w:rPr>
  </w:style>
  <w:style w:type="character" w:customStyle="1" w:styleId="CommentSubjectChar">
    <w:name w:val="Comment Subject Char"/>
    <w:basedOn w:val="CommentTextChar"/>
    <w:link w:val="CommentSubject"/>
    <w:uiPriority w:val="99"/>
    <w:semiHidden/>
    <w:rsid w:val="00194FC2"/>
    <w:rPr>
      <w:b/>
      <w:bCs/>
      <w:sz w:val="20"/>
      <w:szCs w:val="20"/>
    </w:rPr>
  </w:style>
  <w:style w:type="character" w:styleId="EndnoteReference">
    <w:name w:val="endnote reference"/>
    <w:basedOn w:val="DefaultParagraphFont"/>
    <w:uiPriority w:val="99"/>
    <w:unhideWhenUsed/>
    <w:rsid w:val="00194FC2"/>
    <w:rPr>
      <w:vertAlign w:val="superscript"/>
    </w:rPr>
  </w:style>
  <w:style w:type="paragraph" w:styleId="EndnoteText">
    <w:name w:val="endnote text"/>
    <w:basedOn w:val="Normal"/>
    <w:link w:val="EndnoteTextChar"/>
    <w:uiPriority w:val="99"/>
    <w:unhideWhenUsed/>
    <w:rsid w:val="00194FC2"/>
    <w:pPr>
      <w:spacing w:after="0" w:line="240" w:lineRule="auto"/>
    </w:pPr>
    <w:rPr>
      <w:rFonts w:ascii="Arial" w:eastAsia="Times New Roman" w:hAnsi="Arial" w:cs="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194FC2"/>
    <w:rPr>
      <w:rFonts w:ascii="Arial" w:eastAsia="Times New Roman" w:hAnsi="Arial" w:cs="Times New Roman"/>
      <w:color w:val="000000"/>
      <w:spacing w:val="6"/>
      <w:sz w:val="20"/>
      <w:szCs w:val="20"/>
      <w:lang w:val="en-GB" w:eastAsia="en-GB"/>
    </w:rPr>
  </w:style>
  <w:style w:type="paragraph" w:customStyle="1" w:styleId="ResearchTitle">
    <w:name w:val="Research Title"/>
    <w:basedOn w:val="Normal"/>
    <w:link w:val="ResearchTitleChar"/>
    <w:rsid w:val="00194FC2"/>
    <w:pPr>
      <w:spacing w:after="0" w:line="280" w:lineRule="exact"/>
      <w:jc w:val="both"/>
    </w:pPr>
    <w:rPr>
      <w:rFonts w:ascii="Arial" w:hAnsi="Arial"/>
      <w:b/>
      <w:caps/>
      <w:color w:val="538135" w:themeColor="accent6" w:themeShade="BF"/>
    </w:rPr>
  </w:style>
  <w:style w:type="character" w:customStyle="1" w:styleId="ResearchTitleChar">
    <w:name w:val="Research Title Char"/>
    <w:basedOn w:val="DefaultParagraphFont"/>
    <w:link w:val="ResearchTitle"/>
    <w:rsid w:val="00194FC2"/>
    <w:rPr>
      <w:rFonts w:ascii="Arial" w:hAnsi="Arial"/>
      <w:b/>
      <w:caps/>
      <w:color w:val="538135" w:themeColor="accent6" w:themeShade="BF"/>
      <w:sz w:val="24"/>
    </w:rPr>
  </w:style>
  <w:style w:type="paragraph" w:customStyle="1" w:styleId="Pa21">
    <w:name w:val="Pa21"/>
    <w:basedOn w:val="Default"/>
    <w:next w:val="Default"/>
    <w:uiPriority w:val="99"/>
    <w:rsid w:val="00194FC2"/>
    <w:pPr>
      <w:spacing w:line="221" w:lineRule="atLeast"/>
    </w:pPr>
    <w:rPr>
      <w:rFonts w:ascii="Frutiger LT Std 45 Light" w:hAnsi="Frutiger LT Std 45 Light" w:cstheme="minorBidi"/>
      <w:color w:val="auto"/>
    </w:rPr>
  </w:style>
  <w:style w:type="paragraph" w:customStyle="1" w:styleId="Pa55">
    <w:name w:val="Pa55"/>
    <w:basedOn w:val="Default"/>
    <w:next w:val="Default"/>
    <w:uiPriority w:val="99"/>
    <w:rsid w:val="00194FC2"/>
    <w:pPr>
      <w:spacing w:line="241" w:lineRule="atLeast"/>
    </w:pPr>
    <w:rPr>
      <w:rFonts w:ascii="Frutiger LT Std 55 Roman" w:hAnsi="Frutiger LT Std 55 Roman" w:cstheme="minorBidi"/>
      <w:color w:val="auto"/>
    </w:rPr>
  </w:style>
  <w:style w:type="character" w:customStyle="1" w:styleId="A10">
    <w:name w:val="A10"/>
    <w:uiPriority w:val="99"/>
    <w:rsid w:val="00194FC2"/>
    <w:rPr>
      <w:rFonts w:cs="Frutiger LT Std 55 Roman"/>
      <w:i/>
      <w:iCs/>
      <w:color w:val="000000"/>
      <w:sz w:val="22"/>
      <w:szCs w:val="22"/>
    </w:rPr>
  </w:style>
  <w:style w:type="paragraph" w:customStyle="1" w:styleId="Pa61">
    <w:name w:val="Pa61"/>
    <w:basedOn w:val="Default"/>
    <w:next w:val="Default"/>
    <w:uiPriority w:val="99"/>
    <w:rsid w:val="00194FC2"/>
    <w:pPr>
      <w:spacing w:line="241" w:lineRule="atLeast"/>
    </w:pPr>
    <w:rPr>
      <w:rFonts w:ascii="Frutiger LT Std 55 Roman" w:hAnsi="Frutiger LT Std 55 Roman" w:cstheme="minorBidi"/>
      <w:color w:val="auto"/>
    </w:rPr>
  </w:style>
  <w:style w:type="paragraph" w:customStyle="1" w:styleId="Pa12">
    <w:name w:val="Pa12"/>
    <w:basedOn w:val="Default"/>
    <w:next w:val="Default"/>
    <w:uiPriority w:val="99"/>
    <w:rsid w:val="00194FC2"/>
    <w:pPr>
      <w:spacing w:line="221" w:lineRule="atLeast"/>
    </w:pPr>
    <w:rPr>
      <w:rFonts w:ascii="Frutiger LT Std 55 Roman" w:hAnsi="Frutiger LT Std 55 Roman" w:cstheme="minorBidi"/>
      <w:color w:val="auto"/>
    </w:rPr>
  </w:style>
  <w:style w:type="paragraph" w:customStyle="1" w:styleId="Pa62">
    <w:name w:val="Pa62"/>
    <w:basedOn w:val="Default"/>
    <w:next w:val="Default"/>
    <w:uiPriority w:val="99"/>
    <w:rsid w:val="00194FC2"/>
    <w:pPr>
      <w:spacing w:line="221" w:lineRule="atLeast"/>
    </w:pPr>
    <w:rPr>
      <w:rFonts w:ascii="Frutiger LT Std 55 Roman" w:hAnsi="Frutiger LT Std 55 Roman" w:cstheme="minorBidi"/>
      <w:color w:val="auto"/>
    </w:rPr>
  </w:style>
  <w:style w:type="character" w:customStyle="1" w:styleId="A15">
    <w:name w:val="A15"/>
    <w:uiPriority w:val="99"/>
    <w:rsid w:val="00194FC2"/>
    <w:rPr>
      <w:rFonts w:cs="Frutiger LT Std 55 Roman"/>
      <w:i/>
      <w:iCs/>
      <w:color w:val="000000"/>
      <w:sz w:val="22"/>
      <w:szCs w:val="22"/>
      <w:u w:val="single"/>
    </w:rPr>
  </w:style>
  <w:style w:type="paragraph" w:customStyle="1" w:styleId="Pa81">
    <w:name w:val="Pa81"/>
    <w:basedOn w:val="Default"/>
    <w:next w:val="Default"/>
    <w:uiPriority w:val="99"/>
    <w:rsid w:val="00194FC2"/>
    <w:pPr>
      <w:spacing w:line="221" w:lineRule="atLeast"/>
    </w:pPr>
    <w:rPr>
      <w:rFonts w:ascii="Frutiger LT Std 45 Light" w:hAnsi="Frutiger LT Std 45 Light" w:cstheme="minorBidi"/>
      <w:color w:val="auto"/>
    </w:rPr>
  </w:style>
  <w:style w:type="paragraph" w:customStyle="1" w:styleId="Pa82">
    <w:name w:val="Pa82"/>
    <w:basedOn w:val="Default"/>
    <w:next w:val="Default"/>
    <w:uiPriority w:val="99"/>
    <w:rsid w:val="00194FC2"/>
    <w:pPr>
      <w:spacing w:line="221" w:lineRule="atLeast"/>
    </w:pPr>
    <w:rPr>
      <w:rFonts w:ascii="Frutiger LT Std 55 Roman" w:hAnsi="Frutiger LT Std 55 Roman" w:cstheme="minorBidi"/>
      <w:color w:val="auto"/>
    </w:rPr>
  </w:style>
  <w:style w:type="character" w:styleId="CommentReference">
    <w:name w:val="annotation reference"/>
    <w:basedOn w:val="DefaultParagraphFont"/>
    <w:uiPriority w:val="99"/>
    <w:semiHidden/>
    <w:unhideWhenUsed/>
    <w:rsid w:val="00194FC2"/>
    <w:rPr>
      <w:sz w:val="16"/>
      <w:szCs w:val="16"/>
    </w:rPr>
  </w:style>
  <w:style w:type="character" w:styleId="PageNumber">
    <w:name w:val="page number"/>
    <w:basedOn w:val="DefaultParagraphFont"/>
    <w:uiPriority w:val="99"/>
    <w:semiHidden/>
    <w:unhideWhenUsed/>
    <w:rsid w:val="00194FC2"/>
  </w:style>
  <w:style w:type="table" w:customStyle="1" w:styleId="TableGrid1">
    <w:name w:val="Table Grid1"/>
    <w:basedOn w:val="TableNormal"/>
    <w:next w:val="TableGrid"/>
    <w:uiPriority w:val="39"/>
    <w:rsid w:val="0019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94FC2"/>
  </w:style>
  <w:style w:type="table" w:customStyle="1" w:styleId="TableGrid2">
    <w:name w:val="Table Grid2"/>
    <w:basedOn w:val="TableNormal"/>
    <w:next w:val="TableGrid"/>
    <w:rsid w:val="00194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9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663C60"/>
    <w:pPr>
      <w:spacing w:after="120" w:line="240" w:lineRule="auto"/>
    </w:pPr>
    <w:rPr>
      <w:rFonts w:ascii="Arial" w:eastAsia="Times New Roman" w:hAnsi="Arial" w:cs="Times New Roman"/>
      <w:color w:val="001F00"/>
      <w:spacing w:val="6"/>
      <w:sz w:val="16"/>
      <w:szCs w:val="16"/>
      <w:lang w:val="en-GB" w:eastAsia="en-GB"/>
    </w:rPr>
  </w:style>
  <w:style w:type="character" w:customStyle="1" w:styleId="BodyText3Char">
    <w:name w:val="Body Text 3 Char"/>
    <w:basedOn w:val="DefaultParagraphFont"/>
    <w:link w:val="BodyText3"/>
    <w:rsid w:val="00663C60"/>
    <w:rPr>
      <w:rFonts w:ascii="Arial" w:eastAsia="Times New Roman" w:hAnsi="Arial" w:cs="Times New Roman"/>
      <w:color w:val="001F00"/>
      <w:spacing w:val="6"/>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4C0AF-F78E-4FF2-9E62-88F21924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16599</Words>
  <Characters>94620</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2023-05-21T00:06:00Z</dcterms:created>
  <dcterms:modified xsi:type="dcterms:W3CDTF">2023-05-21T00:06:00Z</dcterms:modified>
</cp:coreProperties>
</file>