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CA" w:rsidRPr="004607C7" w:rsidRDefault="005B15AF" w:rsidP="004607C7">
      <w:pPr>
        <w:autoSpaceDE w:val="0"/>
        <w:autoSpaceDN w:val="0"/>
        <w:adjustRightInd w:val="0"/>
        <w:spacing w:line="240" w:lineRule="auto"/>
        <w:jc w:val="left"/>
        <w:rPr>
          <w:rFonts w:ascii="Arial" w:hAnsi="Arial" w:cs="Arial"/>
          <w:b/>
          <w:bCs/>
          <w:sz w:val="20"/>
          <w:szCs w:val="20"/>
        </w:rPr>
      </w:pPr>
      <w:r w:rsidRPr="004607C7">
        <w:rPr>
          <w:rFonts w:ascii="Arial" w:hAnsi="Arial" w:cs="Arial"/>
          <w:b/>
          <w:bCs/>
          <w:sz w:val="20"/>
          <w:szCs w:val="20"/>
        </w:rPr>
        <w:t xml:space="preserve">Report of </w:t>
      </w:r>
      <w:r w:rsidR="004F383C" w:rsidRPr="004607C7">
        <w:rPr>
          <w:rFonts w:ascii="Arial" w:hAnsi="Arial" w:cs="Arial"/>
          <w:b/>
          <w:bCs/>
          <w:sz w:val="20"/>
          <w:szCs w:val="20"/>
        </w:rPr>
        <w:t>t</w:t>
      </w:r>
      <w:r w:rsidRPr="004607C7">
        <w:rPr>
          <w:rFonts w:ascii="Arial" w:hAnsi="Arial" w:cs="Arial"/>
          <w:b/>
          <w:bCs/>
          <w:sz w:val="20"/>
          <w:szCs w:val="20"/>
        </w:rPr>
        <w:t>he Portfolio Committee on Police on the 2023/24 Budget Vote 28 and Annual Performance Plan (APP) of the Department of Police (South African Police Service) dated 17 May 2023.</w:t>
      </w:r>
    </w:p>
    <w:p w:rsidR="00904FCA" w:rsidRPr="004607C7" w:rsidRDefault="00904FCA" w:rsidP="004607C7">
      <w:pPr>
        <w:spacing w:line="240" w:lineRule="auto"/>
        <w:jc w:val="left"/>
        <w:rPr>
          <w:rFonts w:ascii="Arial" w:hAnsi="Arial" w:cs="Arial"/>
          <w:sz w:val="20"/>
          <w:szCs w:val="20"/>
        </w:rPr>
      </w:pPr>
    </w:p>
    <w:p w:rsidR="00904FCA" w:rsidRPr="004607C7" w:rsidRDefault="00904FCA" w:rsidP="004607C7">
      <w:pPr>
        <w:spacing w:line="240" w:lineRule="auto"/>
        <w:jc w:val="left"/>
        <w:rPr>
          <w:rFonts w:ascii="Arial" w:hAnsi="Arial" w:cs="Arial"/>
          <w:sz w:val="20"/>
          <w:szCs w:val="20"/>
        </w:rPr>
      </w:pPr>
      <w:r w:rsidRPr="004607C7">
        <w:rPr>
          <w:rFonts w:ascii="Arial" w:hAnsi="Arial" w:cs="Arial"/>
          <w:sz w:val="20"/>
          <w:szCs w:val="20"/>
        </w:rPr>
        <w:t>The Portfolio Committee on Police examined the Budget Vote of the Police (Vote 28) for the 202</w:t>
      </w:r>
      <w:r w:rsidR="00567CCD" w:rsidRPr="004607C7">
        <w:rPr>
          <w:rFonts w:ascii="Arial" w:hAnsi="Arial" w:cs="Arial"/>
          <w:sz w:val="20"/>
          <w:szCs w:val="20"/>
        </w:rPr>
        <w:t>3</w:t>
      </w:r>
      <w:r w:rsidRPr="004607C7">
        <w:rPr>
          <w:rFonts w:ascii="Arial" w:hAnsi="Arial" w:cs="Arial"/>
          <w:sz w:val="20"/>
          <w:szCs w:val="20"/>
        </w:rPr>
        <w:t>/2</w:t>
      </w:r>
      <w:r w:rsidR="00567CCD" w:rsidRPr="004607C7">
        <w:rPr>
          <w:rFonts w:ascii="Arial" w:hAnsi="Arial" w:cs="Arial"/>
          <w:sz w:val="20"/>
          <w:szCs w:val="20"/>
        </w:rPr>
        <w:t>4</w:t>
      </w:r>
      <w:r w:rsidRPr="004607C7">
        <w:rPr>
          <w:rFonts w:ascii="Arial" w:hAnsi="Arial" w:cs="Arial"/>
          <w:sz w:val="20"/>
          <w:szCs w:val="20"/>
        </w:rPr>
        <w:t xml:space="preserve"> financial year, as well as the projections of the Medium-Term Expenditure Framework (MTEF) for 2020-2024, which were included in the Estimates of National Expenditure (ENE) 202</w:t>
      </w:r>
      <w:r w:rsidR="00567CCD" w:rsidRPr="004607C7">
        <w:rPr>
          <w:rFonts w:ascii="Arial" w:hAnsi="Arial" w:cs="Arial"/>
          <w:sz w:val="20"/>
          <w:szCs w:val="20"/>
        </w:rPr>
        <w:t>3</w:t>
      </w:r>
      <w:r w:rsidRPr="004607C7">
        <w:rPr>
          <w:rFonts w:ascii="Arial" w:hAnsi="Arial" w:cs="Arial"/>
          <w:sz w:val="20"/>
          <w:szCs w:val="20"/>
        </w:rPr>
        <w:t>. The budget was examined in conjunction with the Annual Performance Plan 202</w:t>
      </w:r>
      <w:r w:rsidR="00567CCD" w:rsidRPr="004607C7">
        <w:rPr>
          <w:rFonts w:ascii="Arial" w:hAnsi="Arial" w:cs="Arial"/>
          <w:sz w:val="20"/>
          <w:szCs w:val="20"/>
        </w:rPr>
        <w:t>3</w:t>
      </w:r>
      <w:r w:rsidRPr="004607C7">
        <w:rPr>
          <w:rFonts w:ascii="Arial" w:hAnsi="Arial" w:cs="Arial"/>
          <w:sz w:val="20"/>
          <w:szCs w:val="20"/>
        </w:rPr>
        <w:t>/2</w:t>
      </w:r>
      <w:r w:rsidR="00567CCD" w:rsidRPr="004607C7">
        <w:rPr>
          <w:rFonts w:ascii="Arial" w:hAnsi="Arial" w:cs="Arial"/>
          <w:sz w:val="20"/>
          <w:szCs w:val="20"/>
        </w:rPr>
        <w:t>4</w:t>
      </w:r>
      <w:r w:rsidRPr="004607C7">
        <w:rPr>
          <w:rFonts w:ascii="Arial" w:hAnsi="Arial" w:cs="Arial"/>
          <w:sz w:val="20"/>
          <w:szCs w:val="20"/>
        </w:rPr>
        <w:t xml:space="preserve"> and the Strategic Plan (2020-2025). The Committee reports as follows:</w:t>
      </w:r>
    </w:p>
    <w:p w:rsidR="003A10A2" w:rsidRPr="004607C7" w:rsidRDefault="003A10A2" w:rsidP="004607C7">
      <w:pPr>
        <w:spacing w:line="240" w:lineRule="auto"/>
        <w:jc w:val="left"/>
        <w:rPr>
          <w:rFonts w:ascii="Arial" w:hAnsi="Arial" w:cs="Arial"/>
          <w:sz w:val="20"/>
          <w:szCs w:val="20"/>
        </w:rPr>
      </w:pPr>
    </w:p>
    <w:p w:rsidR="00052B47" w:rsidRPr="004607C7" w:rsidRDefault="002D6EE7" w:rsidP="004607C7">
      <w:pPr>
        <w:pStyle w:val="Heading1"/>
        <w:numPr>
          <w:ilvl w:val="0"/>
          <w:numId w:val="4"/>
        </w:numPr>
        <w:spacing w:before="0" w:line="240" w:lineRule="auto"/>
        <w:jc w:val="left"/>
        <w:rPr>
          <w:rFonts w:ascii="Arial" w:hAnsi="Arial" w:cs="Arial"/>
          <w:sz w:val="20"/>
          <w:szCs w:val="20"/>
        </w:rPr>
      </w:pPr>
      <w:bookmarkStart w:id="0" w:name="_Toc100665190"/>
      <w:r w:rsidRPr="004607C7">
        <w:rPr>
          <w:rFonts w:ascii="Arial" w:hAnsi="Arial" w:cs="Arial"/>
          <w:sz w:val="20"/>
          <w:szCs w:val="20"/>
        </w:rPr>
        <w:t>Introduction</w:t>
      </w:r>
      <w:bookmarkEnd w:id="0"/>
    </w:p>
    <w:p w:rsidR="009E0C94" w:rsidRPr="004607C7" w:rsidRDefault="009E0C94" w:rsidP="004607C7">
      <w:pPr>
        <w:spacing w:line="240" w:lineRule="auto"/>
        <w:jc w:val="left"/>
        <w:rPr>
          <w:rFonts w:ascii="Arial" w:hAnsi="Arial" w:cs="Arial"/>
          <w:sz w:val="20"/>
          <w:szCs w:val="20"/>
        </w:rPr>
      </w:pPr>
    </w:p>
    <w:p w:rsidR="00904FCA" w:rsidRPr="004607C7" w:rsidRDefault="00904FCA" w:rsidP="004607C7">
      <w:pPr>
        <w:pStyle w:val="Heading2"/>
        <w:numPr>
          <w:ilvl w:val="1"/>
          <w:numId w:val="4"/>
        </w:numPr>
        <w:spacing w:before="0" w:line="240" w:lineRule="auto"/>
        <w:rPr>
          <w:rFonts w:ascii="Arial" w:hAnsi="Arial" w:cs="Arial"/>
          <w:sz w:val="20"/>
          <w:szCs w:val="20"/>
        </w:rPr>
      </w:pPr>
      <w:r w:rsidRPr="004607C7">
        <w:rPr>
          <w:rFonts w:ascii="Arial" w:hAnsi="Arial" w:cs="Arial"/>
          <w:sz w:val="20"/>
          <w:szCs w:val="20"/>
        </w:rPr>
        <w:t xml:space="preserve">Structure </w:t>
      </w:r>
    </w:p>
    <w:p w:rsidR="00904FCA" w:rsidRPr="004607C7" w:rsidRDefault="00904FCA" w:rsidP="004607C7">
      <w:pPr>
        <w:spacing w:line="240" w:lineRule="auto"/>
        <w:jc w:val="left"/>
        <w:rPr>
          <w:rFonts w:ascii="Arial" w:hAnsi="Arial" w:cs="Arial"/>
          <w:sz w:val="20"/>
          <w:szCs w:val="20"/>
        </w:rPr>
      </w:pPr>
    </w:p>
    <w:p w:rsidR="00213CD2" w:rsidRPr="004607C7" w:rsidRDefault="00213CD2" w:rsidP="004607C7">
      <w:pPr>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 xml:space="preserve">The Report </w:t>
      </w:r>
      <w:r w:rsidR="003E4EC0" w:rsidRPr="004607C7">
        <w:rPr>
          <w:rFonts w:ascii="Arial" w:eastAsia="TimesNewRomanPSMT" w:hAnsi="Arial" w:cs="Arial"/>
          <w:sz w:val="20"/>
          <w:szCs w:val="20"/>
          <w:lang w:eastAsia="en-ZA"/>
        </w:rPr>
        <w:t>provides an overview of the 202</w:t>
      </w:r>
      <w:r w:rsidR="00567CCD" w:rsidRPr="004607C7">
        <w:rPr>
          <w:rFonts w:ascii="Arial" w:eastAsia="TimesNewRomanPSMT" w:hAnsi="Arial" w:cs="Arial"/>
          <w:sz w:val="20"/>
          <w:szCs w:val="20"/>
          <w:lang w:eastAsia="en-ZA"/>
        </w:rPr>
        <w:t>3</w:t>
      </w:r>
      <w:r w:rsidR="003E4EC0" w:rsidRPr="004607C7">
        <w:rPr>
          <w:rFonts w:ascii="Arial" w:eastAsia="TimesNewRomanPSMT" w:hAnsi="Arial" w:cs="Arial"/>
          <w:sz w:val="20"/>
          <w:szCs w:val="20"/>
          <w:lang w:eastAsia="en-ZA"/>
        </w:rPr>
        <w:t>/2</w:t>
      </w:r>
      <w:r w:rsidR="00567CCD" w:rsidRPr="004607C7">
        <w:rPr>
          <w:rFonts w:ascii="Arial" w:eastAsia="TimesNewRomanPSMT" w:hAnsi="Arial" w:cs="Arial"/>
          <w:sz w:val="20"/>
          <w:szCs w:val="20"/>
          <w:lang w:eastAsia="en-ZA"/>
        </w:rPr>
        <w:t>4</w:t>
      </w:r>
      <w:r w:rsidRPr="004607C7">
        <w:rPr>
          <w:rFonts w:ascii="Arial" w:eastAsia="TimesNewRomanPSMT" w:hAnsi="Arial" w:cs="Arial"/>
          <w:sz w:val="20"/>
          <w:szCs w:val="20"/>
          <w:lang w:eastAsia="en-ZA"/>
        </w:rPr>
        <w:t xml:space="preserve"> Budget Hearings of the Department of Police. The Report is structured as follows:</w:t>
      </w:r>
    </w:p>
    <w:p w:rsidR="00CE4C02" w:rsidRPr="004607C7" w:rsidRDefault="00213CD2" w:rsidP="004607C7">
      <w:pPr>
        <w:pStyle w:val="ListParagraph"/>
        <w:numPr>
          <w:ilvl w:val="0"/>
          <w:numId w:val="6"/>
        </w:numPr>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Section 1: Introduction. This section provides an introduction to this Report as well as a summary of meetings held during the hearings.</w:t>
      </w:r>
    </w:p>
    <w:p w:rsidR="00F663F3" w:rsidRPr="004607C7" w:rsidRDefault="00CE4C02" w:rsidP="004607C7">
      <w:pPr>
        <w:pStyle w:val="ListParagraph"/>
        <w:numPr>
          <w:ilvl w:val="0"/>
          <w:numId w:val="6"/>
        </w:numPr>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 xml:space="preserve">Section </w:t>
      </w:r>
      <w:r w:rsidR="00567CCD" w:rsidRPr="004607C7">
        <w:rPr>
          <w:rFonts w:ascii="Arial" w:eastAsia="TimesNewRomanPSMT" w:hAnsi="Arial" w:cs="Arial"/>
          <w:sz w:val="20"/>
          <w:szCs w:val="20"/>
          <w:lang w:eastAsia="en-ZA"/>
        </w:rPr>
        <w:t>2</w:t>
      </w:r>
      <w:r w:rsidRPr="004607C7">
        <w:rPr>
          <w:rFonts w:ascii="Arial" w:eastAsia="TimesNewRomanPSMT" w:hAnsi="Arial" w:cs="Arial"/>
          <w:sz w:val="20"/>
          <w:szCs w:val="20"/>
          <w:lang w:eastAsia="en-ZA"/>
        </w:rPr>
        <w:t xml:space="preserve">: Links to other plans </w:t>
      </w:r>
      <w:r w:rsidR="00213CD2" w:rsidRPr="004607C7">
        <w:rPr>
          <w:rFonts w:ascii="Arial" w:eastAsia="TimesNewRomanPSMT" w:hAnsi="Arial" w:cs="Arial"/>
          <w:sz w:val="20"/>
          <w:szCs w:val="20"/>
          <w:lang w:eastAsia="en-ZA"/>
        </w:rPr>
        <w:t>for the 202</w:t>
      </w:r>
      <w:r w:rsidR="00567CCD" w:rsidRPr="004607C7">
        <w:rPr>
          <w:rFonts w:ascii="Arial" w:eastAsia="TimesNewRomanPSMT" w:hAnsi="Arial" w:cs="Arial"/>
          <w:sz w:val="20"/>
          <w:szCs w:val="20"/>
          <w:lang w:eastAsia="en-ZA"/>
        </w:rPr>
        <w:t>3</w:t>
      </w:r>
      <w:r w:rsidR="00213CD2" w:rsidRPr="004607C7">
        <w:rPr>
          <w:rFonts w:ascii="Arial" w:eastAsia="TimesNewRomanPSMT" w:hAnsi="Arial" w:cs="Arial"/>
          <w:sz w:val="20"/>
          <w:szCs w:val="20"/>
          <w:lang w:eastAsia="en-ZA"/>
        </w:rPr>
        <w:t>/2</w:t>
      </w:r>
      <w:r w:rsidR="00567CCD" w:rsidRPr="004607C7">
        <w:rPr>
          <w:rFonts w:ascii="Arial" w:eastAsia="TimesNewRomanPSMT" w:hAnsi="Arial" w:cs="Arial"/>
          <w:sz w:val="20"/>
          <w:szCs w:val="20"/>
          <w:lang w:eastAsia="en-ZA"/>
        </w:rPr>
        <w:t>4</w:t>
      </w:r>
      <w:r w:rsidR="00213CD2" w:rsidRPr="004607C7">
        <w:rPr>
          <w:rFonts w:ascii="Arial" w:eastAsia="TimesNewRomanPSMT" w:hAnsi="Arial" w:cs="Arial"/>
          <w:sz w:val="20"/>
          <w:szCs w:val="20"/>
          <w:lang w:eastAsia="en-ZA"/>
        </w:rPr>
        <w:t xml:space="preserve"> financial year. This section highlights the strategic focus areas for the Department of Police for </w:t>
      </w:r>
      <w:r w:rsidRPr="004607C7">
        <w:rPr>
          <w:rFonts w:ascii="Arial" w:eastAsia="TimesNewRomanPSMT" w:hAnsi="Arial" w:cs="Arial"/>
          <w:sz w:val="20"/>
          <w:szCs w:val="20"/>
          <w:lang w:eastAsia="en-ZA"/>
        </w:rPr>
        <w:t xml:space="preserve">the year under review, including the National Development Plan, </w:t>
      </w:r>
      <w:r w:rsidR="00F663F3" w:rsidRPr="004607C7">
        <w:rPr>
          <w:rFonts w:ascii="Arial" w:eastAsia="TimesNewRomanPSMT" w:hAnsi="Arial" w:cs="Arial"/>
          <w:sz w:val="20"/>
          <w:szCs w:val="20"/>
          <w:lang w:eastAsia="en-ZA"/>
        </w:rPr>
        <w:t xml:space="preserve">State of the Nation Address (SONA), </w:t>
      </w:r>
      <w:r w:rsidR="00567CCD" w:rsidRPr="004607C7">
        <w:rPr>
          <w:rFonts w:ascii="Arial" w:eastAsia="TimesNewRomanPSMT" w:hAnsi="Arial" w:cs="Arial"/>
          <w:sz w:val="20"/>
          <w:szCs w:val="20"/>
          <w:lang w:eastAsia="en-ZA"/>
        </w:rPr>
        <w:t xml:space="preserve">and the </w:t>
      </w:r>
      <w:r w:rsidRPr="004607C7">
        <w:rPr>
          <w:rFonts w:ascii="Arial" w:eastAsia="TimesNewRomanPSMT" w:hAnsi="Arial" w:cs="Arial"/>
          <w:sz w:val="20"/>
          <w:szCs w:val="20"/>
          <w:lang w:eastAsia="en-ZA"/>
        </w:rPr>
        <w:t>2019-2024 Medium-term Strategic Framewo</w:t>
      </w:r>
      <w:r w:rsidR="00567CCD" w:rsidRPr="004607C7">
        <w:rPr>
          <w:rFonts w:ascii="Arial" w:eastAsia="TimesNewRomanPSMT" w:hAnsi="Arial" w:cs="Arial"/>
          <w:sz w:val="20"/>
          <w:szCs w:val="20"/>
          <w:lang w:eastAsia="en-ZA"/>
        </w:rPr>
        <w:t>rk (MTSF).</w:t>
      </w:r>
    </w:p>
    <w:p w:rsidR="00567CCD" w:rsidRPr="004607C7" w:rsidRDefault="00567CCD" w:rsidP="004607C7">
      <w:pPr>
        <w:pStyle w:val="ListParagraph"/>
        <w:numPr>
          <w:ilvl w:val="0"/>
          <w:numId w:val="6"/>
        </w:numPr>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 xml:space="preserve">Section 3: </w:t>
      </w:r>
      <w:r w:rsidR="00F663F3" w:rsidRPr="004607C7">
        <w:rPr>
          <w:rFonts w:ascii="Arial" w:eastAsia="TimesNewRomanPSMT" w:hAnsi="Arial" w:cs="Arial"/>
          <w:sz w:val="20"/>
          <w:szCs w:val="20"/>
          <w:lang w:eastAsia="en-ZA"/>
        </w:rPr>
        <w:t xml:space="preserve">Responses by the Minister of Finance on the Committee’s 2022 BRRR. </w:t>
      </w:r>
    </w:p>
    <w:p w:rsidR="00213CD2" w:rsidRPr="004607C7" w:rsidRDefault="00CE4C02" w:rsidP="004607C7">
      <w:pPr>
        <w:pStyle w:val="ListParagraph"/>
        <w:numPr>
          <w:ilvl w:val="0"/>
          <w:numId w:val="6"/>
        </w:numPr>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 xml:space="preserve">Section </w:t>
      </w:r>
      <w:r w:rsidR="00567CCD" w:rsidRPr="004607C7">
        <w:rPr>
          <w:rFonts w:ascii="Arial" w:eastAsia="TimesNewRomanPSMT" w:hAnsi="Arial" w:cs="Arial"/>
          <w:sz w:val="20"/>
          <w:szCs w:val="20"/>
          <w:lang w:eastAsia="en-ZA"/>
        </w:rPr>
        <w:t>4</w:t>
      </w:r>
      <w:r w:rsidR="00213CD2" w:rsidRPr="004607C7">
        <w:rPr>
          <w:rFonts w:ascii="Arial" w:eastAsia="TimesNewRomanPSMT" w:hAnsi="Arial" w:cs="Arial"/>
          <w:sz w:val="20"/>
          <w:szCs w:val="20"/>
          <w:lang w:eastAsia="en-ZA"/>
        </w:rPr>
        <w:t xml:space="preserve">: SAPS </w:t>
      </w:r>
      <w:r w:rsidR="008E36BA" w:rsidRPr="004607C7">
        <w:rPr>
          <w:rFonts w:ascii="Arial" w:eastAsia="TimesNewRomanPSMT" w:hAnsi="Arial" w:cs="Arial"/>
          <w:sz w:val="20"/>
          <w:szCs w:val="20"/>
          <w:lang w:eastAsia="en-ZA"/>
        </w:rPr>
        <w:t>b</w:t>
      </w:r>
      <w:r w:rsidR="00213CD2" w:rsidRPr="004607C7">
        <w:rPr>
          <w:rFonts w:ascii="Arial" w:eastAsia="TimesNewRomanPSMT" w:hAnsi="Arial" w:cs="Arial"/>
          <w:sz w:val="20"/>
          <w:szCs w:val="20"/>
          <w:lang w:eastAsia="en-ZA"/>
        </w:rPr>
        <w:t xml:space="preserve">udget </w:t>
      </w:r>
      <w:r w:rsidRPr="004607C7">
        <w:rPr>
          <w:rFonts w:ascii="Arial" w:eastAsia="TimesNewRomanPSMT" w:hAnsi="Arial" w:cs="Arial"/>
          <w:sz w:val="20"/>
          <w:szCs w:val="20"/>
          <w:lang w:eastAsia="en-ZA"/>
        </w:rPr>
        <w:t xml:space="preserve">and </w:t>
      </w:r>
      <w:r w:rsidR="008E36BA" w:rsidRPr="004607C7">
        <w:rPr>
          <w:rFonts w:ascii="Arial" w:eastAsia="TimesNewRomanPSMT" w:hAnsi="Arial" w:cs="Arial"/>
          <w:sz w:val="20"/>
          <w:szCs w:val="20"/>
          <w:lang w:eastAsia="en-ZA"/>
        </w:rPr>
        <w:t>p</w:t>
      </w:r>
      <w:r w:rsidRPr="004607C7">
        <w:rPr>
          <w:rFonts w:ascii="Arial" w:eastAsia="TimesNewRomanPSMT" w:hAnsi="Arial" w:cs="Arial"/>
          <w:sz w:val="20"/>
          <w:szCs w:val="20"/>
          <w:lang w:eastAsia="en-ZA"/>
        </w:rPr>
        <w:t>erformance targets for 202</w:t>
      </w:r>
      <w:r w:rsidR="00567CCD" w:rsidRPr="004607C7">
        <w:rPr>
          <w:rFonts w:ascii="Arial" w:eastAsia="TimesNewRomanPSMT" w:hAnsi="Arial" w:cs="Arial"/>
          <w:sz w:val="20"/>
          <w:szCs w:val="20"/>
          <w:lang w:eastAsia="en-ZA"/>
        </w:rPr>
        <w:t>3</w:t>
      </w:r>
      <w:r w:rsidRPr="004607C7">
        <w:rPr>
          <w:rFonts w:ascii="Arial" w:eastAsia="TimesNewRomanPSMT" w:hAnsi="Arial" w:cs="Arial"/>
          <w:sz w:val="20"/>
          <w:szCs w:val="20"/>
          <w:lang w:eastAsia="en-ZA"/>
        </w:rPr>
        <w:t>/2</w:t>
      </w:r>
      <w:r w:rsidR="00567CCD" w:rsidRPr="004607C7">
        <w:rPr>
          <w:rFonts w:ascii="Arial" w:eastAsia="TimesNewRomanPSMT" w:hAnsi="Arial" w:cs="Arial"/>
          <w:sz w:val="20"/>
          <w:szCs w:val="20"/>
          <w:lang w:eastAsia="en-ZA"/>
        </w:rPr>
        <w:t>4</w:t>
      </w:r>
      <w:r w:rsidR="00213CD2" w:rsidRPr="004607C7">
        <w:rPr>
          <w:rFonts w:ascii="Arial" w:eastAsia="TimesNewRomanPSMT" w:hAnsi="Arial" w:cs="Arial"/>
          <w:sz w:val="20"/>
          <w:szCs w:val="20"/>
          <w:lang w:eastAsia="en-ZA"/>
        </w:rPr>
        <w:t>. This section provides an analysis of the budget al</w:t>
      </w:r>
      <w:r w:rsidRPr="004607C7">
        <w:rPr>
          <w:rFonts w:ascii="Arial" w:eastAsia="TimesNewRomanPSMT" w:hAnsi="Arial" w:cs="Arial"/>
          <w:sz w:val="20"/>
          <w:szCs w:val="20"/>
          <w:lang w:eastAsia="en-ZA"/>
        </w:rPr>
        <w:t xml:space="preserve">locations, spending priorities and performance indicators per programme of </w:t>
      </w:r>
      <w:r w:rsidR="00213CD2" w:rsidRPr="004607C7">
        <w:rPr>
          <w:rFonts w:ascii="Arial" w:eastAsia="TimesNewRomanPSMT" w:hAnsi="Arial" w:cs="Arial"/>
          <w:sz w:val="20"/>
          <w:szCs w:val="20"/>
          <w:lang w:eastAsia="en-ZA"/>
        </w:rPr>
        <w:t>the Department of Police for the 2</w:t>
      </w:r>
      <w:r w:rsidRPr="004607C7">
        <w:rPr>
          <w:rFonts w:ascii="Arial" w:eastAsia="TimesNewRomanPSMT" w:hAnsi="Arial" w:cs="Arial"/>
          <w:sz w:val="20"/>
          <w:szCs w:val="20"/>
          <w:lang w:eastAsia="en-ZA"/>
        </w:rPr>
        <w:t>02</w:t>
      </w:r>
      <w:r w:rsidR="00567CCD" w:rsidRPr="004607C7">
        <w:rPr>
          <w:rFonts w:ascii="Arial" w:eastAsia="TimesNewRomanPSMT" w:hAnsi="Arial" w:cs="Arial"/>
          <w:sz w:val="20"/>
          <w:szCs w:val="20"/>
          <w:lang w:eastAsia="en-ZA"/>
        </w:rPr>
        <w:t>3</w:t>
      </w:r>
      <w:r w:rsidRPr="004607C7">
        <w:rPr>
          <w:rFonts w:ascii="Arial" w:eastAsia="TimesNewRomanPSMT" w:hAnsi="Arial" w:cs="Arial"/>
          <w:sz w:val="20"/>
          <w:szCs w:val="20"/>
          <w:lang w:eastAsia="en-ZA"/>
        </w:rPr>
        <w:t>/2</w:t>
      </w:r>
      <w:r w:rsidR="00567CCD" w:rsidRPr="004607C7">
        <w:rPr>
          <w:rFonts w:ascii="Arial" w:eastAsia="TimesNewRomanPSMT" w:hAnsi="Arial" w:cs="Arial"/>
          <w:sz w:val="20"/>
          <w:szCs w:val="20"/>
          <w:lang w:eastAsia="en-ZA"/>
        </w:rPr>
        <w:t>4</w:t>
      </w:r>
      <w:r w:rsidR="00213CD2" w:rsidRPr="004607C7">
        <w:rPr>
          <w:rFonts w:ascii="Arial" w:eastAsia="TimesNewRomanPSMT" w:hAnsi="Arial" w:cs="Arial"/>
          <w:sz w:val="20"/>
          <w:szCs w:val="20"/>
          <w:lang w:eastAsia="en-ZA"/>
        </w:rPr>
        <w:t xml:space="preserve"> financial year. </w:t>
      </w:r>
    </w:p>
    <w:p w:rsidR="00D23CFF" w:rsidRPr="004607C7" w:rsidRDefault="00D23CFF" w:rsidP="004607C7">
      <w:pPr>
        <w:pStyle w:val="ListParagraph"/>
        <w:numPr>
          <w:ilvl w:val="0"/>
          <w:numId w:val="6"/>
        </w:numPr>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 xml:space="preserve">Section 5: Inputs from police unions and stakeholders. The section provides a summary of inputs by police unions and stakeholders during the budget hearings. </w:t>
      </w:r>
    </w:p>
    <w:p w:rsidR="00213CD2" w:rsidRPr="004607C7" w:rsidRDefault="002176AD" w:rsidP="004607C7">
      <w:pPr>
        <w:pStyle w:val="ListParagraph"/>
        <w:numPr>
          <w:ilvl w:val="0"/>
          <w:numId w:val="6"/>
        </w:numPr>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 xml:space="preserve">Section </w:t>
      </w:r>
      <w:r w:rsidR="00D23CFF" w:rsidRPr="004607C7">
        <w:rPr>
          <w:rFonts w:ascii="Arial" w:eastAsia="TimesNewRomanPSMT" w:hAnsi="Arial" w:cs="Arial"/>
          <w:sz w:val="20"/>
          <w:szCs w:val="20"/>
          <w:lang w:eastAsia="en-ZA"/>
        </w:rPr>
        <w:t>6</w:t>
      </w:r>
      <w:r w:rsidRPr="004607C7">
        <w:rPr>
          <w:rFonts w:ascii="Arial" w:eastAsia="TimesNewRomanPSMT" w:hAnsi="Arial" w:cs="Arial"/>
          <w:sz w:val="20"/>
          <w:szCs w:val="20"/>
          <w:lang w:eastAsia="en-ZA"/>
        </w:rPr>
        <w:t xml:space="preserve">: </w:t>
      </w:r>
      <w:r w:rsidR="00CD35A4" w:rsidRPr="004607C7">
        <w:rPr>
          <w:rFonts w:ascii="Arial" w:eastAsia="TimesNewRomanPSMT" w:hAnsi="Arial" w:cs="Arial"/>
          <w:sz w:val="20"/>
          <w:szCs w:val="20"/>
          <w:lang w:eastAsia="en-ZA"/>
        </w:rPr>
        <w:t>Committee observations</w:t>
      </w:r>
      <w:r w:rsidR="00213CD2" w:rsidRPr="004607C7">
        <w:rPr>
          <w:rFonts w:ascii="Arial" w:eastAsia="TimesNewRomanPSMT" w:hAnsi="Arial" w:cs="Arial"/>
          <w:sz w:val="20"/>
          <w:szCs w:val="20"/>
          <w:lang w:eastAsia="en-ZA"/>
        </w:rPr>
        <w:t>. This section provides selected observations made by the Portfolio Committee on Police in general, on the annual performance targets and programme specific issues during the 202</w:t>
      </w:r>
      <w:r w:rsidR="00C6580F" w:rsidRPr="004607C7">
        <w:rPr>
          <w:rFonts w:ascii="Arial" w:eastAsia="TimesNewRomanPSMT" w:hAnsi="Arial" w:cs="Arial"/>
          <w:sz w:val="20"/>
          <w:szCs w:val="20"/>
          <w:lang w:eastAsia="en-ZA"/>
        </w:rPr>
        <w:t>3</w:t>
      </w:r>
      <w:r w:rsidR="00213CD2" w:rsidRPr="004607C7">
        <w:rPr>
          <w:rFonts w:ascii="Arial" w:eastAsia="TimesNewRomanPSMT" w:hAnsi="Arial" w:cs="Arial"/>
          <w:sz w:val="20"/>
          <w:szCs w:val="20"/>
          <w:lang w:eastAsia="en-ZA"/>
        </w:rPr>
        <w:t>/2</w:t>
      </w:r>
      <w:r w:rsidR="00C6580F" w:rsidRPr="004607C7">
        <w:rPr>
          <w:rFonts w:ascii="Arial" w:eastAsia="TimesNewRomanPSMT" w:hAnsi="Arial" w:cs="Arial"/>
          <w:sz w:val="20"/>
          <w:szCs w:val="20"/>
          <w:lang w:eastAsia="en-ZA"/>
        </w:rPr>
        <w:t>4</w:t>
      </w:r>
      <w:r w:rsidR="00213CD2" w:rsidRPr="004607C7">
        <w:rPr>
          <w:rFonts w:ascii="Arial" w:eastAsia="TimesNewRomanPSMT" w:hAnsi="Arial" w:cs="Arial"/>
          <w:sz w:val="20"/>
          <w:szCs w:val="20"/>
          <w:lang w:eastAsia="en-ZA"/>
        </w:rPr>
        <w:t xml:space="preserve"> budget hearings and subsequent responses by the Department of Police.</w:t>
      </w:r>
    </w:p>
    <w:p w:rsidR="00213CD2" w:rsidRPr="004607C7" w:rsidRDefault="002176AD" w:rsidP="004607C7">
      <w:pPr>
        <w:pStyle w:val="ListParagraph"/>
        <w:numPr>
          <w:ilvl w:val="0"/>
          <w:numId w:val="6"/>
        </w:numPr>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 xml:space="preserve">Section </w:t>
      </w:r>
      <w:r w:rsidR="00D23CFF" w:rsidRPr="004607C7">
        <w:rPr>
          <w:rFonts w:ascii="Arial" w:eastAsia="TimesNewRomanPSMT" w:hAnsi="Arial" w:cs="Arial"/>
          <w:sz w:val="20"/>
          <w:szCs w:val="20"/>
          <w:lang w:eastAsia="en-ZA"/>
        </w:rPr>
        <w:t>7</w:t>
      </w:r>
      <w:r w:rsidR="00213CD2" w:rsidRPr="004607C7">
        <w:rPr>
          <w:rFonts w:ascii="Arial" w:eastAsia="TimesNewRomanPSMT" w:hAnsi="Arial" w:cs="Arial"/>
          <w:sz w:val="20"/>
          <w:szCs w:val="20"/>
          <w:lang w:eastAsia="en-ZA"/>
        </w:rPr>
        <w:t>: Recommendations and additional information. This section summarises the recommendations made by the Portfolio Committee on Police, as well as the additional information requested from the Department of Police.</w:t>
      </w:r>
    </w:p>
    <w:p w:rsidR="00C0470F" w:rsidRPr="004607C7" w:rsidRDefault="00C0470F" w:rsidP="004607C7">
      <w:pPr>
        <w:pStyle w:val="ListParagraph"/>
        <w:numPr>
          <w:ilvl w:val="0"/>
          <w:numId w:val="6"/>
        </w:numPr>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 xml:space="preserve">Section </w:t>
      </w:r>
      <w:r w:rsidR="00D23CFF" w:rsidRPr="004607C7">
        <w:rPr>
          <w:rFonts w:ascii="Arial" w:eastAsia="TimesNewRomanPSMT" w:hAnsi="Arial" w:cs="Arial"/>
          <w:sz w:val="20"/>
          <w:szCs w:val="20"/>
          <w:lang w:eastAsia="en-ZA"/>
        </w:rPr>
        <w:t>8</w:t>
      </w:r>
      <w:r w:rsidRPr="004607C7">
        <w:rPr>
          <w:rFonts w:ascii="Arial" w:eastAsia="TimesNewRomanPSMT" w:hAnsi="Arial" w:cs="Arial"/>
          <w:sz w:val="20"/>
          <w:szCs w:val="20"/>
          <w:lang w:eastAsia="en-ZA"/>
        </w:rPr>
        <w:t xml:space="preserve">: Conclusion. This section provides concluding remarks. </w:t>
      </w:r>
    </w:p>
    <w:p w:rsidR="00213CD2" w:rsidRPr="004607C7" w:rsidRDefault="00213CD2" w:rsidP="004607C7">
      <w:pPr>
        <w:spacing w:line="240" w:lineRule="auto"/>
        <w:jc w:val="left"/>
        <w:rPr>
          <w:rFonts w:ascii="Arial" w:hAnsi="Arial" w:cs="Arial"/>
          <w:sz w:val="20"/>
          <w:szCs w:val="20"/>
        </w:rPr>
      </w:pPr>
    </w:p>
    <w:p w:rsidR="00904FCA" w:rsidRPr="004607C7" w:rsidRDefault="00904FCA" w:rsidP="004607C7">
      <w:pPr>
        <w:pStyle w:val="Heading2"/>
        <w:numPr>
          <w:ilvl w:val="1"/>
          <w:numId w:val="4"/>
        </w:numPr>
        <w:spacing w:before="0" w:line="240" w:lineRule="auto"/>
        <w:rPr>
          <w:rFonts w:ascii="Arial" w:hAnsi="Arial" w:cs="Arial"/>
          <w:sz w:val="20"/>
          <w:szCs w:val="20"/>
        </w:rPr>
      </w:pPr>
      <w:r w:rsidRPr="004607C7">
        <w:rPr>
          <w:rFonts w:ascii="Arial" w:hAnsi="Arial" w:cs="Arial"/>
          <w:sz w:val="20"/>
          <w:szCs w:val="20"/>
        </w:rPr>
        <w:t xml:space="preserve">Meetings held </w:t>
      </w:r>
    </w:p>
    <w:p w:rsidR="00904FCA" w:rsidRPr="004607C7" w:rsidRDefault="00904FCA" w:rsidP="004607C7">
      <w:pPr>
        <w:spacing w:line="240" w:lineRule="auto"/>
        <w:jc w:val="left"/>
        <w:rPr>
          <w:rFonts w:ascii="Arial" w:hAnsi="Arial" w:cs="Arial"/>
          <w:sz w:val="20"/>
          <w:szCs w:val="20"/>
        </w:rPr>
      </w:pPr>
    </w:p>
    <w:p w:rsidR="00213CD2" w:rsidRPr="004607C7" w:rsidRDefault="00213CD2" w:rsidP="004607C7">
      <w:pPr>
        <w:autoSpaceDE w:val="0"/>
        <w:autoSpaceDN w:val="0"/>
        <w:adjustRightInd w:val="0"/>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 xml:space="preserve">The Committee met on </w:t>
      </w:r>
      <w:r w:rsidR="006F6380" w:rsidRPr="004607C7">
        <w:rPr>
          <w:rFonts w:ascii="Arial" w:eastAsia="TimesNewRomanPSMT" w:hAnsi="Arial" w:cs="Arial"/>
          <w:sz w:val="20"/>
          <w:szCs w:val="20"/>
          <w:lang w:eastAsia="en-ZA"/>
        </w:rPr>
        <w:t>19</w:t>
      </w:r>
      <w:r w:rsidRPr="004607C7">
        <w:rPr>
          <w:rFonts w:ascii="Arial" w:eastAsia="TimesNewRomanPSMT" w:hAnsi="Arial" w:cs="Arial"/>
          <w:sz w:val="20"/>
          <w:szCs w:val="20"/>
          <w:lang w:eastAsia="en-ZA"/>
        </w:rPr>
        <w:t xml:space="preserve"> April 202</w:t>
      </w:r>
      <w:r w:rsidR="006F6380" w:rsidRPr="004607C7">
        <w:rPr>
          <w:rFonts w:ascii="Arial" w:eastAsia="TimesNewRomanPSMT" w:hAnsi="Arial" w:cs="Arial"/>
          <w:sz w:val="20"/>
          <w:szCs w:val="20"/>
          <w:lang w:eastAsia="en-ZA"/>
        </w:rPr>
        <w:t>3</w:t>
      </w:r>
      <w:r w:rsidRPr="004607C7">
        <w:rPr>
          <w:rFonts w:ascii="Arial" w:eastAsia="TimesNewRomanPSMT" w:hAnsi="Arial" w:cs="Arial"/>
          <w:sz w:val="20"/>
          <w:szCs w:val="20"/>
          <w:lang w:eastAsia="en-ZA"/>
        </w:rPr>
        <w:t xml:space="preserve"> to consider the SAPS 202</w:t>
      </w:r>
      <w:r w:rsidR="006F6380" w:rsidRPr="004607C7">
        <w:rPr>
          <w:rFonts w:ascii="Arial" w:eastAsia="TimesNewRomanPSMT" w:hAnsi="Arial" w:cs="Arial"/>
          <w:sz w:val="20"/>
          <w:szCs w:val="20"/>
          <w:lang w:eastAsia="en-ZA"/>
        </w:rPr>
        <w:t>3</w:t>
      </w:r>
      <w:r w:rsidRPr="004607C7">
        <w:rPr>
          <w:rFonts w:ascii="Arial" w:eastAsia="TimesNewRomanPSMT" w:hAnsi="Arial" w:cs="Arial"/>
          <w:sz w:val="20"/>
          <w:szCs w:val="20"/>
          <w:lang w:eastAsia="en-ZA"/>
        </w:rPr>
        <w:t>/2</w:t>
      </w:r>
      <w:r w:rsidR="006F6380" w:rsidRPr="004607C7">
        <w:rPr>
          <w:rFonts w:ascii="Arial" w:eastAsia="TimesNewRomanPSMT" w:hAnsi="Arial" w:cs="Arial"/>
          <w:sz w:val="20"/>
          <w:szCs w:val="20"/>
          <w:lang w:eastAsia="en-ZA"/>
        </w:rPr>
        <w:t>4</w:t>
      </w:r>
      <w:r w:rsidRPr="004607C7">
        <w:rPr>
          <w:rFonts w:ascii="Arial" w:eastAsia="TimesNewRomanPSMT" w:hAnsi="Arial" w:cs="Arial"/>
          <w:sz w:val="20"/>
          <w:szCs w:val="20"/>
          <w:lang w:eastAsia="en-ZA"/>
        </w:rPr>
        <w:t xml:space="preserve"> APP and Budget. </w:t>
      </w:r>
      <w:r w:rsidR="00546336" w:rsidRPr="004607C7">
        <w:rPr>
          <w:rFonts w:ascii="Arial" w:eastAsia="TimesNewRomanPSMT" w:hAnsi="Arial" w:cs="Arial"/>
          <w:sz w:val="20"/>
          <w:szCs w:val="20"/>
          <w:lang w:eastAsia="en-ZA"/>
        </w:rPr>
        <w:t xml:space="preserve">A follow-up meeting was held on 03 May 2023 to address selected concerns that were raised </w:t>
      </w:r>
      <w:r w:rsidR="00F92FCB" w:rsidRPr="004607C7">
        <w:rPr>
          <w:rFonts w:ascii="Arial" w:eastAsia="TimesNewRomanPSMT" w:hAnsi="Arial" w:cs="Arial"/>
          <w:sz w:val="20"/>
          <w:szCs w:val="20"/>
          <w:lang w:eastAsia="en-ZA"/>
        </w:rPr>
        <w:t>during the previous meeting (</w:t>
      </w:r>
      <w:r w:rsidR="00546336" w:rsidRPr="004607C7">
        <w:rPr>
          <w:rFonts w:ascii="Arial" w:eastAsia="TimesNewRomanPSMT" w:hAnsi="Arial" w:cs="Arial"/>
          <w:sz w:val="20"/>
          <w:szCs w:val="20"/>
          <w:lang w:eastAsia="en-ZA"/>
        </w:rPr>
        <w:t>19 April 2023</w:t>
      </w:r>
      <w:r w:rsidR="00F92FCB" w:rsidRPr="004607C7">
        <w:rPr>
          <w:rFonts w:ascii="Arial" w:eastAsia="TimesNewRomanPSMT" w:hAnsi="Arial" w:cs="Arial"/>
          <w:sz w:val="20"/>
          <w:szCs w:val="20"/>
          <w:lang w:eastAsia="en-ZA"/>
        </w:rPr>
        <w:t>)</w:t>
      </w:r>
      <w:r w:rsidR="00546336" w:rsidRPr="004607C7">
        <w:rPr>
          <w:rFonts w:ascii="Arial" w:eastAsia="TimesNewRomanPSMT" w:hAnsi="Arial" w:cs="Arial"/>
          <w:sz w:val="20"/>
          <w:szCs w:val="20"/>
          <w:lang w:eastAsia="en-ZA"/>
        </w:rPr>
        <w:t xml:space="preserve"> and to consider the budget and performance indicators of the Directorate for Priority Crime Investigations (DPCI). </w:t>
      </w:r>
      <w:r w:rsidR="00FB7FCF" w:rsidRPr="004607C7">
        <w:rPr>
          <w:rFonts w:ascii="Arial" w:eastAsia="TimesNewRomanPSMT" w:hAnsi="Arial" w:cs="Arial"/>
          <w:sz w:val="20"/>
          <w:szCs w:val="20"/>
          <w:lang w:eastAsia="en-ZA"/>
        </w:rPr>
        <w:t xml:space="preserve">During the meeting held on 3 May 2023, the Committee </w:t>
      </w:r>
      <w:r w:rsidR="00F92FCB" w:rsidRPr="004607C7">
        <w:rPr>
          <w:rFonts w:ascii="Arial" w:eastAsia="TimesNewRomanPSMT" w:hAnsi="Arial" w:cs="Arial"/>
          <w:sz w:val="20"/>
          <w:szCs w:val="20"/>
          <w:lang w:eastAsia="en-ZA"/>
        </w:rPr>
        <w:t xml:space="preserve">received a presentation from </w:t>
      </w:r>
      <w:r w:rsidR="00FB7FCF" w:rsidRPr="004607C7">
        <w:rPr>
          <w:rFonts w:ascii="Arial" w:eastAsia="TimesNewRomanPSMT" w:hAnsi="Arial" w:cs="Arial"/>
          <w:sz w:val="20"/>
          <w:szCs w:val="20"/>
          <w:lang w:eastAsia="en-ZA"/>
        </w:rPr>
        <w:t xml:space="preserve">Mr </w:t>
      </w:r>
      <w:r w:rsidR="00D23CFF" w:rsidRPr="004607C7">
        <w:rPr>
          <w:rFonts w:ascii="Arial" w:eastAsia="TimesNewRomanPSMT" w:hAnsi="Arial" w:cs="Arial"/>
          <w:sz w:val="20"/>
          <w:szCs w:val="20"/>
          <w:lang w:eastAsia="en-ZA"/>
        </w:rPr>
        <w:t xml:space="preserve">Martin Hood </w:t>
      </w:r>
      <w:r w:rsidR="00F92FCB" w:rsidRPr="004607C7">
        <w:rPr>
          <w:rFonts w:ascii="Arial" w:eastAsia="TimesNewRomanPSMT" w:hAnsi="Arial" w:cs="Arial"/>
          <w:sz w:val="20"/>
          <w:szCs w:val="20"/>
          <w:lang w:eastAsia="en-ZA"/>
        </w:rPr>
        <w:t>on</w:t>
      </w:r>
      <w:r w:rsidR="00D23CFF" w:rsidRPr="004607C7">
        <w:rPr>
          <w:rFonts w:ascii="Arial" w:eastAsia="TimesNewRomanPSMT" w:hAnsi="Arial" w:cs="Arial"/>
          <w:sz w:val="20"/>
          <w:szCs w:val="20"/>
          <w:lang w:eastAsia="en-ZA"/>
        </w:rPr>
        <w:t xml:space="preserve"> challenges related to firearm control in South Africa. On 10 May 2023, the Committee met with police unions and stakeholders</w:t>
      </w:r>
      <w:r w:rsidR="0081307D" w:rsidRPr="004607C7">
        <w:rPr>
          <w:rFonts w:ascii="Arial" w:eastAsia="TimesNewRomanPSMT" w:hAnsi="Arial" w:cs="Arial"/>
          <w:sz w:val="20"/>
          <w:szCs w:val="20"/>
          <w:lang w:eastAsia="en-ZA"/>
        </w:rPr>
        <w:t>, including the South African Policing Union (SAPU), the Police and Prisons Civil Rights Union (POPCRU) and the Independent Police Union of South Africa (IPUSA)</w:t>
      </w:r>
      <w:r w:rsidR="00D23CFF" w:rsidRPr="004607C7">
        <w:rPr>
          <w:rFonts w:ascii="Arial" w:eastAsia="TimesNewRomanPSMT" w:hAnsi="Arial" w:cs="Arial"/>
          <w:sz w:val="20"/>
          <w:szCs w:val="20"/>
          <w:lang w:eastAsia="en-ZA"/>
        </w:rPr>
        <w:t xml:space="preserve">. </w:t>
      </w:r>
    </w:p>
    <w:p w:rsidR="00824332" w:rsidRPr="004607C7" w:rsidRDefault="00824332" w:rsidP="004607C7">
      <w:pPr>
        <w:spacing w:line="240" w:lineRule="auto"/>
        <w:jc w:val="left"/>
        <w:rPr>
          <w:rFonts w:ascii="Arial" w:hAnsi="Arial" w:cs="Arial"/>
          <w:sz w:val="20"/>
          <w:szCs w:val="20"/>
        </w:rPr>
      </w:pPr>
    </w:p>
    <w:p w:rsidR="00B33794" w:rsidRPr="004607C7" w:rsidRDefault="005F162F" w:rsidP="004607C7">
      <w:pPr>
        <w:pStyle w:val="Heading1"/>
        <w:numPr>
          <w:ilvl w:val="0"/>
          <w:numId w:val="4"/>
        </w:numPr>
        <w:spacing w:before="0" w:line="240" w:lineRule="auto"/>
        <w:jc w:val="left"/>
        <w:rPr>
          <w:rFonts w:ascii="Arial" w:hAnsi="Arial" w:cs="Arial"/>
          <w:sz w:val="20"/>
          <w:szCs w:val="20"/>
        </w:rPr>
      </w:pPr>
      <w:bookmarkStart w:id="1" w:name="_Toc100665193"/>
      <w:r w:rsidRPr="004607C7">
        <w:rPr>
          <w:rFonts w:ascii="Arial" w:hAnsi="Arial" w:cs="Arial"/>
          <w:sz w:val="20"/>
          <w:szCs w:val="20"/>
        </w:rPr>
        <w:t>Links to other plans</w:t>
      </w:r>
      <w:bookmarkEnd w:id="1"/>
      <w:r w:rsidRPr="004607C7">
        <w:rPr>
          <w:rFonts w:ascii="Arial" w:hAnsi="Arial" w:cs="Arial"/>
          <w:sz w:val="20"/>
          <w:szCs w:val="20"/>
        </w:rPr>
        <w:t xml:space="preserve"> </w:t>
      </w: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p>
    <w:p w:rsidR="00567CCD" w:rsidRPr="004607C7" w:rsidRDefault="00567CCD" w:rsidP="004607C7">
      <w:pPr>
        <w:pStyle w:val="Heading2"/>
        <w:numPr>
          <w:ilvl w:val="1"/>
          <w:numId w:val="4"/>
        </w:numPr>
        <w:spacing w:before="0" w:line="240" w:lineRule="auto"/>
        <w:rPr>
          <w:rFonts w:ascii="Arial" w:hAnsi="Arial" w:cs="Arial"/>
          <w:sz w:val="20"/>
          <w:szCs w:val="20"/>
        </w:rPr>
      </w:pPr>
      <w:bookmarkStart w:id="2" w:name="_Toc132206867"/>
      <w:r w:rsidRPr="004607C7">
        <w:rPr>
          <w:rFonts w:ascii="Arial" w:hAnsi="Arial" w:cs="Arial"/>
          <w:sz w:val="20"/>
          <w:szCs w:val="20"/>
        </w:rPr>
        <w:t>National Development Plan (NDP)</w:t>
      </w:r>
      <w:bookmarkEnd w:id="2"/>
      <w:r w:rsidRPr="004607C7">
        <w:rPr>
          <w:rFonts w:ascii="Arial" w:hAnsi="Arial" w:cs="Arial"/>
          <w:sz w:val="20"/>
          <w:szCs w:val="20"/>
        </w:rPr>
        <w:t xml:space="preserve"> </w:t>
      </w: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 xml:space="preserve">Chapter 12 of the National Development Plan (NDP) titled “Building Safer Communities” outlines the responsibilities of the policing portfolio in South Africa. The vision of Chapter 12 is that: </w:t>
      </w: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p>
    <w:p w:rsidR="00567CCD" w:rsidRPr="004607C7" w:rsidRDefault="00567CCD" w:rsidP="004607C7">
      <w:pPr>
        <w:autoSpaceDE w:val="0"/>
        <w:autoSpaceDN w:val="0"/>
        <w:adjustRightInd w:val="0"/>
        <w:spacing w:line="240" w:lineRule="auto"/>
        <w:ind w:left="284" w:right="521"/>
        <w:jc w:val="left"/>
        <w:rPr>
          <w:rFonts w:ascii="Arial" w:hAnsi="Arial" w:cs="Arial"/>
          <w:sz w:val="20"/>
          <w:szCs w:val="20"/>
          <w:lang w:eastAsia="en-ZA"/>
        </w:rPr>
      </w:pPr>
      <w:r w:rsidRPr="004607C7">
        <w:rPr>
          <w:rFonts w:ascii="Arial" w:hAnsi="Arial" w:cs="Arial"/>
          <w:sz w:val="20"/>
          <w:szCs w:val="20"/>
          <w:lang w:eastAsia="en-ZA"/>
        </w:rPr>
        <w:t>"In 2030, people living in South Africa feel safe at home, at school and at work, and they enjoy a community life free of fear. Women walk freely in the streets and children play safely outside. The police service is well-resourced and professional, staffed by highly skilled officers who value their work, serve the community, safeguard lives and property without discrimination, protect the peaceful against violence, and respect the rights to equality and justice."</w:t>
      </w: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lastRenderedPageBreak/>
        <w:t>To achieve this vision, the NDP sets out five focus areas, including:</w:t>
      </w:r>
    </w:p>
    <w:p w:rsidR="00567CCD" w:rsidRPr="004607C7" w:rsidRDefault="00567CCD" w:rsidP="004607C7">
      <w:pPr>
        <w:pStyle w:val="ListParagraph"/>
        <w:numPr>
          <w:ilvl w:val="0"/>
          <w:numId w:val="2"/>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Strengthen the criminal justice system;</w:t>
      </w:r>
    </w:p>
    <w:p w:rsidR="00567CCD" w:rsidRPr="004607C7" w:rsidRDefault="00567CCD" w:rsidP="004607C7">
      <w:pPr>
        <w:pStyle w:val="ListParagraph"/>
        <w:numPr>
          <w:ilvl w:val="0"/>
          <w:numId w:val="2"/>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Make the police service professional;</w:t>
      </w:r>
    </w:p>
    <w:p w:rsidR="00567CCD" w:rsidRPr="004607C7" w:rsidRDefault="00567CCD" w:rsidP="004607C7">
      <w:pPr>
        <w:pStyle w:val="ListParagraph"/>
        <w:numPr>
          <w:ilvl w:val="0"/>
          <w:numId w:val="2"/>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Demilitarise the police;</w:t>
      </w:r>
    </w:p>
    <w:p w:rsidR="00567CCD" w:rsidRPr="004607C7" w:rsidRDefault="00567CCD" w:rsidP="004607C7">
      <w:pPr>
        <w:pStyle w:val="ListParagraph"/>
        <w:numPr>
          <w:ilvl w:val="0"/>
          <w:numId w:val="2"/>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Build safety using an integrated approach; and</w:t>
      </w:r>
    </w:p>
    <w:p w:rsidR="00567CCD" w:rsidRPr="004607C7" w:rsidRDefault="00567CCD" w:rsidP="004607C7">
      <w:pPr>
        <w:pStyle w:val="ListParagraph"/>
        <w:numPr>
          <w:ilvl w:val="0"/>
          <w:numId w:val="2"/>
        </w:numPr>
        <w:shd w:val="clear" w:color="auto" w:fill="FFFFFF" w:themeFill="background1"/>
        <w:spacing w:line="240" w:lineRule="auto"/>
        <w:jc w:val="left"/>
        <w:textAlignment w:val="baseline"/>
        <w:rPr>
          <w:rFonts w:ascii="Arial" w:eastAsia="Times New Roman" w:hAnsi="Arial" w:cs="Arial"/>
          <w:sz w:val="20"/>
          <w:szCs w:val="20"/>
          <w:lang w:eastAsia="en-ZA"/>
        </w:rPr>
      </w:pPr>
      <w:r w:rsidRPr="004607C7">
        <w:rPr>
          <w:rFonts w:ascii="Arial" w:hAnsi="Arial" w:cs="Arial"/>
          <w:sz w:val="20"/>
          <w:szCs w:val="20"/>
          <w:lang w:eastAsia="en-ZA"/>
        </w:rPr>
        <w:t>Build community participation in safety.</w:t>
      </w:r>
      <w:r w:rsidRPr="004607C7">
        <w:rPr>
          <w:rFonts w:ascii="Arial" w:eastAsia="Times New Roman" w:hAnsi="Arial" w:cs="Arial"/>
          <w:sz w:val="20"/>
          <w:szCs w:val="20"/>
          <w:lang w:eastAsia="en-ZA"/>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2"/>
        <w:numPr>
          <w:ilvl w:val="1"/>
          <w:numId w:val="4"/>
        </w:numPr>
        <w:spacing w:before="0" w:line="240" w:lineRule="auto"/>
        <w:rPr>
          <w:rFonts w:ascii="Arial" w:hAnsi="Arial" w:cs="Arial"/>
          <w:sz w:val="20"/>
          <w:szCs w:val="20"/>
        </w:rPr>
      </w:pPr>
      <w:bookmarkStart w:id="3" w:name="_Toc132206868"/>
      <w:r w:rsidRPr="004607C7">
        <w:rPr>
          <w:rFonts w:ascii="Arial" w:hAnsi="Arial" w:cs="Arial"/>
          <w:sz w:val="20"/>
          <w:szCs w:val="20"/>
        </w:rPr>
        <w:t>2019-2024 Medium Term Strategic Framework (MTSF)</w:t>
      </w:r>
      <w:bookmarkEnd w:id="3"/>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 xml:space="preserve">The MTSF 2019–2024 aims to address challenges of unemployment, inequality and poverty through, 1) driving a strong and inclusive economy, 2) building and strengthening the capabilities of South Africans, and 3) achieving a more capable state. These underpin the seven priorities of the MTSF – </w:t>
      </w: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p>
    <w:p w:rsidR="00567CCD" w:rsidRPr="004607C7" w:rsidRDefault="00567CCD" w:rsidP="004607C7">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b/>
          <w:bCs/>
          <w:sz w:val="20"/>
          <w:szCs w:val="20"/>
          <w:lang w:eastAsia="en-ZA"/>
        </w:rPr>
        <w:t xml:space="preserve">Priority 1: </w:t>
      </w:r>
      <w:r w:rsidRPr="004607C7">
        <w:rPr>
          <w:rFonts w:ascii="Arial" w:hAnsi="Arial" w:cs="Arial"/>
          <w:sz w:val="20"/>
          <w:szCs w:val="20"/>
          <w:lang w:eastAsia="en-ZA"/>
        </w:rPr>
        <w:t>Building a capable, ethical and developmental state</w:t>
      </w:r>
    </w:p>
    <w:p w:rsidR="00567CCD" w:rsidRPr="004607C7" w:rsidRDefault="00567CCD" w:rsidP="004607C7">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b/>
          <w:bCs/>
          <w:sz w:val="20"/>
          <w:szCs w:val="20"/>
          <w:lang w:eastAsia="en-ZA"/>
        </w:rPr>
        <w:t xml:space="preserve">Priority 2: </w:t>
      </w:r>
      <w:r w:rsidRPr="004607C7">
        <w:rPr>
          <w:rFonts w:ascii="Arial" w:hAnsi="Arial" w:cs="Arial"/>
          <w:sz w:val="20"/>
          <w:szCs w:val="20"/>
          <w:lang w:eastAsia="en-ZA"/>
        </w:rPr>
        <w:t>Economic transformation and job creation</w:t>
      </w:r>
    </w:p>
    <w:p w:rsidR="00567CCD" w:rsidRPr="004607C7" w:rsidRDefault="00567CCD" w:rsidP="004607C7">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b/>
          <w:bCs/>
          <w:sz w:val="20"/>
          <w:szCs w:val="20"/>
          <w:lang w:eastAsia="en-ZA"/>
        </w:rPr>
        <w:t>Priority 3:</w:t>
      </w:r>
      <w:r w:rsidRPr="004607C7">
        <w:rPr>
          <w:rFonts w:ascii="Arial" w:hAnsi="Arial" w:cs="Arial"/>
          <w:sz w:val="20"/>
          <w:szCs w:val="20"/>
          <w:lang w:eastAsia="en-ZA"/>
        </w:rPr>
        <w:t xml:space="preserve"> Education, skills and health</w:t>
      </w:r>
    </w:p>
    <w:p w:rsidR="00567CCD" w:rsidRPr="004607C7" w:rsidRDefault="00567CCD" w:rsidP="004607C7">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b/>
          <w:bCs/>
          <w:sz w:val="20"/>
          <w:szCs w:val="20"/>
          <w:lang w:eastAsia="en-ZA"/>
        </w:rPr>
        <w:t xml:space="preserve">Priority 4: </w:t>
      </w:r>
      <w:r w:rsidRPr="004607C7">
        <w:rPr>
          <w:rFonts w:ascii="Arial" w:hAnsi="Arial" w:cs="Arial"/>
          <w:sz w:val="20"/>
          <w:szCs w:val="20"/>
          <w:lang w:eastAsia="en-ZA"/>
        </w:rPr>
        <w:t>Consolidating the social wage through reliable and quality basic services</w:t>
      </w:r>
    </w:p>
    <w:p w:rsidR="00567CCD" w:rsidRPr="004607C7" w:rsidRDefault="00567CCD" w:rsidP="004607C7">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b/>
          <w:bCs/>
          <w:sz w:val="20"/>
          <w:szCs w:val="20"/>
          <w:lang w:eastAsia="en-ZA"/>
        </w:rPr>
        <w:t xml:space="preserve">Priority 5: </w:t>
      </w:r>
      <w:r w:rsidRPr="004607C7">
        <w:rPr>
          <w:rFonts w:ascii="Arial" w:hAnsi="Arial" w:cs="Arial"/>
          <w:sz w:val="20"/>
          <w:szCs w:val="20"/>
          <w:lang w:eastAsia="en-ZA"/>
        </w:rPr>
        <w:t>Spatial integration, human settlements and local government</w:t>
      </w:r>
    </w:p>
    <w:p w:rsidR="00567CCD" w:rsidRPr="004607C7" w:rsidRDefault="00567CCD" w:rsidP="004607C7">
      <w:pPr>
        <w:pStyle w:val="ListParagraph"/>
        <w:numPr>
          <w:ilvl w:val="0"/>
          <w:numId w:val="5"/>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b/>
          <w:bCs/>
          <w:sz w:val="20"/>
          <w:szCs w:val="20"/>
          <w:lang w:eastAsia="en-ZA"/>
        </w:rPr>
        <w:t xml:space="preserve">Priority 6: </w:t>
      </w:r>
      <w:r w:rsidRPr="004607C7">
        <w:rPr>
          <w:rFonts w:ascii="Arial" w:hAnsi="Arial" w:cs="Arial"/>
          <w:sz w:val="20"/>
          <w:szCs w:val="20"/>
          <w:lang w:eastAsia="en-ZA"/>
        </w:rPr>
        <w:t>Social cohesion and safe communities</w:t>
      </w:r>
    </w:p>
    <w:p w:rsidR="00567CCD" w:rsidRPr="004607C7" w:rsidRDefault="00567CCD" w:rsidP="004607C7">
      <w:pPr>
        <w:pStyle w:val="ListParagraph"/>
        <w:numPr>
          <w:ilvl w:val="0"/>
          <w:numId w:val="5"/>
        </w:numPr>
        <w:spacing w:line="240" w:lineRule="auto"/>
        <w:jc w:val="left"/>
        <w:rPr>
          <w:rFonts w:ascii="Arial" w:hAnsi="Arial" w:cs="Arial"/>
          <w:sz w:val="20"/>
          <w:szCs w:val="20"/>
        </w:rPr>
      </w:pPr>
      <w:r w:rsidRPr="004607C7">
        <w:rPr>
          <w:rFonts w:ascii="Arial" w:hAnsi="Arial" w:cs="Arial"/>
          <w:b/>
          <w:bCs/>
          <w:sz w:val="20"/>
          <w:szCs w:val="20"/>
          <w:lang w:eastAsia="en-ZA"/>
        </w:rPr>
        <w:t xml:space="preserve">Priority 7: </w:t>
      </w:r>
      <w:r w:rsidRPr="004607C7">
        <w:rPr>
          <w:rFonts w:ascii="Arial" w:hAnsi="Arial" w:cs="Arial"/>
          <w:sz w:val="20"/>
          <w:szCs w:val="20"/>
          <w:lang w:eastAsia="en-ZA"/>
        </w:rPr>
        <w:t>A better Africa and world</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bCs/>
          <w:iCs/>
          <w:sz w:val="20"/>
          <w:szCs w:val="20"/>
          <w:lang w:eastAsia="en-ZA"/>
        </w:rPr>
      </w:pPr>
      <w:r w:rsidRPr="004607C7">
        <w:rPr>
          <w:rFonts w:ascii="Arial" w:hAnsi="Arial" w:cs="Arial"/>
          <w:bCs/>
          <w:iCs/>
          <w:sz w:val="20"/>
          <w:szCs w:val="20"/>
          <w:lang w:eastAsia="en-ZA"/>
        </w:rPr>
        <w:t xml:space="preserve">Over the medium-term the SAPS will focus on the following priorities: </w:t>
      </w:r>
    </w:p>
    <w:p w:rsidR="00567CCD" w:rsidRPr="004607C7" w:rsidRDefault="00567CCD" w:rsidP="004607C7">
      <w:pPr>
        <w:pStyle w:val="ListParagraph"/>
        <w:numPr>
          <w:ilvl w:val="0"/>
          <w:numId w:val="15"/>
        </w:numPr>
        <w:spacing w:line="240" w:lineRule="auto"/>
        <w:jc w:val="left"/>
        <w:rPr>
          <w:rFonts w:ascii="Arial" w:hAnsi="Arial" w:cs="Arial"/>
          <w:bCs/>
          <w:iCs/>
          <w:sz w:val="20"/>
          <w:szCs w:val="20"/>
          <w:lang w:eastAsia="en-ZA"/>
        </w:rPr>
      </w:pPr>
      <w:r w:rsidRPr="004607C7">
        <w:rPr>
          <w:rFonts w:ascii="Arial" w:hAnsi="Arial" w:cs="Arial"/>
          <w:bCs/>
          <w:iCs/>
          <w:sz w:val="20"/>
          <w:szCs w:val="20"/>
          <w:lang w:eastAsia="en-ZA"/>
        </w:rPr>
        <w:t>Improving community safety</w:t>
      </w:r>
    </w:p>
    <w:p w:rsidR="00567CCD" w:rsidRPr="004607C7" w:rsidRDefault="00567CCD" w:rsidP="004607C7">
      <w:pPr>
        <w:pStyle w:val="ListParagraph"/>
        <w:numPr>
          <w:ilvl w:val="0"/>
          <w:numId w:val="15"/>
        </w:numPr>
        <w:spacing w:line="240" w:lineRule="auto"/>
        <w:jc w:val="left"/>
        <w:rPr>
          <w:rFonts w:ascii="Arial" w:hAnsi="Arial" w:cs="Arial"/>
          <w:bCs/>
          <w:iCs/>
          <w:sz w:val="20"/>
          <w:szCs w:val="20"/>
          <w:lang w:eastAsia="en-ZA"/>
        </w:rPr>
      </w:pPr>
      <w:r w:rsidRPr="004607C7">
        <w:rPr>
          <w:rFonts w:ascii="Arial" w:hAnsi="Arial" w:cs="Arial"/>
          <w:bCs/>
          <w:iCs/>
          <w:sz w:val="20"/>
          <w:szCs w:val="20"/>
          <w:lang w:eastAsia="en-ZA"/>
        </w:rPr>
        <w:t>Combating gender</w:t>
      </w:r>
      <w:r w:rsidRPr="004607C7">
        <w:rPr>
          <w:rFonts w:cs="Arial"/>
          <w:bCs/>
          <w:iCs/>
          <w:sz w:val="20"/>
          <w:szCs w:val="20"/>
          <w:lang w:eastAsia="en-ZA"/>
        </w:rPr>
        <w:t>‐</w:t>
      </w:r>
      <w:r w:rsidRPr="004607C7">
        <w:rPr>
          <w:rFonts w:ascii="Arial" w:hAnsi="Arial" w:cs="Arial"/>
          <w:bCs/>
          <w:iCs/>
          <w:sz w:val="20"/>
          <w:szCs w:val="20"/>
          <w:lang w:eastAsia="en-ZA"/>
        </w:rPr>
        <w:t>based violence and femicide</w:t>
      </w:r>
    </w:p>
    <w:p w:rsidR="00567CCD" w:rsidRPr="004607C7" w:rsidRDefault="00567CCD" w:rsidP="004607C7">
      <w:pPr>
        <w:pStyle w:val="ListParagraph"/>
        <w:numPr>
          <w:ilvl w:val="0"/>
          <w:numId w:val="15"/>
        </w:numPr>
        <w:spacing w:line="240" w:lineRule="auto"/>
        <w:jc w:val="left"/>
        <w:rPr>
          <w:rFonts w:ascii="Arial" w:hAnsi="Arial" w:cs="Arial"/>
          <w:sz w:val="20"/>
          <w:szCs w:val="20"/>
        </w:rPr>
      </w:pPr>
      <w:r w:rsidRPr="004607C7">
        <w:rPr>
          <w:rFonts w:ascii="Arial" w:hAnsi="Arial" w:cs="Arial"/>
          <w:bCs/>
          <w:iCs/>
          <w:sz w:val="20"/>
          <w:szCs w:val="20"/>
          <w:lang w:eastAsia="en-ZA"/>
        </w:rPr>
        <w:t>Addressing serious and organised crimes</w:t>
      </w:r>
    </w:p>
    <w:p w:rsidR="00567CCD" w:rsidRPr="004607C7" w:rsidRDefault="00567CCD" w:rsidP="004607C7">
      <w:pPr>
        <w:pStyle w:val="ListParagraph"/>
        <w:numPr>
          <w:ilvl w:val="0"/>
          <w:numId w:val="15"/>
        </w:numPr>
        <w:spacing w:line="240" w:lineRule="auto"/>
        <w:jc w:val="left"/>
        <w:rPr>
          <w:rFonts w:ascii="Arial" w:hAnsi="Arial" w:cs="Arial"/>
          <w:bCs/>
          <w:iCs/>
          <w:sz w:val="20"/>
          <w:szCs w:val="20"/>
          <w:lang w:eastAsia="en-ZA"/>
        </w:rPr>
      </w:pPr>
      <w:r w:rsidRPr="004607C7">
        <w:rPr>
          <w:rFonts w:ascii="Arial" w:hAnsi="Arial" w:cs="Arial"/>
          <w:bCs/>
          <w:iCs/>
          <w:sz w:val="20"/>
          <w:szCs w:val="20"/>
          <w:lang w:eastAsia="en-ZA"/>
        </w:rPr>
        <w:t>Preventing, combating and investigating money laundering and terror financing</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2"/>
        <w:numPr>
          <w:ilvl w:val="1"/>
          <w:numId w:val="4"/>
        </w:numPr>
        <w:spacing w:before="0" w:line="240" w:lineRule="auto"/>
        <w:rPr>
          <w:rFonts w:ascii="Arial" w:hAnsi="Arial" w:cs="Arial"/>
          <w:sz w:val="20"/>
          <w:szCs w:val="20"/>
        </w:rPr>
      </w:pPr>
      <w:bookmarkStart w:id="4" w:name="_Toc132206869"/>
      <w:r w:rsidRPr="004607C7">
        <w:rPr>
          <w:rFonts w:ascii="Arial" w:hAnsi="Arial" w:cs="Arial"/>
          <w:sz w:val="20"/>
          <w:szCs w:val="20"/>
        </w:rPr>
        <w:t>State of the Nation Address (SONA)</w:t>
      </w:r>
      <w:bookmarkEnd w:id="4"/>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autoSpaceDE w:val="0"/>
        <w:autoSpaceDN w:val="0"/>
        <w:adjustRightInd w:val="0"/>
        <w:spacing w:line="240" w:lineRule="auto"/>
        <w:jc w:val="left"/>
        <w:rPr>
          <w:rFonts w:ascii="Arial" w:hAnsi="Arial" w:cs="Arial"/>
          <w:sz w:val="20"/>
          <w:szCs w:val="20"/>
        </w:rPr>
      </w:pPr>
      <w:r w:rsidRPr="004607C7">
        <w:rPr>
          <w:rFonts w:ascii="Arial" w:hAnsi="Arial" w:cs="Arial"/>
          <w:sz w:val="20"/>
          <w:szCs w:val="20"/>
        </w:rPr>
        <w:t xml:space="preserve">President Ramaphosa delivered his seventh State of the Nation Address (SONA) during a Joint Sitting of the National Assembly (NA) and the National Council of Provinces (NCOP) on 09 February 2023. </w:t>
      </w:r>
    </w:p>
    <w:p w:rsidR="00567CCD" w:rsidRPr="004607C7" w:rsidRDefault="00567CCD" w:rsidP="004607C7">
      <w:pPr>
        <w:autoSpaceDE w:val="0"/>
        <w:autoSpaceDN w:val="0"/>
        <w:adjustRightInd w:val="0"/>
        <w:spacing w:line="240" w:lineRule="auto"/>
        <w:jc w:val="left"/>
        <w:rPr>
          <w:rFonts w:ascii="Arial" w:hAnsi="Arial" w:cs="Arial"/>
          <w:sz w:val="20"/>
          <w:szCs w:val="20"/>
        </w:rPr>
      </w:pPr>
    </w:p>
    <w:p w:rsidR="00567CCD" w:rsidRPr="004607C7" w:rsidRDefault="00567CCD" w:rsidP="004607C7">
      <w:pPr>
        <w:autoSpaceDE w:val="0"/>
        <w:autoSpaceDN w:val="0"/>
        <w:adjustRightInd w:val="0"/>
        <w:spacing w:line="240" w:lineRule="auto"/>
        <w:jc w:val="left"/>
        <w:rPr>
          <w:rFonts w:ascii="Arial" w:hAnsi="Arial" w:cs="Arial"/>
          <w:sz w:val="20"/>
          <w:szCs w:val="20"/>
        </w:rPr>
      </w:pPr>
      <w:r w:rsidRPr="004607C7">
        <w:rPr>
          <w:rFonts w:ascii="Arial" w:eastAsia="Arial" w:hAnsi="Arial" w:cs="Arial"/>
          <w:sz w:val="20"/>
          <w:szCs w:val="20"/>
        </w:rPr>
        <w:t xml:space="preserve">The key focus areas of the 2023 SONA related to the South African Police Service (SAPS), were additional personnel and funding to the SAPS, establishment of specialised policing units to address economic sabotage and related crimes, dedicated units to address specialised crimes such as kidnapping, introduction of evidence-based policing, the capacitation of 10111 call centres and community-orientated policing. </w:t>
      </w:r>
      <w:r w:rsidRPr="004607C7">
        <w:rPr>
          <w:rFonts w:ascii="Arial" w:eastAsia="Arial" w:hAnsi="Arial" w:cs="Arial"/>
          <w:i/>
          <w:sz w:val="20"/>
          <w:szCs w:val="20"/>
        </w:rPr>
        <w:t>Note: The capacitation of 10111 call centres is included as a performance indicator in the 2023 SAPS APP.</w:t>
      </w:r>
      <w:r w:rsidRPr="004607C7">
        <w:rPr>
          <w:rFonts w:ascii="Arial" w:eastAsia="Arial" w:hAnsi="Arial" w:cs="Arial"/>
          <w:sz w:val="20"/>
          <w:szCs w:val="20"/>
        </w:rPr>
        <w:t xml:space="preserve"> </w:t>
      </w:r>
    </w:p>
    <w:p w:rsidR="00F663F3" w:rsidRPr="004607C7" w:rsidRDefault="00F663F3" w:rsidP="004607C7">
      <w:pPr>
        <w:pStyle w:val="Heading1"/>
        <w:spacing w:before="0" w:line="240" w:lineRule="auto"/>
        <w:ind w:left="360"/>
        <w:jc w:val="left"/>
        <w:rPr>
          <w:rFonts w:ascii="Arial" w:hAnsi="Arial" w:cs="Arial"/>
          <w:sz w:val="20"/>
          <w:szCs w:val="20"/>
        </w:rPr>
      </w:pPr>
      <w:bookmarkStart w:id="5" w:name="_Toc132206871"/>
    </w:p>
    <w:p w:rsidR="00567CCD" w:rsidRPr="004607C7" w:rsidRDefault="00567CCD" w:rsidP="004607C7">
      <w:pPr>
        <w:pStyle w:val="Heading1"/>
        <w:numPr>
          <w:ilvl w:val="0"/>
          <w:numId w:val="4"/>
        </w:numPr>
        <w:spacing w:before="0" w:line="240" w:lineRule="auto"/>
        <w:jc w:val="left"/>
        <w:rPr>
          <w:rFonts w:ascii="Arial" w:hAnsi="Arial" w:cs="Arial"/>
          <w:sz w:val="20"/>
          <w:szCs w:val="20"/>
        </w:rPr>
      </w:pPr>
      <w:r w:rsidRPr="004607C7">
        <w:rPr>
          <w:rFonts w:ascii="Arial" w:hAnsi="Arial" w:cs="Arial"/>
          <w:sz w:val="20"/>
          <w:szCs w:val="20"/>
        </w:rPr>
        <w:t>Responses from Minister of Finance on 2022 BRRR</w:t>
      </w:r>
      <w:bookmarkEnd w:id="5"/>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As part of the annual Budget Review, the Minister of Finance reports on the financial recommendations made by Committees of Parliament in the Budgetary Review and Recommendations Reports (BRRRs). Based on the Portfolio Committee on Police’s BRRR, the following should be noted: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ListParagraph"/>
        <w:numPr>
          <w:ilvl w:val="0"/>
          <w:numId w:val="16"/>
        </w:numPr>
        <w:autoSpaceDE w:val="0"/>
        <w:autoSpaceDN w:val="0"/>
        <w:adjustRightInd w:val="0"/>
        <w:spacing w:line="240" w:lineRule="auto"/>
        <w:jc w:val="left"/>
        <w:rPr>
          <w:rFonts w:ascii="Arial" w:hAnsi="Arial" w:cs="Arial"/>
          <w:iCs/>
          <w:sz w:val="20"/>
          <w:szCs w:val="20"/>
          <w:lang w:eastAsia="en-ZA"/>
        </w:rPr>
      </w:pPr>
      <w:r w:rsidRPr="004607C7">
        <w:rPr>
          <w:rFonts w:ascii="Arial" w:hAnsi="Arial" w:cs="Arial"/>
          <w:b/>
          <w:iCs/>
          <w:sz w:val="20"/>
          <w:szCs w:val="20"/>
          <w:lang w:eastAsia="en-ZA"/>
        </w:rPr>
        <w:t xml:space="preserve">Recommendation: </w:t>
      </w:r>
      <w:r w:rsidRPr="004607C7">
        <w:rPr>
          <w:rFonts w:ascii="Arial" w:hAnsi="Arial" w:cs="Arial"/>
          <w:iCs/>
          <w:sz w:val="20"/>
          <w:szCs w:val="20"/>
          <w:lang w:eastAsia="en-ZA"/>
        </w:rPr>
        <w:t>The Committee recommends that the National Treasury should review its decision to disallow the recruitment of additional personnel and that the South African Police Service (SAPS) should be adequately resourced, especially in terms of personnel, to execute its mandate. It is recommended that 10 000 recruits be allowed for the 2023/24 financial year.</w:t>
      </w:r>
    </w:p>
    <w:p w:rsidR="00567CCD" w:rsidRPr="004607C7" w:rsidRDefault="00567CCD" w:rsidP="004607C7">
      <w:pPr>
        <w:autoSpaceDE w:val="0"/>
        <w:autoSpaceDN w:val="0"/>
        <w:adjustRightInd w:val="0"/>
        <w:spacing w:line="240" w:lineRule="auto"/>
        <w:ind w:left="720"/>
        <w:jc w:val="left"/>
        <w:rPr>
          <w:rFonts w:ascii="Arial" w:hAnsi="Arial" w:cs="Arial"/>
          <w:b/>
          <w:sz w:val="20"/>
          <w:szCs w:val="20"/>
          <w:lang w:eastAsia="en-ZA"/>
        </w:rPr>
      </w:pPr>
    </w:p>
    <w:p w:rsidR="00567CCD" w:rsidRPr="004607C7" w:rsidRDefault="00567CCD" w:rsidP="004607C7">
      <w:pPr>
        <w:autoSpaceDE w:val="0"/>
        <w:autoSpaceDN w:val="0"/>
        <w:adjustRightInd w:val="0"/>
        <w:spacing w:line="240" w:lineRule="auto"/>
        <w:ind w:left="720"/>
        <w:jc w:val="left"/>
        <w:rPr>
          <w:rFonts w:ascii="Arial" w:hAnsi="Arial" w:cs="Arial"/>
          <w:sz w:val="20"/>
          <w:szCs w:val="20"/>
          <w:lang w:eastAsia="en-ZA"/>
        </w:rPr>
      </w:pPr>
      <w:r w:rsidRPr="004607C7">
        <w:rPr>
          <w:rFonts w:ascii="Arial" w:hAnsi="Arial" w:cs="Arial"/>
          <w:b/>
          <w:sz w:val="20"/>
          <w:szCs w:val="20"/>
          <w:lang w:eastAsia="en-ZA"/>
        </w:rPr>
        <w:t>Response:</w:t>
      </w:r>
      <w:r w:rsidRPr="004607C7">
        <w:rPr>
          <w:rFonts w:ascii="Arial" w:hAnsi="Arial" w:cs="Arial"/>
          <w:sz w:val="20"/>
          <w:szCs w:val="20"/>
          <w:lang w:eastAsia="en-ZA"/>
        </w:rPr>
        <w:t xml:space="preserve"> The National Treasury does not have a provision in place that disallows SAPS from recruiting additional personnel. SAPS needs to fill its vacant funded posts or appoint additional personnel in line with its human resource budget plan and cannot exceed its allocated budget for compensation of employees. SAPS was allocated R5.8 billion over the 2022 MTEF period to appoint 12 000 police trainees, who will be hired as constables on completion of their training. In addition, SAPS will receive R7.8 billion over the 2023 MTEF period to appoint 15 000 police trainees. More than 7 000 trainees were recruited in 2022/23 and 10 000 trainees will be appointed in 2023/24.</w:t>
      </w:r>
    </w:p>
    <w:p w:rsidR="00567CCD" w:rsidRPr="004607C7" w:rsidRDefault="00567CCD" w:rsidP="004607C7">
      <w:pPr>
        <w:autoSpaceDE w:val="0"/>
        <w:autoSpaceDN w:val="0"/>
        <w:adjustRightInd w:val="0"/>
        <w:spacing w:line="240" w:lineRule="auto"/>
        <w:jc w:val="left"/>
        <w:rPr>
          <w:rFonts w:ascii="Arial" w:hAnsi="Arial" w:cs="Arial"/>
          <w:i/>
          <w:iCs/>
          <w:sz w:val="20"/>
          <w:szCs w:val="20"/>
          <w:lang w:eastAsia="en-ZA"/>
        </w:rPr>
      </w:pPr>
    </w:p>
    <w:p w:rsidR="00567CCD" w:rsidRPr="004607C7" w:rsidRDefault="00567CCD" w:rsidP="004607C7">
      <w:pPr>
        <w:pStyle w:val="ListParagraph"/>
        <w:numPr>
          <w:ilvl w:val="0"/>
          <w:numId w:val="16"/>
        </w:numPr>
        <w:autoSpaceDE w:val="0"/>
        <w:autoSpaceDN w:val="0"/>
        <w:adjustRightInd w:val="0"/>
        <w:spacing w:line="240" w:lineRule="auto"/>
        <w:jc w:val="left"/>
        <w:rPr>
          <w:rFonts w:ascii="Arial" w:hAnsi="Arial" w:cs="Arial"/>
          <w:i/>
          <w:iCs/>
          <w:sz w:val="20"/>
          <w:szCs w:val="20"/>
          <w:lang w:eastAsia="en-ZA"/>
        </w:rPr>
      </w:pPr>
      <w:r w:rsidRPr="004607C7">
        <w:rPr>
          <w:rFonts w:ascii="Arial" w:hAnsi="Arial" w:cs="Arial"/>
          <w:b/>
          <w:iCs/>
          <w:sz w:val="20"/>
          <w:szCs w:val="20"/>
          <w:lang w:eastAsia="en-ZA"/>
        </w:rPr>
        <w:t xml:space="preserve">Recommendation: </w:t>
      </w:r>
      <w:r w:rsidRPr="004607C7">
        <w:rPr>
          <w:rFonts w:ascii="Arial" w:hAnsi="Arial" w:cs="Arial"/>
          <w:iCs/>
          <w:sz w:val="20"/>
          <w:szCs w:val="20"/>
          <w:lang w:eastAsia="en-ZA"/>
        </w:rPr>
        <w:t>The Committee recommends that the National Treasury should increase the budget of the SAPS to employ additional personnel, especially qualified and skilled detectives. The National Treasury should consider ring-fencing this funding to ensure that it is spent as intended.’</w:t>
      </w:r>
    </w:p>
    <w:p w:rsidR="00567CCD" w:rsidRPr="004607C7" w:rsidRDefault="00567CCD" w:rsidP="004607C7">
      <w:pPr>
        <w:pStyle w:val="ListParagraph"/>
        <w:autoSpaceDE w:val="0"/>
        <w:autoSpaceDN w:val="0"/>
        <w:adjustRightInd w:val="0"/>
        <w:spacing w:line="240" w:lineRule="auto"/>
        <w:jc w:val="left"/>
        <w:rPr>
          <w:rFonts w:ascii="Arial" w:hAnsi="Arial" w:cs="Arial"/>
          <w:i/>
          <w:iCs/>
          <w:sz w:val="20"/>
          <w:szCs w:val="20"/>
          <w:lang w:eastAsia="en-ZA"/>
        </w:rPr>
      </w:pPr>
    </w:p>
    <w:p w:rsidR="00567CCD" w:rsidRPr="004607C7" w:rsidRDefault="00567CCD" w:rsidP="004607C7">
      <w:pPr>
        <w:autoSpaceDE w:val="0"/>
        <w:autoSpaceDN w:val="0"/>
        <w:adjustRightInd w:val="0"/>
        <w:spacing w:line="240" w:lineRule="auto"/>
        <w:ind w:left="720"/>
        <w:jc w:val="left"/>
        <w:rPr>
          <w:rFonts w:ascii="Arial" w:hAnsi="Arial" w:cs="Arial"/>
          <w:sz w:val="20"/>
          <w:szCs w:val="20"/>
          <w:lang w:eastAsia="en-ZA"/>
        </w:rPr>
      </w:pPr>
      <w:r w:rsidRPr="004607C7">
        <w:rPr>
          <w:rFonts w:ascii="Arial" w:hAnsi="Arial" w:cs="Arial"/>
          <w:b/>
          <w:sz w:val="20"/>
          <w:szCs w:val="20"/>
          <w:lang w:eastAsia="en-ZA"/>
        </w:rPr>
        <w:t>Response:</w:t>
      </w:r>
      <w:r w:rsidRPr="004607C7">
        <w:rPr>
          <w:rFonts w:ascii="Arial" w:hAnsi="Arial" w:cs="Arial"/>
          <w:sz w:val="20"/>
          <w:szCs w:val="20"/>
          <w:lang w:eastAsia="en-ZA"/>
        </w:rPr>
        <w:t xml:space="preserve"> The National Treasury notes this recommendation. SAPS has indicated that 3 000 of the 15 000 police trainees to be appointed over the 2023 MTEF period will be appointed in detective services. In the 2020 Budget, the Directorate for Priority Crime Investigation in SAPS was allocated additional funding of R985 million to appoint investigators to strengthen its capacity and help address the case backlog.</w:t>
      </w:r>
    </w:p>
    <w:p w:rsidR="00567CCD" w:rsidRPr="004607C7" w:rsidRDefault="00567CCD" w:rsidP="004607C7">
      <w:pPr>
        <w:autoSpaceDE w:val="0"/>
        <w:autoSpaceDN w:val="0"/>
        <w:adjustRightInd w:val="0"/>
        <w:spacing w:line="240" w:lineRule="auto"/>
        <w:jc w:val="left"/>
        <w:rPr>
          <w:rFonts w:ascii="Arial" w:hAnsi="Arial" w:cs="Arial"/>
          <w:i/>
          <w:iCs/>
          <w:sz w:val="20"/>
          <w:szCs w:val="20"/>
          <w:lang w:eastAsia="en-ZA"/>
        </w:rPr>
      </w:pPr>
    </w:p>
    <w:p w:rsidR="00567CCD" w:rsidRPr="004607C7" w:rsidRDefault="00567CCD" w:rsidP="004607C7">
      <w:pPr>
        <w:pStyle w:val="ListParagraph"/>
        <w:numPr>
          <w:ilvl w:val="0"/>
          <w:numId w:val="16"/>
        </w:numPr>
        <w:autoSpaceDE w:val="0"/>
        <w:autoSpaceDN w:val="0"/>
        <w:adjustRightInd w:val="0"/>
        <w:spacing w:line="240" w:lineRule="auto"/>
        <w:jc w:val="left"/>
        <w:rPr>
          <w:rFonts w:ascii="Arial" w:hAnsi="Arial" w:cs="Arial"/>
          <w:iCs/>
          <w:sz w:val="20"/>
          <w:szCs w:val="20"/>
          <w:lang w:eastAsia="en-ZA"/>
        </w:rPr>
      </w:pPr>
      <w:r w:rsidRPr="004607C7">
        <w:rPr>
          <w:rFonts w:ascii="Arial" w:hAnsi="Arial" w:cs="Arial"/>
          <w:b/>
          <w:iCs/>
          <w:sz w:val="20"/>
          <w:szCs w:val="20"/>
          <w:lang w:eastAsia="en-ZA"/>
        </w:rPr>
        <w:t xml:space="preserve">Recommendation: </w:t>
      </w:r>
      <w:r w:rsidRPr="004607C7">
        <w:rPr>
          <w:rFonts w:ascii="Arial" w:hAnsi="Arial" w:cs="Arial"/>
          <w:iCs/>
          <w:sz w:val="20"/>
          <w:szCs w:val="20"/>
          <w:lang w:eastAsia="en-ZA"/>
        </w:rPr>
        <w:t>The Committee further recommends that ring fenced funds should be made available to adjust the service allowances of detectives to retain skilled personnel and attract new detectives.</w:t>
      </w:r>
    </w:p>
    <w:p w:rsidR="00567CCD" w:rsidRPr="004607C7" w:rsidRDefault="00567CCD" w:rsidP="004607C7">
      <w:pPr>
        <w:pStyle w:val="ListParagraph"/>
        <w:autoSpaceDE w:val="0"/>
        <w:autoSpaceDN w:val="0"/>
        <w:adjustRightInd w:val="0"/>
        <w:spacing w:line="240" w:lineRule="auto"/>
        <w:jc w:val="left"/>
        <w:rPr>
          <w:rFonts w:ascii="Arial" w:hAnsi="Arial" w:cs="Arial"/>
          <w:iCs/>
          <w:sz w:val="20"/>
          <w:szCs w:val="20"/>
          <w:lang w:eastAsia="en-ZA"/>
        </w:rPr>
      </w:pPr>
    </w:p>
    <w:p w:rsidR="00567CCD" w:rsidRPr="004607C7" w:rsidRDefault="00567CCD" w:rsidP="004607C7">
      <w:pPr>
        <w:autoSpaceDE w:val="0"/>
        <w:autoSpaceDN w:val="0"/>
        <w:adjustRightInd w:val="0"/>
        <w:spacing w:line="240" w:lineRule="auto"/>
        <w:ind w:left="720"/>
        <w:jc w:val="left"/>
        <w:rPr>
          <w:rFonts w:ascii="Arial" w:hAnsi="Arial" w:cs="Arial"/>
          <w:sz w:val="20"/>
          <w:szCs w:val="20"/>
          <w:lang w:eastAsia="en-ZA"/>
        </w:rPr>
      </w:pPr>
      <w:r w:rsidRPr="004607C7">
        <w:rPr>
          <w:rFonts w:ascii="Arial" w:hAnsi="Arial" w:cs="Arial"/>
          <w:b/>
          <w:sz w:val="20"/>
          <w:szCs w:val="20"/>
          <w:lang w:eastAsia="en-ZA"/>
        </w:rPr>
        <w:t>Response:</w:t>
      </w:r>
      <w:r w:rsidRPr="004607C7">
        <w:rPr>
          <w:rFonts w:ascii="Arial" w:hAnsi="Arial" w:cs="Arial"/>
          <w:sz w:val="20"/>
          <w:szCs w:val="20"/>
          <w:lang w:eastAsia="en-ZA"/>
        </w:rPr>
        <w:t xml:space="preserve"> As part of the 2023 MTEF budget discussions, the National Treasury raised concerns with departments and entities in the peace and security function about their challenges with staff moving across institutions for better remuneration. </w:t>
      </w:r>
      <w:r w:rsidRPr="004607C7">
        <w:rPr>
          <w:rFonts w:ascii="Arial" w:hAnsi="Arial" w:cs="Arial"/>
          <w:sz w:val="20"/>
          <w:szCs w:val="20"/>
          <w:u w:val="single"/>
          <w:lang w:eastAsia="en-ZA"/>
        </w:rPr>
        <w:t>It was recommended that the conditions of service be standardised across the function to help retain skilled personnel.</w:t>
      </w:r>
    </w:p>
    <w:p w:rsidR="00567CCD" w:rsidRPr="004607C7" w:rsidRDefault="00567CCD" w:rsidP="004607C7">
      <w:pPr>
        <w:spacing w:line="240" w:lineRule="auto"/>
        <w:jc w:val="left"/>
        <w:rPr>
          <w:rFonts w:ascii="Arial" w:hAnsi="Arial" w:cs="Arial"/>
          <w:sz w:val="20"/>
          <w:szCs w:val="20"/>
        </w:rPr>
      </w:pPr>
    </w:p>
    <w:p w:rsidR="00052B47" w:rsidRPr="004607C7" w:rsidRDefault="005F162F" w:rsidP="004607C7">
      <w:pPr>
        <w:pStyle w:val="Heading1"/>
        <w:numPr>
          <w:ilvl w:val="0"/>
          <w:numId w:val="4"/>
        </w:numPr>
        <w:spacing w:before="0" w:line="240" w:lineRule="auto"/>
        <w:jc w:val="left"/>
        <w:rPr>
          <w:rFonts w:ascii="Arial" w:hAnsi="Arial" w:cs="Arial"/>
          <w:sz w:val="20"/>
          <w:szCs w:val="20"/>
        </w:rPr>
      </w:pPr>
      <w:bookmarkStart w:id="6" w:name="_Toc100665201"/>
      <w:r w:rsidRPr="004607C7">
        <w:rPr>
          <w:rFonts w:ascii="Arial" w:hAnsi="Arial" w:cs="Arial"/>
          <w:sz w:val="20"/>
          <w:szCs w:val="20"/>
        </w:rPr>
        <w:t>Measuring</w:t>
      </w:r>
      <w:r w:rsidR="00376341" w:rsidRPr="004607C7">
        <w:rPr>
          <w:rFonts w:ascii="Arial" w:hAnsi="Arial" w:cs="Arial"/>
          <w:sz w:val="20"/>
          <w:szCs w:val="20"/>
        </w:rPr>
        <w:t xml:space="preserve"> Service delivery and Financial</w:t>
      </w:r>
      <w:r w:rsidRPr="004607C7">
        <w:rPr>
          <w:rFonts w:ascii="Arial" w:hAnsi="Arial" w:cs="Arial"/>
          <w:sz w:val="20"/>
          <w:szCs w:val="20"/>
        </w:rPr>
        <w:t xml:space="preserve"> Performance</w:t>
      </w:r>
      <w:bookmarkEnd w:id="6"/>
      <w:r w:rsidRPr="004607C7">
        <w:rPr>
          <w:rFonts w:ascii="Arial" w:hAnsi="Arial" w:cs="Arial"/>
          <w:sz w:val="20"/>
          <w:szCs w:val="20"/>
        </w:rPr>
        <w:t xml:space="preserve"> </w:t>
      </w:r>
      <w:r w:rsidR="005445AD" w:rsidRPr="004607C7">
        <w:rPr>
          <w:rFonts w:ascii="Arial" w:hAnsi="Arial" w:cs="Arial"/>
          <w:sz w:val="20"/>
          <w:szCs w:val="20"/>
        </w:rPr>
        <w:t xml:space="preserve"> </w:t>
      </w:r>
      <w:r w:rsidR="00207222"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2"/>
        <w:numPr>
          <w:ilvl w:val="1"/>
          <w:numId w:val="4"/>
        </w:numPr>
        <w:spacing w:before="0" w:line="240" w:lineRule="auto"/>
        <w:rPr>
          <w:rFonts w:ascii="Arial" w:hAnsi="Arial" w:cs="Arial"/>
          <w:sz w:val="20"/>
          <w:szCs w:val="20"/>
        </w:rPr>
      </w:pPr>
      <w:bookmarkStart w:id="7" w:name="_Toc132206873"/>
      <w:r w:rsidRPr="004607C7">
        <w:rPr>
          <w:rFonts w:ascii="Arial" w:hAnsi="Arial" w:cs="Arial"/>
          <w:sz w:val="20"/>
          <w:szCs w:val="20"/>
        </w:rPr>
        <w:t>Overall performance targets</w:t>
      </w:r>
      <w:bookmarkEnd w:id="7"/>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In 2023/24, the SAPS has 84 performance targets. </w:t>
      </w:r>
    </w:p>
    <w:p w:rsidR="00567CCD" w:rsidRPr="004607C7" w:rsidRDefault="00567CCD" w:rsidP="004607C7">
      <w:pPr>
        <w:pStyle w:val="ListParagraph"/>
        <w:numPr>
          <w:ilvl w:val="0"/>
          <w:numId w:val="19"/>
        </w:numPr>
        <w:spacing w:line="240" w:lineRule="auto"/>
        <w:jc w:val="left"/>
        <w:rPr>
          <w:rFonts w:ascii="Arial" w:hAnsi="Arial" w:cs="Arial"/>
          <w:i/>
          <w:sz w:val="20"/>
          <w:szCs w:val="20"/>
        </w:rPr>
      </w:pPr>
      <w:r w:rsidRPr="004607C7">
        <w:rPr>
          <w:rFonts w:ascii="Arial" w:hAnsi="Arial" w:cs="Arial"/>
          <w:i/>
          <w:sz w:val="20"/>
          <w:szCs w:val="20"/>
        </w:rPr>
        <w:t xml:space="preserve">Administration Programme: 23 targets, of which 2 targets are new. </w:t>
      </w:r>
    </w:p>
    <w:p w:rsidR="00567CCD" w:rsidRPr="004607C7" w:rsidRDefault="00567CCD" w:rsidP="004607C7">
      <w:pPr>
        <w:pStyle w:val="ListParagraph"/>
        <w:numPr>
          <w:ilvl w:val="0"/>
          <w:numId w:val="19"/>
        </w:numPr>
        <w:spacing w:line="240" w:lineRule="auto"/>
        <w:jc w:val="left"/>
        <w:rPr>
          <w:rFonts w:ascii="Arial" w:hAnsi="Arial" w:cs="Arial"/>
          <w:i/>
          <w:sz w:val="20"/>
          <w:szCs w:val="20"/>
        </w:rPr>
      </w:pPr>
      <w:r w:rsidRPr="004607C7">
        <w:rPr>
          <w:rFonts w:ascii="Arial" w:hAnsi="Arial" w:cs="Arial"/>
          <w:i/>
          <w:sz w:val="20"/>
          <w:szCs w:val="20"/>
        </w:rPr>
        <w:t>Visible Policing Programme: 20 targets, of which 3 targets are new.</w:t>
      </w:r>
    </w:p>
    <w:p w:rsidR="00567CCD" w:rsidRPr="004607C7" w:rsidRDefault="00567CCD" w:rsidP="004607C7">
      <w:pPr>
        <w:pStyle w:val="ListParagraph"/>
        <w:numPr>
          <w:ilvl w:val="1"/>
          <w:numId w:val="19"/>
        </w:numPr>
        <w:spacing w:line="240" w:lineRule="auto"/>
        <w:jc w:val="left"/>
        <w:rPr>
          <w:rFonts w:ascii="Arial" w:hAnsi="Arial" w:cs="Arial"/>
          <w:i/>
          <w:sz w:val="20"/>
          <w:szCs w:val="20"/>
        </w:rPr>
      </w:pPr>
      <w:r w:rsidRPr="004607C7">
        <w:rPr>
          <w:rFonts w:ascii="Arial" w:hAnsi="Arial" w:cs="Arial"/>
          <w:i/>
          <w:sz w:val="20"/>
          <w:szCs w:val="20"/>
        </w:rPr>
        <w:t xml:space="preserve">A total of 8 performance targets were removed.  </w:t>
      </w:r>
    </w:p>
    <w:p w:rsidR="00567CCD" w:rsidRPr="004607C7" w:rsidRDefault="00567CCD" w:rsidP="004607C7">
      <w:pPr>
        <w:pStyle w:val="ListParagraph"/>
        <w:numPr>
          <w:ilvl w:val="0"/>
          <w:numId w:val="19"/>
        </w:numPr>
        <w:spacing w:line="240" w:lineRule="auto"/>
        <w:jc w:val="left"/>
        <w:rPr>
          <w:rFonts w:ascii="Arial" w:hAnsi="Arial" w:cs="Arial"/>
          <w:i/>
          <w:sz w:val="20"/>
          <w:szCs w:val="20"/>
        </w:rPr>
      </w:pPr>
      <w:r w:rsidRPr="004607C7">
        <w:rPr>
          <w:rFonts w:ascii="Arial" w:hAnsi="Arial" w:cs="Arial"/>
          <w:i/>
          <w:sz w:val="20"/>
          <w:szCs w:val="20"/>
        </w:rPr>
        <w:t xml:space="preserve">Detective Services Programme: 24 performance targets </w:t>
      </w:r>
    </w:p>
    <w:p w:rsidR="00567CCD" w:rsidRPr="004607C7" w:rsidRDefault="00567CCD" w:rsidP="004607C7">
      <w:pPr>
        <w:pStyle w:val="ListParagraph"/>
        <w:numPr>
          <w:ilvl w:val="1"/>
          <w:numId w:val="19"/>
        </w:numPr>
        <w:spacing w:line="240" w:lineRule="auto"/>
        <w:jc w:val="left"/>
        <w:rPr>
          <w:rFonts w:ascii="Arial" w:hAnsi="Arial" w:cs="Arial"/>
          <w:i/>
          <w:sz w:val="20"/>
          <w:szCs w:val="20"/>
        </w:rPr>
      </w:pPr>
      <w:r w:rsidRPr="004607C7">
        <w:rPr>
          <w:rFonts w:ascii="Arial" w:hAnsi="Arial" w:cs="Arial"/>
          <w:i/>
          <w:sz w:val="20"/>
          <w:szCs w:val="20"/>
        </w:rPr>
        <w:t xml:space="preserve">A total of 5 performance targets were removed. </w:t>
      </w:r>
    </w:p>
    <w:p w:rsidR="00567CCD" w:rsidRPr="004607C7" w:rsidRDefault="00567CCD" w:rsidP="004607C7">
      <w:pPr>
        <w:pStyle w:val="ListParagraph"/>
        <w:numPr>
          <w:ilvl w:val="0"/>
          <w:numId w:val="19"/>
        </w:numPr>
        <w:spacing w:line="240" w:lineRule="auto"/>
        <w:jc w:val="left"/>
        <w:rPr>
          <w:rFonts w:ascii="Arial" w:hAnsi="Arial" w:cs="Arial"/>
          <w:i/>
          <w:sz w:val="20"/>
          <w:szCs w:val="20"/>
        </w:rPr>
      </w:pPr>
      <w:r w:rsidRPr="004607C7">
        <w:rPr>
          <w:rFonts w:ascii="Arial" w:hAnsi="Arial" w:cs="Arial"/>
          <w:i/>
          <w:sz w:val="20"/>
          <w:szCs w:val="20"/>
        </w:rPr>
        <w:t xml:space="preserve">Crime Intelligence Programme: 10 performance targets of which the majority were revised to account for prioritised crime threats. </w:t>
      </w:r>
    </w:p>
    <w:p w:rsidR="00567CCD" w:rsidRPr="004607C7" w:rsidRDefault="00567CCD" w:rsidP="004607C7">
      <w:pPr>
        <w:pStyle w:val="ListParagraph"/>
        <w:numPr>
          <w:ilvl w:val="0"/>
          <w:numId w:val="19"/>
        </w:numPr>
        <w:spacing w:line="240" w:lineRule="auto"/>
        <w:jc w:val="left"/>
        <w:rPr>
          <w:rFonts w:ascii="Arial" w:hAnsi="Arial" w:cs="Arial"/>
          <w:i/>
          <w:sz w:val="20"/>
          <w:szCs w:val="20"/>
        </w:rPr>
      </w:pPr>
      <w:r w:rsidRPr="004607C7">
        <w:rPr>
          <w:rFonts w:ascii="Arial" w:hAnsi="Arial" w:cs="Arial"/>
          <w:i/>
          <w:sz w:val="20"/>
          <w:szCs w:val="20"/>
        </w:rPr>
        <w:t xml:space="preserve">Protection and Security Services Programme: 7 performance targets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During 2022, the CSPS has developed guidelines to enhance SAPS performance Indicators. Further thereto, during the CSPS’ annual strategic planning session, the SAPS identified the following areas that require focused support by the CSPS on the SAPS’ 2023/24 APP: </w:t>
      </w:r>
    </w:p>
    <w:p w:rsidR="00567CCD" w:rsidRPr="004607C7" w:rsidRDefault="00567CCD" w:rsidP="004607C7">
      <w:pPr>
        <w:pStyle w:val="Default"/>
        <w:numPr>
          <w:ilvl w:val="0"/>
          <w:numId w:val="21"/>
        </w:numPr>
        <w:rPr>
          <w:sz w:val="20"/>
          <w:szCs w:val="20"/>
        </w:rPr>
      </w:pPr>
      <w:r w:rsidRPr="004607C7">
        <w:rPr>
          <w:sz w:val="20"/>
          <w:szCs w:val="20"/>
        </w:rPr>
        <w:t>Participation in the review of the District One-Plans for the DDM.</w:t>
      </w:r>
    </w:p>
    <w:p w:rsidR="00567CCD" w:rsidRPr="004607C7" w:rsidRDefault="00567CCD" w:rsidP="004607C7">
      <w:pPr>
        <w:pStyle w:val="Default"/>
        <w:numPr>
          <w:ilvl w:val="0"/>
          <w:numId w:val="21"/>
        </w:numPr>
        <w:rPr>
          <w:sz w:val="20"/>
          <w:szCs w:val="20"/>
        </w:rPr>
      </w:pPr>
      <w:r w:rsidRPr="004607C7">
        <w:rPr>
          <w:sz w:val="20"/>
          <w:szCs w:val="20"/>
        </w:rPr>
        <w:t>Assessment of the establishment of GBV Desks and the status / state of dedicated VFRs at all police stations.</w:t>
      </w:r>
    </w:p>
    <w:p w:rsidR="00567CCD" w:rsidRPr="004607C7" w:rsidRDefault="00567CCD" w:rsidP="004607C7">
      <w:pPr>
        <w:pStyle w:val="Default"/>
        <w:numPr>
          <w:ilvl w:val="0"/>
          <w:numId w:val="21"/>
        </w:numPr>
        <w:rPr>
          <w:sz w:val="20"/>
          <w:szCs w:val="20"/>
        </w:rPr>
      </w:pPr>
      <w:r w:rsidRPr="004607C7">
        <w:rPr>
          <w:sz w:val="20"/>
          <w:szCs w:val="20"/>
        </w:rPr>
        <w:t xml:space="preserve">Assessment of the extent of feedback to complainants by investigating officers (service standards). </w:t>
      </w:r>
    </w:p>
    <w:p w:rsidR="00567CCD" w:rsidRPr="004607C7" w:rsidRDefault="00567CCD" w:rsidP="004607C7">
      <w:pPr>
        <w:pStyle w:val="Default"/>
        <w:numPr>
          <w:ilvl w:val="0"/>
          <w:numId w:val="21"/>
        </w:numPr>
        <w:rPr>
          <w:sz w:val="20"/>
          <w:szCs w:val="20"/>
        </w:rPr>
      </w:pPr>
      <w:r w:rsidRPr="004607C7">
        <w:rPr>
          <w:sz w:val="20"/>
          <w:szCs w:val="20"/>
        </w:rPr>
        <w:t xml:space="preserve">Implementation of the Integrated Crime and Violence Prevention Strategy (ICVPS). </w:t>
      </w:r>
    </w:p>
    <w:p w:rsidR="00567CCD" w:rsidRPr="004607C7" w:rsidRDefault="00567CCD" w:rsidP="004607C7">
      <w:pPr>
        <w:pStyle w:val="Default"/>
        <w:numPr>
          <w:ilvl w:val="0"/>
          <w:numId w:val="21"/>
        </w:numPr>
        <w:rPr>
          <w:sz w:val="20"/>
          <w:szCs w:val="20"/>
        </w:rPr>
      </w:pPr>
      <w:r w:rsidRPr="004607C7">
        <w:rPr>
          <w:sz w:val="20"/>
          <w:szCs w:val="20"/>
        </w:rPr>
        <w:t>Continued collaboration with the monitoring and evaluation of the Ministerial Crime Retreat POA.</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During 2022, the Office of the Auditor-General was very critical of the Department’s performance indicators and noted that targets were set too low, indicators were too reactive in nature and indicators are inconsistent with lived experiences of citizens.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2"/>
        <w:numPr>
          <w:ilvl w:val="1"/>
          <w:numId w:val="4"/>
        </w:numPr>
        <w:spacing w:before="0" w:line="240" w:lineRule="auto"/>
        <w:rPr>
          <w:rFonts w:ascii="Arial" w:hAnsi="Arial" w:cs="Arial"/>
          <w:sz w:val="20"/>
          <w:szCs w:val="20"/>
        </w:rPr>
      </w:pPr>
      <w:bookmarkStart w:id="8" w:name="_Toc132206874"/>
      <w:r w:rsidRPr="004607C7">
        <w:rPr>
          <w:rFonts w:ascii="Arial" w:hAnsi="Arial" w:cs="Arial"/>
          <w:sz w:val="20"/>
          <w:szCs w:val="20"/>
        </w:rPr>
        <w:t>Overall budget allocation</w:t>
      </w:r>
      <w:bookmarkEnd w:id="8"/>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In 2023/24, the SAPS received a Main Appropriation of R102.13 billion, which is a nominal decrease of R417.3 million or 0.4 per cent compared to the previous financial year. In real terms (inflation considered), the Department’s allocation decreased with R5.18 billion, or 5.06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For the third consecutive year, the largest decrease is in the Department’s core service delivery programme, Visible Policing. This Programme’s appropriation decreased with R904.0 million, or 1.7 per cent in nominal terms compared to the previous financial year. Considering inflation, the </w:t>
      </w:r>
      <w:r w:rsidRPr="004607C7">
        <w:rPr>
          <w:rFonts w:ascii="Arial" w:hAnsi="Arial" w:cs="Arial"/>
          <w:sz w:val="20"/>
          <w:szCs w:val="20"/>
        </w:rPr>
        <w:lastRenderedPageBreak/>
        <w:t xml:space="preserve">Programme’s appropriation decreased with R3.3 billion, or 6.3 per cent. Despite the decreased allocation, the Programme continues to receive more than half of the Department’s total 2023/24 budget allocation (51.07 per cent).  </w:t>
      </w:r>
    </w:p>
    <w:p w:rsidR="00567CCD" w:rsidRPr="004607C7" w:rsidRDefault="00567CCD" w:rsidP="004607C7">
      <w:pPr>
        <w:spacing w:line="240" w:lineRule="auto"/>
        <w:jc w:val="left"/>
        <w:rPr>
          <w:rFonts w:ascii="Arial" w:hAnsi="Arial" w:cs="Arial"/>
          <w:sz w:val="20"/>
          <w:szCs w:val="20"/>
          <w:lang w:eastAsia="en-ZA"/>
        </w:rPr>
      </w:pP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1: Overall difference in 2022/23 and 2023/24 budget allocation</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276"/>
        <w:gridCol w:w="1134"/>
        <w:gridCol w:w="1275"/>
        <w:gridCol w:w="1134"/>
        <w:gridCol w:w="1418"/>
        <w:gridCol w:w="1417"/>
      </w:tblGrid>
      <w:tr w:rsidR="00567CCD" w:rsidRPr="004607C7" w:rsidTr="00567CCD">
        <w:trPr>
          <w:trHeight w:val="765"/>
        </w:trPr>
        <w:tc>
          <w:tcPr>
            <w:tcW w:w="269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Programme</w:t>
            </w:r>
          </w:p>
        </w:tc>
        <w:tc>
          <w:tcPr>
            <w:tcW w:w="2410" w:type="dxa"/>
            <w:gridSpan w:val="2"/>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Budget</w:t>
            </w:r>
          </w:p>
        </w:tc>
        <w:tc>
          <w:tcPr>
            <w:tcW w:w="1275" w:type="dxa"/>
            <w:vMerge w:val="restart"/>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Nominal Increase / Decrease in 2023/24</w:t>
            </w:r>
          </w:p>
        </w:tc>
        <w:tc>
          <w:tcPr>
            <w:tcW w:w="1134" w:type="dxa"/>
            <w:vMerge w:val="restart"/>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Real Increase / Decrease in 2023/24</w:t>
            </w:r>
          </w:p>
        </w:tc>
        <w:tc>
          <w:tcPr>
            <w:tcW w:w="1418" w:type="dxa"/>
            <w:vMerge w:val="restart"/>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Nominal Percent change in 2023/24</w:t>
            </w:r>
          </w:p>
        </w:tc>
        <w:tc>
          <w:tcPr>
            <w:tcW w:w="1417" w:type="dxa"/>
            <w:vMerge w:val="restart"/>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Real Percent change in 2023/24</w:t>
            </w:r>
          </w:p>
        </w:tc>
      </w:tr>
      <w:tr w:rsidR="00567CCD" w:rsidRPr="004607C7" w:rsidTr="00567CCD">
        <w:trPr>
          <w:trHeight w:val="264"/>
        </w:trPr>
        <w:tc>
          <w:tcPr>
            <w:tcW w:w="269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 million</w:t>
            </w:r>
          </w:p>
        </w:tc>
        <w:tc>
          <w:tcPr>
            <w:tcW w:w="1276"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2022/23</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2023/24</w:t>
            </w:r>
          </w:p>
        </w:tc>
        <w:tc>
          <w:tcPr>
            <w:tcW w:w="1275" w:type="dxa"/>
            <w:vMerge/>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134" w:type="dxa"/>
            <w:vMerge/>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418" w:type="dxa"/>
            <w:vMerge/>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417" w:type="dxa"/>
            <w:vMerge/>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r>
      <w:tr w:rsidR="00567CCD" w:rsidRPr="004607C7" w:rsidTr="00567CCD">
        <w:trPr>
          <w:trHeight w:val="264"/>
        </w:trPr>
        <w:tc>
          <w:tcPr>
            <w:tcW w:w="269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Programme 1: Administration</w:t>
            </w:r>
          </w:p>
        </w:tc>
        <w:tc>
          <w:tcPr>
            <w:tcW w:w="1276"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20 512,0</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20 977,3</w:t>
            </w:r>
          </w:p>
        </w:tc>
        <w:tc>
          <w:tcPr>
            <w:tcW w:w="1275"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465,3</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514,6</w:t>
            </w:r>
          </w:p>
        </w:tc>
        <w:tc>
          <w:tcPr>
            <w:tcW w:w="141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2,27 per cent</w:t>
            </w:r>
          </w:p>
        </w:tc>
        <w:tc>
          <w:tcPr>
            <w:tcW w:w="141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-2,51 per cent</w:t>
            </w:r>
          </w:p>
        </w:tc>
      </w:tr>
      <w:tr w:rsidR="00567CCD" w:rsidRPr="004607C7" w:rsidTr="00567CCD">
        <w:trPr>
          <w:trHeight w:val="264"/>
        </w:trPr>
        <w:tc>
          <w:tcPr>
            <w:tcW w:w="269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Programme 2: Visible Policing </w:t>
            </w:r>
          </w:p>
        </w:tc>
        <w:tc>
          <w:tcPr>
            <w:tcW w:w="1276"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53 062,4</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52 158,4</w:t>
            </w:r>
          </w:p>
        </w:tc>
        <w:tc>
          <w:tcPr>
            <w:tcW w:w="1275"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904,0</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- 3 340,4</w:t>
            </w:r>
          </w:p>
        </w:tc>
        <w:tc>
          <w:tcPr>
            <w:tcW w:w="141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-1,70 per cent</w:t>
            </w:r>
          </w:p>
        </w:tc>
        <w:tc>
          <w:tcPr>
            <w:tcW w:w="141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-6,30 per cent</w:t>
            </w:r>
          </w:p>
        </w:tc>
      </w:tr>
      <w:tr w:rsidR="00567CCD" w:rsidRPr="004607C7" w:rsidTr="00567CCD">
        <w:trPr>
          <w:trHeight w:val="264"/>
        </w:trPr>
        <w:tc>
          <w:tcPr>
            <w:tcW w:w="269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Programme 3: Detective Services  </w:t>
            </w:r>
          </w:p>
        </w:tc>
        <w:tc>
          <w:tcPr>
            <w:tcW w:w="1276"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20 854,0</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20 856,6</w:t>
            </w:r>
          </w:p>
        </w:tc>
        <w:tc>
          <w:tcPr>
            <w:tcW w:w="1275"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2,6</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971,6</w:t>
            </w:r>
          </w:p>
        </w:tc>
        <w:tc>
          <w:tcPr>
            <w:tcW w:w="141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0,01 per cent</w:t>
            </w:r>
          </w:p>
        </w:tc>
        <w:tc>
          <w:tcPr>
            <w:tcW w:w="141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-4,66 per cent</w:t>
            </w:r>
          </w:p>
        </w:tc>
      </w:tr>
      <w:tr w:rsidR="00567CCD" w:rsidRPr="004607C7" w:rsidTr="00567CCD">
        <w:trPr>
          <w:trHeight w:val="264"/>
        </w:trPr>
        <w:tc>
          <w:tcPr>
            <w:tcW w:w="269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Programme 4: Crime Intelligence</w:t>
            </w:r>
          </w:p>
        </w:tc>
        <w:tc>
          <w:tcPr>
            <w:tcW w:w="1276"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4 372,6</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4 381,6</w:t>
            </w:r>
          </w:p>
        </w:tc>
        <w:tc>
          <w:tcPr>
            <w:tcW w:w="1275"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9,0</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195,7</w:t>
            </w:r>
          </w:p>
        </w:tc>
        <w:tc>
          <w:tcPr>
            <w:tcW w:w="141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0,21 per cent</w:t>
            </w:r>
          </w:p>
        </w:tc>
        <w:tc>
          <w:tcPr>
            <w:tcW w:w="141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-4,47 per cent</w:t>
            </w:r>
          </w:p>
        </w:tc>
      </w:tr>
      <w:tr w:rsidR="00567CCD" w:rsidRPr="004607C7" w:rsidTr="00567CCD">
        <w:trPr>
          <w:trHeight w:val="264"/>
        </w:trPr>
        <w:tc>
          <w:tcPr>
            <w:tcW w:w="269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Programme 5: Protection and Security Services </w:t>
            </w:r>
          </w:p>
        </w:tc>
        <w:tc>
          <w:tcPr>
            <w:tcW w:w="1276"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3 754,1</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3 763,7</w:t>
            </w:r>
          </w:p>
        </w:tc>
        <w:tc>
          <w:tcPr>
            <w:tcW w:w="1275"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9,6</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166,2</w:t>
            </w:r>
          </w:p>
        </w:tc>
        <w:tc>
          <w:tcPr>
            <w:tcW w:w="141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0,26 per cent</w:t>
            </w:r>
          </w:p>
        </w:tc>
        <w:tc>
          <w:tcPr>
            <w:tcW w:w="141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-4,43 per cent</w:t>
            </w:r>
          </w:p>
        </w:tc>
      </w:tr>
      <w:tr w:rsidR="00567CCD" w:rsidRPr="004607C7" w:rsidTr="00567CCD">
        <w:trPr>
          <w:trHeight w:val="264"/>
        </w:trPr>
        <w:tc>
          <w:tcPr>
            <w:tcW w:w="269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TOTAL</w:t>
            </w:r>
          </w:p>
        </w:tc>
        <w:tc>
          <w:tcPr>
            <w:tcW w:w="1276"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102 555,0</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102 137,7</w:t>
            </w:r>
          </w:p>
        </w:tc>
        <w:tc>
          <w:tcPr>
            <w:tcW w:w="1275"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417,3</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- 5 188,3</w:t>
            </w:r>
          </w:p>
        </w:tc>
        <w:tc>
          <w:tcPr>
            <w:tcW w:w="141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-0,4 per cent</w:t>
            </w:r>
          </w:p>
        </w:tc>
        <w:tc>
          <w:tcPr>
            <w:tcW w:w="141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-5,06 per cent</w:t>
            </w:r>
          </w:p>
        </w:tc>
      </w:tr>
    </w:tbl>
    <w:p w:rsidR="00567CCD" w:rsidRPr="004607C7" w:rsidRDefault="00567CCD" w:rsidP="004607C7">
      <w:pPr>
        <w:spacing w:line="240" w:lineRule="auto"/>
        <w:jc w:val="left"/>
        <w:rPr>
          <w:rFonts w:ascii="Arial" w:hAnsi="Arial" w:cs="Arial"/>
          <w:i/>
          <w:sz w:val="20"/>
          <w:szCs w:val="20"/>
        </w:rPr>
      </w:pPr>
      <w:r w:rsidRPr="004607C7">
        <w:rPr>
          <w:rFonts w:ascii="Arial" w:hAnsi="Arial" w:cs="Arial"/>
          <w:i/>
          <w:sz w:val="20"/>
          <w:szCs w:val="20"/>
        </w:rPr>
        <w:t>Source: National Treasury (2023)</w:t>
      </w: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w:t>
      </w:r>
      <w:r w:rsidRPr="004607C7">
        <w:rPr>
          <w:rFonts w:ascii="Arial" w:hAnsi="Arial" w:cs="Arial"/>
          <w:b/>
          <w:sz w:val="20"/>
          <w:szCs w:val="20"/>
        </w:rPr>
        <w:t>Administration Programme</w:t>
      </w:r>
      <w:r w:rsidRPr="004607C7">
        <w:rPr>
          <w:rFonts w:ascii="Arial" w:hAnsi="Arial" w:cs="Arial"/>
          <w:sz w:val="20"/>
          <w:szCs w:val="20"/>
        </w:rPr>
        <w:t xml:space="preserve"> received a Main Appropriation of R20.97 billion in 2023/24, which is a nominal increase of R465.3 million or 2.27 per cent. In real terms, the programme’s allocation decreased with R514.6 million or 2.5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w:t>
      </w:r>
      <w:r w:rsidRPr="004607C7">
        <w:rPr>
          <w:rFonts w:ascii="Arial" w:hAnsi="Arial" w:cs="Arial"/>
          <w:b/>
          <w:sz w:val="20"/>
          <w:szCs w:val="20"/>
        </w:rPr>
        <w:t>Detective Services Programme</w:t>
      </w:r>
      <w:r w:rsidRPr="004607C7">
        <w:rPr>
          <w:rFonts w:ascii="Arial" w:hAnsi="Arial" w:cs="Arial"/>
          <w:sz w:val="20"/>
          <w:szCs w:val="20"/>
        </w:rPr>
        <w:t xml:space="preserve"> received a Main Appropriation of R20.85 billion in 2023/24, which is a slight nominal increase of R2.6 million or 0.01 per cent compared to the previous financial year. In real terms the programme’s allocation decreased by 4.6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w:t>
      </w:r>
      <w:r w:rsidRPr="004607C7">
        <w:rPr>
          <w:rFonts w:ascii="Arial" w:hAnsi="Arial" w:cs="Arial"/>
          <w:b/>
          <w:sz w:val="20"/>
          <w:szCs w:val="20"/>
        </w:rPr>
        <w:t>Crime Intelligence Programme’s</w:t>
      </w:r>
      <w:r w:rsidRPr="004607C7">
        <w:rPr>
          <w:rFonts w:ascii="Arial" w:hAnsi="Arial" w:cs="Arial"/>
          <w:sz w:val="20"/>
          <w:szCs w:val="20"/>
        </w:rPr>
        <w:t xml:space="preserve"> 2022/23 allocation of R4.37 billion increased slightly with R9.0 million to a Main Appropriation of R4.38 billion in 2023/24, which is a nominal increase of 0.21 per cent and a real decrease of 4.47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w:t>
      </w:r>
      <w:r w:rsidRPr="004607C7">
        <w:rPr>
          <w:rFonts w:ascii="Arial" w:hAnsi="Arial" w:cs="Arial"/>
          <w:b/>
          <w:sz w:val="20"/>
          <w:szCs w:val="20"/>
        </w:rPr>
        <w:t>Protection and Security Services Programme</w:t>
      </w:r>
      <w:r w:rsidRPr="004607C7">
        <w:rPr>
          <w:rFonts w:ascii="Arial" w:hAnsi="Arial" w:cs="Arial"/>
          <w:sz w:val="20"/>
          <w:szCs w:val="20"/>
        </w:rPr>
        <w:t xml:space="preserve"> received a Main Appropriation of R3.76 billion in 2023/24, which is a nominal percentage increase of 0.26 per cent compared to the previous financial year and a real decrease of 4.43 per cent. </w:t>
      </w: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 xml:space="preserve">The percent of total budget per Programme normally remains consistent across financial years, with only slight changes. However, the consecutive decreases in the proportional allocation to the Visible Policing programme remain concerning. In 2022/23, the proportional allocation of the Visible Policing programme was 51.74 per cent, which has decreased by 0.67 per cent to a proportional allocation of 51.07 per cent compared to the previous financial year. </w:t>
      </w: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p>
    <w:p w:rsidR="00567CCD" w:rsidRPr="004607C7" w:rsidRDefault="00567CCD" w:rsidP="004607C7">
      <w:pPr>
        <w:autoSpaceDE w:val="0"/>
        <w:autoSpaceDN w:val="0"/>
        <w:adjustRightInd w:val="0"/>
        <w:spacing w:line="240" w:lineRule="auto"/>
        <w:jc w:val="left"/>
        <w:rPr>
          <w:rFonts w:ascii="Arial" w:hAnsi="Arial" w:cs="Arial"/>
          <w:b/>
          <w:i/>
          <w:sz w:val="20"/>
          <w:szCs w:val="20"/>
          <w:lang w:eastAsia="en-ZA"/>
        </w:rPr>
      </w:pPr>
      <w:r w:rsidRPr="004607C7">
        <w:rPr>
          <w:rFonts w:ascii="Arial" w:hAnsi="Arial" w:cs="Arial"/>
          <w:b/>
          <w:i/>
          <w:sz w:val="20"/>
          <w:szCs w:val="20"/>
          <w:lang w:eastAsia="en-ZA"/>
        </w:rPr>
        <w:t>Table 2: Changes in percent of total budget per Programme</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134"/>
        <w:gridCol w:w="1560"/>
        <w:gridCol w:w="1134"/>
        <w:gridCol w:w="1559"/>
        <w:gridCol w:w="1398"/>
      </w:tblGrid>
      <w:tr w:rsidR="00567CCD" w:rsidRPr="004607C7" w:rsidTr="00567CCD">
        <w:trPr>
          <w:trHeight w:val="1035"/>
        </w:trPr>
        <w:tc>
          <w:tcPr>
            <w:tcW w:w="28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Programme</w:t>
            </w:r>
          </w:p>
        </w:tc>
        <w:tc>
          <w:tcPr>
            <w:tcW w:w="1134"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Budget</w:t>
            </w:r>
          </w:p>
        </w:tc>
        <w:tc>
          <w:tcPr>
            <w:tcW w:w="1560"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Percent of total budget per programme</w:t>
            </w:r>
          </w:p>
        </w:tc>
        <w:tc>
          <w:tcPr>
            <w:tcW w:w="1134"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Budget</w:t>
            </w:r>
          </w:p>
        </w:tc>
        <w:tc>
          <w:tcPr>
            <w:tcW w:w="1559"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Percent of total budget per programme</w:t>
            </w:r>
          </w:p>
        </w:tc>
        <w:tc>
          <w:tcPr>
            <w:tcW w:w="1398"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Change in percent allocation</w:t>
            </w:r>
          </w:p>
        </w:tc>
      </w:tr>
      <w:tr w:rsidR="00567CCD" w:rsidRPr="004607C7" w:rsidTr="00567CCD">
        <w:trPr>
          <w:trHeight w:val="264"/>
        </w:trPr>
        <w:tc>
          <w:tcPr>
            <w:tcW w:w="28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 million</w:t>
            </w:r>
          </w:p>
        </w:tc>
        <w:tc>
          <w:tcPr>
            <w:tcW w:w="2694" w:type="dxa"/>
            <w:gridSpan w:val="2"/>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2022/23</w:t>
            </w:r>
          </w:p>
        </w:tc>
        <w:tc>
          <w:tcPr>
            <w:tcW w:w="2693" w:type="dxa"/>
            <w:gridSpan w:val="2"/>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2023/24</w:t>
            </w:r>
          </w:p>
        </w:tc>
        <w:tc>
          <w:tcPr>
            <w:tcW w:w="139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p>
        </w:tc>
      </w:tr>
      <w:tr w:rsidR="00567CCD" w:rsidRPr="004607C7" w:rsidTr="00567CCD">
        <w:trPr>
          <w:trHeight w:val="264"/>
        </w:trPr>
        <w:tc>
          <w:tcPr>
            <w:tcW w:w="28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Programme 1: Administration</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20 512,0</w:t>
            </w:r>
          </w:p>
        </w:tc>
        <w:tc>
          <w:tcPr>
            <w:tcW w:w="156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20,00 per cent</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20 977,3</w:t>
            </w:r>
          </w:p>
        </w:tc>
        <w:tc>
          <w:tcPr>
            <w:tcW w:w="155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20,54 per cent</w:t>
            </w:r>
          </w:p>
        </w:tc>
        <w:tc>
          <w:tcPr>
            <w:tcW w:w="139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0,54 per cent</w:t>
            </w:r>
          </w:p>
        </w:tc>
      </w:tr>
      <w:tr w:rsidR="00567CCD" w:rsidRPr="004607C7" w:rsidTr="00567CCD">
        <w:trPr>
          <w:trHeight w:val="264"/>
        </w:trPr>
        <w:tc>
          <w:tcPr>
            <w:tcW w:w="28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Programme 2: Visible Policing </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53 062,4</w:t>
            </w:r>
          </w:p>
        </w:tc>
        <w:tc>
          <w:tcPr>
            <w:tcW w:w="156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51,74 per cent</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52 158,4</w:t>
            </w:r>
          </w:p>
        </w:tc>
        <w:tc>
          <w:tcPr>
            <w:tcW w:w="155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51,07 per cent</w:t>
            </w:r>
          </w:p>
        </w:tc>
        <w:tc>
          <w:tcPr>
            <w:tcW w:w="139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-0,67 per cent</w:t>
            </w:r>
          </w:p>
        </w:tc>
      </w:tr>
      <w:tr w:rsidR="00567CCD" w:rsidRPr="004607C7" w:rsidTr="00567CCD">
        <w:trPr>
          <w:trHeight w:val="264"/>
        </w:trPr>
        <w:tc>
          <w:tcPr>
            <w:tcW w:w="28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Programme 3: Detective Services  </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20 854,0</w:t>
            </w:r>
          </w:p>
        </w:tc>
        <w:tc>
          <w:tcPr>
            <w:tcW w:w="156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20,33 per cent</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20 856,6</w:t>
            </w:r>
          </w:p>
        </w:tc>
        <w:tc>
          <w:tcPr>
            <w:tcW w:w="155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20,42 per cent</w:t>
            </w:r>
          </w:p>
        </w:tc>
        <w:tc>
          <w:tcPr>
            <w:tcW w:w="139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0,09 per cent</w:t>
            </w:r>
          </w:p>
        </w:tc>
      </w:tr>
      <w:tr w:rsidR="00567CCD" w:rsidRPr="004607C7" w:rsidTr="00567CCD">
        <w:trPr>
          <w:trHeight w:val="264"/>
        </w:trPr>
        <w:tc>
          <w:tcPr>
            <w:tcW w:w="28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Programme 4: Crime Intelligence</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4 372,6</w:t>
            </w:r>
          </w:p>
        </w:tc>
        <w:tc>
          <w:tcPr>
            <w:tcW w:w="156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4,26 per cent</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4 381,6</w:t>
            </w:r>
          </w:p>
        </w:tc>
        <w:tc>
          <w:tcPr>
            <w:tcW w:w="155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4,29 per cent</w:t>
            </w:r>
          </w:p>
        </w:tc>
        <w:tc>
          <w:tcPr>
            <w:tcW w:w="139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0,03 per cent</w:t>
            </w:r>
          </w:p>
        </w:tc>
      </w:tr>
      <w:tr w:rsidR="00567CCD" w:rsidRPr="004607C7" w:rsidTr="00567CCD">
        <w:trPr>
          <w:trHeight w:val="264"/>
        </w:trPr>
        <w:tc>
          <w:tcPr>
            <w:tcW w:w="28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lastRenderedPageBreak/>
              <w:t xml:space="preserve">Programme 5: Protection and Security Services </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3 754,1</w:t>
            </w:r>
          </w:p>
        </w:tc>
        <w:tc>
          <w:tcPr>
            <w:tcW w:w="156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3,66 per cent</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3 763,7</w:t>
            </w:r>
          </w:p>
        </w:tc>
        <w:tc>
          <w:tcPr>
            <w:tcW w:w="155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3,68 per cent</w:t>
            </w:r>
          </w:p>
        </w:tc>
        <w:tc>
          <w:tcPr>
            <w:tcW w:w="139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0,02 per cent</w:t>
            </w:r>
          </w:p>
        </w:tc>
      </w:tr>
      <w:tr w:rsidR="00567CCD" w:rsidRPr="004607C7" w:rsidTr="00567CCD">
        <w:trPr>
          <w:trHeight w:val="264"/>
        </w:trPr>
        <w:tc>
          <w:tcPr>
            <w:tcW w:w="28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TOTAL</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102 555,0</w:t>
            </w:r>
          </w:p>
        </w:tc>
        <w:tc>
          <w:tcPr>
            <w:tcW w:w="156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100,00 per cent</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102 137,7</w:t>
            </w:r>
          </w:p>
        </w:tc>
        <w:tc>
          <w:tcPr>
            <w:tcW w:w="155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100,00 per cent</w:t>
            </w:r>
          </w:p>
        </w:tc>
        <w:tc>
          <w:tcPr>
            <w:tcW w:w="139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0,00 per cent</w:t>
            </w:r>
          </w:p>
        </w:tc>
      </w:tr>
    </w:tbl>
    <w:p w:rsidR="00567CCD" w:rsidRPr="004607C7" w:rsidRDefault="00567CCD" w:rsidP="004607C7">
      <w:pPr>
        <w:spacing w:line="240" w:lineRule="auto"/>
        <w:jc w:val="left"/>
        <w:rPr>
          <w:rFonts w:ascii="Arial" w:hAnsi="Arial" w:cs="Arial"/>
          <w:i/>
          <w:sz w:val="20"/>
          <w:szCs w:val="20"/>
        </w:rPr>
      </w:pPr>
      <w:r w:rsidRPr="004607C7">
        <w:rPr>
          <w:rFonts w:ascii="Arial" w:hAnsi="Arial" w:cs="Arial"/>
          <w:i/>
          <w:sz w:val="20"/>
          <w:szCs w:val="20"/>
        </w:rPr>
        <w:t>Source: National Treasury (2023)</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i/>
          <w:sz w:val="20"/>
          <w:szCs w:val="20"/>
        </w:rPr>
      </w:pPr>
      <w:r w:rsidRPr="004607C7">
        <w:rPr>
          <w:rFonts w:ascii="Arial" w:hAnsi="Arial" w:cs="Arial"/>
          <w:sz w:val="20"/>
          <w:szCs w:val="20"/>
        </w:rPr>
        <w:t xml:space="preserve">In terms of allocations per </w:t>
      </w:r>
      <w:r w:rsidRPr="004607C7">
        <w:rPr>
          <w:rFonts w:ascii="Arial" w:hAnsi="Arial" w:cs="Arial"/>
          <w:b/>
          <w:sz w:val="20"/>
          <w:szCs w:val="20"/>
        </w:rPr>
        <w:t>economic classification</w:t>
      </w:r>
      <w:r w:rsidRPr="004607C7">
        <w:rPr>
          <w:rFonts w:ascii="Arial" w:hAnsi="Arial" w:cs="Arial"/>
          <w:sz w:val="20"/>
          <w:szCs w:val="20"/>
        </w:rPr>
        <w:t xml:space="preserve"> in 2023/24, the most significant increase is in the allocations to </w:t>
      </w:r>
      <w:r w:rsidRPr="004607C7">
        <w:rPr>
          <w:rFonts w:ascii="Arial" w:eastAsia="Times New Roman" w:hAnsi="Arial" w:cs="Arial"/>
          <w:b/>
          <w:i/>
          <w:sz w:val="20"/>
          <w:szCs w:val="20"/>
          <w:lang w:eastAsia="en-ZA"/>
        </w:rPr>
        <w:t>Buildings and other fixed structures</w:t>
      </w:r>
      <w:r w:rsidRPr="004607C7">
        <w:rPr>
          <w:rFonts w:ascii="Arial" w:hAnsi="Arial" w:cs="Arial"/>
          <w:b/>
          <w:sz w:val="20"/>
          <w:szCs w:val="20"/>
        </w:rPr>
        <w:t>.</w:t>
      </w:r>
      <w:r w:rsidRPr="004607C7">
        <w:rPr>
          <w:rFonts w:ascii="Arial" w:hAnsi="Arial" w:cs="Arial"/>
          <w:sz w:val="20"/>
          <w:szCs w:val="20"/>
        </w:rPr>
        <w:t xml:space="preserve"> This allocation increased from R744.2 million in 2022/23 to R1.0 billion in 2023/14, which is a nominal increase of 34.8 per cent. Further, the allocation towards </w:t>
      </w:r>
      <w:r w:rsidRPr="004607C7">
        <w:rPr>
          <w:rFonts w:ascii="Arial" w:hAnsi="Arial" w:cs="Arial"/>
          <w:i/>
          <w:sz w:val="20"/>
          <w:szCs w:val="20"/>
        </w:rPr>
        <w:t xml:space="preserve">Transfers to Provinces and municipalities increased </w:t>
      </w:r>
      <w:r w:rsidRPr="004607C7">
        <w:rPr>
          <w:rFonts w:ascii="Arial" w:hAnsi="Arial" w:cs="Arial"/>
          <w:sz w:val="20"/>
          <w:szCs w:val="20"/>
        </w:rPr>
        <w:t xml:space="preserve">with a nominal percentage increase of 6.64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allocation toward </w:t>
      </w:r>
      <w:r w:rsidRPr="004607C7">
        <w:rPr>
          <w:rFonts w:ascii="Arial" w:hAnsi="Arial" w:cs="Arial"/>
          <w:b/>
          <w:i/>
          <w:sz w:val="20"/>
          <w:szCs w:val="20"/>
        </w:rPr>
        <w:t>Agency and support/outsourced services</w:t>
      </w:r>
      <w:r w:rsidRPr="004607C7">
        <w:rPr>
          <w:rFonts w:ascii="Arial" w:hAnsi="Arial" w:cs="Arial"/>
          <w:i/>
          <w:sz w:val="20"/>
          <w:szCs w:val="20"/>
        </w:rPr>
        <w:t xml:space="preserve"> </w:t>
      </w:r>
      <w:r w:rsidRPr="004607C7">
        <w:rPr>
          <w:rFonts w:ascii="Arial" w:hAnsi="Arial" w:cs="Arial"/>
          <w:sz w:val="20"/>
          <w:szCs w:val="20"/>
        </w:rPr>
        <w:t xml:space="preserve">increased form R424.5 million in 2022/23 to R7.41.1 million in 2023/24, which is a nominal increase of 74.58 per cent (R316.6 million). In real terms, the allocation towards this item increased with R282 million or 66.43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hAnsi="Arial" w:cs="Arial"/>
          <w:sz w:val="20"/>
          <w:szCs w:val="20"/>
        </w:rPr>
        <w:t xml:space="preserve">It is concerning that the allocation towards </w:t>
      </w:r>
      <w:r w:rsidRPr="004607C7">
        <w:rPr>
          <w:rFonts w:ascii="Arial" w:hAnsi="Arial" w:cs="Arial"/>
          <w:b/>
          <w:i/>
          <w:sz w:val="20"/>
          <w:szCs w:val="20"/>
        </w:rPr>
        <w:t>Compensation of employees</w:t>
      </w:r>
      <w:r w:rsidRPr="004607C7">
        <w:rPr>
          <w:rFonts w:ascii="Arial" w:hAnsi="Arial" w:cs="Arial"/>
          <w:i/>
          <w:sz w:val="20"/>
          <w:szCs w:val="20"/>
        </w:rPr>
        <w:t xml:space="preserve"> </w:t>
      </w:r>
      <w:r w:rsidRPr="004607C7">
        <w:rPr>
          <w:rFonts w:ascii="Arial" w:hAnsi="Arial" w:cs="Arial"/>
          <w:sz w:val="20"/>
          <w:szCs w:val="20"/>
        </w:rPr>
        <w:t xml:space="preserve">decreased despite the increased recruitment under </w:t>
      </w:r>
      <w:r w:rsidRPr="004607C7">
        <w:rPr>
          <w:rFonts w:ascii="Arial" w:hAnsi="Arial" w:cs="Arial"/>
          <w:i/>
          <w:sz w:val="20"/>
          <w:szCs w:val="20"/>
        </w:rPr>
        <w:t>Project 10 000</w:t>
      </w:r>
      <w:r w:rsidRPr="004607C7">
        <w:rPr>
          <w:rFonts w:ascii="Arial" w:hAnsi="Arial" w:cs="Arial"/>
          <w:sz w:val="20"/>
          <w:szCs w:val="20"/>
        </w:rPr>
        <w:t xml:space="preserve"> and further additional recruitment announced in the 2023 SONA. In 2023/24, the allocation towards </w:t>
      </w:r>
      <w:r w:rsidRPr="004607C7">
        <w:rPr>
          <w:rFonts w:ascii="Arial" w:hAnsi="Arial" w:cs="Arial"/>
          <w:i/>
          <w:sz w:val="20"/>
          <w:szCs w:val="20"/>
        </w:rPr>
        <w:t>Compensation of employees</w:t>
      </w:r>
      <w:r w:rsidRPr="004607C7">
        <w:rPr>
          <w:rFonts w:ascii="Arial" w:hAnsi="Arial" w:cs="Arial"/>
          <w:sz w:val="20"/>
          <w:szCs w:val="20"/>
        </w:rPr>
        <w:t xml:space="preserve"> is R79.7 billion, which is a nominal decrease of R1.23 billion compared to the previous financial year (R81.02 billion). In real terms, the allocation decreased with R4.9 billion or 6.12 per cent compared to the previous financial year.  </w:t>
      </w:r>
    </w:p>
    <w:p w:rsidR="00567CCD" w:rsidRPr="004607C7" w:rsidRDefault="00567CCD" w:rsidP="004607C7">
      <w:pPr>
        <w:spacing w:line="240" w:lineRule="auto"/>
        <w:jc w:val="left"/>
        <w:rPr>
          <w:rFonts w:ascii="Arial" w:hAnsi="Arial" w:cs="Arial"/>
          <w:b/>
          <w:sz w:val="20"/>
          <w:szCs w:val="20"/>
        </w:rPr>
      </w:pPr>
    </w:p>
    <w:p w:rsidR="00567CCD" w:rsidRPr="004607C7" w:rsidRDefault="00567CCD" w:rsidP="004607C7">
      <w:pPr>
        <w:spacing w:line="240" w:lineRule="auto"/>
        <w:jc w:val="left"/>
        <w:rPr>
          <w:rFonts w:ascii="Arial" w:hAnsi="Arial" w:cs="Arial"/>
          <w:i/>
          <w:sz w:val="20"/>
          <w:szCs w:val="20"/>
        </w:rPr>
      </w:pPr>
      <w:r w:rsidRPr="004607C7">
        <w:rPr>
          <w:rFonts w:ascii="Arial" w:hAnsi="Arial" w:cs="Arial"/>
          <w:b/>
          <w:i/>
          <w:sz w:val="20"/>
          <w:szCs w:val="20"/>
        </w:rPr>
        <w:t>Table 3: Budget per economic classification</w:t>
      </w:r>
    </w:p>
    <w:tbl>
      <w:tblPr>
        <w:tblW w:w="102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1134"/>
        <w:gridCol w:w="1134"/>
        <w:gridCol w:w="10"/>
        <w:gridCol w:w="1124"/>
        <w:gridCol w:w="10"/>
        <w:gridCol w:w="1124"/>
        <w:gridCol w:w="10"/>
        <w:gridCol w:w="1553"/>
        <w:gridCol w:w="1560"/>
      </w:tblGrid>
      <w:tr w:rsidR="00C96516" w:rsidRPr="004607C7" w:rsidTr="00567CCD">
        <w:trPr>
          <w:trHeight w:val="765"/>
          <w:tblHeader/>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Programme</w:t>
            </w:r>
          </w:p>
        </w:tc>
        <w:tc>
          <w:tcPr>
            <w:tcW w:w="2278" w:type="dxa"/>
            <w:gridSpan w:val="3"/>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Budget</w:t>
            </w:r>
          </w:p>
        </w:tc>
        <w:tc>
          <w:tcPr>
            <w:tcW w:w="1134" w:type="dxa"/>
            <w:gridSpan w:val="2"/>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Nominal Increase / Decrease in 2023/24</w:t>
            </w:r>
          </w:p>
        </w:tc>
        <w:tc>
          <w:tcPr>
            <w:tcW w:w="1134" w:type="dxa"/>
            <w:gridSpan w:val="2"/>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Real Increase / Decrease in 2023/24</w:t>
            </w:r>
          </w:p>
        </w:tc>
        <w:tc>
          <w:tcPr>
            <w:tcW w:w="1553"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Nominal Percent change in 2023/24</w:t>
            </w:r>
          </w:p>
        </w:tc>
        <w:tc>
          <w:tcPr>
            <w:tcW w:w="1560"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Real Percent change in 2023/24</w:t>
            </w:r>
          </w:p>
        </w:tc>
      </w:tr>
      <w:tr w:rsidR="00C96516" w:rsidRPr="004607C7" w:rsidTr="00567CCD">
        <w:trPr>
          <w:trHeight w:val="264"/>
          <w:tblHeader/>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 million</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2022/23</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2023/24</w:t>
            </w:r>
          </w:p>
        </w:tc>
        <w:tc>
          <w:tcPr>
            <w:tcW w:w="1134" w:type="dxa"/>
            <w:gridSpan w:val="2"/>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134" w:type="dxa"/>
            <w:gridSpan w:val="2"/>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563" w:type="dxa"/>
            <w:gridSpan w:val="2"/>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560"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r>
      <w:tr w:rsidR="00C96516" w:rsidRPr="004607C7" w:rsidTr="00567CCD">
        <w:trPr>
          <w:trHeight w:val="264"/>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Current payments</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97 822,6</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97 135,6</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687,0</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- 5 224,4</w:t>
            </w:r>
          </w:p>
        </w:tc>
        <w:tc>
          <w:tcPr>
            <w:tcW w:w="1563"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-0,70 per cent</w:t>
            </w:r>
          </w:p>
        </w:tc>
        <w:tc>
          <w:tcPr>
            <w:tcW w:w="156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-5,34 per cent</w:t>
            </w:r>
          </w:p>
        </w:tc>
      </w:tr>
      <w:tr w:rsidR="00C96516" w:rsidRPr="004607C7" w:rsidTr="00567CCD">
        <w:trPr>
          <w:trHeight w:val="264"/>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Compensation of employees</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81 028,8</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79 795,1</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- 1 233,7</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- 4 961,0</w:t>
            </w:r>
          </w:p>
        </w:tc>
        <w:tc>
          <w:tcPr>
            <w:tcW w:w="1563"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-1,52 per cent</w:t>
            </w:r>
          </w:p>
        </w:tc>
        <w:tc>
          <w:tcPr>
            <w:tcW w:w="156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-6,12 per cent</w:t>
            </w:r>
          </w:p>
        </w:tc>
      </w:tr>
      <w:tr w:rsidR="00C96516" w:rsidRPr="004607C7" w:rsidTr="00567CCD">
        <w:trPr>
          <w:trHeight w:val="264"/>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Goods and services</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16 793,8</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17 340,5</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546,6</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263,3</w:t>
            </w:r>
          </w:p>
        </w:tc>
        <w:tc>
          <w:tcPr>
            <w:tcW w:w="1563"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3,26 per cent</w:t>
            </w:r>
          </w:p>
        </w:tc>
        <w:tc>
          <w:tcPr>
            <w:tcW w:w="156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-1,57 per cent</w:t>
            </w:r>
          </w:p>
        </w:tc>
      </w:tr>
      <w:tr w:rsidR="00C96516" w:rsidRPr="004607C7" w:rsidTr="00567CCD">
        <w:trPr>
          <w:trHeight w:val="264"/>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Transfers and subsidies</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1 259,4</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1 267,2</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7,8</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51,4</w:t>
            </w:r>
          </w:p>
        </w:tc>
        <w:tc>
          <w:tcPr>
            <w:tcW w:w="1563"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0,62 per cent</w:t>
            </w:r>
          </w:p>
        </w:tc>
        <w:tc>
          <w:tcPr>
            <w:tcW w:w="156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-4,08 per cent</w:t>
            </w:r>
          </w:p>
        </w:tc>
      </w:tr>
      <w:tr w:rsidR="00C96516" w:rsidRPr="004607C7" w:rsidTr="00567CCD">
        <w:trPr>
          <w:trHeight w:val="264"/>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Provinces and municipalities</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57,6</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61,4</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3,8</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1,0</w:t>
            </w:r>
          </w:p>
        </w:tc>
        <w:tc>
          <w:tcPr>
            <w:tcW w:w="1563"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6,64 per cent</w:t>
            </w:r>
          </w:p>
        </w:tc>
        <w:tc>
          <w:tcPr>
            <w:tcW w:w="156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1,66 per cent</w:t>
            </w:r>
          </w:p>
        </w:tc>
      </w:tr>
      <w:tr w:rsidR="00C96516" w:rsidRPr="004607C7" w:rsidTr="00567CCD">
        <w:trPr>
          <w:trHeight w:val="264"/>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Departmental agencies and accounts</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51,4</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53,5</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2,1</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0,4</w:t>
            </w:r>
          </w:p>
        </w:tc>
        <w:tc>
          <w:tcPr>
            <w:tcW w:w="1563"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4,18 per cent</w:t>
            </w:r>
          </w:p>
        </w:tc>
        <w:tc>
          <w:tcPr>
            <w:tcW w:w="156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-0,69 per cent</w:t>
            </w:r>
          </w:p>
        </w:tc>
      </w:tr>
      <w:tr w:rsidR="00C96516" w:rsidRPr="004607C7" w:rsidTr="00567CCD">
        <w:trPr>
          <w:trHeight w:val="264"/>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Non-profit institutions</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1,0</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0,0</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1,0</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1,0</w:t>
            </w:r>
          </w:p>
        </w:tc>
        <w:tc>
          <w:tcPr>
            <w:tcW w:w="1563"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-100,00 per cent</w:t>
            </w:r>
          </w:p>
        </w:tc>
        <w:tc>
          <w:tcPr>
            <w:tcW w:w="156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-100,00 per cent</w:t>
            </w:r>
          </w:p>
        </w:tc>
      </w:tr>
      <w:tr w:rsidR="00C96516" w:rsidRPr="004607C7" w:rsidTr="00567CCD">
        <w:trPr>
          <w:trHeight w:val="264"/>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Households</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1 149,4</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1 152,2</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2,8</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51,0</w:t>
            </w:r>
          </w:p>
        </w:tc>
        <w:tc>
          <w:tcPr>
            <w:tcW w:w="1563"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0,24 per cent</w:t>
            </w:r>
          </w:p>
        </w:tc>
        <w:tc>
          <w:tcPr>
            <w:tcW w:w="156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-4,44 per cent</w:t>
            </w:r>
          </w:p>
        </w:tc>
      </w:tr>
      <w:tr w:rsidR="00C96516" w:rsidRPr="004607C7" w:rsidTr="00567CCD">
        <w:trPr>
          <w:trHeight w:val="264"/>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Payments for capital assets</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3 472,9</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3 734,9</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262,0</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87,5</w:t>
            </w:r>
          </w:p>
        </w:tc>
        <w:tc>
          <w:tcPr>
            <w:tcW w:w="1563"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7,54 per cent</w:t>
            </w:r>
          </w:p>
        </w:tc>
        <w:tc>
          <w:tcPr>
            <w:tcW w:w="156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2,52 per cent</w:t>
            </w:r>
          </w:p>
        </w:tc>
      </w:tr>
      <w:tr w:rsidR="00C96516" w:rsidRPr="004607C7" w:rsidTr="00567CCD">
        <w:trPr>
          <w:trHeight w:val="264"/>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Buildings and other fixed structures</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744,2</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1 003,2</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259,0</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212,2</w:t>
            </w:r>
          </w:p>
        </w:tc>
        <w:tc>
          <w:tcPr>
            <w:tcW w:w="1563"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34,81 per cent</w:t>
            </w:r>
          </w:p>
        </w:tc>
        <w:tc>
          <w:tcPr>
            <w:tcW w:w="156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28,51 per cent</w:t>
            </w:r>
          </w:p>
        </w:tc>
      </w:tr>
      <w:tr w:rsidR="00C96516" w:rsidRPr="004607C7" w:rsidTr="00567CCD">
        <w:trPr>
          <w:trHeight w:val="264"/>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Machinery and equipment</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2 681,6</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2 683,9</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2,3</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123,1</w:t>
            </w:r>
          </w:p>
        </w:tc>
        <w:tc>
          <w:tcPr>
            <w:tcW w:w="1563"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0,08 per cent</w:t>
            </w:r>
          </w:p>
        </w:tc>
        <w:tc>
          <w:tcPr>
            <w:tcW w:w="156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-4,59 per cent</w:t>
            </w:r>
          </w:p>
        </w:tc>
      </w:tr>
      <w:tr w:rsidR="00C96516" w:rsidRPr="004607C7" w:rsidTr="00567CCD">
        <w:trPr>
          <w:trHeight w:val="264"/>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Biological assets</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7,6</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7,9</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0,3</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0,0</w:t>
            </w:r>
          </w:p>
        </w:tc>
        <w:tc>
          <w:tcPr>
            <w:tcW w:w="1563"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4,41 per cent</w:t>
            </w:r>
          </w:p>
        </w:tc>
        <w:tc>
          <w:tcPr>
            <w:tcW w:w="156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-0,47 per cent</w:t>
            </w:r>
          </w:p>
        </w:tc>
      </w:tr>
      <w:tr w:rsidR="00C96516" w:rsidRPr="004607C7" w:rsidTr="00567CCD">
        <w:trPr>
          <w:trHeight w:val="264"/>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Software and other intangible assets</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39,5</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39,9</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0,4</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1,5</w:t>
            </w:r>
          </w:p>
        </w:tc>
        <w:tc>
          <w:tcPr>
            <w:tcW w:w="1563"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0,91 per cent</w:t>
            </w:r>
          </w:p>
        </w:tc>
        <w:tc>
          <w:tcPr>
            <w:tcW w:w="156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-3,80 per cent</w:t>
            </w:r>
          </w:p>
        </w:tc>
      </w:tr>
      <w:tr w:rsidR="00C96516" w:rsidRPr="004607C7" w:rsidTr="00567CCD">
        <w:trPr>
          <w:trHeight w:val="264"/>
        </w:trPr>
        <w:tc>
          <w:tcPr>
            <w:tcW w:w="255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TOTAL</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102 555,0</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102 137,7</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417,3</w:t>
            </w:r>
          </w:p>
        </w:tc>
        <w:tc>
          <w:tcPr>
            <w:tcW w:w="1134"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- 5 188,3</w:t>
            </w:r>
          </w:p>
        </w:tc>
        <w:tc>
          <w:tcPr>
            <w:tcW w:w="1563" w:type="dxa"/>
            <w:gridSpan w:val="2"/>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-0,4 per cent</w:t>
            </w:r>
          </w:p>
        </w:tc>
        <w:tc>
          <w:tcPr>
            <w:tcW w:w="156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-5,06 per cent</w:t>
            </w:r>
          </w:p>
        </w:tc>
      </w:tr>
    </w:tbl>
    <w:p w:rsidR="00567CCD" w:rsidRPr="004607C7" w:rsidRDefault="00567CCD" w:rsidP="004607C7">
      <w:pPr>
        <w:spacing w:line="240" w:lineRule="auto"/>
        <w:jc w:val="left"/>
        <w:rPr>
          <w:rFonts w:ascii="Arial" w:hAnsi="Arial" w:cs="Arial"/>
          <w:i/>
          <w:sz w:val="20"/>
          <w:szCs w:val="20"/>
        </w:rPr>
      </w:pPr>
      <w:r w:rsidRPr="004607C7">
        <w:rPr>
          <w:rFonts w:ascii="Arial" w:hAnsi="Arial" w:cs="Arial"/>
          <w:i/>
          <w:sz w:val="20"/>
          <w:szCs w:val="20"/>
        </w:rPr>
        <w:t>Source: National Treasury (2023)</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2"/>
        <w:numPr>
          <w:ilvl w:val="1"/>
          <w:numId w:val="4"/>
        </w:numPr>
        <w:spacing w:before="0" w:line="240" w:lineRule="auto"/>
        <w:rPr>
          <w:rFonts w:ascii="Arial" w:hAnsi="Arial" w:cs="Arial"/>
          <w:sz w:val="20"/>
          <w:szCs w:val="20"/>
        </w:rPr>
      </w:pPr>
      <w:bookmarkStart w:id="9" w:name="_Toc132206875"/>
      <w:r w:rsidRPr="004607C7">
        <w:rPr>
          <w:rFonts w:ascii="Arial" w:hAnsi="Arial" w:cs="Arial"/>
          <w:sz w:val="20"/>
          <w:szCs w:val="20"/>
        </w:rPr>
        <w:t>Infrastructure projects</w:t>
      </w:r>
      <w:bookmarkEnd w:id="9"/>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Pa13"/>
        <w:spacing w:line="240" w:lineRule="auto"/>
        <w:rPr>
          <w:rFonts w:ascii="Arial" w:hAnsi="Arial" w:cs="Arial"/>
          <w:color w:val="000000"/>
          <w:sz w:val="20"/>
          <w:szCs w:val="20"/>
        </w:rPr>
      </w:pPr>
      <w:r w:rsidRPr="004607C7">
        <w:rPr>
          <w:rFonts w:ascii="Arial" w:hAnsi="Arial" w:cs="Arial"/>
          <w:color w:val="000000"/>
          <w:sz w:val="20"/>
          <w:szCs w:val="20"/>
        </w:rPr>
        <w:t xml:space="preserve">In 2009/10, South Africa had 1 116 police stations, which increased to 1 158 as at March 2022 (increase of 42 stations over a 22-year period). The SAPS conducts annual accessibility assessments </w:t>
      </w:r>
      <w:r w:rsidRPr="004607C7">
        <w:rPr>
          <w:rFonts w:ascii="Arial" w:hAnsi="Arial" w:cs="Arial"/>
          <w:color w:val="000000"/>
          <w:sz w:val="20"/>
          <w:szCs w:val="20"/>
        </w:rPr>
        <w:lastRenderedPageBreak/>
        <w:t xml:space="preserve">by conducting feasibility/work study investigations to respond to the growing policing demands. However, this method has come under criticism over the past years because it lacks transparency.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2023/24 APP lists 21 new police stations on which construction will be finalised between 2023 and 2025. Of the 21 new stations, eight were started in 2016 and five in 2014. Thus, more than 60% of the police stations currently in construction were started more than five years ago. Of particular concern is the Kwa-Nocomboshe (KZN), Bhosiki (KZN) and Dun Donald (MP) police stations which were all started in 2014 and are expected to be completed in 2025, thus the construction of these police stations would have taken more than a decade to complete.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table below provides a summary of expenditure on infrastructure: </w:t>
      </w:r>
    </w:p>
    <w:p w:rsidR="00567CCD" w:rsidRPr="004607C7" w:rsidRDefault="00567CCD" w:rsidP="004607C7">
      <w:pPr>
        <w:spacing w:line="240" w:lineRule="auto"/>
        <w:jc w:val="left"/>
        <w:rPr>
          <w:rFonts w:ascii="Arial" w:hAnsi="Arial" w:cs="Arial"/>
          <w:sz w:val="20"/>
          <w:szCs w:val="20"/>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283"/>
        <w:gridCol w:w="939"/>
        <w:gridCol w:w="939"/>
        <w:gridCol w:w="939"/>
        <w:gridCol w:w="1505"/>
        <w:gridCol w:w="939"/>
        <w:gridCol w:w="939"/>
        <w:gridCol w:w="1001"/>
      </w:tblGrid>
      <w:tr w:rsidR="00567CCD" w:rsidRPr="004607C7" w:rsidTr="00567CCD">
        <w:trPr>
          <w:trHeight w:val="408"/>
          <w:tblHeader/>
        </w:trPr>
        <w:tc>
          <w:tcPr>
            <w:tcW w:w="2830" w:type="dxa"/>
            <w:gridSpan w:val="2"/>
            <w:shd w:val="clear" w:color="auto" w:fill="auto"/>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2707" w:type="dxa"/>
            <w:gridSpan w:val="3"/>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Audited outcome </w:t>
            </w:r>
          </w:p>
        </w:tc>
        <w:tc>
          <w:tcPr>
            <w:tcW w:w="1376" w:type="dxa"/>
            <w:shd w:val="clear" w:color="auto" w:fill="auto"/>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Adjusted</w:t>
            </w:r>
            <w:r w:rsidRPr="004607C7">
              <w:rPr>
                <w:rFonts w:ascii="Arial" w:eastAsia="Times New Roman" w:hAnsi="Arial" w:cs="Arial"/>
                <w:b/>
                <w:bCs/>
                <w:sz w:val="20"/>
                <w:szCs w:val="20"/>
                <w:lang w:eastAsia="en-ZA"/>
              </w:rPr>
              <w:br/>
              <w:t xml:space="preserve">appropriation </w:t>
            </w:r>
          </w:p>
        </w:tc>
        <w:tc>
          <w:tcPr>
            <w:tcW w:w="2861" w:type="dxa"/>
            <w:gridSpan w:val="3"/>
            <w:shd w:val="clear" w:color="auto" w:fill="auto"/>
            <w:noWrap/>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Medium-term expenditure estimate </w:t>
            </w:r>
          </w:p>
        </w:tc>
      </w:tr>
      <w:tr w:rsidR="00567CCD" w:rsidRPr="004607C7" w:rsidTr="00567CCD">
        <w:trPr>
          <w:trHeight w:val="288"/>
          <w:tblHeader/>
        </w:trPr>
        <w:tc>
          <w:tcPr>
            <w:tcW w:w="2547" w:type="dxa"/>
            <w:tcBorders>
              <w:right w:val="nil"/>
            </w:tcBorders>
            <w:shd w:val="clear" w:color="auto" w:fill="auto"/>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w:t>
            </w:r>
            <w:r w:rsidRPr="004607C7">
              <w:rPr>
                <w:rFonts w:ascii="Arial" w:eastAsia="Times New Roman" w:hAnsi="Arial" w:cs="Arial"/>
                <w:b/>
                <w:bCs/>
                <w:sz w:val="20"/>
                <w:szCs w:val="20"/>
                <w:lang w:eastAsia="en-ZA"/>
              </w:rPr>
              <w:t>R million</w:t>
            </w:r>
          </w:p>
        </w:tc>
        <w:tc>
          <w:tcPr>
            <w:tcW w:w="283" w:type="dxa"/>
            <w:tcBorders>
              <w:left w:val="nil"/>
            </w:tcBorders>
            <w:shd w:val="clear" w:color="auto" w:fill="auto"/>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w:t>
            </w:r>
          </w:p>
        </w:tc>
        <w:tc>
          <w:tcPr>
            <w:tcW w:w="86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2019/20 </w:t>
            </w:r>
          </w:p>
        </w:tc>
        <w:tc>
          <w:tcPr>
            <w:tcW w:w="92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2020/21 </w:t>
            </w:r>
          </w:p>
        </w:tc>
        <w:tc>
          <w:tcPr>
            <w:tcW w:w="92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2021/22 </w:t>
            </w:r>
          </w:p>
        </w:tc>
        <w:tc>
          <w:tcPr>
            <w:tcW w:w="1376"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2022/23 </w:t>
            </w:r>
          </w:p>
        </w:tc>
        <w:tc>
          <w:tcPr>
            <w:tcW w:w="9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2023/24 </w:t>
            </w:r>
          </w:p>
        </w:tc>
        <w:tc>
          <w:tcPr>
            <w:tcW w:w="9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2024/25 </w:t>
            </w:r>
          </w:p>
        </w:tc>
        <w:tc>
          <w:tcPr>
            <w:tcW w:w="1001"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2025/26 </w:t>
            </w:r>
          </w:p>
        </w:tc>
      </w:tr>
      <w:tr w:rsidR="00567CCD" w:rsidRPr="004607C7" w:rsidTr="00567CCD">
        <w:trPr>
          <w:trHeight w:val="250"/>
        </w:trPr>
        <w:tc>
          <w:tcPr>
            <w:tcW w:w="2547" w:type="dxa"/>
            <w:tcBorders>
              <w:right w:val="nil"/>
            </w:tcBorders>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New infrastructure assets</w:t>
            </w:r>
          </w:p>
        </w:tc>
        <w:tc>
          <w:tcPr>
            <w:tcW w:w="283" w:type="dxa"/>
            <w:tcBorders>
              <w:left w:val="nil"/>
            </w:tcBorders>
            <w:shd w:val="clear" w:color="auto" w:fill="auto"/>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16</w:t>
            </w:r>
          </w:p>
        </w:tc>
        <w:tc>
          <w:tcPr>
            <w:tcW w:w="92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21</w:t>
            </w:r>
          </w:p>
        </w:tc>
        <w:tc>
          <w:tcPr>
            <w:tcW w:w="92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279</w:t>
            </w:r>
          </w:p>
        </w:tc>
        <w:tc>
          <w:tcPr>
            <w:tcW w:w="1376"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66</w:t>
            </w:r>
          </w:p>
        </w:tc>
        <w:tc>
          <w:tcPr>
            <w:tcW w:w="93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69</w:t>
            </w:r>
          </w:p>
        </w:tc>
        <w:tc>
          <w:tcPr>
            <w:tcW w:w="93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72</w:t>
            </w:r>
          </w:p>
        </w:tc>
        <w:tc>
          <w:tcPr>
            <w:tcW w:w="100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76</w:t>
            </w:r>
          </w:p>
        </w:tc>
      </w:tr>
      <w:tr w:rsidR="00567CCD" w:rsidRPr="004607C7" w:rsidTr="00567CCD">
        <w:trPr>
          <w:trHeight w:val="288"/>
        </w:trPr>
        <w:tc>
          <w:tcPr>
            <w:tcW w:w="2547" w:type="dxa"/>
            <w:tcBorders>
              <w:right w:val="nil"/>
            </w:tcBorders>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Existing infrastructure assets</w:t>
            </w:r>
          </w:p>
        </w:tc>
        <w:tc>
          <w:tcPr>
            <w:tcW w:w="283" w:type="dxa"/>
            <w:tcBorders>
              <w:left w:val="nil"/>
            </w:tcBorders>
            <w:shd w:val="clear" w:color="auto" w:fill="auto"/>
            <w:noWrap/>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497</w:t>
            </w:r>
          </w:p>
        </w:tc>
        <w:tc>
          <w:tcPr>
            <w:tcW w:w="92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307</w:t>
            </w:r>
          </w:p>
        </w:tc>
        <w:tc>
          <w:tcPr>
            <w:tcW w:w="92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126</w:t>
            </w:r>
          </w:p>
        </w:tc>
        <w:tc>
          <w:tcPr>
            <w:tcW w:w="1376"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678</w:t>
            </w:r>
          </w:p>
        </w:tc>
        <w:tc>
          <w:tcPr>
            <w:tcW w:w="93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934</w:t>
            </w:r>
          </w:p>
        </w:tc>
        <w:tc>
          <w:tcPr>
            <w:tcW w:w="93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976</w:t>
            </w:r>
          </w:p>
        </w:tc>
        <w:tc>
          <w:tcPr>
            <w:tcW w:w="100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1 020</w:t>
            </w:r>
          </w:p>
        </w:tc>
      </w:tr>
      <w:tr w:rsidR="00567CCD" w:rsidRPr="004607C7" w:rsidTr="00567CCD">
        <w:trPr>
          <w:trHeight w:val="288"/>
        </w:trPr>
        <w:tc>
          <w:tcPr>
            <w:tcW w:w="2547" w:type="dxa"/>
            <w:tcBorders>
              <w:right w:val="nil"/>
            </w:tcBorders>
            <w:shd w:val="clear" w:color="auto" w:fill="auto"/>
            <w:noWrap/>
            <w:vAlign w:val="center"/>
            <w:hideMark/>
          </w:tcPr>
          <w:p w:rsidR="00567CCD" w:rsidRPr="004607C7" w:rsidRDefault="00567CCD" w:rsidP="004607C7">
            <w:pPr>
              <w:spacing w:line="240" w:lineRule="auto"/>
              <w:jc w:val="left"/>
              <w:rPr>
                <w:rFonts w:ascii="Arial" w:eastAsia="Times New Roman" w:hAnsi="Arial" w:cs="Arial"/>
                <w:i/>
                <w:sz w:val="20"/>
                <w:szCs w:val="20"/>
                <w:lang w:eastAsia="en-ZA"/>
              </w:rPr>
            </w:pPr>
            <w:r w:rsidRPr="004607C7">
              <w:rPr>
                <w:rFonts w:ascii="Arial" w:eastAsia="Times New Roman" w:hAnsi="Arial" w:cs="Arial"/>
                <w:i/>
                <w:sz w:val="20"/>
                <w:szCs w:val="20"/>
                <w:lang w:eastAsia="en-ZA"/>
              </w:rPr>
              <w:t> Upgrading and additions</w:t>
            </w:r>
          </w:p>
        </w:tc>
        <w:tc>
          <w:tcPr>
            <w:tcW w:w="283" w:type="dxa"/>
            <w:tcBorders>
              <w:left w:val="nil"/>
            </w:tcBorders>
            <w:shd w:val="clear" w:color="auto" w:fill="auto"/>
            <w:noWrap/>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497</w:t>
            </w:r>
          </w:p>
        </w:tc>
        <w:tc>
          <w:tcPr>
            <w:tcW w:w="92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307</w:t>
            </w:r>
          </w:p>
        </w:tc>
        <w:tc>
          <w:tcPr>
            <w:tcW w:w="92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126</w:t>
            </w:r>
          </w:p>
        </w:tc>
        <w:tc>
          <w:tcPr>
            <w:tcW w:w="1376"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678</w:t>
            </w:r>
          </w:p>
        </w:tc>
        <w:tc>
          <w:tcPr>
            <w:tcW w:w="93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934</w:t>
            </w:r>
          </w:p>
        </w:tc>
        <w:tc>
          <w:tcPr>
            <w:tcW w:w="93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976</w:t>
            </w:r>
          </w:p>
        </w:tc>
        <w:tc>
          <w:tcPr>
            <w:tcW w:w="100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1 020</w:t>
            </w:r>
          </w:p>
        </w:tc>
      </w:tr>
      <w:tr w:rsidR="00567CCD" w:rsidRPr="004607C7" w:rsidTr="00567CCD">
        <w:trPr>
          <w:trHeight w:val="288"/>
        </w:trPr>
        <w:tc>
          <w:tcPr>
            <w:tcW w:w="2547" w:type="dxa"/>
            <w:tcBorders>
              <w:right w:val="nil"/>
            </w:tcBorders>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Total Infrastructure</w:t>
            </w:r>
          </w:p>
        </w:tc>
        <w:tc>
          <w:tcPr>
            <w:tcW w:w="283" w:type="dxa"/>
            <w:tcBorders>
              <w:left w:val="nil"/>
            </w:tcBorders>
            <w:shd w:val="clear" w:color="auto" w:fill="auto"/>
            <w:noWrap/>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513</w:t>
            </w:r>
          </w:p>
        </w:tc>
        <w:tc>
          <w:tcPr>
            <w:tcW w:w="92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328</w:t>
            </w:r>
          </w:p>
        </w:tc>
        <w:tc>
          <w:tcPr>
            <w:tcW w:w="92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405</w:t>
            </w:r>
          </w:p>
        </w:tc>
        <w:tc>
          <w:tcPr>
            <w:tcW w:w="1376"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744</w:t>
            </w:r>
          </w:p>
        </w:tc>
        <w:tc>
          <w:tcPr>
            <w:tcW w:w="93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1 003</w:t>
            </w:r>
          </w:p>
        </w:tc>
        <w:tc>
          <w:tcPr>
            <w:tcW w:w="93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1 048</w:t>
            </w:r>
          </w:p>
        </w:tc>
        <w:tc>
          <w:tcPr>
            <w:tcW w:w="100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 xml:space="preserve">      1 095</w:t>
            </w:r>
          </w:p>
        </w:tc>
      </w:tr>
      <w:tr w:rsidR="00567CCD" w:rsidRPr="004607C7" w:rsidTr="00567CCD">
        <w:trPr>
          <w:trHeight w:val="288"/>
        </w:trPr>
        <w:tc>
          <w:tcPr>
            <w:tcW w:w="2547" w:type="dxa"/>
            <w:tcBorders>
              <w:right w:val="nil"/>
            </w:tcBorders>
            <w:shd w:val="clear" w:color="auto" w:fill="auto"/>
            <w:noWrap/>
            <w:vAlign w:val="center"/>
            <w:hideMark/>
          </w:tcPr>
          <w:p w:rsidR="00567CCD" w:rsidRPr="004607C7" w:rsidRDefault="00567CCD" w:rsidP="004607C7">
            <w:pPr>
              <w:spacing w:line="240" w:lineRule="auto"/>
              <w:jc w:val="left"/>
              <w:rPr>
                <w:rFonts w:ascii="Arial" w:eastAsia="Times New Roman" w:hAnsi="Arial" w:cs="Arial"/>
                <w:i/>
                <w:sz w:val="20"/>
                <w:szCs w:val="20"/>
                <w:lang w:eastAsia="en-ZA"/>
              </w:rPr>
            </w:pPr>
            <w:r w:rsidRPr="004607C7">
              <w:rPr>
                <w:rFonts w:ascii="Arial" w:eastAsia="Times New Roman" w:hAnsi="Arial" w:cs="Arial"/>
                <w:i/>
                <w:sz w:val="20"/>
                <w:szCs w:val="20"/>
                <w:lang w:eastAsia="en-ZA"/>
              </w:rPr>
              <w:t>Capital infrastructure</w:t>
            </w:r>
          </w:p>
        </w:tc>
        <w:tc>
          <w:tcPr>
            <w:tcW w:w="283" w:type="dxa"/>
            <w:tcBorders>
              <w:left w:val="nil"/>
            </w:tcBorders>
            <w:shd w:val="clear" w:color="auto" w:fill="auto"/>
            <w:noWrap/>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513</w:t>
            </w:r>
          </w:p>
        </w:tc>
        <w:tc>
          <w:tcPr>
            <w:tcW w:w="92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328</w:t>
            </w:r>
          </w:p>
        </w:tc>
        <w:tc>
          <w:tcPr>
            <w:tcW w:w="92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405</w:t>
            </w:r>
          </w:p>
        </w:tc>
        <w:tc>
          <w:tcPr>
            <w:tcW w:w="1376"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744</w:t>
            </w:r>
          </w:p>
        </w:tc>
        <w:tc>
          <w:tcPr>
            <w:tcW w:w="93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1 003</w:t>
            </w:r>
          </w:p>
        </w:tc>
        <w:tc>
          <w:tcPr>
            <w:tcW w:w="93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1 048</w:t>
            </w:r>
          </w:p>
        </w:tc>
        <w:tc>
          <w:tcPr>
            <w:tcW w:w="100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1 095</w:t>
            </w:r>
          </w:p>
        </w:tc>
      </w:tr>
    </w:tbl>
    <w:p w:rsidR="00567CCD" w:rsidRPr="004607C7" w:rsidRDefault="00567CCD" w:rsidP="004607C7">
      <w:pPr>
        <w:spacing w:line="240" w:lineRule="auto"/>
        <w:jc w:val="left"/>
        <w:rPr>
          <w:rFonts w:ascii="Arial" w:hAnsi="Arial" w:cs="Arial"/>
          <w:i/>
          <w:sz w:val="20"/>
          <w:szCs w:val="20"/>
        </w:rPr>
      </w:pPr>
      <w:r w:rsidRPr="004607C7">
        <w:rPr>
          <w:rFonts w:ascii="Arial" w:hAnsi="Arial" w:cs="Arial"/>
          <w:i/>
          <w:sz w:val="20"/>
          <w:szCs w:val="20"/>
        </w:rPr>
        <w:t>Source: National Treasury (2023)</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2"/>
        <w:numPr>
          <w:ilvl w:val="1"/>
          <w:numId w:val="4"/>
        </w:numPr>
        <w:spacing w:before="0" w:line="240" w:lineRule="auto"/>
        <w:rPr>
          <w:rFonts w:ascii="Arial" w:hAnsi="Arial" w:cs="Arial"/>
          <w:sz w:val="20"/>
          <w:szCs w:val="20"/>
        </w:rPr>
      </w:pPr>
      <w:bookmarkStart w:id="10" w:name="_Toc132206876"/>
      <w:r w:rsidRPr="004607C7">
        <w:rPr>
          <w:rFonts w:ascii="Arial" w:hAnsi="Arial" w:cs="Arial"/>
          <w:sz w:val="20"/>
          <w:szCs w:val="20"/>
        </w:rPr>
        <w:t>Personnel expenditure and fixed establishment</w:t>
      </w:r>
      <w:bookmarkEnd w:id="10"/>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SAPS has two separate employment categories under the SAPS Act (police personnel) and the Public Service and Administration Act (administrative personnel). The ratio of police members to population is measured only on the number of operational police members. Over the past 10 years the overall fixed establishment of SAPS has been declining. In 2011/12, the SAPS had 157 518 SAPS Act members, which had decreased to 140 048 in 2022.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color w:val="000000"/>
          <w:sz w:val="20"/>
          <w:szCs w:val="20"/>
        </w:rPr>
        <w:t xml:space="preserve">Importantly, the SAPS has developed and refined a model to calculate the human resource needs of each police station taking into consideration the minimum number of police officers needed to render an effective police service and the population density of the policing area of each police station. </w:t>
      </w:r>
    </w:p>
    <w:p w:rsidR="00567CCD" w:rsidRPr="004607C7" w:rsidRDefault="00567CCD" w:rsidP="004607C7">
      <w:pPr>
        <w:autoSpaceDE w:val="0"/>
        <w:autoSpaceDN w:val="0"/>
        <w:adjustRightInd w:val="0"/>
        <w:spacing w:line="240" w:lineRule="auto"/>
        <w:jc w:val="left"/>
        <w:rPr>
          <w:rFonts w:ascii="Arial" w:hAnsi="Arial" w:cs="Arial"/>
          <w:sz w:val="20"/>
          <w:szCs w:val="20"/>
        </w:rPr>
      </w:pP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According to National Treasury, the total expenditure of the SAPS is expected to increase at an average annual rate of 3.9 per cent, from R102.6 billion in 2022/23 to R114.9 billion in 2025/26, mainly due to the allocation of additional funding of R5.8 billion over the MTEF period for cost</w:t>
      </w:r>
      <w:r w:rsidRPr="004607C7">
        <w:rPr>
          <w:rFonts w:cs="Arial"/>
          <w:sz w:val="20"/>
          <w:szCs w:val="20"/>
          <w:lang w:eastAsia="en-ZA"/>
        </w:rPr>
        <w:t>‐</w:t>
      </w:r>
      <w:r w:rsidRPr="004607C7">
        <w:rPr>
          <w:rFonts w:ascii="Arial" w:hAnsi="Arial" w:cs="Arial"/>
          <w:sz w:val="20"/>
          <w:szCs w:val="20"/>
          <w:lang w:eastAsia="en-ZA"/>
        </w:rPr>
        <w:t>of</w:t>
      </w:r>
      <w:r w:rsidRPr="004607C7">
        <w:rPr>
          <w:rFonts w:cs="Arial"/>
          <w:sz w:val="20"/>
          <w:szCs w:val="20"/>
          <w:lang w:eastAsia="en-ZA"/>
        </w:rPr>
        <w:t>‐</w:t>
      </w:r>
      <w:r w:rsidRPr="004607C7">
        <w:rPr>
          <w:rFonts w:ascii="Arial" w:hAnsi="Arial" w:cs="Arial"/>
          <w:sz w:val="20"/>
          <w:szCs w:val="20"/>
          <w:lang w:eastAsia="en-ZA"/>
        </w:rPr>
        <w:t>living adjustments, and R7.8 billion for strengthening capacity at police stations. This will be done by appointing a targeted 5 000 police trainees per year over the next 3 years and absorbing them as constables upon their successful completion of training. This funding also provides for costs associated with training, operational equipment, and the payment of monthly stipends to trainees and their salaries once they are absorbed. As a result, the number of personnel in the Department is set to increase from 178 708 in 2022/23 to 193 708 in 2025/26. Compensation of employees constitutes an estimated 78.7 per cent (R337.2 billion) of the SAPS’s total budget over the medium term.</w:t>
      </w: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 xml:space="preserve">In 2023/24, the allocation to Compensation of Employees is R79.7 billion, which is a nominal decrease of 0.7 per cent compared to the previous financial year’s allocation of R81.0 billion. In real terms, the allocation decreased by 6.12 per cent compared to the previous financial year. It is concerning that while the number of recruits and intakes increases, the budget allocation decreases.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2"/>
        <w:numPr>
          <w:ilvl w:val="1"/>
          <w:numId w:val="4"/>
        </w:numPr>
        <w:spacing w:before="0" w:line="240" w:lineRule="auto"/>
        <w:rPr>
          <w:rFonts w:ascii="Arial" w:hAnsi="Arial" w:cs="Arial"/>
          <w:sz w:val="20"/>
          <w:szCs w:val="20"/>
        </w:rPr>
      </w:pPr>
      <w:bookmarkStart w:id="11" w:name="_Toc132206877"/>
      <w:r w:rsidRPr="004607C7">
        <w:rPr>
          <w:rFonts w:ascii="Arial" w:hAnsi="Arial" w:cs="Arial"/>
          <w:sz w:val="20"/>
          <w:szCs w:val="20"/>
        </w:rPr>
        <w:t>Programme 1: Administration</w:t>
      </w:r>
      <w:bookmarkEnd w:id="11"/>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r w:rsidRPr="004607C7">
        <w:rPr>
          <w:rFonts w:ascii="Arial" w:hAnsi="Arial" w:cs="Arial"/>
          <w:b/>
          <w:color w:val="000000"/>
          <w:sz w:val="20"/>
          <w:szCs w:val="20"/>
        </w:rPr>
        <w:t>Programme purpose:</w:t>
      </w:r>
      <w:r w:rsidRPr="004607C7">
        <w:rPr>
          <w:rFonts w:ascii="Arial" w:hAnsi="Arial" w:cs="Arial"/>
          <w:color w:val="000000"/>
          <w:sz w:val="20"/>
          <w:szCs w:val="20"/>
        </w:rPr>
        <w:t xml:space="preserve"> Provide</w:t>
      </w:r>
      <w:r w:rsidRPr="004607C7">
        <w:rPr>
          <w:rFonts w:ascii="Arial" w:hAnsi="Arial" w:cs="Arial"/>
          <w:sz w:val="20"/>
          <w:szCs w:val="20"/>
          <w:lang w:eastAsia="en-ZA"/>
        </w:rPr>
        <w:t xml:space="preserve"> strategic leadership, management and support services to the South African Police Service.</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3"/>
        <w:numPr>
          <w:ilvl w:val="2"/>
          <w:numId w:val="4"/>
        </w:numPr>
        <w:spacing w:line="240" w:lineRule="auto"/>
        <w:jc w:val="left"/>
        <w:rPr>
          <w:rFonts w:ascii="Arial" w:hAnsi="Arial" w:cs="Arial"/>
          <w:sz w:val="20"/>
          <w:szCs w:val="20"/>
        </w:rPr>
      </w:pPr>
      <w:bookmarkStart w:id="12" w:name="_Toc132206878"/>
      <w:r w:rsidRPr="004607C7">
        <w:rPr>
          <w:rFonts w:ascii="Arial" w:hAnsi="Arial" w:cs="Arial"/>
          <w:sz w:val="20"/>
          <w:szCs w:val="20"/>
        </w:rPr>
        <w:lastRenderedPageBreak/>
        <w:t>Performance targets</w:t>
      </w:r>
      <w:bookmarkEnd w:id="12"/>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autoSpaceDE w:val="0"/>
        <w:autoSpaceDN w:val="0"/>
        <w:adjustRightInd w:val="0"/>
        <w:spacing w:line="240" w:lineRule="auto"/>
        <w:jc w:val="left"/>
        <w:rPr>
          <w:rFonts w:ascii="Arial" w:hAnsi="Arial" w:cs="Arial"/>
          <w:sz w:val="20"/>
          <w:szCs w:val="20"/>
        </w:rPr>
      </w:pPr>
      <w:r w:rsidRPr="004607C7">
        <w:rPr>
          <w:rFonts w:ascii="Arial" w:hAnsi="Arial" w:cs="Arial"/>
          <w:sz w:val="20"/>
          <w:szCs w:val="20"/>
        </w:rPr>
        <w:t xml:space="preserve">The Administration Programme has 23 performance indicators for the 2023/24 financial year. There are two new performance indicators. In 2023, the indicator to measure the finalisation of IPID cases was removed. The 2023/24 performance indicators of the Administration programme include: </w:t>
      </w:r>
    </w:p>
    <w:p w:rsidR="00567CCD" w:rsidRPr="004607C7" w:rsidRDefault="00567CCD" w:rsidP="004607C7">
      <w:pPr>
        <w:autoSpaceDE w:val="0"/>
        <w:autoSpaceDN w:val="0"/>
        <w:adjustRightInd w:val="0"/>
        <w:spacing w:line="240" w:lineRule="auto"/>
        <w:jc w:val="left"/>
        <w:rPr>
          <w:rFonts w:ascii="Arial" w:hAnsi="Arial" w:cs="Arial"/>
          <w:sz w:val="20"/>
          <w:szCs w:val="20"/>
        </w:rPr>
      </w:pPr>
    </w:p>
    <w:p w:rsidR="0052537C" w:rsidRPr="004607C7" w:rsidRDefault="0052537C" w:rsidP="004607C7">
      <w:pPr>
        <w:autoSpaceDE w:val="0"/>
        <w:autoSpaceDN w:val="0"/>
        <w:adjustRightInd w:val="0"/>
        <w:spacing w:line="240" w:lineRule="auto"/>
        <w:jc w:val="left"/>
        <w:rPr>
          <w:rFonts w:ascii="Arial" w:hAnsi="Arial" w:cs="Arial"/>
          <w:sz w:val="20"/>
          <w:szCs w:val="20"/>
        </w:rPr>
      </w:pPr>
    </w:p>
    <w:p w:rsidR="0052537C" w:rsidRPr="004607C7" w:rsidRDefault="0052537C" w:rsidP="004607C7">
      <w:pPr>
        <w:autoSpaceDE w:val="0"/>
        <w:autoSpaceDN w:val="0"/>
        <w:adjustRightInd w:val="0"/>
        <w:spacing w:line="240" w:lineRule="auto"/>
        <w:jc w:val="left"/>
        <w:rPr>
          <w:rFonts w:ascii="Arial" w:hAnsi="Arial" w:cs="Arial"/>
          <w:sz w:val="20"/>
          <w:szCs w:val="20"/>
        </w:rPr>
      </w:pPr>
    </w:p>
    <w:p w:rsidR="00567CCD" w:rsidRPr="004607C7" w:rsidRDefault="00567CCD" w:rsidP="004607C7">
      <w:pPr>
        <w:autoSpaceDE w:val="0"/>
        <w:autoSpaceDN w:val="0"/>
        <w:adjustRightInd w:val="0"/>
        <w:spacing w:line="240" w:lineRule="auto"/>
        <w:jc w:val="left"/>
        <w:rPr>
          <w:rFonts w:ascii="Arial" w:hAnsi="Arial" w:cs="Arial"/>
          <w:b/>
          <w:i/>
          <w:sz w:val="20"/>
          <w:szCs w:val="20"/>
        </w:rPr>
      </w:pPr>
      <w:r w:rsidRPr="004607C7">
        <w:rPr>
          <w:rFonts w:ascii="Arial" w:hAnsi="Arial" w:cs="Arial"/>
          <w:b/>
          <w:i/>
          <w:sz w:val="20"/>
          <w:szCs w:val="20"/>
        </w:rPr>
        <w:t>Table 4: 2023/24 Performance indicators and targets for the Administration programme</w:t>
      </w:r>
    </w:p>
    <w:tbl>
      <w:tblPr>
        <w:tblStyle w:val="TableGrid"/>
        <w:tblW w:w="10490" w:type="dxa"/>
        <w:tblInd w:w="-85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686"/>
        <w:gridCol w:w="3402"/>
        <w:gridCol w:w="3402"/>
      </w:tblGrid>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1.</w:t>
            </w:r>
            <w:r w:rsidRPr="004607C7">
              <w:rPr>
                <w:rFonts w:ascii="Arial" w:hAnsi="Arial" w:cs="Arial"/>
                <w:color w:val="000000"/>
                <w:sz w:val="20"/>
                <w:szCs w:val="20"/>
                <w:lang w:eastAsia="en-ZA"/>
              </w:rPr>
              <w:t xml:space="preserve"> Number of SAPS-owned firearms reported as stolen/lost: Target to reduce by 10% to 652 in 2023/24.</w:t>
            </w:r>
          </w:p>
          <w:p w:rsidR="00567CCD" w:rsidRPr="004607C7" w:rsidRDefault="00567CCD" w:rsidP="004607C7">
            <w:pPr>
              <w:autoSpaceDE w:val="0"/>
              <w:autoSpaceDN w:val="0"/>
              <w:adjustRightInd w:val="0"/>
              <w:spacing w:line="240" w:lineRule="auto"/>
              <w:jc w:val="left"/>
              <w:rPr>
                <w:rFonts w:ascii="Arial" w:hAnsi="Arial" w:cs="Arial"/>
                <w:sz w:val="20"/>
                <w:szCs w:val="20"/>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2.</w:t>
            </w:r>
            <w:r w:rsidRPr="004607C7">
              <w:rPr>
                <w:rFonts w:ascii="Arial" w:hAnsi="Arial" w:cs="Arial"/>
                <w:color w:val="000000"/>
                <w:sz w:val="20"/>
                <w:szCs w:val="20"/>
                <w:lang w:eastAsia="en-ZA"/>
              </w:rPr>
              <w:t xml:space="preserve"> The number of </w:t>
            </w:r>
            <w:r w:rsidRPr="004607C7">
              <w:rPr>
                <w:rFonts w:ascii="Arial" w:hAnsi="Arial" w:cs="Arial"/>
                <w:color w:val="000000"/>
                <w:sz w:val="20"/>
                <w:szCs w:val="20"/>
                <w:u w:val="single"/>
                <w:lang w:eastAsia="en-ZA"/>
              </w:rPr>
              <w:t>new police stations established</w:t>
            </w:r>
            <w:r w:rsidRPr="004607C7">
              <w:rPr>
                <w:rFonts w:ascii="Arial" w:hAnsi="Arial" w:cs="Arial"/>
                <w:color w:val="000000"/>
                <w:sz w:val="20"/>
                <w:szCs w:val="20"/>
                <w:lang w:eastAsia="en-ZA"/>
              </w:rPr>
              <w:t>, as per the SAPS Infrastructure Development Programme. The target to establish 2 new police stations in 2023/24.</w:t>
            </w:r>
          </w:p>
          <w:p w:rsidR="00567CCD" w:rsidRPr="004607C7" w:rsidRDefault="00567CCD" w:rsidP="004607C7">
            <w:pPr>
              <w:autoSpaceDE w:val="0"/>
              <w:autoSpaceDN w:val="0"/>
              <w:adjustRightInd w:val="0"/>
              <w:spacing w:line="240" w:lineRule="auto"/>
              <w:jc w:val="left"/>
              <w:rPr>
                <w:rFonts w:ascii="Arial" w:hAnsi="Arial" w:cs="Arial"/>
                <w:sz w:val="20"/>
                <w:szCs w:val="20"/>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3.</w:t>
            </w:r>
            <w:r w:rsidRPr="004607C7">
              <w:rPr>
                <w:rFonts w:ascii="Arial" w:hAnsi="Arial" w:cs="Arial"/>
                <w:color w:val="000000"/>
                <w:sz w:val="20"/>
                <w:szCs w:val="20"/>
                <w:lang w:eastAsia="en-ZA"/>
              </w:rPr>
              <w:t xml:space="preserve"> The number of mobile contact points procured. Target of 15 contact points in 2023/24. </w:t>
            </w:r>
          </w:p>
          <w:p w:rsidR="00567CCD" w:rsidRPr="004607C7" w:rsidRDefault="00567CCD" w:rsidP="004607C7">
            <w:pPr>
              <w:autoSpaceDE w:val="0"/>
              <w:autoSpaceDN w:val="0"/>
              <w:adjustRightInd w:val="0"/>
              <w:spacing w:line="240" w:lineRule="auto"/>
              <w:jc w:val="left"/>
              <w:rPr>
                <w:rFonts w:ascii="Arial" w:hAnsi="Arial" w:cs="Arial"/>
                <w:sz w:val="20"/>
                <w:szCs w:val="20"/>
              </w:rPr>
            </w:pP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sz w:val="20"/>
                <w:szCs w:val="20"/>
              </w:rPr>
            </w:pPr>
            <w:r w:rsidRPr="004607C7">
              <w:rPr>
                <w:rFonts w:ascii="Arial" w:hAnsi="Arial" w:cs="Arial"/>
                <w:b/>
                <w:sz w:val="20"/>
                <w:szCs w:val="20"/>
              </w:rPr>
              <w:t>4.</w:t>
            </w:r>
            <w:r w:rsidRPr="004607C7">
              <w:rPr>
                <w:rFonts w:ascii="Arial" w:hAnsi="Arial" w:cs="Arial"/>
                <w:sz w:val="20"/>
                <w:szCs w:val="20"/>
              </w:rPr>
              <w:t xml:space="preserve"> Number of identified Closed Circuit Television (CCTV) sited implemented. Target for 45 CCTV sites in 2023/24.</w:t>
            </w:r>
          </w:p>
          <w:p w:rsidR="00567CCD" w:rsidRPr="004607C7" w:rsidRDefault="00567CCD" w:rsidP="004607C7">
            <w:pPr>
              <w:autoSpaceDE w:val="0"/>
              <w:autoSpaceDN w:val="0"/>
              <w:adjustRightInd w:val="0"/>
              <w:spacing w:line="240" w:lineRule="auto"/>
              <w:jc w:val="left"/>
              <w:rPr>
                <w:rFonts w:ascii="Arial" w:hAnsi="Arial" w:cs="Arial"/>
                <w:b/>
                <w:sz w:val="20"/>
                <w:szCs w:val="20"/>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sz w:val="20"/>
                <w:szCs w:val="20"/>
              </w:rPr>
            </w:pPr>
            <w:r w:rsidRPr="004607C7">
              <w:rPr>
                <w:rFonts w:ascii="Arial" w:hAnsi="Arial" w:cs="Arial"/>
                <w:b/>
                <w:color w:val="000000"/>
                <w:sz w:val="20"/>
                <w:szCs w:val="20"/>
                <w:lang w:eastAsia="en-ZA"/>
              </w:rPr>
              <w:t>5.</w:t>
            </w:r>
            <w:r w:rsidRPr="004607C7">
              <w:rPr>
                <w:rFonts w:ascii="Arial" w:hAnsi="Arial" w:cs="Arial"/>
                <w:color w:val="000000"/>
                <w:sz w:val="20"/>
                <w:szCs w:val="20"/>
                <w:lang w:eastAsia="en-ZA"/>
              </w:rPr>
              <w:t xml:space="preserve"> Number of identified National Network Communication Infrastructure sites modernised and implemented. Target of 120 WAN sites in 2023/24. </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6.</w:t>
            </w:r>
            <w:r w:rsidRPr="004607C7">
              <w:rPr>
                <w:rFonts w:ascii="Arial" w:hAnsi="Arial" w:cs="Arial"/>
                <w:color w:val="000000"/>
                <w:sz w:val="20"/>
                <w:szCs w:val="20"/>
                <w:lang w:eastAsia="en-ZA"/>
              </w:rPr>
              <w:t xml:space="preserve"> Number of new SAPS Act recruits enlisted annually: Target of 10 000 by March 2024.</w:t>
            </w:r>
          </w:p>
          <w:p w:rsidR="00567CCD" w:rsidRPr="004607C7" w:rsidRDefault="00567CCD" w:rsidP="004607C7">
            <w:pPr>
              <w:autoSpaceDE w:val="0"/>
              <w:autoSpaceDN w:val="0"/>
              <w:adjustRightInd w:val="0"/>
              <w:spacing w:line="240" w:lineRule="auto"/>
              <w:jc w:val="left"/>
              <w:rPr>
                <w:rFonts w:ascii="Arial" w:hAnsi="Arial" w:cs="Arial"/>
                <w:b/>
                <w:sz w:val="20"/>
                <w:szCs w:val="20"/>
                <w:lang w:eastAsia="en-ZA"/>
              </w:rPr>
            </w:pPr>
            <w:r w:rsidRPr="004607C7">
              <w:rPr>
                <w:rFonts w:ascii="Arial" w:hAnsi="Arial" w:cs="Arial"/>
                <w:b/>
                <w:sz w:val="20"/>
                <w:szCs w:val="20"/>
                <w:lang w:eastAsia="en-ZA"/>
              </w:rPr>
              <w:t xml:space="preserve">New target  </w:t>
            </w:r>
          </w:p>
          <w:p w:rsidR="00567CCD" w:rsidRPr="004607C7" w:rsidRDefault="00567CCD" w:rsidP="004607C7">
            <w:pPr>
              <w:autoSpaceDE w:val="0"/>
              <w:autoSpaceDN w:val="0"/>
              <w:adjustRightInd w:val="0"/>
              <w:spacing w:line="240" w:lineRule="auto"/>
              <w:jc w:val="left"/>
              <w:rPr>
                <w:rFonts w:ascii="Arial" w:hAnsi="Arial" w:cs="Arial"/>
                <w:sz w:val="20"/>
                <w:szCs w:val="20"/>
              </w:rPr>
            </w:pP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7. </w:t>
            </w:r>
            <w:r w:rsidRPr="004607C7">
              <w:rPr>
                <w:rFonts w:ascii="Arial" w:hAnsi="Arial" w:cs="Arial"/>
                <w:color w:val="000000"/>
                <w:sz w:val="20"/>
                <w:szCs w:val="20"/>
                <w:lang w:eastAsia="en-ZA"/>
              </w:rPr>
              <w:t xml:space="preserve">Percentage of learners assessed and declared competent upon completion of specified training in prioritised training areas: </w:t>
            </w:r>
            <w:r w:rsidRPr="004607C7">
              <w:rPr>
                <w:rFonts w:ascii="Arial" w:hAnsi="Arial" w:cs="Arial"/>
                <w:color w:val="000000"/>
                <w:sz w:val="20"/>
                <w:szCs w:val="20"/>
                <w:u w:val="single"/>
                <w:lang w:eastAsia="en-ZA"/>
              </w:rPr>
              <w:t>Crime Prevention</w:t>
            </w:r>
            <w:r w:rsidRPr="004607C7">
              <w:rPr>
                <w:rFonts w:ascii="Arial" w:hAnsi="Arial" w:cs="Arial"/>
                <w:color w:val="000000"/>
                <w:sz w:val="20"/>
                <w:szCs w:val="20"/>
                <w:lang w:eastAsia="en-ZA"/>
              </w:rPr>
              <w:t xml:space="preserve">: Target of 97% of learners assessed and declared competent.  </w:t>
            </w:r>
          </w:p>
          <w:p w:rsidR="00567CCD" w:rsidRPr="004607C7" w:rsidRDefault="00567CCD" w:rsidP="004607C7">
            <w:pPr>
              <w:autoSpaceDE w:val="0"/>
              <w:autoSpaceDN w:val="0"/>
              <w:adjustRightInd w:val="0"/>
              <w:spacing w:line="240" w:lineRule="auto"/>
              <w:jc w:val="left"/>
              <w:rPr>
                <w:rFonts w:ascii="Arial" w:hAnsi="Arial" w:cs="Arial"/>
                <w:sz w:val="20"/>
                <w:szCs w:val="20"/>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8. </w:t>
            </w:r>
            <w:r w:rsidRPr="004607C7">
              <w:rPr>
                <w:rFonts w:ascii="Arial" w:hAnsi="Arial" w:cs="Arial"/>
                <w:color w:val="000000"/>
                <w:sz w:val="20"/>
                <w:szCs w:val="20"/>
                <w:lang w:eastAsia="en-ZA"/>
              </w:rPr>
              <w:t xml:space="preserve">Percentage of learners assessed and declared competent upon completion of specified training in prioritised training areas: </w:t>
            </w:r>
            <w:r w:rsidRPr="004607C7">
              <w:rPr>
                <w:rFonts w:ascii="Arial" w:hAnsi="Arial" w:cs="Arial"/>
                <w:color w:val="000000"/>
                <w:sz w:val="20"/>
                <w:szCs w:val="20"/>
                <w:u w:val="single"/>
                <w:lang w:eastAsia="en-ZA"/>
              </w:rPr>
              <w:t>Crimes committed against women and children</w:t>
            </w:r>
            <w:r w:rsidRPr="004607C7">
              <w:rPr>
                <w:rFonts w:ascii="Arial" w:hAnsi="Arial" w:cs="Arial"/>
                <w:color w:val="000000"/>
                <w:sz w:val="20"/>
                <w:szCs w:val="20"/>
                <w:lang w:eastAsia="en-ZA"/>
              </w:rPr>
              <w:t>: Target of 97% of learners assessed and declared competent.</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9. </w:t>
            </w:r>
            <w:r w:rsidRPr="004607C7">
              <w:rPr>
                <w:rFonts w:ascii="Arial" w:hAnsi="Arial" w:cs="Arial"/>
                <w:color w:val="000000"/>
                <w:sz w:val="20"/>
                <w:szCs w:val="20"/>
                <w:lang w:eastAsia="en-ZA"/>
              </w:rPr>
              <w:t xml:space="preserve">Percentage of learners assessed and declared competent upon completion of specified training in prioritised training areas: </w:t>
            </w:r>
            <w:r w:rsidRPr="004607C7">
              <w:rPr>
                <w:rFonts w:ascii="Arial" w:hAnsi="Arial" w:cs="Arial"/>
                <w:color w:val="000000"/>
                <w:sz w:val="20"/>
                <w:szCs w:val="20"/>
                <w:u w:val="single"/>
                <w:lang w:eastAsia="en-ZA"/>
              </w:rPr>
              <w:t>Crime Investigations</w:t>
            </w:r>
            <w:r w:rsidRPr="004607C7">
              <w:rPr>
                <w:rFonts w:ascii="Arial" w:hAnsi="Arial" w:cs="Arial"/>
                <w:color w:val="000000"/>
                <w:sz w:val="20"/>
                <w:szCs w:val="20"/>
                <w:lang w:eastAsia="en-ZA"/>
              </w:rPr>
              <w:t>: Target of 97% of learners assessed and declared competent.</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10. </w:t>
            </w:r>
            <w:r w:rsidRPr="004607C7">
              <w:rPr>
                <w:rFonts w:ascii="Arial" w:hAnsi="Arial" w:cs="Arial"/>
                <w:color w:val="000000"/>
                <w:sz w:val="20"/>
                <w:szCs w:val="20"/>
                <w:lang w:eastAsia="en-ZA"/>
              </w:rPr>
              <w:t xml:space="preserve">Percentage of learners assessed and declared competent upon completion of specified training in specialised capabilities: </w:t>
            </w:r>
            <w:r w:rsidRPr="004607C7">
              <w:rPr>
                <w:rFonts w:ascii="Arial" w:hAnsi="Arial" w:cs="Arial"/>
                <w:color w:val="000000"/>
                <w:sz w:val="20"/>
                <w:szCs w:val="20"/>
                <w:u w:val="single"/>
                <w:lang w:eastAsia="en-ZA"/>
              </w:rPr>
              <w:t>Public Order Policing</w:t>
            </w:r>
            <w:r w:rsidRPr="004607C7">
              <w:rPr>
                <w:rFonts w:ascii="Arial" w:hAnsi="Arial" w:cs="Arial"/>
                <w:color w:val="000000"/>
                <w:sz w:val="20"/>
                <w:szCs w:val="20"/>
                <w:lang w:eastAsia="en-ZA"/>
              </w:rPr>
              <w:t>: Target of 97% of learners assessed and declared competent.</w:t>
            </w:r>
          </w:p>
          <w:p w:rsidR="00567CCD" w:rsidRPr="004607C7" w:rsidRDefault="00567CCD" w:rsidP="004607C7">
            <w:pPr>
              <w:autoSpaceDE w:val="0"/>
              <w:autoSpaceDN w:val="0"/>
              <w:adjustRightInd w:val="0"/>
              <w:spacing w:line="240" w:lineRule="auto"/>
              <w:jc w:val="left"/>
              <w:rPr>
                <w:rFonts w:ascii="Arial" w:hAnsi="Arial" w:cs="Arial"/>
                <w:sz w:val="20"/>
                <w:szCs w:val="20"/>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11. </w:t>
            </w:r>
            <w:r w:rsidRPr="004607C7">
              <w:rPr>
                <w:rFonts w:ascii="Arial" w:hAnsi="Arial" w:cs="Arial"/>
                <w:color w:val="000000"/>
                <w:sz w:val="20"/>
                <w:szCs w:val="20"/>
                <w:lang w:eastAsia="en-ZA"/>
              </w:rPr>
              <w:t xml:space="preserve">Percentage of learners assessed and declared competent upon completion of specified training in specialised capabilities: </w:t>
            </w:r>
            <w:r w:rsidRPr="004607C7">
              <w:rPr>
                <w:rFonts w:ascii="Arial" w:hAnsi="Arial" w:cs="Arial"/>
                <w:color w:val="000000"/>
                <w:sz w:val="20"/>
                <w:szCs w:val="20"/>
                <w:u w:val="single"/>
                <w:lang w:eastAsia="en-ZA"/>
              </w:rPr>
              <w:t>Forensic Science</w:t>
            </w:r>
            <w:r w:rsidRPr="004607C7">
              <w:rPr>
                <w:rFonts w:ascii="Arial" w:hAnsi="Arial" w:cs="Arial"/>
                <w:color w:val="000000"/>
                <w:sz w:val="20"/>
                <w:szCs w:val="20"/>
                <w:lang w:eastAsia="en-ZA"/>
              </w:rPr>
              <w:t>: Target of 97% of learners assessed and declared competent.</w:t>
            </w:r>
          </w:p>
          <w:p w:rsidR="00567CCD" w:rsidRPr="004607C7" w:rsidRDefault="00567CCD" w:rsidP="004607C7">
            <w:pPr>
              <w:autoSpaceDE w:val="0"/>
              <w:autoSpaceDN w:val="0"/>
              <w:adjustRightInd w:val="0"/>
              <w:spacing w:line="240" w:lineRule="auto"/>
              <w:jc w:val="left"/>
              <w:rPr>
                <w:rFonts w:ascii="Arial" w:hAnsi="Arial" w:cs="Arial"/>
                <w:sz w:val="20"/>
                <w:szCs w:val="20"/>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12. </w:t>
            </w:r>
            <w:r w:rsidRPr="004607C7">
              <w:rPr>
                <w:rFonts w:ascii="Arial" w:hAnsi="Arial" w:cs="Arial"/>
                <w:color w:val="000000"/>
                <w:sz w:val="20"/>
                <w:szCs w:val="20"/>
                <w:lang w:eastAsia="en-ZA"/>
              </w:rPr>
              <w:t xml:space="preserve">Percentage of learners assessed and declared competent upon completion of specified training in specialised capabilities: </w:t>
            </w:r>
            <w:r w:rsidRPr="004607C7">
              <w:rPr>
                <w:rFonts w:ascii="Arial" w:hAnsi="Arial" w:cs="Arial"/>
                <w:color w:val="000000"/>
                <w:sz w:val="20"/>
                <w:szCs w:val="20"/>
                <w:u w:val="single"/>
                <w:lang w:eastAsia="en-ZA"/>
              </w:rPr>
              <w:t>Crime Intelligence</w:t>
            </w:r>
            <w:r w:rsidRPr="004607C7">
              <w:rPr>
                <w:rFonts w:ascii="Arial" w:hAnsi="Arial" w:cs="Arial"/>
                <w:color w:val="000000"/>
                <w:sz w:val="20"/>
                <w:szCs w:val="20"/>
                <w:lang w:eastAsia="en-ZA"/>
              </w:rPr>
              <w:t xml:space="preserve">: Target of 97% of learners assessed and declared competent. </w:t>
            </w:r>
          </w:p>
          <w:p w:rsidR="00567CCD" w:rsidRPr="004607C7" w:rsidRDefault="00567CCD" w:rsidP="004607C7">
            <w:pPr>
              <w:autoSpaceDE w:val="0"/>
              <w:autoSpaceDN w:val="0"/>
              <w:adjustRightInd w:val="0"/>
              <w:spacing w:line="240" w:lineRule="auto"/>
              <w:jc w:val="left"/>
              <w:rPr>
                <w:rFonts w:ascii="Arial" w:hAnsi="Arial" w:cs="Arial"/>
                <w:sz w:val="20"/>
                <w:szCs w:val="20"/>
              </w:rPr>
            </w:pP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13. </w:t>
            </w:r>
            <w:r w:rsidRPr="004607C7">
              <w:rPr>
                <w:rFonts w:ascii="Arial" w:hAnsi="Arial" w:cs="Arial"/>
                <w:color w:val="000000"/>
                <w:sz w:val="20"/>
                <w:szCs w:val="20"/>
                <w:lang w:eastAsia="en-ZA"/>
              </w:rPr>
              <w:t xml:space="preserve">Percentage of learners assessed and declared competent upon completion of specified training in specialised capabilities: </w:t>
            </w:r>
            <w:r w:rsidRPr="004607C7">
              <w:rPr>
                <w:rFonts w:ascii="Arial" w:hAnsi="Arial" w:cs="Arial"/>
                <w:color w:val="000000"/>
                <w:sz w:val="20"/>
                <w:szCs w:val="20"/>
                <w:u w:val="single"/>
                <w:lang w:eastAsia="en-ZA"/>
              </w:rPr>
              <w:t>Cybercrime</w:t>
            </w:r>
            <w:r w:rsidRPr="004607C7">
              <w:rPr>
                <w:rFonts w:ascii="Arial" w:hAnsi="Arial" w:cs="Arial"/>
                <w:color w:val="000000"/>
                <w:sz w:val="20"/>
                <w:szCs w:val="20"/>
                <w:lang w:eastAsia="en-ZA"/>
              </w:rPr>
              <w:t xml:space="preserve">: Target of 97% of learners assessed and declared competent. </w:t>
            </w:r>
          </w:p>
          <w:p w:rsidR="00567CCD" w:rsidRPr="004607C7" w:rsidRDefault="00567CCD" w:rsidP="004607C7">
            <w:pPr>
              <w:autoSpaceDE w:val="0"/>
              <w:autoSpaceDN w:val="0"/>
              <w:adjustRightInd w:val="0"/>
              <w:spacing w:line="240" w:lineRule="auto"/>
              <w:jc w:val="left"/>
              <w:rPr>
                <w:rFonts w:ascii="Arial" w:hAnsi="Arial" w:cs="Arial"/>
                <w:sz w:val="20"/>
                <w:szCs w:val="20"/>
              </w:rPr>
            </w:pPr>
          </w:p>
        </w:tc>
        <w:tc>
          <w:tcPr>
            <w:tcW w:w="3402" w:type="dxa"/>
          </w:tcPr>
          <w:p w:rsidR="00567CCD" w:rsidRPr="004607C7" w:rsidRDefault="00567CCD" w:rsidP="004607C7">
            <w:pPr>
              <w:pStyle w:val="Pa5"/>
              <w:spacing w:line="240" w:lineRule="auto"/>
              <w:rPr>
                <w:rFonts w:ascii="Arial" w:hAnsi="Arial" w:cs="Arial"/>
                <w:color w:val="000000"/>
                <w:sz w:val="20"/>
                <w:szCs w:val="20"/>
              </w:rPr>
            </w:pPr>
            <w:r w:rsidRPr="004607C7">
              <w:rPr>
                <w:rFonts w:ascii="Arial" w:hAnsi="Arial" w:cs="Arial"/>
                <w:b/>
                <w:color w:val="000000"/>
                <w:sz w:val="20"/>
                <w:szCs w:val="20"/>
              </w:rPr>
              <w:t xml:space="preserve">14. </w:t>
            </w:r>
            <w:r w:rsidRPr="004607C7">
              <w:rPr>
                <w:rFonts w:ascii="Arial" w:hAnsi="Arial" w:cs="Arial"/>
                <w:color w:val="000000"/>
                <w:sz w:val="20"/>
                <w:szCs w:val="20"/>
              </w:rPr>
              <w:t xml:space="preserve">Percentage of learners assessed and declared competent upon completion of specified training in </w:t>
            </w:r>
            <w:r w:rsidRPr="004607C7">
              <w:rPr>
                <w:rFonts w:ascii="Arial" w:hAnsi="Arial" w:cs="Arial"/>
                <w:color w:val="000000"/>
                <w:sz w:val="20"/>
                <w:szCs w:val="20"/>
                <w:u w:val="single"/>
              </w:rPr>
              <w:t>Leadership and Management Development Programmes</w:t>
            </w:r>
            <w:r w:rsidRPr="004607C7">
              <w:rPr>
                <w:rFonts w:ascii="Arial" w:hAnsi="Arial" w:cs="Arial"/>
                <w:color w:val="000000"/>
                <w:sz w:val="20"/>
                <w:szCs w:val="20"/>
              </w:rPr>
              <w:t>.  Target of 97% of learners assessed and declared competent.</w:t>
            </w:r>
          </w:p>
          <w:p w:rsidR="00567CCD" w:rsidRPr="004607C7" w:rsidRDefault="00567CCD" w:rsidP="004607C7">
            <w:pPr>
              <w:pStyle w:val="Default"/>
              <w:rPr>
                <w:sz w:val="20"/>
                <w:szCs w:val="20"/>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15. </w:t>
            </w:r>
            <w:r w:rsidRPr="004607C7">
              <w:rPr>
                <w:rFonts w:ascii="Arial" w:hAnsi="Arial" w:cs="Arial"/>
                <w:color w:val="000000"/>
                <w:sz w:val="20"/>
                <w:szCs w:val="20"/>
                <w:lang w:eastAsia="en-ZA"/>
              </w:rPr>
              <w:t xml:space="preserve">Percentage of planned ethics and integrity advocacy and awareness programmes completed. Target of 100% (48) programmes completed in 2023/24. </w:t>
            </w:r>
          </w:p>
          <w:p w:rsidR="00567CCD" w:rsidRPr="004607C7" w:rsidRDefault="00567CCD" w:rsidP="004607C7">
            <w:pPr>
              <w:autoSpaceDE w:val="0"/>
              <w:autoSpaceDN w:val="0"/>
              <w:adjustRightInd w:val="0"/>
              <w:spacing w:line="240" w:lineRule="auto"/>
              <w:jc w:val="left"/>
              <w:rPr>
                <w:rFonts w:ascii="Arial" w:hAnsi="Arial" w:cs="Arial"/>
                <w:sz w:val="20"/>
                <w:szCs w:val="20"/>
              </w:rPr>
            </w:pP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16. </w:t>
            </w:r>
            <w:r w:rsidRPr="004607C7">
              <w:rPr>
                <w:rFonts w:ascii="Arial" w:hAnsi="Arial" w:cs="Arial"/>
                <w:color w:val="000000"/>
                <w:sz w:val="20"/>
                <w:szCs w:val="20"/>
                <w:lang w:eastAsia="en-ZA"/>
              </w:rPr>
              <w:t xml:space="preserve">Number of incidents of </w:t>
            </w:r>
            <w:r w:rsidRPr="004607C7">
              <w:rPr>
                <w:rFonts w:ascii="Arial" w:hAnsi="Arial" w:cs="Arial"/>
                <w:color w:val="000000"/>
                <w:sz w:val="20"/>
                <w:szCs w:val="20"/>
                <w:u w:val="single"/>
                <w:lang w:eastAsia="en-ZA"/>
              </w:rPr>
              <w:t>unauthorised expenditure</w:t>
            </w:r>
            <w:r w:rsidRPr="004607C7">
              <w:rPr>
                <w:rFonts w:ascii="Arial" w:hAnsi="Arial" w:cs="Arial"/>
                <w:color w:val="000000"/>
                <w:sz w:val="20"/>
                <w:szCs w:val="20"/>
                <w:lang w:eastAsia="en-ZA"/>
              </w:rPr>
              <w:t xml:space="preserve">: Target to record zero incidents of unauthorised expenditure. </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17. </w:t>
            </w:r>
            <w:r w:rsidRPr="004607C7">
              <w:rPr>
                <w:rFonts w:ascii="Arial" w:hAnsi="Arial" w:cs="Arial"/>
                <w:color w:val="000000"/>
                <w:sz w:val="20"/>
                <w:szCs w:val="20"/>
                <w:lang w:eastAsia="en-ZA"/>
              </w:rPr>
              <w:t xml:space="preserve">Percentage decrease in the number of incidents of confirmed </w:t>
            </w:r>
            <w:r w:rsidRPr="004607C7">
              <w:rPr>
                <w:rFonts w:ascii="Arial" w:hAnsi="Arial" w:cs="Arial"/>
                <w:color w:val="000000"/>
                <w:sz w:val="20"/>
                <w:szCs w:val="20"/>
                <w:u w:val="single"/>
                <w:lang w:eastAsia="en-ZA"/>
              </w:rPr>
              <w:t>irregular expenditure</w:t>
            </w:r>
            <w:r w:rsidRPr="004607C7">
              <w:rPr>
                <w:rFonts w:ascii="Arial" w:hAnsi="Arial" w:cs="Arial"/>
                <w:color w:val="000000"/>
                <w:sz w:val="20"/>
                <w:szCs w:val="20"/>
                <w:lang w:eastAsia="en-ZA"/>
              </w:rPr>
              <w:t xml:space="preserve">. The 2023/24 target is a reduction of 72.25%. </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18. </w:t>
            </w:r>
            <w:r w:rsidRPr="004607C7">
              <w:rPr>
                <w:rFonts w:ascii="Arial" w:hAnsi="Arial" w:cs="Arial"/>
                <w:color w:val="000000"/>
                <w:sz w:val="20"/>
                <w:szCs w:val="20"/>
                <w:lang w:eastAsia="en-ZA"/>
              </w:rPr>
              <w:t xml:space="preserve">Percentage decrease in the number of incidents of </w:t>
            </w:r>
            <w:r w:rsidRPr="004607C7">
              <w:rPr>
                <w:rFonts w:ascii="Arial" w:hAnsi="Arial" w:cs="Arial"/>
                <w:color w:val="000000"/>
                <w:sz w:val="20"/>
                <w:szCs w:val="20"/>
                <w:u w:val="single"/>
                <w:lang w:eastAsia="en-ZA"/>
              </w:rPr>
              <w:t>fruitless and wasteful expenditure</w:t>
            </w:r>
            <w:r w:rsidRPr="004607C7">
              <w:rPr>
                <w:rFonts w:ascii="Arial" w:hAnsi="Arial" w:cs="Arial"/>
                <w:color w:val="000000"/>
                <w:sz w:val="20"/>
                <w:szCs w:val="20"/>
                <w:lang w:eastAsia="en-ZA"/>
              </w:rPr>
              <w:t xml:space="preserve">. The 2022/23 target is a reduction of 80%. However, a 103.7% increase was recorded in 2021/22. </w:t>
            </w: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19. </w:t>
            </w:r>
            <w:r w:rsidRPr="004607C7">
              <w:rPr>
                <w:rFonts w:ascii="Arial" w:hAnsi="Arial" w:cs="Arial"/>
                <w:color w:val="000000"/>
                <w:sz w:val="20"/>
                <w:szCs w:val="20"/>
                <w:lang w:eastAsia="en-ZA"/>
              </w:rPr>
              <w:t xml:space="preserve">Percentage of </w:t>
            </w:r>
            <w:r w:rsidRPr="004607C7">
              <w:rPr>
                <w:rFonts w:ascii="Arial" w:hAnsi="Arial" w:cs="Arial"/>
                <w:color w:val="000000"/>
                <w:sz w:val="20"/>
                <w:szCs w:val="20"/>
                <w:u w:val="single"/>
                <w:lang w:eastAsia="en-ZA"/>
              </w:rPr>
              <w:t>audits completed</w:t>
            </w:r>
            <w:r w:rsidRPr="004607C7">
              <w:rPr>
                <w:rFonts w:ascii="Arial" w:hAnsi="Arial" w:cs="Arial"/>
                <w:color w:val="000000"/>
                <w:sz w:val="20"/>
                <w:szCs w:val="20"/>
                <w:lang w:eastAsia="en-ZA"/>
              </w:rPr>
              <w:t xml:space="preserve"> in terms of the Internal Audit Plan: Target remains unchanged at 100%. </w:t>
            </w:r>
          </w:p>
          <w:p w:rsidR="00567CCD" w:rsidRPr="004607C7" w:rsidRDefault="00567CCD" w:rsidP="004607C7">
            <w:pPr>
              <w:autoSpaceDE w:val="0"/>
              <w:autoSpaceDN w:val="0"/>
              <w:adjustRightInd w:val="0"/>
              <w:spacing w:line="240" w:lineRule="auto"/>
              <w:jc w:val="left"/>
              <w:rPr>
                <w:rFonts w:ascii="Arial" w:hAnsi="Arial" w:cs="Arial"/>
                <w:sz w:val="20"/>
                <w:szCs w:val="20"/>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20. </w:t>
            </w:r>
            <w:r w:rsidRPr="004607C7">
              <w:rPr>
                <w:rFonts w:ascii="Arial" w:hAnsi="Arial" w:cs="Arial"/>
                <w:color w:val="000000"/>
                <w:sz w:val="20"/>
                <w:szCs w:val="20"/>
                <w:lang w:eastAsia="en-ZA"/>
              </w:rPr>
              <w:t xml:space="preserve">Percentage of planned </w:t>
            </w:r>
            <w:r w:rsidRPr="004607C7">
              <w:rPr>
                <w:rFonts w:ascii="Arial" w:hAnsi="Arial" w:cs="Arial"/>
                <w:color w:val="000000"/>
                <w:sz w:val="20"/>
                <w:szCs w:val="20"/>
                <w:u w:val="single"/>
                <w:lang w:eastAsia="en-ZA"/>
              </w:rPr>
              <w:t>forensic investigations</w:t>
            </w:r>
            <w:r w:rsidRPr="004607C7">
              <w:rPr>
                <w:rFonts w:ascii="Arial" w:hAnsi="Arial" w:cs="Arial"/>
                <w:color w:val="000000"/>
                <w:sz w:val="20"/>
                <w:szCs w:val="20"/>
                <w:lang w:eastAsia="en-ZA"/>
              </w:rPr>
              <w:t xml:space="preserve"> finalised: Target remains unchanged at 100%. Note that the forensic investigations are those conducted within the SAPS by the Internal Audit Component.  </w:t>
            </w:r>
          </w:p>
          <w:p w:rsidR="00567CCD" w:rsidRPr="004607C7" w:rsidRDefault="00567CCD" w:rsidP="004607C7">
            <w:pPr>
              <w:autoSpaceDE w:val="0"/>
              <w:autoSpaceDN w:val="0"/>
              <w:adjustRightInd w:val="0"/>
              <w:spacing w:line="240" w:lineRule="auto"/>
              <w:jc w:val="left"/>
              <w:rPr>
                <w:rFonts w:ascii="Arial" w:hAnsi="Arial" w:cs="Arial"/>
                <w:sz w:val="20"/>
                <w:szCs w:val="20"/>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21. </w:t>
            </w:r>
            <w:r w:rsidRPr="004607C7">
              <w:rPr>
                <w:rFonts w:ascii="Arial" w:hAnsi="Arial" w:cs="Arial"/>
                <w:color w:val="000000"/>
                <w:sz w:val="20"/>
                <w:szCs w:val="20"/>
                <w:lang w:eastAsia="en-ZA"/>
              </w:rPr>
              <w:t xml:space="preserve">Percentage of </w:t>
            </w:r>
            <w:r w:rsidRPr="004607C7">
              <w:rPr>
                <w:rFonts w:ascii="Arial" w:hAnsi="Arial" w:cs="Arial"/>
                <w:color w:val="000000"/>
                <w:sz w:val="20"/>
                <w:szCs w:val="20"/>
                <w:u w:val="single"/>
                <w:lang w:eastAsia="en-ZA"/>
              </w:rPr>
              <w:t>inspections executed</w:t>
            </w:r>
            <w:r w:rsidRPr="004607C7">
              <w:rPr>
                <w:rFonts w:ascii="Arial" w:hAnsi="Arial" w:cs="Arial"/>
                <w:color w:val="000000"/>
                <w:sz w:val="20"/>
                <w:szCs w:val="20"/>
                <w:lang w:eastAsia="en-ZA"/>
              </w:rPr>
              <w:t xml:space="preserve"> in terms of the approved Inspection Plan: Target remains unchanged at 100% (309</w:t>
            </w:r>
            <w:r w:rsidR="0052537C" w:rsidRPr="004607C7">
              <w:rPr>
                <w:rFonts w:ascii="Arial" w:hAnsi="Arial" w:cs="Arial"/>
                <w:color w:val="000000"/>
                <w:sz w:val="20"/>
                <w:szCs w:val="20"/>
                <w:lang w:eastAsia="en-ZA"/>
              </w:rPr>
              <w:t xml:space="preserve"> </w:t>
            </w:r>
            <w:r w:rsidRPr="004607C7">
              <w:rPr>
                <w:rFonts w:ascii="Arial" w:hAnsi="Arial" w:cs="Arial"/>
                <w:color w:val="000000"/>
                <w:sz w:val="20"/>
                <w:szCs w:val="20"/>
                <w:lang w:eastAsia="en-ZA"/>
              </w:rPr>
              <w:t>inspections).</w:t>
            </w:r>
          </w:p>
          <w:p w:rsidR="00567CCD" w:rsidRPr="004607C7" w:rsidRDefault="00567CCD" w:rsidP="004607C7">
            <w:pPr>
              <w:autoSpaceDE w:val="0"/>
              <w:autoSpaceDN w:val="0"/>
              <w:adjustRightInd w:val="0"/>
              <w:spacing w:line="240" w:lineRule="auto"/>
              <w:jc w:val="left"/>
              <w:rPr>
                <w:rFonts w:ascii="Arial" w:hAnsi="Arial" w:cs="Arial"/>
                <w:sz w:val="20"/>
                <w:szCs w:val="20"/>
              </w:rPr>
            </w:pP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22. </w:t>
            </w:r>
            <w:r w:rsidRPr="004607C7">
              <w:rPr>
                <w:rFonts w:ascii="Arial" w:hAnsi="Arial" w:cs="Arial"/>
                <w:color w:val="000000"/>
                <w:sz w:val="20"/>
                <w:szCs w:val="20"/>
                <w:lang w:eastAsia="en-ZA"/>
              </w:rPr>
              <w:t xml:space="preserve">Date of finalisation of the Information Systems and Information and Communication Technology </w:t>
            </w:r>
            <w:r w:rsidRPr="004607C7">
              <w:rPr>
                <w:rFonts w:ascii="Arial" w:hAnsi="Arial" w:cs="Arial"/>
                <w:color w:val="000000"/>
                <w:sz w:val="20"/>
                <w:szCs w:val="20"/>
                <w:lang w:eastAsia="en-ZA"/>
              </w:rPr>
              <w:lastRenderedPageBreak/>
              <w:t xml:space="preserve">Business Continuity Plan. Target: Implementation by 31 March 2024. </w:t>
            </w:r>
          </w:p>
          <w:p w:rsidR="00567CCD" w:rsidRPr="004607C7" w:rsidRDefault="00567CCD" w:rsidP="004607C7">
            <w:pPr>
              <w:autoSpaceDE w:val="0"/>
              <w:autoSpaceDN w:val="0"/>
              <w:adjustRightInd w:val="0"/>
              <w:spacing w:line="240" w:lineRule="auto"/>
              <w:jc w:val="left"/>
              <w:rPr>
                <w:rFonts w:ascii="Arial" w:hAnsi="Arial" w:cs="Arial"/>
                <w:b/>
                <w:sz w:val="20"/>
                <w:szCs w:val="20"/>
                <w:lang w:eastAsia="en-ZA"/>
              </w:rPr>
            </w:pPr>
            <w:r w:rsidRPr="004607C7">
              <w:rPr>
                <w:rFonts w:ascii="Arial" w:hAnsi="Arial" w:cs="Arial"/>
                <w:b/>
                <w:sz w:val="20"/>
                <w:szCs w:val="20"/>
                <w:lang w:eastAsia="en-ZA"/>
              </w:rPr>
              <w:t xml:space="preserve">New target </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b/>
                <w:sz w:val="20"/>
                <w:szCs w:val="20"/>
                <w:lang w:eastAsia="en-ZA"/>
              </w:rPr>
            </w:pPr>
            <w:r w:rsidRPr="004607C7">
              <w:rPr>
                <w:rFonts w:ascii="Arial" w:hAnsi="Arial" w:cs="Arial"/>
                <w:b/>
                <w:sz w:val="20"/>
                <w:szCs w:val="20"/>
                <w:lang w:eastAsia="en-ZA"/>
              </w:rPr>
              <w:lastRenderedPageBreak/>
              <w:t xml:space="preserve">23. </w:t>
            </w:r>
            <w:r w:rsidRPr="004607C7">
              <w:rPr>
                <w:rFonts w:ascii="Arial" w:hAnsi="Arial" w:cs="Arial"/>
                <w:sz w:val="20"/>
                <w:szCs w:val="20"/>
                <w:lang w:eastAsia="en-ZA"/>
              </w:rPr>
              <w:t xml:space="preserve">Percentage of IPID-related cases finalised within the prescribed timeframe. Target </w:t>
            </w:r>
            <w:r w:rsidRPr="004607C7">
              <w:rPr>
                <w:rFonts w:ascii="Arial" w:hAnsi="Arial" w:cs="Arial"/>
                <w:sz w:val="20"/>
                <w:szCs w:val="20"/>
                <w:lang w:eastAsia="en-ZA"/>
              </w:rPr>
              <w:lastRenderedPageBreak/>
              <w:t xml:space="preserve">remains unchanged in 2023/24 at 90% of cases finalised within 60 calendar days.  </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r>
    </w:tbl>
    <w:p w:rsidR="00567CCD" w:rsidRPr="004607C7" w:rsidRDefault="00567CCD" w:rsidP="004607C7">
      <w:pPr>
        <w:spacing w:line="240" w:lineRule="auto"/>
        <w:jc w:val="left"/>
        <w:rPr>
          <w:rFonts w:ascii="Arial" w:hAnsi="Arial" w:cs="Arial"/>
          <w:i/>
          <w:color w:val="000000"/>
          <w:sz w:val="20"/>
          <w:szCs w:val="20"/>
          <w:lang w:eastAsia="en-ZA"/>
        </w:rPr>
      </w:pPr>
      <w:r w:rsidRPr="004607C7">
        <w:rPr>
          <w:rFonts w:ascii="Arial" w:hAnsi="Arial" w:cs="Arial"/>
          <w:i/>
          <w:color w:val="000000"/>
          <w:sz w:val="20"/>
          <w:szCs w:val="20"/>
          <w:lang w:eastAsia="en-ZA"/>
        </w:rPr>
        <w:lastRenderedPageBreak/>
        <w:t>Source: SAPS 2023/24 APP</w:t>
      </w: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 xml:space="preserve">In 2023, the SAPS will pursue its exemption from the SITA Act, including the establishment of internal capacity to manage functions taken over from SITA and the exploration of other service provisioning models such as Public-Private Partnerships and Build Own Transfers.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3"/>
        <w:numPr>
          <w:ilvl w:val="2"/>
          <w:numId w:val="4"/>
        </w:numPr>
        <w:spacing w:line="240" w:lineRule="auto"/>
        <w:jc w:val="left"/>
        <w:rPr>
          <w:rFonts w:ascii="Arial" w:hAnsi="Arial" w:cs="Arial"/>
          <w:sz w:val="20"/>
          <w:szCs w:val="20"/>
        </w:rPr>
      </w:pPr>
      <w:bookmarkStart w:id="13" w:name="_Toc132206879"/>
      <w:r w:rsidRPr="004607C7">
        <w:rPr>
          <w:rFonts w:ascii="Arial" w:hAnsi="Arial" w:cs="Arial"/>
          <w:sz w:val="20"/>
          <w:szCs w:val="20"/>
        </w:rPr>
        <w:t>Budget allocation</w:t>
      </w:r>
      <w:bookmarkEnd w:id="13"/>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Administration Programme received a Main Appropriation of R20.97 billion in 2023/24, which is a nominal increase of R465.3 million or 2.3 per cent compared to the previous financial year. In real terms, the Programme’s Appropriation decreased with 2.5 per cent (or R514.5 million).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increased allocation lies almost exclusively in the Operational Services subprogramme, which increased by 2.29 per cent from R20.3 billion in 2022/23 to R20.8 billion in 2023/24. The Ministry subprogramme received a nominal percentage increase of 0.29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5: Administration Programme: Difference in 2022/23 and 2023/24 budget allocation</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992"/>
        <w:gridCol w:w="997"/>
        <w:gridCol w:w="1129"/>
        <w:gridCol w:w="1134"/>
        <w:gridCol w:w="1418"/>
        <w:gridCol w:w="1720"/>
      </w:tblGrid>
      <w:tr w:rsidR="00567CCD" w:rsidRPr="004607C7" w:rsidTr="00567CCD">
        <w:trPr>
          <w:trHeight w:val="765"/>
        </w:trPr>
        <w:tc>
          <w:tcPr>
            <w:tcW w:w="198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Programme</w:t>
            </w:r>
          </w:p>
        </w:tc>
        <w:tc>
          <w:tcPr>
            <w:tcW w:w="1989" w:type="dxa"/>
            <w:gridSpan w:val="2"/>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Budget</w:t>
            </w:r>
          </w:p>
        </w:tc>
        <w:tc>
          <w:tcPr>
            <w:tcW w:w="1129"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Nominal Increase / Decrease in 2023/24</w:t>
            </w:r>
          </w:p>
        </w:tc>
        <w:tc>
          <w:tcPr>
            <w:tcW w:w="1134"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Real Increase / Decrease in 2023/24</w:t>
            </w:r>
          </w:p>
        </w:tc>
        <w:tc>
          <w:tcPr>
            <w:tcW w:w="1418"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Nominal Percent change in 2023/24</w:t>
            </w:r>
          </w:p>
        </w:tc>
        <w:tc>
          <w:tcPr>
            <w:tcW w:w="1720"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Real Percent change in 2023/24</w:t>
            </w:r>
          </w:p>
        </w:tc>
      </w:tr>
      <w:tr w:rsidR="00567CCD" w:rsidRPr="004607C7" w:rsidTr="00567CCD">
        <w:trPr>
          <w:trHeight w:val="264"/>
        </w:trPr>
        <w:tc>
          <w:tcPr>
            <w:tcW w:w="198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 million</w:t>
            </w:r>
          </w:p>
        </w:tc>
        <w:tc>
          <w:tcPr>
            <w:tcW w:w="992"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2022/23</w:t>
            </w:r>
          </w:p>
        </w:tc>
        <w:tc>
          <w:tcPr>
            <w:tcW w:w="99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2023/24</w:t>
            </w:r>
          </w:p>
        </w:tc>
        <w:tc>
          <w:tcPr>
            <w:tcW w:w="1129"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134"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418"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720"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r>
      <w:tr w:rsidR="00567CCD" w:rsidRPr="004607C7" w:rsidTr="00567CCD">
        <w:trPr>
          <w:trHeight w:val="264"/>
        </w:trPr>
        <w:tc>
          <w:tcPr>
            <w:tcW w:w="198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1: Ministry</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64,0</w:t>
            </w:r>
          </w:p>
        </w:tc>
        <w:tc>
          <w:tcPr>
            <w:tcW w:w="99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64,2</w:t>
            </w:r>
          </w:p>
        </w:tc>
        <w:tc>
          <w:tcPr>
            <w:tcW w:w="112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0,2</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2,8</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0,29 per cent</w:t>
            </w:r>
          </w:p>
        </w:tc>
        <w:tc>
          <w:tcPr>
            <w:tcW w:w="172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-4,39 per cent</w:t>
            </w:r>
          </w:p>
        </w:tc>
      </w:tr>
      <w:tr w:rsidR="00567CCD" w:rsidRPr="004607C7" w:rsidTr="00567CCD">
        <w:trPr>
          <w:trHeight w:val="264"/>
        </w:trPr>
        <w:tc>
          <w:tcPr>
            <w:tcW w:w="198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2: Management</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107,2</w:t>
            </w:r>
          </w:p>
        </w:tc>
        <w:tc>
          <w:tcPr>
            <w:tcW w:w="99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107,2</w:t>
            </w:r>
          </w:p>
        </w:tc>
        <w:tc>
          <w:tcPr>
            <w:tcW w:w="112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0,1</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5,1</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-0,06 per cent</w:t>
            </w:r>
          </w:p>
        </w:tc>
        <w:tc>
          <w:tcPr>
            <w:tcW w:w="172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-4,72 per cent</w:t>
            </w:r>
          </w:p>
        </w:tc>
      </w:tr>
      <w:tr w:rsidR="00567CCD" w:rsidRPr="004607C7" w:rsidTr="00567CCD">
        <w:trPr>
          <w:trHeight w:val="264"/>
        </w:trPr>
        <w:tc>
          <w:tcPr>
            <w:tcW w:w="198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Sub-programme 3: Operational Services </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20 340,8</w:t>
            </w:r>
          </w:p>
        </w:tc>
        <w:tc>
          <w:tcPr>
            <w:tcW w:w="99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20 806,0</w:t>
            </w:r>
          </w:p>
        </w:tc>
        <w:tc>
          <w:tcPr>
            <w:tcW w:w="112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465,2</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506,7</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2,29 per cent</w:t>
            </w:r>
          </w:p>
        </w:tc>
        <w:tc>
          <w:tcPr>
            <w:tcW w:w="172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-2,49 per cent</w:t>
            </w:r>
          </w:p>
        </w:tc>
      </w:tr>
      <w:tr w:rsidR="00567CCD" w:rsidRPr="004607C7" w:rsidTr="00567CCD">
        <w:trPr>
          <w:trHeight w:val="264"/>
        </w:trPr>
        <w:tc>
          <w:tcPr>
            <w:tcW w:w="198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TOTAL</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20 512,0</w:t>
            </w:r>
          </w:p>
        </w:tc>
        <w:tc>
          <w:tcPr>
            <w:tcW w:w="99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20 977,3</w:t>
            </w:r>
          </w:p>
        </w:tc>
        <w:tc>
          <w:tcPr>
            <w:tcW w:w="112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465,3</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514,5</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2,3 per cent</w:t>
            </w:r>
          </w:p>
        </w:tc>
        <w:tc>
          <w:tcPr>
            <w:tcW w:w="172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-2,51 per cent</w:t>
            </w:r>
          </w:p>
        </w:tc>
      </w:tr>
    </w:tbl>
    <w:p w:rsidR="00567CCD" w:rsidRPr="004607C7" w:rsidRDefault="00567CCD" w:rsidP="004607C7">
      <w:pPr>
        <w:spacing w:line="240" w:lineRule="auto"/>
        <w:jc w:val="left"/>
        <w:rPr>
          <w:rFonts w:ascii="Arial" w:hAnsi="Arial" w:cs="Arial"/>
          <w:i/>
          <w:sz w:val="20"/>
          <w:szCs w:val="20"/>
        </w:rPr>
      </w:pPr>
      <w:r w:rsidRPr="004607C7">
        <w:rPr>
          <w:rFonts w:ascii="Arial" w:hAnsi="Arial" w:cs="Arial"/>
          <w:i/>
          <w:sz w:val="20"/>
          <w:szCs w:val="20"/>
        </w:rPr>
        <w:t>Source: National Treasury (2023)</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The table below shows that the Operational Services subprogramme receives almost the total budget of the Administration Programme at 99.18 per cent, while the Ministry and Management subprogrammes receive 0.31 per cent and 0.51 per cent of the total Programme budget, respectively.</w:t>
      </w:r>
      <w:r w:rsidR="005B15AF" w:rsidRPr="004607C7">
        <w:rPr>
          <w:rFonts w:ascii="Arial" w:hAnsi="Arial" w:cs="Arial"/>
          <w:sz w:val="20"/>
          <w:szCs w:val="20"/>
        </w:rPr>
        <w:t xml:space="preserve">  </w:t>
      </w:r>
    </w:p>
    <w:p w:rsidR="005B15AF" w:rsidRPr="004607C7" w:rsidRDefault="005B15AF"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6: Percent of total Administration Programme budget per subprogramme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993"/>
        <w:gridCol w:w="1559"/>
        <w:gridCol w:w="1134"/>
        <w:gridCol w:w="1559"/>
        <w:gridCol w:w="1418"/>
      </w:tblGrid>
      <w:tr w:rsidR="00567CCD" w:rsidRPr="004607C7" w:rsidTr="00567CCD">
        <w:trPr>
          <w:trHeight w:val="1035"/>
        </w:trPr>
        <w:tc>
          <w:tcPr>
            <w:tcW w:w="28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Programme</w:t>
            </w:r>
          </w:p>
        </w:tc>
        <w:tc>
          <w:tcPr>
            <w:tcW w:w="993"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Budget</w:t>
            </w:r>
          </w:p>
        </w:tc>
        <w:tc>
          <w:tcPr>
            <w:tcW w:w="1559"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Percent of total budget per programme</w:t>
            </w:r>
          </w:p>
        </w:tc>
        <w:tc>
          <w:tcPr>
            <w:tcW w:w="1134"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Budget</w:t>
            </w:r>
          </w:p>
        </w:tc>
        <w:tc>
          <w:tcPr>
            <w:tcW w:w="1559"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Percent of total budget per programme</w:t>
            </w:r>
          </w:p>
        </w:tc>
        <w:tc>
          <w:tcPr>
            <w:tcW w:w="1418"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Change in percent allocation</w:t>
            </w:r>
          </w:p>
        </w:tc>
      </w:tr>
      <w:tr w:rsidR="00567CCD" w:rsidRPr="004607C7" w:rsidTr="00567CCD">
        <w:trPr>
          <w:trHeight w:val="264"/>
        </w:trPr>
        <w:tc>
          <w:tcPr>
            <w:tcW w:w="28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 million</w:t>
            </w:r>
          </w:p>
        </w:tc>
        <w:tc>
          <w:tcPr>
            <w:tcW w:w="2552" w:type="dxa"/>
            <w:gridSpan w:val="2"/>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2022/23</w:t>
            </w:r>
          </w:p>
        </w:tc>
        <w:tc>
          <w:tcPr>
            <w:tcW w:w="2693" w:type="dxa"/>
            <w:gridSpan w:val="2"/>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2023/24</w:t>
            </w:r>
          </w:p>
        </w:tc>
        <w:tc>
          <w:tcPr>
            <w:tcW w:w="141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p>
        </w:tc>
      </w:tr>
      <w:tr w:rsidR="00567CCD" w:rsidRPr="004607C7" w:rsidTr="00567CCD">
        <w:trPr>
          <w:trHeight w:val="264"/>
        </w:trPr>
        <w:tc>
          <w:tcPr>
            <w:tcW w:w="28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1: Ministry</w:t>
            </w:r>
          </w:p>
        </w:tc>
        <w:tc>
          <w:tcPr>
            <w:tcW w:w="99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64,0</w:t>
            </w:r>
          </w:p>
        </w:tc>
        <w:tc>
          <w:tcPr>
            <w:tcW w:w="155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0,31 per cent</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64,2</w:t>
            </w:r>
          </w:p>
        </w:tc>
        <w:tc>
          <w:tcPr>
            <w:tcW w:w="155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0,31 per cent</w:t>
            </w:r>
          </w:p>
        </w:tc>
        <w:tc>
          <w:tcPr>
            <w:tcW w:w="141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-0,01 per cent</w:t>
            </w:r>
          </w:p>
        </w:tc>
      </w:tr>
      <w:tr w:rsidR="00567CCD" w:rsidRPr="004607C7" w:rsidTr="00567CCD">
        <w:trPr>
          <w:trHeight w:val="264"/>
        </w:trPr>
        <w:tc>
          <w:tcPr>
            <w:tcW w:w="28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2: Management</w:t>
            </w:r>
          </w:p>
        </w:tc>
        <w:tc>
          <w:tcPr>
            <w:tcW w:w="99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107,2</w:t>
            </w:r>
          </w:p>
        </w:tc>
        <w:tc>
          <w:tcPr>
            <w:tcW w:w="155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0,52 per cent</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107,2</w:t>
            </w:r>
          </w:p>
        </w:tc>
        <w:tc>
          <w:tcPr>
            <w:tcW w:w="155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0,51 per cent</w:t>
            </w:r>
          </w:p>
        </w:tc>
        <w:tc>
          <w:tcPr>
            <w:tcW w:w="141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-0,01 per cent</w:t>
            </w:r>
          </w:p>
        </w:tc>
      </w:tr>
      <w:tr w:rsidR="00567CCD" w:rsidRPr="004607C7" w:rsidTr="00567CCD">
        <w:trPr>
          <w:trHeight w:val="264"/>
        </w:trPr>
        <w:tc>
          <w:tcPr>
            <w:tcW w:w="28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Sub-programme 3: Operational Services </w:t>
            </w:r>
          </w:p>
        </w:tc>
        <w:tc>
          <w:tcPr>
            <w:tcW w:w="99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20 340,8</w:t>
            </w:r>
          </w:p>
        </w:tc>
        <w:tc>
          <w:tcPr>
            <w:tcW w:w="155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99,17 per cent</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20 806,0</w:t>
            </w:r>
          </w:p>
        </w:tc>
        <w:tc>
          <w:tcPr>
            <w:tcW w:w="155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99,18 per cent</w:t>
            </w:r>
          </w:p>
        </w:tc>
        <w:tc>
          <w:tcPr>
            <w:tcW w:w="141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0,02 per cent</w:t>
            </w:r>
          </w:p>
        </w:tc>
      </w:tr>
      <w:tr w:rsidR="00567CCD" w:rsidRPr="004607C7" w:rsidTr="00567CCD">
        <w:trPr>
          <w:trHeight w:val="264"/>
        </w:trPr>
        <w:tc>
          <w:tcPr>
            <w:tcW w:w="2830"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TOTAL</w:t>
            </w:r>
          </w:p>
        </w:tc>
        <w:tc>
          <w:tcPr>
            <w:tcW w:w="993"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20 512,0</w:t>
            </w:r>
          </w:p>
        </w:tc>
        <w:tc>
          <w:tcPr>
            <w:tcW w:w="155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100,00 per cent</w:t>
            </w:r>
          </w:p>
        </w:tc>
        <w:tc>
          <w:tcPr>
            <w:tcW w:w="113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20 977,3</w:t>
            </w:r>
          </w:p>
        </w:tc>
        <w:tc>
          <w:tcPr>
            <w:tcW w:w="155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100,00 per cent</w:t>
            </w:r>
          </w:p>
        </w:tc>
        <w:tc>
          <w:tcPr>
            <w:tcW w:w="141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0,00 per cent</w:t>
            </w:r>
          </w:p>
        </w:tc>
      </w:tr>
    </w:tbl>
    <w:p w:rsidR="00567CCD" w:rsidRPr="004607C7" w:rsidRDefault="00567CCD" w:rsidP="004607C7">
      <w:pPr>
        <w:spacing w:line="240" w:lineRule="auto"/>
        <w:jc w:val="left"/>
        <w:rPr>
          <w:rFonts w:ascii="Arial" w:hAnsi="Arial" w:cs="Arial"/>
          <w:i/>
          <w:sz w:val="20"/>
          <w:szCs w:val="20"/>
        </w:rPr>
      </w:pPr>
      <w:r w:rsidRPr="004607C7">
        <w:rPr>
          <w:rFonts w:ascii="Arial" w:hAnsi="Arial" w:cs="Arial"/>
          <w:i/>
          <w:sz w:val="20"/>
          <w:szCs w:val="20"/>
        </w:rPr>
        <w:t>Source: National Treasury (2023)</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2"/>
        <w:numPr>
          <w:ilvl w:val="1"/>
          <w:numId w:val="4"/>
        </w:numPr>
        <w:spacing w:before="0" w:line="240" w:lineRule="auto"/>
        <w:rPr>
          <w:rFonts w:ascii="Arial" w:hAnsi="Arial" w:cs="Arial"/>
          <w:sz w:val="20"/>
          <w:szCs w:val="20"/>
        </w:rPr>
      </w:pPr>
      <w:bookmarkStart w:id="14" w:name="_Toc132206880"/>
      <w:r w:rsidRPr="004607C7">
        <w:rPr>
          <w:rFonts w:ascii="Arial" w:hAnsi="Arial" w:cs="Arial"/>
          <w:sz w:val="20"/>
          <w:szCs w:val="20"/>
        </w:rPr>
        <w:lastRenderedPageBreak/>
        <w:t>Programme 2: Visible Policing</w:t>
      </w:r>
      <w:bookmarkEnd w:id="14"/>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color w:val="000000"/>
          <w:sz w:val="20"/>
          <w:szCs w:val="20"/>
        </w:rPr>
      </w:pPr>
      <w:r w:rsidRPr="004607C7">
        <w:rPr>
          <w:rFonts w:ascii="Arial" w:hAnsi="Arial" w:cs="Arial"/>
          <w:b/>
          <w:color w:val="000000"/>
          <w:sz w:val="20"/>
          <w:szCs w:val="20"/>
        </w:rPr>
        <w:t>Purpose</w:t>
      </w:r>
      <w:r w:rsidRPr="004607C7">
        <w:rPr>
          <w:rFonts w:ascii="Arial" w:hAnsi="Arial" w:cs="Arial"/>
          <w:color w:val="000000"/>
          <w:sz w:val="20"/>
          <w:szCs w:val="20"/>
        </w:rPr>
        <w:t xml:space="preserve">: Enable police stations to institute and preserve safety and security; and to provide for specialised interventions and the policing of South Africa’s borders.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3"/>
        <w:numPr>
          <w:ilvl w:val="2"/>
          <w:numId w:val="4"/>
        </w:numPr>
        <w:spacing w:line="240" w:lineRule="auto"/>
        <w:jc w:val="left"/>
        <w:rPr>
          <w:rFonts w:ascii="Arial" w:hAnsi="Arial" w:cs="Arial"/>
          <w:sz w:val="20"/>
          <w:szCs w:val="20"/>
        </w:rPr>
      </w:pPr>
      <w:bookmarkStart w:id="15" w:name="_Toc132206881"/>
      <w:r w:rsidRPr="004607C7">
        <w:rPr>
          <w:rFonts w:ascii="Arial" w:hAnsi="Arial" w:cs="Arial"/>
          <w:sz w:val="20"/>
          <w:szCs w:val="20"/>
        </w:rPr>
        <w:t>Performance measurement</w:t>
      </w:r>
      <w:bookmarkEnd w:id="15"/>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Style w:val="A0"/>
          <w:rFonts w:ascii="Arial" w:hAnsi="Arial" w:cs="Arial"/>
          <w:color w:val="auto"/>
          <w:sz w:val="20"/>
          <w:szCs w:val="20"/>
        </w:rPr>
      </w:pPr>
      <w:r w:rsidRPr="004607C7">
        <w:rPr>
          <w:rStyle w:val="A0"/>
          <w:rFonts w:ascii="Arial" w:hAnsi="Arial" w:cs="Arial"/>
          <w:sz w:val="20"/>
          <w:szCs w:val="20"/>
        </w:rPr>
        <w:t xml:space="preserve">The Visible Police Programme has a total of 20 performance indicators, with three new performance indicators and targets. </w:t>
      </w:r>
    </w:p>
    <w:p w:rsidR="00567CCD" w:rsidRPr="004607C7" w:rsidRDefault="00567CCD" w:rsidP="004607C7">
      <w:pPr>
        <w:spacing w:line="240" w:lineRule="auto"/>
        <w:jc w:val="left"/>
        <w:rPr>
          <w:rStyle w:val="A0"/>
          <w:rFonts w:ascii="Arial" w:hAnsi="Arial" w:cs="Arial"/>
          <w:sz w:val="20"/>
          <w:szCs w:val="20"/>
        </w:rPr>
      </w:pPr>
    </w:p>
    <w:p w:rsidR="00567CCD" w:rsidRPr="004607C7" w:rsidRDefault="00567CCD" w:rsidP="004607C7">
      <w:pPr>
        <w:spacing w:line="240" w:lineRule="auto"/>
        <w:jc w:val="left"/>
        <w:rPr>
          <w:rStyle w:val="A0"/>
          <w:rFonts w:ascii="Arial" w:hAnsi="Arial" w:cs="Arial"/>
          <w:b/>
          <w:i/>
          <w:sz w:val="20"/>
          <w:szCs w:val="20"/>
        </w:rPr>
      </w:pPr>
      <w:r w:rsidRPr="004607C7">
        <w:rPr>
          <w:rStyle w:val="A0"/>
          <w:rFonts w:ascii="Arial" w:hAnsi="Arial" w:cs="Arial"/>
          <w:b/>
          <w:i/>
          <w:sz w:val="20"/>
          <w:szCs w:val="20"/>
        </w:rPr>
        <w:t>Table 7: 2023/24 target of the Crime Prevention subprogramme</w:t>
      </w:r>
    </w:p>
    <w:tbl>
      <w:tblPr>
        <w:tblStyle w:val="TableGrid"/>
        <w:tblW w:w="10490" w:type="dxa"/>
        <w:tblInd w:w="-85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686"/>
        <w:gridCol w:w="3402"/>
        <w:gridCol w:w="3402"/>
      </w:tblGrid>
      <w:tr w:rsidR="00567CCD" w:rsidRPr="004607C7" w:rsidTr="00567CCD">
        <w:tc>
          <w:tcPr>
            <w:tcW w:w="3686" w:type="dxa"/>
          </w:tcPr>
          <w:p w:rsidR="00567CCD" w:rsidRPr="004607C7" w:rsidRDefault="00567CCD" w:rsidP="004607C7">
            <w:pPr>
              <w:autoSpaceDE w:val="0"/>
              <w:autoSpaceDN w:val="0"/>
              <w:adjustRightInd w:val="0"/>
              <w:spacing w:line="240" w:lineRule="auto"/>
              <w:jc w:val="left"/>
              <w:rPr>
                <w:rStyle w:val="A0"/>
                <w:rFonts w:ascii="Arial" w:hAnsi="Arial" w:cs="Arial"/>
                <w:sz w:val="20"/>
                <w:szCs w:val="20"/>
              </w:rPr>
            </w:pPr>
            <w:r w:rsidRPr="004607C7">
              <w:rPr>
                <w:rFonts w:ascii="Arial" w:hAnsi="Arial" w:cs="Arial"/>
                <w:b/>
                <w:color w:val="000000"/>
                <w:sz w:val="20"/>
                <w:szCs w:val="20"/>
                <w:lang w:eastAsia="en-ZA"/>
              </w:rPr>
              <w:t xml:space="preserve">1. </w:t>
            </w:r>
            <w:r w:rsidRPr="004607C7">
              <w:rPr>
                <w:rFonts w:ascii="Arial" w:hAnsi="Arial" w:cs="Arial"/>
                <w:color w:val="000000"/>
                <w:sz w:val="20"/>
                <w:szCs w:val="20"/>
                <w:lang w:eastAsia="en-ZA"/>
              </w:rPr>
              <w:t xml:space="preserve">Number of stolen, lost and illegal </w:t>
            </w:r>
            <w:r w:rsidRPr="004607C7">
              <w:rPr>
                <w:rFonts w:ascii="Arial" w:hAnsi="Arial" w:cs="Arial"/>
                <w:color w:val="000000"/>
                <w:sz w:val="20"/>
                <w:szCs w:val="20"/>
                <w:u w:val="single"/>
                <w:lang w:eastAsia="en-ZA"/>
              </w:rPr>
              <w:t>firearms (illegal firearms) recovered</w:t>
            </w:r>
            <w:r w:rsidRPr="004607C7">
              <w:rPr>
                <w:rFonts w:ascii="Arial" w:hAnsi="Arial" w:cs="Arial"/>
                <w:color w:val="000000"/>
                <w:sz w:val="20"/>
                <w:szCs w:val="20"/>
                <w:lang w:eastAsia="en-ZA"/>
              </w:rPr>
              <w:t xml:space="preserve">: </w:t>
            </w:r>
            <w:r w:rsidRPr="004607C7">
              <w:rPr>
                <w:rStyle w:val="A0"/>
                <w:rFonts w:ascii="Arial" w:hAnsi="Arial" w:cs="Arial"/>
                <w:sz w:val="20"/>
                <w:szCs w:val="20"/>
              </w:rPr>
              <w:t xml:space="preserve">The 2023/24 target is to increase the </w:t>
            </w:r>
            <w:r w:rsidRPr="004607C7">
              <w:rPr>
                <w:rStyle w:val="A0"/>
                <w:rFonts w:ascii="Arial" w:hAnsi="Arial" w:cs="Arial"/>
                <w:i/>
                <w:sz w:val="20"/>
                <w:szCs w:val="20"/>
              </w:rPr>
              <w:t>number of illegal firearms recovered</w:t>
            </w:r>
            <w:r w:rsidRPr="004607C7">
              <w:rPr>
                <w:rStyle w:val="A0"/>
                <w:rFonts w:ascii="Arial" w:hAnsi="Arial" w:cs="Arial"/>
                <w:sz w:val="20"/>
                <w:szCs w:val="20"/>
              </w:rPr>
              <w:t xml:space="preserve"> by 1% to 4 243.</w:t>
            </w:r>
          </w:p>
          <w:p w:rsidR="00567CCD" w:rsidRPr="004607C7" w:rsidRDefault="00567CCD" w:rsidP="004607C7">
            <w:pPr>
              <w:autoSpaceDE w:val="0"/>
              <w:autoSpaceDN w:val="0"/>
              <w:adjustRightInd w:val="0"/>
              <w:spacing w:line="240" w:lineRule="auto"/>
              <w:jc w:val="left"/>
              <w:rPr>
                <w:rFonts w:ascii="Arial" w:hAnsi="Arial" w:cs="Arial"/>
                <w:b/>
                <w:sz w:val="20"/>
                <w:szCs w:val="20"/>
              </w:rPr>
            </w:pPr>
            <w:r w:rsidRPr="004607C7">
              <w:rPr>
                <w:rStyle w:val="A0"/>
                <w:rFonts w:ascii="Arial" w:hAnsi="Arial" w:cs="Arial"/>
                <w:b/>
                <w:sz w:val="20"/>
                <w:szCs w:val="20"/>
              </w:rPr>
              <w:t xml:space="preserve">Revised target  </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2. </w:t>
            </w:r>
            <w:r w:rsidRPr="004607C7">
              <w:rPr>
                <w:rFonts w:ascii="Arial" w:hAnsi="Arial" w:cs="Arial"/>
                <w:color w:val="000000"/>
                <w:sz w:val="20"/>
                <w:szCs w:val="20"/>
                <w:lang w:eastAsia="en-ZA"/>
              </w:rPr>
              <w:t xml:space="preserve">Number of identifiable </w:t>
            </w:r>
            <w:r w:rsidRPr="004607C7">
              <w:rPr>
                <w:rFonts w:ascii="Arial" w:hAnsi="Arial" w:cs="Arial"/>
                <w:color w:val="000000"/>
                <w:sz w:val="20"/>
                <w:szCs w:val="20"/>
                <w:u w:val="single"/>
                <w:lang w:eastAsia="en-ZA"/>
              </w:rPr>
              <w:t>stolen/lost SAPS-owned firearms recovered</w:t>
            </w:r>
            <w:r w:rsidRPr="004607C7">
              <w:rPr>
                <w:rFonts w:ascii="Arial" w:hAnsi="Arial" w:cs="Arial"/>
                <w:color w:val="000000"/>
                <w:sz w:val="20"/>
                <w:szCs w:val="20"/>
                <w:lang w:eastAsia="en-ZA"/>
              </w:rPr>
              <w:t xml:space="preserve">: The 2023/24 target to increase the recovery with 10% to 242 firearms. </w:t>
            </w:r>
          </w:p>
          <w:p w:rsidR="00567CCD" w:rsidRPr="004607C7" w:rsidRDefault="00567CCD" w:rsidP="004607C7">
            <w:pPr>
              <w:autoSpaceDE w:val="0"/>
              <w:autoSpaceDN w:val="0"/>
              <w:adjustRightInd w:val="0"/>
              <w:spacing w:line="240" w:lineRule="auto"/>
              <w:jc w:val="left"/>
              <w:rPr>
                <w:rFonts w:ascii="Arial" w:hAnsi="Arial" w:cs="Arial"/>
                <w:sz w:val="20"/>
                <w:szCs w:val="20"/>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3. </w:t>
            </w:r>
            <w:r w:rsidRPr="004607C7">
              <w:rPr>
                <w:rFonts w:ascii="Arial" w:hAnsi="Arial" w:cs="Arial"/>
                <w:color w:val="000000"/>
                <w:sz w:val="20"/>
                <w:szCs w:val="20"/>
                <w:lang w:eastAsia="en-ZA"/>
              </w:rPr>
              <w:t xml:space="preserve">Percentage of </w:t>
            </w:r>
            <w:r w:rsidRPr="004607C7">
              <w:rPr>
                <w:rFonts w:ascii="Arial" w:hAnsi="Arial" w:cs="Arial"/>
                <w:color w:val="000000"/>
                <w:sz w:val="20"/>
                <w:szCs w:val="20"/>
                <w:u w:val="single"/>
                <w:lang w:eastAsia="en-ZA"/>
              </w:rPr>
              <w:t>applications for new firearm licenses</w:t>
            </w:r>
            <w:r w:rsidRPr="004607C7">
              <w:rPr>
                <w:rFonts w:ascii="Arial" w:hAnsi="Arial" w:cs="Arial"/>
                <w:color w:val="000000"/>
                <w:sz w:val="20"/>
                <w:szCs w:val="20"/>
                <w:lang w:eastAsia="en-ZA"/>
              </w:rPr>
              <w:t xml:space="preserve"> finalised within 120 working days: Target to finalise 90% of applications within 120 working days. </w:t>
            </w:r>
            <w:r w:rsidRPr="004607C7">
              <w:rPr>
                <w:rFonts w:ascii="Arial" w:hAnsi="Arial" w:cs="Arial"/>
                <w:i/>
                <w:color w:val="000000"/>
                <w:sz w:val="20"/>
                <w:szCs w:val="20"/>
                <w:lang w:eastAsia="en-ZA"/>
              </w:rPr>
              <w:t>During 2022/23, the estimated achievement on this target was 71.3%.</w:t>
            </w:r>
            <w:r w:rsidRPr="004607C7">
              <w:rPr>
                <w:rFonts w:ascii="Arial" w:hAnsi="Arial" w:cs="Arial"/>
                <w:color w:val="000000"/>
                <w:sz w:val="20"/>
                <w:szCs w:val="20"/>
                <w:lang w:eastAsia="en-ZA"/>
              </w:rPr>
              <w:t xml:space="preserve">   </w:t>
            </w: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4. </w:t>
            </w:r>
            <w:r w:rsidRPr="004607C7">
              <w:rPr>
                <w:rFonts w:ascii="Arial" w:hAnsi="Arial" w:cs="Arial"/>
                <w:color w:val="000000"/>
                <w:sz w:val="20"/>
                <w:szCs w:val="20"/>
                <w:lang w:eastAsia="en-ZA"/>
              </w:rPr>
              <w:t xml:space="preserve">Percentage reduction in the number of reported </w:t>
            </w:r>
            <w:r w:rsidRPr="004607C7">
              <w:rPr>
                <w:rFonts w:ascii="Arial" w:hAnsi="Arial" w:cs="Arial"/>
                <w:color w:val="000000"/>
                <w:sz w:val="20"/>
                <w:szCs w:val="20"/>
                <w:u w:val="single"/>
                <w:lang w:eastAsia="en-ZA"/>
              </w:rPr>
              <w:t>contact crimes</w:t>
            </w:r>
            <w:r w:rsidRPr="004607C7">
              <w:rPr>
                <w:rFonts w:ascii="Arial" w:hAnsi="Arial" w:cs="Arial"/>
                <w:color w:val="000000"/>
                <w:sz w:val="20"/>
                <w:szCs w:val="20"/>
                <w:lang w:eastAsia="en-ZA"/>
              </w:rPr>
              <w:t xml:space="preserve">: The target is set at a reduction of 12.15% to 590 803 in 2023/24. </w:t>
            </w:r>
          </w:p>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5. </w:t>
            </w:r>
            <w:r w:rsidRPr="004607C7">
              <w:rPr>
                <w:rFonts w:ascii="Arial" w:hAnsi="Arial" w:cs="Arial"/>
                <w:color w:val="000000"/>
                <w:sz w:val="20"/>
                <w:szCs w:val="20"/>
                <w:lang w:eastAsia="en-ZA"/>
              </w:rPr>
              <w:t xml:space="preserve">Number of </w:t>
            </w:r>
            <w:r w:rsidRPr="004607C7">
              <w:rPr>
                <w:rFonts w:ascii="Arial" w:hAnsi="Arial" w:cs="Arial"/>
                <w:color w:val="000000"/>
                <w:sz w:val="20"/>
                <w:szCs w:val="20"/>
                <w:u w:val="single"/>
                <w:lang w:eastAsia="en-ZA"/>
              </w:rPr>
              <w:t>escapees</w:t>
            </w:r>
            <w:r w:rsidRPr="004607C7">
              <w:rPr>
                <w:rFonts w:ascii="Arial" w:hAnsi="Arial" w:cs="Arial"/>
                <w:color w:val="000000"/>
                <w:sz w:val="20"/>
                <w:szCs w:val="20"/>
                <w:lang w:eastAsia="en-ZA"/>
              </w:rPr>
              <w:t xml:space="preserve"> from police custody: Target to decrease the number of escapes from custody by 10% to 527 escapes in 2023/24. </w:t>
            </w:r>
          </w:p>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b/>
                <w:color w:val="000000"/>
                <w:sz w:val="20"/>
                <w:szCs w:val="20"/>
                <w:lang w:eastAsia="en-ZA"/>
              </w:rPr>
              <w:t xml:space="preserve">6. </w:t>
            </w:r>
            <w:r w:rsidRPr="004607C7">
              <w:rPr>
                <w:rFonts w:ascii="Arial" w:hAnsi="Arial" w:cs="Arial"/>
                <w:color w:val="000000"/>
                <w:sz w:val="20"/>
                <w:szCs w:val="20"/>
                <w:lang w:eastAsia="en-ZA"/>
              </w:rPr>
              <w:t xml:space="preserve">Number of </w:t>
            </w:r>
            <w:r w:rsidRPr="004607C7">
              <w:rPr>
                <w:rFonts w:ascii="Arial" w:hAnsi="Arial" w:cs="Arial"/>
                <w:color w:val="000000"/>
                <w:sz w:val="20"/>
                <w:szCs w:val="20"/>
                <w:u w:val="single"/>
                <w:lang w:eastAsia="en-ZA"/>
              </w:rPr>
              <w:t>stolen/robbed vehicles recovered</w:t>
            </w:r>
            <w:r w:rsidRPr="004607C7">
              <w:rPr>
                <w:rFonts w:ascii="Arial" w:hAnsi="Arial" w:cs="Arial"/>
                <w:color w:val="000000"/>
                <w:sz w:val="20"/>
                <w:szCs w:val="20"/>
                <w:lang w:eastAsia="en-ZA"/>
              </w:rPr>
              <w:t xml:space="preserve">: The target is to maintain the number of recovered vehicles at 31 124 in 2023/24. </w:t>
            </w: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r w:rsidRPr="004607C7">
              <w:rPr>
                <w:rFonts w:ascii="Arial" w:hAnsi="Arial" w:cs="Arial"/>
                <w:b/>
                <w:sz w:val="20"/>
                <w:szCs w:val="20"/>
                <w:lang w:eastAsia="en-ZA"/>
              </w:rPr>
              <w:t xml:space="preserve">7. </w:t>
            </w:r>
            <w:r w:rsidRPr="004607C7">
              <w:rPr>
                <w:rFonts w:ascii="Arial" w:hAnsi="Arial" w:cs="Arial"/>
                <w:sz w:val="20"/>
                <w:szCs w:val="20"/>
                <w:lang w:eastAsia="en-ZA"/>
              </w:rPr>
              <w:t xml:space="preserve">Number of national crime awareness campaigns. Target: 20 campaigns in 2023/24 </w:t>
            </w:r>
          </w:p>
          <w:p w:rsidR="00567CCD" w:rsidRPr="004607C7" w:rsidRDefault="00567CCD" w:rsidP="004607C7">
            <w:pPr>
              <w:autoSpaceDE w:val="0"/>
              <w:autoSpaceDN w:val="0"/>
              <w:adjustRightInd w:val="0"/>
              <w:spacing w:line="240" w:lineRule="auto"/>
              <w:jc w:val="left"/>
              <w:rPr>
                <w:rFonts w:ascii="Arial" w:hAnsi="Arial" w:cs="Arial"/>
                <w:b/>
                <w:sz w:val="20"/>
                <w:szCs w:val="20"/>
                <w:lang w:eastAsia="en-ZA"/>
              </w:rPr>
            </w:pPr>
            <w:r w:rsidRPr="004607C7">
              <w:rPr>
                <w:rFonts w:ascii="Arial" w:hAnsi="Arial" w:cs="Arial"/>
                <w:b/>
                <w:sz w:val="20"/>
                <w:szCs w:val="20"/>
                <w:lang w:eastAsia="en-ZA"/>
              </w:rPr>
              <w:t>New target</w:t>
            </w:r>
          </w:p>
        </w:tc>
        <w:tc>
          <w:tcPr>
            <w:tcW w:w="3402" w:type="dxa"/>
          </w:tcPr>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r w:rsidRPr="004607C7">
              <w:rPr>
                <w:rFonts w:ascii="Arial" w:hAnsi="Arial" w:cs="Arial"/>
                <w:b/>
                <w:sz w:val="20"/>
                <w:szCs w:val="20"/>
                <w:lang w:eastAsia="en-ZA"/>
              </w:rPr>
              <w:t xml:space="preserve">8. </w:t>
            </w:r>
            <w:r w:rsidRPr="004607C7">
              <w:rPr>
                <w:rFonts w:ascii="Arial" w:hAnsi="Arial" w:cs="Arial"/>
                <w:sz w:val="20"/>
                <w:szCs w:val="20"/>
                <w:lang w:eastAsia="en-ZA"/>
              </w:rPr>
              <w:t xml:space="preserve">Number of provincial crime awareness campaigns. Target: 180 (20 campaigns per province) in 2023/24 </w:t>
            </w:r>
          </w:p>
          <w:p w:rsidR="00567CCD" w:rsidRPr="004607C7" w:rsidRDefault="00567CCD" w:rsidP="004607C7">
            <w:pPr>
              <w:autoSpaceDE w:val="0"/>
              <w:autoSpaceDN w:val="0"/>
              <w:adjustRightInd w:val="0"/>
              <w:spacing w:line="240" w:lineRule="auto"/>
              <w:jc w:val="left"/>
              <w:rPr>
                <w:rFonts w:ascii="Arial" w:hAnsi="Arial" w:cs="Arial"/>
                <w:b/>
                <w:sz w:val="20"/>
                <w:szCs w:val="20"/>
                <w:lang w:eastAsia="en-ZA"/>
              </w:rPr>
            </w:pPr>
            <w:r w:rsidRPr="004607C7">
              <w:rPr>
                <w:rFonts w:ascii="Arial" w:hAnsi="Arial" w:cs="Arial"/>
                <w:b/>
                <w:sz w:val="20"/>
                <w:szCs w:val="20"/>
                <w:lang w:eastAsia="en-ZA"/>
              </w:rPr>
              <w:t>New target</w:t>
            </w:r>
          </w:p>
        </w:tc>
        <w:tc>
          <w:tcPr>
            <w:tcW w:w="3402" w:type="dxa"/>
          </w:tcPr>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r w:rsidRPr="004607C7">
              <w:rPr>
                <w:rFonts w:ascii="Arial" w:hAnsi="Arial" w:cs="Arial"/>
                <w:b/>
                <w:sz w:val="20"/>
                <w:szCs w:val="20"/>
                <w:lang w:eastAsia="en-ZA"/>
              </w:rPr>
              <w:t xml:space="preserve">9. </w:t>
            </w:r>
            <w:r w:rsidRPr="004607C7">
              <w:rPr>
                <w:rFonts w:ascii="Arial" w:hAnsi="Arial" w:cs="Arial"/>
                <w:sz w:val="20"/>
                <w:szCs w:val="20"/>
                <w:lang w:eastAsia="en-ZA"/>
              </w:rPr>
              <w:t xml:space="preserve">Number of reports on the 10111 Command Centre Reform Project. </w:t>
            </w:r>
            <w:r w:rsidRPr="004607C7">
              <w:rPr>
                <w:rFonts w:ascii="Arial" w:hAnsi="Arial" w:cs="Arial"/>
                <w:sz w:val="20"/>
                <w:szCs w:val="20"/>
                <w:u w:val="single"/>
                <w:lang w:eastAsia="en-ZA"/>
              </w:rPr>
              <w:t xml:space="preserve">Target: 4 quarterly project progress reports to the Presidency in 2023/24 </w:t>
            </w:r>
          </w:p>
          <w:p w:rsidR="00567CCD" w:rsidRPr="004607C7" w:rsidRDefault="00567CCD" w:rsidP="004607C7">
            <w:pPr>
              <w:autoSpaceDE w:val="0"/>
              <w:autoSpaceDN w:val="0"/>
              <w:adjustRightInd w:val="0"/>
              <w:spacing w:line="240" w:lineRule="auto"/>
              <w:jc w:val="left"/>
              <w:rPr>
                <w:rFonts w:ascii="Arial" w:hAnsi="Arial" w:cs="Arial"/>
                <w:b/>
                <w:sz w:val="20"/>
                <w:szCs w:val="20"/>
                <w:lang w:eastAsia="en-ZA"/>
              </w:rPr>
            </w:pPr>
            <w:r w:rsidRPr="004607C7">
              <w:rPr>
                <w:rFonts w:ascii="Arial" w:hAnsi="Arial" w:cs="Arial"/>
                <w:b/>
                <w:sz w:val="20"/>
                <w:szCs w:val="20"/>
                <w:lang w:eastAsia="en-ZA"/>
              </w:rPr>
              <w:t>New target</w:t>
            </w: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b/>
                <w:color w:val="000000"/>
                <w:sz w:val="20"/>
                <w:szCs w:val="20"/>
                <w:lang w:eastAsia="en-ZA"/>
              </w:rPr>
              <w:t>10.</w:t>
            </w:r>
            <w:r w:rsidRPr="004607C7">
              <w:rPr>
                <w:rFonts w:ascii="Arial" w:hAnsi="Arial" w:cs="Arial"/>
                <w:color w:val="000000"/>
                <w:sz w:val="20"/>
                <w:szCs w:val="20"/>
                <w:lang w:eastAsia="en-ZA"/>
              </w:rPr>
              <w:t xml:space="preserve"> Percentage of police stations </w:t>
            </w:r>
            <w:r w:rsidRPr="004607C7">
              <w:rPr>
                <w:rFonts w:ascii="Arial" w:hAnsi="Arial" w:cs="Arial"/>
                <w:color w:val="000000"/>
                <w:sz w:val="20"/>
                <w:szCs w:val="20"/>
                <w:u w:val="single"/>
                <w:lang w:eastAsia="en-ZA"/>
              </w:rPr>
              <w:t>rendering a victim friendly service</w:t>
            </w:r>
            <w:r w:rsidRPr="004607C7">
              <w:rPr>
                <w:rFonts w:ascii="Arial" w:hAnsi="Arial" w:cs="Arial"/>
                <w:color w:val="000000"/>
                <w:sz w:val="20"/>
                <w:szCs w:val="20"/>
                <w:lang w:eastAsia="en-ZA"/>
              </w:rPr>
              <w:t xml:space="preserve"> to victims of crime, including GBVF: The target remains at 100% of functional police stations. </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11. </w:t>
            </w:r>
            <w:r w:rsidRPr="004607C7">
              <w:rPr>
                <w:rFonts w:ascii="Arial" w:hAnsi="Arial" w:cs="Arial"/>
                <w:color w:val="000000"/>
                <w:sz w:val="20"/>
                <w:szCs w:val="20"/>
                <w:lang w:eastAsia="en-ZA"/>
              </w:rPr>
              <w:t xml:space="preserve">Percentage of police stations that have functional </w:t>
            </w:r>
            <w:r w:rsidRPr="004607C7">
              <w:rPr>
                <w:rFonts w:ascii="Arial" w:hAnsi="Arial" w:cs="Arial"/>
                <w:color w:val="000000"/>
                <w:sz w:val="20"/>
                <w:szCs w:val="20"/>
                <w:u w:val="single"/>
                <w:lang w:eastAsia="en-ZA"/>
              </w:rPr>
              <w:t>Community Police Forums</w:t>
            </w:r>
            <w:r w:rsidRPr="004607C7">
              <w:rPr>
                <w:rFonts w:ascii="Arial" w:hAnsi="Arial" w:cs="Arial"/>
                <w:color w:val="000000"/>
                <w:sz w:val="20"/>
                <w:szCs w:val="20"/>
                <w:lang w:eastAsia="en-ZA"/>
              </w:rPr>
              <w:t>: The target remains unchanged at 99.57% in 2023/24.</w:t>
            </w:r>
          </w:p>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p>
        </w:tc>
      </w:tr>
      <w:tr w:rsidR="00567CCD" w:rsidRPr="004607C7" w:rsidTr="00567CCD">
        <w:tc>
          <w:tcPr>
            <w:tcW w:w="10490" w:type="dxa"/>
            <w:gridSpan w:val="3"/>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b/>
                <w:color w:val="000000"/>
                <w:sz w:val="20"/>
                <w:szCs w:val="20"/>
                <w:lang w:eastAsia="en-ZA"/>
              </w:rPr>
              <w:t>Removed targets:</w:t>
            </w: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color w:val="000000"/>
                <w:sz w:val="20"/>
                <w:szCs w:val="20"/>
                <w:lang w:eastAsia="en-ZA"/>
              </w:rPr>
              <w:t xml:space="preserve">Percentage of identified </w:t>
            </w:r>
            <w:r w:rsidRPr="004607C7">
              <w:rPr>
                <w:rFonts w:ascii="Arial" w:hAnsi="Arial" w:cs="Arial"/>
                <w:color w:val="000000"/>
                <w:sz w:val="20"/>
                <w:szCs w:val="20"/>
                <w:u w:val="single"/>
                <w:lang w:eastAsia="en-ZA"/>
              </w:rPr>
              <w:t>illegal liquor outlets closed</w:t>
            </w:r>
            <w:r w:rsidRPr="004607C7">
              <w:rPr>
                <w:rFonts w:ascii="Arial" w:hAnsi="Arial" w:cs="Arial"/>
                <w:color w:val="000000"/>
                <w:sz w:val="20"/>
                <w:szCs w:val="20"/>
                <w:lang w:eastAsia="en-ZA"/>
              </w:rPr>
              <w:t xml:space="preserve">: The 2022/23 target for the </w:t>
            </w:r>
            <w:r w:rsidRPr="004607C7">
              <w:rPr>
                <w:rFonts w:ascii="Arial" w:hAnsi="Arial" w:cs="Arial"/>
                <w:i/>
                <w:color w:val="000000"/>
                <w:sz w:val="20"/>
                <w:szCs w:val="20"/>
                <w:lang w:eastAsia="en-ZA"/>
              </w:rPr>
              <w:t>percentage of identified illegal liquor outlets closed</w:t>
            </w:r>
            <w:r w:rsidRPr="004607C7">
              <w:rPr>
                <w:rFonts w:ascii="Arial" w:hAnsi="Arial" w:cs="Arial"/>
                <w:color w:val="000000"/>
                <w:sz w:val="20"/>
                <w:szCs w:val="20"/>
                <w:lang w:eastAsia="en-ZA"/>
              </w:rPr>
              <w:t xml:space="preserve"> remains unchanged at 100%. </w:t>
            </w:r>
          </w:p>
          <w:p w:rsidR="00567CCD" w:rsidRPr="004607C7" w:rsidRDefault="00567CCD" w:rsidP="004607C7">
            <w:pPr>
              <w:autoSpaceDE w:val="0"/>
              <w:autoSpaceDN w:val="0"/>
              <w:adjustRightInd w:val="0"/>
              <w:spacing w:line="240" w:lineRule="auto"/>
              <w:jc w:val="left"/>
              <w:rPr>
                <w:rFonts w:ascii="Arial" w:hAnsi="Arial" w:cs="Arial"/>
                <w:b/>
                <w:sz w:val="20"/>
                <w:szCs w:val="20"/>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sz w:val="20"/>
                <w:szCs w:val="20"/>
              </w:rPr>
            </w:pPr>
            <w:r w:rsidRPr="004607C7">
              <w:rPr>
                <w:rFonts w:ascii="Arial" w:hAnsi="Arial" w:cs="Arial"/>
                <w:color w:val="000000"/>
                <w:sz w:val="20"/>
                <w:szCs w:val="20"/>
                <w:lang w:eastAsia="en-ZA"/>
              </w:rPr>
              <w:t xml:space="preserve">Percentage reduction in the number of reported </w:t>
            </w:r>
            <w:r w:rsidRPr="004607C7">
              <w:rPr>
                <w:rFonts w:ascii="Arial" w:hAnsi="Arial" w:cs="Arial"/>
                <w:color w:val="000000"/>
                <w:sz w:val="20"/>
                <w:szCs w:val="20"/>
                <w:u w:val="single"/>
                <w:lang w:eastAsia="en-ZA"/>
              </w:rPr>
              <w:t>contact crimes at the Top 30 High Contact Crime Weight Stations</w:t>
            </w:r>
            <w:r w:rsidRPr="004607C7">
              <w:rPr>
                <w:rFonts w:ascii="Arial" w:hAnsi="Arial" w:cs="Arial"/>
                <w:color w:val="000000"/>
                <w:sz w:val="20"/>
                <w:szCs w:val="20"/>
                <w:lang w:eastAsia="en-ZA"/>
              </w:rPr>
              <w:t>: The target is set at a reduction of 8.75% to 81 432 in 2022/23.</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color w:val="000000"/>
                <w:sz w:val="20"/>
                <w:szCs w:val="20"/>
                <w:lang w:eastAsia="en-ZA"/>
              </w:rPr>
              <w:t xml:space="preserve">Percentage reduction in the number of reported </w:t>
            </w:r>
            <w:r w:rsidRPr="004607C7">
              <w:rPr>
                <w:rFonts w:ascii="Arial" w:hAnsi="Arial" w:cs="Arial"/>
                <w:color w:val="000000"/>
                <w:sz w:val="20"/>
                <w:szCs w:val="20"/>
                <w:u w:val="single"/>
                <w:lang w:eastAsia="en-ZA"/>
              </w:rPr>
              <w:t>contact crimes against women</w:t>
            </w:r>
            <w:r w:rsidRPr="004607C7">
              <w:rPr>
                <w:rFonts w:ascii="Arial" w:hAnsi="Arial" w:cs="Arial"/>
                <w:color w:val="000000"/>
                <w:sz w:val="20"/>
                <w:szCs w:val="20"/>
                <w:lang w:eastAsia="en-ZA"/>
              </w:rPr>
              <w:t xml:space="preserve"> (18 years and above): The target is set at a reduction of 7.2% to 151 338 in 2022/23. </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color w:val="000000"/>
                <w:sz w:val="20"/>
                <w:szCs w:val="20"/>
                <w:lang w:eastAsia="en-ZA"/>
              </w:rPr>
              <w:t xml:space="preserve">Percentage reduction in the number of reported </w:t>
            </w:r>
            <w:r w:rsidRPr="004607C7">
              <w:rPr>
                <w:rFonts w:ascii="Arial" w:hAnsi="Arial" w:cs="Arial"/>
                <w:color w:val="000000"/>
                <w:sz w:val="20"/>
                <w:szCs w:val="20"/>
                <w:u w:val="single"/>
                <w:lang w:eastAsia="en-ZA"/>
              </w:rPr>
              <w:t>contact crimes against children</w:t>
            </w:r>
            <w:r w:rsidRPr="004607C7">
              <w:rPr>
                <w:rFonts w:ascii="Arial" w:hAnsi="Arial" w:cs="Arial"/>
                <w:color w:val="000000"/>
                <w:sz w:val="20"/>
                <w:szCs w:val="20"/>
                <w:lang w:eastAsia="en-ZA"/>
              </w:rPr>
              <w:t xml:space="preserve"> (below 18 years): The target is set at a reduction of 6.7% to 33 929 in 2022/23.</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color w:val="000000"/>
                <w:sz w:val="20"/>
                <w:szCs w:val="20"/>
                <w:lang w:eastAsia="en-ZA"/>
              </w:rPr>
              <w:t xml:space="preserve">Number of Provinces in which the </w:t>
            </w:r>
            <w:r w:rsidRPr="004607C7">
              <w:rPr>
                <w:rFonts w:ascii="Arial" w:hAnsi="Arial" w:cs="Arial"/>
                <w:color w:val="000000"/>
                <w:sz w:val="20"/>
                <w:szCs w:val="20"/>
                <w:u w:val="single"/>
                <w:lang w:eastAsia="en-ZA"/>
              </w:rPr>
              <w:t>Community-in-Blue Concept</w:t>
            </w:r>
            <w:r w:rsidRPr="004607C7">
              <w:rPr>
                <w:rFonts w:ascii="Arial" w:hAnsi="Arial" w:cs="Arial"/>
                <w:color w:val="000000"/>
                <w:sz w:val="20"/>
                <w:szCs w:val="20"/>
                <w:lang w:eastAsia="en-ZA"/>
              </w:rPr>
              <w:t xml:space="preserve"> has been initiated: The target is to implementation the concept in 9 provinces during 2022/23. </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color w:val="000000"/>
                <w:sz w:val="20"/>
                <w:szCs w:val="20"/>
                <w:lang w:eastAsia="en-ZA"/>
              </w:rPr>
              <w:t xml:space="preserve">Number of Provinces in which the </w:t>
            </w:r>
            <w:r w:rsidRPr="004607C7">
              <w:rPr>
                <w:rFonts w:ascii="Arial" w:hAnsi="Arial" w:cs="Arial"/>
                <w:color w:val="000000"/>
                <w:sz w:val="20"/>
                <w:szCs w:val="20"/>
                <w:u w:val="single"/>
                <w:lang w:eastAsia="en-ZA"/>
              </w:rPr>
              <w:t>Traditional Policing Concept</w:t>
            </w:r>
            <w:r w:rsidRPr="004607C7">
              <w:rPr>
                <w:rFonts w:ascii="Arial" w:hAnsi="Arial" w:cs="Arial"/>
                <w:color w:val="000000"/>
                <w:sz w:val="20"/>
                <w:szCs w:val="20"/>
                <w:lang w:eastAsia="en-ZA"/>
              </w:rPr>
              <w:t xml:space="preserve"> has been implemented: In 2022/23, the SAPS will implement the concept in one province (unspecified).</w:t>
            </w: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color w:val="000000"/>
                <w:sz w:val="20"/>
                <w:szCs w:val="20"/>
                <w:lang w:eastAsia="en-ZA"/>
              </w:rPr>
              <w:t xml:space="preserve">Number of cities and towns in which the implementation of the </w:t>
            </w:r>
            <w:r w:rsidRPr="004607C7">
              <w:rPr>
                <w:rFonts w:ascii="Arial" w:hAnsi="Arial" w:cs="Arial"/>
                <w:color w:val="000000"/>
                <w:sz w:val="20"/>
                <w:szCs w:val="20"/>
                <w:u w:val="single"/>
                <w:lang w:eastAsia="en-ZA"/>
              </w:rPr>
              <w:t>Safer Cities Framework</w:t>
            </w:r>
            <w:r w:rsidRPr="004607C7">
              <w:rPr>
                <w:rFonts w:ascii="Arial" w:hAnsi="Arial" w:cs="Arial"/>
                <w:color w:val="000000"/>
                <w:sz w:val="20"/>
                <w:szCs w:val="20"/>
                <w:lang w:eastAsia="en-ZA"/>
              </w:rPr>
              <w:t xml:space="preserve"> has been initiated: The Framework will be implemented in 20 cities/towns during 2022/23.  </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r>
    </w:tbl>
    <w:p w:rsidR="00567CCD" w:rsidRPr="004607C7" w:rsidRDefault="00567CCD" w:rsidP="004607C7">
      <w:pPr>
        <w:spacing w:line="240" w:lineRule="auto"/>
        <w:jc w:val="left"/>
        <w:rPr>
          <w:rFonts w:ascii="Arial" w:hAnsi="Arial" w:cs="Arial"/>
          <w:i/>
          <w:color w:val="000000"/>
          <w:sz w:val="20"/>
          <w:szCs w:val="20"/>
          <w:lang w:eastAsia="en-ZA"/>
        </w:rPr>
      </w:pPr>
      <w:r w:rsidRPr="004607C7">
        <w:rPr>
          <w:rFonts w:ascii="Arial" w:hAnsi="Arial" w:cs="Arial"/>
          <w:i/>
          <w:color w:val="000000"/>
          <w:sz w:val="20"/>
          <w:szCs w:val="20"/>
          <w:lang w:eastAsia="en-ZA"/>
        </w:rPr>
        <w:t>Source: SAPS 2023/24 APP</w:t>
      </w:r>
    </w:p>
    <w:p w:rsidR="00567CCD" w:rsidRPr="004607C7" w:rsidRDefault="00567CCD" w:rsidP="004607C7">
      <w:pPr>
        <w:spacing w:line="240" w:lineRule="auto"/>
        <w:jc w:val="left"/>
        <w:rPr>
          <w:rFonts w:ascii="Arial" w:hAnsi="Arial" w:cs="Arial"/>
          <w:color w:val="000000"/>
          <w:sz w:val="20"/>
          <w:szCs w:val="20"/>
        </w:rPr>
      </w:pPr>
    </w:p>
    <w:p w:rsidR="00567CCD" w:rsidRPr="004607C7" w:rsidRDefault="00567CCD" w:rsidP="004607C7">
      <w:pPr>
        <w:spacing w:line="240" w:lineRule="auto"/>
        <w:jc w:val="left"/>
        <w:rPr>
          <w:rFonts w:ascii="Arial" w:hAnsi="Arial" w:cs="Arial"/>
          <w:color w:val="000000"/>
          <w:sz w:val="20"/>
          <w:szCs w:val="20"/>
        </w:rPr>
      </w:pPr>
      <w:r w:rsidRPr="004607C7">
        <w:rPr>
          <w:rFonts w:ascii="Arial" w:hAnsi="Arial" w:cs="Arial"/>
          <w:color w:val="000000"/>
          <w:sz w:val="20"/>
          <w:szCs w:val="20"/>
        </w:rPr>
        <w:t xml:space="preserve">The removal of targets to measure the reduction of contact crimes or violence against women and children are based on addressing potential underreporting of these crimes. According to the SAPS these are potentially contradictory indicators that may hinder efforts to persuade victims of gender-based violence to report incidents. The inclusion of these targets can also have perverse incentives for police officers not to register cases of gender-based violence in order to meet performance targets.  </w:t>
      </w:r>
    </w:p>
    <w:p w:rsidR="00567CCD" w:rsidRPr="004607C7" w:rsidRDefault="00567CCD" w:rsidP="004607C7">
      <w:pPr>
        <w:spacing w:line="240" w:lineRule="auto"/>
        <w:jc w:val="left"/>
        <w:rPr>
          <w:rFonts w:ascii="Arial" w:hAnsi="Arial" w:cs="Arial"/>
          <w:color w:val="000000"/>
          <w:sz w:val="20"/>
          <w:szCs w:val="20"/>
        </w:rPr>
      </w:pPr>
    </w:p>
    <w:p w:rsidR="00567CCD" w:rsidRPr="004607C7" w:rsidRDefault="00567CCD" w:rsidP="004607C7">
      <w:pPr>
        <w:spacing w:line="240" w:lineRule="auto"/>
        <w:jc w:val="left"/>
        <w:rPr>
          <w:rFonts w:ascii="Arial" w:hAnsi="Arial" w:cs="Arial"/>
          <w:color w:val="000000"/>
          <w:sz w:val="20"/>
          <w:szCs w:val="20"/>
        </w:rPr>
      </w:pPr>
      <w:r w:rsidRPr="004607C7">
        <w:rPr>
          <w:rFonts w:ascii="Arial" w:hAnsi="Arial" w:cs="Arial"/>
          <w:color w:val="000000"/>
          <w:sz w:val="20"/>
          <w:szCs w:val="20"/>
        </w:rPr>
        <w:lastRenderedPageBreak/>
        <w:t xml:space="preserve">The </w:t>
      </w:r>
      <w:r w:rsidRPr="004607C7">
        <w:rPr>
          <w:rFonts w:ascii="Arial" w:hAnsi="Arial" w:cs="Arial"/>
          <w:b/>
          <w:color w:val="000000"/>
          <w:sz w:val="20"/>
          <w:szCs w:val="20"/>
        </w:rPr>
        <w:t>Specialised Interventions and Border Security subprogramme</w:t>
      </w:r>
      <w:r w:rsidRPr="004607C7">
        <w:rPr>
          <w:rFonts w:ascii="Arial" w:hAnsi="Arial" w:cs="Arial"/>
          <w:color w:val="000000"/>
          <w:sz w:val="20"/>
          <w:szCs w:val="20"/>
        </w:rPr>
        <w:t xml:space="preserve"> has nine performance indicators. The majority of performance indicators in the Border Security subprogramme revolve around crime-related hits reacted to because of the Movement Control System (MCS) and the Enhanced Movement Control System (EMCS) on wanted persons and circulated stolen or robbed vehicles. The other performance indicators aim to search 100% of profiled vehicles at land ports, containers at sea ports and cargo consignments at airports for illegal facilitation of persons, contraband, illicit goods and/or stolen/robbed property. </w:t>
      </w:r>
    </w:p>
    <w:p w:rsidR="00567CCD" w:rsidRPr="004607C7" w:rsidRDefault="00567CCD" w:rsidP="004607C7">
      <w:pPr>
        <w:spacing w:line="240" w:lineRule="auto"/>
        <w:jc w:val="left"/>
        <w:rPr>
          <w:rFonts w:ascii="Arial" w:hAnsi="Arial" w:cs="Arial"/>
          <w:color w:val="000000"/>
          <w:sz w:val="20"/>
          <w:szCs w:val="20"/>
        </w:rPr>
      </w:pPr>
    </w:p>
    <w:p w:rsidR="0052537C" w:rsidRPr="004607C7" w:rsidRDefault="0052537C" w:rsidP="004607C7">
      <w:pPr>
        <w:spacing w:line="240" w:lineRule="auto"/>
        <w:jc w:val="left"/>
        <w:rPr>
          <w:rFonts w:ascii="Arial" w:hAnsi="Arial" w:cs="Arial"/>
          <w:color w:val="000000"/>
          <w:sz w:val="20"/>
          <w:szCs w:val="20"/>
        </w:rPr>
      </w:pPr>
    </w:p>
    <w:p w:rsidR="0052537C" w:rsidRPr="004607C7" w:rsidRDefault="0052537C" w:rsidP="004607C7">
      <w:pPr>
        <w:spacing w:line="240" w:lineRule="auto"/>
        <w:jc w:val="left"/>
        <w:rPr>
          <w:rFonts w:ascii="Arial" w:hAnsi="Arial" w:cs="Arial"/>
          <w:color w:val="000000"/>
          <w:sz w:val="20"/>
          <w:szCs w:val="20"/>
        </w:rPr>
      </w:pPr>
    </w:p>
    <w:p w:rsidR="0052537C" w:rsidRPr="004607C7" w:rsidRDefault="0052537C" w:rsidP="004607C7">
      <w:pPr>
        <w:spacing w:line="240" w:lineRule="auto"/>
        <w:jc w:val="left"/>
        <w:rPr>
          <w:rFonts w:ascii="Arial" w:hAnsi="Arial" w:cs="Arial"/>
          <w:color w:val="000000"/>
          <w:sz w:val="20"/>
          <w:szCs w:val="20"/>
        </w:rPr>
      </w:pPr>
    </w:p>
    <w:p w:rsidR="00567CCD" w:rsidRPr="004607C7" w:rsidRDefault="00567CCD" w:rsidP="004607C7">
      <w:pPr>
        <w:spacing w:line="240" w:lineRule="auto"/>
        <w:jc w:val="left"/>
        <w:rPr>
          <w:rFonts w:ascii="Arial" w:hAnsi="Arial" w:cs="Arial"/>
          <w:b/>
          <w:i/>
          <w:color w:val="000000"/>
          <w:sz w:val="20"/>
          <w:szCs w:val="20"/>
        </w:rPr>
      </w:pPr>
      <w:r w:rsidRPr="004607C7">
        <w:rPr>
          <w:rFonts w:ascii="Arial" w:hAnsi="Arial" w:cs="Arial"/>
          <w:b/>
          <w:i/>
          <w:color w:val="000000"/>
          <w:sz w:val="20"/>
          <w:szCs w:val="20"/>
        </w:rPr>
        <w:t>Table 8: 2023/24 performance targets: Specialised Interventions and Border Security</w:t>
      </w:r>
    </w:p>
    <w:tbl>
      <w:tblPr>
        <w:tblStyle w:val="TableGrid"/>
        <w:tblW w:w="10490" w:type="dxa"/>
        <w:tblInd w:w="-85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686"/>
        <w:gridCol w:w="3402"/>
        <w:gridCol w:w="3402"/>
      </w:tblGrid>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sz w:val="20"/>
                <w:szCs w:val="20"/>
              </w:rPr>
            </w:pPr>
            <w:r w:rsidRPr="004607C7">
              <w:rPr>
                <w:rFonts w:ascii="Arial" w:hAnsi="Arial" w:cs="Arial"/>
                <w:b/>
                <w:color w:val="000000"/>
                <w:sz w:val="20"/>
                <w:szCs w:val="20"/>
                <w:lang w:eastAsia="en-ZA"/>
              </w:rPr>
              <w:t xml:space="preserve">1. </w:t>
            </w:r>
            <w:r w:rsidRPr="004607C7">
              <w:rPr>
                <w:rFonts w:ascii="Arial" w:hAnsi="Arial" w:cs="Arial"/>
                <w:color w:val="000000"/>
                <w:sz w:val="20"/>
                <w:szCs w:val="20"/>
                <w:lang w:eastAsia="en-ZA"/>
              </w:rPr>
              <w:t xml:space="preserve">Percentage of </w:t>
            </w:r>
            <w:r w:rsidRPr="004607C7">
              <w:rPr>
                <w:rFonts w:ascii="Arial" w:hAnsi="Arial" w:cs="Arial"/>
                <w:color w:val="000000"/>
                <w:sz w:val="20"/>
                <w:szCs w:val="20"/>
                <w:u w:val="single"/>
                <w:lang w:eastAsia="en-ZA"/>
              </w:rPr>
              <w:t>peaceful crowd management</w:t>
            </w:r>
            <w:r w:rsidRPr="004607C7">
              <w:rPr>
                <w:rFonts w:ascii="Arial" w:hAnsi="Arial" w:cs="Arial"/>
                <w:color w:val="000000"/>
                <w:sz w:val="20"/>
                <w:szCs w:val="20"/>
                <w:lang w:eastAsia="en-ZA"/>
              </w:rPr>
              <w:t xml:space="preserve"> incidents policed: Target remains unchanged at 100%</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2. </w:t>
            </w:r>
            <w:r w:rsidRPr="004607C7">
              <w:rPr>
                <w:rFonts w:ascii="Arial" w:hAnsi="Arial" w:cs="Arial"/>
                <w:color w:val="000000"/>
                <w:sz w:val="20"/>
                <w:szCs w:val="20"/>
                <w:lang w:eastAsia="en-ZA"/>
              </w:rPr>
              <w:t xml:space="preserve">Percentage of </w:t>
            </w:r>
            <w:r w:rsidRPr="004607C7">
              <w:rPr>
                <w:rFonts w:ascii="Arial" w:hAnsi="Arial" w:cs="Arial"/>
                <w:color w:val="000000"/>
                <w:sz w:val="20"/>
                <w:szCs w:val="20"/>
                <w:u w:val="single"/>
                <w:lang w:eastAsia="en-ZA"/>
              </w:rPr>
              <w:t>unrest crowd management</w:t>
            </w:r>
            <w:r w:rsidRPr="004607C7">
              <w:rPr>
                <w:rFonts w:ascii="Arial" w:hAnsi="Arial" w:cs="Arial"/>
                <w:color w:val="000000"/>
                <w:sz w:val="20"/>
                <w:szCs w:val="20"/>
                <w:lang w:eastAsia="en-ZA"/>
              </w:rPr>
              <w:t xml:space="preserve"> incidents stabilised: Target remains unchanged at 100%. </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3. </w:t>
            </w:r>
            <w:r w:rsidRPr="004607C7">
              <w:rPr>
                <w:rFonts w:ascii="Arial" w:hAnsi="Arial" w:cs="Arial"/>
                <w:color w:val="000000"/>
                <w:sz w:val="20"/>
                <w:szCs w:val="20"/>
                <w:lang w:eastAsia="en-ZA"/>
              </w:rPr>
              <w:t xml:space="preserve">Percentage of </w:t>
            </w:r>
            <w:r w:rsidRPr="004607C7">
              <w:rPr>
                <w:rFonts w:ascii="Arial" w:hAnsi="Arial" w:cs="Arial"/>
                <w:color w:val="000000"/>
                <w:sz w:val="20"/>
                <w:szCs w:val="20"/>
                <w:u w:val="single"/>
                <w:lang w:eastAsia="en-ZA"/>
              </w:rPr>
              <w:t>medium to high-risk incidents</w:t>
            </w:r>
            <w:r w:rsidRPr="004607C7">
              <w:rPr>
                <w:rFonts w:ascii="Arial" w:hAnsi="Arial" w:cs="Arial"/>
                <w:color w:val="000000"/>
                <w:sz w:val="20"/>
                <w:szCs w:val="20"/>
                <w:lang w:eastAsia="en-ZA"/>
              </w:rPr>
              <w:t xml:space="preserve"> responded to, in relation to requests received </w:t>
            </w:r>
            <w:r w:rsidRPr="004607C7">
              <w:rPr>
                <w:rFonts w:ascii="Arial" w:hAnsi="Arial" w:cs="Arial"/>
                <w:b/>
                <w:color w:val="000000"/>
                <w:sz w:val="20"/>
                <w:szCs w:val="20"/>
                <w:lang w:eastAsia="en-ZA"/>
              </w:rPr>
              <w:t>(NIU)</w:t>
            </w:r>
            <w:r w:rsidRPr="004607C7">
              <w:rPr>
                <w:rFonts w:ascii="Arial" w:hAnsi="Arial" w:cs="Arial"/>
                <w:color w:val="000000"/>
                <w:sz w:val="20"/>
                <w:szCs w:val="20"/>
                <w:lang w:eastAsia="en-ZA"/>
              </w:rPr>
              <w:t xml:space="preserve">: Target remains unchanged at 100%. </w:t>
            </w: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b/>
                <w:color w:val="000000"/>
                <w:sz w:val="20"/>
                <w:szCs w:val="20"/>
                <w:lang w:eastAsia="en-ZA"/>
              </w:rPr>
              <w:t xml:space="preserve">4. </w:t>
            </w:r>
            <w:r w:rsidRPr="004607C7">
              <w:rPr>
                <w:rFonts w:ascii="Arial" w:hAnsi="Arial" w:cs="Arial"/>
                <w:color w:val="000000"/>
                <w:sz w:val="20"/>
                <w:szCs w:val="20"/>
                <w:lang w:eastAsia="en-ZA"/>
              </w:rPr>
              <w:t xml:space="preserve">Percentage of </w:t>
            </w:r>
            <w:r w:rsidRPr="004607C7">
              <w:rPr>
                <w:rFonts w:ascii="Arial" w:hAnsi="Arial" w:cs="Arial"/>
                <w:color w:val="000000"/>
                <w:sz w:val="20"/>
                <w:szCs w:val="20"/>
                <w:u w:val="single"/>
                <w:lang w:eastAsia="en-ZA"/>
              </w:rPr>
              <w:t>medium to high-risk incidents</w:t>
            </w:r>
            <w:r w:rsidRPr="004607C7">
              <w:rPr>
                <w:rFonts w:ascii="Arial" w:hAnsi="Arial" w:cs="Arial"/>
                <w:color w:val="000000"/>
                <w:sz w:val="20"/>
                <w:szCs w:val="20"/>
                <w:lang w:eastAsia="en-ZA"/>
              </w:rPr>
              <w:t xml:space="preserve"> responded to, in relation to requests received </w:t>
            </w:r>
            <w:r w:rsidRPr="004607C7">
              <w:rPr>
                <w:rFonts w:ascii="Arial" w:hAnsi="Arial" w:cs="Arial"/>
                <w:b/>
                <w:color w:val="000000"/>
                <w:sz w:val="20"/>
                <w:szCs w:val="20"/>
                <w:lang w:eastAsia="en-ZA"/>
              </w:rPr>
              <w:t>(STF)</w:t>
            </w:r>
            <w:r w:rsidRPr="004607C7">
              <w:rPr>
                <w:rFonts w:ascii="Arial" w:hAnsi="Arial" w:cs="Arial"/>
                <w:color w:val="000000"/>
                <w:sz w:val="20"/>
                <w:szCs w:val="20"/>
                <w:lang w:eastAsia="en-ZA"/>
              </w:rPr>
              <w:t>: Target remains unchanged at 100%.</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5. </w:t>
            </w:r>
            <w:r w:rsidRPr="004607C7">
              <w:rPr>
                <w:rFonts w:ascii="Arial" w:hAnsi="Arial" w:cs="Arial"/>
                <w:color w:val="000000"/>
                <w:sz w:val="20"/>
                <w:szCs w:val="20"/>
                <w:lang w:eastAsia="en-ZA"/>
              </w:rPr>
              <w:t xml:space="preserve">Percentage of crime-related hits reacted to as a result of the Movement Control System (MCS) and Enhanced Movement Control System (EMCS) on wanted persons: Target remains unchanged at 100%.  </w:t>
            </w:r>
          </w:p>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6. </w:t>
            </w:r>
            <w:r w:rsidRPr="004607C7">
              <w:rPr>
                <w:rFonts w:ascii="Arial" w:hAnsi="Arial" w:cs="Arial"/>
                <w:color w:val="000000"/>
                <w:sz w:val="20"/>
                <w:szCs w:val="20"/>
                <w:lang w:eastAsia="en-ZA"/>
              </w:rPr>
              <w:t xml:space="preserve">Percentage of crime-related hits reacted to as a result of the MCS and EMCS on circulated stolen or robbed vehicles: Target remains unchanged at 100%. </w:t>
            </w:r>
          </w:p>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7. </w:t>
            </w:r>
            <w:r w:rsidRPr="004607C7">
              <w:rPr>
                <w:rFonts w:ascii="Arial" w:hAnsi="Arial" w:cs="Arial"/>
                <w:color w:val="000000"/>
                <w:sz w:val="20"/>
                <w:szCs w:val="20"/>
                <w:lang w:eastAsia="en-ZA"/>
              </w:rPr>
              <w:t xml:space="preserve">Percentage of profiled vehicles at land ports searched for the illegal facilitation of persons, contraband, illicit goods and/or stolen robbed property: Target remains unchanged at 100%. </w:t>
            </w:r>
          </w:p>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8. </w:t>
            </w:r>
            <w:r w:rsidRPr="004607C7">
              <w:rPr>
                <w:rFonts w:ascii="Arial" w:hAnsi="Arial" w:cs="Arial"/>
                <w:color w:val="000000"/>
                <w:sz w:val="20"/>
                <w:szCs w:val="20"/>
                <w:lang w:eastAsia="en-ZA"/>
              </w:rPr>
              <w:t xml:space="preserve">Percentage of profiled containers at sea ports searched for illegal facilitation of persons, contraband, illicit goods and/or stolen robbed property: Target remains unchanged at 100%. </w:t>
            </w:r>
          </w:p>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b/>
                <w:color w:val="000000"/>
                <w:sz w:val="20"/>
                <w:szCs w:val="20"/>
                <w:lang w:eastAsia="en-ZA"/>
              </w:rPr>
              <w:t xml:space="preserve">9. </w:t>
            </w:r>
            <w:r w:rsidRPr="004607C7">
              <w:rPr>
                <w:rFonts w:ascii="Arial" w:hAnsi="Arial" w:cs="Arial"/>
                <w:color w:val="000000"/>
                <w:sz w:val="20"/>
                <w:szCs w:val="20"/>
                <w:lang w:eastAsia="en-ZA"/>
              </w:rPr>
              <w:t>Percentage of profiled cargo consignment at airports searched for illegal facilitation of persons, contraband, illicit goods and/or stolen robbed property: Target remains unchanged at 100%.</w:t>
            </w: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Target removed: </w:t>
            </w:r>
            <w:r w:rsidRPr="004607C7">
              <w:rPr>
                <w:rFonts w:ascii="Arial" w:hAnsi="Arial" w:cs="Arial"/>
                <w:color w:val="000000"/>
                <w:sz w:val="20"/>
                <w:szCs w:val="20"/>
                <w:lang w:eastAsia="en-ZA"/>
              </w:rPr>
              <w:t xml:space="preserve">Percentage of identified </w:t>
            </w:r>
            <w:r w:rsidRPr="004607C7">
              <w:rPr>
                <w:rFonts w:ascii="Arial" w:hAnsi="Arial" w:cs="Arial"/>
                <w:color w:val="000000"/>
                <w:sz w:val="20"/>
                <w:szCs w:val="20"/>
                <w:u w:val="single"/>
                <w:lang w:eastAsia="en-ZA"/>
              </w:rPr>
              <w:t>illegal mining operations</w:t>
            </w:r>
            <w:r w:rsidRPr="004607C7">
              <w:rPr>
                <w:rFonts w:ascii="Arial" w:hAnsi="Arial" w:cs="Arial"/>
                <w:color w:val="000000"/>
                <w:sz w:val="20"/>
                <w:szCs w:val="20"/>
                <w:lang w:eastAsia="en-ZA"/>
              </w:rPr>
              <w:t xml:space="preserve"> responded to, in relation to medium to high-risk requests received: Target remains unchanged at 100%. </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r>
    </w:tbl>
    <w:p w:rsidR="00567CCD" w:rsidRPr="004607C7" w:rsidRDefault="00567CCD" w:rsidP="004607C7">
      <w:pPr>
        <w:autoSpaceDE w:val="0"/>
        <w:autoSpaceDN w:val="0"/>
        <w:adjustRightInd w:val="0"/>
        <w:spacing w:line="240" w:lineRule="auto"/>
        <w:jc w:val="left"/>
        <w:rPr>
          <w:rStyle w:val="A0"/>
          <w:rFonts w:ascii="Arial" w:hAnsi="Arial" w:cs="Arial"/>
          <w:i/>
          <w:sz w:val="20"/>
          <w:szCs w:val="20"/>
        </w:rPr>
      </w:pPr>
      <w:r w:rsidRPr="004607C7">
        <w:rPr>
          <w:rStyle w:val="A0"/>
          <w:rFonts w:ascii="Arial" w:hAnsi="Arial" w:cs="Arial"/>
          <w:i/>
          <w:sz w:val="20"/>
          <w:szCs w:val="20"/>
        </w:rPr>
        <w:t>Source: 2023/24 SAPS APP</w:t>
      </w:r>
    </w:p>
    <w:p w:rsidR="00567CCD" w:rsidRPr="004607C7" w:rsidRDefault="00567CCD" w:rsidP="004607C7">
      <w:pPr>
        <w:autoSpaceDE w:val="0"/>
        <w:autoSpaceDN w:val="0"/>
        <w:adjustRightInd w:val="0"/>
        <w:spacing w:line="240" w:lineRule="auto"/>
        <w:jc w:val="left"/>
        <w:rPr>
          <w:rStyle w:val="A0"/>
          <w:rFonts w:ascii="Arial" w:hAnsi="Arial" w:cs="Arial"/>
          <w:sz w:val="20"/>
          <w:szCs w:val="20"/>
        </w:rPr>
      </w:pPr>
      <w:r w:rsidRPr="004607C7">
        <w:rPr>
          <w:rStyle w:val="A0"/>
          <w:rFonts w:ascii="Arial" w:hAnsi="Arial" w:cs="Arial"/>
          <w:sz w:val="20"/>
          <w:szCs w:val="20"/>
        </w:rPr>
        <w:t xml:space="preserve"> </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Style w:val="A0"/>
          <w:rFonts w:ascii="Arial" w:hAnsi="Arial" w:cs="Arial"/>
          <w:sz w:val="20"/>
          <w:szCs w:val="20"/>
        </w:rPr>
        <w:t xml:space="preserve">The implementation of the </w:t>
      </w:r>
      <w:r w:rsidRPr="004607C7">
        <w:rPr>
          <w:rFonts w:ascii="Arial" w:hAnsi="Arial" w:cs="Arial"/>
          <w:bCs/>
          <w:color w:val="000000"/>
          <w:sz w:val="20"/>
          <w:szCs w:val="20"/>
          <w:u w:val="single"/>
          <w:lang w:eastAsia="en-ZA"/>
        </w:rPr>
        <w:t>Border Management Agency (BMA)</w:t>
      </w:r>
      <w:r w:rsidRPr="004607C7">
        <w:rPr>
          <w:rFonts w:ascii="Arial" w:hAnsi="Arial" w:cs="Arial"/>
          <w:b/>
          <w:bCs/>
          <w:color w:val="000000"/>
          <w:sz w:val="20"/>
          <w:szCs w:val="20"/>
          <w:lang w:eastAsia="en-ZA"/>
        </w:rPr>
        <w:t xml:space="preserve"> </w:t>
      </w:r>
      <w:r w:rsidRPr="004607C7">
        <w:rPr>
          <w:rFonts w:ascii="Arial" w:hAnsi="Arial" w:cs="Arial"/>
          <w:bCs/>
          <w:color w:val="000000"/>
          <w:sz w:val="20"/>
          <w:szCs w:val="20"/>
          <w:lang w:eastAsia="en-ZA"/>
        </w:rPr>
        <w:t xml:space="preserve">should be interrogated thoroughly, especially in terms of resource requirements </w:t>
      </w:r>
      <w:r w:rsidRPr="004607C7">
        <w:rPr>
          <w:rFonts w:ascii="Arial" w:hAnsi="Arial" w:cs="Arial"/>
          <w:color w:val="000000"/>
          <w:sz w:val="20"/>
          <w:szCs w:val="20"/>
          <w:lang w:eastAsia="en-ZA"/>
        </w:rPr>
        <w:t>for the mandatory Border Control functions that must be performed by the SAPS, in the event of the Border Control function being migrated to the BMA. All resources utilised at the border that are used exclusively for border control, can be transferred to the BMA. According to the SAPS, an urgent work study investigation must be done in relation to the separation and the costing of the border control and classical border policing functions.</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p w:rsidR="00567CCD" w:rsidRPr="004607C7" w:rsidRDefault="00567CCD" w:rsidP="004607C7">
      <w:pPr>
        <w:autoSpaceDE w:val="0"/>
        <w:autoSpaceDN w:val="0"/>
        <w:adjustRightInd w:val="0"/>
        <w:spacing w:line="240" w:lineRule="auto"/>
        <w:jc w:val="left"/>
        <w:rPr>
          <w:rFonts w:ascii="Arial" w:hAnsi="Arial" w:cs="Arial"/>
          <w:color w:val="000000"/>
          <w:sz w:val="20"/>
          <w:szCs w:val="20"/>
        </w:rPr>
      </w:pPr>
      <w:r w:rsidRPr="004607C7">
        <w:rPr>
          <w:rFonts w:ascii="Arial" w:hAnsi="Arial" w:cs="Arial"/>
          <w:color w:val="000000"/>
          <w:sz w:val="20"/>
          <w:szCs w:val="20"/>
        </w:rPr>
        <w:t>The border security functions and the resources that are associated with these functions that are required to be transferred to the BMA, is currently being clarified. The SAPS, however, continues to provide border security at the 72 ports of entry (53 land ports, 10 air ports and nine sea ports) during its ongoing engagements with the DHA, on the establishment of the BMA.</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rPr>
      </w:pPr>
    </w:p>
    <w:p w:rsidR="00567CCD" w:rsidRPr="004607C7" w:rsidRDefault="00567CCD" w:rsidP="004607C7">
      <w:pPr>
        <w:autoSpaceDE w:val="0"/>
        <w:autoSpaceDN w:val="0"/>
        <w:adjustRightInd w:val="0"/>
        <w:spacing w:line="240" w:lineRule="auto"/>
        <w:jc w:val="left"/>
        <w:rPr>
          <w:rStyle w:val="A0"/>
          <w:rFonts w:ascii="Arial" w:hAnsi="Arial" w:cs="Arial"/>
          <w:sz w:val="20"/>
          <w:szCs w:val="20"/>
          <w:lang w:eastAsia="en-ZA"/>
        </w:rPr>
      </w:pPr>
      <w:r w:rsidRPr="004607C7">
        <w:rPr>
          <w:rFonts w:ascii="Arial" w:hAnsi="Arial" w:cs="Arial"/>
          <w:color w:val="000000"/>
          <w:sz w:val="20"/>
          <w:szCs w:val="20"/>
        </w:rPr>
        <w:t xml:space="preserve">The capacitation of the Public Order Policing (POP) capability, together with the implementation of the July Unrest Expert Panel Recommendations and the Farlam Panel of Experts (Marikana), must be prioritised in 2023/24 and going forward. </w:t>
      </w:r>
    </w:p>
    <w:p w:rsidR="00567CCD" w:rsidRPr="004607C7" w:rsidRDefault="00567CCD" w:rsidP="004607C7">
      <w:pPr>
        <w:spacing w:line="240" w:lineRule="auto"/>
        <w:jc w:val="left"/>
        <w:rPr>
          <w:rFonts w:ascii="Arial" w:hAnsi="Arial" w:cs="Arial"/>
          <w:sz w:val="20"/>
          <w:szCs w:val="20"/>
        </w:rPr>
      </w:pPr>
      <w:r w:rsidRPr="004607C7">
        <w:rPr>
          <w:rStyle w:val="A0"/>
          <w:rFonts w:ascii="Arial" w:hAnsi="Arial" w:cs="Arial"/>
          <w:sz w:val="20"/>
          <w:szCs w:val="20"/>
        </w:rPr>
        <w:t xml:space="preserve">  </w:t>
      </w:r>
    </w:p>
    <w:p w:rsidR="00567CCD" w:rsidRPr="004607C7" w:rsidRDefault="00567CCD" w:rsidP="004607C7">
      <w:pPr>
        <w:pStyle w:val="Heading3"/>
        <w:numPr>
          <w:ilvl w:val="2"/>
          <w:numId w:val="4"/>
        </w:numPr>
        <w:spacing w:line="240" w:lineRule="auto"/>
        <w:jc w:val="left"/>
        <w:rPr>
          <w:rFonts w:ascii="Arial" w:hAnsi="Arial" w:cs="Arial"/>
          <w:sz w:val="20"/>
          <w:szCs w:val="20"/>
        </w:rPr>
      </w:pPr>
      <w:bookmarkStart w:id="16" w:name="_Toc132206882"/>
      <w:r w:rsidRPr="004607C7">
        <w:rPr>
          <w:rFonts w:ascii="Arial" w:hAnsi="Arial" w:cs="Arial"/>
          <w:sz w:val="20"/>
          <w:szCs w:val="20"/>
        </w:rPr>
        <w:t>Budget allocation</w:t>
      </w:r>
      <w:bookmarkEnd w:id="16"/>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Visible Policing Programme’s Main Appropriation is reduced from R53.06 billion in 2022/23 to R52.15 billion in 2023/24. This is a nominal decrease of R904 million (or -1.7 per cent) and a real </w:t>
      </w:r>
      <w:r w:rsidRPr="004607C7">
        <w:rPr>
          <w:rFonts w:ascii="Arial" w:hAnsi="Arial" w:cs="Arial"/>
          <w:sz w:val="20"/>
          <w:szCs w:val="20"/>
        </w:rPr>
        <w:lastRenderedPageBreak/>
        <w:t xml:space="preserve">decrease of R3.34 billion (or 6.3 per cent) and is largely in the Specialised Interventions subprogramme.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w:t>
      </w:r>
      <w:r w:rsidRPr="004607C7">
        <w:rPr>
          <w:rFonts w:ascii="Arial" w:hAnsi="Arial" w:cs="Arial"/>
          <w:b/>
          <w:sz w:val="20"/>
          <w:szCs w:val="20"/>
        </w:rPr>
        <w:t>Specialised Interventions subprogramme’s</w:t>
      </w:r>
      <w:r w:rsidRPr="004607C7">
        <w:rPr>
          <w:rFonts w:ascii="Arial" w:hAnsi="Arial" w:cs="Arial"/>
          <w:sz w:val="20"/>
          <w:szCs w:val="20"/>
        </w:rPr>
        <w:t xml:space="preserve"> allocation is reduced from R5.21 billion in 2022/23 to R5.05 billion in 2023/24, which is a nominal decrease of R152.2 million or 2.92 per cent and a real decrease of 7.46 per cent. </w:t>
      </w:r>
    </w:p>
    <w:p w:rsidR="00567CCD" w:rsidRPr="004607C7" w:rsidRDefault="00567CCD" w:rsidP="004607C7">
      <w:pPr>
        <w:spacing w:line="240" w:lineRule="auto"/>
        <w:jc w:val="left"/>
        <w:rPr>
          <w:rFonts w:ascii="Arial" w:hAnsi="Arial" w:cs="Arial"/>
          <w:b/>
          <w:sz w:val="20"/>
          <w:szCs w:val="20"/>
        </w:rPr>
      </w:pP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9: Visible Policing Programme: Difference in 2022/23 and 2023/24 budget allocation</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992"/>
        <w:gridCol w:w="992"/>
        <w:gridCol w:w="1134"/>
        <w:gridCol w:w="1134"/>
        <w:gridCol w:w="1418"/>
        <w:gridCol w:w="1397"/>
      </w:tblGrid>
      <w:tr w:rsidR="00567CCD" w:rsidRPr="004607C7" w:rsidTr="00567CCD">
        <w:trPr>
          <w:trHeight w:val="765"/>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Programme</w:t>
            </w:r>
          </w:p>
        </w:tc>
        <w:tc>
          <w:tcPr>
            <w:tcW w:w="1984" w:type="dxa"/>
            <w:gridSpan w:val="2"/>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Budget</w:t>
            </w:r>
          </w:p>
        </w:tc>
        <w:tc>
          <w:tcPr>
            <w:tcW w:w="1134"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Nominal Increase / Decrease in 2023/24</w:t>
            </w:r>
          </w:p>
        </w:tc>
        <w:tc>
          <w:tcPr>
            <w:tcW w:w="1134"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Real Increase / Decrease in 2023/24</w:t>
            </w:r>
          </w:p>
        </w:tc>
        <w:tc>
          <w:tcPr>
            <w:tcW w:w="1418"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Nominal Percent change in 2023/24</w:t>
            </w:r>
          </w:p>
        </w:tc>
        <w:tc>
          <w:tcPr>
            <w:tcW w:w="1397"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Real Percent change in 2023/24</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 million</w:t>
            </w:r>
          </w:p>
        </w:tc>
        <w:tc>
          <w:tcPr>
            <w:tcW w:w="992"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2022/23</w:t>
            </w:r>
          </w:p>
        </w:tc>
        <w:tc>
          <w:tcPr>
            <w:tcW w:w="992"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2023/24</w:t>
            </w:r>
          </w:p>
        </w:tc>
        <w:tc>
          <w:tcPr>
            <w:tcW w:w="1134"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134"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418"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397"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1: Crime Prevention</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40 813,5</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40 075,3</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738,2</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- 2 610,2</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-1,81 per cent</w:t>
            </w:r>
          </w:p>
        </w:tc>
        <w:tc>
          <w:tcPr>
            <w:tcW w:w="139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-6,40 per cent</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Sub-programme 2: Border Security </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2 315,8</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2 284,0</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31,7</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138,4</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-1,37 per cent</w:t>
            </w:r>
          </w:p>
        </w:tc>
        <w:tc>
          <w:tcPr>
            <w:tcW w:w="139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-5,98 per cent</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3: Specialised Interventions</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5 208,4</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5 056,2</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152,2</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388,4</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-2,92 per cent</w:t>
            </w:r>
          </w:p>
        </w:tc>
        <w:tc>
          <w:tcPr>
            <w:tcW w:w="139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-7,46 per cent</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Sub-programme 4: Facilities </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4 724,7</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4 742,9</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18,2</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203,4</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0,38 per cent</w:t>
            </w:r>
          </w:p>
        </w:tc>
        <w:tc>
          <w:tcPr>
            <w:tcW w:w="139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-4,30 per cent</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TOTAL</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53 062,4</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52 158,4</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904,0</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- 3 340,4</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-1,7 per cent</w:t>
            </w:r>
          </w:p>
        </w:tc>
        <w:tc>
          <w:tcPr>
            <w:tcW w:w="139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-6,30 per cent</w:t>
            </w:r>
          </w:p>
        </w:tc>
      </w:tr>
    </w:tbl>
    <w:p w:rsidR="00567CCD" w:rsidRPr="004607C7" w:rsidRDefault="00567CCD" w:rsidP="004607C7">
      <w:pPr>
        <w:spacing w:line="240" w:lineRule="auto"/>
        <w:jc w:val="left"/>
        <w:rPr>
          <w:rFonts w:ascii="Arial" w:hAnsi="Arial" w:cs="Arial"/>
          <w:i/>
          <w:sz w:val="20"/>
          <w:szCs w:val="20"/>
        </w:rPr>
      </w:pPr>
      <w:r w:rsidRPr="004607C7">
        <w:rPr>
          <w:rFonts w:ascii="Arial" w:hAnsi="Arial" w:cs="Arial"/>
          <w:i/>
          <w:sz w:val="20"/>
          <w:szCs w:val="20"/>
        </w:rPr>
        <w:t>Source: National Treasury (2023)</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allocation for the </w:t>
      </w:r>
      <w:r w:rsidRPr="004607C7">
        <w:rPr>
          <w:rFonts w:ascii="Arial" w:hAnsi="Arial" w:cs="Arial"/>
          <w:b/>
          <w:sz w:val="20"/>
          <w:szCs w:val="20"/>
        </w:rPr>
        <w:t>Border Security subprogramme</w:t>
      </w:r>
      <w:r w:rsidRPr="004607C7">
        <w:rPr>
          <w:rFonts w:ascii="Arial" w:hAnsi="Arial" w:cs="Arial"/>
          <w:sz w:val="20"/>
          <w:szCs w:val="20"/>
        </w:rPr>
        <w:t xml:space="preserve"> decreased from R2.31 billion in 2022/23 to R2.28 billion in 2023/24 (-R31.7 million or 1.37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allocation for the </w:t>
      </w:r>
      <w:r w:rsidRPr="004607C7">
        <w:rPr>
          <w:rFonts w:ascii="Arial" w:hAnsi="Arial" w:cs="Arial"/>
          <w:b/>
          <w:sz w:val="20"/>
          <w:szCs w:val="20"/>
        </w:rPr>
        <w:t>Crime Prevention subprogramme</w:t>
      </w:r>
      <w:r w:rsidRPr="004607C7">
        <w:rPr>
          <w:rFonts w:ascii="Arial" w:hAnsi="Arial" w:cs="Arial"/>
          <w:sz w:val="20"/>
          <w:szCs w:val="20"/>
        </w:rPr>
        <w:t xml:space="preserve"> decreased from R40.81 billion in 2022/23 to R40.07 billion in 2023/24, which is a nominal decrease of R738.2 million or 1.81 per cent. In real terms, the allocation decreased with R2.61 billion or 6.40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w:t>
      </w:r>
      <w:r w:rsidRPr="004607C7">
        <w:rPr>
          <w:rFonts w:ascii="Arial" w:hAnsi="Arial" w:cs="Arial"/>
          <w:b/>
          <w:sz w:val="20"/>
          <w:szCs w:val="20"/>
        </w:rPr>
        <w:t>Facilities subprogrammes</w:t>
      </w:r>
      <w:r w:rsidRPr="004607C7">
        <w:rPr>
          <w:rFonts w:ascii="Arial" w:hAnsi="Arial" w:cs="Arial"/>
          <w:sz w:val="20"/>
          <w:szCs w:val="20"/>
        </w:rPr>
        <w:t xml:space="preserve"> received an allocation of R4.74 billion in 2023/24 which is a slight nominal increase of R18.2 million compared to the previous financial year. However, in real terms this is a decrease of 4.3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10: Percent of total Visible Policing Programme budget per subprogramme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134"/>
        <w:gridCol w:w="1559"/>
        <w:gridCol w:w="1276"/>
        <w:gridCol w:w="1559"/>
        <w:gridCol w:w="1559"/>
      </w:tblGrid>
      <w:tr w:rsidR="00567CCD" w:rsidRPr="004607C7" w:rsidTr="00567CCD">
        <w:trPr>
          <w:trHeight w:val="1035"/>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Programme</w:t>
            </w:r>
          </w:p>
        </w:tc>
        <w:tc>
          <w:tcPr>
            <w:tcW w:w="1134"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Budget</w:t>
            </w:r>
          </w:p>
        </w:tc>
        <w:tc>
          <w:tcPr>
            <w:tcW w:w="1559"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Percent of total budget per programme</w:t>
            </w:r>
          </w:p>
        </w:tc>
        <w:tc>
          <w:tcPr>
            <w:tcW w:w="1276"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Budget</w:t>
            </w:r>
          </w:p>
        </w:tc>
        <w:tc>
          <w:tcPr>
            <w:tcW w:w="1559"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Percent of total budget per programme</w:t>
            </w:r>
          </w:p>
        </w:tc>
        <w:tc>
          <w:tcPr>
            <w:tcW w:w="1559"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Change in percent allocation</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 million</w:t>
            </w:r>
          </w:p>
        </w:tc>
        <w:tc>
          <w:tcPr>
            <w:tcW w:w="2693" w:type="dxa"/>
            <w:gridSpan w:val="2"/>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2022/23</w:t>
            </w:r>
          </w:p>
        </w:tc>
        <w:tc>
          <w:tcPr>
            <w:tcW w:w="2835" w:type="dxa"/>
            <w:gridSpan w:val="2"/>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2023/24</w:t>
            </w:r>
          </w:p>
        </w:tc>
        <w:tc>
          <w:tcPr>
            <w:tcW w:w="155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1: Crime Prevention</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40 813,5</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76,92 per cent</w:t>
            </w:r>
          </w:p>
        </w:tc>
        <w:tc>
          <w:tcPr>
            <w:tcW w:w="1276"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40 075,3</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76,83 per cent</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-0,08 per cent</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Sub-programme 2: Border Security </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2 315,8</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4,36 per cent</w:t>
            </w:r>
          </w:p>
        </w:tc>
        <w:tc>
          <w:tcPr>
            <w:tcW w:w="1276"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2 284,0</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4,38 per cent</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0,01 per cent</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3: Specialised Interventions</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5 208,4</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9,82 per cent</w:t>
            </w:r>
          </w:p>
        </w:tc>
        <w:tc>
          <w:tcPr>
            <w:tcW w:w="1276"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5 056,2</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9,69 per cent</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-0,12 per cent</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Sub-programme 4: Facilities </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4 724,7</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8,90 per cent</w:t>
            </w:r>
          </w:p>
        </w:tc>
        <w:tc>
          <w:tcPr>
            <w:tcW w:w="1276"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4 742,9</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9,09 per cent</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0,19 per cent</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TOTAL</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53 062,4</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100,00 per cent</w:t>
            </w:r>
          </w:p>
        </w:tc>
        <w:tc>
          <w:tcPr>
            <w:tcW w:w="1276"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52 158,4</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100,00 per cent</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0,00 per cent</w:t>
            </w:r>
          </w:p>
        </w:tc>
      </w:tr>
    </w:tbl>
    <w:p w:rsidR="00567CCD" w:rsidRPr="004607C7" w:rsidRDefault="00567CCD" w:rsidP="004607C7">
      <w:pPr>
        <w:spacing w:line="240" w:lineRule="auto"/>
        <w:jc w:val="left"/>
        <w:rPr>
          <w:rFonts w:ascii="Arial" w:hAnsi="Arial" w:cs="Arial"/>
          <w:i/>
          <w:sz w:val="20"/>
          <w:szCs w:val="20"/>
        </w:rPr>
      </w:pPr>
      <w:r w:rsidRPr="004607C7">
        <w:rPr>
          <w:rFonts w:ascii="Arial" w:hAnsi="Arial" w:cs="Arial"/>
          <w:i/>
          <w:sz w:val="20"/>
          <w:szCs w:val="20"/>
        </w:rPr>
        <w:t>Source: National Treasury (2023)</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table above shows a slight reduction in the proportional allocation of the Crime Prevention subprogramme (-0.08 per cent) compared to the previous financial year. Despite this proportional decrease, the subprogramme receives 76.8 per cent of the total allocation of the Visible Policing programme.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2"/>
        <w:numPr>
          <w:ilvl w:val="1"/>
          <w:numId w:val="4"/>
        </w:numPr>
        <w:spacing w:before="0" w:line="240" w:lineRule="auto"/>
        <w:rPr>
          <w:rFonts w:ascii="Arial" w:hAnsi="Arial" w:cs="Arial"/>
          <w:sz w:val="20"/>
          <w:szCs w:val="20"/>
        </w:rPr>
      </w:pPr>
      <w:bookmarkStart w:id="17" w:name="_Toc132206883"/>
      <w:r w:rsidRPr="004607C7">
        <w:rPr>
          <w:rFonts w:ascii="Arial" w:hAnsi="Arial" w:cs="Arial"/>
          <w:sz w:val="20"/>
          <w:szCs w:val="20"/>
        </w:rPr>
        <w:t>Programme 3: Detective Services Programme</w:t>
      </w:r>
      <w:bookmarkEnd w:id="17"/>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color w:val="000000"/>
          <w:sz w:val="20"/>
          <w:szCs w:val="20"/>
        </w:rPr>
      </w:pPr>
      <w:r w:rsidRPr="004607C7">
        <w:rPr>
          <w:rFonts w:ascii="Arial" w:hAnsi="Arial" w:cs="Arial"/>
          <w:b/>
          <w:color w:val="000000"/>
          <w:sz w:val="20"/>
          <w:szCs w:val="20"/>
        </w:rPr>
        <w:t>Purpose:</w:t>
      </w:r>
      <w:r w:rsidRPr="004607C7">
        <w:rPr>
          <w:rFonts w:ascii="Arial" w:hAnsi="Arial" w:cs="Arial"/>
          <w:color w:val="000000"/>
          <w:sz w:val="20"/>
          <w:szCs w:val="20"/>
        </w:rPr>
        <w:t xml:space="preserve"> Enable the investigative work of the SAPS, including providing support to investigators in terms of forensic evidence and criminal records.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3"/>
        <w:numPr>
          <w:ilvl w:val="2"/>
          <w:numId w:val="4"/>
        </w:numPr>
        <w:spacing w:line="240" w:lineRule="auto"/>
        <w:jc w:val="left"/>
        <w:rPr>
          <w:rFonts w:ascii="Arial" w:hAnsi="Arial" w:cs="Arial"/>
          <w:sz w:val="20"/>
          <w:szCs w:val="20"/>
        </w:rPr>
      </w:pPr>
      <w:bookmarkStart w:id="18" w:name="_Toc132206884"/>
      <w:r w:rsidRPr="004607C7">
        <w:rPr>
          <w:rFonts w:ascii="Arial" w:hAnsi="Arial" w:cs="Arial"/>
          <w:sz w:val="20"/>
          <w:szCs w:val="20"/>
        </w:rPr>
        <w:t>Performance targets</w:t>
      </w:r>
      <w:bookmarkEnd w:id="18"/>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Detective Services Programme has 24 performance indicators in total, of which most are located in the Crime Investigations subprogramme (10 indicators). In 2023, five targets were removed from the Programme, which related to detection rates and circulation of wanted persons in </w:t>
      </w:r>
      <w:r w:rsidRPr="004607C7">
        <w:rPr>
          <w:rFonts w:ascii="Arial" w:hAnsi="Arial" w:cs="Arial"/>
          <w:color w:val="000000"/>
          <w:sz w:val="20"/>
          <w:szCs w:val="20"/>
          <w:lang w:eastAsia="en-ZA"/>
        </w:rPr>
        <w:t xml:space="preserve">30 High Contact Crime Weight Stations, so-called cold cases (older than 3 years), and arrests for illegal drug trading. </w:t>
      </w:r>
    </w:p>
    <w:p w:rsidR="00567CCD" w:rsidRPr="004607C7" w:rsidRDefault="00567CCD" w:rsidP="004607C7">
      <w:pPr>
        <w:spacing w:line="240" w:lineRule="auto"/>
        <w:jc w:val="left"/>
        <w:rPr>
          <w:rFonts w:ascii="Arial" w:hAnsi="Arial" w:cs="Arial"/>
          <w:sz w:val="20"/>
          <w:szCs w:val="20"/>
        </w:rPr>
      </w:pPr>
    </w:p>
    <w:p w:rsidR="0052537C" w:rsidRPr="004607C7" w:rsidRDefault="0052537C" w:rsidP="004607C7">
      <w:pPr>
        <w:spacing w:line="240" w:lineRule="auto"/>
        <w:jc w:val="left"/>
        <w:rPr>
          <w:rFonts w:ascii="Arial" w:hAnsi="Arial" w:cs="Arial"/>
          <w:sz w:val="20"/>
          <w:szCs w:val="20"/>
        </w:rPr>
      </w:pPr>
    </w:p>
    <w:p w:rsidR="0052537C" w:rsidRPr="004607C7" w:rsidRDefault="0052537C"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11: 2023/24 performance targets of the Crime Investigation subprogramme</w:t>
      </w:r>
    </w:p>
    <w:tbl>
      <w:tblPr>
        <w:tblStyle w:val="TableGrid"/>
        <w:tblW w:w="10065" w:type="dxa"/>
        <w:tblInd w:w="-43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261"/>
        <w:gridCol w:w="3402"/>
        <w:gridCol w:w="3402"/>
      </w:tblGrid>
      <w:tr w:rsidR="00567CCD" w:rsidRPr="004607C7" w:rsidTr="00567CCD">
        <w:tc>
          <w:tcPr>
            <w:tcW w:w="3261"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1. </w:t>
            </w:r>
            <w:r w:rsidRPr="004607C7">
              <w:rPr>
                <w:rFonts w:ascii="Arial" w:hAnsi="Arial" w:cs="Arial"/>
                <w:color w:val="000000"/>
                <w:sz w:val="20"/>
                <w:szCs w:val="20"/>
                <w:lang w:eastAsia="en-ZA"/>
              </w:rPr>
              <w:t xml:space="preserve">Detection rate for contact crimes: The target for 2023/24 is 51.25%. </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2. </w:t>
            </w:r>
            <w:r w:rsidRPr="004607C7">
              <w:rPr>
                <w:rFonts w:ascii="Arial" w:hAnsi="Arial" w:cs="Arial"/>
                <w:color w:val="000000"/>
                <w:sz w:val="20"/>
                <w:szCs w:val="20"/>
                <w:lang w:eastAsia="en-ZA"/>
              </w:rPr>
              <w:t>Detection rate for crimes against women (18 years and above): The 2023/24 target is 71.25%.</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3. </w:t>
            </w:r>
            <w:r w:rsidRPr="004607C7">
              <w:rPr>
                <w:rFonts w:ascii="Arial" w:hAnsi="Arial" w:cs="Arial"/>
                <w:color w:val="000000"/>
                <w:sz w:val="20"/>
                <w:szCs w:val="20"/>
                <w:lang w:eastAsia="en-ZA"/>
              </w:rPr>
              <w:t xml:space="preserve">Detection rate for crimes against children (below 18 years): The 2023/24 target is 65.25%. </w:t>
            </w:r>
          </w:p>
        </w:tc>
      </w:tr>
      <w:tr w:rsidR="00567CCD" w:rsidRPr="004607C7" w:rsidTr="00567CCD">
        <w:tc>
          <w:tcPr>
            <w:tcW w:w="3261" w:type="dxa"/>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b/>
                <w:color w:val="000000"/>
                <w:sz w:val="20"/>
                <w:szCs w:val="20"/>
                <w:lang w:eastAsia="en-ZA"/>
              </w:rPr>
              <w:t xml:space="preserve">4. </w:t>
            </w:r>
            <w:r w:rsidRPr="004607C7">
              <w:rPr>
                <w:rFonts w:ascii="Arial" w:hAnsi="Arial" w:cs="Arial"/>
                <w:color w:val="000000"/>
                <w:sz w:val="20"/>
                <w:szCs w:val="20"/>
                <w:lang w:eastAsia="en-ZA"/>
              </w:rPr>
              <w:t xml:space="preserve">Percentage of identified drug syndicates neutralised with arrests: The 2023/24 target is 70%. </w:t>
            </w:r>
          </w:p>
        </w:tc>
        <w:tc>
          <w:tcPr>
            <w:tcW w:w="3402" w:type="dxa"/>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b/>
                <w:color w:val="000000"/>
                <w:sz w:val="20"/>
                <w:szCs w:val="20"/>
                <w:lang w:eastAsia="en-ZA"/>
              </w:rPr>
              <w:t xml:space="preserve">5. </w:t>
            </w:r>
            <w:r w:rsidRPr="004607C7">
              <w:rPr>
                <w:rFonts w:ascii="Arial" w:hAnsi="Arial" w:cs="Arial"/>
                <w:color w:val="000000"/>
                <w:sz w:val="20"/>
                <w:szCs w:val="20"/>
                <w:lang w:eastAsia="en-ZA"/>
              </w:rPr>
              <w:t xml:space="preserve">Percentage of identified organised criminal groups neutralised with arrests: The 2023/24 target is 70%. </w:t>
            </w:r>
          </w:p>
        </w:tc>
        <w:tc>
          <w:tcPr>
            <w:tcW w:w="3402" w:type="dxa"/>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b/>
                <w:color w:val="000000"/>
                <w:sz w:val="20"/>
                <w:szCs w:val="20"/>
                <w:lang w:eastAsia="en-ZA"/>
              </w:rPr>
              <w:t xml:space="preserve">6. </w:t>
            </w:r>
            <w:r w:rsidRPr="004607C7">
              <w:rPr>
                <w:rFonts w:ascii="Arial" w:hAnsi="Arial" w:cs="Arial"/>
                <w:color w:val="000000"/>
                <w:sz w:val="20"/>
                <w:szCs w:val="20"/>
                <w:lang w:eastAsia="en-ZA"/>
              </w:rPr>
              <w:t xml:space="preserve">Percentage compliance with the taking of </w:t>
            </w:r>
            <w:r w:rsidRPr="004607C7">
              <w:rPr>
                <w:rFonts w:ascii="Arial" w:hAnsi="Arial" w:cs="Arial"/>
                <w:color w:val="000000"/>
                <w:sz w:val="20"/>
                <w:szCs w:val="20"/>
                <w:u w:val="single"/>
                <w:lang w:eastAsia="en-ZA"/>
              </w:rPr>
              <w:t>buccal samples from schedule 8 arrested offenders</w:t>
            </w:r>
            <w:r w:rsidRPr="004607C7">
              <w:rPr>
                <w:rFonts w:ascii="Arial" w:hAnsi="Arial" w:cs="Arial"/>
                <w:color w:val="000000"/>
                <w:sz w:val="20"/>
                <w:szCs w:val="20"/>
                <w:lang w:eastAsia="en-ZA"/>
              </w:rPr>
              <w:t>: The 2023/24 target is 100%.</w:t>
            </w:r>
          </w:p>
        </w:tc>
      </w:tr>
      <w:tr w:rsidR="00567CCD" w:rsidRPr="004607C7" w:rsidTr="00567CCD">
        <w:tc>
          <w:tcPr>
            <w:tcW w:w="3261" w:type="dxa"/>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b/>
                <w:color w:val="000000"/>
                <w:sz w:val="20"/>
                <w:szCs w:val="20"/>
                <w:lang w:eastAsia="en-ZA"/>
              </w:rPr>
              <w:t xml:space="preserve">7. </w:t>
            </w:r>
            <w:r w:rsidRPr="004607C7">
              <w:rPr>
                <w:rFonts w:ascii="Arial" w:hAnsi="Arial" w:cs="Arial"/>
                <w:color w:val="000000"/>
                <w:sz w:val="20"/>
                <w:szCs w:val="20"/>
                <w:lang w:eastAsia="en-ZA"/>
              </w:rPr>
              <w:t xml:space="preserve">Percentage of </w:t>
            </w:r>
            <w:r w:rsidRPr="004607C7">
              <w:rPr>
                <w:rFonts w:ascii="Arial" w:hAnsi="Arial" w:cs="Arial"/>
                <w:color w:val="000000"/>
                <w:sz w:val="20"/>
                <w:szCs w:val="20"/>
                <w:u w:val="single"/>
                <w:lang w:eastAsia="en-ZA"/>
              </w:rPr>
              <w:t>person-to-crime DNA investigative leads</w:t>
            </w:r>
            <w:r w:rsidRPr="004607C7">
              <w:rPr>
                <w:rFonts w:ascii="Arial" w:hAnsi="Arial" w:cs="Arial"/>
                <w:color w:val="000000"/>
                <w:sz w:val="20"/>
                <w:szCs w:val="20"/>
                <w:lang w:eastAsia="en-ZA"/>
              </w:rPr>
              <w:t xml:space="preserve"> finalised. The 2023/24 target is 48%. </w:t>
            </w:r>
          </w:p>
        </w:tc>
        <w:tc>
          <w:tcPr>
            <w:tcW w:w="3402" w:type="dxa"/>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b/>
                <w:color w:val="000000"/>
                <w:sz w:val="20"/>
                <w:szCs w:val="20"/>
                <w:lang w:eastAsia="en-ZA"/>
              </w:rPr>
              <w:t xml:space="preserve">8. </w:t>
            </w:r>
            <w:r w:rsidRPr="004607C7">
              <w:rPr>
                <w:rFonts w:ascii="Arial" w:hAnsi="Arial" w:cs="Arial"/>
                <w:color w:val="000000"/>
                <w:sz w:val="20"/>
                <w:szCs w:val="20"/>
                <w:lang w:eastAsia="en-ZA"/>
              </w:rPr>
              <w:t xml:space="preserve">Percentage of </w:t>
            </w:r>
            <w:r w:rsidRPr="004607C7">
              <w:rPr>
                <w:rFonts w:ascii="Arial" w:hAnsi="Arial" w:cs="Arial"/>
                <w:color w:val="000000"/>
                <w:sz w:val="20"/>
                <w:szCs w:val="20"/>
                <w:u w:val="single"/>
                <w:lang w:eastAsia="en-ZA"/>
              </w:rPr>
              <w:t>crime-to-crime investigative leads</w:t>
            </w:r>
            <w:r w:rsidRPr="004607C7">
              <w:rPr>
                <w:rFonts w:ascii="Arial" w:hAnsi="Arial" w:cs="Arial"/>
                <w:color w:val="000000"/>
                <w:sz w:val="20"/>
                <w:szCs w:val="20"/>
                <w:lang w:eastAsia="en-ZA"/>
              </w:rPr>
              <w:t xml:space="preserve"> finalised: The 2023/24 target is 45.80%.</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9. </w:t>
            </w:r>
            <w:r w:rsidRPr="004607C7">
              <w:rPr>
                <w:rFonts w:ascii="Arial" w:hAnsi="Arial" w:cs="Arial"/>
                <w:color w:val="000000"/>
                <w:sz w:val="20"/>
                <w:szCs w:val="20"/>
                <w:lang w:eastAsia="en-ZA"/>
              </w:rPr>
              <w:t xml:space="preserve">Percentage of </w:t>
            </w:r>
            <w:r w:rsidRPr="004607C7">
              <w:rPr>
                <w:rFonts w:ascii="Arial" w:hAnsi="Arial" w:cs="Arial"/>
                <w:color w:val="000000"/>
                <w:sz w:val="20"/>
                <w:szCs w:val="20"/>
                <w:u w:val="single"/>
                <w:lang w:eastAsia="en-ZA"/>
              </w:rPr>
              <w:t>fingerprint investigative leads</w:t>
            </w:r>
            <w:r w:rsidRPr="004607C7">
              <w:rPr>
                <w:rFonts w:ascii="Arial" w:hAnsi="Arial" w:cs="Arial"/>
                <w:color w:val="000000"/>
                <w:sz w:val="20"/>
                <w:szCs w:val="20"/>
                <w:lang w:eastAsia="en-ZA"/>
              </w:rPr>
              <w:t xml:space="preserve"> finalised: The 2023/24 target is 40.2%. </w:t>
            </w:r>
          </w:p>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p>
        </w:tc>
      </w:tr>
      <w:tr w:rsidR="00567CCD" w:rsidRPr="004607C7" w:rsidTr="00567CCD">
        <w:tc>
          <w:tcPr>
            <w:tcW w:w="3261"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10. </w:t>
            </w:r>
            <w:r w:rsidRPr="004607C7">
              <w:rPr>
                <w:rFonts w:ascii="Arial" w:hAnsi="Arial" w:cs="Arial"/>
                <w:color w:val="000000"/>
                <w:sz w:val="20"/>
                <w:szCs w:val="20"/>
                <w:lang w:eastAsia="en-ZA"/>
              </w:rPr>
              <w:t xml:space="preserve">Percentage of outstanding Integrated Ballistics Identification System (IBIS) investigative leads finalised: The 2023/24 target is 28.0%. </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r>
      <w:tr w:rsidR="00567CCD" w:rsidRPr="004607C7" w:rsidTr="00567CCD">
        <w:tc>
          <w:tcPr>
            <w:tcW w:w="10065" w:type="dxa"/>
            <w:gridSpan w:val="3"/>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Removed targets:</w:t>
            </w:r>
          </w:p>
        </w:tc>
      </w:tr>
      <w:tr w:rsidR="00567CCD" w:rsidRPr="004607C7" w:rsidTr="00567CCD">
        <w:tc>
          <w:tcPr>
            <w:tcW w:w="3261" w:type="dxa"/>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color w:val="000000"/>
                <w:sz w:val="20"/>
                <w:szCs w:val="20"/>
                <w:lang w:eastAsia="en-ZA"/>
              </w:rPr>
              <w:t xml:space="preserve">Detection rate for contact crimes at the 30 High Contact Crime Weight Stations: The 2022/23 target is 45%.  </w:t>
            </w:r>
          </w:p>
        </w:tc>
        <w:tc>
          <w:tcPr>
            <w:tcW w:w="3402" w:type="dxa"/>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color w:val="000000"/>
                <w:sz w:val="20"/>
                <w:szCs w:val="20"/>
                <w:lang w:eastAsia="en-ZA"/>
              </w:rPr>
              <w:t>Percentage of outstanding case dockets related to contact crimes older than 3-years finalised: The 2022/23 target is 15%.</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color w:val="000000"/>
                <w:sz w:val="20"/>
                <w:szCs w:val="20"/>
                <w:lang w:eastAsia="en-ZA"/>
              </w:rPr>
              <w:t>Percentage of outstanding wanted persons for contact crimes already circulated at the 30 High Contact Crime Weight Stations finalised: The 2022/23 target is 12%.</w:t>
            </w:r>
          </w:p>
        </w:tc>
      </w:tr>
      <w:tr w:rsidR="00567CCD" w:rsidRPr="004607C7" w:rsidTr="00567CCD">
        <w:tc>
          <w:tcPr>
            <w:tcW w:w="3261"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color w:val="000000"/>
                <w:sz w:val="20"/>
                <w:szCs w:val="20"/>
                <w:lang w:eastAsia="en-ZA"/>
              </w:rPr>
              <w:t>Percentage increase in the number of arrests for dealing in illicit drugs: Target remained unchanged at 5%.</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r>
    </w:tbl>
    <w:p w:rsidR="00567CCD" w:rsidRPr="004607C7" w:rsidRDefault="00567CCD" w:rsidP="004607C7">
      <w:pPr>
        <w:spacing w:line="240" w:lineRule="auto"/>
        <w:jc w:val="left"/>
        <w:rPr>
          <w:rFonts w:ascii="Arial" w:hAnsi="Arial" w:cs="Arial"/>
          <w:i/>
          <w:sz w:val="20"/>
          <w:szCs w:val="20"/>
        </w:rPr>
      </w:pPr>
      <w:r w:rsidRPr="004607C7">
        <w:rPr>
          <w:rFonts w:ascii="Arial" w:hAnsi="Arial" w:cs="Arial"/>
          <w:i/>
          <w:sz w:val="20"/>
          <w:szCs w:val="20"/>
        </w:rPr>
        <w:t>Source: SAPS 2023/24 APP</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12: 2023/24 performance target of the Criminal Record Centre subprogramme</w:t>
      </w:r>
    </w:p>
    <w:tbl>
      <w:tblPr>
        <w:tblStyle w:val="TableGrid"/>
        <w:tblW w:w="10490" w:type="dxa"/>
        <w:tblInd w:w="-85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686"/>
        <w:gridCol w:w="3402"/>
        <w:gridCol w:w="3402"/>
      </w:tblGrid>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1. </w:t>
            </w:r>
            <w:r w:rsidRPr="004607C7">
              <w:rPr>
                <w:rFonts w:ascii="Arial" w:hAnsi="Arial" w:cs="Arial"/>
                <w:color w:val="000000"/>
                <w:sz w:val="20"/>
                <w:szCs w:val="20"/>
                <w:lang w:eastAsia="en-ZA"/>
              </w:rPr>
              <w:t>Percentage of results of trial updated in respect of the following: Guilty verdict: The 2023/24 target is 91% of results updated within 20 calendar days.</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2. </w:t>
            </w:r>
            <w:r w:rsidRPr="004607C7">
              <w:rPr>
                <w:rFonts w:ascii="Arial" w:hAnsi="Arial" w:cs="Arial"/>
                <w:color w:val="000000"/>
                <w:sz w:val="20"/>
                <w:szCs w:val="20"/>
                <w:lang w:eastAsia="en-ZA"/>
              </w:rPr>
              <w:t xml:space="preserve">Percentage of original previous conviction reports generated: The 2023/24 target is 92% of results updated within 15 calendar days </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Target removed:</w:t>
            </w:r>
            <w:r w:rsidRPr="004607C7">
              <w:rPr>
                <w:rFonts w:ascii="Arial" w:hAnsi="Arial" w:cs="Arial"/>
                <w:color w:val="000000"/>
                <w:sz w:val="20"/>
                <w:szCs w:val="20"/>
                <w:lang w:eastAsia="en-ZA"/>
              </w:rPr>
              <w:t xml:space="preserve"> Percentage of results of trial updated in respect of the following: Not guilty verdict. The 2022/23 target remained unchanged at 95% of results updated within 20 calendar days.</w:t>
            </w:r>
          </w:p>
        </w:tc>
      </w:tr>
    </w:tbl>
    <w:p w:rsidR="00567CCD" w:rsidRPr="004607C7" w:rsidRDefault="00567CCD" w:rsidP="004607C7">
      <w:pPr>
        <w:spacing w:line="240" w:lineRule="auto"/>
        <w:jc w:val="left"/>
        <w:rPr>
          <w:rFonts w:ascii="Arial" w:hAnsi="Arial" w:cs="Arial"/>
          <w:b/>
          <w:sz w:val="20"/>
          <w:szCs w:val="20"/>
        </w:rPr>
      </w:pPr>
      <w:r w:rsidRPr="004607C7">
        <w:rPr>
          <w:rFonts w:ascii="Arial" w:hAnsi="Arial" w:cs="Arial"/>
          <w:i/>
          <w:sz w:val="20"/>
          <w:szCs w:val="20"/>
        </w:rPr>
        <w:t>Source: SAPS 2022/23 APP</w:t>
      </w:r>
    </w:p>
    <w:p w:rsidR="00567CCD" w:rsidRPr="004607C7" w:rsidRDefault="00567CCD" w:rsidP="004607C7">
      <w:pPr>
        <w:spacing w:line="240" w:lineRule="auto"/>
        <w:jc w:val="left"/>
        <w:rPr>
          <w:rFonts w:ascii="Arial" w:hAnsi="Arial" w:cs="Arial"/>
          <w:b/>
          <w:sz w:val="20"/>
          <w:szCs w:val="20"/>
        </w:rPr>
      </w:pP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13: 2023/24 performance targets of the Forensic Science Laboratory subprogramme</w:t>
      </w:r>
    </w:p>
    <w:tbl>
      <w:tblPr>
        <w:tblStyle w:val="TableGrid"/>
        <w:tblW w:w="10490" w:type="dxa"/>
        <w:tblInd w:w="-85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686"/>
        <w:gridCol w:w="3402"/>
        <w:gridCol w:w="3402"/>
      </w:tblGrid>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1. </w:t>
            </w:r>
            <w:r w:rsidRPr="004607C7">
              <w:rPr>
                <w:rFonts w:ascii="Arial" w:hAnsi="Arial" w:cs="Arial"/>
                <w:color w:val="000000"/>
                <w:sz w:val="20"/>
                <w:szCs w:val="20"/>
                <w:lang w:eastAsia="en-ZA"/>
              </w:rPr>
              <w:t xml:space="preserve">Percentage of </w:t>
            </w:r>
            <w:r w:rsidRPr="004607C7">
              <w:rPr>
                <w:rFonts w:ascii="Arial" w:hAnsi="Arial" w:cs="Arial"/>
                <w:color w:val="000000"/>
                <w:sz w:val="20"/>
                <w:szCs w:val="20"/>
                <w:u w:val="single"/>
                <w:lang w:eastAsia="en-ZA"/>
              </w:rPr>
              <w:t>routine case exhibits</w:t>
            </w:r>
            <w:r w:rsidRPr="004607C7">
              <w:rPr>
                <w:rFonts w:ascii="Arial" w:hAnsi="Arial" w:cs="Arial"/>
                <w:color w:val="000000"/>
                <w:sz w:val="20"/>
                <w:szCs w:val="20"/>
                <w:lang w:eastAsia="en-ZA"/>
              </w:rPr>
              <w:t xml:space="preserve"> (entries) finalised: The 2023/24 target remains unchanged at 75% of exhibits processed within 35 calendar days. </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2. </w:t>
            </w:r>
            <w:r w:rsidRPr="004607C7">
              <w:rPr>
                <w:rFonts w:ascii="Arial" w:hAnsi="Arial" w:cs="Arial"/>
                <w:color w:val="000000"/>
                <w:sz w:val="20"/>
                <w:szCs w:val="20"/>
                <w:lang w:eastAsia="en-ZA"/>
              </w:rPr>
              <w:t xml:space="preserve">Percentage of </w:t>
            </w:r>
            <w:r w:rsidRPr="004607C7">
              <w:rPr>
                <w:rFonts w:ascii="Arial" w:hAnsi="Arial" w:cs="Arial"/>
                <w:color w:val="000000"/>
                <w:sz w:val="20"/>
                <w:szCs w:val="20"/>
                <w:u w:val="single"/>
                <w:lang w:eastAsia="en-ZA"/>
              </w:rPr>
              <w:t>non-routine case exhibits</w:t>
            </w:r>
            <w:r w:rsidRPr="004607C7">
              <w:rPr>
                <w:rFonts w:ascii="Arial" w:hAnsi="Arial" w:cs="Arial"/>
                <w:color w:val="000000"/>
                <w:sz w:val="20"/>
                <w:szCs w:val="20"/>
                <w:lang w:eastAsia="en-ZA"/>
              </w:rPr>
              <w:t xml:space="preserve"> (entries) finalised: The 2023/24 target remains unchanged at 70% of exhibits processed within 113 calendar days.</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3. </w:t>
            </w:r>
            <w:r w:rsidRPr="004607C7">
              <w:rPr>
                <w:rFonts w:ascii="Arial" w:hAnsi="Arial" w:cs="Arial"/>
                <w:color w:val="000000"/>
                <w:sz w:val="20"/>
                <w:szCs w:val="20"/>
                <w:lang w:eastAsia="en-ZA"/>
              </w:rPr>
              <w:t xml:space="preserve">Percentage of </w:t>
            </w:r>
            <w:r w:rsidRPr="004607C7">
              <w:rPr>
                <w:rFonts w:ascii="Arial" w:hAnsi="Arial" w:cs="Arial"/>
                <w:color w:val="000000"/>
                <w:sz w:val="20"/>
                <w:szCs w:val="20"/>
                <w:u w:val="single"/>
                <w:lang w:eastAsia="en-ZA"/>
              </w:rPr>
              <w:t>case exhibits</w:t>
            </w:r>
            <w:r w:rsidRPr="004607C7">
              <w:rPr>
                <w:rFonts w:ascii="Arial" w:hAnsi="Arial" w:cs="Arial"/>
                <w:color w:val="000000"/>
                <w:sz w:val="20"/>
                <w:szCs w:val="20"/>
                <w:lang w:eastAsia="en-ZA"/>
              </w:rPr>
              <w:t xml:space="preserve"> (entries) not yet finalized exceeding the prescribed periods: The 2023/24 target remains unchanged for the backlog not exceeding 10% of registered case exhibits. </w:t>
            </w:r>
          </w:p>
        </w:tc>
      </w:tr>
      <w:tr w:rsidR="00567CCD" w:rsidRPr="004607C7" w:rsidTr="00567CCD">
        <w:tc>
          <w:tcPr>
            <w:tcW w:w="3686" w:type="dxa"/>
          </w:tcPr>
          <w:p w:rsidR="00567CCD" w:rsidRPr="004607C7" w:rsidRDefault="00567CCD" w:rsidP="004607C7">
            <w:pPr>
              <w:pStyle w:val="Pa5"/>
              <w:spacing w:line="240" w:lineRule="auto"/>
              <w:rPr>
                <w:rFonts w:ascii="Arial" w:hAnsi="Arial" w:cs="Arial"/>
                <w:color w:val="000000"/>
                <w:sz w:val="20"/>
                <w:szCs w:val="20"/>
              </w:rPr>
            </w:pPr>
            <w:r w:rsidRPr="004607C7">
              <w:rPr>
                <w:rFonts w:ascii="Arial" w:hAnsi="Arial" w:cs="Arial"/>
                <w:b/>
                <w:color w:val="000000"/>
                <w:sz w:val="20"/>
                <w:szCs w:val="20"/>
              </w:rPr>
              <w:t xml:space="preserve">4. </w:t>
            </w:r>
            <w:r w:rsidRPr="004607C7">
              <w:rPr>
                <w:rFonts w:ascii="Arial" w:hAnsi="Arial" w:cs="Arial"/>
                <w:color w:val="000000"/>
                <w:sz w:val="20"/>
                <w:szCs w:val="20"/>
              </w:rPr>
              <w:t xml:space="preserve">Percentage of </w:t>
            </w:r>
            <w:r w:rsidRPr="004607C7">
              <w:rPr>
                <w:rFonts w:ascii="Arial" w:hAnsi="Arial" w:cs="Arial"/>
                <w:color w:val="000000"/>
                <w:sz w:val="20"/>
                <w:szCs w:val="20"/>
                <w:u w:val="single"/>
              </w:rPr>
              <w:t>DNA case exhibits</w:t>
            </w:r>
            <w:r w:rsidRPr="004607C7">
              <w:rPr>
                <w:rFonts w:ascii="Arial" w:hAnsi="Arial" w:cs="Arial"/>
                <w:color w:val="000000"/>
                <w:sz w:val="20"/>
                <w:szCs w:val="20"/>
              </w:rPr>
              <w:t xml:space="preserve"> </w:t>
            </w:r>
            <w:r w:rsidRPr="004607C7">
              <w:rPr>
                <w:rFonts w:ascii="Arial" w:hAnsi="Arial" w:cs="Arial"/>
                <w:color w:val="000000"/>
                <w:sz w:val="20"/>
                <w:szCs w:val="20"/>
              </w:rPr>
              <w:lastRenderedPageBreak/>
              <w:t>(entries) not yet finalised exceeding the prescribed time frames: The 2023/24 target is the backlog not to exceed 10% of registered case exhibits.</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lastRenderedPageBreak/>
              <w:t xml:space="preserve">5. </w:t>
            </w:r>
            <w:r w:rsidRPr="004607C7">
              <w:rPr>
                <w:rFonts w:ascii="Arial" w:hAnsi="Arial" w:cs="Arial"/>
                <w:color w:val="000000"/>
                <w:sz w:val="20"/>
                <w:szCs w:val="20"/>
                <w:lang w:eastAsia="en-ZA"/>
              </w:rPr>
              <w:t xml:space="preserve">Percentage of Ballistics </w:t>
            </w:r>
            <w:r w:rsidRPr="004607C7">
              <w:rPr>
                <w:rFonts w:ascii="Arial" w:hAnsi="Arial" w:cs="Arial"/>
                <w:color w:val="000000"/>
                <w:sz w:val="20"/>
                <w:szCs w:val="20"/>
                <w:lang w:eastAsia="en-ZA"/>
              </w:rPr>
              <w:lastRenderedPageBreak/>
              <w:t xml:space="preserve">Intelligence (IBIS) case exhibits (entries) finalised. Target remains unchanged at 95% finalisation within 35 calendar days. </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lastRenderedPageBreak/>
              <w:t xml:space="preserve">6. </w:t>
            </w:r>
            <w:r w:rsidRPr="004607C7">
              <w:rPr>
                <w:rFonts w:ascii="Arial" w:hAnsi="Arial" w:cs="Arial"/>
                <w:color w:val="000000"/>
                <w:sz w:val="20"/>
                <w:szCs w:val="20"/>
                <w:lang w:eastAsia="en-ZA"/>
              </w:rPr>
              <w:t xml:space="preserve">Percentage of Biology </w:t>
            </w:r>
            <w:r w:rsidRPr="004607C7">
              <w:rPr>
                <w:rFonts w:ascii="Arial" w:hAnsi="Arial" w:cs="Arial"/>
                <w:color w:val="000000"/>
                <w:sz w:val="20"/>
                <w:szCs w:val="20"/>
                <w:lang w:eastAsia="en-ZA"/>
              </w:rPr>
              <w:lastRenderedPageBreak/>
              <w:t xml:space="preserve">Deoxyribonucleic Acid (DNA) Intelligence case exhibits (entries) finalised: Target remains unchanged at 80% processed within 90 calendar days. </w:t>
            </w:r>
          </w:p>
        </w:tc>
      </w:tr>
    </w:tbl>
    <w:p w:rsidR="00567CCD" w:rsidRPr="004607C7" w:rsidRDefault="00567CCD" w:rsidP="004607C7">
      <w:pPr>
        <w:spacing w:line="240" w:lineRule="auto"/>
        <w:jc w:val="left"/>
        <w:rPr>
          <w:rFonts w:ascii="Arial" w:hAnsi="Arial" w:cs="Arial"/>
          <w:sz w:val="20"/>
          <w:szCs w:val="20"/>
        </w:rPr>
      </w:pPr>
      <w:r w:rsidRPr="004607C7">
        <w:rPr>
          <w:rFonts w:ascii="Arial" w:hAnsi="Arial" w:cs="Arial"/>
          <w:i/>
          <w:sz w:val="20"/>
          <w:szCs w:val="20"/>
        </w:rPr>
        <w:lastRenderedPageBreak/>
        <w:t>Source: SAPS 2023/24 APP</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In 2022, the Office of the Auditor-General indicated that the measurement of days taken to finalise the analysis of DNA samples once received does not measure the lived experience of citizens as it does not take into account the time from when samples are collected from a victim or suspect to the time they are submitted to the laboratories for processing. The performance measurement does not account for (or track) the full cycle of forensic processing and value added to the criminal justice system.</w:t>
      </w: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In early 2021, reports emerged that the SAPS is facing a significant backlog in DNA analysis, which at the time was approximately 240 000 cases. The Committee conducted an oversight visit to the SAPS FSL located in Pretoria (Gauteng province) in May 2021 to assess the capacity of the laboratory, and the SAPS as a whole, to address the backlog. Following the oversight visit, the Committee recommended that the SAPS must provide monthly progress reports on the DNA backlog in the SAPS FSL Biology Section. The monthly reports were changed to quarterly reports, which have been submitted by the Minister of Police.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Since March 2021, the SAPS has successfully down-managed the historic (or ring-fenced) DNA backlog (from June 2021), reducing it from 241 152 to 61 487, as at 31 December 2022, and further to 1 600 in February 2023.</w:t>
      </w:r>
      <w:r w:rsidRPr="004607C7">
        <w:rPr>
          <w:rStyle w:val="FootnoteReference"/>
          <w:rFonts w:ascii="Arial" w:hAnsi="Arial" w:cs="Arial"/>
          <w:sz w:val="20"/>
          <w:szCs w:val="20"/>
          <w:lang w:eastAsia="en-ZA"/>
        </w:rPr>
        <w:footnoteReference w:id="1"/>
      </w:r>
      <w:r w:rsidRPr="004607C7">
        <w:rPr>
          <w:rFonts w:ascii="Arial" w:hAnsi="Arial" w:cs="Arial"/>
          <w:sz w:val="20"/>
          <w:szCs w:val="20"/>
          <w:lang w:eastAsia="en-ZA"/>
        </w:rPr>
        <w:t xml:space="preserve"> The majority of these were linked to cases of rape, women abuse and murders. The reduction is attributed to the following factors: </w:t>
      </w: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p>
    <w:p w:rsidR="00567CCD" w:rsidRPr="004607C7" w:rsidRDefault="00567CCD" w:rsidP="004607C7">
      <w:pPr>
        <w:pStyle w:val="ListParagraph"/>
        <w:numPr>
          <w:ilvl w:val="0"/>
          <w:numId w:val="23"/>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 xml:space="preserve">An additional R250 million was allocated to the operational baseline budget of the FSL. </w:t>
      </w:r>
    </w:p>
    <w:p w:rsidR="00567CCD" w:rsidRPr="004607C7" w:rsidRDefault="00567CCD" w:rsidP="004607C7">
      <w:pPr>
        <w:pStyle w:val="ListParagraph"/>
        <w:numPr>
          <w:ilvl w:val="0"/>
          <w:numId w:val="23"/>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Funding certificates were submitted to the Division: Supply Chain Management for the activation of procurement processes to prevent any delays in the bid awarding process.</w:t>
      </w:r>
    </w:p>
    <w:p w:rsidR="00567CCD" w:rsidRPr="004607C7" w:rsidRDefault="00567CCD" w:rsidP="004607C7">
      <w:pPr>
        <w:pStyle w:val="ListParagraph"/>
        <w:numPr>
          <w:ilvl w:val="0"/>
          <w:numId w:val="23"/>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Dedicated overtime was allocated for DNA processing (at as March 2022, the overtime payments were R25.5 million).</w:t>
      </w: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According to the March 2022 report from the Minister of Police, the following inferences can be made from the Performance Monitoring:</w:t>
      </w:r>
      <w:r w:rsidRPr="004607C7">
        <w:rPr>
          <w:rStyle w:val="FootnoteReference"/>
          <w:rFonts w:ascii="Arial" w:hAnsi="Arial" w:cs="Arial"/>
          <w:sz w:val="20"/>
          <w:szCs w:val="20"/>
          <w:lang w:eastAsia="en-ZA"/>
        </w:rPr>
        <w:footnoteReference w:id="2"/>
      </w:r>
    </w:p>
    <w:p w:rsidR="00567CCD" w:rsidRPr="004607C7" w:rsidRDefault="00567CCD" w:rsidP="004607C7">
      <w:pPr>
        <w:pStyle w:val="ListParagraph"/>
        <w:numPr>
          <w:ilvl w:val="0"/>
          <w:numId w:val="22"/>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More cases are finalised from both the backlog and the incoming entries</w:t>
      </w:r>
    </w:p>
    <w:p w:rsidR="00567CCD" w:rsidRPr="004607C7" w:rsidRDefault="00567CCD" w:rsidP="004607C7">
      <w:pPr>
        <w:pStyle w:val="ListParagraph"/>
        <w:numPr>
          <w:ilvl w:val="0"/>
          <w:numId w:val="22"/>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 xml:space="preserve">There is a reduction in the number of backlog entries </w:t>
      </w:r>
    </w:p>
    <w:p w:rsidR="00567CCD" w:rsidRPr="004607C7" w:rsidRDefault="00567CCD" w:rsidP="004607C7">
      <w:pPr>
        <w:pStyle w:val="ListParagraph"/>
        <w:numPr>
          <w:ilvl w:val="0"/>
          <w:numId w:val="22"/>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 xml:space="preserve">Court-ready cases are being prioritised </w:t>
      </w:r>
    </w:p>
    <w:p w:rsidR="00567CCD" w:rsidRPr="004607C7" w:rsidRDefault="00567CCD" w:rsidP="004607C7">
      <w:pPr>
        <w:pStyle w:val="ListParagraph"/>
        <w:numPr>
          <w:ilvl w:val="0"/>
          <w:numId w:val="22"/>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The approach to case management is balanced to simultaneously reduce the backlog entries and attend to cases that are about to become backlogged</w:t>
      </w:r>
    </w:p>
    <w:p w:rsidR="00567CCD" w:rsidRPr="004607C7" w:rsidRDefault="00567CCD" w:rsidP="004607C7">
      <w:pPr>
        <w:pStyle w:val="ListParagraph"/>
        <w:numPr>
          <w:ilvl w:val="0"/>
          <w:numId w:val="22"/>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 xml:space="preserve">The constant monitoring of cases is being implemented </w:t>
      </w:r>
    </w:p>
    <w:p w:rsidR="00567CCD" w:rsidRPr="004607C7" w:rsidRDefault="00567CCD" w:rsidP="004607C7">
      <w:pPr>
        <w:pStyle w:val="ListParagraph"/>
        <w:numPr>
          <w:ilvl w:val="0"/>
          <w:numId w:val="22"/>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 xml:space="preserve">More cases are being registered </w:t>
      </w:r>
    </w:p>
    <w:p w:rsidR="00567CCD" w:rsidRPr="004607C7" w:rsidRDefault="00567CCD" w:rsidP="004607C7">
      <w:pPr>
        <w:pStyle w:val="ListParagraph"/>
        <w:numPr>
          <w:ilvl w:val="0"/>
          <w:numId w:val="22"/>
        </w:numPr>
        <w:autoSpaceDE w:val="0"/>
        <w:autoSpaceDN w:val="0"/>
        <w:adjustRightInd w:val="0"/>
        <w:spacing w:line="240" w:lineRule="auto"/>
        <w:jc w:val="left"/>
        <w:rPr>
          <w:rFonts w:ascii="Arial" w:hAnsi="Arial" w:cs="Arial"/>
          <w:sz w:val="20"/>
          <w:szCs w:val="20"/>
          <w:lang w:eastAsia="en-ZA"/>
        </w:rPr>
      </w:pPr>
      <w:r w:rsidRPr="004607C7">
        <w:rPr>
          <w:rFonts w:ascii="Arial" w:hAnsi="Arial" w:cs="Arial"/>
          <w:sz w:val="20"/>
          <w:szCs w:val="20"/>
          <w:lang w:eastAsia="en-ZA"/>
        </w:rPr>
        <w:t>The allocation of cases is being prioritised</w:t>
      </w:r>
    </w:p>
    <w:p w:rsidR="00567CCD" w:rsidRPr="004607C7" w:rsidRDefault="00567CCD" w:rsidP="004607C7">
      <w:pPr>
        <w:autoSpaceDE w:val="0"/>
        <w:autoSpaceDN w:val="0"/>
        <w:adjustRightInd w:val="0"/>
        <w:spacing w:line="240" w:lineRule="auto"/>
        <w:jc w:val="left"/>
        <w:rPr>
          <w:rFonts w:ascii="Arial" w:hAnsi="Arial" w:cs="Arial"/>
          <w:sz w:val="20"/>
          <w:szCs w:val="20"/>
          <w:lang w:eastAsia="en-ZA"/>
        </w:rPr>
      </w:pPr>
    </w:p>
    <w:p w:rsidR="00567CCD" w:rsidRPr="004607C7" w:rsidRDefault="00567CCD" w:rsidP="004607C7">
      <w:pPr>
        <w:spacing w:line="240" w:lineRule="auto"/>
        <w:jc w:val="left"/>
        <w:rPr>
          <w:rFonts w:ascii="Arial" w:hAnsi="Arial" w:cs="Arial"/>
          <w:sz w:val="20"/>
          <w:szCs w:val="20"/>
          <w:lang w:eastAsia="en-ZA"/>
        </w:rPr>
      </w:pPr>
      <w:r w:rsidRPr="004607C7">
        <w:rPr>
          <w:rFonts w:ascii="Arial" w:hAnsi="Arial" w:cs="Arial"/>
          <w:sz w:val="20"/>
          <w:szCs w:val="20"/>
          <w:lang w:eastAsia="en-ZA"/>
        </w:rPr>
        <w:t>The figure below shows the reduction in the DNA backlog between March 2021 and February 2023.</w:t>
      </w:r>
    </w:p>
    <w:p w:rsidR="005B15AF" w:rsidRPr="004607C7" w:rsidRDefault="005B15AF" w:rsidP="004607C7">
      <w:pPr>
        <w:spacing w:line="240" w:lineRule="auto"/>
        <w:jc w:val="left"/>
        <w:rPr>
          <w:rFonts w:ascii="Arial" w:hAnsi="Arial" w:cs="Arial"/>
          <w:sz w:val="20"/>
          <w:szCs w:val="20"/>
        </w:rPr>
      </w:pPr>
      <w:r w:rsidRPr="004607C7">
        <w:rPr>
          <w:rFonts w:ascii="Arial" w:hAnsi="Arial" w:cs="Arial"/>
          <w:noProof/>
          <w:sz w:val="20"/>
          <w:szCs w:val="20"/>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203143</wp:posOffset>
            </wp:positionV>
            <wp:extent cx="5572125" cy="1995170"/>
            <wp:effectExtent l="0" t="0" r="9525" b="508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3"/>
        <w:numPr>
          <w:ilvl w:val="2"/>
          <w:numId w:val="4"/>
        </w:numPr>
        <w:spacing w:line="240" w:lineRule="auto"/>
        <w:jc w:val="left"/>
        <w:rPr>
          <w:rFonts w:ascii="Arial" w:hAnsi="Arial" w:cs="Arial"/>
          <w:sz w:val="20"/>
          <w:szCs w:val="20"/>
        </w:rPr>
      </w:pPr>
      <w:bookmarkStart w:id="19" w:name="_Toc132206885"/>
      <w:r w:rsidRPr="004607C7">
        <w:rPr>
          <w:rFonts w:ascii="Arial" w:hAnsi="Arial" w:cs="Arial"/>
          <w:sz w:val="20"/>
          <w:szCs w:val="20"/>
        </w:rPr>
        <w:t>Directorate for Priority Crime Investigations (DPCI)</w:t>
      </w:r>
      <w:bookmarkEnd w:id="19"/>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w:t>
      </w:r>
      <w:r w:rsidRPr="004607C7">
        <w:rPr>
          <w:rFonts w:ascii="Arial" w:hAnsi="Arial" w:cs="Arial"/>
          <w:b/>
          <w:sz w:val="20"/>
          <w:szCs w:val="20"/>
        </w:rPr>
        <w:t>Directorate for Priority Crime Investigations (DPCI)</w:t>
      </w:r>
      <w:r w:rsidRPr="004607C7">
        <w:rPr>
          <w:rFonts w:ascii="Arial" w:hAnsi="Arial" w:cs="Arial"/>
          <w:sz w:val="20"/>
          <w:szCs w:val="20"/>
        </w:rPr>
        <w:t xml:space="preserve">, commonly known as the Hawks is located as a Directorate within the SAPS under the Specialised Investigations subprogramme.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14: 2023/24 performance targets of the DPCI</w:t>
      </w:r>
    </w:p>
    <w:tbl>
      <w:tblPr>
        <w:tblStyle w:val="TableGrid"/>
        <w:tblW w:w="10490" w:type="dxa"/>
        <w:tblInd w:w="-85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686"/>
        <w:gridCol w:w="3402"/>
        <w:gridCol w:w="3402"/>
      </w:tblGrid>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1. </w:t>
            </w:r>
            <w:r w:rsidRPr="004607C7">
              <w:rPr>
                <w:rFonts w:ascii="Arial" w:hAnsi="Arial" w:cs="Arial"/>
                <w:color w:val="000000"/>
                <w:sz w:val="20"/>
                <w:szCs w:val="20"/>
                <w:lang w:eastAsia="en-ZA"/>
              </w:rPr>
              <w:t xml:space="preserve">Percentage of trial-ready case dockets for serious corruption within the public sector: The 2023/24 target is 70%. </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2. </w:t>
            </w:r>
            <w:r w:rsidRPr="004607C7">
              <w:rPr>
                <w:rFonts w:ascii="Arial" w:hAnsi="Arial" w:cs="Arial"/>
                <w:color w:val="000000"/>
                <w:sz w:val="20"/>
                <w:szCs w:val="20"/>
                <w:lang w:eastAsia="en-ZA"/>
              </w:rPr>
              <w:t>Percentage of trial-ready case dockets for serious corruption within the private sector: The 2023/24 target is 70%.</w:t>
            </w: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 xml:space="preserve">3. </w:t>
            </w:r>
            <w:r w:rsidRPr="004607C7">
              <w:rPr>
                <w:rFonts w:ascii="Arial" w:hAnsi="Arial" w:cs="Arial"/>
                <w:color w:val="000000"/>
                <w:sz w:val="20"/>
                <w:szCs w:val="20"/>
                <w:lang w:eastAsia="en-ZA"/>
              </w:rPr>
              <w:t>Percentage of registered serious organised crime project investigations successfully closed: The 2023/24 target is 72%.</w:t>
            </w: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b/>
                <w:color w:val="000000"/>
                <w:sz w:val="20"/>
                <w:szCs w:val="20"/>
                <w:lang w:eastAsia="en-ZA"/>
              </w:rPr>
              <w:t xml:space="preserve">4. </w:t>
            </w:r>
            <w:r w:rsidRPr="004607C7">
              <w:rPr>
                <w:rFonts w:ascii="Arial" w:hAnsi="Arial" w:cs="Arial"/>
                <w:color w:val="000000"/>
                <w:sz w:val="20"/>
                <w:szCs w:val="20"/>
                <w:lang w:eastAsia="en-ZA"/>
              </w:rPr>
              <w:t>Percentage of identified clandestine laboratories dismantled with arrests: The target remained unchanged at 90%.</w:t>
            </w:r>
          </w:p>
        </w:tc>
        <w:tc>
          <w:tcPr>
            <w:tcW w:w="3402" w:type="dxa"/>
            <w:tcBorders>
              <w:bottom w:val="single" w:sz="4" w:space="0" w:color="70AD47" w:themeColor="accent6"/>
            </w:tcBorders>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b/>
                <w:color w:val="000000"/>
                <w:sz w:val="20"/>
                <w:szCs w:val="20"/>
                <w:lang w:eastAsia="en-ZA"/>
              </w:rPr>
              <w:t xml:space="preserve">5. </w:t>
            </w:r>
            <w:r w:rsidRPr="004607C7">
              <w:rPr>
                <w:rFonts w:ascii="Arial" w:hAnsi="Arial" w:cs="Arial"/>
                <w:color w:val="000000"/>
                <w:sz w:val="20"/>
                <w:szCs w:val="20"/>
                <w:lang w:eastAsia="en-ZA"/>
              </w:rPr>
              <w:t>Percentage of trial-ready case dockets for serious commercial crime: The target remained unchanged at 65%.</w:t>
            </w:r>
          </w:p>
        </w:tc>
        <w:tc>
          <w:tcPr>
            <w:tcW w:w="3402" w:type="dxa"/>
            <w:tcBorders>
              <w:bottom w:val="single" w:sz="4" w:space="0" w:color="70AD47" w:themeColor="accent6"/>
            </w:tcBorders>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b/>
                <w:color w:val="000000"/>
                <w:sz w:val="20"/>
                <w:szCs w:val="20"/>
                <w:lang w:eastAsia="en-ZA"/>
              </w:rPr>
              <w:t xml:space="preserve">6. </w:t>
            </w:r>
            <w:r w:rsidRPr="004607C7">
              <w:rPr>
                <w:rFonts w:ascii="Arial" w:hAnsi="Arial" w:cs="Arial"/>
                <w:color w:val="000000"/>
                <w:sz w:val="20"/>
                <w:szCs w:val="20"/>
                <w:lang w:eastAsia="en-ZA"/>
              </w:rPr>
              <w:t xml:space="preserve">Percentage of serious cyber-related crime support case files successfully investigated within 90 calendar days: The 2023/24 target is 65%.   </w:t>
            </w:r>
          </w:p>
        </w:tc>
      </w:tr>
      <w:tr w:rsidR="00567CCD" w:rsidRPr="004607C7" w:rsidTr="00567CCD">
        <w:tc>
          <w:tcPr>
            <w:tcW w:w="3686" w:type="dxa"/>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lang w:eastAsia="en-ZA"/>
              </w:rPr>
            </w:pPr>
            <w:r w:rsidRPr="004607C7">
              <w:rPr>
                <w:rFonts w:ascii="Arial" w:hAnsi="Arial" w:cs="Arial"/>
                <w:b/>
                <w:color w:val="000000"/>
                <w:sz w:val="20"/>
                <w:szCs w:val="20"/>
                <w:lang w:eastAsia="en-ZA"/>
              </w:rPr>
              <w:t>Target removed:</w:t>
            </w:r>
            <w:r w:rsidRPr="004607C7">
              <w:rPr>
                <w:rFonts w:ascii="Arial" w:hAnsi="Arial" w:cs="Arial"/>
                <w:color w:val="000000"/>
                <w:sz w:val="20"/>
                <w:szCs w:val="20"/>
                <w:lang w:eastAsia="en-ZA"/>
              </w:rPr>
              <w:t xml:space="preserve"> Percentage of trial-ready case dockets for serious corruption within the JCPS Cluster.</w:t>
            </w:r>
            <w:r w:rsidRPr="004607C7">
              <w:rPr>
                <w:rStyle w:val="FootnoteReference"/>
                <w:rFonts w:ascii="Arial" w:hAnsi="Arial" w:cs="Arial"/>
                <w:color w:val="000000"/>
                <w:sz w:val="20"/>
                <w:szCs w:val="20"/>
                <w:lang w:eastAsia="en-ZA"/>
              </w:rPr>
              <w:footnoteReference w:id="3"/>
            </w:r>
            <w:r w:rsidRPr="004607C7">
              <w:rPr>
                <w:rFonts w:ascii="Arial" w:hAnsi="Arial" w:cs="Arial"/>
                <w:color w:val="000000"/>
                <w:sz w:val="20"/>
                <w:szCs w:val="20"/>
                <w:lang w:eastAsia="en-ZA"/>
              </w:rPr>
              <w:t xml:space="preserve"> </w:t>
            </w:r>
          </w:p>
        </w:tc>
        <w:tc>
          <w:tcPr>
            <w:tcW w:w="6804" w:type="dxa"/>
            <w:gridSpan w:val="2"/>
            <w:tcBorders>
              <w:bottom w:val="nil"/>
              <w:right w:val="nil"/>
            </w:tcBorders>
            <w:vAlign w:val="center"/>
          </w:tcPr>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i/>
                <w:sz w:val="20"/>
                <w:szCs w:val="20"/>
              </w:rPr>
              <w:t>Source: SAPS 2023/24 APP</w:t>
            </w:r>
          </w:p>
        </w:tc>
      </w:tr>
    </w:tbl>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color w:val="000000"/>
          <w:sz w:val="20"/>
          <w:szCs w:val="20"/>
        </w:rPr>
      </w:pPr>
      <w:r w:rsidRPr="004607C7">
        <w:rPr>
          <w:rFonts w:ascii="Arial" w:hAnsi="Arial" w:cs="Arial"/>
          <w:color w:val="000000"/>
          <w:sz w:val="20"/>
          <w:szCs w:val="20"/>
        </w:rPr>
        <w:t xml:space="preserve">According to the National Head of the DPCI, “the procurement of specialised technological aids, software licenses for specialised investigative tools and specialised technology equipment, remains a challenge that shall receive attention to ensure the effectiveness of the investigation of all serious crime, especially those crimes being committed in the cyber space”. Furthermore, the office accommodation of the DPCI remains a key challenge that must be addressed. </w:t>
      </w:r>
    </w:p>
    <w:p w:rsidR="00567CCD" w:rsidRPr="004607C7" w:rsidRDefault="00567CCD" w:rsidP="004607C7">
      <w:pPr>
        <w:spacing w:line="240" w:lineRule="auto"/>
        <w:jc w:val="left"/>
        <w:rPr>
          <w:rFonts w:ascii="Arial" w:hAnsi="Arial" w:cs="Arial"/>
          <w:color w:val="000000"/>
          <w:sz w:val="20"/>
          <w:szCs w:val="20"/>
        </w:rPr>
      </w:pPr>
    </w:p>
    <w:p w:rsidR="00567CCD" w:rsidRPr="004607C7" w:rsidRDefault="00567CCD" w:rsidP="004607C7">
      <w:pPr>
        <w:spacing w:line="240" w:lineRule="auto"/>
        <w:jc w:val="left"/>
        <w:rPr>
          <w:rFonts w:ascii="Arial" w:hAnsi="Arial" w:cs="Arial"/>
          <w:color w:val="000000"/>
          <w:sz w:val="20"/>
          <w:szCs w:val="20"/>
        </w:rPr>
      </w:pPr>
      <w:r w:rsidRPr="004607C7">
        <w:rPr>
          <w:rFonts w:ascii="Arial" w:hAnsi="Arial" w:cs="Arial"/>
          <w:color w:val="000000"/>
          <w:sz w:val="20"/>
          <w:szCs w:val="20"/>
        </w:rPr>
        <w:t xml:space="preserve">During 2023/24, the DPCI will prioritise the following: </w:t>
      </w:r>
    </w:p>
    <w:p w:rsidR="00567CCD" w:rsidRPr="004607C7" w:rsidRDefault="00567CCD" w:rsidP="004607C7">
      <w:pPr>
        <w:pStyle w:val="ListParagraph"/>
        <w:numPr>
          <w:ilvl w:val="0"/>
          <w:numId w:val="20"/>
        </w:numPr>
        <w:spacing w:line="240" w:lineRule="auto"/>
        <w:jc w:val="left"/>
        <w:rPr>
          <w:rFonts w:ascii="Arial" w:hAnsi="Arial" w:cs="Arial"/>
          <w:color w:val="000000"/>
          <w:sz w:val="20"/>
          <w:szCs w:val="20"/>
        </w:rPr>
      </w:pPr>
      <w:r w:rsidRPr="004607C7">
        <w:rPr>
          <w:rFonts w:ascii="Arial" w:hAnsi="Arial" w:cs="Arial"/>
          <w:color w:val="000000"/>
          <w:sz w:val="20"/>
          <w:szCs w:val="20"/>
        </w:rPr>
        <w:t>Investigations and recommendations by the Judicial Commission of Inquiry into allegations of State Capture.</w:t>
      </w:r>
    </w:p>
    <w:p w:rsidR="00567CCD" w:rsidRPr="004607C7" w:rsidRDefault="00567CCD" w:rsidP="004607C7">
      <w:pPr>
        <w:pStyle w:val="ListParagraph"/>
        <w:numPr>
          <w:ilvl w:val="0"/>
          <w:numId w:val="20"/>
        </w:numPr>
        <w:spacing w:line="240" w:lineRule="auto"/>
        <w:jc w:val="left"/>
        <w:rPr>
          <w:rFonts w:ascii="Arial" w:hAnsi="Arial" w:cs="Arial"/>
          <w:color w:val="000000"/>
          <w:sz w:val="20"/>
          <w:szCs w:val="20"/>
        </w:rPr>
      </w:pPr>
      <w:r w:rsidRPr="004607C7">
        <w:rPr>
          <w:rFonts w:ascii="Arial" w:hAnsi="Arial" w:cs="Arial"/>
          <w:color w:val="000000"/>
          <w:sz w:val="20"/>
          <w:szCs w:val="20"/>
        </w:rPr>
        <w:t xml:space="preserve">Corruption and Fraud in the Public Sector, including Organs of State. </w:t>
      </w:r>
    </w:p>
    <w:p w:rsidR="00567CCD" w:rsidRPr="004607C7" w:rsidRDefault="00567CCD" w:rsidP="004607C7">
      <w:pPr>
        <w:pStyle w:val="ListParagraph"/>
        <w:numPr>
          <w:ilvl w:val="0"/>
          <w:numId w:val="20"/>
        </w:numPr>
        <w:spacing w:line="240" w:lineRule="auto"/>
        <w:jc w:val="left"/>
        <w:rPr>
          <w:rFonts w:ascii="Arial" w:hAnsi="Arial" w:cs="Arial"/>
          <w:color w:val="000000"/>
          <w:sz w:val="20"/>
          <w:szCs w:val="20"/>
        </w:rPr>
      </w:pPr>
      <w:r w:rsidRPr="004607C7">
        <w:rPr>
          <w:rFonts w:ascii="Arial" w:hAnsi="Arial" w:cs="Arial"/>
          <w:color w:val="000000"/>
          <w:sz w:val="20"/>
          <w:szCs w:val="20"/>
        </w:rPr>
        <w:t xml:space="preserve">Recommendations and findings of the Financial Action Task Force (FAFT). </w:t>
      </w:r>
    </w:p>
    <w:p w:rsidR="00567CCD" w:rsidRPr="004607C7" w:rsidRDefault="00567CCD" w:rsidP="004607C7">
      <w:pPr>
        <w:pStyle w:val="ListParagraph"/>
        <w:numPr>
          <w:ilvl w:val="0"/>
          <w:numId w:val="20"/>
        </w:numPr>
        <w:spacing w:line="240" w:lineRule="auto"/>
        <w:jc w:val="left"/>
        <w:rPr>
          <w:rFonts w:ascii="Arial" w:hAnsi="Arial" w:cs="Arial"/>
          <w:color w:val="000000"/>
          <w:sz w:val="20"/>
          <w:szCs w:val="20"/>
        </w:rPr>
      </w:pPr>
      <w:r w:rsidRPr="004607C7">
        <w:rPr>
          <w:rFonts w:ascii="Arial" w:hAnsi="Arial" w:cs="Arial"/>
          <w:color w:val="000000"/>
          <w:sz w:val="20"/>
          <w:szCs w:val="20"/>
        </w:rPr>
        <w:t>The looting of essential infrastructure.</w:t>
      </w:r>
    </w:p>
    <w:p w:rsidR="00567CCD" w:rsidRPr="004607C7" w:rsidRDefault="00567CCD" w:rsidP="004607C7">
      <w:pPr>
        <w:pStyle w:val="ListParagraph"/>
        <w:numPr>
          <w:ilvl w:val="0"/>
          <w:numId w:val="20"/>
        </w:numPr>
        <w:spacing w:line="240" w:lineRule="auto"/>
        <w:jc w:val="left"/>
        <w:rPr>
          <w:rFonts w:ascii="Arial" w:hAnsi="Arial" w:cs="Arial"/>
          <w:color w:val="000000"/>
          <w:sz w:val="20"/>
          <w:szCs w:val="20"/>
        </w:rPr>
      </w:pPr>
      <w:r w:rsidRPr="004607C7">
        <w:rPr>
          <w:rFonts w:ascii="Arial" w:hAnsi="Arial" w:cs="Arial"/>
          <w:color w:val="000000"/>
          <w:sz w:val="20"/>
          <w:szCs w:val="20"/>
        </w:rPr>
        <w:t xml:space="preserve">Stealing of natural resources. </w:t>
      </w:r>
    </w:p>
    <w:p w:rsidR="00567CCD" w:rsidRPr="004607C7" w:rsidRDefault="00567CCD" w:rsidP="004607C7">
      <w:pPr>
        <w:spacing w:line="240" w:lineRule="auto"/>
        <w:jc w:val="left"/>
        <w:rPr>
          <w:rFonts w:ascii="Arial" w:hAnsi="Arial" w:cs="Arial"/>
          <w:color w:val="000000"/>
          <w:sz w:val="20"/>
          <w:szCs w:val="20"/>
        </w:rPr>
      </w:pPr>
    </w:p>
    <w:p w:rsidR="00567CCD" w:rsidRPr="004607C7" w:rsidRDefault="00567CCD" w:rsidP="004607C7">
      <w:pPr>
        <w:spacing w:line="240" w:lineRule="auto"/>
        <w:jc w:val="left"/>
        <w:rPr>
          <w:rFonts w:ascii="Arial" w:hAnsi="Arial" w:cs="Arial"/>
          <w:color w:val="000000"/>
          <w:sz w:val="20"/>
          <w:szCs w:val="20"/>
        </w:rPr>
      </w:pPr>
      <w:r w:rsidRPr="004607C7">
        <w:rPr>
          <w:rFonts w:ascii="Arial" w:hAnsi="Arial" w:cs="Arial"/>
          <w:color w:val="000000"/>
          <w:sz w:val="20"/>
          <w:szCs w:val="20"/>
        </w:rPr>
        <w:t xml:space="preserve">The DPCI remains severely under capacitated. </w:t>
      </w:r>
      <w:r w:rsidRPr="004607C7">
        <w:rPr>
          <w:rFonts w:ascii="Arial" w:hAnsi="Arial" w:cs="Arial"/>
          <w:sz w:val="20"/>
          <w:szCs w:val="20"/>
          <w:lang w:eastAsia="en-ZA"/>
        </w:rPr>
        <w:t>During the 2022/23 financial year, 564 critical vacant posts were advertised within the DPCI. The appointment of the Deputy National Head, the</w:t>
      </w:r>
      <w:r w:rsidRPr="004607C7">
        <w:rPr>
          <w:rFonts w:ascii="Arial" w:hAnsi="Arial" w:cs="Arial"/>
          <w:color w:val="000000"/>
          <w:sz w:val="20"/>
          <w:szCs w:val="20"/>
        </w:rPr>
        <w:t xml:space="preserve"> </w:t>
      </w:r>
      <w:r w:rsidRPr="004607C7">
        <w:rPr>
          <w:rFonts w:ascii="Arial" w:hAnsi="Arial" w:cs="Arial"/>
          <w:sz w:val="20"/>
          <w:szCs w:val="20"/>
          <w:lang w:eastAsia="en-ZA"/>
        </w:rPr>
        <w:t>Divisional Commissioner: National Priority Offenses Operations and three Provincial Heads, has strengthened management of the Directorate. Filling</w:t>
      </w:r>
      <w:r w:rsidRPr="004607C7">
        <w:rPr>
          <w:rFonts w:ascii="Arial" w:hAnsi="Arial" w:cs="Arial"/>
          <w:color w:val="000000"/>
          <w:sz w:val="20"/>
          <w:szCs w:val="20"/>
        </w:rPr>
        <w:t xml:space="preserve"> </w:t>
      </w:r>
      <w:r w:rsidRPr="004607C7">
        <w:rPr>
          <w:rFonts w:ascii="Arial" w:hAnsi="Arial" w:cs="Arial"/>
          <w:sz w:val="20"/>
          <w:szCs w:val="20"/>
          <w:lang w:eastAsia="en-ZA"/>
        </w:rPr>
        <w:t>of vacant posts on production level shall be aggressively pursued in the 2023/2024 financial year. To implement the Financial Action Task Force standards and enhance the DPCI’s capacity in strategic competencies, an additional 2 647 posts are expected to be filled in 2023/24 and 2024/25.</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DPCI is a crucial agency to address the grey-listed status of South Africa and to increase investigations and arrests related to money laundering and terror financing. </w:t>
      </w:r>
      <w:r w:rsidRPr="004607C7">
        <w:rPr>
          <w:rFonts w:ascii="Arial" w:hAnsi="Arial" w:cs="Arial"/>
          <w:sz w:val="20"/>
          <w:szCs w:val="20"/>
          <w:lang w:eastAsia="en-ZA"/>
        </w:rPr>
        <w:t>Over the medium term, the DPCI will aim to increase the number of requests to the Financial Intelligence Centre on money laundering from 86 to 124, and on terror financing from 151 to 218. The DPCI also plans to leverage existing capacity and financial intelligence by adopting a proactive approach of identifying and pursuing high level, complex and serious cases of money laundering.</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lang w:eastAsia="en-ZA"/>
        </w:rPr>
        <w:t>In 2023, the DPCI will prioritise training of investigating officers on money laundering, asset forfeiture investigations and the Countering of Terror Financing, as there is an expectation to address the deficiencies identified by the FATF in the Post Assessment Report. The DPCI has put measures in place to ensure total cooperation with all critical role-players, to ensure that the remaining concerns of the FATF are effectively addressed. The National Risk Assessment (NRA) Report of the country is a critical guiding document for the DPCI, in this process and the action steps are being put in place are aligned with the NRA, as far as it relates to the mandate of the DPCI.</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3"/>
        <w:numPr>
          <w:ilvl w:val="2"/>
          <w:numId w:val="4"/>
        </w:numPr>
        <w:spacing w:line="240" w:lineRule="auto"/>
        <w:jc w:val="left"/>
        <w:rPr>
          <w:rFonts w:ascii="Arial" w:hAnsi="Arial" w:cs="Arial"/>
          <w:sz w:val="20"/>
          <w:szCs w:val="20"/>
        </w:rPr>
      </w:pPr>
      <w:bookmarkStart w:id="20" w:name="_Toc132206886"/>
      <w:r w:rsidRPr="004607C7">
        <w:rPr>
          <w:rFonts w:ascii="Arial" w:hAnsi="Arial" w:cs="Arial"/>
          <w:sz w:val="20"/>
          <w:szCs w:val="20"/>
        </w:rPr>
        <w:lastRenderedPageBreak/>
        <w:t>Budget allocation</w:t>
      </w:r>
      <w:bookmarkEnd w:id="20"/>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Detective Services Programme’s Main Appropriation increased slightly from R20.854 billion in 2022/23 to R20.856 billion in 2022/23. This does not represent a nominal increase (the R2.7 million increase is too small to register as a percentage). In real terms, the allocation decreased with R971.6 million or 4.66 per cent. The decrease is most noticeable in the </w:t>
      </w:r>
      <w:r w:rsidRPr="004607C7">
        <w:rPr>
          <w:rFonts w:ascii="Arial" w:hAnsi="Arial" w:cs="Arial"/>
          <w:b/>
          <w:sz w:val="20"/>
          <w:szCs w:val="20"/>
        </w:rPr>
        <w:t>Crime Investigations subprogramme</w:t>
      </w:r>
      <w:r w:rsidRPr="004607C7">
        <w:rPr>
          <w:rFonts w:ascii="Arial" w:hAnsi="Arial" w:cs="Arial"/>
          <w:sz w:val="20"/>
          <w:szCs w:val="20"/>
        </w:rPr>
        <w:t xml:space="preserve"> which received an allocation of R14.2 billion in 2023/24, which is a nominal decrease of R103.6 million or 0.72 per cent. In real terms, the allocation decreased with R767.4 million or 5.36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w:t>
      </w:r>
      <w:r w:rsidRPr="004607C7">
        <w:rPr>
          <w:rFonts w:ascii="Arial" w:hAnsi="Arial" w:cs="Arial"/>
          <w:b/>
          <w:sz w:val="20"/>
          <w:szCs w:val="20"/>
        </w:rPr>
        <w:t>Criminal Record Centre subprogramme</w:t>
      </w:r>
      <w:r w:rsidRPr="004607C7">
        <w:rPr>
          <w:rFonts w:ascii="Arial" w:hAnsi="Arial" w:cs="Arial"/>
          <w:sz w:val="20"/>
          <w:szCs w:val="20"/>
        </w:rPr>
        <w:t xml:space="preserve"> received an allocation of R2.817 billion in 2023/24, which is a slight nominal increase of R1.9 million or 0.07 per cent compared to the previous financial year.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Despite the significant challenges faced in the </w:t>
      </w:r>
      <w:r w:rsidRPr="004607C7">
        <w:rPr>
          <w:rFonts w:ascii="Arial" w:hAnsi="Arial" w:cs="Arial"/>
          <w:b/>
          <w:sz w:val="20"/>
          <w:szCs w:val="20"/>
        </w:rPr>
        <w:t>Forensic Science Laboratories subprogramme</w:t>
      </w:r>
      <w:r w:rsidRPr="004607C7">
        <w:rPr>
          <w:rFonts w:ascii="Arial" w:hAnsi="Arial" w:cs="Arial"/>
          <w:sz w:val="20"/>
          <w:szCs w:val="20"/>
        </w:rPr>
        <w:t xml:space="preserve">, the allocation was induced slightly in 2023/24 from R1.548 billion to R1.581 billion. Nominally, this is an increase of R32.7 million or 2.11 per cent. In real terms, the allocation decreased with R41.2 million or 2.66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w:t>
      </w:r>
      <w:r w:rsidRPr="004607C7">
        <w:rPr>
          <w:rFonts w:ascii="Arial" w:hAnsi="Arial" w:cs="Arial"/>
          <w:b/>
          <w:sz w:val="20"/>
          <w:szCs w:val="20"/>
        </w:rPr>
        <w:t>Specialised Investigations subprogramme</w:t>
      </w:r>
      <w:r w:rsidRPr="004607C7">
        <w:rPr>
          <w:rFonts w:ascii="Arial" w:hAnsi="Arial" w:cs="Arial"/>
          <w:sz w:val="20"/>
          <w:szCs w:val="20"/>
        </w:rPr>
        <w:t xml:space="preserve"> received an allocation of R2.247 billion in 2023/24, which is a slight nominal increase of R71.7 million or 3.3 per cent compared to the previous financial year. In real terms, the allocation decreased with R33.3 million or 4.53 per cent. The slight increase remains concerning as the Directorate still needs to be fully capacitated in terms of personnel and specialised technological aids and equipment.</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15: Detective Services Programme: Difference in 2022/23 and 2023/24 budget allocation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992"/>
        <w:gridCol w:w="992"/>
        <w:gridCol w:w="1130"/>
        <w:gridCol w:w="1138"/>
        <w:gridCol w:w="1418"/>
        <w:gridCol w:w="1417"/>
      </w:tblGrid>
      <w:tr w:rsidR="00567CCD" w:rsidRPr="004607C7" w:rsidTr="00567CCD">
        <w:trPr>
          <w:trHeight w:val="765"/>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Programme</w:t>
            </w:r>
          </w:p>
        </w:tc>
        <w:tc>
          <w:tcPr>
            <w:tcW w:w="1984" w:type="dxa"/>
            <w:gridSpan w:val="2"/>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Budget</w:t>
            </w:r>
          </w:p>
        </w:tc>
        <w:tc>
          <w:tcPr>
            <w:tcW w:w="1130"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Nominal Increase / Decrease in 2023/24</w:t>
            </w:r>
          </w:p>
        </w:tc>
        <w:tc>
          <w:tcPr>
            <w:tcW w:w="1138"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Real Increase / Decrease in 2023/24</w:t>
            </w:r>
          </w:p>
        </w:tc>
        <w:tc>
          <w:tcPr>
            <w:tcW w:w="1418"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Nominal Percent change in 2023/24</w:t>
            </w:r>
          </w:p>
        </w:tc>
        <w:tc>
          <w:tcPr>
            <w:tcW w:w="1417"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Real Percent change in 2023/24</w:t>
            </w: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 million</w:t>
            </w:r>
          </w:p>
        </w:tc>
        <w:tc>
          <w:tcPr>
            <w:tcW w:w="992"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2022/23</w:t>
            </w:r>
          </w:p>
        </w:tc>
        <w:tc>
          <w:tcPr>
            <w:tcW w:w="992"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2023/24</w:t>
            </w:r>
          </w:p>
        </w:tc>
        <w:tc>
          <w:tcPr>
            <w:tcW w:w="1130"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138"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418"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417"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1: Crime Investigation</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14 314,2</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14 210,5</w:t>
            </w:r>
          </w:p>
        </w:tc>
        <w:tc>
          <w:tcPr>
            <w:tcW w:w="113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103,6</w:t>
            </w:r>
          </w:p>
        </w:tc>
        <w:tc>
          <w:tcPr>
            <w:tcW w:w="113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767,4</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-0,72 per cent</w:t>
            </w:r>
          </w:p>
        </w:tc>
        <w:tc>
          <w:tcPr>
            <w:tcW w:w="141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-5,36 per cent</w:t>
            </w: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2: Criminal Record Centre</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2 815,4</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2 817,3</w:t>
            </w:r>
          </w:p>
        </w:tc>
        <w:tc>
          <w:tcPr>
            <w:tcW w:w="113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1,9</w:t>
            </w:r>
          </w:p>
        </w:tc>
        <w:tc>
          <w:tcPr>
            <w:tcW w:w="113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129,7</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0,07 per cent</w:t>
            </w:r>
          </w:p>
        </w:tc>
        <w:tc>
          <w:tcPr>
            <w:tcW w:w="141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-4,61 per cent</w:t>
            </w: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3: Forensic Science Laboratory</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1 548,9</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1 581,5</w:t>
            </w:r>
          </w:p>
        </w:tc>
        <w:tc>
          <w:tcPr>
            <w:tcW w:w="113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32,7</w:t>
            </w:r>
          </w:p>
        </w:tc>
        <w:tc>
          <w:tcPr>
            <w:tcW w:w="113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41,2</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2,11 per cent</w:t>
            </w:r>
          </w:p>
        </w:tc>
        <w:tc>
          <w:tcPr>
            <w:tcW w:w="141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-2,66 per cent</w:t>
            </w: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Sub-programme 4:Specialised Investigations </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2 175,5</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2 247,2</w:t>
            </w:r>
          </w:p>
        </w:tc>
        <w:tc>
          <w:tcPr>
            <w:tcW w:w="113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71,7</w:t>
            </w:r>
          </w:p>
        </w:tc>
        <w:tc>
          <w:tcPr>
            <w:tcW w:w="113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33,3</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3,30 per cent</w:t>
            </w:r>
          </w:p>
        </w:tc>
        <w:tc>
          <w:tcPr>
            <w:tcW w:w="141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-1,53 per cent</w:t>
            </w: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TOTAL</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20 854,0</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20 856,6</w:t>
            </w:r>
          </w:p>
        </w:tc>
        <w:tc>
          <w:tcPr>
            <w:tcW w:w="1130"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2,7</w:t>
            </w:r>
          </w:p>
        </w:tc>
        <w:tc>
          <w:tcPr>
            <w:tcW w:w="113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971,6</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0,0 per cent</w:t>
            </w:r>
          </w:p>
        </w:tc>
        <w:tc>
          <w:tcPr>
            <w:tcW w:w="141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-4,66 per cent</w:t>
            </w:r>
          </w:p>
        </w:tc>
      </w:tr>
    </w:tbl>
    <w:p w:rsidR="00567CCD" w:rsidRPr="004607C7" w:rsidRDefault="00567CCD" w:rsidP="004607C7">
      <w:pPr>
        <w:spacing w:line="240" w:lineRule="auto"/>
        <w:jc w:val="left"/>
        <w:rPr>
          <w:rFonts w:ascii="Arial" w:hAnsi="Arial" w:cs="Arial"/>
          <w:i/>
          <w:sz w:val="20"/>
          <w:szCs w:val="20"/>
        </w:rPr>
      </w:pPr>
      <w:r w:rsidRPr="004607C7">
        <w:rPr>
          <w:rFonts w:ascii="Arial" w:hAnsi="Arial" w:cs="Arial"/>
          <w:i/>
          <w:sz w:val="20"/>
          <w:szCs w:val="20"/>
        </w:rPr>
        <w:t>Source: National Treasury (2023)</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table below shows that the proportional allocation of the Crime Investigations subprogramme decreased by 0.5 per cent, while that of all other subprogrammes in the Detective Services Programme increased slightly.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16: Percent of total Detective Services Programme budget per subprogramme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134"/>
        <w:gridCol w:w="1559"/>
        <w:gridCol w:w="1134"/>
        <w:gridCol w:w="1559"/>
        <w:gridCol w:w="1418"/>
      </w:tblGrid>
      <w:tr w:rsidR="00567CCD" w:rsidRPr="004607C7" w:rsidTr="00567CCD">
        <w:trPr>
          <w:trHeight w:val="1035"/>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Programme</w:t>
            </w:r>
          </w:p>
        </w:tc>
        <w:tc>
          <w:tcPr>
            <w:tcW w:w="1134"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Budget</w:t>
            </w:r>
          </w:p>
        </w:tc>
        <w:tc>
          <w:tcPr>
            <w:tcW w:w="1559"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Percent of total budget per programme</w:t>
            </w:r>
          </w:p>
        </w:tc>
        <w:tc>
          <w:tcPr>
            <w:tcW w:w="1134"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Budget</w:t>
            </w:r>
          </w:p>
        </w:tc>
        <w:tc>
          <w:tcPr>
            <w:tcW w:w="1559"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Percent of total budget per programme</w:t>
            </w:r>
          </w:p>
        </w:tc>
        <w:tc>
          <w:tcPr>
            <w:tcW w:w="1418"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Change in percent allocation</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 million</w:t>
            </w:r>
          </w:p>
        </w:tc>
        <w:tc>
          <w:tcPr>
            <w:tcW w:w="2693" w:type="dxa"/>
            <w:gridSpan w:val="2"/>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2022/23</w:t>
            </w:r>
          </w:p>
        </w:tc>
        <w:tc>
          <w:tcPr>
            <w:tcW w:w="2693" w:type="dxa"/>
            <w:gridSpan w:val="2"/>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2023/24</w:t>
            </w:r>
          </w:p>
        </w:tc>
        <w:tc>
          <w:tcPr>
            <w:tcW w:w="141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1: Crime Investigation</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14 314,2</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68,64 per cent</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14 210,5</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68,13 per cent</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-0,51 per cent</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2: Criminal Record Centre</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2 815,4</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13,50 per cent</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2 817,3</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13,51 per cent</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0,01 per cent</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lastRenderedPageBreak/>
              <w:t>Sub-programme 3: Forensic Science Laboratory</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1 548,9</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7,43 per cent</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1 581,5</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7,58 per cent</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0,16 per cent</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Sub-programme 4:Specialised Investigations </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2 175,5</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10,43 per cent</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2 247,2</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10,77 per cent</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0,34 per cent</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TOTAL</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20 854,0</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100,00 per cent</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20 856,6</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100,00 per cent</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0,00 per cent</w:t>
            </w:r>
          </w:p>
        </w:tc>
      </w:tr>
    </w:tbl>
    <w:p w:rsidR="00567CCD" w:rsidRPr="004607C7" w:rsidRDefault="00567CCD" w:rsidP="004607C7">
      <w:pPr>
        <w:spacing w:line="240" w:lineRule="auto"/>
        <w:jc w:val="left"/>
        <w:rPr>
          <w:rFonts w:ascii="Arial" w:hAnsi="Arial" w:cs="Arial"/>
          <w:i/>
          <w:sz w:val="20"/>
          <w:szCs w:val="20"/>
        </w:rPr>
      </w:pPr>
      <w:r w:rsidRPr="004607C7">
        <w:rPr>
          <w:rFonts w:ascii="Arial" w:hAnsi="Arial" w:cs="Arial"/>
          <w:i/>
          <w:sz w:val="20"/>
          <w:szCs w:val="20"/>
        </w:rPr>
        <w:t>Source: National Treasury (2023)</w:t>
      </w:r>
    </w:p>
    <w:p w:rsidR="00567CCD" w:rsidRPr="004607C7" w:rsidRDefault="00567CCD" w:rsidP="004607C7">
      <w:pPr>
        <w:spacing w:line="240" w:lineRule="auto"/>
        <w:jc w:val="left"/>
        <w:rPr>
          <w:rFonts w:ascii="Arial" w:hAnsi="Arial" w:cs="Arial"/>
          <w:sz w:val="20"/>
          <w:szCs w:val="20"/>
        </w:rPr>
      </w:pPr>
    </w:p>
    <w:p w:rsidR="0052537C" w:rsidRPr="004607C7" w:rsidRDefault="0052537C" w:rsidP="004607C7">
      <w:pPr>
        <w:spacing w:line="240" w:lineRule="auto"/>
        <w:jc w:val="left"/>
        <w:rPr>
          <w:rFonts w:ascii="Arial" w:hAnsi="Arial" w:cs="Arial"/>
          <w:sz w:val="20"/>
          <w:szCs w:val="20"/>
        </w:rPr>
      </w:pPr>
    </w:p>
    <w:p w:rsidR="00567CCD" w:rsidRPr="004607C7" w:rsidRDefault="00567CCD" w:rsidP="004607C7">
      <w:pPr>
        <w:pStyle w:val="Heading2"/>
        <w:numPr>
          <w:ilvl w:val="1"/>
          <w:numId w:val="4"/>
        </w:numPr>
        <w:spacing w:before="0" w:line="240" w:lineRule="auto"/>
        <w:rPr>
          <w:rFonts w:ascii="Arial" w:hAnsi="Arial" w:cs="Arial"/>
          <w:sz w:val="20"/>
          <w:szCs w:val="20"/>
        </w:rPr>
      </w:pPr>
      <w:bookmarkStart w:id="21" w:name="_Toc132206887"/>
      <w:r w:rsidRPr="004607C7">
        <w:rPr>
          <w:rFonts w:ascii="Arial" w:hAnsi="Arial" w:cs="Arial"/>
          <w:sz w:val="20"/>
          <w:szCs w:val="20"/>
        </w:rPr>
        <w:t>Programme 4: Crime Intelligence Programme</w:t>
      </w:r>
      <w:bookmarkEnd w:id="21"/>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color w:val="000000"/>
          <w:sz w:val="20"/>
          <w:szCs w:val="20"/>
        </w:rPr>
      </w:pPr>
      <w:r w:rsidRPr="004607C7">
        <w:rPr>
          <w:rFonts w:ascii="Arial" w:hAnsi="Arial" w:cs="Arial"/>
          <w:b/>
          <w:color w:val="000000"/>
          <w:sz w:val="20"/>
          <w:szCs w:val="20"/>
        </w:rPr>
        <w:t>Purpose:</w:t>
      </w:r>
      <w:r w:rsidRPr="004607C7">
        <w:rPr>
          <w:rFonts w:ascii="Arial" w:hAnsi="Arial" w:cs="Arial"/>
          <w:color w:val="000000"/>
          <w:sz w:val="20"/>
          <w:szCs w:val="20"/>
        </w:rPr>
        <w:t xml:space="preserve"> Manage crime intelligence, analyse crime information, and provide technical support for investigations and crime prevention operations.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3"/>
        <w:numPr>
          <w:ilvl w:val="2"/>
          <w:numId w:val="4"/>
        </w:numPr>
        <w:spacing w:line="240" w:lineRule="auto"/>
        <w:jc w:val="left"/>
        <w:rPr>
          <w:rFonts w:ascii="Arial" w:hAnsi="Arial" w:cs="Arial"/>
          <w:sz w:val="20"/>
          <w:szCs w:val="20"/>
        </w:rPr>
      </w:pPr>
      <w:bookmarkStart w:id="22" w:name="_Toc132206888"/>
      <w:r w:rsidRPr="004607C7">
        <w:rPr>
          <w:rFonts w:ascii="Arial" w:hAnsi="Arial" w:cs="Arial"/>
          <w:sz w:val="20"/>
          <w:szCs w:val="20"/>
        </w:rPr>
        <w:t>Performance targets</w:t>
      </w:r>
      <w:bookmarkEnd w:id="22"/>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Crime Intelligence Programme has 10 performance indicators to enable intelligence-led policing, effectiveness of counter-intelligence measures instituted by the SAPS and enhanced external cooperation and innovation on police reform and security matters to prevent and fight crime.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In 2023, most performance targets were revised to only relate to </w:t>
      </w:r>
      <w:r w:rsidRPr="004607C7">
        <w:rPr>
          <w:rFonts w:ascii="Arial" w:hAnsi="Arial" w:cs="Arial"/>
          <w:i/>
          <w:color w:val="000000"/>
          <w:sz w:val="20"/>
          <w:szCs w:val="20"/>
          <w:u w:val="single"/>
        </w:rPr>
        <w:t>prioritised crime threats</w:t>
      </w:r>
      <w:r w:rsidRPr="004607C7">
        <w:rPr>
          <w:rFonts w:ascii="Arial" w:hAnsi="Arial" w:cs="Arial"/>
          <w:i/>
          <w:color w:val="000000"/>
          <w:sz w:val="20"/>
          <w:szCs w:val="20"/>
        </w:rPr>
        <w:t>, which include</w:t>
      </w:r>
      <w:r w:rsidRPr="004607C7">
        <w:rPr>
          <w:rFonts w:ascii="Arial" w:hAnsi="Arial" w:cs="Arial"/>
          <w:i/>
          <w:color w:val="000000"/>
          <w:sz w:val="20"/>
          <w:szCs w:val="20"/>
          <w:u w:val="single"/>
        </w:rPr>
        <w:t xml:space="preserve"> </w:t>
      </w:r>
      <w:r w:rsidRPr="004607C7">
        <w:rPr>
          <w:rFonts w:ascii="Arial" w:hAnsi="Arial" w:cs="Arial"/>
          <w:sz w:val="20"/>
          <w:szCs w:val="20"/>
          <w:lang w:eastAsia="en-ZA"/>
        </w:rPr>
        <w:t>inter alia, the following: organised crime, gangsterism, illicit drugs, the trio crimes, aggravated robbery, kidnapping, extortion, crimes related to critical/essential infrastructure, illegal firearms, stock theft and protected species, e.g. abalone.</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17: 2023/24 performance targets of Crime Intelligence programme</w:t>
      </w:r>
    </w:p>
    <w:tbl>
      <w:tblPr>
        <w:tblStyle w:val="TableGrid"/>
        <w:tblW w:w="10490" w:type="dxa"/>
        <w:tblInd w:w="-85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tblPr>
      <w:tblGrid>
        <w:gridCol w:w="3686"/>
        <w:gridCol w:w="3402"/>
        <w:gridCol w:w="3402"/>
      </w:tblGrid>
      <w:tr w:rsidR="00567CCD" w:rsidRPr="004607C7" w:rsidTr="00567CCD">
        <w:tc>
          <w:tcPr>
            <w:tcW w:w="3686" w:type="dxa"/>
          </w:tcPr>
          <w:p w:rsidR="00567CCD" w:rsidRPr="004607C7" w:rsidRDefault="00567CCD" w:rsidP="004607C7">
            <w:pPr>
              <w:pStyle w:val="Pa5"/>
              <w:spacing w:line="240" w:lineRule="auto"/>
              <w:rPr>
                <w:rFonts w:ascii="Arial" w:hAnsi="Arial" w:cs="Arial"/>
                <w:color w:val="000000"/>
                <w:sz w:val="20"/>
                <w:szCs w:val="20"/>
              </w:rPr>
            </w:pPr>
            <w:r w:rsidRPr="004607C7">
              <w:rPr>
                <w:rFonts w:ascii="Arial" w:hAnsi="Arial" w:cs="Arial"/>
                <w:b/>
                <w:color w:val="000000"/>
                <w:sz w:val="20"/>
                <w:szCs w:val="20"/>
              </w:rPr>
              <w:t xml:space="preserve">1. </w:t>
            </w:r>
            <w:r w:rsidRPr="004607C7">
              <w:rPr>
                <w:rFonts w:ascii="Arial" w:hAnsi="Arial" w:cs="Arial"/>
                <w:color w:val="000000"/>
                <w:sz w:val="20"/>
                <w:szCs w:val="20"/>
              </w:rPr>
              <w:t xml:space="preserve">Percentage of network operations </w:t>
            </w:r>
            <w:r w:rsidRPr="004607C7">
              <w:rPr>
                <w:rFonts w:ascii="Arial" w:hAnsi="Arial" w:cs="Arial"/>
                <w:i/>
                <w:color w:val="000000"/>
                <w:sz w:val="20"/>
                <w:szCs w:val="20"/>
                <w:u w:val="single"/>
              </w:rPr>
              <w:t>related to prioritised crime threats</w:t>
            </w:r>
            <w:r w:rsidRPr="004607C7">
              <w:rPr>
                <w:rStyle w:val="FootnoteReference"/>
                <w:rFonts w:ascii="Arial" w:hAnsi="Arial" w:cs="Arial"/>
                <w:i/>
                <w:color w:val="000000"/>
                <w:sz w:val="20"/>
                <w:szCs w:val="20"/>
                <w:u w:val="single"/>
              </w:rPr>
              <w:footnoteReference w:id="4"/>
            </w:r>
            <w:r w:rsidRPr="004607C7">
              <w:rPr>
                <w:rFonts w:ascii="Arial" w:hAnsi="Arial" w:cs="Arial"/>
                <w:color w:val="000000"/>
                <w:sz w:val="20"/>
                <w:szCs w:val="20"/>
              </w:rPr>
              <w:t xml:space="preserve"> successfully terminated. The 2022/23 target is 60,85% of the total number of network operations registered annually. </w:t>
            </w:r>
          </w:p>
          <w:p w:rsidR="00567CCD" w:rsidRPr="004607C7" w:rsidRDefault="00567CCD" w:rsidP="004607C7">
            <w:pPr>
              <w:pStyle w:val="Default"/>
              <w:rPr>
                <w:b/>
                <w:sz w:val="20"/>
                <w:szCs w:val="20"/>
              </w:rPr>
            </w:pPr>
            <w:r w:rsidRPr="004607C7">
              <w:rPr>
                <w:b/>
                <w:sz w:val="20"/>
                <w:szCs w:val="20"/>
              </w:rPr>
              <w:t xml:space="preserve">Revised target </w:t>
            </w:r>
          </w:p>
          <w:p w:rsidR="00567CCD" w:rsidRPr="004607C7" w:rsidRDefault="00567CCD" w:rsidP="004607C7">
            <w:pPr>
              <w:pStyle w:val="Default"/>
              <w:rPr>
                <w:sz w:val="20"/>
                <w:szCs w:val="20"/>
              </w:rPr>
            </w:pPr>
          </w:p>
        </w:tc>
        <w:tc>
          <w:tcPr>
            <w:tcW w:w="3402" w:type="dxa"/>
          </w:tcPr>
          <w:p w:rsidR="00567CCD" w:rsidRPr="004607C7" w:rsidRDefault="00567CCD" w:rsidP="004607C7">
            <w:pPr>
              <w:pStyle w:val="Pa5"/>
              <w:spacing w:line="240" w:lineRule="auto"/>
              <w:rPr>
                <w:rFonts w:ascii="Arial" w:hAnsi="Arial" w:cs="Arial"/>
                <w:color w:val="000000"/>
                <w:sz w:val="20"/>
                <w:szCs w:val="20"/>
              </w:rPr>
            </w:pPr>
            <w:r w:rsidRPr="004607C7">
              <w:rPr>
                <w:rFonts w:ascii="Arial" w:hAnsi="Arial" w:cs="Arial"/>
                <w:b/>
                <w:color w:val="000000"/>
                <w:sz w:val="20"/>
                <w:szCs w:val="20"/>
              </w:rPr>
              <w:t xml:space="preserve">2. </w:t>
            </w:r>
            <w:r w:rsidRPr="004607C7">
              <w:rPr>
                <w:rFonts w:ascii="Arial" w:hAnsi="Arial" w:cs="Arial"/>
                <w:color w:val="000000"/>
                <w:sz w:val="20"/>
                <w:szCs w:val="20"/>
              </w:rPr>
              <w:t xml:space="preserve">Percentage of </w:t>
            </w:r>
            <w:r w:rsidRPr="004607C7">
              <w:rPr>
                <w:rFonts w:ascii="Arial" w:hAnsi="Arial" w:cs="Arial"/>
                <w:color w:val="000000"/>
                <w:sz w:val="20"/>
                <w:szCs w:val="20"/>
                <w:u w:val="single"/>
              </w:rPr>
              <w:t>security clearances</w:t>
            </w:r>
            <w:r w:rsidRPr="004607C7">
              <w:rPr>
                <w:rFonts w:ascii="Arial" w:hAnsi="Arial" w:cs="Arial"/>
                <w:color w:val="000000"/>
                <w:sz w:val="20"/>
                <w:szCs w:val="20"/>
              </w:rPr>
              <w:t xml:space="preserve"> finalised in the SAPS. The 2023/24 target is 100% (700).</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pStyle w:val="Pa5"/>
              <w:spacing w:line="240" w:lineRule="auto"/>
              <w:rPr>
                <w:rFonts w:ascii="Arial" w:hAnsi="Arial" w:cs="Arial"/>
                <w:color w:val="000000"/>
                <w:sz w:val="20"/>
                <w:szCs w:val="20"/>
              </w:rPr>
            </w:pPr>
            <w:r w:rsidRPr="004607C7">
              <w:rPr>
                <w:rFonts w:ascii="Arial" w:hAnsi="Arial" w:cs="Arial"/>
                <w:b/>
                <w:color w:val="000000"/>
                <w:sz w:val="20"/>
                <w:szCs w:val="20"/>
              </w:rPr>
              <w:t xml:space="preserve">3. </w:t>
            </w:r>
            <w:r w:rsidRPr="004607C7">
              <w:rPr>
                <w:rFonts w:ascii="Arial" w:hAnsi="Arial" w:cs="Arial"/>
                <w:color w:val="000000"/>
                <w:sz w:val="20"/>
                <w:szCs w:val="20"/>
              </w:rPr>
              <w:t xml:space="preserve">Percentage of </w:t>
            </w:r>
            <w:r w:rsidRPr="004607C7">
              <w:rPr>
                <w:rFonts w:ascii="Arial" w:hAnsi="Arial" w:cs="Arial"/>
                <w:color w:val="000000"/>
                <w:sz w:val="20"/>
                <w:szCs w:val="20"/>
                <w:u w:val="single"/>
              </w:rPr>
              <w:t>ICT security assessments</w:t>
            </w:r>
            <w:r w:rsidRPr="004607C7">
              <w:rPr>
                <w:rFonts w:ascii="Arial" w:hAnsi="Arial" w:cs="Arial"/>
                <w:color w:val="000000"/>
                <w:sz w:val="20"/>
                <w:szCs w:val="20"/>
              </w:rPr>
              <w:t xml:space="preserve"> finalised in the SAPS. The 2023/24 target is 100% (2000). </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r>
      <w:tr w:rsidR="00567CCD" w:rsidRPr="004607C7" w:rsidTr="00567CCD">
        <w:tc>
          <w:tcPr>
            <w:tcW w:w="3686" w:type="dxa"/>
          </w:tcPr>
          <w:p w:rsidR="00567CCD" w:rsidRPr="004607C7" w:rsidRDefault="00567CCD" w:rsidP="004607C7">
            <w:pPr>
              <w:pStyle w:val="Pa5"/>
              <w:spacing w:line="240" w:lineRule="auto"/>
              <w:rPr>
                <w:rFonts w:ascii="Arial" w:hAnsi="Arial" w:cs="Arial"/>
                <w:color w:val="000000"/>
                <w:sz w:val="20"/>
                <w:szCs w:val="20"/>
              </w:rPr>
            </w:pPr>
            <w:r w:rsidRPr="004607C7">
              <w:rPr>
                <w:rFonts w:ascii="Arial" w:hAnsi="Arial" w:cs="Arial"/>
                <w:b/>
                <w:color w:val="000000"/>
                <w:sz w:val="20"/>
                <w:szCs w:val="20"/>
              </w:rPr>
              <w:t xml:space="preserve">4. </w:t>
            </w:r>
            <w:r w:rsidRPr="004607C7">
              <w:rPr>
                <w:rFonts w:ascii="Arial" w:hAnsi="Arial" w:cs="Arial"/>
                <w:color w:val="000000"/>
                <w:sz w:val="20"/>
                <w:szCs w:val="20"/>
              </w:rPr>
              <w:t xml:space="preserve">Percentage of overt mandatory physical security assessments finalised in the SAPS. The 2023/24 target is 100% (400). </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pStyle w:val="Pa5"/>
              <w:spacing w:line="240" w:lineRule="auto"/>
              <w:rPr>
                <w:rFonts w:ascii="Arial" w:hAnsi="Arial" w:cs="Arial"/>
                <w:color w:val="000000"/>
                <w:sz w:val="20"/>
                <w:szCs w:val="20"/>
              </w:rPr>
            </w:pPr>
            <w:r w:rsidRPr="004607C7">
              <w:rPr>
                <w:rFonts w:ascii="Arial" w:hAnsi="Arial" w:cs="Arial"/>
                <w:b/>
                <w:color w:val="000000"/>
                <w:sz w:val="20"/>
                <w:szCs w:val="20"/>
              </w:rPr>
              <w:t xml:space="preserve">5. </w:t>
            </w:r>
            <w:r w:rsidRPr="004607C7">
              <w:rPr>
                <w:rFonts w:ascii="Arial" w:hAnsi="Arial" w:cs="Arial"/>
                <w:color w:val="000000"/>
                <w:sz w:val="20"/>
                <w:szCs w:val="20"/>
              </w:rPr>
              <w:t xml:space="preserve">Percentage of pro-active intelligence reports, </w:t>
            </w:r>
            <w:r w:rsidRPr="004607C7">
              <w:rPr>
                <w:rFonts w:ascii="Arial" w:hAnsi="Arial" w:cs="Arial"/>
                <w:i/>
                <w:color w:val="000000"/>
                <w:sz w:val="20"/>
                <w:szCs w:val="20"/>
                <w:u w:val="single"/>
              </w:rPr>
              <w:t>relating to prioritised crime threats</w:t>
            </w:r>
            <w:r w:rsidRPr="004607C7">
              <w:rPr>
                <w:rFonts w:ascii="Arial" w:hAnsi="Arial" w:cs="Arial"/>
                <w:color w:val="000000"/>
                <w:sz w:val="20"/>
                <w:szCs w:val="20"/>
              </w:rPr>
              <w:t xml:space="preserve"> that were operationalised at </w:t>
            </w:r>
            <w:r w:rsidRPr="004607C7">
              <w:rPr>
                <w:rFonts w:ascii="Arial" w:hAnsi="Arial" w:cs="Arial"/>
                <w:color w:val="000000"/>
                <w:sz w:val="20"/>
                <w:szCs w:val="20"/>
                <w:u w:val="single"/>
              </w:rPr>
              <w:t>district level</w:t>
            </w:r>
            <w:r w:rsidRPr="004607C7">
              <w:rPr>
                <w:rFonts w:ascii="Arial" w:hAnsi="Arial" w:cs="Arial"/>
                <w:color w:val="000000"/>
                <w:sz w:val="20"/>
                <w:szCs w:val="20"/>
              </w:rPr>
              <w:t xml:space="preserve">. The 2023/24 target is 80%. </w:t>
            </w:r>
          </w:p>
          <w:p w:rsidR="00567CCD" w:rsidRPr="004607C7" w:rsidRDefault="00567CCD" w:rsidP="004607C7">
            <w:pPr>
              <w:pStyle w:val="Default"/>
              <w:rPr>
                <w:b/>
                <w:sz w:val="20"/>
                <w:szCs w:val="20"/>
              </w:rPr>
            </w:pPr>
            <w:r w:rsidRPr="004607C7">
              <w:rPr>
                <w:b/>
                <w:sz w:val="20"/>
                <w:szCs w:val="20"/>
              </w:rPr>
              <w:t xml:space="preserve">Revised target </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c>
          <w:tcPr>
            <w:tcW w:w="3402" w:type="dxa"/>
          </w:tcPr>
          <w:p w:rsidR="00567CCD" w:rsidRPr="004607C7" w:rsidRDefault="00567CCD" w:rsidP="004607C7">
            <w:pPr>
              <w:pStyle w:val="Pa5"/>
              <w:spacing w:line="240" w:lineRule="auto"/>
              <w:rPr>
                <w:rFonts w:ascii="Arial" w:hAnsi="Arial" w:cs="Arial"/>
                <w:color w:val="000000"/>
                <w:sz w:val="20"/>
                <w:szCs w:val="20"/>
              </w:rPr>
            </w:pPr>
            <w:r w:rsidRPr="004607C7">
              <w:rPr>
                <w:rFonts w:ascii="Arial" w:hAnsi="Arial" w:cs="Arial"/>
                <w:b/>
                <w:color w:val="000000"/>
                <w:sz w:val="20"/>
                <w:szCs w:val="20"/>
              </w:rPr>
              <w:t xml:space="preserve">6. </w:t>
            </w:r>
            <w:r w:rsidRPr="004607C7">
              <w:rPr>
                <w:rFonts w:ascii="Arial" w:hAnsi="Arial" w:cs="Arial"/>
                <w:color w:val="000000"/>
                <w:sz w:val="20"/>
                <w:szCs w:val="20"/>
              </w:rPr>
              <w:t xml:space="preserve">Percentage of pro-active intelligence reports, </w:t>
            </w:r>
            <w:r w:rsidRPr="004607C7">
              <w:rPr>
                <w:rFonts w:ascii="Arial" w:hAnsi="Arial" w:cs="Arial"/>
                <w:i/>
                <w:color w:val="000000"/>
                <w:sz w:val="20"/>
                <w:szCs w:val="20"/>
                <w:u w:val="single"/>
              </w:rPr>
              <w:t>relating to prioritised crime threats</w:t>
            </w:r>
            <w:r w:rsidRPr="004607C7">
              <w:rPr>
                <w:rFonts w:ascii="Arial" w:hAnsi="Arial" w:cs="Arial"/>
                <w:color w:val="000000"/>
                <w:sz w:val="20"/>
                <w:szCs w:val="20"/>
              </w:rPr>
              <w:t xml:space="preserve"> that were operationalised at </w:t>
            </w:r>
            <w:r w:rsidRPr="004607C7">
              <w:rPr>
                <w:rFonts w:ascii="Arial" w:hAnsi="Arial" w:cs="Arial"/>
                <w:color w:val="000000"/>
                <w:sz w:val="20"/>
                <w:szCs w:val="20"/>
                <w:u w:val="single"/>
              </w:rPr>
              <w:t>provincial level</w:t>
            </w:r>
            <w:r w:rsidRPr="004607C7">
              <w:rPr>
                <w:rFonts w:ascii="Arial" w:hAnsi="Arial" w:cs="Arial"/>
                <w:color w:val="000000"/>
                <w:sz w:val="20"/>
                <w:szCs w:val="20"/>
              </w:rPr>
              <w:t>. The 2023/24 target is 90%.</w:t>
            </w:r>
          </w:p>
          <w:p w:rsidR="00567CCD" w:rsidRPr="004607C7" w:rsidRDefault="00567CCD" w:rsidP="004607C7">
            <w:pPr>
              <w:pStyle w:val="Default"/>
              <w:rPr>
                <w:b/>
                <w:sz w:val="20"/>
                <w:szCs w:val="20"/>
              </w:rPr>
            </w:pPr>
            <w:r w:rsidRPr="004607C7">
              <w:rPr>
                <w:b/>
                <w:sz w:val="20"/>
                <w:szCs w:val="20"/>
              </w:rPr>
              <w:t xml:space="preserve">Revised target </w:t>
            </w:r>
          </w:p>
          <w:p w:rsidR="00567CCD" w:rsidRPr="004607C7" w:rsidRDefault="00567CCD" w:rsidP="004607C7">
            <w:pPr>
              <w:pStyle w:val="Default"/>
              <w:rPr>
                <w:sz w:val="20"/>
                <w:szCs w:val="20"/>
              </w:rPr>
            </w:pPr>
          </w:p>
        </w:tc>
      </w:tr>
      <w:tr w:rsidR="00567CCD" w:rsidRPr="004607C7" w:rsidTr="00567CCD">
        <w:tc>
          <w:tcPr>
            <w:tcW w:w="3686" w:type="dxa"/>
          </w:tcPr>
          <w:p w:rsidR="00567CCD" w:rsidRPr="004607C7" w:rsidRDefault="00567CCD" w:rsidP="004607C7">
            <w:pPr>
              <w:pStyle w:val="Pa5"/>
              <w:spacing w:line="240" w:lineRule="auto"/>
              <w:rPr>
                <w:rFonts w:ascii="Arial" w:hAnsi="Arial" w:cs="Arial"/>
                <w:color w:val="000000"/>
                <w:sz w:val="20"/>
                <w:szCs w:val="20"/>
              </w:rPr>
            </w:pPr>
            <w:r w:rsidRPr="004607C7">
              <w:rPr>
                <w:rFonts w:ascii="Arial" w:hAnsi="Arial" w:cs="Arial"/>
                <w:b/>
                <w:color w:val="000000"/>
                <w:sz w:val="20"/>
                <w:szCs w:val="20"/>
              </w:rPr>
              <w:t xml:space="preserve">7. </w:t>
            </w:r>
            <w:r w:rsidRPr="004607C7">
              <w:rPr>
                <w:rFonts w:ascii="Arial" w:hAnsi="Arial" w:cs="Arial"/>
                <w:color w:val="000000"/>
                <w:sz w:val="20"/>
                <w:szCs w:val="20"/>
              </w:rPr>
              <w:t xml:space="preserve">Percentage of pro-active intelligence reports, </w:t>
            </w:r>
            <w:r w:rsidRPr="004607C7">
              <w:rPr>
                <w:rFonts w:ascii="Arial" w:hAnsi="Arial" w:cs="Arial"/>
                <w:i/>
                <w:color w:val="000000"/>
                <w:sz w:val="20"/>
                <w:szCs w:val="20"/>
                <w:u w:val="single"/>
              </w:rPr>
              <w:t>relating to prioritised crime threats</w:t>
            </w:r>
            <w:r w:rsidRPr="004607C7">
              <w:rPr>
                <w:rFonts w:ascii="Arial" w:hAnsi="Arial" w:cs="Arial"/>
                <w:color w:val="000000"/>
                <w:sz w:val="20"/>
                <w:szCs w:val="20"/>
              </w:rPr>
              <w:t xml:space="preserve"> that were operationalised at </w:t>
            </w:r>
            <w:r w:rsidRPr="004607C7">
              <w:rPr>
                <w:rFonts w:ascii="Arial" w:hAnsi="Arial" w:cs="Arial"/>
                <w:color w:val="000000"/>
                <w:sz w:val="20"/>
                <w:szCs w:val="20"/>
                <w:u w:val="single"/>
              </w:rPr>
              <w:t>national level</w:t>
            </w:r>
            <w:r w:rsidRPr="004607C7">
              <w:rPr>
                <w:rFonts w:ascii="Arial" w:hAnsi="Arial" w:cs="Arial"/>
                <w:color w:val="000000"/>
                <w:sz w:val="20"/>
                <w:szCs w:val="20"/>
              </w:rPr>
              <w:t>. The 2023/24 target is 95%.</w:t>
            </w:r>
          </w:p>
          <w:p w:rsidR="00567CCD" w:rsidRPr="004607C7" w:rsidRDefault="00567CCD" w:rsidP="004607C7">
            <w:pPr>
              <w:pStyle w:val="Default"/>
              <w:rPr>
                <w:b/>
                <w:sz w:val="20"/>
                <w:szCs w:val="20"/>
              </w:rPr>
            </w:pPr>
            <w:r w:rsidRPr="004607C7">
              <w:rPr>
                <w:b/>
                <w:sz w:val="20"/>
                <w:szCs w:val="20"/>
              </w:rPr>
              <w:t xml:space="preserve">Revised target </w:t>
            </w:r>
          </w:p>
          <w:p w:rsidR="00567CCD" w:rsidRPr="004607C7" w:rsidRDefault="00567CCD" w:rsidP="004607C7">
            <w:pPr>
              <w:pStyle w:val="Default"/>
              <w:rPr>
                <w:sz w:val="20"/>
                <w:szCs w:val="20"/>
              </w:rPr>
            </w:pPr>
          </w:p>
        </w:tc>
        <w:tc>
          <w:tcPr>
            <w:tcW w:w="3402" w:type="dxa"/>
          </w:tcPr>
          <w:p w:rsidR="00567CCD" w:rsidRPr="004607C7" w:rsidRDefault="00567CCD" w:rsidP="004607C7">
            <w:pPr>
              <w:pStyle w:val="Pa5"/>
              <w:spacing w:line="240" w:lineRule="auto"/>
              <w:rPr>
                <w:rFonts w:ascii="Arial" w:hAnsi="Arial" w:cs="Arial"/>
                <w:color w:val="000000"/>
                <w:sz w:val="20"/>
                <w:szCs w:val="20"/>
              </w:rPr>
            </w:pPr>
            <w:r w:rsidRPr="004607C7">
              <w:rPr>
                <w:rFonts w:ascii="Arial" w:hAnsi="Arial" w:cs="Arial"/>
                <w:b/>
                <w:color w:val="000000"/>
                <w:sz w:val="20"/>
                <w:szCs w:val="20"/>
              </w:rPr>
              <w:t xml:space="preserve">8. </w:t>
            </w:r>
            <w:r w:rsidRPr="004607C7">
              <w:rPr>
                <w:rFonts w:ascii="Arial" w:hAnsi="Arial" w:cs="Arial"/>
                <w:color w:val="000000"/>
                <w:sz w:val="20"/>
                <w:szCs w:val="20"/>
              </w:rPr>
              <w:t xml:space="preserve">Percentage of re-active intelligence reports, </w:t>
            </w:r>
            <w:r w:rsidRPr="004607C7">
              <w:rPr>
                <w:rFonts w:ascii="Arial" w:hAnsi="Arial" w:cs="Arial"/>
                <w:i/>
                <w:color w:val="000000"/>
                <w:sz w:val="20"/>
                <w:szCs w:val="20"/>
                <w:u w:val="single"/>
              </w:rPr>
              <w:t>relating to prioritised crime threats</w:t>
            </w:r>
            <w:r w:rsidRPr="004607C7">
              <w:rPr>
                <w:rFonts w:ascii="Arial" w:hAnsi="Arial" w:cs="Arial"/>
                <w:color w:val="000000"/>
                <w:sz w:val="20"/>
                <w:szCs w:val="20"/>
              </w:rPr>
              <w:t xml:space="preserve"> that were operationalised at </w:t>
            </w:r>
            <w:r w:rsidRPr="004607C7">
              <w:rPr>
                <w:rFonts w:ascii="Arial" w:hAnsi="Arial" w:cs="Arial"/>
                <w:color w:val="000000"/>
                <w:sz w:val="20"/>
                <w:szCs w:val="20"/>
                <w:u w:val="single"/>
              </w:rPr>
              <w:t>district level</w:t>
            </w:r>
            <w:r w:rsidRPr="004607C7">
              <w:rPr>
                <w:rFonts w:ascii="Arial" w:hAnsi="Arial" w:cs="Arial"/>
                <w:color w:val="000000"/>
                <w:sz w:val="20"/>
                <w:szCs w:val="20"/>
              </w:rPr>
              <w:t>. The 2023/24 target is 80%.</w:t>
            </w:r>
          </w:p>
          <w:p w:rsidR="00567CCD" w:rsidRPr="004607C7" w:rsidRDefault="00567CCD" w:rsidP="004607C7">
            <w:pPr>
              <w:pStyle w:val="Default"/>
              <w:rPr>
                <w:b/>
                <w:sz w:val="20"/>
                <w:szCs w:val="20"/>
              </w:rPr>
            </w:pPr>
            <w:r w:rsidRPr="004607C7">
              <w:rPr>
                <w:b/>
                <w:sz w:val="20"/>
                <w:szCs w:val="20"/>
              </w:rPr>
              <w:t xml:space="preserve">Revised target </w:t>
            </w:r>
          </w:p>
          <w:p w:rsidR="00567CCD" w:rsidRPr="004607C7" w:rsidRDefault="00567CCD" w:rsidP="004607C7">
            <w:pPr>
              <w:pStyle w:val="Default"/>
              <w:rPr>
                <w:sz w:val="20"/>
                <w:szCs w:val="20"/>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color w:val="000000"/>
                <w:sz w:val="20"/>
                <w:szCs w:val="20"/>
              </w:rPr>
            </w:pPr>
            <w:r w:rsidRPr="004607C7">
              <w:rPr>
                <w:rFonts w:ascii="Arial" w:hAnsi="Arial" w:cs="Arial"/>
                <w:b/>
                <w:color w:val="000000"/>
                <w:sz w:val="20"/>
                <w:szCs w:val="20"/>
              </w:rPr>
              <w:t xml:space="preserve">9. </w:t>
            </w:r>
            <w:r w:rsidRPr="004607C7">
              <w:rPr>
                <w:rFonts w:ascii="Arial" w:hAnsi="Arial" w:cs="Arial"/>
                <w:color w:val="000000"/>
                <w:sz w:val="20"/>
                <w:szCs w:val="20"/>
              </w:rPr>
              <w:t xml:space="preserve">Percentage of re-active intelligence reports, </w:t>
            </w:r>
            <w:r w:rsidRPr="004607C7">
              <w:rPr>
                <w:rFonts w:ascii="Arial" w:hAnsi="Arial" w:cs="Arial"/>
                <w:i/>
                <w:color w:val="000000"/>
                <w:sz w:val="20"/>
                <w:szCs w:val="20"/>
                <w:u w:val="single"/>
              </w:rPr>
              <w:t>relating to prioritised crime threats</w:t>
            </w:r>
            <w:r w:rsidRPr="004607C7">
              <w:rPr>
                <w:rFonts w:ascii="Arial" w:hAnsi="Arial" w:cs="Arial"/>
                <w:color w:val="000000"/>
                <w:sz w:val="20"/>
                <w:szCs w:val="20"/>
              </w:rPr>
              <w:t xml:space="preserve"> that were operationalised at </w:t>
            </w:r>
            <w:r w:rsidRPr="004607C7">
              <w:rPr>
                <w:rFonts w:ascii="Arial" w:hAnsi="Arial" w:cs="Arial"/>
                <w:color w:val="000000"/>
                <w:sz w:val="20"/>
                <w:szCs w:val="20"/>
                <w:u w:val="single"/>
              </w:rPr>
              <w:t>provincial level</w:t>
            </w:r>
            <w:r w:rsidRPr="004607C7">
              <w:rPr>
                <w:rFonts w:ascii="Arial" w:hAnsi="Arial" w:cs="Arial"/>
                <w:color w:val="000000"/>
                <w:sz w:val="20"/>
                <w:szCs w:val="20"/>
              </w:rPr>
              <w:t>. The 2023/24 target is 90%.</w:t>
            </w:r>
          </w:p>
          <w:p w:rsidR="00567CCD" w:rsidRPr="004607C7" w:rsidRDefault="00567CCD" w:rsidP="004607C7">
            <w:pPr>
              <w:pStyle w:val="Default"/>
              <w:rPr>
                <w:b/>
                <w:sz w:val="20"/>
                <w:szCs w:val="20"/>
              </w:rPr>
            </w:pPr>
            <w:r w:rsidRPr="004607C7">
              <w:rPr>
                <w:b/>
                <w:sz w:val="20"/>
                <w:szCs w:val="20"/>
              </w:rPr>
              <w:t xml:space="preserve">Revised target </w:t>
            </w:r>
          </w:p>
          <w:p w:rsidR="00567CCD" w:rsidRPr="004607C7" w:rsidRDefault="00567CCD" w:rsidP="004607C7">
            <w:pPr>
              <w:autoSpaceDE w:val="0"/>
              <w:autoSpaceDN w:val="0"/>
              <w:adjustRightInd w:val="0"/>
              <w:spacing w:line="240" w:lineRule="auto"/>
              <w:jc w:val="left"/>
              <w:rPr>
                <w:rFonts w:ascii="Arial" w:hAnsi="Arial" w:cs="Arial"/>
                <w:color w:val="000000"/>
                <w:sz w:val="20"/>
                <w:szCs w:val="20"/>
                <w:lang w:eastAsia="en-ZA"/>
              </w:rPr>
            </w:pPr>
          </w:p>
        </w:tc>
      </w:tr>
      <w:tr w:rsidR="00567CCD" w:rsidRPr="004607C7" w:rsidTr="00567CCD">
        <w:tc>
          <w:tcPr>
            <w:tcW w:w="3686" w:type="dxa"/>
          </w:tcPr>
          <w:p w:rsidR="00567CCD" w:rsidRPr="004607C7" w:rsidRDefault="00567CCD" w:rsidP="004607C7">
            <w:pPr>
              <w:pStyle w:val="Pa5"/>
              <w:spacing w:line="240" w:lineRule="auto"/>
              <w:rPr>
                <w:rFonts w:ascii="Arial" w:hAnsi="Arial" w:cs="Arial"/>
                <w:color w:val="000000"/>
                <w:sz w:val="20"/>
                <w:szCs w:val="20"/>
              </w:rPr>
            </w:pPr>
            <w:r w:rsidRPr="004607C7">
              <w:rPr>
                <w:rFonts w:ascii="Arial" w:hAnsi="Arial" w:cs="Arial"/>
                <w:b/>
                <w:color w:val="000000"/>
                <w:sz w:val="20"/>
                <w:szCs w:val="20"/>
              </w:rPr>
              <w:t xml:space="preserve">10. </w:t>
            </w:r>
            <w:r w:rsidRPr="004607C7">
              <w:rPr>
                <w:rFonts w:ascii="Arial" w:hAnsi="Arial" w:cs="Arial"/>
                <w:color w:val="000000"/>
                <w:sz w:val="20"/>
                <w:szCs w:val="20"/>
              </w:rPr>
              <w:t xml:space="preserve">Percentage of re-active intelligence reports, </w:t>
            </w:r>
            <w:r w:rsidRPr="004607C7">
              <w:rPr>
                <w:rFonts w:ascii="Arial" w:hAnsi="Arial" w:cs="Arial"/>
                <w:i/>
                <w:color w:val="000000"/>
                <w:sz w:val="20"/>
                <w:szCs w:val="20"/>
                <w:u w:val="single"/>
              </w:rPr>
              <w:t>relating to prioritised crime threats</w:t>
            </w:r>
            <w:r w:rsidRPr="004607C7">
              <w:rPr>
                <w:rFonts w:ascii="Arial" w:hAnsi="Arial" w:cs="Arial"/>
                <w:color w:val="000000"/>
                <w:sz w:val="20"/>
                <w:szCs w:val="20"/>
              </w:rPr>
              <w:t xml:space="preserve"> that were operationalised at </w:t>
            </w:r>
            <w:r w:rsidRPr="004607C7">
              <w:rPr>
                <w:rFonts w:ascii="Arial" w:hAnsi="Arial" w:cs="Arial"/>
                <w:color w:val="000000"/>
                <w:sz w:val="20"/>
                <w:szCs w:val="20"/>
                <w:u w:val="single"/>
              </w:rPr>
              <w:t>national level</w:t>
            </w:r>
            <w:r w:rsidRPr="004607C7">
              <w:rPr>
                <w:rFonts w:ascii="Arial" w:hAnsi="Arial" w:cs="Arial"/>
                <w:color w:val="000000"/>
                <w:sz w:val="20"/>
                <w:szCs w:val="20"/>
              </w:rPr>
              <w:t>. The 2023/24 target is 95%.</w:t>
            </w:r>
          </w:p>
          <w:p w:rsidR="00567CCD" w:rsidRPr="004607C7" w:rsidRDefault="00567CCD" w:rsidP="004607C7">
            <w:pPr>
              <w:pStyle w:val="Default"/>
              <w:rPr>
                <w:b/>
                <w:sz w:val="20"/>
                <w:szCs w:val="20"/>
              </w:rPr>
            </w:pPr>
            <w:r w:rsidRPr="004607C7">
              <w:rPr>
                <w:b/>
                <w:sz w:val="20"/>
                <w:szCs w:val="20"/>
              </w:rPr>
              <w:t xml:space="preserve">Revised target </w:t>
            </w:r>
          </w:p>
          <w:p w:rsidR="00567CCD" w:rsidRPr="004607C7" w:rsidRDefault="00567CCD" w:rsidP="004607C7">
            <w:pPr>
              <w:pStyle w:val="Default"/>
              <w:rPr>
                <w:sz w:val="20"/>
                <w:szCs w:val="20"/>
              </w:rPr>
            </w:pPr>
          </w:p>
        </w:tc>
        <w:tc>
          <w:tcPr>
            <w:tcW w:w="3402" w:type="dxa"/>
          </w:tcPr>
          <w:p w:rsidR="00567CCD" w:rsidRPr="004607C7" w:rsidRDefault="00567CCD" w:rsidP="004607C7">
            <w:pPr>
              <w:pStyle w:val="Pa5"/>
              <w:spacing w:line="240" w:lineRule="auto"/>
              <w:rPr>
                <w:rFonts w:ascii="Arial" w:hAnsi="Arial" w:cs="Arial"/>
                <w:b/>
                <w:color w:val="000000"/>
                <w:sz w:val="20"/>
                <w:szCs w:val="20"/>
              </w:rPr>
            </w:pPr>
          </w:p>
        </w:tc>
        <w:tc>
          <w:tcPr>
            <w:tcW w:w="3402" w:type="dxa"/>
          </w:tcPr>
          <w:p w:rsidR="00567CCD" w:rsidRPr="004607C7" w:rsidRDefault="00567CCD" w:rsidP="004607C7">
            <w:pPr>
              <w:autoSpaceDE w:val="0"/>
              <w:autoSpaceDN w:val="0"/>
              <w:adjustRightInd w:val="0"/>
              <w:spacing w:line="240" w:lineRule="auto"/>
              <w:jc w:val="left"/>
              <w:rPr>
                <w:rFonts w:ascii="Arial" w:hAnsi="Arial" w:cs="Arial"/>
                <w:b/>
                <w:color w:val="000000"/>
                <w:sz w:val="20"/>
                <w:szCs w:val="20"/>
              </w:rPr>
            </w:pPr>
          </w:p>
        </w:tc>
      </w:tr>
    </w:tbl>
    <w:p w:rsidR="00567CCD" w:rsidRPr="004607C7" w:rsidRDefault="00567CCD" w:rsidP="004607C7">
      <w:pPr>
        <w:spacing w:line="240" w:lineRule="auto"/>
        <w:jc w:val="left"/>
        <w:rPr>
          <w:rFonts w:ascii="Arial" w:hAnsi="Arial" w:cs="Arial"/>
          <w:sz w:val="20"/>
          <w:szCs w:val="20"/>
        </w:rPr>
      </w:pPr>
      <w:r w:rsidRPr="004607C7">
        <w:rPr>
          <w:rFonts w:ascii="Arial" w:hAnsi="Arial" w:cs="Arial"/>
          <w:i/>
          <w:sz w:val="20"/>
          <w:szCs w:val="20"/>
        </w:rPr>
        <w:lastRenderedPageBreak/>
        <w:t>Source: SAPS 2023/24 APP</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3"/>
        <w:numPr>
          <w:ilvl w:val="2"/>
          <w:numId w:val="4"/>
        </w:numPr>
        <w:spacing w:line="240" w:lineRule="auto"/>
        <w:jc w:val="left"/>
        <w:rPr>
          <w:rFonts w:ascii="Arial" w:hAnsi="Arial" w:cs="Arial"/>
          <w:sz w:val="20"/>
          <w:szCs w:val="20"/>
        </w:rPr>
      </w:pPr>
      <w:bookmarkStart w:id="23" w:name="_Toc132206889"/>
      <w:r w:rsidRPr="004607C7">
        <w:rPr>
          <w:rFonts w:ascii="Arial" w:hAnsi="Arial" w:cs="Arial"/>
          <w:sz w:val="20"/>
          <w:szCs w:val="20"/>
        </w:rPr>
        <w:t>Budget allocation</w:t>
      </w:r>
      <w:bookmarkEnd w:id="23"/>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Crime Intelligence Programme received a Main Appropriation of R4.381 billion in 2023/24, which is a slight nominal increase of 0.2 per cent from the R4.372 billion Adjusted Appropriation of the previous financial year. In real terms, the Programme’s allocation decreased with R195.6 million or 4.47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w:t>
      </w:r>
      <w:r w:rsidRPr="004607C7">
        <w:rPr>
          <w:rFonts w:ascii="Arial" w:hAnsi="Arial" w:cs="Arial"/>
          <w:b/>
          <w:sz w:val="20"/>
          <w:szCs w:val="20"/>
        </w:rPr>
        <w:t>Crime Intelligence Operations subprogramme</w:t>
      </w:r>
      <w:r w:rsidRPr="004607C7">
        <w:rPr>
          <w:rFonts w:ascii="Arial" w:hAnsi="Arial" w:cs="Arial"/>
          <w:sz w:val="20"/>
          <w:szCs w:val="20"/>
        </w:rPr>
        <w:t xml:space="preserve"> received a nominal increase from R1.80 billion in 2022/23 to R1.81 billion in 2023/24, which is a nominal increase of R6.6 million or 0.37 per cent, which is a real decrease of 4.32 per cent (or R77.9 million).</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i/>
          <w:sz w:val="20"/>
          <w:szCs w:val="20"/>
        </w:rPr>
      </w:pPr>
      <w:r w:rsidRPr="004607C7">
        <w:rPr>
          <w:rFonts w:ascii="Arial" w:hAnsi="Arial" w:cs="Arial"/>
          <w:sz w:val="20"/>
          <w:szCs w:val="20"/>
        </w:rPr>
        <w:t xml:space="preserve">The </w:t>
      </w:r>
      <w:r w:rsidRPr="004607C7">
        <w:rPr>
          <w:rFonts w:ascii="Arial" w:hAnsi="Arial" w:cs="Arial"/>
          <w:b/>
          <w:sz w:val="20"/>
          <w:szCs w:val="20"/>
        </w:rPr>
        <w:t>Intelligence and Information Management subprogramme’s</w:t>
      </w:r>
      <w:r w:rsidRPr="004607C7">
        <w:rPr>
          <w:rFonts w:ascii="Arial" w:hAnsi="Arial" w:cs="Arial"/>
          <w:sz w:val="20"/>
          <w:szCs w:val="20"/>
        </w:rPr>
        <w:t xml:space="preserve"> allocation increased by 0.09 per cent (nominal) from R2.56 billion in 2022/23 to R2.57 billion in 2023/24. This is a real decrease of R117.7 million or 4.58 per cent.   </w:t>
      </w:r>
    </w:p>
    <w:p w:rsidR="00567CCD" w:rsidRPr="004607C7" w:rsidRDefault="00567CCD" w:rsidP="004607C7">
      <w:pPr>
        <w:spacing w:line="240" w:lineRule="auto"/>
        <w:jc w:val="left"/>
        <w:rPr>
          <w:rFonts w:ascii="Arial" w:hAnsi="Arial" w:cs="Arial"/>
          <w:b/>
          <w:i/>
          <w:sz w:val="20"/>
          <w:szCs w:val="20"/>
        </w:rPr>
      </w:pP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18: Crime Intelligence Programme: Difference in 2022/23 and 2023/24 budget allocation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939"/>
        <w:gridCol w:w="939"/>
        <w:gridCol w:w="1106"/>
        <w:gridCol w:w="1134"/>
        <w:gridCol w:w="1417"/>
        <w:gridCol w:w="1418"/>
      </w:tblGrid>
      <w:tr w:rsidR="00567CCD" w:rsidRPr="004607C7" w:rsidTr="00567CCD">
        <w:trPr>
          <w:trHeight w:val="765"/>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Programme</w:t>
            </w:r>
          </w:p>
        </w:tc>
        <w:tc>
          <w:tcPr>
            <w:tcW w:w="1734" w:type="dxa"/>
            <w:gridSpan w:val="2"/>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Budget</w:t>
            </w:r>
          </w:p>
        </w:tc>
        <w:tc>
          <w:tcPr>
            <w:tcW w:w="1101" w:type="dxa"/>
            <w:vMerge w:val="restart"/>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Nominal Increase / Decrease in 2023/24</w:t>
            </w:r>
          </w:p>
        </w:tc>
        <w:tc>
          <w:tcPr>
            <w:tcW w:w="1134" w:type="dxa"/>
            <w:vMerge w:val="restart"/>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Real Increase / Decrease in 2023/24</w:t>
            </w:r>
          </w:p>
        </w:tc>
        <w:tc>
          <w:tcPr>
            <w:tcW w:w="1417" w:type="dxa"/>
            <w:vMerge w:val="restart"/>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Nominal Percent change in 2023/24</w:t>
            </w:r>
          </w:p>
        </w:tc>
        <w:tc>
          <w:tcPr>
            <w:tcW w:w="1418" w:type="dxa"/>
            <w:vMerge w:val="restart"/>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Real Percent change in 2023/24</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 million</w:t>
            </w:r>
          </w:p>
        </w:tc>
        <w:tc>
          <w:tcPr>
            <w:tcW w:w="86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2022/23</w:t>
            </w:r>
          </w:p>
        </w:tc>
        <w:tc>
          <w:tcPr>
            <w:tcW w:w="86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2023/24</w:t>
            </w:r>
          </w:p>
        </w:tc>
        <w:tc>
          <w:tcPr>
            <w:tcW w:w="1101" w:type="dxa"/>
            <w:vMerge/>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134" w:type="dxa"/>
            <w:vMerge/>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417" w:type="dxa"/>
            <w:vMerge/>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418" w:type="dxa"/>
            <w:vMerge/>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1: Crime Intelligence Operations</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1 803,7</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1 810,3</w:t>
            </w:r>
          </w:p>
        </w:tc>
        <w:tc>
          <w:tcPr>
            <w:tcW w:w="110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6,6</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77,9</w:t>
            </w:r>
          </w:p>
        </w:tc>
        <w:tc>
          <w:tcPr>
            <w:tcW w:w="141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0,37 per cent</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-4,32 per cent</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2: Intelligence and Information Management</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2 568,9</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2 571,3</w:t>
            </w:r>
          </w:p>
        </w:tc>
        <w:tc>
          <w:tcPr>
            <w:tcW w:w="110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2,4</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117,7</w:t>
            </w:r>
          </w:p>
        </w:tc>
        <w:tc>
          <w:tcPr>
            <w:tcW w:w="141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0,09 per cent</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-4,58 per cent</w:t>
            </w:r>
          </w:p>
        </w:tc>
      </w:tr>
      <w:tr w:rsidR="00567CCD" w:rsidRPr="004607C7" w:rsidTr="00567CCD">
        <w:trPr>
          <w:trHeight w:val="264"/>
        </w:trPr>
        <w:tc>
          <w:tcPr>
            <w:tcW w:w="254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TOTAL</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4 372,6</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4 381,6</w:t>
            </w:r>
          </w:p>
        </w:tc>
        <w:tc>
          <w:tcPr>
            <w:tcW w:w="110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9,0</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195,6</w:t>
            </w:r>
          </w:p>
        </w:tc>
        <w:tc>
          <w:tcPr>
            <w:tcW w:w="141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0,2 per cent</w:t>
            </w:r>
          </w:p>
        </w:tc>
        <w:tc>
          <w:tcPr>
            <w:tcW w:w="14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-4,47 per cent</w:t>
            </w:r>
          </w:p>
        </w:tc>
      </w:tr>
    </w:tbl>
    <w:p w:rsidR="00567CCD" w:rsidRPr="004607C7" w:rsidRDefault="00567CCD" w:rsidP="004607C7">
      <w:pPr>
        <w:spacing w:line="240" w:lineRule="auto"/>
        <w:jc w:val="left"/>
        <w:rPr>
          <w:rFonts w:ascii="Arial" w:hAnsi="Arial" w:cs="Arial"/>
          <w:i/>
          <w:sz w:val="20"/>
          <w:szCs w:val="20"/>
        </w:rPr>
      </w:pPr>
      <w:r w:rsidRPr="004607C7">
        <w:rPr>
          <w:rFonts w:ascii="Arial" w:hAnsi="Arial" w:cs="Arial"/>
          <w:i/>
          <w:sz w:val="20"/>
          <w:szCs w:val="20"/>
        </w:rPr>
        <w:t>Source: National Treasury (2023)</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table below shows that the proportional allocation for the Crime Intelligence Operations subprogramme increased with 0.0.07 per cent, while that of the Intelligence and Information Management subprogramme decreased with 0.07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19: Percent of total Crime Intelligence Programme budget per subprogramme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992"/>
        <w:gridCol w:w="1559"/>
        <w:gridCol w:w="993"/>
        <w:gridCol w:w="1525"/>
        <w:gridCol w:w="1451"/>
      </w:tblGrid>
      <w:tr w:rsidR="00567CCD" w:rsidRPr="004607C7" w:rsidTr="00567CCD">
        <w:trPr>
          <w:trHeight w:val="1035"/>
        </w:trPr>
        <w:tc>
          <w:tcPr>
            <w:tcW w:w="311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Programme</w:t>
            </w:r>
          </w:p>
        </w:tc>
        <w:tc>
          <w:tcPr>
            <w:tcW w:w="992"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Budget</w:t>
            </w:r>
          </w:p>
        </w:tc>
        <w:tc>
          <w:tcPr>
            <w:tcW w:w="1559"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Percent of total budget per programme</w:t>
            </w:r>
          </w:p>
        </w:tc>
        <w:tc>
          <w:tcPr>
            <w:tcW w:w="993"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Budget</w:t>
            </w:r>
          </w:p>
        </w:tc>
        <w:tc>
          <w:tcPr>
            <w:tcW w:w="1525"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Percent of total budget per programme</w:t>
            </w:r>
          </w:p>
        </w:tc>
        <w:tc>
          <w:tcPr>
            <w:tcW w:w="1451" w:type="dxa"/>
            <w:shd w:val="clear" w:color="auto" w:fill="auto"/>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Change in percent allocation</w:t>
            </w:r>
          </w:p>
        </w:tc>
      </w:tr>
      <w:tr w:rsidR="00567CCD" w:rsidRPr="004607C7" w:rsidTr="00567CCD">
        <w:trPr>
          <w:trHeight w:val="264"/>
        </w:trPr>
        <w:tc>
          <w:tcPr>
            <w:tcW w:w="311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 million</w:t>
            </w:r>
          </w:p>
        </w:tc>
        <w:tc>
          <w:tcPr>
            <w:tcW w:w="2551" w:type="dxa"/>
            <w:gridSpan w:val="2"/>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2022/23</w:t>
            </w:r>
          </w:p>
        </w:tc>
        <w:tc>
          <w:tcPr>
            <w:tcW w:w="2518" w:type="dxa"/>
            <w:gridSpan w:val="2"/>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2023/24</w:t>
            </w:r>
          </w:p>
        </w:tc>
        <w:tc>
          <w:tcPr>
            <w:tcW w:w="1451"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p>
        </w:tc>
      </w:tr>
      <w:tr w:rsidR="00567CCD" w:rsidRPr="004607C7" w:rsidTr="00567CCD">
        <w:trPr>
          <w:trHeight w:val="264"/>
        </w:trPr>
        <w:tc>
          <w:tcPr>
            <w:tcW w:w="311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1: Crime Intelligence Operations</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1 803,7</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41,25 per cent</w:t>
            </w:r>
          </w:p>
        </w:tc>
        <w:tc>
          <w:tcPr>
            <w:tcW w:w="993"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1 810,3</w:t>
            </w:r>
          </w:p>
        </w:tc>
        <w:tc>
          <w:tcPr>
            <w:tcW w:w="1525"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41,32 per cent</w:t>
            </w:r>
          </w:p>
        </w:tc>
        <w:tc>
          <w:tcPr>
            <w:tcW w:w="145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0,07 per cent</w:t>
            </w:r>
          </w:p>
        </w:tc>
      </w:tr>
      <w:tr w:rsidR="00567CCD" w:rsidRPr="004607C7" w:rsidTr="00567CCD">
        <w:trPr>
          <w:trHeight w:val="264"/>
        </w:trPr>
        <w:tc>
          <w:tcPr>
            <w:tcW w:w="311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2: Intelligence and Information Management</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2 568,9</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58,75 per cent</w:t>
            </w:r>
          </w:p>
        </w:tc>
        <w:tc>
          <w:tcPr>
            <w:tcW w:w="993"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2 571,3</w:t>
            </w:r>
          </w:p>
        </w:tc>
        <w:tc>
          <w:tcPr>
            <w:tcW w:w="1525"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58,68 per cent</w:t>
            </w:r>
          </w:p>
        </w:tc>
        <w:tc>
          <w:tcPr>
            <w:tcW w:w="145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-0,07 per cent</w:t>
            </w:r>
          </w:p>
        </w:tc>
      </w:tr>
      <w:tr w:rsidR="00567CCD" w:rsidRPr="004607C7" w:rsidTr="00567CCD">
        <w:trPr>
          <w:trHeight w:val="264"/>
        </w:trPr>
        <w:tc>
          <w:tcPr>
            <w:tcW w:w="3114"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TOTAL</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4 372,6</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100,00 per cent</w:t>
            </w:r>
          </w:p>
        </w:tc>
        <w:tc>
          <w:tcPr>
            <w:tcW w:w="993"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4 381,6</w:t>
            </w:r>
          </w:p>
        </w:tc>
        <w:tc>
          <w:tcPr>
            <w:tcW w:w="1525"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100,00 per cent</w:t>
            </w:r>
          </w:p>
        </w:tc>
        <w:tc>
          <w:tcPr>
            <w:tcW w:w="145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0,00 per cent</w:t>
            </w:r>
          </w:p>
        </w:tc>
      </w:tr>
    </w:tbl>
    <w:p w:rsidR="00567CCD" w:rsidRPr="004607C7" w:rsidRDefault="00567CCD" w:rsidP="004607C7">
      <w:pPr>
        <w:spacing w:line="240" w:lineRule="auto"/>
        <w:jc w:val="left"/>
        <w:rPr>
          <w:rFonts w:ascii="Arial" w:hAnsi="Arial" w:cs="Arial"/>
          <w:i/>
          <w:sz w:val="20"/>
          <w:szCs w:val="20"/>
        </w:rPr>
      </w:pPr>
      <w:r w:rsidRPr="004607C7">
        <w:rPr>
          <w:rFonts w:ascii="Arial" w:hAnsi="Arial" w:cs="Arial"/>
          <w:i/>
          <w:sz w:val="20"/>
          <w:szCs w:val="20"/>
        </w:rPr>
        <w:t>Source: National Treasury (2023)</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2"/>
        <w:numPr>
          <w:ilvl w:val="1"/>
          <w:numId w:val="4"/>
        </w:numPr>
        <w:spacing w:before="0" w:line="240" w:lineRule="auto"/>
        <w:rPr>
          <w:rFonts w:ascii="Arial" w:hAnsi="Arial" w:cs="Arial"/>
          <w:sz w:val="20"/>
          <w:szCs w:val="20"/>
        </w:rPr>
      </w:pPr>
      <w:bookmarkStart w:id="24" w:name="_Toc132206890"/>
      <w:r w:rsidRPr="004607C7">
        <w:rPr>
          <w:rFonts w:ascii="Arial" w:hAnsi="Arial" w:cs="Arial"/>
          <w:sz w:val="20"/>
          <w:szCs w:val="20"/>
        </w:rPr>
        <w:t>Programme 5: Protection and Security Services Programme</w:t>
      </w:r>
      <w:bookmarkEnd w:id="24"/>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color w:val="000000"/>
          <w:sz w:val="20"/>
          <w:szCs w:val="20"/>
        </w:rPr>
      </w:pPr>
      <w:r w:rsidRPr="004607C7">
        <w:rPr>
          <w:rFonts w:ascii="Arial" w:hAnsi="Arial" w:cs="Arial"/>
          <w:b/>
          <w:color w:val="000000"/>
          <w:sz w:val="20"/>
          <w:szCs w:val="20"/>
        </w:rPr>
        <w:t xml:space="preserve">Purpose: </w:t>
      </w:r>
      <w:r w:rsidRPr="004607C7">
        <w:rPr>
          <w:rFonts w:ascii="Arial" w:hAnsi="Arial" w:cs="Arial"/>
          <w:color w:val="000000"/>
          <w:sz w:val="20"/>
          <w:szCs w:val="20"/>
        </w:rPr>
        <w:t xml:space="preserve">Provide protection and security services to all identified dignitaries and government interests.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3"/>
        <w:numPr>
          <w:ilvl w:val="2"/>
          <w:numId w:val="4"/>
        </w:numPr>
        <w:spacing w:line="240" w:lineRule="auto"/>
        <w:jc w:val="left"/>
        <w:rPr>
          <w:rFonts w:ascii="Arial" w:hAnsi="Arial" w:cs="Arial"/>
          <w:sz w:val="20"/>
          <w:szCs w:val="20"/>
        </w:rPr>
      </w:pPr>
      <w:bookmarkStart w:id="25" w:name="_Toc132206891"/>
      <w:r w:rsidRPr="004607C7">
        <w:rPr>
          <w:rFonts w:ascii="Arial" w:hAnsi="Arial" w:cs="Arial"/>
          <w:sz w:val="20"/>
          <w:szCs w:val="20"/>
        </w:rPr>
        <w:t>Performance targets</w:t>
      </w:r>
      <w:bookmarkEnd w:id="25"/>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Protection and Security Services programme has seven performance indicators and targets to measure its effectiveness.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Programme has four subprogrammes as per the budget, but the performance indicators are delineated into only two subprogrammes, namely the </w:t>
      </w:r>
      <w:r w:rsidRPr="004607C7">
        <w:rPr>
          <w:rFonts w:ascii="Arial" w:hAnsi="Arial" w:cs="Arial"/>
          <w:i/>
          <w:sz w:val="20"/>
          <w:szCs w:val="20"/>
        </w:rPr>
        <w:t>Protection and Security Services</w:t>
      </w:r>
      <w:r w:rsidRPr="004607C7">
        <w:rPr>
          <w:rFonts w:ascii="Arial" w:hAnsi="Arial" w:cs="Arial"/>
          <w:sz w:val="20"/>
          <w:szCs w:val="20"/>
        </w:rPr>
        <w:t xml:space="preserve"> subprogramme and </w:t>
      </w:r>
      <w:r w:rsidRPr="004607C7">
        <w:rPr>
          <w:rFonts w:ascii="Arial" w:hAnsi="Arial" w:cs="Arial"/>
          <w:i/>
          <w:sz w:val="20"/>
          <w:szCs w:val="20"/>
        </w:rPr>
        <w:t>Presidential Protection Services</w:t>
      </w:r>
      <w:r w:rsidRPr="004607C7">
        <w:rPr>
          <w:rFonts w:ascii="Arial" w:hAnsi="Arial" w:cs="Arial"/>
          <w:sz w:val="20"/>
          <w:szCs w:val="20"/>
        </w:rPr>
        <w:t xml:space="preserve"> subprogramme. The other two subprogrammes </w:t>
      </w:r>
      <w:r w:rsidRPr="004607C7">
        <w:rPr>
          <w:rFonts w:ascii="Arial" w:hAnsi="Arial" w:cs="Arial"/>
          <w:i/>
          <w:sz w:val="20"/>
          <w:szCs w:val="20"/>
        </w:rPr>
        <w:t xml:space="preserve">Government Security Regulator </w:t>
      </w:r>
      <w:r w:rsidRPr="004607C7">
        <w:rPr>
          <w:rFonts w:ascii="Arial" w:hAnsi="Arial" w:cs="Arial"/>
          <w:sz w:val="20"/>
          <w:szCs w:val="20"/>
        </w:rPr>
        <w:t xml:space="preserve">and </w:t>
      </w:r>
      <w:r w:rsidRPr="004607C7">
        <w:rPr>
          <w:rFonts w:ascii="Arial" w:hAnsi="Arial" w:cs="Arial"/>
          <w:i/>
          <w:sz w:val="20"/>
          <w:szCs w:val="20"/>
        </w:rPr>
        <w:t xml:space="preserve">Operational Support, </w:t>
      </w:r>
      <w:r w:rsidRPr="004607C7">
        <w:rPr>
          <w:rFonts w:ascii="Arial" w:hAnsi="Arial" w:cs="Arial"/>
          <w:sz w:val="20"/>
          <w:szCs w:val="20"/>
        </w:rPr>
        <w:t xml:space="preserve">have no performance indicators assigned to them despite the subprogrammes receiving a budget allocation.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performance indicators of the </w:t>
      </w:r>
      <w:r w:rsidRPr="004607C7">
        <w:rPr>
          <w:rFonts w:ascii="Arial" w:hAnsi="Arial" w:cs="Arial"/>
          <w:i/>
          <w:sz w:val="20"/>
          <w:szCs w:val="20"/>
          <w:u w:val="single"/>
        </w:rPr>
        <w:t>Protection and Security Services subprogramme</w:t>
      </w:r>
      <w:r w:rsidRPr="004607C7">
        <w:rPr>
          <w:rFonts w:ascii="Arial" w:hAnsi="Arial" w:cs="Arial"/>
          <w:sz w:val="20"/>
          <w:szCs w:val="20"/>
        </w:rPr>
        <w:t xml:space="preserve"> aim to have zero security breaches during in-transit protection and at identified government installations and identified VIP residences. VIPs include Ministers, Deputy Ministers, Premiers, Speakers, Deputy Speakers, Members of Executive Councils (MECs), Chief Justice and Deputy Chief Justice, Judge President and ad hoc VIPs, whose status is determined by the Risk Information Administration System (RIMAS) policy.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subprogramme further measures the percentage of strategic installations audited (48.82 per cent/ or 124 of 254) and evaluation of National Key Points (NKPs), targeted at 100 per cent (215 evaluations).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performance indicators of the </w:t>
      </w:r>
      <w:r w:rsidRPr="004607C7">
        <w:rPr>
          <w:rFonts w:ascii="Arial" w:hAnsi="Arial" w:cs="Arial"/>
          <w:i/>
          <w:sz w:val="20"/>
          <w:szCs w:val="20"/>
          <w:u w:val="single"/>
        </w:rPr>
        <w:t>Presidential Protection Service subprogramme</w:t>
      </w:r>
      <w:r w:rsidRPr="004607C7">
        <w:rPr>
          <w:rFonts w:ascii="Arial" w:hAnsi="Arial" w:cs="Arial"/>
          <w:sz w:val="20"/>
          <w:szCs w:val="20"/>
        </w:rPr>
        <w:t xml:space="preserve"> aims to have zero security breaches during physical protection of the President, Deputy President, former Presidents, former Deputy Presidents, their spouses and other identified VIPs including foreign Heads of State and former Heads of State/Government and their spouses.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subprogramme further aims to have zero security breaches at identified government installations occupied by identified protected VIP principals in terms of Cabinet Memorandum 1A of 2004, RIMAS and the Presidential Handbook, by virtue of their public office or strategic importance to the country. The Presidential Protection Service subprogramme will evaluate 11 NKPs during 2023/24.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pStyle w:val="Heading3"/>
        <w:numPr>
          <w:ilvl w:val="2"/>
          <w:numId w:val="4"/>
        </w:numPr>
        <w:spacing w:line="240" w:lineRule="auto"/>
        <w:jc w:val="left"/>
        <w:rPr>
          <w:rFonts w:ascii="Arial" w:hAnsi="Arial" w:cs="Arial"/>
          <w:sz w:val="20"/>
          <w:szCs w:val="20"/>
        </w:rPr>
      </w:pPr>
      <w:bookmarkStart w:id="26" w:name="_Toc132206892"/>
      <w:r w:rsidRPr="004607C7">
        <w:rPr>
          <w:rFonts w:ascii="Arial" w:hAnsi="Arial" w:cs="Arial"/>
          <w:sz w:val="20"/>
          <w:szCs w:val="20"/>
        </w:rPr>
        <w:t>Budget allocation</w:t>
      </w:r>
      <w:bookmarkEnd w:id="26"/>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Protection and Security Services programme received a Main Appropriation of R3.76 billion in 2023/24, which is a slight nominal increase of 0.3 per cent compared to the previous year’s allocation of R3.75 billion. In real terms, the allocation decreased with R166.2 million or 4.43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w:t>
      </w:r>
      <w:r w:rsidRPr="004607C7">
        <w:rPr>
          <w:rFonts w:ascii="Arial" w:hAnsi="Arial" w:cs="Arial"/>
          <w:b/>
          <w:sz w:val="20"/>
          <w:szCs w:val="20"/>
        </w:rPr>
        <w:t>VIP Protection subprogramme</w:t>
      </w:r>
      <w:r w:rsidRPr="004607C7">
        <w:rPr>
          <w:rFonts w:ascii="Arial" w:hAnsi="Arial" w:cs="Arial"/>
          <w:sz w:val="20"/>
          <w:szCs w:val="20"/>
        </w:rPr>
        <w:t xml:space="preserve"> received an allocation of R1.97 billion in 2023/24, which is a nominal increase of R5.1 million or 0.26 per cent. In real terms, this is a decrease of R87.0 million or 4.42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w:t>
      </w:r>
      <w:r w:rsidRPr="004607C7">
        <w:rPr>
          <w:rFonts w:ascii="Arial" w:hAnsi="Arial" w:cs="Arial"/>
          <w:b/>
          <w:sz w:val="20"/>
          <w:szCs w:val="20"/>
        </w:rPr>
        <w:t>Static Protection subprogrammes</w:t>
      </w:r>
      <w:r w:rsidRPr="004607C7">
        <w:rPr>
          <w:rFonts w:ascii="Arial" w:hAnsi="Arial" w:cs="Arial"/>
          <w:sz w:val="20"/>
          <w:szCs w:val="20"/>
        </w:rPr>
        <w:t xml:space="preserve"> received a slight nominal increase of 0.12 per cent from R1.404 billion in 2022/23 to R1.406 billion in 2023/24.This is a nominal increase of 0.12 per cent, but a real decrease of 4.56 per cent.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w:t>
      </w:r>
      <w:r w:rsidRPr="004607C7">
        <w:rPr>
          <w:rFonts w:ascii="Arial" w:hAnsi="Arial" w:cs="Arial"/>
          <w:b/>
          <w:sz w:val="20"/>
          <w:szCs w:val="20"/>
        </w:rPr>
        <w:t>Government Security Regulator subprogramme</w:t>
      </w:r>
      <w:r w:rsidRPr="004607C7">
        <w:rPr>
          <w:rFonts w:ascii="Arial" w:hAnsi="Arial" w:cs="Arial"/>
          <w:sz w:val="20"/>
          <w:szCs w:val="20"/>
        </w:rPr>
        <w:t xml:space="preserve"> received a nominal increase of 0.62 per cent from R88.9 million in 2022/23 to R89.5 million in 2022/23. The subprogramme provides for security regulations and evaluation, the administration of national key points, and strategic installations. </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The </w:t>
      </w:r>
      <w:r w:rsidRPr="004607C7">
        <w:rPr>
          <w:rFonts w:ascii="Arial" w:hAnsi="Arial" w:cs="Arial"/>
          <w:b/>
          <w:sz w:val="20"/>
          <w:szCs w:val="20"/>
        </w:rPr>
        <w:t>Operational Support subprogramme</w:t>
      </w:r>
      <w:r w:rsidRPr="004607C7">
        <w:rPr>
          <w:rFonts w:ascii="Arial" w:hAnsi="Arial" w:cs="Arial"/>
          <w:sz w:val="20"/>
          <w:szCs w:val="20"/>
        </w:rPr>
        <w:t xml:space="preserve"> received an allocation of R295.8 million in 2023/24, which is a nominal increase of R2.3 million or 0.79 per cent. In real terms, the allocation decreased with R11.5 million or 3.92 per cent.</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20: PSS Programme: Difference between 2022/23 and 2023/24 budget allocation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915"/>
        <w:gridCol w:w="915"/>
        <w:gridCol w:w="1088"/>
        <w:gridCol w:w="1103"/>
        <w:gridCol w:w="1240"/>
        <w:gridCol w:w="1376"/>
      </w:tblGrid>
      <w:tr w:rsidR="00567CCD" w:rsidRPr="004607C7" w:rsidTr="00567CCD">
        <w:trPr>
          <w:trHeight w:val="765"/>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Programme</w:t>
            </w:r>
          </w:p>
        </w:tc>
        <w:tc>
          <w:tcPr>
            <w:tcW w:w="1575" w:type="dxa"/>
            <w:gridSpan w:val="2"/>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Budget</w:t>
            </w:r>
          </w:p>
        </w:tc>
        <w:tc>
          <w:tcPr>
            <w:tcW w:w="1118"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Nominal Increase / Decrease in 2023/24</w:t>
            </w:r>
          </w:p>
        </w:tc>
        <w:tc>
          <w:tcPr>
            <w:tcW w:w="1134"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Real Increase / Decrease in 2023/24</w:t>
            </w:r>
          </w:p>
        </w:tc>
        <w:tc>
          <w:tcPr>
            <w:tcW w:w="1276"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Nominal Percent change in 2023/24</w:t>
            </w:r>
          </w:p>
        </w:tc>
        <w:tc>
          <w:tcPr>
            <w:tcW w:w="1417" w:type="dxa"/>
            <w:shd w:val="clear" w:color="auto" w:fill="auto"/>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Real Percent change in 2023/24</w:t>
            </w: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 million</w:t>
            </w:r>
          </w:p>
        </w:tc>
        <w:tc>
          <w:tcPr>
            <w:tcW w:w="70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2022/23</w:t>
            </w:r>
          </w:p>
        </w:tc>
        <w:tc>
          <w:tcPr>
            <w:tcW w:w="867"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2023/24</w:t>
            </w:r>
          </w:p>
        </w:tc>
        <w:tc>
          <w:tcPr>
            <w:tcW w:w="1118"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134"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276"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c>
          <w:tcPr>
            <w:tcW w:w="1417" w:type="dxa"/>
            <w:vAlign w:val="center"/>
            <w:hideMark/>
          </w:tcPr>
          <w:p w:rsidR="00567CCD" w:rsidRPr="004607C7" w:rsidRDefault="00567CCD" w:rsidP="004607C7">
            <w:pPr>
              <w:spacing w:line="240" w:lineRule="auto"/>
              <w:jc w:val="left"/>
              <w:rPr>
                <w:rFonts w:ascii="Arial" w:eastAsia="Times New Roman" w:hAnsi="Arial" w:cs="Arial"/>
                <w:b/>
                <w:bCs/>
                <w:sz w:val="20"/>
                <w:szCs w:val="20"/>
                <w:lang w:eastAsia="en-ZA"/>
              </w:rPr>
            </w:pP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Sub-programme 1: VIP Protection Services </w:t>
            </w:r>
          </w:p>
        </w:tc>
        <w:tc>
          <w:tcPr>
            <w:tcW w:w="70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1 967,2</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1 972,3</w:t>
            </w:r>
          </w:p>
        </w:tc>
        <w:tc>
          <w:tcPr>
            <w:tcW w:w="11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5,1</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87,0</w:t>
            </w:r>
          </w:p>
        </w:tc>
        <w:tc>
          <w:tcPr>
            <w:tcW w:w="1276"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0,26 per cent</w:t>
            </w:r>
          </w:p>
        </w:tc>
        <w:tc>
          <w:tcPr>
            <w:tcW w:w="141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-4,42 per cent</w:t>
            </w: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lastRenderedPageBreak/>
              <w:t>Sub-programme 2: Static Protection</w:t>
            </w:r>
          </w:p>
        </w:tc>
        <w:tc>
          <w:tcPr>
            <w:tcW w:w="70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1 404,4</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1 406,1</w:t>
            </w:r>
          </w:p>
        </w:tc>
        <w:tc>
          <w:tcPr>
            <w:tcW w:w="11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1,7</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64,0</w:t>
            </w:r>
          </w:p>
        </w:tc>
        <w:tc>
          <w:tcPr>
            <w:tcW w:w="1276"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0,12 per cent</w:t>
            </w:r>
          </w:p>
        </w:tc>
        <w:tc>
          <w:tcPr>
            <w:tcW w:w="141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-4,56 per cent</w:t>
            </w: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3: Government Security Regulator</w:t>
            </w:r>
          </w:p>
        </w:tc>
        <w:tc>
          <w:tcPr>
            <w:tcW w:w="70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88,9</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89,5</w:t>
            </w:r>
          </w:p>
        </w:tc>
        <w:tc>
          <w:tcPr>
            <w:tcW w:w="11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0,6</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3,6</w:t>
            </w:r>
          </w:p>
        </w:tc>
        <w:tc>
          <w:tcPr>
            <w:tcW w:w="1276"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0,62 per cent</w:t>
            </w:r>
          </w:p>
        </w:tc>
        <w:tc>
          <w:tcPr>
            <w:tcW w:w="141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-4,08 per cent</w:t>
            </w: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Sub-programme 4:Operational Support </w:t>
            </w:r>
          </w:p>
        </w:tc>
        <w:tc>
          <w:tcPr>
            <w:tcW w:w="70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293,5</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295,8</w:t>
            </w:r>
          </w:p>
        </w:tc>
        <w:tc>
          <w:tcPr>
            <w:tcW w:w="11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2,3</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11,5</w:t>
            </w:r>
          </w:p>
        </w:tc>
        <w:tc>
          <w:tcPr>
            <w:tcW w:w="1276"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0,79 per cent</w:t>
            </w:r>
          </w:p>
        </w:tc>
        <w:tc>
          <w:tcPr>
            <w:tcW w:w="141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-3,92 per cent</w:t>
            </w: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TOTAL</w:t>
            </w:r>
          </w:p>
        </w:tc>
        <w:tc>
          <w:tcPr>
            <w:tcW w:w="70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3 754,1</w:t>
            </w:r>
          </w:p>
        </w:tc>
        <w:tc>
          <w:tcPr>
            <w:tcW w:w="86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3 763,7</w:t>
            </w:r>
          </w:p>
        </w:tc>
        <w:tc>
          <w:tcPr>
            <w:tcW w:w="111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9,7</w:t>
            </w:r>
          </w:p>
        </w:tc>
        <w:tc>
          <w:tcPr>
            <w:tcW w:w="1134"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166,2</w:t>
            </w:r>
          </w:p>
        </w:tc>
        <w:tc>
          <w:tcPr>
            <w:tcW w:w="1276"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0,3 per cent</w:t>
            </w:r>
          </w:p>
        </w:tc>
        <w:tc>
          <w:tcPr>
            <w:tcW w:w="1417"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-4,43 per cent</w:t>
            </w:r>
          </w:p>
        </w:tc>
      </w:tr>
    </w:tbl>
    <w:p w:rsidR="00567CCD" w:rsidRPr="004607C7" w:rsidRDefault="00567CCD" w:rsidP="004607C7">
      <w:pPr>
        <w:spacing w:line="240" w:lineRule="auto"/>
        <w:jc w:val="left"/>
        <w:rPr>
          <w:rFonts w:ascii="Arial" w:hAnsi="Arial" w:cs="Arial"/>
          <w:i/>
          <w:sz w:val="20"/>
          <w:szCs w:val="20"/>
        </w:rPr>
      </w:pPr>
      <w:r w:rsidRPr="004607C7">
        <w:rPr>
          <w:rFonts w:ascii="Arial" w:hAnsi="Arial" w:cs="Arial"/>
          <w:i/>
          <w:sz w:val="20"/>
          <w:szCs w:val="20"/>
        </w:rPr>
        <w:t>Source: National Treasury (2023)</w:t>
      </w:r>
    </w:p>
    <w:p w:rsidR="00567CCD" w:rsidRPr="004607C7" w:rsidRDefault="00567CCD" w:rsidP="004607C7">
      <w:pPr>
        <w:spacing w:line="240" w:lineRule="auto"/>
        <w:jc w:val="left"/>
        <w:rPr>
          <w:rFonts w:ascii="Arial" w:hAnsi="Arial" w:cs="Arial"/>
          <w:sz w:val="20"/>
          <w:szCs w:val="20"/>
        </w:rPr>
      </w:pPr>
    </w:p>
    <w:p w:rsidR="00567CCD" w:rsidRPr="004607C7" w:rsidRDefault="00567CCD" w:rsidP="004607C7">
      <w:pPr>
        <w:spacing w:line="240" w:lineRule="auto"/>
        <w:ind w:right="-330"/>
        <w:jc w:val="left"/>
        <w:rPr>
          <w:rFonts w:ascii="Arial" w:hAnsi="Arial" w:cs="Arial"/>
          <w:sz w:val="20"/>
          <w:szCs w:val="20"/>
        </w:rPr>
      </w:pPr>
      <w:r w:rsidRPr="004607C7">
        <w:rPr>
          <w:rFonts w:ascii="Arial" w:hAnsi="Arial" w:cs="Arial"/>
          <w:sz w:val="20"/>
          <w:szCs w:val="20"/>
        </w:rPr>
        <w:t xml:space="preserve">The table below shows that the proportional allocations between subprogrammes did not change much in 2023/24 compared to the previous financial year. The proportional allocation to the Static Protection subprogramme decreased with 0.05 per cent, while the proportional allocation to the Government Security Regulator and Operational Support subprogrammes increased with 0.01 per cent and 0.04 per cent respectively. </w:t>
      </w:r>
    </w:p>
    <w:p w:rsidR="00567CCD" w:rsidRPr="004607C7" w:rsidRDefault="00567CCD" w:rsidP="004607C7">
      <w:pPr>
        <w:spacing w:line="240" w:lineRule="auto"/>
        <w:ind w:right="-330"/>
        <w:jc w:val="left"/>
        <w:rPr>
          <w:rFonts w:ascii="Arial" w:hAnsi="Arial" w:cs="Arial"/>
          <w:sz w:val="20"/>
          <w:szCs w:val="20"/>
        </w:rPr>
      </w:pPr>
    </w:p>
    <w:p w:rsidR="00567CCD" w:rsidRPr="004607C7" w:rsidRDefault="00567CCD" w:rsidP="004607C7">
      <w:pPr>
        <w:spacing w:line="240" w:lineRule="auto"/>
        <w:ind w:right="-330"/>
        <w:jc w:val="left"/>
        <w:rPr>
          <w:rFonts w:ascii="Arial" w:hAnsi="Arial" w:cs="Arial"/>
          <w:sz w:val="20"/>
          <w:szCs w:val="20"/>
        </w:rPr>
      </w:pPr>
      <w:r w:rsidRPr="004607C7">
        <w:rPr>
          <w:rFonts w:ascii="Arial" w:hAnsi="Arial" w:cs="Arial"/>
          <w:sz w:val="20"/>
          <w:szCs w:val="20"/>
        </w:rPr>
        <w:t>The VIP Protection subprogramme receives 52.40 per cent of the total budget of the Protection and Security Service programme, followed by the Static Protection subprogramme which receives 37.36 per cent of the Programme’s budget allocation in 2023/24.</w:t>
      </w:r>
    </w:p>
    <w:p w:rsidR="00567CCD" w:rsidRPr="004607C7" w:rsidRDefault="00567CCD" w:rsidP="004607C7">
      <w:pPr>
        <w:spacing w:line="240" w:lineRule="auto"/>
        <w:jc w:val="left"/>
        <w:rPr>
          <w:rFonts w:ascii="Arial" w:hAnsi="Arial" w:cs="Arial"/>
          <w:sz w:val="20"/>
          <w:szCs w:val="20"/>
        </w:rPr>
      </w:pPr>
      <w:r w:rsidRPr="004607C7">
        <w:rPr>
          <w:rFonts w:ascii="Arial" w:hAnsi="Arial" w:cs="Arial"/>
          <w:sz w:val="20"/>
          <w:szCs w:val="20"/>
        </w:rPr>
        <w:t xml:space="preserve">  </w:t>
      </w:r>
    </w:p>
    <w:p w:rsidR="00567CCD" w:rsidRPr="004607C7" w:rsidRDefault="00567CCD" w:rsidP="004607C7">
      <w:pPr>
        <w:spacing w:line="240" w:lineRule="auto"/>
        <w:jc w:val="left"/>
        <w:rPr>
          <w:rFonts w:ascii="Arial" w:hAnsi="Arial" w:cs="Arial"/>
          <w:b/>
          <w:i/>
          <w:sz w:val="20"/>
          <w:szCs w:val="20"/>
        </w:rPr>
      </w:pPr>
      <w:r w:rsidRPr="004607C7">
        <w:rPr>
          <w:rFonts w:ascii="Arial" w:hAnsi="Arial" w:cs="Arial"/>
          <w:b/>
          <w:i/>
          <w:sz w:val="20"/>
          <w:szCs w:val="20"/>
        </w:rPr>
        <w:t>Table 21: Percent of total PSS Programme budget per subprogramme</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992"/>
        <w:gridCol w:w="1529"/>
        <w:gridCol w:w="905"/>
        <w:gridCol w:w="1559"/>
        <w:gridCol w:w="1398"/>
      </w:tblGrid>
      <w:tr w:rsidR="00567CCD" w:rsidRPr="004607C7" w:rsidTr="0052537C">
        <w:trPr>
          <w:trHeight w:val="1035"/>
          <w:tblHeader/>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Programme</w:t>
            </w:r>
          </w:p>
        </w:tc>
        <w:tc>
          <w:tcPr>
            <w:tcW w:w="992" w:type="dxa"/>
            <w:shd w:val="clear" w:color="auto" w:fill="auto"/>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Budget</w:t>
            </w:r>
          </w:p>
        </w:tc>
        <w:tc>
          <w:tcPr>
            <w:tcW w:w="1529" w:type="dxa"/>
            <w:shd w:val="clear" w:color="auto" w:fill="auto"/>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Percent of total budget per programme</w:t>
            </w:r>
          </w:p>
        </w:tc>
        <w:tc>
          <w:tcPr>
            <w:tcW w:w="881" w:type="dxa"/>
            <w:shd w:val="clear" w:color="auto" w:fill="auto"/>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Budget</w:t>
            </w:r>
          </w:p>
        </w:tc>
        <w:tc>
          <w:tcPr>
            <w:tcW w:w="1559" w:type="dxa"/>
            <w:shd w:val="clear" w:color="auto" w:fill="auto"/>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Percent of total budget per programme</w:t>
            </w:r>
          </w:p>
        </w:tc>
        <w:tc>
          <w:tcPr>
            <w:tcW w:w="1398" w:type="dxa"/>
            <w:shd w:val="clear" w:color="auto" w:fill="auto"/>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Change in percent allocation</w:t>
            </w:r>
          </w:p>
        </w:tc>
      </w:tr>
      <w:tr w:rsidR="00567CCD" w:rsidRPr="004607C7" w:rsidTr="0052537C">
        <w:trPr>
          <w:trHeight w:val="264"/>
          <w:tblHeader/>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bCs/>
                <w:sz w:val="20"/>
                <w:szCs w:val="20"/>
                <w:lang w:eastAsia="en-ZA"/>
              </w:rPr>
            </w:pPr>
            <w:r w:rsidRPr="004607C7">
              <w:rPr>
                <w:rFonts w:ascii="Arial" w:eastAsia="Times New Roman" w:hAnsi="Arial" w:cs="Arial"/>
                <w:b/>
                <w:bCs/>
                <w:sz w:val="20"/>
                <w:szCs w:val="20"/>
                <w:lang w:eastAsia="en-ZA"/>
              </w:rPr>
              <w:t>R million</w:t>
            </w:r>
          </w:p>
        </w:tc>
        <w:tc>
          <w:tcPr>
            <w:tcW w:w="2521" w:type="dxa"/>
            <w:gridSpan w:val="2"/>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2022/23</w:t>
            </w:r>
          </w:p>
        </w:tc>
        <w:tc>
          <w:tcPr>
            <w:tcW w:w="2440" w:type="dxa"/>
            <w:gridSpan w:val="2"/>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2023/24</w:t>
            </w:r>
          </w:p>
        </w:tc>
        <w:tc>
          <w:tcPr>
            <w:tcW w:w="1398"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Sub-programme 1: VIP Protection Services </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1 967,2</w:t>
            </w:r>
          </w:p>
        </w:tc>
        <w:tc>
          <w:tcPr>
            <w:tcW w:w="152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52,40 per cent</w:t>
            </w:r>
          </w:p>
        </w:tc>
        <w:tc>
          <w:tcPr>
            <w:tcW w:w="88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1 972,3</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52,40 per cent</w:t>
            </w:r>
          </w:p>
        </w:tc>
        <w:tc>
          <w:tcPr>
            <w:tcW w:w="139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0,00 per cent</w:t>
            </w: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2: Static Protection</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1 404,4</w:t>
            </w:r>
          </w:p>
        </w:tc>
        <w:tc>
          <w:tcPr>
            <w:tcW w:w="152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37,41 per cent</w:t>
            </w:r>
          </w:p>
        </w:tc>
        <w:tc>
          <w:tcPr>
            <w:tcW w:w="88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1 406,1</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37,36 per cent</w:t>
            </w:r>
          </w:p>
        </w:tc>
        <w:tc>
          <w:tcPr>
            <w:tcW w:w="139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-0,05 per cent</w:t>
            </w: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Sub-programme 3: Government Security Regulator</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88,9</w:t>
            </w:r>
          </w:p>
        </w:tc>
        <w:tc>
          <w:tcPr>
            <w:tcW w:w="152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2,37 per cent</w:t>
            </w:r>
          </w:p>
        </w:tc>
        <w:tc>
          <w:tcPr>
            <w:tcW w:w="88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89,5</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2,38 per cent</w:t>
            </w:r>
          </w:p>
        </w:tc>
        <w:tc>
          <w:tcPr>
            <w:tcW w:w="139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0,01 per cent</w:t>
            </w: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Sub-programme 4:Operational Support </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293,5</w:t>
            </w:r>
          </w:p>
        </w:tc>
        <w:tc>
          <w:tcPr>
            <w:tcW w:w="152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7,82 per cent</w:t>
            </w:r>
          </w:p>
        </w:tc>
        <w:tc>
          <w:tcPr>
            <w:tcW w:w="88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 xml:space="preserve">  295,8</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7,86 per cent</w:t>
            </w:r>
          </w:p>
        </w:tc>
        <w:tc>
          <w:tcPr>
            <w:tcW w:w="139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sz w:val="20"/>
                <w:szCs w:val="20"/>
                <w:lang w:eastAsia="en-ZA"/>
              </w:rPr>
            </w:pPr>
            <w:r w:rsidRPr="004607C7">
              <w:rPr>
                <w:rFonts w:ascii="Arial" w:eastAsia="Times New Roman" w:hAnsi="Arial" w:cs="Arial"/>
                <w:sz w:val="20"/>
                <w:szCs w:val="20"/>
                <w:lang w:eastAsia="en-ZA"/>
              </w:rPr>
              <w:t>0,04 per cent</w:t>
            </w:r>
          </w:p>
        </w:tc>
      </w:tr>
      <w:tr w:rsidR="00567CCD" w:rsidRPr="004607C7" w:rsidTr="00567CCD">
        <w:trPr>
          <w:trHeight w:val="264"/>
        </w:trPr>
        <w:tc>
          <w:tcPr>
            <w:tcW w:w="2689" w:type="dxa"/>
            <w:shd w:val="clear" w:color="auto" w:fill="auto"/>
            <w:noWrap/>
            <w:vAlign w:val="bottom"/>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TOTAL</w:t>
            </w:r>
          </w:p>
        </w:tc>
        <w:tc>
          <w:tcPr>
            <w:tcW w:w="992"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3 754,1</w:t>
            </w:r>
          </w:p>
        </w:tc>
        <w:tc>
          <w:tcPr>
            <w:tcW w:w="152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100,00 per cent</w:t>
            </w:r>
          </w:p>
        </w:tc>
        <w:tc>
          <w:tcPr>
            <w:tcW w:w="881"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 xml:space="preserve"> 3 763,7</w:t>
            </w:r>
          </w:p>
        </w:tc>
        <w:tc>
          <w:tcPr>
            <w:tcW w:w="1559"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100,00 per cent</w:t>
            </w:r>
          </w:p>
        </w:tc>
        <w:tc>
          <w:tcPr>
            <w:tcW w:w="1398" w:type="dxa"/>
            <w:shd w:val="clear" w:color="auto" w:fill="auto"/>
            <w:noWrap/>
            <w:vAlign w:val="center"/>
            <w:hideMark/>
          </w:tcPr>
          <w:p w:rsidR="00567CCD" w:rsidRPr="004607C7" w:rsidRDefault="00567CCD" w:rsidP="004607C7">
            <w:pPr>
              <w:spacing w:line="240" w:lineRule="auto"/>
              <w:jc w:val="left"/>
              <w:rPr>
                <w:rFonts w:ascii="Arial" w:eastAsia="Times New Roman" w:hAnsi="Arial" w:cs="Arial"/>
                <w:b/>
                <w:sz w:val="20"/>
                <w:szCs w:val="20"/>
                <w:lang w:eastAsia="en-ZA"/>
              </w:rPr>
            </w:pPr>
            <w:r w:rsidRPr="004607C7">
              <w:rPr>
                <w:rFonts w:ascii="Arial" w:eastAsia="Times New Roman" w:hAnsi="Arial" w:cs="Arial"/>
                <w:b/>
                <w:sz w:val="20"/>
                <w:szCs w:val="20"/>
                <w:lang w:eastAsia="en-ZA"/>
              </w:rPr>
              <w:t>0,00 per cent</w:t>
            </w:r>
          </w:p>
        </w:tc>
      </w:tr>
    </w:tbl>
    <w:p w:rsidR="00567CCD" w:rsidRPr="004607C7" w:rsidRDefault="00567CCD" w:rsidP="004607C7">
      <w:pPr>
        <w:spacing w:line="240" w:lineRule="auto"/>
        <w:jc w:val="left"/>
        <w:rPr>
          <w:rFonts w:ascii="Arial" w:hAnsi="Arial" w:cs="Arial"/>
          <w:i/>
          <w:sz w:val="20"/>
          <w:szCs w:val="20"/>
        </w:rPr>
      </w:pPr>
      <w:r w:rsidRPr="004607C7">
        <w:rPr>
          <w:rFonts w:ascii="Arial" w:hAnsi="Arial" w:cs="Arial"/>
          <w:i/>
          <w:sz w:val="20"/>
          <w:szCs w:val="20"/>
        </w:rPr>
        <w:t>Source: National Treasury (2023)</w:t>
      </w:r>
    </w:p>
    <w:p w:rsidR="002176AD" w:rsidRPr="004607C7" w:rsidRDefault="002176AD" w:rsidP="004607C7">
      <w:pPr>
        <w:spacing w:line="240" w:lineRule="auto"/>
        <w:jc w:val="left"/>
        <w:rPr>
          <w:rFonts w:ascii="Arial" w:hAnsi="Arial" w:cs="Arial"/>
          <w:sz w:val="20"/>
          <w:szCs w:val="20"/>
        </w:rPr>
      </w:pPr>
      <w:bookmarkStart w:id="27" w:name="_Toc100665223"/>
    </w:p>
    <w:p w:rsidR="00D23CFF" w:rsidRPr="004607C7" w:rsidRDefault="00D23CFF" w:rsidP="004607C7">
      <w:pPr>
        <w:pStyle w:val="Heading1"/>
        <w:numPr>
          <w:ilvl w:val="0"/>
          <w:numId w:val="4"/>
        </w:numPr>
        <w:spacing w:before="0" w:line="240" w:lineRule="auto"/>
        <w:jc w:val="left"/>
        <w:rPr>
          <w:rFonts w:ascii="Arial" w:hAnsi="Arial" w:cs="Arial"/>
          <w:sz w:val="20"/>
          <w:szCs w:val="20"/>
        </w:rPr>
      </w:pPr>
      <w:r w:rsidRPr="004607C7">
        <w:rPr>
          <w:rFonts w:ascii="Arial" w:hAnsi="Arial" w:cs="Arial"/>
          <w:sz w:val="20"/>
          <w:szCs w:val="20"/>
        </w:rPr>
        <w:t xml:space="preserve">Imputs by stakeholders </w:t>
      </w:r>
    </w:p>
    <w:p w:rsidR="00D23CFF" w:rsidRPr="004607C7" w:rsidRDefault="00D23CFF" w:rsidP="004607C7">
      <w:pPr>
        <w:spacing w:line="240" w:lineRule="auto"/>
        <w:jc w:val="left"/>
        <w:rPr>
          <w:rFonts w:ascii="Arial" w:hAnsi="Arial" w:cs="Arial"/>
          <w:sz w:val="20"/>
          <w:szCs w:val="20"/>
        </w:rPr>
      </w:pPr>
    </w:p>
    <w:p w:rsidR="00D23CFF" w:rsidRPr="004607C7" w:rsidRDefault="00D23CFF" w:rsidP="004607C7">
      <w:pPr>
        <w:pStyle w:val="Heading2"/>
        <w:numPr>
          <w:ilvl w:val="1"/>
          <w:numId w:val="4"/>
        </w:numPr>
        <w:spacing w:before="0" w:line="240" w:lineRule="auto"/>
        <w:rPr>
          <w:rFonts w:ascii="Arial" w:hAnsi="Arial" w:cs="Arial"/>
          <w:sz w:val="20"/>
          <w:szCs w:val="20"/>
        </w:rPr>
      </w:pPr>
      <w:r w:rsidRPr="004607C7">
        <w:rPr>
          <w:rFonts w:ascii="Arial" w:hAnsi="Arial" w:cs="Arial"/>
          <w:sz w:val="20"/>
          <w:szCs w:val="20"/>
        </w:rPr>
        <w:t>Mr Martin Hood</w:t>
      </w:r>
    </w:p>
    <w:p w:rsidR="00D23CFF" w:rsidRPr="004607C7" w:rsidRDefault="00D23CFF" w:rsidP="004607C7">
      <w:pPr>
        <w:spacing w:line="240" w:lineRule="auto"/>
        <w:jc w:val="left"/>
        <w:rPr>
          <w:rFonts w:ascii="Arial" w:hAnsi="Arial" w:cs="Arial"/>
          <w:sz w:val="20"/>
          <w:szCs w:val="20"/>
        </w:rPr>
      </w:pPr>
    </w:p>
    <w:p w:rsidR="00606C8C" w:rsidRPr="004607C7" w:rsidRDefault="00606C8C" w:rsidP="004607C7">
      <w:pPr>
        <w:spacing w:line="240" w:lineRule="auto"/>
        <w:jc w:val="left"/>
        <w:rPr>
          <w:rFonts w:ascii="Arial" w:hAnsi="Arial" w:cs="Arial"/>
          <w:sz w:val="20"/>
          <w:szCs w:val="20"/>
        </w:rPr>
      </w:pPr>
      <w:r w:rsidRPr="004607C7">
        <w:rPr>
          <w:rFonts w:ascii="Arial" w:hAnsi="Arial" w:cs="Arial"/>
          <w:sz w:val="20"/>
          <w:szCs w:val="20"/>
        </w:rPr>
        <w:t xml:space="preserve">Mr Martin Hood (from MH Hood and Associates Attorneys) addressed the Committee on </w:t>
      </w:r>
      <w:r w:rsidR="00CD35A4" w:rsidRPr="004607C7">
        <w:rPr>
          <w:rFonts w:ascii="Arial" w:hAnsi="Arial" w:cs="Arial"/>
          <w:sz w:val="20"/>
          <w:szCs w:val="20"/>
        </w:rPr>
        <w:t>challenges experienced</w:t>
      </w:r>
      <w:r w:rsidRPr="004607C7">
        <w:rPr>
          <w:rFonts w:ascii="Arial" w:hAnsi="Arial" w:cs="Arial"/>
          <w:sz w:val="20"/>
          <w:szCs w:val="20"/>
        </w:rPr>
        <w:t xml:space="preserve"> </w:t>
      </w:r>
      <w:r w:rsidR="00CD35A4" w:rsidRPr="004607C7">
        <w:rPr>
          <w:rFonts w:ascii="Arial" w:hAnsi="Arial" w:cs="Arial"/>
          <w:sz w:val="20"/>
          <w:szCs w:val="20"/>
        </w:rPr>
        <w:t xml:space="preserve">in </w:t>
      </w:r>
      <w:r w:rsidRPr="004607C7">
        <w:rPr>
          <w:rFonts w:ascii="Arial" w:hAnsi="Arial" w:cs="Arial"/>
          <w:sz w:val="20"/>
          <w:szCs w:val="20"/>
        </w:rPr>
        <w:t xml:space="preserve">the Central Firearms Registry. Mr Hood highlighted several areas of concern associated with firearm control in South Africa. He stated that there is a complete breakdown in communication between the management of the CFR and stakeholders, and that this has created significant challenges and distrust. He indicated that communication is seemingly occurring mainly through court judgements. </w:t>
      </w:r>
    </w:p>
    <w:p w:rsidR="00606C8C" w:rsidRPr="004607C7" w:rsidRDefault="00606C8C" w:rsidP="004607C7">
      <w:pPr>
        <w:spacing w:line="240" w:lineRule="auto"/>
        <w:jc w:val="left"/>
        <w:rPr>
          <w:rFonts w:ascii="Arial" w:hAnsi="Arial" w:cs="Arial"/>
          <w:sz w:val="20"/>
          <w:szCs w:val="20"/>
        </w:rPr>
      </w:pPr>
    </w:p>
    <w:p w:rsidR="00606C8C" w:rsidRPr="004607C7" w:rsidRDefault="00606C8C" w:rsidP="004607C7">
      <w:pPr>
        <w:spacing w:line="240" w:lineRule="auto"/>
        <w:jc w:val="left"/>
        <w:rPr>
          <w:rFonts w:ascii="Arial" w:hAnsi="Arial" w:cs="Arial"/>
          <w:sz w:val="20"/>
          <w:szCs w:val="20"/>
        </w:rPr>
      </w:pPr>
      <w:r w:rsidRPr="004607C7">
        <w:rPr>
          <w:rFonts w:ascii="Arial" w:hAnsi="Arial" w:cs="Arial"/>
          <w:sz w:val="20"/>
          <w:szCs w:val="20"/>
        </w:rPr>
        <w:t xml:space="preserve">Mr Hood highlighted the following concerns: </w:t>
      </w:r>
    </w:p>
    <w:p w:rsidR="00606C8C" w:rsidRPr="004607C7" w:rsidRDefault="00606C8C" w:rsidP="004607C7">
      <w:pPr>
        <w:pStyle w:val="ListParagraph"/>
        <w:numPr>
          <w:ilvl w:val="0"/>
          <w:numId w:val="28"/>
        </w:numPr>
        <w:spacing w:line="240" w:lineRule="auto"/>
        <w:jc w:val="left"/>
        <w:rPr>
          <w:rFonts w:ascii="Arial" w:hAnsi="Arial" w:cs="Arial"/>
          <w:sz w:val="20"/>
          <w:szCs w:val="20"/>
        </w:rPr>
      </w:pPr>
      <w:r w:rsidRPr="004607C7">
        <w:rPr>
          <w:rFonts w:ascii="Arial" w:hAnsi="Arial" w:cs="Arial"/>
          <w:sz w:val="20"/>
          <w:szCs w:val="20"/>
        </w:rPr>
        <w:t>Unilateral changes in policies without</w:t>
      </w:r>
      <w:r w:rsidR="007172D4" w:rsidRPr="004607C7">
        <w:rPr>
          <w:rFonts w:ascii="Arial" w:hAnsi="Arial" w:cs="Arial"/>
          <w:sz w:val="20"/>
          <w:szCs w:val="20"/>
        </w:rPr>
        <w:t xml:space="preserve"> communication to stakeholders. An example </w:t>
      </w:r>
      <w:r w:rsidR="008E36BA" w:rsidRPr="004607C7">
        <w:rPr>
          <w:rFonts w:ascii="Arial" w:hAnsi="Arial" w:cs="Arial"/>
          <w:sz w:val="20"/>
          <w:szCs w:val="20"/>
        </w:rPr>
        <w:t xml:space="preserve">was made </w:t>
      </w:r>
      <w:r w:rsidR="007172D4" w:rsidRPr="004607C7">
        <w:rPr>
          <w:rFonts w:ascii="Arial" w:hAnsi="Arial" w:cs="Arial"/>
          <w:sz w:val="20"/>
          <w:szCs w:val="20"/>
        </w:rPr>
        <w:t xml:space="preserve">of a new requirement </w:t>
      </w:r>
      <w:r w:rsidR="00BC4C65" w:rsidRPr="004607C7">
        <w:rPr>
          <w:rFonts w:ascii="Arial" w:hAnsi="Arial" w:cs="Arial"/>
          <w:sz w:val="20"/>
          <w:szCs w:val="20"/>
        </w:rPr>
        <w:t>for</w:t>
      </w:r>
      <w:r w:rsidR="007172D4" w:rsidRPr="004607C7">
        <w:rPr>
          <w:rFonts w:ascii="Arial" w:hAnsi="Arial" w:cs="Arial"/>
          <w:sz w:val="20"/>
          <w:szCs w:val="20"/>
        </w:rPr>
        <w:t xml:space="preserve"> serial numbers on firearm barrels, which were not previously required. </w:t>
      </w:r>
    </w:p>
    <w:p w:rsidR="007172D4" w:rsidRPr="004607C7" w:rsidRDefault="007172D4" w:rsidP="004607C7">
      <w:pPr>
        <w:pStyle w:val="ListParagraph"/>
        <w:numPr>
          <w:ilvl w:val="0"/>
          <w:numId w:val="28"/>
        </w:numPr>
        <w:spacing w:line="240" w:lineRule="auto"/>
        <w:jc w:val="left"/>
        <w:rPr>
          <w:rFonts w:ascii="Arial" w:hAnsi="Arial" w:cs="Arial"/>
          <w:sz w:val="20"/>
          <w:szCs w:val="20"/>
        </w:rPr>
      </w:pPr>
      <w:r w:rsidRPr="004607C7">
        <w:rPr>
          <w:rFonts w:ascii="Arial" w:hAnsi="Arial" w:cs="Arial"/>
          <w:sz w:val="20"/>
          <w:szCs w:val="20"/>
        </w:rPr>
        <w:t>Incorrect records and data on the CFR</w:t>
      </w:r>
      <w:r w:rsidR="008E36BA" w:rsidRPr="004607C7">
        <w:rPr>
          <w:rFonts w:ascii="Arial" w:hAnsi="Arial" w:cs="Arial"/>
          <w:sz w:val="20"/>
          <w:szCs w:val="20"/>
        </w:rPr>
        <w:t>,</w:t>
      </w:r>
      <w:r w:rsidRPr="004607C7">
        <w:rPr>
          <w:rFonts w:ascii="Arial" w:hAnsi="Arial" w:cs="Arial"/>
          <w:sz w:val="20"/>
          <w:szCs w:val="20"/>
        </w:rPr>
        <w:t xml:space="preserve"> lead</w:t>
      </w:r>
      <w:r w:rsidR="00BC4C65" w:rsidRPr="004607C7">
        <w:rPr>
          <w:rFonts w:ascii="Arial" w:hAnsi="Arial" w:cs="Arial"/>
          <w:sz w:val="20"/>
          <w:szCs w:val="20"/>
        </w:rPr>
        <w:t>ing</w:t>
      </w:r>
      <w:r w:rsidRPr="004607C7">
        <w:rPr>
          <w:rFonts w:ascii="Arial" w:hAnsi="Arial" w:cs="Arial"/>
          <w:sz w:val="20"/>
          <w:szCs w:val="20"/>
        </w:rPr>
        <w:t xml:space="preserve"> to significant problems. An example of Nicholas Yale was used to illustrate this challenge. </w:t>
      </w:r>
    </w:p>
    <w:p w:rsidR="007172D4" w:rsidRPr="004607C7" w:rsidRDefault="007172D4" w:rsidP="004607C7">
      <w:pPr>
        <w:pStyle w:val="ListParagraph"/>
        <w:numPr>
          <w:ilvl w:val="0"/>
          <w:numId w:val="28"/>
        </w:numPr>
        <w:spacing w:line="240" w:lineRule="auto"/>
        <w:jc w:val="left"/>
        <w:rPr>
          <w:rFonts w:ascii="Arial" w:hAnsi="Arial" w:cs="Arial"/>
          <w:sz w:val="20"/>
          <w:szCs w:val="20"/>
        </w:rPr>
      </w:pPr>
      <w:r w:rsidRPr="004607C7">
        <w:rPr>
          <w:rFonts w:ascii="Arial" w:hAnsi="Arial" w:cs="Arial"/>
          <w:sz w:val="20"/>
          <w:szCs w:val="20"/>
        </w:rPr>
        <w:t xml:space="preserve">There is a seeming refusal by SAPS to comply to court judgements and failure to take timeous decisions or action to comply with judgements. Particular emphasis was placed on </w:t>
      </w:r>
      <w:r w:rsidRPr="004607C7">
        <w:rPr>
          <w:rFonts w:ascii="Arial" w:hAnsi="Arial" w:cs="Arial"/>
          <w:sz w:val="20"/>
          <w:szCs w:val="20"/>
        </w:rPr>
        <w:lastRenderedPageBreak/>
        <w:t xml:space="preserve">the failure to process amnesty applications. It was stated that more than 20 cost orders have been granted. </w:t>
      </w:r>
    </w:p>
    <w:p w:rsidR="007172D4" w:rsidRPr="004607C7" w:rsidRDefault="007172D4" w:rsidP="004607C7">
      <w:pPr>
        <w:pStyle w:val="ListParagraph"/>
        <w:numPr>
          <w:ilvl w:val="0"/>
          <w:numId w:val="28"/>
        </w:numPr>
        <w:spacing w:line="240" w:lineRule="auto"/>
        <w:jc w:val="left"/>
        <w:rPr>
          <w:rFonts w:ascii="Arial" w:hAnsi="Arial" w:cs="Arial"/>
          <w:sz w:val="20"/>
          <w:szCs w:val="20"/>
        </w:rPr>
      </w:pPr>
      <w:r w:rsidRPr="004607C7">
        <w:rPr>
          <w:rFonts w:ascii="Arial" w:hAnsi="Arial" w:cs="Arial"/>
          <w:sz w:val="20"/>
          <w:szCs w:val="20"/>
        </w:rPr>
        <w:t xml:space="preserve">The SAPS is in contempt of a 2019 High Court Judgement that ordered the Department to develop electronic connectivity for on-line application and the effective management of firearms in the SAPS.  </w:t>
      </w:r>
    </w:p>
    <w:p w:rsidR="007172D4" w:rsidRPr="004607C7" w:rsidRDefault="007172D4" w:rsidP="004607C7">
      <w:pPr>
        <w:spacing w:line="240" w:lineRule="auto"/>
        <w:jc w:val="left"/>
        <w:rPr>
          <w:rFonts w:ascii="Arial" w:hAnsi="Arial" w:cs="Arial"/>
          <w:sz w:val="20"/>
          <w:szCs w:val="20"/>
        </w:rPr>
      </w:pPr>
    </w:p>
    <w:p w:rsidR="00ED5815" w:rsidRPr="004607C7" w:rsidRDefault="00ED5815" w:rsidP="004607C7">
      <w:pPr>
        <w:spacing w:line="240" w:lineRule="auto"/>
        <w:jc w:val="left"/>
        <w:rPr>
          <w:rFonts w:ascii="Arial" w:hAnsi="Arial" w:cs="Arial"/>
          <w:sz w:val="20"/>
          <w:szCs w:val="20"/>
        </w:rPr>
      </w:pPr>
      <w:r w:rsidRPr="004607C7">
        <w:rPr>
          <w:rFonts w:ascii="Arial" w:hAnsi="Arial" w:cs="Arial"/>
          <w:sz w:val="20"/>
          <w:szCs w:val="20"/>
        </w:rPr>
        <w:t xml:space="preserve">In conclusion, Mr Hood </w:t>
      </w:r>
      <w:r w:rsidR="00921C9E" w:rsidRPr="004607C7">
        <w:rPr>
          <w:rFonts w:ascii="Arial" w:hAnsi="Arial" w:cs="Arial"/>
          <w:sz w:val="20"/>
          <w:szCs w:val="20"/>
        </w:rPr>
        <w:t>stated that private advocates are over</w:t>
      </w:r>
      <w:r w:rsidR="00BC4C65" w:rsidRPr="004607C7">
        <w:rPr>
          <w:rFonts w:ascii="Arial" w:hAnsi="Arial" w:cs="Arial"/>
          <w:sz w:val="20"/>
          <w:szCs w:val="20"/>
        </w:rPr>
        <w:t>c</w:t>
      </w:r>
      <w:r w:rsidR="00921C9E" w:rsidRPr="004607C7">
        <w:rPr>
          <w:rFonts w:ascii="Arial" w:hAnsi="Arial" w:cs="Arial"/>
          <w:sz w:val="20"/>
          <w:szCs w:val="20"/>
        </w:rPr>
        <w:t>ha</w:t>
      </w:r>
      <w:r w:rsidR="00BC4C65" w:rsidRPr="004607C7">
        <w:rPr>
          <w:rFonts w:ascii="Arial" w:hAnsi="Arial" w:cs="Arial"/>
          <w:sz w:val="20"/>
          <w:szCs w:val="20"/>
        </w:rPr>
        <w:t>r</w:t>
      </w:r>
      <w:r w:rsidR="00921C9E" w:rsidRPr="004607C7">
        <w:rPr>
          <w:rFonts w:ascii="Arial" w:hAnsi="Arial" w:cs="Arial"/>
          <w:sz w:val="20"/>
          <w:szCs w:val="20"/>
        </w:rPr>
        <w:t xml:space="preserve">ging (abusing) the State Attorney’s resources in </w:t>
      </w:r>
      <w:r w:rsidR="00BC4C65" w:rsidRPr="004607C7">
        <w:rPr>
          <w:rFonts w:ascii="Arial" w:hAnsi="Arial" w:cs="Arial"/>
          <w:sz w:val="20"/>
          <w:szCs w:val="20"/>
        </w:rPr>
        <w:t>charging</w:t>
      </w:r>
      <w:r w:rsidR="00921C9E" w:rsidRPr="004607C7">
        <w:rPr>
          <w:rFonts w:ascii="Arial" w:hAnsi="Arial" w:cs="Arial"/>
          <w:sz w:val="20"/>
          <w:szCs w:val="20"/>
        </w:rPr>
        <w:t xml:space="preserve"> excessive amounts for preparation</w:t>
      </w:r>
      <w:r w:rsidR="00BC4C65" w:rsidRPr="004607C7">
        <w:rPr>
          <w:rFonts w:ascii="Arial" w:hAnsi="Arial" w:cs="Arial"/>
          <w:sz w:val="20"/>
          <w:szCs w:val="20"/>
        </w:rPr>
        <w:t xml:space="preserve"> of </w:t>
      </w:r>
      <w:r w:rsidR="00921C9E" w:rsidRPr="004607C7">
        <w:rPr>
          <w:rFonts w:ascii="Arial" w:hAnsi="Arial" w:cs="Arial"/>
          <w:sz w:val="20"/>
          <w:szCs w:val="20"/>
        </w:rPr>
        <w:t xml:space="preserve">court hearings to litigate for the SAPS. Mr Hood thanked the Committee for the invitation and allowing him to address Parliament on significant issues related to the CFR and firearm control in South Africa.  </w:t>
      </w:r>
    </w:p>
    <w:p w:rsidR="00606C8C" w:rsidRPr="004607C7" w:rsidRDefault="00606C8C" w:rsidP="004607C7">
      <w:pPr>
        <w:spacing w:line="240" w:lineRule="auto"/>
        <w:jc w:val="left"/>
        <w:rPr>
          <w:rFonts w:ascii="Arial" w:hAnsi="Arial" w:cs="Arial"/>
          <w:sz w:val="20"/>
          <w:szCs w:val="20"/>
        </w:rPr>
      </w:pPr>
    </w:p>
    <w:p w:rsidR="00D23CFF" w:rsidRPr="004607C7" w:rsidRDefault="00D23CFF" w:rsidP="004607C7">
      <w:pPr>
        <w:pStyle w:val="Heading2"/>
        <w:numPr>
          <w:ilvl w:val="1"/>
          <w:numId w:val="4"/>
        </w:numPr>
        <w:spacing w:before="0" w:line="240" w:lineRule="auto"/>
        <w:rPr>
          <w:rFonts w:ascii="Arial" w:hAnsi="Arial" w:cs="Arial"/>
          <w:sz w:val="20"/>
          <w:szCs w:val="20"/>
        </w:rPr>
      </w:pPr>
      <w:r w:rsidRPr="004607C7">
        <w:rPr>
          <w:rFonts w:ascii="Arial" w:hAnsi="Arial" w:cs="Arial"/>
          <w:sz w:val="20"/>
          <w:szCs w:val="20"/>
        </w:rPr>
        <w:t>South African P</w:t>
      </w:r>
      <w:r w:rsidR="00F60370" w:rsidRPr="004607C7">
        <w:rPr>
          <w:rFonts w:ascii="Arial" w:hAnsi="Arial" w:cs="Arial"/>
          <w:sz w:val="20"/>
          <w:szCs w:val="20"/>
        </w:rPr>
        <w:t>olicing</w:t>
      </w:r>
      <w:r w:rsidRPr="004607C7">
        <w:rPr>
          <w:rFonts w:ascii="Arial" w:hAnsi="Arial" w:cs="Arial"/>
          <w:sz w:val="20"/>
          <w:szCs w:val="20"/>
        </w:rPr>
        <w:t xml:space="preserve"> Union (SAPU)</w:t>
      </w:r>
    </w:p>
    <w:p w:rsidR="00D23CFF" w:rsidRPr="004607C7" w:rsidRDefault="00D23CFF" w:rsidP="004607C7">
      <w:pPr>
        <w:spacing w:line="240" w:lineRule="auto"/>
        <w:jc w:val="left"/>
        <w:rPr>
          <w:rFonts w:ascii="Arial" w:hAnsi="Arial" w:cs="Arial"/>
          <w:sz w:val="20"/>
          <w:szCs w:val="20"/>
        </w:rPr>
      </w:pPr>
    </w:p>
    <w:p w:rsidR="009815ED" w:rsidRPr="004607C7" w:rsidRDefault="009815ED" w:rsidP="004607C7">
      <w:pPr>
        <w:spacing w:line="240" w:lineRule="auto"/>
        <w:jc w:val="left"/>
        <w:rPr>
          <w:rFonts w:ascii="Arial" w:hAnsi="Arial" w:cs="Arial"/>
          <w:sz w:val="20"/>
          <w:szCs w:val="20"/>
        </w:rPr>
      </w:pPr>
      <w:r w:rsidRPr="004607C7">
        <w:rPr>
          <w:rFonts w:ascii="Arial" w:hAnsi="Arial" w:cs="Arial"/>
          <w:sz w:val="20"/>
          <w:szCs w:val="20"/>
        </w:rPr>
        <w:t>The South African Policing Union (SAP</w:t>
      </w:r>
      <w:r w:rsidR="008E36BA" w:rsidRPr="004607C7">
        <w:rPr>
          <w:rFonts w:ascii="Arial" w:hAnsi="Arial" w:cs="Arial"/>
          <w:sz w:val="20"/>
          <w:szCs w:val="20"/>
        </w:rPr>
        <w:t>U</w:t>
      </w:r>
      <w:r w:rsidRPr="004607C7">
        <w:rPr>
          <w:rFonts w:ascii="Arial" w:hAnsi="Arial" w:cs="Arial"/>
          <w:sz w:val="20"/>
          <w:szCs w:val="20"/>
        </w:rPr>
        <w:t xml:space="preserve">) indicated that South Africa has unacceptably high level of crime, and highlighted the vision expressed in Chapter 12 of the National Development Plan (NDP). The Union questioned what gains have been made to realise this vision nearly two thirds into its existence. The Union stated that much could have been achieved through amendments to the SAPS Act, which had not come to fruition. </w:t>
      </w:r>
    </w:p>
    <w:p w:rsidR="00AE6C95" w:rsidRPr="004607C7" w:rsidRDefault="00AE6C95" w:rsidP="004607C7">
      <w:pPr>
        <w:spacing w:line="240" w:lineRule="auto"/>
        <w:jc w:val="left"/>
        <w:rPr>
          <w:rFonts w:ascii="Arial" w:hAnsi="Arial" w:cs="Arial"/>
          <w:sz w:val="20"/>
          <w:szCs w:val="20"/>
        </w:rPr>
      </w:pPr>
    </w:p>
    <w:p w:rsidR="00AE6C95" w:rsidRPr="004607C7" w:rsidRDefault="00AE6C95" w:rsidP="004607C7">
      <w:pPr>
        <w:spacing w:line="240" w:lineRule="auto"/>
        <w:jc w:val="left"/>
        <w:rPr>
          <w:rFonts w:ascii="Arial" w:hAnsi="Arial" w:cs="Arial"/>
          <w:sz w:val="20"/>
          <w:szCs w:val="20"/>
        </w:rPr>
      </w:pPr>
      <w:r w:rsidRPr="004607C7">
        <w:rPr>
          <w:rFonts w:ascii="Arial" w:hAnsi="Arial" w:cs="Arial"/>
          <w:sz w:val="20"/>
          <w:szCs w:val="20"/>
        </w:rPr>
        <w:t xml:space="preserve">SAPU further highlighted the following concerns: </w:t>
      </w:r>
    </w:p>
    <w:p w:rsidR="00AE6C95" w:rsidRPr="004607C7" w:rsidRDefault="00AE6C95" w:rsidP="004607C7">
      <w:pPr>
        <w:pStyle w:val="ListParagraph"/>
        <w:numPr>
          <w:ilvl w:val="0"/>
          <w:numId w:val="26"/>
        </w:numPr>
        <w:spacing w:line="240" w:lineRule="auto"/>
        <w:jc w:val="left"/>
        <w:rPr>
          <w:rFonts w:ascii="Arial" w:hAnsi="Arial" w:cs="Arial"/>
          <w:sz w:val="20"/>
          <w:szCs w:val="20"/>
        </w:rPr>
      </w:pPr>
      <w:r w:rsidRPr="004607C7">
        <w:rPr>
          <w:rFonts w:ascii="Arial" w:hAnsi="Arial" w:cs="Arial"/>
          <w:sz w:val="20"/>
          <w:szCs w:val="20"/>
        </w:rPr>
        <w:t xml:space="preserve">High levels of contact crime, especially murder. </w:t>
      </w:r>
    </w:p>
    <w:p w:rsidR="00AE6C95" w:rsidRPr="004607C7" w:rsidRDefault="00AE6C95" w:rsidP="004607C7">
      <w:pPr>
        <w:pStyle w:val="ListParagraph"/>
        <w:numPr>
          <w:ilvl w:val="0"/>
          <w:numId w:val="26"/>
        </w:numPr>
        <w:spacing w:line="240" w:lineRule="auto"/>
        <w:jc w:val="left"/>
        <w:rPr>
          <w:rFonts w:ascii="Arial" w:hAnsi="Arial" w:cs="Arial"/>
          <w:sz w:val="20"/>
          <w:szCs w:val="20"/>
        </w:rPr>
      </w:pPr>
      <w:r w:rsidRPr="004607C7">
        <w:rPr>
          <w:rFonts w:ascii="Arial" w:hAnsi="Arial" w:cs="Arial"/>
          <w:sz w:val="20"/>
          <w:szCs w:val="20"/>
        </w:rPr>
        <w:t xml:space="preserve">The terminology used by the Department when referring to new enlistments as recruits should be changed, as it is misleading and legally flawed. </w:t>
      </w:r>
    </w:p>
    <w:p w:rsidR="00AE6C95" w:rsidRPr="004607C7" w:rsidRDefault="00AE6C95" w:rsidP="004607C7">
      <w:pPr>
        <w:pStyle w:val="ListParagraph"/>
        <w:numPr>
          <w:ilvl w:val="0"/>
          <w:numId w:val="26"/>
        </w:numPr>
        <w:spacing w:line="240" w:lineRule="auto"/>
        <w:jc w:val="left"/>
        <w:rPr>
          <w:rFonts w:ascii="Arial" w:hAnsi="Arial" w:cs="Arial"/>
          <w:sz w:val="20"/>
          <w:szCs w:val="20"/>
        </w:rPr>
      </w:pPr>
      <w:r w:rsidRPr="004607C7">
        <w:rPr>
          <w:rFonts w:ascii="Arial" w:hAnsi="Arial" w:cs="Arial"/>
          <w:sz w:val="20"/>
          <w:szCs w:val="20"/>
        </w:rPr>
        <w:t xml:space="preserve">The stipend/salary paid to trainees should be increased. </w:t>
      </w:r>
    </w:p>
    <w:p w:rsidR="00AE6C95" w:rsidRPr="004607C7" w:rsidRDefault="00AE6C95" w:rsidP="004607C7">
      <w:pPr>
        <w:pStyle w:val="ListParagraph"/>
        <w:numPr>
          <w:ilvl w:val="0"/>
          <w:numId w:val="26"/>
        </w:numPr>
        <w:spacing w:line="240" w:lineRule="auto"/>
        <w:jc w:val="left"/>
        <w:rPr>
          <w:rFonts w:ascii="Arial" w:hAnsi="Arial" w:cs="Arial"/>
          <w:sz w:val="20"/>
          <w:szCs w:val="20"/>
        </w:rPr>
      </w:pPr>
      <w:r w:rsidRPr="004607C7">
        <w:rPr>
          <w:rFonts w:ascii="Arial" w:hAnsi="Arial" w:cs="Arial"/>
          <w:sz w:val="20"/>
          <w:szCs w:val="20"/>
        </w:rPr>
        <w:t xml:space="preserve">Allocations for overtime is inadequate and leads to members being told to take rest days in lieu of payment for working overtime.  </w:t>
      </w:r>
    </w:p>
    <w:p w:rsidR="00AE6C95" w:rsidRPr="004607C7" w:rsidRDefault="00AE6C95" w:rsidP="004607C7">
      <w:pPr>
        <w:pStyle w:val="ListParagraph"/>
        <w:numPr>
          <w:ilvl w:val="0"/>
          <w:numId w:val="26"/>
        </w:numPr>
        <w:spacing w:line="240" w:lineRule="auto"/>
        <w:jc w:val="left"/>
        <w:rPr>
          <w:rFonts w:ascii="Arial" w:hAnsi="Arial" w:cs="Arial"/>
          <w:sz w:val="20"/>
          <w:szCs w:val="20"/>
        </w:rPr>
      </w:pPr>
      <w:r w:rsidRPr="004607C7">
        <w:rPr>
          <w:rFonts w:ascii="Arial" w:hAnsi="Arial" w:cs="Arial"/>
          <w:sz w:val="20"/>
          <w:szCs w:val="20"/>
        </w:rPr>
        <w:t xml:space="preserve">Failure by the Department to implement the SSSBC Agreement 1/2020 on the restructuring of the organisation. </w:t>
      </w:r>
    </w:p>
    <w:p w:rsidR="00AE6C95" w:rsidRPr="004607C7" w:rsidRDefault="00AE6C95" w:rsidP="004607C7">
      <w:pPr>
        <w:pStyle w:val="ListParagraph"/>
        <w:numPr>
          <w:ilvl w:val="0"/>
          <w:numId w:val="26"/>
        </w:numPr>
        <w:spacing w:line="240" w:lineRule="auto"/>
        <w:jc w:val="left"/>
        <w:rPr>
          <w:rFonts w:ascii="Arial" w:hAnsi="Arial" w:cs="Arial"/>
          <w:sz w:val="20"/>
          <w:szCs w:val="20"/>
        </w:rPr>
      </w:pPr>
      <w:r w:rsidRPr="004607C7">
        <w:rPr>
          <w:rFonts w:ascii="Arial" w:hAnsi="Arial" w:cs="Arial"/>
          <w:sz w:val="20"/>
          <w:szCs w:val="20"/>
        </w:rPr>
        <w:t xml:space="preserve">Conditions of service and remuneration of personnel appointed in the DPCI should be addressed in terms of the SAPS Act. </w:t>
      </w:r>
    </w:p>
    <w:p w:rsidR="0046243C" w:rsidRPr="004607C7" w:rsidRDefault="0046243C" w:rsidP="004607C7">
      <w:pPr>
        <w:pStyle w:val="ListParagraph"/>
        <w:numPr>
          <w:ilvl w:val="0"/>
          <w:numId w:val="26"/>
        </w:numPr>
        <w:spacing w:line="240" w:lineRule="auto"/>
        <w:jc w:val="left"/>
        <w:rPr>
          <w:rFonts w:ascii="Arial" w:hAnsi="Arial" w:cs="Arial"/>
          <w:sz w:val="20"/>
          <w:szCs w:val="20"/>
        </w:rPr>
      </w:pPr>
      <w:r w:rsidRPr="004607C7">
        <w:rPr>
          <w:rFonts w:ascii="Arial" w:hAnsi="Arial" w:cs="Arial"/>
          <w:sz w:val="20"/>
          <w:szCs w:val="20"/>
        </w:rPr>
        <w:t xml:space="preserve">The </w:t>
      </w:r>
      <w:r w:rsidR="003B62A8" w:rsidRPr="004607C7">
        <w:rPr>
          <w:rFonts w:ascii="Arial" w:hAnsi="Arial" w:cs="Arial"/>
          <w:sz w:val="20"/>
          <w:szCs w:val="20"/>
        </w:rPr>
        <w:t xml:space="preserve">bleak picture sketched by the SAPS Organisational Climate Study, especially in terms of staff morale, should be unpacked and addressed.  </w:t>
      </w:r>
    </w:p>
    <w:p w:rsidR="009815ED" w:rsidRPr="004607C7" w:rsidRDefault="009815ED" w:rsidP="004607C7">
      <w:pPr>
        <w:spacing w:line="240" w:lineRule="auto"/>
        <w:jc w:val="left"/>
        <w:rPr>
          <w:rFonts w:ascii="Arial" w:hAnsi="Arial" w:cs="Arial"/>
          <w:sz w:val="20"/>
          <w:szCs w:val="20"/>
        </w:rPr>
      </w:pPr>
    </w:p>
    <w:p w:rsidR="009815ED" w:rsidRPr="004607C7" w:rsidRDefault="009815ED" w:rsidP="004607C7">
      <w:pPr>
        <w:spacing w:line="240" w:lineRule="auto"/>
        <w:jc w:val="left"/>
        <w:rPr>
          <w:rFonts w:ascii="Arial" w:hAnsi="Arial" w:cs="Arial"/>
          <w:sz w:val="20"/>
          <w:szCs w:val="20"/>
        </w:rPr>
      </w:pPr>
      <w:r w:rsidRPr="004607C7">
        <w:rPr>
          <w:rFonts w:ascii="Arial" w:hAnsi="Arial" w:cs="Arial"/>
          <w:sz w:val="20"/>
          <w:szCs w:val="20"/>
        </w:rPr>
        <w:t>In conclusion, SAPU expressed their gratitude and appreciation towards the Committee for the invitation to address critical iss</w:t>
      </w:r>
      <w:r w:rsidR="00AE6C95" w:rsidRPr="004607C7">
        <w:rPr>
          <w:rFonts w:ascii="Arial" w:hAnsi="Arial" w:cs="Arial"/>
          <w:sz w:val="20"/>
          <w:szCs w:val="20"/>
        </w:rPr>
        <w:t xml:space="preserve">ues that affect police members, which is against the BCEA and relevant SSSBC Agreements. </w:t>
      </w:r>
    </w:p>
    <w:p w:rsidR="009815ED" w:rsidRPr="004607C7" w:rsidRDefault="009815ED" w:rsidP="004607C7">
      <w:pPr>
        <w:spacing w:line="240" w:lineRule="auto"/>
        <w:jc w:val="left"/>
        <w:rPr>
          <w:rFonts w:ascii="Arial" w:hAnsi="Arial" w:cs="Arial"/>
          <w:sz w:val="20"/>
          <w:szCs w:val="20"/>
        </w:rPr>
      </w:pPr>
    </w:p>
    <w:p w:rsidR="0052537C" w:rsidRPr="004607C7" w:rsidRDefault="0052537C" w:rsidP="004607C7">
      <w:pPr>
        <w:spacing w:line="240" w:lineRule="auto"/>
        <w:jc w:val="left"/>
        <w:rPr>
          <w:rFonts w:ascii="Arial" w:hAnsi="Arial" w:cs="Arial"/>
          <w:sz w:val="20"/>
          <w:szCs w:val="20"/>
        </w:rPr>
      </w:pPr>
    </w:p>
    <w:p w:rsidR="0052537C" w:rsidRPr="004607C7" w:rsidRDefault="0052537C" w:rsidP="004607C7">
      <w:pPr>
        <w:spacing w:line="240" w:lineRule="auto"/>
        <w:jc w:val="left"/>
        <w:rPr>
          <w:rFonts w:ascii="Arial" w:hAnsi="Arial" w:cs="Arial"/>
          <w:sz w:val="20"/>
          <w:szCs w:val="20"/>
        </w:rPr>
      </w:pPr>
    </w:p>
    <w:p w:rsidR="00D23CFF" w:rsidRPr="004607C7" w:rsidRDefault="00D23CFF" w:rsidP="004607C7">
      <w:pPr>
        <w:pStyle w:val="Heading2"/>
        <w:numPr>
          <w:ilvl w:val="1"/>
          <w:numId w:val="4"/>
        </w:numPr>
        <w:spacing w:before="0" w:line="240" w:lineRule="auto"/>
        <w:rPr>
          <w:rFonts w:ascii="Arial" w:hAnsi="Arial" w:cs="Arial"/>
          <w:sz w:val="20"/>
          <w:szCs w:val="20"/>
        </w:rPr>
      </w:pPr>
      <w:r w:rsidRPr="004607C7">
        <w:rPr>
          <w:rFonts w:ascii="Arial" w:hAnsi="Arial" w:cs="Arial"/>
          <w:sz w:val="20"/>
          <w:szCs w:val="20"/>
        </w:rPr>
        <w:t>P</w:t>
      </w:r>
      <w:r w:rsidR="00F60370" w:rsidRPr="004607C7">
        <w:rPr>
          <w:rFonts w:ascii="Arial" w:hAnsi="Arial" w:cs="Arial"/>
          <w:sz w:val="20"/>
          <w:szCs w:val="20"/>
        </w:rPr>
        <w:t>olice and Prisons Civil Rights Union (P</w:t>
      </w:r>
      <w:r w:rsidRPr="004607C7">
        <w:rPr>
          <w:rFonts w:ascii="Arial" w:hAnsi="Arial" w:cs="Arial"/>
          <w:sz w:val="20"/>
          <w:szCs w:val="20"/>
        </w:rPr>
        <w:t>OPCRU</w:t>
      </w:r>
      <w:r w:rsidR="00F60370" w:rsidRPr="004607C7">
        <w:rPr>
          <w:rFonts w:ascii="Arial" w:hAnsi="Arial" w:cs="Arial"/>
          <w:sz w:val="20"/>
          <w:szCs w:val="20"/>
        </w:rPr>
        <w:t>)</w:t>
      </w:r>
    </w:p>
    <w:p w:rsidR="00D23CFF" w:rsidRPr="004607C7" w:rsidRDefault="00D23CFF" w:rsidP="004607C7">
      <w:pPr>
        <w:spacing w:line="240" w:lineRule="auto"/>
        <w:jc w:val="left"/>
        <w:rPr>
          <w:rFonts w:ascii="Arial" w:hAnsi="Arial" w:cs="Arial"/>
          <w:sz w:val="20"/>
          <w:szCs w:val="20"/>
        </w:rPr>
      </w:pPr>
    </w:p>
    <w:p w:rsidR="00D23F7E" w:rsidRPr="004607C7" w:rsidRDefault="009815ED" w:rsidP="004607C7">
      <w:pPr>
        <w:spacing w:line="240" w:lineRule="auto"/>
        <w:jc w:val="left"/>
        <w:rPr>
          <w:rFonts w:ascii="Arial" w:hAnsi="Arial" w:cs="Arial"/>
          <w:sz w:val="20"/>
          <w:szCs w:val="20"/>
        </w:rPr>
      </w:pPr>
      <w:r w:rsidRPr="004607C7">
        <w:rPr>
          <w:rFonts w:ascii="Arial" w:hAnsi="Arial" w:cs="Arial"/>
          <w:sz w:val="20"/>
          <w:szCs w:val="20"/>
        </w:rPr>
        <w:t>The Police and Prisons Civil Rights Union (</w:t>
      </w:r>
      <w:r w:rsidR="00440974" w:rsidRPr="004607C7">
        <w:rPr>
          <w:rFonts w:ascii="Arial" w:hAnsi="Arial" w:cs="Arial"/>
          <w:sz w:val="20"/>
          <w:szCs w:val="20"/>
        </w:rPr>
        <w:t>POP</w:t>
      </w:r>
      <w:r w:rsidR="0014622A" w:rsidRPr="004607C7">
        <w:rPr>
          <w:rFonts w:ascii="Arial" w:hAnsi="Arial" w:cs="Arial"/>
          <w:sz w:val="20"/>
          <w:szCs w:val="20"/>
        </w:rPr>
        <w:t>C</w:t>
      </w:r>
      <w:r w:rsidR="00440974" w:rsidRPr="004607C7">
        <w:rPr>
          <w:rFonts w:ascii="Arial" w:hAnsi="Arial" w:cs="Arial"/>
          <w:sz w:val="20"/>
          <w:szCs w:val="20"/>
        </w:rPr>
        <w:t>RU</w:t>
      </w:r>
      <w:r w:rsidRPr="004607C7">
        <w:rPr>
          <w:rFonts w:ascii="Arial" w:hAnsi="Arial" w:cs="Arial"/>
          <w:sz w:val="20"/>
          <w:szCs w:val="20"/>
        </w:rPr>
        <w:t>)</w:t>
      </w:r>
      <w:r w:rsidR="00440974" w:rsidRPr="004607C7">
        <w:rPr>
          <w:rFonts w:ascii="Arial" w:hAnsi="Arial" w:cs="Arial"/>
          <w:sz w:val="20"/>
          <w:szCs w:val="20"/>
        </w:rPr>
        <w:t xml:space="preserve"> highlighted the top-heavy organisational structure of the SAPS and called for its </w:t>
      </w:r>
      <w:r w:rsidR="00141CF6" w:rsidRPr="004607C7">
        <w:rPr>
          <w:rFonts w:ascii="Arial" w:hAnsi="Arial" w:cs="Arial"/>
          <w:sz w:val="20"/>
          <w:szCs w:val="20"/>
        </w:rPr>
        <w:t>reconfiguration and rationalisation. The Union further noted the allocation of resources and infrastructure development as a key concern, specifically to disadvantaged communities. The decline in the vehicle fleet was specifically noted as having a negative impact on service delivery.</w:t>
      </w:r>
      <w:r w:rsidR="00913F3F" w:rsidRPr="004607C7">
        <w:rPr>
          <w:rFonts w:ascii="Arial" w:hAnsi="Arial" w:cs="Arial"/>
          <w:sz w:val="20"/>
          <w:szCs w:val="20"/>
        </w:rPr>
        <w:t xml:space="preserve"> This is </w:t>
      </w:r>
      <w:r w:rsidR="004E28AC" w:rsidRPr="004607C7">
        <w:rPr>
          <w:rFonts w:ascii="Arial" w:hAnsi="Arial" w:cs="Arial"/>
          <w:sz w:val="20"/>
          <w:szCs w:val="20"/>
        </w:rPr>
        <w:t>compounded</w:t>
      </w:r>
      <w:r w:rsidR="00913F3F" w:rsidRPr="004607C7">
        <w:rPr>
          <w:rFonts w:ascii="Arial" w:hAnsi="Arial" w:cs="Arial"/>
          <w:sz w:val="20"/>
          <w:szCs w:val="20"/>
        </w:rPr>
        <w:t xml:space="preserve"> by the </w:t>
      </w:r>
      <w:r w:rsidR="004E28AC" w:rsidRPr="004607C7">
        <w:rPr>
          <w:rFonts w:ascii="Arial" w:hAnsi="Arial" w:cs="Arial"/>
          <w:sz w:val="20"/>
          <w:szCs w:val="20"/>
        </w:rPr>
        <w:t xml:space="preserve">inadequate number and </w:t>
      </w:r>
      <w:r w:rsidR="00913F3F" w:rsidRPr="004607C7">
        <w:rPr>
          <w:rFonts w:ascii="Arial" w:hAnsi="Arial" w:cs="Arial"/>
          <w:sz w:val="20"/>
          <w:szCs w:val="20"/>
        </w:rPr>
        <w:t>poor condition of many police stations</w:t>
      </w:r>
      <w:r w:rsidR="004E28AC" w:rsidRPr="004607C7">
        <w:rPr>
          <w:rFonts w:ascii="Arial" w:hAnsi="Arial" w:cs="Arial"/>
          <w:sz w:val="20"/>
          <w:szCs w:val="20"/>
        </w:rPr>
        <w:t>,</w:t>
      </w:r>
      <w:r w:rsidR="00913F3F" w:rsidRPr="004607C7">
        <w:rPr>
          <w:rFonts w:ascii="Arial" w:hAnsi="Arial" w:cs="Arial"/>
          <w:sz w:val="20"/>
          <w:szCs w:val="20"/>
        </w:rPr>
        <w:t xml:space="preserve"> </w:t>
      </w:r>
      <w:r w:rsidR="004E28AC" w:rsidRPr="004607C7">
        <w:rPr>
          <w:rFonts w:ascii="Arial" w:hAnsi="Arial" w:cs="Arial"/>
          <w:sz w:val="20"/>
          <w:szCs w:val="20"/>
        </w:rPr>
        <w:t>which necessitate communities to travel long distances to</w:t>
      </w:r>
      <w:r w:rsidR="00D23F7E" w:rsidRPr="004607C7">
        <w:rPr>
          <w:rFonts w:ascii="Arial" w:hAnsi="Arial" w:cs="Arial"/>
          <w:sz w:val="20"/>
          <w:szCs w:val="20"/>
        </w:rPr>
        <w:t xml:space="preserve"> access basic policing services, and delay police response times to reported crime. The Union added that satellite police stations are not adding any value to crime prevention as these are often understaffed and under resourced. Further thereto, the Union stated that all police stations should have cells and GBV Desks and that the Department should reintroduce barracks to ensure the safety of members, mainly young constables. </w:t>
      </w:r>
    </w:p>
    <w:p w:rsidR="00D23F7E" w:rsidRPr="004607C7" w:rsidRDefault="00D23F7E" w:rsidP="004607C7">
      <w:pPr>
        <w:spacing w:line="240" w:lineRule="auto"/>
        <w:jc w:val="left"/>
        <w:rPr>
          <w:rFonts w:ascii="Arial" w:hAnsi="Arial" w:cs="Arial"/>
          <w:sz w:val="20"/>
          <w:szCs w:val="20"/>
        </w:rPr>
      </w:pPr>
    </w:p>
    <w:p w:rsidR="004B6EF8" w:rsidRPr="004607C7" w:rsidRDefault="004B6EF8" w:rsidP="004607C7">
      <w:pPr>
        <w:spacing w:line="240" w:lineRule="auto"/>
        <w:jc w:val="left"/>
        <w:rPr>
          <w:rFonts w:ascii="Arial" w:hAnsi="Arial" w:cs="Arial"/>
          <w:sz w:val="20"/>
          <w:szCs w:val="20"/>
        </w:rPr>
      </w:pPr>
      <w:r w:rsidRPr="004607C7">
        <w:rPr>
          <w:rFonts w:ascii="Arial" w:hAnsi="Arial" w:cs="Arial"/>
          <w:sz w:val="20"/>
          <w:szCs w:val="20"/>
        </w:rPr>
        <w:t xml:space="preserve">POPCRU further highlighted the following concerns:  </w:t>
      </w:r>
    </w:p>
    <w:p w:rsidR="00D23F7E" w:rsidRPr="004607C7" w:rsidRDefault="008E36BA" w:rsidP="004607C7">
      <w:pPr>
        <w:pStyle w:val="ListParagraph"/>
        <w:numPr>
          <w:ilvl w:val="0"/>
          <w:numId w:val="25"/>
        </w:numPr>
        <w:spacing w:line="240" w:lineRule="auto"/>
        <w:jc w:val="left"/>
        <w:rPr>
          <w:rFonts w:ascii="Arial" w:hAnsi="Arial" w:cs="Arial"/>
          <w:sz w:val="20"/>
          <w:szCs w:val="20"/>
        </w:rPr>
      </w:pPr>
      <w:r w:rsidRPr="004607C7">
        <w:rPr>
          <w:rFonts w:ascii="Arial" w:hAnsi="Arial" w:cs="Arial"/>
          <w:sz w:val="20"/>
          <w:szCs w:val="20"/>
        </w:rPr>
        <w:t>The p</w:t>
      </w:r>
      <w:r w:rsidR="00D23F7E" w:rsidRPr="004607C7">
        <w:rPr>
          <w:rFonts w:ascii="Arial" w:hAnsi="Arial" w:cs="Arial"/>
          <w:sz w:val="20"/>
          <w:szCs w:val="20"/>
        </w:rPr>
        <w:t xml:space="preserve">oor state and lack of adequate resourcing at training academies. </w:t>
      </w:r>
    </w:p>
    <w:p w:rsidR="00D23F7E" w:rsidRPr="004607C7" w:rsidRDefault="00D23F7E" w:rsidP="004607C7">
      <w:pPr>
        <w:pStyle w:val="ListParagraph"/>
        <w:numPr>
          <w:ilvl w:val="0"/>
          <w:numId w:val="25"/>
        </w:numPr>
        <w:spacing w:line="240" w:lineRule="auto"/>
        <w:jc w:val="left"/>
        <w:rPr>
          <w:rFonts w:ascii="Arial" w:hAnsi="Arial" w:cs="Arial"/>
          <w:sz w:val="20"/>
          <w:szCs w:val="20"/>
        </w:rPr>
      </w:pPr>
      <w:r w:rsidRPr="004607C7">
        <w:rPr>
          <w:rFonts w:ascii="Arial" w:hAnsi="Arial" w:cs="Arial"/>
          <w:sz w:val="20"/>
          <w:szCs w:val="20"/>
        </w:rPr>
        <w:t xml:space="preserve">Technological advancements have proven the largest obstacle towards improved policing. </w:t>
      </w:r>
    </w:p>
    <w:p w:rsidR="00D23F7E" w:rsidRPr="004607C7" w:rsidRDefault="00D23F7E" w:rsidP="004607C7">
      <w:pPr>
        <w:pStyle w:val="ListParagraph"/>
        <w:numPr>
          <w:ilvl w:val="0"/>
          <w:numId w:val="25"/>
        </w:numPr>
        <w:spacing w:line="240" w:lineRule="auto"/>
        <w:jc w:val="left"/>
        <w:rPr>
          <w:rFonts w:ascii="Arial" w:hAnsi="Arial" w:cs="Arial"/>
          <w:sz w:val="20"/>
          <w:szCs w:val="20"/>
        </w:rPr>
      </w:pPr>
      <w:r w:rsidRPr="004607C7">
        <w:rPr>
          <w:rFonts w:ascii="Arial" w:hAnsi="Arial" w:cs="Arial"/>
          <w:sz w:val="20"/>
          <w:szCs w:val="20"/>
        </w:rPr>
        <w:t>Lack of establishment of the CFR.</w:t>
      </w:r>
    </w:p>
    <w:p w:rsidR="00D23F7E" w:rsidRPr="004607C7" w:rsidRDefault="00D23F7E" w:rsidP="004607C7">
      <w:pPr>
        <w:pStyle w:val="ListParagraph"/>
        <w:numPr>
          <w:ilvl w:val="0"/>
          <w:numId w:val="25"/>
        </w:numPr>
        <w:spacing w:line="240" w:lineRule="auto"/>
        <w:jc w:val="left"/>
        <w:rPr>
          <w:rFonts w:ascii="Arial" w:hAnsi="Arial" w:cs="Arial"/>
          <w:sz w:val="20"/>
          <w:szCs w:val="20"/>
        </w:rPr>
      </w:pPr>
      <w:r w:rsidRPr="004607C7">
        <w:rPr>
          <w:rFonts w:ascii="Arial" w:hAnsi="Arial" w:cs="Arial"/>
          <w:sz w:val="20"/>
          <w:szCs w:val="20"/>
        </w:rPr>
        <w:t xml:space="preserve">Impact of load shedding has become a major impediment for effective policing with serious consequences on public safety and increase levels of crime. </w:t>
      </w:r>
    </w:p>
    <w:p w:rsidR="00440974" w:rsidRPr="004607C7" w:rsidRDefault="00D23F7E" w:rsidP="004607C7">
      <w:pPr>
        <w:pStyle w:val="ListParagraph"/>
        <w:numPr>
          <w:ilvl w:val="0"/>
          <w:numId w:val="25"/>
        </w:numPr>
        <w:spacing w:line="240" w:lineRule="auto"/>
        <w:jc w:val="left"/>
        <w:rPr>
          <w:rFonts w:ascii="Arial" w:hAnsi="Arial" w:cs="Arial"/>
          <w:sz w:val="20"/>
          <w:szCs w:val="20"/>
        </w:rPr>
      </w:pPr>
      <w:r w:rsidRPr="004607C7">
        <w:rPr>
          <w:rFonts w:ascii="Arial" w:hAnsi="Arial" w:cs="Arial"/>
          <w:sz w:val="20"/>
          <w:szCs w:val="20"/>
        </w:rPr>
        <w:t xml:space="preserve">The Union welcomed the recruitment of new police officers. </w:t>
      </w:r>
      <w:r w:rsidR="004E28AC" w:rsidRPr="004607C7">
        <w:rPr>
          <w:rFonts w:ascii="Arial" w:hAnsi="Arial" w:cs="Arial"/>
          <w:sz w:val="20"/>
          <w:szCs w:val="20"/>
        </w:rPr>
        <w:t xml:space="preserve"> </w:t>
      </w:r>
      <w:r w:rsidR="00913F3F" w:rsidRPr="004607C7">
        <w:rPr>
          <w:rFonts w:ascii="Arial" w:hAnsi="Arial" w:cs="Arial"/>
          <w:sz w:val="20"/>
          <w:szCs w:val="20"/>
        </w:rPr>
        <w:t xml:space="preserve"> </w:t>
      </w:r>
      <w:r w:rsidR="00141CF6" w:rsidRPr="004607C7">
        <w:rPr>
          <w:rFonts w:ascii="Arial" w:hAnsi="Arial" w:cs="Arial"/>
          <w:sz w:val="20"/>
          <w:szCs w:val="20"/>
        </w:rPr>
        <w:t xml:space="preserve"> </w:t>
      </w:r>
    </w:p>
    <w:p w:rsidR="00D23F7E" w:rsidRPr="004607C7" w:rsidRDefault="00D23F7E" w:rsidP="004607C7">
      <w:pPr>
        <w:pStyle w:val="ListParagraph"/>
        <w:numPr>
          <w:ilvl w:val="0"/>
          <w:numId w:val="25"/>
        </w:numPr>
        <w:spacing w:line="240" w:lineRule="auto"/>
        <w:jc w:val="left"/>
        <w:rPr>
          <w:rFonts w:ascii="Arial" w:hAnsi="Arial" w:cs="Arial"/>
          <w:sz w:val="20"/>
          <w:szCs w:val="20"/>
        </w:rPr>
      </w:pPr>
      <w:r w:rsidRPr="004607C7">
        <w:rPr>
          <w:rFonts w:ascii="Arial" w:hAnsi="Arial" w:cs="Arial"/>
          <w:sz w:val="20"/>
          <w:szCs w:val="20"/>
        </w:rPr>
        <w:lastRenderedPageBreak/>
        <w:t xml:space="preserve">Police killings and attacks on police stations </w:t>
      </w:r>
      <w:r w:rsidR="00E65820" w:rsidRPr="004607C7">
        <w:rPr>
          <w:rFonts w:ascii="Arial" w:hAnsi="Arial" w:cs="Arial"/>
          <w:sz w:val="20"/>
          <w:szCs w:val="20"/>
        </w:rPr>
        <w:t>should be addressed in the SAPS Amendment Bill</w:t>
      </w:r>
      <w:r w:rsidR="004B6EF8" w:rsidRPr="004607C7">
        <w:rPr>
          <w:rFonts w:ascii="Arial" w:hAnsi="Arial" w:cs="Arial"/>
          <w:sz w:val="20"/>
          <w:szCs w:val="20"/>
        </w:rPr>
        <w:t xml:space="preserve"> and amendments to the Criminal Procedures Act, through harsher sentencing. </w:t>
      </w:r>
    </w:p>
    <w:p w:rsidR="004B6EF8" w:rsidRPr="004607C7" w:rsidRDefault="004B6EF8" w:rsidP="004607C7">
      <w:pPr>
        <w:pStyle w:val="ListParagraph"/>
        <w:numPr>
          <w:ilvl w:val="0"/>
          <w:numId w:val="25"/>
        </w:numPr>
        <w:spacing w:line="240" w:lineRule="auto"/>
        <w:jc w:val="left"/>
        <w:rPr>
          <w:rFonts w:ascii="Arial" w:hAnsi="Arial" w:cs="Arial"/>
          <w:sz w:val="20"/>
          <w:szCs w:val="20"/>
        </w:rPr>
      </w:pPr>
      <w:r w:rsidRPr="004607C7">
        <w:rPr>
          <w:rFonts w:ascii="Arial" w:hAnsi="Arial" w:cs="Arial"/>
          <w:sz w:val="20"/>
          <w:szCs w:val="20"/>
        </w:rPr>
        <w:t>Pay-outs for police members killed are too little and the amount (R250 000) should be increased to honour those who perished in the line of duty.</w:t>
      </w:r>
    </w:p>
    <w:p w:rsidR="004B6EF8" w:rsidRPr="004607C7" w:rsidRDefault="004B6EF8" w:rsidP="004607C7">
      <w:pPr>
        <w:pStyle w:val="ListParagraph"/>
        <w:numPr>
          <w:ilvl w:val="0"/>
          <w:numId w:val="25"/>
        </w:numPr>
        <w:spacing w:line="240" w:lineRule="auto"/>
        <w:jc w:val="left"/>
        <w:rPr>
          <w:rFonts w:ascii="Arial" w:hAnsi="Arial" w:cs="Arial"/>
          <w:sz w:val="20"/>
          <w:szCs w:val="20"/>
        </w:rPr>
      </w:pPr>
      <w:r w:rsidRPr="004607C7">
        <w:rPr>
          <w:rFonts w:ascii="Arial" w:hAnsi="Arial" w:cs="Arial"/>
          <w:sz w:val="20"/>
          <w:szCs w:val="20"/>
        </w:rPr>
        <w:t xml:space="preserve">The danger allowance paid to police officers should be increased to R1 500.00 </w:t>
      </w:r>
    </w:p>
    <w:p w:rsidR="004B6EF8" w:rsidRPr="004607C7" w:rsidRDefault="004B6EF8" w:rsidP="004607C7">
      <w:pPr>
        <w:pStyle w:val="ListParagraph"/>
        <w:numPr>
          <w:ilvl w:val="0"/>
          <w:numId w:val="25"/>
        </w:numPr>
        <w:spacing w:line="240" w:lineRule="auto"/>
        <w:jc w:val="left"/>
        <w:rPr>
          <w:rFonts w:ascii="Arial" w:hAnsi="Arial" w:cs="Arial"/>
          <w:sz w:val="20"/>
          <w:szCs w:val="20"/>
        </w:rPr>
      </w:pPr>
      <w:r w:rsidRPr="004607C7">
        <w:rPr>
          <w:rFonts w:ascii="Arial" w:hAnsi="Arial" w:cs="Arial"/>
          <w:sz w:val="20"/>
          <w:szCs w:val="20"/>
        </w:rPr>
        <w:t xml:space="preserve">Resourcing of </w:t>
      </w:r>
      <w:r w:rsidR="008E36BA" w:rsidRPr="004607C7">
        <w:rPr>
          <w:rFonts w:ascii="Arial" w:hAnsi="Arial" w:cs="Arial"/>
          <w:sz w:val="20"/>
          <w:szCs w:val="20"/>
        </w:rPr>
        <w:t>t</w:t>
      </w:r>
      <w:r w:rsidRPr="004607C7">
        <w:rPr>
          <w:rFonts w:ascii="Arial" w:hAnsi="Arial" w:cs="Arial"/>
          <w:sz w:val="20"/>
          <w:szCs w:val="20"/>
        </w:rPr>
        <w:t xml:space="preserve">op 30 High Crime Stations should be increased. </w:t>
      </w:r>
    </w:p>
    <w:p w:rsidR="004B6EF8" w:rsidRPr="004607C7" w:rsidRDefault="004B6EF8" w:rsidP="004607C7">
      <w:pPr>
        <w:pStyle w:val="ListParagraph"/>
        <w:numPr>
          <w:ilvl w:val="0"/>
          <w:numId w:val="25"/>
        </w:numPr>
        <w:spacing w:line="240" w:lineRule="auto"/>
        <w:jc w:val="left"/>
        <w:rPr>
          <w:rFonts w:ascii="Arial" w:hAnsi="Arial" w:cs="Arial"/>
          <w:sz w:val="20"/>
          <w:szCs w:val="20"/>
        </w:rPr>
      </w:pPr>
      <w:r w:rsidRPr="004607C7">
        <w:rPr>
          <w:rFonts w:ascii="Arial" w:hAnsi="Arial" w:cs="Arial"/>
          <w:sz w:val="20"/>
          <w:szCs w:val="20"/>
        </w:rPr>
        <w:t xml:space="preserve">Communities should be involved in crime prevention through the resourcing of CPFs and Provincial Departments of Safety and Liaison should become more involved in this aspect. </w:t>
      </w:r>
    </w:p>
    <w:p w:rsidR="004B6EF8" w:rsidRPr="004607C7" w:rsidRDefault="004B6EF8" w:rsidP="004607C7">
      <w:pPr>
        <w:pStyle w:val="ListParagraph"/>
        <w:numPr>
          <w:ilvl w:val="0"/>
          <w:numId w:val="25"/>
        </w:numPr>
        <w:spacing w:line="240" w:lineRule="auto"/>
        <w:jc w:val="left"/>
        <w:rPr>
          <w:rFonts w:ascii="Arial" w:hAnsi="Arial" w:cs="Arial"/>
          <w:sz w:val="20"/>
          <w:szCs w:val="20"/>
        </w:rPr>
      </w:pPr>
      <w:r w:rsidRPr="004607C7">
        <w:rPr>
          <w:rFonts w:ascii="Arial" w:hAnsi="Arial" w:cs="Arial"/>
          <w:sz w:val="20"/>
          <w:szCs w:val="20"/>
        </w:rPr>
        <w:t xml:space="preserve">Police stations must be equipped with rape testing kits and trained on the use thereof. </w:t>
      </w:r>
    </w:p>
    <w:p w:rsidR="004B6EF8" w:rsidRPr="004607C7" w:rsidRDefault="004B6EF8" w:rsidP="004607C7">
      <w:pPr>
        <w:pStyle w:val="ListParagraph"/>
        <w:numPr>
          <w:ilvl w:val="0"/>
          <w:numId w:val="25"/>
        </w:numPr>
        <w:spacing w:line="240" w:lineRule="auto"/>
        <w:jc w:val="left"/>
        <w:rPr>
          <w:rFonts w:ascii="Arial" w:hAnsi="Arial" w:cs="Arial"/>
          <w:sz w:val="20"/>
          <w:szCs w:val="20"/>
        </w:rPr>
      </w:pPr>
      <w:r w:rsidRPr="004607C7">
        <w:rPr>
          <w:rFonts w:ascii="Arial" w:hAnsi="Arial" w:cs="Arial"/>
          <w:sz w:val="20"/>
          <w:szCs w:val="20"/>
        </w:rPr>
        <w:t xml:space="preserve">GBV Desks and Victim-Friendly Rooms must be established at all police stations.     </w:t>
      </w:r>
    </w:p>
    <w:p w:rsidR="004B6EF8" w:rsidRPr="004607C7" w:rsidRDefault="004B6EF8" w:rsidP="004607C7">
      <w:pPr>
        <w:spacing w:line="240" w:lineRule="auto"/>
        <w:jc w:val="left"/>
        <w:rPr>
          <w:rFonts w:ascii="Arial" w:hAnsi="Arial" w:cs="Arial"/>
          <w:sz w:val="20"/>
          <w:szCs w:val="20"/>
        </w:rPr>
      </w:pPr>
    </w:p>
    <w:p w:rsidR="00CE6F5E" w:rsidRPr="004607C7" w:rsidRDefault="00CE6F5E" w:rsidP="004607C7">
      <w:pPr>
        <w:spacing w:line="240" w:lineRule="auto"/>
        <w:jc w:val="left"/>
        <w:rPr>
          <w:rFonts w:ascii="Arial" w:hAnsi="Arial" w:cs="Arial"/>
          <w:sz w:val="20"/>
          <w:szCs w:val="20"/>
        </w:rPr>
      </w:pPr>
      <w:r w:rsidRPr="004607C7">
        <w:rPr>
          <w:rFonts w:ascii="Arial" w:hAnsi="Arial" w:cs="Arial"/>
          <w:sz w:val="20"/>
          <w:szCs w:val="20"/>
        </w:rPr>
        <w:t>In conclusion, POPCRU submitted that the continued reduction in the police budget will counter any efforts to fight crime in South Africa. Additionally, there must be greater synergy between all the components of the Criminal Justice Cluster. The Union expressed its appreciation to the police members countrywide and the opportunity afforded by the Committee to address Parliament on policing concerns.</w:t>
      </w:r>
    </w:p>
    <w:p w:rsidR="00440974" w:rsidRPr="004607C7" w:rsidRDefault="00440974" w:rsidP="004607C7">
      <w:pPr>
        <w:spacing w:line="240" w:lineRule="auto"/>
        <w:jc w:val="left"/>
        <w:rPr>
          <w:rFonts w:ascii="Arial" w:hAnsi="Arial" w:cs="Arial"/>
          <w:sz w:val="20"/>
          <w:szCs w:val="20"/>
        </w:rPr>
      </w:pPr>
    </w:p>
    <w:p w:rsidR="00D23CFF" w:rsidRPr="004607C7" w:rsidRDefault="00D23CFF" w:rsidP="004607C7">
      <w:pPr>
        <w:pStyle w:val="Heading2"/>
        <w:numPr>
          <w:ilvl w:val="1"/>
          <w:numId w:val="4"/>
        </w:numPr>
        <w:spacing w:before="0" w:line="240" w:lineRule="auto"/>
        <w:rPr>
          <w:rFonts w:ascii="Arial" w:hAnsi="Arial" w:cs="Arial"/>
          <w:sz w:val="20"/>
          <w:szCs w:val="20"/>
        </w:rPr>
      </w:pPr>
      <w:r w:rsidRPr="004607C7">
        <w:rPr>
          <w:rFonts w:ascii="Arial" w:hAnsi="Arial" w:cs="Arial"/>
          <w:sz w:val="20"/>
          <w:szCs w:val="20"/>
        </w:rPr>
        <w:t>I</w:t>
      </w:r>
      <w:r w:rsidR="00A42F97" w:rsidRPr="004607C7">
        <w:rPr>
          <w:rFonts w:ascii="Arial" w:hAnsi="Arial" w:cs="Arial"/>
          <w:sz w:val="20"/>
          <w:szCs w:val="20"/>
        </w:rPr>
        <w:t>ndependent Policing Union of South Africa (I</w:t>
      </w:r>
      <w:r w:rsidRPr="004607C7">
        <w:rPr>
          <w:rFonts w:ascii="Arial" w:hAnsi="Arial" w:cs="Arial"/>
          <w:sz w:val="20"/>
          <w:szCs w:val="20"/>
        </w:rPr>
        <w:t>PUSA</w:t>
      </w:r>
      <w:r w:rsidR="00A42F97" w:rsidRPr="004607C7">
        <w:rPr>
          <w:rFonts w:ascii="Arial" w:hAnsi="Arial" w:cs="Arial"/>
          <w:sz w:val="20"/>
          <w:szCs w:val="20"/>
        </w:rPr>
        <w:t>)</w:t>
      </w:r>
    </w:p>
    <w:p w:rsidR="00D23CFF" w:rsidRPr="004607C7" w:rsidRDefault="00D23CFF" w:rsidP="004607C7">
      <w:pPr>
        <w:spacing w:line="240" w:lineRule="auto"/>
        <w:jc w:val="left"/>
        <w:rPr>
          <w:rFonts w:ascii="Arial" w:hAnsi="Arial" w:cs="Arial"/>
          <w:sz w:val="20"/>
          <w:szCs w:val="20"/>
        </w:rPr>
      </w:pPr>
    </w:p>
    <w:p w:rsidR="00F92E31" w:rsidRPr="004607C7" w:rsidRDefault="00F92E31" w:rsidP="004607C7">
      <w:pPr>
        <w:spacing w:line="240" w:lineRule="auto"/>
        <w:jc w:val="left"/>
        <w:rPr>
          <w:rFonts w:ascii="Arial" w:hAnsi="Arial" w:cs="Arial"/>
          <w:sz w:val="20"/>
          <w:szCs w:val="20"/>
        </w:rPr>
      </w:pPr>
      <w:r w:rsidRPr="004607C7">
        <w:rPr>
          <w:rFonts w:ascii="Arial" w:hAnsi="Arial" w:cs="Arial"/>
          <w:sz w:val="20"/>
          <w:szCs w:val="20"/>
        </w:rPr>
        <w:t>The Independent Policing Union stated that SAPS used to have a slogan “Crime does not pay”, but questioned whether this still rings true, as crime seems to pay, especially in terms of corruption and low detection/conviction rates. IPUSA questioned whether the Economic Reconstruction and Recovery Plan is adequately incorporated in the key performance indicators of the SAPS. IPUSA stated that they endorse the SAPS 2023/24 APP, but highlighted that some challenges persist.</w:t>
      </w:r>
    </w:p>
    <w:p w:rsidR="00F92E31" w:rsidRPr="004607C7" w:rsidRDefault="00F92E31" w:rsidP="004607C7">
      <w:pPr>
        <w:spacing w:line="240" w:lineRule="auto"/>
        <w:jc w:val="left"/>
        <w:rPr>
          <w:rFonts w:ascii="Arial" w:hAnsi="Arial" w:cs="Arial"/>
          <w:sz w:val="20"/>
          <w:szCs w:val="20"/>
        </w:rPr>
      </w:pPr>
    </w:p>
    <w:p w:rsidR="00F92E31" w:rsidRPr="004607C7" w:rsidRDefault="00F92E31" w:rsidP="004607C7">
      <w:pPr>
        <w:spacing w:line="240" w:lineRule="auto"/>
        <w:jc w:val="left"/>
        <w:rPr>
          <w:rFonts w:ascii="Arial" w:hAnsi="Arial" w:cs="Arial"/>
          <w:sz w:val="20"/>
          <w:szCs w:val="20"/>
        </w:rPr>
      </w:pPr>
      <w:r w:rsidRPr="004607C7">
        <w:rPr>
          <w:rFonts w:ascii="Arial" w:hAnsi="Arial" w:cs="Arial"/>
          <w:sz w:val="20"/>
          <w:szCs w:val="20"/>
        </w:rPr>
        <w:t xml:space="preserve">IPUSA highlighted the following concerns:  </w:t>
      </w:r>
    </w:p>
    <w:p w:rsidR="00F92E31" w:rsidRPr="004607C7" w:rsidRDefault="00C13472" w:rsidP="004607C7">
      <w:pPr>
        <w:pStyle w:val="ListParagraph"/>
        <w:numPr>
          <w:ilvl w:val="0"/>
          <w:numId w:val="27"/>
        </w:numPr>
        <w:spacing w:line="240" w:lineRule="auto"/>
        <w:jc w:val="left"/>
        <w:rPr>
          <w:rFonts w:ascii="Arial" w:hAnsi="Arial" w:cs="Arial"/>
          <w:sz w:val="20"/>
          <w:szCs w:val="20"/>
        </w:rPr>
      </w:pPr>
      <w:r w:rsidRPr="004607C7">
        <w:rPr>
          <w:rFonts w:ascii="Arial" w:hAnsi="Arial" w:cs="Arial"/>
          <w:sz w:val="20"/>
          <w:szCs w:val="20"/>
        </w:rPr>
        <w:t xml:space="preserve">The challenges with the CFR are as old as South Africa’s democracy and that the entire system needs to be re-engineered. </w:t>
      </w:r>
    </w:p>
    <w:p w:rsidR="00B249F3" w:rsidRPr="004607C7" w:rsidRDefault="00B249F3" w:rsidP="004607C7">
      <w:pPr>
        <w:pStyle w:val="ListParagraph"/>
        <w:numPr>
          <w:ilvl w:val="0"/>
          <w:numId w:val="27"/>
        </w:numPr>
        <w:spacing w:line="240" w:lineRule="auto"/>
        <w:jc w:val="left"/>
        <w:rPr>
          <w:rFonts w:ascii="Arial" w:hAnsi="Arial" w:cs="Arial"/>
          <w:sz w:val="20"/>
          <w:szCs w:val="20"/>
        </w:rPr>
      </w:pPr>
      <w:r w:rsidRPr="004607C7">
        <w:rPr>
          <w:rFonts w:ascii="Arial" w:hAnsi="Arial" w:cs="Arial"/>
          <w:sz w:val="20"/>
          <w:szCs w:val="20"/>
        </w:rPr>
        <w:t xml:space="preserve">Performance challenges posed by SITA to the SAPS Technology Management Services and Supply Chain Management must be addressed to ensure effective service delivery. </w:t>
      </w:r>
    </w:p>
    <w:p w:rsidR="007104BA" w:rsidRPr="004607C7" w:rsidRDefault="00B249F3" w:rsidP="004607C7">
      <w:pPr>
        <w:pStyle w:val="ListParagraph"/>
        <w:numPr>
          <w:ilvl w:val="0"/>
          <w:numId w:val="27"/>
        </w:numPr>
        <w:spacing w:line="240" w:lineRule="auto"/>
        <w:jc w:val="left"/>
        <w:rPr>
          <w:rFonts w:ascii="Arial" w:hAnsi="Arial" w:cs="Arial"/>
          <w:sz w:val="20"/>
          <w:szCs w:val="20"/>
        </w:rPr>
      </w:pPr>
      <w:r w:rsidRPr="004607C7">
        <w:rPr>
          <w:rFonts w:ascii="Arial" w:hAnsi="Arial" w:cs="Arial"/>
          <w:sz w:val="20"/>
          <w:szCs w:val="20"/>
        </w:rPr>
        <w:t>The target for lost/stolen SAPS firearms should be drastically increased. There should be no lost/stolen SAPS firearms, and if this happens, all must be recovered. The target is seen as self-defeating.</w:t>
      </w:r>
    </w:p>
    <w:p w:rsidR="007104BA" w:rsidRPr="004607C7" w:rsidRDefault="007104BA" w:rsidP="004607C7">
      <w:pPr>
        <w:pStyle w:val="ListParagraph"/>
        <w:numPr>
          <w:ilvl w:val="0"/>
          <w:numId w:val="27"/>
        </w:numPr>
        <w:spacing w:line="240" w:lineRule="auto"/>
        <w:jc w:val="left"/>
        <w:rPr>
          <w:rFonts w:ascii="Arial" w:hAnsi="Arial" w:cs="Arial"/>
          <w:sz w:val="20"/>
          <w:szCs w:val="20"/>
        </w:rPr>
      </w:pPr>
      <w:r w:rsidRPr="004607C7">
        <w:rPr>
          <w:rFonts w:ascii="Arial" w:hAnsi="Arial" w:cs="Arial"/>
          <w:sz w:val="20"/>
          <w:szCs w:val="20"/>
        </w:rPr>
        <w:t xml:space="preserve">Slow pace of building new police stations. </w:t>
      </w:r>
    </w:p>
    <w:p w:rsidR="007104BA" w:rsidRPr="004607C7" w:rsidRDefault="007104BA" w:rsidP="004607C7">
      <w:pPr>
        <w:pStyle w:val="ListParagraph"/>
        <w:numPr>
          <w:ilvl w:val="0"/>
          <w:numId w:val="27"/>
        </w:numPr>
        <w:spacing w:line="240" w:lineRule="auto"/>
        <w:jc w:val="left"/>
        <w:rPr>
          <w:rFonts w:ascii="Arial" w:hAnsi="Arial" w:cs="Arial"/>
          <w:sz w:val="20"/>
          <w:szCs w:val="20"/>
        </w:rPr>
      </w:pPr>
      <w:r w:rsidRPr="004607C7">
        <w:rPr>
          <w:rFonts w:ascii="Arial" w:hAnsi="Arial" w:cs="Arial"/>
          <w:sz w:val="20"/>
          <w:szCs w:val="20"/>
        </w:rPr>
        <w:t xml:space="preserve">Impact of foreign national on crime and effectiveness of border security. </w:t>
      </w:r>
    </w:p>
    <w:p w:rsidR="00B249F3" w:rsidRPr="004607C7" w:rsidRDefault="007104BA" w:rsidP="004607C7">
      <w:pPr>
        <w:pStyle w:val="ListParagraph"/>
        <w:numPr>
          <w:ilvl w:val="0"/>
          <w:numId w:val="27"/>
        </w:numPr>
        <w:spacing w:line="240" w:lineRule="auto"/>
        <w:jc w:val="left"/>
        <w:rPr>
          <w:rFonts w:ascii="Arial" w:hAnsi="Arial" w:cs="Arial"/>
          <w:sz w:val="20"/>
          <w:szCs w:val="20"/>
        </w:rPr>
      </w:pPr>
      <w:r w:rsidRPr="004607C7">
        <w:rPr>
          <w:rFonts w:ascii="Arial" w:hAnsi="Arial" w:cs="Arial"/>
          <w:sz w:val="20"/>
          <w:szCs w:val="20"/>
        </w:rPr>
        <w:t xml:space="preserve">Vehicles with foreign number plates are not reconcilable with Natis of local vehicle identification systems. </w:t>
      </w:r>
      <w:r w:rsidR="00B249F3" w:rsidRPr="004607C7">
        <w:rPr>
          <w:rFonts w:ascii="Arial" w:hAnsi="Arial" w:cs="Arial"/>
          <w:sz w:val="20"/>
          <w:szCs w:val="20"/>
        </w:rPr>
        <w:t xml:space="preserve">  </w:t>
      </w:r>
    </w:p>
    <w:p w:rsidR="007104BA" w:rsidRPr="004607C7" w:rsidRDefault="007104BA" w:rsidP="004607C7">
      <w:pPr>
        <w:pStyle w:val="ListParagraph"/>
        <w:numPr>
          <w:ilvl w:val="0"/>
          <w:numId w:val="27"/>
        </w:numPr>
        <w:spacing w:line="240" w:lineRule="auto"/>
        <w:jc w:val="left"/>
        <w:rPr>
          <w:rFonts w:ascii="Arial" w:hAnsi="Arial" w:cs="Arial"/>
          <w:sz w:val="20"/>
          <w:szCs w:val="20"/>
        </w:rPr>
      </w:pPr>
      <w:r w:rsidRPr="004607C7">
        <w:rPr>
          <w:rFonts w:ascii="Arial" w:hAnsi="Arial" w:cs="Arial"/>
          <w:sz w:val="20"/>
          <w:szCs w:val="20"/>
        </w:rPr>
        <w:t>Forensic Science Laboratories must be decentralised and form part of the SAPS 4IR and Infrastructure Development Plan.</w:t>
      </w:r>
    </w:p>
    <w:p w:rsidR="00B62CA7" w:rsidRPr="004607C7" w:rsidRDefault="00B62CA7" w:rsidP="004607C7">
      <w:pPr>
        <w:pStyle w:val="ListParagraph"/>
        <w:numPr>
          <w:ilvl w:val="0"/>
          <w:numId w:val="27"/>
        </w:numPr>
        <w:spacing w:line="240" w:lineRule="auto"/>
        <w:jc w:val="left"/>
        <w:rPr>
          <w:rFonts w:ascii="Arial" w:hAnsi="Arial" w:cs="Arial"/>
          <w:sz w:val="20"/>
          <w:szCs w:val="20"/>
        </w:rPr>
      </w:pPr>
      <w:r w:rsidRPr="004607C7">
        <w:rPr>
          <w:rFonts w:ascii="Arial" w:hAnsi="Arial" w:cs="Arial"/>
          <w:sz w:val="20"/>
          <w:szCs w:val="20"/>
        </w:rPr>
        <w:t xml:space="preserve">Performance indicators in Crime Intelligence do not measure the Division’s effectiveness. </w:t>
      </w:r>
    </w:p>
    <w:p w:rsidR="00F92E31" w:rsidRPr="004607C7" w:rsidRDefault="00F92E31" w:rsidP="004607C7">
      <w:pPr>
        <w:spacing w:line="240" w:lineRule="auto"/>
        <w:jc w:val="left"/>
        <w:rPr>
          <w:rFonts w:ascii="Arial" w:hAnsi="Arial" w:cs="Arial"/>
          <w:sz w:val="20"/>
          <w:szCs w:val="20"/>
        </w:rPr>
      </w:pPr>
    </w:p>
    <w:p w:rsidR="003A45DA" w:rsidRPr="004607C7" w:rsidRDefault="00F92E31" w:rsidP="004607C7">
      <w:pPr>
        <w:spacing w:line="240" w:lineRule="auto"/>
        <w:jc w:val="left"/>
        <w:rPr>
          <w:rFonts w:ascii="Arial" w:hAnsi="Arial" w:cs="Arial"/>
          <w:sz w:val="20"/>
          <w:szCs w:val="20"/>
        </w:rPr>
      </w:pPr>
      <w:r w:rsidRPr="004607C7">
        <w:rPr>
          <w:rFonts w:ascii="Arial" w:hAnsi="Arial" w:cs="Arial"/>
          <w:sz w:val="20"/>
          <w:szCs w:val="20"/>
        </w:rPr>
        <w:t>In conclusion, IPUSA</w:t>
      </w:r>
      <w:r w:rsidR="00850D09" w:rsidRPr="004607C7">
        <w:rPr>
          <w:rFonts w:ascii="Arial" w:hAnsi="Arial" w:cs="Arial"/>
          <w:sz w:val="20"/>
          <w:szCs w:val="20"/>
        </w:rPr>
        <w:t xml:space="preserve"> indicated that junior police officers are used as scapegoats where senior officers are involved in misconduct, and that the treatment of junior and senior officers in disciplinary proceedings is unequal.</w:t>
      </w:r>
      <w:r w:rsidRPr="004607C7">
        <w:rPr>
          <w:rFonts w:ascii="Arial" w:hAnsi="Arial" w:cs="Arial"/>
          <w:sz w:val="20"/>
          <w:szCs w:val="20"/>
        </w:rPr>
        <w:t xml:space="preserve"> </w:t>
      </w:r>
      <w:r w:rsidR="006F5E2A" w:rsidRPr="004607C7">
        <w:rPr>
          <w:rFonts w:ascii="Arial" w:hAnsi="Arial" w:cs="Arial"/>
          <w:sz w:val="20"/>
          <w:szCs w:val="20"/>
        </w:rPr>
        <w:t>IPUSA recommended that the SAPS should employ la</w:t>
      </w:r>
      <w:r w:rsidR="00F57462" w:rsidRPr="004607C7">
        <w:rPr>
          <w:rFonts w:ascii="Arial" w:hAnsi="Arial" w:cs="Arial"/>
          <w:sz w:val="20"/>
          <w:szCs w:val="20"/>
        </w:rPr>
        <w:t>w</w:t>
      </w:r>
      <w:r w:rsidR="006F5E2A" w:rsidRPr="004607C7">
        <w:rPr>
          <w:rFonts w:ascii="Arial" w:hAnsi="Arial" w:cs="Arial"/>
          <w:sz w:val="20"/>
          <w:szCs w:val="20"/>
        </w:rPr>
        <w:t>yers who are registered with the Legal Practice Council. IPUSA thanked the Committee for the opportunity to address Parliament on important issues affecting police members.</w:t>
      </w:r>
    </w:p>
    <w:p w:rsidR="00F57462" w:rsidRPr="004607C7" w:rsidRDefault="00F57462" w:rsidP="004607C7">
      <w:pPr>
        <w:spacing w:line="240" w:lineRule="auto"/>
        <w:jc w:val="left"/>
        <w:rPr>
          <w:rFonts w:ascii="Arial" w:hAnsi="Arial" w:cs="Arial"/>
          <w:sz w:val="20"/>
          <w:szCs w:val="20"/>
        </w:rPr>
      </w:pPr>
    </w:p>
    <w:p w:rsidR="00904FCA" w:rsidRPr="004607C7" w:rsidRDefault="003B744E" w:rsidP="004607C7">
      <w:pPr>
        <w:pStyle w:val="Heading1"/>
        <w:numPr>
          <w:ilvl w:val="0"/>
          <w:numId w:val="4"/>
        </w:numPr>
        <w:spacing w:before="0" w:line="240" w:lineRule="auto"/>
        <w:jc w:val="left"/>
        <w:rPr>
          <w:rFonts w:ascii="Arial" w:hAnsi="Arial" w:cs="Arial"/>
          <w:sz w:val="20"/>
          <w:szCs w:val="20"/>
        </w:rPr>
      </w:pPr>
      <w:r w:rsidRPr="004607C7">
        <w:rPr>
          <w:rFonts w:ascii="Arial" w:hAnsi="Arial" w:cs="Arial"/>
          <w:sz w:val="20"/>
          <w:szCs w:val="20"/>
        </w:rPr>
        <w:t xml:space="preserve">Committee </w:t>
      </w:r>
      <w:r w:rsidR="00904FCA" w:rsidRPr="004607C7">
        <w:rPr>
          <w:rFonts w:ascii="Arial" w:hAnsi="Arial" w:cs="Arial"/>
          <w:sz w:val="20"/>
          <w:szCs w:val="20"/>
        </w:rPr>
        <w:t xml:space="preserve">Observations </w:t>
      </w:r>
    </w:p>
    <w:p w:rsidR="00904FCA" w:rsidRPr="004607C7" w:rsidRDefault="00904FCA" w:rsidP="004607C7">
      <w:pPr>
        <w:spacing w:line="240" w:lineRule="auto"/>
        <w:jc w:val="left"/>
        <w:rPr>
          <w:rFonts w:ascii="Arial" w:hAnsi="Arial" w:cs="Arial"/>
          <w:sz w:val="20"/>
          <w:szCs w:val="20"/>
        </w:rPr>
      </w:pPr>
    </w:p>
    <w:p w:rsidR="003B744E" w:rsidRPr="004607C7" w:rsidRDefault="003B744E" w:rsidP="004607C7">
      <w:pPr>
        <w:spacing w:line="240" w:lineRule="auto"/>
        <w:jc w:val="left"/>
        <w:rPr>
          <w:rFonts w:ascii="Arial" w:hAnsi="Arial" w:cs="Arial"/>
          <w:sz w:val="20"/>
          <w:szCs w:val="20"/>
        </w:rPr>
      </w:pPr>
      <w:r w:rsidRPr="004607C7">
        <w:rPr>
          <w:rFonts w:ascii="Arial" w:hAnsi="Arial" w:cs="Arial"/>
          <w:sz w:val="20"/>
          <w:szCs w:val="20"/>
        </w:rPr>
        <w:t>The Committee made the following observations during the 202</w:t>
      </w:r>
      <w:r w:rsidR="00F663F3" w:rsidRPr="004607C7">
        <w:rPr>
          <w:rFonts w:ascii="Arial" w:hAnsi="Arial" w:cs="Arial"/>
          <w:sz w:val="20"/>
          <w:szCs w:val="20"/>
        </w:rPr>
        <w:t>3</w:t>
      </w:r>
      <w:r w:rsidRPr="004607C7">
        <w:rPr>
          <w:rFonts w:ascii="Arial" w:hAnsi="Arial" w:cs="Arial"/>
          <w:sz w:val="20"/>
          <w:szCs w:val="20"/>
        </w:rPr>
        <w:t>/2</w:t>
      </w:r>
      <w:r w:rsidR="00C3522A" w:rsidRPr="004607C7">
        <w:rPr>
          <w:rFonts w:ascii="Arial" w:hAnsi="Arial" w:cs="Arial"/>
          <w:sz w:val="20"/>
          <w:szCs w:val="20"/>
        </w:rPr>
        <w:t>4</w:t>
      </w:r>
      <w:r w:rsidRPr="004607C7">
        <w:rPr>
          <w:rFonts w:ascii="Arial" w:hAnsi="Arial" w:cs="Arial"/>
          <w:sz w:val="20"/>
          <w:szCs w:val="20"/>
        </w:rPr>
        <w:t xml:space="preserve"> SAPS budget and APP hearing</w:t>
      </w:r>
      <w:r w:rsidR="00F57462" w:rsidRPr="004607C7">
        <w:rPr>
          <w:rFonts w:ascii="Arial" w:hAnsi="Arial" w:cs="Arial"/>
          <w:sz w:val="20"/>
          <w:szCs w:val="20"/>
        </w:rPr>
        <w:t>s</w:t>
      </w:r>
      <w:r w:rsidRPr="004607C7">
        <w:rPr>
          <w:rFonts w:ascii="Arial" w:hAnsi="Arial" w:cs="Arial"/>
          <w:sz w:val="20"/>
          <w:szCs w:val="20"/>
        </w:rPr>
        <w:t xml:space="preserve">: </w:t>
      </w:r>
    </w:p>
    <w:p w:rsidR="00DB2B95" w:rsidRPr="004607C7" w:rsidRDefault="00DB2B95" w:rsidP="004607C7">
      <w:pPr>
        <w:spacing w:line="240" w:lineRule="auto"/>
        <w:jc w:val="left"/>
        <w:rPr>
          <w:rFonts w:ascii="Arial" w:hAnsi="Arial" w:cs="Arial"/>
          <w:sz w:val="20"/>
          <w:szCs w:val="20"/>
        </w:rPr>
      </w:pPr>
    </w:p>
    <w:p w:rsidR="00CF3B60" w:rsidRPr="004607C7" w:rsidRDefault="00E85633" w:rsidP="004607C7">
      <w:pPr>
        <w:spacing w:line="240" w:lineRule="auto"/>
        <w:jc w:val="left"/>
        <w:rPr>
          <w:rFonts w:ascii="Arial" w:hAnsi="Arial" w:cs="Arial"/>
          <w:sz w:val="20"/>
          <w:szCs w:val="20"/>
        </w:rPr>
      </w:pPr>
      <w:r w:rsidRPr="004607C7">
        <w:rPr>
          <w:rFonts w:ascii="Arial" w:hAnsi="Arial" w:cs="Arial"/>
          <w:b/>
          <w:sz w:val="20"/>
          <w:szCs w:val="20"/>
        </w:rPr>
        <w:t xml:space="preserve">Cooperation </w:t>
      </w:r>
      <w:r w:rsidR="00BC4C65" w:rsidRPr="004607C7">
        <w:rPr>
          <w:rFonts w:ascii="Arial" w:hAnsi="Arial" w:cs="Arial"/>
          <w:b/>
          <w:sz w:val="20"/>
          <w:szCs w:val="20"/>
        </w:rPr>
        <w:t>in the</w:t>
      </w:r>
      <w:r w:rsidRPr="004607C7">
        <w:rPr>
          <w:rFonts w:ascii="Arial" w:hAnsi="Arial" w:cs="Arial"/>
          <w:b/>
          <w:sz w:val="20"/>
          <w:szCs w:val="20"/>
        </w:rPr>
        <w:t xml:space="preserve"> JCPS Cluster: </w:t>
      </w:r>
      <w:r w:rsidRPr="004607C7">
        <w:rPr>
          <w:rFonts w:ascii="Arial" w:hAnsi="Arial" w:cs="Arial"/>
          <w:sz w:val="20"/>
          <w:szCs w:val="20"/>
        </w:rPr>
        <w:t>The Committee noted the cooperation between Departments in the Justice, Crime Prevention and Security (JCPS) Cluster i</w:t>
      </w:r>
      <w:r w:rsidR="00F05D1D" w:rsidRPr="004607C7">
        <w:rPr>
          <w:rFonts w:ascii="Arial" w:hAnsi="Arial" w:cs="Arial"/>
          <w:sz w:val="20"/>
          <w:szCs w:val="20"/>
        </w:rPr>
        <w:t>n</w:t>
      </w:r>
      <w:r w:rsidRPr="004607C7">
        <w:rPr>
          <w:rFonts w:ascii="Arial" w:hAnsi="Arial" w:cs="Arial"/>
          <w:sz w:val="20"/>
          <w:szCs w:val="20"/>
        </w:rPr>
        <w:t xml:space="preserve"> response to the planned national shutdown of 20 March 2023. The Committee further noted that the preparation and response were much improved compared to the July 2021 unrest that affected parts of KwaZulu-Natal and Gauteng. </w:t>
      </w:r>
    </w:p>
    <w:p w:rsidR="00D646EE" w:rsidRPr="004607C7" w:rsidRDefault="00D646EE" w:rsidP="004607C7">
      <w:pPr>
        <w:pStyle w:val="Default"/>
        <w:rPr>
          <w:b/>
          <w:sz w:val="20"/>
          <w:szCs w:val="20"/>
        </w:rPr>
      </w:pPr>
    </w:p>
    <w:p w:rsidR="00D646EE" w:rsidRPr="004607C7" w:rsidRDefault="00D646EE" w:rsidP="004607C7">
      <w:pPr>
        <w:spacing w:line="240" w:lineRule="auto"/>
        <w:jc w:val="left"/>
        <w:rPr>
          <w:rFonts w:ascii="Arial" w:hAnsi="Arial" w:cs="Arial"/>
          <w:b/>
          <w:sz w:val="20"/>
          <w:szCs w:val="20"/>
          <w:highlight w:val="yellow"/>
          <w:lang w:val="en-US"/>
        </w:rPr>
      </w:pPr>
      <w:r w:rsidRPr="004607C7">
        <w:rPr>
          <w:rFonts w:ascii="Arial" w:hAnsi="Arial" w:cs="Arial"/>
          <w:b/>
          <w:sz w:val="20"/>
          <w:szCs w:val="20"/>
          <w:lang w:val="en-US"/>
        </w:rPr>
        <w:t>Security clearanc</w:t>
      </w:r>
      <w:r w:rsidR="00E85633" w:rsidRPr="004607C7">
        <w:rPr>
          <w:rFonts w:ascii="Arial" w:hAnsi="Arial" w:cs="Arial"/>
          <w:b/>
          <w:sz w:val="20"/>
          <w:szCs w:val="20"/>
          <w:lang w:val="en-US"/>
        </w:rPr>
        <w:t xml:space="preserve">e of the National Commissioner: </w:t>
      </w:r>
      <w:r w:rsidR="00E85633" w:rsidRPr="004607C7">
        <w:rPr>
          <w:rFonts w:ascii="Arial" w:hAnsi="Arial" w:cs="Arial"/>
          <w:sz w:val="20"/>
          <w:szCs w:val="20"/>
          <w:lang w:val="en-US"/>
        </w:rPr>
        <w:t xml:space="preserve">The Committee raised serious concern about the fact that the National Commissioner’s security clearance expired in 2018 and </w:t>
      </w:r>
      <w:r w:rsidR="00BC4C65" w:rsidRPr="004607C7">
        <w:rPr>
          <w:rFonts w:ascii="Arial" w:hAnsi="Arial" w:cs="Arial"/>
          <w:sz w:val="20"/>
          <w:szCs w:val="20"/>
          <w:lang w:val="en-US"/>
        </w:rPr>
        <w:t xml:space="preserve">that </w:t>
      </w:r>
      <w:r w:rsidR="00E85633" w:rsidRPr="004607C7">
        <w:rPr>
          <w:rFonts w:ascii="Arial" w:hAnsi="Arial" w:cs="Arial"/>
          <w:sz w:val="20"/>
          <w:szCs w:val="20"/>
          <w:lang w:val="en-US"/>
        </w:rPr>
        <w:t xml:space="preserve">he is serving in the highest position </w:t>
      </w:r>
      <w:r w:rsidR="00BC4C65" w:rsidRPr="004607C7">
        <w:rPr>
          <w:rFonts w:ascii="Arial" w:hAnsi="Arial" w:cs="Arial"/>
          <w:sz w:val="20"/>
          <w:szCs w:val="20"/>
          <w:lang w:val="en-US"/>
        </w:rPr>
        <w:t xml:space="preserve">in the SAPS </w:t>
      </w:r>
      <w:r w:rsidR="00E85633" w:rsidRPr="004607C7">
        <w:rPr>
          <w:rFonts w:ascii="Arial" w:hAnsi="Arial" w:cs="Arial"/>
          <w:sz w:val="20"/>
          <w:szCs w:val="20"/>
          <w:lang w:val="en-US"/>
        </w:rPr>
        <w:t xml:space="preserve">without having a valid Top Secret security clearance. The Committee questioned the manner in which this impacts on the performance of his duties. The Committee further </w:t>
      </w:r>
      <w:r w:rsidR="00E85633" w:rsidRPr="004607C7">
        <w:rPr>
          <w:rFonts w:ascii="Arial" w:hAnsi="Arial" w:cs="Arial"/>
          <w:sz w:val="20"/>
          <w:szCs w:val="20"/>
          <w:lang w:val="en-US"/>
        </w:rPr>
        <w:lastRenderedPageBreak/>
        <w:t xml:space="preserve">highlighted the fact that the National Commissioner served as a Deputy National Commissioner (prior to his current appointment), without Top Secret security clearance. </w:t>
      </w:r>
      <w:r w:rsidR="002E60DE" w:rsidRPr="004607C7">
        <w:rPr>
          <w:rFonts w:ascii="Arial" w:hAnsi="Arial" w:cs="Arial"/>
          <w:sz w:val="20"/>
          <w:szCs w:val="20"/>
          <w:lang w:val="en-US"/>
        </w:rPr>
        <w:t>The Committee will seek a l</w:t>
      </w:r>
      <w:r w:rsidRPr="004607C7">
        <w:rPr>
          <w:rFonts w:ascii="Arial" w:hAnsi="Arial" w:cs="Arial"/>
          <w:sz w:val="20"/>
          <w:szCs w:val="20"/>
          <w:lang w:val="en-US"/>
        </w:rPr>
        <w:t xml:space="preserve">egal opinion </w:t>
      </w:r>
      <w:r w:rsidR="002E60DE" w:rsidRPr="004607C7">
        <w:rPr>
          <w:rFonts w:ascii="Arial" w:hAnsi="Arial" w:cs="Arial"/>
          <w:sz w:val="20"/>
          <w:szCs w:val="20"/>
          <w:lang w:val="en-US"/>
        </w:rPr>
        <w:t>from the Parliamentary Legal Services</w:t>
      </w:r>
      <w:r w:rsidR="00BC4C65" w:rsidRPr="004607C7">
        <w:rPr>
          <w:rFonts w:ascii="Arial" w:hAnsi="Arial" w:cs="Arial"/>
          <w:sz w:val="20"/>
          <w:szCs w:val="20"/>
          <w:lang w:val="en-US"/>
        </w:rPr>
        <w:t xml:space="preserve"> on the impact of this on the Commissioner’s appointment</w:t>
      </w:r>
      <w:r w:rsidR="002E60DE" w:rsidRPr="004607C7">
        <w:rPr>
          <w:rFonts w:ascii="Arial" w:hAnsi="Arial" w:cs="Arial"/>
          <w:sz w:val="20"/>
          <w:szCs w:val="20"/>
          <w:lang w:val="en-US"/>
        </w:rPr>
        <w:t xml:space="preserve">. </w:t>
      </w:r>
      <w:r w:rsidR="00E85633" w:rsidRPr="004607C7">
        <w:rPr>
          <w:rFonts w:ascii="Arial" w:hAnsi="Arial" w:cs="Arial"/>
          <w:sz w:val="20"/>
          <w:szCs w:val="20"/>
          <w:lang w:val="en-US"/>
        </w:rPr>
        <w:t xml:space="preserve">In response, the Minister indicated that he has engaged with the </w:t>
      </w:r>
      <w:r w:rsidRPr="004607C7">
        <w:rPr>
          <w:rFonts w:ascii="Arial" w:hAnsi="Arial" w:cs="Arial"/>
          <w:sz w:val="20"/>
          <w:szCs w:val="20"/>
          <w:lang w:val="en-US"/>
        </w:rPr>
        <w:t xml:space="preserve">Minister </w:t>
      </w:r>
      <w:r w:rsidR="00E85633" w:rsidRPr="004607C7">
        <w:rPr>
          <w:rFonts w:ascii="Arial" w:hAnsi="Arial" w:cs="Arial"/>
          <w:sz w:val="20"/>
          <w:szCs w:val="20"/>
          <w:lang w:val="en-US"/>
        </w:rPr>
        <w:t>in the Presidency responsible for State Security</w:t>
      </w:r>
      <w:r w:rsidR="00BC4C65" w:rsidRPr="004607C7">
        <w:rPr>
          <w:rFonts w:ascii="Arial" w:hAnsi="Arial" w:cs="Arial"/>
          <w:sz w:val="20"/>
          <w:szCs w:val="20"/>
          <w:lang w:val="en-US"/>
        </w:rPr>
        <w:t xml:space="preserve"> to expedite the issuing of clearance</w:t>
      </w:r>
      <w:r w:rsidR="00F05D1D" w:rsidRPr="004607C7">
        <w:rPr>
          <w:rFonts w:ascii="Arial" w:hAnsi="Arial" w:cs="Arial"/>
          <w:sz w:val="20"/>
          <w:szCs w:val="20"/>
          <w:lang w:val="en-US"/>
        </w:rPr>
        <w:t>s</w:t>
      </w:r>
      <w:r w:rsidR="00BC4C65" w:rsidRPr="004607C7">
        <w:rPr>
          <w:rFonts w:ascii="Arial" w:hAnsi="Arial" w:cs="Arial"/>
          <w:sz w:val="20"/>
          <w:szCs w:val="20"/>
          <w:lang w:val="en-US"/>
        </w:rPr>
        <w:t>. However, M</w:t>
      </w:r>
      <w:r w:rsidRPr="004607C7">
        <w:rPr>
          <w:rFonts w:ascii="Arial" w:hAnsi="Arial" w:cs="Arial"/>
          <w:sz w:val="20"/>
          <w:szCs w:val="20"/>
          <w:lang w:val="en-US"/>
        </w:rPr>
        <w:t xml:space="preserve">embers indicated that </w:t>
      </w:r>
      <w:r w:rsidR="00FD2C82" w:rsidRPr="004607C7">
        <w:rPr>
          <w:rFonts w:ascii="Arial" w:hAnsi="Arial" w:cs="Arial"/>
          <w:sz w:val="20"/>
          <w:szCs w:val="20"/>
          <w:lang w:val="en-US"/>
        </w:rPr>
        <w:t>the matter</w:t>
      </w:r>
      <w:r w:rsidRPr="004607C7">
        <w:rPr>
          <w:rFonts w:ascii="Arial" w:hAnsi="Arial" w:cs="Arial"/>
          <w:sz w:val="20"/>
          <w:szCs w:val="20"/>
          <w:lang w:val="en-US"/>
        </w:rPr>
        <w:t xml:space="preserve"> must be addressed directly with the President. </w:t>
      </w:r>
      <w:r w:rsidR="00FD2C82" w:rsidRPr="004607C7">
        <w:rPr>
          <w:rFonts w:ascii="Arial" w:hAnsi="Arial" w:cs="Arial"/>
          <w:sz w:val="20"/>
          <w:szCs w:val="20"/>
          <w:lang w:val="en-US"/>
        </w:rPr>
        <w:t>Members further stated that it is u</w:t>
      </w:r>
      <w:r w:rsidRPr="004607C7">
        <w:rPr>
          <w:rFonts w:ascii="Arial" w:hAnsi="Arial" w:cs="Arial"/>
          <w:sz w:val="20"/>
          <w:szCs w:val="20"/>
          <w:lang w:val="en-US"/>
        </w:rPr>
        <w:t xml:space="preserve">nfair to expect the National Commissioner to </w:t>
      </w:r>
      <w:r w:rsidR="00FC00AA" w:rsidRPr="004607C7">
        <w:rPr>
          <w:rFonts w:ascii="Arial" w:hAnsi="Arial" w:cs="Arial"/>
          <w:sz w:val="20"/>
          <w:szCs w:val="20"/>
          <w:lang w:val="en-US"/>
        </w:rPr>
        <w:t>perform his duties</w:t>
      </w:r>
      <w:r w:rsidRPr="004607C7">
        <w:rPr>
          <w:rFonts w:ascii="Arial" w:hAnsi="Arial" w:cs="Arial"/>
          <w:sz w:val="20"/>
          <w:szCs w:val="20"/>
          <w:lang w:val="en-US"/>
        </w:rPr>
        <w:t xml:space="preserve"> with </w:t>
      </w:r>
      <w:r w:rsidR="00FC00AA" w:rsidRPr="004607C7">
        <w:rPr>
          <w:rFonts w:ascii="Arial" w:hAnsi="Arial" w:cs="Arial"/>
          <w:sz w:val="20"/>
          <w:szCs w:val="20"/>
          <w:lang w:val="en-US"/>
        </w:rPr>
        <w:t>this</w:t>
      </w:r>
      <w:r w:rsidRPr="004607C7">
        <w:rPr>
          <w:rFonts w:ascii="Arial" w:hAnsi="Arial" w:cs="Arial"/>
          <w:sz w:val="20"/>
          <w:szCs w:val="20"/>
          <w:lang w:val="en-US"/>
        </w:rPr>
        <w:t xml:space="preserve"> sword</w:t>
      </w:r>
      <w:r w:rsidR="00FD2C82" w:rsidRPr="004607C7">
        <w:rPr>
          <w:rFonts w:ascii="Arial" w:hAnsi="Arial" w:cs="Arial"/>
          <w:sz w:val="20"/>
          <w:szCs w:val="20"/>
          <w:lang w:val="en-US"/>
        </w:rPr>
        <w:t xml:space="preserve"> over his head, and suggested that an acting National Commissioner s</w:t>
      </w:r>
      <w:r w:rsidRPr="004607C7">
        <w:rPr>
          <w:rFonts w:ascii="Arial" w:hAnsi="Arial" w:cs="Arial"/>
          <w:sz w:val="20"/>
          <w:szCs w:val="20"/>
          <w:lang w:val="en-US"/>
        </w:rPr>
        <w:t xml:space="preserve">hould </w:t>
      </w:r>
      <w:r w:rsidR="00FD2C82" w:rsidRPr="004607C7">
        <w:rPr>
          <w:rFonts w:ascii="Arial" w:hAnsi="Arial" w:cs="Arial"/>
          <w:sz w:val="20"/>
          <w:szCs w:val="20"/>
          <w:lang w:val="en-US"/>
        </w:rPr>
        <w:t>be appointed (with clearance), while the National Commissioner’s clearance is outstanding.</w:t>
      </w:r>
      <w:r w:rsidR="00FD2C82" w:rsidRPr="004607C7">
        <w:rPr>
          <w:rFonts w:ascii="Arial" w:hAnsi="Arial" w:cs="Arial"/>
          <w:sz w:val="20"/>
          <w:szCs w:val="20"/>
          <w:highlight w:val="yellow"/>
          <w:lang w:val="en-US"/>
        </w:rPr>
        <w:t xml:space="preserve"> </w:t>
      </w:r>
    </w:p>
    <w:p w:rsidR="00D646EE" w:rsidRPr="004607C7" w:rsidRDefault="00D646EE" w:rsidP="004607C7">
      <w:pPr>
        <w:pStyle w:val="Default"/>
        <w:rPr>
          <w:b/>
          <w:sz w:val="20"/>
          <w:szCs w:val="20"/>
        </w:rPr>
      </w:pPr>
    </w:p>
    <w:p w:rsidR="00D646EE" w:rsidRPr="004607C7" w:rsidRDefault="002E60DE" w:rsidP="004607C7">
      <w:pPr>
        <w:spacing w:line="240" w:lineRule="auto"/>
        <w:jc w:val="left"/>
        <w:rPr>
          <w:rFonts w:ascii="Arial" w:hAnsi="Arial" w:cs="Arial"/>
          <w:sz w:val="20"/>
          <w:szCs w:val="20"/>
        </w:rPr>
      </w:pPr>
      <w:r w:rsidRPr="004607C7">
        <w:rPr>
          <w:rFonts w:ascii="Arial" w:hAnsi="Arial" w:cs="Arial"/>
          <w:b/>
          <w:sz w:val="20"/>
          <w:szCs w:val="20"/>
        </w:rPr>
        <w:t>Recruitment:</w:t>
      </w:r>
      <w:r w:rsidR="00650FAD" w:rsidRPr="004607C7">
        <w:rPr>
          <w:rFonts w:ascii="Arial" w:hAnsi="Arial" w:cs="Arial"/>
          <w:b/>
          <w:sz w:val="20"/>
          <w:szCs w:val="20"/>
        </w:rPr>
        <w:t xml:space="preserve"> </w:t>
      </w:r>
      <w:r w:rsidR="00FB2B17" w:rsidRPr="004607C7">
        <w:rPr>
          <w:rFonts w:ascii="Arial" w:hAnsi="Arial" w:cs="Arial"/>
          <w:sz w:val="20"/>
          <w:szCs w:val="20"/>
        </w:rPr>
        <w:t xml:space="preserve">The Committee </w:t>
      </w:r>
      <w:r w:rsidR="004E6588" w:rsidRPr="004607C7">
        <w:rPr>
          <w:rFonts w:ascii="Arial" w:hAnsi="Arial" w:cs="Arial"/>
          <w:sz w:val="20"/>
          <w:szCs w:val="20"/>
        </w:rPr>
        <w:t>discussed</w:t>
      </w:r>
      <w:r w:rsidR="00FB2B17" w:rsidRPr="004607C7">
        <w:rPr>
          <w:rFonts w:ascii="Arial" w:hAnsi="Arial" w:cs="Arial"/>
          <w:sz w:val="20"/>
          <w:szCs w:val="20"/>
        </w:rPr>
        <w:t xml:space="preserve"> the recruitme</w:t>
      </w:r>
      <w:r w:rsidR="00FD2C82" w:rsidRPr="004607C7">
        <w:rPr>
          <w:rFonts w:ascii="Arial" w:hAnsi="Arial" w:cs="Arial"/>
          <w:sz w:val="20"/>
          <w:szCs w:val="20"/>
        </w:rPr>
        <w:t>nt of the additional 10</w:t>
      </w:r>
      <w:r w:rsidR="00FB2B17" w:rsidRPr="004607C7">
        <w:rPr>
          <w:rFonts w:ascii="Arial" w:hAnsi="Arial" w:cs="Arial"/>
          <w:sz w:val="20"/>
          <w:szCs w:val="20"/>
        </w:rPr>
        <w:t> 000 police members as announced by the President in his 202</w:t>
      </w:r>
      <w:r w:rsidR="00FD2C82" w:rsidRPr="004607C7">
        <w:rPr>
          <w:rFonts w:ascii="Arial" w:hAnsi="Arial" w:cs="Arial"/>
          <w:sz w:val="20"/>
          <w:szCs w:val="20"/>
        </w:rPr>
        <w:t>3</w:t>
      </w:r>
      <w:r w:rsidR="00FB2B17" w:rsidRPr="004607C7">
        <w:rPr>
          <w:rFonts w:ascii="Arial" w:hAnsi="Arial" w:cs="Arial"/>
          <w:sz w:val="20"/>
          <w:szCs w:val="20"/>
        </w:rPr>
        <w:t xml:space="preserve"> SONA, including challenges with recruitment standards and recruiting the most suitable candidates who regard policing as a calling and not just a way out of unemployment. </w:t>
      </w:r>
      <w:r w:rsidR="00FD2C82" w:rsidRPr="004607C7">
        <w:rPr>
          <w:rFonts w:ascii="Arial" w:hAnsi="Arial" w:cs="Arial"/>
          <w:sz w:val="20"/>
          <w:szCs w:val="20"/>
        </w:rPr>
        <w:t xml:space="preserve">The Committee raised fears that merely appointing additional police members </w:t>
      </w:r>
      <w:r w:rsidR="00D646EE" w:rsidRPr="004607C7">
        <w:rPr>
          <w:rFonts w:ascii="Arial" w:hAnsi="Arial" w:cs="Arial"/>
          <w:sz w:val="20"/>
          <w:szCs w:val="20"/>
          <w:lang w:val="en-US"/>
        </w:rPr>
        <w:t>do</w:t>
      </w:r>
      <w:r w:rsidR="00FD2C82" w:rsidRPr="004607C7">
        <w:rPr>
          <w:rFonts w:ascii="Arial" w:hAnsi="Arial" w:cs="Arial"/>
          <w:sz w:val="20"/>
          <w:szCs w:val="20"/>
          <w:lang w:val="en-US"/>
        </w:rPr>
        <w:t>es not equate to better policing, and stressed the importance of quality over quantity. The Department must ensure that candidates are p</w:t>
      </w:r>
      <w:r w:rsidR="00D646EE" w:rsidRPr="004607C7">
        <w:rPr>
          <w:rFonts w:ascii="Arial" w:hAnsi="Arial" w:cs="Arial"/>
          <w:sz w:val="20"/>
          <w:szCs w:val="20"/>
          <w:lang w:val="en-US"/>
        </w:rPr>
        <w:t>roper</w:t>
      </w:r>
      <w:r w:rsidR="00FD2C82" w:rsidRPr="004607C7">
        <w:rPr>
          <w:rFonts w:ascii="Arial" w:hAnsi="Arial" w:cs="Arial"/>
          <w:sz w:val="20"/>
          <w:szCs w:val="20"/>
          <w:lang w:val="en-US"/>
        </w:rPr>
        <w:t xml:space="preserve">ly trained. The Committee highlighted the lack of </w:t>
      </w:r>
      <w:r w:rsidR="00E8060C" w:rsidRPr="004607C7">
        <w:rPr>
          <w:rFonts w:ascii="Arial" w:hAnsi="Arial" w:cs="Arial"/>
          <w:sz w:val="20"/>
          <w:szCs w:val="20"/>
          <w:lang w:val="en-US"/>
        </w:rPr>
        <w:t xml:space="preserve">an </w:t>
      </w:r>
      <w:r w:rsidR="00FD2C82" w:rsidRPr="004607C7">
        <w:rPr>
          <w:rFonts w:ascii="Arial" w:hAnsi="Arial" w:cs="Arial"/>
          <w:sz w:val="20"/>
          <w:szCs w:val="20"/>
          <w:lang w:val="en-US"/>
        </w:rPr>
        <w:t xml:space="preserve">adequate number of trainers and </w:t>
      </w:r>
      <w:r w:rsidR="00D646EE" w:rsidRPr="004607C7">
        <w:rPr>
          <w:rFonts w:ascii="Arial" w:hAnsi="Arial" w:cs="Arial"/>
          <w:sz w:val="20"/>
          <w:szCs w:val="20"/>
          <w:lang w:val="en-US"/>
        </w:rPr>
        <w:t>training facilities</w:t>
      </w:r>
      <w:r w:rsidR="004E6588" w:rsidRPr="004607C7">
        <w:rPr>
          <w:rFonts w:ascii="Arial" w:hAnsi="Arial" w:cs="Arial"/>
          <w:sz w:val="20"/>
          <w:szCs w:val="20"/>
          <w:lang w:val="en-US"/>
        </w:rPr>
        <w:t xml:space="preserve"> as a key concern and noted that this impact negatively on the training of recruits</w:t>
      </w:r>
      <w:r w:rsidR="00FD2C82" w:rsidRPr="004607C7">
        <w:rPr>
          <w:rFonts w:ascii="Arial" w:hAnsi="Arial" w:cs="Arial"/>
          <w:sz w:val="20"/>
          <w:szCs w:val="20"/>
          <w:lang w:val="en-US"/>
        </w:rPr>
        <w:t>. The Department stated that while quality is of utmost importance, q</w:t>
      </w:r>
      <w:r w:rsidR="00D646EE" w:rsidRPr="004607C7">
        <w:rPr>
          <w:rFonts w:ascii="Arial" w:hAnsi="Arial" w:cs="Arial"/>
          <w:sz w:val="20"/>
          <w:szCs w:val="20"/>
          <w:lang w:val="en-US"/>
        </w:rPr>
        <w:t>uantity is also important f</w:t>
      </w:r>
      <w:r w:rsidR="00FD2C82" w:rsidRPr="004607C7">
        <w:rPr>
          <w:rFonts w:ascii="Arial" w:hAnsi="Arial" w:cs="Arial"/>
          <w:sz w:val="20"/>
          <w:szCs w:val="20"/>
          <w:lang w:val="en-US"/>
        </w:rPr>
        <w:t>or</w:t>
      </w:r>
      <w:r w:rsidR="00D646EE" w:rsidRPr="004607C7">
        <w:rPr>
          <w:rFonts w:ascii="Arial" w:hAnsi="Arial" w:cs="Arial"/>
          <w:sz w:val="20"/>
          <w:szCs w:val="20"/>
          <w:lang w:val="en-US"/>
        </w:rPr>
        <w:t xml:space="preserve"> visible policing and crime prevention. </w:t>
      </w:r>
      <w:r w:rsidR="00FD2C82" w:rsidRPr="004607C7">
        <w:rPr>
          <w:rFonts w:ascii="Arial" w:hAnsi="Arial" w:cs="Arial"/>
          <w:sz w:val="20"/>
          <w:szCs w:val="20"/>
          <w:lang w:val="en-US"/>
        </w:rPr>
        <w:t>The Department stated that the South African National Defence Force (</w:t>
      </w:r>
      <w:r w:rsidR="00D646EE" w:rsidRPr="004607C7">
        <w:rPr>
          <w:rFonts w:ascii="Arial" w:hAnsi="Arial" w:cs="Arial"/>
          <w:sz w:val="20"/>
          <w:szCs w:val="20"/>
          <w:lang w:val="en-US"/>
        </w:rPr>
        <w:t>SANDF</w:t>
      </w:r>
      <w:r w:rsidR="00FD2C82" w:rsidRPr="004607C7">
        <w:rPr>
          <w:rFonts w:ascii="Arial" w:hAnsi="Arial" w:cs="Arial"/>
          <w:sz w:val="20"/>
          <w:szCs w:val="20"/>
          <w:lang w:val="en-US"/>
        </w:rPr>
        <w:t>)</w:t>
      </w:r>
      <w:r w:rsidR="00D646EE" w:rsidRPr="004607C7">
        <w:rPr>
          <w:rFonts w:ascii="Arial" w:hAnsi="Arial" w:cs="Arial"/>
          <w:sz w:val="20"/>
          <w:szCs w:val="20"/>
          <w:lang w:val="en-US"/>
        </w:rPr>
        <w:t xml:space="preserve"> </w:t>
      </w:r>
      <w:r w:rsidR="00FD2C82" w:rsidRPr="004607C7">
        <w:rPr>
          <w:rFonts w:ascii="Arial" w:hAnsi="Arial" w:cs="Arial"/>
          <w:sz w:val="20"/>
          <w:szCs w:val="20"/>
          <w:lang w:val="en-US"/>
        </w:rPr>
        <w:t xml:space="preserve">is once again </w:t>
      </w:r>
      <w:r w:rsidR="00D646EE" w:rsidRPr="004607C7">
        <w:rPr>
          <w:rFonts w:ascii="Arial" w:hAnsi="Arial" w:cs="Arial"/>
          <w:sz w:val="20"/>
          <w:szCs w:val="20"/>
          <w:lang w:val="en-US"/>
        </w:rPr>
        <w:t xml:space="preserve">assisting with </w:t>
      </w:r>
      <w:r w:rsidR="00E8060C" w:rsidRPr="004607C7">
        <w:rPr>
          <w:rFonts w:ascii="Arial" w:hAnsi="Arial" w:cs="Arial"/>
          <w:sz w:val="20"/>
          <w:szCs w:val="20"/>
          <w:lang w:val="en-US"/>
        </w:rPr>
        <w:t xml:space="preserve">availing its </w:t>
      </w:r>
      <w:r w:rsidR="00D646EE" w:rsidRPr="004607C7">
        <w:rPr>
          <w:rFonts w:ascii="Arial" w:hAnsi="Arial" w:cs="Arial"/>
          <w:sz w:val="20"/>
          <w:szCs w:val="20"/>
          <w:lang w:val="en-US"/>
        </w:rPr>
        <w:t>training facilities</w:t>
      </w:r>
      <w:r w:rsidR="00FD2C82" w:rsidRPr="004607C7">
        <w:rPr>
          <w:rFonts w:ascii="Arial" w:hAnsi="Arial" w:cs="Arial"/>
          <w:sz w:val="20"/>
          <w:szCs w:val="20"/>
          <w:lang w:val="en-US"/>
        </w:rPr>
        <w:t xml:space="preserve"> in Kimberley</w:t>
      </w:r>
      <w:r w:rsidR="00E8060C" w:rsidRPr="004607C7">
        <w:rPr>
          <w:rFonts w:ascii="Arial" w:hAnsi="Arial" w:cs="Arial"/>
          <w:sz w:val="20"/>
          <w:szCs w:val="20"/>
          <w:lang w:val="en-US"/>
        </w:rPr>
        <w:t xml:space="preserve"> to the SAPS for this purpose</w:t>
      </w:r>
      <w:r w:rsidR="00D646EE" w:rsidRPr="004607C7">
        <w:rPr>
          <w:rFonts w:ascii="Arial" w:hAnsi="Arial" w:cs="Arial"/>
          <w:sz w:val="20"/>
          <w:szCs w:val="20"/>
          <w:lang w:val="en-US"/>
        </w:rPr>
        <w:t xml:space="preserve">. </w:t>
      </w:r>
      <w:r w:rsidR="00FD2C82" w:rsidRPr="004607C7">
        <w:rPr>
          <w:rFonts w:ascii="Arial" w:hAnsi="Arial" w:cs="Arial"/>
          <w:sz w:val="20"/>
          <w:szCs w:val="20"/>
          <w:lang w:val="en-US"/>
        </w:rPr>
        <w:t>The Department indicated that t</w:t>
      </w:r>
      <w:r w:rsidR="00D646EE" w:rsidRPr="004607C7">
        <w:rPr>
          <w:rFonts w:ascii="Arial" w:hAnsi="Arial" w:cs="Arial"/>
          <w:sz w:val="20"/>
          <w:szCs w:val="20"/>
          <w:lang w:val="en-US"/>
        </w:rPr>
        <w:t xml:space="preserve">rainers </w:t>
      </w:r>
      <w:r w:rsidR="00FD2C82" w:rsidRPr="004607C7">
        <w:rPr>
          <w:rFonts w:ascii="Arial" w:hAnsi="Arial" w:cs="Arial"/>
          <w:sz w:val="20"/>
          <w:szCs w:val="20"/>
          <w:lang w:val="en-US"/>
        </w:rPr>
        <w:t xml:space="preserve">have been </w:t>
      </w:r>
      <w:r w:rsidR="00D646EE" w:rsidRPr="004607C7">
        <w:rPr>
          <w:rFonts w:ascii="Arial" w:hAnsi="Arial" w:cs="Arial"/>
          <w:sz w:val="20"/>
          <w:szCs w:val="20"/>
          <w:lang w:val="en-US"/>
        </w:rPr>
        <w:t>called back from provinces</w:t>
      </w:r>
      <w:r w:rsidR="00FD2C82" w:rsidRPr="004607C7">
        <w:rPr>
          <w:rFonts w:ascii="Arial" w:hAnsi="Arial" w:cs="Arial"/>
          <w:sz w:val="20"/>
          <w:szCs w:val="20"/>
          <w:lang w:val="en-US"/>
        </w:rPr>
        <w:t xml:space="preserve"> and that a</w:t>
      </w:r>
      <w:r w:rsidR="00D646EE" w:rsidRPr="004607C7">
        <w:rPr>
          <w:rFonts w:ascii="Arial" w:hAnsi="Arial" w:cs="Arial"/>
          <w:sz w:val="20"/>
          <w:szCs w:val="20"/>
          <w:lang w:val="en-US"/>
        </w:rPr>
        <w:t xml:space="preserve">reas that need improvement will be attended to. </w:t>
      </w:r>
      <w:r w:rsidR="00FD2C82" w:rsidRPr="004607C7">
        <w:rPr>
          <w:rFonts w:ascii="Arial" w:hAnsi="Arial" w:cs="Arial"/>
          <w:sz w:val="20"/>
          <w:szCs w:val="20"/>
          <w:lang w:val="en-US"/>
        </w:rPr>
        <w:t>The Department assured the Committee that t</w:t>
      </w:r>
      <w:r w:rsidR="00D646EE" w:rsidRPr="004607C7">
        <w:rPr>
          <w:rFonts w:ascii="Arial" w:hAnsi="Arial" w:cs="Arial"/>
          <w:sz w:val="20"/>
          <w:szCs w:val="20"/>
          <w:lang w:val="en-US"/>
        </w:rPr>
        <w:t xml:space="preserve">raining standards </w:t>
      </w:r>
      <w:r w:rsidR="00FD2C82" w:rsidRPr="004607C7">
        <w:rPr>
          <w:rFonts w:ascii="Arial" w:hAnsi="Arial" w:cs="Arial"/>
          <w:sz w:val="20"/>
          <w:szCs w:val="20"/>
          <w:lang w:val="en-US"/>
        </w:rPr>
        <w:t xml:space="preserve">are </w:t>
      </w:r>
      <w:r w:rsidR="00D646EE" w:rsidRPr="004607C7">
        <w:rPr>
          <w:rFonts w:ascii="Arial" w:hAnsi="Arial" w:cs="Arial"/>
          <w:sz w:val="20"/>
          <w:szCs w:val="20"/>
          <w:lang w:val="en-US"/>
        </w:rPr>
        <w:t>upheld</w:t>
      </w:r>
      <w:r w:rsidR="00FD2C82" w:rsidRPr="004607C7">
        <w:rPr>
          <w:rFonts w:ascii="Arial" w:hAnsi="Arial" w:cs="Arial"/>
          <w:sz w:val="20"/>
          <w:szCs w:val="20"/>
          <w:lang w:val="en-US"/>
        </w:rPr>
        <w:t>, and that r</w:t>
      </w:r>
      <w:r w:rsidR="00D646EE" w:rsidRPr="004607C7">
        <w:rPr>
          <w:rFonts w:ascii="Arial" w:hAnsi="Arial" w:cs="Arial"/>
          <w:sz w:val="20"/>
          <w:szCs w:val="20"/>
          <w:lang w:val="en-US"/>
        </w:rPr>
        <w:t xml:space="preserve">etired trainers </w:t>
      </w:r>
      <w:r w:rsidR="00FD2C82" w:rsidRPr="004607C7">
        <w:rPr>
          <w:rFonts w:ascii="Arial" w:hAnsi="Arial" w:cs="Arial"/>
          <w:sz w:val="20"/>
          <w:szCs w:val="20"/>
          <w:lang w:val="en-US"/>
        </w:rPr>
        <w:t xml:space="preserve">are </w:t>
      </w:r>
      <w:r w:rsidR="00D646EE" w:rsidRPr="004607C7">
        <w:rPr>
          <w:rFonts w:ascii="Arial" w:hAnsi="Arial" w:cs="Arial"/>
          <w:sz w:val="20"/>
          <w:szCs w:val="20"/>
          <w:lang w:val="en-US"/>
        </w:rPr>
        <w:t xml:space="preserve">appointed on </w:t>
      </w:r>
      <w:r w:rsidR="00FD2C82" w:rsidRPr="004607C7">
        <w:rPr>
          <w:rFonts w:ascii="Arial" w:hAnsi="Arial" w:cs="Arial"/>
          <w:sz w:val="20"/>
          <w:szCs w:val="20"/>
          <w:lang w:val="en-US"/>
        </w:rPr>
        <w:t xml:space="preserve">a </w:t>
      </w:r>
      <w:r w:rsidR="00D646EE" w:rsidRPr="004607C7">
        <w:rPr>
          <w:rFonts w:ascii="Arial" w:hAnsi="Arial" w:cs="Arial"/>
          <w:sz w:val="20"/>
          <w:szCs w:val="20"/>
          <w:lang w:val="en-US"/>
        </w:rPr>
        <w:t>contract basis</w:t>
      </w:r>
      <w:r w:rsidR="00FD2C82" w:rsidRPr="004607C7">
        <w:rPr>
          <w:rFonts w:ascii="Arial" w:hAnsi="Arial" w:cs="Arial"/>
          <w:sz w:val="20"/>
          <w:szCs w:val="20"/>
          <w:lang w:val="en-US"/>
        </w:rPr>
        <w:t xml:space="preserve"> to assist with training the additional police recruits</w:t>
      </w:r>
      <w:r w:rsidR="00D646EE" w:rsidRPr="004607C7">
        <w:rPr>
          <w:rFonts w:ascii="Arial" w:hAnsi="Arial" w:cs="Arial"/>
          <w:sz w:val="20"/>
          <w:szCs w:val="20"/>
          <w:lang w:val="en-US"/>
        </w:rPr>
        <w:t xml:space="preserve">. </w:t>
      </w:r>
    </w:p>
    <w:p w:rsidR="00234945" w:rsidRPr="004607C7" w:rsidRDefault="00234945" w:rsidP="004607C7">
      <w:pPr>
        <w:autoSpaceDE w:val="0"/>
        <w:autoSpaceDN w:val="0"/>
        <w:adjustRightInd w:val="0"/>
        <w:spacing w:line="240" w:lineRule="auto"/>
        <w:jc w:val="left"/>
        <w:rPr>
          <w:rFonts w:ascii="Arial" w:hAnsi="Arial" w:cs="Arial"/>
          <w:sz w:val="20"/>
          <w:szCs w:val="20"/>
        </w:rPr>
      </w:pPr>
    </w:p>
    <w:p w:rsidR="00EF5555" w:rsidRPr="004607C7" w:rsidRDefault="003851B4" w:rsidP="004607C7">
      <w:pPr>
        <w:autoSpaceDE w:val="0"/>
        <w:autoSpaceDN w:val="0"/>
        <w:adjustRightInd w:val="0"/>
        <w:spacing w:line="240" w:lineRule="auto"/>
        <w:jc w:val="left"/>
        <w:rPr>
          <w:rFonts w:ascii="Arial" w:hAnsi="Arial" w:cs="Arial"/>
          <w:sz w:val="20"/>
          <w:szCs w:val="20"/>
          <w:lang w:val="en-US"/>
        </w:rPr>
      </w:pPr>
      <w:r w:rsidRPr="004607C7">
        <w:rPr>
          <w:rFonts w:ascii="Arial" w:hAnsi="Arial" w:cs="Arial"/>
          <w:b/>
          <w:color w:val="000000"/>
          <w:sz w:val="20"/>
          <w:szCs w:val="20"/>
          <w:lang w:eastAsia="en-ZA"/>
        </w:rPr>
        <w:t>Pr</w:t>
      </w:r>
      <w:r w:rsidR="002E60DE" w:rsidRPr="004607C7">
        <w:rPr>
          <w:rFonts w:ascii="Arial" w:hAnsi="Arial" w:cs="Arial"/>
          <w:b/>
          <w:color w:val="000000"/>
          <w:sz w:val="20"/>
          <w:szCs w:val="20"/>
          <w:lang w:eastAsia="en-ZA"/>
        </w:rPr>
        <w:t>omotions:</w:t>
      </w:r>
      <w:r w:rsidRPr="004607C7">
        <w:rPr>
          <w:rFonts w:ascii="Arial" w:hAnsi="Arial" w:cs="Arial"/>
          <w:b/>
          <w:color w:val="000000"/>
          <w:sz w:val="20"/>
          <w:szCs w:val="20"/>
          <w:lang w:eastAsia="en-ZA"/>
        </w:rPr>
        <w:t xml:space="preserve"> </w:t>
      </w:r>
      <w:r w:rsidRPr="004607C7">
        <w:rPr>
          <w:rFonts w:ascii="Arial" w:hAnsi="Arial" w:cs="Arial"/>
          <w:color w:val="000000"/>
          <w:sz w:val="20"/>
          <w:szCs w:val="20"/>
          <w:lang w:eastAsia="en-ZA"/>
        </w:rPr>
        <w:t>T</w:t>
      </w:r>
      <w:r w:rsidR="00FB2B17" w:rsidRPr="004607C7">
        <w:rPr>
          <w:rFonts w:ascii="Arial" w:hAnsi="Arial" w:cs="Arial"/>
          <w:color w:val="000000"/>
          <w:sz w:val="20"/>
          <w:szCs w:val="20"/>
          <w:lang w:eastAsia="en-ZA"/>
        </w:rPr>
        <w:t xml:space="preserve">he Committee raised concern about the current process of promotion in the SAPS and that many police members remain in the same rank for many years. The lack of career progression was raised as a serious concern. </w:t>
      </w:r>
      <w:r w:rsidR="00F3221B" w:rsidRPr="004607C7">
        <w:rPr>
          <w:rFonts w:ascii="Arial" w:hAnsi="Arial" w:cs="Arial"/>
          <w:sz w:val="20"/>
          <w:szCs w:val="20"/>
          <w:lang w:val="en-US"/>
        </w:rPr>
        <w:t xml:space="preserve">The Committee asked whether the negotiations in the </w:t>
      </w:r>
      <w:r w:rsidR="00F01E7C" w:rsidRPr="004607C7">
        <w:rPr>
          <w:rFonts w:ascii="Arial" w:hAnsi="Arial" w:cs="Arial"/>
          <w:color w:val="000000"/>
          <w:sz w:val="20"/>
          <w:szCs w:val="20"/>
          <w:lang w:eastAsia="en-ZA"/>
        </w:rPr>
        <w:t>Safety and Security Sectoral Bargaining Council (SSSBC)</w:t>
      </w:r>
      <w:r w:rsidR="00EF5555" w:rsidRPr="004607C7">
        <w:rPr>
          <w:rFonts w:ascii="Arial" w:hAnsi="Arial" w:cs="Arial"/>
          <w:sz w:val="20"/>
          <w:szCs w:val="20"/>
          <w:lang w:val="en-US"/>
        </w:rPr>
        <w:t xml:space="preserve"> </w:t>
      </w:r>
      <w:r w:rsidR="00F3221B" w:rsidRPr="004607C7">
        <w:rPr>
          <w:rFonts w:ascii="Arial" w:hAnsi="Arial" w:cs="Arial"/>
          <w:sz w:val="20"/>
          <w:szCs w:val="20"/>
          <w:lang w:val="en-US"/>
        </w:rPr>
        <w:t>have been concluded. The Department stated that w</w:t>
      </w:r>
      <w:r w:rsidR="00EF5555" w:rsidRPr="004607C7">
        <w:rPr>
          <w:rFonts w:ascii="Arial" w:hAnsi="Arial" w:cs="Arial"/>
          <w:sz w:val="20"/>
          <w:szCs w:val="20"/>
          <w:lang w:val="en-US"/>
        </w:rPr>
        <w:t xml:space="preserve">hen </w:t>
      </w:r>
      <w:r w:rsidR="00F3221B" w:rsidRPr="004607C7">
        <w:rPr>
          <w:rFonts w:ascii="Arial" w:hAnsi="Arial" w:cs="Arial"/>
          <w:sz w:val="20"/>
          <w:szCs w:val="20"/>
          <w:lang w:val="en-US"/>
        </w:rPr>
        <w:t xml:space="preserve">the current </w:t>
      </w:r>
      <w:r w:rsidR="00EF5555" w:rsidRPr="004607C7">
        <w:rPr>
          <w:rFonts w:ascii="Arial" w:hAnsi="Arial" w:cs="Arial"/>
          <w:sz w:val="20"/>
          <w:szCs w:val="20"/>
          <w:lang w:val="en-US"/>
        </w:rPr>
        <w:t xml:space="preserve">Minister </w:t>
      </w:r>
      <w:r w:rsidR="00F3221B" w:rsidRPr="004607C7">
        <w:rPr>
          <w:rFonts w:ascii="Arial" w:hAnsi="Arial" w:cs="Arial"/>
          <w:sz w:val="20"/>
          <w:szCs w:val="20"/>
          <w:lang w:val="en-US"/>
        </w:rPr>
        <w:t xml:space="preserve">of Police was </w:t>
      </w:r>
      <w:r w:rsidR="00EF5555" w:rsidRPr="004607C7">
        <w:rPr>
          <w:rFonts w:ascii="Arial" w:hAnsi="Arial" w:cs="Arial"/>
          <w:sz w:val="20"/>
          <w:szCs w:val="20"/>
          <w:lang w:val="en-US"/>
        </w:rPr>
        <w:t xml:space="preserve">appointed, </w:t>
      </w:r>
      <w:r w:rsidR="00F3221B" w:rsidRPr="004607C7">
        <w:rPr>
          <w:rFonts w:ascii="Arial" w:hAnsi="Arial" w:cs="Arial"/>
          <w:sz w:val="20"/>
          <w:szCs w:val="20"/>
          <w:lang w:val="en-US"/>
        </w:rPr>
        <w:t xml:space="preserve">the SAPS had a promotion backlog of more than </w:t>
      </w:r>
      <w:r w:rsidR="00EF5555" w:rsidRPr="004607C7">
        <w:rPr>
          <w:rFonts w:ascii="Arial" w:hAnsi="Arial" w:cs="Arial"/>
          <w:sz w:val="20"/>
          <w:szCs w:val="20"/>
          <w:lang w:val="en-US"/>
        </w:rPr>
        <w:t>60</w:t>
      </w:r>
      <w:r w:rsidR="00F3221B" w:rsidRPr="004607C7">
        <w:rPr>
          <w:rFonts w:ascii="Arial" w:hAnsi="Arial" w:cs="Arial"/>
          <w:sz w:val="20"/>
          <w:szCs w:val="20"/>
          <w:lang w:val="en-US"/>
        </w:rPr>
        <w:t> </w:t>
      </w:r>
      <w:r w:rsidR="00EF5555" w:rsidRPr="004607C7">
        <w:rPr>
          <w:rFonts w:ascii="Arial" w:hAnsi="Arial" w:cs="Arial"/>
          <w:sz w:val="20"/>
          <w:szCs w:val="20"/>
          <w:lang w:val="en-US"/>
        </w:rPr>
        <w:t>000</w:t>
      </w:r>
      <w:r w:rsidR="00F3221B" w:rsidRPr="004607C7">
        <w:rPr>
          <w:rFonts w:ascii="Arial" w:hAnsi="Arial" w:cs="Arial"/>
          <w:sz w:val="20"/>
          <w:szCs w:val="20"/>
          <w:lang w:val="en-US"/>
        </w:rPr>
        <w:t>, which had been cleared. The Department further stated that the</w:t>
      </w:r>
      <w:r w:rsidR="00EF5555" w:rsidRPr="004607C7">
        <w:rPr>
          <w:rFonts w:ascii="Arial" w:hAnsi="Arial" w:cs="Arial"/>
          <w:sz w:val="20"/>
          <w:szCs w:val="20"/>
          <w:lang w:val="en-US"/>
        </w:rPr>
        <w:t xml:space="preserve"> </w:t>
      </w:r>
      <w:r w:rsidR="00F3221B" w:rsidRPr="004607C7">
        <w:rPr>
          <w:rFonts w:ascii="Arial" w:hAnsi="Arial" w:cs="Arial"/>
          <w:sz w:val="20"/>
          <w:szCs w:val="20"/>
          <w:lang w:val="en-US"/>
        </w:rPr>
        <w:t>p</w:t>
      </w:r>
      <w:r w:rsidR="00EF5555" w:rsidRPr="004607C7">
        <w:rPr>
          <w:rFonts w:ascii="Arial" w:hAnsi="Arial" w:cs="Arial"/>
          <w:sz w:val="20"/>
          <w:szCs w:val="20"/>
          <w:lang w:val="en-US"/>
        </w:rPr>
        <w:t>romotions were for non-commissioned officers</w:t>
      </w:r>
      <w:r w:rsidR="00F3221B" w:rsidRPr="004607C7">
        <w:rPr>
          <w:rFonts w:ascii="Arial" w:hAnsi="Arial" w:cs="Arial"/>
          <w:sz w:val="20"/>
          <w:szCs w:val="20"/>
          <w:lang w:val="en-US"/>
        </w:rPr>
        <w:t xml:space="preserve"> and explained that posts for c</w:t>
      </w:r>
      <w:r w:rsidR="00EF5555" w:rsidRPr="004607C7">
        <w:rPr>
          <w:rFonts w:ascii="Arial" w:hAnsi="Arial" w:cs="Arial"/>
          <w:sz w:val="20"/>
          <w:szCs w:val="20"/>
          <w:lang w:val="en-US"/>
        </w:rPr>
        <w:t xml:space="preserve">ommissioned officers </w:t>
      </w:r>
      <w:r w:rsidR="00F3221B" w:rsidRPr="004607C7">
        <w:rPr>
          <w:rFonts w:ascii="Arial" w:hAnsi="Arial" w:cs="Arial"/>
          <w:sz w:val="20"/>
          <w:szCs w:val="20"/>
          <w:lang w:val="en-US"/>
        </w:rPr>
        <w:t xml:space="preserve">are </w:t>
      </w:r>
      <w:r w:rsidR="00EF5555" w:rsidRPr="004607C7">
        <w:rPr>
          <w:rFonts w:ascii="Arial" w:hAnsi="Arial" w:cs="Arial"/>
          <w:sz w:val="20"/>
          <w:szCs w:val="20"/>
          <w:lang w:val="en-US"/>
        </w:rPr>
        <w:t>advertised internally</w:t>
      </w:r>
      <w:r w:rsidR="00F3221B" w:rsidRPr="004607C7">
        <w:rPr>
          <w:rFonts w:ascii="Arial" w:hAnsi="Arial" w:cs="Arial"/>
          <w:sz w:val="20"/>
          <w:szCs w:val="20"/>
          <w:lang w:val="en-US"/>
        </w:rPr>
        <w:t xml:space="preserve"> through a post-promotion</w:t>
      </w:r>
      <w:r w:rsidR="00EF5555" w:rsidRPr="004607C7">
        <w:rPr>
          <w:rFonts w:ascii="Arial" w:hAnsi="Arial" w:cs="Arial"/>
          <w:sz w:val="20"/>
          <w:szCs w:val="20"/>
          <w:lang w:val="en-US"/>
        </w:rPr>
        <w:t xml:space="preserve"> process. </w:t>
      </w:r>
      <w:r w:rsidR="00F3221B" w:rsidRPr="004607C7">
        <w:rPr>
          <w:rFonts w:ascii="Arial" w:hAnsi="Arial" w:cs="Arial"/>
          <w:sz w:val="20"/>
          <w:szCs w:val="20"/>
          <w:lang w:val="en-US"/>
        </w:rPr>
        <w:t xml:space="preserve">The negotiations are still ongoing in the </w:t>
      </w:r>
      <w:r w:rsidR="00EF5555" w:rsidRPr="004607C7">
        <w:rPr>
          <w:rFonts w:ascii="Arial" w:hAnsi="Arial" w:cs="Arial"/>
          <w:sz w:val="20"/>
          <w:szCs w:val="20"/>
          <w:lang w:val="en-US"/>
        </w:rPr>
        <w:t xml:space="preserve">SSSBC </w:t>
      </w:r>
      <w:r w:rsidR="00F3221B" w:rsidRPr="004607C7">
        <w:rPr>
          <w:rFonts w:ascii="Arial" w:hAnsi="Arial" w:cs="Arial"/>
          <w:sz w:val="20"/>
          <w:szCs w:val="20"/>
          <w:lang w:val="en-US"/>
        </w:rPr>
        <w:t>and it is believed that the n</w:t>
      </w:r>
      <w:r w:rsidR="00EF5555" w:rsidRPr="004607C7">
        <w:rPr>
          <w:rFonts w:ascii="Arial" w:hAnsi="Arial" w:cs="Arial"/>
          <w:sz w:val="20"/>
          <w:szCs w:val="20"/>
          <w:lang w:val="en-US"/>
        </w:rPr>
        <w:t xml:space="preserve">ew Promotion Policy </w:t>
      </w:r>
      <w:r w:rsidR="00F5075A" w:rsidRPr="004607C7">
        <w:rPr>
          <w:rFonts w:ascii="Arial" w:hAnsi="Arial" w:cs="Arial"/>
          <w:sz w:val="20"/>
          <w:szCs w:val="20"/>
          <w:lang w:val="en-US"/>
        </w:rPr>
        <w:t>will</w:t>
      </w:r>
      <w:r w:rsidR="00EF5555" w:rsidRPr="004607C7">
        <w:rPr>
          <w:rFonts w:ascii="Arial" w:hAnsi="Arial" w:cs="Arial"/>
          <w:sz w:val="20"/>
          <w:szCs w:val="20"/>
          <w:lang w:val="en-US"/>
        </w:rPr>
        <w:t xml:space="preserve"> be finali</w:t>
      </w:r>
      <w:r w:rsidR="00F3221B" w:rsidRPr="004607C7">
        <w:rPr>
          <w:rFonts w:ascii="Arial" w:hAnsi="Arial" w:cs="Arial"/>
          <w:sz w:val="20"/>
          <w:szCs w:val="20"/>
          <w:lang w:val="en-US"/>
        </w:rPr>
        <w:t>s</w:t>
      </w:r>
      <w:r w:rsidR="00EF5555" w:rsidRPr="004607C7">
        <w:rPr>
          <w:rFonts w:ascii="Arial" w:hAnsi="Arial" w:cs="Arial"/>
          <w:sz w:val="20"/>
          <w:szCs w:val="20"/>
          <w:lang w:val="en-US"/>
        </w:rPr>
        <w:t>ed in 2023.</w:t>
      </w:r>
      <w:r w:rsidR="00EF5555" w:rsidRPr="004607C7">
        <w:rPr>
          <w:rFonts w:ascii="Arial" w:hAnsi="Arial" w:cs="Arial"/>
          <w:sz w:val="20"/>
          <w:szCs w:val="20"/>
          <w:highlight w:val="yellow"/>
          <w:lang w:val="en-US"/>
        </w:rPr>
        <w:t xml:space="preserve"> </w:t>
      </w:r>
    </w:p>
    <w:p w:rsidR="00EF5555" w:rsidRPr="004607C7" w:rsidRDefault="00EF5555" w:rsidP="004607C7">
      <w:pPr>
        <w:autoSpaceDE w:val="0"/>
        <w:autoSpaceDN w:val="0"/>
        <w:adjustRightInd w:val="0"/>
        <w:spacing w:line="240" w:lineRule="auto"/>
        <w:jc w:val="left"/>
        <w:rPr>
          <w:rFonts w:ascii="Arial" w:hAnsi="Arial" w:cs="Arial"/>
          <w:color w:val="000000"/>
          <w:sz w:val="20"/>
          <w:szCs w:val="20"/>
          <w:lang w:eastAsia="en-ZA"/>
        </w:rPr>
      </w:pPr>
    </w:p>
    <w:p w:rsidR="003851B4" w:rsidRPr="004607C7" w:rsidRDefault="00942651" w:rsidP="004607C7">
      <w:pPr>
        <w:autoSpaceDE w:val="0"/>
        <w:autoSpaceDN w:val="0"/>
        <w:adjustRightInd w:val="0"/>
        <w:spacing w:line="240" w:lineRule="auto"/>
        <w:jc w:val="left"/>
        <w:rPr>
          <w:rFonts w:ascii="Arial" w:hAnsi="Arial" w:cs="Arial"/>
          <w:color w:val="000000"/>
          <w:sz w:val="20"/>
          <w:szCs w:val="20"/>
          <w:lang w:eastAsia="en-ZA"/>
        </w:rPr>
      </w:pPr>
      <w:r w:rsidRPr="004607C7">
        <w:rPr>
          <w:rFonts w:ascii="Arial" w:hAnsi="Arial" w:cs="Arial"/>
          <w:b/>
          <w:color w:val="000000"/>
          <w:sz w:val="20"/>
          <w:szCs w:val="20"/>
          <w:lang w:eastAsia="en-ZA"/>
        </w:rPr>
        <w:t>Conditions of service, allowances and salaries:</w:t>
      </w:r>
      <w:r w:rsidRPr="004607C7">
        <w:rPr>
          <w:rFonts w:ascii="Arial" w:hAnsi="Arial" w:cs="Arial"/>
          <w:color w:val="000000"/>
          <w:sz w:val="20"/>
          <w:szCs w:val="20"/>
          <w:lang w:eastAsia="en-ZA"/>
        </w:rPr>
        <w:t xml:space="preserve"> The Committee requested clarity on the once-off non-pensionable allowances paid in 2022/23 that was terminated from 2023/24</w:t>
      </w:r>
      <w:r w:rsidR="00F5075A" w:rsidRPr="004607C7">
        <w:rPr>
          <w:rFonts w:ascii="Arial" w:hAnsi="Arial" w:cs="Arial"/>
          <w:color w:val="000000"/>
          <w:sz w:val="20"/>
          <w:szCs w:val="20"/>
          <w:lang w:eastAsia="en-ZA"/>
        </w:rPr>
        <w:t xml:space="preserve"> onward</w:t>
      </w:r>
      <w:r w:rsidRPr="004607C7">
        <w:rPr>
          <w:rFonts w:ascii="Arial" w:hAnsi="Arial" w:cs="Arial"/>
          <w:color w:val="000000"/>
          <w:sz w:val="20"/>
          <w:szCs w:val="20"/>
          <w:lang w:eastAsia="en-ZA"/>
        </w:rPr>
        <w:t xml:space="preserve">, and noted that this led to the negative growth in Compensation of </w:t>
      </w:r>
      <w:r w:rsidR="00F5075A" w:rsidRPr="004607C7">
        <w:rPr>
          <w:rFonts w:ascii="Arial" w:hAnsi="Arial" w:cs="Arial"/>
          <w:color w:val="000000"/>
          <w:sz w:val="20"/>
          <w:szCs w:val="20"/>
          <w:lang w:eastAsia="en-ZA"/>
        </w:rPr>
        <w:t>E</w:t>
      </w:r>
      <w:r w:rsidRPr="004607C7">
        <w:rPr>
          <w:rFonts w:ascii="Arial" w:hAnsi="Arial" w:cs="Arial"/>
          <w:color w:val="000000"/>
          <w:sz w:val="20"/>
          <w:szCs w:val="20"/>
          <w:lang w:eastAsia="en-ZA"/>
        </w:rPr>
        <w:t xml:space="preserve">mployees when comparing 2022/23 and 2023/24. The Committee noted that service allowances, </w:t>
      </w:r>
      <w:r w:rsidR="009F06D3" w:rsidRPr="004607C7">
        <w:rPr>
          <w:rFonts w:ascii="Arial" w:hAnsi="Arial" w:cs="Arial"/>
          <w:color w:val="000000"/>
          <w:sz w:val="20"/>
          <w:szCs w:val="20"/>
          <w:lang w:eastAsia="en-ZA"/>
        </w:rPr>
        <w:t>housing allowances and danger pay had improved, but that more should be done to improve these allowances. It was mentioned that these should be exempted from tax.</w:t>
      </w:r>
    </w:p>
    <w:p w:rsidR="00EF5555" w:rsidRPr="004607C7" w:rsidRDefault="00EF5555" w:rsidP="004607C7">
      <w:pPr>
        <w:spacing w:line="240" w:lineRule="auto"/>
        <w:jc w:val="left"/>
        <w:rPr>
          <w:rFonts w:ascii="Arial" w:hAnsi="Arial" w:cs="Arial"/>
          <w:b/>
          <w:sz w:val="20"/>
          <w:szCs w:val="20"/>
        </w:rPr>
      </w:pPr>
    </w:p>
    <w:p w:rsidR="00C3522A" w:rsidRPr="004607C7" w:rsidRDefault="002E60DE" w:rsidP="004607C7">
      <w:pPr>
        <w:spacing w:line="240" w:lineRule="auto"/>
        <w:jc w:val="left"/>
        <w:rPr>
          <w:rFonts w:ascii="Arial" w:hAnsi="Arial" w:cs="Arial"/>
          <w:sz w:val="20"/>
          <w:szCs w:val="20"/>
        </w:rPr>
      </w:pPr>
      <w:r w:rsidRPr="004607C7">
        <w:rPr>
          <w:rFonts w:ascii="Arial" w:hAnsi="Arial" w:cs="Arial"/>
          <w:b/>
          <w:sz w:val="20"/>
          <w:szCs w:val="20"/>
        </w:rPr>
        <w:t>Reservists:</w:t>
      </w:r>
      <w:r w:rsidR="00593BA2" w:rsidRPr="004607C7">
        <w:rPr>
          <w:rFonts w:ascii="Arial" w:hAnsi="Arial" w:cs="Arial"/>
          <w:b/>
          <w:sz w:val="20"/>
          <w:szCs w:val="20"/>
        </w:rPr>
        <w:t xml:space="preserve"> </w:t>
      </w:r>
      <w:r w:rsidR="00593BA2" w:rsidRPr="004607C7">
        <w:rPr>
          <w:rFonts w:ascii="Arial" w:hAnsi="Arial" w:cs="Arial"/>
          <w:sz w:val="20"/>
          <w:szCs w:val="20"/>
        </w:rPr>
        <w:t>The Committee raised concern about the duties of reservists and indicated that some reservists are working under no supervision</w:t>
      </w:r>
      <w:r w:rsidR="00F5075A" w:rsidRPr="004607C7">
        <w:rPr>
          <w:rFonts w:ascii="Arial" w:hAnsi="Arial" w:cs="Arial"/>
          <w:sz w:val="20"/>
          <w:szCs w:val="20"/>
        </w:rPr>
        <w:t xml:space="preserve"> and</w:t>
      </w:r>
      <w:r w:rsidR="00593BA2" w:rsidRPr="004607C7">
        <w:rPr>
          <w:rFonts w:ascii="Arial" w:hAnsi="Arial" w:cs="Arial"/>
          <w:sz w:val="20"/>
          <w:szCs w:val="20"/>
        </w:rPr>
        <w:t xml:space="preserve"> without adequate training and questioned whether the system must not be done away with. The SAPS indicated that reservists must meet certain standards in terms of medicals examinations, amongst others and that the SAPS is unable to accommodate all reservists. </w:t>
      </w:r>
      <w:r w:rsidR="00F3221B" w:rsidRPr="004607C7">
        <w:rPr>
          <w:rFonts w:ascii="Arial" w:hAnsi="Arial" w:cs="Arial"/>
          <w:sz w:val="20"/>
          <w:szCs w:val="20"/>
        </w:rPr>
        <w:t xml:space="preserve">The Department indicated that the number of reservists must be boosted, but that the Department does not currently have the capacity to train reservists while Project 10 000 is running. </w:t>
      </w:r>
    </w:p>
    <w:p w:rsidR="00C3522A" w:rsidRPr="004607C7" w:rsidRDefault="00C3522A" w:rsidP="004607C7">
      <w:pPr>
        <w:spacing w:line="240" w:lineRule="auto"/>
        <w:jc w:val="left"/>
        <w:rPr>
          <w:rFonts w:ascii="Arial" w:hAnsi="Arial" w:cs="Arial"/>
          <w:sz w:val="20"/>
          <w:szCs w:val="20"/>
        </w:rPr>
      </w:pPr>
    </w:p>
    <w:p w:rsidR="00234945" w:rsidRPr="004607C7" w:rsidRDefault="00B902D0" w:rsidP="004607C7">
      <w:pPr>
        <w:spacing w:line="240" w:lineRule="auto"/>
        <w:jc w:val="left"/>
        <w:rPr>
          <w:rFonts w:ascii="Arial" w:hAnsi="Arial" w:cs="Arial"/>
          <w:b/>
          <w:sz w:val="20"/>
          <w:szCs w:val="20"/>
        </w:rPr>
      </w:pPr>
      <w:r w:rsidRPr="004607C7">
        <w:rPr>
          <w:rFonts w:ascii="Arial" w:hAnsi="Arial" w:cs="Arial"/>
          <w:b/>
          <w:sz w:val="20"/>
          <w:szCs w:val="20"/>
        </w:rPr>
        <w:t>Organisational r</w:t>
      </w:r>
      <w:r w:rsidR="00234945" w:rsidRPr="004607C7">
        <w:rPr>
          <w:rFonts w:ascii="Arial" w:hAnsi="Arial" w:cs="Arial"/>
          <w:b/>
          <w:sz w:val="20"/>
          <w:szCs w:val="20"/>
        </w:rPr>
        <w:t>estructuring:</w:t>
      </w:r>
      <w:r w:rsidR="00650FAD" w:rsidRPr="004607C7">
        <w:rPr>
          <w:rFonts w:ascii="Arial" w:hAnsi="Arial" w:cs="Arial"/>
          <w:b/>
          <w:sz w:val="20"/>
          <w:szCs w:val="20"/>
        </w:rPr>
        <w:t xml:space="preserve"> </w:t>
      </w:r>
      <w:r w:rsidR="00B12695" w:rsidRPr="004607C7">
        <w:rPr>
          <w:rFonts w:ascii="Arial" w:hAnsi="Arial" w:cs="Arial"/>
          <w:sz w:val="20"/>
          <w:szCs w:val="20"/>
        </w:rPr>
        <w:t xml:space="preserve">The </w:t>
      </w:r>
      <w:r w:rsidR="00B12695" w:rsidRPr="004607C7">
        <w:rPr>
          <w:rFonts w:ascii="Arial" w:hAnsi="Arial" w:cs="Arial"/>
          <w:color w:val="000000"/>
          <w:sz w:val="20"/>
          <w:szCs w:val="20"/>
          <w:lang w:eastAsia="en-ZA"/>
        </w:rPr>
        <w:t>Committee requested an update on the status of the Organisational Restructuring and indicated that a</w:t>
      </w:r>
      <w:r w:rsidR="00650FAD" w:rsidRPr="004607C7">
        <w:rPr>
          <w:rFonts w:ascii="Arial" w:hAnsi="Arial" w:cs="Arial"/>
          <w:color w:val="000000"/>
          <w:sz w:val="20"/>
          <w:szCs w:val="20"/>
          <w:lang w:eastAsia="en-ZA"/>
        </w:rPr>
        <w:t xml:space="preserve">ccording to the SSSBC Agreement 1 of 2020, the restructuring must be completed by </w:t>
      </w:r>
      <w:r w:rsidR="00F5075A" w:rsidRPr="004607C7">
        <w:rPr>
          <w:rFonts w:ascii="Arial" w:hAnsi="Arial" w:cs="Arial"/>
          <w:color w:val="000000"/>
          <w:sz w:val="20"/>
          <w:szCs w:val="20"/>
          <w:lang w:eastAsia="en-ZA"/>
        </w:rPr>
        <w:t xml:space="preserve">the end of </w:t>
      </w:r>
      <w:r w:rsidR="00650FAD" w:rsidRPr="004607C7">
        <w:rPr>
          <w:rFonts w:ascii="Arial" w:hAnsi="Arial" w:cs="Arial"/>
          <w:color w:val="000000"/>
          <w:sz w:val="20"/>
          <w:szCs w:val="20"/>
          <w:lang w:eastAsia="en-ZA"/>
        </w:rPr>
        <w:t xml:space="preserve">2023/24. The SAPS indicated that the process is </w:t>
      </w:r>
      <w:r w:rsidR="00B12695" w:rsidRPr="004607C7">
        <w:rPr>
          <w:rFonts w:ascii="Arial" w:hAnsi="Arial" w:cs="Arial"/>
          <w:color w:val="000000"/>
          <w:sz w:val="20"/>
          <w:szCs w:val="20"/>
          <w:lang w:eastAsia="en-ZA"/>
        </w:rPr>
        <w:t>underway and will be rolled</w:t>
      </w:r>
      <w:r w:rsidR="00650FAD" w:rsidRPr="004607C7">
        <w:rPr>
          <w:rFonts w:ascii="Arial" w:hAnsi="Arial" w:cs="Arial"/>
          <w:color w:val="000000"/>
          <w:sz w:val="20"/>
          <w:szCs w:val="20"/>
          <w:lang w:eastAsia="en-ZA"/>
        </w:rPr>
        <w:t xml:space="preserve"> out from </w:t>
      </w:r>
      <w:r w:rsidR="00B12695" w:rsidRPr="004607C7">
        <w:rPr>
          <w:rFonts w:ascii="Arial" w:hAnsi="Arial" w:cs="Arial"/>
          <w:color w:val="000000"/>
          <w:sz w:val="20"/>
          <w:szCs w:val="20"/>
          <w:lang w:eastAsia="en-ZA"/>
        </w:rPr>
        <w:t xml:space="preserve">salary </w:t>
      </w:r>
      <w:r w:rsidR="00650FAD" w:rsidRPr="004607C7">
        <w:rPr>
          <w:rFonts w:ascii="Arial" w:hAnsi="Arial" w:cs="Arial"/>
          <w:color w:val="000000"/>
          <w:sz w:val="20"/>
          <w:szCs w:val="20"/>
          <w:lang w:eastAsia="en-ZA"/>
        </w:rPr>
        <w:t>level</w:t>
      </w:r>
      <w:r w:rsidR="00B12695" w:rsidRPr="004607C7">
        <w:rPr>
          <w:rFonts w:ascii="Arial" w:hAnsi="Arial" w:cs="Arial"/>
          <w:color w:val="000000"/>
          <w:sz w:val="20"/>
          <w:szCs w:val="20"/>
          <w:lang w:eastAsia="en-ZA"/>
        </w:rPr>
        <w:t>s</w:t>
      </w:r>
      <w:r w:rsidR="00650FAD" w:rsidRPr="004607C7">
        <w:rPr>
          <w:rFonts w:ascii="Arial" w:hAnsi="Arial" w:cs="Arial"/>
          <w:color w:val="000000"/>
          <w:sz w:val="20"/>
          <w:szCs w:val="20"/>
          <w:lang w:eastAsia="en-ZA"/>
        </w:rPr>
        <w:t xml:space="preserve"> 12 </w:t>
      </w:r>
      <w:r w:rsidR="00B12695" w:rsidRPr="004607C7">
        <w:rPr>
          <w:rFonts w:ascii="Arial" w:hAnsi="Arial" w:cs="Arial"/>
          <w:color w:val="000000"/>
          <w:sz w:val="20"/>
          <w:szCs w:val="20"/>
          <w:lang w:eastAsia="en-ZA"/>
        </w:rPr>
        <w:t xml:space="preserve">and </w:t>
      </w:r>
      <w:r w:rsidR="00650FAD" w:rsidRPr="004607C7">
        <w:rPr>
          <w:rFonts w:ascii="Arial" w:hAnsi="Arial" w:cs="Arial"/>
          <w:color w:val="000000"/>
          <w:sz w:val="20"/>
          <w:szCs w:val="20"/>
          <w:lang w:eastAsia="en-ZA"/>
        </w:rPr>
        <w:t xml:space="preserve">downwards. </w:t>
      </w:r>
      <w:r w:rsidR="00B12695" w:rsidRPr="004607C7">
        <w:rPr>
          <w:rFonts w:ascii="Arial" w:hAnsi="Arial" w:cs="Arial"/>
          <w:color w:val="000000"/>
          <w:sz w:val="20"/>
          <w:szCs w:val="20"/>
          <w:lang w:eastAsia="en-ZA"/>
        </w:rPr>
        <w:t xml:space="preserve">The SAPS indicated that the </w:t>
      </w:r>
      <w:r w:rsidR="00650FAD" w:rsidRPr="004607C7">
        <w:rPr>
          <w:rFonts w:ascii="Arial" w:hAnsi="Arial" w:cs="Arial"/>
          <w:color w:val="000000"/>
          <w:sz w:val="20"/>
          <w:szCs w:val="20"/>
          <w:lang w:eastAsia="en-ZA"/>
        </w:rPr>
        <w:t xml:space="preserve">SSSBC Agreement </w:t>
      </w:r>
      <w:r w:rsidR="00B12695" w:rsidRPr="004607C7">
        <w:rPr>
          <w:rFonts w:ascii="Arial" w:hAnsi="Arial" w:cs="Arial"/>
          <w:color w:val="000000"/>
          <w:sz w:val="20"/>
          <w:szCs w:val="20"/>
          <w:lang w:eastAsia="en-ZA"/>
        </w:rPr>
        <w:t>resulted from continued concerns that the SAPS</w:t>
      </w:r>
      <w:r w:rsidR="00650FAD" w:rsidRPr="004607C7">
        <w:rPr>
          <w:rFonts w:ascii="Arial" w:hAnsi="Arial" w:cs="Arial"/>
          <w:color w:val="000000"/>
          <w:sz w:val="20"/>
          <w:szCs w:val="20"/>
          <w:lang w:eastAsia="en-ZA"/>
        </w:rPr>
        <w:t xml:space="preserve"> is top heavy.</w:t>
      </w:r>
      <w:r w:rsidR="00B12695" w:rsidRPr="004607C7">
        <w:rPr>
          <w:rFonts w:ascii="Arial" w:hAnsi="Arial" w:cs="Arial"/>
          <w:color w:val="000000"/>
          <w:sz w:val="20"/>
          <w:szCs w:val="20"/>
          <w:lang w:eastAsia="en-ZA"/>
        </w:rPr>
        <w:t xml:space="preserve"> To date, the number of Deputy National Commissioners has been decreased from six to three and is envisaged to further decrease to two.</w:t>
      </w:r>
      <w:r w:rsidR="00650FAD" w:rsidRPr="004607C7">
        <w:rPr>
          <w:rFonts w:ascii="Arial" w:hAnsi="Arial" w:cs="Arial"/>
          <w:color w:val="000000"/>
          <w:sz w:val="20"/>
          <w:szCs w:val="20"/>
          <w:lang w:eastAsia="en-ZA"/>
        </w:rPr>
        <w:t xml:space="preserve"> </w:t>
      </w:r>
      <w:r w:rsidR="009742C6" w:rsidRPr="004607C7">
        <w:rPr>
          <w:rFonts w:ascii="Arial" w:hAnsi="Arial" w:cs="Arial"/>
          <w:sz w:val="20"/>
          <w:szCs w:val="20"/>
        </w:rPr>
        <w:t xml:space="preserve">The Committee stressed the fact that the Department should be </w:t>
      </w:r>
      <w:r w:rsidR="00EF5555" w:rsidRPr="004607C7">
        <w:rPr>
          <w:rFonts w:ascii="Arial" w:hAnsi="Arial" w:cs="Arial"/>
          <w:sz w:val="20"/>
          <w:szCs w:val="20"/>
          <w:lang w:val="en-US"/>
        </w:rPr>
        <w:t xml:space="preserve">leaner at </w:t>
      </w:r>
      <w:r w:rsidR="009742C6" w:rsidRPr="004607C7">
        <w:rPr>
          <w:rFonts w:ascii="Arial" w:hAnsi="Arial" w:cs="Arial"/>
          <w:sz w:val="20"/>
          <w:szCs w:val="20"/>
          <w:lang w:val="en-US"/>
        </w:rPr>
        <w:t xml:space="preserve">the </w:t>
      </w:r>
      <w:r w:rsidR="00EF5555" w:rsidRPr="004607C7">
        <w:rPr>
          <w:rFonts w:ascii="Arial" w:hAnsi="Arial" w:cs="Arial"/>
          <w:sz w:val="20"/>
          <w:szCs w:val="20"/>
          <w:lang w:val="en-US"/>
        </w:rPr>
        <w:t>top management structure</w:t>
      </w:r>
      <w:r w:rsidR="009742C6" w:rsidRPr="004607C7">
        <w:rPr>
          <w:rFonts w:ascii="Arial" w:hAnsi="Arial" w:cs="Arial"/>
          <w:sz w:val="20"/>
          <w:szCs w:val="20"/>
          <w:lang w:val="en-US"/>
        </w:rPr>
        <w:t xml:space="preserve">. </w:t>
      </w:r>
      <w:r w:rsidR="00EF5555" w:rsidRPr="004607C7">
        <w:rPr>
          <w:rFonts w:ascii="Arial" w:hAnsi="Arial" w:cs="Arial"/>
          <w:sz w:val="20"/>
          <w:szCs w:val="20"/>
          <w:lang w:val="en-US"/>
        </w:rPr>
        <w:t xml:space="preserve"> </w:t>
      </w:r>
    </w:p>
    <w:p w:rsidR="00234945" w:rsidRPr="004607C7" w:rsidRDefault="00234945" w:rsidP="004607C7">
      <w:pPr>
        <w:spacing w:line="240" w:lineRule="auto"/>
        <w:jc w:val="left"/>
        <w:rPr>
          <w:rFonts w:ascii="Arial" w:hAnsi="Arial" w:cs="Arial"/>
          <w:b/>
          <w:sz w:val="20"/>
          <w:szCs w:val="20"/>
        </w:rPr>
      </w:pPr>
    </w:p>
    <w:p w:rsidR="0075629E" w:rsidRPr="004607C7" w:rsidRDefault="00234945" w:rsidP="004607C7">
      <w:pPr>
        <w:spacing w:line="240" w:lineRule="auto"/>
        <w:jc w:val="left"/>
        <w:rPr>
          <w:rFonts w:ascii="Arial" w:hAnsi="Arial" w:cs="Arial"/>
          <w:sz w:val="20"/>
          <w:szCs w:val="20"/>
          <w:lang w:val="en-US"/>
        </w:rPr>
      </w:pPr>
      <w:r w:rsidRPr="004607C7">
        <w:rPr>
          <w:rFonts w:ascii="Arial" w:hAnsi="Arial" w:cs="Arial"/>
          <w:b/>
          <w:sz w:val="20"/>
          <w:szCs w:val="20"/>
          <w:lang w:val="en-US"/>
        </w:rPr>
        <w:t>C</w:t>
      </w:r>
      <w:r w:rsidR="000E7685" w:rsidRPr="004607C7">
        <w:rPr>
          <w:rFonts w:ascii="Arial" w:hAnsi="Arial" w:cs="Arial"/>
          <w:b/>
          <w:sz w:val="20"/>
          <w:szCs w:val="20"/>
          <w:lang w:val="en-US"/>
        </w:rPr>
        <w:t>ommunity Police Forums (C</w:t>
      </w:r>
      <w:r w:rsidRPr="004607C7">
        <w:rPr>
          <w:rFonts w:ascii="Arial" w:hAnsi="Arial" w:cs="Arial"/>
          <w:b/>
          <w:sz w:val="20"/>
          <w:szCs w:val="20"/>
          <w:lang w:val="en-US"/>
        </w:rPr>
        <w:t>PFs</w:t>
      </w:r>
      <w:r w:rsidR="000E7685" w:rsidRPr="004607C7">
        <w:rPr>
          <w:rFonts w:ascii="Arial" w:hAnsi="Arial" w:cs="Arial"/>
          <w:b/>
          <w:sz w:val="20"/>
          <w:szCs w:val="20"/>
          <w:lang w:val="en-US"/>
        </w:rPr>
        <w:t>)</w:t>
      </w:r>
      <w:r w:rsidRPr="004607C7">
        <w:rPr>
          <w:rFonts w:ascii="Arial" w:hAnsi="Arial" w:cs="Arial"/>
          <w:b/>
          <w:sz w:val="20"/>
          <w:szCs w:val="20"/>
          <w:lang w:val="en-US"/>
        </w:rPr>
        <w:t>:</w:t>
      </w:r>
      <w:r w:rsidR="000E7685" w:rsidRPr="004607C7">
        <w:rPr>
          <w:rFonts w:ascii="Arial" w:hAnsi="Arial" w:cs="Arial"/>
          <w:b/>
          <w:sz w:val="20"/>
          <w:szCs w:val="20"/>
          <w:lang w:val="en-US"/>
        </w:rPr>
        <w:t xml:space="preserve"> </w:t>
      </w:r>
      <w:r w:rsidR="000E7685" w:rsidRPr="004607C7">
        <w:rPr>
          <w:rFonts w:ascii="Arial" w:hAnsi="Arial" w:cs="Arial"/>
          <w:sz w:val="20"/>
          <w:szCs w:val="20"/>
          <w:lang w:val="en-US"/>
        </w:rPr>
        <w:t xml:space="preserve">The Committee </w:t>
      </w:r>
      <w:r w:rsidR="003235B9" w:rsidRPr="004607C7">
        <w:rPr>
          <w:rFonts w:ascii="Arial" w:hAnsi="Arial" w:cs="Arial"/>
          <w:sz w:val="20"/>
          <w:szCs w:val="20"/>
          <w:lang w:val="en-US"/>
        </w:rPr>
        <w:t>highlighted that the effective resourcing of CPFs will remain a priority, as it has been throughout the 6</w:t>
      </w:r>
      <w:r w:rsidR="003235B9" w:rsidRPr="004607C7">
        <w:rPr>
          <w:rFonts w:ascii="Arial" w:hAnsi="Arial" w:cs="Arial"/>
          <w:sz w:val="20"/>
          <w:szCs w:val="20"/>
          <w:vertAlign w:val="superscript"/>
          <w:lang w:val="en-US"/>
        </w:rPr>
        <w:t>th</w:t>
      </w:r>
      <w:r w:rsidR="003235B9" w:rsidRPr="004607C7">
        <w:rPr>
          <w:rFonts w:ascii="Arial" w:hAnsi="Arial" w:cs="Arial"/>
          <w:sz w:val="20"/>
          <w:szCs w:val="20"/>
          <w:lang w:val="en-US"/>
        </w:rPr>
        <w:t xml:space="preserve"> Parliament, for the remainder of the </w:t>
      </w:r>
      <w:r w:rsidR="003235B9" w:rsidRPr="004607C7">
        <w:rPr>
          <w:rFonts w:ascii="Arial" w:hAnsi="Arial" w:cs="Arial"/>
          <w:sz w:val="20"/>
          <w:szCs w:val="20"/>
          <w:lang w:val="en-US"/>
        </w:rPr>
        <w:lastRenderedPageBreak/>
        <w:t xml:space="preserve">Parliamentary term. The Committee stated that the involvement of the community and establishment of operational CPFs have been noted as a SONA priority for two consecutive years, yet little has happened to assist CPFs to become fully functional through resourcing. The Committee noted that CPFs are at the heart of partnership policing, yet these structures are often disregarded by the SAPS through, amongst others, not attending CPF meetings. </w:t>
      </w:r>
    </w:p>
    <w:p w:rsidR="0075629E" w:rsidRPr="004607C7" w:rsidRDefault="0075629E" w:rsidP="004607C7">
      <w:pPr>
        <w:spacing w:line="240" w:lineRule="auto"/>
        <w:jc w:val="left"/>
        <w:rPr>
          <w:rFonts w:ascii="Arial" w:hAnsi="Arial" w:cs="Arial"/>
          <w:sz w:val="20"/>
          <w:szCs w:val="20"/>
          <w:lang w:val="en-US"/>
        </w:rPr>
      </w:pPr>
    </w:p>
    <w:p w:rsidR="00234945" w:rsidRPr="004607C7" w:rsidRDefault="003235B9" w:rsidP="004607C7">
      <w:pPr>
        <w:spacing w:line="240" w:lineRule="auto"/>
        <w:jc w:val="left"/>
        <w:rPr>
          <w:rFonts w:ascii="Arial" w:hAnsi="Arial" w:cs="Arial"/>
          <w:sz w:val="20"/>
          <w:szCs w:val="20"/>
          <w:lang w:val="en-US"/>
        </w:rPr>
      </w:pPr>
      <w:r w:rsidRPr="004607C7">
        <w:rPr>
          <w:rFonts w:ascii="Arial" w:hAnsi="Arial" w:cs="Arial"/>
          <w:sz w:val="20"/>
          <w:szCs w:val="20"/>
          <w:lang w:val="en-US"/>
        </w:rPr>
        <w:t xml:space="preserve">The Committee noted that the attitude displayed towards CPFs reflects the attitude of the SAPS to communities at large and stated that this breaks down the relationship between the police and communities. The Committee requested the Minister </w:t>
      </w:r>
      <w:r w:rsidR="00352068" w:rsidRPr="004607C7">
        <w:rPr>
          <w:rFonts w:ascii="Arial" w:hAnsi="Arial" w:cs="Arial"/>
          <w:sz w:val="20"/>
          <w:szCs w:val="20"/>
          <w:lang w:val="en-US"/>
        </w:rPr>
        <w:t xml:space="preserve">to </w:t>
      </w:r>
      <w:r w:rsidRPr="004607C7">
        <w:rPr>
          <w:rFonts w:ascii="Arial" w:hAnsi="Arial" w:cs="Arial"/>
          <w:sz w:val="20"/>
          <w:szCs w:val="20"/>
          <w:lang w:val="en-US"/>
        </w:rPr>
        <w:t>meet with MECs and Provincial Heads of Department to address the resourcing of CPFs within two weeks to find a solution. The Committee suggested that funds from the Police Budget should be transferred to the Civilian Secretariat for Police Service, and onto provinces to fund community policing projects</w:t>
      </w:r>
      <w:r w:rsidR="0075629E" w:rsidRPr="004607C7">
        <w:rPr>
          <w:rFonts w:ascii="Arial" w:hAnsi="Arial" w:cs="Arial"/>
          <w:sz w:val="20"/>
          <w:szCs w:val="20"/>
          <w:lang w:val="en-US"/>
        </w:rPr>
        <w:t xml:space="preserve"> </w:t>
      </w:r>
      <w:r w:rsidR="00352068" w:rsidRPr="004607C7">
        <w:rPr>
          <w:rFonts w:ascii="Arial" w:hAnsi="Arial" w:cs="Arial"/>
          <w:sz w:val="20"/>
          <w:szCs w:val="20"/>
          <w:lang w:val="en-US"/>
        </w:rPr>
        <w:t>and that the funds must be ring-</w:t>
      </w:r>
      <w:r w:rsidR="0075629E" w:rsidRPr="004607C7">
        <w:rPr>
          <w:rFonts w:ascii="Arial" w:hAnsi="Arial" w:cs="Arial"/>
          <w:sz w:val="20"/>
          <w:szCs w:val="20"/>
          <w:lang w:val="en-US"/>
        </w:rPr>
        <w:t>fenced</w:t>
      </w:r>
      <w:r w:rsidRPr="004607C7">
        <w:rPr>
          <w:rFonts w:ascii="Arial" w:hAnsi="Arial" w:cs="Arial"/>
          <w:sz w:val="20"/>
          <w:szCs w:val="20"/>
          <w:lang w:val="en-US"/>
        </w:rPr>
        <w:t xml:space="preserve">. While the Committee acknowledged the fact that CPFs are voluntary structures, consideration should be given to providing stipends to community members risking their own safety to serve on CPFs. The Committee indicated that it will consider not supporting the SAPS Budget </w:t>
      </w:r>
      <w:r w:rsidR="001761FB" w:rsidRPr="004607C7">
        <w:rPr>
          <w:rFonts w:ascii="Arial" w:hAnsi="Arial" w:cs="Arial"/>
          <w:sz w:val="20"/>
          <w:szCs w:val="20"/>
          <w:lang w:val="en-US"/>
        </w:rPr>
        <w:t>if the resourcing of CPFs is not addressed.</w:t>
      </w:r>
      <w:r w:rsidR="0075629E" w:rsidRPr="004607C7">
        <w:rPr>
          <w:rFonts w:ascii="Arial" w:hAnsi="Arial" w:cs="Arial"/>
          <w:sz w:val="20"/>
          <w:szCs w:val="20"/>
          <w:lang w:val="en-US"/>
        </w:rPr>
        <w:t xml:space="preserve"> The Committee noted that the ethos towards partnership policing should be overhauled.</w:t>
      </w:r>
    </w:p>
    <w:p w:rsidR="0075629E" w:rsidRPr="004607C7" w:rsidRDefault="0075629E" w:rsidP="004607C7">
      <w:pPr>
        <w:spacing w:line="240" w:lineRule="auto"/>
        <w:jc w:val="left"/>
        <w:rPr>
          <w:rFonts w:ascii="Arial" w:hAnsi="Arial" w:cs="Arial"/>
          <w:sz w:val="20"/>
          <w:szCs w:val="20"/>
          <w:lang w:val="en-US"/>
        </w:rPr>
      </w:pPr>
    </w:p>
    <w:p w:rsidR="0075629E" w:rsidRPr="004607C7" w:rsidRDefault="0075629E" w:rsidP="004607C7">
      <w:pPr>
        <w:spacing w:line="240" w:lineRule="auto"/>
        <w:jc w:val="left"/>
        <w:rPr>
          <w:rFonts w:ascii="Arial" w:hAnsi="Arial" w:cs="Arial"/>
          <w:sz w:val="20"/>
          <w:szCs w:val="20"/>
          <w:lang w:val="en-US"/>
        </w:rPr>
      </w:pPr>
      <w:r w:rsidRPr="004607C7">
        <w:rPr>
          <w:rFonts w:ascii="Arial" w:hAnsi="Arial" w:cs="Arial"/>
          <w:sz w:val="20"/>
          <w:szCs w:val="20"/>
          <w:lang w:val="en-US"/>
        </w:rPr>
        <w:t xml:space="preserve">The Committee further noted that the structure and establishment of CPFs are addressed in the SAPS Amendment Bill, but due to the failure to submit the Bill in Parliament, an interim solution must be found to address the significant challenges faced with, and by, CPFs. </w:t>
      </w:r>
    </w:p>
    <w:p w:rsidR="00EA030B" w:rsidRPr="004607C7" w:rsidRDefault="00EA030B" w:rsidP="004607C7">
      <w:pPr>
        <w:spacing w:line="240" w:lineRule="auto"/>
        <w:jc w:val="left"/>
        <w:rPr>
          <w:rFonts w:ascii="Arial" w:hAnsi="Arial" w:cs="Arial"/>
          <w:sz w:val="20"/>
          <w:szCs w:val="20"/>
          <w:lang w:val="en-US"/>
        </w:rPr>
      </w:pPr>
    </w:p>
    <w:p w:rsidR="00EA030B" w:rsidRPr="004607C7" w:rsidRDefault="00EA030B" w:rsidP="004607C7">
      <w:pPr>
        <w:spacing w:line="240" w:lineRule="auto"/>
        <w:jc w:val="left"/>
        <w:rPr>
          <w:rFonts w:ascii="Arial" w:hAnsi="Arial" w:cs="Arial"/>
          <w:sz w:val="20"/>
          <w:szCs w:val="20"/>
        </w:rPr>
      </w:pPr>
      <w:r w:rsidRPr="004607C7">
        <w:rPr>
          <w:rFonts w:ascii="Arial" w:hAnsi="Arial" w:cs="Arial"/>
          <w:sz w:val="20"/>
          <w:szCs w:val="20"/>
          <w:lang w:val="en-US"/>
        </w:rPr>
        <w:t>The Committee noted that the ineffectiveness of CPFs, and preventative policing, had led to the establishment of parallel structures in the Western Cape and Gauteng Provinces, which creates a significant challenge for oversight and accountability as the Crime Prevention Wardens are appointed as Peace Officers und</w:t>
      </w:r>
      <w:r w:rsidR="00352068" w:rsidRPr="004607C7">
        <w:rPr>
          <w:rFonts w:ascii="Arial" w:hAnsi="Arial" w:cs="Arial"/>
          <w:sz w:val="20"/>
          <w:szCs w:val="20"/>
          <w:lang w:val="en-US"/>
        </w:rPr>
        <w:t xml:space="preserve">er the Criminal Procedures Act, and does not fall within the oversight mandate of the IPID. </w:t>
      </w:r>
      <w:r w:rsidR="005C22D8" w:rsidRPr="004607C7">
        <w:rPr>
          <w:rFonts w:ascii="Arial" w:hAnsi="Arial" w:cs="Arial"/>
          <w:sz w:val="20"/>
          <w:szCs w:val="20"/>
          <w:lang w:val="en-US"/>
        </w:rPr>
        <w:t xml:space="preserve">These concerns were also raised by police unions during engagement, especially when Wardens </w:t>
      </w:r>
      <w:r w:rsidR="00352068" w:rsidRPr="004607C7">
        <w:rPr>
          <w:rFonts w:ascii="Arial" w:hAnsi="Arial" w:cs="Arial"/>
          <w:sz w:val="20"/>
          <w:szCs w:val="20"/>
          <w:lang w:val="en-US"/>
        </w:rPr>
        <w:t xml:space="preserve">(who are not armed) </w:t>
      </w:r>
      <w:r w:rsidR="005C22D8" w:rsidRPr="004607C7">
        <w:rPr>
          <w:rFonts w:ascii="Arial" w:hAnsi="Arial" w:cs="Arial"/>
          <w:sz w:val="20"/>
          <w:szCs w:val="20"/>
          <w:lang w:val="en-US"/>
        </w:rPr>
        <w:t xml:space="preserve">confront heavily armed criminals. </w:t>
      </w:r>
    </w:p>
    <w:p w:rsidR="00EF5555" w:rsidRPr="004607C7" w:rsidRDefault="00EF5555" w:rsidP="004607C7">
      <w:pPr>
        <w:spacing w:line="240" w:lineRule="auto"/>
        <w:jc w:val="left"/>
        <w:rPr>
          <w:rFonts w:ascii="Arial" w:hAnsi="Arial" w:cs="Arial"/>
          <w:b/>
          <w:sz w:val="20"/>
          <w:szCs w:val="20"/>
        </w:rPr>
      </w:pPr>
    </w:p>
    <w:p w:rsidR="00234945" w:rsidRPr="004607C7" w:rsidRDefault="00234945" w:rsidP="004607C7">
      <w:pPr>
        <w:spacing w:line="240" w:lineRule="auto"/>
        <w:jc w:val="left"/>
        <w:rPr>
          <w:rFonts w:ascii="Arial" w:hAnsi="Arial" w:cs="Arial"/>
          <w:b/>
          <w:sz w:val="20"/>
          <w:szCs w:val="20"/>
          <w:highlight w:val="yellow"/>
        </w:rPr>
      </w:pPr>
      <w:r w:rsidRPr="004607C7">
        <w:rPr>
          <w:rFonts w:ascii="Arial" w:hAnsi="Arial" w:cs="Arial"/>
          <w:b/>
          <w:sz w:val="20"/>
          <w:szCs w:val="20"/>
        </w:rPr>
        <w:t xml:space="preserve">Forensic Science Laboratories: </w:t>
      </w:r>
      <w:r w:rsidR="000E7685" w:rsidRPr="004607C7">
        <w:rPr>
          <w:rFonts w:ascii="Arial" w:hAnsi="Arial" w:cs="Arial"/>
          <w:sz w:val="20"/>
          <w:szCs w:val="20"/>
        </w:rPr>
        <w:t>While the Committee appreciated the gains that were made in reducing the backlog in the analysis of DNA samples, many concerns remain in this envir</w:t>
      </w:r>
      <w:r w:rsidR="00352068" w:rsidRPr="004607C7">
        <w:rPr>
          <w:rFonts w:ascii="Arial" w:hAnsi="Arial" w:cs="Arial"/>
          <w:sz w:val="20"/>
          <w:szCs w:val="20"/>
        </w:rPr>
        <w:t>onment. The Committee noted the</w:t>
      </w:r>
      <w:r w:rsidR="000E7685" w:rsidRPr="004607C7">
        <w:rPr>
          <w:rFonts w:ascii="Arial" w:hAnsi="Arial" w:cs="Arial"/>
          <w:sz w:val="20"/>
          <w:szCs w:val="20"/>
        </w:rPr>
        <w:t xml:space="preserve"> impact that time-delays have on court cases being withdrawn and that a focus must be placed not only on Biology Units, but also Chemistry Units responsible from the analysis of drug samples and exhibits. The Committee raised specific concern about the </w:t>
      </w:r>
      <w:r w:rsidR="00942651" w:rsidRPr="004607C7">
        <w:rPr>
          <w:rFonts w:ascii="Arial" w:hAnsi="Arial" w:cs="Arial"/>
          <w:sz w:val="20"/>
          <w:szCs w:val="20"/>
        </w:rPr>
        <w:t xml:space="preserve">validity of the </w:t>
      </w:r>
      <w:r w:rsidR="00942651" w:rsidRPr="004607C7">
        <w:rPr>
          <w:rFonts w:ascii="Arial" w:hAnsi="Arial" w:cs="Arial"/>
          <w:sz w:val="20"/>
          <w:szCs w:val="20"/>
          <w:lang w:val="en-US"/>
        </w:rPr>
        <w:t>c</w:t>
      </w:r>
      <w:r w:rsidRPr="004607C7">
        <w:rPr>
          <w:rFonts w:ascii="Arial" w:hAnsi="Arial" w:cs="Arial"/>
          <w:sz w:val="20"/>
          <w:szCs w:val="20"/>
          <w:lang w:val="en-US"/>
        </w:rPr>
        <w:t xml:space="preserve">hain of evidence </w:t>
      </w:r>
      <w:r w:rsidR="00942651" w:rsidRPr="004607C7">
        <w:rPr>
          <w:rFonts w:ascii="Arial" w:hAnsi="Arial" w:cs="Arial"/>
          <w:sz w:val="20"/>
          <w:szCs w:val="20"/>
          <w:lang w:val="en-US"/>
        </w:rPr>
        <w:t xml:space="preserve">of the so-called “lost” </w:t>
      </w:r>
      <w:r w:rsidRPr="004607C7">
        <w:rPr>
          <w:rFonts w:ascii="Arial" w:hAnsi="Arial" w:cs="Arial"/>
          <w:sz w:val="20"/>
          <w:szCs w:val="20"/>
          <w:lang w:val="en-US"/>
        </w:rPr>
        <w:t>exhibits</w:t>
      </w:r>
      <w:r w:rsidR="00942651" w:rsidRPr="004607C7">
        <w:rPr>
          <w:rFonts w:ascii="Arial" w:hAnsi="Arial" w:cs="Arial"/>
          <w:sz w:val="20"/>
          <w:szCs w:val="20"/>
          <w:lang w:val="en-US"/>
        </w:rPr>
        <w:t xml:space="preserve"> and challenges created when the FDA switched off the PCEM System. The Department noted the concerns and assured the Committee that no evidence exhibits were lost due to the switch off and that the chain of evidence is in-tact. </w:t>
      </w:r>
      <w:r w:rsidRPr="004607C7">
        <w:rPr>
          <w:rFonts w:ascii="Arial" w:hAnsi="Arial" w:cs="Arial"/>
          <w:sz w:val="20"/>
          <w:szCs w:val="20"/>
          <w:lang w:val="en-US"/>
        </w:rPr>
        <w:t xml:space="preserve">  </w:t>
      </w:r>
    </w:p>
    <w:p w:rsidR="00234945" w:rsidRPr="004607C7" w:rsidRDefault="00234945" w:rsidP="004607C7">
      <w:pPr>
        <w:spacing w:line="240" w:lineRule="auto"/>
        <w:jc w:val="left"/>
        <w:rPr>
          <w:rFonts w:ascii="Arial" w:hAnsi="Arial" w:cs="Arial"/>
          <w:b/>
          <w:sz w:val="20"/>
          <w:szCs w:val="20"/>
        </w:rPr>
      </w:pPr>
    </w:p>
    <w:p w:rsidR="00DB2B95" w:rsidRPr="004607C7" w:rsidRDefault="00DB2B95" w:rsidP="004607C7">
      <w:pPr>
        <w:spacing w:line="240" w:lineRule="auto"/>
        <w:jc w:val="left"/>
        <w:rPr>
          <w:rFonts w:ascii="Arial" w:hAnsi="Arial" w:cs="Arial"/>
          <w:sz w:val="20"/>
          <w:szCs w:val="20"/>
        </w:rPr>
      </w:pPr>
      <w:r w:rsidRPr="004607C7">
        <w:rPr>
          <w:rFonts w:ascii="Arial" w:hAnsi="Arial" w:cs="Arial"/>
          <w:b/>
          <w:sz w:val="20"/>
          <w:szCs w:val="20"/>
        </w:rPr>
        <w:t xml:space="preserve">Accommodation </w:t>
      </w:r>
      <w:r w:rsidR="00B902D0" w:rsidRPr="004607C7">
        <w:rPr>
          <w:rFonts w:ascii="Arial" w:hAnsi="Arial" w:cs="Arial"/>
          <w:b/>
          <w:sz w:val="20"/>
          <w:szCs w:val="20"/>
        </w:rPr>
        <w:t xml:space="preserve">and safety </w:t>
      </w:r>
      <w:r w:rsidRPr="004607C7">
        <w:rPr>
          <w:rFonts w:ascii="Arial" w:hAnsi="Arial" w:cs="Arial"/>
          <w:b/>
          <w:sz w:val="20"/>
          <w:szCs w:val="20"/>
        </w:rPr>
        <w:t xml:space="preserve">of police </w:t>
      </w:r>
      <w:r w:rsidR="00B902D0" w:rsidRPr="004607C7">
        <w:rPr>
          <w:rFonts w:ascii="Arial" w:hAnsi="Arial" w:cs="Arial"/>
          <w:b/>
          <w:sz w:val="20"/>
          <w:szCs w:val="20"/>
        </w:rPr>
        <w:t>officers</w:t>
      </w:r>
      <w:r w:rsidR="00234945" w:rsidRPr="004607C7">
        <w:rPr>
          <w:rFonts w:ascii="Arial" w:hAnsi="Arial" w:cs="Arial"/>
          <w:b/>
          <w:sz w:val="20"/>
          <w:szCs w:val="20"/>
        </w:rPr>
        <w:t>:</w:t>
      </w:r>
      <w:r w:rsidRPr="004607C7">
        <w:rPr>
          <w:rFonts w:ascii="Arial" w:hAnsi="Arial" w:cs="Arial"/>
          <w:sz w:val="20"/>
          <w:szCs w:val="20"/>
        </w:rPr>
        <w:t xml:space="preserve"> </w:t>
      </w:r>
      <w:r w:rsidR="00E07FCE" w:rsidRPr="004607C7">
        <w:rPr>
          <w:rFonts w:ascii="Arial" w:hAnsi="Arial" w:cs="Arial"/>
          <w:sz w:val="20"/>
          <w:szCs w:val="20"/>
        </w:rPr>
        <w:t>The Committee raised concern about inadequate accommodation of police officers forcing them to stay in communities amongst alleged criminals and criminal activity.</w:t>
      </w:r>
      <w:r w:rsidR="00B902D0" w:rsidRPr="004607C7">
        <w:rPr>
          <w:rFonts w:ascii="Arial" w:hAnsi="Arial" w:cs="Arial"/>
          <w:sz w:val="20"/>
          <w:szCs w:val="20"/>
        </w:rPr>
        <w:t xml:space="preserve"> The Committee </w:t>
      </w:r>
      <w:r w:rsidR="00234945" w:rsidRPr="004607C7">
        <w:rPr>
          <w:rFonts w:ascii="Arial" w:hAnsi="Arial" w:cs="Arial"/>
          <w:sz w:val="20"/>
          <w:szCs w:val="20"/>
        </w:rPr>
        <w:t xml:space="preserve">questioned the manner in which police stations are secured to protect police members, while ensuring accessibility for communities. The Committee highlighted the fact that stations need perimeter fences, lights, and CCTV camera’s and questioned the manner in which the 45 stations without basic safety is identified. </w:t>
      </w:r>
      <w:r w:rsidR="00DC4774" w:rsidRPr="004607C7">
        <w:rPr>
          <w:rFonts w:ascii="Arial" w:hAnsi="Arial" w:cs="Arial"/>
          <w:sz w:val="20"/>
          <w:szCs w:val="20"/>
        </w:rPr>
        <w:t xml:space="preserve">The Committee questioned whether police officers are trained effectively to defend themselves. </w:t>
      </w:r>
      <w:r w:rsidR="00234945" w:rsidRPr="004607C7">
        <w:rPr>
          <w:rFonts w:ascii="Arial" w:hAnsi="Arial" w:cs="Arial"/>
          <w:sz w:val="20"/>
          <w:szCs w:val="20"/>
        </w:rPr>
        <w:t xml:space="preserve">  </w:t>
      </w:r>
      <w:r w:rsidR="00B902D0" w:rsidRPr="004607C7">
        <w:rPr>
          <w:rFonts w:ascii="Arial" w:hAnsi="Arial" w:cs="Arial"/>
          <w:sz w:val="20"/>
          <w:szCs w:val="20"/>
        </w:rPr>
        <w:t xml:space="preserve"> </w:t>
      </w:r>
      <w:r w:rsidR="00E07FCE" w:rsidRPr="004607C7">
        <w:rPr>
          <w:rFonts w:ascii="Arial" w:hAnsi="Arial" w:cs="Arial"/>
          <w:sz w:val="20"/>
          <w:szCs w:val="20"/>
        </w:rPr>
        <w:t xml:space="preserve"> </w:t>
      </w:r>
    </w:p>
    <w:p w:rsidR="00C3522A" w:rsidRPr="004607C7" w:rsidRDefault="00C3522A" w:rsidP="004607C7">
      <w:pPr>
        <w:spacing w:line="240" w:lineRule="auto"/>
        <w:jc w:val="left"/>
        <w:rPr>
          <w:rFonts w:ascii="Arial" w:hAnsi="Arial" w:cs="Arial"/>
          <w:sz w:val="20"/>
          <w:szCs w:val="20"/>
        </w:rPr>
      </w:pPr>
    </w:p>
    <w:p w:rsidR="00EF5555" w:rsidRPr="004607C7" w:rsidRDefault="00E70A75" w:rsidP="004607C7">
      <w:pPr>
        <w:spacing w:line="240" w:lineRule="auto"/>
        <w:jc w:val="left"/>
        <w:rPr>
          <w:rFonts w:ascii="Arial" w:hAnsi="Arial" w:cs="Arial"/>
          <w:sz w:val="20"/>
          <w:szCs w:val="20"/>
          <w:lang w:val="en-US"/>
        </w:rPr>
      </w:pPr>
      <w:r w:rsidRPr="004607C7">
        <w:rPr>
          <w:rFonts w:ascii="Arial" w:hAnsi="Arial" w:cs="Arial"/>
          <w:b/>
          <w:sz w:val="20"/>
          <w:szCs w:val="20"/>
        </w:rPr>
        <w:t xml:space="preserve">Firearm Management and the </w:t>
      </w:r>
      <w:r w:rsidR="000B6B68" w:rsidRPr="004607C7">
        <w:rPr>
          <w:rFonts w:ascii="Arial" w:hAnsi="Arial" w:cs="Arial"/>
          <w:b/>
          <w:sz w:val="20"/>
          <w:szCs w:val="20"/>
        </w:rPr>
        <w:t>Central Firearm Register (CFR):</w:t>
      </w:r>
      <w:r w:rsidR="00BD64B8" w:rsidRPr="004607C7">
        <w:rPr>
          <w:rFonts w:ascii="Arial" w:hAnsi="Arial" w:cs="Arial"/>
          <w:sz w:val="20"/>
          <w:szCs w:val="20"/>
        </w:rPr>
        <w:t xml:space="preserve"> The Committee questioned the effectiveness of the CFR and</w:t>
      </w:r>
      <w:r w:rsidR="003C72BA" w:rsidRPr="004607C7">
        <w:rPr>
          <w:rFonts w:ascii="Arial" w:hAnsi="Arial" w:cs="Arial"/>
          <w:sz w:val="20"/>
          <w:szCs w:val="20"/>
        </w:rPr>
        <w:t xml:space="preserve"> indicated that significant time of the Committee has been dedicated to this matter. </w:t>
      </w:r>
      <w:r w:rsidR="000B6B68" w:rsidRPr="004607C7">
        <w:rPr>
          <w:rFonts w:ascii="Arial" w:hAnsi="Arial" w:cs="Arial"/>
          <w:sz w:val="20"/>
          <w:szCs w:val="20"/>
        </w:rPr>
        <w:t xml:space="preserve">The Committee noted that the Department </w:t>
      </w:r>
      <w:r w:rsidR="001D6217" w:rsidRPr="004607C7">
        <w:rPr>
          <w:rFonts w:ascii="Arial" w:hAnsi="Arial" w:cs="Arial"/>
          <w:sz w:val="20"/>
          <w:szCs w:val="20"/>
        </w:rPr>
        <w:t xml:space="preserve">(through SITA) </w:t>
      </w:r>
      <w:r w:rsidR="000B6B68" w:rsidRPr="004607C7">
        <w:rPr>
          <w:rFonts w:ascii="Arial" w:hAnsi="Arial" w:cs="Arial"/>
          <w:sz w:val="20"/>
          <w:szCs w:val="20"/>
        </w:rPr>
        <w:t xml:space="preserve">had not awarded the tender for the </w:t>
      </w:r>
      <w:r w:rsidR="001D6217" w:rsidRPr="004607C7">
        <w:rPr>
          <w:rFonts w:ascii="Arial" w:hAnsi="Arial" w:cs="Arial"/>
          <w:sz w:val="20"/>
          <w:szCs w:val="20"/>
        </w:rPr>
        <w:t xml:space="preserve">procurement of the FCS to develop an </w:t>
      </w:r>
      <w:r w:rsidR="000B6B68" w:rsidRPr="004607C7">
        <w:rPr>
          <w:rFonts w:ascii="Arial" w:hAnsi="Arial" w:cs="Arial"/>
          <w:sz w:val="20"/>
          <w:szCs w:val="20"/>
        </w:rPr>
        <w:t xml:space="preserve">on-line </w:t>
      </w:r>
      <w:r w:rsidR="001D6217" w:rsidRPr="004607C7">
        <w:rPr>
          <w:rFonts w:ascii="Arial" w:hAnsi="Arial" w:cs="Arial"/>
          <w:sz w:val="20"/>
          <w:szCs w:val="20"/>
        </w:rPr>
        <w:t xml:space="preserve">firearm administration </w:t>
      </w:r>
      <w:r w:rsidR="000B6B68" w:rsidRPr="004607C7">
        <w:rPr>
          <w:rFonts w:ascii="Arial" w:hAnsi="Arial" w:cs="Arial"/>
          <w:sz w:val="20"/>
          <w:szCs w:val="20"/>
        </w:rPr>
        <w:t xml:space="preserve">system despite the 2019 High Court </w:t>
      </w:r>
      <w:r w:rsidR="001D6217" w:rsidRPr="004607C7">
        <w:rPr>
          <w:rFonts w:ascii="Arial" w:hAnsi="Arial" w:cs="Arial"/>
          <w:sz w:val="20"/>
          <w:szCs w:val="20"/>
        </w:rPr>
        <w:t xml:space="preserve">Judgement giving the Department four years to develop such system through online connectivity. The Committee noted that </w:t>
      </w:r>
      <w:r w:rsidR="00B80328" w:rsidRPr="004607C7">
        <w:rPr>
          <w:rFonts w:ascii="Arial" w:hAnsi="Arial" w:cs="Arial"/>
          <w:sz w:val="20"/>
          <w:szCs w:val="20"/>
          <w:lang w:val="en-US"/>
        </w:rPr>
        <w:t xml:space="preserve">illegal firearms </w:t>
      </w:r>
      <w:r w:rsidR="001D6217" w:rsidRPr="004607C7">
        <w:rPr>
          <w:rFonts w:ascii="Arial" w:hAnsi="Arial" w:cs="Arial"/>
          <w:sz w:val="20"/>
          <w:szCs w:val="20"/>
          <w:lang w:val="en-US"/>
        </w:rPr>
        <w:t>p</w:t>
      </w:r>
      <w:r w:rsidR="007B7E35" w:rsidRPr="004607C7">
        <w:rPr>
          <w:rFonts w:ascii="Arial" w:hAnsi="Arial" w:cs="Arial"/>
          <w:sz w:val="20"/>
          <w:szCs w:val="20"/>
          <w:lang w:val="en-US"/>
        </w:rPr>
        <w:t>roliferation</w:t>
      </w:r>
      <w:r w:rsidR="00EF5555" w:rsidRPr="004607C7">
        <w:rPr>
          <w:rFonts w:ascii="Arial" w:hAnsi="Arial" w:cs="Arial"/>
          <w:sz w:val="20"/>
          <w:szCs w:val="20"/>
          <w:lang w:val="en-US"/>
        </w:rPr>
        <w:t xml:space="preserve"> </w:t>
      </w:r>
      <w:r w:rsidR="001D6217" w:rsidRPr="004607C7">
        <w:rPr>
          <w:rFonts w:ascii="Arial" w:hAnsi="Arial" w:cs="Arial"/>
          <w:sz w:val="20"/>
          <w:szCs w:val="20"/>
          <w:lang w:val="en-US"/>
        </w:rPr>
        <w:t xml:space="preserve">is </w:t>
      </w:r>
      <w:r w:rsidR="00B80328" w:rsidRPr="004607C7">
        <w:rPr>
          <w:rFonts w:ascii="Arial" w:hAnsi="Arial" w:cs="Arial"/>
          <w:sz w:val="20"/>
          <w:szCs w:val="20"/>
          <w:lang w:val="en-US"/>
        </w:rPr>
        <w:t xml:space="preserve">rife </w:t>
      </w:r>
      <w:r w:rsidR="001D6217" w:rsidRPr="004607C7">
        <w:rPr>
          <w:rFonts w:ascii="Arial" w:hAnsi="Arial" w:cs="Arial"/>
          <w:sz w:val="20"/>
          <w:szCs w:val="20"/>
          <w:lang w:val="en-US"/>
        </w:rPr>
        <w:t>and must be addressed as a matter of urgency. The Committee further highlighted the fact that the CFR is still housed in the Veritas building and had not yet relocated to the Telkom Towers building. The Department stated that the Telkom Towers building is still undergoing structural repairs to allow for the relocation. The Committee questioned the validity of firearm licenses under a system that is dysfunctional. The Department stated that all issued licenses are valid and that application can be made for expired licenses</w:t>
      </w:r>
      <w:r w:rsidR="0025033C" w:rsidRPr="004607C7">
        <w:rPr>
          <w:rFonts w:ascii="Arial" w:hAnsi="Arial" w:cs="Arial"/>
          <w:sz w:val="20"/>
          <w:szCs w:val="20"/>
          <w:lang w:val="en-US"/>
        </w:rPr>
        <w:t>. The current system (EFS) is operational and is being enhanced. The application stored in boxes across the CFR Veritas building had been placed in storage containers. The Committee indicated that a follow-up visit will be conducted at the CFR to assess the progress made.</w:t>
      </w:r>
      <w:r w:rsidR="0025033C" w:rsidRPr="004607C7">
        <w:rPr>
          <w:rFonts w:ascii="Arial" w:hAnsi="Arial" w:cs="Arial"/>
          <w:sz w:val="20"/>
          <w:szCs w:val="20"/>
          <w:highlight w:val="yellow"/>
          <w:lang w:val="en-US"/>
        </w:rPr>
        <w:t xml:space="preserve"> </w:t>
      </w:r>
    </w:p>
    <w:p w:rsidR="00EF5555" w:rsidRPr="004607C7" w:rsidRDefault="00EF5555" w:rsidP="004607C7">
      <w:pPr>
        <w:spacing w:line="240" w:lineRule="auto"/>
        <w:jc w:val="left"/>
        <w:rPr>
          <w:rFonts w:ascii="Arial" w:hAnsi="Arial" w:cs="Arial"/>
          <w:sz w:val="20"/>
          <w:szCs w:val="20"/>
        </w:rPr>
      </w:pPr>
    </w:p>
    <w:p w:rsidR="00EF5555" w:rsidRPr="004607C7" w:rsidRDefault="002E60DE" w:rsidP="004607C7">
      <w:pPr>
        <w:spacing w:line="240" w:lineRule="auto"/>
        <w:jc w:val="left"/>
        <w:rPr>
          <w:rFonts w:ascii="Arial" w:hAnsi="Arial" w:cs="Arial"/>
          <w:b/>
          <w:sz w:val="20"/>
          <w:szCs w:val="20"/>
          <w:highlight w:val="yellow"/>
        </w:rPr>
      </w:pPr>
      <w:r w:rsidRPr="004607C7">
        <w:rPr>
          <w:rFonts w:ascii="Arial" w:hAnsi="Arial" w:cs="Arial"/>
          <w:b/>
          <w:sz w:val="20"/>
          <w:szCs w:val="20"/>
        </w:rPr>
        <w:lastRenderedPageBreak/>
        <w:t>Crime statistics:</w:t>
      </w:r>
      <w:r w:rsidR="00EF5555" w:rsidRPr="004607C7">
        <w:rPr>
          <w:rFonts w:ascii="Arial" w:hAnsi="Arial" w:cs="Arial"/>
          <w:b/>
          <w:sz w:val="20"/>
          <w:szCs w:val="20"/>
        </w:rPr>
        <w:t xml:space="preserve"> </w:t>
      </w:r>
      <w:r w:rsidR="0025033C" w:rsidRPr="004607C7">
        <w:rPr>
          <w:rFonts w:ascii="Arial" w:hAnsi="Arial" w:cs="Arial"/>
          <w:sz w:val="20"/>
          <w:szCs w:val="20"/>
        </w:rPr>
        <w:t xml:space="preserve">The Committee noted that the Departments should include </w:t>
      </w:r>
      <w:r w:rsidR="0025033C" w:rsidRPr="004607C7">
        <w:rPr>
          <w:rFonts w:ascii="Arial" w:hAnsi="Arial" w:cs="Arial"/>
          <w:sz w:val="20"/>
          <w:szCs w:val="20"/>
          <w:lang w:val="en-US"/>
        </w:rPr>
        <w:t xml:space="preserve">commercial/economic crimes in their crime statistics, </w:t>
      </w:r>
      <w:r w:rsidR="00EF5555" w:rsidRPr="004607C7">
        <w:rPr>
          <w:rFonts w:ascii="Arial" w:hAnsi="Arial" w:cs="Arial"/>
          <w:sz w:val="20"/>
          <w:szCs w:val="20"/>
          <w:lang w:val="en-US"/>
        </w:rPr>
        <w:t>including electricity infrastructure, rhino poaching, illegal mining and scrap metals.</w:t>
      </w:r>
      <w:r w:rsidR="00EF5555" w:rsidRPr="004607C7">
        <w:rPr>
          <w:rFonts w:ascii="Arial" w:hAnsi="Arial" w:cs="Arial"/>
          <w:sz w:val="20"/>
          <w:szCs w:val="20"/>
          <w:highlight w:val="yellow"/>
          <w:lang w:val="en-US"/>
        </w:rPr>
        <w:t xml:space="preserve"> </w:t>
      </w:r>
    </w:p>
    <w:p w:rsidR="00EF5555" w:rsidRPr="004607C7" w:rsidRDefault="00EF5555" w:rsidP="004607C7">
      <w:pPr>
        <w:spacing w:line="240" w:lineRule="auto"/>
        <w:jc w:val="left"/>
        <w:rPr>
          <w:rFonts w:ascii="Arial" w:hAnsi="Arial" w:cs="Arial"/>
          <w:sz w:val="20"/>
          <w:szCs w:val="20"/>
        </w:rPr>
      </w:pPr>
    </w:p>
    <w:p w:rsidR="000E7685" w:rsidRPr="004607C7" w:rsidRDefault="002E60DE" w:rsidP="004607C7">
      <w:pPr>
        <w:spacing w:line="240" w:lineRule="auto"/>
        <w:jc w:val="left"/>
        <w:rPr>
          <w:rFonts w:ascii="Arial" w:hAnsi="Arial" w:cs="Arial"/>
          <w:sz w:val="20"/>
          <w:szCs w:val="20"/>
          <w:lang w:val="en-US"/>
        </w:rPr>
      </w:pPr>
      <w:r w:rsidRPr="004607C7">
        <w:rPr>
          <w:rFonts w:ascii="Arial" w:hAnsi="Arial" w:cs="Arial"/>
          <w:b/>
          <w:sz w:val="20"/>
          <w:szCs w:val="20"/>
          <w:lang w:val="en-US"/>
        </w:rPr>
        <w:t>Third party d</w:t>
      </w:r>
      <w:r w:rsidR="00EF5555" w:rsidRPr="004607C7">
        <w:rPr>
          <w:rFonts w:ascii="Arial" w:hAnsi="Arial" w:cs="Arial"/>
          <w:b/>
          <w:sz w:val="20"/>
          <w:szCs w:val="20"/>
          <w:lang w:val="en-US"/>
        </w:rPr>
        <w:t>ependencies</w:t>
      </w:r>
      <w:r w:rsidRPr="004607C7">
        <w:rPr>
          <w:rFonts w:ascii="Arial" w:hAnsi="Arial" w:cs="Arial"/>
          <w:b/>
          <w:sz w:val="20"/>
          <w:szCs w:val="20"/>
          <w:lang w:val="en-US"/>
        </w:rPr>
        <w:t xml:space="preserve">: </w:t>
      </w:r>
      <w:r w:rsidR="000E7685" w:rsidRPr="004607C7">
        <w:rPr>
          <w:rFonts w:ascii="Arial" w:hAnsi="Arial" w:cs="Arial"/>
          <w:sz w:val="20"/>
          <w:szCs w:val="20"/>
          <w:lang w:val="en-US"/>
        </w:rPr>
        <w:t>The Committee raised significant concern about the ongoing negative impact of third party dependencies on the DPWI and SITA on service delivery. The Committee indicated that the Department needs to develop mechanisms to effectively address these dependencies to address their capital works and ICT requirements.</w:t>
      </w:r>
      <w:r w:rsidR="000E7685" w:rsidRPr="004607C7">
        <w:rPr>
          <w:rFonts w:ascii="Arial" w:hAnsi="Arial" w:cs="Arial"/>
          <w:sz w:val="20"/>
          <w:szCs w:val="20"/>
          <w:highlight w:val="yellow"/>
          <w:lang w:val="en-US"/>
        </w:rPr>
        <w:t xml:space="preserve"> </w:t>
      </w:r>
    </w:p>
    <w:p w:rsidR="00EF5555" w:rsidRPr="004607C7" w:rsidRDefault="00EF5555" w:rsidP="004607C7">
      <w:pPr>
        <w:spacing w:line="240" w:lineRule="auto"/>
        <w:jc w:val="left"/>
        <w:rPr>
          <w:rFonts w:ascii="Arial" w:hAnsi="Arial" w:cs="Arial"/>
          <w:sz w:val="20"/>
          <w:szCs w:val="20"/>
          <w:lang w:val="en-US"/>
        </w:rPr>
      </w:pPr>
    </w:p>
    <w:p w:rsidR="00C3522A" w:rsidRPr="004607C7" w:rsidRDefault="00D15033" w:rsidP="004607C7">
      <w:pPr>
        <w:pStyle w:val="Default"/>
        <w:rPr>
          <w:sz w:val="20"/>
          <w:szCs w:val="20"/>
        </w:rPr>
      </w:pPr>
      <w:r w:rsidRPr="004607C7">
        <w:rPr>
          <w:b/>
          <w:sz w:val="20"/>
          <w:szCs w:val="20"/>
        </w:rPr>
        <w:t xml:space="preserve">Compliance </w:t>
      </w:r>
      <w:r w:rsidR="000E7685" w:rsidRPr="004607C7">
        <w:rPr>
          <w:b/>
          <w:sz w:val="20"/>
          <w:szCs w:val="20"/>
        </w:rPr>
        <w:t>to the taking of buccal samples:</w:t>
      </w:r>
      <w:r w:rsidRPr="004607C7">
        <w:rPr>
          <w:sz w:val="20"/>
          <w:szCs w:val="20"/>
        </w:rPr>
        <w:t xml:space="preserve"> </w:t>
      </w:r>
      <w:r w:rsidR="00E723B6" w:rsidRPr="004607C7">
        <w:rPr>
          <w:sz w:val="20"/>
          <w:szCs w:val="20"/>
        </w:rPr>
        <w:t xml:space="preserve">The </w:t>
      </w:r>
      <w:r w:rsidR="005A11FA" w:rsidRPr="004607C7">
        <w:rPr>
          <w:sz w:val="20"/>
          <w:szCs w:val="20"/>
        </w:rPr>
        <w:t xml:space="preserve">Committee </w:t>
      </w:r>
      <w:r w:rsidR="000E7685" w:rsidRPr="004607C7">
        <w:rPr>
          <w:sz w:val="20"/>
          <w:szCs w:val="20"/>
        </w:rPr>
        <w:t xml:space="preserve">raised concern about the full implementation of the Criminal Law (Forensic Procedures) Amendment Act, 2022 and </w:t>
      </w:r>
      <w:r w:rsidR="005A11FA" w:rsidRPr="004607C7">
        <w:rPr>
          <w:sz w:val="20"/>
          <w:szCs w:val="20"/>
        </w:rPr>
        <w:t xml:space="preserve">questioned </w:t>
      </w:r>
      <w:r w:rsidR="000E7685" w:rsidRPr="004607C7">
        <w:rPr>
          <w:sz w:val="20"/>
          <w:szCs w:val="20"/>
        </w:rPr>
        <w:t xml:space="preserve">whether </w:t>
      </w:r>
      <w:r w:rsidR="005A11FA" w:rsidRPr="004607C7">
        <w:rPr>
          <w:sz w:val="20"/>
          <w:szCs w:val="20"/>
        </w:rPr>
        <w:t xml:space="preserve">buccal samples </w:t>
      </w:r>
      <w:r w:rsidR="000E7685" w:rsidRPr="004607C7">
        <w:rPr>
          <w:sz w:val="20"/>
          <w:szCs w:val="20"/>
        </w:rPr>
        <w:t>are taken from convicted</w:t>
      </w:r>
      <w:r w:rsidR="005A11FA" w:rsidRPr="004607C7">
        <w:rPr>
          <w:sz w:val="20"/>
          <w:szCs w:val="20"/>
        </w:rPr>
        <w:t xml:space="preserve"> S</w:t>
      </w:r>
      <w:r w:rsidR="00E723B6" w:rsidRPr="004607C7">
        <w:rPr>
          <w:sz w:val="20"/>
          <w:szCs w:val="20"/>
        </w:rPr>
        <w:t>chedule 8 offen</w:t>
      </w:r>
      <w:r w:rsidR="000E7685" w:rsidRPr="004607C7">
        <w:rPr>
          <w:sz w:val="20"/>
          <w:szCs w:val="20"/>
        </w:rPr>
        <w:t>ders</w:t>
      </w:r>
      <w:r w:rsidR="00E723B6" w:rsidRPr="004607C7">
        <w:rPr>
          <w:sz w:val="20"/>
          <w:szCs w:val="20"/>
        </w:rPr>
        <w:t xml:space="preserve">. </w:t>
      </w:r>
      <w:r w:rsidR="000E7685" w:rsidRPr="004607C7">
        <w:rPr>
          <w:sz w:val="20"/>
          <w:szCs w:val="20"/>
        </w:rPr>
        <w:t>The Committee further expressed concern about the fact that some of these samples must be taken by force. The Department stated that it had been a challenge, but that the Amendment Act will assist in this regard.</w:t>
      </w:r>
      <w:r w:rsidR="00C3522A" w:rsidRPr="004607C7">
        <w:rPr>
          <w:sz w:val="20"/>
          <w:szCs w:val="20"/>
          <w:lang w:val="en-US"/>
        </w:rPr>
        <w:t xml:space="preserve"> </w:t>
      </w:r>
    </w:p>
    <w:p w:rsidR="00C3522A" w:rsidRPr="004607C7" w:rsidRDefault="00C3522A" w:rsidP="004607C7">
      <w:pPr>
        <w:autoSpaceDE w:val="0"/>
        <w:autoSpaceDN w:val="0"/>
        <w:adjustRightInd w:val="0"/>
        <w:spacing w:line="240" w:lineRule="auto"/>
        <w:jc w:val="left"/>
        <w:rPr>
          <w:rFonts w:ascii="Arial" w:hAnsi="Arial" w:cs="Arial"/>
          <w:color w:val="000000"/>
          <w:sz w:val="20"/>
          <w:szCs w:val="20"/>
          <w:lang w:eastAsia="en-ZA"/>
        </w:rPr>
      </w:pPr>
    </w:p>
    <w:p w:rsidR="00EF5555" w:rsidRPr="004607C7" w:rsidRDefault="00EB4DC5" w:rsidP="004607C7">
      <w:pPr>
        <w:spacing w:line="240" w:lineRule="auto"/>
        <w:jc w:val="left"/>
        <w:rPr>
          <w:rFonts w:ascii="Arial" w:hAnsi="Arial" w:cs="Arial"/>
          <w:sz w:val="20"/>
          <w:szCs w:val="20"/>
        </w:rPr>
      </w:pPr>
      <w:r w:rsidRPr="004607C7">
        <w:rPr>
          <w:rFonts w:ascii="Arial" w:hAnsi="Arial" w:cs="Arial"/>
          <w:b/>
          <w:sz w:val="20"/>
          <w:szCs w:val="20"/>
        </w:rPr>
        <w:t>Infrastructure projects:</w:t>
      </w:r>
      <w:r w:rsidR="00DE5613" w:rsidRPr="004607C7">
        <w:rPr>
          <w:rFonts w:ascii="Arial" w:hAnsi="Arial" w:cs="Arial"/>
          <w:sz w:val="20"/>
          <w:szCs w:val="20"/>
        </w:rPr>
        <w:t xml:space="preserve"> </w:t>
      </w:r>
      <w:r w:rsidR="00D97CCE" w:rsidRPr="004607C7">
        <w:rPr>
          <w:rFonts w:ascii="Arial" w:hAnsi="Arial" w:cs="Arial"/>
          <w:sz w:val="20"/>
          <w:szCs w:val="20"/>
        </w:rPr>
        <w:t xml:space="preserve">The Committee raised concerns about the number of new police stations </w:t>
      </w:r>
      <w:r w:rsidR="00F01E7C" w:rsidRPr="004607C7">
        <w:rPr>
          <w:rFonts w:ascii="Arial" w:hAnsi="Arial" w:cs="Arial"/>
          <w:sz w:val="20"/>
          <w:szCs w:val="20"/>
        </w:rPr>
        <w:t xml:space="preserve">that will be </w:t>
      </w:r>
      <w:r w:rsidR="00D97CCE" w:rsidRPr="004607C7">
        <w:rPr>
          <w:rFonts w:ascii="Arial" w:hAnsi="Arial" w:cs="Arial"/>
          <w:sz w:val="20"/>
          <w:szCs w:val="20"/>
        </w:rPr>
        <w:t xml:space="preserve">built in </w:t>
      </w:r>
      <w:r w:rsidR="00F01E7C" w:rsidRPr="004607C7">
        <w:rPr>
          <w:rFonts w:ascii="Arial" w:hAnsi="Arial" w:cs="Arial"/>
          <w:sz w:val="20"/>
          <w:szCs w:val="20"/>
        </w:rPr>
        <w:t xml:space="preserve">the 2023/24 financial year and indicated that building </w:t>
      </w:r>
      <w:r w:rsidR="00D90C64" w:rsidRPr="004607C7">
        <w:rPr>
          <w:rFonts w:ascii="Arial" w:hAnsi="Arial" w:cs="Arial"/>
          <w:sz w:val="20"/>
          <w:szCs w:val="20"/>
        </w:rPr>
        <w:t xml:space="preserve">only </w:t>
      </w:r>
      <w:r w:rsidR="00F01E7C" w:rsidRPr="004607C7">
        <w:rPr>
          <w:rFonts w:ascii="Arial" w:hAnsi="Arial" w:cs="Arial"/>
          <w:sz w:val="20"/>
          <w:szCs w:val="20"/>
        </w:rPr>
        <w:t xml:space="preserve">two new stations is unacceptable. </w:t>
      </w:r>
      <w:r w:rsidR="00D97CCE" w:rsidRPr="004607C7">
        <w:rPr>
          <w:rFonts w:ascii="Arial" w:hAnsi="Arial" w:cs="Arial"/>
          <w:sz w:val="20"/>
          <w:szCs w:val="20"/>
        </w:rPr>
        <w:t xml:space="preserve">The Committee highlighted the fact that policing services must be brought closer to communities and this must be done through the construction of new police stations in communities. </w:t>
      </w:r>
      <w:r w:rsidR="00F01E7C" w:rsidRPr="004607C7">
        <w:rPr>
          <w:rFonts w:ascii="Arial" w:hAnsi="Arial" w:cs="Arial"/>
          <w:sz w:val="20"/>
          <w:szCs w:val="20"/>
        </w:rPr>
        <w:t xml:space="preserve">The Department agreed that not enough new police stations are </w:t>
      </w:r>
      <w:r w:rsidR="00D90C64" w:rsidRPr="004607C7">
        <w:rPr>
          <w:rFonts w:ascii="Arial" w:hAnsi="Arial" w:cs="Arial"/>
          <w:sz w:val="20"/>
          <w:szCs w:val="20"/>
        </w:rPr>
        <w:t xml:space="preserve">being </w:t>
      </w:r>
      <w:r w:rsidR="00F01E7C" w:rsidRPr="004607C7">
        <w:rPr>
          <w:rFonts w:ascii="Arial" w:hAnsi="Arial" w:cs="Arial"/>
          <w:sz w:val="20"/>
          <w:szCs w:val="20"/>
        </w:rPr>
        <w:t xml:space="preserve">built and </w:t>
      </w:r>
      <w:r w:rsidR="00D90C64" w:rsidRPr="004607C7">
        <w:rPr>
          <w:rFonts w:ascii="Arial" w:hAnsi="Arial" w:cs="Arial"/>
          <w:sz w:val="20"/>
          <w:szCs w:val="20"/>
        </w:rPr>
        <w:t xml:space="preserve">it </w:t>
      </w:r>
      <w:r w:rsidR="00F01E7C" w:rsidRPr="004607C7">
        <w:rPr>
          <w:rFonts w:ascii="Arial" w:hAnsi="Arial" w:cs="Arial"/>
          <w:sz w:val="20"/>
          <w:szCs w:val="20"/>
        </w:rPr>
        <w:t xml:space="preserve">will investigate mechanisms to address the challenges experienced with the DPWI. </w:t>
      </w:r>
      <w:r w:rsidR="00F01E7C" w:rsidRPr="004607C7">
        <w:rPr>
          <w:rFonts w:ascii="Arial" w:hAnsi="Arial" w:cs="Arial"/>
          <w:sz w:val="20"/>
          <w:szCs w:val="20"/>
          <w:lang w:val="en-US"/>
        </w:rPr>
        <w:t xml:space="preserve">The Department indicated that approximately </w:t>
      </w:r>
      <w:r w:rsidR="00EF5555" w:rsidRPr="004607C7">
        <w:rPr>
          <w:rFonts w:ascii="Arial" w:hAnsi="Arial" w:cs="Arial"/>
          <w:sz w:val="20"/>
          <w:szCs w:val="20"/>
          <w:lang w:val="en-US"/>
        </w:rPr>
        <w:t>R1.5 billion</w:t>
      </w:r>
      <w:r w:rsidR="00F01E7C" w:rsidRPr="004607C7">
        <w:rPr>
          <w:rFonts w:ascii="Arial" w:hAnsi="Arial" w:cs="Arial"/>
          <w:sz w:val="20"/>
          <w:szCs w:val="20"/>
          <w:lang w:val="en-US"/>
        </w:rPr>
        <w:t xml:space="preserve"> is spent annually on leased buildings. </w:t>
      </w:r>
      <w:r w:rsidR="00F01E7C" w:rsidRPr="004607C7">
        <w:rPr>
          <w:rFonts w:ascii="Arial" w:hAnsi="Arial" w:cs="Arial"/>
          <w:sz w:val="20"/>
          <w:szCs w:val="20"/>
        </w:rPr>
        <w:t xml:space="preserve">Additionally, the Department indicated that load shedding is impacting on their financial situation, as </w:t>
      </w:r>
      <w:r w:rsidR="0069590A" w:rsidRPr="004607C7">
        <w:rPr>
          <w:rFonts w:ascii="Arial" w:hAnsi="Arial" w:cs="Arial"/>
          <w:sz w:val="20"/>
          <w:szCs w:val="20"/>
        </w:rPr>
        <w:t xml:space="preserve">additional generators and fuel must be procured. </w:t>
      </w:r>
      <w:r w:rsidR="0069590A" w:rsidRPr="004607C7">
        <w:rPr>
          <w:rFonts w:ascii="Arial" w:hAnsi="Arial" w:cs="Arial"/>
          <w:sz w:val="20"/>
          <w:szCs w:val="20"/>
          <w:lang w:val="en-US"/>
        </w:rPr>
        <w:t>The Department has received p</w:t>
      </w:r>
      <w:r w:rsidR="00EF5555" w:rsidRPr="004607C7">
        <w:rPr>
          <w:rFonts w:ascii="Arial" w:hAnsi="Arial" w:cs="Arial"/>
          <w:sz w:val="20"/>
          <w:szCs w:val="20"/>
          <w:lang w:val="en-US"/>
        </w:rPr>
        <w:t xml:space="preserve">ermission from </w:t>
      </w:r>
      <w:r w:rsidR="0069590A" w:rsidRPr="004607C7">
        <w:rPr>
          <w:rFonts w:ascii="Arial" w:hAnsi="Arial" w:cs="Arial"/>
          <w:sz w:val="20"/>
          <w:szCs w:val="20"/>
          <w:lang w:val="en-US"/>
        </w:rPr>
        <w:t xml:space="preserve">the </w:t>
      </w:r>
      <w:r w:rsidR="00EF5555" w:rsidRPr="004607C7">
        <w:rPr>
          <w:rFonts w:ascii="Arial" w:hAnsi="Arial" w:cs="Arial"/>
          <w:sz w:val="20"/>
          <w:szCs w:val="20"/>
          <w:lang w:val="en-US"/>
        </w:rPr>
        <w:t>DPW</w:t>
      </w:r>
      <w:r w:rsidR="0069590A" w:rsidRPr="004607C7">
        <w:rPr>
          <w:rFonts w:ascii="Arial" w:hAnsi="Arial" w:cs="Arial"/>
          <w:sz w:val="20"/>
          <w:szCs w:val="20"/>
          <w:lang w:val="en-US"/>
        </w:rPr>
        <w:t>I</w:t>
      </w:r>
      <w:r w:rsidR="00EF5555" w:rsidRPr="004607C7">
        <w:rPr>
          <w:rFonts w:ascii="Arial" w:hAnsi="Arial" w:cs="Arial"/>
          <w:sz w:val="20"/>
          <w:szCs w:val="20"/>
          <w:lang w:val="en-US"/>
        </w:rPr>
        <w:t xml:space="preserve"> to install new generators</w:t>
      </w:r>
      <w:r w:rsidR="0069590A" w:rsidRPr="004607C7">
        <w:rPr>
          <w:rFonts w:ascii="Arial" w:hAnsi="Arial" w:cs="Arial"/>
          <w:sz w:val="20"/>
          <w:szCs w:val="20"/>
          <w:lang w:val="en-US"/>
        </w:rPr>
        <w:t xml:space="preserve">, </w:t>
      </w:r>
      <w:r w:rsidR="00EF5555" w:rsidRPr="004607C7">
        <w:rPr>
          <w:rFonts w:ascii="Arial" w:hAnsi="Arial" w:cs="Arial"/>
          <w:sz w:val="20"/>
          <w:szCs w:val="20"/>
          <w:lang w:val="en-US"/>
        </w:rPr>
        <w:t>but not</w:t>
      </w:r>
      <w:r w:rsidR="0069590A" w:rsidRPr="004607C7">
        <w:rPr>
          <w:rFonts w:ascii="Arial" w:hAnsi="Arial" w:cs="Arial"/>
          <w:sz w:val="20"/>
          <w:szCs w:val="20"/>
          <w:lang w:val="en-US"/>
        </w:rPr>
        <w:t xml:space="preserve"> to repair</w:t>
      </w:r>
      <w:r w:rsidR="00EF5555" w:rsidRPr="004607C7">
        <w:rPr>
          <w:rFonts w:ascii="Arial" w:hAnsi="Arial" w:cs="Arial"/>
          <w:sz w:val="20"/>
          <w:szCs w:val="20"/>
          <w:lang w:val="en-US"/>
        </w:rPr>
        <w:t xml:space="preserve"> broken generators at both devolved and non-devolved stations. </w:t>
      </w:r>
      <w:r w:rsidR="0069590A" w:rsidRPr="004607C7">
        <w:rPr>
          <w:rFonts w:ascii="Arial" w:hAnsi="Arial" w:cs="Arial"/>
          <w:sz w:val="20"/>
          <w:szCs w:val="20"/>
          <w:lang w:val="en-US"/>
        </w:rPr>
        <w:t>The Committee requested that the Department should investigate the procurement of alternative energy sources, such as s</w:t>
      </w:r>
      <w:r w:rsidR="00EF5555" w:rsidRPr="004607C7">
        <w:rPr>
          <w:rFonts w:ascii="Arial" w:hAnsi="Arial" w:cs="Arial"/>
          <w:sz w:val="20"/>
          <w:szCs w:val="20"/>
          <w:lang w:val="en-US"/>
        </w:rPr>
        <w:t>olar lights</w:t>
      </w:r>
      <w:r w:rsidR="0069590A" w:rsidRPr="004607C7">
        <w:rPr>
          <w:rFonts w:ascii="Arial" w:hAnsi="Arial" w:cs="Arial"/>
          <w:sz w:val="20"/>
          <w:szCs w:val="20"/>
          <w:lang w:val="en-US"/>
        </w:rPr>
        <w:t>.</w:t>
      </w:r>
      <w:r w:rsidR="00EF5555" w:rsidRPr="004607C7">
        <w:rPr>
          <w:rFonts w:ascii="Arial" w:hAnsi="Arial" w:cs="Arial"/>
          <w:sz w:val="20"/>
          <w:szCs w:val="20"/>
          <w:lang w:val="en-US"/>
        </w:rPr>
        <w:t xml:space="preserve"> </w:t>
      </w:r>
    </w:p>
    <w:p w:rsidR="00EF5555" w:rsidRPr="004607C7" w:rsidRDefault="00EF5555" w:rsidP="004607C7">
      <w:pPr>
        <w:spacing w:line="240" w:lineRule="auto"/>
        <w:jc w:val="left"/>
        <w:rPr>
          <w:rFonts w:ascii="Arial" w:hAnsi="Arial" w:cs="Arial"/>
          <w:sz w:val="20"/>
          <w:szCs w:val="20"/>
          <w:lang w:val="en-US"/>
        </w:rPr>
      </w:pPr>
    </w:p>
    <w:p w:rsidR="00C3522A" w:rsidRPr="004607C7" w:rsidRDefault="009A0FC8" w:rsidP="004607C7">
      <w:pPr>
        <w:autoSpaceDE w:val="0"/>
        <w:autoSpaceDN w:val="0"/>
        <w:adjustRightInd w:val="0"/>
        <w:spacing w:line="240" w:lineRule="auto"/>
        <w:jc w:val="left"/>
        <w:rPr>
          <w:rFonts w:ascii="Arial" w:hAnsi="Arial" w:cs="Arial"/>
          <w:sz w:val="20"/>
          <w:szCs w:val="20"/>
          <w:lang w:val="en-US"/>
        </w:rPr>
      </w:pPr>
      <w:r w:rsidRPr="004607C7">
        <w:rPr>
          <w:rFonts w:ascii="Arial" w:hAnsi="Arial" w:cs="Arial"/>
          <w:b/>
          <w:color w:val="000000"/>
          <w:sz w:val="20"/>
          <w:szCs w:val="20"/>
          <w:lang w:eastAsia="en-ZA"/>
        </w:rPr>
        <w:t>Decline in</w:t>
      </w:r>
      <w:r w:rsidR="00EB4DC5" w:rsidRPr="004607C7">
        <w:rPr>
          <w:rFonts w:ascii="Arial" w:hAnsi="Arial" w:cs="Arial"/>
          <w:b/>
          <w:color w:val="000000"/>
          <w:sz w:val="20"/>
          <w:szCs w:val="20"/>
          <w:lang w:eastAsia="en-ZA"/>
        </w:rPr>
        <w:t xml:space="preserve"> detective rate:</w:t>
      </w:r>
      <w:r w:rsidRPr="004607C7">
        <w:rPr>
          <w:rFonts w:ascii="Arial" w:hAnsi="Arial" w:cs="Arial"/>
          <w:color w:val="000000"/>
          <w:sz w:val="20"/>
          <w:szCs w:val="20"/>
          <w:lang w:eastAsia="en-ZA"/>
        </w:rPr>
        <w:t xml:space="preserve"> The </w:t>
      </w:r>
      <w:r w:rsidR="000B7DB8" w:rsidRPr="004607C7">
        <w:rPr>
          <w:rFonts w:ascii="Arial" w:hAnsi="Arial" w:cs="Arial"/>
          <w:color w:val="000000"/>
          <w:sz w:val="20"/>
          <w:szCs w:val="20"/>
          <w:lang w:eastAsia="en-ZA"/>
        </w:rPr>
        <w:t xml:space="preserve">Committee raised concern about the continued decline in </w:t>
      </w:r>
      <w:r w:rsidR="00881A93" w:rsidRPr="004607C7">
        <w:rPr>
          <w:rFonts w:ascii="Arial" w:hAnsi="Arial" w:cs="Arial"/>
          <w:color w:val="000000"/>
          <w:sz w:val="20"/>
          <w:szCs w:val="20"/>
          <w:lang w:eastAsia="en-ZA"/>
        </w:rPr>
        <w:t xml:space="preserve">the performance of the Detective Services Programme, and subsequent decline in </w:t>
      </w:r>
      <w:r w:rsidR="000B7DB8" w:rsidRPr="004607C7">
        <w:rPr>
          <w:rFonts w:ascii="Arial" w:hAnsi="Arial" w:cs="Arial"/>
          <w:color w:val="000000"/>
          <w:sz w:val="20"/>
          <w:szCs w:val="20"/>
          <w:lang w:eastAsia="en-ZA"/>
        </w:rPr>
        <w:t xml:space="preserve">detection rates. </w:t>
      </w:r>
      <w:r w:rsidR="00881A93" w:rsidRPr="004607C7">
        <w:rPr>
          <w:rFonts w:ascii="Arial" w:hAnsi="Arial" w:cs="Arial"/>
          <w:sz w:val="20"/>
          <w:szCs w:val="20"/>
          <w:lang w:val="en-US"/>
        </w:rPr>
        <w:t>The Committee stated that the Detective Services are at the c</w:t>
      </w:r>
      <w:r w:rsidR="00C3522A" w:rsidRPr="004607C7">
        <w:rPr>
          <w:rFonts w:ascii="Arial" w:hAnsi="Arial" w:cs="Arial"/>
          <w:sz w:val="20"/>
          <w:szCs w:val="20"/>
          <w:lang w:val="en-US"/>
        </w:rPr>
        <w:t xml:space="preserve">rux of </w:t>
      </w:r>
      <w:r w:rsidR="00881A93" w:rsidRPr="004607C7">
        <w:rPr>
          <w:rFonts w:ascii="Arial" w:hAnsi="Arial" w:cs="Arial"/>
          <w:sz w:val="20"/>
          <w:szCs w:val="20"/>
          <w:lang w:val="en-US"/>
        </w:rPr>
        <w:t xml:space="preserve">the criminal justice system value chain, and indicated that poor investigations will lead to poor detection and conviction rates. The Committee indicated that criminals no longer fear the criminal justice system due to the low probability that they will face consequences. Members highlighted the fact that the </w:t>
      </w:r>
      <w:r w:rsidR="00C3522A" w:rsidRPr="004607C7">
        <w:rPr>
          <w:rFonts w:ascii="Arial" w:hAnsi="Arial" w:cs="Arial"/>
          <w:sz w:val="20"/>
          <w:szCs w:val="20"/>
          <w:lang w:val="en-US"/>
        </w:rPr>
        <w:t xml:space="preserve">conviction rate </w:t>
      </w:r>
      <w:r w:rsidR="00881A93" w:rsidRPr="004607C7">
        <w:rPr>
          <w:rFonts w:ascii="Arial" w:hAnsi="Arial" w:cs="Arial"/>
          <w:sz w:val="20"/>
          <w:szCs w:val="20"/>
          <w:lang w:val="en-US"/>
        </w:rPr>
        <w:t xml:space="preserve">for mass murders is only </w:t>
      </w:r>
      <w:r w:rsidR="00C3522A" w:rsidRPr="004607C7">
        <w:rPr>
          <w:rFonts w:ascii="Arial" w:hAnsi="Arial" w:cs="Arial"/>
          <w:sz w:val="20"/>
          <w:szCs w:val="20"/>
          <w:lang w:val="en-US"/>
        </w:rPr>
        <w:t>6.8</w:t>
      </w:r>
      <w:r w:rsidR="00881A93" w:rsidRPr="004607C7">
        <w:rPr>
          <w:rFonts w:ascii="Arial" w:hAnsi="Arial" w:cs="Arial"/>
          <w:sz w:val="20"/>
          <w:szCs w:val="20"/>
          <w:lang w:val="en-US"/>
        </w:rPr>
        <w:t xml:space="preserve"> per cent</w:t>
      </w:r>
      <w:r w:rsidR="00C3522A" w:rsidRPr="004607C7">
        <w:rPr>
          <w:rFonts w:ascii="Arial" w:hAnsi="Arial" w:cs="Arial"/>
          <w:sz w:val="20"/>
          <w:szCs w:val="20"/>
          <w:lang w:val="en-US"/>
        </w:rPr>
        <w:t xml:space="preserve">. </w:t>
      </w:r>
      <w:r w:rsidR="00881A93" w:rsidRPr="004607C7">
        <w:rPr>
          <w:rFonts w:ascii="Arial" w:hAnsi="Arial" w:cs="Arial"/>
          <w:sz w:val="20"/>
          <w:szCs w:val="20"/>
          <w:lang w:val="en-US"/>
        </w:rPr>
        <w:t xml:space="preserve">The Committee further asked the manner in which the Department will increase the capacity of detectives and reduce the case load of detectives. </w:t>
      </w:r>
      <w:r w:rsidR="00B20712" w:rsidRPr="004607C7">
        <w:rPr>
          <w:rFonts w:ascii="Arial" w:hAnsi="Arial" w:cs="Arial"/>
          <w:sz w:val="20"/>
          <w:szCs w:val="20"/>
          <w:lang w:val="en-US"/>
        </w:rPr>
        <w:t>The Department stated that there are strategies in place to reduce the number of dockets assigned to each detective. However, the Department indicated that t</w:t>
      </w:r>
      <w:r w:rsidR="00C3522A" w:rsidRPr="004607C7">
        <w:rPr>
          <w:rFonts w:ascii="Arial" w:hAnsi="Arial" w:cs="Arial"/>
          <w:sz w:val="20"/>
          <w:szCs w:val="20"/>
          <w:lang w:val="en-US"/>
        </w:rPr>
        <w:t>raining does not replace experience</w:t>
      </w:r>
      <w:r w:rsidR="00B20712" w:rsidRPr="004607C7">
        <w:rPr>
          <w:rFonts w:ascii="Arial" w:hAnsi="Arial" w:cs="Arial"/>
          <w:sz w:val="20"/>
          <w:szCs w:val="20"/>
          <w:lang w:val="en-US"/>
        </w:rPr>
        <w:t xml:space="preserve"> and that the early r</w:t>
      </w:r>
      <w:r w:rsidR="00C3522A" w:rsidRPr="004607C7">
        <w:rPr>
          <w:rFonts w:ascii="Arial" w:hAnsi="Arial" w:cs="Arial"/>
          <w:sz w:val="20"/>
          <w:szCs w:val="20"/>
          <w:lang w:val="en-US"/>
        </w:rPr>
        <w:t xml:space="preserve">etirement </w:t>
      </w:r>
      <w:r w:rsidR="00B20712" w:rsidRPr="004607C7">
        <w:rPr>
          <w:rFonts w:ascii="Arial" w:hAnsi="Arial" w:cs="Arial"/>
          <w:sz w:val="20"/>
          <w:szCs w:val="20"/>
          <w:lang w:val="en-US"/>
        </w:rPr>
        <w:t xml:space="preserve">of SAPS personnel affected the Department </w:t>
      </w:r>
      <w:r w:rsidR="00C3522A" w:rsidRPr="004607C7">
        <w:rPr>
          <w:rFonts w:ascii="Arial" w:hAnsi="Arial" w:cs="Arial"/>
          <w:sz w:val="20"/>
          <w:szCs w:val="20"/>
          <w:lang w:val="en-US"/>
        </w:rPr>
        <w:t>negatively</w:t>
      </w:r>
      <w:r w:rsidR="00B20712" w:rsidRPr="004607C7">
        <w:rPr>
          <w:rFonts w:ascii="Arial" w:hAnsi="Arial" w:cs="Arial"/>
          <w:sz w:val="20"/>
          <w:szCs w:val="20"/>
          <w:lang w:val="en-US"/>
        </w:rPr>
        <w:t>, especially in the Detectives Division. The Department stated that the private sector provides better remuneration packages</w:t>
      </w:r>
      <w:r w:rsidR="002108C3" w:rsidRPr="004607C7">
        <w:rPr>
          <w:rFonts w:ascii="Arial" w:hAnsi="Arial" w:cs="Arial"/>
          <w:sz w:val="20"/>
          <w:szCs w:val="20"/>
          <w:lang w:val="en-US"/>
        </w:rPr>
        <w:t>, but that</w:t>
      </w:r>
      <w:r w:rsidR="00B20712" w:rsidRPr="004607C7">
        <w:rPr>
          <w:rFonts w:ascii="Arial" w:hAnsi="Arial" w:cs="Arial"/>
          <w:sz w:val="20"/>
          <w:szCs w:val="20"/>
          <w:lang w:val="en-US"/>
        </w:rPr>
        <w:t xml:space="preserve"> </w:t>
      </w:r>
      <w:r w:rsidR="002108C3" w:rsidRPr="004607C7">
        <w:rPr>
          <w:rFonts w:ascii="Arial" w:hAnsi="Arial" w:cs="Arial"/>
          <w:sz w:val="20"/>
          <w:szCs w:val="20"/>
          <w:lang w:val="en-US"/>
        </w:rPr>
        <w:t>a</w:t>
      </w:r>
      <w:r w:rsidR="00B20712" w:rsidRPr="004607C7">
        <w:rPr>
          <w:rFonts w:ascii="Arial" w:hAnsi="Arial" w:cs="Arial"/>
          <w:sz w:val="20"/>
          <w:szCs w:val="20"/>
          <w:lang w:val="en-US"/>
        </w:rPr>
        <w:t xml:space="preserve"> retention strategy is being developed.</w:t>
      </w:r>
      <w:r w:rsidR="00C3522A" w:rsidRPr="004607C7">
        <w:rPr>
          <w:rFonts w:ascii="Arial" w:hAnsi="Arial" w:cs="Arial"/>
          <w:sz w:val="20"/>
          <w:szCs w:val="20"/>
          <w:lang w:val="en-US"/>
        </w:rPr>
        <w:t xml:space="preserve"> </w:t>
      </w:r>
    </w:p>
    <w:p w:rsidR="00C3522A" w:rsidRPr="004607C7" w:rsidRDefault="00C3522A" w:rsidP="004607C7">
      <w:pPr>
        <w:autoSpaceDE w:val="0"/>
        <w:autoSpaceDN w:val="0"/>
        <w:adjustRightInd w:val="0"/>
        <w:spacing w:line="240" w:lineRule="auto"/>
        <w:jc w:val="left"/>
        <w:rPr>
          <w:rFonts w:ascii="Arial" w:hAnsi="Arial" w:cs="Arial"/>
          <w:color w:val="000000"/>
          <w:sz w:val="20"/>
          <w:szCs w:val="20"/>
          <w:lang w:eastAsia="en-ZA"/>
        </w:rPr>
      </w:pPr>
    </w:p>
    <w:p w:rsidR="00C416B5" w:rsidRPr="004607C7" w:rsidRDefault="00C416B5" w:rsidP="004607C7">
      <w:pPr>
        <w:spacing w:line="240" w:lineRule="auto"/>
        <w:jc w:val="left"/>
        <w:rPr>
          <w:rFonts w:ascii="Arial" w:hAnsi="Arial" w:cs="Arial"/>
          <w:sz w:val="20"/>
          <w:szCs w:val="20"/>
        </w:rPr>
      </w:pPr>
      <w:r w:rsidRPr="004607C7">
        <w:rPr>
          <w:rFonts w:ascii="Arial" w:hAnsi="Arial" w:cs="Arial"/>
          <w:b/>
          <w:sz w:val="20"/>
          <w:szCs w:val="20"/>
        </w:rPr>
        <w:t>B</w:t>
      </w:r>
      <w:r w:rsidR="00564198" w:rsidRPr="004607C7">
        <w:rPr>
          <w:rFonts w:ascii="Arial" w:hAnsi="Arial" w:cs="Arial"/>
          <w:b/>
          <w:sz w:val="20"/>
          <w:szCs w:val="20"/>
        </w:rPr>
        <w:t xml:space="preserve">order </w:t>
      </w:r>
      <w:r w:rsidRPr="004607C7">
        <w:rPr>
          <w:rFonts w:ascii="Arial" w:hAnsi="Arial" w:cs="Arial"/>
          <w:b/>
          <w:sz w:val="20"/>
          <w:szCs w:val="20"/>
        </w:rPr>
        <w:t>M</w:t>
      </w:r>
      <w:r w:rsidR="00564198" w:rsidRPr="004607C7">
        <w:rPr>
          <w:rFonts w:ascii="Arial" w:hAnsi="Arial" w:cs="Arial"/>
          <w:b/>
          <w:sz w:val="20"/>
          <w:szCs w:val="20"/>
        </w:rPr>
        <w:t xml:space="preserve">anagement </w:t>
      </w:r>
      <w:r w:rsidRPr="004607C7">
        <w:rPr>
          <w:rFonts w:ascii="Arial" w:hAnsi="Arial" w:cs="Arial"/>
          <w:b/>
          <w:sz w:val="20"/>
          <w:szCs w:val="20"/>
        </w:rPr>
        <w:t>A</w:t>
      </w:r>
      <w:r w:rsidR="00564198" w:rsidRPr="004607C7">
        <w:rPr>
          <w:rFonts w:ascii="Arial" w:hAnsi="Arial" w:cs="Arial"/>
          <w:b/>
          <w:sz w:val="20"/>
          <w:szCs w:val="20"/>
        </w:rPr>
        <w:t>gency (BMA)</w:t>
      </w:r>
      <w:r w:rsidR="00EB4DC5" w:rsidRPr="004607C7">
        <w:rPr>
          <w:rFonts w:ascii="Arial" w:hAnsi="Arial" w:cs="Arial"/>
          <w:sz w:val="20"/>
          <w:szCs w:val="20"/>
        </w:rPr>
        <w:t>:</w:t>
      </w:r>
      <w:r w:rsidRPr="004607C7">
        <w:rPr>
          <w:rFonts w:ascii="Arial" w:hAnsi="Arial" w:cs="Arial"/>
          <w:sz w:val="20"/>
          <w:szCs w:val="20"/>
        </w:rPr>
        <w:t xml:space="preserve"> </w:t>
      </w:r>
      <w:r w:rsidR="003105BF" w:rsidRPr="004607C7">
        <w:rPr>
          <w:rFonts w:ascii="Arial" w:hAnsi="Arial" w:cs="Arial"/>
          <w:sz w:val="20"/>
          <w:szCs w:val="20"/>
        </w:rPr>
        <w:t>The Committee requested clarity on the establishment of the BMA and the impact thereof on the SAPS in terms of border security. The SAPS indicated that the BMA will be operational at p</w:t>
      </w:r>
      <w:r w:rsidR="00934221" w:rsidRPr="004607C7">
        <w:rPr>
          <w:rFonts w:ascii="Arial" w:hAnsi="Arial" w:cs="Arial"/>
          <w:sz w:val="20"/>
          <w:szCs w:val="20"/>
        </w:rPr>
        <w:t xml:space="preserve">orts of </w:t>
      </w:r>
      <w:r w:rsidR="003105BF" w:rsidRPr="004607C7">
        <w:rPr>
          <w:rFonts w:ascii="Arial" w:hAnsi="Arial" w:cs="Arial"/>
          <w:sz w:val="20"/>
          <w:szCs w:val="20"/>
        </w:rPr>
        <w:t>e</w:t>
      </w:r>
      <w:r w:rsidR="00934221" w:rsidRPr="004607C7">
        <w:rPr>
          <w:rFonts w:ascii="Arial" w:hAnsi="Arial" w:cs="Arial"/>
          <w:sz w:val="20"/>
          <w:szCs w:val="20"/>
        </w:rPr>
        <w:t xml:space="preserve">ntry and </w:t>
      </w:r>
      <w:r w:rsidR="003105BF" w:rsidRPr="004607C7">
        <w:rPr>
          <w:rFonts w:ascii="Arial" w:hAnsi="Arial" w:cs="Arial"/>
          <w:sz w:val="20"/>
          <w:szCs w:val="20"/>
        </w:rPr>
        <w:t>b</w:t>
      </w:r>
      <w:r w:rsidR="00934221" w:rsidRPr="004607C7">
        <w:rPr>
          <w:rFonts w:ascii="Arial" w:hAnsi="Arial" w:cs="Arial"/>
          <w:sz w:val="20"/>
          <w:szCs w:val="20"/>
        </w:rPr>
        <w:t xml:space="preserve">order </w:t>
      </w:r>
      <w:r w:rsidR="003105BF" w:rsidRPr="004607C7">
        <w:rPr>
          <w:rFonts w:ascii="Arial" w:hAnsi="Arial" w:cs="Arial"/>
          <w:sz w:val="20"/>
          <w:szCs w:val="20"/>
        </w:rPr>
        <w:t xml:space="preserve">post, thus taking over the functions of the SAPS in the declared </w:t>
      </w:r>
      <w:r w:rsidR="00934221" w:rsidRPr="004607C7">
        <w:rPr>
          <w:rFonts w:ascii="Arial" w:hAnsi="Arial" w:cs="Arial"/>
          <w:sz w:val="20"/>
          <w:szCs w:val="20"/>
        </w:rPr>
        <w:t>Border Law Enforcement Area</w:t>
      </w:r>
      <w:r w:rsidR="003105BF" w:rsidRPr="004607C7">
        <w:rPr>
          <w:rFonts w:ascii="Arial" w:hAnsi="Arial" w:cs="Arial"/>
          <w:sz w:val="20"/>
          <w:szCs w:val="20"/>
        </w:rPr>
        <w:t xml:space="preserve">s. </w:t>
      </w:r>
    </w:p>
    <w:p w:rsidR="00EF5555" w:rsidRPr="004607C7" w:rsidRDefault="00EF5555" w:rsidP="004607C7">
      <w:pPr>
        <w:spacing w:line="240" w:lineRule="auto"/>
        <w:jc w:val="left"/>
        <w:rPr>
          <w:rFonts w:ascii="Arial" w:hAnsi="Arial" w:cs="Arial"/>
          <w:sz w:val="20"/>
          <w:szCs w:val="20"/>
        </w:rPr>
      </w:pPr>
    </w:p>
    <w:p w:rsidR="00EF5555" w:rsidRPr="004607C7" w:rsidRDefault="00EF5555" w:rsidP="004607C7">
      <w:pPr>
        <w:spacing w:line="240" w:lineRule="auto"/>
        <w:jc w:val="left"/>
        <w:rPr>
          <w:rFonts w:ascii="Arial" w:hAnsi="Arial" w:cs="Arial"/>
          <w:b/>
          <w:sz w:val="20"/>
          <w:szCs w:val="20"/>
          <w:highlight w:val="yellow"/>
        </w:rPr>
      </w:pPr>
      <w:r w:rsidRPr="004607C7">
        <w:rPr>
          <w:rFonts w:ascii="Arial" w:hAnsi="Arial" w:cs="Arial"/>
          <w:b/>
          <w:sz w:val="20"/>
          <w:szCs w:val="20"/>
        </w:rPr>
        <w:t>Crime Intelligence</w:t>
      </w:r>
      <w:r w:rsidR="002E60DE" w:rsidRPr="004607C7">
        <w:rPr>
          <w:rFonts w:ascii="Arial" w:hAnsi="Arial" w:cs="Arial"/>
          <w:b/>
          <w:sz w:val="20"/>
          <w:szCs w:val="20"/>
        </w:rPr>
        <w:t>:</w:t>
      </w:r>
      <w:r w:rsidRPr="004607C7">
        <w:rPr>
          <w:rFonts w:ascii="Arial" w:hAnsi="Arial" w:cs="Arial"/>
          <w:b/>
          <w:sz w:val="20"/>
          <w:szCs w:val="20"/>
        </w:rPr>
        <w:t xml:space="preserve"> </w:t>
      </w:r>
      <w:r w:rsidR="00F12280" w:rsidRPr="004607C7">
        <w:rPr>
          <w:rFonts w:ascii="Arial" w:hAnsi="Arial" w:cs="Arial"/>
          <w:sz w:val="20"/>
          <w:szCs w:val="20"/>
        </w:rPr>
        <w:t xml:space="preserve">The </w:t>
      </w:r>
      <w:r w:rsidR="00F12280" w:rsidRPr="004607C7">
        <w:rPr>
          <w:rFonts w:ascii="Arial" w:hAnsi="Arial" w:cs="Arial"/>
          <w:sz w:val="20"/>
          <w:szCs w:val="20"/>
          <w:lang w:val="en-US"/>
        </w:rPr>
        <w:t xml:space="preserve">Committee raised concern about the dysfunctionality of the </w:t>
      </w:r>
      <w:r w:rsidRPr="004607C7">
        <w:rPr>
          <w:rFonts w:ascii="Arial" w:hAnsi="Arial" w:cs="Arial"/>
          <w:sz w:val="20"/>
          <w:szCs w:val="20"/>
          <w:lang w:val="en-US"/>
        </w:rPr>
        <w:t>C</w:t>
      </w:r>
      <w:r w:rsidR="00F12280" w:rsidRPr="004607C7">
        <w:rPr>
          <w:rFonts w:ascii="Arial" w:hAnsi="Arial" w:cs="Arial"/>
          <w:sz w:val="20"/>
          <w:szCs w:val="20"/>
          <w:lang w:val="en-US"/>
        </w:rPr>
        <w:t xml:space="preserve">rime </w:t>
      </w:r>
      <w:r w:rsidRPr="004607C7">
        <w:rPr>
          <w:rFonts w:ascii="Arial" w:hAnsi="Arial" w:cs="Arial"/>
          <w:sz w:val="20"/>
          <w:szCs w:val="20"/>
          <w:lang w:val="en-US"/>
        </w:rPr>
        <w:t>I</w:t>
      </w:r>
      <w:r w:rsidR="00F12280" w:rsidRPr="004607C7">
        <w:rPr>
          <w:rFonts w:ascii="Arial" w:hAnsi="Arial" w:cs="Arial"/>
          <w:sz w:val="20"/>
          <w:szCs w:val="20"/>
          <w:lang w:val="en-US"/>
        </w:rPr>
        <w:t xml:space="preserve">ntelligence Division and indicated that significant capacity building is needed. The Committee further questioned whether the Division has sufficient technology equipment as a critical crime fighting tool. The Department indicated that the Division is being rebuilt and that the interventions has started to bear fruit. The Department highlighted some successes, especially in addressing </w:t>
      </w:r>
      <w:r w:rsidRPr="004607C7">
        <w:rPr>
          <w:rFonts w:ascii="Arial" w:hAnsi="Arial" w:cs="Arial"/>
          <w:sz w:val="20"/>
          <w:szCs w:val="20"/>
          <w:lang w:val="en-US"/>
        </w:rPr>
        <w:t xml:space="preserve">kidnappings. </w:t>
      </w:r>
      <w:r w:rsidR="00D90C64" w:rsidRPr="004607C7">
        <w:rPr>
          <w:rFonts w:ascii="Arial" w:hAnsi="Arial" w:cs="Arial"/>
          <w:sz w:val="20"/>
          <w:szCs w:val="20"/>
          <w:lang w:val="en-US"/>
        </w:rPr>
        <w:t>A</w:t>
      </w:r>
      <w:r w:rsidR="00F12280" w:rsidRPr="004607C7">
        <w:rPr>
          <w:rFonts w:ascii="Arial" w:hAnsi="Arial" w:cs="Arial"/>
          <w:sz w:val="20"/>
          <w:szCs w:val="20"/>
          <w:lang w:val="en-US"/>
        </w:rPr>
        <w:t xml:space="preserve">dditional personnel </w:t>
      </w:r>
      <w:r w:rsidR="00D90C64" w:rsidRPr="004607C7">
        <w:rPr>
          <w:rFonts w:ascii="Arial" w:hAnsi="Arial" w:cs="Arial"/>
          <w:sz w:val="20"/>
          <w:szCs w:val="20"/>
          <w:lang w:val="en-US"/>
        </w:rPr>
        <w:t>are</w:t>
      </w:r>
      <w:r w:rsidR="00F12280" w:rsidRPr="004607C7">
        <w:rPr>
          <w:rFonts w:ascii="Arial" w:hAnsi="Arial" w:cs="Arial"/>
          <w:sz w:val="20"/>
          <w:szCs w:val="20"/>
          <w:lang w:val="en-US"/>
        </w:rPr>
        <w:t xml:space="preserve"> being allocated to the Division and equipment is being procured. The Committee stated that p</w:t>
      </w:r>
      <w:r w:rsidRPr="004607C7">
        <w:rPr>
          <w:rFonts w:ascii="Arial" w:hAnsi="Arial" w:cs="Arial"/>
          <w:sz w:val="20"/>
          <w:szCs w:val="20"/>
          <w:lang w:val="en-US"/>
        </w:rPr>
        <w:t xml:space="preserve">roper training </w:t>
      </w:r>
      <w:r w:rsidR="00F12280" w:rsidRPr="004607C7">
        <w:rPr>
          <w:rFonts w:ascii="Arial" w:hAnsi="Arial" w:cs="Arial"/>
          <w:sz w:val="20"/>
          <w:szCs w:val="20"/>
          <w:lang w:val="en-US"/>
        </w:rPr>
        <w:t xml:space="preserve">must be </w:t>
      </w:r>
      <w:r w:rsidRPr="004607C7">
        <w:rPr>
          <w:rFonts w:ascii="Arial" w:hAnsi="Arial" w:cs="Arial"/>
          <w:sz w:val="20"/>
          <w:szCs w:val="20"/>
          <w:lang w:val="en-US"/>
        </w:rPr>
        <w:t>given to new recruits</w:t>
      </w:r>
      <w:r w:rsidR="00F12280" w:rsidRPr="004607C7">
        <w:rPr>
          <w:rFonts w:ascii="Arial" w:hAnsi="Arial" w:cs="Arial"/>
          <w:sz w:val="20"/>
          <w:szCs w:val="20"/>
          <w:lang w:val="en-US"/>
        </w:rPr>
        <w:t xml:space="preserve"> as Crime Intelligence is a speciali</w:t>
      </w:r>
      <w:r w:rsidR="00D90C64" w:rsidRPr="004607C7">
        <w:rPr>
          <w:rFonts w:ascii="Arial" w:hAnsi="Arial" w:cs="Arial"/>
          <w:sz w:val="20"/>
          <w:szCs w:val="20"/>
          <w:lang w:val="en-US"/>
        </w:rPr>
        <w:t>s</w:t>
      </w:r>
      <w:r w:rsidR="00F12280" w:rsidRPr="004607C7">
        <w:rPr>
          <w:rFonts w:ascii="Arial" w:hAnsi="Arial" w:cs="Arial"/>
          <w:sz w:val="20"/>
          <w:szCs w:val="20"/>
          <w:lang w:val="en-US"/>
        </w:rPr>
        <w:t>ed skill,</w:t>
      </w:r>
      <w:r w:rsidRPr="004607C7">
        <w:rPr>
          <w:rFonts w:ascii="Arial" w:hAnsi="Arial" w:cs="Arial"/>
          <w:sz w:val="20"/>
          <w:szCs w:val="20"/>
          <w:lang w:val="en-US"/>
        </w:rPr>
        <w:t xml:space="preserve"> especially </w:t>
      </w:r>
      <w:r w:rsidR="00F12280" w:rsidRPr="004607C7">
        <w:rPr>
          <w:rFonts w:ascii="Arial" w:hAnsi="Arial" w:cs="Arial"/>
          <w:sz w:val="20"/>
          <w:szCs w:val="20"/>
          <w:lang w:val="en-US"/>
        </w:rPr>
        <w:t xml:space="preserve">those </w:t>
      </w:r>
      <w:r w:rsidRPr="004607C7">
        <w:rPr>
          <w:rFonts w:ascii="Arial" w:hAnsi="Arial" w:cs="Arial"/>
          <w:sz w:val="20"/>
          <w:szCs w:val="20"/>
          <w:lang w:val="en-US"/>
        </w:rPr>
        <w:t>taken directly from academies</w:t>
      </w:r>
      <w:r w:rsidR="00F12280" w:rsidRPr="004607C7">
        <w:rPr>
          <w:rFonts w:ascii="Arial" w:hAnsi="Arial" w:cs="Arial"/>
          <w:sz w:val="20"/>
          <w:szCs w:val="20"/>
          <w:lang w:val="en-US"/>
        </w:rPr>
        <w:t>.</w:t>
      </w:r>
      <w:r w:rsidRPr="004607C7">
        <w:rPr>
          <w:rFonts w:ascii="Arial" w:hAnsi="Arial" w:cs="Arial"/>
          <w:sz w:val="20"/>
          <w:szCs w:val="20"/>
          <w:highlight w:val="yellow"/>
          <w:lang w:val="en-US"/>
        </w:rPr>
        <w:t xml:space="preserve"> </w:t>
      </w:r>
    </w:p>
    <w:p w:rsidR="00EF5555" w:rsidRPr="004607C7" w:rsidRDefault="00EF5555" w:rsidP="004607C7">
      <w:pPr>
        <w:spacing w:line="240" w:lineRule="auto"/>
        <w:jc w:val="left"/>
        <w:rPr>
          <w:rFonts w:ascii="Arial" w:hAnsi="Arial" w:cs="Arial"/>
          <w:sz w:val="20"/>
          <w:szCs w:val="20"/>
        </w:rPr>
      </w:pPr>
    </w:p>
    <w:p w:rsidR="00C3522A" w:rsidRPr="004607C7" w:rsidRDefault="003105BF" w:rsidP="004607C7">
      <w:pPr>
        <w:spacing w:line="240" w:lineRule="auto"/>
        <w:jc w:val="left"/>
        <w:rPr>
          <w:rFonts w:ascii="Arial" w:hAnsi="Arial" w:cs="Arial"/>
          <w:sz w:val="20"/>
          <w:szCs w:val="20"/>
        </w:rPr>
      </w:pPr>
      <w:r w:rsidRPr="004607C7">
        <w:rPr>
          <w:rFonts w:ascii="Arial" w:hAnsi="Arial" w:cs="Arial"/>
          <w:b/>
          <w:sz w:val="20"/>
          <w:szCs w:val="20"/>
        </w:rPr>
        <w:t>Ineffectivene</w:t>
      </w:r>
      <w:r w:rsidR="00EB4DC5" w:rsidRPr="004607C7">
        <w:rPr>
          <w:rFonts w:ascii="Arial" w:hAnsi="Arial" w:cs="Arial"/>
          <w:b/>
          <w:sz w:val="20"/>
          <w:szCs w:val="20"/>
        </w:rPr>
        <w:t>ss of the 10111 call centre:</w:t>
      </w:r>
      <w:r w:rsidRPr="004607C7">
        <w:rPr>
          <w:rFonts w:ascii="Arial" w:hAnsi="Arial" w:cs="Arial"/>
          <w:sz w:val="20"/>
          <w:szCs w:val="20"/>
        </w:rPr>
        <w:t xml:space="preserve"> The Committee raised concern about the ineffectiveness of the 10111 call centre, including excessive holding times and lack of response to complaints due to insufficient personnel. </w:t>
      </w:r>
      <w:r w:rsidR="005F4315" w:rsidRPr="004607C7">
        <w:rPr>
          <w:rFonts w:ascii="Arial" w:hAnsi="Arial" w:cs="Arial"/>
          <w:sz w:val="20"/>
          <w:szCs w:val="20"/>
        </w:rPr>
        <w:t>The</w:t>
      </w:r>
      <w:r w:rsidR="00D8730F" w:rsidRPr="004607C7">
        <w:rPr>
          <w:rFonts w:ascii="Arial" w:hAnsi="Arial" w:cs="Arial"/>
          <w:sz w:val="20"/>
          <w:szCs w:val="20"/>
        </w:rPr>
        <w:t xml:space="preserve"> Committee noted the inclusion of a new performance indicator to track progress on the 10111 Command Centre Reform Project to give full effect to the 2023 SONA commitment made by the President. The Committee questioned whether all </w:t>
      </w:r>
      <w:r w:rsidR="00C3522A" w:rsidRPr="004607C7">
        <w:rPr>
          <w:rFonts w:ascii="Arial" w:hAnsi="Arial" w:cs="Arial"/>
          <w:sz w:val="20"/>
          <w:szCs w:val="20"/>
          <w:lang w:val="en-US"/>
        </w:rPr>
        <w:t xml:space="preserve">10111 call </w:t>
      </w:r>
      <w:r w:rsidR="00D8730F" w:rsidRPr="004607C7">
        <w:rPr>
          <w:rFonts w:ascii="Arial" w:hAnsi="Arial" w:cs="Arial"/>
          <w:sz w:val="20"/>
          <w:szCs w:val="20"/>
          <w:lang w:val="en-US"/>
        </w:rPr>
        <w:t xml:space="preserve">centers have </w:t>
      </w:r>
      <w:r w:rsidR="00D8730F" w:rsidRPr="004607C7">
        <w:rPr>
          <w:rFonts w:ascii="Arial" w:hAnsi="Arial" w:cs="Arial"/>
          <w:sz w:val="20"/>
          <w:szCs w:val="20"/>
          <w:lang w:val="en-US"/>
        </w:rPr>
        <w:lastRenderedPageBreak/>
        <w:t xml:space="preserve">CISCO Telephone Management Systems. The Department indicated that eight out of the </w:t>
      </w:r>
      <w:r w:rsidR="00C3522A" w:rsidRPr="004607C7">
        <w:rPr>
          <w:rFonts w:ascii="Arial" w:hAnsi="Arial" w:cs="Arial"/>
          <w:sz w:val="20"/>
          <w:szCs w:val="20"/>
          <w:lang w:val="en-US"/>
        </w:rPr>
        <w:t xml:space="preserve">21 </w:t>
      </w:r>
      <w:r w:rsidR="00D8730F" w:rsidRPr="004607C7">
        <w:rPr>
          <w:rFonts w:ascii="Arial" w:hAnsi="Arial" w:cs="Arial"/>
          <w:sz w:val="20"/>
          <w:szCs w:val="20"/>
          <w:lang w:val="en-US"/>
        </w:rPr>
        <w:t xml:space="preserve">centers </w:t>
      </w:r>
      <w:r w:rsidR="00C3522A" w:rsidRPr="004607C7">
        <w:rPr>
          <w:rFonts w:ascii="Arial" w:hAnsi="Arial" w:cs="Arial"/>
          <w:sz w:val="20"/>
          <w:szCs w:val="20"/>
          <w:lang w:val="en-US"/>
        </w:rPr>
        <w:t xml:space="preserve">do not have SISCO </w:t>
      </w:r>
      <w:r w:rsidR="00D8730F" w:rsidRPr="004607C7">
        <w:rPr>
          <w:rFonts w:ascii="Arial" w:hAnsi="Arial" w:cs="Arial"/>
          <w:sz w:val="20"/>
          <w:szCs w:val="20"/>
          <w:lang w:val="en-US"/>
        </w:rPr>
        <w:t>Systems in place, but that these centers are managed through other mechanisms</w:t>
      </w:r>
      <w:r w:rsidR="00C3522A" w:rsidRPr="004607C7">
        <w:rPr>
          <w:rFonts w:ascii="Arial" w:hAnsi="Arial" w:cs="Arial"/>
          <w:sz w:val="20"/>
          <w:szCs w:val="20"/>
          <w:lang w:val="en-US"/>
        </w:rPr>
        <w:t xml:space="preserve">. </w:t>
      </w:r>
    </w:p>
    <w:p w:rsidR="009742C6" w:rsidRPr="004607C7" w:rsidRDefault="009742C6" w:rsidP="004607C7">
      <w:pPr>
        <w:spacing w:line="240" w:lineRule="auto"/>
        <w:jc w:val="left"/>
        <w:rPr>
          <w:rFonts w:ascii="Arial" w:hAnsi="Arial" w:cs="Arial"/>
          <w:sz w:val="20"/>
          <w:szCs w:val="20"/>
        </w:rPr>
      </w:pPr>
    </w:p>
    <w:p w:rsidR="00EF5555" w:rsidRPr="004607C7" w:rsidRDefault="00FB7FCF" w:rsidP="004607C7">
      <w:pPr>
        <w:spacing w:line="240" w:lineRule="auto"/>
        <w:jc w:val="left"/>
        <w:rPr>
          <w:rFonts w:ascii="Arial" w:hAnsi="Arial" w:cs="Arial"/>
          <w:sz w:val="20"/>
          <w:szCs w:val="20"/>
        </w:rPr>
      </w:pPr>
      <w:r w:rsidRPr="004607C7">
        <w:rPr>
          <w:rFonts w:ascii="Arial" w:hAnsi="Arial" w:cs="Arial"/>
          <w:b/>
          <w:sz w:val="20"/>
          <w:szCs w:val="20"/>
        </w:rPr>
        <w:t>Early identification</w:t>
      </w:r>
      <w:r w:rsidR="002108C3" w:rsidRPr="004607C7">
        <w:rPr>
          <w:rFonts w:ascii="Arial" w:hAnsi="Arial" w:cs="Arial"/>
          <w:b/>
          <w:sz w:val="20"/>
          <w:szCs w:val="20"/>
        </w:rPr>
        <w:t xml:space="preserve"> of criminal behaviour:</w:t>
      </w:r>
      <w:r w:rsidRPr="004607C7">
        <w:rPr>
          <w:rFonts w:ascii="Arial" w:hAnsi="Arial" w:cs="Arial"/>
          <w:b/>
          <w:sz w:val="20"/>
          <w:szCs w:val="20"/>
        </w:rPr>
        <w:t xml:space="preserve"> </w:t>
      </w:r>
      <w:r w:rsidR="00EF5555" w:rsidRPr="004607C7">
        <w:rPr>
          <w:rFonts w:ascii="Arial" w:hAnsi="Arial" w:cs="Arial"/>
          <w:sz w:val="20"/>
          <w:szCs w:val="20"/>
        </w:rPr>
        <w:t xml:space="preserve">The Committee noted that problematic behaviour that could lead to criminality can and should be identified at school level and questioned what interventions can be put in place to deter and prevent this behaviour before it leads to serious criminality. The Committee proposed the inclusion of police-orientated subjects in school curriculums to foster an interest in policing to create a possible pool for the recruitment of passionate police officers. </w:t>
      </w:r>
    </w:p>
    <w:p w:rsidR="00F12280" w:rsidRPr="004607C7" w:rsidRDefault="00F12280" w:rsidP="004607C7">
      <w:pPr>
        <w:spacing w:line="240" w:lineRule="auto"/>
        <w:jc w:val="left"/>
        <w:rPr>
          <w:rFonts w:ascii="Arial" w:hAnsi="Arial" w:cs="Arial"/>
          <w:sz w:val="20"/>
          <w:szCs w:val="20"/>
        </w:rPr>
      </w:pPr>
    </w:p>
    <w:p w:rsidR="00F12280" w:rsidRPr="004607C7" w:rsidRDefault="00507E3E" w:rsidP="004607C7">
      <w:pPr>
        <w:spacing w:line="240" w:lineRule="auto"/>
        <w:jc w:val="left"/>
        <w:rPr>
          <w:rFonts w:ascii="Arial" w:hAnsi="Arial" w:cs="Arial"/>
          <w:sz w:val="20"/>
          <w:szCs w:val="20"/>
          <w:highlight w:val="yellow"/>
        </w:rPr>
      </w:pPr>
      <w:r w:rsidRPr="004607C7">
        <w:rPr>
          <w:rFonts w:ascii="Arial" w:hAnsi="Arial" w:cs="Arial"/>
          <w:b/>
          <w:sz w:val="20"/>
          <w:szCs w:val="20"/>
        </w:rPr>
        <w:t xml:space="preserve">Remuneration and conditions of service of the National Head and Provincial Heads of the </w:t>
      </w:r>
      <w:r w:rsidR="00F12280" w:rsidRPr="004607C7">
        <w:rPr>
          <w:rFonts w:ascii="Arial" w:hAnsi="Arial" w:cs="Arial"/>
          <w:b/>
          <w:sz w:val="20"/>
          <w:szCs w:val="20"/>
        </w:rPr>
        <w:t>DPCI</w:t>
      </w:r>
      <w:r w:rsidRPr="004607C7">
        <w:rPr>
          <w:rFonts w:ascii="Arial" w:hAnsi="Arial" w:cs="Arial"/>
          <w:b/>
          <w:sz w:val="20"/>
          <w:szCs w:val="20"/>
        </w:rPr>
        <w:t>:</w:t>
      </w:r>
      <w:r w:rsidRPr="004607C7">
        <w:rPr>
          <w:rFonts w:ascii="Arial" w:hAnsi="Arial" w:cs="Arial"/>
          <w:sz w:val="20"/>
          <w:szCs w:val="20"/>
        </w:rPr>
        <w:t xml:space="preserve"> The</w:t>
      </w:r>
      <w:r w:rsidR="00342FDA" w:rsidRPr="004607C7">
        <w:rPr>
          <w:rFonts w:ascii="Arial" w:hAnsi="Arial" w:cs="Arial"/>
          <w:sz w:val="20"/>
          <w:szCs w:val="20"/>
        </w:rPr>
        <w:t xml:space="preserve"> Committee noted that the remuneration scales and condition service of the National Head and Provincial Heads of the DPCI under section 17CA of the SAPS Act were tabled in Parliament in 2016, but was withdrawn in 2018. The Committee questioned the reason for this and requested that the revised remuneration and conditions of service of the DPCI should be submitted to Parliament as a matter of urgency.</w:t>
      </w:r>
      <w:r w:rsidR="00342FDA" w:rsidRPr="004607C7">
        <w:rPr>
          <w:rFonts w:ascii="Arial" w:hAnsi="Arial" w:cs="Arial"/>
          <w:sz w:val="20"/>
          <w:szCs w:val="20"/>
          <w:highlight w:val="yellow"/>
        </w:rPr>
        <w:t xml:space="preserve"> </w:t>
      </w:r>
      <w:r w:rsidRPr="004607C7">
        <w:rPr>
          <w:rFonts w:ascii="Arial" w:hAnsi="Arial" w:cs="Arial"/>
          <w:sz w:val="20"/>
          <w:szCs w:val="20"/>
          <w:highlight w:val="yellow"/>
        </w:rPr>
        <w:t xml:space="preserve"> </w:t>
      </w:r>
    </w:p>
    <w:p w:rsidR="00507E3E" w:rsidRPr="004607C7" w:rsidRDefault="00507E3E" w:rsidP="004607C7">
      <w:pPr>
        <w:spacing w:line="240" w:lineRule="auto"/>
        <w:jc w:val="left"/>
        <w:rPr>
          <w:rFonts w:ascii="Arial" w:hAnsi="Arial" w:cs="Arial"/>
          <w:sz w:val="20"/>
          <w:szCs w:val="20"/>
          <w:highlight w:val="yellow"/>
        </w:rPr>
      </w:pPr>
    </w:p>
    <w:p w:rsidR="00507E3E" w:rsidRPr="004607C7" w:rsidRDefault="00507E3E" w:rsidP="004607C7">
      <w:pPr>
        <w:spacing w:line="240" w:lineRule="auto"/>
        <w:jc w:val="left"/>
        <w:rPr>
          <w:rFonts w:ascii="Arial" w:hAnsi="Arial" w:cs="Arial"/>
          <w:sz w:val="20"/>
          <w:szCs w:val="20"/>
          <w:highlight w:val="yellow"/>
        </w:rPr>
      </w:pPr>
      <w:r w:rsidRPr="004607C7">
        <w:rPr>
          <w:rFonts w:ascii="Arial" w:hAnsi="Arial" w:cs="Arial"/>
          <w:b/>
          <w:sz w:val="20"/>
          <w:szCs w:val="20"/>
        </w:rPr>
        <w:t>Judicial Commission of Enquiry into allegations of State Capture</w:t>
      </w:r>
      <w:r w:rsidR="00342FDA" w:rsidRPr="004607C7">
        <w:rPr>
          <w:rFonts w:ascii="Arial" w:hAnsi="Arial" w:cs="Arial"/>
          <w:b/>
          <w:sz w:val="20"/>
          <w:szCs w:val="20"/>
        </w:rPr>
        <w:t xml:space="preserve"> (DPCI)</w:t>
      </w:r>
      <w:r w:rsidRPr="004607C7">
        <w:rPr>
          <w:rFonts w:ascii="Arial" w:hAnsi="Arial" w:cs="Arial"/>
          <w:b/>
          <w:sz w:val="20"/>
          <w:szCs w:val="20"/>
        </w:rPr>
        <w:t>:</w:t>
      </w:r>
      <w:r w:rsidRPr="004607C7">
        <w:rPr>
          <w:rFonts w:ascii="Arial" w:hAnsi="Arial" w:cs="Arial"/>
          <w:sz w:val="20"/>
          <w:szCs w:val="20"/>
        </w:rPr>
        <w:t xml:space="preserve"> The</w:t>
      </w:r>
      <w:r w:rsidR="00342FDA" w:rsidRPr="004607C7">
        <w:rPr>
          <w:rFonts w:ascii="Arial" w:hAnsi="Arial" w:cs="Arial"/>
          <w:sz w:val="20"/>
          <w:szCs w:val="20"/>
        </w:rPr>
        <w:t xml:space="preserve"> C</w:t>
      </w:r>
      <w:r w:rsidR="001E3E8F" w:rsidRPr="004607C7">
        <w:rPr>
          <w:rFonts w:ascii="Arial" w:hAnsi="Arial" w:cs="Arial"/>
          <w:sz w:val="20"/>
          <w:szCs w:val="20"/>
        </w:rPr>
        <w:t xml:space="preserve">ommittee welcomed the prioritisation of investigation of the recommendations of the </w:t>
      </w:r>
      <w:r w:rsidR="001E3E8F" w:rsidRPr="004607C7">
        <w:rPr>
          <w:rFonts w:ascii="Arial" w:hAnsi="Arial" w:cs="Arial"/>
          <w:i/>
          <w:sz w:val="20"/>
          <w:szCs w:val="20"/>
        </w:rPr>
        <w:t>Judicial Commission of Inquiry into allegations of State Capture, Corruption and Fraud in the Public Sector, including Organs of State</w:t>
      </w:r>
      <w:r w:rsidR="001E3E8F" w:rsidRPr="004607C7">
        <w:rPr>
          <w:rFonts w:ascii="Arial" w:hAnsi="Arial" w:cs="Arial"/>
          <w:sz w:val="20"/>
          <w:szCs w:val="20"/>
        </w:rPr>
        <w:t>. The Committee stated that overseeing the implementation of recommendations is a Parliamentary priority and that Parliament has published it implementation plan in January 2023. The Chairperson requested that the Implementation Plan be circulated to Members of the Committee and Departments to familiarise themselves with the content thereof in preparation for engagements thereon.</w:t>
      </w:r>
      <w:r w:rsidR="001E3E8F" w:rsidRPr="004607C7">
        <w:rPr>
          <w:rFonts w:ascii="Arial" w:hAnsi="Arial" w:cs="Arial"/>
          <w:sz w:val="20"/>
          <w:szCs w:val="20"/>
          <w:highlight w:val="yellow"/>
        </w:rPr>
        <w:t xml:space="preserve">  </w:t>
      </w:r>
    </w:p>
    <w:p w:rsidR="00EF5555" w:rsidRPr="004607C7" w:rsidRDefault="00EF5555" w:rsidP="004607C7">
      <w:pPr>
        <w:spacing w:line="240" w:lineRule="auto"/>
        <w:jc w:val="left"/>
        <w:rPr>
          <w:rFonts w:ascii="Arial" w:hAnsi="Arial" w:cs="Arial"/>
          <w:sz w:val="20"/>
          <w:szCs w:val="20"/>
        </w:rPr>
      </w:pPr>
    </w:p>
    <w:p w:rsidR="00342FDA" w:rsidRPr="004607C7" w:rsidRDefault="00342FDA" w:rsidP="004607C7">
      <w:pPr>
        <w:spacing w:line="240" w:lineRule="auto"/>
        <w:jc w:val="left"/>
        <w:rPr>
          <w:rFonts w:ascii="Arial" w:hAnsi="Arial" w:cs="Arial"/>
          <w:sz w:val="20"/>
          <w:szCs w:val="20"/>
        </w:rPr>
      </w:pPr>
      <w:r w:rsidRPr="004607C7">
        <w:rPr>
          <w:rFonts w:ascii="Arial" w:hAnsi="Arial" w:cs="Arial"/>
          <w:b/>
          <w:sz w:val="20"/>
          <w:szCs w:val="20"/>
        </w:rPr>
        <w:t>Money laundering and terrorist financing (DPCI):</w:t>
      </w:r>
      <w:r w:rsidRPr="004607C7">
        <w:rPr>
          <w:rFonts w:ascii="Arial" w:hAnsi="Arial" w:cs="Arial"/>
          <w:sz w:val="20"/>
          <w:szCs w:val="20"/>
        </w:rPr>
        <w:t xml:space="preserve"> The Committee welcomed the measures taken by the DPCI to address the deficiencies identified by the Financial Action Task Force (FAFT) (that led to the grey-listing of SA) in terms of focusing on money laundering and terrorist financing. </w:t>
      </w:r>
    </w:p>
    <w:p w:rsidR="00342FDA" w:rsidRPr="004607C7" w:rsidRDefault="00342FDA" w:rsidP="004607C7">
      <w:pPr>
        <w:spacing w:line="240" w:lineRule="auto"/>
        <w:jc w:val="left"/>
        <w:rPr>
          <w:rFonts w:ascii="Arial" w:hAnsi="Arial" w:cs="Arial"/>
          <w:sz w:val="20"/>
          <w:szCs w:val="20"/>
        </w:rPr>
      </w:pPr>
    </w:p>
    <w:p w:rsidR="00342FDA" w:rsidRPr="004607C7" w:rsidRDefault="00342FDA" w:rsidP="004607C7">
      <w:pPr>
        <w:spacing w:line="240" w:lineRule="auto"/>
        <w:jc w:val="left"/>
        <w:rPr>
          <w:rFonts w:ascii="Arial" w:hAnsi="Arial" w:cs="Arial"/>
          <w:sz w:val="20"/>
          <w:szCs w:val="20"/>
        </w:rPr>
      </w:pPr>
      <w:r w:rsidRPr="004607C7">
        <w:rPr>
          <w:rFonts w:ascii="Arial" w:hAnsi="Arial" w:cs="Arial"/>
          <w:b/>
          <w:sz w:val="20"/>
          <w:szCs w:val="20"/>
        </w:rPr>
        <w:t>Capacitation of the DPCI:</w:t>
      </w:r>
      <w:r w:rsidRPr="004607C7">
        <w:rPr>
          <w:rFonts w:ascii="Arial" w:hAnsi="Arial" w:cs="Arial"/>
          <w:sz w:val="20"/>
          <w:szCs w:val="20"/>
        </w:rPr>
        <w:t xml:space="preserve"> The</w:t>
      </w:r>
      <w:r w:rsidR="00DD5669" w:rsidRPr="004607C7">
        <w:rPr>
          <w:rFonts w:ascii="Arial" w:hAnsi="Arial" w:cs="Arial"/>
          <w:sz w:val="20"/>
          <w:szCs w:val="20"/>
        </w:rPr>
        <w:t xml:space="preserve"> Committee highlighted the capacitation of the DPCI as a critical priority and stated that vacancies must be filled as a matter of urgency to allow the Directorate to execute its mandate effectively and efficiently.</w:t>
      </w:r>
      <w:r w:rsidRPr="004607C7">
        <w:rPr>
          <w:rFonts w:ascii="Arial" w:hAnsi="Arial" w:cs="Arial"/>
          <w:sz w:val="20"/>
          <w:szCs w:val="20"/>
        </w:rPr>
        <w:t xml:space="preserve"> </w:t>
      </w:r>
    </w:p>
    <w:p w:rsidR="00CE79C7" w:rsidRPr="004607C7" w:rsidRDefault="00CE79C7" w:rsidP="004607C7">
      <w:pPr>
        <w:spacing w:line="240" w:lineRule="auto"/>
        <w:jc w:val="left"/>
        <w:rPr>
          <w:rFonts w:ascii="Arial" w:hAnsi="Arial" w:cs="Arial"/>
          <w:sz w:val="20"/>
          <w:szCs w:val="20"/>
        </w:rPr>
      </w:pPr>
    </w:p>
    <w:p w:rsidR="00CE79C7" w:rsidRPr="004607C7" w:rsidRDefault="00CE79C7" w:rsidP="004607C7">
      <w:pPr>
        <w:spacing w:line="240" w:lineRule="auto"/>
        <w:jc w:val="left"/>
        <w:rPr>
          <w:rFonts w:ascii="Arial" w:hAnsi="Arial" w:cs="Arial"/>
          <w:sz w:val="20"/>
          <w:szCs w:val="20"/>
        </w:rPr>
      </w:pPr>
      <w:r w:rsidRPr="004607C7">
        <w:rPr>
          <w:rFonts w:ascii="Arial" w:hAnsi="Arial" w:cs="Arial"/>
          <w:b/>
          <w:sz w:val="20"/>
          <w:szCs w:val="20"/>
        </w:rPr>
        <w:t xml:space="preserve">Engagements with unions and stakeholders: </w:t>
      </w:r>
      <w:r w:rsidRPr="004607C7">
        <w:rPr>
          <w:rFonts w:ascii="Arial" w:hAnsi="Arial" w:cs="Arial"/>
          <w:sz w:val="20"/>
          <w:szCs w:val="20"/>
        </w:rPr>
        <w:t xml:space="preserve">The Committee asked whether unions are engaged during strategic planning sessions of the Department to make inputs on the indicators of the SAPS APP. </w:t>
      </w:r>
      <w:r w:rsidR="00066A42" w:rsidRPr="004607C7">
        <w:rPr>
          <w:rFonts w:ascii="Arial" w:hAnsi="Arial" w:cs="Arial"/>
          <w:sz w:val="20"/>
          <w:szCs w:val="20"/>
        </w:rPr>
        <w:t>The Committee noted that the concerns raised by unions have been raised by the Committee during various engagements with the Department. The Committee asked whether unions provide trauma counselling to their members</w:t>
      </w:r>
      <w:r w:rsidR="00395CB0" w:rsidRPr="004607C7">
        <w:rPr>
          <w:rFonts w:ascii="Arial" w:hAnsi="Arial" w:cs="Arial"/>
          <w:sz w:val="20"/>
          <w:szCs w:val="20"/>
        </w:rPr>
        <w:t xml:space="preserve"> to ease signs of stress, depression and substance abuse</w:t>
      </w:r>
      <w:r w:rsidR="00066A42" w:rsidRPr="004607C7">
        <w:rPr>
          <w:rFonts w:ascii="Arial" w:hAnsi="Arial" w:cs="Arial"/>
          <w:sz w:val="20"/>
          <w:szCs w:val="20"/>
        </w:rPr>
        <w:t xml:space="preserve">? </w:t>
      </w:r>
      <w:r w:rsidR="00681CCE" w:rsidRPr="004607C7">
        <w:rPr>
          <w:rFonts w:ascii="Arial" w:hAnsi="Arial" w:cs="Arial"/>
          <w:sz w:val="20"/>
          <w:szCs w:val="20"/>
        </w:rPr>
        <w:t xml:space="preserve">The Committee noted, with concern, the unequal treatment of junior and senior police members in terms of disciplinary proceedings. </w:t>
      </w:r>
      <w:r w:rsidR="000E0570" w:rsidRPr="004607C7">
        <w:rPr>
          <w:rFonts w:ascii="Arial" w:hAnsi="Arial" w:cs="Arial"/>
          <w:sz w:val="20"/>
          <w:szCs w:val="20"/>
        </w:rPr>
        <w:t xml:space="preserve">The Committee </w:t>
      </w:r>
      <w:r w:rsidR="00D90C64" w:rsidRPr="004607C7">
        <w:rPr>
          <w:rFonts w:ascii="Arial" w:hAnsi="Arial" w:cs="Arial"/>
          <w:sz w:val="20"/>
          <w:szCs w:val="20"/>
        </w:rPr>
        <w:t xml:space="preserve">also </w:t>
      </w:r>
      <w:r w:rsidR="000E0570" w:rsidRPr="004607C7">
        <w:rPr>
          <w:rFonts w:ascii="Arial" w:hAnsi="Arial" w:cs="Arial"/>
          <w:sz w:val="20"/>
          <w:szCs w:val="20"/>
        </w:rPr>
        <w:t>noted concern about an apparent dysfunctional relationship between the unions and the Department, through a lack of consultation.</w:t>
      </w:r>
      <w:r w:rsidR="00066A42" w:rsidRPr="004607C7">
        <w:rPr>
          <w:rFonts w:ascii="Arial" w:hAnsi="Arial" w:cs="Arial"/>
          <w:sz w:val="20"/>
          <w:szCs w:val="20"/>
        </w:rPr>
        <w:t xml:space="preserve"> </w:t>
      </w:r>
      <w:r w:rsidR="00546C7D" w:rsidRPr="004607C7">
        <w:rPr>
          <w:rFonts w:ascii="Arial" w:hAnsi="Arial" w:cs="Arial"/>
          <w:sz w:val="20"/>
          <w:szCs w:val="20"/>
        </w:rPr>
        <w:t xml:space="preserve">The Department indicated that unions are respected and that they are working together to improve the condition of all police members. The Department confirmed that quarterly meetings </w:t>
      </w:r>
      <w:r w:rsidR="00625060" w:rsidRPr="004607C7">
        <w:rPr>
          <w:rFonts w:ascii="Arial" w:hAnsi="Arial" w:cs="Arial"/>
          <w:sz w:val="20"/>
          <w:szCs w:val="20"/>
        </w:rPr>
        <w:t>take</w:t>
      </w:r>
      <w:r w:rsidR="00546C7D" w:rsidRPr="004607C7">
        <w:rPr>
          <w:rFonts w:ascii="Arial" w:hAnsi="Arial" w:cs="Arial"/>
          <w:sz w:val="20"/>
          <w:szCs w:val="20"/>
        </w:rPr>
        <w:t xml:space="preserve"> place between the principals of the unions and the SAPS. The Department further stated that they welcome the inputs made by the unions during engagements and </w:t>
      </w:r>
      <w:r w:rsidR="00A07CB6" w:rsidRPr="004607C7">
        <w:rPr>
          <w:rFonts w:ascii="Arial" w:hAnsi="Arial" w:cs="Arial"/>
          <w:sz w:val="20"/>
          <w:szCs w:val="20"/>
        </w:rPr>
        <w:t xml:space="preserve">some </w:t>
      </w:r>
      <w:r w:rsidR="00546C7D" w:rsidRPr="004607C7">
        <w:rPr>
          <w:rFonts w:ascii="Arial" w:hAnsi="Arial" w:cs="Arial"/>
          <w:sz w:val="20"/>
          <w:szCs w:val="20"/>
        </w:rPr>
        <w:t xml:space="preserve">will be taken on-board. </w:t>
      </w:r>
      <w:r w:rsidR="00A152AA" w:rsidRPr="004607C7">
        <w:rPr>
          <w:rFonts w:ascii="Arial" w:hAnsi="Arial" w:cs="Arial"/>
          <w:sz w:val="20"/>
          <w:szCs w:val="20"/>
        </w:rPr>
        <w:t>SAPU stated that members should be academically empowered to ad</w:t>
      </w:r>
      <w:r w:rsidR="0048002B" w:rsidRPr="004607C7">
        <w:rPr>
          <w:rFonts w:ascii="Arial" w:hAnsi="Arial" w:cs="Arial"/>
          <w:sz w:val="20"/>
          <w:szCs w:val="20"/>
        </w:rPr>
        <w:t xml:space="preserve">dress crime differently, and that members are often victimised when seeking assistance with mental health issues. </w:t>
      </w:r>
      <w:r w:rsidR="0081087B" w:rsidRPr="004607C7">
        <w:rPr>
          <w:rFonts w:ascii="Arial" w:hAnsi="Arial" w:cs="Arial"/>
          <w:sz w:val="20"/>
          <w:szCs w:val="20"/>
        </w:rPr>
        <w:t>POPCRU highlighted the need to augment death grants with life insurance for members to increase benefits to family members left behind when a police member is killed in the line of duty.</w:t>
      </w:r>
      <w:r w:rsidR="002842BD" w:rsidRPr="004607C7">
        <w:rPr>
          <w:rFonts w:ascii="Arial" w:hAnsi="Arial" w:cs="Arial"/>
          <w:sz w:val="20"/>
          <w:szCs w:val="20"/>
        </w:rPr>
        <w:t xml:space="preserve"> POCRU further indicated that while engagements take place with management, the implementation of agreements </w:t>
      </w:r>
      <w:r w:rsidR="00967B34" w:rsidRPr="004607C7">
        <w:rPr>
          <w:rFonts w:ascii="Arial" w:hAnsi="Arial" w:cs="Arial"/>
          <w:sz w:val="20"/>
          <w:szCs w:val="20"/>
        </w:rPr>
        <w:t>remains</w:t>
      </w:r>
      <w:r w:rsidR="002842BD" w:rsidRPr="004607C7">
        <w:rPr>
          <w:rFonts w:ascii="Arial" w:hAnsi="Arial" w:cs="Arial"/>
          <w:sz w:val="20"/>
          <w:szCs w:val="20"/>
        </w:rPr>
        <w:t xml:space="preserve"> lacking. </w:t>
      </w:r>
      <w:r w:rsidR="008F0CE9" w:rsidRPr="004607C7">
        <w:rPr>
          <w:rFonts w:ascii="Arial" w:hAnsi="Arial" w:cs="Arial"/>
          <w:sz w:val="20"/>
          <w:szCs w:val="20"/>
        </w:rPr>
        <w:t xml:space="preserve">IPUSA stressed the fact that the SAPS Employee Wellness Division is in serious need of capacitation and also needs increased counselling for personnel deployed in this Division, as their assistance provided to police members, impacts on their own mental health.  </w:t>
      </w:r>
      <w:r w:rsidR="002842BD" w:rsidRPr="004607C7">
        <w:rPr>
          <w:rFonts w:ascii="Arial" w:hAnsi="Arial" w:cs="Arial"/>
          <w:sz w:val="20"/>
          <w:szCs w:val="20"/>
        </w:rPr>
        <w:t xml:space="preserve"> </w:t>
      </w:r>
      <w:r w:rsidR="0081087B" w:rsidRPr="004607C7">
        <w:rPr>
          <w:rFonts w:ascii="Arial" w:hAnsi="Arial" w:cs="Arial"/>
          <w:sz w:val="20"/>
          <w:szCs w:val="20"/>
        </w:rPr>
        <w:t xml:space="preserve"> </w:t>
      </w:r>
      <w:r w:rsidR="00A152AA" w:rsidRPr="004607C7">
        <w:rPr>
          <w:rFonts w:ascii="Arial" w:hAnsi="Arial" w:cs="Arial"/>
          <w:sz w:val="20"/>
          <w:szCs w:val="20"/>
        </w:rPr>
        <w:t xml:space="preserve"> </w:t>
      </w:r>
      <w:r w:rsidR="00546C7D" w:rsidRPr="004607C7">
        <w:rPr>
          <w:rFonts w:ascii="Arial" w:hAnsi="Arial" w:cs="Arial"/>
          <w:sz w:val="20"/>
          <w:szCs w:val="20"/>
        </w:rPr>
        <w:t xml:space="preserve"> </w:t>
      </w:r>
    </w:p>
    <w:p w:rsidR="00F561B2" w:rsidRPr="004607C7" w:rsidRDefault="00F561B2" w:rsidP="004607C7">
      <w:pPr>
        <w:spacing w:line="240" w:lineRule="auto"/>
        <w:jc w:val="left"/>
        <w:rPr>
          <w:rFonts w:ascii="Arial" w:hAnsi="Arial" w:cs="Arial"/>
          <w:sz w:val="20"/>
          <w:szCs w:val="20"/>
        </w:rPr>
      </w:pPr>
    </w:p>
    <w:p w:rsidR="00F561B2" w:rsidRPr="004607C7" w:rsidRDefault="00F561B2" w:rsidP="004607C7">
      <w:pPr>
        <w:spacing w:line="240" w:lineRule="auto"/>
        <w:jc w:val="left"/>
        <w:rPr>
          <w:rFonts w:ascii="Arial" w:hAnsi="Arial" w:cs="Arial"/>
          <w:sz w:val="20"/>
          <w:szCs w:val="20"/>
        </w:rPr>
      </w:pPr>
      <w:r w:rsidRPr="004607C7">
        <w:rPr>
          <w:rFonts w:ascii="Arial" w:hAnsi="Arial" w:cs="Arial"/>
          <w:b/>
          <w:sz w:val="20"/>
          <w:szCs w:val="20"/>
        </w:rPr>
        <w:t>Appreciation to stakeholders and police unions:</w:t>
      </w:r>
      <w:r w:rsidRPr="004607C7">
        <w:rPr>
          <w:rFonts w:ascii="Arial" w:hAnsi="Arial" w:cs="Arial"/>
          <w:sz w:val="20"/>
          <w:szCs w:val="20"/>
        </w:rPr>
        <w:t xml:space="preserve"> The Committee expressed its gratitude to Mr Martin Hood, SAPU, POPCRU and IPUSA for their inputs during the budget hearings.</w:t>
      </w:r>
      <w:r w:rsidR="007823A3" w:rsidRPr="004607C7">
        <w:rPr>
          <w:rFonts w:ascii="Arial" w:hAnsi="Arial" w:cs="Arial"/>
          <w:sz w:val="20"/>
          <w:szCs w:val="20"/>
        </w:rPr>
        <w:t xml:space="preserve"> The Committee further noted that the relationship between the Committee, unions and the Department is key to address the escalation of crime. </w:t>
      </w:r>
      <w:r w:rsidRPr="004607C7">
        <w:rPr>
          <w:rFonts w:ascii="Arial" w:hAnsi="Arial" w:cs="Arial"/>
          <w:sz w:val="20"/>
          <w:szCs w:val="20"/>
        </w:rPr>
        <w:t xml:space="preserve">  </w:t>
      </w:r>
    </w:p>
    <w:p w:rsidR="00342FDA" w:rsidRPr="004607C7" w:rsidRDefault="00342FDA" w:rsidP="004607C7">
      <w:pPr>
        <w:spacing w:line="240" w:lineRule="auto"/>
        <w:jc w:val="left"/>
        <w:rPr>
          <w:rFonts w:ascii="Arial" w:hAnsi="Arial" w:cs="Arial"/>
          <w:sz w:val="20"/>
          <w:szCs w:val="20"/>
        </w:rPr>
      </w:pPr>
    </w:p>
    <w:p w:rsidR="00904FCA" w:rsidRPr="004607C7" w:rsidRDefault="00904FCA" w:rsidP="004607C7">
      <w:pPr>
        <w:pStyle w:val="Heading1"/>
        <w:numPr>
          <w:ilvl w:val="0"/>
          <w:numId w:val="4"/>
        </w:numPr>
        <w:spacing w:before="0" w:line="240" w:lineRule="auto"/>
        <w:jc w:val="left"/>
        <w:rPr>
          <w:rFonts w:ascii="Arial" w:hAnsi="Arial" w:cs="Arial"/>
          <w:sz w:val="20"/>
          <w:szCs w:val="20"/>
        </w:rPr>
      </w:pPr>
      <w:r w:rsidRPr="004607C7">
        <w:rPr>
          <w:rFonts w:ascii="Arial" w:hAnsi="Arial" w:cs="Arial"/>
          <w:sz w:val="20"/>
          <w:szCs w:val="20"/>
        </w:rPr>
        <w:lastRenderedPageBreak/>
        <w:t>Recommendations</w:t>
      </w:r>
      <w:r w:rsidR="002108C3" w:rsidRPr="004607C7">
        <w:rPr>
          <w:rFonts w:ascii="Arial" w:hAnsi="Arial" w:cs="Arial"/>
          <w:sz w:val="20"/>
          <w:szCs w:val="20"/>
        </w:rPr>
        <w:t xml:space="preserve"> </w:t>
      </w:r>
      <w:r w:rsidR="008E6664" w:rsidRPr="004607C7">
        <w:rPr>
          <w:rFonts w:ascii="Arial" w:hAnsi="Arial" w:cs="Arial"/>
          <w:sz w:val="20"/>
          <w:szCs w:val="20"/>
        </w:rPr>
        <w:t>and request for information</w:t>
      </w:r>
    </w:p>
    <w:p w:rsidR="00F312B2" w:rsidRPr="004607C7" w:rsidRDefault="00F312B2" w:rsidP="004607C7">
      <w:pPr>
        <w:spacing w:line="240" w:lineRule="auto"/>
        <w:jc w:val="left"/>
        <w:rPr>
          <w:rFonts w:ascii="Arial" w:hAnsi="Arial" w:cs="Arial"/>
          <w:sz w:val="20"/>
          <w:szCs w:val="20"/>
        </w:rPr>
      </w:pPr>
    </w:p>
    <w:p w:rsidR="008E6664" w:rsidRPr="004607C7" w:rsidRDefault="008E6664" w:rsidP="004607C7">
      <w:pPr>
        <w:pStyle w:val="Heading2"/>
        <w:numPr>
          <w:ilvl w:val="1"/>
          <w:numId w:val="4"/>
        </w:numPr>
        <w:spacing w:before="0" w:line="240" w:lineRule="auto"/>
        <w:rPr>
          <w:rFonts w:ascii="Arial" w:hAnsi="Arial" w:cs="Arial"/>
          <w:sz w:val="20"/>
          <w:szCs w:val="20"/>
        </w:rPr>
      </w:pPr>
      <w:r w:rsidRPr="004607C7">
        <w:rPr>
          <w:rFonts w:ascii="Arial" w:hAnsi="Arial" w:cs="Arial"/>
          <w:sz w:val="20"/>
          <w:szCs w:val="20"/>
        </w:rPr>
        <w:t>Recommendations</w:t>
      </w:r>
    </w:p>
    <w:p w:rsidR="008E6664" w:rsidRPr="004607C7" w:rsidRDefault="008E6664" w:rsidP="004607C7">
      <w:pPr>
        <w:spacing w:line="240" w:lineRule="auto"/>
        <w:jc w:val="left"/>
        <w:rPr>
          <w:rFonts w:ascii="Arial" w:hAnsi="Arial" w:cs="Arial"/>
          <w:sz w:val="20"/>
          <w:szCs w:val="20"/>
        </w:rPr>
      </w:pPr>
    </w:p>
    <w:p w:rsidR="003B744E" w:rsidRPr="004607C7" w:rsidRDefault="003B744E" w:rsidP="004607C7">
      <w:pPr>
        <w:spacing w:line="240" w:lineRule="auto"/>
        <w:jc w:val="left"/>
        <w:rPr>
          <w:rFonts w:ascii="Arial" w:hAnsi="Arial" w:cs="Arial"/>
          <w:sz w:val="20"/>
          <w:szCs w:val="20"/>
        </w:rPr>
      </w:pPr>
      <w:r w:rsidRPr="004607C7">
        <w:rPr>
          <w:rFonts w:ascii="Arial" w:hAnsi="Arial" w:cs="Arial"/>
          <w:sz w:val="20"/>
          <w:szCs w:val="20"/>
        </w:rPr>
        <w:t xml:space="preserve">The Portfolio Committee makes the following recommendations: </w:t>
      </w:r>
    </w:p>
    <w:p w:rsidR="002D0365" w:rsidRPr="004607C7" w:rsidRDefault="002D0365" w:rsidP="004607C7">
      <w:pPr>
        <w:spacing w:line="240" w:lineRule="auto"/>
        <w:jc w:val="left"/>
        <w:rPr>
          <w:rFonts w:ascii="Arial" w:hAnsi="Arial" w:cs="Arial"/>
          <w:sz w:val="20"/>
          <w:szCs w:val="20"/>
        </w:rPr>
      </w:pPr>
    </w:p>
    <w:p w:rsidR="00011133" w:rsidRPr="004607C7" w:rsidRDefault="00E24F90" w:rsidP="004607C7">
      <w:pPr>
        <w:pStyle w:val="ListParagraph"/>
        <w:numPr>
          <w:ilvl w:val="0"/>
          <w:numId w:val="11"/>
        </w:numPr>
        <w:spacing w:line="240" w:lineRule="auto"/>
        <w:jc w:val="left"/>
        <w:rPr>
          <w:rFonts w:ascii="Arial" w:hAnsi="Arial" w:cs="Arial"/>
          <w:sz w:val="20"/>
          <w:szCs w:val="20"/>
        </w:rPr>
      </w:pPr>
      <w:r w:rsidRPr="004607C7">
        <w:rPr>
          <w:rFonts w:ascii="Arial" w:hAnsi="Arial" w:cs="Arial"/>
          <w:bCs/>
          <w:sz w:val="20"/>
          <w:szCs w:val="20"/>
        </w:rPr>
        <w:t xml:space="preserve">The SAPS should find solutions to address their third party dependencies on the DPWI and SITA. These are having a severely negative impact on the quality of police services rendered </w:t>
      </w:r>
      <w:r w:rsidR="00011133" w:rsidRPr="004607C7">
        <w:rPr>
          <w:rFonts w:ascii="Arial" w:hAnsi="Arial" w:cs="Arial"/>
          <w:bCs/>
          <w:sz w:val="20"/>
          <w:szCs w:val="20"/>
        </w:rPr>
        <w:t>to communities</w:t>
      </w:r>
      <w:r w:rsidRPr="004607C7">
        <w:rPr>
          <w:rFonts w:ascii="Arial" w:hAnsi="Arial" w:cs="Arial"/>
          <w:bCs/>
          <w:sz w:val="20"/>
          <w:szCs w:val="20"/>
        </w:rPr>
        <w:t xml:space="preserve">. This includes the digitalisation of firearm </w:t>
      </w:r>
      <w:r w:rsidR="00011133" w:rsidRPr="004607C7">
        <w:rPr>
          <w:rFonts w:ascii="Arial" w:hAnsi="Arial" w:cs="Arial"/>
          <w:bCs/>
          <w:sz w:val="20"/>
          <w:szCs w:val="20"/>
        </w:rPr>
        <w:t xml:space="preserve">licence applications and firearm management systems, </w:t>
      </w:r>
      <w:r w:rsidRPr="004607C7">
        <w:rPr>
          <w:rFonts w:ascii="Arial" w:hAnsi="Arial" w:cs="Arial"/>
          <w:bCs/>
          <w:sz w:val="20"/>
          <w:szCs w:val="20"/>
        </w:rPr>
        <w:t xml:space="preserve">increased/improved digital policing solutions, and authority to build and maintain police stations, staff accommodation and office accommodation. </w:t>
      </w:r>
    </w:p>
    <w:p w:rsidR="00011133" w:rsidRPr="004607C7" w:rsidRDefault="00011133" w:rsidP="004607C7">
      <w:pPr>
        <w:spacing w:line="240" w:lineRule="auto"/>
        <w:ind w:left="360"/>
        <w:jc w:val="left"/>
        <w:rPr>
          <w:rFonts w:ascii="Arial" w:hAnsi="Arial" w:cs="Arial"/>
          <w:sz w:val="20"/>
          <w:szCs w:val="20"/>
        </w:rPr>
      </w:pPr>
    </w:p>
    <w:p w:rsidR="00011133" w:rsidRPr="004607C7" w:rsidRDefault="00011133" w:rsidP="004607C7">
      <w:pPr>
        <w:pStyle w:val="ListParagraph"/>
        <w:numPr>
          <w:ilvl w:val="0"/>
          <w:numId w:val="11"/>
        </w:numPr>
        <w:spacing w:line="240" w:lineRule="auto"/>
        <w:jc w:val="left"/>
        <w:rPr>
          <w:rFonts w:ascii="Arial" w:hAnsi="Arial" w:cs="Arial"/>
          <w:sz w:val="20"/>
          <w:szCs w:val="20"/>
        </w:rPr>
      </w:pPr>
      <w:r w:rsidRPr="004607C7">
        <w:rPr>
          <w:rFonts w:ascii="Arial" w:hAnsi="Arial" w:cs="Arial"/>
          <w:sz w:val="20"/>
          <w:szCs w:val="20"/>
        </w:rPr>
        <w:t>Increasing crime rates and decreasing detection rates continue to be a source of concern for the Committee. Despite their dependence on other stakeholders, these performance measures should be regarded as the most important measures of police success. It is suggested that the SAPS undertake an initiative to ensure the optimal utilisation of operational resources, taking into account budgetary constraints. The South African Police Service continues to fail to identify and implement available technology that can improve crime prevention and detection. There have also been few efforts to modernise the model or approach of policing. For instance, the SAPS could implement a predictive policing model that utilises data analysis to predict crime hotspots and allocate resources accordingly. Instead, the SAPS continues to develop new specialised capabilities, stretching available resources beyond their limits while employing the same obsolete technology, preventative measures, and investigative procedures.</w:t>
      </w:r>
    </w:p>
    <w:p w:rsidR="00011133" w:rsidRPr="004607C7" w:rsidRDefault="00011133" w:rsidP="004607C7">
      <w:pPr>
        <w:pStyle w:val="ListParagraph"/>
        <w:spacing w:line="240" w:lineRule="auto"/>
        <w:jc w:val="left"/>
        <w:rPr>
          <w:rFonts w:ascii="Arial" w:hAnsi="Arial" w:cs="Arial"/>
          <w:bCs/>
          <w:sz w:val="20"/>
          <w:szCs w:val="20"/>
        </w:rPr>
      </w:pPr>
    </w:p>
    <w:p w:rsidR="00011133" w:rsidRPr="004607C7" w:rsidRDefault="00011133" w:rsidP="004607C7">
      <w:pPr>
        <w:pStyle w:val="ListParagraph"/>
        <w:numPr>
          <w:ilvl w:val="0"/>
          <w:numId w:val="11"/>
        </w:numPr>
        <w:spacing w:line="240" w:lineRule="auto"/>
        <w:jc w:val="left"/>
        <w:rPr>
          <w:rFonts w:ascii="Arial" w:hAnsi="Arial" w:cs="Arial"/>
          <w:sz w:val="20"/>
          <w:szCs w:val="20"/>
        </w:rPr>
      </w:pPr>
      <w:r w:rsidRPr="004607C7">
        <w:rPr>
          <w:rFonts w:ascii="Arial" w:hAnsi="Arial" w:cs="Arial"/>
          <w:bCs/>
          <w:sz w:val="20"/>
          <w:szCs w:val="20"/>
        </w:rPr>
        <w:t xml:space="preserve">An interim solution should be finalised to support and resource Community Police Forums (CPFs) while awaiting the CPF resourcing model to be included in the </w:t>
      </w:r>
      <w:r w:rsidR="00647FDA" w:rsidRPr="004607C7">
        <w:rPr>
          <w:rFonts w:ascii="Arial" w:hAnsi="Arial" w:cs="Arial"/>
          <w:bCs/>
          <w:sz w:val="20"/>
          <w:szCs w:val="20"/>
        </w:rPr>
        <w:t>SAPS</w:t>
      </w:r>
      <w:r w:rsidRPr="004607C7">
        <w:rPr>
          <w:rFonts w:ascii="Arial" w:hAnsi="Arial" w:cs="Arial"/>
          <w:bCs/>
          <w:sz w:val="20"/>
          <w:szCs w:val="20"/>
        </w:rPr>
        <w:t xml:space="preserve"> Amendment Bill. While acknowledging that the service of CPF members are rendered on a voluntary basis under the SAPS Act, these structures should be resourced as a key pillar in the community-orientated policing paradigm adopted in South Africa in 1995 to transform the SAPS.    </w:t>
      </w:r>
    </w:p>
    <w:p w:rsidR="00011133" w:rsidRPr="004607C7" w:rsidRDefault="00011133" w:rsidP="004607C7">
      <w:pPr>
        <w:pStyle w:val="ListParagraph"/>
        <w:spacing w:line="240" w:lineRule="auto"/>
        <w:jc w:val="left"/>
        <w:rPr>
          <w:rFonts w:ascii="Arial" w:hAnsi="Arial" w:cs="Arial"/>
          <w:sz w:val="20"/>
          <w:szCs w:val="20"/>
        </w:rPr>
      </w:pPr>
    </w:p>
    <w:p w:rsidR="00011133" w:rsidRPr="004607C7" w:rsidRDefault="00011133" w:rsidP="004607C7">
      <w:pPr>
        <w:pStyle w:val="ListParagraph"/>
        <w:numPr>
          <w:ilvl w:val="0"/>
          <w:numId w:val="11"/>
        </w:numPr>
        <w:spacing w:line="240" w:lineRule="auto"/>
        <w:jc w:val="left"/>
        <w:rPr>
          <w:rFonts w:ascii="Arial" w:hAnsi="Arial" w:cs="Arial"/>
          <w:sz w:val="20"/>
          <w:szCs w:val="20"/>
        </w:rPr>
      </w:pPr>
      <w:r w:rsidRPr="004607C7">
        <w:rPr>
          <w:rFonts w:ascii="Arial" w:hAnsi="Arial" w:cs="Arial"/>
          <w:sz w:val="20"/>
          <w:szCs w:val="20"/>
        </w:rPr>
        <w:t xml:space="preserve">The Committee urges the SAPS to evaluate the effectiveness and suitability of its interventions for operational and administrative challenges. The Committee observes that some interventions are either prolonged or ineffective. This may be due to various factors, such as poor planning, weak accountability, or </w:t>
      </w:r>
      <w:r w:rsidR="00647FDA" w:rsidRPr="004607C7">
        <w:rPr>
          <w:rFonts w:ascii="Arial" w:hAnsi="Arial" w:cs="Arial"/>
          <w:sz w:val="20"/>
          <w:szCs w:val="20"/>
        </w:rPr>
        <w:t xml:space="preserve">a </w:t>
      </w:r>
      <w:r w:rsidRPr="004607C7">
        <w:rPr>
          <w:rFonts w:ascii="Arial" w:hAnsi="Arial" w:cs="Arial"/>
          <w:sz w:val="20"/>
          <w:szCs w:val="20"/>
        </w:rPr>
        <w:t>lack of sustainability. The Department has a responsibility to establish and maintain effective governance systems that adhere to sound principles. This involves frequent tracking and review of expenditure, performance and regulatory compliance. The Department should ensure that these systems are aligned with its strategic objectives and stakeholder expectations.</w:t>
      </w:r>
    </w:p>
    <w:p w:rsidR="00E054BE" w:rsidRPr="004607C7" w:rsidRDefault="00E054BE" w:rsidP="004607C7">
      <w:pPr>
        <w:spacing w:line="240" w:lineRule="auto"/>
        <w:jc w:val="left"/>
        <w:rPr>
          <w:rFonts w:ascii="Arial" w:hAnsi="Arial" w:cs="Arial"/>
          <w:sz w:val="20"/>
          <w:szCs w:val="20"/>
        </w:rPr>
      </w:pPr>
    </w:p>
    <w:p w:rsidR="00395CB0" w:rsidRPr="004607C7" w:rsidRDefault="004450D9" w:rsidP="004607C7">
      <w:pPr>
        <w:pStyle w:val="ListParagraph"/>
        <w:numPr>
          <w:ilvl w:val="0"/>
          <w:numId w:val="11"/>
        </w:numPr>
        <w:spacing w:line="240" w:lineRule="auto"/>
        <w:jc w:val="left"/>
        <w:rPr>
          <w:rFonts w:ascii="Arial" w:hAnsi="Arial" w:cs="Arial"/>
          <w:sz w:val="20"/>
          <w:szCs w:val="20"/>
        </w:rPr>
      </w:pPr>
      <w:r w:rsidRPr="004607C7">
        <w:rPr>
          <w:rFonts w:ascii="Arial" w:hAnsi="Arial" w:cs="Arial"/>
          <w:sz w:val="20"/>
          <w:szCs w:val="20"/>
        </w:rPr>
        <w:t>G</w:t>
      </w:r>
      <w:r w:rsidR="0053390C" w:rsidRPr="004607C7">
        <w:rPr>
          <w:rFonts w:ascii="Arial" w:hAnsi="Arial" w:cs="Arial"/>
          <w:sz w:val="20"/>
          <w:szCs w:val="20"/>
        </w:rPr>
        <w:t xml:space="preserve">reater </w:t>
      </w:r>
      <w:r w:rsidR="00395CB0" w:rsidRPr="004607C7">
        <w:rPr>
          <w:rFonts w:ascii="Arial" w:hAnsi="Arial" w:cs="Arial"/>
          <w:sz w:val="20"/>
          <w:szCs w:val="20"/>
        </w:rPr>
        <w:t xml:space="preserve">efforts should be </w:t>
      </w:r>
      <w:r w:rsidR="0053390C" w:rsidRPr="004607C7">
        <w:rPr>
          <w:rFonts w:ascii="Arial" w:hAnsi="Arial" w:cs="Arial"/>
          <w:sz w:val="20"/>
          <w:szCs w:val="20"/>
        </w:rPr>
        <w:t xml:space="preserve">made to measure value for money by the Department. The Committee recommends that </w:t>
      </w:r>
      <w:r w:rsidR="00F501B4" w:rsidRPr="004607C7">
        <w:rPr>
          <w:rFonts w:ascii="Arial" w:hAnsi="Arial" w:cs="Arial"/>
          <w:sz w:val="20"/>
          <w:szCs w:val="20"/>
        </w:rPr>
        <w:t>‘</w:t>
      </w:r>
      <w:r w:rsidR="0053390C" w:rsidRPr="004607C7">
        <w:rPr>
          <w:rFonts w:ascii="Arial" w:hAnsi="Arial" w:cs="Arial"/>
          <w:sz w:val="20"/>
          <w:szCs w:val="20"/>
        </w:rPr>
        <w:t>value for money measurements</w:t>
      </w:r>
      <w:r w:rsidR="00F501B4" w:rsidRPr="004607C7">
        <w:rPr>
          <w:rFonts w:ascii="Arial" w:hAnsi="Arial" w:cs="Arial"/>
          <w:sz w:val="20"/>
          <w:szCs w:val="20"/>
        </w:rPr>
        <w:t>/indicators’</w:t>
      </w:r>
      <w:r w:rsidR="0053390C" w:rsidRPr="004607C7">
        <w:rPr>
          <w:rFonts w:ascii="Arial" w:hAnsi="Arial" w:cs="Arial"/>
          <w:sz w:val="20"/>
          <w:szCs w:val="20"/>
        </w:rPr>
        <w:t xml:space="preserve"> should </w:t>
      </w:r>
      <w:r w:rsidR="00647FDA" w:rsidRPr="004607C7">
        <w:rPr>
          <w:rFonts w:ascii="Arial" w:hAnsi="Arial" w:cs="Arial"/>
          <w:sz w:val="20"/>
          <w:szCs w:val="20"/>
        </w:rPr>
        <w:t xml:space="preserve">be </w:t>
      </w:r>
      <w:r w:rsidR="0053390C" w:rsidRPr="004607C7">
        <w:rPr>
          <w:rFonts w:ascii="Arial" w:hAnsi="Arial" w:cs="Arial"/>
          <w:sz w:val="20"/>
          <w:szCs w:val="20"/>
        </w:rPr>
        <w:t>attached to building and information technology projects, with clear timeframes and funds attached thereto.</w:t>
      </w:r>
      <w:r w:rsidR="00395CB0" w:rsidRPr="004607C7">
        <w:rPr>
          <w:rFonts w:ascii="Arial" w:hAnsi="Arial" w:cs="Arial"/>
          <w:sz w:val="20"/>
          <w:szCs w:val="20"/>
        </w:rPr>
        <w:t xml:space="preserve"> </w:t>
      </w:r>
      <w:r w:rsidR="0053390C" w:rsidRPr="004607C7">
        <w:rPr>
          <w:rFonts w:ascii="Arial" w:hAnsi="Arial" w:cs="Arial"/>
          <w:sz w:val="20"/>
          <w:szCs w:val="20"/>
        </w:rPr>
        <w:t xml:space="preserve">This will enable monitoring and oversight over the delivery of services measured against expenditure, and could assist in addressing third party dependencies. </w:t>
      </w:r>
      <w:r w:rsidR="00395CB0" w:rsidRPr="004607C7">
        <w:rPr>
          <w:rFonts w:ascii="Arial" w:hAnsi="Arial" w:cs="Arial"/>
          <w:sz w:val="20"/>
          <w:szCs w:val="20"/>
        </w:rPr>
        <w:t xml:space="preserve"> </w:t>
      </w:r>
    </w:p>
    <w:p w:rsidR="000B5DBF" w:rsidRPr="004607C7" w:rsidRDefault="000B5DBF" w:rsidP="004607C7">
      <w:pPr>
        <w:pStyle w:val="ListParagraph"/>
        <w:spacing w:line="240" w:lineRule="auto"/>
        <w:jc w:val="left"/>
        <w:rPr>
          <w:rFonts w:ascii="Arial" w:hAnsi="Arial" w:cs="Arial"/>
          <w:sz w:val="20"/>
          <w:szCs w:val="20"/>
        </w:rPr>
      </w:pPr>
    </w:p>
    <w:p w:rsidR="000B5DBF" w:rsidRPr="004607C7" w:rsidRDefault="000B5DBF" w:rsidP="004607C7">
      <w:pPr>
        <w:pStyle w:val="ListParagraph"/>
        <w:numPr>
          <w:ilvl w:val="0"/>
          <w:numId w:val="11"/>
        </w:numPr>
        <w:spacing w:line="240" w:lineRule="auto"/>
        <w:jc w:val="left"/>
        <w:rPr>
          <w:rFonts w:ascii="Arial" w:hAnsi="Arial" w:cs="Arial"/>
          <w:sz w:val="20"/>
          <w:szCs w:val="20"/>
        </w:rPr>
      </w:pPr>
      <w:r w:rsidRPr="004607C7">
        <w:rPr>
          <w:rFonts w:ascii="Arial" w:hAnsi="Arial" w:cs="Arial"/>
          <w:sz w:val="20"/>
          <w:szCs w:val="20"/>
        </w:rPr>
        <w:t xml:space="preserve">The Department should </w:t>
      </w:r>
      <w:r w:rsidR="00EB1E05" w:rsidRPr="004607C7">
        <w:rPr>
          <w:rFonts w:ascii="Arial" w:hAnsi="Arial" w:cs="Arial"/>
          <w:sz w:val="20"/>
          <w:szCs w:val="20"/>
        </w:rPr>
        <w:t xml:space="preserve">overhaul its ethos towards partnership policing and conduct research on </w:t>
      </w:r>
      <w:r w:rsidR="003042A9" w:rsidRPr="004607C7">
        <w:rPr>
          <w:rFonts w:ascii="Arial" w:hAnsi="Arial" w:cs="Arial"/>
          <w:sz w:val="20"/>
          <w:szCs w:val="20"/>
        </w:rPr>
        <w:t xml:space="preserve">the </w:t>
      </w:r>
      <w:r w:rsidR="00EB1E05" w:rsidRPr="004607C7">
        <w:rPr>
          <w:rFonts w:ascii="Arial" w:hAnsi="Arial" w:cs="Arial"/>
          <w:sz w:val="20"/>
          <w:szCs w:val="20"/>
        </w:rPr>
        <w:t xml:space="preserve">contributing factors that led to community-orientated policing </w:t>
      </w:r>
      <w:r w:rsidR="006B15B6" w:rsidRPr="004607C7">
        <w:rPr>
          <w:rFonts w:ascii="Arial" w:hAnsi="Arial" w:cs="Arial"/>
          <w:sz w:val="20"/>
          <w:szCs w:val="20"/>
        </w:rPr>
        <w:t>not finding traction since its adoption during the transitional process of the Apartheid-era South African Police to a democratic policing service.</w:t>
      </w:r>
      <w:r w:rsidR="00E50E68" w:rsidRPr="004607C7">
        <w:rPr>
          <w:rFonts w:ascii="Arial" w:hAnsi="Arial" w:cs="Arial"/>
          <w:sz w:val="20"/>
          <w:szCs w:val="20"/>
        </w:rPr>
        <w:t xml:space="preserve"> The Department must revisit the rationale </w:t>
      </w:r>
      <w:r w:rsidR="00113F85" w:rsidRPr="004607C7">
        <w:rPr>
          <w:rFonts w:ascii="Arial" w:hAnsi="Arial" w:cs="Arial"/>
          <w:sz w:val="20"/>
          <w:szCs w:val="20"/>
        </w:rPr>
        <w:t xml:space="preserve">and the vision </w:t>
      </w:r>
      <w:r w:rsidR="00E50E68" w:rsidRPr="004607C7">
        <w:rPr>
          <w:rFonts w:ascii="Arial" w:hAnsi="Arial" w:cs="Arial"/>
          <w:sz w:val="20"/>
          <w:szCs w:val="20"/>
        </w:rPr>
        <w:t>for the establishment of CPFs and their importance in community-orientated</w:t>
      </w:r>
      <w:r w:rsidR="004C1D0C" w:rsidRPr="004607C7">
        <w:rPr>
          <w:rFonts w:ascii="Arial" w:hAnsi="Arial" w:cs="Arial"/>
          <w:sz w:val="20"/>
          <w:szCs w:val="20"/>
        </w:rPr>
        <w:t>,</w:t>
      </w:r>
      <w:r w:rsidR="00E50E68" w:rsidRPr="004607C7">
        <w:rPr>
          <w:rFonts w:ascii="Arial" w:hAnsi="Arial" w:cs="Arial"/>
          <w:sz w:val="20"/>
          <w:szCs w:val="20"/>
        </w:rPr>
        <w:t xml:space="preserve"> </w:t>
      </w:r>
      <w:r w:rsidR="009737FD" w:rsidRPr="004607C7">
        <w:rPr>
          <w:rFonts w:ascii="Arial" w:hAnsi="Arial" w:cs="Arial"/>
          <w:sz w:val="20"/>
          <w:szCs w:val="20"/>
        </w:rPr>
        <w:t xml:space="preserve">and partnership </w:t>
      </w:r>
      <w:r w:rsidR="00E50E68" w:rsidRPr="004607C7">
        <w:rPr>
          <w:rFonts w:ascii="Arial" w:hAnsi="Arial" w:cs="Arial"/>
          <w:sz w:val="20"/>
          <w:szCs w:val="20"/>
        </w:rPr>
        <w:t>policing.</w:t>
      </w:r>
      <w:r w:rsidR="006B15B6" w:rsidRPr="004607C7">
        <w:rPr>
          <w:rFonts w:ascii="Arial" w:hAnsi="Arial" w:cs="Arial"/>
          <w:sz w:val="20"/>
          <w:szCs w:val="20"/>
        </w:rPr>
        <w:t xml:space="preserve">  </w:t>
      </w:r>
      <w:r w:rsidR="00EB1E05" w:rsidRPr="004607C7">
        <w:rPr>
          <w:rFonts w:ascii="Arial" w:hAnsi="Arial" w:cs="Arial"/>
          <w:sz w:val="20"/>
          <w:szCs w:val="20"/>
        </w:rPr>
        <w:t xml:space="preserve"> </w:t>
      </w:r>
    </w:p>
    <w:p w:rsidR="00395CB0" w:rsidRPr="004607C7" w:rsidRDefault="00395CB0" w:rsidP="004607C7">
      <w:pPr>
        <w:pStyle w:val="ListParagraph"/>
        <w:spacing w:line="240" w:lineRule="auto"/>
        <w:jc w:val="left"/>
        <w:rPr>
          <w:rFonts w:ascii="Arial" w:hAnsi="Arial" w:cs="Arial"/>
          <w:sz w:val="20"/>
          <w:szCs w:val="20"/>
        </w:rPr>
      </w:pPr>
    </w:p>
    <w:p w:rsidR="00011133" w:rsidRPr="004607C7" w:rsidRDefault="00011133" w:rsidP="004607C7">
      <w:pPr>
        <w:pStyle w:val="ListParagraph"/>
        <w:numPr>
          <w:ilvl w:val="0"/>
          <w:numId w:val="11"/>
        </w:numPr>
        <w:spacing w:line="240" w:lineRule="auto"/>
        <w:jc w:val="left"/>
        <w:rPr>
          <w:rFonts w:ascii="Arial" w:hAnsi="Arial" w:cs="Arial"/>
          <w:sz w:val="20"/>
          <w:szCs w:val="20"/>
        </w:rPr>
      </w:pPr>
      <w:r w:rsidRPr="004607C7">
        <w:rPr>
          <w:rFonts w:ascii="Arial" w:hAnsi="Arial" w:cs="Arial"/>
          <w:sz w:val="20"/>
          <w:szCs w:val="20"/>
        </w:rPr>
        <w:t xml:space="preserve">The DPCI should </w:t>
      </w:r>
      <w:r w:rsidR="0053390C" w:rsidRPr="004607C7">
        <w:rPr>
          <w:rFonts w:ascii="Arial" w:hAnsi="Arial" w:cs="Arial"/>
          <w:sz w:val="20"/>
          <w:szCs w:val="20"/>
        </w:rPr>
        <w:t xml:space="preserve">further intensify efforts to combat money laundering, corruption and terrorist financing to address the deficiencies highlighted by the FAFT to assist in the effort to have South Africa removed from grey-listing.  </w:t>
      </w:r>
    </w:p>
    <w:p w:rsidR="004450D9" w:rsidRPr="004607C7" w:rsidRDefault="004450D9" w:rsidP="004607C7">
      <w:pPr>
        <w:pStyle w:val="ListParagraph"/>
        <w:spacing w:line="240" w:lineRule="auto"/>
        <w:jc w:val="left"/>
        <w:rPr>
          <w:rFonts w:ascii="Arial" w:hAnsi="Arial" w:cs="Arial"/>
          <w:sz w:val="20"/>
          <w:szCs w:val="20"/>
        </w:rPr>
      </w:pPr>
    </w:p>
    <w:p w:rsidR="004450D9" w:rsidRPr="004607C7" w:rsidRDefault="004450D9" w:rsidP="004607C7">
      <w:pPr>
        <w:pStyle w:val="ListParagraph"/>
        <w:numPr>
          <w:ilvl w:val="0"/>
          <w:numId w:val="11"/>
        </w:numPr>
        <w:spacing w:line="240" w:lineRule="auto"/>
        <w:jc w:val="left"/>
        <w:rPr>
          <w:rFonts w:ascii="Arial" w:hAnsi="Arial" w:cs="Arial"/>
          <w:sz w:val="20"/>
          <w:szCs w:val="20"/>
        </w:rPr>
      </w:pPr>
      <w:r w:rsidRPr="004607C7">
        <w:rPr>
          <w:rFonts w:ascii="Arial" w:hAnsi="Arial" w:cs="Arial"/>
          <w:sz w:val="20"/>
          <w:szCs w:val="20"/>
        </w:rPr>
        <w:t xml:space="preserve">The DPCI should further prioritise investigations that emanated from the recommended of the Judicial Commission of Inquiry into allegations of State Capture, Corruption and Fraud in the Public Sector, including Organs of State. </w:t>
      </w:r>
    </w:p>
    <w:p w:rsidR="00352068" w:rsidRPr="004607C7" w:rsidRDefault="00352068" w:rsidP="004607C7">
      <w:pPr>
        <w:pStyle w:val="ListParagraph"/>
        <w:spacing w:line="240" w:lineRule="auto"/>
        <w:jc w:val="left"/>
        <w:rPr>
          <w:rFonts w:ascii="Arial" w:hAnsi="Arial" w:cs="Arial"/>
          <w:sz w:val="20"/>
          <w:szCs w:val="20"/>
        </w:rPr>
      </w:pPr>
    </w:p>
    <w:p w:rsidR="00352068" w:rsidRPr="004607C7" w:rsidRDefault="00352068" w:rsidP="004607C7">
      <w:pPr>
        <w:spacing w:line="240" w:lineRule="auto"/>
        <w:jc w:val="left"/>
        <w:rPr>
          <w:rFonts w:ascii="Arial" w:hAnsi="Arial" w:cs="Arial"/>
          <w:sz w:val="20"/>
          <w:szCs w:val="20"/>
        </w:rPr>
      </w:pPr>
      <w:r w:rsidRPr="004607C7">
        <w:rPr>
          <w:rFonts w:ascii="Arial" w:hAnsi="Arial" w:cs="Arial"/>
          <w:sz w:val="20"/>
          <w:szCs w:val="20"/>
        </w:rPr>
        <w:lastRenderedPageBreak/>
        <w:t xml:space="preserve">The Committee resolved to conduct an oversight visit to the training facility at 3 SAI in Kimberley and a follow-up visit to assess progress made at the CFR. The oversight visits are scheduled from 19 to 21 May 2023.  </w:t>
      </w:r>
    </w:p>
    <w:p w:rsidR="00011133" w:rsidRPr="004607C7" w:rsidRDefault="00011133" w:rsidP="004607C7">
      <w:pPr>
        <w:spacing w:line="240" w:lineRule="auto"/>
        <w:jc w:val="left"/>
        <w:rPr>
          <w:rFonts w:ascii="Arial" w:hAnsi="Arial" w:cs="Arial"/>
          <w:sz w:val="20"/>
          <w:szCs w:val="20"/>
        </w:rPr>
      </w:pPr>
    </w:p>
    <w:p w:rsidR="008E6664" w:rsidRPr="004607C7" w:rsidRDefault="008E6664" w:rsidP="004607C7">
      <w:pPr>
        <w:pStyle w:val="Heading2"/>
        <w:numPr>
          <w:ilvl w:val="1"/>
          <w:numId w:val="4"/>
        </w:numPr>
        <w:spacing w:before="0" w:line="240" w:lineRule="auto"/>
        <w:rPr>
          <w:rFonts w:ascii="Arial" w:hAnsi="Arial" w:cs="Arial"/>
          <w:sz w:val="20"/>
          <w:szCs w:val="20"/>
        </w:rPr>
      </w:pPr>
      <w:r w:rsidRPr="004607C7">
        <w:rPr>
          <w:rFonts w:ascii="Arial" w:hAnsi="Arial" w:cs="Arial"/>
          <w:sz w:val="20"/>
          <w:szCs w:val="20"/>
        </w:rPr>
        <w:t>Request for information and report</w:t>
      </w:r>
    </w:p>
    <w:p w:rsidR="00E054BE" w:rsidRPr="004607C7" w:rsidRDefault="00E054BE" w:rsidP="004607C7">
      <w:pPr>
        <w:spacing w:line="240" w:lineRule="auto"/>
        <w:jc w:val="left"/>
        <w:rPr>
          <w:rFonts w:ascii="Arial" w:hAnsi="Arial" w:cs="Arial"/>
          <w:sz w:val="20"/>
          <w:szCs w:val="20"/>
        </w:rPr>
      </w:pPr>
    </w:p>
    <w:p w:rsidR="00E054BE" w:rsidRPr="004607C7" w:rsidRDefault="00E054BE" w:rsidP="004607C7">
      <w:pPr>
        <w:spacing w:line="240" w:lineRule="auto"/>
        <w:jc w:val="left"/>
        <w:rPr>
          <w:rFonts w:ascii="Arial" w:eastAsia="TimesNewRomanPSMT" w:hAnsi="Arial" w:cs="Arial"/>
          <w:sz w:val="20"/>
          <w:szCs w:val="20"/>
          <w:lang w:eastAsia="en-ZA"/>
        </w:rPr>
      </w:pPr>
      <w:r w:rsidRPr="004607C7">
        <w:rPr>
          <w:rFonts w:ascii="Arial" w:hAnsi="Arial" w:cs="Arial"/>
          <w:sz w:val="20"/>
          <w:szCs w:val="20"/>
        </w:rPr>
        <w:t>I</w:t>
      </w:r>
      <w:r w:rsidRPr="004607C7">
        <w:rPr>
          <w:rFonts w:ascii="Arial" w:eastAsia="TimesNewRomanPSMT" w:hAnsi="Arial" w:cs="Arial"/>
          <w:sz w:val="20"/>
          <w:szCs w:val="20"/>
          <w:lang w:eastAsia="en-ZA"/>
        </w:rPr>
        <w:t>mplementation and response plans for the following reports must be submitted before 1 June 2023:</w:t>
      </w:r>
    </w:p>
    <w:p w:rsidR="00E054BE" w:rsidRPr="004607C7" w:rsidRDefault="00E054BE" w:rsidP="004607C7">
      <w:pPr>
        <w:pStyle w:val="ListParagraph"/>
        <w:numPr>
          <w:ilvl w:val="0"/>
          <w:numId w:val="29"/>
        </w:numPr>
        <w:autoSpaceDE w:val="0"/>
        <w:autoSpaceDN w:val="0"/>
        <w:adjustRightInd w:val="0"/>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 xml:space="preserve">Panel of Experts into the July 2021 Civil Unrest </w:t>
      </w:r>
    </w:p>
    <w:p w:rsidR="00E054BE" w:rsidRPr="004607C7" w:rsidRDefault="00E054BE" w:rsidP="004607C7">
      <w:pPr>
        <w:pStyle w:val="ListParagraph"/>
        <w:numPr>
          <w:ilvl w:val="0"/>
          <w:numId w:val="29"/>
        </w:numPr>
        <w:autoSpaceDE w:val="0"/>
        <w:autoSpaceDN w:val="0"/>
        <w:adjustRightInd w:val="0"/>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 xml:space="preserve">SAHRC Hearings on the July 2021 Civil Unrest </w:t>
      </w:r>
    </w:p>
    <w:p w:rsidR="00E054BE" w:rsidRPr="004607C7" w:rsidRDefault="00E054BE" w:rsidP="004607C7">
      <w:pPr>
        <w:pStyle w:val="ListParagraph"/>
        <w:numPr>
          <w:ilvl w:val="0"/>
          <w:numId w:val="29"/>
        </w:numPr>
        <w:autoSpaceDE w:val="0"/>
        <w:autoSpaceDN w:val="0"/>
        <w:adjustRightInd w:val="0"/>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 xml:space="preserve">Marikana Commission of Enquiry and Report by the Expert Panel on Crowd Management. </w:t>
      </w:r>
    </w:p>
    <w:p w:rsidR="00E054BE" w:rsidRPr="004607C7" w:rsidRDefault="00E054BE" w:rsidP="004607C7">
      <w:pPr>
        <w:spacing w:line="240" w:lineRule="auto"/>
        <w:jc w:val="left"/>
        <w:rPr>
          <w:rFonts w:ascii="Arial" w:hAnsi="Arial" w:cs="Arial"/>
          <w:sz w:val="20"/>
          <w:szCs w:val="20"/>
        </w:rPr>
      </w:pPr>
    </w:p>
    <w:p w:rsidR="00E054BE" w:rsidRPr="004607C7" w:rsidRDefault="00E054BE" w:rsidP="004607C7">
      <w:pPr>
        <w:spacing w:line="240" w:lineRule="auto"/>
        <w:jc w:val="left"/>
        <w:rPr>
          <w:rFonts w:ascii="Arial" w:hAnsi="Arial" w:cs="Arial"/>
          <w:sz w:val="20"/>
          <w:szCs w:val="20"/>
        </w:rPr>
      </w:pPr>
      <w:r w:rsidRPr="004607C7">
        <w:rPr>
          <w:rFonts w:ascii="Arial" w:hAnsi="Arial" w:cs="Arial"/>
          <w:sz w:val="20"/>
          <w:szCs w:val="20"/>
        </w:rPr>
        <w:t xml:space="preserve">The Committee recommends that the Departments should address the long-term decline in the performance of the Detective Services and must submit a report to the Committee on the manner in which this will be addressed. </w:t>
      </w:r>
    </w:p>
    <w:p w:rsidR="00937BDD" w:rsidRPr="004607C7" w:rsidRDefault="00937BDD" w:rsidP="004607C7">
      <w:pPr>
        <w:spacing w:line="240" w:lineRule="auto"/>
        <w:jc w:val="left"/>
        <w:rPr>
          <w:rFonts w:ascii="Arial" w:hAnsi="Arial" w:cs="Arial"/>
          <w:sz w:val="20"/>
          <w:szCs w:val="20"/>
        </w:rPr>
      </w:pPr>
    </w:p>
    <w:p w:rsidR="00B43F38" w:rsidRPr="004607C7" w:rsidRDefault="00B43F38" w:rsidP="004607C7">
      <w:pPr>
        <w:pStyle w:val="Heading1"/>
        <w:numPr>
          <w:ilvl w:val="0"/>
          <w:numId w:val="4"/>
        </w:numPr>
        <w:spacing w:before="0" w:line="240" w:lineRule="auto"/>
        <w:jc w:val="left"/>
        <w:rPr>
          <w:rFonts w:ascii="Arial" w:hAnsi="Arial" w:cs="Arial"/>
          <w:sz w:val="20"/>
          <w:szCs w:val="20"/>
        </w:rPr>
      </w:pPr>
      <w:r w:rsidRPr="004607C7">
        <w:rPr>
          <w:rFonts w:ascii="Arial" w:hAnsi="Arial" w:cs="Arial"/>
          <w:sz w:val="20"/>
          <w:szCs w:val="20"/>
        </w:rPr>
        <w:t>Conclusion</w:t>
      </w:r>
      <w:bookmarkEnd w:id="27"/>
      <w:r w:rsidRPr="004607C7">
        <w:rPr>
          <w:rFonts w:ascii="Arial" w:hAnsi="Arial" w:cs="Arial"/>
          <w:sz w:val="20"/>
          <w:szCs w:val="20"/>
        </w:rPr>
        <w:t xml:space="preserve"> </w:t>
      </w:r>
    </w:p>
    <w:p w:rsidR="00B43F38" w:rsidRPr="004607C7" w:rsidRDefault="00B43F38" w:rsidP="004607C7">
      <w:pPr>
        <w:spacing w:line="240" w:lineRule="auto"/>
        <w:jc w:val="left"/>
        <w:rPr>
          <w:rFonts w:ascii="Arial" w:hAnsi="Arial" w:cs="Arial"/>
          <w:sz w:val="20"/>
          <w:szCs w:val="20"/>
        </w:rPr>
      </w:pPr>
    </w:p>
    <w:p w:rsidR="00535ABC" w:rsidRPr="004607C7" w:rsidRDefault="00535ABC" w:rsidP="004607C7">
      <w:pPr>
        <w:autoSpaceDE w:val="0"/>
        <w:autoSpaceDN w:val="0"/>
        <w:adjustRightInd w:val="0"/>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 xml:space="preserve">The Committee is grateful for the interaction with </w:t>
      </w:r>
      <w:r w:rsidR="00E054BE" w:rsidRPr="004607C7">
        <w:rPr>
          <w:rFonts w:ascii="Arial" w:eastAsia="TimesNewRomanPSMT" w:hAnsi="Arial" w:cs="Arial"/>
          <w:sz w:val="20"/>
          <w:szCs w:val="20"/>
          <w:lang w:eastAsia="en-ZA"/>
        </w:rPr>
        <w:t xml:space="preserve">stakeholders, police unions, </w:t>
      </w:r>
      <w:r w:rsidRPr="004607C7">
        <w:rPr>
          <w:rFonts w:ascii="Arial" w:eastAsia="TimesNewRomanPSMT" w:hAnsi="Arial" w:cs="Arial"/>
          <w:sz w:val="20"/>
          <w:szCs w:val="20"/>
          <w:lang w:eastAsia="en-ZA"/>
        </w:rPr>
        <w:t>the Minister, the Deputy Minister and the National Commissioner and his team to bring the required co-operation in this time and their contributions are valued. However, much more must be done by the Department to win back public trust in public policing.</w:t>
      </w:r>
    </w:p>
    <w:p w:rsidR="00535ABC" w:rsidRPr="004607C7" w:rsidRDefault="00535ABC" w:rsidP="004607C7">
      <w:pPr>
        <w:autoSpaceDE w:val="0"/>
        <w:autoSpaceDN w:val="0"/>
        <w:adjustRightInd w:val="0"/>
        <w:spacing w:line="240" w:lineRule="auto"/>
        <w:jc w:val="left"/>
        <w:rPr>
          <w:rFonts w:ascii="Arial" w:eastAsia="TimesNewRomanPSMT" w:hAnsi="Arial" w:cs="Arial"/>
          <w:sz w:val="20"/>
          <w:szCs w:val="20"/>
          <w:lang w:eastAsia="en-ZA"/>
        </w:rPr>
      </w:pPr>
    </w:p>
    <w:p w:rsidR="00535ABC" w:rsidRPr="004607C7" w:rsidRDefault="00535ABC" w:rsidP="004607C7">
      <w:pPr>
        <w:autoSpaceDE w:val="0"/>
        <w:autoSpaceDN w:val="0"/>
        <w:adjustRightInd w:val="0"/>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The Committee will continue to monitor the SAPS implementation of its APP and Strategic Plan together with its budget spending. The Portfolio Committee on Police supports the budget of the Department of Police for 202</w:t>
      </w:r>
      <w:r w:rsidR="00E054BE" w:rsidRPr="004607C7">
        <w:rPr>
          <w:rFonts w:ascii="Arial" w:eastAsia="TimesNewRomanPSMT" w:hAnsi="Arial" w:cs="Arial"/>
          <w:sz w:val="20"/>
          <w:szCs w:val="20"/>
          <w:lang w:eastAsia="en-ZA"/>
        </w:rPr>
        <w:t>3</w:t>
      </w:r>
      <w:r w:rsidRPr="004607C7">
        <w:rPr>
          <w:rFonts w:ascii="Arial" w:eastAsia="TimesNewRomanPSMT" w:hAnsi="Arial" w:cs="Arial"/>
          <w:sz w:val="20"/>
          <w:szCs w:val="20"/>
          <w:lang w:eastAsia="en-ZA"/>
        </w:rPr>
        <w:t>/2</w:t>
      </w:r>
      <w:r w:rsidR="00E054BE" w:rsidRPr="004607C7">
        <w:rPr>
          <w:rFonts w:ascii="Arial" w:eastAsia="TimesNewRomanPSMT" w:hAnsi="Arial" w:cs="Arial"/>
          <w:sz w:val="20"/>
          <w:szCs w:val="20"/>
          <w:lang w:eastAsia="en-ZA"/>
        </w:rPr>
        <w:t>4</w:t>
      </w:r>
      <w:r w:rsidRPr="004607C7">
        <w:rPr>
          <w:rFonts w:ascii="Arial" w:eastAsia="TimesNewRomanPSMT" w:hAnsi="Arial" w:cs="Arial"/>
          <w:sz w:val="20"/>
          <w:szCs w:val="20"/>
          <w:lang w:eastAsia="en-ZA"/>
        </w:rPr>
        <w:t xml:space="preserve"> and recommends that the Budget Vote 28 be adopted.</w:t>
      </w:r>
    </w:p>
    <w:p w:rsidR="00535ABC" w:rsidRPr="004607C7" w:rsidRDefault="00535ABC" w:rsidP="004607C7">
      <w:pPr>
        <w:autoSpaceDE w:val="0"/>
        <w:autoSpaceDN w:val="0"/>
        <w:adjustRightInd w:val="0"/>
        <w:spacing w:line="240" w:lineRule="auto"/>
        <w:jc w:val="left"/>
        <w:rPr>
          <w:rFonts w:ascii="Arial" w:eastAsia="TimesNewRomanPSMT" w:hAnsi="Arial" w:cs="Arial"/>
          <w:sz w:val="20"/>
          <w:szCs w:val="20"/>
          <w:lang w:eastAsia="en-ZA"/>
        </w:rPr>
      </w:pPr>
    </w:p>
    <w:p w:rsidR="0014622A" w:rsidRPr="004607C7" w:rsidRDefault="0052537C" w:rsidP="004607C7">
      <w:pPr>
        <w:autoSpaceDE w:val="0"/>
        <w:autoSpaceDN w:val="0"/>
        <w:adjustRightInd w:val="0"/>
        <w:spacing w:line="240" w:lineRule="auto"/>
        <w:jc w:val="left"/>
        <w:rPr>
          <w:rFonts w:ascii="Arial" w:eastAsia="TimesNewRomanPSMT" w:hAnsi="Arial" w:cs="Arial"/>
          <w:sz w:val="20"/>
          <w:szCs w:val="20"/>
          <w:lang w:eastAsia="en-ZA"/>
        </w:rPr>
      </w:pPr>
      <w:r w:rsidRPr="004607C7">
        <w:rPr>
          <w:rFonts w:ascii="Arial" w:eastAsia="TimesNewRomanPSMT" w:hAnsi="Arial" w:cs="Arial"/>
          <w:sz w:val="20"/>
          <w:szCs w:val="20"/>
          <w:lang w:eastAsia="en-ZA"/>
        </w:rPr>
        <w:t xml:space="preserve">The Democratic Alliance (DA) and Economic Freedom Fighters (EFF) reserve their rights. </w:t>
      </w:r>
    </w:p>
    <w:p w:rsidR="0014622A" w:rsidRPr="004607C7" w:rsidRDefault="0014622A" w:rsidP="004607C7">
      <w:pPr>
        <w:autoSpaceDE w:val="0"/>
        <w:autoSpaceDN w:val="0"/>
        <w:adjustRightInd w:val="0"/>
        <w:spacing w:line="240" w:lineRule="auto"/>
        <w:jc w:val="left"/>
        <w:rPr>
          <w:rFonts w:ascii="Arial" w:eastAsia="TimesNewRomanPSMT" w:hAnsi="Arial" w:cs="Arial"/>
          <w:sz w:val="20"/>
          <w:szCs w:val="20"/>
          <w:lang w:eastAsia="en-ZA"/>
        </w:rPr>
      </w:pPr>
    </w:p>
    <w:p w:rsidR="00247AB9" w:rsidRPr="004607C7" w:rsidRDefault="003F008D" w:rsidP="004607C7">
      <w:pPr>
        <w:spacing w:line="240" w:lineRule="auto"/>
        <w:jc w:val="left"/>
        <w:rPr>
          <w:rFonts w:ascii="Arial" w:hAnsi="Arial" w:cs="Arial"/>
          <w:sz w:val="20"/>
          <w:szCs w:val="20"/>
        </w:rPr>
      </w:pPr>
      <w:r w:rsidRPr="004607C7">
        <w:rPr>
          <w:rFonts w:ascii="Arial" w:eastAsia="TimesNewRomanPSMT" w:hAnsi="Arial" w:cs="Arial"/>
          <w:b/>
          <w:bCs/>
          <w:sz w:val="20"/>
          <w:szCs w:val="20"/>
          <w:lang w:eastAsia="en-ZA"/>
        </w:rPr>
        <w:t>Report to be considered.</w:t>
      </w:r>
    </w:p>
    <w:sectPr w:rsidR="00247AB9" w:rsidRPr="004607C7" w:rsidSect="00904FCA">
      <w:headerReference w:type="default" r:id="rId9"/>
      <w:footerReference w:type="default" r:id="rId10"/>
      <w:pgSz w:w="11906" w:h="16838"/>
      <w:pgMar w:top="851" w:right="1440" w:bottom="1440" w:left="1440" w:header="708" w:footer="6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CA0" w:rsidRDefault="00445CA0" w:rsidP="00BE1544">
      <w:pPr>
        <w:spacing w:line="240" w:lineRule="auto"/>
      </w:pPr>
      <w:r>
        <w:separator/>
      </w:r>
    </w:p>
  </w:endnote>
  <w:endnote w:type="continuationSeparator" w:id="0">
    <w:p w:rsidR="00445CA0" w:rsidRDefault="00445CA0"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HelveticaNeueLT Std Thin Cn">
    <w:altName w:val="HelveticaNeueLT Std Thin C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3C" w:rsidRDefault="004F383C" w:rsidP="00904FCA">
    <w:pPr>
      <w:pStyle w:val="Footer"/>
      <w:jc w:val="right"/>
    </w:pPr>
    <w:r>
      <w:rPr>
        <w:rFonts w:cs="Arial"/>
        <w:sz w:val="16"/>
        <w:szCs w:val="16"/>
      </w:rPr>
      <w:t xml:space="preserve"> </w:t>
    </w:r>
    <w:r w:rsidRPr="00BE1544">
      <w:rPr>
        <w:rFonts w:cs="Arial"/>
        <w:sz w:val="16"/>
        <w:szCs w:val="16"/>
      </w:rPr>
      <w:t xml:space="preserve">Page </w:t>
    </w:r>
    <w:r w:rsidR="00D77E67" w:rsidRPr="00BE1544">
      <w:rPr>
        <w:rFonts w:cs="Arial"/>
        <w:bCs/>
        <w:sz w:val="16"/>
        <w:szCs w:val="16"/>
      </w:rPr>
      <w:fldChar w:fldCharType="begin"/>
    </w:r>
    <w:r w:rsidRPr="00BE1544">
      <w:rPr>
        <w:rFonts w:cs="Arial"/>
        <w:bCs/>
        <w:sz w:val="16"/>
        <w:szCs w:val="16"/>
      </w:rPr>
      <w:instrText xml:space="preserve"> PAGE </w:instrText>
    </w:r>
    <w:r w:rsidR="00D77E67" w:rsidRPr="00BE1544">
      <w:rPr>
        <w:rFonts w:cs="Arial"/>
        <w:bCs/>
        <w:sz w:val="16"/>
        <w:szCs w:val="16"/>
      </w:rPr>
      <w:fldChar w:fldCharType="separate"/>
    </w:r>
    <w:r w:rsidR="004607C7">
      <w:rPr>
        <w:rFonts w:cs="Arial"/>
        <w:bCs/>
        <w:noProof/>
        <w:sz w:val="16"/>
        <w:szCs w:val="16"/>
      </w:rPr>
      <w:t>27</w:t>
    </w:r>
    <w:r w:rsidR="00D77E67" w:rsidRPr="00BE1544">
      <w:rPr>
        <w:rFonts w:cs="Arial"/>
        <w:bCs/>
        <w:sz w:val="16"/>
        <w:szCs w:val="16"/>
      </w:rPr>
      <w:fldChar w:fldCharType="end"/>
    </w:r>
    <w:r w:rsidRPr="00BE1544">
      <w:rPr>
        <w:rFonts w:cs="Arial"/>
        <w:sz w:val="16"/>
        <w:szCs w:val="16"/>
      </w:rPr>
      <w:t xml:space="preserve"> of </w:t>
    </w:r>
    <w:r w:rsidR="00D77E67" w:rsidRPr="00BE1544">
      <w:rPr>
        <w:rFonts w:cs="Arial"/>
        <w:bCs/>
        <w:sz w:val="16"/>
        <w:szCs w:val="16"/>
      </w:rPr>
      <w:fldChar w:fldCharType="begin"/>
    </w:r>
    <w:r w:rsidRPr="00BE1544">
      <w:rPr>
        <w:rFonts w:cs="Arial"/>
        <w:bCs/>
        <w:sz w:val="16"/>
        <w:szCs w:val="16"/>
      </w:rPr>
      <w:instrText xml:space="preserve"> NUMPAGES  </w:instrText>
    </w:r>
    <w:r w:rsidR="00D77E67" w:rsidRPr="00BE1544">
      <w:rPr>
        <w:rFonts w:cs="Arial"/>
        <w:bCs/>
        <w:sz w:val="16"/>
        <w:szCs w:val="16"/>
      </w:rPr>
      <w:fldChar w:fldCharType="separate"/>
    </w:r>
    <w:r w:rsidR="004607C7">
      <w:rPr>
        <w:rFonts w:cs="Arial"/>
        <w:bCs/>
        <w:noProof/>
        <w:sz w:val="16"/>
        <w:szCs w:val="16"/>
      </w:rPr>
      <w:t>38</w:t>
    </w:r>
    <w:r w:rsidR="00D77E67" w:rsidRPr="00BE1544">
      <w:rPr>
        <w:rFonts w:cs="Arial"/>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CA0" w:rsidRDefault="00445CA0" w:rsidP="00BE1544">
      <w:pPr>
        <w:spacing w:line="240" w:lineRule="auto"/>
      </w:pPr>
      <w:r>
        <w:separator/>
      </w:r>
    </w:p>
  </w:footnote>
  <w:footnote w:type="continuationSeparator" w:id="0">
    <w:p w:rsidR="00445CA0" w:rsidRDefault="00445CA0" w:rsidP="00BE1544">
      <w:pPr>
        <w:spacing w:line="240" w:lineRule="auto"/>
      </w:pPr>
      <w:r>
        <w:continuationSeparator/>
      </w:r>
    </w:p>
  </w:footnote>
  <w:footnote w:id="1">
    <w:p w:rsidR="004F383C" w:rsidRPr="00D555FB" w:rsidRDefault="004F383C" w:rsidP="00567CCD">
      <w:pPr>
        <w:pStyle w:val="FootnoteText"/>
        <w:rPr>
          <w:sz w:val="18"/>
          <w:szCs w:val="18"/>
          <w:lang w:val="en-US"/>
        </w:rPr>
      </w:pPr>
      <w:r w:rsidRPr="00D555FB">
        <w:rPr>
          <w:rStyle w:val="FootnoteReference"/>
          <w:sz w:val="18"/>
          <w:szCs w:val="18"/>
        </w:rPr>
        <w:footnoteRef/>
      </w:r>
      <w:r w:rsidRPr="00D555FB">
        <w:rPr>
          <w:sz w:val="18"/>
          <w:szCs w:val="18"/>
        </w:rPr>
        <w:t xml:space="preserve"> </w:t>
      </w:r>
      <w:r w:rsidRPr="00D555FB">
        <w:rPr>
          <w:sz w:val="18"/>
          <w:szCs w:val="18"/>
          <w:lang w:val="en-US"/>
        </w:rPr>
        <w:t>Minister of Police, 17 February 2023</w:t>
      </w:r>
    </w:p>
  </w:footnote>
  <w:footnote w:id="2">
    <w:p w:rsidR="004F383C" w:rsidRPr="00D555FB" w:rsidRDefault="004F383C" w:rsidP="00567CCD">
      <w:pPr>
        <w:pStyle w:val="FootnoteText"/>
        <w:rPr>
          <w:sz w:val="18"/>
          <w:szCs w:val="18"/>
          <w:lang w:val="en-US"/>
        </w:rPr>
      </w:pPr>
      <w:r w:rsidRPr="00D555FB">
        <w:rPr>
          <w:rStyle w:val="FootnoteReference"/>
          <w:sz w:val="18"/>
          <w:szCs w:val="18"/>
        </w:rPr>
        <w:footnoteRef/>
      </w:r>
      <w:r w:rsidRPr="00D555FB">
        <w:rPr>
          <w:sz w:val="18"/>
          <w:szCs w:val="18"/>
        </w:rPr>
        <w:t xml:space="preserve"> </w:t>
      </w:r>
      <w:r w:rsidRPr="00D555FB">
        <w:rPr>
          <w:sz w:val="18"/>
          <w:szCs w:val="18"/>
          <w:lang w:val="en-US"/>
        </w:rPr>
        <w:t>Minister of Police (2022)</w:t>
      </w:r>
    </w:p>
  </w:footnote>
  <w:footnote w:id="3">
    <w:p w:rsidR="004F383C" w:rsidRPr="00CD2636" w:rsidRDefault="004F383C" w:rsidP="00567CCD">
      <w:pPr>
        <w:autoSpaceDE w:val="0"/>
        <w:autoSpaceDN w:val="0"/>
        <w:adjustRightInd w:val="0"/>
        <w:spacing w:line="240" w:lineRule="auto"/>
        <w:jc w:val="left"/>
        <w:rPr>
          <w:rFonts w:cs="Arial"/>
          <w:sz w:val="18"/>
          <w:szCs w:val="18"/>
          <w:lang w:eastAsia="en-ZA"/>
        </w:rPr>
      </w:pPr>
      <w:r w:rsidRPr="00CD2636">
        <w:rPr>
          <w:rStyle w:val="FootnoteReference"/>
          <w:rFonts w:cs="Arial"/>
          <w:sz w:val="18"/>
          <w:szCs w:val="18"/>
        </w:rPr>
        <w:footnoteRef/>
      </w:r>
      <w:r w:rsidRPr="00CD2636">
        <w:rPr>
          <w:rFonts w:cs="Arial"/>
          <w:sz w:val="18"/>
          <w:szCs w:val="18"/>
        </w:rPr>
        <w:t xml:space="preserve"> </w:t>
      </w:r>
      <w:r w:rsidRPr="00CD2636">
        <w:rPr>
          <w:rFonts w:cs="Arial"/>
          <w:sz w:val="18"/>
          <w:szCs w:val="18"/>
          <w:lang w:eastAsia="en-ZA"/>
        </w:rPr>
        <w:t>Between the period 2014/2015 to 2022/2023 the “JCPS Cluster” were reported on in the Annual Performance Plan as a sub-category of the Public Sector. As from the 2023/2024 financial year, the JCPS will be inclusive of all cases reported on in the “Public Sector”.</w:t>
      </w:r>
    </w:p>
  </w:footnote>
  <w:footnote w:id="4">
    <w:p w:rsidR="004F383C" w:rsidRPr="00CD2636" w:rsidRDefault="004F383C" w:rsidP="00567CCD">
      <w:pPr>
        <w:autoSpaceDE w:val="0"/>
        <w:autoSpaceDN w:val="0"/>
        <w:adjustRightInd w:val="0"/>
        <w:spacing w:line="240" w:lineRule="auto"/>
        <w:jc w:val="left"/>
        <w:rPr>
          <w:rFonts w:cs="Arial"/>
          <w:sz w:val="18"/>
          <w:szCs w:val="18"/>
          <w:lang w:eastAsia="en-ZA"/>
        </w:rPr>
      </w:pPr>
      <w:r w:rsidRPr="00CD2636">
        <w:rPr>
          <w:rStyle w:val="FootnoteReference"/>
          <w:rFonts w:cs="Arial"/>
          <w:sz w:val="18"/>
          <w:szCs w:val="18"/>
        </w:rPr>
        <w:footnoteRef/>
      </w:r>
      <w:r w:rsidRPr="00CD2636">
        <w:rPr>
          <w:rFonts w:cs="Arial"/>
          <w:sz w:val="18"/>
          <w:szCs w:val="18"/>
        </w:rPr>
        <w:t xml:space="preserve"> </w:t>
      </w:r>
      <w:r w:rsidRPr="00CD2636">
        <w:rPr>
          <w:rFonts w:cs="Arial"/>
          <w:sz w:val="18"/>
          <w:szCs w:val="18"/>
          <w:lang w:eastAsia="en-ZA"/>
        </w:rPr>
        <w:t>Prioritised crime threats include, inter alia, the following: organised crime, gangsterism, illicit drugs, the trio crimes, aggravated robbery, kidnapping, extortion, crimes related to critical/essential infrastructure, illegal firearms, stock theft and protected species, e.g. abalone.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3C" w:rsidRDefault="004F383C">
    <w:pPr>
      <w:pStyle w:val="Header"/>
    </w:pPr>
  </w:p>
  <w:p w:rsidR="004F383C" w:rsidRDefault="004F38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7"/>
    <w:multiLevelType w:val="multilevel"/>
    <w:tmpl w:val="894EE8A9"/>
    <w:lvl w:ilvl="0">
      <w:start w:val="1"/>
      <w:numFmt w:val="bullet"/>
      <w:pStyle w:val="ImportWordListStyleDefinition20"/>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1">
    <w:nsid w:val="033960BA"/>
    <w:multiLevelType w:val="hybridMultilevel"/>
    <w:tmpl w:val="0728CD7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73118D"/>
    <w:multiLevelType w:val="hybridMultilevel"/>
    <w:tmpl w:val="FD36C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3963D77"/>
    <w:multiLevelType w:val="hybridMultilevel"/>
    <w:tmpl w:val="8FBA5F6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93864CD"/>
    <w:multiLevelType w:val="hybridMultilevel"/>
    <w:tmpl w:val="A3A8150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B4C0ACB"/>
    <w:multiLevelType w:val="multilevel"/>
    <w:tmpl w:val="9DAC80B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B21372"/>
    <w:multiLevelType w:val="hybridMultilevel"/>
    <w:tmpl w:val="4B1CCA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E120ADB"/>
    <w:multiLevelType w:val="hybridMultilevel"/>
    <w:tmpl w:val="5E9CDE4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F4A39F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372DEE"/>
    <w:multiLevelType w:val="hybridMultilevel"/>
    <w:tmpl w:val="A40AB1A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8FD6255"/>
    <w:multiLevelType w:val="hybridMultilevel"/>
    <w:tmpl w:val="5E8467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91B6048"/>
    <w:multiLevelType w:val="hybridMultilevel"/>
    <w:tmpl w:val="F5F41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E3F7E9B"/>
    <w:multiLevelType w:val="hybridMultilevel"/>
    <w:tmpl w:val="98300A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EB54E99"/>
    <w:multiLevelType w:val="hybridMultilevel"/>
    <w:tmpl w:val="2FE6E2B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064661B"/>
    <w:multiLevelType w:val="hybridMultilevel"/>
    <w:tmpl w:val="E0D4B75C"/>
    <w:lvl w:ilvl="0" w:tplc="1C090011">
      <w:start w:val="1"/>
      <w:numFmt w:val="decimal"/>
      <w:lvlText w:val="%1)"/>
      <w:lvlJc w:val="left"/>
      <w:pPr>
        <w:ind w:left="720" w:hanging="360"/>
      </w:pPr>
    </w:lvl>
    <w:lvl w:ilvl="1" w:tplc="1C090017">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3471B4C"/>
    <w:multiLevelType w:val="hybridMultilevel"/>
    <w:tmpl w:val="5FAA9A9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9CB033A"/>
    <w:multiLevelType w:val="hybridMultilevel"/>
    <w:tmpl w:val="07A005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726C76"/>
    <w:multiLevelType w:val="hybridMultilevel"/>
    <w:tmpl w:val="53B6E35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6D4772"/>
    <w:multiLevelType w:val="hybridMultilevel"/>
    <w:tmpl w:val="583AFB9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4C1A52"/>
    <w:multiLevelType w:val="hybridMultilevel"/>
    <w:tmpl w:val="056C82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5644A21"/>
    <w:multiLevelType w:val="hybridMultilevel"/>
    <w:tmpl w:val="AA1EDA7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7467A8E"/>
    <w:multiLevelType w:val="hybridMultilevel"/>
    <w:tmpl w:val="D1B6E25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D8069C9"/>
    <w:multiLevelType w:val="hybridMultilevel"/>
    <w:tmpl w:val="452AC6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1271183"/>
    <w:multiLevelType w:val="hybridMultilevel"/>
    <w:tmpl w:val="C524B23C"/>
    <w:lvl w:ilvl="0" w:tplc="1C090017">
      <w:start w:val="1"/>
      <w:numFmt w:val="lowerLetter"/>
      <w:lvlText w:val="%1)"/>
      <w:lvlJc w:val="left"/>
      <w:pPr>
        <w:ind w:left="1512" w:hanging="360"/>
      </w:pPr>
      <w:rPr>
        <w:rFonts w:hint="default"/>
      </w:rPr>
    </w:lvl>
    <w:lvl w:ilvl="1" w:tplc="1C090003" w:tentative="1">
      <w:start w:val="1"/>
      <w:numFmt w:val="bullet"/>
      <w:lvlText w:val="o"/>
      <w:lvlJc w:val="left"/>
      <w:pPr>
        <w:ind w:left="2232" w:hanging="360"/>
      </w:pPr>
      <w:rPr>
        <w:rFonts w:ascii="Courier New" w:hAnsi="Courier New" w:cs="Courier New" w:hint="default"/>
      </w:rPr>
    </w:lvl>
    <w:lvl w:ilvl="2" w:tplc="1C090005" w:tentative="1">
      <w:start w:val="1"/>
      <w:numFmt w:val="bullet"/>
      <w:lvlText w:val=""/>
      <w:lvlJc w:val="left"/>
      <w:pPr>
        <w:ind w:left="2952" w:hanging="360"/>
      </w:pPr>
      <w:rPr>
        <w:rFonts w:ascii="Wingdings" w:hAnsi="Wingdings" w:hint="default"/>
      </w:rPr>
    </w:lvl>
    <w:lvl w:ilvl="3" w:tplc="1C090001" w:tentative="1">
      <w:start w:val="1"/>
      <w:numFmt w:val="bullet"/>
      <w:lvlText w:val=""/>
      <w:lvlJc w:val="left"/>
      <w:pPr>
        <w:ind w:left="3672" w:hanging="360"/>
      </w:pPr>
      <w:rPr>
        <w:rFonts w:ascii="Symbol" w:hAnsi="Symbol" w:hint="default"/>
      </w:rPr>
    </w:lvl>
    <w:lvl w:ilvl="4" w:tplc="1C090003" w:tentative="1">
      <w:start w:val="1"/>
      <w:numFmt w:val="bullet"/>
      <w:lvlText w:val="o"/>
      <w:lvlJc w:val="left"/>
      <w:pPr>
        <w:ind w:left="4392" w:hanging="360"/>
      </w:pPr>
      <w:rPr>
        <w:rFonts w:ascii="Courier New" w:hAnsi="Courier New" w:cs="Courier New" w:hint="default"/>
      </w:rPr>
    </w:lvl>
    <w:lvl w:ilvl="5" w:tplc="1C090005" w:tentative="1">
      <w:start w:val="1"/>
      <w:numFmt w:val="bullet"/>
      <w:lvlText w:val=""/>
      <w:lvlJc w:val="left"/>
      <w:pPr>
        <w:ind w:left="5112" w:hanging="360"/>
      </w:pPr>
      <w:rPr>
        <w:rFonts w:ascii="Wingdings" w:hAnsi="Wingdings" w:hint="default"/>
      </w:rPr>
    </w:lvl>
    <w:lvl w:ilvl="6" w:tplc="1C090001" w:tentative="1">
      <w:start w:val="1"/>
      <w:numFmt w:val="bullet"/>
      <w:lvlText w:val=""/>
      <w:lvlJc w:val="left"/>
      <w:pPr>
        <w:ind w:left="5832" w:hanging="360"/>
      </w:pPr>
      <w:rPr>
        <w:rFonts w:ascii="Symbol" w:hAnsi="Symbol" w:hint="default"/>
      </w:rPr>
    </w:lvl>
    <w:lvl w:ilvl="7" w:tplc="1C090003" w:tentative="1">
      <w:start w:val="1"/>
      <w:numFmt w:val="bullet"/>
      <w:lvlText w:val="o"/>
      <w:lvlJc w:val="left"/>
      <w:pPr>
        <w:ind w:left="6552" w:hanging="360"/>
      </w:pPr>
      <w:rPr>
        <w:rFonts w:ascii="Courier New" w:hAnsi="Courier New" w:cs="Courier New" w:hint="default"/>
      </w:rPr>
    </w:lvl>
    <w:lvl w:ilvl="8" w:tplc="1C090005" w:tentative="1">
      <w:start w:val="1"/>
      <w:numFmt w:val="bullet"/>
      <w:lvlText w:val=""/>
      <w:lvlJc w:val="left"/>
      <w:pPr>
        <w:ind w:left="7272" w:hanging="360"/>
      </w:pPr>
      <w:rPr>
        <w:rFonts w:ascii="Wingdings" w:hAnsi="Wingdings" w:hint="default"/>
      </w:rPr>
    </w:lvl>
  </w:abstractNum>
  <w:abstractNum w:abstractNumId="25">
    <w:nsid w:val="55E862CD"/>
    <w:multiLevelType w:val="hybridMultilevel"/>
    <w:tmpl w:val="1B526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54E3C1B"/>
    <w:multiLevelType w:val="hybridMultilevel"/>
    <w:tmpl w:val="17685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97E654E"/>
    <w:multiLevelType w:val="hybridMultilevel"/>
    <w:tmpl w:val="64B02C7C"/>
    <w:lvl w:ilvl="0" w:tplc="1C090011">
      <w:start w:val="1"/>
      <w:numFmt w:val="decimal"/>
      <w:lvlText w:val="%1)"/>
      <w:lvlJc w:val="left"/>
      <w:pPr>
        <w:ind w:left="720" w:hanging="360"/>
      </w:pPr>
    </w:lvl>
    <w:lvl w:ilvl="1" w:tplc="1C090017">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B834603"/>
    <w:multiLevelType w:val="hybridMultilevel"/>
    <w:tmpl w:val="3E665E7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657302D"/>
    <w:multiLevelType w:val="hybridMultilevel"/>
    <w:tmpl w:val="0C0ED396"/>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0"/>
  </w:num>
  <w:num w:numId="4">
    <w:abstractNumId w:val="8"/>
  </w:num>
  <w:num w:numId="5">
    <w:abstractNumId w:val="25"/>
  </w:num>
  <w:num w:numId="6">
    <w:abstractNumId w:val="11"/>
  </w:num>
  <w:num w:numId="7">
    <w:abstractNumId w:val="4"/>
  </w:num>
  <w:num w:numId="8">
    <w:abstractNumId w:val="1"/>
  </w:num>
  <w:num w:numId="9">
    <w:abstractNumId w:val="5"/>
  </w:num>
  <w:num w:numId="10">
    <w:abstractNumId w:val="21"/>
  </w:num>
  <w:num w:numId="11">
    <w:abstractNumId w:val="15"/>
  </w:num>
  <w:num w:numId="12">
    <w:abstractNumId w:val="24"/>
  </w:num>
  <w:num w:numId="13">
    <w:abstractNumId w:val="14"/>
  </w:num>
  <w:num w:numId="14">
    <w:abstractNumId w:val="27"/>
  </w:num>
  <w:num w:numId="15">
    <w:abstractNumId w:val="7"/>
  </w:num>
  <w:num w:numId="16">
    <w:abstractNumId w:val="20"/>
  </w:num>
  <w:num w:numId="17">
    <w:abstractNumId w:val="9"/>
  </w:num>
  <w:num w:numId="18">
    <w:abstractNumId w:val="17"/>
  </w:num>
  <w:num w:numId="19">
    <w:abstractNumId w:val="3"/>
  </w:num>
  <w:num w:numId="20">
    <w:abstractNumId w:val="28"/>
  </w:num>
  <w:num w:numId="21">
    <w:abstractNumId w:val="12"/>
  </w:num>
  <w:num w:numId="22">
    <w:abstractNumId w:val="19"/>
  </w:num>
  <w:num w:numId="23">
    <w:abstractNumId w:val="16"/>
  </w:num>
  <w:num w:numId="24">
    <w:abstractNumId w:val="13"/>
  </w:num>
  <w:num w:numId="25">
    <w:abstractNumId w:val="26"/>
  </w:num>
  <w:num w:numId="26">
    <w:abstractNumId w:val="23"/>
  </w:num>
  <w:num w:numId="27">
    <w:abstractNumId w:val="10"/>
  </w:num>
  <w:num w:numId="28">
    <w:abstractNumId w:val="2"/>
  </w:num>
  <w:num w:numId="29">
    <w:abstractNumId w:val="18"/>
  </w:num>
  <w:num w:numId="30">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C227AB"/>
    <w:rsid w:val="0000035E"/>
    <w:rsid w:val="00001AC2"/>
    <w:rsid w:val="00004E8A"/>
    <w:rsid w:val="0000507F"/>
    <w:rsid w:val="00005164"/>
    <w:rsid w:val="000060D4"/>
    <w:rsid w:val="0000635A"/>
    <w:rsid w:val="00006B13"/>
    <w:rsid w:val="00007064"/>
    <w:rsid w:val="00007175"/>
    <w:rsid w:val="0000721B"/>
    <w:rsid w:val="0000789E"/>
    <w:rsid w:val="0001025F"/>
    <w:rsid w:val="00011006"/>
    <w:rsid w:val="00011133"/>
    <w:rsid w:val="00011B7F"/>
    <w:rsid w:val="00012B5B"/>
    <w:rsid w:val="00013DE5"/>
    <w:rsid w:val="00015579"/>
    <w:rsid w:val="00015654"/>
    <w:rsid w:val="00015D1A"/>
    <w:rsid w:val="000168F0"/>
    <w:rsid w:val="00017A17"/>
    <w:rsid w:val="00017E99"/>
    <w:rsid w:val="00021836"/>
    <w:rsid w:val="00021863"/>
    <w:rsid w:val="0002207F"/>
    <w:rsid w:val="00022BFA"/>
    <w:rsid w:val="0002420A"/>
    <w:rsid w:val="00024249"/>
    <w:rsid w:val="00024849"/>
    <w:rsid w:val="00024EB0"/>
    <w:rsid w:val="00031364"/>
    <w:rsid w:val="00031723"/>
    <w:rsid w:val="00032528"/>
    <w:rsid w:val="00032769"/>
    <w:rsid w:val="00032B79"/>
    <w:rsid w:val="00032B87"/>
    <w:rsid w:val="00034B8C"/>
    <w:rsid w:val="000361B8"/>
    <w:rsid w:val="00036F68"/>
    <w:rsid w:val="00040CA1"/>
    <w:rsid w:val="000418FA"/>
    <w:rsid w:val="0004287C"/>
    <w:rsid w:val="00043743"/>
    <w:rsid w:val="000447A4"/>
    <w:rsid w:val="0005047E"/>
    <w:rsid w:val="00050AE9"/>
    <w:rsid w:val="00051DB9"/>
    <w:rsid w:val="00052B47"/>
    <w:rsid w:val="00054D3B"/>
    <w:rsid w:val="00055657"/>
    <w:rsid w:val="00056919"/>
    <w:rsid w:val="00057544"/>
    <w:rsid w:val="000601A4"/>
    <w:rsid w:val="000618B6"/>
    <w:rsid w:val="0006372D"/>
    <w:rsid w:val="000649FC"/>
    <w:rsid w:val="00064A61"/>
    <w:rsid w:val="00066A42"/>
    <w:rsid w:val="00070AE1"/>
    <w:rsid w:val="00070DF9"/>
    <w:rsid w:val="00070E31"/>
    <w:rsid w:val="00070E89"/>
    <w:rsid w:val="00070F93"/>
    <w:rsid w:val="000711D9"/>
    <w:rsid w:val="0007231A"/>
    <w:rsid w:val="000727BF"/>
    <w:rsid w:val="0007378D"/>
    <w:rsid w:val="0007392C"/>
    <w:rsid w:val="00073EF6"/>
    <w:rsid w:val="00074035"/>
    <w:rsid w:val="00074D31"/>
    <w:rsid w:val="0007712B"/>
    <w:rsid w:val="000773A6"/>
    <w:rsid w:val="00077B2F"/>
    <w:rsid w:val="000803C5"/>
    <w:rsid w:val="0008477B"/>
    <w:rsid w:val="0008709C"/>
    <w:rsid w:val="00090D10"/>
    <w:rsid w:val="00092BC2"/>
    <w:rsid w:val="00092EED"/>
    <w:rsid w:val="00093788"/>
    <w:rsid w:val="0009735A"/>
    <w:rsid w:val="000976DE"/>
    <w:rsid w:val="000A22CB"/>
    <w:rsid w:val="000A2557"/>
    <w:rsid w:val="000A3301"/>
    <w:rsid w:val="000A411D"/>
    <w:rsid w:val="000A412D"/>
    <w:rsid w:val="000A5316"/>
    <w:rsid w:val="000A53ED"/>
    <w:rsid w:val="000A54BD"/>
    <w:rsid w:val="000A5CF9"/>
    <w:rsid w:val="000A5FB9"/>
    <w:rsid w:val="000A6BB2"/>
    <w:rsid w:val="000A7972"/>
    <w:rsid w:val="000A7C8E"/>
    <w:rsid w:val="000B24E7"/>
    <w:rsid w:val="000B2D6F"/>
    <w:rsid w:val="000B5B3D"/>
    <w:rsid w:val="000B5C4A"/>
    <w:rsid w:val="000B5DBF"/>
    <w:rsid w:val="000B66C4"/>
    <w:rsid w:val="000B6B68"/>
    <w:rsid w:val="000B6DD1"/>
    <w:rsid w:val="000B7DB8"/>
    <w:rsid w:val="000C094F"/>
    <w:rsid w:val="000C179B"/>
    <w:rsid w:val="000C2687"/>
    <w:rsid w:val="000C3F75"/>
    <w:rsid w:val="000C41B6"/>
    <w:rsid w:val="000C5D02"/>
    <w:rsid w:val="000C68FF"/>
    <w:rsid w:val="000C6D2D"/>
    <w:rsid w:val="000D0217"/>
    <w:rsid w:val="000D02A9"/>
    <w:rsid w:val="000D2081"/>
    <w:rsid w:val="000D2BB7"/>
    <w:rsid w:val="000D3360"/>
    <w:rsid w:val="000D5D1D"/>
    <w:rsid w:val="000D6198"/>
    <w:rsid w:val="000D63CA"/>
    <w:rsid w:val="000D7344"/>
    <w:rsid w:val="000D7494"/>
    <w:rsid w:val="000D7C35"/>
    <w:rsid w:val="000D7D2A"/>
    <w:rsid w:val="000E0570"/>
    <w:rsid w:val="000E16E0"/>
    <w:rsid w:val="000E352E"/>
    <w:rsid w:val="000E3B40"/>
    <w:rsid w:val="000E5119"/>
    <w:rsid w:val="000E684F"/>
    <w:rsid w:val="000E7685"/>
    <w:rsid w:val="000F0E00"/>
    <w:rsid w:val="000F15F3"/>
    <w:rsid w:val="000F1B3B"/>
    <w:rsid w:val="000F1BB2"/>
    <w:rsid w:val="000F2214"/>
    <w:rsid w:val="000F363A"/>
    <w:rsid w:val="000F38D6"/>
    <w:rsid w:val="000F58F3"/>
    <w:rsid w:val="000F61E0"/>
    <w:rsid w:val="000F63DE"/>
    <w:rsid w:val="000F655A"/>
    <w:rsid w:val="00100B45"/>
    <w:rsid w:val="001010A3"/>
    <w:rsid w:val="00101447"/>
    <w:rsid w:val="0010173D"/>
    <w:rsid w:val="00101A91"/>
    <w:rsid w:val="001047CB"/>
    <w:rsid w:val="0010521A"/>
    <w:rsid w:val="00106CC3"/>
    <w:rsid w:val="00107C7D"/>
    <w:rsid w:val="00110AF1"/>
    <w:rsid w:val="0011154C"/>
    <w:rsid w:val="00113F85"/>
    <w:rsid w:val="00114D2D"/>
    <w:rsid w:val="00115FD1"/>
    <w:rsid w:val="0011664F"/>
    <w:rsid w:val="00117181"/>
    <w:rsid w:val="0011747D"/>
    <w:rsid w:val="00121DAC"/>
    <w:rsid w:val="00122716"/>
    <w:rsid w:val="00123244"/>
    <w:rsid w:val="001311B1"/>
    <w:rsid w:val="001327AA"/>
    <w:rsid w:val="00132AB5"/>
    <w:rsid w:val="00133DFF"/>
    <w:rsid w:val="0013425F"/>
    <w:rsid w:val="00135913"/>
    <w:rsid w:val="001364CF"/>
    <w:rsid w:val="001367C5"/>
    <w:rsid w:val="001375F3"/>
    <w:rsid w:val="001412F4"/>
    <w:rsid w:val="001415A0"/>
    <w:rsid w:val="00141CF6"/>
    <w:rsid w:val="00142916"/>
    <w:rsid w:val="00143682"/>
    <w:rsid w:val="00143B40"/>
    <w:rsid w:val="001444C2"/>
    <w:rsid w:val="00144958"/>
    <w:rsid w:val="0014622A"/>
    <w:rsid w:val="001463C2"/>
    <w:rsid w:val="00146689"/>
    <w:rsid w:val="00146793"/>
    <w:rsid w:val="001468B8"/>
    <w:rsid w:val="001474DA"/>
    <w:rsid w:val="00147FBD"/>
    <w:rsid w:val="00152603"/>
    <w:rsid w:val="00152AB9"/>
    <w:rsid w:val="00152B13"/>
    <w:rsid w:val="00152CB4"/>
    <w:rsid w:val="00153433"/>
    <w:rsid w:val="0015389C"/>
    <w:rsid w:val="001547FD"/>
    <w:rsid w:val="001561C7"/>
    <w:rsid w:val="001564D8"/>
    <w:rsid w:val="0015722F"/>
    <w:rsid w:val="001576EC"/>
    <w:rsid w:val="00160500"/>
    <w:rsid w:val="001621E5"/>
    <w:rsid w:val="00162C0B"/>
    <w:rsid w:val="00162CC8"/>
    <w:rsid w:val="00163235"/>
    <w:rsid w:val="001633DE"/>
    <w:rsid w:val="00163B31"/>
    <w:rsid w:val="0016630F"/>
    <w:rsid w:val="0016655C"/>
    <w:rsid w:val="00166FCA"/>
    <w:rsid w:val="00167182"/>
    <w:rsid w:val="0017017F"/>
    <w:rsid w:val="001709CF"/>
    <w:rsid w:val="00172D5B"/>
    <w:rsid w:val="00173059"/>
    <w:rsid w:val="001743B0"/>
    <w:rsid w:val="00174802"/>
    <w:rsid w:val="001757C8"/>
    <w:rsid w:val="00175DE7"/>
    <w:rsid w:val="00175EDD"/>
    <w:rsid w:val="001761FB"/>
    <w:rsid w:val="00180BF1"/>
    <w:rsid w:val="00181751"/>
    <w:rsid w:val="001818B9"/>
    <w:rsid w:val="00181A90"/>
    <w:rsid w:val="0018208B"/>
    <w:rsid w:val="001825BB"/>
    <w:rsid w:val="00182D7F"/>
    <w:rsid w:val="00183A77"/>
    <w:rsid w:val="0018425F"/>
    <w:rsid w:val="00184D13"/>
    <w:rsid w:val="001854EB"/>
    <w:rsid w:val="00185A42"/>
    <w:rsid w:val="00185C55"/>
    <w:rsid w:val="001879D0"/>
    <w:rsid w:val="00190102"/>
    <w:rsid w:val="0019155B"/>
    <w:rsid w:val="00193894"/>
    <w:rsid w:val="00193E5B"/>
    <w:rsid w:val="001958DF"/>
    <w:rsid w:val="00195D7F"/>
    <w:rsid w:val="00195F45"/>
    <w:rsid w:val="00196C80"/>
    <w:rsid w:val="001A04A7"/>
    <w:rsid w:val="001A0EFC"/>
    <w:rsid w:val="001A2C3C"/>
    <w:rsid w:val="001A3CAE"/>
    <w:rsid w:val="001A4B2F"/>
    <w:rsid w:val="001A5D79"/>
    <w:rsid w:val="001A5DD9"/>
    <w:rsid w:val="001A628C"/>
    <w:rsid w:val="001A65FB"/>
    <w:rsid w:val="001A6AB3"/>
    <w:rsid w:val="001A74B8"/>
    <w:rsid w:val="001A795A"/>
    <w:rsid w:val="001A7A7C"/>
    <w:rsid w:val="001B0A07"/>
    <w:rsid w:val="001B0B0B"/>
    <w:rsid w:val="001B1ABB"/>
    <w:rsid w:val="001B3040"/>
    <w:rsid w:val="001B37AD"/>
    <w:rsid w:val="001B3A23"/>
    <w:rsid w:val="001B3A8C"/>
    <w:rsid w:val="001B3AC6"/>
    <w:rsid w:val="001B4A84"/>
    <w:rsid w:val="001B4C8E"/>
    <w:rsid w:val="001B5E6E"/>
    <w:rsid w:val="001C04F5"/>
    <w:rsid w:val="001C1181"/>
    <w:rsid w:val="001C1B9A"/>
    <w:rsid w:val="001C247A"/>
    <w:rsid w:val="001C345B"/>
    <w:rsid w:val="001C3E74"/>
    <w:rsid w:val="001C62C2"/>
    <w:rsid w:val="001C74C8"/>
    <w:rsid w:val="001D09EC"/>
    <w:rsid w:val="001D0C2E"/>
    <w:rsid w:val="001D1061"/>
    <w:rsid w:val="001D187F"/>
    <w:rsid w:val="001D1AB5"/>
    <w:rsid w:val="001D25A1"/>
    <w:rsid w:val="001D4C6E"/>
    <w:rsid w:val="001D56C8"/>
    <w:rsid w:val="001D5C4A"/>
    <w:rsid w:val="001D6217"/>
    <w:rsid w:val="001D7885"/>
    <w:rsid w:val="001E18E8"/>
    <w:rsid w:val="001E1AC2"/>
    <w:rsid w:val="001E1D5E"/>
    <w:rsid w:val="001E21FA"/>
    <w:rsid w:val="001E3CBC"/>
    <w:rsid w:val="001E3E8F"/>
    <w:rsid w:val="001E501A"/>
    <w:rsid w:val="001E53B5"/>
    <w:rsid w:val="001E542B"/>
    <w:rsid w:val="001E57DC"/>
    <w:rsid w:val="001E654F"/>
    <w:rsid w:val="001E6605"/>
    <w:rsid w:val="001E6D72"/>
    <w:rsid w:val="001E7433"/>
    <w:rsid w:val="001E7EB7"/>
    <w:rsid w:val="001F0E53"/>
    <w:rsid w:val="001F283E"/>
    <w:rsid w:val="001F46EE"/>
    <w:rsid w:val="001F63A9"/>
    <w:rsid w:val="001F6CC9"/>
    <w:rsid w:val="00201565"/>
    <w:rsid w:val="00201CAD"/>
    <w:rsid w:val="002034CB"/>
    <w:rsid w:val="00204606"/>
    <w:rsid w:val="00207222"/>
    <w:rsid w:val="002108C3"/>
    <w:rsid w:val="002133E8"/>
    <w:rsid w:val="00213CD2"/>
    <w:rsid w:val="00215C33"/>
    <w:rsid w:val="00215FD7"/>
    <w:rsid w:val="00216D58"/>
    <w:rsid w:val="002176AD"/>
    <w:rsid w:val="002204EE"/>
    <w:rsid w:val="00223E7F"/>
    <w:rsid w:val="002248C9"/>
    <w:rsid w:val="00224AAA"/>
    <w:rsid w:val="00224F07"/>
    <w:rsid w:val="00226F51"/>
    <w:rsid w:val="002270AE"/>
    <w:rsid w:val="002277FE"/>
    <w:rsid w:val="002301F8"/>
    <w:rsid w:val="0023049C"/>
    <w:rsid w:val="002304BB"/>
    <w:rsid w:val="00231735"/>
    <w:rsid w:val="00231878"/>
    <w:rsid w:val="00231F8D"/>
    <w:rsid w:val="00232406"/>
    <w:rsid w:val="002324BF"/>
    <w:rsid w:val="002327A8"/>
    <w:rsid w:val="0023344A"/>
    <w:rsid w:val="002339FD"/>
    <w:rsid w:val="002345E7"/>
    <w:rsid w:val="00234945"/>
    <w:rsid w:val="00236E16"/>
    <w:rsid w:val="002373A0"/>
    <w:rsid w:val="00237598"/>
    <w:rsid w:val="00237B9C"/>
    <w:rsid w:val="002401BD"/>
    <w:rsid w:val="00240CD9"/>
    <w:rsid w:val="002425CC"/>
    <w:rsid w:val="002426EC"/>
    <w:rsid w:val="002448B1"/>
    <w:rsid w:val="00246BBF"/>
    <w:rsid w:val="0024728E"/>
    <w:rsid w:val="00247AB9"/>
    <w:rsid w:val="0025033C"/>
    <w:rsid w:val="00251156"/>
    <w:rsid w:val="00252AB5"/>
    <w:rsid w:val="00253A9E"/>
    <w:rsid w:val="002545EF"/>
    <w:rsid w:val="0025615D"/>
    <w:rsid w:val="00256DD5"/>
    <w:rsid w:val="002573EB"/>
    <w:rsid w:val="002602B2"/>
    <w:rsid w:val="0026283E"/>
    <w:rsid w:val="0026293D"/>
    <w:rsid w:val="00263522"/>
    <w:rsid w:val="002651BE"/>
    <w:rsid w:val="00265280"/>
    <w:rsid w:val="00265727"/>
    <w:rsid w:val="00265BB5"/>
    <w:rsid w:val="00265EE0"/>
    <w:rsid w:val="00266F04"/>
    <w:rsid w:val="00267119"/>
    <w:rsid w:val="00267C57"/>
    <w:rsid w:val="002712F4"/>
    <w:rsid w:val="00272A81"/>
    <w:rsid w:val="0027346C"/>
    <w:rsid w:val="00273E7E"/>
    <w:rsid w:val="0027480E"/>
    <w:rsid w:val="00276A95"/>
    <w:rsid w:val="00277031"/>
    <w:rsid w:val="00281CDB"/>
    <w:rsid w:val="00283E2D"/>
    <w:rsid w:val="002842BD"/>
    <w:rsid w:val="00284696"/>
    <w:rsid w:val="0028484D"/>
    <w:rsid w:val="00286797"/>
    <w:rsid w:val="00291035"/>
    <w:rsid w:val="002912B7"/>
    <w:rsid w:val="00291E5B"/>
    <w:rsid w:val="0029248B"/>
    <w:rsid w:val="00292C26"/>
    <w:rsid w:val="00294FB8"/>
    <w:rsid w:val="00295876"/>
    <w:rsid w:val="002972C4"/>
    <w:rsid w:val="002979E6"/>
    <w:rsid w:val="002A1100"/>
    <w:rsid w:val="002A1644"/>
    <w:rsid w:val="002A1AF5"/>
    <w:rsid w:val="002A3BC5"/>
    <w:rsid w:val="002A3C5B"/>
    <w:rsid w:val="002A48BF"/>
    <w:rsid w:val="002A5A60"/>
    <w:rsid w:val="002A676F"/>
    <w:rsid w:val="002A6A32"/>
    <w:rsid w:val="002A6D5B"/>
    <w:rsid w:val="002A76A8"/>
    <w:rsid w:val="002B0F4B"/>
    <w:rsid w:val="002B148C"/>
    <w:rsid w:val="002B1859"/>
    <w:rsid w:val="002B1971"/>
    <w:rsid w:val="002B2865"/>
    <w:rsid w:val="002B35F9"/>
    <w:rsid w:val="002B437B"/>
    <w:rsid w:val="002B55BA"/>
    <w:rsid w:val="002B5DE1"/>
    <w:rsid w:val="002B6B4A"/>
    <w:rsid w:val="002C2295"/>
    <w:rsid w:val="002C2F0E"/>
    <w:rsid w:val="002C3DA0"/>
    <w:rsid w:val="002C4AA0"/>
    <w:rsid w:val="002C4FFF"/>
    <w:rsid w:val="002C557A"/>
    <w:rsid w:val="002C5EE2"/>
    <w:rsid w:val="002C7408"/>
    <w:rsid w:val="002D0365"/>
    <w:rsid w:val="002D06B9"/>
    <w:rsid w:val="002D1D0D"/>
    <w:rsid w:val="002D2057"/>
    <w:rsid w:val="002D53BF"/>
    <w:rsid w:val="002D5430"/>
    <w:rsid w:val="002D6EE7"/>
    <w:rsid w:val="002E054A"/>
    <w:rsid w:val="002E0696"/>
    <w:rsid w:val="002E1AD0"/>
    <w:rsid w:val="002E5426"/>
    <w:rsid w:val="002E60DE"/>
    <w:rsid w:val="002E644C"/>
    <w:rsid w:val="002E6E05"/>
    <w:rsid w:val="002E7F70"/>
    <w:rsid w:val="002F0356"/>
    <w:rsid w:val="002F07E2"/>
    <w:rsid w:val="002F3B55"/>
    <w:rsid w:val="002F3D79"/>
    <w:rsid w:val="002F42BD"/>
    <w:rsid w:val="002F4BBF"/>
    <w:rsid w:val="002F7926"/>
    <w:rsid w:val="002F7DC9"/>
    <w:rsid w:val="002F7DD8"/>
    <w:rsid w:val="0030169B"/>
    <w:rsid w:val="00301A58"/>
    <w:rsid w:val="003038F1"/>
    <w:rsid w:val="00303E1A"/>
    <w:rsid w:val="003041AA"/>
    <w:rsid w:val="003041D9"/>
    <w:rsid w:val="003042A9"/>
    <w:rsid w:val="0030488A"/>
    <w:rsid w:val="00306A6E"/>
    <w:rsid w:val="00306AE0"/>
    <w:rsid w:val="00306C83"/>
    <w:rsid w:val="0030702B"/>
    <w:rsid w:val="00307B6F"/>
    <w:rsid w:val="00307BDC"/>
    <w:rsid w:val="003105BF"/>
    <w:rsid w:val="00311FD2"/>
    <w:rsid w:val="0031273D"/>
    <w:rsid w:val="0031278C"/>
    <w:rsid w:val="0031390A"/>
    <w:rsid w:val="00313CD7"/>
    <w:rsid w:val="003140D2"/>
    <w:rsid w:val="00314271"/>
    <w:rsid w:val="00314BF4"/>
    <w:rsid w:val="00315061"/>
    <w:rsid w:val="00316220"/>
    <w:rsid w:val="0031661C"/>
    <w:rsid w:val="003167B6"/>
    <w:rsid w:val="0031697B"/>
    <w:rsid w:val="00317CF9"/>
    <w:rsid w:val="00320D5C"/>
    <w:rsid w:val="00320F9D"/>
    <w:rsid w:val="0032113B"/>
    <w:rsid w:val="003235B9"/>
    <w:rsid w:val="003237A6"/>
    <w:rsid w:val="00324C45"/>
    <w:rsid w:val="0032662C"/>
    <w:rsid w:val="0032673E"/>
    <w:rsid w:val="003277EA"/>
    <w:rsid w:val="00327A0A"/>
    <w:rsid w:val="00327C24"/>
    <w:rsid w:val="00331436"/>
    <w:rsid w:val="003317BE"/>
    <w:rsid w:val="003320C2"/>
    <w:rsid w:val="00333B4F"/>
    <w:rsid w:val="00334526"/>
    <w:rsid w:val="0033482E"/>
    <w:rsid w:val="003349F3"/>
    <w:rsid w:val="003368CB"/>
    <w:rsid w:val="0033725A"/>
    <w:rsid w:val="00337D4C"/>
    <w:rsid w:val="003400B3"/>
    <w:rsid w:val="00340B05"/>
    <w:rsid w:val="003411DC"/>
    <w:rsid w:val="00341481"/>
    <w:rsid w:val="00342FDA"/>
    <w:rsid w:val="00343156"/>
    <w:rsid w:val="003441F0"/>
    <w:rsid w:val="003451DC"/>
    <w:rsid w:val="00346AAE"/>
    <w:rsid w:val="00347C60"/>
    <w:rsid w:val="00350F61"/>
    <w:rsid w:val="00352068"/>
    <w:rsid w:val="00352980"/>
    <w:rsid w:val="003536AD"/>
    <w:rsid w:val="003545D6"/>
    <w:rsid w:val="00355878"/>
    <w:rsid w:val="00355E99"/>
    <w:rsid w:val="00356121"/>
    <w:rsid w:val="003566EA"/>
    <w:rsid w:val="00357B08"/>
    <w:rsid w:val="00360B08"/>
    <w:rsid w:val="0036130F"/>
    <w:rsid w:val="0036195C"/>
    <w:rsid w:val="00362B2A"/>
    <w:rsid w:val="00363D11"/>
    <w:rsid w:val="00364C86"/>
    <w:rsid w:val="003658D9"/>
    <w:rsid w:val="00366157"/>
    <w:rsid w:val="0036758C"/>
    <w:rsid w:val="00367A02"/>
    <w:rsid w:val="00367E85"/>
    <w:rsid w:val="00370878"/>
    <w:rsid w:val="003726F0"/>
    <w:rsid w:val="00373990"/>
    <w:rsid w:val="00374ECC"/>
    <w:rsid w:val="003761D1"/>
    <w:rsid w:val="00376341"/>
    <w:rsid w:val="00376D15"/>
    <w:rsid w:val="003775F0"/>
    <w:rsid w:val="003775FE"/>
    <w:rsid w:val="0038042A"/>
    <w:rsid w:val="00380577"/>
    <w:rsid w:val="0038100D"/>
    <w:rsid w:val="00381E48"/>
    <w:rsid w:val="00382F4A"/>
    <w:rsid w:val="00383513"/>
    <w:rsid w:val="00383CE8"/>
    <w:rsid w:val="003851B0"/>
    <w:rsid w:val="003851B4"/>
    <w:rsid w:val="00386EEB"/>
    <w:rsid w:val="003871B1"/>
    <w:rsid w:val="00391575"/>
    <w:rsid w:val="00392474"/>
    <w:rsid w:val="00393049"/>
    <w:rsid w:val="003939A3"/>
    <w:rsid w:val="003939BE"/>
    <w:rsid w:val="003949AD"/>
    <w:rsid w:val="00395CB0"/>
    <w:rsid w:val="00396ACE"/>
    <w:rsid w:val="00397849"/>
    <w:rsid w:val="00397996"/>
    <w:rsid w:val="003A06FE"/>
    <w:rsid w:val="003A10A2"/>
    <w:rsid w:val="003A1251"/>
    <w:rsid w:val="003A12C9"/>
    <w:rsid w:val="003A281E"/>
    <w:rsid w:val="003A3210"/>
    <w:rsid w:val="003A33D7"/>
    <w:rsid w:val="003A45DA"/>
    <w:rsid w:val="003A496B"/>
    <w:rsid w:val="003A67D1"/>
    <w:rsid w:val="003A7E53"/>
    <w:rsid w:val="003B1212"/>
    <w:rsid w:val="003B2288"/>
    <w:rsid w:val="003B32C1"/>
    <w:rsid w:val="003B3B7C"/>
    <w:rsid w:val="003B5487"/>
    <w:rsid w:val="003B5887"/>
    <w:rsid w:val="003B62A8"/>
    <w:rsid w:val="003B744E"/>
    <w:rsid w:val="003B765C"/>
    <w:rsid w:val="003C059D"/>
    <w:rsid w:val="003C2581"/>
    <w:rsid w:val="003C2925"/>
    <w:rsid w:val="003C305C"/>
    <w:rsid w:val="003C491C"/>
    <w:rsid w:val="003C50EF"/>
    <w:rsid w:val="003C63CE"/>
    <w:rsid w:val="003C6598"/>
    <w:rsid w:val="003C72BA"/>
    <w:rsid w:val="003C7BB7"/>
    <w:rsid w:val="003D05BD"/>
    <w:rsid w:val="003D0B73"/>
    <w:rsid w:val="003D1EF1"/>
    <w:rsid w:val="003D2C00"/>
    <w:rsid w:val="003D3BE2"/>
    <w:rsid w:val="003D436D"/>
    <w:rsid w:val="003D70C2"/>
    <w:rsid w:val="003D78E7"/>
    <w:rsid w:val="003D7C7A"/>
    <w:rsid w:val="003D7E0C"/>
    <w:rsid w:val="003E0486"/>
    <w:rsid w:val="003E064B"/>
    <w:rsid w:val="003E1589"/>
    <w:rsid w:val="003E2609"/>
    <w:rsid w:val="003E35BA"/>
    <w:rsid w:val="003E3A70"/>
    <w:rsid w:val="003E4826"/>
    <w:rsid w:val="003E4EC0"/>
    <w:rsid w:val="003E5EB0"/>
    <w:rsid w:val="003E6539"/>
    <w:rsid w:val="003E6CEC"/>
    <w:rsid w:val="003E7505"/>
    <w:rsid w:val="003E7B89"/>
    <w:rsid w:val="003F008D"/>
    <w:rsid w:val="003F08B3"/>
    <w:rsid w:val="003F1A0C"/>
    <w:rsid w:val="003F355D"/>
    <w:rsid w:val="003F5A10"/>
    <w:rsid w:val="003F6CC1"/>
    <w:rsid w:val="003F6D48"/>
    <w:rsid w:val="003F716E"/>
    <w:rsid w:val="00400248"/>
    <w:rsid w:val="00401A03"/>
    <w:rsid w:val="00401F18"/>
    <w:rsid w:val="004027C9"/>
    <w:rsid w:val="00403542"/>
    <w:rsid w:val="00403857"/>
    <w:rsid w:val="00404080"/>
    <w:rsid w:val="004055F6"/>
    <w:rsid w:val="00405BE0"/>
    <w:rsid w:val="004066E5"/>
    <w:rsid w:val="00406A5F"/>
    <w:rsid w:val="00407845"/>
    <w:rsid w:val="00410D3F"/>
    <w:rsid w:val="00414863"/>
    <w:rsid w:val="0041519C"/>
    <w:rsid w:val="004151F7"/>
    <w:rsid w:val="0041547C"/>
    <w:rsid w:val="004161A4"/>
    <w:rsid w:val="004169CF"/>
    <w:rsid w:val="00416B8C"/>
    <w:rsid w:val="00416EDD"/>
    <w:rsid w:val="0041727A"/>
    <w:rsid w:val="0042161D"/>
    <w:rsid w:val="00421FC4"/>
    <w:rsid w:val="00424FE9"/>
    <w:rsid w:val="00425413"/>
    <w:rsid w:val="00426912"/>
    <w:rsid w:val="00426E6C"/>
    <w:rsid w:val="00426E99"/>
    <w:rsid w:val="00430E3D"/>
    <w:rsid w:val="004317CE"/>
    <w:rsid w:val="00432CB5"/>
    <w:rsid w:val="0043346E"/>
    <w:rsid w:val="0043395F"/>
    <w:rsid w:val="00434974"/>
    <w:rsid w:val="00435FFD"/>
    <w:rsid w:val="00440974"/>
    <w:rsid w:val="00441056"/>
    <w:rsid w:val="004422F9"/>
    <w:rsid w:val="004427E3"/>
    <w:rsid w:val="00442F0D"/>
    <w:rsid w:val="00443455"/>
    <w:rsid w:val="00443686"/>
    <w:rsid w:val="00443F5C"/>
    <w:rsid w:val="004444CD"/>
    <w:rsid w:val="0044472C"/>
    <w:rsid w:val="00444D1B"/>
    <w:rsid w:val="004450D9"/>
    <w:rsid w:val="00445850"/>
    <w:rsid w:val="00445CA0"/>
    <w:rsid w:val="00447292"/>
    <w:rsid w:val="00447771"/>
    <w:rsid w:val="004500F8"/>
    <w:rsid w:val="0045197F"/>
    <w:rsid w:val="00451E7E"/>
    <w:rsid w:val="00452C3B"/>
    <w:rsid w:val="00452F21"/>
    <w:rsid w:val="00453EE2"/>
    <w:rsid w:val="00457892"/>
    <w:rsid w:val="004607C7"/>
    <w:rsid w:val="00460BA6"/>
    <w:rsid w:val="00460E9C"/>
    <w:rsid w:val="00460F2B"/>
    <w:rsid w:val="00461093"/>
    <w:rsid w:val="004619A2"/>
    <w:rsid w:val="00461D75"/>
    <w:rsid w:val="00462178"/>
    <w:rsid w:val="0046243C"/>
    <w:rsid w:val="00462FBC"/>
    <w:rsid w:val="0046318B"/>
    <w:rsid w:val="00464015"/>
    <w:rsid w:val="00465F91"/>
    <w:rsid w:val="00466ECC"/>
    <w:rsid w:val="00467434"/>
    <w:rsid w:val="00470E08"/>
    <w:rsid w:val="0047179D"/>
    <w:rsid w:val="004718B9"/>
    <w:rsid w:val="00471B0E"/>
    <w:rsid w:val="004727EF"/>
    <w:rsid w:val="00474F57"/>
    <w:rsid w:val="00474FD2"/>
    <w:rsid w:val="00477E06"/>
    <w:rsid w:val="0048002B"/>
    <w:rsid w:val="004802AE"/>
    <w:rsid w:val="00480483"/>
    <w:rsid w:val="004809B5"/>
    <w:rsid w:val="00480EC4"/>
    <w:rsid w:val="004907C0"/>
    <w:rsid w:val="00491028"/>
    <w:rsid w:val="0049294F"/>
    <w:rsid w:val="00492A70"/>
    <w:rsid w:val="00492D0A"/>
    <w:rsid w:val="004936FF"/>
    <w:rsid w:val="00493A75"/>
    <w:rsid w:val="00496154"/>
    <w:rsid w:val="00496B39"/>
    <w:rsid w:val="004A03F2"/>
    <w:rsid w:val="004A21C4"/>
    <w:rsid w:val="004A3CA2"/>
    <w:rsid w:val="004A3F10"/>
    <w:rsid w:val="004A42BA"/>
    <w:rsid w:val="004A472D"/>
    <w:rsid w:val="004A5E50"/>
    <w:rsid w:val="004A6BF1"/>
    <w:rsid w:val="004B04B6"/>
    <w:rsid w:val="004B057F"/>
    <w:rsid w:val="004B28DA"/>
    <w:rsid w:val="004B2A4A"/>
    <w:rsid w:val="004B2C32"/>
    <w:rsid w:val="004B2DB6"/>
    <w:rsid w:val="004B3033"/>
    <w:rsid w:val="004B5AE6"/>
    <w:rsid w:val="004B64A8"/>
    <w:rsid w:val="004B6EF8"/>
    <w:rsid w:val="004C12A5"/>
    <w:rsid w:val="004C1822"/>
    <w:rsid w:val="004C1D0C"/>
    <w:rsid w:val="004C20ED"/>
    <w:rsid w:val="004C51D0"/>
    <w:rsid w:val="004C65B3"/>
    <w:rsid w:val="004D1678"/>
    <w:rsid w:val="004D17AD"/>
    <w:rsid w:val="004D18D3"/>
    <w:rsid w:val="004D29B7"/>
    <w:rsid w:val="004D2E6C"/>
    <w:rsid w:val="004D3BB9"/>
    <w:rsid w:val="004D5CD1"/>
    <w:rsid w:val="004D61B3"/>
    <w:rsid w:val="004D6EE7"/>
    <w:rsid w:val="004D7CD4"/>
    <w:rsid w:val="004E1EB3"/>
    <w:rsid w:val="004E20A8"/>
    <w:rsid w:val="004E28AC"/>
    <w:rsid w:val="004E2B47"/>
    <w:rsid w:val="004E2F08"/>
    <w:rsid w:val="004E37C3"/>
    <w:rsid w:val="004E382C"/>
    <w:rsid w:val="004E38A6"/>
    <w:rsid w:val="004E445F"/>
    <w:rsid w:val="004E4F92"/>
    <w:rsid w:val="004E557E"/>
    <w:rsid w:val="004E6588"/>
    <w:rsid w:val="004E6EA1"/>
    <w:rsid w:val="004F1C04"/>
    <w:rsid w:val="004F2784"/>
    <w:rsid w:val="004F296E"/>
    <w:rsid w:val="004F324C"/>
    <w:rsid w:val="004F383C"/>
    <w:rsid w:val="004F4CF4"/>
    <w:rsid w:val="004F5989"/>
    <w:rsid w:val="004F5CA8"/>
    <w:rsid w:val="004F6B77"/>
    <w:rsid w:val="004F754C"/>
    <w:rsid w:val="004F7A7E"/>
    <w:rsid w:val="0050014C"/>
    <w:rsid w:val="0050078E"/>
    <w:rsid w:val="00500BF6"/>
    <w:rsid w:val="00500CCA"/>
    <w:rsid w:val="0050144A"/>
    <w:rsid w:val="005028B1"/>
    <w:rsid w:val="00503266"/>
    <w:rsid w:val="00503B8D"/>
    <w:rsid w:val="005041D0"/>
    <w:rsid w:val="00505C56"/>
    <w:rsid w:val="00506DEA"/>
    <w:rsid w:val="00507E3E"/>
    <w:rsid w:val="00510E17"/>
    <w:rsid w:val="005110DF"/>
    <w:rsid w:val="00513374"/>
    <w:rsid w:val="00514B2A"/>
    <w:rsid w:val="00516B14"/>
    <w:rsid w:val="00517F52"/>
    <w:rsid w:val="00520062"/>
    <w:rsid w:val="005208A9"/>
    <w:rsid w:val="00520D65"/>
    <w:rsid w:val="0052348D"/>
    <w:rsid w:val="00523D11"/>
    <w:rsid w:val="00524FB4"/>
    <w:rsid w:val="0052537C"/>
    <w:rsid w:val="00526035"/>
    <w:rsid w:val="005273ED"/>
    <w:rsid w:val="005279A8"/>
    <w:rsid w:val="00531A51"/>
    <w:rsid w:val="005335A6"/>
    <w:rsid w:val="0053361A"/>
    <w:rsid w:val="0053390C"/>
    <w:rsid w:val="00535599"/>
    <w:rsid w:val="00535ABC"/>
    <w:rsid w:val="00536D2F"/>
    <w:rsid w:val="00536ECC"/>
    <w:rsid w:val="00536FC2"/>
    <w:rsid w:val="00537FDB"/>
    <w:rsid w:val="00541B2C"/>
    <w:rsid w:val="00542A5F"/>
    <w:rsid w:val="00542F64"/>
    <w:rsid w:val="0054339B"/>
    <w:rsid w:val="00543557"/>
    <w:rsid w:val="00543BBC"/>
    <w:rsid w:val="00543C49"/>
    <w:rsid w:val="00544194"/>
    <w:rsid w:val="005445AD"/>
    <w:rsid w:val="00545F6A"/>
    <w:rsid w:val="00546336"/>
    <w:rsid w:val="00546C7D"/>
    <w:rsid w:val="00550D1E"/>
    <w:rsid w:val="0055291B"/>
    <w:rsid w:val="00552C11"/>
    <w:rsid w:val="00552EE6"/>
    <w:rsid w:val="00553A2E"/>
    <w:rsid w:val="00553AE4"/>
    <w:rsid w:val="00553FB7"/>
    <w:rsid w:val="0055502B"/>
    <w:rsid w:val="0055789F"/>
    <w:rsid w:val="00557F8C"/>
    <w:rsid w:val="005608FA"/>
    <w:rsid w:val="00560984"/>
    <w:rsid w:val="00560C79"/>
    <w:rsid w:val="00562879"/>
    <w:rsid w:val="00562E2F"/>
    <w:rsid w:val="00564198"/>
    <w:rsid w:val="00564862"/>
    <w:rsid w:val="00566CF5"/>
    <w:rsid w:val="00567689"/>
    <w:rsid w:val="00567CCD"/>
    <w:rsid w:val="00567DFF"/>
    <w:rsid w:val="00571012"/>
    <w:rsid w:val="00571367"/>
    <w:rsid w:val="0057203B"/>
    <w:rsid w:val="0057469F"/>
    <w:rsid w:val="005756B2"/>
    <w:rsid w:val="00575FDE"/>
    <w:rsid w:val="00580B79"/>
    <w:rsid w:val="005810BD"/>
    <w:rsid w:val="00582F60"/>
    <w:rsid w:val="005833A1"/>
    <w:rsid w:val="005845CA"/>
    <w:rsid w:val="005854CE"/>
    <w:rsid w:val="00587B62"/>
    <w:rsid w:val="005901A6"/>
    <w:rsid w:val="005904B1"/>
    <w:rsid w:val="00591274"/>
    <w:rsid w:val="00593BA2"/>
    <w:rsid w:val="005946D3"/>
    <w:rsid w:val="00596515"/>
    <w:rsid w:val="00596C37"/>
    <w:rsid w:val="00597315"/>
    <w:rsid w:val="0059768F"/>
    <w:rsid w:val="005A00C5"/>
    <w:rsid w:val="005A03B2"/>
    <w:rsid w:val="005A11FA"/>
    <w:rsid w:val="005A2647"/>
    <w:rsid w:val="005A4B30"/>
    <w:rsid w:val="005A5602"/>
    <w:rsid w:val="005A5FE2"/>
    <w:rsid w:val="005A64C4"/>
    <w:rsid w:val="005B07CD"/>
    <w:rsid w:val="005B0EA1"/>
    <w:rsid w:val="005B15AF"/>
    <w:rsid w:val="005B1770"/>
    <w:rsid w:val="005B25CB"/>
    <w:rsid w:val="005B40C5"/>
    <w:rsid w:val="005B4E4E"/>
    <w:rsid w:val="005B78EC"/>
    <w:rsid w:val="005C08D8"/>
    <w:rsid w:val="005C155D"/>
    <w:rsid w:val="005C22D8"/>
    <w:rsid w:val="005C3265"/>
    <w:rsid w:val="005C4321"/>
    <w:rsid w:val="005C4908"/>
    <w:rsid w:val="005C521D"/>
    <w:rsid w:val="005C7280"/>
    <w:rsid w:val="005D016B"/>
    <w:rsid w:val="005D07E9"/>
    <w:rsid w:val="005D0AB8"/>
    <w:rsid w:val="005D2711"/>
    <w:rsid w:val="005D2DC9"/>
    <w:rsid w:val="005D3271"/>
    <w:rsid w:val="005D5AF0"/>
    <w:rsid w:val="005D6A06"/>
    <w:rsid w:val="005D7AC1"/>
    <w:rsid w:val="005E068D"/>
    <w:rsid w:val="005E21CF"/>
    <w:rsid w:val="005E5445"/>
    <w:rsid w:val="005E55F9"/>
    <w:rsid w:val="005E67B1"/>
    <w:rsid w:val="005E6E18"/>
    <w:rsid w:val="005E6E60"/>
    <w:rsid w:val="005E7CEF"/>
    <w:rsid w:val="005E7DFA"/>
    <w:rsid w:val="005F09BD"/>
    <w:rsid w:val="005F0F8A"/>
    <w:rsid w:val="005F12DC"/>
    <w:rsid w:val="005F162F"/>
    <w:rsid w:val="005F1960"/>
    <w:rsid w:val="005F4315"/>
    <w:rsid w:val="005F4548"/>
    <w:rsid w:val="005F5F2E"/>
    <w:rsid w:val="005F6633"/>
    <w:rsid w:val="005F6BCE"/>
    <w:rsid w:val="005F6D2A"/>
    <w:rsid w:val="00600DE8"/>
    <w:rsid w:val="006026A2"/>
    <w:rsid w:val="00602732"/>
    <w:rsid w:val="00602AF1"/>
    <w:rsid w:val="00602FDE"/>
    <w:rsid w:val="00603200"/>
    <w:rsid w:val="00603740"/>
    <w:rsid w:val="006037AE"/>
    <w:rsid w:val="00603D9D"/>
    <w:rsid w:val="00603F9B"/>
    <w:rsid w:val="00605579"/>
    <w:rsid w:val="006067FF"/>
    <w:rsid w:val="00606C8C"/>
    <w:rsid w:val="00606FBF"/>
    <w:rsid w:val="006074D9"/>
    <w:rsid w:val="006102C9"/>
    <w:rsid w:val="00610C1E"/>
    <w:rsid w:val="006111BE"/>
    <w:rsid w:val="006121E8"/>
    <w:rsid w:val="00614444"/>
    <w:rsid w:val="006144FB"/>
    <w:rsid w:val="0061631A"/>
    <w:rsid w:val="00616F40"/>
    <w:rsid w:val="00616F53"/>
    <w:rsid w:val="0061714A"/>
    <w:rsid w:val="006178C3"/>
    <w:rsid w:val="00617B16"/>
    <w:rsid w:val="00617C3D"/>
    <w:rsid w:val="00620245"/>
    <w:rsid w:val="00623C02"/>
    <w:rsid w:val="00624F15"/>
    <w:rsid w:val="00625060"/>
    <w:rsid w:val="00625E9E"/>
    <w:rsid w:val="0062609C"/>
    <w:rsid w:val="00626FF8"/>
    <w:rsid w:val="0062721E"/>
    <w:rsid w:val="0063024A"/>
    <w:rsid w:val="00630803"/>
    <w:rsid w:val="00633327"/>
    <w:rsid w:val="0063378D"/>
    <w:rsid w:val="00633B2C"/>
    <w:rsid w:val="00633D29"/>
    <w:rsid w:val="00634DC0"/>
    <w:rsid w:val="0063514F"/>
    <w:rsid w:val="006354F2"/>
    <w:rsid w:val="00635BD4"/>
    <w:rsid w:val="0063741A"/>
    <w:rsid w:val="00637487"/>
    <w:rsid w:val="00637F86"/>
    <w:rsid w:val="00640087"/>
    <w:rsid w:val="006411F2"/>
    <w:rsid w:val="00641639"/>
    <w:rsid w:val="006426C8"/>
    <w:rsid w:val="006438AB"/>
    <w:rsid w:val="006439B5"/>
    <w:rsid w:val="00646049"/>
    <w:rsid w:val="006460F3"/>
    <w:rsid w:val="00647090"/>
    <w:rsid w:val="006470B6"/>
    <w:rsid w:val="00647CAB"/>
    <w:rsid w:val="00647FDA"/>
    <w:rsid w:val="0065017E"/>
    <w:rsid w:val="00650FAD"/>
    <w:rsid w:val="00652CD9"/>
    <w:rsid w:val="006532CA"/>
    <w:rsid w:val="00653F24"/>
    <w:rsid w:val="0065484F"/>
    <w:rsid w:val="006602D6"/>
    <w:rsid w:val="00660510"/>
    <w:rsid w:val="006616CE"/>
    <w:rsid w:val="0066375A"/>
    <w:rsid w:val="006641E3"/>
    <w:rsid w:val="0066421B"/>
    <w:rsid w:val="00664440"/>
    <w:rsid w:val="00664C77"/>
    <w:rsid w:val="00665634"/>
    <w:rsid w:val="00666140"/>
    <w:rsid w:val="00667B9F"/>
    <w:rsid w:val="006704F6"/>
    <w:rsid w:val="006719ED"/>
    <w:rsid w:val="0067238C"/>
    <w:rsid w:val="00673198"/>
    <w:rsid w:val="0067351B"/>
    <w:rsid w:val="006759B9"/>
    <w:rsid w:val="00675CA0"/>
    <w:rsid w:val="00675D54"/>
    <w:rsid w:val="00680797"/>
    <w:rsid w:val="006810AD"/>
    <w:rsid w:val="00681CCE"/>
    <w:rsid w:val="006826DF"/>
    <w:rsid w:val="006829DE"/>
    <w:rsid w:val="006858C8"/>
    <w:rsid w:val="00685D69"/>
    <w:rsid w:val="00687B2F"/>
    <w:rsid w:val="006904FC"/>
    <w:rsid w:val="00690B70"/>
    <w:rsid w:val="00691E17"/>
    <w:rsid w:val="006928D4"/>
    <w:rsid w:val="00693C96"/>
    <w:rsid w:val="00695674"/>
    <w:rsid w:val="0069590A"/>
    <w:rsid w:val="00697055"/>
    <w:rsid w:val="0069713C"/>
    <w:rsid w:val="006A01EB"/>
    <w:rsid w:val="006A1351"/>
    <w:rsid w:val="006A282E"/>
    <w:rsid w:val="006A6306"/>
    <w:rsid w:val="006A691A"/>
    <w:rsid w:val="006A7E30"/>
    <w:rsid w:val="006B0C2E"/>
    <w:rsid w:val="006B15B6"/>
    <w:rsid w:val="006B19EA"/>
    <w:rsid w:val="006B24E9"/>
    <w:rsid w:val="006B40B4"/>
    <w:rsid w:val="006B4F27"/>
    <w:rsid w:val="006B54CB"/>
    <w:rsid w:val="006B58C4"/>
    <w:rsid w:val="006B63BB"/>
    <w:rsid w:val="006B6E09"/>
    <w:rsid w:val="006B6E79"/>
    <w:rsid w:val="006B7250"/>
    <w:rsid w:val="006B7943"/>
    <w:rsid w:val="006C06B6"/>
    <w:rsid w:val="006C0709"/>
    <w:rsid w:val="006C2798"/>
    <w:rsid w:val="006C2A67"/>
    <w:rsid w:val="006C2B84"/>
    <w:rsid w:val="006C2CE9"/>
    <w:rsid w:val="006C54EF"/>
    <w:rsid w:val="006C5BBE"/>
    <w:rsid w:val="006C62F2"/>
    <w:rsid w:val="006C6521"/>
    <w:rsid w:val="006C6733"/>
    <w:rsid w:val="006C6D94"/>
    <w:rsid w:val="006D0CB5"/>
    <w:rsid w:val="006D1E75"/>
    <w:rsid w:val="006D22AF"/>
    <w:rsid w:val="006D4DCD"/>
    <w:rsid w:val="006D66D5"/>
    <w:rsid w:val="006D7454"/>
    <w:rsid w:val="006D7568"/>
    <w:rsid w:val="006E0828"/>
    <w:rsid w:val="006E0B2D"/>
    <w:rsid w:val="006E1289"/>
    <w:rsid w:val="006E1592"/>
    <w:rsid w:val="006E1919"/>
    <w:rsid w:val="006E2110"/>
    <w:rsid w:val="006E442E"/>
    <w:rsid w:val="006E6D6C"/>
    <w:rsid w:val="006E7E3C"/>
    <w:rsid w:val="006F026D"/>
    <w:rsid w:val="006F1B6F"/>
    <w:rsid w:val="006F3148"/>
    <w:rsid w:val="006F4363"/>
    <w:rsid w:val="006F449A"/>
    <w:rsid w:val="006F5575"/>
    <w:rsid w:val="006F5E2A"/>
    <w:rsid w:val="006F5E2B"/>
    <w:rsid w:val="006F6380"/>
    <w:rsid w:val="0070115C"/>
    <w:rsid w:val="0070139E"/>
    <w:rsid w:val="00701F7C"/>
    <w:rsid w:val="0070425C"/>
    <w:rsid w:val="00705D6A"/>
    <w:rsid w:val="00706FCE"/>
    <w:rsid w:val="007104BA"/>
    <w:rsid w:val="007123F8"/>
    <w:rsid w:val="00712C9C"/>
    <w:rsid w:val="007140EF"/>
    <w:rsid w:val="0071532D"/>
    <w:rsid w:val="00717211"/>
    <w:rsid w:val="007172B8"/>
    <w:rsid w:val="007172D4"/>
    <w:rsid w:val="00717EF1"/>
    <w:rsid w:val="00725D7D"/>
    <w:rsid w:val="00731055"/>
    <w:rsid w:val="00732BC2"/>
    <w:rsid w:val="00733A8B"/>
    <w:rsid w:val="0073514E"/>
    <w:rsid w:val="00736298"/>
    <w:rsid w:val="00737A92"/>
    <w:rsid w:val="00740FDD"/>
    <w:rsid w:val="00743218"/>
    <w:rsid w:val="0074362E"/>
    <w:rsid w:val="00745007"/>
    <w:rsid w:val="00745767"/>
    <w:rsid w:val="007458A1"/>
    <w:rsid w:val="00745982"/>
    <w:rsid w:val="00746C50"/>
    <w:rsid w:val="00747C89"/>
    <w:rsid w:val="007508AE"/>
    <w:rsid w:val="007510EF"/>
    <w:rsid w:val="00751AD5"/>
    <w:rsid w:val="00751C51"/>
    <w:rsid w:val="007537E3"/>
    <w:rsid w:val="0075580C"/>
    <w:rsid w:val="00755FFA"/>
    <w:rsid w:val="0075629E"/>
    <w:rsid w:val="0075671B"/>
    <w:rsid w:val="00757AA8"/>
    <w:rsid w:val="007617D1"/>
    <w:rsid w:val="007618A3"/>
    <w:rsid w:val="00763438"/>
    <w:rsid w:val="0076542D"/>
    <w:rsid w:val="00765D8A"/>
    <w:rsid w:val="00766D18"/>
    <w:rsid w:val="007670CA"/>
    <w:rsid w:val="00767359"/>
    <w:rsid w:val="00767D35"/>
    <w:rsid w:val="00767FFE"/>
    <w:rsid w:val="00770175"/>
    <w:rsid w:val="0077067B"/>
    <w:rsid w:val="00770BF3"/>
    <w:rsid w:val="007713CC"/>
    <w:rsid w:val="00771BB3"/>
    <w:rsid w:val="00772E00"/>
    <w:rsid w:val="00772FC1"/>
    <w:rsid w:val="007738EC"/>
    <w:rsid w:val="00774559"/>
    <w:rsid w:val="00775281"/>
    <w:rsid w:val="00775945"/>
    <w:rsid w:val="007759DB"/>
    <w:rsid w:val="00776550"/>
    <w:rsid w:val="00776F09"/>
    <w:rsid w:val="00777EB6"/>
    <w:rsid w:val="00780446"/>
    <w:rsid w:val="00780B93"/>
    <w:rsid w:val="00781E93"/>
    <w:rsid w:val="007823A3"/>
    <w:rsid w:val="00784AA7"/>
    <w:rsid w:val="00784E78"/>
    <w:rsid w:val="00786157"/>
    <w:rsid w:val="00786A70"/>
    <w:rsid w:val="007871E3"/>
    <w:rsid w:val="0078741D"/>
    <w:rsid w:val="0079047F"/>
    <w:rsid w:val="007904A9"/>
    <w:rsid w:val="00790C06"/>
    <w:rsid w:val="00791070"/>
    <w:rsid w:val="00793B7C"/>
    <w:rsid w:val="007940C2"/>
    <w:rsid w:val="007946EB"/>
    <w:rsid w:val="007951C3"/>
    <w:rsid w:val="0079579F"/>
    <w:rsid w:val="00795945"/>
    <w:rsid w:val="007A0498"/>
    <w:rsid w:val="007A182A"/>
    <w:rsid w:val="007A1AED"/>
    <w:rsid w:val="007A1B50"/>
    <w:rsid w:val="007A3A9A"/>
    <w:rsid w:val="007A5FF7"/>
    <w:rsid w:val="007A7673"/>
    <w:rsid w:val="007B0E50"/>
    <w:rsid w:val="007B1135"/>
    <w:rsid w:val="007B167E"/>
    <w:rsid w:val="007B169D"/>
    <w:rsid w:val="007B7468"/>
    <w:rsid w:val="007B7E35"/>
    <w:rsid w:val="007C010B"/>
    <w:rsid w:val="007C139F"/>
    <w:rsid w:val="007C142F"/>
    <w:rsid w:val="007C1A53"/>
    <w:rsid w:val="007C1DE2"/>
    <w:rsid w:val="007C4316"/>
    <w:rsid w:val="007C48C2"/>
    <w:rsid w:val="007C6D32"/>
    <w:rsid w:val="007C7C88"/>
    <w:rsid w:val="007D04F6"/>
    <w:rsid w:val="007D1270"/>
    <w:rsid w:val="007D14C3"/>
    <w:rsid w:val="007D2915"/>
    <w:rsid w:val="007D47E5"/>
    <w:rsid w:val="007D4E55"/>
    <w:rsid w:val="007D6581"/>
    <w:rsid w:val="007D67F8"/>
    <w:rsid w:val="007D6B75"/>
    <w:rsid w:val="007E16B9"/>
    <w:rsid w:val="007E1937"/>
    <w:rsid w:val="007E206E"/>
    <w:rsid w:val="007E223A"/>
    <w:rsid w:val="007E2722"/>
    <w:rsid w:val="007E3705"/>
    <w:rsid w:val="007E42CD"/>
    <w:rsid w:val="007E768E"/>
    <w:rsid w:val="007F0392"/>
    <w:rsid w:val="007F1007"/>
    <w:rsid w:val="007F170F"/>
    <w:rsid w:val="007F1F9D"/>
    <w:rsid w:val="007F3401"/>
    <w:rsid w:val="007F3A5B"/>
    <w:rsid w:val="007F3B20"/>
    <w:rsid w:val="007F3FCD"/>
    <w:rsid w:val="007F409A"/>
    <w:rsid w:val="007F4C32"/>
    <w:rsid w:val="007F65BD"/>
    <w:rsid w:val="00800764"/>
    <w:rsid w:val="00801158"/>
    <w:rsid w:val="008020FF"/>
    <w:rsid w:val="00802376"/>
    <w:rsid w:val="00804202"/>
    <w:rsid w:val="00804729"/>
    <w:rsid w:val="00804847"/>
    <w:rsid w:val="00804CDE"/>
    <w:rsid w:val="008050FA"/>
    <w:rsid w:val="00810851"/>
    <w:rsid w:val="0081087B"/>
    <w:rsid w:val="00810A5B"/>
    <w:rsid w:val="0081307D"/>
    <w:rsid w:val="00813F95"/>
    <w:rsid w:val="00817622"/>
    <w:rsid w:val="00817668"/>
    <w:rsid w:val="00817904"/>
    <w:rsid w:val="008214FC"/>
    <w:rsid w:val="008217C4"/>
    <w:rsid w:val="00821D86"/>
    <w:rsid w:val="00824332"/>
    <w:rsid w:val="00824F11"/>
    <w:rsid w:val="00824F3F"/>
    <w:rsid w:val="00825AF3"/>
    <w:rsid w:val="00825D1A"/>
    <w:rsid w:val="00826276"/>
    <w:rsid w:val="00826AE0"/>
    <w:rsid w:val="00826DBE"/>
    <w:rsid w:val="00827471"/>
    <w:rsid w:val="00830B62"/>
    <w:rsid w:val="00830F75"/>
    <w:rsid w:val="008318F4"/>
    <w:rsid w:val="00833937"/>
    <w:rsid w:val="00834A22"/>
    <w:rsid w:val="00835723"/>
    <w:rsid w:val="00835942"/>
    <w:rsid w:val="00835A01"/>
    <w:rsid w:val="00835B9F"/>
    <w:rsid w:val="00837898"/>
    <w:rsid w:val="00840075"/>
    <w:rsid w:val="0084073B"/>
    <w:rsid w:val="0084173F"/>
    <w:rsid w:val="0084389D"/>
    <w:rsid w:val="008442C5"/>
    <w:rsid w:val="008452CF"/>
    <w:rsid w:val="00850734"/>
    <w:rsid w:val="00850D09"/>
    <w:rsid w:val="00854B30"/>
    <w:rsid w:val="00856201"/>
    <w:rsid w:val="008564C7"/>
    <w:rsid w:val="00856E97"/>
    <w:rsid w:val="00857C74"/>
    <w:rsid w:val="0086025C"/>
    <w:rsid w:val="0086095C"/>
    <w:rsid w:val="0086225F"/>
    <w:rsid w:val="00862CD8"/>
    <w:rsid w:val="00864D8F"/>
    <w:rsid w:val="0086565E"/>
    <w:rsid w:val="00865F7D"/>
    <w:rsid w:val="0087052D"/>
    <w:rsid w:val="0087117A"/>
    <w:rsid w:val="0087135E"/>
    <w:rsid w:val="00872568"/>
    <w:rsid w:val="00872CB5"/>
    <w:rsid w:val="00874626"/>
    <w:rsid w:val="00876070"/>
    <w:rsid w:val="00876B6C"/>
    <w:rsid w:val="0087726C"/>
    <w:rsid w:val="00881204"/>
    <w:rsid w:val="00881480"/>
    <w:rsid w:val="00881735"/>
    <w:rsid w:val="00881A93"/>
    <w:rsid w:val="008823A2"/>
    <w:rsid w:val="008836FB"/>
    <w:rsid w:val="0088374A"/>
    <w:rsid w:val="0088414C"/>
    <w:rsid w:val="00886E4B"/>
    <w:rsid w:val="00886FF7"/>
    <w:rsid w:val="00890B0C"/>
    <w:rsid w:val="00893B3E"/>
    <w:rsid w:val="00893EE9"/>
    <w:rsid w:val="008947E9"/>
    <w:rsid w:val="008948DD"/>
    <w:rsid w:val="00894C99"/>
    <w:rsid w:val="008964DD"/>
    <w:rsid w:val="00896E23"/>
    <w:rsid w:val="008A0A4F"/>
    <w:rsid w:val="008A1185"/>
    <w:rsid w:val="008A12DB"/>
    <w:rsid w:val="008A4260"/>
    <w:rsid w:val="008A64A3"/>
    <w:rsid w:val="008B11A3"/>
    <w:rsid w:val="008B1750"/>
    <w:rsid w:val="008B18B2"/>
    <w:rsid w:val="008B22A9"/>
    <w:rsid w:val="008B36D9"/>
    <w:rsid w:val="008B4E3D"/>
    <w:rsid w:val="008B5048"/>
    <w:rsid w:val="008B535F"/>
    <w:rsid w:val="008B5687"/>
    <w:rsid w:val="008B5A60"/>
    <w:rsid w:val="008B68B8"/>
    <w:rsid w:val="008C0A7C"/>
    <w:rsid w:val="008C1135"/>
    <w:rsid w:val="008C1227"/>
    <w:rsid w:val="008C2C4B"/>
    <w:rsid w:val="008C2FA2"/>
    <w:rsid w:val="008C3A10"/>
    <w:rsid w:val="008C673E"/>
    <w:rsid w:val="008C6B59"/>
    <w:rsid w:val="008C6E8F"/>
    <w:rsid w:val="008C6EF4"/>
    <w:rsid w:val="008D0CE3"/>
    <w:rsid w:val="008D114E"/>
    <w:rsid w:val="008D1C59"/>
    <w:rsid w:val="008D3158"/>
    <w:rsid w:val="008D3E97"/>
    <w:rsid w:val="008D4A41"/>
    <w:rsid w:val="008D55EF"/>
    <w:rsid w:val="008D5645"/>
    <w:rsid w:val="008D5732"/>
    <w:rsid w:val="008D6601"/>
    <w:rsid w:val="008E00B1"/>
    <w:rsid w:val="008E05F6"/>
    <w:rsid w:val="008E0807"/>
    <w:rsid w:val="008E1029"/>
    <w:rsid w:val="008E36BA"/>
    <w:rsid w:val="008E375C"/>
    <w:rsid w:val="008E393B"/>
    <w:rsid w:val="008E3D3C"/>
    <w:rsid w:val="008E48DE"/>
    <w:rsid w:val="008E493F"/>
    <w:rsid w:val="008E6664"/>
    <w:rsid w:val="008E77F5"/>
    <w:rsid w:val="008F0CE9"/>
    <w:rsid w:val="008F1340"/>
    <w:rsid w:val="008F1A6D"/>
    <w:rsid w:val="008F1F44"/>
    <w:rsid w:val="008F2AC8"/>
    <w:rsid w:val="008F4A7F"/>
    <w:rsid w:val="008F51B0"/>
    <w:rsid w:val="008F7370"/>
    <w:rsid w:val="008F73EE"/>
    <w:rsid w:val="009007BA"/>
    <w:rsid w:val="0090338E"/>
    <w:rsid w:val="0090425D"/>
    <w:rsid w:val="00904990"/>
    <w:rsid w:val="00904FCA"/>
    <w:rsid w:val="009050CB"/>
    <w:rsid w:val="00906664"/>
    <w:rsid w:val="0090796C"/>
    <w:rsid w:val="00910577"/>
    <w:rsid w:val="00910D4D"/>
    <w:rsid w:val="009124D5"/>
    <w:rsid w:val="00912BFF"/>
    <w:rsid w:val="00913BA6"/>
    <w:rsid w:val="00913F3F"/>
    <w:rsid w:val="009147C6"/>
    <w:rsid w:val="009153C9"/>
    <w:rsid w:val="00917E5D"/>
    <w:rsid w:val="009208DB"/>
    <w:rsid w:val="00920DBE"/>
    <w:rsid w:val="00921681"/>
    <w:rsid w:val="00921C9E"/>
    <w:rsid w:val="0092200C"/>
    <w:rsid w:val="00922049"/>
    <w:rsid w:val="00922423"/>
    <w:rsid w:val="00922F71"/>
    <w:rsid w:val="00924910"/>
    <w:rsid w:val="00925B36"/>
    <w:rsid w:val="00927267"/>
    <w:rsid w:val="00930080"/>
    <w:rsid w:val="00930B53"/>
    <w:rsid w:val="00934221"/>
    <w:rsid w:val="009359E0"/>
    <w:rsid w:val="00935B0C"/>
    <w:rsid w:val="00937BDD"/>
    <w:rsid w:val="00940B34"/>
    <w:rsid w:val="00941769"/>
    <w:rsid w:val="00942651"/>
    <w:rsid w:val="00942B2A"/>
    <w:rsid w:val="009434AB"/>
    <w:rsid w:val="0094368D"/>
    <w:rsid w:val="00944A84"/>
    <w:rsid w:val="00945218"/>
    <w:rsid w:val="00945B13"/>
    <w:rsid w:val="009468A1"/>
    <w:rsid w:val="00946C4E"/>
    <w:rsid w:val="00946E44"/>
    <w:rsid w:val="00947AE3"/>
    <w:rsid w:val="00951362"/>
    <w:rsid w:val="00955F32"/>
    <w:rsid w:val="0095655C"/>
    <w:rsid w:val="009622D5"/>
    <w:rsid w:val="00966181"/>
    <w:rsid w:val="00966951"/>
    <w:rsid w:val="009677C9"/>
    <w:rsid w:val="00967B34"/>
    <w:rsid w:val="0097244A"/>
    <w:rsid w:val="00972669"/>
    <w:rsid w:val="00972A91"/>
    <w:rsid w:val="009737F3"/>
    <w:rsid w:val="009737FD"/>
    <w:rsid w:val="009741DB"/>
    <w:rsid w:val="009742C6"/>
    <w:rsid w:val="00976F5D"/>
    <w:rsid w:val="00977ED8"/>
    <w:rsid w:val="009815ED"/>
    <w:rsid w:val="009840E1"/>
    <w:rsid w:val="009866D9"/>
    <w:rsid w:val="009873F2"/>
    <w:rsid w:val="009878E1"/>
    <w:rsid w:val="00987C71"/>
    <w:rsid w:val="00991950"/>
    <w:rsid w:val="00991FDB"/>
    <w:rsid w:val="00994B8C"/>
    <w:rsid w:val="00994DE0"/>
    <w:rsid w:val="00996B7B"/>
    <w:rsid w:val="00996BFD"/>
    <w:rsid w:val="00996F83"/>
    <w:rsid w:val="00997EE6"/>
    <w:rsid w:val="009A0262"/>
    <w:rsid w:val="009A038B"/>
    <w:rsid w:val="009A05BD"/>
    <w:rsid w:val="009A0FC8"/>
    <w:rsid w:val="009A1427"/>
    <w:rsid w:val="009A1816"/>
    <w:rsid w:val="009A1CCE"/>
    <w:rsid w:val="009A1E77"/>
    <w:rsid w:val="009A2690"/>
    <w:rsid w:val="009A286C"/>
    <w:rsid w:val="009A2A76"/>
    <w:rsid w:val="009A348E"/>
    <w:rsid w:val="009A4420"/>
    <w:rsid w:val="009A442A"/>
    <w:rsid w:val="009A5E69"/>
    <w:rsid w:val="009B0E47"/>
    <w:rsid w:val="009B1BD7"/>
    <w:rsid w:val="009B2700"/>
    <w:rsid w:val="009B55F4"/>
    <w:rsid w:val="009B5EAC"/>
    <w:rsid w:val="009B60C7"/>
    <w:rsid w:val="009B7A39"/>
    <w:rsid w:val="009C0CAD"/>
    <w:rsid w:val="009C37FD"/>
    <w:rsid w:val="009C57B5"/>
    <w:rsid w:val="009C6183"/>
    <w:rsid w:val="009C727C"/>
    <w:rsid w:val="009C728D"/>
    <w:rsid w:val="009D0873"/>
    <w:rsid w:val="009D1BBB"/>
    <w:rsid w:val="009D4896"/>
    <w:rsid w:val="009D4F3B"/>
    <w:rsid w:val="009D5927"/>
    <w:rsid w:val="009D6462"/>
    <w:rsid w:val="009E04B6"/>
    <w:rsid w:val="009E0C94"/>
    <w:rsid w:val="009E1EE9"/>
    <w:rsid w:val="009E3380"/>
    <w:rsid w:val="009E598A"/>
    <w:rsid w:val="009E725D"/>
    <w:rsid w:val="009F06D3"/>
    <w:rsid w:val="009F1110"/>
    <w:rsid w:val="009F3733"/>
    <w:rsid w:val="009F5C99"/>
    <w:rsid w:val="009F6662"/>
    <w:rsid w:val="009F6CD5"/>
    <w:rsid w:val="009F70E6"/>
    <w:rsid w:val="009F7FC2"/>
    <w:rsid w:val="00A00083"/>
    <w:rsid w:val="00A006FA"/>
    <w:rsid w:val="00A0339C"/>
    <w:rsid w:val="00A04123"/>
    <w:rsid w:val="00A04548"/>
    <w:rsid w:val="00A055A3"/>
    <w:rsid w:val="00A06123"/>
    <w:rsid w:val="00A06DF7"/>
    <w:rsid w:val="00A06FCE"/>
    <w:rsid w:val="00A074B8"/>
    <w:rsid w:val="00A077DE"/>
    <w:rsid w:val="00A07CB6"/>
    <w:rsid w:val="00A11A85"/>
    <w:rsid w:val="00A126C7"/>
    <w:rsid w:val="00A12AB7"/>
    <w:rsid w:val="00A13906"/>
    <w:rsid w:val="00A14A24"/>
    <w:rsid w:val="00A14F4D"/>
    <w:rsid w:val="00A152AA"/>
    <w:rsid w:val="00A168E9"/>
    <w:rsid w:val="00A17B7C"/>
    <w:rsid w:val="00A205A4"/>
    <w:rsid w:val="00A2083E"/>
    <w:rsid w:val="00A20A9F"/>
    <w:rsid w:val="00A224E7"/>
    <w:rsid w:val="00A23209"/>
    <w:rsid w:val="00A23FDC"/>
    <w:rsid w:val="00A2470A"/>
    <w:rsid w:val="00A24854"/>
    <w:rsid w:val="00A26F96"/>
    <w:rsid w:val="00A2775A"/>
    <w:rsid w:val="00A31A33"/>
    <w:rsid w:val="00A330EA"/>
    <w:rsid w:val="00A345F9"/>
    <w:rsid w:val="00A3487C"/>
    <w:rsid w:val="00A34BE9"/>
    <w:rsid w:val="00A34D2E"/>
    <w:rsid w:val="00A35A14"/>
    <w:rsid w:val="00A36561"/>
    <w:rsid w:val="00A37DB6"/>
    <w:rsid w:val="00A4078F"/>
    <w:rsid w:val="00A42F97"/>
    <w:rsid w:val="00A43548"/>
    <w:rsid w:val="00A43F4E"/>
    <w:rsid w:val="00A444C1"/>
    <w:rsid w:val="00A450EB"/>
    <w:rsid w:val="00A45258"/>
    <w:rsid w:val="00A45878"/>
    <w:rsid w:val="00A46CEF"/>
    <w:rsid w:val="00A470C4"/>
    <w:rsid w:val="00A5050D"/>
    <w:rsid w:val="00A530DE"/>
    <w:rsid w:val="00A54DAF"/>
    <w:rsid w:val="00A56AF7"/>
    <w:rsid w:val="00A56DA0"/>
    <w:rsid w:val="00A579F8"/>
    <w:rsid w:val="00A60350"/>
    <w:rsid w:val="00A606A1"/>
    <w:rsid w:val="00A6141D"/>
    <w:rsid w:val="00A615AD"/>
    <w:rsid w:val="00A61F8B"/>
    <w:rsid w:val="00A633C6"/>
    <w:rsid w:val="00A63A97"/>
    <w:rsid w:val="00A63C10"/>
    <w:rsid w:val="00A63E7B"/>
    <w:rsid w:val="00A649FA"/>
    <w:rsid w:val="00A64A8E"/>
    <w:rsid w:val="00A65E09"/>
    <w:rsid w:val="00A67C47"/>
    <w:rsid w:val="00A70315"/>
    <w:rsid w:val="00A70C31"/>
    <w:rsid w:val="00A716F2"/>
    <w:rsid w:val="00A71B2E"/>
    <w:rsid w:val="00A72166"/>
    <w:rsid w:val="00A726FE"/>
    <w:rsid w:val="00A732C3"/>
    <w:rsid w:val="00A73A2D"/>
    <w:rsid w:val="00A7550F"/>
    <w:rsid w:val="00A75CD6"/>
    <w:rsid w:val="00A769B3"/>
    <w:rsid w:val="00A76DCD"/>
    <w:rsid w:val="00A80DCA"/>
    <w:rsid w:val="00A819B3"/>
    <w:rsid w:val="00A825E0"/>
    <w:rsid w:val="00A82671"/>
    <w:rsid w:val="00A8310E"/>
    <w:rsid w:val="00A83DD1"/>
    <w:rsid w:val="00A8404C"/>
    <w:rsid w:val="00A843D2"/>
    <w:rsid w:val="00A849A5"/>
    <w:rsid w:val="00A86C74"/>
    <w:rsid w:val="00A87125"/>
    <w:rsid w:val="00A87FE6"/>
    <w:rsid w:val="00A901A3"/>
    <w:rsid w:val="00A916B3"/>
    <w:rsid w:val="00A91C2C"/>
    <w:rsid w:val="00A91DE9"/>
    <w:rsid w:val="00A91E08"/>
    <w:rsid w:val="00A92813"/>
    <w:rsid w:val="00A935B1"/>
    <w:rsid w:val="00A935FB"/>
    <w:rsid w:val="00A9434B"/>
    <w:rsid w:val="00A9685F"/>
    <w:rsid w:val="00AA4E53"/>
    <w:rsid w:val="00AA5E49"/>
    <w:rsid w:val="00AA707D"/>
    <w:rsid w:val="00AB1C6B"/>
    <w:rsid w:val="00AB2B11"/>
    <w:rsid w:val="00AB3321"/>
    <w:rsid w:val="00AB3989"/>
    <w:rsid w:val="00AB5919"/>
    <w:rsid w:val="00AC0B96"/>
    <w:rsid w:val="00AC15A9"/>
    <w:rsid w:val="00AC16BC"/>
    <w:rsid w:val="00AC2657"/>
    <w:rsid w:val="00AC27EA"/>
    <w:rsid w:val="00AC288A"/>
    <w:rsid w:val="00AC2E23"/>
    <w:rsid w:val="00AC3EA7"/>
    <w:rsid w:val="00AC432C"/>
    <w:rsid w:val="00AC4528"/>
    <w:rsid w:val="00AC46D8"/>
    <w:rsid w:val="00AC4A9C"/>
    <w:rsid w:val="00AC581A"/>
    <w:rsid w:val="00AC6FB1"/>
    <w:rsid w:val="00AC7405"/>
    <w:rsid w:val="00AC7927"/>
    <w:rsid w:val="00AD0A4E"/>
    <w:rsid w:val="00AD15CB"/>
    <w:rsid w:val="00AD20EC"/>
    <w:rsid w:val="00AD24F8"/>
    <w:rsid w:val="00AD3EBA"/>
    <w:rsid w:val="00AD4FBC"/>
    <w:rsid w:val="00AD55C1"/>
    <w:rsid w:val="00AD5815"/>
    <w:rsid w:val="00AD611B"/>
    <w:rsid w:val="00AD64DD"/>
    <w:rsid w:val="00AD6993"/>
    <w:rsid w:val="00AD6CA1"/>
    <w:rsid w:val="00AD74FA"/>
    <w:rsid w:val="00AD7511"/>
    <w:rsid w:val="00AD7B22"/>
    <w:rsid w:val="00AE1CBD"/>
    <w:rsid w:val="00AE4253"/>
    <w:rsid w:val="00AE48DC"/>
    <w:rsid w:val="00AE5432"/>
    <w:rsid w:val="00AE65BD"/>
    <w:rsid w:val="00AE6C95"/>
    <w:rsid w:val="00AF043C"/>
    <w:rsid w:val="00AF0729"/>
    <w:rsid w:val="00AF104B"/>
    <w:rsid w:val="00AF18F1"/>
    <w:rsid w:val="00AF365D"/>
    <w:rsid w:val="00AF4129"/>
    <w:rsid w:val="00AF5819"/>
    <w:rsid w:val="00AF61F2"/>
    <w:rsid w:val="00AF668F"/>
    <w:rsid w:val="00AF716A"/>
    <w:rsid w:val="00AF75B4"/>
    <w:rsid w:val="00AF786D"/>
    <w:rsid w:val="00AF7F03"/>
    <w:rsid w:val="00B01453"/>
    <w:rsid w:val="00B0176B"/>
    <w:rsid w:val="00B02DBD"/>
    <w:rsid w:val="00B043BD"/>
    <w:rsid w:val="00B04611"/>
    <w:rsid w:val="00B0490E"/>
    <w:rsid w:val="00B053F3"/>
    <w:rsid w:val="00B07043"/>
    <w:rsid w:val="00B07C58"/>
    <w:rsid w:val="00B121A9"/>
    <w:rsid w:val="00B12695"/>
    <w:rsid w:val="00B12E93"/>
    <w:rsid w:val="00B148C5"/>
    <w:rsid w:val="00B149DE"/>
    <w:rsid w:val="00B149E8"/>
    <w:rsid w:val="00B14B61"/>
    <w:rsid w:val="00B17E29"/>
    <w:rsid w:val="00B201F5"/>
    <w:rsid w:val="00B20374"/>
    <w:rsid w:val="00B20712"/>
    <w:rsid w:val="00B21BB6"/>
    <w:rsid w:val="00B21D80"/>
    <w:rsid w:val="00B225EB"/>
    <w:rsid w:val="00B234AF"/>
    <w:rsid w:val="00B234DA"/>
    <w:rsid w:val="00B24304"/>
    <w:rsid w:val="00B2492A"/>
    <w:rsid w:val="00B249F3"/>
    <w:rsid w:val="00B25656"/>
    <w:rsid w:val="00B25CB8"/>
    <w:rsid w:val="00B268E0"/>
    <w:rsid w:val="00B3037B"/>
    <w:rsid w:val="00B308CE"/>
    <w:rsid w:val="00B31E6A"/>
    <w:rsid w:val="00B3349A"/>
    <w:rsid w:val="00B33794"/>
    <w:rsid w:val="00B357C7"/>
    <w:rsid w:val="00B35C7A"/>
    <w:rsid w:val="00B362F3"/>
    <w:rsid w:val="00B37EB4"/>
    <w:rsid w:val="00B407A0"/>
    <w:rsid w:val="00B41245"/>
    <w:rsid w:val="00B42E97"/>
    <w:rsid w:val="00B43AF5"/>
    <w:rsid w:val="00B43F38"/>
    <w:rsid w:val="00B444AB"/>
    <w:rsid w:val="00B44F71"/>
    <w:rsid w:val="00B46B6F"/>
    <w:rsid w:val="00B46F5B"/>
    <w:rsid w:val="00B47789"/>
    <w:rsid w:val="00B51105"/>
    <w:rsid w:val="00B547BB"/>
    <w:rsid w:val="00B554C2"/>
    <w:rsid w:val="00B5594C"/>
    <w:rsid w:val="00B55F46"/>
    <w:rsid w:val="00B568C3"/>
    <w:rsid w:val="00B575AF"/>
    <w:rsid w:val="00B57EE8"/>
    <w:rsid w:val="00B57FE9"/>
    <w:rsid w:val="00B6092B"/>
    <w:rsid w:val="00B624ED"/>
    <w:rsid w:val="00B62C65"/>
    <w:rsid w:val="00B62CA7"/>
    <w:rsid w:val="00B62F36"/>
    <w:rsid w:val="00B6347A"/>
    <w:rsid w:val="00B6389A"/>
    <w:rsid w:val="00B63CF0"/>
    <w:rsid w:val="00B6437C"/>
    <w:rsid w:val="00B67E94"/>
    <w:rsid w:val="00B718A1"/>
    <w:rsid w:val="00B72060"/>
    <w:rsid w:val="00B73BCD"/>
    <w:rsid w:val="00B7425F"/>
    <w:rsid w:val="00B74339"/>
    <w:rsid w:val="00B760E3"/>
    <w:rsid w:val="00B76E2F"/>
    <w:rsid w:val="00B80328"/>
    <w:rsid w:val="00B80F6B"/>
    <w:rsid w:val="00B8165F"/>
    <w:rsid w:val="00B81F63"/>
    <w:rsid w:val="00B82115"/>
    <w:rsid w:val="00B848D4"/>
    <w:rsid w:val="00B85AEE"/>
    <w:rsid w:val="00B85B72"/>
    <w:rsid w:val="00B86141"/>
    <w:rsid w:val="00B86AFB"/>
    <w:rsid w:val="00B8793C"/>
    <w:rsid w:val="00B87FD8"/>
    <w:rsid w:val="00B902D0"/>
    <w:rsid w:val="00B91193"/>
    <w:rsid w:val="00B9302E"/>
    <w:rsid w:val="00B964A1"/>
    <w:rsid w:val="00B97F36"/>
    <w:rsid w:val="00BA0E55"/>
    <w:rsid w:val="00BA26BD"/>
    <w:rsid w:val="00BA3555"/>
    <w:rsid w:val="00BA37F4"/>
    <w:rsid w:val="00BA4F53"/>
    <w:rsid w:val="00BA5C78"/>
    <w:rsid w:val="00BA6A7C"/>
    <w:rsid w:val="00BA7457"/>
    <w:rsid w:val="00BA77A5"/>
    <w:rsid w:val="00BB0073"/>
    <w:rsid w:val="00BB114C"/>
    <w:rsid w:val="00BB2A43"/>
    <w:rsid w:val="00BB30E1"/>
    <w:rsid w:val="00BB4A98"/>
    <w:rsid w:val="00BB60BA"/>
    <w:rsid w:val="00BB66D0"/>
    <w:rsid w:val="00BB7003"/>
    <w:rsid w:val="00BB7045"/>
    <w:rsid w:val="00BB7309"/>
    <w:rsid w:val="00BB79BD"/>
    <w:rsid w:val="00BC24A4"/>
    <w:rsid w:val="00BC27C4"/>
    <w:rsid w:val="00BC3CAF"/>
    <w:rsid w:val="00BC4A06"/>
    <w:rsid w:val="00BC4C65"/>
    <w:rsid w:val="00BC565D"/>
    <w:rsid w:val="00BC570F"/>
    <w:rsid w:val="00BC6287"/>
    <w:rsid w:val="00BC673B"/>
    <w:rsid w:val="00BC69ED"/>
    <w:rsid w:val="00BC7B97"/>
    <w:rsid w:val="00BC7E4E"/>
    <w:rsid w:val="00BD0EC4"/>
    <w:rsid w:val="00BD2852"/>
    <w:rsid w:val="00BD3AF9"/>
    <w:rsid w:val="00BD4410"/>
    <w:rsid w:val="00BD4C1B"/>
    <w:rsid w:val="00BD64B8"/>
    <w:rsid w:val="00BD65AC"/>
    <w:rsid w:val="00BD7B45"/>
    <w:rsid w:val="00BD7D53"/>
    <w:rsid w:val="00BE106F"/>
    <w:rsid w:val="00BE1544"/>
    <w:rsid w:val="00BE55C8"/>
    <w:rsid w:val="00BE5EF9"/>
    <w:rsid w:val="00BE6197"/>
    <w:rsid w:val="00BE6504"/>
    <w:rsid w:val="00BE73E5"/>
    <w:rsid w:val="00BF0544"/>
    <w:rsid w:val="00BF1200"/>
    <w:rsid w:val="00BF1E2A"/>
    <w:rsid w:val="00BF39E4"/>
    <w:rsid w:val="00BF3D83"/>
    <w:rsid w:val="00BF4E99"/>
    <w:rsid w:val="00BF57E2"/>
    <w:rsid w:val="00BF79AF"/>
    <w:rsid w:val="00BF7B2B"/>
    <w:rsid w:val="00BF7C69"/>
    <w:rsid w:val="00C0004A"/>
    <w:rsid w:val="00C00321"/>
    <w:rsid w:val="00C015C9"/>
    <w:rsid w:val="00C02188"/>
    <w:rsid w:val="00C03173"/>
    <w:rsid w:val="00C0470F"/>
    <w:rsid w:val="00C05CFF"/>
    <w:rsid w:val="00C07A62"/>
    <w:rsid w:val="00C11597"/>
    <w:rsid w:val="00C11C17"/>
    <w:rsid w:val="00C12050"/>
    <w:rsid w:val="00C13472"/>
    <w:rsid w:val="00C138B4"/>
    <w:rsid w:val="00C14310"/>
    <w:rsid w:val="00C14D9B"/>
    <w:rsid w:val="00C1613C"/>
    <w:rsid w:val="00C167C2"/>
    <w:rsid w:val="00C16CF0"/>
    <w:rsid w:val="00C17A61"/>
    <w:rsid w:val="00C2233E"/>
    <w:rsid w:val="00C227AB"/>
    <w:rsid w:val="00C23660"/>
    <w:rsid w:val="00C24C9B"/>
    <w:rsid w:val="00C24E27"/>
    <w:rsid w:val="00C26152"/>
    <w:rsid w:val="00C26D9B"/>
    <w:rsid w:val="00C308BE"/>
    <w:rsid w:val="00C30BF4"/>
    <w:rsid w:val="00C331B6"/>
    <w:rsid w:val="00C33E9C"/>
    <w:rsid w:val="00C3404E"/>
    <w:rsid w:val="00C3522A"/>
    <w:rsid w:val="00C35E03"/>
    <w:rsid w:val="00C40306"/>
    <w:rsid w:val="00C41179"/>
    <w:rsid w:val="00C416B5"/>
    <w:rsid w:val="00C434D9"/>
    <w:rsid w:val="00C4379A"/>
    <w:rsid w:val="00C441D3"/>
    <w:rsid w:val="00C45AA7"/>
    <w:rsid w:val="00C4630D"/>
    <w:rsid w:val="00C464E8"/>
    <w:rsid w:val="00C46CA4"/>
    <w:rsid w:val="00C470FF"/>
    <w:rsid w:val="00C474E5"/>
    <w:rsid w:val="00C4782E"/>
    <w:rsid w:val="00C47D91"/>
    <w:rsid w:val="00C51D90"/>
    <w:rsid w:val="00C51F40"/>
    <w:rsid w:val="00C55693"/>
    <w:rsid w:val="00C55DE9"/>
    <w:rsid w:val="00C574E9"/>
    <w:rsid w:val="00C5769E"/>
    <w:rsid w:val="00C57C91"/>
    <w:rsid w:val="00C61560"/>
    <w:rsid w:val="00C62D71"/>
    <w:rsid w:val="00C63765"/>
    <w:rsid w:val="00C647CF"/>
    <w:rsid w:val="00C64E95"/>
    <w:rsid w:val="00C6580F"/>
    <w:rsid w:val="00C7346D"/>
    <w:rsid w:val="00C73B84"/>
    <w:rsid w:val="00C75E68"/>
    <w:rsid w:val="00C81F5A"/>
    <w:rsid w:val="00C83334"/>
    <w:rsid w:val="00C83CB8"/>
    <w:rsid w:val="00C841FD"/>
    <w:rsid w:val="00C86AF2"/>
    <w:rsid w:val="00C87505"/>
    <w:rsid w:val="00C917E0"/>
    <w:rsid w:val="00C94C5F"/>
    <w:rsid w:val="00C94C67"/>
    <w:rsid w:val="00C94CC6"/>
    <w:rsid w:val="00C954A2"/>
    <w:rsid w:val="00C95A6E"/>
    <w:rsid w:val="00C96516"/>
    <w:rsid w:val="00CA0044"/>
    <w:rsid w:val="00CA00E7"/>
    <w:rsid w:val="00CA18EB"/>
    <w:rsid w:val="00CA2DAE"/>
    <w:rsid w:val="00CA38E9"/>
    <w:rsid w:val="00CA3B45"/>
    <w:rsid w:val="00CA408E"/>
    <w:rsid w:val="00CA449E"/>
    <w:rsid w:val="00CA5579"/>
    <w:rsid w:val="00CA564A"/>
    <w:rsid w:val="00CA582C"/>
    <w:rsid w:val="00CA6167"/>
    <w:rsid w:val="00CA667E"/>
    <w:rsid w:val="00CA7816"/>
    <w:rsid w:val="00CB0144"/>
    <w:rsid w:val="00CB419C"/>
    <w:rsid w:val="00CB48EA"/>
    <w:rsid w:val="00CB4E13"/>
    <w:rsid w:val="00CB5A11"/>
    <w:rsid w:val="00CB74A0"/>
    <w:rsid w:val="00CC0025"/>
    <w:rsid w:val="00CC0AC2"/>
    <w:rsid w:val="00CC3E0B"/>
    <w:rsid w:val="00CC5BB6"/>
    <w:rsid w:val="00CC5F4E"/>
    <w:rsid w:val="00CC67CF"/>
    <w:rsid w:val="00CC70E5"/>
    <w:rsid w:val="00CD1BC2"/>
    <w:rsid w:val="00CD2014"/>
    <w:rsid w:val="00CD2568"/>
    <w:rsid w:val="00CD26DD"/>
    <w:rsid w:val="00CD2AC7"/>
    <w:rsid w:val="00CD3037"/>
    <w:rsid w:val="00CD35A4"/>
    <w:rsid w:val="00CD3B83"/>
    <w:rsid w:val="00CD4346"/>
    <w:rsid w:val="00CD4498"/>
    <w:rsid w:val="00CD459A"/>
    <w:rsid w:val="00CD4F85"/>
    <w:rsid w:val="00CD6659"/>
    <w:rsid w:val="00CD68E9"/>
    <w:rsid w:val="00CD7902"/>
    <w:rsid w:val="00CE0A9C"/>
    <w:rsid w:val="00CE1071"/>
    <w:rsid w:val="00CE31F2"/>
    <w:rsid w:val="00CE41CA"/>
    <w:rsid w:val="00CE4C02"/>
    <w:rsid w:val="00CE6F5E"/>
    <w:rsid w:val="00CE79C7"/>
    <w:rsid w:val="00CE79EF"/>
    <w:rsid w:val="00CF17E9"/>
    <w:rsid w:val="00CF184A"/>
    <w:rsid w:val="00CF2317"/>
    <w:rsid w:val="00CF27F4"/>
    <w:rsid w:val="00CF3951"/>
    <w:rsid w:val="00CF3B60"/>
    <w:rsid w:val="00CF3C8B"/>
    <w:rsid w:val="00CF5606"/>
    <w:rsid w:val="00CF629C"/>
    <w:rsid w:val="00D00117"/>
    <w:rsid w:val="00D00E60"/>
    <w:rsid w:val="00D025B4"/>
    <w:rsid w:val="00D0414F"/>
    <w:rsid w:val="00D05707"/>
    <w:rsid w:val="00D05ACF"/>
    <w:rsid w:val="00D063EB"/>
    <w:rsid w:val="00D06845"/>
    <w:rsid w:val="00D06AC9"/>
    <w:rsid w:val="00D07784"/>
    <w:rsid w:val="00D07A8A"/>
    <w:rsid w:val="00D12212"/>
    <w:rsid w:val="00D122B7"/>
    <w:rsid w:val="00D122E3"/>
    <w:rsid w:val="00D12748"/>
    <w:rsid w:val="00D1406F"/>
    <w:rsid w:val="00D14A0E"/>
    <w:rsid w:val="00D15033"/>
    <w:rsid w:val="00D16C13"/>
    <w:rsid w:val="00D16D9B"/>
    <w:rsid w:val="00D17E06"/>
    <w:rsid w:val="00D2022C"/>
    <w:rsid w:val="00D2146C"/>
    <w:rsid w:val="00D22010"/>
    <w:rsid w:val="00D22788"/>
    <w:rsid w:val="00D22957"/>
    <w:rsid w:val="00D2390B"/>
    <w:rsid w:val="00D23CFF"/>
    <w:rsid w:val="00D23F7E"/>
    <w:rsid w:val="00D24181"/>
    <w:rsid w:val="00D24770"/>
    <w:rsid w:val="00D30812"/>
    <w:rsid w:val="00D3113D"/>
    <w:rsid w:val="00D316B0"/>
    <w:rsid w:val="00D31E8C"/>
    <w:rsid w:val="00D323E9"/>
    <w:rsid w:val="00D328FD"/>
    <w:rsid w:val="00D32C3D"/>
    <w:rsid w:val="00D32C67"/>
    <w:rsid w:val="00D3444B"/>
    <w:rsid w:val="00D34816"/>
    <w:rsid w:val="00D348F4"/>
    <w:rsid w:val="00D35BC8"/>
    <w:rsid w:val="00D40195"/>
    <w:rsid w:val="00D41678"/>
    <w:rsid w:val="00D41875"/>
    <w:rsid w:val="00D41D33"/>
    <w:rsid w:val="00D429E3"/>
    <w:rsid w:val="00D43640"/>
    <w:rsid w:val="00D43D5F"/>
    <w:rsid w:val="00D45691"/>
    <w:rsid w:val="00D4795F"/>
    <w:rsid w:val="00D5085F"/>
    <w:rsid w:val="00D517F1"/>
    <w:rsid w:val="00D5368C"/>
    <w:rsid w:val="00D537F0"/>
    <w:rsid w:val="00D539D8"/>
    <w:rsid w:val="00D53D57"/>
    <w:rsid w:val="00D544B6"/>
    <w:rsid w:val="00D553DB"/>
    <w:rsid w:val="00D56659"/>
    <w:rsid w:val="00D57EA5"/>
    <w:rsid w:val="00D6128A"/>
    <w:rsid w:val="00D61F6F"/>
    <w:rsid w:val="00D626E4"/>
    <w:rsid w:val="00D626FC"/>
    <w:rsid w:val="00D6287E"/>
    <w:rsid w:val="00D62D8E"/>
    <w:rsid w:val="00D63CA0"/>
    <w:rsid w:val="00D63DCA"/>
    <w:rsid w:val="00D63DE9"/>
    <w:rsid w:val="00D646EE"/>
    <w:rsid w:val="00D67703"/>
    <w:rsid w:val="00D70D13"/>
    <w:rsid w:val="00D71B29"/>
    <w:rsid w:val="00D72456"/>
    <w:rsid w:val="00D727CC"/>
    <w:rsid w:val="00D729B0"/>
    <w:rsid w:val="00D73965"/>
    <w:rsid w:val="00D764AB"/>
    <w:rsid w:val="00D777E5"/>
    <w:rsid w:val="00D7786B"/>
    <w:rsid w:val="00D77E67"/>
    <w:rsid w:val="00D80229"/>
    <w:rsid w:val="00D81B02"/>
    <w:rsid w:val="00D82553"/>
    <w:rsid w:val="00D82CCD"/>
    <w:rsid w:val="00D8394E"/>
    <w:rsid w:val="00D84075"/>
    <w:rsid w:val="00D8730F"/>
    <w:rsid w:val="00D8791B"/>
    <w:rsid w:val="00D87ACA"/>
    <w:rsid w:val="00D87EFD"/>
    <w:rsid w:val="00D903DB"/>
    <w:rsid w:val="00D90C2A"/>
    <w:rsid w:val="00D90C64"/>
    <w:rsid w:val="00D91A24"/>
    <w:rsid w:val="00D93443"/>
    <w:rsid w:val="00D9679F"/>
    <w:rsid w:val="00D9694F"/>
    <w:rsid w:val="00D96DEE"/>
    <w:rsid w:val="00D96EB0"/>
    <w:rsid w:val="00D97189"/>
    <w:rsid w:val="00D97CCE"/>
    <w:rsid w:val="00D97EFC"/>
    <w:rsid w:val="00DA0379"/>
    <w:rsid w:val="00DA1653"/>
    <w:rsid w:val="00DA3168"/>
    <w:rsid w:val="00DA39ED"/>
    <w:rsid w:val="00DA5177"/>
    <w:rsid w:val="00DA543A"/>
    <w:rsid w:val="00DA5C6E"/>
    <w:rsid w:val="00DA6268"/>
    <w:rsid w:val="00DA6502"/>
    <w:rsid w:val="00DA7C07"/>
    <w:rsid w:val="00DB11D0"/>
    <w:rsid w:val="00DB14BE"/>
    <w:rsid w:val="00DB2AF0"/>
    <w:rsid w:val="00DB2B95"/>
    <w:rsid w:val="00DB4173"/>
    <w:rsid w:val="00DB5F56"/>
    <w:rsid w:val="00DB6435"/>
    <w:rsid w:val="00DB66BD"/>
    <w:rsid w:val="00DB672F"/>
    <w:rsid w:val="00DC057D"/>
    <w:rsid w:val="00DC1077"/>
    <w:rsid w:val="00DC1760"/>
    <w:rsid w:val="00DC2446"/>
    <w:rsid w:val="00DC25D0"/>
    <w:rsid w:val="00DC28ED"/>
    <w:rsid w:val="00DC2A87"/>
    <w:rsid w:val="00DC30A9"/>
    <w:rsid w:val="00DC3205"/>
    <w:rsid w:val="00DC4774"/>
    <w:rsid w:val="00DC4BFB"/>
    <w:rsid w:val="00DC4D75"/>
    <w:rsid w:val="00DC4FB4"/>
    <w:rsid w:val="00DC5811"/>
    <w:rsid w:val="00DC639D"/>
    <w:rsid w:val="00DC644B"/>
    <w:rsid w:val="00DD3E57"/>
    <w:rsid w:val="00DD5669"/>
    <w:rsid w:val="00DD5C65"/>
    <w:rsid w:val="00DE0213"/>
    <w:rsid w:val="00DE3232"/>
    <w:rsid w:val="00DE5613"/>
    <w:rsid w:val="00DE5FF1"/>
    <w:rsid w:val="00DE6F1C"/>
    <w:rsid w:val="00DE6FC5"/>
    <w:rsid w:val="00DF21DC"/>
    <w:rsid w:val="00DF27B7"/>
    <w:rsid w:val="00DF4C30"/>
    <w:rsid w:val="00DF5669"/>
    <w:rsid w:val="00E005B6"/>
    <w:rsid w:val="00E0150B"/>
    <w:rsid w:val="00E01FA5"/>
    <w:rsid w:val="00E0245A"/>
    <w:rsid w:val="00E03550"/>
    <w:rsid w:val="00E03666"/>
    <w:rsid w:val="00E048E1"/>
    <w:rsid w:val="00E0498B"/>
    <w:rsid w:val="00E0521F"/>
    <w:rsid w:val="00E054BE"/>
    <w:rsid w:val="00E05CF9"/>
    <w:rsid w:val="00E0618D"/>
    <w:rsid w:val="00E07FCE"/>
    <w:rsid w:val="00E10EAD"/>
    <w:rsid w:val="00E129D3"/>
    <w:rsid w:val="00E139EC"/>
    <w:rsid w:val="00E144F3"/>
    <w:rsid w:val="00E22A2F"/>
    <w:rsid w:val="00E23223"/>
    <w:rsid w:val="00E248A5"/>
    <w:rsid w:val="00E24985"/>
    <w:rsid w:val="00E24F90"/>
    <w:rsid w:val="00E25519"/>
    <w:rsid w:val="00E25D11"/>
    <w:rsid w:val="00E2716F"/>
    <w:rsid w:val="00E27244"/>
    <w:rsid w:val="00E272C1"/>
    <w:rsid w:val="00E27CC3"/>
    <w:rsid w:val="00E30CFE"/>
    <w:rsid w:val="00E3268F"/>
    <w:rsid w:val="00E32748"/>
    <w:rsid w:val="00E32CAD"/>
    <w:rsid w:val="00E33184"/>
    <w:rsid w:val="00E33FB1"/>
    <w:rsid w:val="00E3447D"/>
    <w:rsid w:val="00E37088"/>
    <w:rsid w:val="00E37D34"/>
    <w:rsid w:val="00E37EBA"/>
    <w:rsid w:val="00E43034"/>
    <w:rsid w:val="00E431A7"/>
    <w:rsid w:val="00E43354"/>
    <w:rsid w:val="00E435E8"/>
    <w:rsid w:val="00E436A9"/>
    <w:rsid w:val="00E43C82"/>
    <w:rsid w:val="00E445F4"/>
    <w:rsid w:val="00E45C5A"/>
    <w:rsid w:val="00E4606F"/>
    <w:rsid w:val="00E50E68"/>
    <w:rsid w:val="00E512DD"/>
    <w:rsid w:val="00E51C5E"/>
    <w:rsid w:val="00E52136"/>
    <w:rsid w:val="00E5288B"/>
    <w:rsid w:val="00E52E40"/>
    <w:rsid w:val="00E53A6D"/>
    <w:rsid w:val="00E53B1E"/>
    <w:rsid w:val="00E56FF9"/>
    <w:rsid w:val="00E57558"/>
    <w:rsid w:val="00E57886"/>
    <w:rsid w:val="00E63479"/>
    <w:rsid w:val="00E646E3"/>
    <w:rsid w:val="00E65820"/>
    <w:rsid w:val="00E665EA"/>
    <w:rsid w:val="00E66784"/>
    <w:rsid w:val="00E70A75"/>
    <w:rsid w:val="00E723B6"/>
    <w:rsid w:val="00E725AB"/>
    <w:rsid w:val="00E732B9"/>
    <w:rsid w:val="00E74277"/>
    <w:rsid w:val="00E74E2A"/>
    <w:rsid w:val="00E76804"/>
    <w:rsid w:val="00E76C31"/>
    <w:rsid w:val="00E76E64"/>
    <w:rsid w:val="00E779B2"/>
    <w:rsid w:val="00E77E74"/>
    <w:rsid w:val="00E8060C"/>
    <w:rsid w:val="00E80E8B"/>
    <w:rsid w:val="00E81609"/>
    <w:rsid w:val="00E83990"/>
    <w:rsid w:val="00E8498B"/>
    <w:rsid w:val="00E85633"/>
    <w:rsid w:val="00E85B93"/>
    <w:rsid w:val="00E87172"/>
    <w:rsid w:val="00E91169"/>
    <w:rsid w:val="00E9147D"/>
    <w:rsid w:val="00E92950"/>
    <w:rsid w:val="00E930C2"/>
    <w:rsid w:val="00E939BE"/>
    <w:rsid w:val="00E94A4E"/>
    <w:rsid w:val="00E95C3B"/>
    <w:rsid w:val="00E9648D"/>
    <w:rsid w:val="00E967E4"/>
    <w:rsid w:val="00E97261"/>
    <w:rsid w:val="00E9782B"/>
    <w:rsid w:val="00E9796C"/>
    <w:rsid w:val="00EA030B"/>
    <w:rsid w:val="00EA30D5"/>
    <w:rsid w:val="00EA37C2"/>
    <w:rsid w:val="00EA3D53"/>
    <w:rsid w:val="00EA5E28"/>
    <w:rsid w:val="00EA673B"/>
    <w:rsid w:val="00EA6D84"/>
    <w:rsid w:val="00EA7170"/>
    <w:rsid w:val="00EB0567"/>
    <w:rsid w:val="00EB1E05"/>
    <w:rsid w:val="00EB201E"/>
    <w:rsid w:val="00EB22EC"/>
    <w:rsid w:val="00EB25EF"/>
    <w:rsid w:val="00EB46F0"/>
    <w:rsid w:val="00EB4DC5"/>
    <w:rsid w:val="00EB6981"/>
    <w:rsid w:val="00EC0B6D"/>
    <w:rsid w:val="00EC0C6E"/>
    <w:rsid w:val="00EC0F61"/>
    <w:rsid w:val="00EC199A"/>
    <w:rsid w:val="00EC2786"/>
    <w:rsid w:val="00EC3B2B"/>
    <w:rsid w:val="00EC4C98"/>
    <w:rsid w:val="00EC4F9F"/>
    <w:rsid w:val="00EC5130"/>
    <w:rsid w:val="00EC6141"/>
    <w:rsid w:val="00EC7EE5"/>
    <w:rsid w:val="00ED035B"/>
    <w:rsid w:val="00ED0594"/>
    <w:rsid w:val="00ED1B9A"/>
    <w:rsid w:val="00ED40CD"/>
    <w:rsid w:val="00ED556E"/>
    <w:rsid w:val="00ED56C0"/>
    <w:rsid w:val="00ED56F5"/>
    <w:rsid w:val="00ED5815"/>
    <w:rsid w:val="00ED5F9E"/>
    <w:rsid w:val="00EE0FEA"/>
    <w:rsid w:val="00EE1681"/>
    <w:rsid w:val="00EE1F53"/>
    <w:rsid w:val="00EE203D"/>
    <w:rsid w:val="00EE309D"/>
    <w:rsid w:val="00EE6AF6"/>
    <w:rsid w:val="00EE6D69"/>
    <w:rsid w:val="00EF18FA"/>
    <w:rsid w:val="00EF2AD1"/>
    <w:rsid w:val="00EF2EE1"/>
    <w:rsid w:val="00EF4A91"/>
    <w:rsid w:val="00EF5555"/>
    <w:rsid w:val="00EF68EC"/>
    <w:rsid w:val="00EF758C"/>
    <w:rsid w:val="00EF7650"/>
    <w:rsid w:val="00EF7C97"/>
    <w:rsid w:val="00F00272"/>
    <w:rsid w:val="00F008FB"/>
    <w:rsid w:val="00F01E7C"/>
    <w:rsid w:val="00F0442B"/>
    <w:rsid w:val="00F05227"/>
    <w:rsid w:val="00F057B4"/>
    <w:rsid w:val="00F05B08"/>
    <w:rsid w:val="00F05C87"/>
    <w:rsid w:val="00F05D1D"/>
    <w:rsid w:val="00F05E70"/>
    <w:rsid w:val="00F0683D"/>
    <w:rsid w:val="00F07081"/>
    <w:rsid w:val="00F07B3F"/>
    <w:rsid w:val="00F07E0A"/>
    <w:rsid w:val="00F117CE"/>
    <w:rsid w:val="00F11A71"/>
    <w:rsid w:val="00F12280"/>
    <w:rsid w:val="00F12CDD"/>
    <w:rsid w:val="00F149B1"/>
    <w:rsid w:val="00F14BC4"/>
    <w:rsid w:val="00F1722A"/>
    <w:rsid w:val="00F17414"/>
    <w:rsid w:val="00F21A09"/>
    <w:rsid w:val="00F21E1C"/>
    <w:rsid w:val="00F2233C"/>
    <w:rsid w:val="00F23106"/>
    <w:rsid w:val="00F246E8"/>
    <w:rsid w:val="00F24C4A"/>
    <w:rsid w:val="00F25666"/>
    <w:rsid w:val="00F25A07"/>
    <w:rsid w:val="00F25A6A"/>
    <w:rsid w:val="00F25EBD"/>
    <w:rsid w:val="00F30DF2"/>
    <w:rsid w:val="00F30E97"/>
    <w:rsid w:val="00F312B2"/>
    <w:rsid w:val="00F319E1"/>
    <w:rsid w:val="00F3221B"/>
    <w:rsid w:val="00F336C6"/>
    <w:rsid w:val="00F3389C"/>
    <w:rsid w:val="00F365D6"/>
    <w:rsid w:val="00F36A34"/>
    <w:rsid w:val="00F417C6"/>
    <w:rsid w:val="00F41CAF"/>
    <w:rsid w:val="00F41D7B"/>
    <w:rsid w:val="00F4269A"/>
    <w:rsid w:val="00F4456D"/>
    <w:rsid w:val="00F44FFE"/>
    <w:rsid w:val="00F4511C"/>
    <w:rsid w:val="00F46D72"/>
    <w:rsid w:val="00F501B4"/>
    <w:rsid w:val="00F5075A"/>
    <w:rsid w:val="00F50AE5"/>
    <w:rsid w:val="00F5250E"/>
    <w:rsid w:val="00F535E8"/>
    <w:rsid w:val="00F54CFD"/>
    <w:rsid w:val="00F5532A"/>
    <w:rsid w:val="00F5586D"/>
    <w:rsid w:val="00F55B23"/>
    <w:rsid w:val="00F55C7C"/>
    <w:rsid w:val="00F561B2"/>
    <w:rsid w:val="00F566D5"/>
    <w:rsid w:val="00F56F50"/>
    <w:rsid w:val="00F57127"/>
    <w:rsid w:val="00F57462"/>
    <w:rsid w:val="00F60370"/>
    <w:rsid w:val="00F61636"/>
    <w:rsid w:val="00F62736"/>
    <w:rsid w:val="00F6332B"/>
    <w:rsid w:val="00F655C4"/>
    <w:rsid w:val="00F658FC"/>
    <w:rsid w:val="00F65932"/>
    <w:rsid w:val="00F663F3"/>
    <w:rsid w:val="00F66DF3"/>
    <w:rsid w:val="00F70ED8"/>
    <w:rsid w:val="00F7311C"/>
    <w:rsid w:val="00F73947"/>
    <w:rsid w:val="00F751A4"/>
    <w:rsid w:val="00F754F0"/>
    <w:rsid w:val="00F76580"/>
    <w:rsid w:val="00F77F7F"/>
    <w:rsid w:val="00F8091B"/>
    <w:rsid w:val="00F81624"/>
    <w:rsid w:val="00F826F5"/>
    <w:rsid w:val="00F82846"/>
    <w:rsid w:val="00F82CF0"/>
    <w:rsid w:val="00F82F03"/>
    <w:rsid w:val="00F83608"/>
    <w:rsid w:val="00F838B2"/>
    <w:rsid w:val="00F87634"/>
    <w:rsid w:val="00F90751"/>
    <w:rsid w:val="00F91ABE"/>
    <w:rsid w:val="00F91E89"/>
    <w:rsid w:val="00F92E31"/>
    <w:rsid w:val="00F92FCB"/>
    <w:rsid w:val="00F93F90"/>
    <w:rsid w:val="00F9404C"/>
    <w:rsid w:val="00F95618"/>
    <w:rsid w:val="00F9790F"/>
    <w:rsid w:val="00FA08D2"/>
    <w:rsid w:val="00FA0EC7"/>
    <w:rsid w:val="00FA2258"/>
    <w:rsid w:val="00FA4292"/>
    <w:rsid w:val="00FA4A64"/>
    <w:rsid w:val="00FA5AA9"/>
    <w:rsid w:val="00FA5AB3"/>
    <w:rsid w:val="00FA5DB3"/>
    <w:rsid w:val="00FA6812"/>
    <w:rsid w:val="00FA6B38"/>
    <w:rsid w:val="00FA6EB6"/>
    <w:rsid w:val="00FA758F"/>
    <w:rsid w:val="00FB06C0"/>
    <w:rsid w:val="00FB1660"/>
    <w:rsid w:val="00FB27B4"/>
    <w:rsid w:val="00FB2B17"/>
    <w:rsid w:val="00FB398E"/>
    <w:rsid w:val="00FB3A86"/>
    <w:rsid w:val="00FB5249"/>
    <w:rsid w:val="00FB5EC3"/>
    <w:rsid w:val="00FB6BEA"/>
    <w:rsid w:val="00FB73C3"/>
    <w:rsid w:val="00FB7FCF"/>
    <w:rsid w:val="00FC00AA"/>
    <w:rsid w:val="00FC048F"/>
    <w:rsid w:val="00FC07CB"/>
    <w:rsid w:val="00FC2D0D"/>
    <w:rsid w:val="00FC4D67"/>
    <w:rsid w:val="00FC5EA9"/>
    <w:rsid w:val="00FC61E7"/>
    <w:rsid w:val="00FC6D3E"/>
    <w:rsid w:val="00FD0315"/>
    <w:rsid w:val="00FD2350"/>
    <w:rsid w:val="00FD281D"/>
    <w:rsid w:val="00FD2C82"/>
    <w:rsid w:val="00FD2DAD"/>
    <w:rsid w:val="00FD3C39"/>
    <w:rsid w:val="00FD45C2"/>
    <w:rsid w:val="00FD4E7F"/>
    <w:rsid w:val="00FD6ACE"/>
    <w:rsid w:val="00FD6B87"/>
    <w:rsid w:val="00FD7EFC"/>
    <w:rsid w:val="00FE0ABF"/>
    <w:rsid w:val="00FE1EA1"/>
    <w:rsid w:val="00FE2085"/>
    <w:rsid w:val="00FE29CB"/>
    <w:rsid w:val="00FE2A95"/>
    <w:rsid w:val="00FE41F8"/>
    <w:rsid w:val="00FE4CB6"/>
    <w:rsid w:val="00FE63B2"/>
    <w:rsid w:val="00FE7241"/>
    <w:rsid w:val="00FF0FD8"/>
    <w:rsid w:val="00FF1525"/>
    <w:rsid w:val="00FF1D8E"/>
    <w:rsid w:val="00FF38DD"/>
    <w:rsid w:val="00FF3DD1"/>
    <w:rsid w:val="00FF44B4"/>
    <w:rsid w:val="00FF4FDE"/>
    <w:rsid w:val="00FF5624"/>
    <w:rsid w:val="00FF5A89"/>
    <w:rsid w:val="00FF6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4FCA"/>
    <w:pPr>
      <w:spacing w:line="280" w:lineRule="exact"/>
      <w:jc w:val="both"/>
    </w:pPr>
    <w:rPr>
      <w:rFonts w:ascii="Times New Roman" w:hAnsi="Times New Roman"/>
      <w:sz w:val="22"/>
      <w:szCs w:val="22"/>
      <w:lang w:eastAsia="en-US"/>
    </w:rPr>
  </w:style>
  <w:style w:type="paragraph" w:styleId="Heading1">
    <w:name w:val="heading 1"/>
    <w:basedOn w:val="Normal"/>
    <w:next w:val="Normal"/>
    <w:link w:val="Heading1Char"/>
    <w:uiPriority w:val="9"/>
    <w:qFormat/>
    <w:rsid w:val="00904FCA"/>
    <w:pPr>
      <w:keepNext/>
      <w:keepLines/>
      <w:spacing w:before="240"/>
      <w:outlineLvl w:val="0"/>
    </w:pPr>
    <w:rPr>
      <w:rFonts w:eastAsia="Times New Roman"/>
      <w:b/>
      <w:caps/>
      <w:szCs w:val="32"/>
    </w:rPr>
  </w:style>
  <w:style w:type="paragraph" w:styleId="Heading2">
    <w:name w:val="heading 2"/>
    <w:basedOn w:val="Normal"/>
    <w:next w:val="Normal"/>
    <w:link w:val="Heading2Char"/>
    <w:uiPriority w:val="9"/>
    <w:unhideWhenUsed/>
    <w:qFormat/>
    <w:rsid w:val="00904FCA"/>
    <w:pPr>
      <w:keepNext/>
      <w:keepLines/>
      <w:spacing w:before="40"/>
      <w:jc w:val="left"/>
      <w:outlineLvl w:val="1"/>
    </w:pPr>
    <w:rPr>
      <w:rFonts w:eastAsia="Times New Roman"/>
      <w:b/>
      <w:szCs w:val="26"/>
    </w:rPr>
  </w:style>
  <w:style w:type="paragraph" w:styleId="Heading3">
    <w:name w:val="heading 3"/>
    <w:basedOn w:val="Normal"/>
    <w:next w:val="Normal"/>
    <w:link w:val="Heading3Char"/>
    <w:uiPriority w:val="9"/>
    <w:unhideWhenUsed/>
    <w:qFormat/>
    <w:rsid w:val="00ED556E"/>
    <w:pPr>
      <w:keepNext/>
      <w:keepLines/>
      <w:outlineLvl w:val="2"/>
    </w:pPr>
    <w:rPr>
      <w:rFonts w:eastAsia="Times New Roman"/>
      <w:b/>
      <w:i/>
      <w:color w:val="262626" w:themeColor="text1" w:themeTint="D9"/>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link w:val="ResearchTitle"/>
    <w:rsid w:val="008A1185"/>
    <w:rPr>
      <w:rFonts w:ascii="Arial" w:hAnsi="Arial"/>
      <w:b/>
      <w:caps/>
      <w:color w:val="538135"/>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link w:val="ReseachMainHeading"/>
    <w:rsid w:val="005E068D"/>
    <w:rPr>
      <w:rFonts w:ascii="Arial" w:hAnsi="Arial"/>
      <w:b/>
      <w:caps/>
      <w:color w:val="538135"/>
      <w:sz w:val="24"/>
    </w:rPr>
  </w:style>
  <w:style w:type="character" w:customStyle="1" w:styleId="Heading1Char">
    <w:name w:val="Heading 1 Char"/>
    <w:link w:val="Heading1"/>
    <w:uiPriority w:val="9"/>
    <w:rsid w:val="00904FCA"/>
    <w:rPr>
      <w:rFonts w:ascii="Arial" w:eastAsia="Times New Roman" w:hAnsi="Arial"/>
      <w:b/>
      <w:caps/>
      <w:sz w:val="22"/>
      <w:szCs w:val="32"/>
      <w:lang w:eastAsia="en-US"/>
    </w:rPr>
  </w:style>
  <w:style w:type="character" w:customStyle="1" w:styleId="ResearchSubheadingChar">
    <w:name w:val="Research Sub heading Char"/>
    <w:link w:val="ResearchSubheading"/>
    <w:rsid w:val="005E068D"/>
    <w:rPr>
      <w:rFonts w:ascii="Arial" w:hAnsi="Arial"/>
      <w:b w:val="0"/>
      <w:caps w:val="0"/>
      <w:color w:val="538135"/>
      <w:sz w:val="24"/>
    </w:rPr>
  </w:style>
  <w:style w:type="paragraph" w:styleId="TOCHeading">
    <w:name w:val="TOC Heading"/>
    <w:basedOn w:val="Heading2"/>
    <w:next w:val="TOC"/>
    <w:uiPriority w:val="39"/>
    <w:unhideWhenUsed/>
    <w:qFormat/>
    <w:rsid w:val="00123244"/>
    <w:pPr>
      <w:outlineLvl w:val="9"/>
    </w:pPr>
    <w:rPr>
      <w:b w:val="0"/>
      <w:color w:val="000000"/>
      <w:lang w:val="en-US"/>
    </w:rPr>
  </w:style>
  <w:style w:type="paragraph" w:styleId="TOC1">
    <w:name w:val="toc 1"/>
    <w:basedOn w:val="Normal"/>
    <w:next w:val="Normal"/>
    <w:autoRedefine/>
    <w:uiPriority w:val="39"/>
    <w:unhideWhenUsed/>
    <w:qFormat/>
    <w:rsid w:val="00B33794"/>
    <w:pPr>
      <w:tabs>
        <w:tab w:val="left" w:pos="442"/>
        <w:tab w:val="right" w:leader="dot" w:pos="9016"/>
      </w:tabs>
      <w:spacing w:line="240" w:lineRule="exact"/>
    </w:pPr>
    <w:rPr>
      <w:b/>
      <w:caps/>
      <w:color w:val="000000"/>
    </w:rPr>
  </w:style>
  <w:style w:type="character" w:styleId="Hyperlink">
    <w:name w:val="Hyperlink"/>
    <w:uiPriority w:val="99"/>
    <w:unhideWhenUsed/>
    <w:rsid w:val="005E068D"/>
    <w:rPr>
      <w:color w:val="0563C1"/>
      <w:u w:val="single"/>
    </w:rPr>
  </w:style>
  <w:style w:type="paragraph" w:styleId="ListParagraph">
    <w:name w:val="List Paragraph"/>
    <w:aliases w:val="heading 2,Bullets,List Paragraph 1,List Paragraph1,Table of contents numbered,footer text,Chapter Numbering,Bullet 1,List Paragraph Char Char,b1,Colorful List - Accent 11,Number_1,new,SGLText List Paragraph,Normal Sentence,List Paragraph2"/>
    <w:basedOn w:val="Normal"/>
    <w:link w:val="ListParagraphChar"/>
    <w:uiPriority w:val="34"/>
    <w:qFormat/>
    <w:rsid w:val="005E068D"/>
    <w:pPr>
      <w:ind w:left="720"/>
      <w:contextualSpacing/>
    </w:pPr>
  </w:style>
  <w:style w:type="character" w:customStyle="1" w:styleId="Heading2Char">
    <w:name w:val="Heading 2 Char"/>
    <w:link w:val="Heading2"/>
    <w:uiPriority w:val="9"/>
    <w:rsid w:val="00904FCA"/>
    <w:rPr>
      <w:rFonts w:ascii="Arial" w:eastAsia="Times New Roman" w:hAnsi="Arial"/>
      <w:b/>
      <w:sz w:val="22"/>
      <w:szCs w:val="26"/>
      <w:lang w:eastAsia="en-US"/>
    </w:rPr>
  </w:style>
  <w:style w:type="paragraph" w:styleId="TOC2">
    <w:name w:val="toc 2"/>
    <w:basedOn w:val="Normal"/>
    <w:next w:val="Normal"/>
    <w:autoRedefine/>
    <w:uiPriority w:val="39"/>
    <w:unhideWhenUsed/>
    <w:rsid w:val="00695674"/>
    <w:pPr>
      <w:tabs>
        <w:tab w:val="left" w:pos="880"/>
        <w:tab w:val="right" w:leader="dot" w:pos="9016"/>
      </w:tabs>
      <w:spacing w:line="240" w:lineRule="exact"/>
      <w:ind w:left="221"/>
    </w:pPr>
    <w:rPr>
      <w:b/>
      <w:noProof/>
    </w:rPr>
  </w:style>
  <w:style w:type="paragraph" w:styleId="TOC3">
    <w:name w:val="toc 3"/>
    <w:basedOn w:val="Normal"/>
    <w:next w:val="Normal"/>
    <w:link w:val="TOC3Char"/>
    <w:autoRedefine/>
    <w:uiPriority w:val="39"/>
    <w:unhideWhenUsed/>
    <w:rsid w:val="00B31E6A"/>
    <w:pPr>
      <w:spacing w:line="240" w:lineRule="exact"/>
      <w:ind w:left="442"/>
    </w:pPr>
    <w:rPr>
      <w:rFonts w:eastAsia="Times New Roman"/>
      <w:lang w:val="en-US"/>
    </w:rPr>
  </w:style>
  <w:style w:type="paragraph" w:styleId="Title">
    <w:name w:val="Title"/>
    <w:basedOn w:val="Normal"/>
    <w:next w:val="Normal"/>
    <w:link w:val="TitleChar"/>
    <w:uiPriority w:val="10"/>
    <w:qFormat/>
    <w:rsid w:val="00553A2E"/>
    <w:pPr>
      <w:spacing w:line="240" w:lineRule="auto"/>
      <w:contextualSpacing/>
    </w:pPr>
    <w:rPr>
      <w:rFonts w:eastAsia="Times New Roman"/>
      <w:b/>
      <w:caps/>
      <w:spacing w:val="-10"/>
      <w:kern w:val="28"/>
      <w:szCs w:val="56"/>
    </w:rPr>
  </w:style>
  <w:style w:type="character" w:customStyle="1" w:styleId="TitleChar">
    <w:name w:val="Title Char"/>
    <w:link w:val="Title"/>
    <w:uiPriority w:val="10"/>
    <w:rsid w:val="00553A2E"/>
    <w:rPr>
      <w:rFonts w:ascii="Arial" w:eastAsia="Times New Roman" w:hAnsi="Arial"/>
      <w:b/>
      <w:caps/>
      <w:spacing w:val="-10"/>
      <w:kern w:val="28"/>
      <w:sz w:val="22"/>
      <w:szCs w:val="56"/>
      <w:lang w:eastAsia="en-US"/>
    </w:rPr>
  </w:style>
  <w:style w:type="paragraph" w:styleId="Subtitle">
    <w:name w:val="Subtitle"/>
    <w:basedOn w:val="Normal"/>
    <w:next w:val="Normal"/>
    <w:link w:val="SubtitleChar"/>
    <w:uiPriority w:val="11"/>
    <w:rsid w:val="00893EE9"/>
    <w:pPr>
      <w:numPr>
        <w:ilvl w:val="1"/>
      </w:numPr>
    </w:pPr>
    <w:rPr>
      <w:rFonts w:eastAsia="Times New Roman"/>
      <w:color w:val="5A5A5A"/>
      <w:spacing w:val="15"/>
    </w:rPr>
  </w:style>
  <w:style w:type="character" w:customStyle="1" w:styleId="SubtitleChar">
    <w:name w:val="Subtitle Char"/>
    <w:link w:val="Subtitle"/>
    <w:uiPriority w:val="11"/>
    <w:rsid w:val="00893EE9"/>
    <w:rPr>
      <w:rFonts w:eastAsia="Times New Roman"/>
      <w:color w:val="5A5A5A"/>
      <w:spacing w:val="15"/>
    </w:rPr>
  </w:style>
  <w:style w:type="character" w:customStyle="1" w:styleId="Heading3Char">
    <w:name w:val="Heading 3 Char"/>
    <w:link w:val="Heading3"/>
    <w:uiPriority w:val="9"/>
    <w:rsid w:val="00ED556E"/>
    <w:rPr>
      <w:rFonts w:ascii="Arial" w:eastAsia="Times New Roman" w:hAnsi="Arial"/>
      <w:b/>
      <w:i/>
      <w:color w:val="262626" w:themeColor="text1" w:themeTint="D9"/>
      <w:szCs w:val="24"/>
      <w:lang w:eastAsia="en-US"/>
    </w:rPr>
  </w:style>
  <w:style w:type="character" w:customStyle="1" w:styleId="Heading4Char">
    <w:name w:val="Heading 4 Char"/>
    <w:link w:val="Heading4"/>
    <w:uiPriority w:val="9"/>
    <w:semiHidden/>
    <w:rsid w:val="009E0C94"/>
    <w:rPr>
      <w:rFonts w:ascii="Calibri Light" w:eastAsia="Times New Roman" w:hAnsi="Calibri Light" w:cs="Times New Roman"/>
      <w:i/>
      <w:iCs/>
      <w:color w:val="2E74B5"/>
    </w:rPr>
  </w:style>
  <w:style w:type="character" w:customStyle="1" w:styleId="Heading5Char">
    <w:name w:val="Heading 5 Char"/>
    <w:link w:val="Heading5"/>
    <w:uiPriority w:val="9"/>
    <w:semiHidden/>
    <w:rsid w:val="009E0C94"/>
    <w:rPr>
      <w:rFonts w:ascii="Calibri Light" w:eastAsia="Times New Roman" w:hAnsi="Calibri Light" w:cs="Times New Roman"/>
      <w:color w:val="2E74B5"/>
    </w:rPr>
  </w:style>
  <w:style w:type="character" w:customStyle="1" w:styleId="Heading6Char">
    <w:name w:val="Heading 6 Char"/>
    <w:link w:val="Heading6"/>
    <w:uiPriority w:val="9"/>
    <w:semiHidden/>
    <w:rsid w:val="009E0C94"/>
    <w:rPr>
      <w:rFonts w:ascii="Calibri Light" w:eastAsia="Times New Roman" w:hAnsi="Calibri Light" w:cs="Times New Roman"/>
      <w:color w:val="1F4D78"/>
    </w:rPr>
  </w:style>
  <w:style w:type="character" w:customStyle="1" w:styleId="Heading7Char">
    <w:name w:val="Heading 7 Char"/>
    <w:link w:val="Heading7"/>
    <w:uiPriority w:val="9"/>
    <w:semiHidden/>
    <w:rsid w:val="009E0C94"/>
    <w:rPr>
      <w:rFonts w:ascii="Calibri Light" w:eastAsia="Times New Roman" w:hAnsi="Calibri Light" w:cs="Times New Roman"/>
      <w:i/>
      <w:iCs/>
      <w:color w:val="1F4D78"/>
    </w:rPr>
  </w:style>
  <w:style w:type="character" w:customStyle="1" w:styleId="Heading8Char">
    <w:name w:val="Heading 8 Char"/>
    <w:link w:val="Heading8"/>
    <w:uiPriority w:val="9"/>
    <w:semiHidden/>
    <w:rsid w:val="009E0C94"/>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9E0C94"/>
    <w:rPr>
      <w:rFonts w:ascii="Calibri Light" w:eastAsia="Times New Roman" w:hAnsi="Calibri Light" w:cs="Times New Roman"/>
      <w:i/>
      <w:iCs/>
      <w:color w:val="272727"/>
      <w:sz w:val="21"/>
      <w:szCs w:val="21"/>
    </w:rPr>
  </w:style>
  <w:style w:type="table" w:styleId="TableGrid">
    <w:name w:val="Table Grid"/>
    <w:basedOn w:val="TableNormal"/>
    <w:uiPriority w:val="39"/>
    <w:rsid w:val="009E0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1"/>
      </w:numPr>
    </w:pPr>
  </w:style>
  <w:style w:type="paragraph" w:styleId="CommentText">
    <w:name w:val="annotation text"/>
    <w:basedOn w:val="Normal"/>
    <w:link w:val="CommentTextChar"/>
    <w:semiHidden/>
    <w:rsid w:val="00052B47"/>
    <w:pPr>
      <w:jc w:val="left"/>
    </w:pPr>
    <w:rPr>
      <w:rFonts w:eastAsia="Times New Roman"/>
      <w:color w:val="000000"/>
      <w:szCs w:val="20"/>
      <w:lang w:val="en-GB" w:eastAsia="en-GB"/>
    </w:rPr>
  </w:style>
  <w:style w:type="character" w:customStyle="1" w:styleId="CommentTextChar">
    <w:name w:val="Comment Text Char"/>
    <w:link w:val="CommentText"/>
    <w:semiHidden/>
    <w:rsid w:val="00052B47"/>
    <w:rPr>
      <w:rFonts w:ascii="Arial" w:eastAsia="Times New Roman" w:hAnsi="Arial" w:cs="Times New Roman"/>
      <w:color w:val="000000"/>
      <w:sz w:val="20"/>
      <w:szCs w:val="20"/>
      <w:lang w:val="en-GB" w:eastAsia="en-GB"/>
    </w:rPr>
  </w:style>
  <w:style w:type="paragraph" w:customStyle="1" w:styleId="TOC">
    <w:name w:val="TOC"/>
    <w:basedOn w:val="TOC3"/>
    <w:link w:val="TOCChar"/>
    <w:qFormat/>
    <w:rsid w:val="005810BD"/>
    <w:pPr>
      <w:tabs>
        <w:tab w:val="left" w:pos="1320"/>
        <w:tab w:val="right" w:leader="dot" w:pos="9016"/>
      </w:tabs>
    </w:pPr>
    <w:rPr>
      <w:i/>
      <w:noProof/>
    </w:rPr>
  </w:style>
  <w:style w:type="paragraph" w:customStyle="1" w:styleId="Pa16">
    <w:name w:val="Pa16"/>
    <w:basedOn w:val="Normal"/>
    <w:next w:val="Normal"/>
    <w:uiPriority w:val="99"/>
    <w:rsid w:val="007713CC"/>
    <w:pPr>
      <w:autoSpaceDE w:val="0"/>
      <w:autoSpaceDN w:val="0"/>
      <w:adjustRightInd w:val="0"/>
      <w:spacing w:line="221" w:lineRule="atLeast"/>
      <w:jc w:val="left"/>
    </w:pPr>
    <w:rPr>
      <w:rFonts w:cs="Arial"/>
      <w:sz w:val="24"/>
      <w:szCs w:val="24"/>
      <w:lang w:eastAsia="en-ZA"/>
    </w:rPr>
  </w:style>
  <w:style w:type="character" w:customStyle="1" w:styleId="TOC3Char">
    <w:name w:val="TOC 3 Char"/>
    <w:link w:val="TOC3"/>
    <w:uiPriority w:val="39"/>
    <w:rsid w:val="005810BD"/>
    <w:rPr>
      <w:rFonts w:ascii="Arial" w:eastAsia="Times New Roman" w:hAnsi="Arial" w:cs="Times New Roman"/>
      <w:sz w:val="20"/>
      <w:lang w:val="en-US"/>
    </w:rPr>
  </w:style>
  <w:style w:type="character" w:customStyle="1" w:styleId="TOCChar">
    <w:name w:val="TOC Char"/>
    <w:link w:val="TOC"/>
    <w:rsid w:val="005810BD"/>
    <w:rPr>
      <w:rFonts w:ascii="Arial" w:eastAsia="Times New Roman" w:hAnsi="Arial" w:cs="Times New Roman"/>
      <w:i/>
      <w:noProof/>
      <w:sz w:val="20"/>
      <w:lang w:val="en-US"/>
    </w:rPr>
  </w:style>
  <w:style w:type="character" w:customStyle="1" w:styleId="A0">
    <w:name w:val="A0"/>
    <w:uiPriority w:val="99"/>
    <w:rsid w:val="007713CC"/>
    <w:rPr>
      <w:color w:val="000000"/>
      <w:sz w:val="16"/>
      <w:szCs w:val="16"/>
    </w:rPr>
  </w:style>
  <w:style w:type="character" w:customStyle="1" w:styleId="A11">
    <w:name w:val="A11"/>
    <w:uiPriority w:val="99"/>
    <w:rsid w:val="007713CC"/>
    <w:rPr>
      <w:color w:val="000000"/>
      <w:sz w:val="9"/>
      <w:szCs w:val="9"/>
    </w:rPr>
  </w:style>
  <w:style w:type="paragraph" w:customStyle="1" w:styleId="Default">
    <w:name w:val="Default"/>
    <w:rsid w:val="00391575"/>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E74277"/>
    <w:pPr>
      <w:spacing w:line="221" w:lineRule="atLeast"/>
    </w:pPr>
    <w:rPr>
      <w:color w:val="auto"/>
    </w:rPr>
  </w:style>
  <w:style w:type="paragraph" w:styleId="FootnoteText">
    <w:name w:val="footnote text"/>
    <w:aliases w:val="Footnote Text Char1,Footnote Text Char Char,fn Char,ft,a footnote text,Char Char Char,Footnote Text Char1 Char Char,Footnote Text Char Char Char Char,Footnote Text Char1 Char1 Char1 Char Char,Footnote Text Char Char Char1 Char1 Char Char"/>
    <w:basedOn w:val="Normal"/>
    <w:link w:val="FootnoteTextChar"/>
    <w:uiPriority w:val="99"/>
    <w:unhideWhenUsed/>
    <w:qFormat/>
    <w:rsid w:val="007F3FCD"/>
    <w:pPr>
      <w:spacing w:line="240" w:lineRule="auto"/>
    </w:pPr>
    <w:rPr>
      <w:rFonts w:eastAsiaTheme="minorHAnsi" w:cstheme="minorBidi"/>
      <w:szCs w:val="20"/>
    </w:rPr>
  </w:style>
  <w:style w:type="character" w:customStyle="1" w:styleId="FootnoteTextChar">
    <w:name w:val="Footnote Text Char"/>
    <w:aliases w:val="Footnote Text Char1 Char,Footnote Text Char Char Char,fn Char Char,ft Char,a footnote text Char,Char Char Char Char,Footnote Text Char1 Char Char Char,Footnote Text Char Char Char Char Char"/>
    <w:basedOn w:val="DefaultParagraphFont"/>
    <w:link w:val="FootnoteText"/>
    <w:uiPriority w:val="99"/>
    <w:rsid w:val="007F3FCD"/>
    <w:rPr>
      <w:rFonts w:ascii="Arial" w:eastAsiaTheme="minorHAnsi" w:hAnsi="Arial" w:cstheme="minorBidi"/>
      <w:lang w:eastAsia="en-US"/>
    </w:rPr>
  </w:style>
  <w:style w:type="character" w:styleId="FootnoteReference">
    <w:name w:val="footnote reference"/>
    <w:aliases w:val="ftref,JCL Footnote Reference"/>
    <w:basedOn w:val="DefaultParagraphFont"/>
    <w:uiPriority w:val="99"/>
    <w:unhideWhenUsed/>
    <w:qFormat/>
    <w:rsid w:val="007F3FCD"/>
    <w:rPr>
      <w:vertAlign w:val="superscript"/>
    </w:rPr>
  </w:style>
  <w:style w:type="paragraph" w:customStyle="1" w:styleId="Pa6">
    <w:name w:val="Pa6"/>
    <w:basedOn w:val="Default"/>
    <w:next w:val="Default"/>
    <w:uiPriority w:val="99"/>
    <w:rsid w:val="00FF44B4"/>
    <w:pPr>
      <w:spacing w:line="221" w:lineRule="atLeast"/>
    </w:pPr>
    <w:rPr>
      <w:color w:val="auto"/>
    </w:rPr>
  </w:style>
  <w:style w:type="paragraph" w:styleId="BalloonText">
    <w:name w:val="Balloon Text"/>
    <w:basedOn w:val="Normal"/>
    <w:link w:val="BalloonTextChar"/>
    <w:uiPriority w:val="99"/>
    <w:semiHidden/>
    <w:unhideWhenUsed/>
    <w:rsid w:val="00CC70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0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031364"/>
    <w:rPr>
      <w:sz w:val="16"/>
      <w:szCs w:val="16"/>
    </w:rPr>
  </w:style>
  <w:style w:type="paragraph" w:styleId="CommentSubject">
    <w:name w:val="annotation subject"/>
    <w:basedOn w:val="CommentText"/>
    <w:next w:val="CommentText"/>
    <w:link w:val="CommentSubjectChar"/>
    <w:uiPriority w:val="99"/>
    <w:semiHidden/>
    <w:unhideWhenUsed/>
    <w:rsid w:val="00031364"/>
    <w:pPr>
      <w:spacing w:line="240" w:lineRule="auto"/>
      <w:jc w:val="both"/>
    </w:pPr>
    <w:rPr>
      <w:rFonts w:eastAsia="Calibri"/>
      <w:b/>
      <w:bCs/>
      <w:color w:val="auto"/>
      <w:lang w:val="en-ZA" w:eastAsia="en-US"/>
    </w:rPr>
  </w:style>
  <w:style w:type="character" w:customStyle="1" w:styleId="CommentSubjectChar">
    <w:name w:val="Comment Subject Char"/>
    <w:basedOn w:val="CommentTextChar"/>
    <w:link w:val="CommentSubject"/>
    <w:uiPriority w:val="99"/>
    <w:semiHidden/>
    <w:rsid w:val="00031364"/>
    <w:rPr>
      <w:rFonts w:ascii="Arial" w:eastAsia="Times New Roman" w:hAnsi="Arial" w:cs="Times New Roman"/>
      <w:b/>
      <w:bCs/>
      <w:color w:val="000000"/>
      <w:sz w:val="20"/>
      <w:szCs w:val="20"/>
      <w:lang w:val="en-GB" w:eastAsia="en-US"/>
    </w:rPr>
  </w:style>
  <w:style w:type="paragraph" w:customStyle="1" w:styleId="ImportWordListStyleDefinition20">
    <w:name w:val="Import Word List Style Definition 20"/>
    <w:uiPriority w:val="99"/>
    <w:semiHidden/>
    <w:rsid w:val="007F3B20"/>
    <w:pPr>
      <w:numPr>
        <w:numId w:val="3"/>
      </w:numPr>
    </w:pPr>
    <w:rPr>
      <w:rFonts w:ascii="Times New Roman" w:eastAsia="Times New Roman" w:hAnsi="Times New Roman"/>
    </w:rPr>
  </w:style>
  <w:style w:type="paragraph" w:customStyle="1" w:styleId="Pa15">
    <w:name w:val="Pa15"/>
    <w:basedOn w:val="Default"/>
    <w:next w:val="Default"/>
    <w:uiPriority w:val="99"/>
    <w:rsid w:val="000C2687"/>
    <w:pPr>
      <w:spacing w:line="201" w:lineRule="atLeast"/>
    </w:pPr>
    <w:rPr>
      <w:rFonts w:ascii="Helvetica LT Std Light" w:hAnsi="Helvetica LT Std Light" w:cs="Times New Roman"/>
      <w:color w:val="auto"/>
    </w:rPr>
  </w:style>
  <w:style w:type="character" w:customStyle="1" w:styleId="A8">
    <w:name w:val="A8"/>
    <w:uiPriority w:val="99"/>
    <w:rsid w:val="000C2687"/>
    <w:rPr>
      <w:rFonts w:ascii="Helvetica LT Std" w:hAnsi="Helvetica LT Std" w:cs="Helvetica LT Std"/>
      <w:color w:val="000000"/>
      <w:sz w:val="11"/>
      <w:szCs w:val="11"/>
    </w:rPr>
  </w:style>
  <w:style w:type="character" w:customStyle="1" w:styleId="A6">
    <w:name w:val="A6"/>
    <w:uiPriority w:val="99"/>
    <w:rsid w:val="00FF38DD"/>
    <w:rPr>
      <w:rFonts w:ascii="Calibri" w:hAnsi="Calibri" w:cs="Calibri"/>
      <w:color w:val="000000"/>
      <w:sz w:val="36"/>
      <w:szCs w:val="36"/>
    </w:rPr>
  </w:style>
  <w:style w:type="paragraph" w:customStyle="1" w:styleId="Pa24">
    <w:name w:val="Pa24"/>
    <w:basedOn w:val="Default"/>
    <w:next w:val="Default"/>
    <w:uiPriority w:val="99"/>
    <w:rsid w:val="00A73A2D"/>
    <w:pPr>
      <w:spacing w:line="141" w:lineRule="atLeast"/>
    </w:pPr>
    <w:rPr>
      <w:rFonts w:ascii="Helvetica LT Std Light" w:hAnsi="Helvetica LT Std Light" w:cs="Times New Roman"/>
      <w:color w:val="auto"/>
    </w:rPr>
  </w:style>
  <w:style w:type="paragraph" w:styleId="NormalWeb">
    <w:name w:val="Normal (Web)"/>
    <w:basedOn w:val="Normal"/>
    <w:uiPriority w:val="99"/>
    <w:semiHidden/>
    <w:unhideWhenUsed/>
    <w:rsid w:val="0090796C"/>
    <w:pPr>
      <w:spacing w:before="100" w:beforeAutospacing="1" w:after="100" w:afterAutospacing="1" w:line="240" w:lineRule="auto"/>
      <w:jc w:val="left"/>
    </w:pPr>
    <w:rPr>
      <w:rFonts w:eastAsia="Times New Roman"/>
      <w:sz w:val="24"/>
      <w:szCs w:val="24"/>
      <w:lang w:eastAsia="en-ZA"/>
    </w:rPr>
  </w:style>
  <w:style w:type="paragraph" w:customStyle="1" w:styleId="Pa5">
    <w:name w:val="Pa5"/>
    <w:basedOn w:val="Default"/>
    <w:next w:val="Default"/>
    <w:uiPriority w:val="99"/>
    <w:rsid w:val="008E0807"/>
    <w:pPr>
      <w:spacing w:line="181" w:lineRule="atLeast"/>
    </w:pPr>
    <w:rPr>
      <w:rFonts w:ascii="HelveticaNeueLT Std Thin Cn" w:hAnsi="HelveticaNeueLT Std Thin Cn" w:cs="Times New Roman"/>
      <w:color w:val="auto"/>
    </w:rPr>
  </w:style>
  <w:style w:type="character" w:customStyle="1" w:styleId="A9">
    <w:name w:val="A9"/>
    <w:uiPriority w:val="99"/>
    <w:rsid w:val="00AA5E49"/>
    <w:rPr>
      <w:rFonts w:cs="HelveticaNeueLT Std Thin Cn"/>
      <w:color w:val="000000"/>
      <w:sz w:val="12"/>
      <w:szCs w:val="12"/>
    </w:rPr>
  </w:style>
  <w:style w:type="paragraph" w:customStyle="1" w:styleId="Pa13">
    <w:name w:val="Pa13"/>
    <w:basedOn w:val="Default"/>
    <w:next w:val="Default"/>
    <w:uiPriority w:val="99"/>
    <w:rsid w:val="00E27244"/>
    <w:pPr>
      <w:spacing w:line="221" w:lineRule="atLeast"/>
    </w:pPr>
    <w:rPr>
      <w:rFonts w:ascii="HelveticaNeueLT Std Thin Cn" w:hAnsi="HelveticaNeueLT Std Thin Cn" w:cs="Times New Roman"/>
      <w:color w:val="auto"/>
    </w:rPr>
  </w:style>
  <w:style w:type="character" w:customStyle="1" w:styleId="A10">
    <w:name w:val="A10"/>
    <w:uiPriority w:val="99"/>
    <w:rsid w:val="00E27244"/>
    <w:rPr>
      <w:rFonts w:ascii="Arial" w:hAnsi="Arial" w:cs="Arial"/>
      <w:b/>
      <w:bCs/>
      <w:color w:val="000000"/>
      <w:sz w:val="16"/>
      <w:szCs w:val="16"/>
    </w:rPr>
  </w:style>
  <w:style w:type="paragraph" w:customStyle="1" w:styleId="Pa17">
    <w:name w:val="Pa17"/>
    <w:basedOn w:val="Default"/>
    <w:next w:val="Default"/>
    <w:uiPriority w:val="99"/>
    <w:rsid w:val="00BB66D0"/>
    <w:pPr>
      <w:spacing w:line="221" w:lineRule="atLeast"/>
    </w:pPr>
    <w:rPr>
      <w:rFonts w:ascii="HelveticaNeueLT Std Thin Cn" w:hAnsi="HelveticaNeueLT Std Thin Cn" w:cs="Times New Roman"/>
      <w:color w:val="auto"/>
    </w:rPr>
  </w:style>
  <w:style w:type="character" w:customStyle="1" w:styleId="ListParagraphChar">
    <w:name w:val="List Paragraph Char"/>
    <w:aliases w:val="heading 2 Char,Bullets Char,List Paragraph 1 Char,List Paragraph1 Char,Table of contents numbered Char,footer text Char,Chapter Numbering Char,Bullet 1 Char,List Paragraph Char Char Char,b1 Char,Colorful List - Accent 11 Char"/>
    <w:link w:val="ListParagraph"/>
    <w:uiPriority w:val="1"/>
    <w:qFormat/>
    <w:locked/>
    <w:rsid w:val="00567CCD"/>
    <w:rPr>
      <w:rFonts w:ascii="Times New Roman" w:hAnsi="Times New Roman"/>
      <w:sz w:val="22"/>
      <w:szCs w:val="22"/>
      <w:lang w:eastAsia="en-US"/>
    </w:rPr>
  </w:style>
  <w:style w:type="character" w:styleId="FollowedHyperlink">
    <w:name w:val="FollowedHyperlink"/>
    <w:basedOn w:val="DefaultParagraphFont"/>
    <w:uiPriority w:val="99"/>
    <w:semiHidden/>
    <w:unhideWhenUsed/>
    <w:rsid w:val="00567CC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3820230">
      <w:bodyDiv w:val="1"/>
      <w:marLeft w:val="0"/>
      <w:marRight w:val="0"/>
      <w:marTop w:val="0"/>
      <w:marBottom w:val="0"/>
      <w:divBdr>
        <w:top w:val="none" w:sz="0" w:space="0" w:color="auto"/>
        <w:left w:val="none" w:sz="0" w:space="0" w:color="auto"/>
        <w:bottom w:val="none" w:sz="0" w:space="0" w:color="auto"/>
        <w:right w:val="none" w:sz="0" w:space="0" w:color="auto"/>
      </w:divBdr>
    </w:div>
    <w:div w:id="60715481">
      <w:bodyDiv w:val="1"/>
      <w:marLeft w:val="0"/>
      <w:marRight w:val="0"/>
      <w:marTop w:val="0"/>
      <w:marBottom w:val="0"/>
      <w:divBdr>
        <w:top w:val="none" w:sz="0" w:space="0" w:color="auto"/>
        <w:left w:val="none" w:sz="0" w:space="0" w:color="auto"/>
        <w:bottom w:val="none" w:sz="0" w:space="0" w:color="auto"/>
        <w:right w:val="none" w:sz="0" w:space="0" w:color="auto"/>
      </w:divBdr>
    </w:div>
    <w:div w:id="82455960">
      <w:bodyDiv w:val="1"/>
      <w:marLeft w:val="0"/>
      <w:marRight w:val="0"/>
      <w:marTop w:val="0"/>
      <w:marBottom w:val="0"/>
      <w:divBdr>
        <w:top w:val="none" w:sz="0" w:space="0" w:color="auto"/>
        <w:left w:val="none" w:sz="0" w:space="0" w:color="auto"/>
        <w:bottom w:val="none" w:sz="0" w:space="0" w:color="auto"/>
        <w:right w:val="none" w:sz="0" w:space="0" w:color="auto"/>
      </w:divBdr>
    </w:div>
    <w:div w:id="103547109">
      <w:bodyDiv w:val="1"/>
      <w:marLeft w:val="0"/>
      <w:marRight w:val="0"/>
      <w:marTop w:val="0"/>
      <w:marBottom w:val="0"/>
      <w:divBdr>
        <w:top w:val="none" w:sz="0" w:space="0" w:color="auto"/>
        <w:left w:val="none" w:sz="0" w:space="0" w:color="auto"/>
        <w:bottom w:val="none" w:sz="0" w:space="0" w:color="auto"/>
        <w:right w:val="none" w:sz="0" w:space="0" w:color="auto"/>
      </w:divBdr>
    </w:div>
    <w:div w:id="131407506">
      <w:bodyDiv w:val="1"/>
      <w:marLeft w:val="0"/>
      <w:marRight w:val="0"/>
      <w:marTop w:val="0"/>
      <w:marBottom w:val="0"/>
      <w:divBdr>
        <w:top w:val="none" w:sz="0" w:space="0" w:color="auto"/>
        <w:left w:val="none" w:sz="0" w:space="0" w:color="auto"/>
        <w:bottom w:val="none" w:sz="0" w:space="0" w:color="auto"/>
        <w:right w:val="none" w:sz="0" w:space="0" w:color="auto"/>
      </w:divBdr>
    </w:div>
    <w:div w:id="196235541">
      <w:bodyDiv w:val="1"/>
      <w:marLeft w:val="0"/>
      <w:marRight w:val="0"/>
      <w:marTop w:val="0"/>
      <w:marBottom w:val="0"/>
      <w:divBdr>
        <w:top w:val="none" w:sz="0" w:space="0" w:color="auto"/>
        <w:left w:val="none" w:sz="0" w:space="0" w:color="auto"/>
        <w:bottom w:val="none" w:sz="0" w:space="0" w:color="auto"/>
        <w:right w:val="none" w:sz="0" w:space="0" w:color="auto"/>
      </w:divBdr>
    </w:div>
    <w:div w:id="203639917">
      <w:bodyDiv w:val="1"/>
      <w:marLeft w:val="0"/>
      <w:marRight w:val="0"/>
      <w:marTop w:val="0"/>
      <w:marBottom w:val="0"/>
      <w:divBdr>
        <w:top w:val="none" w:sz="0" w:space="0" w:color="auto"/>
        <w:left w:val="none" w:sz="0" w:space="0" w:color="auto"/>
        <w:bottom w:val="none" w:sz="0" w:space="0" w:color="auto"/>
        <w:right w:val="none" w:sz="0" w:space="0" w:color="auto"/>
      </w:divBdr>
    </w:div>
    <w:div w:id="329523632">
      <w:bodyDiv w:val="1"/>
      <w:marLeft w:val="0"/>
      <w:marRight w:val="0"/>
      <w:marTop w:val="0"/>
      <w:marBottom w:val="0"/>
      <w:divBdr>
        <w:top w:val="none" w:sz="0" w:space="0" w:color="auto"/>
        <w:left w:val="none" w:sz="0" w:space="0" w:color="auto"/>
        <w:bottom w:val="none" w:sz="0" w:space="0" w:color="auto"/>
        <w:right w:val="none" w:sz="0" w:space="0" w:color="auto"/>
      </w:divBdr>
    </w:div>
    <w:div w:id="357202971">
      <w:bodyDiv w:val="1"/>
      <w:marLeft w:val="0"/>
      <w:marRight w:val="0"/>
      <w:marTop w:val="0"/>
      <w:marBottom w:val="0"/>
      <w:divBdr>
        <w:top w:val="none" w:sz="0" w:space="0" w:color="auto"/>
        <w:left w:val="none" w:sz="0" w:space="0" w:color="auto"/>
        <w:bottom w:val="none" w:sz="0" w:space="0" w:color="auto"/>
        <w:right w:val="none" w:sz="0" w:space="0" w:color="auto"/>
      </w:divBdr>
    </w:div>
    <w:div w:id="368191354">
      <w:bodyDiv w:val="1"/>
      <w:marLeft w:val="0"/>
      <w:marRight w:val="0"/>
      <w:marTop w:val="0"/>
      <w:marBottom w:val="0"/>
      <w:divBdr>
        <w:top w:val="none" w:sz="0" w:space="0" w:color="auto"/>
        <w:left w:val="none" w:sz="0" w:space="0" w:color="auto"/>
        <w:bottom w:val="none" w:sz="0" w:space="0" w:color="auto"/>
        <w:right w:val="none" w:sz="0" w:space="0" w:color="auto"/>
      </w:divBdr>
      <w:divsChild>
        <w:div w:id="1947153183">
          <w:marLeft w:val="547"/>
          <w:marRight w:val="0"/>
          <w:marTop w:val="72"/>
          <w:marBottom w:val="0"/>
          <w:divBdr>
            <w:top w:val="none" w:sz="0" w:space="0" w:color="auto"/>
            <w:left w:val="none" w:sz="0" w:space="0" w:color="auto"/>
            <w:bottom w:val="none" w:sz="0" w:space="0" w:color="auto"/>
            <w:right w:val="none" w:sz="0" w:space="0" w:color="auto"/>
          </w:divBdr>
        </w:div>
        <w:div w:id="1781945971">
          <w:marLeft w:val="547"/>
          <w:marRight w:val="0"/>
          <w:marTop w:val="72"/>
          <w:marBottom w:val="0"/>
          <w:divBdr>
            <w:top w:val="none" w:sz="0" w:space="0" w:color="auto"/>
            <w:left w:val="none" w:sz="0" w:space="0" w:color="auto"/>
            <w:bottom w:val="none" w:sz="0" w:space="0" w:color="auto"/>
            <w:right w:val="none" w:sz="0" w:space="0" w:color="auto"/>
          </w:divBdr>
        </w:div>
      </w:divsChild>
    </w:div>
    <w:div w:id="392312709">
      <w:bodyDiv w:val="1"/>
      <w:marLeft w:val="0"/>
      <w:marRight w:val="0"/>
      <w:marTop w:val="0"/>
      <w:marBottom w:val="0"/>
      <w:divBdr>
        <w:top w:val="none" w:sz="0" w:space="0" w:color="auto"/>
        <w:left w:val="none" w:sz="0" w:space="0" w:color="auto"/>
        <w:bottom w:val="none" w:sz="0" w:space="0" w:color="auto"/>
        <w:right w:val="none" w:sz="0" w:space="0" w:color="auto"/>
      </w:divBdr>
    </w:div>
    <w:div w:id="508761327">
      <w:bodyDiv w:val="1"/>
      <w:marLeft w:val="0"/>
      <w:marRight w:val="0"/>
      <w:marTop w:val="0"/>
      <w:marBottom w:val="0"/>
      <w:divBdr>
        <w:top w:val="none" w:sz="0" w:space="0" w:color="auto"/>
        <w:left w:val="none" w:sz="0" w:space="0" w:color="auto"/>
        <w:bottom w:val="none" w:sz="0" w:space="0" w:color="auto"/>
        <w:right w:val="none" w:sz="0" w:space="0" w:color="auto"/>
      </w:divBdr>
    </w:div>
    <w:div w:id="544950099">
      <w:bodyDiv w:val="1"/>
      <w:marLeft w:val="0"/>
      <w:marRight w:val="0"/>
      <w:marTop w:val="0"/>
      <w:marBottom w:val="0"/>
      <w:divBdr>
        <w:top w:val="none" w:sz="0" w:space="0" w:color="auto"/>
        <w:left w:val="none" w:sz="0" w:space="0" w:color="auto"/>
        <w:bottom w:val="none" w:sz="0" w:space="0" w:color="auto"/>
        <w:right w:val="none" w:sz="0" w:space="0" w:color="auto"/>
      </w:divBdr>
    </w:div>
    <w:div w:id="555513803">
      <w:bodyDiv w:val="1"/>
      <w:marLeft w:val="0"/>
      <w:marRight w:val="0"/>
      <w:marTop w:val="0"/>
      <w:marBottom w:val="0"/>
      <w:divBdr>
        <w:top w:val="none" w:sz="0" w:space="0" w:color="auto"/>
        <w:left w:val="none" w:sz="0" w:space="0" w:color="auto"/>
        <w:bottom w:val="none" w:sz="0" w:space="0" w:color="auto"/>
        <w:right w:val="none" w:sz="0" w:space="0" w:color="auto"/>
      </w:divBdr>
    </w:div>
    <w:div w:id="569929685">
      <w:bodyDiv w:val="1"/>
      <w:marLeft w:val="0"/>
      <w:marRight w:val="0"/>
      <w:marTop w:val="0"/>
      <w:marBottom w:val="0"/>
      <w:divBdr>
        <w:top w:val="none" w:sz="0" w:space="0" w:color="auto"/>
        <w:left w:val="none" w:sz="0" w:space="0" w:color="auto"/>
        <w:bottom w:val="none" w:sz="0" w:space="0" w:color="auto"/>
        <w:right w:val="none" w:sz="0" w:space="0" w:color="auto"/>
      </w:divBdr>
    </w:div>
    <w:div w:id="595406160">
      <w:bodyDiv w:val="1"/>
      <w:marLeft w:val="0"/>
      <w:marRight w:val="0"/>
      <w:marTop w:val="0"/>
      <w:marBottom w:val="0"/>
      <w:divBdr>
        <w:top w:val="none" w:sz="0" w:space="0" w:color="auto"/>
        <w:left w:val="none" w:sz="0" w:space="0" w:color="auto"/>
        <w:bottom w:val="none" w:sz="0" w:space="0" w:color="auto"/>
        <w:right w:val="none" w:sz="0" w:space="0" w:color="auto"/>
      </w:divBdr>
    </w:div>
    <w:div w:id="699404239">
      <w:bodyDiv w:val="1"/>
      <w:marLeft w:val="0"/>
      <w:marRight w:val="0"/>
      <w:marTop w:val="0"/>
      <w:marBottom w:val="0"/>
      <w:divBdr>
        <w:top w:val="none" w:sz="0" w:space="0" w:color="auto"/>
        <w:left w:val="none" w:sz="0" w:space="0" w:color="auto"/>
        <w:bottom w:val="none" w:sz="0" w:space="0" w:color="auto"/>
        <w:right w:val="none" w:sz="0" w:space="0" w:color="auto"/>
      </w:divBdr>
    </w:div>
    <w:div w:id="704714925">
      <w:bodyDiv w:val="1"/>
      <w:marLeft w:val="0"/>
      <w:marRight w:val="0"/>
      <w:marTop w:val="0"/>
      <w:marBottom w:val="0"/>
      <w:divBdr>
        <w:top w:val="none" w:sz="0" w:space="0" w:color="auto"/>
        <w:left w:val="none" w:sz="0" w:space="0" w:color="auto"/>
        <w:bottom w:val="none" w:sz="0" w:space="0" w:color="auto"/>
        <w:right w:val="none" w:sz="0" w:space="0" w:color="auto"/>
      </w:divBdr>
    </w:div>
    <w:div w:id="717902499">
      <w:bodyDiv w:val="1"/>
      <w:marLeft w:val="0"/>
      <w:marRight w:val="0"/>
      <w:marTop w:val="0"/>
      <w:marBottom w:val="0"/>
      <w:divBdr>
        <w:top w:val="none" w:sz="0" w:space="0" w:color="auto"/>
        <w:left w:val="none" w:sz="0" w:space="0" w:color="auto"/>
        <w:bottom w:val="none" w:sz="0" w:space="0" w:color="auto"/>
        <w:right w:val="none" w:sz="0" w:space="0" w:color="auto"/>
      </w:divBdr>
    </w:div>
    <w:div w:id="727456821">
      <w:bodyDiv w:val="1"/>
      <w:marLeft w:val="0"/>
      <w:marRight w:val="0"/>
      <w:marTop w:val="0"/>
      <w:marBottom w:val="0"/>
      <w:divBdr>
        <w:top w:val="none" w:sz="0" w:space="0" w:color="auto"/>
        <w:left w:val="none" w:sz="0" w:space="0" w:color="auto"/>
        <w:bottom w:val="none" w:sz="0" w:space="0" w:color="auto"/>
        <w:right w:val="none" w:sz="0" w:space="0" w:color="auto"/>
      </w:divBdr>
      <w:divsChild>
        <w:div w:id="597760178">
          <w:marLeft w:val="547"/>
          <w:marRight w:val="0"/>
          <w:marTop w:val="82"/>
          <w:marBottom w:val="0"/>
          <w:divBdr>
            <w:top w:val="none" w:sz="0" w:space="0" w:color="auto"/>
            <w:left w:val="none" w:sz="0" w:space="0" w:color="auto"/>
            <w:bottom w:val="none" w:sz="0" w:space="0" w:color="auto"/>
            <w:right w:val="none" w:sz="0" w:space="0" w:color="auto"/>
          </w:divBdr>
        </w:div>
        <w:div w:id="1336882808">
          <w:marLeft w:val="547"/>
          <w:marRight w:val="0"/>
          <w:marTop w:val="82"/>
          <w:marBottom w:val="0"/>
          <w:divBdr>
            <w:top w:val="none" w:sz="0" w:space="0" w:color="auto"/>
            <w:left w:val="none" w:sz="0" w:space="0" w:color="auto"/>
            <w:bottom w:val="none" w:sz="0" w:space="0" w:color="auto"/>
            <w:right w:val="none" w:sz="0" w:space="0" w:color="auto"/>
          </w:divBdr>
        </w:div>
      </w:divsChild>
    </w:div>
    <w:div w:id="759180523">
      <w:bodyDiv w:val="1"/>
      <w:marLeft w:val="0"/>
      <w:marRight w:val="0"/>
      <w:marTop w:val="0"/>
      <w:marBottom w:val="0"/>
      <w:divBdr>
        <w:top w:val="none" w:sz="0" w:space="0" w:color="auto"/>
        <w:left w:val="none" w:sz="0" w:space="0" w:color="auto"/>
        <w:bottom w:val="none" w:sz="0" w:space="0" w:color="auto"/>
        <w:right w:val="none" w:sz="0" w:space="0" w:color="auto"/>
      </w:divBdr>
      <w:divsChild>
        <w:div w:id="271859394">
          <w:marLeft w:val="547"/>
          <w:marRight w:val="0"/>
          <w:marTop w:val="67"/>
          <w:marBottom w:val="0"/>
          <w:divBdr>
            <w:top w:val="none" w:sz="0" w:space="0" w:color="auto"/>
            <w:left w:val="none" w:sz="0" w:space="0" w:color="auto"/>
            <w:bottom w:val="none" w:sz="0" w:space="0" w:color="auto"/>
            <w:right w:val="none" w:sz="0" w:space="0" w:color="auto"/>
          </w:divBdr>
        </w:div>
        <w:div w:id="939602722">
          <w:marLeft w:val="547"/>
          <w:marRight w:val="0"/>
          <w:marTop w:val="67"/>
          <w:marBottom w:val="0"/>
          <w:divBdr>
            <w:top w:val="none" w:sz="0" w:space="0" w:color="auto"/>
            <w:left w:val="none" w:sz="0" w:space="0" w:color="auto"/>
            <w:bottom w:val="none" w:sz="0" w:space="0" w:color="auto"/>
            <w:right w:val="none" w:sz="0" w:space="0" w:color="auto"/>
          </w:divBdr>
        </w:div>
      </w:divsChild>
    </w:div>
    <w:div w:id="760881174">
      <w:bodyDiv w:val="1"/>
      <w:marLeft w:val="0"/>
      <w:marRight w:val="0"/>
      <w:marTop w:val="0"/>
      <w:marBottom w:val="0"/>
      <w:divBdr>
        <w:top w:val="none" w:sz="0" w:space="0" w:color="auto"/>
        <w:left w:val="none" w:sz="0" w:space="0" w:color="auto"/>
        <w:bottom w:val="none" w:sz="0" w:space="0" w:color="auto"/>
        <w:right w:val="none" w:sz="0" w:space="0" w:color="auto"/>
      </w:divBdr>
      <w:divsChild>
        <w:div w:id="1433549392">
          <w:marLeft w:val="547"/>
          <w:marRight w:val="0"/>
          <w:marTop w:val="77"/>
          <w:marBottom w:val="0"/>
          <w:divBdr>
            <w:top w:val="none" w:sz="0" w:space="0" w:color="auto"/>
            <w:left w:val="none" w:sz="0" w:space="0" w:color="auto"/>
            <w:bottom w:val="none" w:sz="0" w:space="0" w:color="auto"/>
            <w:right w:val="none" w:sz="0" w:space="0" w:color="auto"/>
          </w:divBdr>
        </w:div>
      </w:divsChild>
    </w:div>
    <w:div w:id="777526355">
      <w:bodyDiv w:val="1"/>
      <w:marLeft w:val="0"/>
      <w:marRight w:val="0"/>
      <w:marTop w:val="0"/>
      <w:marBottom w:val="0"/>
      <w:divBdr>
        <w:top w:val="none" w:sz="0" w:space="0" w:color="auto"/>
        <w:left w:val="none" w:sz="0" w:space="0" w:color="auto"/>
        <w:bottom w:val="none" w:sz="0" w:space="0" w:color="auto"/>
        <w:right w:val="none" w:sz="0" w:space="0" w:color="auto"/>
      </w:divBdr>
    </w:div>
    <w:div w:id="843712568">
      <w:bodyDiv w:val="1"/>
      <w:marLeft w:val="0"/>
      <w:marRight w:val="0"/>
      <w:marTop w:val="0"/>
      <w:marBottom w:val="0"/>
      <w:divBdr>
        <w:top w:val="none" w:sz="0" w:space="0" w:color="auto"/>
        <w:left w:val="none" w:sz="0" w:space="0" w:color="auto"/>
        <w:bottom w:val="none" w:sz="0" w:space="0" w:color="auto"/>
        <w:right w:val="none" w:sz="0" w:space="0" w:color="auto"/>
      </w:divBdr>
    </w:div>
    <w:div w:id="844825528">
      <w:bodyDiv w:val="1"/>
      <w:marLeft w:val="0"/>
      <w:marRight w:val="0"/>
      <w:marTop w:val="0"/>
      <w:marBottom w:val="0"/>
      <w:divBdr>
        <w:top w:val="none" w:sz="0" w:space="0" w:color="auto"/>
        <w:left w:val="none" w:sz="0" w:space="0" w:color="auto"/>
        <w:bottom w:val="none" w:sz="0" w:space="0" w:color="auto"/>
        <w:right w:val="none" w:sz="0" w:space="0" w:color="auto"/>
      </w:divBdr>
    </w:div>
    <w:div w:id="857231787">
      <w:bodyDiv w:val="1"/>
      <w:marLeft w:val="0"/>
      <w:marRight w:val="0"/>
      <w:marTop w:val="0"/>
      <w:marBottom w:val="0"/>
      <w:divBdr>
        <w:top w:val="none" w:sz="0" w:space="0" w:color="auto"/>
        <w:left w:val="none" w:sz="0" w:space="0" w:color="auto"/>
        <w:bottom w:val="none" w:sz="0" w:space="0" w:color="auto"/>
        <w:right w:val="none" w:sz="0" w:space="0" w:color="auto"/>
      </w:divBdr>
    </w:div>
    <w:div w:id="863132636">
      <w:bodyDiv w:val="1"/>
      <w:marLeft w:val="0"/>
      <w:marRight w:val="0"/>
      <w:marTop w:val="0"/>
      <w:marBottom w:val="0"/>
      <w:divBdr>
        <w:top w:val="none" w:sz="0" w:space="0" w:color="auto"/>
        <w:left w:val="none" w:sz="0" w:space="0" w:color="auto"/>
        <w:bottom w:val="none" w:sz="0" w:space="0" w:color="auto"/>
        <w:right w:val="none" w:sz="0" w:space="0" w:color="auto"/>
      </w:divBdr>
    </w:div>
    <w:div w:id="927422160">
      <w:bodyDiv w:val="1"/>
      <w:marLeft w:val="0"/>
      <w:marRight w:val="0"/>
      <w:marTop w:val="0"/>
      <w:marBottom w:val="0"/>
      <w:divBdr>
        <w:top w:val="none" w:sz="0" w:space="0" w:color="auto"/>
        <w:left w:val="none" w:sz="0" w:space="0" w:color="auto"/>
        <w:bottom w:val="none" w:sz="0" w:space="0" w:color="auto"/>
        <w:right w:val="none" w:sz="0" w:space="0" w:color="auto"/>
      </w:divBdr>
    </w:div>
    <w:div w:id="991712515">
      <w:bodyDiv w:val="1"/>
      <w:marLeft w:val="0"/>
      <w:marRight w:val="0"/>
      <w:marTop w:val="0"/>
      <w:marBottom w:val="0"/>
      <w:divBdr>
        <w:top w:val="none" w:sz="0" w:space="0" w:color="auto"/>
        <w:left w:val="none" w:sz="0" w:space="0" w:color="auto"/>
        <w:bottom w:val="none" w:sz="0" w:space="0" w:color="auto"/>
        <w:right w:val="none" w:sz="0" w:space="0" w:color="auto"/>
      </w:divBdr>
    </w:div>
    <w:div w:id="1005666267">
      <w:bodyDiv w:val="1"/>
      <w:marLeft w:val="0"/>
      <w:marRight w:val="0"/>
      <w:marTop w:val="0"/>
      <w:marBottom w:val="0"/>
      <w:divBdr>
        <w:top w:val="none" w:sz="0" w:space="0" w:color="auto"/>
        <w:left w:val="none" w:sz="0" w:space="0" w:color="auto"/>
        <w:bottom w:val="none" w:sz="0" w:space="0" w:color="auto"/>
        <w:right w:val="none" w:sz="0" w:space="0" w:color="auto"/>
      </w:divBdr>
    </w:div>
    <w:div w:id="1041593464">
      <w:bodyDiv w:val="1"/>
      <w:marLeft w:val="0"/>
      <w:marRight w:val="0"/>
      <w:marTop w:val="0"/>
      <w:marBottom w:val="0"/>
      <w:divBdr>
        <w:top w:val="none" w:sz="0" w:space="0" w:color="auto"/>
        <w:left w:val="none" w:sz="0" w:space="0" w:color="auto"/>
        <w:bottom w:val="none" w:sz="0" w:space="0" w:color="auto"/>
        <w:right w:val="none" w:sz="0" w:space="0" w:color="auto"/>
      </w:divBdr>
      <w:divsChild>
        <w:div w:id="1786464676">
          <w:marLeft w:val="547"/>
          <w:marRight w:val="0"/>
          <w:marTop w:val="82"/>
          <w:marBottom w:val="0"/>
          <w:divBdr>
            <w:top w:val="none" w:sz="0" w:space="0" w:color="auto"/>
            <w:left w:val="none" w:sz="0" w:space="0" w:color="auto"/>
            <w:bottom w:val="none" w:sz="0" w:space="0" w:color="auto"/>
            <w:right w:val="none" w:sz="0" w:space="0" w:color="auto"/>
          </w:divBdr>
        </w:div>
      </w:divsChild>
    </w:div>
    <w:div w:id="1059860451">
      <w:bodyDiv w:val="1"/>
      <w:marLeft w:val="0"/>
      <w:marRight w:val="0"/>
      <w:marTop w:val="0"/>
      <w:marBottom w:val="0"/>
      <w:divBdr>
        <w:top w:val="none" w:sz="0" w:space="0" w:color="auto"/>
        <w:left w:val="none" w:sz="0" w:space="0" w:color="auto"/>
        <w:bottom w:val="none" w:sz="0" w:space="0" w:color="auto"/>
        <w:right w:val="none" w:sz="0" w:space="0" w:color="auto"/>
      </w:divBdr>
    </w:div>
    <w:div w:id="1068696946">
      <w:bodyDiv w:val="1"/>
      <w:marLeft w:val="0"/>
      <w:marRight w:val="0"/>
      <w:marTop w:val="0"/>
      <w:marBottom w:val="0"/>
      <w:divBdr>
        <w:top w:val="none" w:sz="0" w:space="0" w:color="auto"/>
        <w:left w:val="none" w:sz="0" w:space="0" w:color="auto"/>
        <w:bottom w:val="none" w:sz="0" w:space="0" w:color="auto"/>
        <w:right w:val="none" w:sz="0" w:space="0" w:color="auto"/>
      </w:divBdr>
    </w:div>
    <w:div w:id="1071659903">
      <w:bodyDiv w:val="1"/>
      <w:marLeft w:val="0"/>
      <w:marRight w:val="0"/>
      <w:marTop w:val="0"/>
      <w:marBottom w:val="0"/>
      <w:divBdr>
        <w:top w:val="none" w:sz="0" w:space="0" w:color="auto"/>
        <w:left w:val="none" w:sz="0" w:space="0" w:color="auto"/>
        <w:bottom w:val="none" w:sz="0" w:space="0" w:color="auto"/>
        <w:right w:val="none" w:sz="0" w:space="0" w:color="auto"/>
      </w:divBdr>
    </w:div>
    <w:div w:id="1108042373">
      <w:bodyDiv w:val="1"/>
      <w:marLeft w:val="0"/>
      <w:marRight w:val="0"/>
      <w:marTop w:val="0"/>
      <w:marBottom w:val="0"/>
      <w:divBdr>
        <w:top w:val="none" w:sz="0" w:space="0" w:color="auto"/>
        <w:left w:val="none" w:sz="0" w:space="0" w:color="auto"/>
        <w:bottom w:val="none" w:sz="0" w:space="0" w:color="auto"/>
        <w:right w:val="none" w:sz="0" w:space="0" w:color="auto"/>
      </w:divBdr>
    </w:div>
    <w:div w:id="1118453108">
      <w:bodyDiv w:val="1"/>
      <w:marLeft w:val="0"/>
      <w:marRight w:val="0"/>
      <w:marTop w:val="0"/>
      <w:marBottom w:val="0"/>
      <w:divBdr>
        <w:top w:val="none" w:sz="0" w:space="0" w:color="auto"/>
        <w:left w:val="none" w:sz="0" w:space="0" w:color="auto"/>
        <w:bottom w:val="none" w:sz="0" w:space="0" w:color="auto"/>
        <w:right w:val="none" w:sz="0" w:space="0" w:color="auto"/>
      </w:divBdr>
    </w:div>
    <w:div w:id="1138105598">
      <w:bodyDiv w:val="1"/>
      <w:marLeft w:val="0"/>
      <w:marRight w:val="0"/>
      <w:marTop w:val="0"/>
      <w:marBottom w:val="0"/>
      <w:divBdr>
        <w:top w:val="none" w:sz="0" w:space="0" w:color="auto"/>
        <w:left w:val="none" w:sz="0" w:space="0" w:color="auto"/>
        <w:bottom w:val="none" w:sz="0" w:space="0" w:color="auto"/>
        <w:right w:val="none" w:sz="0" w:space="0" w:color="auto"/>
      </w:divBdr>
    </w:div>
    <w:div w:id="1179350187">
      <w:bodyDiv w:val="1"/>
      <w:marLeft w:val="0"/>
      <w:marRight w:val="0"/>
      <w:marTop w:val="0"/>
      <w:marBottom w:val="0"/>
      <w:divBdr>
        <w:top w:val="none" w:sz="0" w:space="0" w:color="auto"/>
        <w:left w:val="none" w:sz="0" w:space="0" w:color="auto"/>
        <w:bottom w:val="none" w:sz="0" w:space="0" w:color="auto"/>
        <w:right w:val="none" w:sz="0" w:space="0" w:color="auto"/>
      </w:divBdr>
    </w:div>
    <w:div w:id="1180044269">
      <w:bodyDiv w:val="1"/>
      <w:marLeft w:val="0"/>
      <w:marRight w:val="0"/>
      <w:marTop w:val="0"/>
      <w:marBottom w:val="0"/>
      <w:divBdr>
        <w:top w:val="none" w:sz="0" w:space="0" w:color="auto"/>
        <w:left w:val="none" w:sz="0" w:space="0" w:color="auto"/>
        <w:bottom w:val="none" w:sz="0" w:space="0" w:color="auto"/>
        <w:right w:val="none" w:sz="0" w:space="0" w:color="auto"/>
      </w:divBdr>
    </w:div>
    <w:div w:id="1187715152">
      <w:bodyDiv w:val="1"/>
      <w:marLeft w:val="0"/>
      <w:marRight w:val="0"/>
      <w:marTop w:val="0"/>
      <w:marBottom w:val="0"/>
      <w:divBdr>
        <w:top w:val="none" w:sz="0" w:space="0" w:color="auto"/>
        <w:left w:val="none" w:sz="0" w:space="0" w:color="auto"/>
        <w:bottom w:val="none" w:sz="0" w:space="0" w:color="auto"/>
        <w:right w:val="none" w:sz="0" w:space="0" w:color="auto"/>
      </w:divBdr>
    </w:div>
    <w:div w:id="1239436803">
      <w:bodyDiv w:val="1"/>
      <w:marLeft w:val="0"/>
      <w:marRight w:val="0"/>
      <w:marTop w:val="0"/>
      <w:marBottom w:val="0"/>
      <w:divBdr>
        <w:top w:val="none" w:sz="0" w:space="0" w:color="auto"/>
        <w:left w:val="none" w:sz="0" w:space="0" w:color="auto"/>
        <w:bottom w:val="none" w:sz="0" w:space="0" w:color="auto"/>
        <w:right w:val="none" w:sz="0" w:space="0" w:color="auto"/>
      </w:divBdr>
    </w:div>
    <w:div w:id="1264387195">
      <w:bodyDiv w:val="1"/>
      <w:marLeft w:val="0"/>
      <w:marRight w:val="0"/>
      <w:marTop w:val="0"/>
      <w:marBottom w:val="0"/>
      <w:divBdr>
        <w:top w:val="none" w:sz="0" w:space="0" w:color="auto"/>
        <w:left w:val="none" w:sz="0" w:space="0" w:color="auto"/>
        <w:bottom w:val="none" w:sz="0" w:space="0" w:color="auto"/>
        <w:right w:val="none" w:sz="0" w:space="0" w:color="auto"/>
      </w:divBdr>
    </w:div>
    <w:div w:id="1337538749">
      <w:bodyDiv w:val="1"/>
      <w:marLeft w:val="0"/>
      <w:marRight w:val="0"/>
      <w:marTop w:val="0"/>
      <w:marBottom w:val="0"/>
      <w:divBdr>
        <w:top w:val="none" w:sz="0" w:space="0" w:color="auto"/>
        <w:left w:val="none" w:sz="0" w:space="0" w:color="auto"/>
        <w:bottom w:val="none" w:sz="0" w:space="0" w:color="auto"/>
        <w:right w:val="none" w:sz="0" w:space="0" w:color="auto"/>
      </w:divBdr>
    </w:div>
    <w:div w:id="1342588240">
      <w:bodyDiv w:val="1"/>
      <w:marLeft w:val="0"/>
      <w:marRight w:val="0"/>
      <w:marTop w:val="0"/>
      <w:marBottom w:val="0"/>
      <w:divBdr>
        <w:top w:val="none" w:sz="0" w:space="0" w:color="auto"/>
        <w:left w:val="none" w:sz="0" w:space="0" w:color="auto"/>
        <w:bottom w:val="none" w:sz="0" w:space="0" w:color="auto"/>
        <w:right w:val="none" w:sz="0" w:space="0" w:color="auto"/>
      </w:divBdr>
    </w:div>
    <w:div w:id="1347442471">
      <w:bodyDiv w:val="1"/>
      <w:marLeft w:val="0"/>
      <w:marRight w:val="0"/>
      <w:marTop w:val="0"/>
      <w:marBottom w:val="0"/>
      <w:divBdr>
        <w:top w:val="none" w:sz="0" w:space="0" w:color="auto"/>
        <w:left w:val="none" w:sz="0" w:space="0" w:color="auto"/>
        <w:bottom w:val="none" w:sz="0" w:space="0" w:color="auto"/>
        <w:right w:val="none" w:sz="0" w:space="0" w:color="auto"/>
      </w:divBdr>
    </w:div>
    <w:div w:id="1357925692">
      <w:bodyDiv w:val="1"/>
      <w:marLeft w:val="0"/>
      <w:marRight w:val="0"/>
      <w:marTop w:val="0"/>
      <w:marBottom w:val="0"/>
      <w:divBdr>
        <w:top w:val="none" w:sz="0" w:space="0" w:color="auto"/>
        <w:left w:val="none" w:sz="0" w:space="0" w:color="auto"/>
        <w:bottom w:val="none" w:sz="0" w:space="0" w:color="auto"/>
        <w:right w:val="none" w:sz="0" w:space="0" w:color="auto"/>
      </w:divBdr>
    </w:div>
    <w:div w:id="1393121079">
      <w:bodyDiv w:val="1"/>
      <w:marLeft w:val="0"/>
      <w:marRight w:val="0"/>
      <w:marTop w:val="0"/>
      <w:marBottom w:val="0"/>
      <w:divBdr>
        <w:top w:val="none" w:sz="0" w:space="0" w:color="auto"/>
        <w:left w:val="none" w:sz="0" w:space="0" w:color="auto"/>
        <w:bottom w:val="none" w:sz="0" w:space="0" w:color="auto"/>
        <w:right w:val="none" w:sz="0" w:space="0" w:color="auto"/>
      </w:divBdr>
    </w:div>
    <w:div w:id="1424377015">
      <w:bodyDiv w:val="1"/>
      <w:marLeft w:val="0"/>
      <w:marRight w:val="0"/>
      <w:marTop w:val="0"/>
      <w:marBottom w:val="0"/>
      <w:divBdr>
        <w:top w:val="none" w:sz="0" w:space="0" w:color="auto"/>
        <w:left w:val="none" w:sz="0" w:space="0" w:color="auto"/>
        <w:bottom w:val="none" w:sz="0" w:space="0" w:color="auto"/>
        <w:right w:val="none" w:sz="0" w:space="0" w:color="auto"/>
      </w:divBdr>
    </w:div>
    <w:div w:id="1469395351">
      <w:bodyDiv w:val="1"/>
      <w:marLeft w:val="0"/>
      <w:marRight w:val="0"/>
      <w:marTop w:val="0"/>
      <w:marBottom w:val="0"/>
      <w:divBdr>
        <w:top w:val="none" w:sz="0" w:space="0" w:color="auto"/>
        <w:left w:val="none" w:sz="0" w:space="0" w:color="auto"/>
        <w:bottom w:val="none" w:sz="0" w:space="0" w:color="auto"/>
        <w:right w:val="none" w:sz="0" w:space="0" w:color="auto"/>
      </w:divBdr>
    </w:div>
    <w:div w:id="1470830020">
      <w:bodyDiv w:val="1"/>
      <w:marLeft w:val="0"/>
      <w:marRight w:val="0"/>
      <w:marTop w:val="0"/>
      <w:marBottom w:val="0"/>
      <w:divBdr>
        <w:top w:val="none" w:sz="0" w:space="0" w:color="auto"/>
        <w:left w:val="none" w:sz="0" w:space="0" w:color="auto"/>
        <w:bottom w:val="none" w:sz="0" w:space="0" w:color="auto"/>
        <w:right w:val="none" w:sz="0" w:space="0" w:color="auto"/>
      </w:divBdr>
      <w:divsChild>
        <w:div w:id="493953213">
          <w:marLeft w:val="547"/>
          <w:marRight w:val="0"/>
          <w:marTop w:val="67"/>
          <w:marBottom w:val="0"/>
          <w:divBdr>
            <w:top w:val="none" w:sz="0" w:space="0" w:color="auto"/>
            <w:left w:val="none" w:sz="0" w:space="0" w:color="auto"/>
            <w:bottom w:val="none" w:sz="0" w:space="0" w:color="auto"/>
            <w:right w:val="none" w:sz="0" w:space="0" w:color="auto"/>
          </w:divBdr>
        </w:div>
        <w:div w:id="916788998">
          <w:marLeft w:val="547"/>
          <w:marRight w:val="0"/>
          <w:marTop w:val="67"/>
          <w:marBottom w:val="0"/>
          <w:divBdr>
            <w:top w:val="none" w:sz="0" w:space="0" w:color="auto"/>
            <w:left w:val="none" w:sz="0" w:space="0" w:color="auto"/>
            <w:bottom w:val="none" w:sz="0" w:space="0" w:color="auto"/>
            <w:right w:val="none" w:sz="0" w:space="0" w:color="auto"/>
          </w:divBdr>
        </w:div>
        <w:div w:id="585922138">
          <w:marLeft w:val="547"/>
          <w:marRight w:val="0"/>
          <w:marTop w:val="67"/>
          <w:marBottom w:val="0"/>
          <w:divBdr>
            <w:top w:val="none" w:sz="0" w:space="0" w:color="auto"/>
            <w:left w:val="none" w:sz="0" w:space="0" w:color="auto"/>
            <w:bottom w:val="none" w:sz="0" w:space="0" w:color="auto"/>
            <w:right w:val="none" w:sz="0" w:space="0" w:color="auto"/>
          </w:divBdr>
        </w:div>
        <w:div w:id="479538995">
          <w:marLeft w:val="547"/>
          <w:marRight w:val="0"/>
          <w:marTop w:val="67"/>
          <w:marBottom w:val="0"/>
          <w:divBdr>
            <w:top w:val="none" w:sz="0" w:space="0" w:color="auto"/>
            <w:left w:val="none" w:sz="0" w:space="0" w:color="auto"/>
            <w:bottom w:val="none" w:sz="0" w:space="0" w:color="auto"/>
            <w:right w:val="none" w:sz="0" w:space="0" w:color="auto"/>
          </w:divBdr>
        </w:div>
      </w:divsChild>
    </w:div>
    <w:div w:id="1482892864">
      <w:bodyDiv w:val="1"/>
      <w:marLeft w:val="0"/>
      <w:marRight w:val="0"/>
      <w:marTop w:val="0"/>
      <w:marBottom w:val="0"/>
      <w:divBdr>
        <w:top w:val="none" w:sz="0" w:space="0" w:color="auto"/>
        <w:left w:val="none" w:sz="0" w:space="0" w:color="auto"/>
        <w:bottom w:val="none" w:sz="0" w:space="0" w:color="auto"/>
        <w:right w:val="none" w:sz="0" w:space="0" w:color="auto"/>
      </w:divBdr>
    </w:div>
    <w:div w:id="1583760127">
      <w:bodyDiv w:val="1"/>
      <w:marLeft w:val="0"/>
      <w:marRight w:val="0"/>
      <w:marTop w:val="0"/>
      <w:marBottom w:val="0"/>
      <w:divBdr>
        <w:top w:val="none" w:sz="0" w:space="0" w:color="auto"/>
        <w:left w:val="none" w:sz="0" w:space="0" w:color="auto"/>
        <w:bottom w:val="none" w:sz="0" w:space="0" w:color="auto"/>
        <w:right w:val="none" w:sz="0" w:space="0" w:color="auto"/>
      </w:divBdr>
    </w:div>
    <w:div w:id="1656911018">
      <w:bodyDiv w:val="1"/>
      <w:marLeft w:val="0"/>
      <w:marRight w:val="0"/>
      <w:marTop w:val="0"/>
      <w:marBottom w:val="0"/>
      <w:divBdr>
        <w:top w:val="none" w:sz="0" w:space="0" w:color="auto"/>
        <w:left w:val="none" w:sz="0" w:space="0" w:color="auto"/>
        <w:bottom w:val="none" w:sz="0" w:space="0" w:color="auto"/>
        <w:right w:val="none" w:sz="0" w:space="0" w:color="auto"/>
      </w:divBdr>
    </w:div>
    <w:div w:id="1813209714">
      <w:bodyDiv w:val="1"/>
      <w:marLeft w:val="0"/>
      <w:marRight w:val="0"/>
      <w:marTop w:val="0"/>
      <w:marBottom w:val="0"/>
      <w:divBdr>
        <w:top w:val="none" w:sz="0" w:space="0" w:color="auto"/>
        <w:left w:val="none" w:sz="0" w:space="0" w:color="auto"/>
        <w:bottom w:val="none" w:sz="0" w:space="0" w:color="auto"/>
        <w:right w:val="none" w:sz="0" w:space="0" w:color="auto"/>
      </w:divBdr>
    </w:div>
    <w:div w:id="1813210544">
      <w:bodyDiv w:val="1"/>
      <w:marLeft w:val="0"/>
      <w:marRight w:val="0"/>
      <w:marTop w:val="0"/>
      <w:marBottom w:val="0"/>
      <w:divBdr>
        <w:top w:val="none" w:sz="0" w:space="0" w:color="auto"/>
        <w:left w:val="none" w:sz="0" w:space="0" w:color="auto"/>
        <w:bottom w:val="none" w:sz="0" w:space="0" w:color="auto"/>
        <w:right w:val="none" w:sz="0" w:space="0" w:color="auto"/>
      </w:divBdr>
    </w:div>
    <w:div w:id="1829855762">
      <w:bodyDiv w:val="1"/>
      <w:marLeft w:val="0"/>
      <w:marRight w:val="0"/>
      <w:marTop w:val="0"/>
      <w:marBottom w:val="0"/>
      <w:divBdr>
        <w:top w:val="none" w:sz="0" w:space="0" w:color="auto"/>
        <w:left w:val="none" w:sz="0" w:space="0" w:color="auto"/>
        <w:bottom w:val="none" w:sz="0" w:space="0" w:color="auto"/>
        <w:right w:val="none" w:sz="0" w:space="0" w:color="auto"/>
      </w:divBdr>
    </w:div>
    <w:div w:id="1848671505">
      <w:bodyDiv w:val="1"/>
      <w:marLeft w:val="0"/>
      <w:marRight w:val="0"/>
      <w:marTop w:val="0"/>
      <w:marBottom w:val="0"/>
      <w:divBdr>
        <w:top w:val="none" w:sz="0" w:space="0" w:color="auto"/>
        <w:left w:val="none" w:sz="0" w:space="0" w:color="auto"/>
        <w:bottom w:val="none" w:sz="0" w:space="0" w:color="auto"/>
        <w:right w:val="none" w:sz="0" w:space="0" w:color="auto"/>
      </w:divBdr>
      <w:divsChild>
        <w:div w:id="1067456276">
          <w:marLeft w:val="547"/>
          <w:marRight w:val="0"/>
          <w:marTop w:val="82"/>
          <w:marBottom w:val="0"/>
          <w:divBdr>
            <w:top w:val="none" w:sz="0" w:space="0" w:color="auto"/>
            <w:left w:val="none" w:sz="0" w:space="0" w:color="auto"/>
            <w:bottom w:val="none" w:sz="0" w:space="0" w:color="auto"/>
            <w:right w:val="none" w:sz="0" w:space="0" w:color="auto"/>
          </w:divBdr>
        </w:div>
        <w:div w:id="1158615511">
          <w:marLeft w:val="547"/>
          <w:marRight w:val="0"/>
          <w:marTop w:val="82"/>
          <w:marBottom w:val="0"/>
          <w:divBdr>
            <w:top w:val="none" w:sz="0" w:space="0" w:color="auto"/>
            <w:left w:val="none" w:sz="0" w:space="0" w:color="auto"/>
            <w:bottom w:val="none" w:sz="0" w:space="0" w:color="auto"/>
            <w:right w:val="none" w:sz="0" w:space="0" w:color="auto"/>
          </w:divBdr>
        </w:div>
      </w:divsChild>
    </w:div>
    <w:div w:id="1863083897">
      <w:bodyDiv w:val="1"/>
      <w:marLeft w:val="0"/>
      <w:marRight w:val="0"/>
      <w:marTop w:val="0"/>
      <w:marBottom w:val="0"/>
      <w:divBdr>
        <w:top w:val="none" w:sz="0" w:space="0" w:color="auto"/>
        <w:left w:val="none" w:sz="0" w:space="0" w:color="auto"/>
        <w:bottom w:val="none" w:sz="0" w:space="0" w:color="auto"/>
        <w:right w:val="none" w:sz="0" w:space="0" w:color="auto"/>
      </w:divBdr>
    </w:div>
    <w:div w:id="1886719347">
      <w:bodyDiv w:val="1"/>
      <w:marLeft w:val="0"/>
      <w:marRight w:val="0"/>
      <w:marTop w:val="0"/>
      <w:marBottom w:val="0"/>
      <w:divBdr>
        <w:top w:val="none" w:sz="0" w:space="0" w:color="auto"/>
        <w:left w:val="none" w:sz="0" w:space="0" w:color="auto"/>
        <w:bottom w:val="none" w:sz="0" w:space="0" w:color="auto"/>
        <w:right w:val="none" w:sz="0" w:space="0" w:color="auto"/>
      </w:divBdr>
    </w:div>
    <w:div w:id="1915510543">
      <w:bodyDiv w:val="1"/>
      <w:marLeft w:val="0"/>
      <w:marRight w:val="0"/>
      <w:marTop w:val="0"/>
      <w:marBottom w:val="0"/>
      <w:divBdr>
        <w:top w:val="none" w:sz="0" w:space="0" w:color="auto"/>
        <w:left w:val="none" w:sz="0" w:space="0" w:color="auto"/>
        <w:bottom w:val="none" w:sz="0" w:space="0" w:color="auto"/>
        <w:right w:val="none" w:sz="0" w:space="0" w:color="auto"/>
      </w:divBdr>
    </w:div>
    <w:div w:id="1917088745">
      <w:bodyDiv w:val="1"/>
      <w:marLeft w:val="0"/>
      <w:marRight w:val="0"/>
      <w:marTop w:val="0"/>
      <w:marBottom w:val="0"/>
      <w:divBdr>
        <w:top w:val="none" w:sz="0" w:space="0" w:color="auto"/>
        <w:left w:val="none" w:sz="0" w:space="0" w:color="auto"/>
        <w:bottom w:val="none" w:sz="0" w:space="0" w:color="auto"/>
        <w:right w:val="none" w:sz="0" w:space="0" w:color="auto"/>
      </w:divBdr>
    </w:div>
    <w:div w:id="1936277757">
      <w:bodyDiv w:val="1"/>
      <w:marLeft w:val="0"/>
      <w:marRight w:val="0"/>
      <w:marTop w:val="0"/>
      <w:marBottom w:val="0"/>
      <w:divBdr>
        <w:top w:val="none" w:sz="0" w:space="0" w:color="auto"/>
        <w:left w:val="none" w:sz="0" w:space="0" w:color="auto"/>
        <w:bottom w:val="none" w:sz="0" w:space="0" w:color="auto"/>
        <w:right w:val="none" w:sz="0" w:space="0" w:color="auto"/>
      </w:divBdr>
    </w:div>
    <w:div w:id="1942907800">
      <w:bodyDiv w:val="1"/>
      <w:marLeft w:val="0"/>
      <w:marRight w:val="0"/>
      <w:marTop w:val="0"/>
      <w:marBottom w:val="0"/>
      <w:divBdr>
        <w:top w:val="none" w:sz="0" w:space="0" w:color="auto"/>
        <w:left w:val="none" w:sz="0" w:space="0" w:color="auto"/>
        <w:bottom w:val="none" w:sz="0" w:space="0" w:color="auto"/>
        <w:right w:val="none" w:sz="0" w:space="0" w:color="auto"/>
      </w:divBdr>
    </w:div>
    <w:div w:id="1977637286">
      <w:bodyDiv w:val="1"/>
      <w:marLeft w:val="0"/>
      <w:marRight w:val="0"/>
      <w:marTop w:val="0"/>
      <w:marBottom w:val="0"/>
      <w:divBdr>
        <w:top w:val="none" w:sz="0" w:space="0" w:color="auto"/>
        <w:left w:val="none" w:sz="0" w:space="0" w:color="auto"/>
        <w:bottom w:val="none" w:sz="0" w:space="0" w:color="auto"/>
        <w:right w:val="none" w:sz="0" w:space="0" w:color="auto"/>
      </w:divBdr>
    </w:div>
    <w:div w:id="2079328897">
      <w:bodyDiv w:val="1"/>
      <w:marLeft w:val="0"/>
      <w:marRight w:val="0"/>
      <w:marTop w:val="0"/>
      <w:marBottom w:val="0"/>
      <w:divBdr>
        <w:top w:val="none" w:sz="0" w:space="0" w:color="auto"/>
        <w:left w:val="none" w:sz="0" w:space="0" w:color="auto"/>
        <w:bottom w:val="none" w:sz="0" w:space="0" w:color="auto"/>
        <w:right w:val="none" w:sz="0" w:space="0" w:color="auto"/>
      </w:divBdr>
    </w:div>
    <w:div w:id="2079663794">
      <w:bodyDiv w:val="1"/>
      <w:marLeft w:val="0"/>
      <w:marRight w:val="0"/>
      <w:marTop w:val="0"/>
      <w:marBottom w:val="0"/>
      <w:divBdr>
        <w:top w:val="none" w:sz="0" w:space="0" w:color="auto"/>
        <w:left w:val="none" w:sz="0" w:space="0" w:color="auto"/>
        <w:bottom w:val="none" w:sz="0" w:space="0" w:color="auto"/>
        <w:right w:val="none" w:sz="0" w:space="0" w:color="auto"/>
      </w:divBdr>
      <w:divsChild>
        <w:div w:id="818764533">
          <w:marLeft w:val="547"/>
          <w:marRight w:val="0"/>
          <w:marTop w:val="86"/>
          <w:marBottom w:val="0"/>
          <w:divBdr>
            <w:top w:val="none" w:sz="0" w:space="0" w:color="auto"/>
            <w:left w:val="none" w:sz="0" w:space="0" w:color="auto"/>
            <w:bottom w:val="none" w:sz="0" w:space="0" w:color="auto"/>
            <w:right w:val="none" w:sz="0" w:space="0" w:color="auto"/>
          </w:divBdr>
        </w:div>
      </w:divsChild>
    </w:div>
    <w:div w:id="2121097440">
      <w:bodyDiv w:val="1"/>
      <w:marLeft w:val="0"/>
      <w:marRight w:val="0"/>
      <w:marTop w:val="0"/>
      <w:marBottom w:val="0"/>
      <w:divBdr>
        <w:top w:val="none" w:sz="0" w:space="0" w:color="auto"/>
        <w:left w:val="none" w:sz="0" w:space="0" w:color="auto"/>
        <w:bottom w:val="none" w:sz="0" w:space="0" w:color="auto"/>
        <w:right w:val="none" w:sz="0" w:space="0" w:color="auto"/>
      </w:divBdr>
    </w:div>
    <w:div w:id="2123185168">
      <w:bodyDiv w:val="1"/>
      <w:marLeft w:val="0"/>
      <w:marRight w:val="0"/>
      <w:marTop w:val="0"/>
      <w:marBottom w:val="0"/>
      <w:divBdr>
        <w:top w:val="none" w:sz="0" w:space="0" w:color="auto"/>
        <w:left w:val="none" w:sz="0" w:space="0" w:color="auto"/>
        <w:bottom w:val="none" w:sz="0" w:space="0" w:color="auto"/>
        <w:right w:val="none" w:sz="0" w:space="0" w:color="auto"/>
      </w:divBdr>
    </w:div>
    <w:div w:id="21406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nzyl-gous\Desktop\RU%20New%20-%20Copy.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en-ZA" sz="1050">
                <a:latin typeface="Times New Roman" panose="02020603050405020304" pitchFamily="18" charset="0"/>
                <a:cs typeface="Times New Roman" panose="02020603050405020304" pitchFamily="18" charset="0"/>
              </a:rPr>
              <a:t>Historic DNA Backlog</a:t>
            </a:r>
          </a:p>
        </c:rich>
      </c:tx>
      <c:spPr>
        <a:noFill/>
        <a:ln>
          <a:noFill/>
        </a:ln>
        <a:effectLst/>
      </c:spPr>
    </c:title>
    <c:plotArea>
      <c:layout/>
      <c:lineChart>
        <c:grouping val="standard"/>
        <c:ser>
          <c:idx val="0"/>
          <c:order val="0"/>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Sheet1!$A$1:$I$1</c:f>
              <c:strCache>
                <c:ptCount val="9"/>
                <c:pt idx="0">
                  <c:v>Q1 2021/22</c:v>
                </c:pt>
                <c:pt idx="1">
                  <c:v>Q2 2021/22</c:v>
                </c:pt>
                <c:pt idx="2">
                  <c:v>Q3 2021/22</c:v>
                </c:pt>
                <c:pt idx="3">
                  <c:v>Q4 2021/22</c:v>
                </c:pt>
                <c:pt idx="4">
                  <c:v>Q1 2022/23</c:v>
                </c:pt>
                <c:pt idx="5">
                  <c:v>Jul-22</c:v>
                </c:pt>
                <c:pt idx="6">
                  <c:v>31-Aug-22</c:v>
                </c:pt>
                <c:pt idx="7">
                  <c:v>02-Sep-22</c:v>
                </c:pt>
                <c:pt idx="8">
                  <c:v>16-Feb-23</c:v>
                </c:pt>
              </c:strCache>
            </c:strRef>
          </c:cat>
          <c:val>
            <c:numRef>
              <c:f>Sheet1!$A$2:$I$2</c:f>
              <c:numCache>
                <c:formatCode>0</c:formatCode>
                <c:ptCount val="9"/>
                <c:pt idx="0">
                  <c:v>241152</c:v>
                </c:pt>
                <c:pt idx="1">
                  <c:v>251603</c:v>
                </c:pt>
                <c:pt idx="2">
                  <c:v>204779</c:v>
                </c:pt>
                <c:pt idx="3">
                  <c:v>154204</c:v>
                </c:pt>
                <c:pt idx="4">
                  <c:v>143795</c:v>
                </c:pt>
                <c:pt idx="5">
                  <c:v>120235</c:v>
                </c:pt>
                <c:pt idx="6">
                  <c:v>88482</c:v>
                </c:pt>
                <c:pt idx="7">
                  <c:v>88374</c:v>
                </c:pt>
                <c:pt idx="8">
                  <c:v>1600</c:v>
                </c:pt>
              </c:numCache>
            </c:numRef>
          </c:val>
          <c:extLst xmlns:c16r2="http://schemas.microsoft.com/office/drawing/2015/06/chart">
            <c:ext xmlns:c16="http://schemas.microsoft.com/office/drawing/2014/chart" uri="{C3380CC4-5D6E-409C-BE32-E72D297353CC}">
              <c16:uniqueId val="{00000000-8E8E-44E8-8590-E1DF12F0493C}"/>
            </c:ext>
          </c:extLst>
        </c:ser>
        <c:dLbls>
          <c:showVal val="1"/>
        </c:dLbls>
        <c:dropLines>
          <c:spPr>
            <a:ln w="9525" cap="flat" cmpd="sng" algn="ctr">
              <a:solidFill>
                <a:schemeClr val="dk1">
                  <a:lumMod val="35000"/>
                  <a:lumOff val="65000"/>
                  <a:alpha val="33000"/>
                </a:schemeClr>
              </a:solidFill>
              <a:round/>
            </a:ln>
            <a:effectLst/>
          </c:spPr>
        </c:dropLines>
        <c:marker val="1"/>
        <c:axId val="209773696"/>
        <c:axId val="209775232"/>
      </c:lineChart>
      <c:catAx>
        <c:axId val="209773696"/>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9775232"/>
        <c:crosses val="autoZero"/>
        <c:auto val="1"/>
        <c:lblAlgn val="ctr"/>
        <c:lblOffset val="100"/>
      </c:catAx>
      <c:valAx>
        <c:axId val="209775232"/>
        <c:scaling>
          <c:orientation val="minMax"/>
        </c:scaling>
        <c:axPos val="l"/>
        <c:majorGridlines>
          <c:spPr>
            <a:ln>
              <a:solidFill>
                <a:schemeClr val="dk1">
                  <a:lumMod val="15000"/>
                  <a:lumOff val="85000"/>
                </a:schemeClr>
              </a:solidFill>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9773696"/>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EE4D-2D3A-4137-A7E2-75E0B353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 New - Copy</Template>
  <TotalTime>1</TotalTime>
  <Pages>27</Pages>
  <Words>14311</Words>
  <Characters>81574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95694</CharactersWithSpaces>
  <SharedDoc>false</SharedDoc>
  <HLinks>
    <vt:vector size="48" baseType="variant">
      <vt:variant>
        <vt:i4>1114167</vt:i4>
      </vt:variant>
      <vt:variant>
        <vt:i4>44</vt:i4>
      </vt:variant>
      <vt:variant>
        <vt:i4>0</vt:i4>
      </vt:variant>
      <vt:variant>
        <vt:i4>5</vt:i4>
      </vt:variant>
      <vt:variant>
        <vt:lpwstr/>
      </vt:variant>
      <vt:variant>
        <vt:lpwstr>_Toc450204359</vt:lpwstr>
      </vt:variant>
      <vt:variant>
        <vt:i4>1114167</vt:i4>
      </vt:variant>
      <vt:variant>
        <vt:i4>38</vt:i4>
      </vt:variant>
      <vt:variant>
        <vt:i4>0</vt:i4>
      </vt:variant>
      <vt:variant>
        <vt:i4>5</vt:i4>
      </vt:variant>
      <vt:variant>
        <vt:lpwstr/>
      </vt:variant>
      <vt:variant>
        <vt:lpwstr>_Toc450204358</vt:lpwstr>
      </vt:variant>
      <vt:variant>
        <vt:i4>1114167</vt:i4>
      </vt:variant>
      <vt:variant>
        <vt:i4>32</vt:i4>
      </vt:variant>
      <vt:variant>
        <vt:i4>0</vt:i4>
      </vt:variant>
      <vt:variant>
        <vt:i4>5</vt:i4>
      </vt:variant>
      <vt:variant>
        <vt:lpwstr/>
      </vt:variant>
      <vt:variant>
        <vt:lpwstr>_Toc450204357</vt:lpwstr>
      </vt:variant>
      <vt:variant>
        <vt:i4>1114167</vt:i4>
      </vt:variant>
      <vt:variant>
        <vt:i4>26</vt:i4>
      </vt:variant>
      <vt:variant>
        <vt:i4>0</vt:i4>
      </vt:variant>
      <vt:variant>
        <vt:i4>5</vt:i4>
      </vt:variant>
      <vt:variant>
        <vt:lpwstr/>
      </vt:variant>
      <vt:variant>
        <vt:lpwstr>_Toc450204356</vt:lpwstr>
      </vt:variant>
      <vt:variant>
        <vt:i4>1114167</vt:i4>
      </vt:variant>
      <vt:variant>
        <vt:i4>20</vt:i4>
      </vt:variant>
      <vt:variant>
        <vt:i4>0</vt:i4>
      </vt:variant>
      <vt:variant>
        <vt:i4>5</vt:i4>
      </vt:variant>
      <vt:variant>
        <vt:lpwstr/>
      </vt:variant>
      <vt:variant>
        <vt:lpwstr>_Toc450204355</vt:lpwstr>
      </vt:variant>
      <vt:variant>
        <vt:i4>1114167</vt:i4>
      </vt:variant>
      <vt:variant>
        <vt:i4>14</vt:i4>
      </vt:variant>
      <vt:variant>
        <vt:i4>0</vt:i4>
      </vt:variant>
      <vt:variant>
        <vt:i4>5</vt:i4>
      </vt:variant>
      <vt:variant>
        <vt:lpwstr/>
      </vt:variant>
      <vt:variant>
        <vt:lpwstr>_Toc450204354</vt:lpwstr>
      </vt:variant>
      <vt:variant>
        <vt:i4>1114167</vt:i4>
      </vt:variant>
      <vt:variant>
        <vt:i4>8</vt:i4>
      </vt:variant>
      <vt:variant>
        <vt:i4>0</vt:i4>
      </vt:variant>
      <vt:variant>
        <vt:i4>5</vt:i4>
      </vt:variant>
      <vt:variant>
        <vt:lpwstr/>
      </vt:variant>
      <vt:variant>
        <vt:lpwstr>_Toc450204353</vt:lpwstr>
      </vt:variant>
      <vt:variant>
        <vt:i4>1114167</vt:i4>
      </vt:variant>
      <vt:variant>
        <vt:i4>2</vt:i4>
      </vt:variant>
      <vt:variant>
        <vt:i4>0</vt:i4>
      </vt:variant>
      <vt:variant>
        <vt:i4>5</vt:i4>
      </vt:variant>
      <vt:variant>
        <vt:lpwstr/>
      </vt:variant>
      <vt:variant>
        <vt:lpwstr>_Toc450204352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van Zyl-Gous</dc:creator>
  <cp:lastModifiedBy>User</cp:lastModifiedBy>
  <cp:revision>2</cp:revision>
  <cp:lastPrinted>2022-04-21T10:32:00Z</cp:lastPrinted>
  <dcterms:created xsi:type="dcterms:W3CDTF">2023-05-22T09:36:00Z</dcterms:created>
  <dcterms:modified xsi:type="dcterms:W3CDTF">2023-05-22T09:36:00Z</dcterms:modified>
</cp:coreProperties>
</file>