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654" w:rsidRPr="004E5697" w:rsidRDefault="006C4E57" w:rsidP="004E5697">
      <w:pPr>
        <w:autoSpaceDE w:val="0"/>
        <w:autoSpaceDN w:val="0"/>
        <w:adjustRightInd w:val="0"/>
        <w:spacing w:line="240" w:lineRule="auto"/>
        <w:jc w:val="left"/>
        <w:rPr>
          <w:rFonts w:ascii="Arial" w:hAnsi="Arial" w:cs="Arial"/>
          <w:b/>
          <w:bCs/>
          <w:sz w:val="20"/>
          <w:szCs w:val="20"/>
        </w:rPr>
      </w:pPr>
      <w:r w:rsidRPr="004E5697">
        <w:rPr>
          <w:rFonts w:ascii="Arial" w:hAnsi="Arial" w:cs="Arial"/>
          <w:b/>
          <w:bCs/>
          <w:sz w:val="20"/>
          <w:szCs w:val="20"/>
        </w:rPr>
        <w:t xml:space="preserve">Report of the Portfolio Committee on Police on the 2023/24 Budget Vote 24 and Annual Performance Plan (APP) of the </w:t>
      </w:r>
      <w:r w:rsidRPr="004E5697">
        <w:rPr>
          <w:rFonts w:ascii="Arial" w:hAnsi="Arial" w:cs="Arial"/>
          <w:b/>
          <w:sz w:val="20"/>
          <w:szCs w:val="20"/>
        </w:rPr>
        <w:t>Independent Police Investigative Directorate</w:t>
      </w:r>
      <w:r w:rsidRPr="004E5697">
        <w:rPr>
          <w:rFonts w:ascii="Arial" w:hAnsi="Arial" w:cs="Arial"/>
          <w:b/>
          <w:bCs/>
          <w:sz w:val="20"/>
          <w:szCs w:val="20"/>
        </w:rPr>
        <w:t xml:space="preserve"> (IPID), dated 17 </w:t>
      </w:r>
      <w:r w:rsidR="00654519" w:rsidRPr="004E5697">
        <w:rPr>
          <w:rFonts w:ascii="Arial" w:hAnsi="Arial" w:cs="Arial"/>
          <w:b/>
          <w:bCs/>
          <w:sz w:val="20"/>
          <w:szCs w:val="20"/>
        </w:rPr>
        <w:t>M</w:t>
      </w:r>
      <w:r w:rsidRPr="004E5697">
        <w:rPr>
          <w:rFonts w:ascii="Arial" w:hAnsi="Arial" w:cs="Arial"/>
          <w:b/>
          <w:bCs/>
          <w:sz w:val="20"/>
          <w:szCs w:val="20"/>
        </w:rPr>
        <w:t>ay 2023.</w:t>
      </w:r>
    </w:p>
    <w:p w:rsidR="00042654" w:rsidRPr="004E5697" w:rsidRDefault="00042654" w:rsidP="004E5697">
      <w:pPr>
        <w:spacing w:line="240" w:lineRule="auto"/>
        <w:jc w:val="left"/>
        <w:rPr>
          <w:rFonts w:ascii="Arial" w:hAnsi="Arial" w:cs="Arial"/>
          <w:sz w:val="20"/>
          <w:szCs w:val="20"/>
        </w:rPr>
      </w:pPr>
    </w:p>
    <w:p w:rsidR="00042654" w:rsidRPr="004E5697" w:rsidRDefault="00042654" w:rsidP="004E5697">
      <w:pPr>
        <w:spacing w:line="240" w:lineRule="auto"/>
        <w:jc w:val="left"/>
        <w:rPr>
          <w:rFonts w:ascii="Arial" w:hAnsi="Arial" w:cs="Arial"/>
          <w:sz w:val="20"/>
          <w:szCs w:val="20"/>
        </w:rPr>
      </w:pPr>
      <w:r w:rsidRPr="004E5697">
        <w:rPr>
          <w:rFonts w:ascii="Arial" w:hAnsi="Arial" w:cs="Arial"/>
          <w:sz w:val="20"/>
          <w:szCs w:val="20"/>
        </w:rPr>
        <w:t>The Portfolio Committee on Police examined the Budget Vote of the Independent Police Investigative Directorate (Vote 24) for the 202</w:t>
      </w:r>
      <w:r w:rsidR="00E96037" w:rsidRPr="004E5697">
        <w:rPr>
          <w:rFonts w:ascii="Arial" w:hAnsi="Arial" w:cs="Arial"/>
          <w:sz w:val="20"/>
          <w:szCs w:val="20"/>
        </w:rPr>
        <w:t>3</w:t>
      </w:r>
      <w:r w:rsidRPr="004E5697">
        <w:rPr>
          <w:rFonts w:ascii="Arial" w:hAnsi="Arial" w:cs="Arial"/>
          <w:sz w:val="20"/>
          <w:szCs w:val="20"/>
        </w:rPr>
        <w:t>/2</w:t>
      </w:r>
      <w:r w:rsidR="00E96037" w:rsidRPr="004E5697">
        <w:rPr>
          <w:rFonts w:ascii="Arial" w:hAnsi="Arial" w:cs="Arial"/>
          <w:sz w:val="20"/>
          <w:szCs w:val="20"/>
        </w:rPr>
        <w:t>4</w:t>
      </w:r>
      <w:r w:rsidRPr="004E5697">
        <w:rPr>
          <w:rFonts w:ascii="Arial" w:hAnsi="Arial" w:cs="Arial"/>
          <w:sz w:val="20"/>
          <w:szCs w:val="20"/>
        </w:rPr>
        <w:t xml:space="preserve"> financial year, as well as the projections of the Medium-Term Expenditure Framework (MTEF) for 2020-2024, which were included in the </w:t>
      </w:r>
      <w:r w:rsidR="007E434A" w:rsidRPr="004E5697">
        <w:rPr>
          <w:rFonts w:ascii="Arial" w:hAnsi="Arial" w:cs="Arial"/>
          <w:sz w:val="20"/>
          <w:szCs w:val="20"/>
        </w:rPr>
        <w:t xml:space="preserve">2023 </w:t>
      </w:r>
      <w:r w:rsidRPr="004E5697">
        <w:rPr>
          <w:rFonts w:ascii="Arial" w:hAnsi="Arial" w:cs="Arial"/>
          <w:sz w:val="20"/>
          <w:szCs w:val="20"/>
        </w:rPr>
        <w:t>Estimates of National Expenditure (ENE). The budget was examined in conjunction with the Annual Performance Plan</w:t>
      </w:r>
      <w:r w:rsidR="00EF1EBB" w:rsidRPr="004E5697">
        <w:rPr>
          <w:rFonts w:ascii="Arial" w:hAnsi="Arial" w:cs="Arial"/>
          <w:sz w:val="20"/>
          <w:szCs w:val="20"/>
        </w:rPr>
        <w:t xml:space="preserve"> (APP) for</w:t>
      </w:r>
      <w:r w:rsidRPr="004E5697">
        <w:rPr>
          <w:rFonts w:ascii="Arial" w:hAnsi="Arial" w:cs="Arial"/>
          <w:sz w:val="20"/>
          <w:szCs w:val="20"/>
        </w:rPr>
        <w:t xml:space="preserve"> 202</w:t>
      </w:r>
      <w:r w:rsidR="00E96037" w:rsidRPr="004E5697">
        <w:rPr>
          <w:rFonts w:ascii="Arial" w:hAnsi="Arial" w:cs="Arial"/>
          <w:sz w:val="20"/>
          <w:szCs w:val="20"/>
        </w:rPr>
        <w:t>3</w:t>
      </w:r>
      <w:r w:rsidRPr="004E5697">
        <w:rPr>
          <w:rFonts w:ascii="Arial" w:hAnsi="Arial" w:cs="Arial"/>
          <w:sz w:val="20"/>
          <w:szCs w:val="20"/>
        </w:rPr>
        <w:t>/2</w:t>
      </w:r>
      <w:r w:rsidR="00E96037" w:rsidRPr="004E5697">
        <w:rPr>
          <w:rFonts w:ascii="Arial" w:hAnsi="Arial" w:cs="Arial"/>
          <w:sz w:val="20"/>
          <w:szCs w:val="20"/>
        </w:rPr>
        <w:t>4</w:t>
      </w:r>
      <w:r w:rsidRPr="004E5697">
        <w:rPr>
          <w:rFonts w:ascii="Arial" w:hAnsi="Arial" w:cs="Arial"/>
          <w:sz w:val="20"/>
          <w:szCs w:val="20"/>
        </w:rPr>
        <w:t xml:space="preserve"> and the Strategic Plan (2020-2025). The Committee reports as follows:</w:t>
      </w:r>
    </w:p>
    <w:p w:rsidR="00042654" w:rsidRPr="004E5697" w:rsidRDefault="00042654" w:rsidP="004E5697">
      <w:pPr>
        <w:spacing w:line="240" w:lineRule="auto"/>
        <w:jc w:val="left"/>
        <w:rPr>
          <w:rFonts w:ascii="Arial" w:hAnsi="Arial" w:cs="Arial"/>
          <w:sz w:val="20"/>
          <w:szCs w:val="20"/>
        </w:rPr>
      </w:pPr>
    </w:p>
    <w:p w:rsidR="00042654" w:rsidRPr="004E5697" w:rsidRDefault="00042654" w:rsidP="004E5697">
      <w:pPr>
        <w:pStyle w:val="Heading1"/>
        <w:numPr>
          <w:ilvl w:val="0"/>
          <w:numId w:val="10"/>
        </w:numPr>
        <w:spacing w:before="0" w:line="240" w:lineRule="auto"/>
        <w:jc w:val="left"/>
        <w:rPr>
          <w:rFonts w:ascii="Arial" w:hAnsi="Arial" w:cs="Arial"/>
          <w:szCs w:val="20"/>
        </w:rPr>
      </w:pPr>
      <w:bookmarkStart w:id="0" w:name="_Toc100665190"/>
      <w:r w:rsidRPr="004E5697">
        <w:rPr>
          <w:rFonts w:ascii="Arial" w:hAnsi="Arial" w:cs="Arial"/>
          <w:szCs w:val="20"/>
        </w:rPr>
        <w:t>Introduction</w:t>
      </w:r>
      <w:bookmarkEnd w:id="0"/>
    </w:p>
    <w:p w:rsidR="00042654" w:rsidRPr="004E5697" w:rsidRDefault="00042654" w:rsidP="004E5697">
      <w:pPr>
        <w:spacing w:line="240" w:lineRule="auto"/>
        <w:jc w:val="left"/>
        <w:rPr>
          <w:rFonts w:ascii="Arial" w:hAnsi="Arial" w:cs="Arial"/>
          <w:sz w:val="20"/>
          <w:szCs w:val="20"/>
        </w:rPr>
      </w:pPr>
    </w:p>
    <w:p w:rsidR="00042654" w:rsidRPr="004E5697" w:rsidRDefault="00042654" w:rsidP="004E5697">
      <w:pPr>
        <w:pStyle w:val="Heading2"/>
        <w:numPr>
          <w:ilvl w:val="1"/>
          <w:numId w:val="10"/>
        </w:numPr>
        <w:spacing w:before="0" w:line="240" w:lineRule="auto"/>
        <w:rPr>
          <w:rFonts w:ascii="Arial" w:hAnsi="Arial" w:cs="Arial"/>
          <w:sz w:val="20"/>
          <w:szCs w:val="20"/>
        </w:rPr>
      </w:pPr>
      <w:r w:rsidRPr="004E5697">
        <w:rPr>
          <w:rFonts w:ascii="Arial" w:hAnsi="Arial" w:cs="Arial"/>
          <w:sz w:val="20"/>
          <w:szCs w:val="20"/>
        </w:rPr>
        <w:t xml:space="preserve">Structure </w:t>
      </w:r>
    </w:p>
    <w:p w:rsidR="00042654" w:rsidRPr="004E5697" w:rsidRDefault="00042654" w:rsidP="004E5697">
      <w:pPr>
        <w:spacing w:line="240" w:lineRule="auto"/>
        <w:jc w:val="left"/>
        <w:rPr>
          <w:rFonts w:ascii="Arial" w:hAnsi="Arial" w:cs="Arial"/>
          <w:sz w:val="20"/>
          <w:szCs w:val="20"/>
        </w:rPr>
      </w:pPr>
    </w:p>
    <w:p w:rsidR="00042654" w:rsidRPr="004E5697" w:rsidRDefault="00042654" w:rsidP="004E5697">
      <w:pPr>
        <w:spacing w:line="240" w:lineRule="auto"/>
        <w:jc w:val="left"/>
        <w:rPr>
          <w:rFonts w:ascii="Arial" w:eastAsia="TimesNewRomanPSMT" w:hAnsi="Arial" w:cs="Arial"/>
          <w:sz w:val="20"/>
          <w:szCs w:val="20"/>
          <w:lang w:eastAsia="en-ZA"/>
        </w:rPr>
      </w:pPr>
      <w:r w:rsidRPr="004E5697">
        <w:rPr>
          <w:rFonts w:ascii="Arial" w:eastAsia="TimesNewRomanPSMT" w:hAnsi="Arial" w:cs="Arial"/>
          <w:sz w:val="20"/>
          <w:szCs w:val="20"/>
          <w:lang w:eastAsia="en-ZA"/>
        </w:rPr>
        <w:t>The Report provides an overview of the 202</w:t>
      </w:r>
      <w:r w:rsidR="006C4E57" w:rsidRPr="004E5697">
        <w:rPr>
          <w:rFonts w:ascii="Arial" w:eastAsia="TimesNewRomanPSMT" w:hAnsi="Arial" w:cs="Arial"/>
          <w:sz w:val="20"/>
          <w:szCs w:val="20"/>
          <w:lang w:eastAsia="en-ZA"/>
        </w:rPr>
        <w:t>3</w:t>
      </w:r>
      <w:r w:rsidRPr="004E5697">
        <w:rPr>
          <w:rFonts w:ascii="Arial" w:eastAsia="TimesNewRomanPSMT" w:hAnsi="Arial" w:cs="Arial"/>
          <w:sz w:val="20"/>
          <w:szCs w:val="20"/>
          <w:lang w:eastAsia="en-ZA"/>
        </w:rPr>
        <w:t>/2</w:t>
      </w:r>
      <w:r w:rsidR="006C4E57" w:rsidRPr="004E5697">
        <w:rPr>
          <w:rFonts w:ascii="Arial" w:eastAsia="TimesNewRomanPSMT" w:hAnsi="Arial" w:cs="Arial"/>
          <w:sz w:val="20"/>
          <w:szCs w:val="20"/>
          <w:lang w:eastAsia="en-ZA"/>
        </w:rPr>
        <w:t>4</w:t>
      </w:r>
      <w:r w:rsidRPr="004E5697">
        <w:rPr>
          <w:rFonts w:ascii="Arial" w:eastAsia="TimesNewRomanPSMT" w:hAnsi="Arial" w:cs="Arial"/>
          <w:sz w:val="20"/>
          <w:szCs w:val="20"/>
          <w:lang w:eastAsia="en-ZA"/>
        </w:rPr>
        <w:t xml:space="preserve"> Budget Hearings of the </w:t>
      </w:r>
      <w:r w:rsidR="00946B24" w:rsidRPr="004E5697">
        <w:rPr>
          <w:rFonts w:ascii="Arial" w:eastAsia="TimesNewRomanPSMT" w:hAnsi="Arial" w:cs="Arial"/>
          <w:sz w:val="20"/>
          <w:szCs w:val="20"/>
          <w:lang w:eastAsia="en-ZA"/>
        </w:rPr>
        <w:t>IPID</w:t>
      </w:r>
      <w:r w:rsidRPr="004E5697">
        <w:rPr>
          <w:rFonts w:ascii="Arial" w:eastAsia="TimesNewRomanPSMT" w:hAnsi="Arial" w:cs="Arial"/>
          <w:sz w:val="20"/>
          <w:szCs w:val="20"/>
          <w:lang w:eastAsia="en-ZA"/>
        </w:rPr>
        <w:t>. The Report is structured as follows:</w:t>
      </w:r>
    </w:p>
    <w:p w:rsidR="00042654" w:rsidRPr="004E5697" w:rsidRDefault="00042654" w:rsidP="004E5697">
      <w:pPr>
        <w:pStyle w:val="ListParagraph"/>
        <w:numPr>
          <w:ilvl w:val="0"/>
          <w:numId w:val="11"/>
        </w:numPr>
        <w:spacing w:line="240" w:lineRule="auto"/>
        <w:jc w:val="left"/>
        <w:rPr>
          <w:rFonts w:ascii="Arial" w:eastAsia="TimesNewRomanPSMT" w:hAnsi="Arial" w:cs="Arial"/>
          <w:sz w:val="20"/>
          <w:szCs w:val="20"/>
          <w:lang w:eastAsia="en-ZA"/>
        </w:rPr>
      </w:pPr>
      <w:r w:rsidRPr="004E5697">
        <w:rPr>
          <w:rFonts w:ascii="Arial" w:eastAsia="TimesNewRomanPSMT" w:hAnsi="Arial" w:cs="Arial"/>
          <w:sz w:val="20"/>
          <w:szCs w:val="20"/>
          <w:lang w:eastAsia="en-ZA"/>
        </w:rPr>
        <w:t>Section 1: Introduction. This section provides an introduction to this Report as well as a summary of meetings held during the hearings.</w:t>
      </w:r>
    </w:p>
    <w:p w:rsidR="00042654" w:rsidRPr="004E5697" w:rsidRDefault="00042654" w:rsidP="004E5697">
      <w:pPr>
        <w:pStyle w:val="ListParagraph"/>
        <w:numPr>
          <w:ilvl w:val="0"/>
          <w:numId w:val="11"/>
        </w:numPr>
        <w:spacing w:line="240" w:lineRule="auto"/>
        <w:jc w:val="left"/>
        <w:rPr>
          <w:rFonts w:ascii="Arial" w:eastAsia="TimesNewRomanPSMT" w:hAnsi="Arial" w:cs="Arial"/>
          <w:sz w:val="20"/>
          <w:szCs w:val="20"/>
          <w:lang w:eastAsia="en-ZA"/>
        </w:rPr>
      </w:pPr>
      <w:r w:rsidRPr="004E5697">
        <w:rPr>
          <w:rFonts w:ascii="Arial" w:eastAsia="TimesNewRomanPSMT" w:hAnsi="Arial" w:cs="Arial"/>
          <w:sz w:val="20"/>
          <w:szCs w:val="20"/>
          <w:lang w:eastAsia="en-ZA"/>
        </w:rPr>
        <w:t xml:space="preserve">Section </w:t>
      </w:r>
      <w:r w:rsidR="00C46DB3" w:rsidRPr="004E5697">
        <w:rPr>
          <w:rFonts w:ascii="Arial" w:eastAsia="TimesNewRomanPSMT" w:hAnsi="Arial" w:cs="Arial"/>
          <w:sz w:val="20"/>
          <w:szCs w:val="20"/>
          <w:lang w:eastAsia="en-ZA"/>
        </w:rPr>
        <w:t>2</w:t>
      </w:r>
      <w:r w:rsidRPr="004E5697">
        <w:rPr>
          <w:rFonts w:ascii="Arial" w:eastAsia="TimesNewRomanPSMT" w:hAnsi="Arial" w:cs="Arial"/>
          <w:sz w:val="20"/>
          <w:szCs w:val="20"/>
          <w:lang w:eastAsia="en-ZA"/>
        </w:rPr>
        <w:t xml:space="preserve">: </w:t>
      </w:r>
      <w:r w:rsidR="00C46DB3" w:rsidRPr="004E5697">
        <w:rPr>
          <w:rFonts w:ascii="Arial" w:eastAsia="TimesNewRomanPSMT" w:hAnsi="Arial" w:cs="Arial"/>
          <w:sz w:val="20"/>
          <w:szCs w:val="20"/>
          <w:lang w:eastAsia="en-ZA"/>
        </w:rPr>
        <w:t xml:space="preserve">Legislative mandate. </w:t>
      </w:r>
      <w:r w:rsidR="000D657C" w:rsidRPr="004E5697">
        <w:rPr>
          <w:rFonts w:ascii="Arial" w:eastAsia="TimesNewRomanPSMT" w:hAnsi="Arial" w:cs="Arial"/>
          <w:sz w:val="20"/>
          <w:szCs w:val="20"/>
          <w:lang w:eastAsia="en-ZA"/>
        </w:rPr>
        <w:t xml:space="preserve">This section provides a summary of the IPIDs legislative mandate </w:t>
      </w:r>
      <w:r w:rsidR="00030CF7" w:rsidRPr="004E5697">
        <w:rPr>
          <w:rFonts w:ascii="Arial" w:eastAsia="TimesNewRomanPSMT" w:hAnsi="Arial" w:cs="Arial"/>
          <w:sz w:val="20"/>
          <w:szCs w:val="20"/>
          <w:lang w:eastAsia="en-ZA"/>
        </w:rPr>
        <w:t xml:space="preserve">as per the IPID Act, 2011 and </w:t>
      </w:r>
      <w:r w:rsidR="007E434A" w:rsidRPr="004E5697">
        <w:rPr>
          <w:rFonts w:ascii="Arial" w:eastAsia="TimesNewRomanPSMT" w:hAnsi="Arial" w:cs="Arial"/>
          <w:sz w:val="20"/>
          <w:szCs w:val="20"/>
          <w:lang w:eastAsia="en-ZA"/>
        </w:rPr>
        <w:t xml:space="preserve">the </w:t>
      </w:r>
      <w:r w:rsidR="00030CF7" w:rsidRPr="004E5697">
        <w:rPr>
          <w:rFonts w:ascii="Arial" w:eastAsia="TimesNewRomanPSMT" w:hAnsi="Arial" w:cs="Arial"/>
          <w:sz w:val="20"/>
          <w:szCs w:val="20"/>
          <w:lang w:eastAsia="en-ZA"/>
        </w:rPr>
        <w:t>Constitution.</w:t>
      </w:r>
      <w:r w:rsidRPr="004E5697">
        <w:rPr>
          <w:rFonts w:ascii="Arial" w:eastAsia="TimesNewRomanPSMT" w:hAnsi="Arial" w:cs="Arial"/>
          <w:sz w:val="20"/>
          <w:szCs w:val="20"/>
          <w:lang w:eastAsia="en-ZA"/>
        </w:rPr>
        <w:t xml:space="preserve"> </w:t>
      </w:r>
    </w:p>
    <w:p w:rsidR="00042654" w:rsidRPr="004E5697" w:rsidRDefault="00C46DB3" w:rsidP="004E5697">
      <w:pPr>
        <w:pStyle w:val="ListParagraph"/>
        <w:numPr>
          <w:ilvl w:val="0"/>
          <w:numId w:val="11"/>
        </w:numPr>
        <w:spacing w:line="240" w:lineRule="auto"/>
        <w:jc w:val="left"/>
        <w:rPr>
          <w:rFonts w:ascii="Arial" w:eastAsia="TimesNewRomanPSMT" w:hAnsi="Arial" w:cs="Arial"/>
          <w:sz w:val="20"/>
          <w:szCs w:val="20"/>
          <w:lang w:eastAsia="en-ZA"/>
        </w:rPr>
      </w:pPr>
      <w:r w:rsidRPr="004E5697">
        <w:rPr>
          <w:rFonts w:ascii="Arial" w:eastAsia="TimesNewRomanPSMT" w:hAnsi="Arial" w:cs="Arial"/>
          <w:sz w:val="20"/>
          <w:szCs w:val="20"/>
          <w:lang w:eastAsia="en-ZA"/>
        </w:rPr>
        <w:t>Section 3</w:t>
      </w:r>
      <w:r w:rsidR="00042654" w:rsidRPr="004E5697">
        <w:rPr>
          <w:rFonts w:ascii="Arial" w:eastAsia="TimesNewRomanPSMT" w:hAnsi="Arial" w:cs="Arial"/>
          <w:sz w:val="20"/>
          <w:szCs w:val="20"/>
          <w:lang w:eastAsia="en-ZA"/>
        </w:rPr>
        <w:t xml:space="preserve">: </w:t>
      </w:r>
      <w:r w:rsidRPr="004E5697">
        <w:rPr>
          <w:rFonts w:ascii="Arial" w:eastAsia="TimesNewRomanPSMT" w:hAnsi="Arial" w:cs="Arial"/>
          <w:sz w:val="20"/>
          <w:szCs w:val="20"/>
          <w:lang w:eastAsia="en-ZA"/>
        </w:rPr>
        <w:t xml:space="preserve">Budget allocation for </w:t>
      </w:r>
      <w:r w:rsidR="00042654" w:rsidRPr="004E5697">
        <w:rPr>
          <w:rFonts w:ascii="Arial" w:eastAsia="TimesNewRomanPSMT" w:hAnsi="Arial" w:cs="Arial"/>
          <w:sz w:val="20"/>
          <w:szCs w:val="20"/>
          <w:lang w:eastAsia="en-ZA"/>
        </w:rPr>
        <w:t>202</w:t>
      </w:r>
      <w:r w:rsidR="005E0531" w:rsidRPr="004E5697">
        <w:rPr>
          <w:rFonts w:ascii="Arial" w:eastAsia="TimesNewRomanPSMT" w:hAnsi="Arial" w:cs="Arial"/>
          <w:sz w:val="20"/>
          <w:szCs w:val="20"/>
          <w:lang w:eastAsia="en-ZA"/>
        </w:rPr>
        <w:t>3/24</w:t>
      </w:r>
      <w:r w:rsidR="00042654" w:rsidRPr="004E5697">
        <w:rPr>
          <w:rFonts w:ascii="Arial" w:eastAsia="TimesNewRomanPSMT" w:hAnsi="Arial" w:cs="Arial"/>
          <w:sz w:val="20"/>
          <w:szCs w:val="20"/>
          <w:lang w:eastAsia="en-ZA"/>
        </w:rPr>
        <w:t>. This section provides an analysis of the budget allocations</w:t>
      </w:r>
      <w:r w:rsidR="000D657C" w:rsidRPr="004E5697">
        <w:rPr>
          <w:rFonts w:ascii="Arial" w:eastAsia="TimesNewRomanPSMT" w:hAnsi="Arial" w:cs="Arial"/>
          <w:sz w:val="20"/>
          <w:szCs w:val="20"/>
          <w:lang w:eastAsia="en-ZA"/>
        </w:rPr>
        <w:t xml:space="preserve"> per programme </w:t>
      </w:r>
      <w:r w:rsidR="00042654" w:rsidRPr="004E5697">
        <w:rPr>
          <w:rFonts w:ascii="Arial" w:eastAsia="TimesNewRomanPSMT" w:hAnsi="Arial" w:cs="Arial"/>
          <w:sz w:val="20"/>
          <w:szCs w:val="20"/>
          <w:lang w:eastAsia="en-ZA"/>
        </w:rPr>
        <w:t xml:space="preserve">of the </w:t>
      </w:r>
      <w:r w:rsidR="000D657C" w:rsidRPr="004E5697">
        <w:rPr>
          <w:rFonts w:ascii="Arial" w:eastAsia="TimesNewRomanPSMT" w:hAnsi="Arial" w:cs="Arial"/>
          <w:sz w:val="20"/>
          <w:szCs w:val="20"/>
          <w:lang w:eastAsia="en-ZA"/>
        </w:rPr>
        <w:t>IPID</w:t>
      </w:r>
      <w:r w:rsidR="00042654" w:rsidRPr="004E5697">
        <w:rPr>
          <w:rFonts w:ascii="Arial" w:eastAsia="TimesNewRomanPSMT" w:hAnsi="Arial" w:cs="Arial"/>
          <w:sz w:val="20"/>
          <w:szCs w:val="20"/>
          <w:lang w:eastAsia="en-ZA"/>
        </w:rPr>
        <w:t xml:space="preserve"> for the 202</w:t>
      </w:r>
      <w:r w:rsidR="005E0531" w:rsidRPr="004E5697">
        <w:rPr>
          <w:rFonts w:ascii="Arial" w:eastAsia="TimesNewRomanPSMT" w:hAnsi="Arial" w:cs="Arial"/>
          <w:sz w:val="20"/>
          <w:szCs w:val="20"/>
          <w:lang w:eastAsia="en-ZA"/>
        </w:rPr>
        <w:t>3</w:t>
      </w:r>
      <w:r w:rsidR="00042654" w:rsidRPr="004E5697">
        <w:rPr>
          <w:rFonts w:ascii="Arial" w:eastAsia="TimesNewRomanPSMT" w:hAnsi="Arial" w:cs="Arial"/>
          <w:sz w:val="20"/>
          <w:szCs w:val="20"/>
          <w:lang w:eastAsia="en-ZA"/>
        </w:rPr>
        <w:t>/2</w:t>
      </w:r>
      <w:r w:rsidR="005E0531" w:rsidRPr="004E5697">
        <w:rPr>
          <w:rFonts w:ascii="Arial" w:eastAsia="TimesNewRomanPSMT" w:hAnsi="Arial" w:cs="Arial"/>
          <w:sz w:val="20"/>
          <w:szCs w:val="20"/>
          <w:lang w:eastAsia="en-ZA"/>
        </w:rPr>
        <w:t>4</w:t>
      </w:r>
      <w:r w:rsidR="00042654" w:rsidRPr="004E5697">
        <w:rPr>
          <w:rFonts w:ascii="Arial" w:eastAsia="TimesNewRomanPSMT" w:hAnsi="Arial" w:cs="Arial"/>
          <w:sz w:val="20"/>
          <w:szCs w:val="20"/>
          <w:lang w:eastAsia="en-ZA"/>
        </w:rPr>
        <w:t xml:space="preserve"> financial year. </w:t>
      </w:r>
    </w:p>
    <w:p w:rsidR="00C46DB3" w:rsidRPr="004E5697" w:rsidRDefault="00C46DB3" w:rsidP="004E5697">
      <w:pPr>
        <w:pStyle w:val="ListParagraph"/>
        <w:numPr>
          <w:ilvl w:val="0"/>
          <w:numId w:val="11"/>
        </w:numPr>
        <w:spacing w:line="240" w:lineRule="auto"/>
        <w:jc w:val="left"/>
        <w:rPr>
          <w:rFonts w:ascii="Arial" w:eastAsia="TimesNewRomanPSMT" w:hAnsi="Arial" w:cs="Arial"/>
          <w:sz w:val="20"/>
          <w:szCs w:val="20"/>
          <w:lang w:eastAsia="en-ZA"/>
        </w:rPr>
      </w:pPr>
      <w:r w:rsidRPr="004E5697">
        <w:rPr>
          <w:rFonts w:ascii="Arial" w:eastAsia="TimesNewRomanPSMT" w:hAnsi="Arial" w:cs="Arial"/>
          <w:sz w:val="20"/>
          <w:szCs w:val="20"/>
          <w:lang w:eastAsia="en-ZA"/>
        </w:rPr>
        <w:t xml:space="preserve">Section 4: Programme performance </w:t>
      </w:r>
      <w:r w:rsidR="000D657C" w:rsidRPr="004E5697">
        <w:rPr>
          <w:rFonts w:ascii="Arial" w:eastAsia="TimesNewRomanPSMT" w:hAnsi="Arial" w:cs="Arial"/>
          <w:sz w:val="20"/>
          <w:szCs w:val="20"/>
          <w:lang w:eastAsia="en-ZA"/>
        </w:rPr>
        <w:t>indicators</w:t>
      </w:r>
      <w:r w:rsidRPr="004E5697">
        <w:rPr>
          <w:rFonts w:ascii="Arial" w:eastAsia="TimesNewRomanPSMT" w:hAnsi="Arial" w:cs="Arial"/>
          <w:sz w:val="20"/>
          <w:szCs w:val="20"/>
          <w:lang w:eastAsia="en-ZA"/>
        </w:rPr>
        <w:t xml:space="preserve"> for 202</w:t>
      </w:r>
      <w:r w:rsidR="005E0531" w:rsidRPr="004E5697">
        <w:rPr>
          <w:rFonts w:ascii="Arial" w:eastAsia="TimesNewRomanPSMT" w:hAnsi="Arial" w:cs="Arial"/>
          <w:sz w:val="20"/>
          <w:szCs w:val="20"/>
          <w:lang w:eastAsia="en-ZA"/>
        </w:rPr>
        <w:t>3</w:t>
      </w:r>
      <w:r w:rsidRPr="004E5697">
        <w:rPr>
          <w:rFonts w:ascii="Arial" w:eastAsia="TimesNewRomanPSMT" w:hAnsi="Arial" w:cs="Arial"/>
          <w:sz w:val="20"/>
          <w:szCs w:val="20"/>
          <w:lang w:eastAsia="en-ZA"/>
        </w:rPr>
        <w:t>/2</w:t>
      </w:r>
      <w:r w:rsidR="005E0531" w:rsidRPr="004E5697">
        <w:rPr>
          <w:rFonts w:ascii="Arial" w:eastAsia="TimesNewRomanPSMT" w:hAnsi="Arial" w:cs="Arial"/>
          <w:sz w:val="20"/>
          <w:szCs w:val="20"/>
          <w:lang w:eastAsia="en-ZA"/>
        </w:rPr>
        <w:t>4</w:t>
      </w:r>
      <w:r w:rsidRPr="004E5697">
        <w:rPr>
          <w:rFonts w:ascii="Arial" w:eastAsia="TimesNewRomanPSMT" w:hAnsi="Arial" w:cs="Arial"/>
          <w:sz w:val="20"/>
          <w:szCs w:val="20"/>
          <w:lang w:eastAsia="en-ZA"/>
        </w:rPr>
        <w:t xml:space="preserve">. </w:t>
      </w:r>
      <w:r w:rsidR="000D657C" w:rsidRPr="004E5697">
        <w:rPr>
          <w:rFonts w:ascii="Arial" w:eastAsia="TimesNewRomanPSMT" w:hAnsi="Arial" w:cs="Arial"/>
          <w:sz w:val="20"/>
          <w:szCs w:val="20"/>
          <w:lang w:eastAsia="en-ZA"/>
        </w:rPr>
        <w:t>This section provides a summary of the IPIDs performance indicators per programme for the 202</w:t>
      </w:r>
      <w:r w:rsidR="005E0531" w:rsidRPr="004E5697">
        <w:rPr>
          <w:rFonts w:ascii="Arial" w:eastAsia="TimesNewRomanPSMT" w:hAnsi="Arial" w:cs="Arial"/>
          <w:sz w:val="20"/>
          <w:szCs w:val="20"/>
          <w:lang w:eastAsia="en-ZA"/>
        </w:rPr>
        <w:t>3</w:t>
      </w:r>
      <w:r w:rsidR="000D657C" w:rsidRPr="004E5697">
        <w:rPr>
          <w:rFonts w:ascii="Arial" w:eastAsia="TimesNewRomanPSMT" w:hAnsi="Arial" w:cs="Arial"/>
          <w:sz w:val="20"/>
          <w:szCs w:val="20"/>
          <w:lang w:eastAsia="en-ZA"/>
        </w:rPr>
        <w:t>/2</w:t>
      </w:r>
      <w:r w:rsidR="005E0531" w:rsidRPr="004E5697">
        <w:rPr>
          <w:rFonts w:ascii="Arial" w:eastAsia="TimesNewRomanPSMT" w:hAnsi="Arial" w:cs="Arial"/>
          <w:sz w:val="20"/>
          <w:szCs w:val="20"/>
          <w:lang w:eastAsia="en-ZA"/>
        </w:rPr>
        <w:t>4</w:t>
      </w:r>
      <w:r w:rsidR="000D657C" w:rsidRPr="004E5697">
        <w:rPr>
          <w:rFonts w:ascii="Arial" w:eastAsia="TimesNewRomanPSMT" w:hAnsi="Arial" w:cs="Arial"/>
          <w:sz w:val="20"/>
          <w:szCs w:val="20"/>
          <w:lang w:eastAsia="en-ZA"/>
        </w:rPr>
        <w:t xml:space="preserve"> financial year. </w:t>
      </w:r>
    </w:p>
    <w:p w:rsidR="00042654" w:rsidRPr="004E5697" w:rsidRDefault="00C46DB3" w:rsidP="004E5697">
      <w:pPr>
        <w:pStyle w:val="ListParagraph"/>
        <w:numPr>
          <w:ilvl w:val="0"/>
          <w:numId w:val="11"/>
        </w:numPr>
        <w:spacing w:line="240" w:lineRule="auto"/>
        <w:jc w:val="left"/>
        <w:rPr>
          <w:rFonts w:ascii="Arial" w:eastAsia="TimesNewRomanPSMT" w:hAnsi="Arial" w:cs="Arial"/>
          <w:sz w:val="20"/>
          <w:szCs w:val="20"/>
          <w:lang w:eastAsia="en-ZA"/>
        </w:rPr>
      </w:pPr>
      <w:r w:rsidRPr="004E5697">
        <w:rPr>
          <w:rFonts w:ascii="Arial" w:eastAsia="TimesNewRomanPSMT" w:hAnsi="Arial" w:cs="Arial"/>
          <w:sz w:val="20"/>
          <w:szCs w:val="20"/>
          <w:lang w:eastAsia="en-ZA"/>
        </w:rPr>
        <w:t>Section 5</w:t>
      </w:r>
      <w:r w:rsidR="008A31D9" w:rsidRPr="004E5697">
        <w:rPr>
          <w:rFonts w:ascii="Arial" w:eastAsia="TimesNewRomanPSMT" w:hAnsi="Arial" w:cs="Arial"/>
          <w:sz w:val="20"/>
          <w:szCs w:val="20"/>
          <w:lang w:eastAsia="en-ZA"/>
        </w:rPr>
        <w:t>: Committee observations</w:t>
      </w:r>
      <w:r w:rsidR="00042654" w:rsidRPr="004E5697">
        <w:rPr>
          <w:rFonts w:ascii="Arial" w:eastAsia="TimesNewRomanPSMT" w:hAnsi="Arial" w:cs="Arial"/>
          <w:sz w:val="20"/>
          <w:szCs w:val="20"/>
          <w:lang w:eastAsia="en-ZA"/>
        </w:rPr>
        <w:t>. This section provides selected observations made by the Portfolio Committee on Police in general, on the annual performance targets and programme specific issues during the 202</w:t>
      </w:r>
      <w:r w:rsidR="005E0531" w:rsidRPr="004E5697">
        <w:rPr>
          <w:rFonts w:ascii="Arial" w:eastAsia="TimesNewRomanPSMT" w:hAnsi="Arial" w:cs="Arial"/>
          <w:sz w:val="20"/>
          <w:szCs w:val="20"/>
          <w:lang w:eastAsia="en-ZA"/>
        </w:rPr>
        <w:t>3</w:t>
      </w:r>
      <w:r w:rsidR="00042654" w:rsidRPr="004E5697">
        <w:rPr>
          <w:rFonts w:ascii="Arial" w:eastAsia="TimesNewRomanPSMT" w:hAnsi="Arial" w:cs="Arial"/>
          <w:sz w:val="20"/>
          <w:szCs w:val="20"/>
          <w:lang w:eastAsia="en-ZA"/>
        </w:rPr>
        <w:t>/2</w:t>
      </w:r>
      <w:r w:rsidR="005E0531" w:rsidRPr="004E5697">
        <w:rPr>
          <w:rFonts w:ascii="Arial" w:eastAsia="TimesNewRomanPSMT" w:hAnsi="Arial" w:cs="Arial"/>
          <w:sz w:val="20"/>
          <w:szCs w:val="20"/>
          <w:lang w:eastAsia="en-ZA"/>
        </w:rPr>
        <w:t>4</w:t>
      </w:r>
      <w:r w:rsidR="00042654" w:rsidRPr="004E5697">
        <w:rPr>
          <w:rFonts w:ascii="Arial" w:eastAsia="TimesNewRomanPSMT" w:hAnsi="Arial" w:cs="Arial"/>
          <w:sz w:val="20"/>
          <w:szCs w:val="20"/>
          <w:lang w:eastAsia="en-ZA"/>
        </w:rPr>
        <w:t xml:space="preserve"> budget hearings and subsequent responses by the </w:t>
      </w:r>
      <w:r w:rsidR="008A31D9" w:rsidRPr="004E5697">
        <w:rPr>
          <w:rFonts w:ascii="Arial" w:eastAsia="TimesNewRomanPSMT" w:hAnsi="Arial" w:cs="Arial"/>
          <w:sz w:val="20"/>
          <w:szCs w:val="20"/>
          <w:lang w:eastAsia="en-ZA"/>
        </w:rPr>
        <w:t>IPID</w:t>
      </w:r>
      <w:r w:rsidR="00042654" w:rsidRPr="004E5697">
        <w:rPr>
          <w:rFonts w:ascii="Arial" w:eastAsia="TimesNewRomanPSMT" w:hAnsi="Arial" w:cs="Arial"/>
          <w:sz w:val="20"/>
          <w:szCs w:val="20"/>
          <w:lang w:eastAsia="en-ZA"/>
        </w:rPr>
        <w:t>.</w:t>
      </w:r>
    </w:p>
    <w:p w:rsidR="00042654" w:rsidRPr="004E5697" w:rsidRDefault="00042654" w:rsidP="004E5697">
      <w:pPr>
        <w:pStyle w:val="ListParagraph"/>
        <w:numPr>
          <w:ilvl w:val="0"/>
          <w:numId w:val="11"/>
        </w:numPr>
        <w:spacing w:line="240" w:lineRule="auto"/>
        <w:jc w:val="left"/>
        <w:rPr>
          <w:rFonts w:ascii="Arial" w:eastAsia="TimesNewRomanPSMT" w:hAnsi="Arial" w:cs="Arial"/>
          <w:sz w:val="20"/>
          <w:szCs w:val="20"/>
          <w:lang w:eastAsia="en-ZA"/>
        </w:rPr>
      </w:pPr>
      <w:r w:rsidRPr="004E5697">
        <w:rPr>
          <w:rFonts w:ascii="Arial" w:eastAsia="TimesNewRomanPSMT" w:hAnsi="Arial" w:cs="Arial"/>
          <w:sz w:val="20"/>
          <w:szCs w:val="20"/>
          <w:lang w:eastAsia="en-ZA"/>
        </w:rPr>
        <w:t xml:space="preserve">Section </w:t>
      </w:r>
      <w:r w:rsidR="00D76E76" w:rsidRPr="004E5697">
        <w:rPr>
          <w:rFonts w:ascii="Arial" w:eastAsia="TimesNewRomanPSMT" w:hAnsi="Arial" w:cs="Arial"/>
          <w:sz w:val="20"/>
          <w:szCs w:val="20"/>
          <w:lang w:eastAsia="en-ZA"/>
        </w:rPr>
        <w:t>6</w:t>
      </w:r>
      <w:r w:rsidRPr="004E5697">
        <w:rPr>
          <w:rFonts w:ascii="Arial" w:eastAsia="TimesNewRomanPSMT" w:hAnsi="Arial" w:cs="Arial"/>
          <w:sz w:val="20"/>
          <w:szCs w:val="20"/>
          <w:lang w:eastAsia="en-ZA"/>
        </w:rPr>
        <w:t xml:space="preserve">: Recommendations and additional information. This section summarises the recommendations made by the Portfolio Committee on Police, as well as the additional information requested from the </w:t>
      </w:r>
      <w:r w:rsidR="009D75D9" w:rsidRPr="004E5697">
        <w:rPr>
          <w:rFonts w:ascii="Arial" w:eastAsia="TimesNewRomanPSMT" w:hAnsi="Arial" w:cs="Arial"/>
          <w:sz w:val="20"/>
          <w:szCs w:val="20"/>
          <w:lang w:eastAsia="en-ZA"/>
        </w:rPr>
        <w:t>IPID</w:t>
      </w:r>
      <w:r w:rsidRPr="004E5697">
        <w:rPr>
          <w:rFonts w:ascii="Arial" w:eastAsia="TimesNewRomanPSMT" w:hAnsi="Arial" w:cs="Arial"/>
          <w:sz w:val="20"/>
          <w:szCs w:val="20"/>
          <w:lang w:eastAsia="en-ZA"/>
        </w:rPr>
        <w:t>.</w:t>
      </w:r>
    </w:p>
    <w:p w:rsidR="00042654" w:rsidRPr="004E5697" w:rsidRDefault="00042654" w:rsidP="004E5697">
      <w:pPr>
        <w:pStyle w:val="ListParagraph"/>
        <w:numPr>
          <w:ilvl w:val="0"/>
          <w:numId w:val="11"/>
        </w:numPr>
        <w:spacing w:line="240" w:lineRule="auto"/>
        <w:jc w:val="left"/>
        <w:rPr>
          <w:rFonts w:ascii="Arial" w:eastAsia="TimesNewRomanPSMT" w:hAnsi="Arial" w:cs="Arial"/>
          <w:sz w:val="20"/>
          <w:szCs w:val="20"/>
          <w:lang w:eastAsia="en-ZA"/>
        </w:rPr>
      </w:pPr>
      <w:r w:rsidRPr="004E5697">
        <w:rPr>
          <w:rFonts w:ascii="Arial" w:eastAsia="TimesNewRomanPSMT" w:hAnsi="Arial" w:cs="Arial"/>
          <w:sz w:val="20"/>
          <w:szCs w:val="20"/>
          <w:lang w:eastAsia="en-ZA"/>
        </w:rPr>
        <w:t xml:space="preserve">Section </w:t>
      </w:r>
      <w:r w:rsidR="00D76E76" w:rsidRPr="004E5697">
        <w:rPr>
          <w:rFonts w:ascii="Arial" w:eastAsia="TimesNewRomanPSMT" w:hAnsi="Arial" w:cs="Arial"/>
          <w:sz w:val="20"/>
          <w:szCs w:val="20"/>
          <w:lang w:eastAsia="en-ZA"/>
        </w:rPr>
        <w:t>7</w:t>
      </w:r>
      <w:r w:rsidRPr="004E5697">
        <w:rPr>
          <w:rFonts w:ascii="Arial" w:eastAsia="TimesNewRomanPSMT" w:hAnsi="Arial" w:cs="Arial"/>
          <w:sz w:val="20"/>
          <w:szCs w:val="20"/>
          <w:lang w:eastAsia="en-ZA"/>
        </w:rPr>
        <w:t xml:space="preserve">: Conclusion. This section provides concluding remarks. </w:t>
      </w:r>
    </w:p>
    <w:p w:rsidR="00042654" w:rsidRPr="004E5697" w:rsidRDefault="00042654" w:rsidP="004E5697">
      <w:pPr>
        <w:spacing w:line="240" w:lineRule="auto"/>
        <w:jc w:val="left"/>
        <w:rPr>
          <w:rFonts w:ascii="Arial" w:hAnsi="Arial" w:cs="Arial"/>
          <w:sz w:val="20"/>
          <w:szCs w:val="20"/>
        </w:rPr>
      </w:pPr>
    </w:p>
    <w:p w:rsidR="00042654" w:rsidRPr="004E5697" w:rsidRDefault="00042654" w:rsidP="004E5697">
      <w:pPr>
        <w:pStyle w:val="Heading2"/>
        <w:numPr>
          <w:ilvl w:val="1"/>
          <w:numId w:val="10"/>
        </w:numPr>
        <w:spacing w:before="0" w:line="240" w:lineRule="auto"/>
        <w:rPr>
          <w:rFonts w:ascii="Arial" w:hAnsi="Arial" w:cs="Arial"/>
          <w:sz w:val="20"/>
          <w:szCs w:val="20"/>
        </w:rPr>
      </w:pPr>
      <w:r w:rsidRPr="004E5697">
        <w:rPr>
          <w:rFonts w:ascii="Arial" w:hAnsi="Arial" w:cs="Arial"/>
          <w:sz w:val="20"/>
          <w:szCs w:val="20"/>
        </w:rPr>
        <w:t xml:space="preserve">Meetings held </w:t>
      </w:r>
    </w:p>
    <w:p w:rsidR="00042654" w:rsidRPr="004E5697" w:rsidRDefault="00042654" w:rsidP="004E5697">
      <w:pPr>
        <w:spacing w:line="240" w:lineRule="auto"/>
        <w:jc w:val="left"/>
        <w:rPr>
          <w:rFonts w:ascii="Arial" w:hAnsi="Arial" w:cs="Arial"/>
          <w:sz w:val="20"/>
          <w:szCs w:val="20"/>
        </w:rPr>
      </w:pPr>
    </w:p>
    <w:p w:rsidR="00042654" w:rsidRPr="004E5697" w:rsidRDefault="00042654" w:rsidP="004E5697">
      <w:pPr>
        <w:autoSpaceDE w:val="0"/>
        <w:autoSpaceDN w:val="0"/>
        <w:adjustRightInd w:val="0"/>
        <w:spacing w:line="240" w:lineRule="auto"/>
        <w:jc w:val="left"/>
        <w:rPr>
          <w:rFonts w:ascii="Arial" w:eastAsia="TimesNewRomanPSMT" w:hAnsi="Arial" w:cs="Arial"/>
          <w:sz w:val="20"/>
          <w:szCs w:val="20"/>
          <w:lang w:eastAsia="en-ZA"/>
        </w:rPr>
      </w:pPr>
      <w:r w:rsidRPr="004E5697">
        <w:rPr>
          <w:rFonts w:ascii="Arial" w:eastAsia="TimesNewRomanPSMT" w:hAnsi="Arial" w:cs="Arial"/>
          <w:sz w:val="20"/>
          <w:szCs w:val="20"/>
          <w:lang w:eastAsia="en-ZA"/>
        </w:rPr>
        <w:t xml:space="preserve">The Committee met on </w:t>
      </w:r>
      <w:r w:rsidR="005E0531" w:rsidRPr="004E5697">
        <w:rPr>
          <w:rFonts w:ascii="Arial" w:eastAsia="TimesNewRomanPSMT" w:hAnsi="Arial" w:cs="Arial"/>
          <w:sz w:val="20"/>
          <w:szCs w:val="20"/>
          <w:lang w:eastAsia="en-ZA"/>
        </w:rPr>
        <w:t>12 May 2023</w:t>
      </w:r>
      <w:r w:rsidRPr="004E5697">
        <w:rPr>
          <w:rFonts w:ascii="Arial" w:eastAsia="TimesNewRomanPSMT" w:hAnsi="Arial" w:cs="Arial"/>
          <w:sz w:val="20"/>
          <w:szCs w:val="20"/>
          <w:lang w:eastAsia="en-ZA"/>
        </w:rPr>
        <w:t xml:space="preserve"> to consider the IPID 202</w:t>
      </w:r>
      <w:r w:rsidR="005E0531" w:rsidRPr="004E5697">
        <w:rPr>
          <w:rFonts w:ascii="Arial" w:eastAsia="TimesNewRomanPSMT" w:hAnsi="Arial" w:cs="Arial"/>
          <w:sz w:val="20"/>
          <w:szCs w:val="20"/>
          <w:lang w:eastAsia="en-ZA"/>
        </w:rPr>
        <w:t>3</w:t>
      </w:r>
      <w:r w:rsidRPr="004E5697">
        <w:rPr>
          <w:rFonts w:ascii="Arial" w:eastAsia="TimesNewRomanPSMT" w:hAnsi="Arial" w:cs="Arial"/>
          <w:sz w:val="20"/>
          <w:szCs w:val="20"/>
          <w:lang w:eastAsia="en-ZA"/>
        </w:rPr>
        <w:t>/2</w:t>
      </w:r>
      <w:r w:rsidR="005E0531" w:rsidRPr="004E5697">
        <w:rPr>
          <w:rFonts w:ascii="Arial" w:eastAsia="TimesNewRomanPSMT" w:hAnsi="Arial" w:cs="Arial"/>
          <w:sz w:val="20"/>
          <w:szCs w:val="20"/>
          <w:lang w:eastAsia="en-ZA"/>
        </w:rPr>
        <w:t>4</w:t>
      </w:r>
      <w:r w:rsidRPr="004E5697">
        <w:rPr>
          <w:rFonts w:ascii="Arial" w:eastAsia="TimesNewRomanPSMT" w:hAnsi="Arial" w:cs="Arial"/>
          <w:sz w:val="20"/>
          <w:szCs w:val="20"/>
          <w:lang w:eastAsia="en-ZA"/>
        </w:rPr>
        <w:t xml:space="preserve"> APP and Budget. The meeting was held on a virtual platform.</w:t>
      </w:r>
    </w:p>
    <w:p w:rsidR="00C22E1E" w:rsidRPr="004E5697" w:rsidRDefault="00C22E1E" w:rsidP="004E5697">
      <w:pPr>
        <w:spacing w:line="240" w:lineRule="auto"/>
        <w:jc w:val="left"/>
        <w:rPr>
          <w:rFonts w:ascii="Arial" w:hAnsi="Arial" w:cs="Arial"/>
          <w:sz w:val="20"/>
          <w:szCs w:val="20"/>
        </w:rPr>
      </w:pPr>
    </w:p>
    <w:p w:rsidR="009C1143" w:rsidRPr="004E5697" w:rsidRDefault="006C00B3" w:rsidP="004E5697">
      <w:pPr>
        <w:pStyle w:val="Heading1"/>
        <w:numPr>
          <w:ilvl w:val="0"/>
          <w:numId w:val="10"/>
        </w:numPr>
        <w:spacing w:before="0" w:line="240" w:lineRule="auto"/>
        <w:jc w:val="left"/>
        <w:rPr>
          <w:rFonts w:ascii="Arial" w:hAnsi="Arial" w:cs="Arial"/>
          <w:szCs w:val="20"/>
        </w:rPr>
      </w:pPr>
      <w:bookmarkStart w:id="1" w:name="_Toc100599259"/>
      <w:r w:rsidRPr="004E5697">
        <w:rPr>
          <w:rFonts w:ascii="Arial" w:hAnsi="Arial" w:cs="Arial"/>
          <w:szCs w:val="20"/>
        </w:rPr>
        <w:t>Legislati</w:t>
      </w:r>
      <w:r w:rsidR="006719E3" w:rsidRPr="004E5697">
        <w:rPr>
          <w:rFonts w:ascii="Arial" w:hAnsi="Arial" w:cs="Arial"/>
          <w:szCs w:val="20"/>
        </w:rPr>
        <w:t>ve mandate</w:t>
      </w:r>
      <w:bookmarkEnd w:id="1"/>
    </w:p>
    <w:p w:rsidR="009C1143" w:rsidRPr="004E5697" w:rsidRDefault="009C1143" w:rsidP="004E5697">
      <w:pPr>
        <w:spacing w:line="240" w:lineRule="auto"/>
        <w:jc w:val="left"/>
        <w:rPr>
          <w:rFonts w:ascii="Arial" w:hAnsi="Arial" w:cs="Arial"/>
          <w:sz w:val="20"/>
          <w:szCs w:val="20"/>
        </w:rPr>
      </w:pPr>
    </w:p>
    <w:p w:rsidR="005474F4" w:rsidRPr="004E5697" w:rsidRDefault="005474F4" w:rsidP="004E5697">
      <w:pPr>
        <w:spacing w:line="240" w:lineRule="auto"/>
        <w:jc w:val="left"/>
        <w:rPr>
          <w:rFonts w:ascii="Arial" w:hAnsi="Arial" w:cs="Arial"/>
          <w:sz w:val="20"/>
          <w:szCs w:val="20"/>
          <w:lang w:eastAsia="en-ZA"/>
        </w:rPr>
      </w:pPr>
      <w:r w:rsidRPr="004E5697">
        <w:rPr>
          <w:rFonts w:ascii="Arial" w:hAnsi="Arial" w:cs="Arial"/>
          <w:sz w:val="20"/>
          <w:szCs w:val="20"/>
        </w:rPr>
        <w:t xml:space="preserve">The IPID </w:t>
      </w:r>
      <w:r w:rsidRPr="004E5697">
        <w:rPr>
          <w:rFonts w:ascii="Arial" w:hAnsi="Arial" w:cs="Arial"/>
          <w:sz w:val="20"/>
          <w:szCs w:val="20"/>
          <w:lang w:eastAsia="en-ZA"/>
        </w:rPr>
        <w:t>Act, 2011 (Act No. 1 of 2011)</w:t>
      </w:r>
      <w:r w:rsidR="00AE5CFF" w:rsidRPr="004E5697">
        <w:rPr>
          <w:rFonts w:ascii="Arial" w:hAnsi="Arial" w:cs="Arial"/>
          <w:sz w:val="20"/>
          <w:szCs w:val="20"/>
          <w:lang w:eastAsia="en-ZA"/>
        </w:rPr>
        <w:t xml:space="preserve"> </w:t>
      </w:r>
      <w:r w:rsidRPr="004E5697">
        <w:rPr>
          <w:rFonts w:ascii="Arial" w:hAnsi="Arial" w:cs="Arial"/>
          <w:sz w:val="20"/>
          <w:szCs w:val="20"/>
          <w:lang w:eastAsia="en-ZA"/>
        </w:rPr>
        <w:t xml:space="preserve">(“the Act”) came into operation on 01 April 2012 to give effect to section 206(6) of the Constitution, which </w:t>
      </w:r>
      <w:r w:rsidRPr="004E5697">
        <w:rPr>
          <w:rFonts w:ascii="Arial" w:hAnsi="Arial" w:cs="Arial"/>
          <w:sz w:val="20"/>
          <w:szCs w:val="20"/>
        </w:rPr>
        <w:t xml:space="preserve">makes provision for the establishment of an independent police complaints body. </w:t>
      </w:r>
      <w:r w:rsidRPr="004E5697">
        <w:rPr>
          <w:rFonts w:ascii="Arial" w:hAnsi="Arial" w:cs="Arial"/>
          <w:sz w:val="20"/>
          <w:szCs w:val="20"/>
          <w:lang w:eastAsia="en-ZA"/>
        </w:rPr>
        <w:t>The objectives of the IPID Act are to:</w:t>
      </w:r>
    </w:p>
    <w:p w:rsidR="005474F4" w:rsidRPr="004E5697" w:rsidRDefault="005474F4" w:rsidP="004E5697">
      <w:pPr>
        <w:numPr>
          <w:ilvl w:val="0"/>
          <w:numId w:val="2"/>
        </w:numPr>
        <w:autoSpaceDE w:val="0"/>
        <w:autoSpaceDN w:val="0"/>
        <w:adjustRightInd w:val="0"/>
        <w:spacing w:line="240" w:lineRule="auto"/>
        <w:contextualSpacing/>
        <w:jc w:val="left"/>
        <w:rPr>
          <w:rFonts w:ascii="Arial" w:hAnsi="Arial" w:cs="Arial"/>
          <w:sz w:val="20"/>
          <w:szCs w:val="20"/>
          <w:lang w:eastAsia="en-ZA"/>
        </w:rPr>
      </w:pPr>
      <w:r w:rsidRPr="004E5697">
        <w:rPr>
          <w:rFonts w:ascii="Arial" w:hAnsi="Arial" w:cs="Arial"/>
          <w:sz w:val="20"/>
          <w:szCs w:val="20"/>
          <w:lang w:eastAsia="en-ZA"/>
        </w:rPr>
        <w:t>Align provincial and national strategic objectives to enhance the functioning of the Directorate;</w:t>
      </w:r>
    </w:p>
    <w:p w:rsidR="005474F4" w:rsidRPr="004E5697" w:rsidRDefault="005474F4" w:rsidP="004E5697">
      <w:pPr>
        <w:numPr>
          <w:ilvl w:val="0"/>
          <w:numId w:val="2"/>
        </w:numPr>
        <w:autoSpaceDE w:val="0"/>
        <w:autoSpaceDN w:val="0"/>
        <w:adjustRightInd w:val="0"/>
        <w:spacing w:line="240" w:lineRule="auto"/>
        <w:contextualSpacing/>
        <w:jc w:val="left"/>
        <w:rPr>
          <w:rFonts w:ascii="Arial" w:hAnsi="Arial" w:cs="Arial"/>
          <w:sz w:val="20"/>
          <w:szCs w:val="20"/>
          <w:lang w:eastAsia="en-ZA"/>
        </w:rPr>
      </w:pPr>
      <w:r w:rsidRPr="004E5697">
        <w:rPr>
          <w:rFonts w:ascii="Arial" w:hAnsi="Arial" w:cs="Arial"/>
          <w:sz w:val="20"/>
          <w:szCs w:val="20"/>
          <w:lang w:eastAsia="en-ZA"/>
        </w:rPr>
        <w:t>Provide for independent and impartial investigation of identified criminal offences allegedly committed by members of the SAPS and the Municipal Police Services;</w:t>
      </w:r>
    </w:p>
    <w:p w:rsidR="005474F4" w:rsidRPr="004E5697" w:rsidRDefault="005474F4" w:rsidP="004E5697">
      <w:pPr>
        <w:numPr>
          <w:ilvl w:val="0"/>
          <w:numId w:val="2"/>
        </w:numPr>
        <w:autoSpaceDE w:val="0"/>
        <w:autoSpaceDN w:val="0"/>
        <w:adjustRightInd w:val="0"/>
        <w:spacing w:line="240" w:lineRule="auto"/>
        <w:contextualSpacing/>
        <w:jc w:val="left"/>
        <w:rPr>
          <w:rFonts w:ascii="Arial" w:hAnsi="Arial" w:cs="Arial"/>
          <w:sz w:val="20"/>
          <w:szCs w:val="20"/>
          <w:lang w:eastAsia="en-ZA"/>
        </w:rPr>
      </w:pPr>
      <w:r w:rsidRPr="004E5697">
        <w:rPr>
          <w:rFonts w:ascii="Arial" w:hAnsi="Arial" w:cs="Arial"/>
          <w:sz w:val="20"/>
          <w:szCs w:val="20"/>
          <w:lang w:eastAsia="en-ZA"/>
        </w:rPr>
        <w:t>Make disciplinary recommendations to the SAPS resulting from investigations conducted by the Directorate;</w:t>
      </w:r>
    </w:p>
    <w:p w:rsidR="005474F4" w:rsidRPr="004E5697" w:rsidRDefault="005474F4" w:rsidP="004E5697">
      <w:pPr>
        <w:numPr>
          <w:ilvl w:val="0"/>
          <w:numId w:val="2"/>
        </w:numPr>
        <w:autoSpaceDE w:val="0"/>
        <w:autoSpaceDN w:val="0"/>
        <w:adjustRightInd w:val="0"/>
        <w:spacing w:line="240" w:lineRule="auto"/>
        <w:contextualSpacing/>
        <w:jc w:val="left"/>
        <w:rPr>
          <w:rFonts w:ascii="Arial" w:hAnsi="Arial" w:cs="Arial"/>
          <w:sz w:val="20"/>
          <w:szCs w:val="20"/>
          <w:lang w:eastAsia="en-ZA"/>
        </w:rPr>
      </w:pPr>
      <w:r w:rsidRPr="004E5697">
        <w:rPr>
          <w:rFonts w:ascii="Arial" w:hAnsi="Arial" w:cs="Arial"/>
          <w:sz w:val="20"/>
          <w:szCs w:val="20"/>
          <w:lang w:eastAsia="en-ZA"/>
        </w:rPr>
        <w:t>Provide for close cooperation between the Directorate and the Secretariat; and</w:t>
      </w:r>
    </w:p>
    <w:p w:rsidR="005474F4" w:rsidRPr="004E5697" w:rsidRDefault="005474F4" w:rsidP="004E5697">
      <w:pPr>
        <w:numPr>
          <w:ilvl w:val="0"/>
          <w:numId w:val="2"/>
        </w:numPr>
        <w:autoSpaceDE w:val="0"/>
        <w:autoSpaceDN w:val="0"/>
        <w:adjustRightInd w:val="0"/>
        <w:spacing w:line="240" w:lineRule="auto"/>
        <w:contextualSpacing/>
        <w:jc w:val="left"/>
        <w:rPr>
          <w:rFonts w:ascii="Arial" w:hAnsi="Arial" w:cs="Arial"/>
          <w:sz w:val="20"/>
          <w:szCs w:val="20"/>
          <w:lang w:eastAsia="en-ZA"/>
        </w:rPr>
      </w:pPr>
      <w:r w:rsidRPr="004E5697">
        <w:rPr>
          <w:rFonts w:ascii="Arial" w:hAnsi="Arial" w:cs="Arial"/>
          <w:sz w:val="20"/>
          <w:szCs w:val="20"/>
          <w:lang w:eastAsia="en-ZA"/>
        </w:rPr>
        <w:t>Enhance accountability and transparency of the SAPS and the Municipal Police Services in accordance with the principles of the Constitution.</w:t>
      </w:r>
    </w:p>
    <w:p w:rsidR="005474F4" w:rsidRPr="004E5697" w:rsidRDefault="005474F4" w:rsidP="004E5697">
      <w:pPr>
        <w:autoSpaceDE w:val="0"/>
        <w:autoSpaceDN w:val="0"/>
        <w:adjustRightInd w:val="0"/>
        <w:spacing w:line="240" w:lineRule="auto"/>
        <w:contextualSpacing/>
        <w:jc w:val="left"/>
        <w:rPr>
          <w:rFonts w:ascii="Arial" w:hAnsi="Arial" w:cs="Arial"/>
          <w:sz w:val="20"/>
          <w:szCs w:val="20"/>
          <w:lang w:eastAsia="en-ZA"/>
        </w:rPr>
      </w:pPr>
    </w:p>
    <w:p w:rsidR="005474F4" w:rsidRPr="004E5697" w:rsidRDefault="005474F4" w:rsidP="004E5697">
      <w:pPr>
        <w:autoSpaceDE w:val="0"/>
        <w:autoSpaceDN w:val="0"/>
        <w:adjustRightInd w:val="0"/>
        <w:spacing w:line="240" w:lineRule="auto"/>
        <w:contextualSpacing/>
        <w:jc w:val="left"/>
        <w:rPr>
          <w:rFonts w:ascii="Arial" w:hAnsi="Arial" w:cs="Arial"/>
          <w:sz w:val="20"/>
          <w:szCs w:val="20"/>
          <w:lang w:eastAsia="en-ZA"/>
        </w:rPr>
      </w:pPr>
      <w:r w:rsidRPr="004E5697">
        <w:rPr>
          <w:rFonts w:ascii="Arial" w:hAnsi="Arial" w:cs="Arial"/>
          <w:sz w:val="20"/>
          <w:szCs w:val="20"/>
          <w:lang w:eastAsia="en-ZA"/>
        </w:rPr>
        <w:t>The IPID Act provided the Directorate with an extended mandate, which focuses on serious crimes committed by members of the SAPS and the MPS. It further obliges the SAPS and the MPS to report on matters for investigation by the IPID and the status of implementation of disciplinary recommendations made by the IPID upon the completion of investigations.</w:t>
      </w:r>
    </w:p>
    <w:p w:rsidR="005474F4" w:rsidRPr="004E5697" w:rsidRDefault="005474F4" w:rsidP="004E5697">
      <w:pPr>
        <w:spacing w:line="240" w:lineRule="auto"/>
        <w:contextualSpacing/>
        <w:jc w:val="left"/>
        <w:rPr>
          <w:rFonts w:ascii="Arial" w:hAnsi="Arial" w:cs="Arial"/>
          <w:sz w:val="20"/>
          <w:szCs w:val="20"/>
        </w:rPr>
      </w:pPr>
    </w:p>
    <w:p w:rsidR="005474F4" w:rsidRPr="004E5697" w:rsidRDefault="005474F4" w:rsidP="004E5697">
      <w:pPr>
        <w:autoSpaceDE w:val="0"/>
        <w:autoSpaceDN w:val="0"/>
        <w:adjustRightInd w:val="0"/>
        <w:spacing w:line="240" w:lineRule="auto"/>
        <w:contextualSpacing/>
        <w:jc w:val="left"/>
        <w:rPr>
          <w:rFonts w:ascii="Arial" w:hAnsi="Arial" w:cs="Arial"/>
          <w:sz w:val="20"/>
          <w:szCs w:val="20"/>
          <w:lang w:eastAsia="en-ZA"/>
        </w:rPr>
      </w:pPr>
      <w:r w:rsidRPr="004E5697">
        <w:rPr>
          <w:rFonts w:ascii="Arial" w:hAnsi="Arial" w:cs="Arial"/>
          <w:sz w:val="20"/>
          <w:szCs w:val="20"/>
          <w:lang w:eastAsia="en-ZA"/>
        </w:rPr>
        <w:t>In terms of section 28(1) of the Act, the Directorate must investigate:</w:t>
      </w:r>
    </w:p>
    <w:p w:rsidR="005474F4" w:rsidRPr="004E5697" w:rsidRDefault="005474F4" w:rsidP="004E5697">
      <w:pPr>
        <w:numPr>
          <w:ilvl w:val="0"/>
          <w:numId w:val="3"/>
        </w:numPr>
        <w:autoSpaceDE w:val="0"/>
        <w:autoSpaceDN w:val="0"/>
        <w:adjustRightInd w:val="0"/>
        <w:spacing w:line="240" w:lineRule="auto"/>
        <w:contextualSpacing/>
        <w:jc w:val="left"/>
        <w:rPr>
          <w:rFonts w:ascii="Arial" w:hAnsi="Arial" w:cs="Arial"/>
          <w:sz w:val="20"/>
          <w:szCs w:val="20"/>
          <w:lang w:eastAsia="en-ZA"/>
        </w:rPr>
      </w:pPr>
      <w:r w:rsidRPr="004E5697">
        <w:rPr>
          <w:rFonts w:ascii="Arial" w:hAnsi="Arial" w:cs="Arial"/>
          <w:sz w:val="20"/>
          <w:szCs w:val="20"/>
          <w:lang w:eastAsia="en-ZA"/>
        </w:rPr>
        <w:t>Any deaths in police custody;</w:t>
      </w:r>
    </w:p>
    <w:p w:rsidR="005474F4" w:rsidRPr="004E5697" w:rsidRDefault="005474F4" w:rsidP="004E5697">
      <w:pPr>
        <w:numPr>
          <w:ilvl w:val="0"/>
          <w:numId w:val="3"/>
        </w:numPr>
        <w:autoSpaceDE w:val="0"/>
        <w:autoSpaceDN w:val="0"/>
        <w:adjustRightInd w:val="0"/>
        <w:spacing w:line="240" w:lineRule="auto"/>
        <w:contextualSpacing/>
        <w:jc w:val="left"/>
        <w:rPr>
          <w:rFonts w:ascii="Arial" w:hAnsi="Arial" w:cs="Arial"/>
          <w:sz w:val="20"/>
          <w:szCs w:val="20"/>
          <w:lang w:eastAsia="en-ZA"/>
        </w:rPr>
      </w:pPr>
      <w:r w:rsidRPr="004E5697">
        <w:rPr>
          <w:rFonts w:ascii="Arial" w:hAnsi="Arial" w:cs="Arial"/>
          <w:sz w:val="20"/>
          <w:szCs w:val="20"/>
          <w:lang w:eastAsia="en-ZA"/>
        </w:rPr>
        <w:t>Deaths as a result of police actions;</w:t>
      </w:r>
    </w:p>
    <w:p w:rsidR="005474F4" w:rsidRPr="004E5697" w:rsidRDefault="005474F4" w:rsidP="004E5697">
      <w:pPr>
        <w:numPr>
          <w:ilvl w:val="0"/>
          <w:numId w:val="3"/>
        </w:numPr>
        <w:autoSpaceDE w:val="0"/>
        <w:autoSpaceDN w:val="0"/>
        <w:adjustRightInd w:val="0"/>
        <w:spacing w:line="240" w:lineRule="auto"/>
        <w:contextualSpacing/>
        <w:jc w:val="left"/>
        <w:rPr>
          <w:rFonts w:ascii="Arial" w:hAnsi="Arial" w:cs="Arial"/>
          <w:sz w:val="20"/>
          <w:szCs w:val="20"/>
          <w:lang w:eastAsia="en-ZA"/>
        </w:rPr>
      </w:pPr>
      <w:r w:rsidRPr="004E5697">
        <w:rPr>
          <w:rFonts w:ascii="Arial" w:hAnsi="Arial" w:cs="Arial"/>
          <w:sz w:val="20"/>
          <w:szCs w:val="20"/>
          <w:lang w:eastAsia="en-ZA"/>
        </w:rPr>
        <w:t>Complaints relating to the discharge of an official firearm by any police officer;</w:t>
      </w:r>
    </w:p>
    <w:p w:rsidR="005474F4" w:rsidRPr="004E5697" w:rsidRDefault="005474F4" w:rsidP="004E5697">
      <w:pPr>
        <w:numPr>
          <w:ilvl w:val="0"/>
          <w:numId w:val="3"/>
        </w:numPr>
        <w:autoSpaceDE w:val="0"/>
        <w:autoSpaceDN w:val="0"/>
        <w:adjustRightInd w:val="0"/>
        <w:spacing w:line="240" w:lineRule="auto"/>
        <w:contextualSpacing/>
        <w:jc w:val="left"/>
        <w:rPr>
          <w:rFonts w:ascii="Arial" w:hAnsi="Arial" w:cs="Arial"/>
          <w:sz w:val="20"/>
          <w:szCs w:val="20"/>
          <w:lang w:eastAsia="en-ZA"/>
        </w:rPr>
      </w:pPr>
      <w:r w:rsidRPr="004E5697">
        <w:rPr>
          <w:rFonts w:ascii="Arial" w:hAnsi="Arial" w:cs="Arial"/>
          <w:sz w:val="20"/>
          <w:szCs w:val="20"/>
          <w:lang w:eastAsia="en-ZA"/>
        </w:rPr>
        <w:lastRenderedPageBreak/>
        <w:t>Rape by a police officer, whether the police officer is on or off duty;</w:t>
      </w:r>
    </w:p>
    <w:p w:rsidR="005474F4" w:rsidRPr="004E5697" w:rsidRDefault="005474F4" w:rsidP="004E5697">
      <w:pPr>
        <w:numPr>
          <w:ilvl w:val="0"/>
          <w:numId w:val="3"/>
        </w:numPr>
        <w:autoSpaceDE w:val="0"/>
        <w:autoSpaceDN w:val="0"/>
        <w:adjustRightInd w:val="0"/>
        <w:spacing w:line="240" w:lineRule="auto"/>
        <w:contextualSpacing/>
        <w:jc w:val="left"/>
        <w:rPr>
          <w:rFonts w:ascii="Arial" w:hAnsi="Arial" w:cs="Arial"/>
          <w:sz w:val="20"/>
          <w:szCs w:val="20"/>
          <w:lang w:eastAsia="en-ZA"/>
        </w:rPr>
      </w:pPr>
      <w:r w:rsidRPr="004E5697">
        <w:rPr>
          <w:rFonts w:ascii="Arial" w:hAnsi="Arial" w:cs="Arial"/>
          <w:sz w:val="20"/>
          <w:szCs w:val="20"/>
          <w:lang w:eastAsia="en-ZA"/>
        </w:rPr>
        <w:t>Rape of any person in police custody;</w:t>
      </w:r>
    </w:p>
    <w:p w:rsidR="005474F4" w:rsidRPr="004E5697" w:rsidRDefault="005474F4" w:rsidP="004E5697">
      <w:pPr>
        <w:numPr>
          <w:ilvl w:val="0"/>
          <w:numId w:val="3"/>
        </w:numPr>
        <w:autoSpaceDE w:val="0"/>
        <w:autoSpaceDN w:val="0"/>
        <w:adjustRightInd w:val="0"/>
        <w:spacing w:line="240" w:lineRule="auto"/>
        <w:contextualSpacing/>
        <w:jc w:val="left"/>
        <w:rPr>
          <w:rFonts w:ascii="Arial" w:hAnsi="Arial" w:cs="Arial"/>
          <w:sz w:val="20"/>
          <w:szCs w:val="20"/>
          <w:lang w:eastAsia="en-ZA"/>
        </w:rPr>
      </w:pPr>
      <w:r w:rsidRPr="004E5697">
        <w:rPr>
          <w:rFonts w:ascii="Arial" w:hAnsi="Arial" w:cs="Arial"/>
          <w:sz w:val="20"/>
          <w:szCs w:val="20"/>
          <w:lang w:eastAsia="en-ZA"/>
        </w:rPr>
        <w:t xml:space="preserve">Any complaint of torture or assault against a police officer in the execution of his or her duties; </w:t>
      </w:r>
    </w:p>
    <w:p w:rsidR="005474F4" w:rsidRPr="004E5697" w:rsidRDefault="005474F4" w:rsidP="004E5697">
      <w:pPr>
        <w:numPr>
          <w:ilvl w:val="0"/>
          <w:numId w:val="3"/>
        </w:numPr>
        <w:autoSpaceDE w:val="0"/>
        <w:autoSpaceDN w:val="0"/>
        <w:adjustRightInd w:val="0"/>
        <w:spacing w:line="240" w:lineRule="auto"/>
        <w:contextualSpacing/>
        <w:jc w:val="left"/>
        <w:rPr>
          <w:rFonts w:ascii="Arial" w:hAnsi="Arial" w:cs="Arial"/>
          <w:sz w:val="20"/>
          <w:szCs w:val="20"/>
          <w:lang w:eastAsia="en-ZA"/>
        </w:rPr>
      </w:pPr>
      <w:r w:rsidRPr="004E5697">
        <w:rPr>
          <w:rFonts w:ascii="Arial" w:hAnsi="Arial" w:cs="Arial"/>
          <w:sz w:val="20"/>
          <w:szCs w:val="20"/>
          <w:lang w:eastAsia="en-ZA"/>
        </w:rPr>
        <w:t xml:space="preserve">Corruption matters within the police initiated by the Executive Director, or after a complaint from a member of the public or referred to the Directorate by the Minister, a MEC or the Secretary for the Police Service; and </w:t>
      </w:r>
    </w:p>
    <w:p w:rsidR="005474F4" w:rsidRPr="004E5697" w:rsidRDefault="005474F4" w:rsidP="004E5697">
      <w:pPr>
        <w:numPr>
          <w:ilvl w:val="0"/>
          <w:numId w:val="3"/>
        </w:numPr>
        <w:autoSpaceDE w:val="0"/>
        <w:autoSpaceDN w:val="0"/>
        <w:adjustRightInd w:val="0"/>
        <w:spacing w:line="240" w:lineRule="auto"/>
        <w:contextualSpacing/>
        <w:jc w:val="left"/>
        <w:rPr>
          <w:rFonts w:ascii="Arial" w:hAnsi="Arial" w:cs="Arial"/>
          <w:sz w:val="20"/>
          <w:szCs w:val="20"/>
          <w:lang w:eastAsia="en-ZA"/>
        </w:rPr>
      </w:pPr>
      <w:r w:rsidRPr="004E5697">
        <w:rPr>
          <w:rFonts w:ascii="Arial" w:hAnsi="Arial" w:cs="Arial"/>
          <w:sz w:val="20"/>
          <w:szCs w:val="20"/>
          <w:lang w:eastAsia="en-ZA"/>
        </w:rPr>
        <w:t>Any other matter referred to the IPID because of a decision by the Executive Director or if so requested by the Minister, an MEC or the Secretary for the Police Service as the case may be.</w:t>
      </w:r>
    </w:p>
    <w:p w:rsidR="005474F4" w:rsidRPr="004E5697" w:rsidRDefault="005474F4" w:rsidP="004E5697">
      <w:pPr>
        <w:autoSpaceDE w:val="0"/>
        <w:autoSpaceDN w:val="0"/>
        <w:adjustRightInd w:val="0"/>
        <w:spacing w:line="240" w:lineRule="auto"/>
        <w:jc w:val="left"/>
        <w:rPr>
          <w:rFonts w:ascii="Arial" w:hAnsi="Arial" w:cs="Arial"/>
          <w:sz w:val="20"/>
          <w:szCs w:val="20"/>
        </w:rPr>
      </w:pPr>
    </w:p>
    <w:p w:rsidR="005474F4" w:rsidRPr="004E5697" w:rsidRDefault="005474F4" w:rsidP="004E5697">
      <w:pPr>
        <w:autoSpaceDE w:val="0"/>
        <w:autoSpaceDN w:val="0"/>
        <w:adjustRightInd w:val="0"/>
        <w:spacing w:line="240" w:lineRule="auto"/>
        <w:contextualSpacing/>
        <w:jc w:val="left"/>
        <w:rPr>
          <w:rFonts w:ascii="Arial" w:hAnsi="Arial" w:cs="Arial"/>
          <w:sz w:val="20"/>
          <w:szCs w:val="20"/>
          <w:lang w:eastAsia="en-ZA"/>
        </w:rPr>
      </w:pPr>
      <w:r w:rsidRPr="004E5697">
        <w:rPr>
          <w:rFonts w:ascii="Arial" w:hAnsi="Arial" w:cs="Arial"/>
          <w:sz w:val="20"/>
          <w:szCs w:val="20"/>
          <w:lang w:eastAsia="en-ZA"/>
        </w:rPr>
        <w:t>Section 28 (2) further provides that the Directorate may investigate matters relating to systemic corruption involving the police.</w:t>
      </w:r>
    </w:p>
    <w:p w:rsidR="005F2361" w:rsidRPr="004E5697" w:rsidRDefault="005F2361" w:rsidP="004E5697">
      <w:pPr>
        <w:autoSpaceDE w:val="0"/>
        <w:autoSpaceDN w:val="0"/>
        <w:adjustRightInd w:val="0"/>
        <w:spacing w:line="240" w:lineRule="auto"/>
        <w:jc w:val="left"/>
        <w:rPr>
          <w:rFonts w:ascii="Arial" w:hAnsi="Arial" w:cs="Arial"/>
          <w:sz w:val="20"/>
          <w:szCs w:val="20"/>
        </w:rPr>
      </w:pPr>
    </w:p>
    <w:p w:rsidR="00052B47" w:rsidRPr="004E5697" w:rsidRDefault="00052B47" w:rsidP="004E5697">
      <w:pPr>
        <w:pStyle w:val="Heading1"/>
        <w:numPr>
          <w:ilvl w:val="0"/>
          <w:numId w:val="10"/>
        </w:numPr>
        <w:spacing w:before="0" w:line="240" w:lineRule="auto"/>
        <w:jc w:val="left"/>
        <w:rPr>
          <w:rFonts w:ascii="Arial" w:hAnsi="Arial" w:cs="Arial"/>
          <w:szCs w:val="20"/>
        </w:rPr>
      </w:pPr>
      <w:bookmarkStart w:id="2" w:name="_Toc100599260"/>
      <w:r w:rsidRPr="004E5697">
        <w:rPr>
          <w:rFonts w:ascii="Arial" w:hAnsi="Arial" w:cs="Arial"/>
          <w:szCs w:val="20"/>
        </w:rPr>
        <w:t xml:space="preserve">Budget </w:t>
      </w:r>
      <w:r w:rsidR="00BB7716" w:rsidRPr="004E5697">
        <w:rPr>
          <w:rFonts w:ascii="Arial" w:hAnsi="Arial" w:cs="Arial"/>
          <w:szCs w:val="20"/>
        </w:rPr>
        <w:t>allocation</w:t>
      </w:r>
      <w:bookmarkEnd w:id="2"/>
      <w:r w:rsidR="00BB7716" w:rsidRPr="004E5697">
        <w:rPr>
          <w:rFonts w:ascii="Arial" w:hAnsi="Arial" w:cs="Arial"/>
          <w:szCs w:val="20"/>
        </w:rPr>
        <w:t xml:space="preserve"> </w:t>
      </w:r>
      <w:r w:rsidR="005075D3" w:rsidRPr="004E5697">
        <w:rPr>
          <w:rFonts w:ascii="Arial" w:hAnsi="Arial" w:cs="Arial"/>
          <w:szCs w:val="20"/>
        </w:rPr>
        <w:t>for 202</w:t>
      </w:r>
      <w:r w:rsidR="006C4E57" w:rsidRPr="004E5697">
        <w:rPr>
          <w:rFonts w:ascii="Arial" w:hAnsi="Arial" w:cs="Arial"/>
          <w:szCs w:val="20"/>
        </w:rPr>
        <w:t>3</w:t>
      </w:r>
      <w:r w:rsidR="005075D3" w:rsidRPr="004E5697">
        <w:rPr>
          <w:rFonts w:ascii="Arial" w:hAnsi="Arial" w:cs="Arial"/>
          <w:szCs w:val="20"/>
        </w:rPr>
        <w:t>/2</w:t>
      </w:r>
      <w:r w:rsidR="006C4E57" w:rsidRPr="004E5697">
        <w:rPr>
          <w:rFonts w:ascii="Arial" w:hAnsi="Arial" w:cs="Arial"/>
          <w:szCs w:val="20"/>
        </w:rPr>
        <w:t>4</w:t>
      </w:r>
    </w:p>
    <w:p w:rsidR="00A0339C" w:rsidRPr="004E5697" w:rsidRDefault="00A0339C" w:rsidP="004E5697">
      <w:pPr>
        <w:spacing w:line="240" w:lineRule="auto"/>
        <w:jc w:val="left"/>
        <w:rPr>
          <w:rFonts w:ascii="Arial" w:hAnsi="Arial" w:cs="Arial"/>
          <w:sz w:val="20"/>
          <w:szCs w:val="20"/>
        </w:rPr>
      </w:pPr>
    </w:p>
    <w:p w:rsidR="00BB7716" w:rsidRPr="004E5697" w:rsidRDefault="00BB7716" w:rsidP="004E5697">
      <w:pPr>
        <w:pStyle w:val="Heading2"/>
        <w:numPr>
          <w:ilvl w:val="1"/>
          <w:numId w:val="10"/>
        </w:numPr>
        <w:spacing w:before="0" w:line="240" w:lineRule="auto"/>
        <w:rPr>
          <w:rFonts w:ascii="Arial" w:hAnsi="Arial" w:cs="Arial"/>
          <w:sz w:val="20"/>
          <w:szCs w:val="20"/>
        </w:rPr>
      </w:pPr>
      <w:bookmarkStart w:id="3" w:name="_Toc100599261"/>
      <w:r w:rsidRPr="004E5697">
        <w:rPr>
          <w:rFonts w:ascii="Arial" w:hAnsi="Arial" w:cs="Arial"/>
          <w:sz w:val="20"/>
          <w:szCs w:val="20"/>
        </w:rPr>
        <w:t>Overall budget allocation</w:t>
      </w:r>
      <w:bookmarkEnd w:id="3"/>
      <w:r w:rsidRPr="004E5697">
        <w:rPr>
          <w:rFonts w:ascii="Arial" w:hAnsi="Arial" w:cs="Arial"/>
          <w:sz w:val="20"/>
          <w:szCs w:val="20"/>
        </w:rPr>
        <w:t xml:space="preserve"> </w:t>
      </w:r>
    </w:p>
    <w:p w:rsidR="00BB7716" w:rsidRPr="004E5697" w:rsidRDefault="00BB7716" w:rsidP="004E5697">
      <w:pPr>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 xml:space="preserve">The IPID received a Main Appropriation of R364.4 million in 2023/24, which is a slight nominal increase of 0.2 per cent. However, taking into account inflation, the Directorate’s allocation decreased by 4.45 per cent. Note should be taken of the response from the Minister of Finance on the Committee’s BRRR recommendation that the IPID’s budget allocation be increased as noted above. The Minister indicated that IPID has recorded continued underspending and thus has not demonstrated that it has the capacity to fully spend its allocated budget. </w:t>
      </w:r>
    </w:p>
    <w:p w:rsidR="006C4E57" w:rsidRPr="004E5697" w:rsidRDefault="006C4E57" w:rsidP="004E5697">
      <w:pPr>
        <w:autoSpaceDE w:val="0"/>
        <w:autoSpaceDN w:val="0"/>
        <w:adjustRightInd w:val="0"/>
        <w:spacing w:line="240" w:lineRule="auto"/>
        <w:jc w:val="left"/>
        <w:rPr>
          <w:rFonts w:ascii="Arial" w:hAnsi="Arial" w:cs="Arial"/>
          <w:sz w:val="20"/>
          <w:szCs w:val="20"/>
        </w:rPr>
      </w:pPr>
    </w:p>
    <w:p w:rsidR="006C4E57" w:rsidRPr="004E5697" w:rsidRDefault="006C4E57" w:rsidP="004E5697">
      <w:pPr>
        <w:autoSpaceDE w:val="0"/>
        <w:autoSpaceDN w:val="0"/>
        <w:adjustRightInd w:val="0"/>
        <w:spacing w:line="240" w:lineRule="auto"/>
        <w:jc w:val="left"/>
        <w:rPr>
          <w:rFonts w:ascii="Arial" w:hAnsi="Arial" w:cs="Arial"/>
          <w:b/>
          <w:bCs/>
          <w:i/>
          <w:sz w:val="20"/>
          <w:szCs w:val="20"/>
        </w:rPr>
      </w:pPr>
      <w:r w:rsidRPr="004E5697">
        <w:rPr>
          <w:rFonts w:ascii="Arial" w:hAnsi="Arial" w:cs="Arial"/>
          <w:b/>
          <w:i/>
          <w:sz w:val="20"/>
          <w:szCs w:val="20"/>
        </w:rPr>
        <w:t xml:space="preserve">Table 1: </w:t>
      </w:r>
      <w:r w:rsidRPr="004E5697">
        <w:rPr>
          <w:rFonts w:ascii="Arial" w:hAnsi="Arial" w:cs="Arial"/>
          <w:b/>
          <w:bCs/>
          <w:i/>
          <w:sz w:val="20"/>
          <w:szCs w:val="20"/>
        </w:rPr>
        <w:t>Comparative changes in expenditure estimates by programme: 2022/23 to 2023/24</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993"/>
        <w:gridCol w:w="939"/>
        <w:gridCol w:w="7"/>
        <w:gridCol w:w="1252"/>
        <w:gridCol w:w="1134"/>
        <w:gridCol w:w="1559"/>
        <w:gridCol w:w="1559"/>
      </w:tblGrid>
      <w:tr w:rsidR="006C4E57" w:rsidRPr="004E5697" w:rsidTr="007A2CB3">
        <w:trPr>
          <w:trHeight w:val="765"/>
          <w:tblHeader/>
        </w:trPr>
        <w:tc>
          <w:tcPr>
            <w:tcW w:w="283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Programme</w:t>
            </w:r>
          </w:p>
        </w:tc>
        <w:tc>
          <w:tcPr>
            <w:tcW w:w="1867" w:type="dxa"/>
            <w:gridSpan w:val="3"/>
            <w:shd w:val="clear" w:color="auto" w:fill="auto"/>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Budget</w:t>
            </w:r>
          </w:p>
        </w:tc>
        <w:tc>
          <w:tcPr>
            <w:tcW w:w="1252" w:type="dxa"/>
            <w:shd w:val="clear" w:color="auto" w:fill="auto"/>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Nominal Increase/ Decrease in 2023/24</w:t>
            </w:r>
          </w:p>
        </w:tc>
        <w:tc>
          <w:tcPr>
            <w:tcW w:w="1134" w:type="dxa"/>
            <w:shd w:val="clear" w:color="auto" w:fill="auto"/>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Real Increase/ Decrease in 2023/24</w:t>
            </w:r>
          </w:p>
        </w:tc>
        <w:tc>
          <w:tcPr>
            <w:tcW w:w="1559" w:type="dxa"/>
            <w:shd w:val="clear" w:color="auto" w:fill="auto"/>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Nominal Percent change in 2023/24</w:t>
            </w:r>
          </w:p>
        </w:tc>
        <w:tc>
          <w:tcPr>
            <w:tcW w:w="1559" w:type="dxa"/>
            <w:shd w:val="clear" w:color="auto" w:fill="auto"/>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Real Percent change in 2023/24</w:t>
            </w:r>
          </w:p>
        </w:tc>
      </w:tr>
      <w:tr w:rsidR="006C4E57" w:rsidRPr="004E5697" w:rsidTr="007A2CB3">
        <w:trPr>
          <w:trHeight w:val="264"/>
          <w:tblHeader/>
        </w:trPr>
        <w:tc>
          <w:tcPr>
            <w:tcW w:w="283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R million</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2022/23</w:t>
            </w:r>
          </w:p>
        </w:tc>
        <w:tc>
          <w:tcPr>
            <w:tcW w:w="867"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2023/24</w:t>
            </w:r>
          </w:p>
        </w:tc>
        <w:tc>
          <w:tcPr>
            <w:tcW w:w="1259" w:type="dxa"/>
            <w:gridSpan w:val="2"/>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p>
        </w:tc>
        <w:tc>
          <w:tcPr>
            <w:tcW w:w="1134" w:type="dxa"/>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p>
        </w:tc>
        <w:tc>
          <w:tcPr>
            <w:tcW w:w="1559" w:type="dxa"/>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p>
        </w:tc>
        <w:tc>
          <w:tcPr>
            <w:tcW w:w="1559" w:type="dxa"/>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p>
        </w:tc>
      </w:tr>
      <w:tr w:rsidR="006C4E57" w:rsidRPr="004E5697" w:rsidTr="007A2CB3">
        <w:trPr>
          <w:trHeight w:val="264"/>
        </w:trPr>
        <w:tc>
          <w:tcPr>
            <w:tcW w:w="283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Programme 1: Administration</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116,0</w:t>
            </w:r>
          </w:p>
        </w:tc>
        <w:tc>
          <w:tcPr>
            <w:tcW w:w="867"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109,2</w:t>
            </w:r>
          </w:p>
        </w:tc>
        <w:tc>
          <w:tcPr>
            <w:tcW w:w="1259" w:type="dxa"/>
            <w:gridSpan w:val="2"/>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6,8</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11,9</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-5,82 per cent</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-10,22 per cent</w:t>
            </w:r>
          </w:p>
        </w:tc>
      </w:tr>
      <w:tr w:rsidR="006C4E57" w:rsidRPr="004E5697" w:rsidTr="007A2CB3">
        <w:trPr>
          <w:trHeight w:val="264"/>
        </w:trPr>
        <w:tc>
          <w:tcPr>
            <w:tcW w:w="283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Programme 2: Investigation and Information Management</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227,1</w:t>
            </w:r>
          </w:p>
        </w:tc>
        <w:tc>
          <w:tcPr>
            <w:tcW w:w="867"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236,9</w:t>
            </w:r>
          </w:p>
        </w:tc>
        <w:tc>
          <w:tcPr>
            <w:tcW w:w="1259" w:type="dxa"/>
            <w:gridSpan w:val="2"/>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9,9</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1,2</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4,35 per cent</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-0,53 per cent</w:t>
            </w:r>
          </w:p>
        </w:tc>
      </w:tr>
      <w:tr w:rsidR="006C4E57" w:rsidRPr="004E5697" w:rsidTr="007A2CB3">
        <w:trPr>
          <w:trHeight w:val="264"/>
        </w:trPr>
        <w:tc>
          <w:tcPr>
            <w:tcW w:w="283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Programme 3: Legal and Investigation Advisory Services</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6,2</w:t>
            </w:r>
          </w:p>
        </w:tc>
        <w:tc>
          <w:tcPr>
            <w:tcW w:w="867"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6,8</w:t>
            </w:r>
          </w:p>
        </w:tc>
        <w:tc>
          <w:tcPr>
            <w:tcW w:w="1259" w:type="dxa"/>
            <w:gridSpan w:val="2"/>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0,6</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0,3</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9,71 per cent</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4,58 per cent</w:t>
            </w:r>
          </w:p>
        </w:tc>
      </w:tr>
      <w:tr w:rsidR="006C4E57" w:rsidRPr="004E5697" w:rsidTr="007A2CB3">
        <w:trPr>
          <w:trHeight w:val="264"/>
        </w:trPr>
        <w:tc>
          <w:tcPr>
            <w:tcW w:w="283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Programme 4: Compliance Monitoring and Stakeholder Management</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14,3</w:t>
            </w:r>
          </w:p>
        </w:tc>
        <w:tc>
          <w:tcPr>
            <w:tcW w:w="867"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11,4</w:t>
            </w:r>
          </w:p>
        </w:tc>
        <w:tc>
          <w:tcPr>
            <w:tcW w:w="1259" w:type="dxa"/>
            <w:gridSpan w:val="2"/>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2,9</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3,4</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-20,08 per cent</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-23,82 per cent</w:t>
            </w:r>
          </w:p>
        </w:tc>
      </w:tr>
      <w:tr w:rsidR="006C4E57" w:rsidRPr="004E5697" w:rsidTr="007A2CB3">
        <w:trPr>
          <w:trHeight w:val="264"/>
        </w:trPr>
        <w:tc>
          <w:tcPr>
            <w:tcW w:w="283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TOTAL</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363,5</w:t>
            </w:r>
          </w:p>
        </w:tc>
        <w:tc>
          <w:tcPr>
            <w:tcW w:w="867"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364,4</w:t>
            </w:r>
          </w:p>
        </w:tc>
        <w:tc>
          <w:tcPr>
            <w:tcW w:w="1259" w:type="dxa"/>
            <w:gridSpan w:val="2"/>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0,9</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16,2</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0,2 per cent</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-4,45 per cent</w:t>
            </w:r>
          </w:p>
        </w:tc>
      </w:tr>
    </w:tbl>
    <w:p w:rsidR="006C4E57" w:rsidRPr="004E5697" w:rsidRDefault="006C4E57" w:rsidP="004E5697">
      <w:pPr>
        <w:spacing w:line="240" w:lineRule="auto"/>
        <w:jc w:val="left"/>
        <w:rPr>
          <w:rFonts w:ascii="Arial" w:hAnsi="Arial" w:cs="Arial"/>
          <w:i/>
          <w:sz w:val="20"/>
          <w:szCs w:val="20"/>
        </w:rPr>
      </w:pPr>
      <w:r w:rsidRPr="004E5697">
        <w:rPr>
          <w:rFonts w:ascii="Arial" w:hAnsi="Arial" w:cs="Arial"/>
          <w:i/>
          <w:sz w:val="20"/>
          <w:szCs w:val="20"/>
        </w:rPr>
        <w:t>Source: National Treasury (2023)</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 xml:space="preserve">The Administration Programme received an allocation of R109.2 million in 2023/24, which is a nominal decrease of R6.8 million or 5.82 per cent. In real terms, the allocation decreased with 10.22 per cent compared to the previous financial year. The Investigation and Information Management Programme received a Main Appropriation of R236.9 million, which is a nominal increase of 4.35 per cent compared to the previous financial year. However, when considering inflation, the Programme’s allocation decreased by 0.53 per cent. </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 xml:space="preserve">The Legal and Investigation Advisory Services Programme received a Main Appropriation of R6.8 million in 2023/24, which is a nominal increase of 9.71 per cent (or R600 000) and real increase of 4.58 per cent compared to the previous financial year. The Compliance Monitoring and Stakeholder Management Programme received a Main Appropriation of R11.4 million in 2023/24, which is a nominal decrease of 20.08 per cent (-R2.9 million), and a real decrease of 23.82 per cent compared to the previous financial year.  </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 xml:space="preserve">The Department’s proportional allocation to Programmes changed slightly in 2023/24 compared to the previous financial year. The Administration Programme receives 29.98 per cent of the Department’s </w:t>
      </w:r>
      <w:r w:rsidRPr="004E5697">
        <w:rPr>
          <w:rFonts w:ascii="Arial" w:hAnsi="Arial" w:cs="Arial"/>
          <w:sz w:val="20"/>
          <w:szCs w:val="20"/>
        </w:rPr>
        <w:lastRenderedPageBreak/>
        <w:t xml:space="preserve">total budget allocation. The proportional allocation decreased by 1.93 per cent in 2023/24 compared to the previous financial year. The Investigation and Information Management Programme continues to receive the bulk of the Department’s total allocation at 65.02 per cent thereof. In 2023/24, the Programme’s proportional allocation increased by 2.56 per cent. The proportional allocation of the Legal and Investigation Advisory Services Programme increased slightly with 0.16 per cent and that of the Compliance Monitoring and Stakeholder Management Programme decreased with 0.8 per cent.    </w:t>
      </w:r>
    </w:p>
    <w:p w:rsidR="006C4E57" w:rsidRPr="004E5697" w:rsidRDefault="006C4E57" w:rsidP="004E5697">
      <w:pPr>
        <w:spacing w:line="240" w:lineRule="auto"/>
        <w:jc w:val="left"/>
        <w:rPr>
          <w:rFonts w:ascii="Arial" w:hAnsi="Arial" w:cs="Arial"/>
          <w:sz w:val="20"/>
          <w:szCs w:val="20"/>
        </w:rPr>
      </w:pPr>
    </w:p>
    <w:p w:rsidR="00430460" w:rsidRPr="004E5697" w:rsidRDefault="00430460" w:rsidP="004E5697">
      <w:pPr>
        <w:spacing w:line="240" w:lineRule="auto"/>
        <w:jc w:val="left"/>
        <w:rPr>
          <w:rFonts w:ascii="Arial" w:hAnsi="Arial" w:cs="Arial"/>
          <w:sz w:val="20"/>
          <w:szCs w:val="20"/>
        </w:rPr>
      </w:pPr>
    </w:p>
    <w:p w:rsidR="00430460" w:rsidRPr="004E5697" w:rsidRDefault="00430460" w:rsidP="004E5697">
      <w:pPr>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b/>
          <w:i/>
          <w:sz w:val="20"/>
          <w:szCs w:val="20"/>
        </w:rPr>
      </w:pPr>
      <w:r w:rsidRPr="004E5697">
        <w:rPr>
          <w:rFonts w:ascii="Arial" w:hAnsi="Arial" w:cs="Arial"/>
          <w:b/>
          <w:i/>
          <w:sz w:val="20"/>
          <w:szCs w:val="20"/>
        </w:rPr>
        <w:t>Table 2: Percent of total Department’s budget per subprogramme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1134"/>
        <w:gridCol w:w="1663"/>
        <w:gridCol w:w="888"/>
        <w:gridCol w:w="1701"/>
        <w:gridCol w:w="1559"/>
      </w:tblGrid>
      <w:tr w:rsidR="006C4E57" w:rsidRPr="004E5697" w:rsidTr="003C7D90">
        <w:trPr>
          <w:trHeight w:val="1035"/>
        </w:trPr>
        <w:tc>
          <w:tcPr>
            <w:tcW w:w="268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Programme</w:t>
            </w:r>
          </w:p>
        </w:tc>
        <w:tc>
          <w:tcPr>
            <w:tcW w:w="1134" w:type="dxa"/>
            <w:shd w:val="clear" w:color="auto" w:fill="auto"/>
            <w:vAlign w:val="center"/>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Budget</w:t>
            </w:r>
          </w:p>
        </w:tc>
        <w:tc>
          <w:tcPr>
            <w:tcW w:w="1663" w:type="dxa"/>
            <w:shd w:val="clear" w:color="auto" w:fill="auto"/>
            <w:vAlign w:val="center"/>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Percent of total budget per programme</w:t>
            </w:r>
          </w:p>
        </w:tc>
        <w:tc>
          <w:tcPr>
            <w:tcW w:w="888" w:type="dxa"/>
            <w:shd w:val="clear" w:color="auto" w:fill="auto"/>
            <w:vAlign w:val="center"/>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Budget</w:t>
            </w:r>
          </w:p>
        </w:tc>
        <w:tc>
          <w:tcPr>
            <w:tcW w:w="1701" w:type="dxa"/>
            <w:shd w:val="clear" w:color="auto" w:fill="auto"/>
            <w:vAlign w:val="center"/>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Percent of total budget per programme</w:t>
            </w:r>
          </w:p>
        </w:tc>
        <w:tc>
          <w:tcPr>
            <w:tcW w:w="1559" w:type="dxa"/>
            <w:shd w:val="clear" w:color="auto" w:fill="auto"/>
            <w:vAlign w:val="center"/>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Change in percent allocation</w:t>
            </w:r>
          </w:p>
        </w:tc>
      </w:tr>
      <w:tr w:rsidR="006C4E57" w:rsidRPr="004E5697" w:rsidTr="003C7D90">
        <w:trPr>
          <w:trHeight w:val="264"/>
        </w:trPr>
        <w:tc>
          <w:tcPr>
            <w:tcW w:w="268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R million</w:t>
            </w:r>
          </w:p>
        </w:tc>
        <w:tc>
          <w:tcPr>
            <w:tcW w:w="2797" w:type="dxa"/>
            <w:gridSpan w:val="2"/>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2022/23</w:t>
            </w:r>
          </w:p>
        </w:tc>
        <w:tc>
          <w:tcPr>
            <w:tcW w:w="2589" w:type="dxa"/>
            <w:gridSpan w:val="2"/>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2023/24</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p>
        </w:tc>
      </w:tr>
      <w:tr w:rsidR="006C4E57" w:rsidRPr="004E5697" w:rsidTr="003C7D90">
        <w:trPr>
          <w:trHeight w:val="264"/>
        </w:trPr>
        <w:tc>
          <w:tcPr>
            <w:tcW w:w="268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Programme 1: Administration</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116,0</w:t>
            </w:r>
          </w:p>
        </w:tc>
        <w:tc>
          <w:tcPr>
            <w:tcW w:w="166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31,90 per cent</w:t>
            </w:r>
          </w:p>
        </w:tc>
        <w:tc>
          <w:tcPr>
            <w:tcW w:w="88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109,2</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29,98 per cent</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-1,93 per cent</w:t>
            </w:r>
          </w:p>
        </w:tc>
      </w:tr>
      <w:tr w:rsidR="006C4E57" w:rsidRPr="004E5697" w:rsidTr="003C7D90">
        <w:trPr>
          <w:trHeight w:val="264"/>
        </w:trPr>
        <w:tc>
          <w:tcPr>
            <w:tcW w:w="268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Programme 2: Investigation and Information Management</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227,1</w:t>
            </w:r>
          </w:p>
        </w:tc>
        <w:tc>
          <w:tcPr>
            <w:tcW w:w="166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62,46 per cent</w:t>
            </w:r>
          </w:p>
        </w:tc>
        <w:tc>
          <w:tcPr>
            <w:tcW w:w="88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236,9</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65,02 per cent</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2,56 per cent</w:t>
            </w:r>
          </w:p>
        </w:tc>
      </w:tr>
      <w:tr w:rsidR="006C4E57" w:rsidRPr="004E5697" w:rsidTr="003C7D90">
        <w:trPr>
          <w:trHeight w:val="264"/>
        </w:trPr>
        <w:tc>
          <w:tcPr>
            <w:tcW w:w="268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Programme 3: Legal and Investigation Advisory Services</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6,2</w:t>
            </w:r>
          </w:p>
        </w:tc>
        <w:tc>
          <w:tcPr>
            <w:tcW w:w="166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1,71 per cent</w:t>
            </w:r>
          </w:p>
        </w:tc>
        <w:tc>
          <w:tcPr>
            <w:tcW w:w="88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6,8</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1,87 per cent</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0,16 per cent</w:t>
            </w:r>
          </w:p>
        </w:tc>
      </w:tr>
      <w:tr w:rsidR="006C4E57" w:rsidRPr="004E5697" w:rsidTr="003C7D90">
        <w:trPr>
          <w:trHeight w:val="264"/>
        </w:trPr>
        <w:tc>
          <w:tcPr>
            <w:tcW w:w="268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Programme 4: Compliance Monitoring and Stakeholder Management</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14,3</w:t>
            </w:r>
          </w:p>
        </w:tc>
        <w:tc>
          <w:tcPr>
            <w:tcW w:w="166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3,93 per cent</w:t>
            </w:r>
          </w:p>
        </w:tc>
        <w:tc>
          <w:tcPr>
            <w:tcW w:w="88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11,4</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3,13 per cent</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-0,80 per cent</w:t>
            </w:r>
          </w:p>
        </w:tc>
      </w:tr>
      <w:tr w:rsidR="006C4E57" w:rsidRPr="004E5697" w:rsidTr="003C7D90">
        <w:trPr>
          <w:trHeight w:val="264"/>
        </w:trPr>
        <w:tc>
          <w:tcPr>
            <w:tcW w:w="268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TOTAL</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363,5</w:t>
            </w:r>
          </w:p>
        </w:tc>
        <w:tc>
          <w:tcPr>
            <w:tcW w:w="166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100,00 per cent</w:t>
            </w:r>
          </w:p>
        </w:tc>
        <w:tc>
          <w:tcPr>
            <w:tcW w:w="88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364,4</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100,00 per cent</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0,00 per cent</w:t>
            </w:r>
          </w:p>
        </w:tc>
      </w:tr>
    </w:tbl>
    <w:p w:rsidR="006C4E57" w:rsidRPr="004E5697" w:rsidRDefault="006C4E57" w:rsidP="004E5697">
      <w:pPr>
        <w:spacing w:line="240" w:lineRule="auto"/>
        <w:jc w:val="left"/>
        <w:rPr>
          <w:rFonts w:ascii="Arial" w:hAnsi="Arial" w:cs="Arial"/>
          <w:sz w:val="20"/>
          <w:szCs w:val="20"/>
        </w:rPr>
      </w:pPr>
      <w:r w:rsidRPr="004E5697">
        <w:rPr>
          <w:rFonts w:ascii="Arial" w:hAnsi="Arial" w:cs="Arial"/>
          <w:i/>
          <w:sz w:val="20"/>
          <w:szCs w:val="20"/>
        </w:rPr>
        <w:t>Source: National Treasury (2023)</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 xml:space="preserve">In terms of economic classification, the largest portion of funds is allocated to </w:t>
      </w:r>
      <w:r w:rsidRPr="004E5697">
        <w:rPr>
          <w:rFonts w:ascii="Arial" w:hAnsi="Arial" w:cs="Arial"/>
          <w:i/>
          <w:sz w:val="20"/>
          <w:szCs w:val="20"/>
        </w:rPr>
        <w:t xml:space="preserve">Current Payments. </w:t>
      </w:r>
      <w:r w:rsidRPr="004E5697">
        <w:rPr>
          <w:rFonts w:ascii="Arial" w:hAnsi="Arial" w:cs="Arial"/>
          <w:sz w:val="20"/>
          <w:szCs w:val="20"/>
        </w:rPr>
        <w:t xml:space="preserve">In 2023/24, the Main Appropriation of </w:t>
      </w:r>
      <w:r w:rsidRPr="004E5697">
        <w:rPr>
          <w:rFonts w:ascii="Arial" w:hAnsi="Arial" w:cs="Arial"/>
          <w:i/>
          <w:sz w:val="20"/>
          <w:szCs w:val="20"/>
        </w:rPr>
        <w:t xml:space="preserve">Current Payments </w:t>
      </w:r>
      <w:r w:rsidRPr="004E5697">
        <w:rPr>
          <w:rFonts w:ascii="Arial" w:hAnsi="Arial" w:cs="Arial"/>
          <w:sz w:val="20"/>
          <w:szCs w:val="20"/>
        </w:rPr>
        <w:t xml:space="preserve">was R356.8 million which is a nominal increase of 2.06 per cent (97.92 per cent of the IPIDs total allocation). Under this item, the allocation towards </w:t>
      </w:r>
      <w:r w:rsidRPr="004E5697">
        <w:rPr>
          <w:rFonts w:ascii="Arial" w:hAnsi="Arial" w:cs="Arial"/>
          <w:i/>
          <w:sz w:val="20"/>
          <w:szCs w:val="20"/>
        </w:rPr>
        <w:t>Compensation of Employees</w:t>
      </w:r>
      <w:r w:rsidRPr="004E5697">
        <w:rPr>
          <w:rFonts w:ascii="Arial" w:hAnsi="Arial" w:cs="Arial"/>
          <w:sz w:val="20"/>
          <w:szCs w:val="20"/>
        </w:rPr>
        <w:t xml:space="preserve">, forms 67.51 per cent of the Department’s total budget allocation in 2023/24. The allocation increased from R233.9 million in 2022/23 to R246.0 million in 2023/24, which is a nominal increase of R12.1 million or 5.18 per cent.  </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 xml:space="preserve">The total allocation towards </w:t>
      </w:r>
      <w:r w:rsidRPr="004E5697">
        <w:rPr>
          <w:rFonts w:ascii="Arial" w:hAnsi="Arial" w:cs="Arial"/>
          <w:i/>
          <w:sz w:val="20"/>
          <w:szCs w:val="20"/>
        </w:rPr>
        <w:t>Goods and Service</w:t>
      </w:r>
      <w:r w:rsidRPr="004E5697">
        <w:rPr>
          <w:rFonts w:ascii="Arial" w:hAnsi="Arial" w:cs="Arial"/>
          <w:sz w:val="20"/>
          <w:szCs w:val="20"/>
        </w:rPr>
        <w:t xml:space="preserve"> decreased from R115.7 million in 2022/23 to R110.8 million in 2023/24, which is a nominal decrease of R4.9 million or 4.25 per cent. Under </w:t>
      </w:r>
      <w:r w:rsidRPr="004E5697">
        <w:rPr>
          <w:rFonts w:ascii="Arial" w:hAnsi="Arial" w:cs="Arial"/>
          <w:i/>
          <w:sz w:val="20"/>
          <w:szCs w:val="20"/>
        </w:rPr>
        <w:t>Goods and services,</w:t>
      </w:r>
      <w:r w:rsidRPr="004E5697">
        <w:rPr>
          <w:rFonts w:ascii="Arial" w:hAnsi="Arial" w:cs="Arial"/>
          <w:sz w:val="20"/>
          <w:szCs w:val="20"/>
        </w:rPr>
        <w:t xml:space="preserve"> the allocation towards </w:t>
      </w:r>
      <w:r w:rsidRPr="004E5697">
        <w:rPr>
          <w:rFonts w:ascii="Arial" w:hAnsi="Arial" w:cs="Arial"/>
          <w:i/>
          <w:sz w:val="20"/>
          <w:szCs w:val="20"/>
        </w:rPr>
        <w:t xml:space="preserve">Communication </w:t>
      </w:r>
      <w:r w:rsidRPr="004E5697">
        <w:rPr>
          <w:rFonts w:ascii="Arial" w:hAnsi="Arial" w:cs="Arial"/>
          <w:sz w:val="20"/>
          <w:szCs w:val="20"/>
        </w:rPr>
        <w:t xml:space="preserve">increased nominally from R6.5 million in 2022/23 to R7.5 million in 2023/24, which is a nominal increase of R900 000 or 14.4 per cent. </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b/>
          <w:i/>
          <w:sz w:val="20"/>
          <w:szCs w:val="20"/>
        </w:rPr>
      </w:pPr>
      <w:r w:rsidRPr="004E5697">
        <w:rPr>
          <w:rFonts w:ascii="Arial" w:hAnsi="Arial" w:cs="Arial"/>
          <w:b/>
          <w:i/>
          <w:sz w:val="20"/>
          <w:szCs w:val="20"/>
        </w:rPr>
        <w:t>Table 3: IPID Budget Summary per programme and economic classification</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993"/>
        <w:gridCol w:w="992"/>
        <w:gridCol w:w="1134"/>
        <w:gridCol w:w="1276"/>
        <w:gridCol w:w="1701"/>
        <w:gridCol w:w="1842"/>
      </w:tblGrid>
      <w:tr w:rsidR="006C4E57" w:rsidRPr="004E5697" w:rsidTr="00430460">
        <w:trPr>
          <w:trHeight w:val="765"/>
          <w:tblHeader/>
        </w:trPr>
        <w:tc>
          <w:tcPr>
            <w:tcW w:w="226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Programme</w:t>
            </w:r>
          </w:p>
        </w:tc>
        <w:tc>
          <w:tcPr>
            <w:tcW w:w="1985" w:type="dxa"/>
            <w:gridSpan w:val="2"/>
            <w:shd w:val="clear" w:color="auto" w:fill="auto"/>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Budget</w:t>
            </w:r>
          </w:p>
        </w:tc>
        <w:tc>
          <w:tcPr>
            <w:tcW w:w="1134" w:type="dxa"/>
            <w:shd w:val="clear" w:color="auto" w:fill="auto"/>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Nominal Increase/ Decrease 2023/24</w:t>
            </w:r>
          </w:p>
        </w:tc>
        <w:tc>
          <w:tcPr>
            <w:tcW w:w="1276" w:type="dxa"/>
            <w:shd w:val="clear" w:color="auto" w:fill="auto"/>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Real Increase/ Decrease in 2023/24</w:t>
            </w:r>
          </w:p>
        </w:tc>
        <w:tc>
          <w:tcPr>
            <w:tcW w:w="1701" w:type="dxa"/>
            <w:shd w:val="clear" w:color="auto" w:fill="auto"/>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Nominal Percent change in 2023/24</w:t>
            </w:r>
          </w:p>
        </w:tc>
        <w:tc>
          <w:tcPr>
            <w:tcW w:w="1842" w:type="dxa"/>
            <w:shd w:val="clear" w:color="auto" w:fill="auto"/>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Real Percent change in 2023/24</w:t>
            </w:r>
          </w:p>
        </w:tc>
      </w:tr>
      <w:tr w:rsidR="006C4E57" w:rsidRPr="004E5697" w:rsidTr="00430460">
        <w:trPr>
          <w:trHeight w:val="264"/>
          <w:tblHeader/>
        </w:trPr>
        <w:tc>
          <w:tcPr>
            <w:tcW w:w="226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R million</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2022/23</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2023/24</w:t>
            </w:r>
          </w:p>
        </w:tc>
        <w:tc>
          <w:tcPr>
            <w:tcW w:w="1134" w:type="dxa"/>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p>
        </w:tc>
        <w:tc>
          <w:tcPr>
            <w:tcW w:w="1276" w:type="dxa"/>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p>
        </w:tc>
        <w:tc>
          <w:tcPr>
            <w:tcW w:w="1701" w:type="dxa"/>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p>
        </w:tc>
        <w:tc>
          <w:tcPr>
            <w:tcW w:w="1842" w:type="dxa"/>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p>
        </w:tc>
      </w:tr>
      <w:tr w:rsidR="006C4E57" w:rsidRPr="004E5697" w:rsidTr="00476758">
        <w:trPr>
          <w:trHeight w:val="264"/>
        </w:trPr>
        <w:tc>
          <w:tcPr>
            <w:tcW w:w="226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Current payments</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349,6</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356,8</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7,2</w:t>
            </w:r>
          </w:p>
        </w:tc>
        <w:tc>
          <w:tcPr>
            <w:tcW w:w="127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9,5</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2,06 per cent</w:t>
            </w:r>
          </w:p>
        </w:tc>
        <w:tc>
          <w:tcPr>
            <w:tcW w:w="184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-2,71 per cent</w:t>
            </w:r>
          </w:p>
        </w:tc>
      </w:tr>
      <w:tr w:rsidR="006C4E57" w:rsidRPr="004E5697" w:rsidTr="00476758">
        <w:trPr>
          <w:trHeight w:val="264"/>
        </w:trPr>
        <w:tc>
          <w:tcPr>
            <w:tcW w:w="226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Compensation of employees</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233,9</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246,0</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12,1</w:t>
            </w:r>
          </w:p>
        </w:tc>
        <w:tc>
          <w:tcPr>
            <w:tcW w:w="127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0,6</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5,18 per cent</w:t>
            </w:r>
          </w:p>
        </w:tc>
        <w:tc>
          <w:tcPr>
            <w:tcW w:w="184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0,26 per cent</w:t>
            </w:r>
          </w:p>
        </w:tc>
      </w:tr>
      <w:tr w:rsidR="006C4E57" w:rsidRPr="004E5697" w:rsidTr="00476758">
        <w:trPr>
          <w:trHeight w:val="264"/>
        </w:trPr>
        <w:tc>
          <w:tcPr>
            <w:tcW w:w="226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Goods and services</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115,7</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110,8</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4,9</w:t>
            </w:r>
          </w:p>
        </w:tc>
        <w:tc>
          <w:tcPr>
            <w:tcW w:w="127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10,1</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-4,25 per cent</w:t>
            </w:r>
          </w:p>
        </w:tc>
        <w:tc>
          <w:tcPr>
            <w:tcW w:w="184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-8,72 per cent</w:t>
            </w:r>
          </w:p>
        </w:tc>
      </w:tr>
      <w:tr w:rsidR="006C4E57" w:rsidRPr="004E5697" w:rsidTr="00476758">
        <w:trPr>
          <w:trHeight w:val="264"/>
        </w:trPr>
        <w:tc>
          <w:tcPr>
            <w:tcW w:w="226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 xml:space="preserve">of which: </w:t>
            </w:r>
          </w:p>
        </w:tc>
        <w:tc>
          <w:tcPr>
            <w:tcW w:w="993" w:type="dxa"/>
            <w:shd w:val="clear" w:color="auto" w:fill="auto"/>
            <w:noWrap/>
            <w:vAlign w:val="bottom"/>
          </w:tcPr>
          <w:p w:rsidR="006C4E57" w:rsidRPr="004E5697" w:rsidRDefault="006C4E57" w:rsidP="004E5697">
            <w:pPr>
              <w:spacing w:line="240" w:lineRule="auto"/>
              <w:jc w:val="left"/>
              <w:rPr>
                <w:rFonts w:ascii="Arial" w:eastAsia="Times New Roman" w:hAnsi="Arial" w:cs="Arial"/>
                <w:i/>
                <w:sz w:val="20"/>
                <w:szCs w:val="20"/>
                <w:lang w:eastAsia="en-ZA"/>
              </w:rPr>
            </w:pPr>
          </w:p>
        </w:tc>
        <w:tc>
          <w:tcPr>
            <w:tcW w:w="992" w:type="dxa"/>
            <w:shd w:val="clear" w:color="auto" w:fill="auto"/>
            <w:noWrap/>
            <w:vAlign w:val="bottom"/>
          </w:tcPr>
          <w:p w:rsidR="006C4E57" w:rsidRPr="004E5697" w:rsidRDefault="006C4E57" w:rsidP="004E5697">
            <w:pPr>
              <w:spacing w:line="240" w:lineRule="auto"/>
              <w:jc w:val="left"/>
              <w:rPr>
                <w:rFonts w:ascii="Arial" w:eastAsia="Times New Roman" w:hAnsi="Arial" w:cs="Arial"/>
                <w:i/>
                <w:sz w:val="20"/>
                <w:szCs w:val="20"/>
                <w:lang w:eastAsia="en-ZA"/>
              </w:rPr>
            </w:pPr>
          </w:p>
        </w:tc>
        <w:tc>
          <w:tcPr>
            <w:tcW w:w="1134" w:type="dxa"/>
            <w:shd w:val="clear" w:color="auto" w:fill="auto"/>
            <w:noWrap/>
            <w:vAlign w:val="bottom"/>
          </w:tcPr>
          <w:p w:rsidR="006C4E57" w:rsidRPr="004E5697" w:rsidRDefault="006C4E57" w:rsidP="004E5697">
            <w:pPr>
              <w:spacing w:line="240" w:lineRule="auto"/>
              <w:jc w:val="left"/>
              <w:rPr>
                <w:rFonts w:ascii="Arial" w:eastAsia="Times New Roman" w:hAnsi="Arial" w:cs="Arial"/>
                <w:i/>
                <w:sz w:val="20"/>
                <w:szCs w:val="20"/>
                <w:lang w:eastAsia="en-ZA"/>
              </w:rPr>
            </w:pPr>
          </w:p>
        </w:tc>
        <w:tc>
          <w:tcPr>
            <w:tcW w:w="1276" w:type="dxa"/>
            <w:shd w:val="clear" w:color="auto" w:fill="auto"/>
            <w:noWrap/>
            <w:vAlign w:val="bottom"/>
          </w:tcPr>
          <w:p w:rsidR="006C4E57" w:rsidRPr="004E5697" w:rsidRDefault="006C4E57" w:rsidP="004E5697">
            <w:pPr>
              <w:spacing w:line="240" w:lineRule="auto"/>
              <w:jc w:val="left"/>
              <w:rPr>
                <w:rFonts w:ascii="Arial" w:eastAsia="Times New Roman" w:hAnsi="Arial" w:cs="Arial"/>
                <w:i/>
                <w:sz w:val="20"/>
                <w:szCs w:val="20"/>
                <w:lang w:eastAsia="en-ZA"/>
              </w:rPr>
            </w:pPr>
          </w:p>
        </w:tc>
        <w:tc>
          <w:tcPr>
            <w:tcW w:w="1701" w:type="dxa"/>
            <w:shd w:val="clear" w:color="auto" w:fill="auto"/>
            <w:noWrap/>
            <w:vAlign w:val="bottom"/>
          </w:tcPr>
          <w:p w:rsidR="006C4E57" w:rsidRPr="004E5697" w:rsidRDefault="006C4E57" w:rsidP="004E5697">
            <w:pPr>
              <w:spacing w:line="240" w:lineRule="auto"/>
              <w:jc w:val="left"/>
              <w:rPr>
                <w:rFonts w:ascii="Arial" w:eastAsia="Times New Roman" w:hAnsi="Arial" w:cs="Arial"/>
                <w:i/>
                <w:sz w:val="20"/>
                <w:szCs w:val="20"/>
                <w:lang w:eastAsia="en-ZA"/>
              </w:rPr>
            </w:pPr>
          </w:p>
        </w:tc>
        <w:tc>
          <w:tcPr>
            <w:tcW w:w="1842" w:type="dxa"/>
            <w:shd w:val="clear" w:color="auto" w:fill="auto"/>
            <w:noWrap/>
            <w:vAlign w:val="bottom"/>
          </w:tcPr>
          <w:p w:rsidR="006C4E57" w:rsidRPr="004E5697" w:rsidRDefault="006C4E57" w:rsidP="004E5697">
            <w:pPr>
              <w:spacing w:line="240" w:lineRule="auto"/>
              <w:jc w:val="left"/>
              <w:rPr>
                <w:rFonts w:ascii="Arial" w:eastAsia="Times New Roman" w:hAnsi="Arial" w:cs="Arial"/>
                <w:i/>
                <w:sz w:val="20"/>
                <w:szCs w:val="20"/>
                <w:lang w:eastAsia="en-ZA"/>
              </w:rPr>
            </w:pPr>
          </w:p>
        </w:tc>
      </w:tr>
      <w:tr w:rsidR="006C4E57" w:rsidRPr="004E5697" w:rsidTr="00476758">
        <w:trPr>
          <w:trHeight w:val="264"/>
        </w:trPr>
        <w:tc>
          <w:tcPr>
            <w:tcW w:w="226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Communication</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 xml:space="preserve">  6,5</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 xml:space="preserve">  7,5</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 xml:space="preserve">  0,9</w:t>
            </w:r>
          </w:p>
        </w:tc>
        <w:tc>
          <w:tcPr>
            <w:tcW w:w="127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 xml:space="preserve">  0,6</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14,40 per cent</w:t>
            </w:r>
          </w:p>
        </w:tc>
        <w:tc>
          <w:tcPr>
            <w:tcW w:w="184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9,06 per cent</w:t>
            </w:r>
          </w:p>
        </w:tc>
      </w:tr>
      <w:tr w:rsidR="006C4E57" w:rsidRPr="004E5697" w:rsidTr="00476758">
        <w:trPr>
          <w:trHeight w:val="264"/>
        </w:trPr>
        <w:tc>
          <w:tcPr>
            <w:tcW w:w="226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Computer services</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 xml:space="preserve">  12,7</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 xml:space="preserve">  11,4</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  1,2</w:t>
            </w:r>
          </w:p>
        </w:tc>
        <w:tc>
          <w:tcPr>
            <w:tcW w:w="127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  1,8</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-9,85 per cent</w:t>
            </w:r>
          </w:p>
        </w:tc>
        <w:tc>
          <w:tcPr>
            <w:tcW w:w="184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-14,06 per cent</w:t>
            </w:r>
          </w:p>
        </w:tc>
      </w:tr>
      <w:tr w:rsidR="006C4E57" w:rsidRPr="004E5697" w:rsidTr="00476758">
        <w:trPr>
          <w:trHeight w:val="264"/>
        </w:trPr>
        <w:tc>
          <w:tcPr>
            <w:tcW w:w="226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Fleet services (including government motor transport)</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 xml:space="preserve">  8,4</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 xml:space="preserve">  9,1</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 xml:space="preserve">  0,7</w:t>
            </w:r>
          </w:p>
        </w:tc>
        <w:tc>
          <w:tcPr>
            <w:tcW w:w="127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 xml:space="preserve">  0,3</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8,64 per cent</w:t>
            </w:r>
          </w:p>
        </w:tc>
        <w:tc>
          <w:tcPr>
            <w:tcW w:w="184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3,57 per cent</w:t>
            </w:r>
          </w:p>
        </w:tc>
      </w:tr>
      <w:tr w:rsidR="006C4E57" w:rsidRPr="004E5697" w:rsidTr="00476758">
        <w:trPr>
          <w:trHeight w:val="264"/>
        </w:trPr>
        <w:tc>
          <w:tcPr>
            <w:tcW w:w="226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Operating leases</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 xml:space="preserve">  26,9</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 xml:space="preserve">  25,0</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  1,9</w:t>
            </w:r>
          </w:p>
        </w:tc>
        <w:tc>
          <w:tcPr>
            <w:tcW w:w="127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  3,1</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-7,06 per cent</w:t>
            </w:r>
          </w:p>
        </w:tc>
        <w:tc>
          <w:tcPr>
            <w:tcW w:w="184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-11,40 per cent</w:t>
            </w:r>
          </w:p>
        </w:tc>
      </w:tr>
      <w:tr w:rsidR="006C4E57" w:rsidRPr="004E5697" w:rsidTr="00476758">
        <w:trPr>
          <w:trHeight w:val="264"/>
        </w:trPr>
        <w:tc>
          <w:tcPr>
            <w:tcW w:w="226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lastRenderedPageBreak/>
              <w:t>Property payments</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 xml:space="preserve">  24,3</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 xml:space="preserve">  26,0</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 xml:space="preserve">  1,7</w:t>
            </w:r>
          </w:p>
        </w:tc>
        <w:tc>
          <w:tcPr>
            <w:tcW w:w="127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 xml:space="preserve">  0,5</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6,96 per cent</w:t>
            </w:r>
          </w:p>
        </w:tc>
        <w:tc>
          <w:tcPr>
            <w:tcW w:w="184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1,96 per cent</w:t>
            </w:r>
          </w:p>
        </w:tc>
      </w:tr>
      <w:tr w:rsidR="006C4E57" w:rsidRPr="004E5697" w:rsidTr="00476758">
        <w:trPr>
          <w:trHeight w:val="264"/>
        </w:trPr>
        <w:tc>
          <w:tcPr>
            <w:tcW w:w="226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Travel and subsistence</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 xml:space="preserve">  14,7</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 xml:space="preserve">  15,7</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 xml:space="preserve">  1,1</w:t>
            </w:r>
          </w:p>
        </w:tc>
        <w:tc>
          <w:tcPr>
            <w:tcW w:w="127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 xml:space="preserve">  0,3</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7,17 per cent</w:t>
            </w:r>
          </w:p>
        </w:tc>
        <w:tc>
          <w:tcPr>
            <w:tcW w:w="184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i/>
                <w:sz w:val="20"/>
                <w:szCs w:val="20"/>
                <w:lang w:eastAsia="en-ZA"/>
              </w:rPr>
            </w:pPr>
            <w:r w:rsidRPr="004E5697">
              <w:rPr>
                <w:rFonts w:ascii="Arial" w:eastAsia="Times New Roman" w:hAnsi="Arial" w:cs="Arial"/>
                <w:i/>
                <w:sz w:val="20"/>
                <w:szCs w:val="20"/>
                <w:lang w:eastAsia="en-ZA"/>
              </w:rPr>
              <w:t>2,16 per cent</w:t>
            </w:r>
          </w:p>
        </w:tc>
      </w:tr>
      <w:tr w:rsidR="006C4E57" w:rsidRPr="004E5697" w:rsidTr="00476758">
        <w:trPr>
          <w:trHeight w:val="264"/>
        </w:trPr>
        <w:tc>
          <w:tcPr>
            <w:tcW w:w="226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Transfers and subsidies</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1,3</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1,0</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0,2</w:t>
            </w:r>
          </w:p>
        </w:tc>
        <w:tc>
          <w:tcPr>
            <w:tcW w:w="127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0,3</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-19,33 per cent</w:t>
            </w:r>
          </w:p>
        </w:tc>
        <w:tc>
          <w:tcPr>
            <w:tcW w:w="184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-23,10 per cent</w:t>
            </w:r>
          </w:p>
        </w:tc>
      </w:tr>
      <w:tr w:rsidR="006C4E57" w:rsidRPr="004E5697" w:rsidTr="00476758">
        <w:trPr>
          <w:trHeight w:val="264"/>
        </w:trPr>
        <w:tc>
          <w:tcPr>
            <w:tcW w:w="226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Provinces and municipalities</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0,1</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0,1</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0,0</w:t>
            </w:r>
          </w:p>
        </w:tc>
        <w:tc>
          <w:tcPr>
            <w:tcW w:w="127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0,0</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4,76 per cent</w:t>
            </w:r>
          </w:p>
        </w:tc>
        <w:tc>
          <w:tcPr>
            <w:tcW w:w="184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-0,13 per cent</w:t>
            </w:r>
          </w:p>
        </w:tc>
      </w:tr>
      <w:tr w:rsidR="006C4E57" w:rsidRPr="004E5697" w:rsidTr="00476758">
        <w:trPr>
          <w:trHeight w:val="264"/>
        </w:trPr>
        <w:tc>
          <w:tcPr>
            <w:tcW w:w="226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Departmental agencies and accounts</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0,7</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0,7</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0,0</w:t>
            </w:r>
          </w:p>
        </w:tc>
        <w:tc>
          <w:tcPr>
            <w:tcW w:w="127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0,0</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0,00 per cent</w:t>
            </w:r>
          </w:p>
        </w:tc>
        <w:tc>
          <w:tcPr>
            <w:tcW w:w="184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-4,67 per cent</w:t>
            </w:r>
          </w:p>
        </w:tc>
      </w:tr>
      <w:tr w:rsidR="006C4E57" w:rsidRPr="004E5697" w:rsidTr="00476758">
        <w:trPr>
          <w:trHeight w:val="264"/>
        </w:trPr>
        <w:tc>
          <w:tcPr>
            <w:tcW w:w="226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Households</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0,5</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0,2</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0,3</w:t>
            </w:r>
          </w:p>
        </w:tc>
        <w:tc>
          <w:tcPr>
            <w:tcW w:w="127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0,3</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-55,75 per cent</w:t>
            </w:r>
          </w:p>
        </w:tc>
        <w:tc>
          <w:tcPr>
            <w:tcW w:w="184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-57,82 per cent</w:t>
            </w:r>
          </w:p>
        </w:tc>
      </w:tr>
      <w:tr w:rsidR="006C4E57" w:rsidRPr="004E5697" w:rsidTr="00476758">
        <w:trPr>
          <w:trHeight w:val="264"/>
        </w:trPr>
        <w:tc>
          <w:tcPr>
            <w:tcW w:w="226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Payments for capital assets</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12,6</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6,5</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6,1</w:t>
            </w:r>
          </w:p>
        </w:tc>
        <w:tc>
          <w:tcPr>
            <w:tcW w:w="127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6,4</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-48,23 per cent</w:t>
            </w:r>
          </w:p>
        </w:tc>
        <w:tc>
          <w:tcPr>
            <w:tcW w:w="184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-50,64 per cent</w:t>
            </w:r>
          </w:p>
        </w:tc>
      </w:tr>
      <w:tr w:rsidR="006C4E57" w:rsidRPr="004E5697" w:rsidTr="00476758">
        <w:trPr>
          <w:trHeight w:val="264"/>
        </w:trPr>
        <w:tc>
          <w:tcPr>
            <w:tcW w:w="226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Machinery and equipment</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12,6</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6,5</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6,1</w:t>
            </w:r>
          </w:p>
        </w:tc>
        <w:tc>
          <w:tcPr>
            <w:tcW w:w="127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6,4</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-48,23 per cent</w:t>
            </w:r>
          </w:p>
        </w:tc>
        <w:tc>
          <w:tcPr>
            <w:tcW w:w="184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-50,64 per cent</w:t>
            </w:r>
          </w:p>
        </w:tc>
      </w:tr>
      <w:tr w:rsidR="006C4E57" w:rsidRPr="004E5697" w:rsidTr="00476758">
        <w:trPr>
          <w:trHeight w:val="264"/>
        </w:trPr>
        <w:tc>
          <w:tcPr>
            <w:tcW w:w="226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TOTAL</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363,5</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364,4</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0,9</w:t>
            </w:r>
          </w:p>
        </w:tc>
        <w:tc>
          <w:tcPr>
            <w:tcW w:w="127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16,2</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0,2 per cent</w:t>
            </w:r>
          </w:p>
        </w:tc>
        <w:tc>
          <w:tcPr>
            <w:tcW w:w="184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-4,45 per cent</w:t>
            </w:r>
          </w:p>
        </w:tc>
      </w:tr>
    </w:tbl>
    <w:p w:rsidR="006C4E57" w:rsidRPr="004E5697" w:rsidRDefault="006C4E57" w:rsidP="004E5697">
      <w:pPr>
        <w:spacing w:line="240" w:lineRule="auto"/>
        <w:jc w:val="left"/>
        <w:rPr>
          <w:rFonts w:ascii="Arial" w:hAnsi="Arial" w:cs="Arial"/>
          <w:i/>
          <w:sz w:val="20"/>
          <w:szCs w:val="20"/>
        </w:rPr>
      </w:pPr>
      <w:r w:rsidRPr="004E5697">
        <w:rPr>
          <w:rFonts w:ascii="Arial" w:hAnsi="Arial" w:cs="Arial"/>
          <w:i/>
          <w:sz w:val="20"/>
          <w:szCs w:val="20"/>
        </w:rPr>
        <w:t>Source: National Treasury (2023)</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 xml:space="preserve">The continued decrease in budget allocation towards </w:t>
      </w:r>
      <w:r w:rsidRPr="004E5697">
        <w:rPr>
          <w:rFonts w:ascii="Arial" w:hAnsi="Arial" w:cs="Arial"/>
          <w:i/>
          <w:sz w:val="20"/>
          <w:szCs w:val="20"/>
        </w:rPr>
        <w:t>Payments for Capital Assets (Machinery and equipment</w:t>
      </w:r>
      <w:r w:rsidRPr="004E5697">
        <w:rPr>
          <w:rFonts w:ascii="Arial" w:hAnsi="Arial" w:cs="Arial"/>
          <w:sz w:val="20"/>
          <w:szCs w:val="20"/>
        </w:rPr>
        <w:t xml:space="preserve">) is concerning. In 2022/23, the allocation had a significant nominal decrease of 48.75 per cent, which is repeated with a decrease of 48.23 per cent (or R6.1 million) in 2023/24. The table below shows the variances in the allocation towards </w:t>
      </w:r>
      <w:r w:rsidRPr="004E5697">
        <w:rPr>
          <w:rFonts w:ascii="Arial" w:hAnsi="Arial" w:cs="Arial"/>
          <w:i/>
          <w:sz w:val="20"/>
          <w:szCs w:val="20"/>
        </w:rPr>
        <w:t>Machinery and equipment</w:t>
      </w:r>
      <w:r w:rsidRPr="004E5697">
        <w:rPr>
          <w:rFonts w:ascii="Arial" w:hAnsi="Arial" w:cs="Arial"/>
          <w:sz w:val="20"/>
          <w:szCs w:val="20"/>
        </w:rPr>
        <w:t xml:space="preserve"> over the past four years and over the medium-term. </w:t>
      </w:r>
    </w:p>
    <w:p w:rsidR="006C4E57" w:rsidRPr="004E5697" w:rsidRDefault="006C4E57" w:rsidP="004E5697">
      <w:pPr>
        <w:spacing w:line="240" w:lineRule="auto"/>
        <w:jc w:val="left"/>
        <w:rPr>
          <w:rFonts w:ascii="Arial" w:hAnsi="Arial" w:cs="Arial"/>
          <w:sz w:val="20"/>
          <w:szCs w:val="20"/>
        </w:rPr>
      </w:pPr>
    </w:p>
    <w:tbl>
      <w:tblPr>
        <w:tblStyle w:val="TableGrid"/>
        <w:tblW w:w="0" w:type="auto"/>
        <w:tblLook w:val="04A0"/>
      </w:tblPr>
      <w:tblGrid>
        <w:gridCol w:w="1339"/>
        <w:gridCol w:w="1339"/>
        <w:gridCol w:w="1339"/>
        <w:gridCol w:w="1578"/>
        <w:gridCol w:w="1513"/>
        <w:gridCol w:w="954"/>
        <w:gridCol w:w="954"/>
      </w:tblGrid>
      <w:tr w:rsidR="006C4E57" w:rsidRPr="004E5697" w:rsidTr="007A2CB3">
        <w:tc>
          <w:tcPr>
            <w:tcW w:w="4017" w:type="dxa"/>
            <w:gridSpan w:val="3"/>
            <w:vAlign w:val="center"/>
          </w:tcPr>
          <w:p w:rsidR="006C4E57" w:rsidRPr="004E5697" w:rsidRDefault="006C4E57" w:rsidP="004E5697">
            <w:pPr>
              <w:spacing w:line="240" w:lineRule="auto"/>
              <w:jc w:val="left"/>
              <w:rPr>
                <w:rFonts w:ascii="Arial" w:hAnsi="Arial" w:cs="Arial"/>
                <w:b/>
                <w:sz w:val="20"/>
                <w:szCs w:val="20"/>
              </w:rPr>
            </w:pPr>
            <w:r w:rsidRPr="004E5697">
              <w:rPr>
                <w:rFonts w:ascii="Arial" w:hAnsi="Arial" w:cs="Arial"/>
                <w:b/>
                <w:sz w:val="20"/>
                <w:szCs w:val="20"/>
              </w:rPr>
              <w:t>Audited outcome</w:t>
            </w:r>
          </w:p>
        </w:tc>
        <w:tc>
          <w:tcPr>
            <w:tcW w:w="1578" w:type="dxa"/>
            <w:vAlign w:val="center"/>
          </w:tcPr>
          <w:p w:rsidR="006C4E57" w:rsidRPr="004E5697" w:rsidRDefault="006C4E57" w:rsidP="004E5697">
            <w:pPr>
              <w:spacing w:line="240" w:lineRule="auto"/>
              <w:jc w:val="left"/>
              <w:rPr>
                <w:rFonts w:ascii="Arial" w:hAnsi="Arial" w:cs="Arial"/>
                <w:b/>
                <w:sz w:val="20"/>
                <w:szCs w:val="20"/>
              </w:rPr>
            </w:pPr>
            <w:r w:rsidRPr="004E5697">
              <w:rPr>
                <w:rFonts w:ascii="Arial" w:hAnsi="Arial" w:cs="Arial"/>
                <w:b/>
                <w:sz w:val="20"/>
                <w:szCs w:val="20"/>
              </w:rPr>
              <w:t>Adjusted appropriation</w:t>
            </w:r>
          </w:p>
        </w:tc>
        <w:tc>
          <w:tcPr>
            <w:tcW w:w="3421" w:type="dxa"/>
            <w:gridSpan w:val="3"/>
            <w:vAlign w:val="center"/>
          </w:tcPr>
          <w:p w:rsidR="006C4E57" w:rsidRPr="004E5697" w:rsidRDefault="006C4E57" w:rsidP="004E5697">
            <w:pPr>
              <w:spacing w:line="240" w:lineRule="auto"/>
              <w:jc w:val="left"/>
              <w:rPr>
                <w:rFonts w:ascii="Arial" w:hAnsi="Arial" w:cs="Arial"/>
                <w:b/>
                <w:sz w:val="20"/>
                <w:szCs w:val="20"/>
              </w:rPr>
            </w:pPr>
            <w:r w:rsidRPr="004E5697">
              <w:rPr>
                <w:rFonts w:ascii="Arial" w:hAnsi="Arial" w:cs="Arial"/>
                <w:b/>
                <w:sz w:val="20"/>
                <w:szCs w:val="20"/>
              </w:rPr>
              <w:t>Medium-term expenditure estimate</w:t>
            </w:r>
          </w:p>
        </w:tc>
      </w:tr>
      <w:tr w:rsidR="006C4E57" w:rsidRPr="004E5697" w:rsidTr="007A2CB3">
        <w:tc>
          <w:tcPr>
            <w:tcW w:w="9016" w:type="dxa"/>
            <w:gridSpan w:val="7"/>
            <w:vAlign w:val="center"/>
          </w:tcPr>
          <w:p w:rsidR="006C4E57" w:rsidRPr="004E5697" w:rsidRDefault="006C4E57" w:rsidP="004E5697">
            <w:pPr>
              <w:spacing w:line="240" w:lineRule="auto"/>
              <w:jc w:val="left"/>
              <w:rPr>
                <w:rFonts w:ascii="Arial" w:hAnsi="Arial" w:cs="Arial"/>
                <w:b/>
                <w:sz w:val="20"/>
                <w:szCs w:val="20"/>
              </w:rPr>
            </w:pPr>
            <w:r w:rsidRPr="004E5697">
              <w:rPr>
                <w:rFonts w:ascii="Arial" w:hAnsi="Arial" w:cs="Arial"/>
                <w:b/>
                <w:sz w:val="20"/>
                <w:szCs w:val="20"/>
              </w:rPr>
              <w:t>R million</w:t>
            </w:r>
          </w:p>
        </w:tc>
      </w:tr>
      <w:tr w:rsidR="006C4E57" w:rsidRPr="004E5697" w:rsidTr="007A2CB3">
        <w:tc>
          <w:tcPr>
            <w:tcW w:w="1339" w:type="dxa"/>
            <w:vAlign w:val="center"/>
          </w:tcPr>
          <w:p w:rsidR="006C4E57" w:rsidRPr="004E5697" w:rsidRDefault="006C4E57" w:rsidP="004E5697">
            <w:pPr>
              <w:spacing w:line="240" w:lineRule="auto"/>
              <w:jc w:val="left"/>
              <w:rPr>
                <w:rFonts w:ascii="Arial" w:hAnsi="Arial" w:cs="Arial"/>
                <w:b/>
                <w:sz w:val="20"/>
                <w:szCs w:val="20"/>
              </w:rPr>
            </w:pPr>
            <w:r w:rsidRPr="004E5697">
              <w:rPr>
                <w:rFonts w:ascii="Arial" w:hAnsi="Arial" w:cs="Arial"/>
                <w:b/>
                <w:sz w:val="20"/>
                <w:szCs w:val="20"/>
              </w:rPr>
              <w:t>2019/20</w:t>
            </w:r>
          </w:p>
        </w:tc>
        <w:tc>
          <w:tcPr>
            <w:tcW w:w="1339" w:type="dxa"/>
            <w:vAlign w:val="center"/>
          </w:tcPr>
          <w:p w:rsidR="006C4E57" w:rsidRPr="004E5697" w:rsidRDefault="006C4E57" w:rsidP="004E5697">
            <w:pPr>
              <w:spacing w:line="240" w:lineRule="auto"/>
              <w:jc w:val="left"/>
              <w:rPr>
                <w:rFonts w:ascii="Arial" w:hAnsi="Arial" w:cs="Arial"/>
                <w:b/>
                <w:sz w:val="20"/>
                <w:szCs w:val="20"/>
              </w:rPr>
            </w:pPr>
            <w:r w:rsidRPr="004E5697">
              <w:rPr>
                <w:rFonts w:ascii="Arial" w:hAnsi="Arial" w:cs="Arial"/>
                <w:b/>
                <w:sz w:val="20"/>
                <w:szCs w:val="20"/>
              </w:rPr>
              <w:t>2020/21</w:t>
            </w:r>
          </w:p>
        </w:tc>
        <w:tc>
          <w:tcPr>
            <w:tcW w:w="1339" w:type="dxa"/>
            <w:vAlign w:val="center"/>
          </w:tcPr>
          <w:p w:rsidR="006C4E57" w:rsidRPr="004E5697" w:rsidRDefault="006C4E57" w:rsidP="004E5697">
            <w:pPr>
              <w:spacing w:line="240" w:lineRule="auto"/>
              <w:jc w:val="left"/>
              <w:rPr>
                <w:rFonts w:ascii="Arial" w:hAnsi="Arial" w:cs="Arial"/>
                <w:b/>
                <w:sz w:val="20"/>
                <w:szCs w:val="20"/>
              </w:rPr>
            </w:pPr>
            <w:r w:rsidRPr="004E5697">
              <w:rPr>
                <w:rFonts w:ascii="Arial" w:hAnsi="Arial" w:cs="Arial"/>
                <w:b/>
                <w:sz w:val="20"/>
                <w:szCs w:val="20"/>
              </w:rPr>
              <w:t>2021/22</w:t>
            </w:r>
          </w:p>
        </w:tc>
        <w:tc>
          <w:tcPr>
            <w:tcW w:w="1578" w:type="dxa"/>
            <w:vAlign w:val="center"/>
          </w:tcPr>
          <w:p w:rsidR="006C4E57" w:rsidRPr="004E5697" w:rsidRDefault="006C4E57" w:rsidP="004E5697">
            <w:pPr>
              <w:spacing w:line="240" w:lineRule="auto"/>
              <w:jc w:val="left"/>
              <w:rPr>
                <w:rFonts w:ascii="Arial" w:hAnsi="Arial" w:cs="Arial"/>
                <w:b/>
                <w:sz w:val="20"/>
                <w:szCs w:val="20"/>
              </w:rPr>
            </w:pPr>
            <w:r w:rsidRPr="004E5697">
              <w:rPr>
                <w:rFonts w:ascii="Arial" w:hAnsi="Arial" w:cs="Arial"/>
                <w:b/>
                <w:sz w:val="20"/>
                <w:szCs w:val="20"/>
              </w:rPr>
              <w:t>2022/23</w:t>
            </w:r>
          </w:p>
        </w:tc>
        <w:tc>
          <w:tcPr>
            <w:tcW w:w="1513" w:type="dxa"/>
            <w:vAlign w:val="center"/>
          </w:tcPr>
          <w:p w:rsidR="006C4E57" w:rsidRPr="004E5697" w:rsidRDefault="006C4E57" w:rsidP="004E5697">
            <w:pPr>
              <w:spacing w:line="240" w:lineRule="auto"/>
              <w:jc w:val="left"/>
              <w:rPr>
                <w:rFonts w:ascii="Arial" w:hAnsi="Arial" w:cs="Arial"/>
                <w:b/>
                <w:sz w:val="20"/>
                <w:szCs w:val="20"/>
              </w:rPr>
            </w:pPr>
            <w:r w:rsidRPr="004E5697">
              <w:rPr>
                <w:rFonts w:ascii="Arial" w:hAnsi="Arial" w:cs="Arial"/>
                <w:b/>
                <w:sz w:val="20"/>
                <w:szCs w:val="20"/>
              </w:rPr>
              <w:t>2023/24</w:t>
            </w:r>
          </w:p>
        </w:tc>
        <w:tc>
          <w:tcPr>
            <w:tcW w:w="954" w:type="dxa"/>
            <w:vAlign w:val="center"/>
          </w:tcPr>
          <w:p w:rsidR="006C4E57" w:rsidRPr="004E5697" w:rsidRDefault="006C4E57" w:rsidP="004E5697">
            <w:pPr>
              <w:spacing w:line="240" w:lineRule="auto"/>
              <w:jc w:val="left"/>
              <w:rPr>
                <w:rFonts w:ascii="Arial" w:hAnsi="Arial" w:cs="Arial"/>
                <w:b/>
                <w:sz w:val="20"/>
                <w:szCs w:val="20"/>
              </w:rPr>
            </w:pPr>
            <w:r w:rsidRPr="004E5697">
              <w:rPr>
                <w:rFonts w:ascii="Arial" w:hAnsi="Arial" w:cs="Arial"/>
                <w:b/>
                <w:sz w:val="20"/>
                <w:szCs w:val="20"/>
              </w:rPr>
              <w:t>2024/25</w:t>
            </w:r>
          </w:p>
        </w:tc>
        <w:tc>
          <w:tcPr>
            <w:tcW w:w="954" w:type="dxa"/>
            <w:vAlign w:val="center"/>
          </w:tcPr>
          <w:p w:rsidR="006C4E57" w:rsidRPr="004E5697" w:rsidRDefault="006C4E57" w:rsidP="004E5697">
            <w:pPr>
              <w:spacing w:line="240" w:lineRule="auto"/>
              <w:jc w:val="left"/>
              <w:rPr>
                <w:rFonts w:ascii="Arial" w:hAnsi="Arial" w:cs="Arial"/>
                <w:b/>
                <w:sz w:val="20"/>
                <w:szCs w:val="20"/>
              </w:rPr>
            </w:pPr>
            <w:r w:rsidRPr="004E5697">
              <w:rPr>
                <w:rFonts w:ascii="Arial" w:hAnsi="Arial" w:cs="Arial"/>
                <w:b/>
                <w:sz w:val="20"/>
                <w:szCs w:val="20"/>
              </w:rPr>
              <w:t>2025/26</w:t>
            </w:r>
          </w:p>
        </w:tc>
      </w:tr>
      <w:tr w:rsidR="006C4E57" w:rsidRPr="004E5697" w:rsidTr="007A2CB3">
        <w:tc>
          <w:tcPr>
            <w:tcW w:w="1339"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2.4</w:t>
            </w:r>
          </w:p>
        </w:tc>
        <w:tc>
          <w:tcPr>
            <w:tcW w:w="1339"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5.6</w:t>
            </w:r>
          </w:p>
        </w:tc>
        <w:tc>
          <w:tcPr>
            <w:tcW w:w="1339"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14.5</w:t>
            </w:r>
          </w:p>
        </w:tc>
        <w:tc>
          <w:tcPr>
            <w:tcW w:w="1578"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12.6</w:t>
            </w:r>
          </w:p>
        </w:tc>
        <w:tc>
          <w:tcPr>
            <w:tcW w:w="1513"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6.5</w:t>
            </w:r>
          </w:p>
        </w:tc>
        <w:tc>
          <w:tcPr>
            <w:tcW w:w="954"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6.8</w:t>
            </w:r>
          </w:p>
        </w:tc>
        <w:tc>
          <w:tcPr>
            <w:tcW w:w="954"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7.1</w:t>
            </w:r>
          </w:p>
        </w:tc>
      </w:tr>
    </w:tbl>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pStyle w:val="Heading2"/>
        <w:numPr>
          <w:ilvl w:val="1"/>
          <w:numId w:val="10"/>
        </w:numPr>
        <w:spacing w:before="0" w:line="240" w:lineRule="auto"/>
        <w:rPr>
          <w:rFonts w:ascii="Arial" w:hAnsi="Arial" w:cs="Arial"/>
          <w:sz w:val="20"/>
          <w:szCs w:val="20"/>
        </w:rPr>
      </w:pPr>
      <w:bookmarkStart w:id="4" w:name="_Toc132694861"/>
      <w:r w:rsidRPr="004E5697">
        <w:rPr>
          <w:rFonts w:ascii="Arial" w:hAnsi="Arial" w:cs="Arial"/>
          <w:sz w:val="20"/>
          <w:szCs w:val="20"/>
        </w:rPr>
        <w:t>Budget allocation per budget programme</w:t>
      </w:r>
      <w:bookmarkEnd w:id="4"/>
      <w:r w:rsidRPr="004E5697">
        <w:rPr>
          <w:rFonts w:ascii="Arial" w:hAnsi="Arial" w:cs="Arial"/>
          <w:sz w:val="20"/>
          <w:szCs w:val="20"/>
        </w:rPr>
        <w:t xml:space="preserve"> </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pStyle w:val="Heading3"/>
        <w:numPr>
          <w:ilvl w:val="2"/>
          <w:numId w:val="10"/>
        </w:numPr>
        <w:spacing w:line="240" w:lineRule="auto"/>
        <w:jc w:val="left"/>
        <w:rPr>
          <w:rFonts w:ascii="Arial" w:hAnsi="Arial" w:cs="Arial"/>
          <w:sz w:val="20"/>
          <w:szCs w:val="20"/>
        </w:rPr>
      </w:pPr>
      <w:bookmarkStart w:id="5" w:name="_Toc132694862"/>
      <w:r w:rsidRPr="004E5697">
        <w:rPr>
          <w:rFonts w:ascii="Arial" w:hAnsi="Arial" w:cs="Arial"/>
          <w:sz w:val="20"/>
          <w:szCs w:val="20"/>
        </w:rPr>
        <w:t>Administration Programme</w:t>
      </w:r>
      <w:bookmarkEnd w:id="5"/>
      <w:r w:rsidRPr="004E5697">
        <w:rPr>
          <w:rFonts w:ascii="Arial" w:hAnsi="Arial" w:cs="Arial"/>
          <w:sz w:val="20"/>
          <w:szCs w:val="20"/>
        </w:rPr>
        <w:t xml:space="preserve"> </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 xml:space="preserve">The Administration Programme received a Main Appropriation of R109.2 million in 2023/24, which is a nominal decrease of 5.8 per cent (-R6.8 million), which is a real decrease of 10.22 per cent compared to the previous financial year. The </w:t>
      </w:r>
      <w:r w:rsidRPr="004E5697">
        <w:rPr>
          <w:rFonts w:ascii="Arial" w:hAnsi="Arial" w:cs="Arial"/>
          <w:i/>
          <w:sz w:val="20"/>
          <w:szCs w:val="20"/>
        </w:rPr>
        <w:t>Department Management subprogramme</w:t>
      </w:r>
      <w:r w:rsidRPr="004E5697">
        <w:rPr>
          <w:rFonts w:ascii="Arial" w:hAnsi="Arial" w:cs="Arial"/>
          <w:sz w:val="20"/>
          <w:szCs w:val="20"/>
        </w:rPr>
        <w:t xml:space="preserve"> received a Main Appropriation of R11.1 million in 2023/24, which is a significant nominal decrease of 48.99 per cent (-R10.7 million). Considering inflation, the allocation decreased by 51.37 per cent compared to the previous financial year. </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b/>
          <w:i/>
          <w:sz w:val="20"/>
          <w:szCs w:val="20"/>
        </w:rPr>
      </w:pPr>
      <w:r w:rsidRPr="004E5697">
        <w:rPr>
          <w:rFonts w:ascii="Arial" w:hAnsi="Arial" w:cs="Arial"/>
          <w:b/>
          <w:i/>
          <w:sz w:val="20"/>
          <w:szCs w:val="20"/>
        </w:rPr>
        <w:t>Table 4: Budget allocation per subprogramme of the Administration Programme</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939"/>
        <w:gridCol w:w="1046"/>
        <w:gridCol w:w="1418"/>
        <w:gridCol w:w="1290"/>
        <w:gridCol w:w="1687"/>
        <w:gridCol w:w="1701"/>
      </w:tblGrid>
      <w:tr w:rsidR="006C4E57" w:rsidRPr="004E5697" w:rsidTr="00476758">
        <w:trPr>
          <w:trHeight w:val="765"/>
        </w:trPr>
        <w:tc>
          <w:tcPr>
            <w:tcW w:w="1985"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Programme</w:t>
            </w:r>
          </w:p>
        </w:tc>
        <w:tc>
          <w:tcPr>
            <w:tcW w:w="1984" w:type="dxa"/>
            <w:gridSpan w:val="2"/>
            <w:shd w:val="clear" w:color="auto" w:fill="auto"/>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Budget</w:t>
            </w:r>
          </w:p>
        </w:tc>
        <w:tc>
          <w:tcPr>
            <w:tcW w:w="1418" w:type="dxa"/>
            <w:vMerge w:val="restart"/>
            <w:shd w:val="clear" w:color="auto" w:fill="auto"/>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Nominal Increase/ Decrease in 2023/24</w:t>
            </w:r>
          </w:p>
        </w:tc>
        <w:tc>
          <w:tcPr>
            <w:tcW w:w="1290" w:type="dxa"/>
            <w:vMerge w:val="restart"/>
            <w:shd w:val="clear" w:color="auto" w:fill="auto"/>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Real Increase/ Decrease in 2023/24</w:t>
            </w:r>
          </w:p>
        </w:tc>
        <w:tc>
          <w:tcPr>
            <w:tcW w:w="1687" w:type="dxa"/>
            <w:vMerge w:val="restart"/>
            <w:shd w:val="clear" w:color="auto" w:fill="auto"/>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Nominal Percent change in 2023/24</w:t>
            </w:r>
          </w:p>
        </w:tc>
        <w:tc>
          <w:tcPr>
            <w:tcW w:w="1701" w:type="dxa"/>
            <w:vMerge w:val="restart"/>
            <w:shd w:val="clear" w:color="auto" w:fill="auto"/>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Real Percent change in 2023/24</w:t>
            </w:r>
          </w:p>
        </w:tc>
      </w:tr>
      <w:tr w:rsidR="006C4E57" w:rsidRPr="004E5697" w:rsidTr="00476758">
        <w:trPr>
          <w:trHeight w:val="264"/>
        </w:trPr>
        <w:tc>
          <w:tcPr>
            <w:tcW w:w="1985"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R million</w:t>
            </w:r>
          </w:p>
        </w:tc>
        <w:tc>
          <w:tcPr>
            <w:tcW w:w="93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2022/23</w:t>
            </w:r>
          </w:p>
        </w:tc>
        <w:tc>
          <w:tcPr>
            <w:tcW w:w="104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2023/24</w:t>
            </w:r>
          </w:p>
        </w:tc>
        <w:tc>
          <w:tcPr>
            <w:tcW w:w="1418" w:type="dxa"/>
            <w:vMerge/>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p>
        </w:tc>
        <w:tc>
          <w:tcPr>
            <w:tcW w:w="1290" w:type="dxa"/>
            <w:vMerge/>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p>
        </w:tc>
        <w:tc>
          <w:tcPr>
            <w:tcW w:w="1687" w:type="dxa"/>
            <w:vMerge/>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p>
        </w:tc>
        <w:tc>
          <w:tcPr>
            <w:tcW w:w="1701" w:type="dxa"/>
            <w:vMerge/>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p>
        </w:tc>
      </w:tr>
      <w:tr w:rsidR="006C4E57" w:rsidRPr="004E5697" w:rsidTr="00476758">
        <w:trPr>
          <w:trHeight w:val="264"/>
        </w:trPr>
        <w:tc>
          <w:tcPr>
            <w:tcW w:w="1985"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Sub-programme 1: Department Management</w:t>
            </w:r>
          </w:p>
        </w:tc>
        <w:tc>
          <w:tcPr>
            <w:tcW w:w="93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21,8</w:t>
            </w:r>
          </w:p>
        </w:tc>
        <w:tc>
          <w:tcPr>
            <w:tcW w:w="104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11,1</w:t>
            </w:r>
          </w:p>
        </w:tc>
        <w:tc>
          <w:tcPr>
            <w:tcW w:w="141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10,7</w:t>
            </w:r>
          </w:p>
        </w:tc>
        <w:tc>
          <w:tcPr>
            <w:tcW w:w="1290"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11,2</w:t>
            </w:r>
          </w:p>
        </w:tc>
        <w:tc>
          <w:tcPr>
            <w:tcW w:w="1687"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-48,99 per cent</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-51,37 per cent</w:t>
            </w:r>
          </w:p>
        </w:tc>
      </w:tr>
      <w:tr w:rsidR="006C4E57" w:rsidRPr="004E5697" w:rsidTr="00476758">
        <w:trPr>
          <w:trHeight w:val="264"/>
        </w:trPr>
        <w:tc>
          <w:tcPr>
            <w:tcW w:w="1985"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Sub-programme 2: Corporate Services</w:t>
            </w:r>
          </w:p>
        </w:tc>
        <w:tc>
          <w:tcPr>
            <w:tcW w:w="93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51,2</w:t>
            </w:r>
          </w:p>
        </w:tc>
        <w:tc>
          <w:tcPr>
            <w:tcW w:w="104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50,2</w:t>
            </w:r>
          </w:p>
        </w:tc>
        <w:tc>
          <w:tcPr>
            <w:tcW w:w="141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1,1</w:t>
            </w:r>
          </w:p>
        </w:tc>
        <w:tc>
          <w:tcPr>
            <w:tcW w:w="1290"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3,4</w:t>
            </w:r>
          </w:p>
        </w:tc>
        <w:tc>
          <w:tcPr>
            <w:tcW w:w="1687"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-2,08 per cent</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-6,65 per cent</w:t>
            </w:r>
          </w:p>
        </w:tc>
      </w:tr>
      <w:tr w:rsidR="006C4E57" w:rsidRPr="004E5697" w:rsidTr="00476758">
        <w:trPr>
          <w:trHeight w:val="264"/>
        </w:trPr>
        <w:tc>
          <w:tcPr>
            <w:tcW w:w="1985"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Sub-programme 3: Office Accommodation</w:t>
            </w:r>
          </w:p>
        </w:tc>
        <w:tc>
          <w:tcPr>
            <w:tcW w:w="93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15,2</w:t>
            </w:r>
          </w:p>
        </w:tc>
        <w:tc>
          <w:tcPr>
            <w:tcW w:w="104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15,8</w:t>
            </w:r>
          </w:p>
        </w:tc>
        <w:tc>
          <w:tcPr>
            <w:tcW w:w="141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0,7</w:t>
            </w:r>
          </w:p>
        </w:tc>
        <w:tc>
          <w:tcPr>
            <w:tcW w:w="1290"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0,1</w:t>
            </w:r>
          </w:p>
        </w:tc>
        <w:tc>
          <w:tcPr>
            <w:tcW w:w="1687"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4,41 per cent</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-0,47 per cent</w:t>
            </w:r>
          </w:p>
        </w:tc>
      </w:tr>
      <w:tr w:rsidR="006C4E57" w:rsidRPr="004E5697" w:rsidTr="00476758">
        <w:trPr>
          <w:trHeight w:val="264"/>
        </w:trPr>
        <w:tc>
          <w:tcPr>
            <w:tcW w:w="1985"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Sub-programme 4: </w:t>
            </w:r>
            <w:r w:rsidRPr="004E5697">
              <w:rPr>
                <w:rFonts w:ascii="Arial" w:eastAsia="Times New Roman" w:hAnsi="Arial" w:cs="Arial"/>
                <w:sz w:val="20"/>
                <w:szCs w:val="20"/>
                <w:lang w:eastAsia="en-ZA"/>
              </w:rPr>
              <w:lastRenderedPageBreak/>
              <w:t>Internal Audit</w:t>
            </w:r>
          </w:p>
        </w:tc>
        <w:tc>
          <w:tcPr>
            <w:tcW w:w="93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lastRenderedPageBreak/>
              <w:t xml:space="preserve">  5,7</w:t>
            </w:r>
          </w:p>
        </w:tc>
        <w:tc>
          <w:tcPr>
            <w:tcW w:w="104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6,1</w:t>
            </w:r>
          </w:p>
        </w:tc>
        <w:tc>
          <w:tcPr>
            <w:tcW w:w="141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0,5</w:t>
            </w:r>
          </w:p>
        </w:tc>
        <w:tc>
          <w:tcPr>
            <w:tcW w:w="1290"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0,2</w:t>
            </w:r>
          </w:p>
        </w:tc>
        <w:tc>
          <w:tcPr>
            <w:tcW w:w="1687"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8,35 per cent</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3,29 per cent</w:t>
            </w:r>
          </w:p>
        </w:tc>
      </w:tr>
      <w:tr w:rsidR="006C4E57" w:rsidRPr="004E5697" w:rsidTr="00476758">
        <w:trPr>
          <w:trHeight w:val="264"/>
        </w:trPr>
        <w:tc>
          <w:tcPr>
            <w:tcW w:w="1985"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lastRenderedPageBreak/>
              <w:t>Sub-programme 5: Finance Services</w:t>
            </w:r>
          </w:p>
        </w:tc>
        <w:tc>
          <w:tcPr>
            <w:tcW w:w="93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22,1</w:t>
            </w:r>
          </w:p>
        </w:tc>
        <w:tc>
          <w:tcPr>
            <w:tcW w:w="104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25,9</w:t>
            </w:r>
          </w:p>
        </w:tc>
        <w:tc>
          <w:tcPr>
            <w:tcW w:w="141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3,9</w:t>
            </w:r>
          </w:p>
        </w:tc>
        <w:tc>
          <w:tcPr>
            <w:tcW w:w="1290"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2,6</w:t>
            </w:r>
          </w:p>
        </w:tc>
        <w:tc>
          <w:tcPr>
            <w:tcW w:w="1687"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17,46 per cent</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11,97 per cent</w:t>
            </w:r>
          </w:p>
        </w:tc>
      </w:tr>
      <w:tr w:rsidR="006C4E57" w:rsidRPr="004E5697" w:rsidTr="00476758">
        <w:trPr>
          <w:trHeight w:val="264"/>
        </w:trPr>
        <w:tc>
          <w:tcPr>
            <w:tcW w:w="1985"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TOTAL</w:t>
            </w:r>
          </w:p>
        </w:tc>
        <w:tc>
          <w:tcPr>
            <w:tcW w:w="93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116,0</w:t>
            </w:r>
          </w:p>
        </w:tc>
        <w:tc>
          <w:tcPr>
            <w:tcW w:w="104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109,2</w:t>
            </w:r>
          </w:p>
        </w:tc>
        <w:tc>
          <w:tcPr>
            <w:tcW w:w="141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6,8</w:t>
            </w:r>
          </w:p>
        </w:tc>
        <w:tc>
          <w:tcPr>
            <w:tcW w:w="1290"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11,9</w:t>
            </w:r>
          </w:p>
        </w:tc>
        <w:tc>
          <w:tcPr>
            <w:tcW w:w="1687"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-5,8 per cent</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-10,22 per cent</w:t>
            </w:r>
          </w:p>
        </w:tc>
      </w:tr>
    </w:tbl>
    <w:p w:rsidR="006C4E57" w:rsidRPr="004E5697" w:rsidRDefault="006C4E57" w:rsidP="004E5697">
      <w:pPr>
        <w:spacing w:line="240" w:lineRule="auto"/>
        <w:jc w:val="left"/>
        <w:rPr>
          <w:rFonts w:ascii="Arial" w:hAnsi="Arial" w:cs="Arial"/>
          <w:i/>
          <w:sz w:val="20"/>
          <w:szCs w:val="20"/>
        </w:rPr>
      </w:pPr>
      <w:r w:rsidRPr="004E5697">
        <w:rPr>
          <w:rFonts w:ascii="Arial" w:hAnsi="Arial" w:cs="Arial"/>
          <w:i/>
          <w:sz w:val="20"/>
          <w:szCs w:val="20"/>
        </w:rPr>
        <w:t>Source: National Treasury (2023)</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 xml:space="preserve">The </w:t>
      </w:r>
      <w:r w:rsidRPr="004E5697">
        <w:rPr>
          <w:rFonts w:ascii="Arial" w:hAnsi="Arial" w:cs="Arial"/>
          <w:i/>
          <w:sz w:val="20"/>
          <w:szCs w:val="20"/>
        </w:rPr>
        <w:t>Corporate Services subprogramme</w:t>
      </w:r>
      <w:r w:rsidRPr="004E5697">
        <w:rPr>
          <w:rFonts w:ascii="Arial" w:hAnsi="Arial" w:cs="Arial"/>
          <w:sz w:val="20"/>
          <w:szCs w:val="20"/>
        </w:rPr>
        <w:t xml:space="preserve"> received a Main Appropriation of R50.2 million in 2023/24, which is a nominal decrease of 2.08 per cent and real decrease of 6.65 per cent compared to the previous financial year. The </w:t>
      </w:r>
      <w:r w:rsidRPr="004E5697">
        <w:rPr>
          <w:rFonts w:ascii="Arial" w:hAnsi="Arial" w:cs="Arial"/>
          <w:i/>
          <w:sz w:val="20"/>
          <w:szCs w:val="20"/>
        </w:rPr>
        <w:t>Office Accommodation subprogramme</w:t>
      </w:r>
      <w:r w:rsidRPr="004E5697">
        <w:rPr>
          <w:rFonts w:ascii="Arial" w:hAnsi="Arial" w:cs="Arial"/>
          <w:sz w:val="20"/>
          <w:szCs w:val="20"/>
        </w:rPr>
        <w:t xml:space="preserve"> received a Main Appropriation of R15.8 million in 2023/24, which is a nominal increase of 4.41 per cent, and a real decrease of 0.47 per cent. The </w:t>
      </w:r>
      <w:r w:rsidRPr="004E5697">
        <w:rPr>
          <w:rFonts w:ascii="Arial" w:hAnsi="Arial" w:cs="Arial"/>
          <w:i/>
          <w:sz w:val="20"/>
          <w:szCs w:val="20"/>
        </w:rPr>
        <w:t>Internal Audit subprogramme</w:t>
      </w:r>
      <w:r w:rsidRPr="004E5697">
        <w:rPr>
          <w:rFonts w:ascii="Arial" w:hAnsi="Arial" w:cs="Arial"/>
          <w:sz w:val="20"/>
          <w:szCs w:val="20"/>
        </w:rPr>
        <w:t xml:space="preserve"> received a Main Appropriation of R6.1 million in 2023/24, which is a nominal increase of 8.35 per cent compared to the previous financial year. Considering inflation, the subprogramme’s budget allocation increased by 3.29 per cent. The </w:t>
      </w:r>
      <w:r w:rsidRPr="004E5697">
        <w:rPr>
          <w:rFonts w:ascii="Arial" w:hAnsi="Arial" w:cs="Arial"/>
          <w:i/>
          <w:sz w:val="20"/>
          <w:szCs w:val="20"/>
        </w:rPr>
        <w:t>Finance Services subprogramme</w:t>
      </w:r>
      <w:r w:rsidRPr="004E5697">
        <w:rPr>
          <w:rFonts w:ascii="Arial" w:hAnsi="Arial" w:cs="Arial"/>
          <w:sz w:val="20"/>
          <w:szCs w:val="20"/>
        </w:rPr>
        <w:t xml:space="preserve"> received a Main Appropriation of R25.9 million in 2023/24, which is a significant nominal increase of 17.46 per cent (+R3.9 million) and a real increase of 11.97 per cent. For the second year, the subprogramme received the largest budget increase in 2023/24 of the Administration Programme.  </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 xml:space="preserve">The table below shows the changes in the proportional allocation towards subprogrammes. The Corporate Services subprogramme continues to receive the bulk of the Programme’s allocation (45.94 per cent), followed by the Finance Services subprogramme (23.75 per cent). Due to the significant budget decrease in the </w:t>
      </w:r>
      <w:r w:rsidRPr="004E5697">
        <w:rPr>
          <w:rFonts w:ascii="Arial" w:hAnsi="Arial" w:cs="Arial"/>
          <w:i/>
          <w:sz w:val="20"/>
          <w:szCs w:val="20"/>
        </w:rPr>
        <w:t>Departmental Management subprogramme</w:t>
      </w:r>
      <w:r w:rsidRPr="004E5697">
        <w:rPr>
          <w:rFonts w:ascii="Arial" w:hAnsi="Arial" w:cs="Arial"/>
          <w:sz w:val="20"/>
          <w:szCs w:val="20"/>
        </w:rPr>
        <w:t xml:space="preserve">, its proportional allocation decreased by 8.62 per cent in 2023/24 compared to the previous financial year.  </w:t>
      </w:r>
      <w:r w:rsidRPr="004E5697">
        <w:rPr>
          <w:rFonts w:ascii="Arial" w:hAnsi="Arial" w:cs="Arial"/>
          <w:i/>
          <w:sz w:val="20"/>
          <w:szCs w:val="20"/>
        </w:rPr>
        <w:t xml:space="preserve"> </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b/>
          <w:i/>
          <w:sz w:val="20"/>
          <w:szCs w:val="20"/>
        </w:rPr>
      </w:pPr>
      <w:r w:rsidRPr="004E5697">
        <w:rPr>
          <w:rFonts w:ascii="Arial" w:hAnsi="Arial" w:cs="Arial"/>
          <w:b/>
          <w:i/>
          <w:sz w:val="20"/>
          <w:szCs w:val="20"/>
        </w:rPr>
        <w:t>Table 5: Percent of total Administration Programme budget per subprogramme</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992"/>
        <w:gridCol w:w="1559"/>
        <w:gridCol w:w="992"/>
        <w:gridCol w:w="1701"/>
        <w:gridCol w:w="1560"/>
      </w:tblGrid>
      <w:tr w:rsidR="006C4E57" w:rsidRPr="004E5697" w:rsidTr="00476758">
        <w:trPr>
          <w:trHeight w:val="1035"/>
        </w:trPr>
        <w:tc>
          <w:tcPr>
            <w:tcW w:w="255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Programme</w:t>
            </w:r>
          </w:p>
        </w:tc>
        <w:tc>
          <w:tcPr>
            <w:tcW w:w="992" w:type="dxa"/>
            <w:shd w:val="clear" w:color="auto" w:fill="auto"/>
            <w:vAlign w:val="center"/>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Budget</w:t>
            </w:r>
          </w:p>
        </w:tc>
        <w:tc>
          <w:tcPr>
            <w:tcW w:w="1559" w:type="dxa"/>
            <w:shd w:val="clear" w:color="auto" w:fill="auto"/>
            <w:vAlign w:val="center"/>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Percent of total budget per programme</w:t>
            </w:r>
          </w:p>
        </w:tc>
        <w:tc>
          <w:tcPr>
            <w:tcW w:w="992" w:type="dxa"/>
            <w:shd w:val="clear" w:color="auto" w:fill="auto"/>
            <w:vAlign w:val="center"/>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Budget</w:t>
            </w:r>
          </w:p>
        </w:tc>
        <w:tc>
          <w:tcPr>
            <w:tcW w:w="1701" w:type="dxa"/>
            <w:shd w:val="clear" w:color="auto" w:fill="auto"/>
            <w:vAlign w:val="center"/>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Percent of total budget per programme</w:t>
            </w:r>
          </w:p>
        </w:tc>
        <w:tc>
          <w:tcPr>
            <w:tcW w:w="1560" w:type="dxa"/>
            <w:shd w:val="clear" w:color="auto" w:fill="auto"/>
            <w:vAlign w:val="center"/>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Change in percent allocation</w:t>
            </w:r>
          </w:p>
        </w:tc>
      </w:tr>
      <w:tr w:rsidR="006C4E57" w:rsidRPr="004E5697" w:rsidTr="00476758">
        <w:trPr>
          <w:trHeight w:val="264"/>
        </w:trPr>
        <w:tc>
          <w:tcPr>
            <w:tcW w:w="255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R million</w:t>
            </w:r>
          </w:p>
        </w:tc>
        <w:tc>
          <w:tcPr>
            <w:tcW w:w="2551" w:type="dxa"/>
            <w:gridSpan w:val="2"/>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2022/23</w:t>
            </w:r>
          </w:p>
        </w:tc>
        <w:tc>
          <w:tcPr>
            <w:tcW w:w="2693" w:type="dxa"/>
            <w:gridSpan w:val="2"/>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2023/24</w:t>
            </w:r>
          </w:p>
        </w:tc>
        <w:tc>
          <w:tcPr>
            <w:tcW w:w="1560"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p>
        </w:tc>
      </w:tr>
      <w:tr w:rsidR="006C4E57" w:rsidRPr="004E5697" w:rsidTr="00476758">
        <w:trPr>
          <w:trHeight w:val="264"/>
        </w:trPr>
        <w:tc>
          <w:tcPr>
            <w:tcW w:w="255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Sub-programme 1: Department Management</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21,8</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18,80 per cent</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11,1</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10,18 per cent</w:t>
            </w:r>
          </w:p>
        </w:tc>
        <w:tc>
          <w:tcPr>
            <w:tcW w:w="1560"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-8,62 per cent</w:t>
            </w:r>
          </w:p>
        </w:tc>
      </w:tr>
      <w:tr w:rsidR="006C4E57" w:rsidRPr="004E5697" w:rsidTr="00476758">
        <w:trPr>
          <w:trHeight w:val="264"/>
        </w:trPr>
        <w:tc>
          <w:tcPr>
            <w:tcW w:w="255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Sub-programme 2: Corporate Services</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51,2</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44,18 per cent</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50,2</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45,94 per cent</w:t>
            </w:r>
          </w:p>
        </w:tc>
        <w:tc>
          <w:tcPr>
            <w:tcW w:w="1560"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1,75 per cent</w:t>
            </w:r>
          </w:p>
        </w:tc>
      </w:tr>
      <w:tr w:rsidR="006C4E57" w:rsidRPr="004E5697" w:rsidTr="00476758">
        <w:trPr>
          <w:trHeight w:val="264"/>
        </w:trPr>
        <w:tc>
          <w:tcPr>
            <w:tcW w:w="255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Sub-programme 3: Office Accommodation</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15,2</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13,08 per cent</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15,8</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14,50 per cent</w:t>
            </w:r>
          </w:p>
        </w:tc>
        <w:tc>
          <w:tcPr>
            <w:tcW w:w="1560"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1,42 per cent</w:t>
            </w:r>
          </w:p>
        </w:tc>
      </w:tr>
      <w:tr w:rsidR="006C4E57" w:rsidRPr="004E5697" w:rsidTr="00476758">
        <w:trPr>
          <w:trHeight w:val="264"/>
        </w:trPr>
        <w:tc>
          <w:tcPr>
            <w:tcW w:w="255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Sub-programme 4: Internal Audit</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5,7</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4,89 per cent</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6,1</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5,62 per cent</w:t>
            </w:r>
          </w:p>
        </w:tc>
        <w:tc>
          <w:tcPr>
            <w:tcW w:w="1560"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0,74 per cent</w:t>
            </w:r>
          </w:p>
        </w:tc>
      </w:tr>
      <w:tr w:rsidR="006C4E57" w:rsidRPr="004E5697" w:rsidTr="00476758">
        <w:trPr>
          <w:trHeight w:val="264"/>
        </w:trPr>
        <w:tc>
          <w:tcPr>
            <w:tcW w:w="255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Sub-programme 5: Finance Services</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22,1</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19,04 per cent</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25,9</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23,75 per cent</w:t>
            </w:r>
          </w:p>
        </w:tc>
        <w:tc>
          <w:tcPr>
            <w:tcW w:w="1560"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4,71 per cent</w:t>
            </w:r>
          </w:p>
        </w:tc>
      </w:tr>
      <w:tr w:rsidR="006C4E57" w:rsidRPr="004E5697" w:rsidTr="00476758">
        <w:trPr>
          <w:trHeight w:val="264"/>
        </w:trPr>
        <w:tc>
          <w:tcPr>
            <w:tcW w:w="255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TOTAL</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116,0</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100,00 per cent</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109,2</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100,00 per cent</w:t>
            </w:r>
          </w:p>
        </w:tc>
        <w:tc>
          <w:tcPr>
            <w:tcW w:w="1560"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0,00 per cent</w:t>
            </w:r>
          </w:p>
        </w:tc>
      </w:tr>
    </w:tbl>
    <w:p w:rsidR="006C4E57" w:rsidRPr="004E5697" w:rsidRDefault="006C4E57" w:rsidP="004E5697">
      <w:pPr>
        <w:spacing w:line="240" w:lineRule="auto"/>
        <w:jc w:val="left"/>
        <w:rPr>
          <w:rFonts w:ascii="Arial" w:hAnsi="Arial" w:cs="Arial"/>
          <w:i/>
          <w:sz w:val="20"/>
          <w:szCs w:val="20"/>
        </w:rPr>
      </w:pPr>
      <w:r w:rsidRPr="004E5697">
        <w:rPr>
          <w:rFonts w:ascii="Arial" w:hAnsi="Arial" w:cs="Arial"/>
          <w:i/>
          <w:sz w:val="20"/>
          <w:szCs w:val="20"/>
        </w:rPr>
        <w:t>Source: National Treasury (2023)</w:t>
      </w:r>
    </w:p>
    <w:p w:rsidR="006C4E57" w:rsidRPr="004E5697" w:rsidRDefault="006C4E57" w:rsidP="004E5697">
      <w:pPr>
        <w:spacing w:line="240" w:lineRule="auto"/>
        <w:jc w:val="left"/>
        <w:rPr>
          <w:rFonts w:ascii="Arial" w:hAnsi="Arial" w:cs="Arial"/>
          <w:sz w:val="20"/>
          <w:szCs w:val="20"/>
        </w:rPr>
      </w:pPr>
    </w:p>
    <w:p w:rsidR="00C54C2E" w:rsidRPr="004E5697" w:rsidRDefault="00C54C2E" w:rsidP="004E5697">
      <w:pPr>
        <w:spacing w:line="240" w:lineRule="auto"/>
        <w:jc w:val="left"/>
        <w:rPr>
          <w:rFonts w:ascii="Arial" w:hAnsi="Arial" w:cs="Arial"/>
          <w:sz w:val="20"/>
          <w:szCs w:val="20"/>
        </w:rPr>
      </w:pPr>
    </w:p>
    <w:p w:rsidR="00C54C2E" w:rsidRPr="004E5697" w:rsidRDefault="00C54C2E" w:rsidP="004E5697">
      <w:pPr>
        <w:spacing w:line="240" w:lineRule="auto"/>
        <w:jc w:val="left"/>
        <w:rPr>
          <w:rFonts w:ascii="Arial" w:hAnsi="Arial" w:cs="Arial"/>
          <w:sz w:val="20"/>
          <w:szCs w:val="20"/>
        </w:rPr>
      </w:pPr>
    </w:p>
    <w:p w:rsidR="00C54C2E" w:rsidRPr="004E5697" w:rsidRDefault="00C54C2E" w:rsidP="004E5697">
      <w:pPr>
        <w:spacing w:line="240" w:lineRule="auto"/>
        <w:jc w:val="left"/>
        <w:rPr>
          <w:rFonts w:ascii="Arial" w:hAnsi="Arial" w:cs="Arial"/>
          <w:sz w:val="20"/>
          <w:szCs w:val="20"/>
        </w:rPr>
      </w:pPr>
    </w:p>
    <w:p w:rsidR="006C4E57" w:rsidRPr="004E5697" w:rsidRDefault="006C4E57" w:rsidP="004E5697">
      <w:pPr>
        <w:pStyle w:val="Heading3"/>
        <w:numPr>
          <w:ilvl w:val="2"/>
          <w:numId w:val="10"/>
        </w:numPr>
        <w:spacing w:line="240" w:lineRule="auto"/>
        <w:jc w:val="left"/>
        <w:rPr>
          <w:rFonts w:ascii="Arial" w:hAnsi="Arial" w:cs="Arial"/>
          <w:sz w:val="20"/>
          <w:szCs w:val="20"/>
        </w:rPr>
      </w:pPr>
      <w:bookmarkStart w:id="6" w:name="_Toc132694863"/>
      <w:r w:rsidRPr="004E5697">
        <w:rPr>
          <w:rFonts w:ascii="Arial" w:hAnsi="Arial" w:cs="Arial"/>
          <w:sz w:val="20"/>
          <w:szCs w:val="20"/>
        </w:rPr>
        <w:t>Investigation and Information Management Programme</w:t>
      </w:r>
      <w:bookmarkEnd w:id="6"/>
      <w:r w:rsidRPr="004E5697">
        <w:rPr>
          <w:rFonts w:ascii="Arial" w:hAnsi="Arial" w:cs="Arial"/>
          <w:sz w:val="20"/>
          <w:szCs w:val="20"/>
        </w:rPr>
        <w:t xml:space="preserve"> </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 xml:space="preserve">The Investigation and Information Management Programme received a Main Appropriation of R236.9 million in 2023/24, which is a nominal increase of 4.3 per cent (R9.9 million) compared to the previous financial year. Considering inflation, the Programme’s allocation decreased slightly by 0.53 per cent. </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 xml:space="preserve">The </w:t>
      </w:r>
      <w:r w:rsidRPr="004E5697">
        <w:rPr>
          <w:rFonts w:ascii="Arial" w:hAnsi="Arial" w:cs="Arial"/>
          <w:i/>
          <w:sz w:val="20"/>
          <w:szCs w:val="20"/>
        </w:rPr>
        <w:t>Investigation Management subprogramme</w:t>
      </w:r>
      <w:r w:rsidRPr="004E5697">
        <w:rPr>
          <w:rFonts w:ascii="Arial" w:hAnsi="Arial" w:cs="Arial"/>
          <w:sz w:val="20"/>
          <w:szCs w:val="20"/>
        </w:rPr>
        <w:t xml:space="preserve"> received a Main Appropriation of R9.7 million in 2023/24, which is a substantial nominal increase of 50.05 per cent (+R3.2 million) and a real increase of 43.05 per cent compared to the previous financial year. The </w:t>
      </w:r>
      <w:r w:rsidRPr="004E5697">
        <w:rPr>
          <w:rFonts w:ascii="Arial" w:hAnsi="Arial" w:cs="Arial"/>
          <w:i/>
          <w:sz w:val="20"/>
          <w:szCs w:val="20"/>
        </w:rPr>
        <w:t xml:space="preserve">Investigation Services subprogramme </w:t>
      </w:r>
      <w:r w:rsidRPr="004E5697">
        <w:rPr>
          <w:rFonts w:ascii="Arial" w:hAnsi="Arial" w:cs="Arial"/>
          <w:sz w:val="20"/>
          <w:szCs w:val="20"/>
        </w:rPr>
        <w:t xml:space="preserve">received a Main Appropriation of R222.0 million in 2023/24, which is a nominal increase of 2.87 per cent and considering inflation, the allocation decreased by 1.94 per cent. The </w:t>
      </w:r>
      <w:r w:rsidRPr="004E5697">
        <w:rPr>
          <w:rFonts w:ascii="Arial" w:hAnsi="Arial" w:cs="Arial"/>
          <w:i/>
          <w:sz w:val="20"/>
          <w:szCs w:val="20"/>
        </w:rPr>
        <w:t xml:space="preserve">Information </w:t>
      </w:r>
      <w:r w:rsidRPr="004E5697">
        <w:rPr>
          <w:rFonts w:ascii="Arial" w:hAnsi="Arial" w:cs="Arial"/>
          <w:i/>
          <w:sz w:val="20"/>
          <w:szCs w:val="20"/>
        </w:rPr>
        <w:lastRenderedPageBreak/>
        <w:t>Management subprogramme</w:t>
      </w:r>
      <w:r w:rsidRPr="004E5697">
        <w:rPr>
          <w:rFonts w:ascii="Arial" w:hAnsi="Arial" w:cs="Arial"/>
          <w:sz w:val="20"/>
          <w:szCs w:val="20"/>
        </w:rPr>
        <w:t xml:space="preserve"> received a Main Appropriation of R5.2 million in 2023/24, which is a nominal increase of 9.65 per cent and a real increase of 4.54 per cent.    </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b/>
          <w:i/>
          <w:sz w:val="20"/>
          <w:szCs w:val="20"/>
        </w:rPr>
      </w:pPr>
      <w:r w:rsidRPr="004E5697">
        <w:rPr>
          <w:rFonts w:ascii="Arial" w:hAnsi="Arial" w:cs="Arial"/>
          <w:b/>
          <w:i/>
          <w:sz w:val="20"/>
          <w:szCs w:val="20"/>
        </w:rPr>
        <w:t>Table 6: Budget allocation of the Investigation and Information Management Programme</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993"/>
        <w:gridCol w:w="939"/>
        <w:gridCol w:w="1256"/>
        <w:gridCol w:w="1134"/>
        <w:gridCol w:w="1491"/>
        <w:gridCol w:w="1701"/>
      </w:tblGrid>
      <w:tr w:rsidR="006C4E57" w:rsidRPr="004E5697" w:rsidTr="00476758">
        <w:trPr>
          <w:trHeight w:val="765"/>
        </w:trPr>
        <w:tc>
          <w:tcPr>
            <w:tcW w:w="255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Programme</w:t>
            </w:r>
          </w:p>
        </w:tc>
        <w:tc>
          <w:tcPr>
            <w:tcW w:w="1931" w:type="dxa"/>
            <w:gridSpan w:val="2"/>
            <w:shd w:val="clear" w:color="auto" w:fill="auto"/>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Budget</w:t>
            </w:r>
          </w:p>
        </w:tc>
        <w:tc>
          <w:tcPr>
            <w:tcW w:w="1256" w:type="dxa"/>
            <w:vMerge w:val="restart"/>
            <w:shd w:val="clear" w:color="auto" w:fill="auto"/>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Nominal Increase/ Decrease in 2023/24</w:t>
            </w:r>
          </w:p>
        </w:tc>
        <w:tc>
          <w:tcPr>
            <w:tcW w:w="1134" w:type="dxa"/>
            <w:vMerge w:val="restart"/>
            <w:shd w:val="clear" w:color="auto" w:fill="auto"/>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Real Increase/ Decrease 2023/24</w:t>
            </w:r>
          </w:p>
        </w:tc>
        <w:tc>
          <w:tcPr>
            <w:tcW w:w="1491" w:type="dxa"/>
            <w:vMerge w:val="restart"/>
            <w:shd w:val="clear" w:color="auto" w:fill="auto"/>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N</w:t>
            </w:r>
            <w:r w:rsidR="00476758" w:rsidRPr="004E5697">
              <w:rPr>
                <w:rFonts w:ascii="Arial" w:eastAsia="Times New Roman" w:hAnsi="Arial" w:cs="Arial"/>
                <w:b/>
                <w:bCs/>
                <w:sz w:val="20"/>
                <w:szCs w:val="20"/>
                <w:lang w:eastAsia="en-ZA"/>
              </w:rPr>
              <w:t xml:space="preserve">ominal Percent change </w:t>
            </w:r>
            <w:r w:rsidRPr="004E5697">
              <w:rPr>
                <w:rFonts w:ascii="Arial" w:eastAsia="Times New Roman" w:hAnsi="Arial" w:cs="Arial"/>
                <w:b/>
                <w:bCs/>
                <w:sz w:val="20"/>
                <w:szCs w:val="20"/>
                <w:lang w:eastAsia="en-ZA"/>
              </w:rPr>
              <w:t xml:space="preserve"> 2023/24</w:t>
            </w:r>
          </w:p>
        </w:tc>
        <w:tc>
          <w:tcPr>
            <w:tcW w:w="1701" w:type="dxa"/>
            <w:vMerge w:val="restart"/>
            <w:shd w:val="clear" w:color="auto" w:fill="auto"/>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Real Percent change in 2023/24</w:t>
            </w:r>
          </w:p>
        </w:tc>
      </w:tr>
      <w:tr w:rsidR="006C4E57" w:rsidRPr="004E5697" w:rsidTr="00476758">
        <w:trPr>
          <w:trHeight w:val="264"/>
        </w:trPr>
        <w:tc>
          <w:tcPr>
            <w:tcW w:w="255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R million</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2022/23</w:t>
            </w:r>
          </w:p>
        </w:tc>
        <w:tc>
          <w:tcPr>
            <w:tcW w:w="93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2023/24</w:t>
            </w:r>
          </w:p>
        </w:tc>
        <w:tc>
          <w:tcPr>
            <w:tcW w:w="1256" w:type="dxa"/>
            <w:vMerge/>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p>
        </w:tc>
        <w:tc>
          <w:tcPr>
            <w:tcW w:w="1134" w:type="dxa"/>
            <w:vMerge/>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p>
        </w:tc>
        <w:tc>
          <w:tcPr>
            <w:tcW w:w="1491" w:type="dxa"/>
            <w:vMerge/>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p>
        </w:tc>
        <w:tc>
          <w:tcPr>
            <w:tcW w:w="1701" w:type="dxa"/>
            <w:vMerge/>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p>
        </w:tc>
      </w:tr>
      <w:tr w:rsidR="006C4E57" w:rsidRPr="004E5697" w:rsidTr="00476758">
        <w:trPr>
          <w:trHeight w:val="264"/>
        </w:trPr>
        <w:tc>
          <w:tcPr>
            <w:tcW w:w="255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Sub-programme 1: Investigation Management</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6,4</w:t>
            </w:r>
          </w:p>
        </w:tc>
        <w:tc>
          <w:tcPr>
            <w:tcW w:w="93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9,7</w:t>
            </w:r>
          </w:p>
        </w:tc>
        <w:tc>
          <w:tcPr>
            <w:tcW w:w="125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3,2</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2,8</w:t>
            </w:r>
          </w:p>
        </w:tc>
        <w:tc>
          <w:tcPr>
            <w:tcW w:w="149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50,05 per cent</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43,05 per cent</w:t>
            </w:r>
          </w:p>
        </w:tc>
      </w:tr>
      <w:tr w:rsidR="006C4E57" w:rsidRPr="004E5697" w:rsidTr="00476758">
        <w:trPr>
          <w:trHeight w:val="264"/>
        </w:trPr>
        <w:tc>
          <w:tcPr>
            <w:tcW w:w="255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Sub-programme 2: Investigation Services</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215,9</w:t>
            </w:r>
          </w:p>
        </w:tc>
        <w:tc>
          <w:tcPr>
            <w:tcW w:w="93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222,0</w:t>
            </w:r>
          </w:p>
        </w:tc>
        <w:tc>
          <w:tcPr>
            <w:tcW w:w="125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6,2</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4,2</w:t>
            </w:r>
          </w:p>
        </w:tc>
        <w:tc>
          <w:tcPr>
            <w:tcW w:w="149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2,87 per cent</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-1,94 per cent</w:t>
            </w:r>
          </w:p>
        </w:tc>
      </w:tr>
      <w:tr w:rsidR="006C4E57" w:rsidRPr="004E5697" w:rsidTr="00476758">
        <w:trPr>
          <w:trHeight w:val="264"/>
        </w:trPr>
        <w:tc>
          <w:tcPr>
            <w:tcW w:w="255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Sub-programme 3: Information Management</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4,8</w:t>
            </w:r>
          </w:p>
        </w:tc>
        <w:tc>
          <w:tcPr>
            <w:tcW w:w="93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5,2</w:t>
            </w:r>
          </w:p>
        </w:tc>
        <w:tc>
          <w:tcPr>
            <w:tcW w:w="125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0,5</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0,2</w:t>
            </w:r>
          </w:p>
        </w:tc>
        <w:tc>
          <w:tcPr>
            <w:tcW w:w="149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9,65 per cent</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4,53 per cent</w:t>
            </w:r>
          </w:p>
        </w:tc>
      </w:tr>
      <w:tr w:rsidR="006C4E57" w:rsidRPr="004E5697" w:rsidTr="00476758">
        <w:trPr>
          <w:trHeight w:val="264"/>
        </w:trPr>
        <w:tc>
          <w:tcPr>
            <w:tcW w:w="255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TOTAL</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227,1</w:t>
            </w:r>
          </w:p>
        </w:tc>
        <w:tc>
          <w:tcPr>
            <w:tcW w:w="93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236,9</w:t>
            </w:r>
          </w:p>
        </w:tc>
        <w:tc>
          <w:tcPr>
            <w:tcW w:w="125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9,9</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1,2</w:t>
            </w:r>
          </w:p>
        </w:tc>
        <w:tc>
          <w:tcPr>
            <w:tcW w:w="149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4,3 per cent</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-0,53 per cent</w:t>
            </w:r>
          </w:p>
        </w:tc>
      </w:tr>
    </w:tbl>
    <w:p w:rsidR="006C4E57" w:rsidRPr="004E5697" w:rsidRDefault="006C4E57" w:rsidP="004E5697">
      <w:pPr>
        <w:spacing w:line="240" w:lineRule="auto"/>
        <w:jc w:val="left"/>
        <w:rPr>
          <w:rFonts w:ascii="Arial" w:hAnsi="Arial" w:cs="Arial"/>
          <w:i/>
          <w:sz w:val="20"/>
          <w:szCs w:val="20"/>
        </w:rPr>
      </w:pPr>
      <w:r w:rsidRPr="004E5697">
        <w:rPr>
          <w:rFonts w:ascii="Arial" w:hAnsi="Arial" w:cs="Arial"/>
          <w:i/>
          <w:sz w:val="20"/>
          <w:szCs w:val="20"/>
        </w:rPr>
        <w:t>Source: National Treasury (2023)</w:t>
      </w:r>
    </w:p>
    <w:p w:rsidR="006C4E57" w:rsidRPr="004E5697" w:rsidRDefault="006C4E57" w:rsidP="004E5697">
      <w:pPr>
        <w:spacing w:line="240" w:lineRule="auto"/>
        <w:jc w:val="left"/>
        <w:rPr>
          <w:rFonts w:ascii="Arial" w:hAnsi="Arial" w:cs="Arial"/>
          <w:sz w:val="20"/>
          <w:szCs w:val="20"/>
        </w:rPr>
      </w:pPr>
    </w:p>
    <w:p w:rsidR="00C54C2E" w:rsidRPr="004E5697" w:rsidRDefault="006C4E57" w:rsidP="004E5697">
      <w:pPr>
        <w:spacing w:line="240" w:lineRule="auto"/>
        <w:jc w:val="left"/>
        <w:rPr>
          <w:rFonts w:ascii="Arial" w:hAnsi="Arial" w:cs="Arial"/>
          <w:sz w:val="20"/>
          <w:szCs w:val="20"/>
        </w:rPr>
      </w:pPr>
      <w:r w:rsidRPr="004E5697">
        <w:rPr>
          <w:rFonts w:ascii="Arial" w:hAnsi="Arial" w:cs="Arial"/>
          <w:sz w:val="20"/>
          <w:szCs w:val="20"/>
          <w:lang w:eastAsia="en-ZA"/>
        </w:rPr>
        <w:t xml:space="preserve">The </w:t>
      </w:r>
      <w:r w:rsidRPr="004E5697">
        <w:rPr>
          <w:rFonts w:ascii="Arial" w:hAnsi="Arial" w:cs="Arial"/>
          <w:i/>
          <w:sz w:val="20"/>
          <w:szCs w:val="20"/>
        </w:rPr>
        <w:t xml:space="preserve">Investigation Management subprogramme’s </w:t>
      </w:r>
      <w:r w:rsidRPr="004E5697">
        <w:rPr>
          <w:rFonts w:ascii="Arial" w:hAnsi="Arial" w:cs="Arial"/>
          <w:sz w:val="20"/>
          <w:szCs w:val="20"/>
        </w:rPr>
        <w:t>proportional allocation increased by 1.24 per cent compared to the previous financial year. The Investigation Services subprogramme continues to receive the bulk of the Programme’s allocation (93.72 per cent). However, the subprogramme’s proportional allocation decreased by 1.35 per cent in 2023/24 compared to the previous financial year.</w:t>
      </w:r>
      <w:r w:rsidR="00885832" w:rsidRPr="004E5697">
        <w:rPr>
          <w:rFonts w:ascii="Arial" w:hAnsi="Arial" w:cs="Arial"/>
          <w:sz w:val="20"/>
          <w:szCs w:val="20"/>
        </w:rPr>
        <w:t xml:space="preserve"> </w:t>
      </w:r>
    </w:p>
    <w:p w:rsidR="00885832" w:rsidRPr="004E5697" w:rsidRDefault="00885832" w:rsidP="004E5697">
      <w:pPr>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b/>
          <w:i/>
          <w:sz w:val="20"/>
          <w:szCs w:val="20"/>
        </w:rPr>
      </w:pPr>
      <w:r w:rsidRPr="004E5697">
        <w:rPr>
          <w:rFonts w:ascii="Arial" w:hAnsi="Arial" w:cs="Arial"/>
          <w:b/>
          <w:i/>
          <w:sz w:val="20"/>
          <w:szCs w:val="20"/>
        </w:rPr>
        <w:t xml:space="preserve">Table 7: Percent of total Investigation and Information Management Programme budget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992"/>
        <w:gridCol w:w="1559"/>
        <w:gridCol w:w="852"/>
        <w:gridCol w:w="1700"/>
        <w:gridCol w:w="1559"/>
      </w:tblGrid>
      <w:tr w:rsidR="006C4E57" w:rsidRPr="004E5697" w:rsidTr="00476758">
        <w:trPr>
          <w:trHeight w:val="1035"/>
        </w:trPr>
        <w:tc>
          <w:tcPr>
            <w:tcW w:w="268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Programme</w:t>
            </w:r>
          </w:p>
        </w:tc>
        <w:tc>
          <w:tcPr>
            <w:tcW w:w="992" w:type="dxa"/>
            <w:shd w:val="clear" w:color="auto" w:fill="auto"/>
            <w:vAlign w:val="center"/>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Budget</w:t>
            </w:r>
          </w:p>
        </w:tc>
        <w:tc>
          <w:tcPr>
            <w:tcW w:w="1559" w:type="dxa"/>
            <w:shd w:val="clear" w:color="auto" w:fill="auto"/>
            <w:vAlign w:val="center"/>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Percent of total budget per programme</w:t>
            </w:r>
          </w:p>
        </w:tc>
        <w:tc>
          <w:tcPr>
            <w:tcW w:w="852" w:type="dxa"/>
            <w:shd w:val="clear" w:color="auto" w:fill="auto"/>
            <w:vAlign w:val="center"/>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Budget</w:t>
            </w:r>
          </w:p>
        </w:tc>
        <w:tc>
          <w:tcPr>
            <w:tcW w:w="1700" w:type="dxa"/>
            <w:shd w:val="clear" w:color="auto" w:fill="auto"/>
            <w:vAlign w:val="center"/>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Percent of total budget per programme</w:t>
            </w:r>
          </w:p>
        </w:tc>
        <w:tc>
          <w:tcPr>
            <w:tcW w:w="1559" w:type="dxa"/>
            <w:shd w:val="clear" w:color="auto" w:fill="auto"/>
            <w:vAlign w:val="center"/>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Change in percent allocation</w:t>
            </w:r>
          </w:p>
        </w:tc>
      </w:tr>
      <w:tr w:rsidR="006C4E57" w:rsidRPr="004E5697" w:rsidTr="00476758">
        <w:trPr>
          <w:trHeight w:val="264"/>
        </w:trPr>
        <w:tc>
          <w:tcPr>
            <w:tcW w:w="268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R million</w:t>
            </w:r>
          </w:p>
        </w:tc>
        <w:tc>
          <w:tcPr>
            <w:tcW w:w="2551" w:type="dxa"/>
            <w:gridSpan w:val="2"/>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2022/23</w:t>
            </w:r>
          </w:p>
        </w:tc>
        <w:tc>
          <w:tcPr>
            <w:tcW w:w="2552" w:type="dxa"/>
            <w:gridSpan w:val="2"/>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2023/24</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p>
        </w:tc>
      </w:tr>
      <w:tr w:rsidR="006C4E57" w:rsidRPr="004E5697" w:rsidTr="00476758">
        <w:trPr>
          <w:trHeight w:val="264"/>
        </w:trPr>
        <w:tc>
          <w:tcPr>
            <w:tcW w:w="268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Sub-programme 1: Investigation Management</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6,4</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2,83 per cent</w:t>
            </w:r>
          </w:p>
        </w:tc>
        <w:tc>
          <w:tcPr>
            <w:tcW w:w="85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9,7</w:t>
            </w:r>
          </w:p>
        </w:tc>
        <w:tc>
          <w:tcPr>
            <w:tcW w:w="1700"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4,07 per cent</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1,24 per cent</w:t>
            </w:r>
          </w:p>
        </w:tc>
      </w:tr>
      <w:tr w:rsidR="006C4E57" w:rsidRPr="004E5697" w:rsidTr="00476758">
        <w:trPr>
          <w:trHeight w:val="264"/>
        </w:trPr>
        <w:tc>
          <w:tcPr>
            <w:tcW w:w="268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Sub-programme 2: Investigation Services</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215,9</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95,07 per cent</w:t>
            </w:r>
          </w:p>
        </w:tc>
        <w:tc>
          <w:tcPr>
            <w:tcW w:w="85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222,0</w:t>
            </w:r>
          </w:p>
        </w:tc>
        <w:tc>
          <w:tcPr>
            <w:tcW w:w="1700"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93,72 per cent</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-1,35 per cent</w:t>
            </w:r>
          </w:p>
        </w:tc>
      </w:tr>
      <w:tr w:rsidR="006C4E57" w:rsidRPr="004E5697" w:rsidTr="00476758">
        <w:trPr>
          <w:trHeight w:val="264"/>
        </w:trPr>
        <w:tc>
          <w:tcPr>
            <w:tcW w:w="268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Sub-programme 3: Information Management</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4,8</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2,10 per cent</w:t>
            </w:r>
          </w:p>
        </w:tc>
        <w:tc>
          <w:tcPr>
            <w:tcW w:w="85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5,2</w:t>
            </w:r>
          </w:p>
        </w:tc>
        <w:tc>
          <w:tcPr>
            <w:tcW w:w="1700"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2,21 per cent</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0,11 per cent</w:t>
            </w:r>
          </w:p>
        </w:tc>
      </w:tr>
      <w:tr w:rsidR="006C4E57" w:rsidRPr="004E5697" w:rsidTr="00476758">
        <w:trPr>
          <w:trHeight w:val="264"/>
        </w:trPr>
        <w:tc>
          <w:tcPr>
            <w:tcW w:w="268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TOTAL</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227,1</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100,00 per cent</w:t>
            </w:r>
          </w:p>
        </w:tc>
        <w:tc>
          <w:tcPr>
            <w:tcW w:w="85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236,9</w:t>
            </w:r>
          </w:p>
        </w:tc>
        <w:tc>
          <w:tcPr>
            <w:tcW w:w="1700"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100,00 per cent</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0,00 per cent</w:t>
            </w:r>
          </w:p>
        </w:tc>
      </w:tr>
    </w:tbl>
    <w:p w:rsidR="006C4E57" w:rsidRPr="004E5697" w:rsidRDefault="006C4E57" w:rsidP="004E5697">
      <w:pPr>
        <w:spacing w:line="240" w:lineRule="auto"/>
        <w:jc w:val="left"/>
        <w:rPr>
          <w:rFonts w:ascii="Arial" w:hAnsi="Arial" w:cs="Arial"/>
          <w:i/>
          <w:sz w:val="20"/>
          <w:szCs w:val="20"/>
        </w:rPr>
      </w:pPr>
      <w:r w:rsidRPr="004E5697">
        <w:rPr>
          <w:rFonts w:ascii="Arial" w:hAnsi="Arial" w:cs="Arial"/>
          <w:i/>
          <w:sz w:val="20"/>
          <w:szCs w:val="20"/>
        </w:rPr>
        <w:t>Source: National Treasury (2023)</w:t>
      </w:r>
    </w:p>
    <w:p w:rsidR="006C4E57" w:rsidRPr="004E5697" w:rsidRDefault="006C4E57" w:rsidP="004E5697">
      <w:pPr>
        <w:spacing w:line="240" w:lineRule="auto"/>
        <w:jc w:val="left"/>
        <w:rPr>
          <w:rFonts w:ascii="Arial" w:hAnsi="Arial" w:cs="Arial"/>
          <w:i/>
          <w:sz w:val="20"/>
          <w:szCs w:val="20"/>
        </w:rPr>
      </w:pPr>
    </w:p>
    <w:p w:rsidR="006C4E57" w:rsidRPr="004E5697" w:rsidRDefault="006C4E57" w:rsidP="004E5697">
      <w:pPr>
        <w:pStyle w:val="Heading3"/>
        <w:numPr>
          <w:ilvl w:val="2"/>
          <w:numId w:val="10"/>
        </w:numPr>
        <w:spacing w:line="240" w:lineRule="auto"/>
        <w:jc w:val="left"/>
        <w:rPr>
          <w:rFonts w:ascii="Arial" w:hAnsi="Arial" w:cs="Arial"/>
          <w:sz w:val="20"/>
          <w:szCs w:val="20"/>
        </w:rPr>
      </w:pPr>
      <w:bookmarkStart w:id="7" w:name="_Toc132694864"/>
      <w:r w:rsidRPr="004E5697">
        <w:rPr>
          <w:rFonts w:ascii="Arial" w:hAnsi="Arial" w:cs="Arial"/>
          <w:sz w:val="20"/>
          <w:szCs w:val="20"/>
        </w:rPr>
        <w:t>Legal and Investigation Advisory Services Programme</w:t>
      </w:r>
      <w:bookmarkEnd w:id="7"/>
      <w:r w:rsidRPr="004E5697">
        <w:rPr>
          <w:rFonts w:ascii="Arial" w:hAnsi="Arial" w:cs="Arial"/>
          <w:sz w:val="20"/>
          <w:szCs w:val="20"/>
        </w:rPr>
        <w:t xml:space="preserve"> </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 xml:space="preserve">The Legal and Investigation Advisory Services Programme received a Main Appropriation of R6.8 million in 2023/24, which is a nominal increase of 9.7 per cent and a real increase of 4.58 per cent compared to the previous financial year. </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 xml:space="preserve">The </w:t>
      </w:r>
      <w:r w:rsidRPr="004E5697">
        <w:rPr>
          <w:rFonts w:ascii="Arial" w:hAnsi="Arial" w:cs="Arial"/>
          <w:i/>
          <w:sz w:val="20"/>
          <w:szCs w:val="20"/>
        </w:rPr>
        <w:t>Legal Support and Administration subprogramme</w:t>
      </w:r>
      <w:r w:rsidRPr="004E5697">
        <w:rPr>
          <w:rFonts w:ascii="Arial" w:hAnsi="Arial" w:cs="Arial"/>
          <w:sz w:val="20"/>
          <w:szCs w:val="20"/>
        </w:rPr>
        <w:t xml:space="preserve"> received a Main Appropriation of R2.1 million, which is a substantial nominal increase of 63.49 per cent (+R800 000). Considering inflation, the subprogramme’s allocation had a real increase of 55.85 per cent. The </w:t>
      </w:r>
      <w:r w:rsidRPr="004E5697">
        <w:rPr>
          <w:rFonts w:ascii="Arial" w:hAnsi="Arial" w:cs="Arial"/>
          <w:i/>
          <w:sz w:val="20"/>
          <w:szCs w:val="20"/>
        </w:rPr>
        <w:t>Litigation Advisory Services subprogramme</w:t>
      </w:r>
      <w:r w:rsidRPr="004E5697">
        <w:rPr>
          <w:rFonts w:ascii="Arial" w:hAnsi="Arial" w:cs="Arial"/>
          <w:sz w:val="20"/>
          <w:szCs w:val="20"/>
        </w:rPr>
        <w:t xml:space="preserve"> received a Main Appropriation of R2.3 million in 2023/24, which is a nominal decrease of 7.14 per cent and a real decrease of 11.47 per cent. The </w:t>
      </w:r>
      <w:r w:rsidRPr="004E5697">
        <w:rPr>
          <w:rFonts w:ascii="Arial" w:hAnsi="Arial" w:cs="Arial"/>
          <w:i/>
          <w:sz w:val="20"/>
          <w:szCs w:val="20"/>
        </w:rPr>
        <w:t>Investigation Advisory Services subprogramme</w:t>
      </w:r>
      <w:r w:rsidRPr="004E5697">
        <w:rPr>
          <w:rFonts w:ascii="Arial" w:hAnsi="Arial" w:cs="Arial"/>
          <w:sz w:val="20"/>
          <w:szCs w:val="20"/>
        </w:rPr>
        <w:t xml:space="preserve"> received a Main Appropriation of R2.5 million in 2023/24, which is a nominal decrease of 1.15 per cent and a real decrease of 5.77 per cent. </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b/>
          <w:i/>
          <w:sz w:val="20"/>
          <w:szCs w:val="20"/>
        </w:rPr>
      </w:pPr>
      <w:r w:rsidRPr="004E5697">
        <w:rPr>
          <w:rFonts w:ascii="Arial" w:hAnsi="Arial" w:cs="Arial"/>
          <w:b/>
          <w:i/>
          <w:sz w:val="20"/>
          <w:szCs w:val="20"/>
        </w:rPr>
        <w:t>Table 8: Budget allocation of the Legal and Investigation Advisory Services Programme</w:t>
      </w:r>
    </w:p>
    <w:tbl>
      <w:tblPr>
        <w:tblW w:w="99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939"/>
        <w:gridCol w:w="939"/>
        <w:gridCol w:w="1243"/>
        <w:gridCol w:w="1276"/>
        <w:gridCol w:w="1559"/>
        <w:gridCol w:w="1821"/>
      </w:tblGrid>
      <w:tr w:rsidR="006C4E57" w:rsidRPr="004E5697" w:rsidTr="00C54C2E">
        <w:trPr>
          <w:trHeight w:val="765"/>
        </w:trPr>
        <w:tc>
          <w:tcPr>
            <w:tcW w:w="2127"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Programme</w:t>
            </w:r>
          </w:p>
        </w:tc>
        <w:tc>
          <w:tcPr>
            <w:tcW w:w="1876" w:type="dxa"/>
            <w:gridSpan w:val="2"/>
            <w:shd w:val="clear" w:color="auto" w:fill="auto"/>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Budget</w:t>
            </w:r>
          </w:p>
        </w:tc>
        <w:tc>
          <w:tcPr>
            <w:tcW w:w="1243" w:type="dxa"/>
            <w:shd w:val="clear" w:color="auto" w:fill="auto"/>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Nominal Increase/ Decrease in 2023/24</w:t>
            </w:r>
          </w:p>
        </w:tc>
        <w:tc>
          <w:tcPr>
            <w:tcW w:w="1276" w:type="dxa"/>
            <w:shd w:val="clear" w:color="auto" w:fill="auto"/>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Real Increase/ Decrease 2023/24</w:t>
            </w:r>
          </w:p>
        </w:tc>
        <w:tc>
          <w:tcPr>
            <w:tcW w:w="1559" w:type="dxa"/>
            <w:shd w:val="clear" w:color="auto" w:fill="auto"/>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N</w:t>
            </w:r>
            <w:r w:rsidR="00C54C2E" w:rsidRPr="004E5697">
              <w:rPr>
                <w:rFonts w:ascii="Arial" w:eastAsia="Times New Roman" w:hAnsi="Arial" w:cs="Arial"/>
                <w:b/>
                <w:bCs/>
                <w:sz w:val="20"/>
                <w:szCs w:val="20"/>
                <w:lang w:eastAsia="en-ZA"/>
              </w:rPr>
              <w:t>ominal Percent change</w:t>
            </w:r>
            <w:r w:rsidRPr="004E5697">
              <w:rPr>
                <w:rFonts w:ascii="Arial" w:eastAsia="Times New Roman" w:hAnsi="Arial" w:cs="Arial"/>
                <w:b/>
                <w:bCs/>
                <w:sz w:val="20"/>
                <w:szCs w:val="20"/>
                <w:lang w:eastAsia="en-ZA"/>
              </w:rPr>
              <w:t xml:space="preserve"> 2023/24</w:t>
            </w:r>
          </w:p>
        </w:tc>
        <w:tc>
          <w:tcPr>
            <w:tcW w:w="1821" w:type="dxa"/>
            <w:shd w:val="clear" w:color="auto" w:fill="auto"/>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Real Percent change in 2023/24</w:t>
            </w:r>
          </w:p>
        </w:tc>
      </w:tr>
      <w:tr w:rsidR="006C4E57" w:rsidRPr="004E5697" w:rsidTr="00C54C2E">
        <w:trPr>
          <w:trHeight w:val="264"/>
        </w:trPr>
        <w:tc>
          <w:tcPr>
            <w:tcW w:w="2127"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lastRenderedPageBreak/>
              <w:t>R million</w:t>
            </w:r>
          </w:p>
        </w:tc>
        <w:tc>
          <w:tcPr>
            <w:tcW w:w="93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2022/23</w:t>
            </w:r>
          </w:p>
        </w:tc>
        <w:tc>
          <w:tcPr>
            <w:tcW w:w="93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2023/24</w:t>
            </w:r>
          </w:p>
        </w:tc>
        <w:tc>
          <w:tcPr>
            <w:tcW w:w="1243" w:type="dxa"/>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p>
        </w:tc>
        <w:tc>
          <w:tcPr>
            <w:tcW w:w="1276" w:type="dxa"/>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p>
        </w:tc>
        <w:tc>
          <w:tcPr>
            <w:tcW w:w="1559" w:type="dxa"/>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p>
        </w:tc>
        <w:tc>
          <w:tcPr>
            <w:tcW w:w="1821" w:type="dxa"/>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p>
        </w:tc>
      </w:tr>
      <w:tr w:rsidR="006C4E57" w:rsidRPr="004E5697" w:rsidTr="00C54C2E">
        <w:trPr>
          <w:trHeight w:val="264"/>
        </w:trPr>
        <w:tc>
          <w:tcPr>
            <w:tcW w:w="2127"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Sub-programme 1: Legal Support and Administration</w:t>
            </w:r>
          </w:p>
        </w:tc>
        <w:tc>
          <w:tcPr>
            <w:tcW w:w="93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1,3</w:t>
            </w:r>
          </w:p>
        </w:tc>
        <w:tc>
          <w:tcPr>
            <w:tcW w:w="93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2,1</w:t>
            </w:r>
          </w:p>
        </w:tc>
        <w:tc>
          <w:tcPr>
            <w:tcW w:w="124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0,8</w:t>
            </w:r>
          </w:p>
        </w:tc>
        <w:tc>
          <w:tcPr>
            <w:tcW w:w="127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0,7</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63,49 per cent</w:t>
            </w:r>
          </w:p>
        </w:tc>
        <w:tc>
          <w:tcPr>
            <w:tcW w:w="182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55,85 per cent</w:t>
            </w:r>
          </w:p>
        </w:tc>
      </w:tr>
      <w:tr w:rsidR="006C4E57" w:rsidRPr="004E5697" w:rsidTr="00C54C2E">
        <w:trPr>
          <w:trHeight w:val="264"/>
        </w:trPr>
        <w:tc>
          <w:tcPr>
            <w:tcW w:w="2127"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Sub-programme 2: Litigation Advisory Services</w:t>
            </w:r>
          </w:p>
        </w:tc>
        <w:tc>
          <w:tcPr>
            <w:tcW w:w="93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2,4</w:t>
            </w:r>
          </w:p>
        </w:tc>
        <w:tc>
          <w:tcPr>
            <w:tcW w:w="93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2,3</w:t>
            </w:r>
          </w:p>
        </w:tc>
        <w:tc>
          <w:tcPr>
            <w:tcW w:w="124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0,2</w:t>
            </w:r>
          </w:p>
        </w:tc>
        <w:tc>
          <w:tcPr>
            <w:tcW w:w="127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0,3</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-7,14 per cent</w:t>
            </w:r>
          </w:p>
        </w:tc>
        <w:tc>
          <w:tcPr>
            <w:tcW w:w="182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-11,47 per cent</w:t>
            </w:r>
          </w:p>
        </w:tc>
      </w:tr>
      <w:tr w:rsidR="006C4E57" w:rsidRPr="004E5697" w:rsidTr="00C54C2E">
        <w:trPr>
          <w:trHeight w:val="264"/>
        </w:trPr>
        <w:tc>
          <w:tcPr>
            <w:tcW w:w="2127"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Sub-programme 3: Investigation Advisory Services</w:t>
            </w:r>
          </w:p>
        </w:tc>
        <w:tc>
          <w:tcPr>
            <w:tcW w:w="93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2,5</w:t>
            </w:r>
          </w:p>
        </w:tc>
        <w:tc>
          <w:tcPr>
            <w:tcW w:w="93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2,5</w:t>
            </w:r>
          </w:p>
        </w:tc>
        <w:tc>
          <w:tcPr>
            <w:tcW w:w="124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0,0</w:t>
            </w:r>
          </w:p>
        </w:tc>
        <w:tc>
          <w:tcPr>
            <w:tcW w:w="127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0,1</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-1,15 per cent</w:t>
            </w:r>
          </w:p>
        </w:tc>
        <w:tc>
          <w:tcPr>
            <w:tcW w:w="182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-5,77 per cent</w:t>
            </w:r>
          </w:p>
        </w:tc>
      </w:tr>
      <w:tr w:rsidR="006C4E57" w:rsidRPr="004E5697" w:rsidTr="00C54C2E">
        <w:trPr>
          <w:trHeight w:val="264"/>
        </w:trPr>
        <w:tc>
          <w:tcPr>
            <w:tcW w:w="2127"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TOTAL</w:t>
            </w:r>
          </w:p>
        </w:tc>
        <w:tc>
          <w:tcPr>
            <w:tcW w:w="93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6,2</w:t>
            </w:r>
          </w:p>
        </w:tc>
        <w:tc>
          <w:tcPr>
            <w:tcW w:w="938"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6,8</w:t>
            </w:r>
          </w:p>
        </w:tc>
        <w:tc>
          <w:tcPr>
            <w:tcW w:w="124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0,6</w:t>
            </w:r>
          </w:p>
        </w:tc>
        <w:tc>
          <w:tcPr>
            <w:tcW w:w="127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0,3</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9,7 per cent</w:t>
            </w:r>
          </w:p>
        </w:tc>
        <w:tc>
          <w:tcPr>
            <w:tcW w:w="182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4,58 per cent</w:t>
            </w:r>
          </w:p>
        </w:tc>
      </w:tr>
    </w:tbl>
    <w:p w:rsidR="006C4E57" w:rsidRPr="004E5697" w:rsidRDefault="006C4E57" w:rsidP="004E5697">
      <w:pPr>
        <w:spacing w:line="240" w:lineRule="auto"/>
        <w:jc w:val="left"/>
        <w:rPr>
          <w:rFonts w:ascii="Arial" w:hAnsi="Arial" w:cs="Arial"/>
          <w:i/>
          <w:sz w:val="20"/>
          <w:szCs w:val="20"/>
        </w:rPr>
      </w:pPr>
      <w:r w:rsidRPr="004E5697">
        <w:rPr>
          <w:rFonts w:ascii="Arial" w:hAnsi="Arial" w:cs="Arial"/>
          <w:i/>
          <w:sz w:val="20"/>
          <w:szCs w:val="20"/>
        </w:rPr>
        <w:t>Source: National Treasury (2023)</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 xml:space="preserve">Proportionally the subprogrammes have a relatively equal allocation. This was largely brought about by the substantial increase in the budget of the </w:t>
      </w:r>
      <w:r w:rsidRPr="004E5697">
        <w:rPr>
          <w:rFonts w:ascii="Arial" w:hAnsi="Arial" w:cs="Arial"/>
          <w:i/>
          <w:sz w:val="20"/>
          <w:szCs w:val="20"/>
        </w:rPr>
        <w:t>Legal Support and Administration subprogramme</w:t>
      </w:r>
      <w:r w:rsidRPr="004E5697">
        <w:rPr>
          <w:rFonts w:ascii="Arial" w:hAnsi="Arial" w:cs="Arial"/>
          <w:sz w:val="20"/>
          <w:szCs w:val="20"/>
        </w:rPr>
        <w:t xml:space="preserve">, which increased proportionally by 10.01 per cent in 2023/24 compared to the previous financial year. This proportional increase resulted in proportional decreases in both the </w:t>
      </w:r>
      <w:r w:rsidRPr="004E5697">
        <w:rPr>
          <w:rFonts w:ascii="Arial" w:hAnsi="Arial" w:cs="Arial"/>
          <w:i/>
          <w:sz w:val="20"/>
          <w:szCs w:val="20"/>
        </w:rPr>
        <w:t xml:space="preserve">Litigation Advisory Services </w:t>
      </w:r>
      <w:r w:rsidRPr="004E5697">
        <w:rPr>
          <w:rFonts w:ascii="Arial" w:hAnsi="Arial" w:cs="Arial"/>
          <w:sz w:val="20"/>
          <w:szCs w:val="20"/>
        </w:rPr>
        <w:t xml:space="preserve">and </w:t>
      </w:r>
      <w:r w:rsidRPr="004E5697">
        <w:rPr>
          <w:rFonts w:ascii="Arial" w:hAnsi="Arial" w:cs="Arial"/>
          <w:i/>
          <w:sz w:val="20"/>
          <w:szCs w:val="20"/>
        </w:rPr>
        <w:t xml:space="preserve">Investigation Advisory Services </w:t>
      </w:r>
      <w:r w:rsidRPr="004E5697">
        <w:rPr>
          <w:rFonts w:ascii="Arial" w:hAnsi="Arial" w:cs="Arial"/>
          <w:sz w:val="20"/>
          <w:szCs w:val="20"/>
        </w:rPr>
        <w:t xml:space="preserve">subprogrammes. The </w:t>
      </w:r>
      <w:r w:rsidRPr="004E5697">
        <w:rPr>
          <w:rFonts w:ascii="Arial" w:hAnsi="Arial" w:cs="Arial"/>
          <w:i/>
          <w:sz w:val="20"/>
          <w:szCs w:val="20"/>
        </w:rPr>
        <w:t>Investigation Advisory Services subprogramme</w:t>
      </w:r>
      <w:r w:rsidRPr="004E5697">
        <w:rPr>
          <w:rFonts w:ascii="Arial" w:hAnsi="Arial" w:cs="Arial"/>
          <w:sz w:val="20"/>
          <w:szCs w:val="20"/>
        </w:rPr>
        <w:t xml:space="preserve"> continues to receive the bulk of the programme’s total allocation at 36.55 per cent. </w:t>
      </w: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 xml:space="preserve">  </w:t>
      </w:r>
    </w:p>
    <w:p w:rsidR="006C4E57" w:rsidRPr="004E5697" w:rsidRDefault="006C4E57" w:rsidP="004E5697">
      <w:pPr>
        <w:spacing w:line="240" w:lineRule="auto"/>
        <w:jc w:val="left"/>
        <w:rPr>
          <w:rFonts w:ascii="Arial" w:hAnsi="Arial" w:cs="Arial"/>
          <w:b/>
          <w:i/>
          <w:sz w:val="20"/>
          <w:szCs w:val="20"/>
        </w:rPr>
      </w:pPr>
      <w:r w:rsidRPr="004E5697">
        <w:rPr>
          <w:rFonts w:ascii="Arial" w:hAnsi="Arial" w:cs="Arial"/>
          <w:b/>
          <w:i/>
          <w:sz w:val="20"/>
          <w:szCs w:val="20"/>
        </w:rPr>
        <w:t>Table 9: Percent of total Legal and Advisory Services Programme budget per subprogramme</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852"/>
        <w:gridCol w:w="1700"/>
        <w:gridCol w:w="852"/>
        <w:gridCol w:w="1699"/>
        <w:gridCol w:w="1560"/>
      </w:tblGrid>
      <w:tr w:rsidR="006C4E57" w:rsidRPr="004E5697" w:rsidTr="00885832">
        <w:trPr>
          <w:trHeight w:val="1035"/>
          <w:tblHeader/>
        </w:trPr>
        <w:tc>
          <w:tcPr>
            <w:tcW w:w="326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Programme</w:t>
            </w:r>
          </w:p>
        </w:tc>
        <w:tc>
          <w:tcPr>
            <w:tcW w:w="852" w:type="dxa"/>
            <w:shd w:val="clear" w:color="auto" w:fill="auto"/>
            <w:vAlign w:val="center"/>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Budget</w:t>
            </w:r>
          </w:p>
        </w:tc>
        <w:tc>
          <w:tcPr>
            <w:tcW w:w="1700" w:type="dxa"/>
            <w:shd w:val="clear" w:color="auto" w:fill="auto"/>
            <w:vAlign w:val="center"/>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Percent of total budget per programme</w:t>
            </w:r>
          </w:p>
        </w:tc>
        <w:tc>
          <w:tcPr>
            <w:tcW w:w="852" w:type="dxa"/>
            <w:shd w:val="clear" w:color="auto" w:fill="auto"/>
            <w:vAlign w:val="center"/>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Budget</w:t>
            </w:r>
          </w:p>
        </w:tc>
        <w:tc>
          <w:tcPr>
            <w:tcW w:w="1699" w:type="dxa"/>
            <w:shd w:val="clear" w:color="auto" w:fill="auto"/>
            <w:vAlign w:val="center"/>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Percent of total budget per programme</w:t>
            </w:r>
          </w:p>
        </w:tc>
        <w:tc>
          <w:tcPr>
            <w:tcW w:w="1560" w:type="dxa"/>
            <w:shd w:val="clear" w:color="auto" w:fill="auto"/>
            <w:vAlign w:val="center"/>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Change in percent allocation</w:t>
            </w:r>
          </w:p>
        </w:tc>
      </w:tr>
      <w:tr w:rsidR="006C4E57" w:rsidRPr="004E5697" w:rsidTr="00885832">
        <w:trPr>
          <w:trHeight w:val="264"/>
          <w:tblHeader/>
        </w:trPr>
        <w:tc>
          <w:tcPr>
            <w:tcW w:w="326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R million</w:t>
            </w:r>
          </w:p>
        </w:tc>
        <w:tc>
          <w:tcPr>
            <w:tcW w:w="2552" w:type="dxa"/>
            <w:gridSpan w:val="2"/>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2022/23</w:t>
            </w:r>
          </w:p>
        </w:tc>
        <w:tc>
          <w:tcPr>
            <w:tcW w:w="2551" w:type="dxa"/>
            <w:gridSpan w:val="2"/>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2023/24</w:t>
            </w:r>
          </w:p>
        </w:tc>
        <w:tc>
          <w:tcPr>
            <w:tcW w:w="1560"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p>
        </w:tc>
      </w:tr>
      <w:tr w:rsidR="006C4E57" w:rsidRPr="004E5697" w:rsidTr="00C54C2E">
        <w:trPr>
          <w:trHeight w:val="264"/>
        </w:trPr>
        <w:tc>
          <w:tcPr>
            <w:tcW w:w="326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Sub-programme 1: Legal Support and Administration</w:t>
            </w:r>
          </w:p>
        </w:tc>
        <w:tc>
          <w:tcPr>
            <w:tcW w:w="85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1,3</w:t>
            </w:r>
          </w:p>
        </w:tc>
        <w:tc>
          <w:tcPr>
            <w:tcW w:w="1700"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20,41 per cent</w:t>
            </w:r>
          </w:p>
        </w:tc>
        <w:tc>
          <w:tcPr>
            <w:tcW w:w="85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2,1</w:t>
            </w:r>
          </w:p>
        </w:tc>
        <w:tc>
          <w:tcPr>
            <w:tcW w:w="169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30,42 per cent</w:t>
            </w:r>
          </w:p>
        </w:tc>
        <w:tc>
          <w:tcPr>
            <w:tcW w:w="1560"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10,01 per cent</w:t>
            </w:r>
          </w:p>
        </w:tc>
      </w:tr>
      <w:tr w:rsidR="006C4E57" w:rsidRPr="004E5697" w:rsidTr="00C54C2E">
        <w:trPr>
          <w:trHeight w:val="264"/>
        </w:trPr>
        <w:tc>
          <w:tcPr>
            <w:tcW w:w="326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Sub-programme 2: Litigation Advisory Services</w:t>
            </w:r>
          </w:p>
        </w:tc>
        <w:tc>
          <w:tcPr>
            <w:tcW w:w="85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2,4</w:t>
            </w:r>
          </w:p>
        </w:tc>
        <w:tc>
          <w:tcPr>
            <w:tcW w:w="1700"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39,02 per cent</w:t>
            </w:r>
          </w:p>
        </w:tc>
        <w:tc>
          <w:tcPr>
            <w:tcW w:w="85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2,3</w:t>
            </w:r>
          </w:p>
        </w:tc>
        <w:tc>
          <w:tcPr>
            <w:tcW w:w="169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33,03 per cent</w:t>
            </w:r>
          </w:p>
        </w:tc>
        <w:tc>
          <w:tcPr>
            <w:tcW w:w="1560"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-5,99 per cent</w:t>
            </w:r>
          </w:p>
        </w:tc>
      </w:tr>
      <w:tr w:rsidR="006C4E57" w:rsidRPr="004E5697" w:rsidTr="00C54C2E">
        <w:trPr>
          <w:trHeight w:val="264"/>
        </w:trPr>
        <w:tc>
          <w:tcPr>
            <w:tcW w:w="326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Sub-programme 3: Investigation Advisory Services</w:t>
            </w:r>
          </w:p>
        </w:tc>
        <w:tc>
          <w:tcPr>
            <w:tcW w:w="85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2,5</w:t>
            </w:r>
          </w:p>
        </w:tc>
        <w:tc>
          <w:tcPr>
            <w:tcW w:w="1700"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40,57 per cent</w:t>
            </w:r>
          </w:p>
        </w:tc>
        <w:tc>
          <w:tcPr>
            <w:tcW w:w="85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2,5</w:t>
            </w:r>
          </w:p>
        </w:tc>
        <w:tc>
          <w:tcPr>
            <w:tcW w:w="169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36,55 per cent</w:t>
            </w:r>
          </w:p>
        </w:tc>
        <w:tc>
          <w:tcPr>
            <w:tcW w:w="1560"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-4,01 per cent</w:t>
            </w:r>
          </w:p>
        </w:tc>
      </w:tr>
      <w:tr w:rsidR="006C4E57" w:rsidRPr="004E5697" w:rsidTr="00C54C2E">
        <w:trPr>
          <w:trHeight w:val="264"/>
        </w:trPr>
        <w:tc>
          <w:tcPr>
            <w:tcW w:w="326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TOTAL</w:t>
            </w:r>
          </w:p>
        </w:tc>
        <w:tc>
          <w:tcPr>
            <w:tcW w:w="85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6,2</w:t>
            </w:r>
          </w:p>
        </w:tc>
        <w:tc>
          <w:tcPr>
            <w:tcW w:w="1700"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100,00 per cent</w:t>
            </w:r>
          </w:p>
        </w:tc>
        <w:tc>
          <w:tcPr>
            <w:tcW w:w="85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6,8</w:t>
            </w:r>
          </w:p>
        </w:tc>
        <w:tc>
          <w:tcPr>
            <w:tcW w:w="169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100,00 per cent</w:t>
            </w:r>
          </w:p>
        </w:tc>
        <w:tc>
          <w:tcPr>
            <w:tcW w:w="1560"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0,00 per cent</w:t>
            </w:r>
          </w:p>
        </w:tc>
      </w:tr>
    </w:tbl>
    <w:p w:rsidR="006C4E57" w:rsidRPr="004E5697" w:rsidRDefault="006C4E57" w:rsidP="004E5697">
      <w:pPr>
        <w:spacing w:line="240" w:lineRule="auto"/>
        <w:jc w:val="left"/>
        <w:rPr>
          <w:rFonts w:ascii="Arial" w:hAnsi="Arial" w:cs="Arial"/>
          <w:i/>
          <w:sz w:val="20"/>
          <w:szCs w:val="20"/>
        </w:rPr>
      </w:pPr>
      <w:r w:rsidRPr="004E5697">
        <w:rPr>
          <w:rFonts w:ascii="Arial" w:hAnsi="Arial" w:cs="Arial"/>
          <w:i/>
          <w:sz w:val="20"/>
          <w:szCs w:val="20"/>
        </w:rPr>
        <w:t>Source: National Treasury (2023)</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pStyle w:val="Heading3"/>
        <w:numPr>
          <w:ilvl w:val="2"/>
          <w:numId w:val="10"/>
        </w:numPr>
        <w:spacing w:line="240" w:lineRule="auto"/>
        <w:jc w:val="left"/>
        <w:rPr>
          <w:rFonts w:ascii="Arial" w:hAnsi="Arial" w:cs="Arial"/>
          <w:sz w:val="20"/>
          <w:szCs w:val="20"/>
        </w:rPr>
      </w:pPr>
      <w:bookmarkStart w:id="8" w:name="_Toc132694865"/>
      <w:r w:rsidRPr="004E5697">
        <w:rPr>
          <w:rFonts w:ascii="Arial" w:hAnsi="Arial" w:cs="Arial"/>
          <w:sz w:val="20"/>
          <w:szCs w:val="20"/>
        </w:rPr>
        <w:t>Compliance Monitoring and Stakeholder Management Programme</w:t>
      </w:r>
      <w:bookmarkEnd w:id="8"/>
      <w:r w:rsidRPr="004E5697">
        <w:rPr>
          <w:rFonts w:ascii="Arial" w:hAnsi="Arial" w:cs="Arial"/>
          <w:sz w:val="20"/>
          <w:szCs w:val="20"/>
        </w:rPr>
        <w:t xml:space="preserve"> </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The Compliance Monitoring and Stakeholder Management Programme received a Main Appropriation of R11.4 million in 2023/24, which is a substantial nominal decrease of 20.1 per cent compared to the previous financial year. Considering inflation, the Programme’s allocation decreased by 23.82 per cent.</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 xml:space="preserve">The </w:t>
      </w:r>
      <w:r w:rsidRPr="004E5697">
        <w:rPr>
          <w:rFonts w:ascii="Arial" w:hAnsi="Arial" w:cs="Arial"/>
          <w:i/>
          <w:sz w:val="20"/>
          <w:szCs w:val="20"/>
        </w:rPr>
        <w:t>Compliance Monitoring subprogramme</w:t>
      </w:r>
      <w:r w:rsidRPr="004E5697">
        <w:rPr>
          <w:rFonts w:ascii="Arial" w:hAnsi="Arial" w:cs="Arial"/>
          <w:sz w:val="20"/>
          <w:szCs w:val="20"/>
        </w:rPr>
        <w:t xml:space="preserve"> received a Main Appropriation of R5.4 million in 2023/24, which is a substantial nominal decrease of 28.31 per cent (-R2.1 million). Considering inflation, the subprogramme’s allocation decreased by 31.66 per cent (-R2.4 million). The </w:t>
      </w:r>
      <w:r w:rsidRPr="004E5697">
        <w:rPr>
          <w:rFonts w:ascii="Arial" w:hAnsi="Arial" w:cs="Arial"/>
          <w:i/>
          <w:sz w:val="20"/>
          <w:szCs w:val="20"/>
        </w:rPr>
        <w:t xml:space="preserve">Stakeholder Management subprogramme </w:t>
      </w:r>
      <w:r w:rsidRPr="004E5697">
        <w:rPr>
          <w:rFonts w:ascii="Arial" w:hAnsi="Arial" w:cs="Arial"/>
          <w:sz w:val="20"/>
          <w:szCs w:val="20"/>
        </w:rPr>
        <w:t xml:space="preserve">received a Main Appropriation of R6.0 million in 2023/24, which is a nominal decrease of 10.82 per cent compared to the previous financial year. Considering inflation, the allocation decreased in real terms by 14.98 per cent. </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b/>
          <w:i/>
          <w:sz w:val="20"/>
          <w:szCs w:val="20"/>
        </w:rPr>
      </w:pPr>
      <w:r w:rsidRPr="004E5697">
        <w:rPr>
          <w:rFonts w:ascii="Arial" w:hAnsi="Arial" w:cs="Arial"/>
          <w:b/>
          <w:i/>
          <w:sz w:val="20"/>
          <w:szCs w:val="20"/>
        </w:rPr>
        <w:t>Table 10: Budget allocation of the Compliance and Stakeholder Management Programme</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993"/>
        <w:gridCol w:w="992"/>
        <w:gridCol w:w="1276"/>
        <w:gridCol w:w="1134"/>
        <w:gridCol w:w="1559"/>
        <w:gridCol w:w="1701"/>
      </w:tblGrid>
      <w:tr w:rsidR="00C54C2E" w:rsidRPr="004E5697" w:rsidTr="00C54C2E">
        <w:trPr>
          <w:trHeight w:val="765"/>
        </w:trPr>
        <w:tc>
          <w:tcPr>
            <w:tcW w:w="255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Programme</w:t>
            </w:r>
          </w:p>
        </w:tc>
        <w:tc>
          <w:tcPr>
            <w:tcW w:w="1985" w:type="dxa"/>
            <w:gridSpan w:val="2"/>
            <w:shd w:val="clear" w:color="auto" w:fill="auto"/>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Budget</w:t>
            </w:r>
          </w:p>
        </w:tc>
        <w:tc>
          <w:tcPr>
            <w:tcW w:w="1276" w:type="dxa"/>
            <w:shd w:val="clear" w:color="auto" w:fill="auto"/>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Nominal Increase/ Decrease in 2023/24</w:t>
            </w:r>
          </w:p>
        </w:tc>
        <w:tc>
          <w:tcPr>
            <w:tcW w:w="1134" w:type="dxa"/>
            <w:shd w:val="clear" w:color="auto" w:fill="auto"/>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Real Increase/ Decrease 2023/24</w:t>
            </w:r>
          </w:p>
        </w:tc>
        <w:tc>
          <w:tcPr>
            <w:tcW w:w="1559" w:type="dxa"/>
            <w:shd w:val="clear" w:color="auto" w:fill="auto"/>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Nominal Percent change in 2023/24</w:t>
            </w:r>
          </w:p>
        </w:tc>
        <w:tc>
          <w:tcPr>
            <w:tcW w:w="1701" w:type="dxa"/>
            <w:shd w:val="clear" w:color="auto" w:fill="auto"/>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Real Percent change in 2023/24</w:t>
            </w:r>
          </w:p>
        </w:tc>
      </w:tr>
      <w:tr w:rsidR="00C54C2E" w:rsidRPr="004E5697" w:rsidTr="00C54C2E">
        <w:trPr>
          <w:trHeight w:val="264"/>
        </w:trPr>
        <w:tc>
          <w:tcPr>
            <w:tcW w:w="255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R million</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2022/23</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2023/24</w:t>
            </w:r>
          </w:p>
        </w:tc>
        <w:tc>
          <w:tcPr>
            <w:tcW w:w="1276" w:type="dxa"/>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p>
        </w:tc>
        <w:tc>
          <w:tcPr>
            <w:tcW w:w="1134" w:type="dxa"/>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p>
        </w:tc>
        <w:tc>
          <w:tcPr>
            <w:tcW w:w="1559" w:type="dxa"/>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p>
        </w:tc>
        <w:tc>
          <w:tcPr>
            <w:tcW w:w="1701" w:type="dxa"/>
            <w:vAlign w:val="center"/>
            <w:hideMark/>
          </w:tcPr>
          <w:p w:rsidR="006C4E57" w:rsidRPr="004E5697" w:rsidRDefault="006C4E57" w:rsidP="004E5697">
            <w:pPr>
              <w:spacing w:line="240" w:lineRule="auto"/>
              <w:jc w:val="left"/>
              <w:rPr>
                <w:rFonts w:ascii="Arial" w:eastAsia="Times New Roman" w:hAnsi="Arial" w:cs="Arial"/>
                <w:b/>
                <w:bCs/>
                <w:sz w:val="20"/>
                <w:szCs w:val="20"/>
                <w:lang w:eastAsia="en-ZA"/>
              </w:rPr>
            </w:pPr>
          </w:p>
        </w:tc>
      </w:tr>
      <w:tr w:rsidR="00C54C2E" w:rsidRPr="004E5697" w:rsidTr="00C54C2E">
        <w:trPr>
          <w:trHeight w:val="264"/>
        </w:trPr>
        <w:tc>
          <w:tcPr>
            <w:tcW w:w="255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Sub-programme 1: Compliance Monitoring</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7,6</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5,4</w:t>
            </w:r>
          </w:p>
        </w:tc>
        <w:tc>
          <w:tcPr>
            <w:tcW w:w="127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2,1</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2,4</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-28,31 per cent</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-31,66 per cent</w:t>
            </w:r>
          </w:p>
        </w:tc>
      </w:tr>
      <w:tr w:rsidR="00C54C2E" w:rsidRPr="004E5697" w:rsidTr="00C54C2E">
        <w:trPr>
          <w:trHeight w:val="264"/>
        </w:trPr>
        <w:tc>
          <w:tcPr>
            <w:tcW w:w="255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Sub-programme 2: Stakeholder Management</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6,7</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6,0</w:t>
            </w:r>
          </w:p>
        </w:tc>
        <w:tc>
          <w:tcPr>
            <w:tcW w:w="127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0,7</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1,0</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-10,82 per cent</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-14,98 per cent</w:t>
            </w:r>
          </w:p>
        </w:tc>
      </w:tr>
      <w:tr w:rsidR="00C54C2E" w:rsidRPr="004E5697" w:rsidTr="00C54C2E">
        <w:trPr>
          <w:trHeight w:val="264"/>
        </w:trPr>
        <w:tc>
          <w:tcPr>
            <w:tcW w:w="255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lastRenderedPageBreak/>
              <w:t>TOTAL</w:t>
            </w:r>
          </w:p>
        </w:tc>
        <w:tc>
          <w:tcPr>
            <w:tcW w:w="993"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14,3</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11,4</w:t>
            </w:r>
          </w:p>
        </w:tc>
        <w:tc>
          <w:tcPr>
            <w:tcW w:w="1276"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2,9</w:t>
            </w:r>
          </w:p>
        </w:tc>
        <w:tc>
          <w:tcPr>
            <w:tcW w:w="1134"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3,4</w:t>
            </w:r>
          </w:p>
        </w:tc>
        <w:tc>
          <w:tcPr>
            <w:tcW w:w="155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-20,1 per cent</w:t>
            </w:r>
          </w:p>
        </w:tc>
        <w:tc>
          <w:tcPr>
            <w:tcW w:w="170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-23,82 per cent</w:t>
            </w:r>
          </w:p>
        </w:tc>
      </w:tr>
    </w:tbl>
    <w:p w:rsidR="006C4E57" w:rsidRPr="004E5697" w:rsidRDefault="006C4E57" w:rsidP="004E5697">
      <w:pPr>
        <w:spacing w:line="240" w:lineRule="auto"/>
        <w:jc w:val="left"/>
        <w:rPr>
          <w:rFonts w:ascii="Arial" w:hAnsi="Arial" w:cs="Arial"/>
          <w:i/>
          <w:sz w:val="20"/>
          <w:szCs w:val="20"/>
        </w:rPr>
      </w:pPr>
      <w:r w:rsidRPr="004E5697">
        <w:rPr>
          <w:rFonts w:ascii="Arial" w:hAnsi="Arial" w:cs="Arial"/>
          <w:i/>
          <w:sz w:val="20"/>
          <w:szCs w:val="20"/>
        </w:rPr>
        <w:t>Source: National Treasury (2023)</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 xml:space="preserve">The changes in the Main Appropriations of the subprogrammes influenced their proportional allocations in 2023/24 compared to the previous financial year. The proportional allocation of the </w:t>
      </w:r>
      <w:r w:rsidRPr="004E5697">
        <w:rPr>
          <w:rFonts w:ascii="Arial" w:hAnsi="Arial" w:cs="Arial"/>
          <w:i/>
          <w:sz w:val="20"/>
          <w:szCs w:val="20"/>
        </w:rPr>
        <w:t>Compliance Monitoring subprogramme</w:t>
      </w:r>
      <w:r w:rsidRPr="004E5697">
        <w:rPr>
          <w:rFonts w:ascii="Arial" w:hAnsi="Arial" w:cs="Arial"/>
          <w:sz w:val="20"/>
          <w:szCs w:val="20"/>
        </w:rPr>
        <w:t xml:space="preserve"> decreased by 5.45 per cent, while that of the </w:t>
      </w:r>
      <w:r w:rsidRPr="004E5697">
        <w:rPr>
          <w:rFonts w:ascii="Arial" w:hAnsi="Arial" w:cs="Arial"/>
          <w:i/>
          <w:sz w:val="20"/>
          <w:szCs w:val="20"/>
        </w:rPr>
        <w:t>Stakeholder Management subprogramme</w:t>
      </w:r>
      <w:r w:rsidRPr="004E5697">
        <w:rPr>
          <w:rFonts w:ascii="Arial" w:hAnsi="Arial" w:cs="Arial"/>
          <w:sz w:val="20"/>
          <w:szCs w:val="20"/>
        </w:rPr>
        <w:t xml:space="preserve"> increased by 5.45 per cent.  </w:t>
      </w:r>
    </w:p>
    <w:p w:rsidR="006C4E57" w:rsidRPr="004E5697" w:rsidRDefault="006C4E57" w:rsidP="004E5697">
      <w:pPr>
        <w:autoSpaceDE w:val="0"/>
        <w:autoSpaceDN w:val="0"/>
        <w:adjustRightInd w:val="0"/>
        <w:spacing w:line="240" w:lineRule="auto"/>
        <w:jc w:val="left"/>
        <w:rPr>
          <w:rFonts w:ascii="Arial" w:hAnsi="Arial" w:cs="Arial"/>
          <w:sz w:val="20"/>
          <w:szCs w:val="20"/>
          <w:lang w:eastAsia="en-ZA"/>
        </w:rPr>
      </w:pPr>
    </w:p>
    <w:p w:rsidR="006C4E57" w:rsidRPr="004E5697" w:rsidRDefault="006C4E57" w:rsidP="004E5697">
      <w:pPr>
        <w:spacing w:line="240" w:lineRule="auto"/>
        <w:jc w:val="left"/>
        <w:rPr>
          <w:rFonts w:ascii="Arial" w:hAnsi="Arial" w:cs="Arial"/>
          <w:b/>
          <w:i/>
          <w:sz w:val="20"/>
          <w:szCs w:val="20"/>
        </w:rPr>
      </w:pPr>
      <w:r w:rsidRPr="004E5697">
        <w:rPr>
          <w:rFonts w:ascii="Arial" w:hAnsi="Arial" w:cs="Arial"/>
          <w:b/>
          <w:i/>
          <w:sz w:val="20"/>
          <w:szCs w:val="20"/>
        </w:rPr>
        <w:t xml:space="preserve">Table 11: Percent of total Compliance and Stakeholder Management Programme budget </w:t>
      </w:r>
    </w:p>
    <w:tbl>
      <w:tblPr>
        <w:tblW w:w="1027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852"/>
        <w:gridCol w:w="1841"/>
        <w:gridCol w:w="992"/>
        <w:gridCol w:w="1911"/>
        <w:gridCol w:w="1560"/>
      </w:tblGrid>
      <w:tr w:rsidR="006C4E57" w:rsidRPr="004E5697" w:rsidTr="00C54C2E">
        <w:trPr>
          <w:trHeight w:val="1035"/>
        </w:trPr>
        <w:tc>
          <w:tcPr>
            <w:tcW w:w="311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Programme</w:t>
            </w:r>
          </w:p>
        </w:tc>
        <w:tc>
          <w:tcPr>
            <w:tcW w:w="852" w:type="dxa"/>
            <w:shd w:val="clear" w:color="auto" w:fill="auto"/>
            <w:vAlign w:val="center"/>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Budget</w:t>
            </w:r>
          </w:p>
        </w:tc>
        <w:tc>
          <w:tcPr>
            <w:tcW w:w="1841" w:type="dxa"/>
            <w:shd w:val="clear" w:color="auto" w:fill="auto"/>
            <w:vAlign w:val="center"/>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Percent of total budget per programme</w:t>
            </w:r>
          </w:p>
        </w:tc>
        <w:tc>
          <w:tcPr>
            <w:tcW w:w="992" w:type="dxa"/>
            <w:shd w:val="clear" w:color="auto" w:fill="auto"/>
            <w:vAlign w:val="center"/>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Budget</w:t>
            </w:r>
          </w:p>
        </w:tc>
        <w:tc>
          <w:tcPr>
            <w:tcW w:w="1911" w:type="dxa"/>
            <w:shd w:val="clear" w:color="auto" w:fill="auto"/>
            <w:vAlign w:val="center"/>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Percent of total budget per programme</w:t>
            </w:r>
          </w:p>
        </w:tc>
        <w:tc>
          <w:tcPr>
            <w:tcW w:w="1560" w:type="dxa"/>
            <w:shd w:val="clear" w:color="auto" w:fill="auto"/>
            <w:vAlign w:val="center"/>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Change in percent allocation</w:t>
            </w:r>
          </w:p>
        </w:tc>
      </w:tr>
      <w:tr w:rsidR="006C4E57" w:rsidRPr="004E5697" w:rsidTr="00C54C2E">
        <w:trPr>
          <w:trHeight w:val="264"/>
        </w:trPr>
        <w:tc>
          <w:tcPr>
            <w:tcW w:w="311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bCs/>
                <w:sz w:val="20"/>
                <w:szCs w:val="20"/>
                <w:lang w:eastAsia="en-ZA"/>
              </w:rPr>
            </w:pPr>
            <w:r w:rsidRPr="004E5697">
              <w:rPr>
                <w:rFonts w:ascii="Arial" w:eastAsia="Times New Roman" w:hAnsi="Arial" w:cs="Arial"/>
                <w:b/>
                <w:bCs/>
                <w:sz w:val="20"/>
                <w:szCs w:val="20"/>
                <w:lang w:eastAsia="en-ZA"/>
              </w:rPr>
              <w:t>R million</w:t>
            </w:r>
          </w:p>
        </w:tc>
        <w:tc>
          <w:tcPr>
            <w:tcW w:w="2693" w:type="dxa"/>
            <w:gridSpan w:val="2"/>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2022/23</w:t>
            </w:r>
          </w:p>
        </w:tc>
        <w:tc>
          <w:tcPr>
            <w:tcW w:w="2903" w:type="dxa"/>
            <w:gridSpan w:val="2"/>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2023/24</w:t>
            </w:r>
          </w:p>
        </w:tc>
        <w:tc>
          <w:tcPr>
            <w:tcW w:w="1560"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p>
        </w:tc>
      </w:tr>
      <w:tr w:rsidR="006C4E57" w:rsidRPr="004E5697" w:rsidTr="00C54C2E">
        <w:trPr>
          <w:trHeight w:val="264"/>
        </w:trPr>
        <w:tc>
          <w:tcPr>
            <w:tcW w:w="311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Sub-programme 1: Compliance Monitoring</w:t>
            </w:r>
          </w:p>
        </w:tc>
        <w:tc>
          <w:tcPr>
            <w:tcW w:w="85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7,6</w:t>
            </w:r>
          </w:p>
        </w:tc>
        <w:tc>
          <w:tcPr>
            <w:tcW w:w="184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52,96 per cent</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5,4</w:t>
            </w:r>
          </w:p>
        </w:tc>
        <w:tc>
          <w:tcPr>
            <w:tcW w:w="191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47,51 per cent</w:t>
            </w:r>
          </w:p>
        </w:tc>
        <w:tc>
          <w:tcPr>
            <w:tcW w:w="1560"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-5,45 per cent</w:t>
            </w:r>
          </w:p>
        </w:tc>
      </w:tr>
      <w:tr w:rsidR="006C4E57" w:rsidRPr="004E5697" w:rsidTr="00C54C2E">
        <w:trPr>
          <w:trHeight w:val="264"/>
        </w:trPr>
        <w:tc>
          <w:tcPr>
            <w:tcW w:w="311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Sub-programme 2: Stakeholder Management</w:t>
            </w:r>
          </w:p>
        </w:tc>
        <w:tc>
          <w:tcPr>
            <w:tcW w:w="85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6,7</w:t>
            </w:r>
          </w:p>
        </w:tc>
        <w:tc>
          <w:tcPr>
            <w:tcW w:w="184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47,04 per cent</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 xml:space="preserve">  6,0</w:t>
            </w:r>
          </w:p>
        </w:tc>
        <w:tc>
          <w:tcPr>
            <w:tcW w:w="191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52,49 per cent</w:t>
            </w:r>
          </w:p>
        </w:tc>
        <w:tc>
          <w:tcPr>
            <w:tcW w:w="1560"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sz w:val="20"/>
                <w:szCs w:val="20"/>
                <w:lang w:eastAsia="en-ZA"/>
              </w:rPr>
            </w:pPr>
            <w:r w:rsidRPr="004E5697">
              <w:rPr>
                <w:rFonts w:ascii="Arial" w:eastAsia="Times New Roman" w:hAnsi="Arial" w:cs="Arial"/>
                <w:sz w:val="20"/>
                <w:szCs w:val="20"/>
                <w:lang w:eastAsia="en-ZA"/>
              </w:rPr>
              <w:t>5,45 per cent</w:t>
            </w:r>
          </w:p>
        </w:tc>
      </w:tr>
      <w:tr w:rsidR="006C4E57" w:rsidRPr="004E5697" w:rsidTr="00C54C2E">
        <w:trPr>
          <w:trHeight w:val="264"/>
        </w:trPr>
        <w:tc>
          <w:tcPr>
            <w:tcW w:w="3119"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TOTAL</w:t>
            </w:r>
          </w:p>
        </w:tc>
        <w:tc>
          <w:tcPr>
            <w:tcW w:w="85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14,3</w:t>
            </w:r>
          </w:p>
        </w:tc>
        <w:tc>
          <w:tcPr>
            <w:tcW w:w="184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100,00 per cent</w:t>
            </w:r>
          </w:p>
        </w:tc>
        <w:tc>
          <w:tcPr>
            <w:tcW w:w="992"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 xml:space="preserve">  11,4</w:t>
            </w:r>
          </w:p>
        </w:tc>
        <w:tc>
          <w:tcPr>
            <w:tcW w:w="1911"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100,00 per cent</w:t>
            </w:r>
          </w:p>
        </w:tc>
        <w:tc>
          <w:tcPr>
            <w:tcW w:w="1560" w:type="dxa"/>
            <w:shd w:val="clear" w:color="auto" w:fill="auto"/>
            <w:noWrap/>
            <w:vAlign w:val="bottom"/>
            <w:hideMark/>
          </w:tcPr>
          <w:p w:rsidR="006C4E57" w:rsidRPr="004E5697" w:rsidRDefault="006C4E57" w:rsidP="004E5697">
            <w:pPr>
              <w:spacing w:line="240" w:lineRule="auto"/>
              <w:jc w:val="left"/>
              <w:rPr>
                <w:rFonts w:ascii="Arial" w:eastAsia="Times New Roman" w:hAnsi="Arial" w:cs="Arial"/>
                <w:b/>
                <w:sz w:val="20"/>
                <w:szCs w:val="20"/>
                <w:lang w:eastAsia="en-ZA"/>
              </w:rPr>
            </w:pPr>
            <w:r w:rsidRPr="004E5697">
              <w:rPr>
                <w:rFonts w:ascii="Arial" w:eastAsia="Times New Roman" w:hAnsi="Arial" w:cs="Arial"/>
                <w:b/>
                <w:sz w:val="20"/>
                <w:szCs w:val="20"/>
                <w:lang w:eastAsia="en-ZA"/>
              </w:rPr>
              <w:t>0,00 per cent</w:t>
            </w:r>
          </w:p>
        </w:tc>
      </w:tr>
    </w:tbl>
    <w:p w:rsidR="006C4E57" w:rsidRPr="004E5697" w:rsidRDefault="006C4E57" w:rsidP="004E5697">
      <w:pPr>
        <w:spacing w:line="240" w:lineRule="auto"/>
        <w:jc w:val="left"/>
        <w:rPr>
          <w:rFonts w:ascii="Arial" w:hAnsi="Arial" w:cs="Arial"/>
          <w:i/>
          <w:sz w:val="20"/>
          <w:szCs w:val="20"/>
        </w:rPr>
      </w:pPr>
      <w:r w:rsidRPr="004E5697">
        <w:rPr>
          <w:rFonts w:ascii="Arial" w:hAnsi="Arial" w:cs="Arial"/>
          <w:i/>
          <w:sz w:val="20"/>
          <w:szCs w:val="20"/>
        </w:rPr>
        <w:t>Source: National Treasury (2023)</w:t>
      </w:r>
    </w:p>
    <w:p w:rsidR="006C4E57" w:rsidRPr="004E5697" w:rsidRDefault="006C4E57" w:rsidP="004E5697">
      <w:pPr>
        <w:spacing w:line="240" w:lineRule="auto"/>
        <w:jc w:val="left"/>
        <w:rPr>
          <w:rFonts w:ascii="Arial" w:hAnsi="Arial" w:cs="Arial"/>
          <w:sz w:val="20"/>
          <w:szCs w:val="20"/>
          <w:lang w:eastAsia="en-ZA"/>
        </w:rPr>
      </w:pPr>
    </w:p>
    <w:p w:rsidR="006C4E57" w:rsidRPr="004E5697" w:rsidRDefault="006C4E57" w:rsidP="004E5697">
      <w:pPr>
        <w:pStyle w:val="Heading2"/>
        <w:numPr>
          <w:ilvl w:val="1"/>
          <w:numId w:val="10"/>
        </w:numPr>
        <w:spacing w:before="0" w:line="240" w:lineRule="auto"/>
        <w:rPr>
          <w:rFonts w:ascii="Arial" w:hAnsi="Arial" w:cs="Arial"/>
          <w:sz w:val="20"/>
          <w:szCs w:val="20"/>
          <w:lang w:eastAsia="en-ZA"/>
        </w:rPr>
      </w:pPr>
      <w:bookmarkStart w:id="9" w:name="_Toc132694866"/>
      <w:r w:rsidRPr="004E5697">
        <w:rPr>
          <w:rFonts w:ascii="Arial" w:hAnsi="Arial" w:cs="Arial"/>
          <w:sz w:val="20"/>
          <w:szCs w:val="20"/>
          <w:lang w:eastAsia="en-ZA"/>
        </w:rPr>
        <w:t>Personnel and expenditure on compensation of employees</w:t>
      </w:r>
      <w:bookmarkEnd w:id="9"/>
      <w:r w:rsidRPr="004E5697">
        <w:rPr>
          <w:rFonts w:ascii="Arial" w:hAnsi="Arial" w:cs="Arial"/>
          <w:sz w:val="20"/>
          <w:szCs w:val="20"/>
          <w:lang w:eastAsia="en-ZA"/>
        </w:rPr>
        <w:t xml:space="preserve"> </w:t>
      </w:r>
    </w:p>
    <w:p w:rsidR="006C4E57" w:rsidRPr="004E5697" w:rsidRDefault="006C4E57" w:rsidP="004E5697">
      <w:pPr>
        <w:autoSpaceDE w:val="0"/>
        <w:autoSpaceDN w:val="0"/>
        <w:adjustRightInd w:val="0"/>
        <w:spacing w:line="240" w:lineRule="auto"/>
        <w:jc w:val="left"/>
        <w:rPr>
          <w:rFonts w:ascii="Arial" w:hAnsi="Arial" w:cs="Arial"/>
          <w:sz w:val="20"/>
          <w:szCs w:val="20"/>
          <w:lang w:eastAsia="en-ZA"/>
        </w:rPr>
      </w:pPr>
    </w:p>
    <w:p w:rsidR="006C4E57" w:rsidRPr="004E5697" w:rsidRDefault="006C4E57" w:rsidP="004E5697">
      <w:pPr>
        <w:autoSpaceDE w:val="0"/>
        <w:autoSpaceDN w:val="0"/>
        <w:adjustRightInd w:val="0"/>
        <w:spacing w:line="240" w:lineRule="auto"/>
        <w:jc w:val="left"/>
        <w:rPr>
          <w:rFonts w:ascii="Arial" w:hAnsi="Arial" w:cs="Arial"/>
          <w:sz w:val="20"/>
          <w:szCs w:val="20"/>
        </w:rPr>
      </w:pPr>
      <w:r w:rsidRPr="004E5697">
        <w:rPr>
          <w:rFonts w:ascii="Arial" w:hAnsi="Arial" w:cs="Arial"/>
          <w:sz w:val="20"/>
          <w:szCs w:val="20"/>
          <w:lang w:eastAsia="en-ZA"/>
        </w:rPr>
        <w:t xml:space="preserve">Compensation of employees is the Department’s largest spending area, accounting for 67.51 per cent of its total budget in 2023/24. </w:t>
      </w:r>
      <w:r w:rsidRPr="004E5697">
        <w:rPr>
          <w:rFonts w:ascii="Arial" w:hAnsi="Arial" w:cs="Arial"/>
          <w:sz w:val="20"/>
          <w:szCs w:val="20"/>
        </w:rPr>
        <w:t xml:space="preserve">The allocation increased from R233.9 million in 2022/23 to R246.0 million in 2023/24, which is a nominal increase of R12.1 million or 5.18 per cent.  </w:t>
      </w:r>
    </w:p>
    <w:p w:rsidR="006C4E57" w:rsidRPr="004E5697" w:rsidRDefault="006C4E57" w:rsidP="004E5697">
      <w:pPr>
        <w:autoSpaceDE w:val="0"/>
        <w:autoSpaceDN w:val="0"/>
        <w:adjustRightInd w:val="0"/>
        <w:spacing w:line="240" w:lineRule="auto"/>
        <w:jc w:val="left"/>
        <w:rPr>
          <w:rFonts w:ascii="Arial" w:hAnsi="Arial" w:cs="Arial"/>
          <w:sz w:val="20"/>
          <w:szCs w:val="20"/>
          <w:lang w:eastAsia="en-ZA"/>
        </w:rPr>
      </w:pPr>
    </w:p>
    <w:p w:rsidR="006C4E57" w:rsidRPr="004E5697" w:rsidRDefault="006C4E57" w:rsidP="004E5697">
      <w:pPr>
        <w:autoSpaceDE w:val="0"/>
        <w:autoSpaceDN w:val="0"/>
        <w:adjustRightInd w:val="0"/>
        <w:spacing w:line="240" w:lineRule="auto"/>
        <w:jc w:val="left"/>
        <w:rPr>
          <w:rFonts w:ascii="Arial" w:hAnsi="Arial" w:cs="Arial"/>
          <w:sz w:val="20"/>
          <w:szCs w:val="20"/>
          <w:lang w:eastAsia="en-ZA"/>
        </w:rPr>
      </w:pPr>
      <w:r w:rsidRPr="004E5697">
        <w:rPr>
          <w:rFonts w:ascii="Arial" w:hAnsi="Arial" w:cs="Arial"/>
          <w:sz w:val="20"/>
          <w:szCs w:val="20"/>
          <w:lang w:eastAsia="en-ZA"/>
        </w:rPr>
        <w:t>The number of personnel in the Directorate is expected to increase from 393 in 2022/23 to 430 in 2025/26, mainly due to the appointment of interns.</w:t>
      </w:r>
    </w:p>
    <w:p w:rsidR="006C4E57" w:rsidRPr="004E5697" w:rsidRDefault="006C4E57" w:rsidP="004E5697">
      <w:pPr>
        <w:autoSpaceDE w:val="0"/>
        <w:autoSpaceDN w:val="0"/>
        <w:adjustRightInd w:val="0"/>
        <w:spacing w:line="240" w:lineRule="auto"/>
        <w:jc w:val="left"/>
        <w:rPr>
          <w:rFonts w:ascii="Arial" w:hAnsi="Arial" w:cs="Arial"/>
          <w:sz w:val="20"/>
          <w:szCs w:val="20"/>
          <w:lang w:eastAsia="en-ZA"/>
        </w:rPr>
      </w:pPr>
    </w:p>
    <w:p w:rsidR="006C4E57" w:rsidRPr="004E5697" w:rsidRDefault="006C4E57" w:rsidP="004E5697">
      <w:pPr>
        <w:autoSpaceDE w:val="0"/>
        <w:autoSpaceDN w:val="0"/>
        <w:adjustRightInd w:val="0"/>
        <w:spacing w:line="240" w:lineRule="auto"/>
        <w:jc w:val="left"/>
        <w:rPr>
          <w:rFonts w:ascii="Arial" w:hAnsi="Arial" w:cs="Arial"/>
          <w:iCs/>
          <w:sz w:val="20"/>
          <w:szCs w:val="20"/>
          <w:lang w:eastAsia="en-ZA"/>
        </w:rPr>
      </w:pPr>
      <w:r w:rsidRPr="004E5697">
        <w:rPr>
          <w:rFonts w:ascii="Arial" w:hAnsi="Arial" w:cs="Arial"/>
          <w:iCs/>
          <w:sz w:val="20"/>
          <w:szCs w:val="20"/>
          <w:lang w:eastAsia="en-ZA"/>
        </w:rPr>
        <w:t xml:space="preserve">As previously stated, the Committee should remain mindful of the </w:t>
      </w:r>
      <w:r w:rsidRPr="004E5697">
        <w:rPr>
          <w:rFonts w:ascii="Arial" w:hAnsi="Arial" w:cs="Arial"/>
          <w:b/>
          <w:iCs/>
          <w:sz w:val="20"/>
          <w:szCs w:val="20"/>
          <w:lang w:eastAsia="en-ZA"/>
        </w:rPr>
        <w:t>Minister of Finance’s response to the Committee’s 2022 BRRR recommendation</w:t>
      </w:r>
      <w:r w:rsidRPr="004E5697">
        <w:rPr>
          <w:rFonts w:ascii="Arial" w:hAnsi="Arial" w:cs="Arial"/>
          <w:iCs/>
          <w:sz w:val="20"/>
          <w:szCs w:val="20"/>
          <w:lang w:eastAsia="en-ZA"/>
        </w:rPr>
        <w:t xml:space="preserve"> that the IPID’s budget be increased, specifically for the appointment of IPID investigators to improve the ratio between police officers and IPID investigators. In response, the Minister stated that: </w:t>
      </w:r>
      <w:r w:rsidRPr="004E5697">
        <w:rPr>
          <w:rFonts w:ascii="Arial" w:hAnsi="Arial" w:cs="Arial"/>
          <w:sz w:val="20"/>
          <w:szCs w:val="20"/>
          <w:lang w:eastAsia="en-ZA"/>
        </w:rPr>
        <w:t>“</w:t>
      </w:r>
      <w:r w:rsidRPr="004E5697">
        <w:rPr>
          <w:rFonts w:ascii="Arial" w:hAnsi="Arial" w:cs="Arial"/>
          <w:sz w:val="20"/>
          <w:szCs w:val="20"/>
          <w:u w:val="single"/>
          <w:lang w:eastAsia="en-ZA"/>
        </w:rPr>
        <w:t>The IPID has not demonstrated that it has the capacity to fully spend its allocated budget.</w:t>
      </w:r>
      <w:r w:rsidRPr="004E5697">
        <w:rPr>
          <w:rFonts w:ascii="Arial" w:hAnsi="Arial" w:cs="Arial"/>
          <w:sz w:val="20"/>
          <w:szCs w:val="20"/>
          <w:lang w:eastAsia="en-ZA"/>
        </w:rPr>
        <w:t xml:space="preserve"> Generally, the Department underspends its budget for compensation of employees due to vacant funded posts. </w:t>
      </w:r>
      <w:r w:rsidRPr="004E5697">
        <w:rPr>
          <w:rFonts w:ascii="Arial" w:hAnsi="Arial" w:cs="Arial"/>
          <w:b/>
          <w:i/>
          <w:sz w:val="20"/>
          <w:szCs w:val="20"/>
          <w:lang w:eastAsia="en-ZA"/>
        </w:rPr>
        <w:t>Accordingly, the IPID will need to demonstrate improved capacity to fill its vacant funded posts and reduce its underspending on compensation of employees before additional funding is considered.”</w:t>
      </w:r>
    </w:p>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p>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r w:rsidRPr="004E5697">
        <w:rPr>
          <w:rFonts w:ascii="Arial" w:hAnsi="Arial" w:cs="Arial"/>
          <w:color w:val="000000"/>
          <w:sz w:val="20"/>
          <w:szCs w:val="20"/>
          <w:lang w:eastAsia="en-ZA"/>
        </w:rPr>
        <w:t xml:space="preserve">The table below shows the actual expenditure of IPID on </w:t>
      </w:r>
      <w:r w:rsidRPr="004E5697">
        <w:rPr>
          <w:rFonts w:ascii="Arial" w:hAnsi="Arial" w:cs="Arial"/>
          <w:i/>
          <w:color w:val="000000"/>
          <w:sz w:val="20"/>
          <w:szCs w:val="20"/>
          <w:lang w:eastAsia="en-ZA"/>
        </w:rPr>
        <w:t>Compensation of employees</w:t>
      </w:r>
      <w:r w:rsidRPr="004E5697">
        <w:rPr>
          <w:rFonts w:ascii="Arial" w:hAnsi="Arial" w:cs="Arial"/>
          <w:color w:val="000000"/>
          <w:sz w:val="20"/>
          <w:szCs w:val="20"/>
          <w:lang w:eastAsia="en-ZA"/>
        </w:rPr>
        <w:t xml:space="preserve"> against the Final Appropriation, as well as the Department’s vacancy rate, over a five-year period from 2017/18 to 2021/22.   </w:t>
      </w:r>
    </w:p>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p>
    <w:tbl>
      <w:tblPr>
        <w:tblStyle w:val="TableGrid"/>
        <w:tblW w:w="9016" w:type="dxa"/>
        <w:tblLook w:val="04A0"/>
      </w:tblPr>
      <w:tblGrid>
        <w:gridCol w:w="3763"/>
        <w:gridCol w:w="1129"/>
        <w:gridCol w:w="1097"/>
        <w:gridCol w:w="961"/>
        <w:gridCol w:w="1126"/>
        <w:gridCol w:w="940"/>
      </w:tblGrid>
      <w:tr w:rsidR="006C4E57" w:rsidRPr="004E5697" w:rsidTr="007A2CB3">
        <w:tc>
          <w:tcPr>
            <w:tcW w:w="3823" w:type="dxa"/>
          </w:tcPr>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p>
        </w:tc>
        <w:tc>
          <w:tcPr>
            <w:tcW w:w="1134" w:type="dxa"/>
          </w:tcPr>
          <w:p w:rsidR="006C4E57" w:rsidRPr="004E5697" w:rsidRDefault="006C4E57" w:rsidP="004E5697">
            <w:pPr>
              <w:autoSpaceDE w:val="0"/>
              <w:autoSpaceDN w:val="0"/>
              <w:adjustRightInd w:val="0"/>
              <w:spacing w:line="240" w:lineRule="auto"/>
              <w:jc w:val="left"/>
              <w:rPr>
                <w:rFonts w:ascii="Arial" w:hAnsi="Arial" w:cs="Arial"/>
                <w:b/>
                <w:color w:val="000000"/>
                <w:sz w:val="20"/>
                <w:szCs w:val="20"/>
                <w:lang w:eastAsia="en-ZA"/>
              </w:rPr>
            </w:pPr>
            <w:r w:rsidRPr="004E5697">
              <w:rPr>
                <w:rFonts w:ascii="Arial" w:hAnsi="Arial" w:cs="Arial"/>
                <w:b/>
                <w:color w:val="000000"/>
                <w:sz w:val="20"/>
                <w:szCs w:val="20"/>
                <w:lang w:eastAsia="en-ZA"/>
              </w:rPr>
              <w:t>2021/22</w:t>
            </w:r>
          </w:p>
        </w:tc>
        <w:tc>
          <w:tcPr>
            <w:tcW w:w="1101" w:type="dxa"/>
          </w:tcPr>
          <w:p w:rsidR="006C4E57" w:rsidRPr="004E5697" w:rsidRDefault="006C4E57" w:rsidP="004E5697">
            <w:pPr>
              <w:autoSpaceDE w:val="0"/>
              <w:autoSpaceDN w:val="0"/>
              <w:adjustRightInd w:val="0"/>
              <w:spacing w:line="240" w:lineRule="auto"/>
              <w:jc w:val="left"/>
              <w:rPr>
                <w:rFonts w:ascii="Arial" w:hAnsi="Arial" w:cs="Arial"/>
                <w:b/>
                <w:color w:val="000000"/>
                <w:sz w:val="20"/>
                <w:szCs w:val="20"/>
                <w:lang w:eastAsia="en-ZA"/>
              </w:rPr>
            </w:pPr>
            <w:r w:rsidRPr="004E5697">
              <w:rPr>
                <w:rFonts w:ascii="Arial" w:hAnsi="Arial" w:cs="Arial"/>
                <w:b/>
                <w:color w:val="000000"/>
                <w:sz w:val="20"/>
                <w:szCs w:val="20"/>
                <w:lang w:eastAsia="en-ZA"/>
              </w:rPr>
              <w:t>2020/21</w:t>
            </w:r>
          </w:p>
        </w:tc>
        <w:tc>
          <w:tcPr>
            <w:tcW w:w="887" w:type="dxa"/>
          </w:tcPr>
          <w:p w:rsidR="006C4E57" w:rsidRPr="004E5697" w:rsidRDefault="006C4E57" w:rsidP="004E5697">
            <w:pPr>
              <w:autoSpaceDE w:val="0"/>
              <w:autoSpaceDN w:val="0"/>
              <w:adjustRightInd w:val="0"/>
              <w:spacing w:line="240" w:lineRule="auto"/>
              <w:jc w:val="left"/>
              <w:rPr>
                <w:rFonts w:ascii="Arial" w:hAnsi="Arial" w:cs="Arial"/>
                <w:b/>
                <w:color w:val="000000"/>
                <w:sz w:val="20"/>
                <w:szCs w:val="20"/>
                <w:lang w:eastAsia="en-ZA"/>
              </w:rPr>
            </w:pPr>
            <w:r w:rsidRPr="004E5697">
              <w:rPr>
                <w:rFonts w:ascii="Arial" w:hAnsi="Arial" w:cs="Arial"/>
                <w:b/>
                <w:color w:val="000000"/>
                <w:sz w:val="20"/>
                <w:szCs w:val="20"/>
                <w:lang w:eastAsia="en-ZA"/>
              </w:rPr>
              <w:t>2019/20</w:t>
            </w:r>
          </w:p>
        </w:tc>
        <w:tc>
          <w:tcPr>
            <w:tcW w:w="1131" w:type="dxa"/>
          </w:tcPr>
          <w:p w:rsidR="006C4E57" w:rsidRPr="004E5697" w:rsidRDefault="006C4E57" w:rsidP="004E5697">
            <w:pPr>
              <w:autoSpaceDE w:val="0"/>
              <w:autoSpaceDN w:val="0"/>
              <w:adjustRightInd w:val="0"/>
              <w:spacing w:line="240" w:lineRule="auto"/>
              <w:jc w:val="left"/>
              <w:rPr>
                <w:rFonts w:ascii="Arial" w:hAnsi="Arial" w:cs="Arial"/>
                <w:b/>
                <w:color w:val="000000"/>
                <w:sz w:val="20"/>
                <w:szCs w:val="20"/>
                <w:lang w:eastAsia="en-ZA"/>
              </w:rPr>
            </w:pPr>
            <w:r w:rsidRPr="004E5697">
              <w:rPr>
                <w:rFonts w:ascii="Arial" w:hAnsi="Arial" w:cs="Arial"/>
                <w:b/>
                <w:color w:val="000000"/>
                <w:sz w:val="20"/>
                <w:szCs w:val="20"/>
                <w:lang w:eastAsia="en-ZA"/>
              </w:rPr>
              <w:t>2018/19</w:t>
            </w:r>
          </w:p>
        </w:tc>
        <w:tc>
          <w:tcPr>
            <w:tcW w:w="940" w:type="dxa"/>
          </w:tcPr>
          <w:p w:rsidR="006C4E57" w:rsidRPr="004E5697" w:rsidRDefault="006C4E57" w:rsidP="004E5697">
            <w:pPr>
              <w:autoSpaceDE w:val="0"/>
              <w:autoSpaceDN w:val="0"/>
              <w:adjustRightInd w:val="0"/>
              <w:spacing w:line="240" w:lineRule="auto"/>
              <w:jc w:val="left"/>
              <w:rPr>
                <w:rFonts w:ascii="Arial" w:hAnsi="Arial" w:cs="Arial"/>
                <w:b/>
                <w:color w:val="000000"/>
                <w:sz w:val="20"/>
                <w:szCs w:val="20"/>
                <w:lang w:eastAsia="en-ZA"/>
              </w:rPr>
            </w:pPr>
            <w:r w:rsidRPr="004E5697">
              <w:rPr>
                <w:rFonts w:ascii="Arial" w:hAnsi="Arial" w:cs="Arial"/>
                <w:b/>
                <w:color w:val="000000"/>
                <w:sz w:val="20"/>
                <w:szCs w:val="20"/>
                <w:lang w:eastAsia="en-ZA"/>
              </w:rPr>
              <w:t>2017/18</w:t>
            </w:r>
          </w:p>
        </w:tc>
      </w:tr>
      <w:tr w:rsidR="006C4E57" w:rsidRPr="004E5697" w:rsidTr="007A2CB3">
        <w:tc>
          <w:tcPr>
            <w:tcW w:w="9016" w:type="dxa"/>
            <w:gridSpan w:val="6"/>
          </w:tcPr>
          <w:p w:rsidR="006C4E57" w:rsidRPr="004E5697" w:rsidRDefault="006C4E57" w:rsidP="004E5697">
            <w:pPr>
              <w:autoSpaceDE w:val="0"/>
              <w:autoSpaceDN w:val="0"/>
              <w:adjustRightInd w:val="0"/>
              <w:spacing w:line="240" w:lineRule="auto"/>
              <w:jc w:val="left"/>
              <w:rPr>
                <w:rFonts w:ascii="Arial" w:hAnsi="Arial" w:cs="Arial"/>
                <w:i/>
                <w:color w:val="000000"/>
                <w:sz w:val="20"/>
                <w:szCs w:val="20"/>
                <w:lang w:eastAsia="en-ZA"/>
              </w:rPr>
            </w:pPr>
            <w:r w:rsidRPr="004E5697">
              <w:rPr>
                <w:rFonts w:ascii="Arial" w:hAnsi="Arial" w:cs="Arial"/>
                <w:i/>
                <w:color w:val="000000"/>
                <w:sz w:val="20"/>
                <w:szCs w:val="20"/>
                <w:lang w:eastAsia="en-ZA"/>
              </w:rPr>
              <w:t>R’000</w:t>
            </w:r>
          </w:p>
        </w:tc>
      </w:tr>
      <w:tr w:rsidR="006C4E57" w:rsidRPr="004E5697" w:rsidTr="007A2CB3">
        <w:tc>
          <w:tcPr>
            <w:tcW w:w="3823" w:type="dxa"/>
          </w:tcPr>
          <w:p w:rsidR="006C4E57" w:rsidRPr="004E5697" w:rsidRDefault="006C4E57" w:rsidP="004E5697">
            <w:pPr>
              <w:autoSpaceDE w:val="0"/>
              <w:autoSpaceDN w:val="0"/>
              <w:adjustRightInd w:val="0"/>
              <w:spacing w:line="240" w:lineRule="auto"/>
              <w:jc w:val="left"/>
              <w:rPr>
                <w:rFonts w:ascii="Arial" w:hAnsi="Arial" w:cs="Arial"/>
                <w:b/>
                <w:color w:val="000000"/>
                <w:sz w:val="20"/>
                <w:szCs w:val="20"/>
                <w:lang w:eastAsia="en-ZA"/>
              </w:rPr>
            </w:pPr>
            <w:r w:rsidRPr="004E5697">
              <w:rPr>
                <w:rFonts w:ascii="Arial" w:hAnsi="Arial" w:cs="Arial"/>
                <w:b/>
                <w:color w:val="000000"/>
                <w:sz w:val="20"/>
                <w:szCs w:val="20"/>
                <w:lang w:eastAsia="en-ZA"/>
              </w:rPr>
              <w:t xml:space="preserve">Final Appropriation </w:t>
            </w:r>
          </w:p>
        </w:tc>
        <w:tc>
          <w:tcPr>
            <w:tcW w:w="1134" w:type="dxa"/>
            <w:vAlign w:val="center"/>
          </w:tcPr>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r w:rsidRPr="004E5697">
              <w:rPr>
                <w:rFonts w:ascii="Arial" w:hAnsi="Arial" w:cs="Arial"/>
                <w:color w:val="000000"/>
                <w:sz w:val="20"/>
                <w:szCs w:val="20"/>
                <w:lang w:eastAsia="en-ZA"/>
              </w:rPr>
              <w:t>239 224</w:t>
            </w:r>
          </w:p>
        </w:tc>
        <w:tc>
          <w:tcPr>
            <w:tcW w:w="1101" w:type="dxa"/>
            <w:vAlign w:val="center"/>
          </w:tcPr>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r w:rsidRPr="004E5697">
              <w:rPr>
                <w:rFonts w:ascii="Arial" w:hAnsi="Arial" w:cs="Arial"/>
                <w:color w:val="000000"/>
                <w:sz w:val="20"/>
                <w:szCs w:val="20"/>
                <w:lang w:eastAsia="en-ZA"/>
              </w:rPr>
              <w:t>R250 456</w:t>
            </w:r>
          </w:p>
        </w:tc>
        <w:tc>
          <w:tcPr>
            <w:tcW w:w="887" w:type="dxa"/>
            <w:vAlign w:val="center"/>
          </w:tcPr>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r w:rsidRPr="004E5697">
              <w:rPr>
                <w:rFonts w:ascii="Arial" w:hAnsi="Arial" w:cs="Arial"/>
                <w:color w:val="000000"/>
                <w:sz w:val="20"/>
                <w:szCs w:val="20"/>
                <w:lang w:eastAsia="en-ZA"/>
              </w:rPr>
              <w:t>228 759</w:t>
            </w:r>
          </w:p>
        </w:tc>
        <w:tc>
          <w:tcPr>
            <w:tcW w:w="1131" w:type="dxa"/>
            <w:vAlign w:val="center"/>
          </w:tcPr>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r w:rsidRPr="004E5697">
              <w:rPr>
                <w:rFonts w:ascii="Arial" w:hAnsi="Arial" w:cs="Arial"/>
                <w:color w:val="000000"/>
                <w:sz w:val="20"/>
                <w:szCs w:val="20"/>
                <w:lang w:eastAsia="en-ZA"/>
              </w:rPr>
              <w:t>197 373</w:t>
            </w:r>
          </w:p>
        </w:tc>
        <w:tc>
          <w:tcPr>
            <w:tcW w:w="940" w:type="dxa"/>
            <w:vAlign w:val="center"/>
          </w:tcPr>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r w:rsidRPr="004E5697">
              <w:rPr>
                <w:rFonts w:ascii="Arial" w:hAnsi="Arial" w:cs="Arial"/>
                <w:color w:val="000000"/>
                <w:sz w:val="20"/>
                <w:szCs w:val="20"/>
                <w:lang w:eastAsia="en-ZA"/>
              </w:rPr>
              <w:t>176 882</w:t>
            </w:r>
          </w:p>
        </w:tc>
      </w:tr>
      <w:tr w:rsidR="006C4E57" w:rsidRPr="004E5697" w:rsidTr="007A2CB3">
        <w:tc>
          <w:tcPr>
            <w:tcW w:w="3823" w:type="dxa"/>
          </w:tcPr>
          <w:p w:rsidR="006C4E57" w:rsidRPr="004E5697" w:rsidRDefault="006C4E57" w:rsidP="004E5697">
            <w:pPr>
              <w:autoSpaceDE w:val="0"/>
              <w:autoSpaceDN w:val="0"/>
              <w:adjustRightInd w:val="0"/>
              <w:spacing w:line="240" w:lineRule="auto"/>
              <w:jc w:val="left"/>
              <w:rPr>
                <w:rFonts w:ascii="Arial" w:hAnsi="Arial" w:cs="Arial"/>
                <w:b/>
                <w:color w:val="000000"/>
                <w:sz w:val="20"/>
                <w:szCs w:val="20"/>
                <w:lang w:eastAsia="en-ZA"/>
              </w:rPr>
            </w:pPr>
            <w:r w:rsidRPr="004E5697">
              <w:rPr>
                <w:rFonts w:ascii="Arial" w:hAnsi="Arial" w:cs="Arial"/>
                <w:b/>
                <w:color w:val="000000"/>
                <w:sz w:val="20"/>
                <w:szCs w:val="20"/>
                <w:lang w:eastAsia="en-ZA"/>
              </w:rPr>
              <w:t>Actual Expenditure</w:t>
            </w:r>
          </w:p>
        </w:tc>
        <w:tc>
          <w:tcPr>
            <w:tcW w:w="1134" w:type="dxa"/>
            <w:vAlign w:val="center"/>
          </w:tcPr>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r w:rsidRPr="004E5697">
              <w:rPr>
                <w:rFonts w:ascii="Arial" w:hAnsi="Arial" w:cs="Arial"/>
                <w:color w:val="000000"/>
                <w:sz w:val="20"/>
                <w:szCs w:val="20"/>
                <w:lang w:eastAsia="en-ZA"/>
              </w:rPr>
              <w:t>214 914</w:t>
            </w:r>
          </w:p>
        </w:tc>
        <w:tc>
          <w:tcPr>
            <w:tcW w:w="1101" w:type="dxa"/>
            <w:vAlign w:val="center"/>
          </w:tcPr>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r w:rsidRPr="004E5697">
              <w:rPr>
                <w:rFonts w:ascii="Arial" w:hAnsi="Arial" w:cs="Arial"/>
                <w:color w:val="000000"/>
                <w:sz w:val="20"/>
                <w:szCs w:val="20"/>
                <w:lang w:eastAsia="en-ZA"/>
              </w:rPr>
              <w:t>250 420</w:t>
            </w:r>
          </w:p>
        </w:tc>
        <w:tc>
          <w:tcPr>
            <w:tcW w:w="887" w:type="dxa"/>
            <w:vAlign w:val="center"/>
          </w:tcPr>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r w:rsidRPr="004E5697">
              <w:rPr>
                <w:rFonts w:ascii="Arial" w:hAnsi="Arial" w:cs="Arial"/>
                <w:color w:val="000000"/>
                <w:sz w:val="20"/>
                <w:szCs w:val="20"/>
                <w:lang w:eastAsia="en-ZA"/>
              </w:rPr>
              <w:t>248 123</w:t>
            </w:r>
          </w:p>
        </w:tc>
        <w:tc>
          <w:tcPr>
            <w:tcW w:w="1131" w:type="dxa"/>
            <w:vAlign w:val="center"/>
          </w:tcPr>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r w:rsidRPr="004E5697">
              <w:rPr>
                <w:rFonts w:ascii="Arial" w:hAnsi="Arial" w:cs="Arial"/>
                <w:color w:val="000000"/>
                <w:sz w:val="20"/>
                <w:szCs w:val="20"/>
                <w:lang w:eastAsia="en-ZA"/>
              </w:rPr>
              <w:t>187 579</w:t>
            </w:r>
          </w:p>
        </w:tc>
        <w:tc>
          <w:tcPr>
            <w:tcW w:w="940" w:type="dxa"/>
            <w:vAlign w:val="center"/>
          </w:tcPr>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r w:rsidRPr="004E5697">
              <w:rPr>
                <w:rFonts w:ascii="Arial" w:hAnsi="Arial" w:cs="Arial"/>
                <w:color w:val="000000"/>
                <w:sz w:val="20"/>
                <w:szCs w:val="20"/>
                <w:lang w:eastAsia="en-ZA"/>
              </w:rPr>
              <w:t>168 761</w:t>
            </w:r>
          </w:p>
        </w:tc>
      </w:tr>
      <w:tr w:rsidR="006C4E57" w:rsidRPr="004E5697" w:rsidTr="007A2CB3">
        <w:tc>
          <w:tcPr>
            <w:tcW w:w="3823" w:type="dxa"/>
          </w:tcPr>
          <w:p w:rsidR="006C4E57" w:rsidRPr="004E5697" w:rsidRDefault="006C4E57" w:rsidP="004E5697">
            <w:pPr>
              <w:autoSpaceDE w:val="0"/>
              <w:autoSpaceDN w:val="0"/>
              <w:adjustRightInd w:val="0"/>
              <w:spacing w:line="240" w:lineRule="auto"/>
              <w:jc w:val="left"/>
              <w:rPr>
                <w:rFonts w:ascii="Arial" w:hAnsi="Arial" w:cs="Arial"/>
                <w:b/>
                <w:color w:val="000000"/>
                <w:sz w:val="20"/>
                <w:szCs w:val="20"/>
                <w:lang w:eastAsia="en-ZA"/>
              </w:rPr>
            </w:pPr>
            <w:r w:rsidRPr="004E5697">
              <w:rPr>
                <w:rFonts w:ascii="Arial" w:hAnsi="Arial" w:cs="Arial"/>
                <w:b/>
                <w:color w:val="000000"/>
                <w:sz w:val="20"/>
                <w:szCs w:val="20"/>
                <w:lang w:eastAsia="en-ZA"/>
              </w:rPr>
              <w:t xml:space="preserve">Variance </w:t>
            </w:r>
          </w:p>
        </w:tc>
        <w:tc>
          <w:tcPr>
            <w:tcW w:w="1134" w:type="dxa"/>
            <w:vAlign w:val="center"/>
          </w:tcPr>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r w:rsidRPr="004E5697">
              <w:rPr>
                <w:rFonts w:ascii="Arial" w:hAnsi="Arial" w:cs="Arial"/>
                <w:color w:val="000000"/>
                <w:sz w:val="20"/>
                <w:szCs w:val="20"/>
                <w:lang w:eastAsia="en-ZA"/>
              </w:rPr>
              <w:t>24 310</w:t>
            </w:r>
          </w:p>
        </w:tc>
        <w:tc>
          <w:tcPr>
            <w:tcW w:w="1101" w:type="dxa"/>
            <w:vAlign w:val="center"/>
          </w:tcPr>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r w:rsidRPr="004E5697">
              <w:rPr>
                <w:rFonts w:ascii="Arial" w:hAnsi="Arial" w:cs="Arial"/>
                <w:color w:val="000000"/>
                <w:sz w:val="20"/>
                <w:szCs w:val="20"/>
                <w:lang w:eastAsia="en-ZA"/>
              </w:rPr>
              <w:t>36</w:t>
            </w:r>
          </w:p>
        </w:tc>
        <w:tc>
          <w:tcPr>
            <w:tcW w:w="887" w:type="dxa"/>
            <w:vAlign w:val="center"/>
          </w:tcPr>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r w:rsidRPr="004E5697">
              <w:rPr>
                <w:rFonts w:ascii="Arial" w:hAnsi="Arial" w:cs="Arial"/>
                <w:color w:val="000000"/>
                <w:sz w:val="20"/>
                <w:szCs w:val="20"/>
                <w:lang w:eastAsia="en-ZA"/>
              </w:rPr>
              <w:t>(19 364)</w:t>
            </w:r>
          </w:p>
        </w:tc>
        <w:tc>
          <w:tcPr>
            <w:tcW w:w="1131" w:type="dxa"/>
            <w:vAlign w:val="center"/>
          </w:tcPr>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r w:rsidRPr="004E5697">
              <w:rPr>
                <w:rFonts w:ascii="Arial" w:hAnsi="Arial" w:cs="Arial"/>
                <w:color w:val="000000"/>
                <w:sz w:val="20"/>
                <w:szCs w:val="20"/>
                <w:lang w:eastAsia="en-ZA"/>
              </w:rPr>
              <w:t>9 794</w:t>
            </w:r>
          </w:p>
        </w:tc>
        <w:tc>
          <w:tcPr>
            <w:tcW w:w="940" w:type="dxa"/>
            <w:vAlign w:val="center"/>
          </w:tcPr>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r w:rsidRPr="004E5697">
              <w:rPr>
                <w:rFonts w:ascii="Arial" w:hAnsi="Arial" w:cs="Arial"/>
                <w:color w:val="000000"/>
                <w:sz w:val="20"/>
                <w:szCs w:val="20"/>
                <w:lang w:eastAsia="en-ZA"/>
              </w:rPr>
              <w:t>8 121</w:t>
            </w:r>
          </w:p>
        </w:tc>
      </w:tr>
      <w:tr w:rsidR="006C4E57" w:rsidRPr="004E5697" w:rsidTr="007A2CB3">
        <w:trPr>
          <w:trHeight w:val="290"/>
        </w:trPr>
        <w:tc>
          <w:tcPr>
            <w:tcW w:w="3823" w:type="dxa"/>
            <w:tcBorders>
              <w:bottom w:val="single" w:sz="4" w:space="0" w:color="auto"/>
            </w:tcBorders>
          </w:tcPr>
          <w:p w:rsidR="006C4E57" w:rsidRPr="004E5697" w:rsidRDefault="006C4E57" w:rsidP="004E5697">
            <w:pPr>
              <w:autoSpaceDE w:val="0"/>
              <w:autoSpaceDN w:val="0"/>
              <w:adjustRightInd w:val="0"/>
              <w:spacing w:line="240" w:lineRule="auto"/>
              <w:jc w:val="left"/>
              <w:rPr>
                <w:rFonts w:ascii="Arial" w:hAnsi="Arial" w:cs="Arial"/>
                <w:b/>
                <w:color w:val="000000"/>
                <w:sz w:val="20"/>
                <w:szCs w:val="20"/>
                <w:lang w:eastAsia="en-ZA"/>
              </w:rPr>
            </w:pPr>
            <w:r w:rsidRPr="004E5697">
              <w:rPr>
                <w:rFonts w:ascii="Arial" w:hAnsi="Arial" w:cs="Arial"/>
                <w:b/>
                <w:color w:val="000000"/>
                <w:sz w:val="20"/>
                <w:szCs w:val="20"/>
                <w:lang w:eastAsia="en-ZA"/>
              </w:rPr>
              <w:t xml:space="preserve">Expenditure as % of total appropriation </w:t>
            </w:r>
          </w:p>
        </w:tc>
        <w:tc>
          <w:tcPr>
            <w:tcW w:w="1134" w:type="dxa"/>
            <w:tcBorders>
              <w:bottom w:val="single" w:sz="4" w:space="0" w:color="auto"/>
            </w:tcBorders>
            <w:vAlign w:val="center"/>
          </w:tcPr>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r w:rsidRPr="004E5697">
              <w:rPr>
                <w:rFonts w:ascii="Arial" w:hAnsi="Arial" w:cs="Arial"/>
                <w:color w:val="000000"/>
                <w:sz w:val="20"/>
                <w:szCs w:val="20"/>
                <w:lang w:eastAsia="en-ZA"/>
              </w:rPr>
              <w:t>89.8%</w:t>
            </w:r>
          </w:p>
        </w:tc>
        <w:tc>
          <w:tcPr>
            <w:tcW w:w="1101" w:type="dxa"/>
            <w:tcBorders>
              <w:bottom w:val="single" w:sz="4" w:space="0" w:color="auto"/>
            </w:tcBorders>
            <w:vAlign w:val="center"/>
          </w:tcPr>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r w:rsidRPr="004E5697">
              <w:rPr>
                <w:rFonts w:ascii="Arial" w:hAnsi="Arial" w:cs="Arial"/>
                <w:color w:val="000000"/>
                <w:sz w:val="20"/>
                <w:szCs w:val="20"/>
                <w:lang w:eastAsia="en-ZA"/>
              </w:rPr>
              <w:t>100%</w:t>
            </w:r>
          </w:p>
        </w:tc>
        <w:tc>
          <w:tcPr>
            <w:tcW w:w="887" w:type="dxa"/>
            <w:tcBorders>
              <w:bottom w:val="single" w:sz="4" w:space="0" w:color="auto"/>
            </w:tcBorders>
            <w:vAlign w:val="center"/>
          </w:tcPr>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r w:rsidRPr="004E5697">
              <w:rPr>
                <w:rFonts w:ascii="Arial" w:hAnsi="Arial" w:cs="Arial"/>
                <w:color w:val="000000"/>
                <w:sz w:val="20"/>
                <w:szCs w:val="20"/>
                <w:lang w:eastAsia="en-ZA"/>
              </w:rPr>
              <w:t>108.5%</w:t>
            </w:r>
          </w:p>
        </w:tc>
        <w:tc>
          <w:tcPr>
            <w:tcW w:w="1131" w:type="dxa"/>
            <w:tcBorders>
              <w:bottom w:val="single" w:sz="4" w:space="0" w:color="auto"/>
            </w:tcBorders>
            <w:vAlign w:val="center"/>
          </w:tcPr>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r w:rsidRPr="004E5697">
              <w:rPr>
                <w:rFonts w:ascii="Arial" w:hAnsi="Arial" w:cs="Arial"/>
                <w:color w:val="000000"/>
                <w:sz w:val="20"/>
                <w:szCs w:val="20"/>
                <w:lang w:eastAsia="en-ZA"/>
              </w:rPr>
              <w:t>95%</w:t>
            </w:r>
          </w:p>
        </w:tc>
        <w:tc>
          <w:tcPr>
            <w:tcW w:w="940" w:type="dxa"/>
            <w:tcBorders>
              <w:bottom w:val="single" w:sz="4" w:space="0" w:color="auto"/>
            </w:tcBorders>
            <w:vAlign w:val="center"/>
          </w:tcPr>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r w:rsidRPr="004E5697">
              <w:rPr>
                <w:rFonts w:ascii="Arial" w:hAnsi="Arial" w:cs="Arial"/>
                <w:color w:val="000000"/>
                <w:sz w:val="20"/>
                <w:szCs w:val="20"/>
                <w:lang w:eastAsia="en-ZA"/>
              </w:rPr>
              <w:t>95.4%</w:t>
            </w:r>
          </w:p>
        </w:tc>
      </w:tr>
      <w:tr w:rsidR="006C4E57" w:rsidRPr="004E5697" w:rsidTr="007A2CB3">
        <w:tc>
          <w:tcPr>
            <w:tcW w:w="3823" w:type="dxa"/>
            <w:tcBorders>
              <w:left w:val="nil"/>
              <w:right w:val="nil"/>
            </w:tcBorders>
          </w:tcPr>
          <w:p w:rsidR="006C4E57" w:rsidRPr="004E5697" w:rsidRDefault="006C4E57" w:rsidP="004E5697">
            <w:pPr>
              <w:autoSpaceDE w:val="0"/>
              <w:autoSpaceDN w:val="0"/>
              <w:adjustRightInd w:val="0"/>
              <w:spacing w:line="240" w:lineRule="auto"/>
              <w:jc w:val="left"/>
              <w:rPr>
                <w:rFonts w:ascii="Arial" w:hAnsi="Arial" w:cs="Arial"/>
                <w:b/>
                <w:color w:val="000000"/>
                <w:sz w:val="20"/>
                <w:szCs w:val="20"/>
                <w:lang w:eastAsia="en-ZA"/>
              </w:rPr>
            </w:pPr>
          </w:p>
        </w:tc>
        <w:tc>
          <w:tcPr>
            <w:tcW w:w="1134" w:type="dxa"/>
            <w:tcBorders>
              <w:left w:val="nil"/>
              <w:right w:val="nil"/>
            </w:tcBorders>
            <w:vAlign w:val="center"/>
          </w:tcPr>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p>
        </w:tc>
        <w:tc>
          <w:tcPr>
            <w:tcW w:w="1101" w:type="dxa"/>
            <w:tcBorders>
              <w:left w:val="nil"/>
              <w:right w:val="nil"/>
            </w:tcBorders>
            <w:vAlign w:val="center"/>
          </w:tcPr>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p>
        </w:tc>
        <w:tc>
          <w:tcPr>
            <w:tcW w:w="887" w:type="dxa"/>
            <w:tcBorders>
              <w:left w:val="nil"/>
              <w:right w:val="nil"/>
            </w:tcBorders>
            <w:vAlign w:val="center"/>
          </w:tcPr>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p>
        </w:tc>
        <w:tc>
          <w:tcPr>
            <w:tcW w:w="1131" w:type="dxa"/>
            <w:tcBorders>
              <w:left w:val="nil"/>
              <w:right w:val="nil"/>
            </w:tcBorders>
            <w:vAlign w:val="center"/>
          </w:tcPr>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p>
        </w:tc>
        <w:tc>
          <w:tcPr>
            <w:tcW w:w="940" w:type="dxa"/>
            <w:tcBorders>
              <w:left w:val="nil"/>
              <w:right w:val="nil"/>
            </w:tcBorders>
            <w:vAlign w:val="center"/>
          </w:tcPr>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p>
        </w:tc>
      </w:tr>
      <w:tr w:rsidR="006C4E57" w:rsidRPr="004E5697" w:rsidTr="007A2CB3">
        <w:tc>
          <w:tcPr>
            <w:tcW w:w="3823" w:type="dxa"/>
          </w:tcPr>
          <w:p w:rsidR="006C4E57" w:rsidRPr="004E5697" w:rsidRDefault="006C4E57" w:rsidP="004E5697">
            <w:pPr>
              <w:autoSpaceDE w:val="0"/>
              <w:autoSpaceDN w:val="0"/>
              <w:adjustRightInd w:val="0"/>
              <w:spacing w:line="240" w:lineRule="auto"/>
              <w:jc w:val="left"/>
              <w:rPr>
                <w:rFonts w:ascii="Arial" w:hAnsi="Arial" w:cs="Arial"/>
                <w:b/>
                <w:color w:val="000000"/>
                <w:sz w:val="20"/>
                <w:szCs w:val="20"/>
                <w:lang w:eastAsia="en-ZA"/>
              </w:rPr>
            </w:pPr>
            <w:r w:rsidRPr="004E5697">
              <w:rPr>
                <w:rFonts w:ascii="Arial" w:hAnsi="Arial" w:cs="Arial"/>
                <w:b/>
                <w:color w:val="000000"/>
                <w:sz w:val="20"/>
                <w:szCs w:val="20"/>
                <w:lang w:eastAsia="en-ZA"/>
              </w:rPr>
              <w:t xml:space="preserve">Vacancy Rate </w:t>
            </w:r>
          </w:p>
        </w:tc>
        <w:tc>
          <w:tcPr>
            <w:tcW w:w="1134" w:type="dxa"/>
            <w:vAlign w:val="center"/>
          </w:tcPr>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r w:rsidRPr="004E5697">
              <w:rPr>
                <w:rFonts w:ascii="Arial" w:hAnsi="Arial" w:cs="Arial"/>
                <w:color w:val="000000"/>
                <w:sz w:val="20"/>
                <w:szCs w:val="20"/>
                <w:lang w:eastAsia="en-ZA"/>
              </w:rPr>
              <w:t>8.69%</w:t>
            </w:r>
          </w:p>
        </w:tc>
        <w:tc>
          <w:tcPr>
            <w:tcW w:w="1101" w:type="dxa"/>
            <w:vAlign w:val="center"/>
          </w:tcPr>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r w:rsidRPr="004E5697">
              <w:rPr>
                <w:rFonts w:ascii="Arial" w:hAnsi="Arial" w:cs="Arial"/>
                <w:color w:val="000000"/>
                <w:sz w:val="20"/>
                <w:szCs w:val="20"/>
                <w:lang w:eastAsia="en-ZA"/>
              </w:rPr>
              <w:t>11.5%</w:t>
            </w:r>
          </w:p>
        </w:tc>
        <w:tc>
          <w:tcPr>
            <w:tcW w:w="887" w:type="dxa"/>
            <w:vAlign w:val="center"/>
          </w:tcPr>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r w:rsidRPr="004E5697">
              <w:rPr>
                <w:rFonts w:ascii="Arial" w:hAnsi="Arial" w:cs="Arial"/>
                <w:color w:val="000000"/>
                <w:sz w:val="20"/>
                <w:szCs w:val="20"/>
                <w:lang w:eastAsia="en-ZA"/>
              </w:rPr>
              <w:t>9.97%</w:t>
            </w:r>
          </w:p>
        </w:tc>
        <w:tc>
          <w:tcPr>
            <w:tcW w:w="1131" w:type="dxa"/>
            <w:vAlign w:val="center"/>
          </w:tcPr>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r w:rsidRPr="004E5697">
              <w:rPr>
                <w:rFonts w:ascii="Arial" w:hAnsi="Arial" w:cs="Arial"/>
                <w:color w:val="000000"/>
                <w:sz w:val="20"/>
                <w:szCs w:val="20"/>
                <w:lang w:eastAsia="en-ZA"/>
              </w:rPr>
              <w:t>13.49%</w:t>
            </w:r>
          </w:p>
        </w:tc>
        <w:tc>
          <w:tcPr>
            <w:tcW w:w="940" w:type="dxa"/>
            <w:vAlign w:val="center"/>
          </w:tcPr>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r w:rsidRPr="004E5697">
              <w:rPr>
                <w:rFonts w:ascii="Arial" w:hAnsi="Arial" w:cs="Arial"/>
                <w:color w:val="000000"/>
                <w:sz w:val="20"/>
                <w:szCs w:val="20"/>
                <w:lang w:eastAsia="en-ZA"/>
              </w:rPr>
              <w:t>7%</w:t>
            </w:r>
          </w:p>
        </w:tc>
      </w:tr>
    </w:tbl>
    <w:p w:rsidR="006C4E57" w:rsidRPr="004E5697" w:rsidRDefault="006C4E57" w:rsidP="004E5697">
      <w:pPr>
        <w:autoSpaceDE w:val="0"/>
        <w:autoSpaceDN w:val="0"/>
        <w:adjustRightInd w:val="0"/>
        <w:spacing w:line="240" w:lineRule="auto"/>
        <w:jc w:val="left"/>
        <w:rPr>
          <w:rFonts w:ascii="Arial" w:hAnsi="Arial" w:cs="Arial"/>
          <w:i/>
          <w:color w:val="000000"/>
          <w:sz w:val="20"/>
          <w:szCs w:val="20"/>
          <w:lang w:eastAsia="en-ZA"/>
        </w:rPr>
      </w:pPr>
      <w:r w:rsidRPr="004E5697">
        <w:rPr>
          <w:rFonts w:ascii="Arial" w:hAnsi="Arial" w:cs="Arial"/>
          <w:i/>
          <w:color w:val="000000"/>
          <w:sz w:val="20"/>
          <w:szCs w:val="20"/>
          <w:lang w:eastAsia="en-ZA"/>
        </w:rPr>
        <w:t>Source: IPID Annual Reports, Appropriation Statements</w:t>
      </w:r>
    </w:p>
    <w:p w:rsidR="005075D3" w:rsidRPr="004E5697" w:rsidRDefault="005075D3" w:rsidP="004E5697">
      <w:pPr>
        <w:autoSpaceDE w:val="0"/>
        <w:autoSpaceDN w:val="0"/>
        <w:adjustRightInd w:val="0"/>
        <w:spacing w:line="240" w:lineRule="auto"/>
        <w:jc w:val="left"/>
        <w:rPr>
          <w:rFonts w:ascii="Arial" w:hAnsi="Arial" w:cs="Arial"/>
          <w:color w:val="000000"/>
          <w:sz w:val="20"/>
          <w:szCs w:val="20"/>
          <w:lang w:eastAsia="en-ZA"/>
        </w:rPr>
      </w:pPr>
    </w:p>
    <w:p w:rsidR="00032B87" w:rsidRPr="004E5697" w:rsidRDefault="00AA6EB0" w:rsidP="004E5697">
      <w:pPr>
        <w:pStyle w:val="Heading1"/>
        <w:numPr>
          <w:ilvl w:val="0"/>
          <w:numId w:val="10"/>
        </w:numPr>
        <w:spacing w:before="0" w:line="240" w:lineRule="auto"/>
        <w:jc w:val="left"/>
        <w:rPr>
          <w:rFonts w:ascii="Arial" w:hAnsi="Arial" w:cs="Arial"/>
          <w:szCs w:val="20"/>
        </w:rPr>
      </w:pPr>
      <w:bookmarkStart w:id="10" w:name="_Toc100599268"/>
      <w:r w:rsidRPr="004E5697">
        <w:rPr>
          <w:rFonts w:ascii="Arial" w:hAnsi="Arial" w:cs="Arial"/>
          <w:szCs w:val="20"/>
        </w:rPr>
        <w:t xml:space="preserve">programme </w:t>
      </w:r>
      <w:r w:rsidR="00032B87" w:rsidRPr="004E5697">
        <w:rPr>
          <w:rFonts w:ascii="Arial" w:hAnsi="Arial" w:cs="Arial"/>
          <w:szCs w:val="20"/>
        </w:rPr>
        <w:t>Performance</w:t>
      </w:r>
      <w:bookmarkEnd w:id="10"/>
      <w:r w:rsidR="00032B87" w:rsidRPr="004E5697">
        <w:rPr>
          <w:rFonts w:ascii="Arial" w:hAnsi="Arial" w:cs="Arial"/>
          <w:szCs w:val="20"/>
        </w:rPr>
        <w:t xml:space="preserve"> </w:t>
      </w:r>
      <w:r w:rsidR="005075D3" w:rsidRPr="004E5697">
        <w:rPr>
          <w:rFonts w:ascii="Arial" w:hAnsi="Arial" w:cs="Arial"/>
          <w:szCs w:val="20"/>
        </w:rPr>
        <w:t>indicators for 202</w:t>
      </w:r>
      <w:r w:rsidR="006C4E57" w:rsidRPr="004E5697">
        <w:rPr>
          <w:rFonts w:ascii="Arial" w:hAnsi="Arial" w:cs="Arial"/>
          <w:szCs w:val="20"/>
        </w:rPr>
        <w:t>3</w:t>
      </w:r>
      <w:r w:rsidR="005075D3" w:rsidRPr="004E5697">
        <w:rPr>
          <w:rFonts w:ascii="Arial" w:hAnsi="Arial" w:cs="Arial"/>
          <w:szCs w:val="20"/>
        </w:rPr>
        <w:t>/2</w:t>
      </w:r>
      <w:r w:rsidR="006C4E57" w:rsidRPr="004E5697">
        <w:rPr>
          <w:rFonts w:ascii="Arial" w:hAnsi="Arial" w:cs="Arial"/>
          <w:szCs w:val="20"/>
        </w:rPr>
        <w:t>4</w:t>
      </w:r>
    </w:p>
    <w:p w:rsidR="00DF2309" w:rsidRPr="004E5697" w:rsidRDefault="00DF2309" w:rsidP="004E5697">
      <w:pPr>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 xml:space="preserve">In 2023/24, the Directorate has 38 performance indicators, of which four are new indicators. The majority of the 2023/24 performance targets remained unchanged compared to the previous financial </w:t>
      </w:r>
      <w:r w:rsidRPr="004E5697">
        <w:rPr>
          <w:rFonts w:ascii="Arial" w:hAnsi="Arial" w:cs="Arial"/>
          <w:sz w:val="20"/>
          <w:szCs w:val="20"/>
        </w:rPr>
        <w:lastRenderedPageBreak/>
        <w:t xml:space="preserve">year. Many of the performance targets in the Investigation and Information Management Programme’s were increased, but the targets still remain low. </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pStyle w:val="Heading2"/>
        <w:numPr>
          <w:ilvl w:val="1"/>
          <w:numId w:val="10"/>
        </w:numPr>
        <w:spacing w:before="0" w:line="240" w:lineRule="auto"/>
        <w:rPr>
          <w:rFonts w:ascii="Arial" w:hAnsi="Arial" w:cs="Arial"/>
          <w:sz w:val="20"/>
          <w:szCs w:val="20"/>
        </w:rPr>
      </w:pPr>
      <w:bookmarkStart w:id="11" w:name="_Toc132694868"/>
      <w:r w:rsidRPr="004E5697">
        <w:rPr>
          <w:rFonts w:ascii="Arial" w:hAnsi="Arial" w:cs="Arial"/>
          <w:sz w:val="20"/>
          <w:szCs w:val="20"/>
        </w:rPr>
        <w:t>Administration Programme</w:t>
      </w:r>
      <w:bookmarkEnd w:id="11"/>
      <w:r w:rsidRPr="004E5697">
        <w:rPr>
          <w:rFonts w:ascii="Arial" w:hAnsi="Arial" w:cs="Arial"/>
          <w:sz w:val="20"/>
          <w:szCs w:val="20"/>
        </w:rPr>
        <w:t xml:space="preserve">  </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autoSpaceDE w:val="0"/>
        <w:autoSpaceDN w:val="0"/>
        <w:adjustRightInd w:val="0"/>
        <w:spacing w:line="240" w:lineRule="auto"/>
        <w:jc w:val="left"/>
        <w:rPr>
          <w:rFonts w:ascii="Arial" w:hAnsi="Arial" w:cs="Arial"/>
          <w:sz w:val="20"/>
          <w:szCs w:val="20"/>
        </w:rPr>
      </w:pPr>
      <w:r w:rsidRPr="004E5697">
        <w:rPr>
          <w:rFonts w:ascii="Arial" w:hAnsi="Arial" w:cs="Arial"/>
          <w:sz w:val="20"/>
          <w:szCs w:val="20"/>
        </w:rPr>
        <w:t xml:space="preserve">The purpose of the Administration Programme is to provide for the overall management of the Independent Police Investigative Directorate and support services, including strategic support to the Department. </w:t>
      </w:r>
    </w:p>
    <w:p w:rsidR="006C4E57" w:rsidRPr="004E5697" w:rsidRDefault="006C4E57" w:rsidP="004E5697">
      <w:pPr>
        <w:autoSpaceDE w:val="0"/>
        <w:autoSpaceDN w:val="0"/>
        <w:adjustRightInd w:val="0"/>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 xml:space="preserve">The Administration Programme has 10 performance indicators in 2023/24 as depicted in the table below: </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b/>
          <w:i/>
          <w:sz w:val="20"/>
          <w:szCs w:val="20"/>
        </w:rPr>
      </w:pPr>
      <w:r w:rsidRPr="004E5697">
        <w:rPr>
          <w:rFonts w:ascii="Arial" w:hAnsi="Arial" w:cs="Arial"/>
          <w:b/>
          <w:i/>
          <w:sz w:val="20"/>
          <w:szCs w:val="20"/>
        </w:rPr>
        <w:t>Table 12: Programme Performance Indicators and Targets</w:t>
      </w:r>
    </w:p>
    <w:tbl>
      <w:tblPr>
        <w:tblStyle w:val="TableGrid"/>
        <w:tblW w:w="892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tblPr>
      <w:tblGrid>
        <w:gridCol w:w="7650"/>
        <w:gridCol w:w="1276"/>
      </w:tblGrid>
      <w:tr w:rsidR="00C54C2E" w:rsidRPr="004E5697" w:rsidTr="007A2CB3">
        <w:trPr>
          <w:tblHeader/>
        </w:trPr>
        <w:tc>
          <w:tcPr>
            <w:tcW w:w="7650" w:type="dxa"/>
            <w:shd w:val="clear" w:color="auto" w:fill="C5E0B3" w:themeFill="accent6" w:themeFillTint="66"/>
            <w:vAlign w:val="center"/>
          </w:tcPr>
          <w:p w:rsidR="006C4E57" w:rsidRPr="004E5697" w:rsidRDefault="006C4E57" w:rsidP="004E5697">
            <w:pPr>
              <w:spacing w:line="240" w:lineRule="auto"/>
              <w:jc w:val="left"/>
              <w:rPr>
                <w:rFonts w:ascii="Arial" w:hAnsi="Arial" w:cs="Arial"/>
                <w:b/>
                <w:sz w:val="20"/>
                <w:szCs w:val="20"/>
              </w:rPr>
            </w:pPr>
            <w:r w:rsidRPr="004E5697">
              <w:rPr>
                <w:rFonts w:ascii="Arial" w:hAnsi="Arial" w:cs="Arial"/>
                <w:b/>
                <w:sz w:val="20"/>
                <w:szCs w:val="20"/>
              </w:rPr>
              <w:t xml:space="preserve">Performance indicators  </w:t>
            </w:r>
          </w:p>
        </w:tc>
        <w:tc>
          <w:tcPr>
            <w:tcW w:w="1276" w:type="dxa"/>
            <w:shd w:val="clear" w:color="auto" w:fill="C5E0B3" w:themeFill="accent6" w:themeFillTint="66"/>
          </w:tcPr>
          <w:p w:rsidR="006C4E57" w:rsidRPr="004E5697" w:rsidRDefault="006C4E57" w:rsidP="004E5697">
            <w:pPr>
              <w:spacing w:line="240" w:lineRule="auto"/>
              <w:jc w:val="left"/>
              <w:rPr>
                <w:rFonts w:ascii="Arial" w:hAnsi="Arial" w:cs="Arial"/>
                <w:b/>
                <w:sz w:val="20"/>
                <w:szCs w:val="20"/>
              </w:rPr>
            </w:pPr>
            <w:r w:rsidRPr="004E5697">
              <w:rPr>
                <w:rFonts w:ascii="Arial" w:hAnsi="Arial" w:cs="Arial"/>
                <w:b/>
                <w:sz w:val="20"/>
                <w:szCs w:val="20"/>
              </w:rPr>
              <w:t>2023/24 Target</w:t>
            </w:r>
          </w:p>
        </w:tc>
      </w:tr>
      <w:tr w:rsidR="00C54C2E" w:rsidRPr="004E5697" w:rsidTr="007A2CB3">
        <w:tc>
          <w:tcPr>
            <w:tcW w:w="7650" w:type="dxa"/>
            <w:vAlign w:val="center"/>
          </w:tcPr>
          <w:p w:rsidR="006C4E57" w:rsidRPr="004E5697" w:rsidRDefault="006C4E57" w:rsidP="004E5697">
            <w:pPr>
              <w:pStyle w:val="ListParagraph"/>
              <w:numPr>
                <w:ilvl w:val="0"/>
                <w:numId w:val="6"/>
              </w:numPr>
              <w:spacing w:line="240" w:lineRule="auto"/>
              <w:jc w:val="left"/>
              <w:rPr>
                <w:rFonts w:ascii="Arial" w:hAnsi="Arial" w:cs="Arial"/>
                <w:sz w:val="20"/>
                <w:szCs w:val="20"/>
              </w:rPr>
            </w:pPr>
            <w:r w:rsidRPr="004E5697">
              <w:rPr>
                <w:rFonts w:ascii="Arial" w:hAnsi="Arial" w:cs="Arial"/>
                <w:sz w:val="20"/>
                <w:szCs w:val="20"/>
                <w:lang w:eastAsia="en-ZA"/>
              </w:rPr>
              <w:t>Percentage vacancy rate per year</w:t>
            </w:r>
          </w:p>
        </w:tc>
        <w:tc>
          <w:tcPr>
            <w:tcW w:w="1276" w:type="dxa"/>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10%</w:t>
            </w:r>
          </w:p>
        </w:tc>
      </w:tr>
      <w:tr w:rsidR="00C54C2E" w:rsidRPr="004E5697" w:rsidTr="007A2CB3">
        <w:tc>
          <w:tcPr>
            <w:tcW w:w="7650" w:type="dxa"/>
            <w:vAlign w:val="center"/>
          </w:tcPr>
          <w:p w:rsidR="006C4E57" w:rsidRPr="004E5697" w:rsidRDefault="006C4E57" w:rsidP="004E5697">
            <w:pPr>
              <w:pStyle w:val="ListParagraph"/>
              <w:numPr>
                <w:ilvl w:val="0"/>
                <w:numId w:val="6"/>
              </w:numPr>
              <w:autoSpaceDE w:val="0"/>
              <w:autoSpaceDN w:val="0"/>
              <w:adjustRightInd w:val="0"/>
              <w:spacing w:line="240" w:lineRule="auto"/>
              <w:jc w:val="left"/>
              <w:rPr>
                <w:rFonts w:ascii="Arial" w:hAnsi="Arial" w:cs="Arial"/>
                <w:sz w:val="20"/>
                <w:szCs w:val="20"/>
                <w:lang w:eastAsia="en-ZA"/>
              </w:rPr>
            </w:pPr>
            <w:r w:rsidRPr="004E5697">
              <w:rPr>
                <w:rFonts w:ascii="Arial" w:hAnsi="Arial" w:cs="Arial"/>
                <w:sz w:val="20"/>
                <w:szCs w:val="20"/>
                <w:lang w:eastAsia="en-ZA"/>
              </w:rPr>
              <w:t>Percentage implementation of Annual Internal Audit Plan</w:t>
            </w:r>
          </w:p>
        </w:tc>
        <w:tc>
          <w:tcPr>
            <w:tcW w:w="1276" w:type="dxa"/>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90%</w:t>
            </w:r>
          </w:p>
        </w:tc>
      </w:tr>
      <w:tr w:rsidR="00C54C2E" w:rsidRPr="004E5697" w:rsidTr="007A2CB3">
        <w:tc>
          <w:tcPr>
            <w:tcW w:w="7650" w:type="dxa"/>
            <w:vAlign w:val="center"/>
          </w:tcPr>
          <w:p w:rsidR="006C4E57" w:rsidRPr="004E5697" w:rsidRDefault="006C4E57" w:rsidP="004E5697">
            <w:pPr>
              <w:pStyle w:val="ListParagraph"/>
              <w:numPr>
                <w:ilvl w:val="0"/>
                <w:numId w:val="6"/>
              </w:numPr>
              <w:autoSpaceDE w:val="0"/>
              <w:autoSpaceDN w:val="0"/>
              <w:adjustRightInd w:val="0"/>
              <w:spacing w:line="240" w:lineRule="auto"/>
              <w:jc w:val="left"/>
              <w:rPr>
                <w:rFonts w:ascii="Arial" w:hAnsi="Arial" w:cs="Arial"/>
                <w:sz w:val="20"/>
                <w:szCs w:val="20"/>
                <w:lang w:eastAsia="en-ZA"/>
              </w:rPr>
            </w:pPr>
            <w:r w:rsidRPr="004E5697">
              <w:rPr>
                <w:rFonts w:ascii="Arial" w:hAnsi="Arial" w:cs="Arial"/>
                <w:sz w:val="20"/>
                <w:szCs w:val="20"/>
                <w:lang w:eastAsia="en-ZA"/>
              </w:rPr>
              <w:t>Percentage implementation of risk mitigating strategies</w:t>
            </w:r>
          </w:p>
        </w:tc>
        <w:tc>
          <w:tcPr>
            <w:tcW w:w="1276" w:type="dxa"/>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70%</w:t>
            </w:r>
          </w:p>
        </w:tc>
      </w:tr>
      <w:tr w:rsidR="00C54C2E" w:rsidRPr="004E5697" w:rsidTr="007A2CB3">
        <w:tc>
          <w:tcPr>
            <w:tcW w:w="7650" w:type="dxa"/>
            <w:vAlign w:val="center"/>
          </w:tcPr>
          <w:p w:rsidR="006C4E57" w:rsidRPr="004E5697" w:rsidRDefault="006C4E57" w:rsidP="004E5697">
            <w:pPr>
              <w:pStyle w:val="ListParagraph"/>
              <w:numPr>
                <w:ilvl w:val="0"/>
                <w:numId w:val="6"/>
              </w:numPr>
              <w:autoSpaceDE w:val="0"/>
              <w:autoSpaceDN w:val="0"/>
              <w:adjustRightInd w:val="0"/>
              <w:spacing w:line="240" w:lineRule="auto"/>
              <w:jc w:val="left"/>
              <w:rPr>
                <w:rFonts w:ascii="Arial" w:hAnsi="Arial" w:cs="Arial"/>
                <w:sz w:val="20"/>
                <w:szCs w:val="20"/>
                <w:lang w:eastAsia="en-ZA"/>
              </w:rPr>
            </w:pPr>
            <w:r w:rsidRPr="004E5697">
              <w:rPr>
                <w:rFonts w:ascii="Arial" w:hAnsi="Arial" w:cs="Arial"/>
                <w:sz w:val="20"/>
                <w:szCs w:val="20"/>
                <w:lang w:eastAsia="en-ZA"/>
              </w:rPr>
              <w:t>Percentage implementation of ICT Infrastructure Plan</w:t>
            </w:r>
          </w:p>
        </w:tc>
        <w:tc>
          <w:tcPr>
            <w:tcW w:w="1276" w:type="dxa"/>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70%</w:t>
            </w:r>
          </w:p>
        </w:tc>
      </w:tr>
      <w:tr w:rsidR="00C54C2E" w:rsidRPr="004E5697" w:rsidTr="007A2CB3">
        <w:tc>
          <w:tcPr>
            <w:tcW w:w="7650" w:type="dxa"/>
            <w:vAlign w:val="center"/>
          </w:tcPr>
          <w:p w:rsidR="006C4E57" w:rsidRPr="004E5697" w:rsidRDefault="006C4E57" w:rsidP="004E5697">
            <w:pPr>
              <w:pStyle w:val="ListParagraph"/>
              <w:numPr>
                <w:ilvl w:val="0"/>
                <w:numId w:val="6"/>
              </w:numPr>
              <w:autoSpaceDE w:val="0"/>
              <w:autoSpaceDN w:val="0"/>
              <w:adjustRightInd w:val="0"/>
              <w:spacing w:line="240" w:lineRule="auto"/>
              <w:jc w:val="left"/>
              <w:rPr>
                <w:rFonts w:ascii="Arial" w:hAnsi="Arial" w:cs="Arial"/>
                <w:sz w:val="20"/>
                <w:szCs w:val="20"/>
                <w:lang w:eastAsia="en-ZA"/>
              </w:rPr>
            </w:pPr>
            <w:r w:rsidRPr="004E5697">
              <w:rPr>
                <w:rFonts w:ascii="Arial" w:hAnsi="Arial" w:cs="Arial"/>
                <w:sz w:val="20"/>
                <w:szCs w:val="20"/>
                <w:lang w:eastAsia="en-ZA"/>
              </w:rPr>
              <w:t>Number of ICT Governance Policies approved (</w:t>
            </w:r>
            <w:r w:rsidRPr="004E5697">
              <w:rPr>
                <w:rFonts w:ascii="Arial" w:hAnsi="Arial" w:cs="Arial"/>
                <w:b/>
                <w:i/>
                <w:sz w:val="20"/>
                <w:szCs w:val="20"/>
                <w:lang w:eastAsia="en-ZA"/>
              </w:rPr>
              <w:t>New indicator)</w:t>
            </w:r>
          </w:p>
        </w:tc>
        <w:tc>
          <w:tcPr>
            <w:tcW w:w="1276" w:type="dxa"/>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4</w:t>
            </w:r>
          </w:p>
        </w:tc>
      </w:tr>
      <w:tr w:rsidR="00C54C2E" w:rsidRPr="004E5697" w:rsidTr="007A2CB3">
        <w:tc>
          <w:tcPr>
            <w:tcW w:w="7650" w:type="dxa"/>
            <w:vAlign w:val="center"/>
          </w:tcPr>
          <w:p w:rsidR="006C4E57" w:rsidRPr="004E5697" w:rsidRDefault="006C4E57" w:rsidP="004E5697">
            <w:pPr>
              <w:pStyle w:val="ListParagraph"/>
              <w:numPr>
                <w:ilvl w:val="0"/>
                <w:numId w:val="6"/>
              </w:numPr>
              <w:autoSpaceDE w:val="0"/>
              <w:autoSpaceDN w:val="0"/>
              <w:adjustRightInd w:val="0"/>
              <w:spacing w:line="240" w:lineRule="auto"/>
              <w:jc w:val="left"/>
              <w:rPr>
                <w:rFonts w:ascii="Arial" w:hAnsi="Arial" w:cs="Arial"/>
                <w:sz w:val="20"/>
                <w:szCs w:val="20"/>
                <w:lang w:eastAsia="en-ZA"/>
              </w:rPr>
            </w:pPr>
            <w:r w:rsidRPr="004E5697">
              <w:rPr>
                <w:rFonts w:ascii="Arial" w:hAnsi="Arial" w:cs="Arial"/>
                <w:sz w:val="20"/>
                <w:szCs w:val="20"/>
                <w:lang w:eastAsia="en-ZA"/>
              </w:rPr>
              <w:t xml:space="preserve">Percentage implementation of Youth Development Strategy per year </w:t>
            </w:r>
          </w:p>
        </w:tc>
        <w:tc>
          <w:tcPr>
            <w:tcW w:w="1276"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80%</w:t>
            </w:r>
          </w:p>
        </w:tc>
      </w:tr>
      <w:tr w:rsidR="00C54C2E" w:rsidRPr="004E5697" w:rsidTr="007A2CB3">
        <w:tc>
          <w:tcPr>
            <w:tcW w:w="7650" w:type="dxa"/>
            <w:vAlign w:val="center"/>
          </w:tcPr>
          <w:p w:rsidR="006C4E57" w:rsidRPr="004E5697" w:rsidRDefault="006C4E57" w:rsidP="004E5697">
            <w:pPr>
              <w:pStyle w:val="ListParagraph"/>
              <w:numPr>
                <w:ilvl w:val="0"/>
                <w:numId w:val="6"/>
              </w:numPr>
              <w:autoSpaceDE w:val="0"/>
              <w:autoSpaceDN w:val="0"/>
              <w:adjustRightInd w:val="0"/>
              <w:spacing w:line="240" w:lineRule="auto"/>
              <w:jc w:val="left"/>
              <w:rPr>
                <w:rFonts w:ascii="Arial" w:hAnsi="Arial" w:cs="Arial"/>
                <w:sz w:val="20"/>
                <w:szCs w:val="20"/>
                <w:lang w:eastAsia="en-ZA"/>
              </w:rPr>
            </w:pPr>
            <w:r w:rsidRPr="004E5697">
              <w:rPr>
                <w:rFonts w:ascii="Arial" w:hAnsi="Arial" w:cs="Arial"/>
                <w:sz w:val="20"/>
                <w:szCs w:val="20"/>
                <w:lang w:eastAsia="en-ZA"/>
              </w:rPr>
              <w:t>Percentage representation of youth in the Department</w:t>
            </w:r>
          </w:p>
        </w:tc>
        <w:tc>
          <w:tcPr>
            <w:tcW w:w="1276"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19%</w:t>
            </w:r>
          </w:p>
        </w:tc>
      </w:tr>
      <w:tr w:rsidR="00C54C2E" w:rsidRPr="004E5697" w:rsidTr="007A2CB3">
        <w:tc>
          <w:tcPr>
            <w:tcW w:w="7650" w:type="dxa"/>
            <w:vAlign w:val="center"/>
          </w:tcPr>
          <w:p w:rsidR="006C4E57" w:rsidRPr="004E5697" w:rsidRDefault="006C4E57" w:rsidP="004E5697">
            <w:pPr>
              <w:pStyle w:val="ListParagraph"/>
              <w:numPr>
                <w:ilvl w:val="0"/>
                <w:numId w:val="6"/>
              </w:numPr>
              <w:autoSpaceDE w:val="0"/>
              <w:autoSpaceDN w:val="0"/>
              <w:adjustRightInd w:val="0"/>
              <w:spacing w:line="240" w:lineRule="auto"/>
              <w:jc w:val="left"/>
              <w:rPr>
                <w:rFonts w:ascii="Arial" w:hAnsi="Arial" w:cs="Arial"/>
                <w:sz w:val="20"/>
                <w:szCs w:val="20"/>
                <w:lang w:eastAsia="en-ZA"/>
              </w:rPr>
            </w:pPr>
            <w:r w:rsidRPr="004E5697">
              <w:rPr>
                <w:rFonts w:ascii="Arial" w:hAnsi="Arial" w:cs="Arial"/>
                <w:sz w:val="20"/>
                <w:szCs w:val="20"/>
                <w:lang w:eastAsia="en-ZA"/>
              </w:rPr>
              <w:t xml:space="preserve">Percentage representation of women at senior management service (SMS) per year </w:t>
            </w:r>
          </w:p>
        </w:tc>
        <w:tc>
          <w:tcPr>
            <w:tcW w:w="1276"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50%</w:t>
            </w:r>
          </w:p>
        </w:tc>
      </w:tr>
      <w:tr w:rsidR="00C54C2E" w:rsidRPr="004E5697" w:rsidTr="007A2CB3">
        <w:tc>
          <w:tcPr>
            <w:tcW w:w="7650" w:type="dxa"/>
            <w:vAlign w:val="center"/>
          </w:tcPr>
          <w:p w:rsidR="006C4E57" w:rsidRPr="004E5697" w:rsidRDefault="006C4E57" w:rsidP="004E5697">
            <w:pPr>
              <w:pStyle w:val="ListParagraph"/>
              <w:numPr>
                <w:ilvl w:val="0"/>
                <w:numId w:val="6"/>
              </w:numPr>
              <w:autoSpaceDE w:val="0"/>
              <w:autoSpaceDN w:val="0"/>
              <w:adjustRightInd w:val="0"/>
              <w:spacing w:line="240" w:lineRule="auto"/>
              <w:jc w:val="left"/>
              <w:rPr>
                <w:rFonts w:ascii="Arial" w:hAnsi="Arial" w:cs="Arial"/>
                <w:sz w:val="20"/>
                <w:szCs w:val="20"/>
                <w:lang w:eastAsia="en-ZA"/>
              </w:rPr>
            </w:pPr>
            <w:r w:rsidRPr="004E5697">
              <w:rPr>
                <w:rFonts w:ascii="Arial" w:hAnsi="Arial" w:cs="Arial"/>
                <w:sz w:val="20"/>
                <w:szCs w:val="20"/>
                <w:lang w:eastAsia="en-ZA"/>
              </w:rPr>
              <w:t xml:space="preserve">Percentage Representation of persons living with disabilities in the Department per year </w:t>
            </w:r>
          </w:p>
        </w:tc>
        <w:tc>
          <w:tcPr>
            <w:tcW w:w="1276"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3%</w:t>
            </w:r>
          </w:p>
        </w:tc>
      </w:tr>
      <w:tr w:rsidR="00C54C2E" w:rsidRPr="004E5697" w:rsidTr="007A2CB3">
        <w:tc>
          <w:tcPr>
            <w:tcW w:w="7650" w:type="dxa"/>
            <w:vAlign w:val="center"/>
          </w:tcPr>
          <w:p w:rsidR="006C4E57" w:rsidRPr="004E5697" w:rsidRDefault="006C4E57" w:rsidP="004E5697">
            <w:pPr>
              <w:pStyle w:val="ListParagraph"/>
              <w:numPr>
                <w:ilvl w:val="0"/>
                <w:numId w:val="6"/>
              </w:numPr>
              <w:autoSpaceDE w:val="0"/>
              <w:autoSpaceDN w:val="0"/>
              <w:adjustRightInd w:val="0"/>
              <w:spacing w:line="240" w:lineRule="auto"/>
              <w:jc w:val="left"/>
              <w:rPr>
                <w:rFonts w:ascii="Arial" w:hAnsi="Arial" w:cs="Arial"/>
                <w:sz w:val="20"/>
                <w:szCs w:val="20"/>
                <w:lang w:eastAsia="en-ZA"/>
              </w:rPr>
            </w:pPr>
            <w:r w:rsidRPr="004E5697">
              <w:rPr>
                <w:rFonts w:ascii="Arial" w:hAnsi="Arial" w:cs="Arial"/>
                <w:sz w:val="20"/>
                <w:szCs w:val="20"/>
                <w:lang w:eastAsia="en-ZA"/>
              </w:rPr>
              <w:t xml:space="preserve">Percentage Procurement of goods and services from women-owned enterprises per year </w:t>
            </w:r>
          </w:p>
        </w:tc>
        <w:tc>
          <w:tcPr>
            <w:tcW w:w="1276"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40%</w:t>
            </w:r>
          </w:p>
        </w:tc>
      </w:tr>
    </w:tbl>
    <w:p w:rsidR="006C4E57" w:rsidRPr="004E5697" w:rsidRDefault="006C4E57" w:rsidP="004E5697">
      <w:pPr>
        <w:spacing w:line="240" w:lineRule="auto"/>
        <w:jc w:val="left"/>
        <w:rPr>
          <w:rFonts w:ascii="Arial" w:hAnsi="Arial" w:cs="Arial"/>
          <w:i/>
          <w:sz w:val="20"/>
          <w:szCs w:val="20"/>
        </w:rPr>
      </w:pPr>
      <w:r w:rsidRPr="004E5697">
        <w:rPr>
          <w:rFonts w:ascii="Arial" w:hAnsi="Arial" w:cs="Arial"/>
          <w:i/>
          <w:sz w:val="20"/>
          <w:szCs w:val="20"/>
        </w:rPr>
        <w:t>Source: 2023/24 IPID APP</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pStyle w:val="Heading2"/>
        <w:numPr>
          <w:ilvl w:val="1"/>
          <w:numId w:val="10"/>
        </w:numPr>
        <w:spacing w:before="0" w:line="240" w:lineRule="auto"/>
        <w:rPr>
          <w:rFonts w:ascii="Arial" w:hAnsi="Arial" w:cs="Arial"/>
          <w:sz w:val="20"/>
          <w:szCs w:val="20"/>
        </w:rPr>
      </w:pPr>
      <w:bookmarkStart w:id="12" w:name="_Toc132694869"/>
      <w:r w:rsidRPr="004E5697">
        <w:rPr>
          <w:rFonts w:ascii="Arial" w:hAnsi="Arial" w:cs="Arial"/>
          <w:sz w:val="20"/>
          <w:szCs w:val="20"/>
        </w:rPr>
        <w:t>Investigation and Information Management Programme</w:t>
      </w:r>
      <w:bookmarkEnd w:id="12"/>
      <w:r w:rsidRPr="004E5697">
        <w:rPr>
          <w:rFonts w:ascii="Arial" w:hAnsi="Arial" w:cs="Arial"/>
          <w:sz w:val="20"/>
          <w:szCs w:val="20"/>
        </w:rPr>
        <w:t xml:space="preserve"> </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autoSpaceDE w:val="0"/>
        <w:autoSpaceDN w:val="0"/>
        <w:adjustRightInd w:val="0"/>
        <w:spacing w:line="240" w:lineRule="auto"/>
        <w:jc w:val="left"/>
        <w:rPr>
          <w:rFonts w:ascii="Arial" w:hAnsi="Arial" w:cs="Arial"/>
          <w:sz w:val="20"/>
          <w:szCs w:val="20"/>
        </w:rPr>
      </w:pPr>
      <w:r w:rsidRPr="004E5697">
        <w:rPr>
          <w:rFonts w:ascii="Arial" w:hAnsi="Arial" w:cs="Arial"/>
          <w:sz w:val="20"/>
          <w:szCs w:val="20"/>
        </w:rPr>
        <w:t xml:space="preserve">The purpose of the Investigation and Information Management Programme is to strengthen the Department’s oversight role over the police service by conducting investigations, in line with the powers granted by the Independent Police Investigative Directorate Act No. 1 of 2011. This includes making appropriate recommendations on investigations in the various investigation categories and submitting feedback to complainants. The Programme will also enhance efficiency in case management and maintain relationships with other state security agencies, such as the SAPS, the National Prosecuting Authority (NPA), Civilian Secretariat for Police Service (CSPS) and community stakeholders, through on-going national and provincial engagement forums. </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autoSpaceDE w:val="0"/>
        <w:autoSpaceDN w:val="0"/>
        <w:adjustRightInd w:val="0"/>
        <w:spacing w:line="240" w:lineRule="auto"/>
        <w:jc w:val="left"/>
        <w:rPr>
          <w:rFonts w:ascii="Arial" w:hAnsi="Arial" w:cs="Arial"/>
          <w:sz w:val="20"/>
          <w:szCs w:val="20"/>
          <w:lang w:eastAsia="en-ZA"/>
        </w:rPr>
      </w:pPr>
      <w:r w:rsidRPr="004E5697">
        <w:rPr>
          <w:rFonts w:ascii="Arial" w:hAnsi="Arial" w:cs="Arial"/>
          <w:sz w:val="20"/>
          <w:szCs w:val="20"/>
          <w:lang w:eastAsia="en-ZA"/>
        </w:rPr>
        <w:t>According to the APP, the Programme coordinates and facilitates the Department’s investigation processes through the development of policy and strategic frameworks that guide and report on investigations. The programme consists of the following three subprogrammes:</w:t>
      </w:r>
    </w:p>
    <w:p w:rsidR="006C4E57" w:rsidRPr="004E5697" w:rsidRDefault="006C4E57" w:rsidP="004E5697">
      <w:pPr>
        <w:pStyle w:val="ListParagraph"/>
        <w:numPr>
          <w:ilvl w:val="0"/>
          <w:numId w:val="9"/>
        </w:numPr>
        <w:autoSpaceDE w:val="0"/>
        <w:autoSpaceDN w:val="0"/>
        <w:adjustRightInd w:val="0"/>
        <w:spacing w:line="240" w:lineRule="auto"/>
        <w:jc w:val="left"/>
        <w:rPr>
          <w:rFonts w:ascii="Arial" w:hAnsi="Arial" w:cs="Arial"/>
          <w:sz w:val="20"/>
          <w:szCs w:val="20"/>
          <w:lang w:eastAsia="en-ZA"/>
        </w:rPr>
      </w:pPr>
      <w:r w:rsidRPr="004E5697">
        <w:rPr>
          <w:rFonts w:ascii="Arial" w:hAnsi="Arial" w:cs="Arial"/>
          <w:sz w:val="20"/>
          <w:szCs w:val="20"/>
          <w:lang w:eastAsia="en-ZA"/>
        </w:rPr>
        <w:t>Investigation Management develops and maintains investigation systems, procedures, norms, standards and policies in line with the IPID Act (2011) and other relevant prescripts.</w:t>
      </w:r>
    </w:p>
    <w:p w:rsidR="006C4E57" w:rsidRPr="004E5697" w:rsidRDefault="006C4E57" w:rsidP="004E5697">
      <w:pPr>
        <w:pStyle w:val="ListParagraph"/>
        <w:numPr>
          <w:ilvl w:val="0"/>
          <w:numId w:val="9"/>
        </w:numPr>
        <w:autoSpaceDE w:val="0"/>
        <w:autoSpaceDN w:val="0"/>
        <w:adjustRightInd w:val="0"/>
        <w:spacing w:line="240" w:lineRule="auto"/>
        <w:jc w:val="left"/>
        <w:rPr>
          <w:rFonts w:ascii="Arial" w:hAnsi="Arial" w:cs="Arial"/>
          <w:sz w:val="20"/>
          <w:szCs w:val="20"/>
          <w:lang w:eastAsia="en-ZA"/>
        </w:rPr>
      </w:pPr>
      <w:r w:rsidRPr="004E5697">
        <w:rPr>
          <w:rFonts w:ascii="Arial" w:hAnsi="Arial" w:cs="Arial"/>
          <w:sz w:val="20"/>
          <w:szCs w:val="20"/>
          <w:lang w:eastAsia="en-ZA"/>
        </w:rPr>
        <w:t>Investigation Services manages and conducts investigations in line with provisions in the IPID Act (2011).</w:t>
      </w:r>
    </w:p>
    <w:p w:rsidR="006C4E57" w:rsidRPr="004E5697" w:rsidRDefault="006C4E57" w:rsidP="004E5697">
      <w:pPr>
        <w:pStyle w:val="ListParagraph"/>
        <w:numPr>
          <w:ilvl w:val="0"/>
          <w:numId w:val="9"/>
        </w:numPr>
        <w:autoSpaceDE w:val="0"/>
        <w:autoSpaceDN w:val="0"/>
        <w:adjustRightInd w:val="0"/>
        <w:spacing w:line="240" w:lineRule="auto"/>
        <w:jc w:val="left"/>
        <w:rPr>
          <w:rFonts w:ascii="Arial" w:hAnsi="Arial" w:cs="Arial"/>
          <w:sz w:val="20"/>
          <w:szCs w:val="20"/>
          <w:lang w:eastAsia="en-ZA"/>
        </w:rPr>
      </w:pPr>
      <w:r w:rsidRPr="004E5697">
        <w:rPr>
          <w:rFonts w:ascii="Arial" w:hAnsi="Arial" w:cs="Arial"/>
          <w:sz w:val="20"/>
          <w:szCs w:val="20"/>
          <w:lang w:eastAsia="en-ZA"/>
        </w:rPr>
        <w:t>Information Management manages information and knowledge-management services through the development and maintenance of a Case Flow Management System and database, analyses and compiles.</w:t>
      </w: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lang w:eastAsia="en-ZA"/>
        </w:rPr>
        <w:t xml:space="preserve"> </w:t>
      </w:r>
    </w:p>
    <w:p w:rsidR="006C4E57" w:rsidRPr="004E5697" w:rsidRDefault="006C4E57" w:rsidP="004E5697">
      <w:pPr>
        <w:autoSpaceDE w:val="0"/>
        <w:autoSpaceDN w:val="0"/>
        <w:adjustRightInd w:val="0"/>
        <w:spacing w:line="240" w:lineRule="auto"/>
        <w:jc w:val="left"/>
        <w:rPr>
          <w:rFonts w:ascii="Arial" w:hAnsi="Arial" w:cs="Arial"/>
          <w:sz w:val="20"/>
          <w:szCs w:val="20"/>
        </w:rPr>
      </w:pPr>
      <w:r w:rsidRPr="004E5697">
        <w:rPr>
          <w:rFonts w:ascii="Arial" w:hAnsi="Arial" w:cs="Arial"/>
          <w:sz w:val="20"/>
          <w:szCs w:val="20"/>
        </w:rPr>
        <w:t xml:space="preserve">In 2023/24, the Programme has 14 performance indicators, of which some have increased targets. The addition of a performance indicator for cell inspections at police stations should be welcomed, however this does not fall within the core mandate of the IPID. </w:t>
      </w:r>
    </w:p>
    <w:p w:rsidR="006C4E57" w:rsidRPr="004E5697" w:rsidRDefault="006C4E57" w:rsidP="004E5697">
      <w:pPr>
        <w:autoSpaceDE w:val="0"/>
        <w:autoSpaceDN w:val="0"/>
        <w:adjustRightInd w:val="0"/>
        <w:spacing w:line="240" w:lineRule="auto"/>
        <w:jc w:val="left"/>
        <w:rPr>
          <w:rFonts w:ascii="Arial" w:hAnsi="Arial" w:cs="Arial"/>
          <w:sz w:val="20"/>
          <w:szCs w:val="20"/>
          <w:lang w:eastAsia="en-ZA"/>
        </w:rPr>
      </w:pPr>
    </w:p>
    <w:p w:rsidR="006C4E57" w:rsidRPr="004E5697" w:rsidRDefault="006C4E57" w:rsidP="004E5697">
      <w:pPr>
        <w:spacing w:line="240" w:lineRule="auto"/>
        <w:jc w:val="left"/>
        <w:rPr>
          <w:rFonts w:ascii="Arial" w:hAnsi="Arial" w:cs="Arial"/>
          <w:b/>
          <w:i/>
          <w:sz w:val="20"/>
          <w:szCs w:val="20"/>
        </w:rPr>
      </w:pPr>
      <w:r w:rsidRPr="004E5697">
        <w:rPr>
          <w:rFonts w:ascii="Arial" w:hAnsi="Arial" w:cs="Arial"/>
          <w:b/>
          <w:i/>
          <w:sz w:val="20"/>
          <w:szCs w:val="20"/>
        </w:rPr>
        <w:t>Table 13: Programme Performance Indicators and Targets</w:t>
      </w:r>
    </w:p>
    <w:tbl>
      <w:tblPr>
        <w:tblStyle w:val="TableGrid"/>
        <w:tblW w:w="9067"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tblPr>
      <w:tblGrid>
        <w:gridCol w:w="5232"/>
        <w:gridCol w:w="1428"/>
        <w:gridCol w:w="1428"/>
        <w:gridCol w:w="979"/>
      </w:tblGrid>
      <w:tr w:rsidR="00A819C6" w:rsidRPr="004E5697" w:rsidTr="007A2CB3">
        <w:trPr>
          <w:tblHeader/>
        </w:trPr>
        <w:tc>
          <w:tcPr>
            <w:tcW w:w="6146" w:type="dxa"/>
            <w:vMerge w:val="restart"/>
            <w:shd w:val="clear" w:color="auto" w:fill="auto"/>
            <w:vAlign w:val="center"/>
          </w:tcPr>
          <w:p w:rsidR="006C4E57" w:rsidRPr="004E5697" w:rsidRDefault="006C4E57" w:rsidP="004E5697">
            <w:pPr>
              <w:spacing w:line="240" w:lineRule="auto"/>
              <w:jc w:val="left"/>
              <w:rPr>
                <w:rFonts w:ascii="Arial" w:hAnsi="Arial" w:cs="Arial"/>
                <w:b/>
                <w:sz w:val="20"/>
                <w:szCs w:val="20"/>
              </w:rPr>
            </w:pPr>
            <w:r w:rsidRPr="004E5697">
              <w:rPr>
                <w:rFonts w:ascii="Arial" w:hAnsi="Arial" w:cs="Arial"/>
                <w:b/>
                <w:sz w:val="20"/>
                <w:szCs w:val="20"/>
              </w:rPr>
              <w:t xml:space="preserve">Performance indicators </w:t>
            </w:r>
          </w:p>
        </w:tc>
        <w:tc>
          <w:tcPr>
            <w:tcW w:w="939" w:type="dxa"/>
            <w:shd w:val="clear" w:color="auto" w:fill="auto"/>
            <w:vAlign w:val="center"/>
          </w:tcPr>
          <w:p w:rsidR="006C4E57" w:rsidRPr="004E5697" w:rsidRDefault="006C4E57" w:rsidP="004E5697">
            <w:pPr>
              <w:spacing w:line="240" w:lineRule="auto"/>
              <w:jc w:val="left"/>
              <w:rPr>
                <w:rFonts w:ascii="Arial" w:hAnsi="Arial" w:cs="Arial"/>
                <w:b/>
                <w:sz w:val="20"/>
                <w:szCs w:val="20"/>
              </w:rPr>
            </w:pPr>
            <w:r w:rsidRPr="004E5697">
              <w:rPr>
                <w:rFonts w:ascii="Arial" w:hAnsi="Arial" w:cs="Arial"/>
                <w:b/>
                <w:sz w:val="20"/>
                <w:szCs w:val="20"/>
              </w:rPr>
              <w:t>Audited performance</w:t>
            </w:r>
          </w:p>
        </w:tc>
        <w:tc>
          <w:tcPr>
            <w:tcW w:w="991" w:type="dxa"/>
            <w:shd w:val="clear" w:color="auto" w:fill="auto"/>
            <w:vAlign w:val="center"/>
          </w:tcPr>
          <w:p w:rsidR="006C4E57" w:rsidRPr="004E5697" w:rsidRDefault="006C4E57" w:rsidP="004E5697">
            <w:pPr>
              <w:spacing w:line="240" w:lineRule="auto"/>
              <w:jc w:val="left"/>
              <w:rPr>
                <w:rFonts w:ascii="Arial" w:hAnsi="Arial" w:cs="Arial"/>
                <w:b/>
                <w:sz w:val="20"/>
                <w:szCs w:val="20"/>
              </w:rPr>
            </w:pPr>
            <w:r w:rsidRPr="004E5697">
              <w:rPr>
                <w:rFonts w:ascii="Arial" w:hAnsi="Arial" w:cs="Arial"/>
                <w:b/>
                <w:sz w:val="20"/>
                <w:szCs w:val="20"/>
              </w:rPr>
              <w:t>Estimated performance</w:t>
            </w:r>
          </w:p>
        </w:tc>
        <w:tc>
          <w:tcPr>
            <w:tcW w:w="991" w:type="dxa"/>
            <w:shd w:val="clear" w:color="auto" w:fill="auto"/>
            <w:vAlign w:val="center"/>
          </w:tcPr>
          <w:p w:rsidR="006C4E57" w:rsidRPr="004E5697" w:rsidRDefault="006C4E57" w:rsidP="004E5697">
            <w:pPr>
              <w:spacing w:line="240" w:lineRule="auto"/>
              <w:jc w:val="left"/>
              <w:rPr>
                <w:rFonts w:ascii="Arial" w:hAnsi="Arial" w:cs="Arial"/>
                <w:b/>
                <w:sz w:val="20"/>
                <w:szCs w:val="20"/>
              </w:rPr>
            </w:pPr>
            <w:r w:rsidRPr="004E5697">
              <w:rPr>
                <w:rFonts w:ascii="Arial" w:hAnsi="Arial" w:cs="Arial"/>
                <w:b/>
                <w:sz w:val="20"/>
                <w:szCs w:val="20"/>
              </w:rPr>
              <w:t>Targets</w:t>
            </w:r>
          </w:p>
        </w:tc>
      </w:tr>
      <w:tr w:rsidR="00A819C6" w:rsidRPr="004E5697" w:rsidTr="007A2CB3">
        <w:trPr>
          <w:tblHeader/>
        </w:trPr>
        <w:tc>
          <w:tcPr>
            <w:tcW w:w="6146" w:type="dxa"/>
            <w:vMerge/>
            <w:shd w:val="clear" w:color="auto" w:fill="auto"/>
            <w:vAlign w:val="center"/>
          </w:tcPr>
          <w:p w:rsidR="006C4E57" w:rsidRPr="004E5697" w:rsidRDefault="006C4E57" w:rsidP="004E5697">
            <w:pPr>
              <w:spacing w:line="240" w:lineRule="auto"/>
              <w:jc w:val="left"/>
              <w:rPr>
                <w:rFonts w:ascii="Arial" w:hAnsi="Arial" w:cs="Arial"/>
                <w:b/>
                <w:sz w:val="20"/>
                <w:szCs w:val="20"/>
              </w:rPr>
            </w:pPr>
          </w:p>
        </w:tc>
        <w:tc>
          <w:tcPr>
            <w:tcW w:w="939" w:type="dxa"/>
            <w:shd w:val="clear" w:color="auto" w:fill="auto"/>
            <w:vAlign w:val="center"/>
          </w:tcPr>
          <w:p w:rsidR="006C4E57" w:rsidRPr="004E5697" w:rsidRDefault="006C4E57" w:rsidP="004E5697">
            <w:pPr>
              <w:spacing w:line="240" w:lineRule="auto"/>
              <w:jc w:val="left"/>
              <w:rPr>
                <w:rFonts w:ascii="Arial" w:hAnsi="Arial" w:cs="Arial"/>
                <w:b/>
                <w:sz w:val="20"/>
                <w:szCs w:val="20"/>
              </w:rPr>
            </w:pPr>
            <w:r w:rsidRPr="004E5697">
              <w:rPr>
                <w:rFonts w:ascii="Arial" w:hAnsi="Arial" w:cs="Arial"/>
                <w:b/>
                <w:sz w:val="20"/>
                <w:szCs w:val="20"/>
              </w:rPr>
              <w:t>2021/22</w:t>
            </w:r>
          </w:p>
        </w:tc>
        <w:tc>
          <w:tcPr>
            <w:tcW w:w="991" w:type="dxa"/>
            <w:shd w:val="clear" w:color="auto" w:fill="auto"/>
            <w:vAlign w:val="center"/>
          </w:tcPr>
          <w:p w:rsidR="006C4E57" w:rsidRPr="004E5697" w:rsidRDefault="006C4E57" w:rsidP="004E5697">
            <w:pPr>
              <w:spacing w:line="240" w:lineRule="auto"/>
              <w:jc w:val="left"/>
              <w:rPr>
                <w:rFonts w:ascii="Arial" w:hAnsi="Arial" w:cs="Arial"/>
                <w:b/>
                <w:sz w:val="20"/>
                <w:szCs w:val="20"/>
              </w:rPr>
            </w:pPr>
            <w:r w:rsidRPr="004E5697">
              <w:rPr>
                <w:rFonts w:ascii="Arial" w:hAnsi="Arial" w:cs="Arial"/>
                <w:b/>
                <w:sz w:val="20"/>
                <w:szCs w:val="20"/>
              </w:rPr>
              <w:t>2022/23</w:t>
            </w:r>
          </w:p>
        </w:tc>
        <w:tc>
          <w:tcPr>
            <w:tcW w:w="991" w:type="dxa"/>
            <w:shd w:val="clear" w:color="auto" w:fill="auto"/>
            <w:vAlign w:val="center"/>
          </w:tcPr>
          <w:p w:rsidR="006C4E57" w:rsidRPr="004E5697" w:rsidRDefault="006C4E57" w:rsidP="004E5697">
            <w:pPr>
              <w:spacing w:line="240" w:lineRule="auto"/>
              <w:jc w:val="left"/>
              <w:rPr>
                <w:rFonts w:ascii="Arial" w:hAnsi="Arial" w:cs="Arial"/>
                <w:b/>
                <w:sz w:val="20"/>
                <w:szCs w:val="20"/>
              </w:rPr>
            </w:pPr>
            <w:r w:rsidRPr="004E5697">
              <w:rPr>
                <w:rFonts w:ascii="Arial" w:hAnsi="Arial" w:cs="Arial"/>
                <w:b/>
                <w:sz w:val="20"/>
                <w:szCs w:val="20"/>
              </w:rPr>
              <w:t>2023/24</w:t>
            </w:r>
          </w:p>
        </w:tc>
      </w:tr>
      <w:tr w:rsidR="00A819C6" w:rsidRPr="004E5697" w:rsidTr="007A2CB3">
        <w:tc>
          <w:tcPr>
            <w:tcW w:w="6146" w:type="dxa"/>
            <w:shd w:val="clear" w:color="auto" w:fill="auto"/>
            <w:vAlign w:val="center"/>
          </w:tcPr>
          <w:p w:rsidR="006C4E57" w:rsidRPr="004E5697" w:rsidRDefault="006C4E57" w:rsidP="004E5697">
            <w:pPr>
              <w:pStyle w:val="ListParagraph"/>
              <w:numPr>
                <w:ilvl w:val="0"/>
                <w:numId w:val="4"/>
              </w:numPr>
              <w:spacing w:line="240" w:lineRule="auto"/>
              <w:ind w:left="602" w:hanging="426"/>
              <w:jc w:val="left"/>
              <w:rPr>
                <w:rFonts w:ascii="Arial" w:hAnsi="Arial" w:cs="Arial"/>
                <w:sz w:val="20"/>
                <w:szCs w:val="20"/>
              </w:rPr>
            </w:pPr>
            <w:r w:rsidRPr="004E5697">
              <w:rPr>
                <w:rFonts w:ascii="Arial" w:hAnsi="Arial" w:cs="Arial"/>
                <w:sz w:val="20"/>
                <w:szCs w:val="20"/>
              </w:rPr>
              <w:lastRenderedPageBreak/>
              <w:t>Number of investigations of deaths in police custody that are decision ready</w:t>
            </w:r>
          </w:p>
        </w:tc>
        <w:tc>
          <w:tcPr>
            <w:tcW w:w="939"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205</w:t>
            </w:r>
          </w:p>
        </w:tc>
        <w:tc>
          <w:tcPr>
            <w:tcW w:w="991" w:type="dxa"/>
            <w:shd w:val="clear" w:color="auto" w:fill="auto"/>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80</w:t>
            </w:r>
          </w:p>
        </w:tc>
        <w:tc>
          <w:tcPr>
            <w:tcW w:w="991"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150</w:t>
            </w:r>
          </w:p>
        </w:tc>
      </w:tr>
      <w:tr w:rsidR="00A819C6" w:rsidRPr="004E5697" w:rsidTr="007A2CB3">
        <w:tc>
          <w:tcPr>
            <w:tcW w:w="6146" w:type="dxa"/>
            <w:shd w:val="clear" w:color="auto" w:fill="auto"/>
            <w:vAlign w:val="center"/>
          </w:tcPr>
          <w:p w:rsidR="006C4E57" w:rsidRPr="004E5697" w:rsidRDefault="006C4E57" w:rsidP="004E5697">
            <w:pPr>
              <w:pStyle w:val="ListParagraph"/>
              <w:numPr>
                <w:ilvl w:val="0"/>
                <w:numId w:val="4"/>
              </w:numPr>
              <w:spacing w:line="240" w:lineRule="auto"/>
              <w:ind w:left="602" w:hanging="426"/>
              <w:jc w:val="left"/>
              <w:rPr>
                <w:rFonts w:ascii="Arial" w:hAnsi="Arial" w:cs="Arial"/>
                <w:sz w:val="20"/>
                <w:szCs w:val="20"/>
              </w:rPr>
            </w:pPr>
            <w:r w:rsidRPr="004E5697">
              <w:rPr>
                <w:rFonts w:ascii="Arial" w:hAnsi="Arial" w:cs="Arial"/>
                <w:sz w:val="20"/>
                <w:szCs w:val="20"/>
              </w:rPr>
              <w:t>Number of investigations of death as a result of police action that are decision ready</w:t>
            </w:r>
          </w:p>
        </w:tc>
        <w:tc>
          <w:tcPr>
            <w:tcW w:w="939"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286</w:t>
            </w:r>
          </w:p>
        </w:tc>
        <w:tc>
          <w:tcPr>
            <w:tcW w:w="991" w:type="dxa"/>
            <w:shd w:val="clear" w:color="auto" w:fill="auto"/>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240</w:t>
            </w:r>
          </w:p>
        </w:tc>
        <w:tc>
          <w:tcPr>
            <w:tcW w:w="991"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240</w:t>
            </w:r>
          </w:p>
        </w:tc>
      </w:tr>
      <w:tr w:rsidR="00A819C6" w:rsidRPr="004E5697" w:rsidTr="007A2CB3">
        <w:tc>
          <w:tcPr>
            <w:tcW w:w="6146" w:type="dxa"/>
            <w:shd w:val="clear" w:color="auto" w:fill="auto"/>
            <w:vAlign w:val="center"/>
          </w:tcPr>
          <w:p w:rsidR="006C4E57" w:rsidRPr="004E5697" w:rsidRDefault="006C4E57" w:rsidP="004E5697">
            <w:pPr>
              <w:pStyle w:val="ListParagraph"/>
              <w:numPr>
                <w:ilvl w:val="0"/>
                <w:numId w:val="4"/>
              </w:numPr>
              <w:spacing w:line="240" w:lineRule="auto"/>
              <w:ind w:left="602" w:hanging="426"/>
              <w:jc w:val="left"/>
              <w:rPr>
                <w:rFonts w:ascii="Arial" w:hAnsi="Arial" w:cs="Arial"/>
                <w:sz w:val="20"/>
                <w:szCs w:val="20"/>
              </w:rPr>
            </w:pPr>
            <w:r w:rsidRPr="004E5697">
              <w:rPr>
                <w:rFonts w:ascii="Arial" w:hAnsi="Arial" w:cs="Arial"/>
                <w:sz w:val="20"/>
                <w:szCs w:val="20"/>
              </w:rPr>
              <w:t>Number of cases for investigation of the discharge of an official firearm by a police officer that are decision ready</w:t>
            </w:r>
          </w:p>
        </w:tc>
        <w:tc>
          <w:tcPr>
            <w:tcW w:w="939"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507</w:t>
            </w:r>
          </w:p>
        </w:tc>
        <w:tc>
          <w:tcPr>
            <w:tcW w:w="991" w:type="dxa"/>
            <w:shd w:val="clear" w:color="auto" w:fill="auto"/>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370</w:t>
            </w:r>
          </w:p>
        </w:tc>
        <w:tc>
          <w:tcPr>
            <w:tcW w:w="991"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450</w:t>
            </w:r>
          </w:p>
        </w:tc>
      </w:tr>
      <w:tr w:rsidR="00A819C6" w:rsidRPr="004E5697" w:rsidTr="007A2CB3">
        <w:tc>
          <w:tcPr>
            <w:tcW w:w="6146" w:type="dxa"/>
            <w:shd w:val="clear" w:color="auto" w:fill="auto"/>
            <w:vAlign w:val="center"/>
          </w:tcPr>
          <w:p w:rsidR="006C4E57" w:rsidRPr="004E5697" w:rsidRDefault="006C4E57" w:rsidP="004E5697">
            <w:pPr>
              <w:pStyle w:val="ListParagraph"/>
              <w:numPr>
                <w:ilvl w:val="0"/>
                <w:numId w:val="4"/>
              </w:numPr>
              <w:spacing w:line="240" w:lineRule="auto"/>
              <w:ind w:left="602" w:hanging="426"/>
              <w:jc w:val="left"/>
              <w:rPr>
                <w:rFonts w:ascii="Arial" w:hAnsi="Arial" w:cs="Arial"/>
                <w:sz w:val="20"/>
                <w:szCs w:val="20"/>
              </w:rPr>
            </w:pPr>
            <w:r w:rsidRPr="004E5697">
              <w:rPr>
                <w:rFonts w:ascii="Arial" w:hAnsi="Arial" w:cs="Arial"/>
                <w:sz w:val="20"/>
                <w:szCs w:val="20"/>
              </w:rPr>
              <w:t>Number of investigations of rape by a police officer that are decision ready</w:t>
            </w:r>
          </w:p>
        </w:tc>
        <w:tc>
          <w:tcPr>
            <w:tcW w:w="939"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86</w:t>
            </w:r>
          </w:p>
        </w:tc>
        <w:tc>
          <w:tcPr>
            <w:tcW w:w="991" w:type="dxa"/>
            <w:shd w:val="clear" w:color="auto" w:fill="auto"/>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30</w:t>
            </w:r>
          </w:p>
        </w:tc>
        <w:tc>
          <w:tcPr>
            <w:tcW w:w="991"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86</w:t>
            </w:r>
          </w:p>
        </w:tc>
      </w:tr>
      <w:tr w:rsidR="00A819C6" w:rsidRPr="004E5697" w:rsidTr="007A2CB3">
        <w:tc>
          <w:tcPr>
            <w:tcW w:w="6146" w:type="dxa"/>
            <w:shd w:val="clear" w:color="auto" w:fill="auto"/>
            <w:vAlign w:val="center"/>
          </w:tcPr>
          <w:p w:rsidR="006C4E57" w:rsidRPr="004E5697" w:rsidRDefault="006C4E57" w:rsidP="004E5697">
            <w:pPr>
              <w:pStyle w:val="ListParagraph"/>
              <w:numPr>
                <w:ilvl w:val="0"/>
                <w:numId w:val="4"/>
              </w:numPr>
              <w:spacing w:line="240" w:lineRule="auto"/>
              <w:ind w:left="602" w:hanging="426"/>
              <w:jc w:val="left"/>
              <w:rPr>
                <w:rFonts w:ascii="Arial" w:hAnsi="Arial" w:cs="Arial"/>
                <w:b/>
                <w:sz w:val="20"/>
                <w:szCs w:val="20"/>
              </w:rPr>
            </w:pPr>
            <w:r w:rsidRPr="004E5697">
              <w:rPr>
                <w:rFonts w:ascii="Arial" w:hAnsi="Arial" w:cs="Arial"/>
                <w:b/>
                <w:sz w:val="20"/>
                <w:szCs w:val="20"/>
              </w:rPr>
              <w:t>Number of investigations of rape while in police custody that are decision ready</w:t>
            </w:r>
          </w:p>
        </w:tc>
        <w:tc>
          <w:tcPr>
            <w:tcW w:w="939" w:type="dxa"/>
            <w:vAlign w:val="center"/>
          </w:tcPr>
          <w:p w:rsidR="006C4E57" w:rsidRPr="004E5697" w:rsidRDefault="006C4E57" w:rsidP="004E5697">
            <w:pPr>
              <w:spacing w:line="240" w:lineRule="auto"/>
              <w:jc w:val="left"/>
              <w:rPr>
                <w:rFonts w:ascii="Arial" w:hAnsi="Arial" w:cs="Arial"/>
                <w:b/>
                <w:sz w:val="20"/>
                <w:szCs w:val="20"/>
              </w:rPr>
            </w:pPr>
            <w:r w:rsidRPr="004E5697">
              <w:rPr>
                <w:rFonts w:ascii="Arial" w:hAnsi="Arial" w:cs="Arial"/>
                <w:b/>
                <w:sz w:val="20"/>
                <w:szCs w:val="20"/>
              </w:rPr>
              <w:t>3</w:t>
            </w:r>
          </w:p>
        </w:tc>
        <w:tc>
          <w:tcPr>
            <w:tcW w:w="991" w:type="dxa"/>
            <w:shd w:val="clear" w:color="auto" w:fill="auto"/>
            <w:vAlign w:val="center"/>
          </w:tcPr>
          <w:p w:rsidR="006C4E57" w:rsidRPr="004E5697" w:rsidRDefault="006C4E57" w:rsidP="004E5697">
            <w:pPr>
              <w:spacing w:line="240" w:lineRule="auto"/>
              <w:jc w:val="left"/>
              <w:rPr>
                <w:rFonts w:ascii="Arial" w:hAnsi="Arial" w:cs="Arial"/>
                <w:b/>
                <w:sz w:val="20"/>
                <w:szCs w:val="20"/>
              </w:rPr>
            </w:pPr>
            <w:r w:rsidRPr="004E5697">
              <w:rPr>
                <w:rFonts w:ascii="Arial" w:hAnsi="Arial" w:cs="Arial"/>
                <w:b/>
                <w:sz w:val="20"/>
                <w:szCs w:val="20"/>
              </w:rPr>
              <w:t>1</w:t>
            </w:r>
          </w:p>
        </w:tc>
        <w:tc>
          <w:tcPr>
            <w:tcW w:w="991" w:type="dxa"/>
            <w:vAlign w:val="center"/>
          </w:tcPr>
          <w:p w:rsidR="006C4E57" w:rsidRPr="004E5697" w:rsidRDefault="006C4E57" w:rsidP="004E5697">
            <w:pPr>
              <w:spacing w:line="240" w:lineRule="auto"/>
              <w:jc w:val="left"/>
              <w:rPr>
                <w:rFonts w:ascii="Arial" w:hAnsi="Arial" w:cs="Arial"/>
                <w:b/>
                <w:sz w:val="20"/>
                <w:szCs w:val="20"/>
              </w:rPr>
            </w:pPr>
            <w:r w:rsidRPr="004E5697">
              <w:rPr>
                <w:rFonts w:ascii="Arial" w:hAnsi="Arial" w:cs="Arial"/>
                <w:b/>
                <w:sz w:val="20"/>
                <w:szCs w:val="20"/>
              </w:rPr>
              <w:t>1</w:t>
            </w:r>
          </w:p>
        </w:tc>
      </w:tr>
      <w:tr w:rsidR="00A819C6" w:rsidRPr="004E5697" w:rsidTr="007A2CB3">
        <w:tc>
          <w:tcPr>
            <w:tcW w:w="6146" w:type="dxa"/>
            <w:shd w:val="clear" w:color="auto" w:fill="auto"/>
            <w:vAlign w:val="center"/>
          </w:tcPr>
          <w:p w:rsidR="006C4E57" w:rsidRPr="004E5697" w:rsidRDefault="006C4E57" w:rsidP="004E5697">
            <w:pPr>
              <w:pStyle w:val="ListParagraph"/>
              <w:numPr>
                <w:ilvl w:val="0"/>
                <w:numId w:val="4"/>
              </w:numPr>
              <w:spacing w:line="240" w:lineRule="auto"/>
              <w:ind w:left="602" w:hanging="426"/>
              <w:jc w:val="left"/>
              <w:rPr>
                <w:rFonts w:ascii="Arial" w:hAnsi="Arial" w:cs="Arial"/>
                <w:sz w:val="20"/>
                <w:szCs w:val="20"/>
              </w:rPr>
            </w:pPr>
            <w:r w:rsidRPr="004E5697">
              <w:rPr>
                <w:rFonts w:ascii="Arial" w:hAnsi="Arial" w:cs="Arial"/>
                <w:sz w:val="20"/>
                <w:szCs w:val="20"/>
              </w:rPr>
              <w:t>Number of investigations of torture that are decision ready</w:t>
            </w:r>
          </w:p>
        </w:tc>
        <w:tc>
          <w:tcPr>
            <w:tcW w:w="939"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139</w:t>
            </w:r>
          </w:p>
        </w:tc>
        <w:tc>
          <w:tcPr>
            <w:tcW w:w="991" w:type="dxa"/>
            <w:shd w:val="clear" w:color="auto" w:fill="auto"/>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80</w:t>
            </w:r>
          </w:p>
        </w:tc>
        <w:tc>
          <w:tcPr>
            <w:tcW w:w="991"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139</w:t>
            </w:r>
          </w:p>
        </w:tc>
      </w:tr>
      <w:tr w:rsidR="00A819C6" w:rsidRPr="004E5697" w:rsidTr="007A2CB3">
        <w:tc>
          <w:tcPr>
            <w:tcW w:w="6146" w:type="dxa"/>
            <w:shd w:val="clear" w:color="auto" w:fill="auto"/>
            <w:vAlign w:val="center"/>
          </w:tcPr>
          <w:p w:rsidR="006C4E57" w:rsidRPr="004E5697" w:rsidRDefault="006C4E57" w:rsidP="004E5697">
            <w:pPr>
              <w:pStyle w:val="ListParagraph"/>
              <w:numPr>
                <w:ilvl w:val="0"/>
                <w:numId w:val="4"/>
              </w:numPr>
              <w:spacing w:line="240" w:lineRule="auto"/>
              <w:ind w:left="602" w:hanging="426"/>
              <w:jc w:val="left"/>
              <w:rPr>
                <w:rFonts w:ascii="Arial" w:hAnsi="Arial" w:cs="Arial"/>
                <w:sz w:val="20"/>
                <w:szCs w:val="20"/>
              </w:rPr>
            </w:pPr>
            <w:r w:rsidRPr="004E5697">
              <w:rPr>
                <w:rFonts w:ascii="Arial" w:hAnsi="Arial" w:cs="Arial"/>
                <w:sz w:val="20"/>
                <w:szCs w:val="20"/>
              </w:rPr>
              <w:t>Number of investigations of assault that are decision ready</w:t>
            </w:r>
          </w:p>
        </w:tc>
        <w:tc>
          <w:tcPr>
            <w:tcW w:w="939"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2 569</w:t>
            </w:r>
          </w:p>
        </w:tc>
        <w:tc>
          <w:tcPr>
            <w:tcW w:w="991" w:type="dxa"/>
            <w:shd w:val="clear" w:color="auto" w:fill="auto"/>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2 000</w:t>
            </w:r>
          </w:p>
        </w:tc>
        <w:tc>
          <w:tcPr>
            <w:tcW w:w="991"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2 500</w:t>
            </w:r>
          </w:p>
        </w:tc>
      </w:tr>
      <w:tr w:rsidR="00A819C6" w:rsidRPr="004E5697" w:rsidTr="007A2CB3">
        <w:tc>
          <w:tcPr>
            <w:tcW w:w="6146" w:type="dxa"/>
            <w:shd w:val="clear" w:color="auto" w:fill="auto"/>
            <w:vAlign w:val="center"/>
          </w:tcPr>
          <w:p w:rsidR="006C4E57" w:rsidRPr="004E5697" w:rsidRDefault="006C4E57" w:rsidP="004E5697">
            <w:pPr>
              <w:pStyle w:val="ListParagraph"/>
              <w:numPr>
                <w:ilvl w:val="0"/>
                <w:numId w:val="4"/>
              </w:numPr>
              <w:spacing w:line="240" w:lineRule="auto"/>
              <w:ind w:left="602" w:hanging="426"/>
              <w:jc w:val="left"/>
              <w:rPr>
                <w:rFonts w:ascii="Arial" w:hAnsi="Arial" w:cs="Arial"/>
                <w:sz w:val="20"/>
                <w:szCs w:val="20"/>
              </w:rPr>
            </w:pPr>
            <w:r w:rsidRPr="004E5697">
              <w:rPr>
                <w:rFonts w:ascii="Arial" w:hAnsi="Arial" w:cs="Arial"/>
                <w:sz w:val="20"/>
                <w:szCs w:val="20"/>
              </w:rPr>
              <w:t>Number of investigations of corruption that are decision ready</w:t>
            </w:r>
          </w:p>
        </w:tc>
        <w:tc>
          <w:tcPr>
            <w:tcW w:w="939"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90</w:t>
            </w:r>
          </w:p>
        </w:tc>
        <w:tc>
          <w:tcPr>
            <w:tcW w:w="991" w:type="dxa"/>
            <w:shd w:val="clear" w:color="auto" w:fill="auto"/>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70</w:t>
            </w:r>
          </w:p>
        </w:tc>
        <w:tc>
          <w:tcPr>
            <w:tcW w:w="991"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70</w:t>
            </w:r>
          </w:p>
        </w:tc>
      </w:tr>
      <w:tr w:rsidR="00A819C6" w:rsidRPr="004E5697" w:rsidTr="007A2CB3">
        <w:tc>
          <w:tcPr>
            <w:tcW w:w="6146" w:type="dxa"/>
            <w:shd w:val="clear" w:color="auto" w:fill="auto"/>
            <w:vAlign w:val="center"/>
          </w:tcPr>
          <w:p w:rsidR="006C4E57" w:rsidRPr="004E5697" w:rsidRDefault="006C4E57" w:rsidP="004E5697">
            <w:pPr>
              <w:pStyle w:val="ListParagraph"/>
              <w:numPr>
                <w:ilvl w:val="0"/>
                <w:numId w:val="4"/>
              </w:numPr>
              <w:spacing w:line="240" w:lineRule="auto"/>
              <w:ind w:left="602" w:hanging="426"/>
              <w:jc w:val="left"/>
              <w:rPr>
                <w:rFonts w:ascii="Arial" w:hAnsi="Arial" w:cs="Arial"/>
                <w:sz w:val="20"/>
                <w:szCs w:val="20"/>
              </w:rPr>
            </w:pPr>
            <w:r w:rsidRPr="004E5697">
              <w:rPr>
                <w:rFonts w:ascii="Arial" w:hAnsi="Arial" w:cs="Arial"/>
                <w:sz w:val="20"/>
                <w:szCs w:val="20"/>
              </w:rPr>
              <w:t>Number of investigations of other criminal and misconduct matters referred to the Directorate in terms of s28(1)(h) and s35(1)(c) of the IPID Act that are decision read</w:t>
            </w:r>
          </w:p>
        </w:tc>
        <w:tc>
          <w:tcPr>
            <w:tcW w:w="939"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99</w:t>
            </w:r>
          </w:p>
        </w:tc>
        <w:tc>
          <w:tcPr>
            <w:tcW w:w="991" w:type="dxa"/>
            <w:shd w:val="clear" w:color="auto" w:fill="auto"/>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30</w:t>
            </w:r>
          </w:p>
        </w:tc>
        <w:tc>
          <w:tcPr>
            <w:tcW w:w="991"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100</w:t>
            </w:r>
          </w:p>
        </w:tc>
      </w:tr>
      <w:tr w:rsidR="00A819C6" w:rsidRPr="004E5697" w:rsidTr="007A2CB3">
        <w:tc>
          <w:tcPr>
            <w:tcW w:w="6146" w:type="dxa"/>
            <w:shd w:val="clear" w:color="auto" w:fill="auto"/>
            <w:vAlign w:val="center"/>
          </w:tcPr>
          <w:p w:rsidR="006C4E57" w:rsidRPr="004E5697" w:rsidRDefault="006C4E57" w:rsidP="004E5697">
            <w:pPr>
              <w:pStyle w:val="ListParagraph"/>
              <w:numPr>
                <w:ilvl w:val="0"/>
                <w:numId w:val="4"/>
              </w:numPr>
              <w:spacing w:line="240" w:lineRule="auto"/>
              <w:ind w:left="602" w:hanging="426"/>
              <w:jc w:val="left"/>
              <w:rPr>
                <w:rFonts w:ascii="Arial" w:hAnsi="Arial" w:cs="Arial"/>
                <w:sz w:val="20"/>
                <w:szCs w:val="20"/>
              </w:rPr>
            </w:pPr>
            <w:r w:rsidRPr="004E5697">
              <w:rPr>
                <w:rFonts w:ascii="Arial" w:hAnsi="Arial" w:cs="Arial"/>
                <w:sz w:val="20"/>
                <w:szCs w:val="20"/>
              </w:rPr>
              <w:t>Number of investigations of offences referred to in section 33 of the IPID Act that are decision ready</w:t>
            </w:r>
          </w:p>
        </w:tc>
        <w:tc>
          <w:tcPr>
            <w:tcW w:w="939"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28</w:t>
            </w:r>
          </w:p>
        </w:tc>
        <w:tc>
          <w:tcPr>
            <w:tcW w:w="991" w:type="dxa"/>
            <w:shd w:val="clear" w:color="auto" w:fill="auto"/>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15</w:t>
            </w:r>
          </w:p>
        </w:tc>
        <w:tc>
          <w:tcPr>
            <w:tcW w:w="991"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30</w:t>
            </w:r>
          </w:p>
        </w:tc>
      </w:tr>
      <w:tr w:rsidR="00A819C6" w:rsidRPr="004E5697" w:rsidTr="007A2CB3">
        <w:tc>
          <w:tcPr>
            <w:tcW w:w="6146" w:type="dxa"/>
            <w:shd w:val="clear" w:color="auto" w:fill="auto"/>
            <w:vAlign w:val="center"/>
          </w:tcPr>
          <w:p w:rsidR="006C4E57" w:rsidRPr="004E5697" w:rsidRDefault="006C4E57" w:rsidP="004E5697">
            <w:pPr>
              <w:pStyle w:val="ListParagraph"/>
              <w:numPr>
                <w:ilvl w:val="0"/>
                <w:numId w:val="4"/>
              </w:numPr>
              <w:spacing w:line="240" w:lineRule="auto"/>
              <w:ind w:left="602" w:hanging="426"/>
              <w:jc w:val="left"/>
              <w:rPr>
                <w:rFonts w:ascii="Arial" w:hAnsi="Arial" w:cs="Arial"/>
                <w:sz w:val="20"/>
                <w:szCs w:val="20"/>
              </w:rPr>
            </w:pPr>
            <w:r w:rsidRPr="004E5697">
              <w:rPr>
                <w:rFonts w:ascii="Arial" w:hAnsi="Arial" w:cs="Arial"/>
                <w:sz w:val="20"/>
                <w:szCs w:val="20"/>
              </w:rPr>
              <w:t xml:space="preserve">Number of approved systemic corruption cases that are decision ready </w:t>
            </w:r>
          </w:p>
        </w:tc>
        <w:tc>
          <w:tcPr>
            <w:tcW w:w="939"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3</w:t>
            </w:r>
          </w:p>
        </w:tc>
        <w:tc>
          <w:tcPr>
            <w:tcW w:w="991" w:type="dxa"/>
            <w:shd w:val="clear" w:color="auto" w:fill="auto"/>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1</w:t>
            </w:r>
          </w:p>
        </w:tc>
        <w:tc>
          <w:tcPr>
            <w:tcW w:w="991"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1</w:t>
            </w:r>
          </w:p>
        </w:tc>
      </w:tr>
      <w:tr w:rsidR="00A819C6" w:rsidRPr="004E5697" w:rsidTr="007A2CB3">
        <w:tc>
          <w:tcPr>
            <w:tcW w:w="6146" w:type="dxa"/>
            <w:shd w:val="clear" w:color="auto" w:fill="auto"/>
            <w:vAlign w:val="center"/>
          </w:tcPr>
          <w:p w:rsidR="006C4E57" w:rsidRPr="004E5697" w:rsidRDefault="006C4E57" w:rsidP="004E5697">
            <w:pPr>
              <w:pStyle w:val="ListParagraph"/>
              <w:numPr>
                <w:ilvl w:val="0"/>
                <w:numId w:val="4"/>
              </w:numPr>
              <w:spacing w:line="240" w:lineRule="auto"/>
              <w:ind w:left="602" w:hanging="426"/>
              <w:jc w:val="left"/>
              <w:rPr>
                <w:rFonts w:ascii="Arial" w:hAnsi="Arial" w:cs="Arial"/>
                <w:sz w:val="20"/>
                <w:szCs w:val="20"/>
              </w:rPr>
            </w:pPr>
            <w:r w:rsidRPr="004E5697">
              <w:rPr>
                <w:rFonts w:ascii="Arial" w:hAnsi="Arial" w:cs="Arial"/>
                <w:sz w:val="20"/>
                <w:szCs w:val="20"/>
              </w:rPr>
              <w:t xml:space="preserve">Number of cell inspections conducted at police stations per year </w:t>
            </w:r>
            <w:r w:rsidRPr="004E5697">
              <w:rPr>
                <w:rFonts w:ascii="Arial" w:hAnsi="Arial" w:cs="Arial"/>
                <w:b/>
                <w:i/>
                <w:sz w:val="20"/>
                <w:szCs w:val="20"/>
              </w:rPr>
              <w:t>(New indicator)</w:t>
            </w:r>
          </w:p>
        </w:tc>
        <w:tc>
          <w:tcPr>
            <w:tcW w:w="939"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N/A</w:t>
            </w:r>
          </w:p>
        </w:tc>
        <w:tc>
          <w:tcPr>
            <w:tcW w:w="991" w:type="dxa"/>
            <w:shd w:val="clear" w:color="auto" w:fill="auto"/>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N/A</w:t>
            </w:r>
          </w:p>
        </w:tc>
        <w:tc>
          <w:tcPr>
            <w:tcW w:w="991"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108</w:t>
            </w:r>
          </w:p>
        </w:tc>
      </w:tr>
      <w:tr w:rsidR="00A819C6" w:rsidRPr="004E5697" w:rsidTr="007A2CB3">
        <w:tc>
          <w:tcPr>
            <w:tcW w:w="6146" w:type="dxa"/>
            <w:shd w:val="clear" w:color="auto" w:fill="auto"/>
            <w:vAlign w:val="center"/>
          </w:tcPr>
          <w:p w:rsidR="006C4E57" w:rsidRPr="004E5697" w:rsidRDefault="006C4E57" w:rsidP="004E5697">
            <w:pPr>
              <w:pStyle w:val="ListParagraph"/>
              <w:numPr>
                <w:ilvl w:val="0"/>
                <w:numId w:val="4"/>
              </w:numPr>
              <w:spacing w:line="240" w:lineRule="auto"/>
              <w:ind w:left="602" w:hanging="426"/>
              <w:jc w:val="left"/>
              <w:rPr>
                <w:rFonts w:ascii="Arial" w:hAnsi="Arial" w:cs="Arial"/>
                <w:sz w:val="20"/>
                <w:szCs w:val="20"/>
              </w:rPr>
            </w:pPr>
            <w:r w:rsidRPr="004E5697">
              <w:rPr>
                <w:rFonts w:ascii="Arial" w:hAnsi="Arial" w:cs="Arial"/>
                <w:sz w:val="20"/>
                <w:szCs w:val="20"/>
              </w:rPr>
              <w:t xml:space="preserve">Percentage of criminal recommendation reports referred to the NPA within 30 days of recommendation report being signed off </w:t>
            </w:r>
          </w:p>
        </w:tc>
        <w:tc>
          <w:tcPr>
            <w:tcW w:w="939"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92%</w:t>
            </w: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(2 237)</w:t>
            </w:r>
          </w:p>
        </w:tc>
        <w:tc>
          <w:tcPr>
            <w:tcW w:w="991" w:type="dxa"/>
            <w:shd w:val="clear" w:color="auto" w:fill="auto"/>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90%</w:t>
            </w:r>
          </w:p>
        </w:tc>
        <w:tc>
          <w:tcPr>
            <w:tcW w:w="991"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90%</w:t>
            </w:r>
          </w:p>
        </w:tc>
      </w:tr>
      <w:tr w:rsidR="00A819C6" w:rsidRPr="004E5697" w:rsidTr="007A2CB3">
        <w:tc>
          <w:tcPr>
            <w:tcW w:w="6146" w:type="dxa"/>
            <w:shd w:val="clear" w:color="auto" w:fill="auto"/>
            <w:vAlign w:val="center"/>
          </w:tcPr>
          <w:p w:rsidR="006C4E57" w:rsidRPr="004E5697" w:rsidRDefault="006C4E57" w:rsidP="004E5697">
            <w:pPr>
              <w:pStyle w:val="ListParagraph"/>
              <w:numPr>
                <w:ilvl w:val="0"/>
                <w:numId w:val="4"/>
              </w:numPr>
              <w:spacing w:line="240" w:lineRule="auto"/>
              <w:ind w:left="602" w:hanging="426"/>
              <w:jc w:val="left"/>
              <w:rPr>
                <w:rFonts w:ascii="Arial" w:hAnsi="Arial" w:cs="Arial"/>
                <w:sz w:val="20"/>
                <w:szCs w:val="20"/>
              </w:rPr>
            </w:pPr>
            <w:r w:rsidRPr="004E5697">
              <w:rPr>
                <w:rFonts w:ascii="Arial" w:hAnsi="Arial" w:cs="Arial"/>
                <w:sz w:val="20"/>
                <w:szCs w:val="20"/>
              </w:rPr>
              <w:t xml:space="preserve">Percentage of disciplinary recommendation reports referred to the SAPS or MPS within 30 days of recommendation report being signed </w:t>
            </w:r>
          </w:p>
        </w:tc>
        <w:tc>
          <w:tcPr>
            <w:tcW w:w="939"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90%</w:t>
            </w: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(2 308)</w:t>
            </w:r>
          </w:p>
        </w:tc>
        <w:tc>
          <w:tcPr>
            <w:tcW w:w="991" w:type="dxa"/>
            <w:shd w:val="clear" w:color="auto" w:fill="auto"/>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90%</w:t>
            </w:r>
          </w:p>
        </w:tc>
        <w:tc>
          <w:tcPr>
            <w:tcW w:w="991"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90%</w:t>
            </w:r>
          </w:p>
        </w:tc>
      </w:tr>
    </w:tbl>
    <w:p w:rsidR="006C4E57" w:rsidRPr="004E5697" w:rsidRDefault="006C4E57" w:rsidP="004E5697">
      <w:pPr>
        <w:spacing w:line="240" w:lineRule="auto"/>
        <w:jc w:val="left"/>
        <w:rPr>
          <w:rFonts w:ascii="Arial" w:hAnsi="Arial" w:cs="Arial"/>
          <w:i/>
          <w:sz w:val="20"/>
          <w:szCs w:val="20"/>
        </w:rPr>
      </w:pPr>
      <w:r w:rsidRPr="004E5697">
        <w:rPr>
          <w:rFonts w:ascii="Arial" w:hAnsi="Arial" w:cs="Arial"/>
          <w:i/>
          <w:sz w:val="20"/>
          <w:szCs w:val="20"/>
        </w:rPr>
        <w:t>Source: IPID 2023/24 APP</w:t>
      </w:r>
    </w:p>
    <w:p w:rsidR="006C4E57" w:rsidRPr="004E5697" w:rsidRDefault="006C4E57" w:rsidP="004E5697">
      <w:pPr>
        <w:autoSpaceDE w:val="0"/>
        <w:autoSpaceDN w:val="0"/>
        <w:adjustRightInd w:val="0"/>
        <w:spacing w:line="240" w:lineRule="auto"/>
        <w:jc w:val="left"/>
        <w:rPr>
          <w:rFonts w:ascii="Arial" w:hAnsi="Arial" w:cs="Arial"/>
          <w:color w:val="000000"/>
          <w:sz w:val="20"/>
          <w:szCs w:val="20"/>
          <w:lang w:eastAsia="en-ZA"/>
        </w:rPr>
      </w:pPr>
    </w:p>
    <w:p w:rsidR="006C4E57" w:rsidRPr="004E5697" w:rsidRDefault="006C4E57" w:rsidP="004E5697">
      <w:pPr>
        <w:autoSpaceDE w:val="0"/>
        <w:autoSpaceDN w:val="0"/>
        <w:adjustRightInd w:val="0"/>
        <w:spacing w:line="240" w:lineRule="auto"/>
        <w:jc w:val="left"/>
        <w:rPr>
          <w:rFonts w:ascii="Arial" w:eastAsia="MyriadPro-Light" w:hAnsi="Arial" w:cs="Arial"/>
          <w:sz w:val="20"/>
          <w:szCs w:val="20"/>
          <w:lang w:eastAsia="en-ZA"/>
        </w:rPr>
      </w:pPr>
      <w:r w:rsidRPr="004E5697">
        <w:rPr>
          <w:rFonts w:ascii="Arial" w:hAnsi="Arial" w:cs="Arial"/>
          <w:color w:val="000000"/>
          <w:sz w:val="20"/>
          <w:szCs w:val="20"/>
          <w:lang w:eastAsia="en-ZA"/>
        </w:rPr>
        <w:t xml:space="preserve">The IPID appointed Quality Assurers and Contract workers as part of its </w:t>
      </w:r>
      <w:r w:rsidRPr="004E5697">
        <w:rPr>
          <w:rFonts w:ascii="Arial" w:eastAsia="MyriadPro-Light" w:hAnsi="Arial" w:cs="Arial"/>
          <w:sz w:val="20"/>
          <w:szCs w:val="20"/>
          <w:lang w:eastAsia="en-ZA"/>
        </w:rPr>
        <w:t>Backlog Strategy to reduce the IPIDs increasing backlog in the finalisation of cases. During the 2022/2023 financial year, by 14 February 2023, the IPID had a total of 14 063 active cases. Of these, 3 212 are cases that were registered between 01 April 2022 to 14 February 2023; and 10 851 (77%) are backlog cases.</w:t>
      </w:r>
    </w:p>
    <w:p w:rsidR="006C4E57" w:rsidRPr="004E5697" w:rsidRDefault="006C4E57" w:rsidP="004E5697">
      <w:pPr>
        <w:autoSpaceDE w:val="0"/>
        <w:autoSpaceDN w:val="0"/>
        <w:adjustRightInd w:val="0"/>
        <w:spacing w:line="240" w:lineRule="auto"/>
        <w:jc w:val="left"/>
        <w:rPr>
          <w:rFonts w:ascii="Arial" w:hAnsi="Arial" w:cs="Arial"/>
          <w:sz w:val="20"/>
          <w:szCs w:val="20"/>
          <w:lang w:eastAsia="en-ZA"/>
        </w:rPr>
      </w:pPr>
    </w:p>
    <w:p w:rsidR="006C4E57" w:rsidRPr="004E5697" w:rsidRDefault="006C4E57" w:rsidP="004E5697">
      <w:pPr>
        <w:pStyle w:val="Heading2"/>
        <w:numPr>
          <w:ilvl w:val="2"/>
          <w:numId w:val="10"/>
        </w:numPr>
        <w:spacing w:before="0" w:line="240" w:lineRule="auto"/>
        <w:rPr>
          <w:rFonts w:ascii="Arial" w:hAnsi="Arial" w:cs="Arial"/>
          <w:sz w:val="20"/>
          <w:szCs w:val="20"/>
          <w:lang w:eastAsia="en-ZA"/>
        </w:rPr>
      </w:pPr>
      <w:bookmarkStart w:id="13" w:name="_Toc132694870"/>
      <w:r w:rsidRPr="004E5697">
        <w:rPr>
          <w:rFonts w:ascii="Arial" w:hAnsi="Arial" w:cs="Arial"/>
          <w:sz w:val="20"/>
          <w:szCs w:val="20"/>
          <w:lang w:eastAsia="en-ZA"/>
        </w:rPr>
        <w:t>Case Management System (CMS)</w:t>
      </w:r>
      <w:bookmarkEnd w:id="13"/>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autoSpaceDE w:val="0"/>
        <w:autoSpaceDN w:val="0"/>
        <w:adjustRightInd w:val="0"/>
        <w:spacing w:line="240" w:lineRule="auto"/>
        <w:jc w:val="left"/>
        <w:rPr>
          <w:rFonts w:ascii="Arial" w:hAnsi="Arial" w:cs="Arial"/>
          <w:sz w:val="20"/>
          <w:szCs w:val="20"/>
          <w:lang w:eastAsia="en-ZA"/>
        </w:rPr>
      </w:pPr>
      <w:r w:rsidRPr="004E5697">
        <w:rPr>
          <w:rFonts w:ascii="Arial" w:hAnsi="Arial" w:cs="Arial"/>
          <w:sz w:val="20"/>
          <w:szCs w:val="20"/>
          <w:lang w:eastAsia="en-ZA"/>
        </w:rPr>
        <w:t>The IPIDs current Case Management System is outdated and requires costly updates and the payment of licensing fees. Over the medium-term, the IPID plans to develop a new CMS to integrate with similar systems used by other law enforcement agencies in the Justice Cluster improve information sharing and collaboration on investigations. The new CMS holds many advantages such as the capability to record and classify cases according to specific categories of importance, such as gender</w:t>
      </w:r>
      <w:r w:rsidRPr="004E5697">
        <w:rPr>
          <w:rFonts w:cs="Arial"/>
          <w:sz w:val="20"/>
          <w:szCs w:val="20"/>
          <w:lang w:eastAsia="en-ZA"/>
        </w:rPr>
        <w:t>‐</w:t>
      </w:r>
      <w:r w:rsidRPr="004E5697">
        <w:rPr>
          <w:rFonts w:ascii="Arial" w:hAnsi="Arial" w:cs="Arial"/>
          <w:sz w:val="20"/>
          <w:szCs w:val="20"/>
          <w:lang w:eastAsia="en-ZA"/>
        </w:rPr>
        <w:t xml:space="preserve">based violence, to ensure easier tracking and reporting. The new system is also expected to address inconsistencies in performance reporting. The new system is expected to be developed at a cost of R15 million in the </w:t>
      </w:r>
      <w:r w:rsidRPr="004E5697">
        <w:rPr>
          <w:rFonts w:ascii="Arial" w:hAnsi="Arial" w:cs="Arial"/>
          <w:i/>
          <w:iCs/>
          <w:sz w:val="20"/>
          <w:szCs w:val="20"/>
          <w:lang w:eastAsia="en-ZA"/>
        </w:rPr>
        <w:t xml:space="preserve">Investigation and Information Management </w:t>
      </w:r>
      <w:r w:rsidRPr="004E5697">
        <w:rPr>
          <w:rFonts w:ascii="Arial" w:hAnsi="Arial" w:cs="Arial"/>
          <w:sz w:val="20"/>
          <w:szCs w:val="20"/>
          <w:lang w:eastAsia="en-ZA"/>
        </w:rPr>
        <w:t xml:space="preserve">programme, </w:t>
      </w:r>
      <w:r w:rsidRPr="004E5697">
        <w:rPr>
          <w:rFonts w:ascii="Arial" w:eastAsia="MyriadPro-Light" w:hAnsi="Arial" w:cs="Arial"/>
          <w:sz w:val="20"/>
          <w:szCs w:val="20"/>
          <w:lang w:eastAsia="en-ZA"/>
        </w:rPr>
        <w:t xml:space="preserve">which has a total budget of R741.8 million over the medium term. </w:t>
      </w:r>
      <w:r w:rsidRPr="004E5697">
        <w:rPr>
          <w:rFonts w:ascii="Arial" w:hAnsi="Arial" w:cs="Arial"/>
          <w:sz w:val="20"/>
          <w:szCs w:val="20"/>
          <w:lang w:eastAsia="en-ZA"/>
        </w:rPr>
        <w:t>T</w:t>
      </w:r>
      <w:r w:rsidRPr="004E5697">
        <w:rPr>
          <w:rFonts w:ascii="Arial" w:eastAsia="MyriadPro-Light" w:hAnsi="Arial" w:cs="Arial"/>
          <w:sz w:val="20"/>
          <w:szCs w:val="20"/>
          <w:lang w:eastAsia="en-ZA"/>
        </w:rPr>
        <w:t xml:space="preserve">he Directorate will own the system upon completion, and updates to its specifications will be developed in-house. </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pStyle w:val="Heading2"/>
        <w:numPr>
          <w:ilvl w:val="1"/>
          <w:numId w:val="10"/>
        </w:numPr>
        <w:spacing w:before="0" w:line="240" w:lineRule="auto"/>
        <w:rPr>
          <w:rFonts w:ascii="Arial" w:hAnsi="Arial" w:cs="Arial"/>
          <w:sz w:val="20"/>
          <w:szCs w:val="20"/>
        </w:rPr>
      </w:pPr>
      <w:bookmarkStart w:id="14" w:name="_Toc132694871"/>
      <w:r w:rsidRPr="004E5697">
        <w:rPr>
          <w:rFonts w:ascii="Arial" w:hAnsi="Arial" w:cs="Arial"/>
          <w:sz w:val="20"/>
          <w:szCs w:val="20"/>
        </w:rPr>
        <w:t>Legal and Investigation Advisory Services Programme</w:t>
      </w:r>
      <w:bookmarkEnd w:id="14"/>
      <w:r w:rsidRPr="004E5697">
        <w:rPr>
          <w:rFonts w:ascii="Arial" w:hAnsi="Arial" w:cs="Arial"/>
          <w:sz w:val="20"/>
          <w:szCs w:val="20"/>
        </w:rPr>
        <w:t xml:space="preserve">  </w:t>
      </w:r>
    </w:p>
    <w:p w:rsidR="006C4E57" w:rsidRPr="004E5697" w:rsidRDefault="006C4E57" w:rsidP="004E5697">
      <w:pPr>
        <w:pStyle w:val="Pa7"/>
        <w:spacing w:line="240" w:lineRule="auto"/>
        <w:rPr>
          <w:sz w:val="20"/>
          <w:szCs w:val="20"/>
          <w:lang w:eastAsia="en-US"/>
        </w:rPr>
      </w:pPr>
    </w:p>
    <w:p w:rsidR="006C4E57" w:rsidRPr="004E5697" w:rsidRDefault="006C4E57" w:rsidP="004E5697">
      <w:pPr>
        <w:pStyle w:val="Pa7"/>
        <w:spacing w:line="240" w:lineRule="auto"/>
        <w:rPr>
          <w:rStyle w:val="A7"/>
          <w:rFonts w:cs="Arial"/>
          <w:color w:val="auto"/>
        </w:rPr>
      </w:pPr>
      <w:r w:rsidRPr="004E5697">
        <w:rPr>
          <w:rStyle w:val="A7"/>
          <w:rFonts w:cs="Arial"/>
          <w:color w:val="auto"/>
        </w:rPr>
        <w:lastRenderedPageBreak/>
        <w:t>The purpose of the Programme is to manage and facilitate the provision of investigation advisory services and to provide legal, civil and labour litigation services. The programme consists of the following three sub-programmes:</w:t>
      </w:r>
    </w:p>
    <w:p w:rsidR="006C4E57" w:rsidRPr="004E5697" w:rsidRDefault="006C4E57" w:rsidP="004E5697">
      <w:pPr>
        <w:pStyle w:val="Pa7"/>
        <w:numPr>
          <w:ilvl w:val="0"/>
          <w:numId w:val="7"/>
        </w:numPr>
        <w:spacing w:line="240" w:lineRule="auto"/>
        <w:rPr>
          <w:rStyle w:val="A7"/>
          <w:rFonts w:cs="Arial"/>
          <w:color w:val="auto"/>
        </w:rPr>
      </w:pPr>
      <w:r w:rsidRPr="004E5697">
        <w:rPr>
          <w:rStyle w:val="A7"/>
          <w:rFonts w:cs="Arial"/>
          <w:bCs/>
          <w:color w:val="auto"/>
        </w:rPr>
        <w:t xml:space="preserve">Legal Support and Administration: </w:t>
      </w:r>
      <w:r w:rsidRPr="004E5697">
        <w:rPr>
          <w:rStyle w:val="A7"/>
          <w:rFonts w:cs="Arial"/>
          <w:color w:val="auto"/>
        </w:rPr>
        <w:t xml:space="preserve">The sub-programme manages the Directorate’s legal obligations by developing and maintaining systems, procedures and standards to assist, guide and direct legal support within the Directorate. </w:t>
      </w:r>
    </w:p>
    <w:p w:rsidR="006C4E57" w:rsidRPr="004E5697" w:rsidRDefault="006C4E57" w:rsidP="004E5697">
      <w:pPr>
        <w:pStyle w:val="Pa7"/>
        <w:numPr>
          <w:ilvl w:val="0"/>
          <w:numId w:val="7"/>
        </w:numPr>
        <w:spacing w:line="240" w:lineRule="auto"/>
        <w:rPr>
          <w:sz w:val="20"/>
          <w:szCs w:val="20"/>
        </w:rPr>
      </w:pPr>
      <w:r w:rsidRPr="004E5697">
        <w:rPr>
          <w:rStyle w:val="A7"/>
          <w:rFonts w:cs="Arial"/>
          <w:bCs/>
          <w:color w:val="auto"/>
        </w:rPr>
        <w:t xml:space="preserve">Litigation Advisory Services: </w:t>
      </w:r>
      <w:r w:rsidRPr="004E5697">
        <w:rPr>
          <w:rStyle w:val="A7"/>
          <w:rFonts w:cs="Arial"/>
          <w:color w:val="auto"/>
        </w:rPr>
        <w:t>The sub-programme coordinates civil and labour litigation, and grants policing powers. Other key activities and outputs include finalising contracts and service level agreements.</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 xml:space="preserve">The table below summarises the four programme performance indicators and targets of the </w:t>
      </w:r>
      <w:r w:rsidRPr="004E5697">
        <w:rPr>
          <w:rFonts w:ascii="Arial" w:hAnsi="Arial" w:cs="Arial"/>
          <w:i/>
          <w:sz w:val="20"/>
          <w:szCs w:val="20"/>
        </w:rPr>
        <w:t xml:space="preserve">Legal and Advisory Services </w:t>
      </w:r>
      <w:r w:rsidRPr="004E5697">
        <w:rPr>
          <w:rFonts w:ascii="Arial" w:hAnsi="Arial" w:cs="Arial"/>
          <w:sz w:val="20"/>
          <w:szCs w:val="20"/>
        </w:rPr>
        <w:t>Programme:</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b/>
          <w:i/>
          <w:sz w:val="20"/>
          <w:szCs w:val="20"/>
        </w:rPr>
      </w:pPr>
      <w:r w:rsidRPr="004E5697">
        <w:rPr>
          <w:rFonts w:ascii="Arial" w:hAnsi="Arial" w:cs="Arial"/>
          <w:b/>
          <w:i/>
          <w:sz w:val="20"/>
          <w:szCs w:val="20"/>
        </w:rPr>
        <w:t xml:space="preserve">Table 14: Programme Performance Indicators and Targets: </w:t>
      </w:r>
      <w:r w:rsidRPr="004E5697">
        <w:rPr>
          <w:rFonts w:ascii="Arial" w:hAnsi="Arial" w:cs="Arial"/>
          <w:b/>
          <w:i/>
          <w:sz w:val="20"/>
          <w:szCs w:val="20"/>
          <w:lang w:eastAsia="en-ZA"/>
        </w:rPr>
        <w:t>Legal Services</w:t>
      </w:r>
    </w:p>
    <w:tbl>
      <w:tblPr>
        <w:tblStyle w:val="TableGrid"/>
        <w:tblW w:w="901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tblPr>
      <w:tblGrid>
        <w:gridCol w:w="5214"/>
        <w:gridCol w:w="1428"/>
        <w:gridCol w:w="1429"/>
        <w:gridCol w:w="945"/>
      </w:tblGrid>
      <w:tr w:rsidR="006C4E57" w:rsidRPr="004E5697" w:rsidTr="007A2CB3">
        <w:trPr>
          <w:tblHeader/>
        </w:trPr>
        <w:tc>
          <w:tcPr>
            <w:tcW w:w="5240" w:type="dxa"/>
            <w:shd w:val="clear" w:color="auto" w:fill="C5E0B3" w:themeFill="accent6" w:themeFillTint="66"/>
            <w:vAlign w:val="center"/>
          </w:tcPr>
          <w:p w:rsidR="006C4E57" w:rsidRPr="004E5697" w:rsidRDefault="006C4E57" w:rsidP="004E5697">
            <w:pPr>
              <w:spacing w:line="240" w:lineRule="auto"/>
              <w:jc w:val="left"/>
              <w:rPr>
                <w:rFonts w:ascii="Arial" w:hAnsi="Arial" w:cs="Arial"/>
                <w:b/>
                <w:sz w:val="20"/>
                <w:szCs w:val="20"/>
              </w:rPr>
            </w:pPr>
            <w:r w:rsidRPr="004E5697">
              <w:rPr>
                <w:rFonts w:ascii="Arial" w:hAnsi="Arial" w:cs="Arial"/>
                <w:b/>
                <w:sz w:val="20"/>
                <w:szCs w:val="20"/>
              </w:rPr>
              <w:t>Performance Indicator</w:t>
            </w:r>
          </w:p>
        </w:tc>
        <w:tc>
          <w:tcPr>
            <w:tcW w:w="1402" w:type="dxa"/>
            <w:shd w:val="clear" w:color="auto" w:fill="C5E0B3" w:themeFill="accent6" w:themeFillTint="66"/>
            <w:vAlign w:val="center"/>
          </w:tcPr>
          <w:p w:rsidR="006C4E57" w:rsidRPr="004E5697" w:rsidRDefault="006C4E57" w:rsidP="004E5697">
            <w:pPr>
              <w:spacing w:line="240" w:lineRule="auto"/>
              <w:jc w:val="left"/>
              <w:rPr>
                <w:rFonts w:ascii="Arial" w:hAnsi="Arial" w:cs="Arial"/>
                <w:b/>
                <w:sz w:val="20"/>
                <w:szCs w:val="20"/>
              </w:rPr>
            </w:pPr>
            <w:r w:rsidRPr="004E5697">
              <w:rPr>
                <w:rFonts w:ascii="Arial" w:hAnsi="Arial" w:cs="Arial"/>
                <w:b/>
                <w:sz w:val="20"/>
                <w:szCs w:val="20"/>
              </w:rPr>
              <w:t xml:space="preserve">Audited performance 2021/22 </w:t>
            </w:r>
          </w:p>
        </w:tc>
        <w:tc>
          <w:tcPr>
            <w:tcW w:w="1429" w:type="dxa"/>
            <w:shd w:val="clear" w:color="auto" w:fill="C5E0B3" w:themeFill="accent6" w:themeFillTint="66"/>
            <w:vAlign w:val="center"/>
          </w:tcPr>
          <w:p w:rsidR="006C4E57" w:rsidRPr="004E5697" w:rsidRDefault="006C4E57" w:rsidP="004E5697">
            <w:pPr>
              <w:spacing w:line="240" w:lineRule="auto"/>
              <w:jc w:val="left"/>
              <w:rPr>
                <w:rFonts w:ascii="Arial" w:hAnsi="Arial" w:cs="Arial"/>
                <w:b/>
                <w:sz w:val="20"/>
                <w:szCs w:val="20"/>
              </w:rPr>
            </w:pPr>
            <w:r w:rsidRPr="004E5697">
              <w:rPr>
                <w:rFonts w:ascii="Arial" w:hAnsi="Arial" w:cs="Arial"/>
                <w:b/>
                <w:sz w:val="20"/>
                <w:szCs w:val="20"/>
              </w:rPr>
              <w:t xml:space="preserve">Estimated performance 2022/23 </w:t>
            </w:r>
          </w:p>
        </w:tc>
        <w:tc>
          <w:tcPr>
            <w:tcW w:w="945" w:type="dxa"/>
            <w:shd w:val="clear" w:color="auto" w:fill="C5E0B3" w:themeFill="accent6" w:themeFillTint="66"/>
            <w:vAlign w:val="center"/>
          </w:tcPr>
          <w:p w:rsidR="006C4E57" w:rsidRPr="004E5697" w:rsidRDefault="006C4E57" w:rsidP="004E5697">
            <w:pPr>
              <w:spacing w:line="240" w:lineRule="auto"/>
              <w:jc w:val="left"/>
              <w:rPr>
                <w:rFonts w:ascii="Arial" w:hAnsi="Arial" w:cs="Arial"/>
                <w:b/>
                <w:sz w:val="20"/>
                <w:szCs w:val="20"/>
              </w:rPr>
            </w:pPr>
            <w:r w:rsidRPr="004E5697">
              <w:rPr>
                <w:rFonts w:ascii="Arial" w:hAnsi="Arial" w:cs="Arial"/>
                <w:b/>
                <w:sz w:val="20"/>
                <w:szCs w:val="20"/>
              </w:rPr>
              <w:t>Target 2023/24</w:t>
            </w:r>
          </w:p>
        </w:tc>
      </w:tr>
      <w:tr w:rsidR="006C4E57" w:rsidRPr="004E5697" w:rsidTr="007A2CB3">
        <w:tc>
          <w:tcPr>
            <w:tcW w:w="5240" w:type="dxa"/>
            <w:vAlign w:val="center"/>
          </w:tcPr>
          <w:p w:rsidR="006C4E57" w:rsidRPr="004E5697" w:rsidRDefault="006C4E57" w:rsidP="004E5697">
            <w:pPr>
              <w:pStyle w:val="ListParagraph"/>
              <w:numPr>
                <w:ilvl w:val="0"/>
                <w:numId w:val="5"/>
              </w:numPr>
              <w:autoSpaceDE w:val="0"/>
              <w:autoSpaceDN w:val="0"/>
              <w:adjustRightInd w:val="0"/>
              <w:spacing w:line="240" w:lineRule="auto"/>
              <w:ind w:left="459" w:hanging="283"/>
              <w:jc w:val="left"/>
              <w:rPr>
                <w:rFonts w:ascii="Arial" w:hAnsi="Arial" w:cs="Arial"/>
                <w:sz w:val="20"/>
                <w:szCs w:val="20"/>
                <w:lang w:eastAsia="en-ZA"/>
              </w:rPr>
            </w:pPr>
            <w:r w:rsidRPr="004E5697">
              <w:rPr>
                <w:rFonts w:ascii="Arial" w:hAnsi="Arial" w:cs="Arial"/>
                <w:sz w:val="20"/>
                <w:szCs w:val="20"/>
                <w:lang w:eastAsia="en-ZA"/>
              </w:rPr>
              <w:t>Percentage of written legal advice provided to the Department within 30 working days of the request</w:t>
            </w:r>
          </w:p>
        </w:tc>
        <w:tc>
          <w:tcPr>
            <w:tcW w:w="1402"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100%</w:t>
            </w: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(12/12)</w:t>
            </w:r>
          </w:p>
        </w:tc>
        <w:tc>
          <w:tcPr>
            <w:tcW w:w="1429"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70%</w:t>
            </w:r>
          </w:p>
        </w:tc>
        <w:tc>
          <w:tcPr>
            <w:tcW w:w="945"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80%</w:t>
            </w:r>
          </w:p>
        </w:tc>
      </w:tr>
      <w:tr w:rsidR="006C4E57" w:rsidRPr="004E5697" w:rsidTr="007A2CB3">
        <w:tc>
          <w:tcPr>
            <w:tcW w:w="5240" w:type="dxa"/>
            <w:vAlign w:val="center"/>
          </w:tcPr>
          <w:p w:rsidR="006C4E57" w:rsidRPr="004E5697" w:rsidRDefault="006C4E57" w:rsidP="004E5697">
            <w:pPr>
              <w:pStyle w:val="ListParagraph"/>
              <w:numPr>
                <w:ilvl w:val="0"/>
                <w:numId w:val="5"/>
              </w:numPr>
              <w:autoSpaceDE w:val="0"/>
              <w:autoSpaceDN w:val="0"/>
              <w:adjustRightInd w:val="0"/>
              <w:spacing w:line="240" w:lineRule="auto"/>
              <w:ind w:left="459" w:hanging="283"/>
              <w:jc w:val="left"/>
              <w:rPr>
                <w:rFonts w:ascii="Arial" w:hAnsi="Arial" w:cs="Arial"/>
                <w:sz w:val="20"/>
                <w:szCs w:val="20"/>
                <w:lang w:eastAsia="en-ZA"/>
              </w:rPr>
            </w:pPr>
            <w:r w:rsidRPr="004E5697">
              <w:rPr>
                <w:rFonts w:ascii="Arial" w:hAnsi="Arial" w:cs="Arial"/>
                <w:sz w:val="20"/>
                <w:szCs w:val="20"/>
                <w:lang w:eastAsia="en-ZA"/>
              </w:rPr>
              <w:t>Percentage of written legal advice provided to investigators within 2 working days of request</w:t>
            </w:r>
          </w:p>
        </w:tc>
        <w:tc>
          <w:tcPr>
            <w:tcW w:w="1402"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100%</w:t>
            </w: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(12/12)</w:t>
            </w:r>
          </w:p>
        </w:tc>
        <w:tc>
          <w:tcPr>
            <w:tcW w:w="1429"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95%</w:t>
            </w:r>
          </w:p>
        </w:tc>
        <w:tc>
          <w:tcPr>
            <w:tcW w:w="945"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95%</w:t>
            </w:r>
          </w:p>
        </w:tc>
      </w:tr>
      <w:tr w:rsidR="006C4E57" w:rsidRPr="004E5697" w:rsidTr="007A2CB3">
        <w:tc>
          <w:tcPr>
            <w:tcW w:w="5240" w:type="dxa"/>
            <w:vAlign w:val="center"/>
          </w:tcPr>
          <w:p w:rsidR="006C4E57" w:rsidRPr="004E5697" w:rsidRDefault="006C4E57" w:rsidP="004E5697">
            <w:pPr>
              <w:pStyle w:val="ListParagraph"/>
              <w:numPr>
                <w:ilvl w:val="0"/>
                <w:numId w:val="5"/>
              </w:numPr>
              <w:autoSpaceDE w:val="0"/>
              <w:autoSpaceDN w:val="0"/>
              <w:adjustRightInd w:val="0"/>
              <w:spacing w:line="240" w:lineRule="auto"/>
              <w:ind w:left="459" w:hanging="283"/>
              <w:jc w:val="left"/>
              <w:rPr>
                <w:rFonts w:ascii="Arial" w:hAnsi="Arial" w:cs="Arial"/>
                <w:sz w:val="20"/>
                <w:szCs w:val="20"/>
                <w:lang w:eastAsia="en-ZA"/>
              </w:rPr>
            </w:pPr>
            <w:r w:rsidRPr="004E5697">
              <w:rPr>
                <w:rFonts w:ascii="Arial" w:hAnsi="Arial" w:cs="Arial"/>
                <w:sz w:val="20"/>
                <w:szCs w:val="20"/>
                <w:lang w:eastAsia="en-ZA"/>
              </w:rPr>
              <w:t xml:space="preserve">Percentage of contracts/service level agreements finalised within 30 working days of the request per year. </w:t>
            </w:r>
          </w:p>
        </w:tc>
        <w:tc>
          <w:tcPr>
            <w:tcW w:w="1402"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91%</w:t>
            </w: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(21/23)</w:t>
            </w:r>
          </w:p>
        </w:tc>
        <w:tc>
          <w:tcPr>
            <w:tcW w:w="1429"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90%</w:t>
            </w:r>
          </w:p>
        </w:tc>
        <w:tc>
          <w:tcPr>
            <w:tcW w:w="945"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90%</w:t>
            </w:r>
          </w:p>
        </w:tc>
      </w:tr>
      <w:tr w:rsidR="006C4E57" w:rsidRPr="004E5697" w:rsidTr="007A2CB3">
        <w:tc>
          <w:tcPr>
            <w:tcW w:w="5240" w:type="dxa"/>
            <w:vAlign w:val="center"/>
          </w:tcPr>
          <w:p w:rsidR="006C4E57" w:rsidRPr="004E5697" w:rsidRDefault="006C4E57" w:rsidP="004E5697">
            <w:pPr>
              <w:pStyle w:val="ListParagraph"/>
              <w:numPr>
                <w:ilvl w:val="0"/>
                <w:numId w:val="5"/>
              </w:numPr>
              <w:autoSpaceDE w:val="0"/>
              <w:autoSpaceDN w:val="0"/>
              <w:adjustRightInd w:val="0"/>
              <w:spacing w:line="240" w:lineRule="auto"/>
              <w:ind w:left="459" w:hanging="283"/>
              <w:jc w:val="left"/>
              <w:rPr>
                <w:rFonts w:ascii="Arial" w:hAnsi="Arial" w:cs="Arial"/>
                <w:sz w:val="20"/>
                <w:szCs w:val="20"/>
                <w:lang w:eastAsia="en-ZA"/>
              </w:rPr>
            </w:pPr>
            <w:r w:rsidRPr="004E5697">
              <w:rPr>
                <w:rFonts w:ascii="Arial" w:hAnsi="Arial" w:cs="Arial"/>
                <w:sz w:val="20"/>
                <w:szCs w:val="20"/>
                <w:lang w:eastAsia="en-ZA"/>
              </w:rPr>
              <w:t>Percentage of litigation matters referred with instructions to the State Attorney within 10 working days of receipt per year</w:t>
            </w:r>
          </w:p>
        </w:tc>
        <w:tc>
          <w:tcPr>
            <w:tcW w:w="1402"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100%</w:t>
            </w: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(6/6)</w:t>
            </w:r>
          </w:p>
        </w:tc>
        <w:tc>
          <w:tcPr>
            <w:tcW w:w="1429"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100%</w:t>
            </w:r>
          </w:p>
        </w:tc>
        <w:tc>
          <w:tcPr>
            <w:tcW w:w="945"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100%</w:t>
            </w:r>
          </w:p>
        </w:tc>
      </w:tr>
    </w:tbl>
    <w:p w:rsidR="006C4E57" w:rsidRPr="004E5697" w:rsidRDefault="006C4E57" w:rsidP="004E5697">
      <w:pPr>
        <w:spacing w:line="240" w:lineRule="auto"/>
        <w:jc w:val="left"/>
        <w:rPr>
          <w:rFonts w:ascii="Arial" w:hAnsi="Arial" w:cs="Arial"/>
          <w:i/>
          <w:sz w:val="20"/>
          <w:szCs w:val="20"/>
        </w:rPr>
      </w:pPr>
      <w:r w:rsidRPr="004E5697">
        <w:rPr>
          <w:rFonts w:ascii="Arial" w:hAnsi="Arial" w:cs="Arial"/>
          <w:i/>
          <w:sz w:val="20"/>
          <w:szCs w:val="20"/>
        </w:rPr>
        <w:t>Source: IPID 2023/24 APP</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 xml:space="preserve">The Programme’s performance targets remained unchanged in 2022/23 compared to the previous financial year. </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pStyle w:val="Heading2"/>
        <w:numPr>
          <w:ilvl w:val="1"/>
          <w:numId w:val="10"/>
        </w:numPr>
        <w:spacing w:before="0" w:line="240" w:lineRule="auto"/>
        <w:rPr>
          <w:rFonts w:ascii="Arial" w:hAnsi="Arial" w:cs="Arial"/>
          <w:sz w:val="20"/>
          <w:szCs w:val="20"/>
        </w:rPr>
      </w:pPr>
      <w:bookmarkStart w:id="15" w:name="_Toc132694872"/>
      <w:r w:rsidRPr="004E5697">
        <w:rPr>
          <w:rFonts w:ascii="Arial" w:hAnsi="Arial" w:cs="Arial"/>
          <w:sz w:val="20"/>
          <w:szCs w:val="20"/>
        </w:rPr>
        <w:t>Compliance Monitoring and Stakeholder Management Programme</w:t>
      </w:r>
      <w:bookmarkEnd w:id="15"/>
      <w:r w:rsidRPr="004E5697">
        <w:rPr>
          <w:rFonts w:ascii="Arial" w:hAnsi="Arial" w:cs="Arial"/>
          <w:sz w:val="20"/>
          <w:szCs w:val="20"/>
        </w:rPr>
        <w:t xml:space="preserve"> </w:t>
      </w:r>
    </w:p>
    <w:p w:rsidR="006C4E57" w:rsidRPr="004E5697" w:rsidRDefault="006C4E57" w:rsidP="004E5697">
      <w:pPr>
        <w:spacing w:line="240" w:lineRule="auto"/>
        <w:jc w:val="left"/>
        <w:rPr>
          <w:rFonts w:ascii="Arial" w:hAnsi="Arial" w:cs="Arial"/>
          <w:sz w:val="20"/>
          <w:szCs w:val="20"/>
        </w:rPr>
      </w:pPr>
    </w:p>
    <w:p w:rsidR="006C4E57" w:rsidRPr="004E5697" w:rsidRDefault="006C4E57" w:rsidP="004E5697">
      <w:pPr>
        <w:autoSpaceDE w:val="0"/>
        <w:autoSpaceDN w:val="0"/>
        <w:adjustRightInd w:val="0"/>
        <w:spacing w:line="240" w:lineRule="auto"/>
        <w:jc w:val="left"/>
        <w:rPr>
          <w:rFonts w:ascii="Arial" w:hAnsi="Arial" w:cs="Arial"/>
          <w:sz w:val="20"/>
          <w:szCs w:val="20"/>
        </w:rPr>
      </w:pPr>
      <w:r w:rsidRPr="004E5697">
        <w:rPr>
          <w:rFonts w:ascii="Arial" w:hAnsi="Arial" w:cs="Arial"/>
          <w:sz w:val="20"/>
          <w:szCs w:val="20"/>
        </w:rPr>
        <w:t>The purpose of the Compliance Monitoring and Stakeholder Management Programme is to s</w:t>
      </w:r>
      <w:r w:rsidRPr="004E5697">
        <w:rPr>
          <w:rStyle w:val="A7"/>
          <w:rFonts w:ascii="Arial" w:hAnsi="Arial" w:cs="Arial"/>
          <w:color w:val="auto"/>
        </w:rPr>
        <w:t xml:space="preserve">afeguard the principles of cooperative governance and stakeholder relations and to monitor and evaluate the relevance and appropriateness of recommendations made to the South African Police Service and Municipal Police Services in terms of the Independent Police Investigative Directorate Act, 2011. The programme consists of the following two sub-programmes: </w:t>
      </w:r>
    </w:p>
    <w:p w:rsidR="006C4E57" w:rsidRPr="004E5697" w:rsidRDefault="006C4E57" w:rsidP="004E5697">
      <w:pPr>
        <w:pStyle w:val="Pa11"/>
        <w:spacing w:line="240" w:lineRule="auto"/>
        <w:rPr>
          <w:rStyle w:val="A7"/>
          <w:rFonts w:ascii="Arial" w:hAnsi="Arial" w:cs="Arial"/>
          <w:b/>
          <w:bCs/>
          <w:color w:val="auto"/>
        </w:rPr>
      </w:pPr>
    </w:p>
    <w:p w:rsidR="006C4E57" w:rsidRPr="004E5697" w:rsidRDefault="006C4E57" w:rsidP="004E5697">
      <w:pPr>
        <w:pStyle w:val="Pa11"/>
        <w:spacing w:line="240" w:lineRule="auto"/>
        <w:rPr>
          <w:rFonts w:ascii="Arial" w:hAnsi="Arial" w:cs="Arial"/>
          <w:sz w:val="20"/>
          <w:szCs w:val="20"/>
        </w:rPr>
      </w:pPr>
      <w:r w:rsidRPr="004E5697">
        <w:rPr>
          <w:rStyle w:val="A7"/>
          <w:rFonts w:ascii="Arial" w:hAnsi="Arial" w:cs="Arial"/>
          <w:b/>
          <w:bCs/>
          <w:color w:val="auto"/>
        </w:rPr>
        <w:t xml:space="preserve">Compliance Monitoring: </w:t>
      </w:r>
      <w:r w:rsidRPr="004E5697">
        <w:rPr>
          <w:rStyle w:val="A7"/>
          <w:rFonts w:ascii="Arial" w:hAnsi="Arial" w:cs="Arial"/>
          <w:color w:val="auto"/>
        </w:rPr>
        <w:t xml:space="preserve">The Sub-programme monitors and evaluates the quality of recommendations made and responses received from on such recommendations from the South African Police Service, Municipal Police Services and National Prosecuting Authority in compliance with the reporting obligations in terms of the IPID Act, 2011. </w:t>
      </w:r>
    </w:p>
    <w:p w:rsidR="006C4E57" w:rsidRPr="004E5697" w:rsidRDefault="006C4E57" w:rsidP="004E5697">
      <w:pPr>
        <w:pStyle w:val="Pa11"/>
        <w:spacing w:line="240" w:lineRule="auto"/>
        <w:rPr>
          <w:rStyle w:val="A7"/>
          <w:rFonts w:ascii="Arial" w:hAnsi="Arial" w:cs="Arial"/>
          <w:b/>
          <w:bCs/>
          <w:color w:val="auto"/>
        </w:rPr>
      </w:pPr>
    </w:p>
    <w:p w:rsidR="006C4E57" w:rsidRPr="004E5697" w:rsidRDefault="006C4E57" w:rsidP="004E5697">
      <w:pPr>
        <w:pStyle w:val="Pa11"/>
        <w:spacing w:line="240" w:lineRule="auto"/>
        <w:rPr>
          <w:rFonts w:ascii="Arial" w:hAnsi="Arial" w:cs="Arial"/>
          <w:sz w:val="20"/>
          <w:szCs w:val="20"/>
        </w:rPr>
      </w:pPr>
      <w:r w:rsidRPr="004E5697">
        <w:rPr>
          <w:rStyle w:val="A7"/>
          <w:rFonts w:ascii="Arial" w:hAnsi="Arial" w:cs="Arial"/>
          <w:b/>
          <w:bCs/>
          <w:color w:val="auto"/>
        </w:rPr>
        <w:t xml:space="preserve">Stakeholder Management: </w:t>
      </w:r>
      <w:r w:rsidRPr="004E5697">
        <w:rPr>
          <w:rStyle w:val="A7"/>
          <w:rFonts w:ascii="Arial" w:hAnsi="Arial" w:cs="Arial"/>
          <w:color w:val="auto"/>
        </w:rPr>
        <w:t>The Sub-programme manages relations and liaises with the Directorate’s key stakeholders such as the South African Police Service, Municipal Police Services, Civilian Secretariat for Police, National Prosecuting Authority, the Special Investigating Unit, the Public Protector of South Africa, the State Security Agency and civil society organisations, in line with the requirements of the IPID Act.</w:t>
      </w:r>
    </w:p>
    <w:p w:rsidR="006C4E57" w:rsidRPr="004E5697" w:rsidRDefault="006C4E57" w:rsidP="004E5697">
      <w:pPr>
        <w:autoSpaceDE w:val="0"/>
        <w:autoSpaceDN w:val="0"/>
        <w:adjustRightInd w:val="0"/>
        <w:spacing w:line="240" w:lineRule="auto"/>
        <w:jc w:val="left"/>
        <w:rPr>
          <w:rFonts w:ascii="Arial" w:hAnsi="Arial" w:cs="Arial"/>
          <w:sz w:val="20"/>
          <w:szCs w:val="20"/>
        </w:rPr>
      </w:pPr>
    </w:p>
    <w:p w:rsidR="006C4E57" w:rsidRPr="004E5697" w:rsidRDefault="006C4E57" w:rsidP="004E5697">
      <w:pPr>
        <w:autoSpaceDE w:val="0"/>
        <w:autoSpaceDN w:val="0"/>
        <w:adjustRightInd w:val="0"/>
        <w:spacing w:line="240" w:lineRule="auto"/>
        <w:jc w:val="left"/>
        <w:rPr>
          <w:rFonts w:ascii="Arial" w:hAnsi="Arial" w:cs="Arial"/>
          <w:sz w:val="20"/>
          <w:szCs w:val="20"/>
        </w:rPr>
      </w:pPr>
      <w:r w:rsidRPr="004E5697">
        <w:rPr>
          <w:rFonts w:ascii="Arial" w:hAnsi="Arial" w:cs="Arial"/>
          <w:sz w:val="20"/>
          <w:szCs w:val="20"/>
        </w:rPr>
        <w:t>In 2023/24, the Compliance Monitoring and Stakeholder Management Programme has 10 performance indicators as listed below:</w:t>
      </w:r>
    </w:p>
    <w:p w:rsidR="006C4E57" w:rsidRPr="004E5697" w:rsidRDefault="006C4E57" w:rsidP="004E5697">
      <w:pPr>
        <w:spacing w:line="240" w:lineRule="auto"/>
        <w:jc w:val="left"/>
        <w:rPr>
          <w:rFonts w:ascii="Arial" w:hAnsi="Arial" w:cs="Arial"/>
          <w:b/>
          <w:sz w:val="20"/>
          <w:szCs w:val="20"/>
        </w:rPr>
      </w:pPr>
    </w:p>
    <w:p w:rsidR="006C4E57" w:rsidRPr="004E5697" w:rsidRDefault="006C4E57" w:rsidP="004E5697">
      <w:pPr>
        <w:spacing w:line="240" w:lineRule="auto"/>
        <w:jc w:val="left"/>
        <w:rPr>
          <w:rFonts w:ascii="Arial" w:hAnsi="Arial" w:cs="Arial"/>
          <w:b/>
          <w:i/>
          <w:sz w:val="20"/>
          <w:szCs w:val="20"/>
        </w:rPr>
      </w:pPr>
      <w:r w:rsidRPr="004E5697">
        <w:rPr>
          <w:rFonts w:ascii="Arial" w:hAnsi="Arial" w:cs="Arial"/>
          <w:b/>
          <w:i/>
          <w:sz w:val="20"/>
          <w:szCs w:val="20"/>
        </w:rPr>
        <w:t>Table 15: Programme Performance Indicators and Targets</w:t>
      </w:r>
    </w:p>
    <w:tbl>
      <w:tblPr>
        <w:tblStyle w:val="TableGrid"/>
        <w:tblW w:w="9209"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tblPr>
      <w:tblGrid>
        <w:gridCol w:w="5369"/>
        <w:gridCol w:w="1428"/>
        <w:gridCol w:w="1428"/>
        <w:gridCol w:w="984"/>
      </w:tblGrid>
      <w:tr w:rsidR="006C4E57" w:rsidRPr="004E5697" w:rsidTr="007A2CB3">
        <w:trPr>
          <w:tblHeader/>
        </w:trPr>
        <w:tc>
          <w:tcPr>
            <w:tcW w:w="5665" w:type="dxa"/>
            <w:shd w:val="clear" w:color="auto" w:fill="C5E0B3" w:themeFill="accent6" w:themeFillTint="66"/>
            <w:vAlign w:val="center"/>
          </w:tcPr>
          <w:p w:rsidR="006C4E57" w:rsidRPr="004E5697" w:rsidRDefault="006C4E57" w:rsidP="004E5697">
            <w:pPr>
              <w:spacing w:line="240" w:lineRule="auto"/>
              <w:jc w:val="left"/>
              <w:rPr>
                <w:rFonts w:ascii="Arial" w:hAnsi="Arial" w:cs="Arial"/>
                <w:b/>
                <w:sz w:val="20"/>
                <w:szCs w:val="20"/>
              </w:rPr>
            </w:pPr>
            <w:r w:rsidRPr="004E5697">
              <w:rPr>
                <w:rFonts w:ascii="Arial" w:hAnsi="Arial" w:cs="Arial"/>
                <w:b/>
                <w:sz w:val="20"/>
                <w:szCs w:val="20"/>
              </w:rPr>
              <w:t>Performance Indicator</w:t>
            </w:r>
          </w:p>
        </w:tc>
        <w:tc>
          <w:tcPr>
            <w:tcW w:w="1128" w:type="dxa"/>
            <w:shd w:val="clear" w:color="auto" w:fill="C5E0B3" w:themeFill="accent6" w:themeFillTint="66"/>
            <w:vAlign w:val="center"/>
          </w:tcPr>
          <w:p w:rsidR="006C4E57" w:rsidRPr="004E5697" w:rsidRDefault="006C4E57" w:rsidP="004E5697">
            <w:pPr>
              <w:spacing w:line="240" w:lineRule="auto"/>
              <w:jc w:val="left"/>
              <w:rPr>
                <w:rFonts w:ascii="Arial" w:hAnsi="Arial" w:cs="Arial"/>
                <w:b/>
                <w:sz w:val="20"/>
                <w:szCs w:val="20"/>
              </w:rPr>
            </w:pPr>
            <w:r w:rsidRPr="004E5697">
              <w:rPr>
                <w:rFonts w:ascii="Arial" w:hAnsi="Arial" w:cs="Arial"/>
                <w:b/>
                <w:sz w:val="20"/>
                <w:szCs w:val="20"/>
              </w:rPr>
              <w:t xml:space="preserve">Audited performance 2021/22 </w:t>
            </w:r>
          </w:p>
        </w:tc>
        <w:tc>
          <w:tcPr>
            <w:tcW w:w="1428" w:type="dxa"/>
            <w:shd w:val="clear" w:color="auto" w:fill="C5E0B3" w:themeFill="accent6" w:themeFillTint="66"/>
            <w:vAlign w:val="center"/>
          </w:tcPr>
          <w:p w:rsidR="006C4E57" w:rsidRPr="004E5697" w:rsidRDefault="006C4E57" w:rsidP="004E5697">
            <w:pPr>
              <w:spacing w:line="240" w:lineRule="auto"/>
              <w:jc w:val="left"/>
              <w:rPr>
                <w:rFonts w:ascii="Arial" w:hAnsi="Arial" w:cs="Arial"/>
                <w:b/>
                <w:sz w:val="20"/>
                <w:szCs w:val="20"/>
              </w:rPr>
            </w:pPr>
            <w:r w:rsidRPr="004E5697">
              <w:rPr>
                <w:rFonts w:ascii="Arial" w:hAnsi="Arial" w:cs="Arial"/>
                <w:b/>
                <w:sz w:val="20"/>
                <w:szCs w:val="20"/>
              </w:rPr>
              <w:t xml:space="preserve">Estimated performance 2022/23 </w:t>
            </w:r>
          </w:p>
        </w:tc>
        <w:tc>
          <w:tcPr>
            <w:tcW w:w="988" w:type="dxa"/>
            <w:shd w:val="clear" w:color="auto" w:fill="C5E0B3" w:themeFill="accent6" w:themeFillTint="66"/>
            <w:vAlign w:val="center"/>
          </w:tcPr>
          <w:p w:rsidR="006C4E57" w:rsidRPr="004E5697" w:rsidRDefault="006C4E57" w:rsidP="004E5697">
            <w:pPr>
              <w:spacing w:line="240" w:lineRule="auto"/>
              <w:jc w:val="left"/>
              <w:rPr>
                <w:rFonts w:ascii="Arial" w:hAnsi="Arial" w:cs="Arial"/>
                <w:b/>
                <w:sz w:val="20"/>
                <w:szCs w:val="20"/>
              </w:rPr>
            </w:pPr>
            <w:r w:rsidRPr="004E5697">
              <w:rPr>
                <w:rFonts w:ascii="Arial" w:hAnsi="Arial" w:cs="Arial"/>
                <w:b/>
                <w:sz w:val="20"/>
                <w:szCs w:val="20"/>
              </w:rPr>
              <w:t>Target 2023/24</w:t>
            </w:r>
          </w:p>
        </w:tc>
      </w:tr>
      <w:tr w:rsidR="006C4E57" w:rsidRPr="004E5697" w:rsidTr="007A2CB3">
        <w:tc>
          <w:tcPr>
            <w:tcW w:w="5665" w:type="dxa"/>
            <w:vAlign w:val="center"/>
          </w:tcPr>
          <w:p w:rsidR="006C4E57" w:rsidRPr="004E5697" w:rsidRDefault="006C4E57" w:rsidP="004E5697">
            <w:pPr>
              <w:pStyle w:val="ListParagraph"/>
              <w:numPr>
                <w:ilvl w:val="0"/>
                <w:numId w:val="8"/>
              </w:numPr>
              <w:autoSpaceDE w:val="0"/>
              <w:autoSpaceDN w:val="0"/>
              <w:adjustRightInd w:val="0"/>
              <w:spacing w:line="240" w:lineRule="auto"/>
              <w:ind w:left="318" w:hanging="284"/>
              <w:jc w:val="left"/>
              <w:rPr>
                <w:rFonts w:ascii="Arial" w:hAnsi="Arial" w:cs="Arial"/>
                <w:sz w:val="20"/>
                <w:szCs w:val="20"/>
                <w:lang w:eastAsia="en-ZA"/>
              </w:rPr>
            </w:pPr>
            <w:r w:rsidRPr="004E5697">
              <w:rPr>
                <w:rFonts w:ascii="Arial" w:hAnsi="Arial" w:cs="Arial"/>
                <w:sz w:val="20"/>
                <w:szCs w:val="20"/>
                <w:lang w:eastAsia="en-ZA"/>
              </w:rPr>
              <w:t>Number of formal engagements held with key stakeholders</w:t>
            </w:r>
          </w:p>
        </w:tc>
        <w:tc>
          <w:tcPr>
            <w:tcW w:w="1128"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185</w:t>
            </w:r>
          </w:p>
        </w:tc>
        <w:tc>
          <w:tcPr>
            <w:tcW w:w="1428"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166</w:t>
            </w:r>
          </w:p>
        </w:tc>
        <w:tc>
          <w:tcPr>
            <w:tcW w:w="988"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180</w:t>
            </w:r>
          </w:p>
        </w:tc>
      </w:tr>
      <w:tr w:rsidR="006C4E57" w:rsidRPr="004E5697" w:rsidTr="007A2CB3">
        <w:trPr>
          <w:trHeight w:val="414"/>
        </w:trPr>
        <w:tc>
          <w:tcPr>
            <w:tcW w:w="5665" w:type="dxa"/>
            <w:vAlign w:val="center"/>
          </w:tcPr>
          <w:p w:rsidR="006C4E57" w:rsidRPr="004E5697" w:rsidRDefault="006C4E57" w:rsidP="004E5697">
            <w:pPr>
              <w:pStyle w:val="ListParagraph"/>
              <w:numPr>
                <w:ilvl w:val="0"/>
                <w:numId w:val="8"/>
              </w:numPr>
              <w:autoSpaceDE w:val="0"/>
              <w:autoSpaceDN w:val="0"/>
              <w:adjustRightInd w:val="0"/>
              <w:spacing w:line="240" w:lineRule="auto"/>
              <w:ind w:left="318" w:hanging="284"/>
              <w:jc w:val="left"/>
              <w:rPr>
                <w:rFonts w:ascii="Arial" w:hAnsi="Arial" w:cs="Arial"/>
                <w:sz w:val="20"/>
                <w:szCs w:val="20"/>
                <w:lang w:eastAsia="en-ZA"/>
              </w:rPr>
            </w:pPr>
            <w:r w:rsidRPr="004E5697">
              <w:rPr>
                <w:rFonts w:ascii="Arial" w:hAnsi="Arial" w:cs="Arial"/>
                <w:sz w:val="20"/>
                <w:szCs w:val="20"/>
                <w:lang w:eastAsia="en-ZA"/>
              </w:rPr>
              <w:lastRenderedPageBreak/>
              <w:t>Number of media programmes held per year</w:t>
            </w:r>
          </w:p>
        </w:tc>
        <w:tc>
          <w:tcPr>
            <w:tcW w:w="1128"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7</w:t>
            </w:r>
          </w:p>
        </w:tc>
        <w:tc>
          <w:tcPr>
            <w:tcW w:w="1428"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6</w:t>
            </w:r>
          </w:p>
        </w:tc>
        <w:tc>
          <w:tcPr>
            <w:tcW w:w="988"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6</w:t>
            </w:r>
          </w:p>
        </w:tc>
      </w:tr>
      <w:tr w:rsidR="006C4E57" w:rsidRPr="004E5697" w:rsidTr="007A2CB3">
        <w:trPr>
          <w:trHeight w:val="704"/>
        </w:trPr>
        <w:tc>
          <w:tcPr>
            <w:tcW w:w="5665" w:type="dxa"/>
            <w:vAlign w:val="center"/>
          </w:tcPr>
          <w:p w:rsidR="006C4E57" w:rsidRPr="004E5697" w:rsidRDefault="006C4E57" w:rsidP="004E5697">
            <w:pPr>
              <w:pStyle w:val="ListParagraph"/>
              <w:numPr>
                <w:ilvl w:val="0"/>
                <w:numId w:val="8"/>
              </w:numPr>
              <w:autoSpaceDE w:val="0"/>
              <w:autoSpaceDN w:val="0"/>
              <w:adjustRightInd w:val="0"/>
              <w:spacing w:line="240" w:lineRule="auto"/>
              <w:ind w:left="318" w:hanging="284"/>
              <w:jc w:val="left"/>
              <w:rPr>
                <w:rFonts w:ascii="Arial" w:hAnsi="Arial" w:cs="Arial"/>
                <w:sz w:val="20"/>
                <w:szCs w:val="20"/>
                <w:lang w:eastAsia="en-ZA"/>
              </w:rPr>
            </w:pPr>
            <w:r w:rsidRPr="004E5697">
              <w:rPr>
                <w:rFonts w:ascii="Arial" w:hAnsi="Arial" w:cs="Arial"/>
                <w:sz w:val="20"/>
                <w:szCs w:val="20"/>
                <w:lang w:eastAsia="en-ZA"/>
              </w:rPr>
              <w:t>Number of station lecture awareness training conducted per year</w:t>
            </w:r>
          </w:p>
        </w:tc>
        <w:tc>
          <w:tcPr>
            <w:tcW w:w="1128"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w:t>
            </w:r>
          </w:p>
        </w:tc>
        <w:tc>
          <w:tcPr>
            <w:tcW w:w="1428"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40</w:t>
            </w:r>
          </w:p>
        </w:tc>
        <w:tc>
          <w:tcPr>
            <w:tcW w:w="988"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40</w:t>
            </w:r>
          </w:p>
        </w:tc>
      </w:tr>
      <w:tr w:rsidR="006C4E57" w:rsidRPr="004E5697" w:rsidTr="007A2CB3">
        <w:trPr>
          <w:trHeight w:val="686"/>
        </w:trPr>
        <w:tc>
          <w:tcPr>
            <w:tcW w:w="5665" w:type="dxa"/>
            <w:shd w:val="clear" w:color="auto" w:fill="auto"/>
            <w:vAlign w:val="center"/>
          </w:tcPr>
          <w:p w:rsidR="006C4E57" w:rsidRPr="004E5697" w:rsidRDefault="006C4E57" w:rsidP="004E5697">
            <w:pPr>
              <w:pStyle w:val="ListParagraph"/>
              <w:numPr>
                <w:ilvl w:val="0"/>
                <w:numId w:val="8"/>
              </w:numPr>
              <w:autoSpaceDE w:val="0"/>
              <w:autoSpaceDN w:val="0"/>
              <w:adjustRightInd w:val="0"/>
              <w:spacing w:line="240" w:lineRule="auto"/>
              <w:ind w:left="318" w:hanging="284"/>
              <w:jc w:val="left"/>
              <w:rPr>
                <w:rFonts w:ascii="Arial" w:hAnsi="Arial" w:cs="Arial"/>
                <w:sz w:val="20"/>
                <w:szCs w:val="20"/>
                <w:lang w:eastAsia="en-ZA"/>
              </w:rPr>
            </w:pPr>
            <w:r w:rsidRPr="004E5697">
              <w:rPr>
                <w:rFonts w:ascii="Arial" w:hAnsi="Arial" w:cs="Arial"/>
                <w:sz w:val="20"/>
                <w:szCs w:val="20"/>
                <w:lang w:eastAsia="en-ZA"/>
              </w:rPr>
              <w:t>Percentage of recommendations referred to the SAPS and MPS that are analysed per year</w:t>
            </w:r>
          </w:p>
        </w:tc>
        <w:tc>
          <w:tcPr>
            <w:tcW w:w="1128" w:type="dxa"/>
            <w:shd w:val="clear" w:color="auto" w:fill="auto"/>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99%</w:t>
            </w: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(2 552)</w:t>
            </w:r>
          </w:p>
        </w:tc>
        <w:tc>
          <w:tcPr>
            <w:tcW w:w="1428"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80%</w:t>
            </w:r>
          </w:p>
        </w:tc>
        <w:tc>
          <w:tcPr>
            <w:tcW w:w="988"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90%</w:t>
            </w:r>
          </w:p>
        </w:tc>
      </w:tr>
      <w:tr w:rsidR="006C4E57" w:rsidRPr="004E5697" w:rsidTr="007A2CB3">
        <w:trPr>
          <w:trHeight w:val="710"/>
        </w:trPr>
        <w:tc>
          <w:tcPr>
            <w:tcW w:w="5665" w:type="dxa"/>
            <w:shd w:val="clear" w:color="auto" w:fill="auto"/>
            <w:vAlign w:val="center"/>
          </w:tcPr>
          <w:p w:rsidR="006C4E57" w:rsidRPr="004E5697" w:rsidRDefault="006C4E57" w:rsidP="004E5697">
            <w:pPr>
              <w:pStyle w:val="ListParagraph"/>
              <w:numPr>
                <w:ilvl w:val="0"/>
                <w:numId w:val="8"/>
              </w:numPr>
              <w:autoSpaceDE w:val="0"/>
              <w:autoSpaceDN w:val="0"/>
              <w:adjustRightInd w:val="0"/>
              <w:spacing w:line="240" w:lineRule="auto"/>
              <w:ind w:left="318" w:hanging="284"/>
              <w:jc w:val="left"/>
              <w:rPr>
                <w:rFonts w:ascii="Arial" w:hAnsi="Arial" w:cs="Arial"/>
                <w:sz w:val="20"/>
                <w:szCs w:val="20"/>
                <w:lang w:eastAsia="en-ZA"/>
              </w:rPr>
            </w:pPr>
            <w:r w:rsidRPr="004E5697">
              <w:rPr>
                <w:rFonts w:ascii="Arial" w:hAnsi="Arial" w:cs="Arial"/>
                <w:sz w:val="20"/>
                <w:szCs w:val="20"/>
                <w:lang w:eastAsia="en-ZA"/>
              </w:rPr>
              <w:t>Percentage of responses from SAPS and MPS that are analysed</w:t>
            </w:r>
          </w:p>
        </w:tc>
        <w:tc>
          <w:tcPr>
            <w:tcW w:w="1128" w:type="dxa"/>
            <w:shd w:val="clear" w:color="auto" w:fill="auto"/>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93%</w:t>
            </w: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(563)</w:t>
            </w:r>
          </w:p>
        </w:tc>
        <w:tc>
          <w:tcPr>
            <w:tcW w:w="1428"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70%</w:t>
            </w:r>
          </w:p>
        </w:tc>
        <w:tc>
          <w:tcPr>
            <w:tcW w:w="988"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80%</w:t>
            </w:r>
          </w:p>
        </w:tc>
      </w:tr>
      <w:tr w:rsidR="006C4E57" w:rsidRPr="004E5697" w:rsidTr="007A2CB3">
        <w:trPr>
          <w:trHeight w:val="989"/>
        </w:trPr>
        <w:tc>
          <w:tcPr>
            <w:tcW w:w="5665" w:type="dxa"/>
            <w:shd w:val="clear" w:color="auto" w:fill="auto"/>
            <w:vAlign w:val="center"/>
          </w:tcPr>
          <w:p w:rsidR="006C4E57" w:rsidRPr="004E5697" w:rsidRDefault="006C4E57" w:rsidP="004E5697">
            <w:pPr>
              <w:pStyle w:val="ListParagraph"/>
              <w:numPr>
                <w:ilvl w:val="0"/>
                <w:numId w:val="8"/>
              </w:numPr>
              <w:autoSpaceDE w:val="0"/>
              <w:autoSpaceDN w:val="0"/>
              <w:adjustRightInd w:val="0"/>
              <w:spacing w:line="240" w:lineRule="auto"/>
              <w:ind w:left="318" w:hanging="284"/>
              <w:jc w:val="left"/>
              <w:rPr>
                <w:rFonts w:ascii="Arial" w:hAnsi="Arial" w:cs="Arial"/>
                <w:sz w:val="20"/>
                <w:szCs w:val="20"/>
                <w:lang w:eastAsia="en-ZA"/>
              </w:rPr>
            </w:pPr>
            <w:r w:rsidRPr="004E5697">
              <w:rPr>
                <w:rFonts w:ascii="Arial" w:hAnsi="Arial" w:cs="Arial"/>
                <w:sz w:val="20"/>
                <w:szCs w:val="20"/>
                <w:lang w:eastAsia="en-ZA"/>
              </w:rPr>
              <w:t xml:space="preserve">Percentage of SAPS disciplinary outcomes taken on review with 60 days of analysis per year </w:t>
            </w:r>
          </w:p>
          <w:p w:rsidR="006C4E57" w:rsidRPr="004E5697" w:rsidRDefault="006C4E57" w:rsidP="004E5697">
            <w:pPr>
              <w:pStyle w:val="ListParagraph"/>
              <w:autoSpaceDE w:val="0"/>
              <w:autoSpaceDN w:val="0"/>
              <w:adjustRightInd w:val="0"/>
              <w:spacing w:line="240" w:lineRule="auto"/>
              <w:ind w:left="318"/>
              <w:jc w:val="left"/>
              <w:rPr>
                <w:rFonts w:ascii="Arial" w:hAnsi="Arial" w:cs="Arial"/>
                <w:sz w:val="20"/>
                <w:szCs w:val="20"/>
                <w:lang w:eastAsia="en-ZA"/>
              </w:rPr>
            </w:pPr>
            <w:r w:rsidRPr="004E5697">
              <w:rPr>
                <w:rFonts w:ascii="Arial" w:hAnsi="Arial" w:cs="Arial"/>
                <w:b/>
                <w:i/>
                <w:sz w:val="20"/>
                <w:szCs w:val="20"/>
                <w:lang w:eastAsia="en-ZA"/>
              </w:rPr>
              <w:t>(New indicator)</w:t>
            </w:r>
          </w:p>
        </w:tc>
        <w:tc>
          <w:tcPr>
            <w:tcW w:w="1128" w:type="dxa"/>
            <w:shd w:val="clear" w:color="auto" w:fill="auto"/>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N/A</w:t>
            </w:r>
          </w:p>
        </w:tc>
        <w:tc>
          <w:tcPr>
            <w:tcW w:w="1428"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N/A</w:t>
            </w:r>
          </w:p>
        </w:tc>
        <w:tc>
          <w:tcPr>
            <w:tcW w:w="988"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90%</w:t>
            </w:r>
          </w:p>
        </w:tc>
      </w:tr>
      <w:tr w:rsidR="006C4E57" w:rsidRPr="004E5697" w:rsidTr="007A2CB3">
        <w:trPr>
          <w:trHeight w:val="691"/>
        </w:trPr>
        <w:tc>
          <w:tcPr>
            <w:tcW w:w="5665" w:type="dxa"/>
            <w:shd w:val="clear" w:color="auto" w:fill="auto"/>
            <w:vAlign w:val="center"/>
          </w:tcPr>
          <w:p w:rsidR="006C4E57" w:rsidRPr="004E5697" w:rsidRDefault="006C4E57" w:rsidP="004E5697">
            <w:pPr>
              <w:pStyle w:val="ListParagraph"/>
              <w:numPr>
                <w:ilvl w:val="0"/>
                <w:numId w:val="8"/>
              </w:numPr>
              <w:autoSpaceDE w:val="0"/>
              <w:autoSpaceDN w:val="0"/>
              <w:adjustRightInd w:val="0"/>
              <w:spacing w:line="240" w:lineRule="auto"/>
              <w:ind w:left="318" w:hanging="318"/>
              <w:jc w:val="left"/>
              <w:rPr>
                <w:rFonts w:ascii="Arial" w:hAnsi="Arial" w:cs="Arial"/>
                <w:sz w:val="20"/>
                <w:szCs w:val="20"/>
                <w:lang w:eastAsia="en-ZA"/>
              </w:rPr>
            </w:pPr>
            <w:r w:rsidRPr="004E5697">
              <w:rPr>
                <w:rFonts w:ascii="Arial" w:hAnsi="Arial" w:cs="Arial"/>
                <w:sz w:val="20"/>
                <w:szCs w:val="20"/>
                <w:lang w:eastAsia="en-ZA"/>
              </w:rPr>
              <w:t>Percentage of criminal referrals forwarded to the NPA that are analysed per year</w:t>
            </w:r>
          </w:p>
        </w:tc>
        <w:tc>
          <w:tcPr>
            <w:tcW w:w="1128" w:type="dxa"/>
            <w:shd w:val="clear" w:color="auto" w:fill="auto"/>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100%</w:t>
            </w: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(2 414)</w:t>
            </w:r>
          </w:p>
        </w:tc>
        <w:tc>
          <w:tcPr>
            <w:tcW w:w="1428"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80%</w:t>
            </w:r>
          </w:p>
        </w:tc>
        <w:tc>
          <w:tcPr>
            <w:tcW w:w="988"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90%</w:t>
            </w:r>
          </w:p>
        </w:tc>
      </w:tr>
      <w:tr w:rsidR="006C4E57" w:rsidRPr="004E5697" w:rsidTr="007A2CB3">
        <w:tc>
          <w:tcPr>
            <w:tcW w:w="5665" w:type="dxa"/>
            <w:shd w:val="clear" w:color="auto" w:fill="auto"/>
            <w:vAlign w:val="center"/>
          </w:tcPr>
          <w:p w:rsidR="006C4E57" w:rsidRPr="004E5697" w:rsidRDefault="006C4E57" w:rsidP="004E5697">
            <w:pPr>
              <w:pStyle w:val="ListParagraph"/>
              <w:numPr>
                <w:ilvl w:val="0"/>
                <w:numId w:val="8"/>
              </w:numPr>
              <w:autoSpaceDE w:val="0"/>
              <w:autoSpaceDN w:val="0"/>
              <w:adjustRightInd w:val="0"/>
              <w:spacing w:line="240" w:lineRule="auto"/>
              <w:ind w:left="318" w:hanging="318"/>
              <w:jc w:val="left"/>
              <w:rPr>
                <w:rFonts w:ascii="Arial" w:hAnsi="Arial" w:cs="Arial"/>
                <w:sz w:val="20"/>
                <w:szCs w:val="20"/>
                <w:lang w:eastAsia="en-ZA"/>
              </w:rPr>
            </w:pPr>
            <w:r w:rsidRPr="004E5697">
              <w:rPr>
                <w:rFonts w:ascii="Arial" w:hAnsi="Arial" w:cs="Arial"/>
                <w:sz w:val="20"/>
                <w:szCs w:val="20"/>
                <w:lang w:eastAsia="en-ZA"/>
              </w:rPr>
              <w:t>Percentage of responses from NPA that are analysed</w:t>
            </w:r>
          </w:p>
        </w:tc>
        <w:tc>
          <w:tcPr>
            <w:tcW w:w="1128" w:type="dxa"/>
            <w:shd w:val="clear" w:color="auto" w:fill="auto"/>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98%</w:t>
            </w: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(1 257)</w:t>
            </w:r>
          </w:p>
        </w:tc>
        <w:tc>
          <w:tcPr>
            <w:tcW w:w="1428"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70%</w:t>
            </w:r>
          </w:p>
        </w:tc>
        <w:tc>
          <w:tcPr>
            <w:tcW w:w="988"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80%</w:t>
            </w:r>
          </w:p>
        </w:tc>
      </w:tr>
      <w:tr w:rsidR="006C4E57" w:rsidRPr="004E5697" w:rsidTr="007A2CB3">
        <w:trPr>
          <w:trHeight w:val="979"/>
        </w:trPr>
        <w:tc>
          <w:tcPr>
            <w:tcW w:w="5665" w:type="dxa"/>
            <w:vAlign w:val="center"/>
          </w:tcPr>
          <w:p w:rsidR="006C4E57" w:rsidRPr="004E5697" w:rsidRDefault="006C4E57" w:rsidP="004E5697">
            <w:pPr>
              <w:pStyle w:val="ListParagraph"/>
              <w:numPr>
                <w:ilvl w:val="0"/>
                <w:numId w:val="8"/>
              </w:numPr>
              <w:autoSpaceDE w:val="0"/>
              <w:autoSpaceDN w:val="0"/>
              <w:adjustRightInd w:val="0"/>
              <w:spacing w:line="240" w:lineRule="auto"/>
              <w:ind w:left="318" w:hanging="318"/>
              <w:jc w:val="left"/>
              <w:rPr>
                <w:rFonts w:ascii="Arial" w:hAnsi="Arial" w:cs="Arial"/>
                <w:sz w:val="20"/>
                <w:szCs w:val="20"/>
                <w:lang w:eastAsia="en-ZA"/>
              </w:rPr>
            </w:pPr>
            <w:r w:rsidRPr="004E5697">
              <w:rPr>
                <w:rFonts w:ascii="Arial" w:hAnsi="Arial" w:cs="Arial"/>
                <w:sz w:val="20"/>
                <w:szCs w:val="20"/>
                <w:lang w:eastAsia="en-ZA"/>
              </w:rPr>
              <w:t>Percentage of NPA prosecution decisions taken on review with 60 days of analysis per year</w:t>
            </w:r>
          </w:p>
          <w:p w:rsidR="006C4E57" w:rsidRPr="004E5697" w:rsidRDefault="006C4E57" w:rsidP="004E5697">
            <w:pPr>
              <w:pStyle w:val="ListParagraph"/>
              <w:autoSpaceDE w:val="0"/>
              <w:autoSpaceDN w:val="0"/>
              <w:adjustRightInd w:val="0"/>
              <w:spacing w:line="240" w:lineRule="auto"/>
              <w:ind w:left="318"/>
              <w:jc w:val="left"/>
              <w:rPr>
                <w:rFonts w:ascii="Arial" w:hAnsi="Arial" w:cs="Arial"/>
                <w:sz w:val="20"/>
                <w:szCs w:val="20"/>
                <w:lang w:eastAsia="en-ZA"/>
              </w:rPr>
            </w:pPr>
            <w:r w:rsidRPr="004E5697">
              <w:rPr>
                <w:rFonts w:ascii="Arial" w:hAnsi="Arial" w:cs="Arial"/>
                <w:b/>
                <w:i/>
                <w:sz w:val="20"/>
                <w:szCs w:val="20"/>
                <w:lang w:eastAsia="en-ZA"/>
              </w:rPr>
              <w:t>(New indicator)</w:t>
            </w:r>
          </w:p>
        </w:tc>
        <w:tc>
          <w:tcPr>
            <w:tcW w:w="1128"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N/A</w:t>
            </w:r>
          </w:p>
        </w:tc>
        <w:tc>
          <w:tcPr>
            <w:tcW w:w="1428"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N/A</w:t>
            </w:r>
          </w:p>
        </w:tc>
        <w:tc>
          <w:tcPr>
            <w:tcW w:w="988"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90%</w:t>
            </w:r>
          </w:p>
        </w:tc>
      </w:tr>
      <w:tr w:rsidR="006C4E57" w:rsidRPr="004E5697" w:rsidTr="007A2CB3">
        <w:trPr>
          <w:trHeight w:val="696"/>
        </w:trPr>
        <w:tc>
          <w:tcPr>
            <w:tcW w:w="5665" w:type="dxa"/>
            <w:vAlign w:val="center"/>
          </w:tcPr>
          <w:p w:rsidR="006C4E57" w:rsidRPr="004E5697" w:rsidRDefault="006C4E57" w:rsidP="004E5697">
            <w:pPr>
              <w:pStyle w:val="ListParagraph"/>
              <w:numPr>
                <w:ilvl w:val="0"/>
                <w:numId w:val="8"/>
              </w:numPr>
              <w:autoSpaceDE w:val="0"/>
              <w:autoSpaceDN w:val="0"/>
              <w:adjustRightInd w:val="0"/>
              <w:spacing w:line="240" w:lineRule="auto"/>
              <w:ind w:left="318" w:hanging="318"/>
              <w:jc w:val="left"/>
              <w:rPr>
                <w:rFonts w:ascii="Arial" w:hAnsi="Arial" w:cs="Arial"/>
                <w:sz w:val="20"/>
                <w:szCs w:val="20"/>
                <w:lang w:eastAsia="en-ZA"/>
              </w:rPr>
            </w:pPr>
            <w:r w:rsidRPr="004E5697">
              <w:rPr>
                <w:rFonts w:ascii="Arial" w:hAnsi="Arial" w:cs="Arial"/>
                <w:sz w:val="20"/>
                <w:szCs w:val="20"/>
                <w:lang w:eastAsia="en-ZA"/>
              </w:rPr>
              <w:t>Percentage implementation of Access and Awareness Rural Strategy per year</w:t>
            </w:r>
          </w:p>
        </w:tc>
        <w:tc>
          <w:tcPr>
            <w:tcW w:w="1128"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60%</w:t>
            </w:r>
          </w:p>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(6)</w:t>
            </w:r>
          </w:p>
        </w:tc>
        <w:tc>
          <w:tcPr>
            <w:tcW w:w="1428"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60%</w:t>
            </w:r>
          </w:p>
        </w:tc>
        <w:tc>
          <w:tcPr>
            <w:tcW w:w="988" w:type="dxa"/>
            <w:vAlign w:val="center"/>
          </w:tcPr>
          <w:p w:rsidR="006C4E57" w:rsidRPr="004E5697" w:rsidRDefault="006C4E57" w:rsidP="004E5697">
            <w:pPr>
              <w:spacing w:line="240" w:lineRule="auto"/>
              <w:jc w:val="left"/>
              <w:rPr>
                <w:rFonts w:ascii="Arial" w:hAnsi="Arial" w:cs="Arial"/>
                <w:sz w:val="20"/>
                <w:szCs w:val="20"/>
              </w:rPr>
            </w:pPr>
            <w:r w:rsidRPr="004E5697">
              <w:rPr>
                <w:rFonts w:ascii="Arial" w:hAnsi="Arial" w:cs="Arial"/>
                <w:sz w:val="20"/>
                <w:szCs w:val="20"/>
              </w:rPr>
              <w:t>60%</w:t>
            </w:r>
          </w:p>
        </w:tc>
      </w:tr>
    </w:tbl>
    <w:p w:rsidR="006C4E57" w:rsidRPr="004E5697" w:rsidRDefault="006C4E57" w:rsidP="004E5697">
      <w:pPr>
        <w:spacing w:line="240" w:lineRule="auto"/>
        <w:jc w:val="left"/>
        <w:rPr>
          <w:rFonts w:ascii="Arial" w:hAnsi="Arial" w:cs="Arial"/>
          <w:i/>
          <w:sz w:val="20"/>
          <w:szCs w:val="20"/>
        </w:rPr>
      </w:pPr>
      <w:r w:rsidRPr="004E5697">
        <w:rPr>
          <w:rFonts w:ascii="Arial" w:hAnsi="Arial" w:cs="Arial"/>
          <w:i/>
          <w:sz w:val="20"/>
          <w:szCs w:val="20"/>
        </w:rPr>
        <w:t>Source: IPID 2023/24 APP</w:t>
      </w:r>
    </w:p>
    <w:p w:rsidR="00AA0817" w:rsidRPr="004E5697" w:rsidRDefault="00AA0817" w:rsidP="004E5697">
      <w:pPr>
        <w:autoSpaceDE w:val="0"/>
        <w:autoSpaceDN w:val="0"/>
        <w:adjustRightInd w:val="0"/>
        <w:spacing w:line="240" w:lineRule="auto"/>
        <w:jc w:val="left"/>
        <w:rPr>
          <w:rFonts w:ascii="Arial" w:hAnsi="Arial" w:cs="Arial"/>
          <w:sz w:val="20"/>
          <w:szCs w:val="20"/>
          <w:lang w:eastAsia="en-ZA"/>
        </w:rPr>
      </w:pPr>
    </w:p>
    <w:p w:rsidR="00042654" w:rsidRPr="004E5697" w:rsidRDefault="00042654" w:rsidP="004E5697">
      <w:pPr>
        <w:pStyle w:val="Heading1"/>
        <w:numPr>
          <w:ilvl w:val="0"/>
          <w:numId w:val="10"/>
        </w:numPr>
        <w:spacing w:before="0" w:line="240" w:lineRule="auto"/>
        <w:jc w:val="left"/>
        <w:rPr>
          <w:rFonts w:ascii="Arial" w:hAnsi="Arial" w:cs="Arial"/>
          <w:szCs w:val="20"/>
        </w:rPr>
      </w:pPr>
      <w:bookmarkStart w:id="16" w:name="_Toc100599273"/>
      <w:r w:rsidRPr="004E5697">
        <w:rPr>
          <w:rFonts w:ascii="Arial" w:hAnsi="Arial" w:cs="Arial"/>
          <w:szCs w:val="20"/>
        </w:rPr>
        <w:t xml:space="preserve">Committee observations </w:t>
      </w:r>
    </w:p>
    <w:p w:rsidR="00042654" w:rsidRPr="004E5697" w:rsidRDefault="00042654" w:rsidP="004E5697">
      <w:pPr>
        <w:spacing w:line="240" w:lineRule="auto"/>
        <w:jc w:val="left"/>
        <w:rPr>
          <w:rFonts w:ascii="Arial" w:hAnsi="Arial" w:cs="Arial"/>
          <w:sz w:val="20"/>
          <w:szCs w:val="20"/>
        </w:rPr>
      </w:pPr>
    </w:p>
    <w:p w:rsidR="00042654" w:rsidRPr="004E5697" w:rsidRDefault="00042654" w:rsidP="004E5697">
      <w:pPr>
        <w:spacing w:line="240" w:lineRule="auto"/>
        <w:jc w:val="left"/>
        <w:rPr>
          <w:rFonts w:ascii="Arial" w:eastAsia="TimesNewRomanPSMT" w:hAnsi="Arial" w:cs="Arial"/>
          <w:sz w:val="20"/>
          <w:szCs w:val="20"/>
          <w:lang w:eastAsia="en-ZA"/>
        </w:rPr>
      </w:pPr>
      <w:r w:rsidRPr="004E5697">
        <w:rPr>
          <w:rFonts w:ascii="Arial" w:eastAsia="TimesNewRomanPSMT" w:hAnsi="Arial" w:cs="Arial"/>
          <w:sz w:val="20"/>
          <w:szCs w:val="20"/>
          <w:lang w:eastAsia="en-ZA"/>
        </w:rPr>
        <w:t>The Committee made the following observations during the 202</w:t>
      </w:r>
      <w:r w:rsidR="00A819C6" w:rsidRPr="004E5697">
        <w:rPr>
          <w:rFonts w:ascii="Arial" w:eastAsia="TimesNewRomanPSMT" w:hAnsi="Arial" w:cs="Arial"/>
          <w:sz w:val="20"/>
          <w:szCs w:val="20"/>
          <w:lang w:eastAsia="en-ZA"/>
        </w:rPr>
        <w:t>3</w:t>
      </w:r>
      <w:r w:rsidRPr="004E5697">
        <w:rPr>
          <w:rFonts w:ascii="Arial" w:eastAsia="TimesNewRomanPSMT" w:hAnsi="Arial" w:cs="Arial"/>
          <w:sz w:val="20"/>
          <w:szCs w:val="20"/>
          <w:lang w:eastAsia="en-ZA"/>
        </w:rPr>
        <w:t>/2</w:t>
      </w:r>
      <w:r w:rsidR="00A819C6" w:rsidRPr="004E5697">
        <w:rPr>
          <w:rFonts w:ascii="Arial" w:eastAsia="TimesNewRomanPSMT" w:hAnsi="Arial" w:cs="Arial"/>
          <w:sz w:val="20"/>
          <w:szCs w:val="20"/>
          <w:lang w:eastAsia="en-ZA"/>
        </w:rPr>
        <w:t>4</w:t>
      </w:r>
      <w:r w:rsidRPr="004E5697">
        <w:rPr>
          <w:rFonts w:ascii="Arial" w:eastAsia="TimesNewRomanPSMT" w:hAnsi="Arial" w:cs="Arial"/>
          <w:sz w:val="20"/>
          <w:szCs w:val="20"/>
          <w:lang w:eastAsia="en-ZA"/>
        </w:rPr>
        <w:t xml:space="preserve"> budget hearings:</w:t>
      </w:r>
    </w:p>
    <w:p w:rsidR="005F4274" w:rsidRPr="004E5697" w:rsidRDefault="005F4274" w:rsidP="004E5697">
      <w:pPr>
        <w:spacing w:line="240" w:lineRule="auto"/>
        <w:jc w:val="left"/>
        <w:rPr>
          <w:rFonts w:ascii="Arial" w:eastAsia="TimesNewRomanPSMT" w:hAnsi="Arial" w:cs="Arial"/>
          <w:sz w:val="20"/>
          <w:szCs w:val="20"/>
          <w:lang w:eastAsia="en-ZA"/>
        </w:rPr>
      </w:pPr>
    </w:p>
    <w:p w:rsidR="00BE350F" w:rsidRPr="004E5697" w:rsidRDefault="005F4274" w:rsidP="004E5697">
      <w:pPr>
        <w:spacing w:line="240" w:lineRule="auto"/>
        <w:jc w:val="left"/>
        <w:rPr>
          <w:rFonts w:ascii="Arial" w:hAnsi="Arial" w:cs="Arial"/>
          <w:sz w:val="20"/>
          <w:szCs w:val="20"/>
        </w:rPr>
      </w:pPr>
      <w:r w:rsidRPr="004E5697">
        <w:rPr>
          <w:rFonts w:ascii="Arial" w:hAnsi="Arial" w:cs="Arial"/>
          <w:b/>
          <w:sz w:val="20"/>
          <w:szCs w:val="20"/>
        </w:rPr>
        <w:t>Backlog cases:</w:t>
      </w:r>
      <w:r w:rsidRPr="004E5697">
        <w:rPr>
          <w:rFonts w:ascii="Arial" w:hAnsi="Arial" w:cs="Arial"/>
          <w:sz w:val="20"/>
          <w:szCs w:val="20"/>
        </w:rPr>
        <w:t xml:space="preserve"> The Committee </w:t>
      </w:r>
      <w:r w:rsidR="009A38C1" w:rsidRPr="004E5697">
        <w:rPr>
          <w:rFonts w:ascii="Arial" w:hAnsi="Arial" w:cs="Arial"/>
          <w:sz w:val="20"/>
          <w:szCs w:val="20"/>
        </w:rPr>
        <w:t>raised</w:t>
      </w:r>
      <w:r w:rsidRPr="004E5697">
        <w:rPr>
          <w:rFonts w:ascii="Arial" w:hAnsi="Arial" w:cs="Arial"/>
          <w:sz w:val="20"/>
          <w:szCs w:val="20"/>
        </w:rPr>
        <w:t xml:space="preserve"> serious concern </w:t>
      </w:r>
      <w:r w:rsidR="009A38C1" w:rsidRPr="004E5697">
        <w:rPr>
          <w:rFonts w:ascii="Arial" w:hAnsi="Arial" w:cs="Arial"/>
          <w:sz w:val="20"/>
          <w:szCs w:val="20"/>
        </w:rPr>
        <w:t>about</w:t>
      </w:r>
      <w:r w:rsidRPr="004E5697">
        <w:rPr>
          <w:rFonts w:ascii="Arial" w:hAnsi="Arial" w:cs="Arial"/>
          <w:sz w:val="20"/>
          <w:szCs w:val="20"/>
        </w:rPr>
        <w:t xml:space="preserve"> the significant backlog </w:t>
      </w:r>
      <w:r w:rsidR="009A38C1" w:rsidRPr="004E5697">
        <w:rPr>
          <w:rFonts w:ascii="Arial" w:hAnsi="Arial" w:cs="Arial"/>
          <w:sz w:val="20"/>
          <w:szCs w:val="20"/>
        </w:rPr>
        <w:t xml:space="preserve">in </w:t>
      </w:r>
      <w:r w:rsidRPr="004E5697">
        <w:rPr>
          <w:rFonts w:ascii="Arial" w:hAnsi="Arial" w:cs="Arial"/>
          <w:sz w:val="20"/>
          <w:szCs w:val="20"/>
        </w:rPr>
        <w:t>cases (approximately 14 000 cases)</w:t>
      </w:r>
      <w:r w:rsidR="009A38C1" w:rsidRPr="004E5697">
        <w:rPr>
          <w:rFonts w:ascii="Arial" w:hAnsi="Arial" w:cs="Arial"/>
          <w:sz w:val="20"/>
          <w:szCs w:val="20"/>
        </w:rPr>
        <w:t xml:space="preserve"> </w:t>
      </w:r>
      <w:r w:rsidR="00340FE4" w:rsidRPr="004E5697">
        <w:rPr>
          <w:rFonts w:ascii="Arial" w:hAnsi="Arial" w:cs="Arial"/>
          <w:sz w:val="20"/>
          <w:szCs w:val="20"/>
        </w:rPr>
        <w:t xml:space="preserve">that have been </w:t>
      </w:r>
      <w:r w:rsidR="009A38C1" w:rsidRPr="004E5697">
        <w:rPr>
          <w:rFonts w:ascii="Arial" w:hAnsi="Arial" w:cs="Arial"/>
          <w:sz w:val="20"/>
          <w:szCs w:val="20"/>
        </w:rPr>
        <w:t>accumulated over time</w:t>
      </w:r>
      <w:r w:rsidR="00340FE4" w:rsidRPr="004E5697">
        <w:rPr>
          <w:rFonts w:ascii="Arial" w:hAnsi="Arial" w:cs="Arial"/>
          <w:sz w:val="20"/>
          <w:szCs w:val="20"/>
        </w:rPr>
        <w:t xml:space="preserve">. </w:t>
      </w:r>
      <w:r w:rsidRPr="004E5697">
        <w:rPr>
          <w:rFonts w:ascii="Arial" w:hAnsi="Arial" w:cs="Arial"/>
          <w:sz w:val="20"/>
          <w:szCs w:val="20"/>
        </w:rPr>
        <w:t xml:space="preserve">The Committee </w:t>
      </w:r>
      <w:r w:rsidR="009A38C1" w:rsidRPr="004E5697">
        <w:rPr>
          <w:rFonts w:ascii="Arial" w:hAnsi="Arial" w:cs="Arial"/>
          <w:sz w:val="20"/>
          <w:szCs w:val="20"/>
        </w:rPr>
        <w:t xml:space="preserve">further </w:t>
      </w:r>
      <w:r w:rsidR="00340FE4" w:rsidRPr="004E5697">
        <w:rPr>
          <w:rFonts w:ascii="Arial" w:hAnsi="Arial" w:cs="Arial"/>
          <w:sz w:val="20"/>
          <w:szCs w:val="20"/>
        </w:rPr>
        <w:t xml:space="preserve">noted that this points towards serious challenges within the Department and questioned </w:t>
      </w:r>
      <w:r w:rsidRPr="004E5697">
        <w:rPr>
          <w:rFonts w:ascii="Arial" w:hAnsi="Arial" w:cs="Arial"/>
          <w:sz w:val="20"/>
          <w:szCs w:val="20"/>
        </w:rPr>
        <w:t xml:space="preserve">the impact of </w:t>
      </w:r>
      <w:r w:rsidR="009A38C1" w:rsidRPr="004E5697">
        <w:rPr>
          <w:rFonts w:ascii="Arial" w:hAnsi="Arial" w:cs="Arial"/>
          <w:sz w:val="20"/>
          <w:szCs w:val="20"/>
        </w:rPr>
        <w:t xml:space="preserve">the </w:t>
      </w:r>
      <w:r w:rsidRPr="004E5697">
        <w:rPr>
          <w:rFonts w:ascii="Arial" w:hAnsi="Arial" w:cs="Arial"/>
          <w:sz w:val="20"/>
          <w:szCs w:val="20"/>
        </w:rPr>
        <w:t xml:space="preserve">IPID </w:t>
      </w:r>
      <w:r w:rsidR="009A38C1" w:rsidRPr="004E5697">
        <w:rPr>
          <w:rFonts w:ascii="Arial" w:hAnsi="Arial" w:cs="Arial"/>
          <w:sz w:val="20"/>
          <w:szCs w:val="20"/>
        </w:rPr>
        <w:t>on police behaviour</w:t>
      </w:r>
      <w:r w:rsidR="00340FE4" w:rsidRPr="004E5697">
        <w:rPr>
          <w:rFonts w:ascii="Arial" w:hAnsi="Arial" w:cs="Arial"/>
          <w:sz w:val="20"/>
          <w:szCs w:val="20"/>
        </w:rPr>
        <w:t xml:space="preserve">. The Committee </w:t>
      </w:r>
      <w:r w:rsidRPr="004E5697">
        <w:rPr>
          <w:rFonts w:ascii="Arial" w:hAnsi="Arial" w:cs="Arial"/>
          <w:sz w:val="20"/>
          <w:szCs w:val="20"/>
        </w:rPr>
        <w:t xml:space="preserve">feared that </w:t>
      </w:r>
      <w:r w:rsidR="00340FE4" w:rsidRPr="004E5697">
        <w:rPr>
          <w:rFonts w:ascii="Arial" w:hAnsi="Arial" w:cs="Arial"/>
          <w:sz w:val="20"/>
          <w:szCs w:val="20"/>
        </w:rPr>
        <w:t>the Department has become</w:t>
      </w:r>
      <w:r w:rsidRPr="004E5697">
        <w:rPr>
          <w:rFonts w:ascii="Arial" w:hAnsi="Arial" w:cs="Arial"/>
          <w:sz w:val="20"/>
          <w:szCs w:val="20"/>
        </w:rPr>
        <w:t xml:space="preserve"> a sinking ship. </w:t>
      </w:r>
      <w:r w:rsidR="009A38C1" w:rsidRPr="004E5697">
        <w:rPr>
          <w:rFonts w:ascii="Arial" w:hAnsi="Arial" w:cs="Arial"/>
          <w:sz w:val="20"/>
          <w:szCs w:val="20"/>
        </w:rPr>
        <w:t>The Committee stated that i</w:t>
      </w:r>
      <w:r w:rsidRPr="004E5697">
        <w:rPr>
          <w:rFonts w:ascii="Arial" w:hAnsi="Arial" w:cs="Arial"/>
          <w:sz w:val="20"/>
          <w:szCs w:val="20"/>
        </w:rPr>
        <w:t xml:space="preserve">f the trend </w:t>
      </w:r>
      <w:r w:rsidR="00223708" w:rsidRPr="004E5697">
        <w:rPr>
          <w:rFonts w:ascii="Arial" w:hAnsi="Arial" w:cs="Arial"/>
          <w:sz w:val="20"/>
          <w:szCs w:val="20"/>
        </w:rPr>
        <w:t>continues</w:t>
      </w:r>
      <w:r w:rsidR="009A38C1" w:rsidRPr="004E5697">
        <w:rPr>
          <w:rFonts w:ascii="Arial" w:hAnsi="Arial" w:cs="Arial"/>
          <w:sz w:val="20"/>
          <w:szCs w:val="20"/>
        </w:rPr>
        <w:t xml:space="preserve">, </w:t>
      </w:r>
      <w:r w:rsidRPr="004E5697">
        <w:rPr>
          <w:rFonts w:ascii="Arial" w:hAnsi="Arial" w:cs="Arial"/>
          <w:sz w:val="20"/>
          <w:szCs w:val="20"/>
        </w:rPr>
        <w:t xml:space="preserve">IPID </w:t>
      </w:r>
      <w:r w:rsidR="009A38C1" w:rsidRPr="004E5697">
        <w:rPr>
          <w:rFonts w:ascii="Arial" w:hAnsi="Arial" w:cs="Arial"/>
          <w:sz w:val="20"/>
          <w:szCs w:val="20"/>
        </w:rPr>
        <w:t xml:space="preserve">will make no </w:t>
      </w:r>
      <w:r w:rsidRPr="004E5697">
        <w:rPr>
          <w:rFonts w:ascii="Arial" w:hAnsi="Arial" w:cs="Arial"/>
          <w:sz w:val="20"/>
          <w:szCs w:val="20"/>
        </w:rPr>
        <w:t>difference</w:t>
      </w:r>
      <w:r w:rsidR="00340FE4" w:rsidRPr="004E5697">
        <w:rPr>
          <w:rFonts w:ascii="Arial" w:hAnsi="Arial" w:cs="Arial"/>
          <w:sz w:val="20"/>
          <w:szCs w:val="20"/>
        </w:rPr>
        <w:t xml:space="preserve"> to police behaviour</w:t>
      </w:r>
      <w:r w:rsidR="009A38C1" w:rsidRPr="004E5697">
        <w:rPr>
          <w:rFonts w:ascii="Arial" w:hAnsi="Arial" w:cs="Arial"/>
          <w:sz w:val="20"/>
          <w:szCs w:val="20"/>
        </w:rPr>
        <w:t xml:space="preserve">, and indicated that the </w:t>
      </w:r>
      <w:r w:rsidRPr="004E5697">
        <w:rPr>
          <w:rFonts w:ascii="Arial" w:hAnsi="Arial" w:cs="Arial"/>
          <w:sz w:val="20"/>
          <w:szCs w:val="20"/>
        </w:rPr>
        <w:t xml:space="preserve">situation </w:t>
      </w:r>
      <w:r w:rsidR="009A38C1" w:rsidRPr="004E5697">
        <w:rPr>
          <w:rFonts w:ascii="Arial" w:hAnsi="Arial" w:cs="Arial"/>
          <w:sz w:val="20"/>
          <w:szCs w:val="20"/>
        </w:rPr>
        <w:t>must be</w:t>
      </w:r>
      <w:r w:rsidRPr="004E5697">
        <w:rPr>
          <w:rFonts w:ascii="Arial" w:hAnsi="Arial" w:cs="Arial"/>
          <w:sz w:val="20"/>
          <w:szCs w:val="20"/>
        </w:rPr>
        <w:t xml:space="preserve"> turned </w:t>
      </w:r>
      <w:r w:rsidR="009A38C1" w:rsidRPr="004E5697">
        <w:rPr>
          <w:rFonts w:ascii="Arial" w:hAnsi="Arial" w:cs="Arial"/>
          <w:sz w:val="20"/>
          <w:szCs w:val="20"/>
        </w:rPr>
        <w:t>around.</w:t>
      </w:r>
      <w:r w:rsidRPr="004E5697">
        <w:rPr>
          <w:rFonts w:ascii="Arial" w:hAnsi="Arial" w:cs="Arial"/>
          <w:sz w:val="20"/>
          <w:szCs w:val="20"/>
        </w:rPr>
        <w:t xml:space="preserve"> </w:t>
      </w:r>
      <w:r w:rsidR="00223708" w:rsidRPr="004E5697">
        <w:rPr>
          <w:rFonts w:ascii="Arial" w:hAnsi="Arial" w:cs="Arial"/>
          <w:sz w:val="20"/>
          <w:szCs w:val="20"/>
        </w:rPr>
        <w:t xml:space="preserve">The Department indicated that contract workers will be employed to </w:t>
      </w:r>
      <w:r w:rsidR="009A38C1" w:rsidRPr="004E5697">
        <w:rPr>
          <w:rFonts w:ascii="Arial" w:hAnsi="Arial" w:cs="Arial"/>
          <w:sz w:val="20"/>
          <w:szCs w:val="20"/>
        </w:rPr>
        <w:t>address the</w:t>
      </w:r>
      <w:r w:rsidR="00223708" w:rsidRPr="004E5697">
        <w:rPr>
          <w:rFonts w:ascii="Arial" w:hAnsi="Arial" w:cs="Arial"/>
          <w:sz w:val="20"/>
          <w:szCs w:val="20"/>
        </w:rPr>
        <w:t xml:space="preserve"> backlog cases and these </w:t>
      </w:r>
      <w:r w:rsidR="009A38C1" w:rsidRPr="004E5697">
        <w:rPr>
          <w:rFonts w:ascii="Arial" w:hAnsi="Arial" w:cs="Arial"/>
          <w:sz w:val="20"/>
          <w:szCs w:val="20"/>
        </w:rPr>
        <w:t xml:space="preserve">workers </w:t>
      </w:r>
      <w:r w:rsidR="00223708" w:rsidRPr="004E5697">
        <w:rPr>
          <w:rFonts w:ascii="Arial" w:hAnsi="Arial" w:cs="Arial"/>
          <w:sz w:val="20"/>
          <w:szCs w:val="20"/>
        </w:rPr>
        <w:t>are seasoned retired investigators</w:t>
      </w:r>
      <w:r w:rsidR="009A38C1" w:rsidRPr="004E5697">
        <w:rPr>
          <w:rFonts w:ascii="Arial" w:hAnsi="Arial" w:cs="Arial"/>
          <w:sz w:val="20"/>
          <w:szCs w:val="20"/>
        </w:rPr>
        <w:t xml:space="preserve">. </w:t>
      </w:r>
      <w:r w:rsidR="00223708" w:rsidRPr="004E5697">
        <w:rPr>
          <w:rFonts w:ascii="Arial" w:hAnsi="Arial" w:cs="Arial"/>
          <w:sz w:val="20"/>
          <w:szCs w:val="20"/>
        </w:rPr>
        <w:t xml:space="preserve">This will </w:t>
      </w:r>
      <w:r w:rsidR="009A38C1" w:rsidRPr="004E5697">
        <w:rPr>
          <w:rFonts w:ascii="Arial" w:hAnsi="Arial" w:cs="Arial"/>
          <w:sz w:val="20"/>
          <w:szCs w:val="20"/>
        </w:rPr>
        <w:t xml:space="preserve">also have a positive impact on the </w:t>
      </w:r>
      <w:r w:rsidR="00223708" w:rsidRPr="004E5697">
        <w:rPr>
          <w:rFonts w:ascii="Arial" w:hAnsi="Arial" w:cs="Arial"/>
          <w:sz w:val="20"/>
          <w:szCs w:val="20"/>
        </w:rPr>
        <w:t xml:space="preserve">prosecution rate and </w:t>
      </w:r>
      <w:r w:rsidR="009A38C1" w:rsidRPr="004E5697">
        <w:rPr>
          <w:rFonts w:ascii="Arial" w:hAnsi="Arial" w:cs="Arial"/>
          <w:sz w:val="20"/>
          <w:szCs w:val="20"/>
        </w:rPr>
        <w:t xml:space="preserve">will </w:t>
      </w:r>
      <w:r w:rsidR="00223708" w:rsidRPr="004E5697">
        <w:rPr>
          <w:rFonts w:ascii="Arial" w:hAnsi="Arial" w:cs="Arial"/>
          <w:sz w:val="20"/>
          <w:szCs w:val="20"/>
        </w:rPr>
        <w:t xml:space="preserve">reduce the case load of IPID Investigators. </w:t>
      </w:r>
      <w:r w:rsidR="00340FE4" w:rsidRPr="004E5697">
        <w:rPr>
          <w:rFonts w:ascii="Arial" w:hAnsi="Arial" w:cs="Arial"/>
          <w:sz w:val="20"/>
          <w:szCs w:val="20"/>
        </w:rPr>
        <w:t>The Department further elaborated on the dire situation of the Directorate in that the current b</w:t>
      </w:r>
      <w:r w:rsidR="00D93253" w:rsidRPr="004E5697">
        <w:rPr>
          <w:rFonts w:ascii="Arial" w:hAnsi="Arial" w:cs="Arial"/>
          <w:sz w:val="20"/>
          <w:szCs w:val="20"/>
        </w:rPr>
        <w:t xml:space="preserve">acklog </w:t>
      </w:r>
      <w:r w:rsidR="00340FE4" w:rsidRPr="004E5697">
        <w:rPr>
          <w:rFonts w:ascii="Arial" w:hAnsi="Arial" w:cs="Arial"/>
          <w:sz w:val="20"/>
          <w:szCs w:val="20"/>
        </w:rPr>
        <w:t>is</w:t>
      </w:r>
      <w:r w:rsidR="00D93253" w:rsidRPr="004E5697">
        <w:rPr>
          <w:rFonts w:ascii="Arial" w:hAnsi="Arial" w:cs="Arial"/>
          <w:sz w:val="20"/>
          <w:szCs w:val="20"/>
        </w:rPr>
        <w:t xml:space="preserve"> 13 929 </w:t>
      </w:r>
      <w:r w:rsidR="00340FE4" w:rsidRPr="004E5697">
        <w:rPr>
          <w:rFonts w:ascii="Arial" w:hAnsi="Arial" w:cs="Arial"/>
          <w:sz w:val="20"/>
          <w:szCs w:val="20"/>
        </w:rPr>
        <w:t xml:space="preserve">cases and it has </w:t>
      </w:r>
      <w:r w:rsidR="00BE350F" w:rsidRPr="004E5697">
        <w:rPr>
          <w:rFonts w:ascii="Arial" w:hAnsi="Arial" w:cs="Arial"/>
          <w:sz w:val="20"/>
          <w:szCs w:val="20"/>
        </w:rPr>
        <w:t xml:space="preserve">33 138 cases </w:t>
      </w:r>
      <w:r w:rsidR="00340FE4" w:rsidRPr="004E5697">
        <w:rPr>
          <w:rFonts w:ascii="Arial" w:hAnsi="Arial" w:cs="Arial"/>
          <w:sz w:val="20"/>
          <w:szCs w:val="20"/>
        </w:rPr>
        <w:t>that are decision-</w:t>
      </w:r>
      <w:r w:rsidR="00BE350F" w:rsidRPr="004E5697">
        <w:rPr>
          <w:rFonts w:ascii="Arial" w:hAnsi="Arial" w:cs="Arial"/>
          <w:sz w:val="20"/>
          <w:szCs w:val="20"/>
        </w:rPr>
        <w:t>ready</w:t>
      </w:r>
      <w:r w:rsidR="00340FE4" w:rsidRPr="004E5697">
        <w:rPr>
          <w:rFonts w:ascii="Arial" w:hAnsi="Arial" w:cs="Arial"/>
          <w:sz w:val="20"/>
          <w:szCs w:val="20"/>
        </w:rPr>
        <w:t xml:space="preserve">. In total, adding the current and backlog cases, the IPID has </w:t>
      </w:r>
      <w:r w:rsidR="00BE350F" w:rsidRPr="004E5697">
        <w:rPr>
          <w:rFonts w:ascii="Arial" w:hAnsi="Arial" w:cs="Arial"/>
          <w:sz w:val="20"/>
          <w:szCs w:val="20"/>
        </w:rPr>
        <w:t xml:space="preserve">17 989 </w:t>
      </w:r>
      <w:r w:rsidR="00340FE4" w:rsidRPr="004E5697">
        <w:rPr>
          <w:rFonts w:ascii="Arial" w:hAnsi="Arial" w:cs="Arial"/>
          <w:sz w:val="20"/>
          <w:szCs w:val="20"/>
        </w:rPr>
        <w:t xml:space="preserve">cases under investigation and indicated that the intake is growing. Together with the decision-ready cases, the IPID </w:t>
      </w:r>
      <w:r w:rsidR="00BE350F" w:rsidRPr="004E5697">
        <w:rPr>
          <w:rFonts w:ascii="Arial" w:hAnsi="Arial" w:cs="Arial"/>
          <w:sz w:val="20"/>
          <w:szCs w:val="20"/>
        </w:rPr>
        <w:t xml:space="preserve">has 51 127 cases </w:t>
      </w:r>
      <w:r w:rsidR="00340FE4" w:rsidRPr="004E5697">
        <w:rPr>
          <w:rFonts w:ascii="Arial" w:hAnsi="Arial" w:cs="Arial"/>
          <w:sz w:val="20"/>
          <w:szCs w:val="20"/>
        </w:rPr>
        <w:t xml:space="preserve">that </w:t>
      </w:r>
      <w:r w:rsidR="00BE350F" w:rsidRPr="004E5697">
        <w:rPr>
          <w:rFonts w:ascii="Arial" w:hAnsi="Arial" w:cs="Arial"/>
          <w:sz w:val="20"/>
          <w:szCs w:val="20"/>
        </w:rPr>
        <w:t>needs attention</w:t>
      </w:r>
      <w:r w:rsidR="00340FE4" w:rsidRPr="004E5697">
        <w:rPr>
          <w:rFonts w:ascii="Arial" w:hAnsi="Arial" w:cs="Arial"/>
          <w:sz w:val="20"/>
          <w:szCs w:val="20"/>
        </w:rPr>
        <w:t xml:space="preserve">. </w:t>
      </w:r>
    </w:p>
    <w:p w:rsidR="005F4274" w:rsidRPr="004E5697" w:rsidRDefault="005F4274" w:rsidP="004E5697">
      <w:pPr>
        <w:spacing w:line="240" w:lineRule="auto"/>
        <w:jc w:val="left"/>
        <w:rPr>
          <w:rFonts w:ascii="Arial" w:hAnsi="Arial" w:cs="Arial"/>
          <w:sz w:val="20"/>
          <w:szCs w:val="20"/>
        </w:rPr>
      </w:pPr>
    </w:p>
    <w:p w:rsidR="00792649" w:rsidRPr="004E5697" w:rsidRDefault="005F4274" w:rsidP="004E5697">
      <w:pPr>
        <w:spacing w:line="240" w:lineRule="auto"/>
        <w:jc w:val="left"/>
        <w:rPr>
          <w:rFonts w:ascii="Arial" w:hAnsi="Arial" w:cs="Arial"/>
          <w:sz w:val="20"/>
          <w:szCs w:val="20"/>
        </w:rPr>
      </w:pPr>
      <w:r w:rsidRPr="004E5697">
        <w:rPr>
          <w:rFonts w:ascii="Arial" w:hAnsi="Arial" w:cs="Arial"/>
          <w:b/>
          <w:sz w:val="20"/>
          <w:szCs w:val="20"/>
        </w:rPr>
        <w:t xml:space="preserve">Collaboration with provincial Community Safety Departments: </w:t>
      </w:r>
      <w:r w:rsidRPr="004E5697">
        <w:rPr>
          <w:rFonts w:ascii="Arial" w:hAnsi="Arial" w:cs="Arial"/>
          <w:sz w:val="20"/>
          <w:szCs w:val="20"/>
        </w:rPr>
        <w:t xml:space="preserve">The Committee requested clarity on the collaboration with provincial Community Safety Departments and whether this includes </w:t>
      </w:r>
      <w:r w:rsidR="00EC4C5C" w:rsidRPr="004E5697">
        <w:rPr>
          <w:rFonts w:ascii="Arial" w:hAnsi="Arial" w:cs="Arial"/>
          <w:sz w:val="20"/>
          <w:szCs w:val="20"/>
        </w:rPr>
        <w:t xml:space="preserve">collaboration on </w:t>
      </w:r>
      <w:r w:rsidRPr="004E5697">
        <w:rPr>
          <w:rFonts w:ascii="Arial" w:hAnsi="Arial" w:cs="Arial"/>
          <w:sz w:val="20"/>
          <w:szCs w:val="20"/>
        </w:rPr>
        <w:t xml:space="preserve">the investigation of cases. </w:t>
      </w:r>
      <w:r w:rsidR="00063DEB" w:rsidRPr="004E5697">
        <w:rPr>
          <w:rFonts w:ascii="Arial" w:hAnsi="Arial" w:cs="Arial"/>
          <w:sz w:val="20"/>
          <w:szCs w:val="20"/>
        </w:rPr>
        <w:t xml:space="preserve">The Department </w:t>
      </w:r>
      <w:r w:rsidR="00EC4C5C" w:rsidRPr="004E5697">
        <w:rPr>
          <w:rFonts w:ascii="Arial" w:hAnsi="Arial" w:cs="Arial"/>
          <w:sz w:val="20"/>
          <w:szCs w:val="20"/>
        </w:rPr>
        <w:t xml:space="preserve">clarified </w:t>
      </w:r>
      <w:r w:rsidR="00063DEB" w:rsidRPr="004E5697">
        <w:rPr>
          <w:rFonts w:ascii="Arial" w:hAnsi="Arial" w:cs="Arial"/>
          <w:sz w:val="20"/>
          <w:szCs w:val="20"/>
        </w:rPr>
        <w:t xml:space="preserve">that the provincial departments only provide office space for Investigators and </w:t>
      </w:r>
      <w:r w:rsidR="00EC4C5C" w:rsidRPr="004E5697">
        <w:rPr>
          <w:rFonts w:ascii="Arial" w:hAnsi="Arial" w:cs="Arial"/>
          <w:sz w:val="20"/>
          <w:szCs w:val="20"/>
        </w:rPr>
        <w:t xml:space="preserve">do </w:t>
      </w:r>
      <w:r w:rsidR="00063DEB" w:rsidRPr="004E5697">
        <w:rPr>
          <w:rFonts w:ascii="Arial" w:hAnsi="Arial" w:cs="Arial"/>
          <w:sz w:val="20"/>
          <w:szCs w:val="20"/>
        </w:rPr>
        <w:t xml:space="preserve">not </w:t>
      </w:r>
      <w:r w:rsidR="00EC4C5C" w:rsidRPr="004E5697">
        <w:rPr>
          <w:rFonts w:ascii="Arial" w:hAnsi="Arial" w:cs="Arial"/>
          <w:sz w:val="20"/>
          <w:szCs w:val="20"/>
        </w:rPr>
        <w:t xml:space="preserve">assist </w:t>
      </w:r>
      <w:r w:rsidR="00063DEB" w:rsidRPr="004E5697">
        <w:rPr>
          <w:rFonts w:ascii="Arial" w:hAnsi="Arial" w:cs="Arial"/>
          <w:sz w:val="20"/>
          <w:szCs w:val="20"/>
        </w:rPr>
        <w:t xml:space="preserve">with investigations. The </w:t>
      </w:r>
      <w:r w:rsidR="00EC4C5C" w:rsidRPr="004E5697">
        <w:rPr>
          <w:rFonts w:ascii="Arial" w:hAnsi="Arial" w:cs="Arial"/>
          <w:sz w:val="20"/>
          <w:szCs w:val="20"/>
        </w:rPr>
        <w:t>collaboration allows a greater geographic spread of Investigators</w:t>
      </w:r>
      <w:r w:rsidR="007E434A" w:rsidRPr="004E5697">
        <w:rPr>
          <w:rFonts w:ascii="Arial" w:hAnsi="Arial" w:cs="Arial"/>
          <w:sz w:val="20"/>
          <w:szCs w:val="20"/>
        </w:rPr>
        <w:t>,</w:t>
      </w:r>
      <w:r w:rsidR="00EC4C5C" w:rsidRPr="004E5697">
        <w:rPr>
          <w:rFonts w:ascii="Arial" w:hAnsi="Arial" w:cs="Arial"/>
          <w:sz w:val="20"/>
          <w:szCs w:val="20"/>
        </w:rPr>
        <w:t xml:space="preserve"> allowing improved service delivery to </w:t>
      </w:r>
      <w:r w:rsidR="00003062" w:rsidRPr="004E5697">
        <w:rPr>
          <w:rFonts w:ascii="Arial" w:hAnsi="Arial" w:cs="Arial"/>
          <w:sz w:val="20"/>
          <w:szCs w:val="20"/>
        </w:rPr>
        <w:t>citizens</w:t>
      </w:r>
      <w:r w:rsidR="00EC4C5C" w:rsidRPr="004E5697">
        <w:rPr>
          <w:rFonts w:ascii="Arial" w:hAnsi="Arial" w:cs="Arial"/>
          <w:sz w:val="20"/>
          <w:szCs w:val="20"/>
        </w:rPr>
        <w:t xml:space="preserve">. </w:t>
      </w:r>
      <w:r w:rsidR="00792649" w:rsidRPr="004E5697">
        <w:rPr>
          <w:rFonts w:ascii="Arial" w:hAnsi="Arial" w:cs="Arial"/>
          <w:sz w:val="20"/>
          <w:szCs w:val="20"/>
        </w:rPr>
        <w:t xml:space="preserve">The Committee requested an indication of the number of cases that are awaiting technical reports, such as post-mortem, forensic DNA, histology and toxicology reports. The Department </w:t>
      </w:r>
      <w:r w:rsidR="00EC4C5C" w:rsidRPr="004E5697">
        <w:rPr>
          <w:rFonts w:ascii="Arial" w:hAnsi="Arial" w:cs="Arial"/>
          <w:sz w:val="20"/>
          <w:szCs w:val="20"/>
        </w:rPr>
        <w:t xml:space="preserve">will provide the information in writing. </w:t>
      </w:r>
      <w:r w:rsidR="00792649" w:rsidRPr="004E5697">
        <w:rPr>
          <w:rFonts w:ascii="Arial" w:hAnsi="Arial" w:cs="Arial"/>
          <w:sz w:val="20"/>
          <w:szCs w:val="20"/>
        </w:rPr>
        <w:t xml:space="preserve">  </w:t>
      </w:r>
    </w:p>
    <w:p w:rsidR="005F4274" w:rsidRPr="004E5697" w:rsidRDefault="005F4274" w:rsidP="004E5697">
      <w:pPr>
        <w:spacing w:line="240" w:lineRule="auto"/>
        <w:jc w:val="left"/>
        <w:rPr>
          <w:rFonts w:ascii="Arial" w:eastAsia="TimesNewRomanPSMT" w:hAnsi="Arial" w:cs="Arial"/>
          <w:sz w:val="20"/>
          <w:szCs w:val="20"/>
          <w:lang w:eastAsia="en-ZA"/>
        </w:rPr>
      </w:pPr>
    </w:p>
    <w:p w:rsidR="00A913E6" w:rsidRPr="004E5697" w:rsidRDefault="00C252A0" w:rsidP="004E5697">
      <w:pPr>
        <w:spacing w:line="240" w:lineRule="auto"/>
        <w:jc w:val="left"/>
        <w:rPr>
          <w:rFonts w:ascii="Arial" w:eastAsia="TimesNewRomanPSMT" w:hAnsi="Arial" w:cs="Arial"/>
          <w:sz w:val="20"/>
          <w:szCs w:val="20"/>
          <w:lang w:eastAsia="en-ZA"/>
        </w:rPr>
      </w:pPr>
      <w:r w:rsidRPr="004E5697">
        <w:rPr>
          <w:rFonts w:ascii="Arial" w:eastAsia="TimesNewRomanPSMT" w:hAnsi="Arial" w:cs="Arial"/>
          <w:b/>
          <w:sz w:val="20"/>
          <w:szCs w:val="20"/>
          <w:lang w:eastAsia="en-ZA"/>
        </w:rPr>
        <w:lastRenderedPageBreak/>
        <w:t xml:space="preserve">Budget </w:t>
      </w:r>
      <w:r w:rsidR="007266B9" w:rsidRPr="004E5697">
        <w:rPr>
          <w:rFonts w:ascii="Arial" w:eastAsia="TimesNewRomanPSMT" w:hAnsi="Arial" w:cs="Arial"/>
          <w:b/>
          <w:sz w:val="20"/>
          <w:szCs w:val="20"/>
          <w:lang w:eastAsia="en-ZA"/>
        </w:rPr>
        <w:t xml:space="preserve">allocation </w:t>
      </w:r>
      <w:r w:rsidRPr="004E5697">
        <w:rPr>
          <w:rFonts w:ascii="Arial" w:eastAsia="TimesNewRomanPSMT" w:hAnsi="Arial" w:cs="Arial"/>
          <w:b/>
          <w:sz w:val="20"/>
          <w:szCs w:val="20"/>
          <w:lang w:eastAsia="en-ZA"/>
        </w:rPr>
        <w:t xml:space="preserve">and </w:t>
      </w:r>
      <w:r w:rsidR="008232F2" w:rsidRPr="004E5697">
        <w:rPr>
          <w:rFonts w:ascii="Arial" w:eastAsia="TimesNewRomanPSMT" w:hAnsi="Arial" w:cs="Arial"/>
          <w:b/>
          <w:sz w:val="20"/>
          <w:szCs w:val="20"/>
          <w:lang w:eastAsia="en-ZA"/>
        </w:rPr>
        <w:t>p</w:t>
      </w:r>
      <w:r w:rsidRPr="004E5697">
        <w:rPr>
          <w:rFonts w:ascii="Arial" w:eastAsia="TimesNewRomanPSMT" w:hAnsi="Arial" w:cs="Arial"/>
          <w:b/>
          <w:sz w:val="20"/>
          <w:szCs w:val="20"/>
          <w:lang w:eastAsia="en-ZA"/>
        </w:rPr>
        <w:t>ersonnel expenditure:</w:t>
      </w:r>
      <w:r w:rsidRPr="004E5697">
        <w:rPr>
          <w:rFonts w:ascii="Arial" w:eastAsia="TimesNewRomanPSMT" w:hAnsi="Arial" w:cs="Arial"/>
          <w:sz w:val="20"/>
          <w:szCs w:val="20"/>
          <w:lang w:eastAsia="en-ZA"/>
        </w:rPr>
        <w:t xml:space="preserve"> </w:t>
      </w:r>
      <w:r w:rsidR="008232F2" w:rsidRPr="004E5697">
        <w:rPr>
          <w:rFonts w:ascii="Arial" w:eastAsia="TimesNewRomanPSMT" w:hAnsi="Arial" w:cs="Arial"/>
          <w:sz w:val="20"/>
          <w:szCs w:val="20"/>
          <w:lang w:eastAsia="en-ZA"/>
        </w:rPr>
        <w:t>The Committee w</w:t>
      </w:r>
      <w:r w:rsidRPr="004E5697">
        <w:rPr>
          <w:rFonts w:ascii="Arial" w:eastAsia="TimesNewRomanPSMT" w:hAnsi="Arial" w:cs="Arial"/>
          <w:sz w:val="20"/>
          <w:szCs w:val="20"/>
          <w:lang w:eastAsia="en-ZA"/>
        </w:rPr>
        <w:t>elcome</w:t>
      </w:r>
      <w:r w:rsidR="007266B9" w:rsidRPr="004E5697">
        <w:rPr>
          <w:rFonts w:ascii="Arial" w:eastAsia="TimesNewRomanPSMT" w:hAnsi="Arial" w:cs="Arial"/>
          <w:sz w:val="20"/>
          <w:szCs w:val="20"/>
          <w:lang w:eastAsia="en-ZA"/>
        </w:rPr>
        <w:t>d</w:t>
      </w:r>
      <w:r w:rsidRPr="004E5697">
        <w:rPr>
          <w:rFonts w:ascii="Arial" w:eastAsia="TimesNewRomanPSMT" w:hAnsi="Arial" w:cs="Arial"/>
          <w:sz w:val="20"/>
          <w:szCs w:val="20"/>
          <w:lang w:eastAsia="en-ZA"/>
        </w:rPr>
        <w:t xml:space="preserve"> the employment of interns which will assist </w:t>
      </w:r>
      <w:r w:rsidR="008232F2" w:rsidRPr="004E5697">
        <w:rPr>
          <w:rFonts w:ascii="Arial" w:eastAsia="TimesNewRomanPSMT" w:hAnsi="Arial" w:cs="Arial"/>
          <w:sz w:val="20"/>
          <w:szCs w:val="20"/>
          <w:lang w:eastAsia="en-ZA"/>
        </w:rPr>
        <w:t xml:space="preserve">to reduce </w:t>
      </w:r>
      <w:r w:rsidRPr="004E5697">
        <w:rPr>
          <w:rFonts w:ascii="Arial" w:eastAsia="TimesNewRomanPSMT" w:hAnsi="Arial" w:cs="Arial"/>
          <w:sz w:val="20"/>
          <w:szCs w:val="20"/>
          <w:lang w:eastAsia="en-ZA"/>
        </w:rPr>
        <w:t>the unemployment rate in SA</w:t>
      </w:r>
      <w:r w:rsidR="007E434A" w:rsidRPr="004E5697">
        <w:rPr>
          <w:rFonts w:ascii="Arial" w:eastAsia="TimesNewRomanPSMT" w:hAnsi="Arial" w:cs="Arial"/>
          <w:sz w:val="20"/>
          <w:szCs w:val="20"/>
          <w:lang w:eastAsia="en-ZA"/>
        </w:rPr>
        <w:t>,</w:t>
      </w:r>
      <w:r w:rsidRPr="004E5697">
        <w:rPr>
          <w:rFonts w:ascii="Arial" w:eastAsia="TimesNewRomanPSMT" w:hAnsi="Arial" w:cs="Arial"/>
          <w:sz w:val="20"/>
          <w:szCs w:val="20"/>
          <w:lang w:eastAsia="en-ZA"/>
        </w:rPr>
        <w:t xml:space="preserve"> </w:t>
      </w:r>
      <w:r w:rsidR="008232F2" w:rsidRPr="004E5697">
        <w:rPr>
          <w:rFonts w:ascii="Arial" w:eastAsia="TimesNewRomanPSMT" w:hAnsi="Arial" w:cs="Arial"/>
          <w:sz w:val="20"/>
          <w:szCs w:val="20"/>
          <w:lang w:eastAsia="en-ZA"/>
        </w:rPr>
        <w:t xml:space="preserve">provide these individuals valuable </w:t>
      </w:r>
      <w:r w:rsidRPr="004E5697">
        <w:rPr>
          <w:rFonts w:ascii="Arial" w:eastAsia="TimesNewRomanPSMT" w:hAnsi="Arial" w:cs="Arial"/>
          <w:sz w:val="20"/>
          <w:szCs w:val="20"/>
          <w:lang w:eastAsia="en-ZA"/>
        </w:rPr>
        <w:t>skills</w:t>
      </w:r>
      <w:r w:rsidR="008232F2" w:rsidRPr="004E5697">
        <w:rPr>
          <w:rFonts w:ascii="Arial" w:eastAsia="TimesNewRomanPSMT" w:hAnsi="Arial" w:cs="Arial"/>
          <w:sz w:val="20"/>
          <w:szCs w:val="20"/>
          <w:lang w:eastAsia="en-ZA"/>
        </w:rPr>
        <w:t xml:space="preserve"> going forward</w:t>
      </w:r>
      <w:r w:rsidR="007266B9" w:rsidRPr="004E5697">
        <w:rPr>
          <w:rFonts w:ascii="Arial" w:eastAsia="TimesNewRomanPSMT" w:hAnsi="Arial" w:cs="Arial"/>
          <w:sz w:val="20"/>
          <w:szCs w:val="20"/>
          <w:lang w:eastAsia="en-ZA"/>
        </w:rPr>
        <w:t xml:space="preserve"> and </w:t>
      </w:r>
      <w:r w:rsidR="00ED2A40" w:rsidRPr="004E5697">
        <w:rPr>
          <w:rFonts w:ascii="Arial" w:eastAsia="TimesNewRomanPSMT" w:hAnsi="Arial" w:cs="Arial"/>
          <w:sz w:val="20"/>
          <w:szCs w:val="20"/>
          <w:lang w:eastAsia="en-ZA"/>
        </w:rPr>
        <w:t xml:space="preserve">will further </w:t>
      </w:r>
      <w:r w:rsidR="008232F2" w:rsidRPr="004E5697">
        <w:rPr>
          <w:rFonts w:ascii="Arial" w:eastAsia="TimesNewRomanPSMT" w:hAnsi="Arial" w:cs="Arial"/>
          <w:sz w:val="20"/>
          <w:szCs w:val="20"/>
          <w:lang w:eastAsia="en-ZA"/>
        </w:rPr>
        <w:t>a</w:t>
      </w:r>
      <w:r w:rsidRPr="004E5697">
        <w:rPr>
          <w:rFonts w:ascii="Arial" w:eastAsia="TimesNewRomanPSMT" w:hAnsi="Arial" w:cs="Arial"/>
          <w:sz w:val="20"/>
          <w:szCs w:val="20"/>
          <w:lang w:eastAsia="en-ZA"/>
        </w:rPr>
        <w:t xml:space="preserve">lleviate the level of poverty in households. </w:t>
      </w:r>
      <w:r w:rsidR="008232F2" w:rsidRPr="004E5697">
        <w:rPr>
          <w:rFonts w:ascii="Arial" w:eastAsia="TimesNewRomanPSMT" w:hAnsi="Arial" w:cs="Arial"/>
          <w:sz w:val="20"/>
          <w:szCs w:val="20"/>
          <w:lang w:eastAsia="en-ZA"/>
        </w:rPr>
        <w:t xml:space="preserve">The Committee requested clarity on the </w:t>
      </w:r>
      <w:r w:rsidRPr="004E5697">
        <w:rPr>
          <w:rFonts w:ascii="Arial" w:eastAsia="TimesNewRomanPSMT" w:hAnsi="Arial" w:cs="Arial"/>
          <w:sz w:val="20"/>
          <w:szCs w:val="20"/>
          <w:lang w:eastAsia="en-ZA"/>
        </w:rPr>
        <w:t xml:space="preserve">responses by Minister of Finance, </w:t>
      </w:r>
      <w:r w:rsidR="008232F2" w:rsidRPr="004E5697">
        <w:rPr>
          <w:rFonts w:ascii="Arial" w:eastAsia="TimesNewRomanPSMT" w:hAnsi="Arial" w:cs="Arial"/>
          <w:sz w:val="20"/>
          <w:szCs w:val="20"/>
          <w:lang w:eastAsia="en-ZA"/>
        </w:rPr>
        <w:t>in terms of expenditure on compensation of employees</w:t>
      </w:r>
      <w:r w:rsidR="007E434A" w:rsidRPr="004E5697">
        <w:rPr>
          <w:rFonts w:ascii="Arial" w:eastAsia="TimesNewRomanPSMT" w:hAnsi="Arial" w:cs="Arial"/>
          <w:sz w:val="20"/>
          <w:szCs w:val="20"/>
          <w:lang w:eastAsia="en-ZA"/>
        </w:rPr>
        <w:t>,</w:t>
      </w:r>
      <w:r w:rsidR="008232F2" w:rsidRPr="004E5697">
        <w:rPr>
          <w:rFonts w:ascii="Arial" w:eastAsia="TimesNewRomanPSMT" w:hAnsi="Arial" w:cs="Arial"/>
          <w:sz w:val="20"/>
          <w:szCs w:val="20"/>
          <w:lang w:eastAsia="en-ZA"/>
        </w:rPr>
        <w:t xml:space="preserve"> and asked whether the employment of </w:t>
      </w:r>
      <w:r w:rsidRPr="004E5697">
        <w:rPr>
          <w:rFonts w:ascii="Arial" w:eastAsia="TimesNewRomanPSMT" w:hAnsi="Arial" w:cs="Arial"/>
          <w:sz w:val="20"/>
          <w:szCs w:val="20"/>
          <w:lang w:eastAsia="en-ZA"/>
        </w:rPr>
        <w:t xml:space="preserve">interns </w:t>
      </w:r>
      <w:r w:rsidR="008232F2" w:rsidRPr="004E5697">
        <w:rPr>
          <w:rFonts w:ascii="Arial" w:eastAsia="TimesNewRomanPSMT" w:hAnsi="Arial" w:cs="Arial"/>
          <w:sz w:val="20"/>
          <w:szCs w:val="20"/>
          <w:lang w:eastAsia="en-ZA"/>
        </w:rPr>
        <w:t xml:space="preserve">will </w:t>
      </w:r>
      <w:r w:rsidRPr="004E5697">
        <w:rPr>
          <w:rFonts w:ascii="Arial" w:eastAsia="TimesNewRomanPSMT" w:hAnsi="Arial" w:cs="Arial"/>
          <w:sz w:val="20"/>
          <w:szCs w:val="20"/>
          <w:lang w:eastAsia="en-ZA"/>
        </w:rPr>
        <w:t>assist</w:t>
      </w:r>
      <w:r w:rsidR="008232F2" w:rsidRPr="004E5697">
        <w:rPr>
          <w:rFonts w:ascii="Arial" w:eastAsia="TimesNewRomanPSMT" w:hAnsi="Arial" w:cs="Arial"/>
          <w:sz w:val="20"/>
          <w:szCs w:val="20"/>
          <w:lang w:eastAsia="en-ZA"/>
        </w:rPr>
        <w:t xml:space="preserve"> in this regard. The Committee further requested the Department to indicate </w:t>
      </w:r>
      <w:r w:rsidR="009D5F52" w:rsidRPr="004E5697">
        <w:rPr>
          <w:rFonts w:ascii="Arial" w:eastAsia="TimesNewRomanPSMT" w:hAnsi="Arial" w:cs="Arial"/>
          <w:sz w:val="20"/>
          <w:szCs w:val="20"/>
          <w:lang w:eastAsia="en-ZA"/>
        </w:rPr>
        <w:t xml:space="preserve">the </w:t>
      </w:r>
      <w:r w:rsidR="008232F2" w:rsidRPr="004E5697">
        <w:rPr>
          <w:rFonts w:ascii="Arial" w:eastAsia="TimesNewRomanPSMT" w:hAnsi="Arial" w:cs="Arial"/>
          <w:sz w:val="20"/>
          <w:szCs w:val="20"/>
          <w:lang w:eastAsia="en-ZA"/>
        </w:rPr>
        <w:t xml:space="preserve">current </w:t>
      </w:r>
      <w:r w:rsidR="009D5F52" w:rsidRPr="004E5697">
        <w:rPr>
          <w:rFonts w:ascii="Arial" w:eastAsia="TimesNewRomanPSMT" w:hAnsi="Arial" w:cs="Arial"/>
          <w:sz w:val="20"/>
          <w:szCs w:val="20"/>
          <w:lang w:eastAsia="en-ZA"/>
        </w:rPr>
        <w:t>shortfall</w:t>
      </w:r>
      <w:r w:rsidR="008232F2" w:rsidRPr="004E5697">
        <w:rPr>
          <w:rFonts w:ascii="Arial" w:eastAsia="TimesNewRomanPSMT" w:hAnsi="Arial" w:cs="Arial"/>
          <w:sz w:val="20"/>
          <w:szCs w:val="20"/>
          <w:lang w:eastAsia="en-ZA"/>
        </w:rPr>
        <w:t xml:space="preserve"> in its budget allocation.</w:t>
      </w:r>
      <w:r w:rsidR="009D5F52" w:rsidRPr="004E5697">
        <w:rPr>
          <w:rFonts w:ascii="Arial" w:eastAsia="TimesNewRomanPSMT" w:hAnsi="Arial" w:cs="Arial"/>
          <w:sz w:val="20"/>
          <w:szCs w:val="20"/>
          <w:lang w:eastAsia="en-ZA"/>
        </w:rPr>
        <w:t xml:space="preserve"> </w:t>
      </w:r>
      <w:r w:rsidR="00003062" w:rsidRPr="004E5697">
        <w:rPr>
          <w:rFonts w:ascii="Arial" w:eastAsia="TimesNewRomanPSMT" w:hAnsi="Arial" w:cs="Arial"/>
          <w:sz w:val="20"/>
          <w:szCs w:val="20"/>
          <w:lang w:eastAsia="en-ZA"/>
        </w:rPr>
        <w:t>The Department indicated that their resources are limited due to the insufficient budget allocation, which is stretching the Department’s capacity. The Department further stated that it has only 175 investigators responsible for approximately 190 000 police members and</w:t>
      </w:r>
      <w:r w:rsidR="008232F2" w:rsidRPr="004E5697">
        <w:rPr>
          <w:rFonts w:ascii="Arial" w:eastAsia="TimesNewRomanPSMT" w:hAnsi="Arial" w:cs="Arial"/>
          <w:sz w:val="20"/>
          <w:szCs w:val="20"/>
          <w:lang w:eastAsia="en-ZA"/>
        </w:rPr>
        <w:t xml:space="preserve"> an additional number of</w:t>
      </w:r>
      <w:r w:rsidR="00003062" w:rsidRPr="004E5697">
        <w:rPr>
          <w:rFonts w:ascii="Arial" w:eastAsia="TimesNewRomanPSMT" w:hAnsi="Arial" w:cs="Arial"/>
          <w:sz w:val="20"/>
          <w:szCs w:val="20"/>
          <w:lang w:eastAsia="en-ZA"/>
        </w:rPr>
        <w:t xml:space="preserve"> metro police officers. The Department indicated that an Expansion Strategy has been developed</w:t>
      </w:r>
      <w:r w:rsidR="009D5F52" w:rsidRPr="004E5697">
        <w:rPr>
          <w:rFonts w:ascii="Arial" w:eastAsia="TimesNewRomanPSMT" w:hAnsi="Arial" w:cs="Arial"/>
          <w:sz w:val="20"/>
          <w:szCs w:val="20"/>
          <w:lang w:eastAsia="en-ZA"/>
        </w:rPr>
        <w:t xml:space="preserve"> in the 2017/18 financial year and was costed at R275 million</w:t>
      </w:r>
      <w:r w:rsidR="00003062" w:rsidRPr="004E5697">
        <w:rPr>
          <w:rFonts w:ascii="Arial" w:eastAsia="TimesNewRomanPSMT" w:hAnsi="Arial" w:cs="Arial"/>
          <w:sz w:val="20"/>
          <w:szCs w:val="20"/>
          <w:lang w:eastAsia="en-ZA"/>
        </w:rPr>
        <w:t xml:space="preserve">, but the Department needs additional funds to realise the implementation of the strategy. The Department </w:t>
      </w:r>
      <w:r w:rsidR="008232F2" w:rsidRPr="004E5697">
        <w:rPr>
          <w:rFonts w:ascii="Arial" w:eastAsia="TimesNewRomanPSMT" w:hAnsi="Arial" w:cs="Arial"/>
          <w:sz w:val="20"/>
          <w:szCs w:val="20"/>
          <w:lang w:eastAsia="en-ZA"/>
        </w:rPr>
        <w:t xml:space="preserve">requested an opportunity to </w:t>
      </w:r>
      <w:r w:rsidR="00003062" w:rsidRPr="004E5697">
        <w:rPr>
          <w:rFonts w:ascii="Arial" w:eastAsia="TimesNewRomanPSMT" w:hAnsi="Arial" w:cs="Arial"/>
          <w:sz w:val="20"/>
          <w:szCs w:val="20"/>
          <w:lang w:eastAsia="en-ZA"/>
        </w:rPr>
        <w:t>present th</w:t>
      </w:r>
      <w:r w:rsidR="008232F2" w:rsidRPr="004E5697">
        <w:rPr>
          <w:rFonts w:ascii="Arial" w:eastAsia="TimesNewRomanPSMT" w:hAnsi="Arial" w:cs="Arial"/>
          <w:sz w:val="20"/>
          <w:szCs w:val="20"/>
          <w:lang w:eastAsia="en-ZA"/>
        </w:rPr>
        <w:t>e expansion</w:t>
      </w:r>
      <w:r w:rsidR="00003062" w:rsidRPr="004E5697">
        <w:rPr>
          <w:rFonts w:ascii="Arial" w:eastAsia="TimesNewRomanPSMT" w:hAnsi="Arial" w:cs="Arial"/>
          <w:sz w:val="20"/>
          <w:szCs w:val="20"/>
          <w:lang w:eastAsia="en-ZA"/>
        </w:rPr>
        <w:t xml:space="preserve"> strategy to the Committee</w:t>
      </w:r>
      <w:r w:rsidR="008232F2" w:rsidRPr="004E5697">
        <w:rPr>
          <w:rFonts w:ascii="Arial" w:eastAsia="TimesNewRomanPSMT" w:hAnsi="Arial" w:cs="Arial"/>
          <w:sz w:val="20"/>
          <w:szCs w:val="20"/>
          <w:lang w:eastAsia="en-ZA"/>
        </w:rPr>
        <w:t xml:space="preserve"> at a future date</w:t>
      </w:r>
      <w:r w:rsidR="00003062" w:rsidRPr="004E5697">
        <w:rPr>
          <w:rFonts w:ascii="Arial" w:eastAsia="TimesNewRomanPSMT" w:hAnsi="Arial" w:cs="Arial"/>
          <w:sz w:val="20"/>
          <w:szCs w:val="20"/>
          <w:lang w:eastAsia="en-ZA"/>
        </w:rPr>
        <w:t xml:space="preserve">. </w:t>
      </w:r>
      <w:r w:rsidR="008232F2" w:rsidRPr="004E5697">
        <w:rPr>
          <w:rFonts w:ascii="Arial" w:eastAsia="TimesNewRomanPSMT" w:hAnsi="Arial" w:cs="Arial"/>
          <w:sz w:val="20"/>
          <w:szCs w:val="20"/>
          <w:lang w:eastAsia="en-ZA"/>
        </w:rPr>
        <w:t xml:space="preserve">The </w:t>
      </w:r>
      <w:r w:rsidR="00AF54A0" w:rsidRPr="004E5697">
        <w:rPr>
          <w:rFonts w:ascii="Arial" w:eastAsia="TimesNewRomanPSMT" w:hAnsi="Arial" w:cs="Arial"/>
          <w:sz w:val="20"/>
          <w:szCs w:val="20"/>
          <w:lang w:eastAsia="en-ZA"/>
        </w:rPr>
        <w:t xml:space="preserve">IPID </w:t>
      </w:r>
      <w:r w:rsidR="008232F2" w:rsidRPr="004E5697">
        <w:rPr>
          <w:rFonts w:ascii="Arial" w:eastAsia="TimesNewRomanPSMT" w:hAnsi="Arial" w:cs="Arial"/>
          <w:sz w:val="20"/>
          <w:szCs w:val="20"/>
          <w:lang w:eastAsia="en-ZA"/>
        </w:rPr>
        <w:t xml:space="preserve">indicated that the responses from the Minister and </w:t>
      </w:r>
      <w:r w:rsidR="00AF54A0" w:rsidRPr="004E5697">
        <w:rPr>
          <w:rFonts w:ascii="Arial" w:eastAsia="TimesNewRomanPSMT" w:hAnsi="Arial" w:cs="Arial"/>
          <w:sz w:val="20"/>
          <w:szCs w:val="20"/>
          <w:lang w:eastAsia="en-ZA"/>
        </w:rPr>
        <w:t>National Treasury</w:t>
      </w:r>
      <w:r w:rsidR="008232F2" w:rsidRPr="004E5697">
        <w:rPr>
          <w:rFonts w:ascii="Arial" w:eastAsia="TimesNewRomanPSMT" w:hAnsi="Arial" w:cs="Arial"/>
          <w:sz w:val="20"/>
          <w:szCs w:val="20"/>
          <w:lang w:eastAsia="en-ZA"/>
        </w:rPr>
        <w:t xml:space="preserve"> were noted</w:t>
      </w:r>
      <w:r w:rsidR="00AF54A0" w:rsidRPr="004E5697">
        <w:rPr>
          <w:rFonts w:ascii="Arial" w:eastAsia="TimesNewRomanPSMT" w:hAnsi="Arial" w:cs="Arial"/>
          <w:sz w:val="20"/>
          <w:szCs w:val="20"/>
          <w:lang w:eastAsia="en-ZA"/>
        </w:rPr>
        <w:t xml:space="preserve">. </w:t>
      </w:r>
      <w:r w:rsidR="008232F2" w:rsidRPr="004E5697">
        <w:rPr>
          <w:rFonts w:ascii="Arial" w:eastAsia="TimesNewRomanPSMT" w:hAnsi="Arial" w:cs="Arial"/>
          <w:sz w:val="20"/>
          <w:szCs w:val="20"/>
          <w:lang w:eastAsia="en-ZA"/>
        </w:rPr>
        <w:t xml:space="preserve">The Committee noted that the responses from the Minister of Finance regarding the IPID’s budget have remained </w:t>
      </w:r>
      <w:r w:rsidR="00ED2A40" w:rsidRPr="004E5697">
        <w:rPr>
          <w:rFonts w:ascii="Arial" w:eastAsia="TimesNewRomanPSMT" w:hAnsi="Arial" w:cs="Arial"/>
          <w:sz w:val="20"/>
          <w:szCs w:val="20"/>
          <w:lang w:eastAsia="en-ZA"/>
        </w:rPr>
        <w:t>similar</w:t>
      </w:r>
      <w:r w:rsidR="008232F2" w:rsidRPr="004E5697">
        <w:rPr>
          <w:rFonts w:ascii="Arial" w:eastAsia="TimesNewRomanPSMT" w:hAnsi="Arial" w:cs="Arial"/>
          <w:sz w:val="20"/>
          <w:szCs w:val="20"/>
          <w:lang w:eastAsia="en-ZA"/>
        </w:rPr>
        <w:t xml:space="preserve"> since </w:t>
      </w:r>
      <w:r w:rsidR="00375678" w:rsidRPr="004E5697">
        <w:rPr>
          <w:rFonts w:ascii="Arial" w:eastAsia="TimesNewRomanPSMT" w:hAnsi="Arial" w:cs="Arial"/>
          <w:sz w:val="20"/>
          <w:szCs w:val="20"/>
          <w:lang w:eastAsia="en-ZA"/>
        </w:rPr>
        <w:t>2015</w:t>
      </w:r>
      <w:r w:rsidR="008232F2" w:rsidRPr="004E5697">
        <w:rPr>
          <w:rFonts w:ascii="Arial" w:eastAsia="TimesNewRomanPSMT" w:hAnsi="Arial" w:cs="Arial"/>
          <w:sz w:val="20"/>
          <w:szCs w:val="20"/>
          <w:lang w:eastAsia="en-ZA"/>
        </w:rPr>
        <w:t xml:space="preserve"> and indicated that this aspect must be further unpacked</w:t>
      </w:r>
      <w:r w:rsidR="00375678" w:rsidRPr="004E5697">
        <w:rPr>
          <w:rFonts w:ascii="Arial" w:eastAsia="TimesNewRomanPSMT" w:hAnsi="Arial" w:cs="Arial"/>
          <w:sz w:val="20"/>
          <w:szCs w:val="20"/>
          <w:lang w:eastAsia="en-ZA"/>
        </w:rPr>
        <w:t xml:space="preserve"> </w:t>
      </w:r>
      <w:r w:rsidR="008232F2" w:rsidRPr="004E5697">
        <w:rPr>
          <w:rFonts w:ascii="Arial" w:eastAsia="TimesNewRomanPSMT" w:hAnsi="Arial" w:cs="Arial"/>
          <w:sz w:val="20"/>
          <w:szCs w:val="20"/>
          <w:lang w:eastAsia="en-ZA"/>
        </w:rPr>
        <w:t xml:space="preserve">to understand the reasons given by National Treasury </w:t>
      </w:r>
      <w:r w:rsidR="007E434A" w:rsidRPr="004E5697">
        <w:rPr>
          <w:rFonts w:ascii="Arial" w:eastAsia="TimesNewRomanPSMT" w:hAnsi="Arial" w:cs="Arial"/>
          <w:sz w:val="20"/>
          <w:szCs w:val="20"/>
          <w:lang w:eastAsia="en-ZA"/>
        </w:rPr>
        <w:t xml:space="preserve">for </w:t>
      </w:r>
      <w:r w:rsidR="00ED2A40" w:rsidRPr="004E5697">
        <w:rPr>
          <w:rFonts w:ascii="Arial" w:eastAsia="TimesNewRomanPSMT" w:hAnsi="Arial" w:cs="Arial"/>
          <w:sz w:val="20"/>
          <w:szCs w:val="20"/>
          <w:lang w:eastAsia="en-ZA"/>
        </w:rPr>
        <w:t>not acceding to requests for additional funding</w:t>
      </w:r>
      <w:r w:rsidR="008232F2" w:rsidRPr="004E5697">
        <w:rPr>
          <w:rFonts w:ascii="Arial" w:eastAsia="TimesNewRomanPSMT" w:hAnsi="Arial" w:cs="Arial"/>
          <w:sz w:val="20"/>
          <w:szCs w:val="20"/>
          <w:lang w:eastAsia="en-ZA"/>
        </w:rPr>
        <w:t xml:space="preserve"> to the Departments budget.  </w:t>
      </w:r>
    </w:p>
    <w:p w:rsidR="00003062" w:rsidRPr="004E5697" w:rsidRDefault="00003062" w:rsidP="004E5697">
      <w:pPr>
        <w:spacing w:line="240" w:lineRule="auto"/>
        <w:jc w:val="left"/>
        <w:rPr>
          <w:rFonts w:ascii="Arial" w:eastAsia="TimesNewRomanPSMT" w:hAnsi="Arial" w:cs="Arial"/>
          <w:sz w:val="20"/>
          <w:szCs w:val="20"/>
          <w:lang w:eastAsia="en-ZA"/>
        </w:rPr>
      </w:pPr>
    </w:p>
    <w:p w:rsidR="005F4274" w:rsidRPr="004E5697" w:rsidRDefault="005F4274" w:rsidP="004E5697">
      <w:pPr>
        <w:pStyle w:val="Default"/>
        <w:rPr>
          <w:sz w:val="20"/>
          <w:szCs w:val="20"/>
        </w:rPr>
      </w:pPr>
      <w:r w:rsidRPr="004E5697">
        <w:rPr>
          <w:rFonts w:eastAsia="TimesNewRomanPSMT"/>
          <w:b/>
          <w:sz w:val="20"/>
          <w:szCs w:val="20"/>
        </w:rPr>
        <w:t xml:space="preserve">Target for NPA Prosecutions: </w:t>
      </w:r>
      <w:r w:rsidRPr="004E5697">
        <w:rPr>
          <w:rFonts w:eastAsia="TimesNewRomanPSMT"/>
          <w:sz w:val="20"/>
          <w:szCs w:val="20"/>
        </w:rPr>
        <w:t>The Commi</w:t>
      </w:r>
      <w:r w:rsidR="00DE6BE4" w:rsidRPr="004E5697">
        <w:rPr>
          <w:rFonts w:eastAsia="TimesNewRomanPSMT"/>
          <w:sz w:val="20"/>
          <w:szCs w:val="20"/>
        </w:rPr>
        <w:t xml:space="preserve">ttee raised significant concern about the new target for the </w:t>
      </w:r>
      <w:r w:rsidR="00DE6BE4" w:rsidRPr="004E5697">
        <w:rPr>
          <w:sz w:val="20"/>
          <w:szCs w:val="20"/>
        </w:rPr>
        <w:t>percentage of cases prosecuted by the NPA with a target of 7%</w:t>
      </w:r>
      <w:r w:rsidR="00DB2B51" w:rsidRPr="004E5697">
        <w:rPr>
          <w:sz w:val="20"/>
          <w:szCs w:val="20"/>
        </w:rPr>
        <w:t xml:space="preserve">, </w:t>
      </w:r>
      <w:r w:rsidR="00173A7B" w:rsidRPr="004E5697">
        <w:rPr>
          <w:rFonts w:eastAsia="TimesNewRomanPSMT"/>
          <w:sz w:val="20"/>
          <w:szCs w:val="20"/>
        </w:rPr>
        <w:t xml:space="preserve">and stated that it means that police officers </w:t>
      </w:r>
      <w:r w:rsidR="00DE6BE4" w:rsidRPr="004E5697">
        <w:rPr>
          <w:rFonts w:eastAsia="TimesNewRomanPSMT"/>
          <w:sz w:val="20"/>
          <w:szCs w:val="20"/>
        </w:rPr>
        <w:t>committing</w:t>
      </w:r>
      <w:r w:rsidR="00173A7B" w:rsidRPr="004E5697">
        <w:rPr>
          <w:rFonts w:eastAsia="TimesNewRomanPSMT"/>
          <w:sz w:val="20"/>
          <w:szCs w:val="20"/>
        </w:rPr>
        <w:t xml:space="preserve"> a criminal offence have a 93</w:t>
      </w:r>
      <w:r w:rsidR="007E434A" w:rsidRPr="004E5697">
        <w:rPr>
          <w:rFonts w:eastAsia="TimesNewRomanPSMT"/>
          <w:sz w:val="20"/>
          <w:szCs w:val="20"/>
        </w:rPr>
        <w:t xml:space="preserve">% chance </w:t>
      </w:r>
      <w:r w:rsidR="00173A7B" w:rsidRPr="004E5697">
        <w:rPr>
          <w:rFonts w:eastAsia="TimesNewRomanPSMT"/>
          <w:sz w:val="20"/>
          <w:szCs w:val="20"/>
        </w:rPr>
        <w:t xml:space="preserve">of getting away without being charged. </w:t>
      </w:r>
      <w:r w:rsidR="00ED2A40" w:rsidRPr="004E5697">
        <w:rPr>
          <w:rFonts w:eastAsia="TimesNewRomanPSMT"/>
          <w:sz w:val="20"/>
          <w:szCs w:val="20"/>
        </w:rPr>
        <w:t>The Committee questioned w</w:t>
      </w:r>
      <w:r w:rsidR="001F2F29" w:rsidRPr="004E5697">
        <w:rPr>
          <w:rFonts w:eastAsia="TimesNewRomanPSMT"/>
          <w:sz w:val="20"/>
          <w:szCs w:val="20"/>
        </w:rPr>
        <w:t>hat informed such</w:t>
      </w:r>
      <w:r w:rsidR="007E434A" w:rsidRPr="004E5697">
        <w:rPr>
          <w:rFonts w:eastAsia="TimesNewRomanPSMT"/>
          <w:sz w:val="20"/>
          <w:szCs w:val="20"/>
        </w:rPr>
        <w:t xml:space="preserve"> a</w:t>
      </w:r>
      <w:r w:rsidR="001F2F29" w:rsidRPr="004E5697">
        <w:rPr>
          <w:rFonts w:eastAsia="TimesNewRomanPSMT"/>
          <w:sz w:val="20"/>
          <w:szCs w:val="20"/>
        </w:rPr>
        <w:t xml:space="preserve"> low target? </w:t>
      </w:r>
      <w:r w:rsidR="00DE6BE4" w:rsidRPr="004E5697">
        <w:rPr>
          <w:rFonts w:eastAsia="TimesNewRomanPSMT"/>
          <w:sz w:val="20"/>
          <w:szCs w:val="20"/>
        </w:rPr>
        <w:t xml:space="preserve">The Department indicated that historic performance on targets </w:t>
      </w:r>
      <w:r w:rsidR="00ED2A40" w:rsidRPr="004E5697">
        <w:rPr>
          <w:rFonts w:eastAsia="TimesNewRomanPSMT"/>
          <w:sz w:val="20"/>
          <w:szCs w:val="20"/>
        </w:rPr>
        <w:t>are</w:t>
      </w:r>
      <w:r w:rsidR="00DE6BE4" w:rsidRPr="004E5697">
        <w:rPr>
          <w:rFonts w:eastAsia="TimesNewRomanPSMT"/>
          <w:sz w:val="20"/>
          <w:szCs w:val="20"/>
        </w:rPr>
        <w:t xml:space="preserve"> considered </w:t>
      </w:r>
      <w:r w:rsidR="00ED2A40" w:rsidRPr="004E5697">
        <w:rPr>
          <w:rFonts w:eastAsia="TimesNewRomanPSMT"/>
          <w:sz w:val="20"/>
          <w:szCs w:val="20"/>
        </w:rPr>
        <w:t xml:space="preserve">when setting targets. </w:t>
      </w:r>
      <w:r w:rsidR="00DE6BE4" w:rsidRPr="004E5697">
        <w:rPr>
          <w:rFonts w:eastAsia="TimesNewRomanPSMT"/>
          <w:sz w:val="20"/>
          <w:szCs w:val="20"/>
        </w:rPr>
        <w:t xml:space="preserve">The audited performance on NPA </w:t>
      </w:r>
      <w:r w:rsidR="00DB2B51" w:rsidRPr="004E5697">
        <w:rPr>
          <w:rFonts w:eastAsia="TimesNewRomanPSMT"/>
          <w:sz w:val="20"/>
          <w:szCs w:val="20"/>
        </w:rPr>
        <w:t>prosecution</w:t>
      </w:r>
      <w:r w:rsidR="00ED2A40" w:rsidRPr="004E5697">
        <w:rPr>
          <w:rFonts w:eastAsia="TimesNewRomanPSMT"/>
          <w:sz w:val="20"/>
          <w:szCs w:val="20"/>
        </w:rPr>
        <w:t>s</w:t>
      </w:r>
      <w:r w:rsidR="00DB2B51" w:rsidRPr="004E5697">
        <w:rPr>
          <w:rFonts w:eastAsia="TimesNewRomanPSMT"/>
          <w:sz w:val="20"/>
          <w:szCs w:val="20"/>
        </w:rPr>
        <w:t xml:space="preserve"> was</w:t>
      </w:r>
      <w:r w:rsidR="00DE6BE4" w:rsidRPr="004E5697">
        <w:rPr>
          <w:rFonts w:eastAsia="TimesNewRomanPSMT"/>
          <w:sz w:val="20"/>
          <w:szCs w:val="20"/>
        </w:rPr>
        <w:t xml:space="preserve"> 4</w:t>
      </w:r>
      <w:r w:rsidR="00DB2B51" w:rsidRPr="004E5697">
        <w:rPr>
          <w:rFonts w:eastAsia="TimesNewRomanPSMT"/>
          <w:sz w:val="20"/>
          <w:szCs w:val="20"/>
        </w:rPr>
        <w:t>.6</w:t>
      </w:r>
      <w:r w:rsidR="00DE6BE4" w:rsidRPr="004E5697">
        <w:rPr>
          <w:rFonts w:eastAsia="TimesNewRomanPSMT"/>
          <w:sz w:val="20"/>
          <w:szCs w:val="20"/>
        </w:rPr>
        <w:t xml:space="preserve">% </w:t>
      </w:r>
      <w:r w:rsidR="00DB2B51" w:rsidRPr="004E5697">
        <w:rPr>
          <w:rFonts w:eastAsia="TimesNewRomanPSMT"/>
          <w:sz w:val="20"/>
          <w:szCs w:val="20"/>
        </w:rPr>
        <w:t xml:space="preserve">in the previous financial year. The Department only received a response from the NPA on 42% of cases referred and from this, the NPA decided to prosecute only 4.6%. The audited performance is used as a baseline for target setting.  The appointment of quality assurers will address </w:t>
      </w:r>
      <w:r w:rsidR="00971750" w:rsidRPr="004E5697">
        <w:rPr>
          <w:rFonts w:eastAsia="TimesNewRomanPSMT"/>
          <w:sz w:val="20"/>
          <w:szCs w:val="20"/>
        </w:rPr>
        <w:t xml:space="preserve">historic </w:t>
      </w:r>
      <w:r w:rsidR="00DB2B51" w:rsidRPr="004E5697">
        <w:rPr>
          <w:rFonts w:eastAsia="TimesNewRomanPSMT"/>
          <w:sz w:val="20"/>
          <w:szCs w:val="20"/>
        </w:rPr>
        <w:t>issues</w:t>
      </w:r>
      <w:r w:rsidR="00971750" w:rsidRPr="004E5697">
        <w:rPr>
          <w:rFonts w:eastAsia="TimesNewRomanPSMT"/>
          <w:sz w:val="20"/>
          <w:szCs w:val="20"/>
        </w:rPr>
        <w:t xml:space="preserve"> and increase the prosecution rate</w:t>
      </w:r>
      <w:r w:rsidR="00DB2B51" w:rsidRPr="004E5697">
        <w:rPr>
          <w:rFonts w:eastAsia="TimesNewRomanPSMT"/>
          <w:sz w:val="20"/>
          <w:szCs w:val="20"/>
        </w:rPr>
        <w:t xml:space="preserve">. The </w:t>
      </w:r>
      <w:r w:rsidR="00971750" w:rsidRPr="004E5697">
        <w:rPr>
          <w:rFonts w:eastAsia="TimesNewRomanPSMT"/>
          <w:sz w:val="20"/>
          <w:szCs w:val="20"/>
        </w:rPr>
        <w:t xml:space="preserve">Department further indicated that its </w:t>
      </w:r>
      <w:r w:rsidR="00DB2B51" w:rsidRPr="004E5697">
        <w:rPr>
          <w:rFonts w:eastAsia="TimesNewRomanPSMT"/>
          <w:sz w:val="20"/>
          <w:szCs w:val="20"/>
        </w:rPr>
        <w:t>performance is not limited to 7%</w:t>
      </w:r>
      <w:r w:rsidR="00971750" w:rsidRPr="004E5697">
        <w:rPr>
          <w:rFonts w:eastAsia="TimesNewRomanPSMT"/>
          <w:sz w:val="20"/>
          <w:szCs w:val="20"/>
        </w:rPr>
        <w:t xml:space="preserve"> and that it will endeavour to exceed the target. </w:t>
      </w:r>
      <w:r w:rsidR="00DB2B51" w:rsidRPr="004E5697">
        <w:rPr>
          <w:rFonts w:eastAsia="TimesNewRomanPSMT"/>
          <w:sz w:val="20"/>
          <w:szCs w:val="20"/>
        </w:rPr>
        <w:t xml:space="preserve"> </w:t>
      </w:r>
    </w:p>
    <w:p w:rsidR="005F4274" w:rsidRPr="004E5697" w:rsidRDefault="005F4274" w:rsidP="004E5697">
      <w:pPr>
        <w:spacing w:line="240" w:lineRule="auto"/>
        <w:jc w:val="left"/>
        <w:rPr>
          <w:rFonts w:ascii="Arial" w:eastAsia="TimesNewRomanPSMT" w:hAnsi="Arial" w:cs="Arial"/>
          <w:sz w:val="20"/>
          <w:szCs w:val="20"/>
          <w:lang w:eastAsia="en-ZA"/>
        </w:rPr>
      </w:pPr>
    </w:p>
    <w:p w:rsidR="00173A7B" w:rsidRPr="004E5697" w:rsidRDefault="00173A7B" w:rsidP="004E5697">
      <w:pPr>
        <w:spacing w:line="240" w:lineRule="auto"/>
        <w:jc w:val="left"/>
        <w:rPr>
          <w:rFonts w:ascii="Arial" w:hAnsi="Arial" w:cs="Arial"/>
          <w:sz w:val="20"/>
          <w:szCs w:val="20"/>
        </w:rPr>
      </w:pPr>
      <w:r w:rsidRPr="004E5697">
        <w:rPr>
          <w:rFonts w:ascii="Arial" w:hAnsi="Arial" w:cs="Arial"/>
          <w:b/>
          <w:sz w:val="20"/>
          <w:szCs w:val="20"/>
        </w:rPr>
        <w:t xml:space="preserve">Performance indicators: </w:t>
      </w:r>
      <w:r w:rsidRPr="004E5697">
        <w:rPr>
          <w:rFonts w:ascii="Arial" w:hAnsi="Arial" w:cs="Arial"/>
          <w:sz w:val="20"/>
          <w:szCs w:val="20"/>
        </w:rPr>
        <w:t xml:space="preserve">The Committee raised concern about the low targets set in the Department’s core service delivery programme, </w:t>
      </w:r>
      <w:r w:rsidRPr="004E5697">
        <w:rPr>
          <w:rFonts w:ascii="Arial" w:hAnsi="Arial" w:cs="Arial"/>
          <w:bCs/>
          <w:i/>
          <w:sz w:val="20"/>
          <w:szCs w:val="20"/>
        </w:rPr>
        <w:t>Investigation and Information Management</w:t>
      </w:r>
      <w:r w:rsidR="0042454F" w:rsidRPr="004E5697">
        <w:rPr>
          <w:rFonts w:ascii="Arial" w:hAnsi="Arial" w:cs="Arial"/>
          <w:bCs/>
          <w:i/>
          <w:sz w:val="20"/>
          <w:szCs w:val="20"/>
        </w:rPr>
        <w:t>,</w:t>
      </w:r>
      <w:r w:rsidR="00726CD2" w:rsidRPr="004E5697">
        <w:rPr>
          <w:rFonts w:ascii="Arial" w:hAnsi="Arial" w:cs="Arial"/>
          <w:bCs/>
          <w:sz w:val="20"/>
          <w:szCs w:val="20"/>
        </w:rPr>
        <w:t xml:space="preserve"> and noted that all cases should be investigated and not just a limited number. Specific concern was raised about the Department’s target to only investigate one case of rape in police custody. </w:t>
      </w:r>
      <w:r w:rsidR="00E77E00" w:rsidRPr="004E5697">
        <w:rPr>
          <w:rFonts w:ascii="Arial" w:hAnsi="Arial" w:cs="Arial"/>
          <w:bCs/>
          <w:sz w:val="20"/>
          <w:szCs w:val="20"/>
        </w:rPr>
        <w:t xml:space="preserve"> </w:t>
      </w:r>
    </w:p>
    <w:p w:rsidR="00173A7B" w:rsidRPr="004E5697" w:rsidRDefault="00173A7B" w:rsidP="004E5697">
      <w:pPr>
        <w:spacing w:line="240" w:lineRule="auto"/>
        <w:jc w:val="left"/>
        <w:rPr>
          <w:rFonts w:ascii="Arial" w:eastAsia="TimesNewRomanPSMT" w:hAnsi="Arial" w:cs="Arial"/>
          <w:sz w:val="20"/>
          <w:szCs w:val="20"/>
          <w:lang w:eastAsia="en-ZA"/>
        </w:rPr>
      </w:pPr>
    </w:p>
    <w:p w:rsidR="00792649" w:rsidRPr="004E5697" w:rsidRDefault="00792649" w:rsidP="004E5697">
      <w:pPr>
        <w:spacing w:line="240" w:lineRule="auto"/>
        <w:jc w:val="left"/>
        <w:rPr>
          <w:rFonts w:ascii="Arial" w:eastAsia="TimesNewRomanPSMT" w:hAnsi="Arial" w:cs="Arial"/>
          <w:sz w:val="20"/>
          <w:szCs w:val="20"/>
          <w:lang w:eastAsia="en-ZA"/>
        </w:rPr>
      </w:pPr>
      <w:r w:rsidRPr="004E5697">
        <w:rPr>
          <w:rFonts w:ascii="Arial" w:eastAsia="TimesNewRomanPSMT" w:hAnsi="Arial" w:cs="Arial"/>
          <w:b/>
          <w:sz w:val="20"/>
          <w:szCs w:val="20"/>
          <w:lang w:eastAsia="en-ZA"/>
        </w:rPr>
        <w:t>Complaints that fall outside the mandate of the IPID:</w:t>
      </w:r>
      <w:r w:rsidRPr="004E5697">
        <w:rPr>
          <w:rFonts w:ascii="Arial" w:eastAsia="TimesNewRomanPSMT" w:hAnsi="Arial" w:cs="Arial"/>
          <w:sz w:val="20"/>
          <w:szCs w:val="20"/>
          <w:lang w:eastAsia="en-ZA"/>
        </w:rPr>
        <w:t xml:space="preserve"> </w:t>
      </w:r>
      <w:r w:rsidR="00726CD2" w:rsidRPr="004E5697">
        <w:rPr>
          <w:rFonts w:ascii="Arial" w:eastAsia="TimesNewRomanPSMT" w:hAnsi="Arial" w:cs="Arial"/>
          <w:sz w:val="20"/>
          <w:szCs w:val="20"/>
          <w:lang w:eastAsia="en-ZA"/>
        </w:rPr>
        <w:t>The Committee requested the Department to indicate the number of cases received that fall outside the mandate of the Department, and the manner in which these cases are dealt with. The Department did not state the number of cases, but indicated that it h</w:t>
      </w:r>
      <w:r w:rsidR="004352A2" w:rsidRPr="004E5697">
        <w:rPr>
          <w:rFonts w:ascii="Arial" w:eastAsia="TimesNewRomanPSMT" w:hAnsi="Arial" w:cs="Arial"/>
          <w:sz w:val="20"/>
          <w:szCs w:val="20"/>
          <w:lang w:eastAsia="en-ZA"/>
        </w:rPr>
        <w:t xml:space="preserve">as </w:t>
      </w:r>
      <w:r w:rsidR="00726CD2" w:rsidRPr="004E5697">
        <w:rPr>
          <w:rFonts w:ascii="Arial" w:eastAsia="TimesNewRomanPSMT" w:hAnsi="Arial" w:cs="Arial"/>
          <w:sz w:val="20"/>
          <w:szCs w:val="20"/>
          <w:lang w:eastAsia="en-ZA"/>
        </w:rPr>
        <w:t xml:space="preserve">established </w:t>
      </w:r>
      <w:r w:rsidR="004352A2" w:rsidRPr="004E5697">
        <w:rPr>
          <w:rFonts w:ascii="Arial" w:eastAsia="TimesNewRomanPSMT" w:hAnsi="Arial" w:cs="Arial"/>
          <w:sz w:val="20"/>
          <w:szCs w:val="20"/>
          <w:lang w:eastAsia="en-ZA"/>
        </w:rPr>
        <w:t>mechanisms to refer</w:t>
      </w:r>
      <w:r w:rsidR="00726CD2" w:rsidRPr="004E5697">
        <w:rPr>
          <w:rFonts w:ascii="Arial" w:eastAsia="TimesNewRomanPSMT" w:hAnsi="Arial" w:cs="Arial"/>
          <w:sz w:val="20"/>
          <w:szCs w:val="20"/>
          <w:lang w:eastAsia="en-ZA"/>
        </w:rPr>
        <w:t xml:space="preserve"> such cases</w:t>
      </w:r>
      <w:r w:rsidR="004352A2" w:rsidRPr="004E5697">
        <w:rPr>
          <w:rFonts w:ascii="Arial" w:eastAsia="TimesNewRomanPSMT" w:hAnsi="Arial" w:cs="Arial"/>
          <w:sz w:val="20"/>
          <w:szCs w:val="20"/>
          <w:lang w:eastAsia="en-ZA"/>
        </w:rPr>
        <w:t xml:space="preserve"> to</w:t>
      </w:r>
      <w:r w:rsidR="00726CD2" w:rsidRPr="004E5697">
        <w:rPr>
          <w:rFonts w:ascii="Arial" w:eastAsia="TimesNewRomanPSMT" w:hAnsi="Arial" w:cs="Arial"/>
          <w:sz w:val="20"/>
          <w:szCs w:val="20"/>
          <w:lang w:eastAsia="en-ZA"/>
        </w:rPr>
        <w:t xml:space="preserve"> the</w:t>
      </w:r>
      <w:r w:rsidR="004352A2" w:rsidRPr="004E5697">
        <w:rPr>
          <w:rFonts w:ascii="Arial" w:eastAsia="TimesNewRomanPSMT" w:hAnsi="Arial" w:cs="Arial"/>
          <w:sz w:val="20"/>
          <w:szCs w:val="20"/>
          <w:lang w:eastAsia="en-ZA"/>
        </w:rPr>
        <w:t xml:space="preserve"> SAPS Inspectorate and/or </w:t>
      </w:r>
      <w:r w:rsidR="00726CD2" w:rsidRPr="004E5697">
        <w:rPr>
          <w:rFonts w:ascii="Arial" w:eastAsia="TimesNewRomanPSMT" w:hAnsi="Arial" w:cs="Arial"/>
          <w:sz w:val="20"/>
          <w:szCs w:val="20"/>
          <w:lang w:eastAsia="en-ZA"/>
        </w:rPr>
        <w:t xml:space="preserve">the </w:t>
      </w:r>
      <w:r w:rsidR="004352A2" w:rsidRPr="004E5697">
        <w:rPr>
          <w:rFonts w:ascii="Arial" w:eastAsia="TimesNewRomanPSMT" w:hAnsi="Arial" w:cs="Arial"/>
          <w:sz w:val="20"/>
          <w:szCs w:val="20"/>
          <w:lang w:eastAsia="en-ZA"/>
        </w:rPr>
        <w:t xml:space="preserve">CSPS. </w:t>
      </w:r>
      <w:r w:rsidR="00726CD2" w:rsidRPr="004E5697">
        <w:rPr>
          <w:rFonts w:ascii="Arial" w:eastAsia="TimesNewRomanPSMT" w:hAnsi="Arial" w:cs="Arial"/>
          <w:sz w:val="20"/>
          <w:szCs w:val="20"/>
          <w:lang w:eastAsia="en-ZA"/>
        </w:rPr>
        <w:t>However, the Department indicated that they w</w:t>
      </w:r>
      <w:r w:rsidR="00745C10" w:rsidRPr="004E5697">
        <w:rPr>
          <w:rFonts w:ascii="Arial" w:eastAsia="TimesNewRomanPSMT" w:hAnsi="Arial" w:cs="Arial"/>
          <w:sz w:val="20"/>
          <w:szCs w:val="20"/>
          <w:lang w:eastAsia="en-ZA"/>
        </w:rPr>
        <w:t xml:space="preserve">ant to </w:t>
      </w:r>
      <w:r w:rsidR="00726CD2" w:rsidRPr="004E5697">
        <w:rPr>
          <w:rFonts w:ascii="Arial" w:eastAsia="TimesNewRomanPSMT" w:hAnsi="Arial" w:cs="Arial"/>
          <w:sz w:val="20"/>
          <w:szCs w:val="20"/>
          <w:lang w:eastAsia="en-ZA"/>
        </w:rPr>
        <w:t>strengthen these</w:t>
      </w:r>
      <w:r w:rsidR="00745C10" w:rsidRPr="004E5697">
        <w:rPr>
          <w:rFonts w:ascii="Arial" w:eastAsia="TimesNewRomanPSMT" w:hAnsi="Arial" w:cs="Arial"/>
          <w:sz w:val="20"/>
          <w:szCs w:val="20"/>
          <w:lang w:eastAsia="en-ZA"/>
        </w:rPr>
        <w:t xml:space="preserve"> processes</w:t>
      </w:r>
      <w:r w:rsidR="00726CD2" w:rsidRPr="004E5697">
        <w:rPr>
          <w:rFonts w:ascii="Arial" w:eastAsia="TimesNewRomanPSMT" w:hAnsi="Arial" w:cs="Arial"/>
          <w:sz w:val="20"/>
          <w:szCs w:val="20"/>
          <w:lang w:eastAsia="en-ZA"/>
        </w:rPr>
        <w:t>.</w:t>
      </w:r>
      <w:r w:rsidR="00745C10" w:rsidRPr="004E5697">
        <w:rPr>
          <w:rFonts w:ascii="Arial" w:eastAsia="TimesNewRomanPSMT" w:hAnsi="Arial" w:cs="Arial"/>
          <w:sz w:val="20"/>
          <w:szCs w:val="20"/>
          <w:lang w:eastAsia="en-ZA"/>
        </w:rPr>
        <w:t xml:space="preserve"> </w:t>
      </w:r>
    </w:p>
    <w:p w:rsidR="00792649" w:rsidRPr="004E5697" w:rsidRDefault="00792649" w:rsidP="004E5697">
      <w:pPr>
        <w:spacing w:line="240" w:lineRule="auto"/>
        <w:jc w:val="left"/>
        <w:rPr>
          <w:rFonts w:ascii="Arial" w:eastAsia="TimesNewRomanPSMT" w:hAnsi="Arial" w:cs="Arial"/>
          <w:sz w:val="20"/>
          <w:szCs w:val="20"/>
          <w:lang w:eastAsia="en-ZA"/>
        </w:rPr>
      </w:pPr>
    </w:p>
    <w:p w:rsidR="00792649" w:rsidRPr="004E5697" w:rsidRDefault="00792649" w:rsidP="004E5697">
      <w:pPr>
        <w:spacing w:line="240" w:lineRule="auto"/>
        <w:jc w:val="left"/>
        <w:rPr>
          <w:rFonts w:ascii="Arial" w:eastAsia="TimesNewRomanPSMT" w:hAnsi="Arial" w:cs="Arial"/>
          <w:sz w:val="20"/>
          <w:szCs w:val="20"/>
          <w:lang w:eastAsia="en-ZA"/>
        </w:rPr>
      </w:pPr>
      <w:r w:rsidRPr="004E5697">
        <w:rPr>
          <w:rFonts w:ascii="Arial" w:eastAsia="TimesNewRomanPSMT" w:hAnsi="Arial" w:cs="Arial"/>
          <w:b/>
          <w:sz w:val="20"/>
          <w:szCs w:val="20"/>
          <w:lang w:eastAsia="en-ZA"/>
        </w:rPr>
        <w:t>Komatipoort shooting incident:</w:t>
      </w:r>
      <w:r w:rsidRPr="004E5697">
        <w:rPr>
          <w:rFonts w:ascii="Arial" w:eastAsia="TimesNewRomanPSMT" w:hAnsi="Arial" w:cs="Arial"/>
          <w:sz w:val="20"/>
          <w:szCs w:val="20"/>
          <w:lang w:eastAsia="en-ZA"/>
        </w:rPr>
        <w:t xml:space="preserve"> </w:t>
      </w:r>
      <w:r w:rsidR="00726CD2" w:rsidRPr="004E5697">
        <w:rPr>
          <w:rFonts w:ascii="Arial" w:eastAsia="TimesNewRomanPSMT" w:hAnsi="Arial" w:cs="Arial"/>
          <w:sz w:val="20"/>
          <w:szCs w:val="20"/>
          <w:lang w:eastAsia="en-ZA"/>
        </w:rPr>
        <w:t xml:space="preserve">The Committee requested clarity and progress on investigations on a </w:t>
      </w:r>
      <w:r w:rsidR="00BD637B" w:rsidRPr="004E5697">
        <w:rPr>
          <w:rFonts w:ascii="Arial" w:eastAsia="TimesNewRomanPSMT" w:hAnsi="Arial" w:cs="Arial"/>
          <w:sz w:val="20"/>
          <w:szCs w:val="20"/>
          <w:lang w:eastAsia="en-ZA"/>
        </w:rPr>
        <w:t xml:space="preserve">2022 </w:t>
      </w:r>
      <w:r w:rsidR="00726CD2" w:rsidRPr="004E5697">
        <w:rPr>
          <w:rFonts w:ascii="Arial" w:eastAsia="TimesNewRomanPSMT" w:hAnsi="Arial" w:cs="Arial"/>
          <w:sz w:val="20"/>
          <w:szCs w:val="20"/>
          <w:lang w:eastAsia="en-ZA"/>
        </w:rPr>
        <w:t>shooting incident that occurred</w:t>
      </w:r>
      <w:r w:rsidR="002F77DB" w:rsidRPr="004E5697">
        <w:rPr>
          <w:rFonts w:ascii="Arial" w:eastAsia="TimesNewRomanPSMT" w:hAnsi="Arial" w:cs="Arial"/>
          <w:sz w:val="20"/>
          <w:szCs w:val="20"/>
          <w:lang w:eastAsia="en-ZA"/>
        </w:rPr>
        <w:t xml:space="preserve"> during a </w:t>
      </w:r>
      <w:r w:rsidR="00BD637B" w:rsidRPr="004E5697">
        <w:rPr>
          <w:rFonts w:ascii="Arial" w:eastAsia="TimesNewRomanPSMT" w:hAnsi="Arial" w:cs="Arial"/>
          <w:sz w:val="20"/>
          <w:szCs w:val="20"/>
          <w:lang w:eastAsia="en-ZA"/>
        </w:rPr>
        <w:t xml:space="preserve">community </w:t>
      </w:r>
      <w:r w:rsidR="002F77DB" w:rsidRPr="004E5697">
        <w:rPr>
          <w:rFonts w:ascii="Arial" w:eastAsia="TimesNewRomanPSMT" w:hAnsi="Arial" w:cs="Arial"/>
          <w:sz w:val="20"/>
          <w:szCs w:val="20"/>
          <w:lang w:eastAsia="en-ZA"/>
        </w:rPr>
        <w:t>protest</w:t>
      </w:r>
      <w:r w:rsidR="00726CD2" w:rsidRPr="004E5697">
        <w:rPr>
          <w:rFonts w:ascii="Arial" w:eastAsia="TimesNewRomanPSMT" w:hAnsi="Arial" w:cs="Arial"/>
          <w:sz w:val="20"/>
          <w:szCs w:val="20"/>
          <w:lang w:eastAsia="en-ZA"/>
        </w:rPr>
        <w:t xml:space="preserve"> in the Komatipoort-area in which</w:t>
      </w:r>
      <w:r w:rsidR="002F77DB" w:rsidRPr="004E5697">
        <w:rPr>
          <w:rFonts w:ascii="Arial" w:eastAsia="TimesNewRomanPSMT" w:hAnsi="Arial" w:cs="Arial"/>
          <w:sz w:val="20"/>
          <w:szCs w:val="20"/>
          <w:lang w:eastAsia="en-ZA"/>
        </w:rPr>
        <w:t xml:space="preserve"> the SAPS used</w:t>
      </w:r>
      <w:r w:rsidR="00726CD2" w:rsidRPr="004E5697">
        <w:rPr>
          <w:rFonts w:ascii="Arial" w:eastAsia="TimesNewRomanPSMT" w:hAnsi="Arial" w:cs="Arial"/>
          <w:sz w:val="20"/>
          <w:szCs w:val="20"/>
          <w:lang w:eastAsia="en-ZA"/>
        </w:rPr>
        <w:t xml:space="preserve"> live ammunition to shoot </w:t>
      </w:r>
      <w:r w:rsidR="002F77DB" w:rsidRPr="004E5697">
        <w:rPr>
          <w:rFonts w:ascii="Arial" w:eastAsia="TimesNewRomanPSMT" w:hAnsi="Arial" w:cs="Arial"/>
          <w:sz w:val="20"/>
          <w:szCs w:val="20"/>
          <w:lang w:eastAsia="en-ZA"/>
        </w:rPr>
        <w:t>at protestors</w:t>
      </w:r>
      <w:r w:rsidR="00726CD2" w:rsidRPr="004E5697">
        <w:rPr>
          <w:rFonts w:ascii="Arial" w:eastAsia="TimesNewRomanPSMT" w:hAnsi="Arial" w:cs="Arial"/>
          <w:sz w:val="20"/>
          <w:szCs w:val="20"/>
          <w:lang w:eastAsia="en-ZA"/>
        </w:rPr>
        <w:t xml:space="preserve">. The Department requested an </w:t>
      </w:r>
      <w:r w:rsidR="00745C10" w:rsidRPr="004E5697">
        <w:rPr>
          <w:rFonts w:ascii="Arial" w:eastAsia="TimesNewRomanPSMT" w:hAnsi="Arial" w:cs="Arial"/>
          <w:sz w:val="20"/>
          <w:szCs w:val="20"/>
          <w:lang w:eastAsia="en-ZA"/>
        </w:rPr>
        <w:t xml:space="preserve">opportunity </w:t>
      </w:r>
      <w:r w:rsidR="00726CD2" w:rsidRPr="004E5697">
        <w:rPr>
          <w:rFonts w:ascii="Arial" w:eastAsia="TimesNewRomanPSMT" w:hAnsi="Arial" w:cs="Arial"/>
          <w:sz w:val="20"/>
          <w:szCs w:val="20"/>
          <w:lang w:eastAsia="en-ZA"/>
        </w:rPr>
        <w:t xml:space="preserve">to respond in writing to provide </w:t>
      </w:r>
      <w:r w:rsidR="00745C10" w:rsidRPr="004E5697">
        <w:rPr>
          <w:rFonts w:ascii="Arial" w:eastAsia="TimesNewRomanPSMT" w:hAnsi="Arial" w:cs="Arial"/>
          <w:sz w:val="20"/>
          <w:szCs w:val="20"/>
          <w:lang w:eastAsia="en-ZA"/>
        </w:rPr>
        <w:t>detail</w:t>
      </w:r>
      <w:r w:rsidR="00726CD2" w:rsidRPr="004E5697">
        <w:rPr>
          <w:rFonts w:ascii="Arial" w:eastAsia="TimesNewRomanPSMT" w:hAnsi="Arial" w:cs="Arial"/>
          <w:sz w:val="20"/>
          <w:szCs w:val="20"/>
          <w:lang w:eastAsia="en-ZA"/>
        </w:rPr>
        <w:t>s of the incident</w:t>
      </w:r>
      <w:r w:rsidR="00745C10" w:rsidRPr="004E5697">
        <w:rPr>
          <w:rFonts w:ascii="Arial" w:eastAsia="TimesNewRomanPSMT" w:hAnsi="Arial" w:cs="Arial"/>
          <w:sz w:val="20"/>
          <w:szCs w:val="20"/>
          <w:lang w:eastAsia="en-ZA"/>
        </w:rPr>
        <w:t xml:space="preserve">. </w:t>
      </w:r>
    </w:p>
    <w:p w:rsidR="00792649" w:rsidRPr="004E5697" w:rsidRDefault="00792649" w:rsidP="004E5697">
      <w:pPr>
        <w:spacing w:line="240" w:lineRule="auto"/>
        <w:jc w:val="left"/>
        <w:rPr>
          <w:rFonts w:ascii="Arial" w:eastAsia="TimesNewRomanPSMT" w:hAnsi="Arial" w:cs="Arial"/>
          <w:sz w:val="20"/>
          <w:szCs w:val="20"/>
          <w:lang w:eastAsia="en-ZA"/>
        </w:rPr>
      </w:pPr>
    </w:p>
    <w:p w:rsidR="00997834" w:rsidRPr="004E5697" w:rsidRDefault="00997834" w:rsidP="004E5697">
      <w:pPr>
        <w:pStyle w:val="Default"/>
        <w:rPr>
          <w:sz w:val="20"/>
          <w:szCs w:val="20"/>
        </w:rPr>
      </w:pPr>
      <w:r w:rsidRPr="004E5697">
        <w:rPr>
          <w:rFonts w:eastAsia="TimesNewRomanPSMT"/>
          <w:b/>
          <w:sz w:val="20"/>
          <w:szCs w:val="20"/>
        </w:rPr>
        <w:t>Discontinuation of target on disclosures:</w:t>
      </w:r>
      <w:r w:rsidRPr="004E5697">
        <w:rPr>
          <w:rFonts w:eastAsia="TimesNewRomanPSMT"/>
          <w:sz w:val="20"/>
          <w:szCs w:val="20"/>
        </w:rPr>
        <w:t xml:space="preserve"> </w:t>
      </w:r>
      <w:r w:rsidR="00716B43" w:rsidRPr="004E5697">
        <w:rPr>
          <w:rFonts w:eastAsia="TimesNewRomanPSMT"/>
          <w:sz w:val="20"/>
          <w:szCs w:val="20"/>
        </w:rPr>
        <w:t xml:space="preserve">The Committee asked why the </w:t>
      </w:r>
      <w:r w:rsidR="00716B43" w:rsidRPr="004E5697">
        <w:rPr>
          <w:sz w:val="20"/>
          <w:szCs w:val="20"/>
        </w:rPr>
        <w:t xml:space="preserve">performance indicator to report on the compliance of the Senior Management Structure (SMS) financial interests submitted through e-disclosures was removed from the 2023/24 APP. The Department indicated that the removal was </w:t>
      </w:r>
      <w:r w:rsidR="00716B43" w:rsidRPr="004E5697">
        <w:rPr>
          <w:rFonts w:eastAsia="TimesNewRomanPSMT"/>
          <w:sz w:val="20"/>
          <w:szCs w:val="20"/>
        </w:rPr>
        <w:t>r</w:t>
      </w:r>
      <w:r w:rsidRPr="004E5697">
        <w:rPr>
          <w:rFonts w:eastAsia="TimesNewRomanPSMT"/>
          <w:sz w:val="20"/>
          <w:szCs w:val="20"/>
        </w:rPr>
        <w:t xml:space="preserve">ecommended by </w:t>
      </w:r>
      <w:r w:rsidR="00716B43" w:rsidRPr="004E5697">
        <w:rPr>
          <w:rFonts w:eastAsia="TimesNewRomanPSMT"/>
          <w:sz w:val="20"/>
          <w:szCs w:val="20"/>
        </w:rPr>
        <w:t>the Department of Monitoring and Evaluation</w:t>
      </w:r>
      <w:r w:rsidR="00BD637B" w:rsidRPr="004E5697">
        <w:rPr>
          <w:rFonts w:eastAsia="TimesNewRomanPSMT"/>
          <w:sz w:val="20"/>
          <w:szCs w:val="20"/>
        </w:rPr>
        <w:t xml:space="preserve"> (DPME)</w:t>
      </w:r>
      <w:r w:rsidR="00716B43" w:rsidRPr="004E5697">
        <w:rPr>
          <w:rFonts w:eastAsia="TimesNewRomanPSMT"/>
          <w:sz w:val="20"/>
          <w:szCs w:val="20"/>
        </w:rPr>
        <w:t xml:space="preserve"> as t</w:t>
      </w:r>
      <w:r w:rsidR="00BD637B" w:rsidRPr="004E5697">
        <w:rPr>
          <w:rFonts w:eastAsia="TimesNewRomanPSMT"/>
          <w:sz w:val="20"/>
          <w:szCs w:val="20"/>
        </w:rPr>
        <w:t>he target wa</w:t>
      </w:r>
      <w:r w:rsidR="00716B43" w:rsidRPr="004E5697">
        <w:rPr>
          <w:rFonts w:eastAsia="TimesNewRomanPSMT"/>
          <w:sz w:val="20"/>
          <w:szCs w:val="20"/>
        </w:rPr>
        <w:t>s</w:t>
      </w:r>
      <w:r w:rsidRPr="004E5697">
        <w:rPr>
          <w:rFonts w:eastAsia="TimesNewRomanPSMT"/>
          <w:sz w:val="20"/>
          <w:szCs w:val="20"/>
        </w:rPr>
        <w:t xml:space="preserve"> </w:t>
      </w:r>
      <w:r w:rsidR="00BD637B" w:rsidRPr="004E5697">
        <w:rPr>
          <w:rFonts w:eastAsia="TimesNewRomanPSMT"/>
          <w:sz w:val="20"/>
          <w:szCs w:val="20"/>
        </w:rPr>
        <w:t xml:space="preserve">deemed to be </w:t>
      </w:r>
      <w:r w:rsidRPr="004E5697">
        <w:rPr>
          <w:rFonts w:eastAsia="TimesNewRomanPSMT"/>
          <w:sz w:val="20"/>
          <w:szCs w:val="20"/>
        </w:rPr>
        <w:t xml:space="preserve">operational </w:t>
      </w:r>
      <w:r w:rsidR="00716B43" w:rsidRPr="004E5697">
        <w:rPr>
          <w:rFonts w:eastAsia="TimesNewRomanPSMT"/>
          <w:sz w:val="20"/>
          <w:szCs w:val="20"/>
        </w:rPr>
        <w:t xml:space="preserve">in nature, </w:t>
      </w:r>
      <w:r w:rsidRPr="004E5697">
        <w:rPr>
          <w:rFonts w:eastAsia="TimesNewRomanPSMT"/>
          <w:sz w:val="20"/>
          <w:szCs w:val="20"/>
        </w:rPr>
        <w:t xml:space="preserve">and </w:t>
      </w:r>
      <w:r w:rsidR="00716B43" w:rsidRPr="004E5697">
        <w:rPr>
          <w:rFonts w:eastAsia="TimesNewRomanPSMT"/>
          <w:sz w:val="20"/>
          <w:szCs w:val="20"/>
        </w:rPr>
        <w:t xml:space="preserve">the Department has not experienced any </w:t>
      </w:r>
      <w:r w:rsidRPr="004E5697">
        <w:rPr>
          <w:rFonts w:eastAsia="TimesNewRomanPSMT"/>
          <w:sz w:val="20"/>
          <w:szCs w:val="20"/>
        </w:rPr>
        <w:t>challenge</w:t>
      </w:r>
      <w:r w:rsidR="00716B43" w:rsidRPr="004E5697">
        <w:rPr>
          <w:rFonts w:eastAsia="TimesNewRomanPSMT"/>
          <w:sz w:val="20"/>
          <w:szCs w:val="20"/>
        </w:rPr>
        <w:t>s</w:t>
      </w:r>
      <w:r w:rsidRPr="004E5697">
        <w:rPr>
          <w:rFonts w:eastAsia="TimesNewRomanPSMT"/>
          <w:sz w:val="20"/>
          <w:szCs w:val="20"/>
        </w:rPr>
        <w:t xml:space="preserve"> with SMS </w:t>
      </w:r>
      <w:r w:rsidR="00716B43" w:rsidRPr="004E5697">
        <w:rPr>
          <w:rFonts w:eastAsia="TimesNewRomanPSMT"/>
          <w:sz w:val="20"/>
          <w:szCs w:val="20"/>
        </w:rPr>
        <w:t xml:space="preserve">members </w:t>
      </w:r>
      <w:r w:rsidRPr="004E5697">
        <w:rPr>
          <w:rFonts w:eastAsia="TimesNewRomanPSMT"/>
          <w:sz w:val="20"/>
          <w:szCs w:val="20"/>
        </w:rPr>
        <w:t>not submitting</w:t>
      </w:r>
      <w:r w:rsidR="00716B43" w:rsidRPr="004E5697">
        <w:rPr>
          <w:rFonts w:eastAsia="TimesNewRomanPSMT"/>
          <w:sz w:val="20"/>
          <w:szCs w:val="20"/>
        </w:rPr>
        <w:t xml:space="preserve"> financial disclosures</w:t>
      </w:r>
      <w:r w:rsidRPr="004E5697">
        <w:rPr>
          <w:rFonts w:eastAsia="TimesNewRomanPSMT"/>
          <w:sz w:val="20"/>
          <w:szCs w:val="20"/>
        </w:rPr>
        <w:t xml:space="preserve">. </w:t>
      </w:r>
    </w:p>
    <w:p w:rsidR="00997834" w:rsidRPr="004E5697" w:rsidRDefault="00997834" w:rsidP="004E5697">
      <w:pPr>
        <w:spacing w:line="240" w:lineRule="auto"/>
        <w:jc w:val="left"/>
        <w:rPr>
          <w:rFonts w:ascii="Arial" w:eastAsia="TimesNewRomanPSMT" w:hAnsi="Arial" w:cs="Arial"/>
          <w:sz w:val="20"/>
          <w:szCs w:val="20"/>
          <w:lang w:eastAsia="en-ZA"/>
        </w:rPr>
      </w:pPr>
    </w:p>
    <w:p w:rsidR="00173A7B" w:rsidRPr="004E5697" w:rsidRDefault="00173A7B" w:rsidP="004E5697">
      <w:pPr>
        <w:spacing w:line="240" w:lineRule="auto"/>
        <w:jc w:val="left"/>
        <w:rPr>
          <w:rFonts w:ascii="Arial" w:eastAsia="TimesNewRomanPSMT" w:hAnsi="Arial" w:cs="Arial"/>
          <w:sz w:val="20"/>
          <w:szCs w:val="20"/>
          <w:lang w:eastAsia="en-ZA"/>
        </w:rPr>
      </w:pPr>
      <w:r w:rsidRPr="004E5697">
        <w:rPr>
          <w:rFonts w:ascii="Arial" w:eastAsia="TimesNewRomanPSMT" w:hAnsi="Arial" w:cs="Arial"/>
          <w:b/>
          <w:sz w:val="20"/>
          <w:szCs w:val="20"/>
          <w:lang w:eastAsia="en-ZA"/>
        </w:rPr>
        <w:t>Satellite offices:</w:t>
      </w:r>
      <w:r w:rsidRPr="004E5697">
        <w:rPr>
          <w:rFonts w:ascii="Arial" w:eastAsia="TimesNewRomanPSMT" w:hAnsi="Arial" w:cs="Arial"/>
          <w:sz w:val="20"/>
          <w:szCs w:val="20"/>
          <w:lang w:eastAsia="en-ZA"/>
        </w:rPr>
        <w:t xml:space="preserve"> The </w:t>
      </w:r>
      <w:r w:rsidR="00716B43" w:rsidRPr="004E5697">
        <w:rPr>
          <w:rFonts w:ascii="Arial" w:eastAsia="TimesNewRomanPSMT" w:hAnsi="Arial" w:cs="Arial"/>
          <w:sz w:val="20"/>
          <w:szCs w:val="20"/>
          <w:lang w:eastAsia="en-ZA"/>
        </w:rPr>
        <w:t xml:space="preserve">Committee requested that the Department consider the establishment of a satellite office in </w:t>
      </w:r>
      <w:r w:rsidRPr="004E5697">
        <w:rPr>
          <w:rFonts w:ascii="Arial" w:eastAsia="TimesNewRomanPSMT" w:hAnsi="Arial" w:cs="Arial"/>
          <w:sz w:val="20"/>
          <w:szCs w:val="20"/>
          <w:lang w:eastAsia="en-ZA"/>
        </w:rPr>
        <w:t xml:space="preserve">Namaqualand (Springbok) </w:t>
      </w:r>
      <w:r w:rsidR="00716B43" w:rsidRPr="004E5697">
        <w:rPr>
          <w:rFonts w:ascii="Arial" w:eastAsia="TimesNewRomanPSMT" w:hAnsi="Arial" w:cs="Arial"/>
          <w:sz w:val="20"/>
          <w:szCs w:val="20"/>
          <w:lang w:eastAsia="en-ZA"/>
        </w:rPr>
        <w:t xml:space="preserve">in the </w:t>
      </w:r>
      <w:r w:rsidRPr="004E5697">
        <w:rPr>
          <w:rFonts w:ascii="Arial" w:eastAsia="TimesNewRomanPSMT" w:hAnsi="Arial" w:cs="Arial"/>
          <w:sz w:val="20"/>
          <w:szCs w:val="20"/>
          <w:lang w:eastAsia="en-ZA"/>
        </w:rPr>
        <w:t xml:space="preserve">Northern Cape </w:t>
      </w:r>
      <w:r w:rsidR="00716B43" w:rsidRPr="004E5697">
        <w:rPr>
          <w:rFonts w:ascii="Arial" w:eastAsia="TimesNewRomanPSMT" w:hAnsi="Arial" w:cs="Arial"/>
          <w:sz w:val="20"/>
          <w:szCs w:val="20"/>
          <w:lang w:eastAsia="en-ZA"/>
        </w:rPr>
        <w:t xml:space="preserve">province as distances are vast. It seemed that funds were </w:t>
      </w:r>
      <w:r w:rsidR="00F949C3" w:rsidRPr="004E5697">
        <w:rPr>
          <w:rFonts w:ascii="Arial" w:eastAsia="TimesNewRomanPSMT" w:hAnsi="Arial" w:cs="Arial"/>
          <w:sz w:val="20"/>
          <w:szCs w:val="20"/>
          <w:lang w:eastAsia="en-ZA"/>
        </w:rPr>
        <w:t>unnecessarily</w:t>
      </w:r>
      <w:r w:rsidR="00716B43" w:rsidRPr="004E5697">
        <w:rPr>
          <w:rFonts w:ascii="Arial" w:eastAsia="TimesNewRomanPSMT" w:hAnsi="Arial" w:cs="Arial"/>
          <w:sz w:val="20"/>
          <w:szCs w:val="20"/>
          <w:lang w:eastAsia="en-ZA"/>
        </w:rPr>
        <w:t xml:space="preserve"> spent on traveling costs rather that service delivery. </w:t>
      </w:r>
      <w:r w:rsidR="00997834" w:rsidRPr="004E5697">
        <w:rPr>
          <w:rFonts w:ascii="Arial" w:eastAsia="TimesNewRomanPSMT" w:hAnsi="Arial" w:cs="Arial"/>
          <w:sz w:val="20"/>
          <w:szCs w:val="20"/>
          <w:lang w:eastAsia="en-ZA"/>
        </w:rPr>
        <w:t xml:space="preserve">The Department will assess the </w:t>
      </w:r>
      <w:r w:rsidR="00716B43" w:rsidRPr="004E5697">
        <w:rPr>
          <w:rFonts w:ascii="Arial" w:eastAsia="TimesNewRomanPSMT" w:hAnsi="Arial" w:cs="Arial"/>
          <w:sz w:val="20"/>
          <w:szCs w:val="20"/>
          <w:lang w:eastAsia="en-ZA"/>
        </w:rPr>
        <w:t xml:space="preserve">situation and will consider the </w:t>
      </w:r>
      <w:r w:rsidR="00997834" w:rsidRPr="004E5697">
        <w:rPr>
          <w:rFonts w:ascii="Arial" w:eastAsia="TimesNewRomanPSMT" w:hAnsi="Arial" w:cs="Arial"/>
          <w:sz w:val="20"/>
          <w:szCs w:val="20"/>
          <w:lang w:eastAsia="en-ZA"/>
        </w:rPr>
        <w:t>establishment</w:t>
      </w:r>
      <w:r w:rsidR="00716B43" w:rsidRPr="004E5697">
        <w:rPr>
          <w:rFonts w:ascii="Arial" w:eastAsia="TimesNewRomanPSMT" w:hAnsi="Arial" w:cs="Arial"/>
          <w:sz w:val="20"/>
          <w:szCs w:val="20"/>
          <w:lang w:eastAsia="en-ZA"/>
        </w:rPr>
        <w:t xml:space="preserve"> of a satellite office in Namaqualand</w:t>
      </w:r>
      <w:r w:rsidR="00997834" w:rsidRPr="004E5697">
        <w:rPr>
          <w:rFonts w:ascii="Arial" w:eastAsia="TimesNewRomanPSMT" w:hAnsi="Arial" w:cs="Arial"/>
          <w:sz w:val="20"/>
          <w:szCs w:val="20"/>
          <w:lang w:eastAsia="en-ZA"/>
        </w:rPr>
        <w:t xml:space="preserve">. </w:t>
      </w:r>
    </w:p>
    <w:p w:rsidR="00617CA4" w:rsidRPr="004E5697" w:rsidRDefault="00617CA4" w:rsidP="004E5697">
      <w:pPr>
        <w:spacing w:line="240" w:lineRule="auto"/>
        <w:jc w:val="left"/>
        <w:rPr>
          <w:rFonts w:ascii="Arial" w:eastAsia="TimesNewRomanPSMT" w:hAnsi="Arial" w:cs="Arial"/>
          <w:sz w:val="20"/>
          <w:szCs w:val="20"/>
          <w:lang w:eastAsia="en-ZA"/>
        </w:rPr>
      </w:pPr>
    </w:p>
    <w:p w:rsidR="00617CA4" w:rsidRPr="004E5697" w:rsidRDefault="00997834" w:rsidP="004E5697">
      <w:pPr>
        <w:spacing w:line="240" w:lineRule="auto"/>
        <w:jc w:val="left"/>
        <w:rPr>
          <w:rFonts w:ascii="Arial" w:eastAsia="TimesNewRomanPSMT" w:hAnsi="Arial" w:cs="Arial"/>
          <w:sz w:val="20"/>
          <w:szCs w:val="20"/>
          <w:lang w:eastAsia="en-ZA"/>
        </w:rPr>
      </w:pPr>
      <w:r w:rsidRPr="004E5697">
        <w:rPr>
          <w:rFonts w:ascii="Arial" w:eastAsia="TimesNewRomanPSMT" w:hAnsi="Arial" w:cs="Arial"/>
          <w:b/>
          <w:sz w:val="20"/>
          <w:szCs w:val="20"/>
          <w:lang w:eastAsia="en-ZA"/>
        </w:rPr>
        <w:t xml:space="preserve">State Attorney’s Office: </w:t>
      </w:r>
      <w:r w:rsidR="00F949C3" w:rsidRPr="004E5697">
        <w:rPr>
          <w:rFonts w:ascii="Arial" w:eastAsia="TimesNewRomanPSMT" w:hAnsi="Arial" w:cs="Arial"/>
          <w:sz w:val="20"/>
          <w:szCs w:val="20"/>
          <w:lang w:eastAsia="en-ZA"/>
        </w:rPr>
        <w:t xml:space="preserve">The Committee requested the Department to indicate the number of cases that are referred to the </w:t>
      </w:r>
      <w:r w:rsidR="00617CA4" w:rsidRPr="004E5697">
        <w:rPr>
          <w:rFonts w:ascii="Arial" w:eastAsia="TimesNewRomanPSMT" w:hAnsi="Arial" w:cs="Arial"/>
          <w:sz w:val="20"/>
          <w:szCs w:val="20"/>
          <w:lang w:eastAsia="en-ZA"/>
        </w:rPr>
        <w:t xml:space="preserve">Office of the State Attorney </w:t>
      </w:r>
      <w:r w:rsidR="00F949C3" w:rsidRPr="004E5697">
        <w:rPr>
          <w:rFonts w:ascii="Arial" w:eastAsia="TimesNewRomanPSMT" w:hAnsi="Arial" w:cs="Arial"/>
          <w:sz w:val="20"/>
          <w:szCs w:val="20"/>
          <w:lang w:eastAsia="en-ZA"/>
        </w:rPr>
        <w:t xml:space="preserve">for litigation </w:t>
      </w:r>
      <w:r w:rsidR="00617CA4" w:rsidRPr="004E5697">
        <w:rPr>
          <w:rFonts w:ascii="Arial" w:eastAsia="TimesNewRomanPSMT" w:hAnsi="Arial" w:cs="Arial"/>
          <w:sz w:val="20"/>
          <w:szCs w:val="20"/>
          <w:lang w:eastAsia="en-ZA"/>
        </w:rPr>
        <w:t>annually</w:t>
      </w:r>
      <w:r w:rsidR="00AF54A0" w:rsidRPr="004E5697">
        <w:rPr>
          <w:rFonts w:ascii="Arial" w:eastAsia="TimesNewRomanPSMT" w:hAnsi="Arial" w:cs="Arial"/>
          <w:sz w:val="20"/>
          <w:szCs w:val="20"/>
          <w:lang w:eastAsia="en-ZA"/>
        </w:rPr>
        <w:t xml:space="preserve">. The Department </w:t>
      </w:r>
      <w:r w:rsidR="00F949C3" w:rsidRPr="004E5697">
        <w:rPr>
          <w:rFonts w:ascii="Arial" w:eastAsia="TimesNewRomanPSMT" w:hAnsi="Arial" w:cs="Arial"/>
          <w:sz w:val="20"/>
          <w:szCs w:val="20"/>
          <w:lang w:eastAsia="en-ZA"/>
        </w:rPr>
        <w:t xml:space="preserve">did not </w:t>
      </w:r>
      <w:r w:rsidR="00F949C3" w:rsidRPr="004E5697">
        <w:rPr>
          <w:rFonts w:ascii="Arial" w:eastAsia="TimesNewRomanPSMT" w:hAnsi="Arial" w:cs="Arial"/>
          <w:sz w:val="20"/>
          <w:szCs w:val="20"/>
          <w:lang w:eastAsia="en-ZA"/>
        </w:rPr>
        <w:lastRenderedPageBreak/>
        <w:t xml:space="preserve">indicate the number of cases, but stated that </w:t>
      </w:r>
      <w:r w:rsidR="00AF54A0" w:rsidRPr="004E5697">
        <w:rPr>
          <w:rFonts w:ascii="Arial" w:eastAsia="TimesNewRomanPSMT" w:hAnsi="Arial" w:cs="Arial"/>
          <w:sz w:val="20"/>
          <w:szCs w:val="20"/>
          <w:lang w:eastAsia="en-ZA"/>
        </w:rPr>
        <w:t>approximately R2.5 million is spent annually</w:t>
      </w:r>
      <w:r w:rsidR="00F949C3" w:rsidRPr="004E5697">
        <w:rPr>
          <w:rFonts w:ascii="Arial" w:eastAsia="TimesNewRomanPSMT" w:hAnsi="Arial" w:cs="Arial"/>
          <w:sz w:val="20"/>
          <w:szCs w:val="20"/>
          <w:lang w:eastAsia="en-ZA"/>
        </w:rPr>
        <w:t xml:space="preserve"> on cases sent to the State Attorney.</w:t>
      </w:r>
      <w:r w:rsidR="00AF54A0" w:rsidRPr="004E5697">
        <w:rPr>
          <w:rFonts w:ascii="Arial" w:eastAsia="TimesNewRomanPSMT" w:hAnsi="Arial" w:cs="Arial"/>
          <w:sz w:val="20"/>
          <w:szCs w:val="20"/>
          <w:lang w:eastAsia="en-ZA"/>
        </w:rPr>
        <w:t xml:space="preserve"> </w:t>
      </w:r>
    </w:p>
    <w:p w:rsidR="00617CA4" w:rsidRPr="004E5697" w:rsidRDefault="00617CA4" w:rsidP="004E5697">
      <w:pPr>
        <w:spacing w:line="240" w:lineRule="auto"/>
        <w:jc w:val="left"/>
        <w:rPr>
          <w:rFonts w:ascii="Arial" w:eastAsia="TimesNewRomanPSMT" w:hAnsi="Arial" w:cs="Arial"/>
          <w:sz w:val="20"/>
          <w:szCs w:val="20"/>
          <w:lang w:eastAsia="en-ZA"/>
        </w:rPr>
      </w:pPr>
    </w:p>
    <w:p w:rsidR="007A2CB3" w:rsidRPr="004E5697" w:rsidRDefault="00384B50" w:rsidP="004E5697">
      <w:pPr>
        <w:spacing w:line="240" w:lineRule="auto"/>
        <w:jc w:val="left"/>
        <w:rPr>
          <w:rFonts w:ascii="Arial" w:eastAsia="TimesNewRomanPSMT" w:hAnsi="Arial" w:cs="Arial"/>
          <w:sz w:val="20"/>
          <w:szCs w:val="20"/>
          <w:lang w:eastAsia="en-ZA"/>
        </w:rPr>
      </w:pPr>
      <w:r w:rsidRPr="004E5697">
        <w:rPr>
          <w:rFonts w:ascii="Arial" w:eastAsia="TimesNewRomanPSMT" w:hAnsi="Arial" w:cs="Arial"/>
          <w:b/>
          <w:sz w:val="20"/>
          <w:szCs w:val="20"/>
          <w:lang w:eastAsia="en-ZA"/>
        </w:rPr>
        <w:t>Morale:</w:t>
      </w:r>
      <w:r w:rsidRPr="004E5697">
        <w:rPr>
          <w:rFonts w:ascii="Arial" w:eastAsia="TimesNewRomanPSMT" w:hAnsi="Arial" w:cs="Arial"/>
          <w:sz w:val="20"/>
          <w:szCs w:val="20"/>
          <w:lang w:eastAsia="en-ZA"/>
        </w:rPr>
        <w:t xml:space="preserve"> </w:t>
      </w:r>
      <w:r w:rsidR="00792649" w:rsidRPr="004E5697">
        <w:rPr>
          <w:rFonts w:ascii="Arial" w:eastAsia="TimesNewRomanPSMT" w:hAnsi="Arial" w:cs="Arial"/>
          <w:sz w:val="20"/>
          <w:szCs w:val="20"/>
          <w:lang w:eastAsia="en-ZA"/>
        </w:rPr>
        <w:t>The Committee questioned the current morale of IPID employees</w:t>
      </w:r>
      <w:r w:rsidR="00CD7AB5" w:rsidRPr="004E5697">
        <w:rPr>
          <w:rFonts w:ascii="Arial" w:eastAsia="TimesNewRomanPSMT" w:hAnsi="Arial" w:cs="Arial"/>
          <w:sz w:val="20"/>
          <w:szCs w:val="20"/>
          <w:lang w:eastAsia="en-ZA"/>
        </w:rPr>
        <w:t xml:space="preserve"> and </w:t>
      </w:r>
      <w:r w:rsidR="005347C2" w:rsidRPr="004E5697">
        <w:rPr>
          <w:rFonts w:ascii="Arial" w:eastAsia="TimesNewRomanPSMT" w:hAnsi="Arial" w:cs="Arial"/>
          <w:sz w:val="20"/>
          <w:szCs w:val="20"/>
          <w:lang w:eastAsia="en-ZA"/>
        </w:rPr>
        <w:t xml:space="preserve">asked how low morale is addressed by, and in, </w:t>
      </w:r>
      <w:r w:rsidR="00CD7AB5" w:rsidRPr="004E5697">
        <w:rPr>
          <w:rFonts w:ascii="Arial" w:eastAsia="TimesNewRomanPSMT" w:hAnsi="Arial" w:cs="Arial"/>
          <w:sz w:val="20"/>
          <w:szCs w:val="20"/>
          <w:lang w:eastAsia="en-ZA"/>
        </w:rPr>
        <w:t>the Department. It was stated that the p</w:t>
      </w:r>
      <w:r w:rsidR="001F2F29" w:rsidRPr="004E5697">
        <w:rPr>
          <w:rFonts w:ascii="Arial" w:eastAsia="TimesNewRomanPSMT" w:hAnsi="Arial" w:cs="Arial"/>
          <w:sz w:val="20"/>
          <w:szCs w:val="20"/>
          <w:lang w:eastAsia="en-ZA"/>
        </w:rPr>
        <w:t xml:space="preserve">olice </w:t>
      </w:r>
      <w:r w:rsidR="00CD7AB5" w:rsidRPr="004E5697">
        <w:rPr>
          <w:rFonts w:ascii="Arial" w:eastAsia="TimesNewRomanPSMT" w:hAnsi="Arial" w:cs="Arial"/>
          <w:sz w:val="20"/>
          <w:szCs w:val="20"/>
          <w:lang w:eastAsia="en-ZA"/>
        </w:rPr>
        <w:t>have</w:t>
      </w:r>
      <w:r w:rsidR="001F2F29" w:rsidRPr="004E5697">
        <w:rPr>
          <w:rFonts w:ascii="Arial" w:eastAsia="TimesNewRomanPSMT" w:hAnsi="Arial" w:cs="Arial"/>
          <w:sz w:val="20"/>
          <w:szCs w:val="20"/>
          <w:lang w:eastAsia="en-ZA"/>
        </w:rPr>
        <w:t xml:space="preserve"> lost </w:t>
      </w:r>
      <w:r w:rsidR="00CD7AB5" w:rsidRPr="004E5697">
        <w:rPr>
          <w:rFonts w:ascii="Arial" w:eastAsia="TimesNewRomanPSMT" w:hAnsi="Arial" w:cs="Arial"/>
          <w:sz w:val="20"/>
          <w:szCs w:val="20"/>
          <w:lang w:eastAsia="en-ZA"/>
        </w:rPr>
        <w:t xml:space="preserve">the </w:t>
      </w:r>
      <w:r w:rsidR="001F2F29" w:rsidRPr="004E5697">
        <w:rPr>
          <w:rFonts w:ascii="Arial" w:eastAsia="TimesNewRomanPSMT" w:hAnsi="Arial" w:cs="Arial"/>
          <w:sz w:val="20"/>
          <w:szCs w:val="20"/>
          <w:lang w:eastAsia="en-ZA"/>
        </w:rPr>
        <w:t>respect of communities</w:t>
      </w:r>
      <w:r w:rsidR="00CD7AB5" w:rsidRPr="004E5697">
        <w:rPr>
          <w:rFonts w:ascii="Arial" w:eastAsia="TimesNewRomanPSMT" w:hAnsi="Arial" w:cs="Arial"/>
          <w:sz w:val="20"/>
          <w:szCs w:val="20"/>
          <w:lang w:eastAsia="en-ZA"/>
        </w:rPr>
        <w:t xml:space="preserve"> because of various issues, amongst others, videos circulating on social media depicting an intoxicated </w:t>
      </w:r>
      <w:r w:rsidR="001F2F29" w:rsidRPr="004E5697">
        <w:rPr>
          <w:rFonts w:ascii="Arial" w:eastAsia="TimesNewRomanPSMT" w:hAnsi="Arial" w:cs="Arial"/>
          <w:sz w:val="20"/>
          <w:szCs w:val="20"/>
          <w:lang w:eastAsia="en-ZA"/>
        </w:rPr>
        <w:t xml:space="preserve">police </w:t>
      </w:r>
      <w:r w:rsidR="00CD7AB5" w:rsidRPr="004E5697">
        <w:rPr>
          <w:rFonts w:ascii="Arial" w:eastAsia="TimesNewRomanPSMT" w:hAnsi="Arial" w:cs="Arial"/>
          <w:sz w:val="20"/>
          <w:szCs w:val="20"/>
          <w:lang w:eastAsia="en-ZA"/>
        </w:rPr>
        <w:t>officer (</w:t>
      </w:r>
      <w:r w:rsidR="001F2F29" w:rsidRPr="004E5697">
        <w:rPr>
          <w:rFonts w:ascii="Arial" w:eastAsia="TimesNewRomanPSMT" w:hAnsi="Arial" w:cs="Arial"/>
          <w:sz w:val="20"/>
          <w:szCs w:val="20"/>
          <w:lang w:eastAsia="en-ZA"/>
        </w:rPr>
        <w:t>in uniform</w:t>
      </w:r>
      <w:r w:rsidR="00CD7AB5" w:rsidRPr="004E5697">
        <w:rPr>
          <w:rFonts w:ascii="Arial" w:eastAsia="TimesNewRomanPSMT" w:hAnsi="Arial" w:cs="Arial"/>
          <w:sz w:val="20"/>
          <w:szCs w:val="20"/>
          <w:lang w:eastAsia="en-ZA"/>
        </w:rPr>
        <w:t>)</w:t>
      </w:r>
      <w:r w:rsidR="001F2F29" w:rsidRPr="004E5697">
        <w:rPr>
          <w:rFonts w:ascii="Arial" w:eastAsia="TimesNewRomanPSMT" w:hAnsi="Arial" w:cs="Arial"/>
          <w:sz w:val="20"/>
          <w:szCs w:val="20"/>
          <w:lang w:eastAsia="en-ZA"/>
        </w:rPr>
        <w:t xml:space="preserve"> driving a police van. </w:t>
      </w:r>
      <w:r w:rsidR="00CD7AB5" w:rsidRPr="004E5697">
        <w:rPr>
          <w:rFonts w:ascii="Arial" w:eastAsia="TimesNewRomanPSMT" w:hAnsi="Arial" w:cs="Arial"/>
          <w:sz w:val="20"/>
          <w:szCs w:val="20"/>
          <w:lang w:eastAsia="en-ZA"/>
        </w:rPr>
        <w:t>Citizens see that these police officers get</w:t>
      </w:r>
      <w:r w:rsidR="001F2F29" w:rsidRPr="004E5697">
        <w:rPr>
          <w:rFonts w:ascii="Arial" w:eastAsia="TimesNewRomanPSMT" w:hAnsi="Arial" w:cs="Arial"/>
          <w:sz w:val="20"/>
          <w:szCs w:val="20"/>
          <w:lang w:eastAsia="en-ZA"/>
        </w:rPr>
        <w:t xml:space="preserve"> away with such behaviour. If police </w:t>
      </w:r>
      <w:r w:rsidR="004A5F45" w:rsidRPr="004E5697">
        <w:rPr>
          <w:rFonts w:ascii="Arial" w:eastAsia="TimesNewRomanPSMT" w:hAnsi="Arial" w:cs="Arial"/>
          <w:sz w:val="20"/>
          <w:szCs w:val="20"/>
          <w:lang w:eastAsia="en-ZA"/>
        </w:rPr>
        <w:t>are</w:t>
      </w:r>
      <w:r w:rsidR="001F2F29" w:rsidRPr="004E5697">
        <w:rPr>
          <w:rFonts w:ascii="Arial" w:eastAsia="TimesNewRomanPSMT" w:hAnsi="Arial" w:cs="Arial"/>
          <w:sz w:val="20"/>
          <w:szCs w:val="20"/>
          <w:lang w:eastAsia="en-ZA"/>
        </w:rPr>
        <w:t xml:space="preserve"> not respected there cannot be control over crime. </w:t>
      </w:r>
      <w:r w:rsidR="00305FEA" w:rsidRPr="004E5697">
        <w:rPr>
          <w:rFonts w:ascii="Arial" w:eastAsia="TimesNewRomanPSMT" w:hAnsi="Arial" w:cs="Arial"/>
          <w:sz w:val="20"/>
          <w:szCs w:val="20"/>
          <w:lang w:eastAsia="en-ZA"/>
        </w:rPr>
        <w:t xml:space="preserve">The Department acknowledged that the morale in IPID is very low. The </w:t>
      </w:r>
      <w:r w:rsidR="004A5F45" w:rsidRPr="004E5697">
        <w:rPr>
          <w:rFonts w:ascii="Arial" w:eastAsia="TimesNewRomanPSMT" w:hAnsi="Arial" w:cs="Arial"/>
          <w:sz w:val="20"/>
          <w:szCs w:val="20"/>
          <w:lang w:eastAsia="en-ZA"/>
        </w:rPr>
        <w:t xml:space="preserve">Department held an </w:t>
      </w:r>
      <w:r w:rsidR="00305FEA" w:rsidRPr="004E5697">
        <w:rPr>
          <w:rFonts w:ascii="Arial" w:eastAsia="TimesNewRomanPSMT" w:hAnsi="Arial" w:cs="Arial"/>
          <w:sz w:val="20"/>
          <w:szCs w:val="20"/>
          <w:lang w:eastAsia="en-ZA"/>
        </w:rPr>
        <w:t>I</w:t>
      </w:r>
      <w:r w:rsidR="004A5F45" w:rsidRPr="004E5697">
        <w:rPr>
          <w:rFonts w:ascii="Arial" w:eastAsia="TimesNewRomanPSMT" w:hAnsi="Arial" w:cs="Arial"/>
          <w:sz w:val="20"/>
          <w:szCs w:val="20"/>
          <w:lang w:eastAsia="en-ZA"/>
        </w:rPr>
        <w:t>nvestigator</w:t>
      </w:r>
      <w:r w:rsidR="00305FEA" w:rsidRPr="004E5697">
        <w:rPr>
          <w:rFonts w:ascii="Arial" w:eastAsia="TimesNewRomanPSMT" w:hAnsi="Arial" w:cs="Arial"/>
          <w:sz w:val="20"/>
          <w:szCs w:val="20"/>
          <w:lang w:eastAsia="en-ZA"/>
        </w:rPr>
        <w:t xml:space="preserve"> Indaba </w:t>
      </w:r>
      <w:r w:rsidR="004A5F45" w:rsidRPr="004E5697">
        <w:rPr>
          <w:rFonts w:ascii="Arial" w:eastAsia="TimesNewRomanPSMT" w:hAnsi="Arial" w:cs="Arial"/>
          <w:sz w:val="20"/>
          <w:szCs w:val="20"/>
          <w:lang w:eastAsia="en-ZA"/>
        </w:rPr>
        <w:t xml:space="preserve">in March </w:t>
      </w:r>
      <w:r w:rsidR="00CD7AB5" w:rsidRPr="004E5697">
        <w:rPr>
          <w:rFonts w:ascii="Arial" w:eastAsia="TimesNewRomanPSMT" w:hAnsi="Arial" w:cs="Arial"/>
          <w:sz w:val="20"/>
          <w:szCs w:val="20"/>
          <w:lang w:eastAsia="en-ZA"/>
        </w:rPr>
        <w:t xml:space="preserve">2023 </w:t>
      </w:r>
      <w:r w:rsidR="004A5F45" w:rsidRPr="004E5697">
        <w:rPr>
          <w:rFonts w:ascii="Arial" w:eastAsia="TimesNewRomanPSMT" w:hAnsi="Arial" w:cs="Arial"/>
          <w:sz w:val="20"/>
          <w:szCs w:val="20"/>
          <w:lang w:eastAsia="en-ZA"/>
        </w:rPr>
        <w:t>to discuss measures to improve morale to enhance</w:t>
      </w:r>
      <w:r w:rsidR="00CD7AB5" w:rsidRPr="004E5697">
        <w:rPr>
          <w:rFonts w:ascii="Arial" w:eastAsia="TimesNewRomanPSMT" w:hAnsi="Arial" w:cs="Arial"/>
          <w:sz w:val="20"/>
          <w:szCs w:val="20"/>
          <w:lang w:eastAsia="en-ZA"/>
        </w:rPr>
        <w:t xml:space="preserve"> the Department’s performance</w:t>
      </w:r>
      <w:r w:rsidR="004A5F45" w:rsidRPr="004E5697">
        <w:rPr>
          <w:rFonts w:ascii="Arial" w:eastAsia="TimesNewRomanPSMT" w:hAnsi="Arial" w:cs="Arial"/>
          <w:sz w:val="20"/>
          <w:szCs w:val="20"/>
          <w:lang w:eastAsia="en-ZA"/>
        </w:rPr>
        <w:t xml:space="preserve">. </w:t>
      </w:r>
      <w:r w:rsidR="00CD7AB5" w:rsidRPr="004E5697">
        <w:rPr>
          <w:rFonts w:ascii="Arial" w:eastAsia="TimesNewRomanPSMT" w:hAnsi="Arial" w:cs="Arial"/>
          <w:sz w:val="20"/>
          <w:szCs w:val="20"/>
          <w:lang w:eastAsia="en-ZA"/>
        </w:rPr>
        <w:t xml:space="preserve">Stemming from the Indaba, </w:t>
      </w:r>
      <w:r w:rsidR="00305FEA" w:rsidRPr="004E5697">
        <w:rPr>
          <w:rFonts w:ascii="Arial" w:eastAsia="TimesNewRomanPSMT" w:hAnsi="Arial" w:cs="Arial"/>
          <w:sz w:val="20"/>
          <w:szCs w:val="20"/>
          <w:lang w:eastAsia="en-ZA"/>
        </w:rPr>
        <w:t xml:space="preserve">a task-team </w:t>
      </w:r>
      <w:r w:rsidR="00CD7AB5" w:rsidRPr="004E5697">
        <w:rPr>
          <w:rFonts w:ascii="Arial" w:eastAsia="TimesNewRomanPSMT" w:hAnsi="Arial" w:cs="Arial"/>
          <w:sz w:val="20"/>
          <w:szCs w:val="20"/>
          <w:lang w:eastAsia="en-ZA"/>
        </w:rPr>
        <w:t xml:space="preserve">was </w:t>
      </w:r>
      <w:r w:rsidR="00305FEA" w:rsidRPr="004E5697">
        <w:rPr>
          <w:rFonts w:ascii="Arial" w:eastAsia="TimesNewRomanPSMT" w:hAnsi="Arial" w:cs="Arial"/>
          <w:sz w:val="20"/>
          <w:szCs w:val="20"/>
          <w:lang w:eastAsia="en-ZA"/>
        </w:rPr>
        <w:t xml:space="preserve">established to address the issues identified during the </w:t>
      </w:r>
      <w:r w:rsidR="004A5F45" w:rsidRPr="004E5697">
        <w:rPr>
          <w:rFonts w:ascii="Arial" w:eastAsia="TimesNewRomanPSMT" w:hAnsi="Arial" w:cs="Arial"/>
          <w:sz w:val="20"/>
          <w:szCs w:val="20"/>
          <w:lang w:eastAsia="en-ZA"/>
        </w:rPr>
        <w:t>I</w:t>
      </w:r>
      <w:r w:rsidR="00305FEA" w:rsidRPr="004E5697">
        <w:rPr>
          <w:rFonts w:ascii="Arial" w:eastAsia="TimesNewRomanPSMT" w:hAnsi="Arial" w:cs="Arial"/>
          <w:sz w:val="20"/>
          <w:szCs w:val="20"/>
          <w:lang w:eastAsia="en-ZA"/>
        </w:rPr>
        <w:t xml:space="preserve">ndaba. </w:t>
      </w:r>
      <w:r w:rsidR="004A5F45" w:rsidRPr="004E5697">
        <w:rPr>
          <w:rFonts w:ascii="Arial" w:eastAsia="TimesNewRomanPSMT" w:hAnsi="Arial" w:cs="Arial"/>
          <w:sz w:val="20"/>
          <w:szCs w:val="20"/>
          <w:lang w:eastAsia="en-ZA"/>
        </w:rPr>
        <w:t xml:space="preserve">The Department indicated that a survey was completed by </w:t>
      </w:r>
      <w:r w:rsidR="00BD637B" w:rsidRPr="004E5697">
        <w:rPr>
          <w:rFonts w:ascii="Arial" w:eastAsia="TimesNewRomanPSMT" w:hAnsi="Arial" w:cs="Arial"/>
          <w:sz w:val="20"/>
          <w:szCs w:val="20"/>
          <w:lang w:eastAsia="en-ZA"/>
        </w:rPr>
        <w:t xml:space="preserve">its </w:t>
      </w:r>
      <w:r w:rsidR="004A5F45" w:rsidRPr="004E5697">
        <w:rPr>
          <w:rFonts w:ascii="Arial" w:eastAsia="TimesNewRomanPSMT" w:hAnsi="Arial" w:cs="Arial"/>
          <w:sz w:val="20"/>
          <w:szCs w:val="20"/>
          <w:lang w:eastAsia="en-ZA"/>
        </w:rPr>
        <w:t>H</w:t>
      </w:r>
      <w:r w:rsidR="00BD637B" w:rsidRPr="004E5697">
        <w:rPr>
          <w:rFonts w:ascii="Arial" w:eastAsia="TimesNewRomanPSMT" w:hAnsi="Arial" w:cs="Arial"/>
          <w:sz w:val="20"/>
          <w:szCs w:val="20"/>
          <w:lang w:eastAsia="en-ZA"/>
        </w:rPr>
        <w:t>uman Resources Division</w:t>
      </w:r>
      <w:r w:rsidR="004A5F45" w:rsidRPr="004E5697">
        <w:rPr>
          <w:rFonts w:ascii="Arial" w:eastAsia="TimesNewRomanPSMT" w:hAnsi="Arial" w:cs="Arial"/>
          <w:sz w:val="20"/>
          <w:szCs w:val="20"/>
          <w:lang w:eastAsia="en-ZA"/>
        </w:rPr>
        <w:t xml:space="preserve"> through e</w:t>
      </w:r>
      <w:r w:rsidR="00305FEA" w:rsidRPr="004E5697">
        <w:rPr>
          <w:rFonts w:ascii="Arial" w:eastAsia="TimesNewRomanPSMT" w:hAnsi="Arial" w:cs="Arial"/>
          <w:sz w:val="20"/>
          <w:szCs w:val="20"/>
          <w:lang w:eastAsia="en-ZA"/>
        </w:rPr>
        <w:t>xit interviews</w:t>
      </w:r>
      <w:r w:rsidR="004A5F45" w:rsidRPr="004E5697">
        <w:rPr>
          <w:rFonts w:ascii="Arial" w:eastAsia="TimesNewRomanPSMT" w:hAnsi="Arial" w:cs="Arial"/>
          <w:sz w:val="20"/>
          <w:szCs w:val="20"/>
          <w:lang w:eastAsia="en-ZA"/>
        </w:rPr>
        <w:t>, which</w:t>
      </w:r>
      <w:r w:rsidR="00305FEA" w:rsidRPr="004E5697">
        <w:rPr>
          <w:rFonts w:ascii="Arial" w:eastAsia="TimesNewRomanPSMT" w:hAnsi="Arial" w:cs="Arial"/>
          <w:sz w:val="20"/>
          <w:szCs w:val="20"/>
          <w:lang w:eastAsia="en-ZA"/>
        </w:rPr>
        <w:t xml:space="preserve"> show</w:t>
      </w:r>
      <w:r w:rsidR="004A5F45" w:rsidRPr="004E5697">
        <w:rPr>
          <w:rFonts w:ascii="Arial" w:eastAsia="TimesNewRomanPSMT" w:hAnsi="Arial" w:cs="Arial"/>
          <w:sz w:val="20"/>
          <w:szCs w:val="20"/>
          <w:lang w:eastAsia="en-ZA"/>
        </w:rPr>
        <w:t>ed</w:t>
      </w:r>
      <w:r w:rsidR="00305FEA" w:rsidRPr="004E5697">
        <w:rPr>
          <w:rFonts w:ascii="Arial" w:eastAsia="TimesNewRomanPSMT" w:hAnsi="Arial" w:cs="Arial"/>
          <w:sz w:val="20"/>
          <w:szCs w:val="20"/>
          <w:lang w:eastAsia="en-ZA"/>
        </w:rPr>
        <w:t xml:space="preserve"> that the majority of personnel that left the Department was administrative personnel</w:t>
      </w:r>
      <w:r w:rsidR="00CD7AB5" w:rsidRPr="004E5697">
        <w:rPr>
          <w:rFonts w:ascii="Arial" w:eastAsia="TimesNewRomanPSMT" w:hAnsi="Arial" w:cs="Arial"/>
          <w:sz w:val="20"/>
          <w:szCs w:val="20"/>
          <w:lang w:eastAsia="en-ZA"/>
        </w:rPr>
        <w:t>, and that a limited number (only two) Investigators are leaving the employment of the Department</w:t>
      </w:r>
      <w:r w:rsidR="00305FEA" w:rsidRPr="004E5697">
        <w:rPr>
          <w:rFonts w:ascii="Arial" w:eastAsia="TimesNewRomanPSMT" w:hAnsi="Arial" w:cs="Arial"/>
          <w:sz w:val="20"/>
          <w:szCs w:val="20"/>
          <w:lang w:eastAsia="en-ZA"/>
        </w:rPr>
        <w:t>.</w:t>
      </w:r>
      <w:r w:rsidR="004A5F45" w:rsidRPr="004E5697">
        <w:rPr>
          <w:rFonts w:ascii="Arial" w:eastAsia="TimesNewRomanPSMT" w:hAnsi="Arial" w:cs="Arial"/>
          <w:sz w:val="20"/>
          <w:szCs w:val="20"/>
          <w:lang w:eastAsia="en-ZA"/>
        </w:rPr>
        <w:t xml:space="preserve"> The Department further indicated that IPID </w:t>
      </w:r>
      <w:r w:rsidR="00305FEA" w:rsidRPr="004E5697">
        <w:rPr>
          <w:rFonts w:ascii="Arial" w:eastAsia="TimesNewRomanPSMT" w:hAnsi="Arial" w:cs="Arial"/>
          <w:sz w:val="20"/>
          <w:szCs w:val="20"/>
          <w:lang w:eastAsia="en-ZA"/>
        </w:rPr>
        <w:t xml:space="preserve">Investigators </w:t>
      </w:r>
      <w:r w:rsidR="004A5F45" w:rsidRPr="004E5697">
        <w:rPr>
          <w:rFonts w:ascii="Arial" w:eastAsia="TimesNewRomanPSMT" w:hAnsi="Arial" w:cs="Arial"/>
          <w:sz w:val="20"/>
          <w:szCs w:val="20"/>
          <w:lang w:eastAsia="en-ZA"/>
        </w:rPr>
        <w:t>are handling</w:t>
      </w:r>
      <w:r w:rsidR="00305FEA" w:rsidRPr="004E5697">
        <w:rPr>
          <w:rFonts w:ascii="Arial" w:eastAsia="TimesNewRomanPSMT" w:hAnsi="Arial" w:cs="Arial"/>
          <w:sz w:val="20"/>
          <w:szCs w:val="20"/>
          <w:lang w:eastAsia="en-ZA"/>
        </w:rPr>
        <w:t xml:space="preserve"> approximately 200 to 250 cases</w:t>
      </w:r>
      <w:r w:rsidR="004A5F45" w:rsidRPr="004E5697">
        <w:rPr>
          <w:rFonts w:ascii="Arial" w:eastAsia="TimesNewRomanPSMT" w:hAnsi="Arial" w:cs="Arial"/>
          <w:sz w:val="20"/>
          <w:szCs w:val="20"/>
          <w:lang w:eastAsia="en-ZA"/>
        </w:rPr>
        <w:t xml:space="preserve">, which is </w:t>
      </w:r>
      <w:r w:rsidR="00305FEA" w:rsidRPr="004E5697">
        <w:rPr>
          <w:rFonts w:ascii="Arial" w:eastAsia="TimesNewRomanPSMT" w:hAnsi="Arial" w:cs="Arial"/>
          <w:sz w:val="20"/>
          <w:szCs w:val="20"/>
          <w:lang w:eastAsia="en-ZA"/>
        </w:rPr>
        <w:t>demoralising</w:t>
      </w:r>
      <w:r w:rsidR="004A5F45" w:rsidRPr="004E5697">
        <w:rPr>
          <w:rFonts w:ascii="Arial" w:eastAsia="TimesNewRomanPSMT" w:hAnsi="Arial" w:cs="Arial"/>
          <w:sz w:val="20"/>
          <w:szCs w:val="20"/>
          <w:lang w:eastAsia="en-ZA"/>
        </w:rPr>
        <w:t xml:space="preserve"> when results are not forthcoming</w:t>
      </w:r>
      <w:r w:rsidR="00305FEA" w:rsidRPr="004E5697">
        <w:rPr>
          <w:rFonts w:ascii="Arial" w:eastAsia="TimesNewRomanPSMT" w:hAnsi="Arial" w:cs="Arial"/>
          <w:sz w:val="20"/>
          <w:szCs w:val="20"/>
          <w:lang w:eastAsia="en-ZA"/>
        </w:rPr>
        <w:t>.</w:t>
      </w:r>
      <w:r w:rsidR="004A5F45" w:rsidRPr="004E5697">
        <w:rPr>
          <w:rFonts w:ascii="Arial" w:eastAsia="TimesNewRomanPSMT" w:hAnsi="Arial" w:cs="Arial"/>
          <w:sz w:val="20"/>
          <w:szCs w:val="20"/>
          <w:lang w:eastAsia="en-ZA"/>
        </w:rPr>
        <w:t xml:space="preserve"> </w:t>
      </w:r>
      <w:r w:rsidR="00305FEA" w:rsidRPr="004E5697">
        <w:rPr>
          <w:rFonts w:ascii="Arial" w:eastAsia="TimesNewRomanPSMT" w:hAnsi="Arial" w:cs="Arial"/>
          <w:sz w:val="20"/>
          <w:szCs w:val="20"/>
          <w:lang w:eastAsia="en-ZA"/>
        </w:rPr>
        <w:t xml:space="preserve"> </w:t>
      </w:r>
      <w:r w:rsidR="004A5F45" w:rsidRPr="004E5697">
        <w:rPr>
          <w:rFonts w:ascii="Arial" w:eastAsia="TimesNewRomanPSMT" w:hAnsi="Arial" w:cs="Arial"/>
          <w:sz w:val="20"/>
          <w:szCs w:val="20"/>
          <w:lang w:eastAsia="en-ZA"/>
        </w:rPr>
        <w:t xml:space="preserve">The Department stated that </w:t>
      </w:r>
      <w:r w:rsidR="00CD7AB5" w:rsidRPr="004E5697">
        <w:rPr>
          <w:rFonts w:ascii="Arial" w:eastAsia="TimesNewRomanPSMT" w:hAnsi="Arial" w:cs="Arial"/>
          <w:sz w:val="20"/>
          <w:szCs w:val="20"/>
          <w:lang w:eastAsia="en-ZA"/>
        </w:rPr>
        <w:t>it</w:t>
      </w:r>
      <w:r w:rsidRPr="004E5697">
        <w:rPr>
          <w:rFonts w:ascii="Arial" w:eastAsia="TimesNewRomanPSMT" w:hAnsi="Arial" w:cs="Arial"/>
          <w:sz w:val="20"/>
          <w:szCs w:val="20"/>
          <w:lang w:eastAsia="en-ZA"/>
        </w:rPr>
        <w:t xml:space="preserve"> must form part and parcel of SAPS Disciplinary H</w:t>
      </w:r>
      <w:r w:rsidR="004A5F45" w:rsidRPr="004E5697">
        <w:rPr>
          <w:rFonts w:ascii="Arial" w:eastAsia="TimesNewRomanPSMT" w:hAnsi="Arial" w:cs="Arial"/>
          <w:sz w:val="20"/>
          <w:szCs w:val="20"/>
          <w:lang w:eastAsia="en-ZA"/>
        </w:rPr>
        <w:t>earings, to enable them to understand the manner in which SAPS arrive at some conclusions. In some serious cases</w:t>
      </w:r>
      <w:r w:rsidR="00BD637B" w:rsidRPr="004E5697">
        <w:rPr>
          <w:rFonts w:ascii="Arial" w:eastAsia="TimesNewRomanPSMT" w:hAnsi="Arial" w:cs="Arial"/>
          <w:sz w:val="20"/>
          <w:szCs w:val="20"/>
          <w:lang w:eastAsia="en-ZA"/>
        </w:rPr>
        <w:t>,</w:t>
      </w:r>
      <w:r w:rsidR="004A5F45" w:rsidRPr="004E5697">
        <w:rPr>
          <w:rFonts w:ascii="Arial" w:eastAsia="TimesNewRomanPSMT" w:hAnsi="Arial" w:cs="Arial"/>
          <w:sz w:val="20"/>
          <w:szCs w:val="20"/>
          <w:lang w:eastAsia="en-ZA"/>
        </w:rPr>
        <w:t xml:space="preserve"> the IPID would recommend that a particular individual be dismissed from the Service, only to find that a</w:t>
      </w:r>
      <w:r w:rsidRPr="004E5697">
        <w:rPr>
          <w:rFonts w:ascii="Arial" w:eastAsia="TimesNewRomanPSMT" w:hAnsi="Arial" w:cs="Arial"/>
          <w:sz w:val="20"/>
          <w:szCs w:val="20"/>
          <w:lang w:eastAsia="en-ZA"/>
        </w:rPr>
        <w:t xml:space="preserve"> lenient sanction</w:t>
      </w:r>
      <w:r w:rsidR="004A5F45" w:rsidRPr="004E5697">
        <w:rPr>
          <w:rFonts w:ascii="Arial" w:eastAsia="TimesNewRomanPSMT" w:hAnsi="Arial" w:cs="Arial"/>
          <w:sz w:val="20"/>
          <w:szCs w:val="20"/>
          <w:lang w:eastAsia="en-ZA"/>
        </w:rPr>
        <w:t xml:space="preserve"> was</w:t>
      </w:r>
      <w:r w:rsidRPr="004E5697">
        <w:rPr>
          <w:rFonts w:ascii="Arial" w:eastAsia="TimesNewRomanPSMT" w:hAnsi="Arial" w:cs="Arial"/>
          <w:sz w:val="20"/>
          <w:szCs w:val="20"/>
          <w:lang w:eastAsia="en-ZA"/>
        </w:rPr>
        <w:t xml:space="preserve"> imposed. </w:t>
      </w:r>
      <w:r w:rsidR="004A5F45" w:rsidRPr="004E5697">
        <w:rPr>
          <w:rFonts w:ascii="Arial" w:eastAsia="TimesNewRomanPSMT" w:hAnsi="Arial" w:cs="Arial"/>
          <w:sz w:val="20"/>
          <w:szCs w:val="20"/>
          <w:lang w:eastAsia="en-ZA"/>
        </w:rPr>
        <w:t xml:space="preserve">This is demoralising to IPID Investigators and the Department as a collective. </w:t>
      </w:r>
    </w:p>
    <w:p w:rsidR="00384B50" w:rsidRPr="004E5697" w:rsidRDefault="00384B50" w:rsidP="004E5697">
      <w:pPr>
        <w:spacing w:line="240" w:lineRule="auto"/>
        <w:jc w:val="left"/>
        <w:rPr>
          <w:rFonts w:ascii="Arial" w:eastAsia="TimesNewRomanPSMT" w:hAnsi="Arial" w:cs="Arial"/>
          <w:sz w:val="20"/>
          <w:szCs w:val="20"/>
          <w:lang w:eastAsia="en-ZA"/>
        </w:rPr>
      </w:pPr>
    </w:p>
    <w:p w:rsidR="00955F5E" w:rsidRPr="004E5697" w:rsidRDefault="00955F5E" w:rsidP="004E5697">
      <w:pPr>
        <w:spacing w:line="240" w:lineRule="auto"/>
        <w:jc w:val="left"/>
        <w:rPr>
          <w:rFonts w:ascii="Arial" w:eastAsia="TimesNewRomanPSMT" w:hAnsi="Arial" w:cs="Arial"/>
          <w:sz w:val="20"/>
          <w:szCs w:val="20"/>
          <w:lang w:eastAsia="en-ZA"/>
        </w:rPr>
      </w:pPr>
      <w:r w:rsidRPr="004E5697">
        <w:rPr>
          <w:rFonts w:ascii="Arial" w:eastAsia="TimesNewRomanPSMT" w:hAnsi="Arial" w:cs="Arial"/>
          <w:sz w:val="20"/>
          <w:szCs w:val="20"/>
          <w:lang w:eastAsia="en-ZA"/>
        </w:rPr>
        <w:t xml:space="preserve">While videos of drunk police officers are unacceptable, the Department focusses on its core mandate under the IPID Act. Other service delivery complaints (such as police members being </w:t>
      </w:r>
      <w:r w:rsidR="00CD7AB5" w:rsidRPr="004E5697">
        <w:rPr>
          <w:rFonts w:ascii="Arial" w:eastAsia="TimesNewRomanPSMT" w:hAnsi="Arial" w:cs="Arial"/>
          <w:sz w:val="20"/>
          <w:szCs w:val="20"/>
          <w:lang w:eastAsia="en-ZA"/>
        </w:rPr>
        <w:t>intoxicated while</w:t>
      </w:r>
      <w:r w:rsidRPr="004E5697">
        <w:rPr>
          <w:rFonts w:ascii="Arial" w:eastAsia="TimesNewRomanPSMT" w:hAnsi="Arial" w:cs="Arial"/>
          <w:sz w:val="20"/>
          <w:szCs w:val="20"/>
          <w:lang w:eastAsia="en-ZA"/>
        </w:rPr>
        <w:t xml:space="preserve"> on duty) are referred to other Departments such as the </w:t>
      </w:r>
      <w:r w:rsidR="0042454F" w:rsidRPr="004E5697">
        <w:rPr>
          <w:rFonts w:ascii="Arial" w:eastAsia="TimesNewRomanPSMT" w:hAnsi="Arial" w:cs="Arial"/>
          <w:sz w:val="20"/>
          <w:szCs w:val="20"/>
          <w:lang w:eastAsia="en-ZA"/>
        </w:rPr>
        <w:t>CSPS</w:t>
      </w:r>
      <w:r w:rsidR="0042454F" w:rsidRPr="004E5697" w:rsidDel="0042454F">
        <w:rPr>
          <w:rFonts w:ascii="Arial" w:eastAsia="TimesNewRomanPSMT" w:hAnsi="Arial" w:cs="Arial"/>
          <w:sz w:val="20"/>
          <w:szCs w:val="20"/>
          <w:lang w:eastAsia="en-ZA"/>
        </w:rPr>
        <w:t xml:space="preserve"> </w:t>
      </w:r>
      <w:r w:rsidRPr="004E5697">
        <w:rPr>
          <w:rFonts w:ascii="Arial" w:eastAsia="TimesNewRomanPSMT" w:hAnsi="Arial" w:cs="Arial"/>
          <w:sz w:val="20"/>
          <w:szCs w:val="20"/>
          <w:lang w:eastAsia="en-ZA"/>
        </w:rPr>
        <w:t xml:space="preserve">for investigation. The IPID indicated that they are having station lectures to educate members about conduct and the IPIDs mandate. </w:t>
      </w:r>
    </w:p>
    <w:p w:rsidR="004A5F45" w:rsidRPr="004E5697" w:rsidRDefault="004A5F45" w:rsidP="004E5697">
      <w:pPr>
        <w:spacing w:line="240" w:lineRule="auto"/>
        <w:jc w:val="left"/>
        <w:rPr>
          <w:rFonts w:ascii="Arial" w:eastAsia="TimesNewRomanPSMT" w:hAnsi="Arial" w:cs="Arial"/>
          <w:sz w:val="20"/>
          <w:szCs w:val="20"/>
          <w:lang w:eastAsia="en-ZA"/>
        </w:rPr>
      </w:pPr>
    </w:p>
    <w:p w:rsidR="00997834" w:rsidRPr="004E5697" w:rsidRDefault="00943C1B" w:rsidP="004E5697">
      <w:pPr>
        <w:spacing w:line="240" w:lineRule="auto"/>
        <w:jc w:val="left"/>
        <w:rPr>
          <w:rFonts w:ascii="Arial" w:eastAsia="TimesNewRomanPSMT" w:hAnsi="Arial" w:cs="Arial"/>
          <w:b/>
          <w:sz w:val="20"/>
          <w:szCs w:val="20"/>
          <w:lang w:eastAsia="en-ZA"/>
        </w:rPr>
      </w:pPr>
      <w:r w:rsidRPr="004E5697">
        <w:rPr>
          <w:rFonts w:ascii="Arial" w:eastAsia="TimesNewRomanPSMT" w:hAnsi="Arial" w:cs="Arial"/>
          <w:b/>
          <w:sz w:val="20"/>
          <w:szCs w:val="20"/>
          <w:lang w:eastAsia="en-ZA"/>
        </w:rPr>
        <w:t>Capacity</w:t>
      </w:r>
      <w:r w:rsidR="00CD7AB5" w:rsidRPr="004E5697">
        <w:rPr>
          <w:rFonts w:ascii="Arial" w:eastAsia="TimesNewRomanPSMT" w:hAnsi="Arial" w:cs="Arial"/>
          <w:b/>
          <w:sz w:val="20"/>
          <w:szCs w:val="20"/>
          <w:lang w:eastAsia="en-ZA"/>
        </w:rPr>
        <w:t xml:space="preserve"> of the IPID: </w:t>
      </w:r>
      <w:r w:rsidR="00CD7AB5" w:rsidRPr="004E5697">
        <w:rPr>
          <w:rFonts w:ascii="Arial" w:eastAsia="TimesNewRomanPSMT" w:hAnsi="Arial" w:cs="Arial"/>
          <w:sz w:val="20"/>
          <w:szCs w:val="20"/>
          <w:lang w:eastAsia="en-ZA"/>
        </w:rPr>
        <w:t>The Committee noted that the Department requires additional Investigators, but quest</w:t>
      </w:r>
      <w:r w:rsidR="0042454F" w:rsidRPr="004E5697">
        <w:rPr>
          <w:rFonts w:ascii="Arial" w:eastAsia="TimesNewRomanPSMT" w:hAnsi="Arial" w:cs="Arial"/>
          <w:sz w:val="20"/>
          <w:szCs w:val="20"/>
          <w:lang w:eastAsia="en-ZA"/>
        </w:rPr>
        <w:t>ion</w:t>
      </w:r>
      <w:r w:rsidR="00CD7AB5" w:rsidRPr="004E5697">
        <w:rPr>
          <w:rFonts w:ascii="Arial" w:eastAsia="TimesNewRomanPSMT" w:hAnsi="Arial" w:cs="Arial"/>
          <w:sz w:val="20"/>
          <w:szCs w:val="20"/>
          <w:lang w:eastAsia="en-ZA"/>
        </w:rPr>
        <w:t>ed what the ideal number of Investigators would be in terms of police to investigator r</w:t>
      </w:r>
      <w:r w:rsidR="00997834" w:rsidRPr="004E5697">
        <w:rPr>
          <w:rFonts w:ascii="Arial" w:eastAsia="TimesNewRomanPSMT" w:hAnsi="Arial" w:cs="Arial"/>
          <w:sz w:val="20"/>
          <w:szCs w:val="20"/>
          <w:lang w:eastAsia="en-ZA"/>
        </w:rPr>
        <w:t>atio</w:t>
      </w:r>
      <w:r w:rsidR="00CD7AB5" w:rsidRPr="004E5697">
        <w:rPr>
          <w:rFonts w:ascii="Arial" w:eastAsia="TimesNewRomanPSMT" w:hAnsi="Arial" w:cs="Arial"/>
          <w:sz w:val="20"/>
          <w:szCs w:val="20"/>
          <w:lang w:eastAsia="en-ZA"/>
        </w:rPr>
        <w:t>. The Committee stated that the d</w:t>
      </w:r>
      <w:r w:rsidR="00997834" w:rsidRPr="004E5697">
        <w:rPr>
          <w:rFonts w:ascii="Arial" w:eastAsia="TimesNewRomanPSMT" w:hAnsi="Arial" w:cs="Arial"/>
          <w:sz w:val="20"/>
          <w:szCs w:val="20"/>
          <w:lang w:eastAsia="en-ZA"/>
        </w:rPr>
        <w:t xml:space="preserve">iscipline </w:t>
      </w:r>
      <w:r w:rsidR="00CD7AB5" w:rsidRPr="004E5697">
        <w:rPr>
          <w:rFonts w:ascii="Arial" w:eastAsia="TimesNewRomanPSMT" w:hAnsi="Arial" w:cs="Arial"/>
          <w:sz w:val="20"/>
          <w:szCs w:val="20"/>
          <w:lang w:eastAsia="en-ZA"/>
        </w:rPr>
        <w:t xml:space="preserve">of police officers </w:t>
      </w:r>
      <w:r w:rsidR="00997834" w:rsidRPr="004E5697">
        <w:rPr>
          <w:rFonts w:ascii="Arial" w:eastAsia="TimesNewRomanPSMT" w:hAnsi="Arial" w:cs="Arial"/>
          <w:sz w:val="20"/>
          <w:szCs w:val="20"/>
          <w:lang w:eastAsia="en-ZA"/>
        </w:rPr>
        <w:t xml:space="preserve">remains the responsibility of SAPS and cannot be shifted to IPID.  </w:t>
      </w:r>
      <w:r w:rsidR="00CD7AB5" w:rsidRPr="004E5697">
        <w:rPr>
          <w:rFonts w:ascii="Arial" w:eastAsia="TimesNewRomanPSMT" w:hAnsi="Arial" w:cs="Arial"/>
          <w:sz w:val="20"/>
          <w:szCs w:val="20"/>
          <w:lang w:eastAsia="en-ZA"/>
        </w:rPr>
        <w:t>The Committee further stated that</w:t>
      </w:r>
      <w:r w:rsidR="005347C2" w:rsidRPr="004E5697">
        <w:rPr>
          <w:rFonts w:ascii="Arial" w:eastAsia="TimesNewRomanPSMT" w:hAnsi="Arial" w:cs="Arial"/>
          <w:sz w:val="20"/>
          <w:szCs w:val="20"/>
          <w:lang w:eastAsia="en-ZA"/>
        </w:rPr>
        <w:t>,</w:t>
      </w:r>
      <w:r w:rsidR="00CD7AB5" w:rsidRPr="004E5697">
        <w:rPr>
          <w:rFonts w:ascii="Arial" w:eastAsia="TimesNewRomanPSMT" w:hAnsi="Arial" w:cs="Arial"/>
          <w:sz w:val="20"/>
          <w:szCs w:val="20"/>
          <w:lang w:eastAsia="en-ZA"/>
        </w:rPr>
        <w:t xml:space="preserve"> where the ratio is pinned</w:t>
      </w:r>
      <w:r w:rsidR="005347C2" w:rsidRPr="004E5697">
        <w:rPr>
          <w:rFonts w:ascii="Arial" w:eastAsia="TimesNewRomanPSMT" w:hAnsi="Arial" w:cs="Arial"/>
          <w:sz w:val="20"/>
          <w:szCs w:val="20"/>
          <w:lang w:eastAsia="en-ZA"/>
        </w:rPr>
        <w:t>,</w:t>
      </w:r>
      <w:r w:rsidR="00CD7AB5" w:rsidRPr="004E5697">
        <w:rPr>
          <w:rFonts w:ascii="Arial" w:eastAsia="TimesNewRomanPSMT" w:hAnsi="Arial" w:cs="Arial"/>
          <w:sz w:val="20"/>
          <w:szCs w:val="20"/>
          <w:lang w:eastAsia="en-ZA"/>
        </w:rPr>
        <w:t xml:space="preserve"> would be indicative of the perception on the level of misconduct by police members. </w:t>
      </w:r>
    </w:p>
    <w:p w:rsidR="00E37B0F" w:rsidRPr="004E5697" w:rsidRDefault="00E37B0F" w:rsidP="004E5697">
      <w:pPr>
        <w:spacing w:line="240" w:lineRule="auto"/>
        <w:jc w:val="left"/>
        <w:rPr>
          <w:rFonts w:ascii="Arial" w:eastAsia="TimesNewRomanPSMT" w:hAnsi="Arial" w:cs="Arial"/>
          <w:sz w:val="20"/>
          <w:szCs w:val="20"/>
          <w:lang w:eastAsia="en-ZA"/>
        </w:rPr>
      </w:pPr>
    </w:p>
    <w:p w:rsidR="00E37B0F" w:rsidRPr="004E5697" w:rsidRDefault="00E37B0F" w:rsidP="004E5697">
      <w:pPr>
        <w:spacing w:line="240" w:lineRule="auto"/>
        <w:jc w:val="left"/>
        <w:rPr>
          <w:rFonts w:ascii="Arial" w:eastAsia="TimesNewRomanPSMT" w:hAnsi="Arial" w:cs="Arial"/>
          <w:sz w:val="20"/>
          <w:szCs w:val="20"/>
          <w:lang w:eastAsia="en-ZA"/>
        </w:rPr>
      </w:pPr>
      <w:r w:rsidRPr="004E5697">
        <w:rPr>
          <w:rFonts w:ascii="Arial" w:eastAsia="TimesNewRomanPSMT" w:hAnsi="Arial" w:cs="Arial"/>
          <w:b/>
          <w:sz w:val="20"/>
          <w:szCs w:val="20"/>
          <w:lang w:eastAsia="en-ZA"/>
        </w:rPr>
        <w:t>IPID Amendment Bill:</w:t>
      </w:r>
      <w:r w:rsidR="00961914" w:rsidRPr="004E5697">
        <w:rPr>
          <w:rFonts w:ascii="Arial" w:eastAsia="TimesNewRomanPSMT" w:hAnsi="Arial" w:cs="Arial"/>
          <w:sz w:val="20"/>
          <w:szCs w:val="20"/>
          <w:lang w:eastAsia="en-ZA"/>
        </w:rPr>
        <w:t xml:space="preserve"> The Committee questioned whether the Department was c</w:t>
      </w:r>
      <w:r w:rsidRPr="004E5697">
        <w:rPr>
          <w:rFonts w:ascii="Arial" w:eastAsia="TimesNewRomanPSMT" w:hAnsi="Arial" w:cs="Arial"/>
          <w:sz w:val="20"/>
          <w:szCs w:val="20"/>
          <w:lang w:eastAsia="en-ZA"/>
        </w:rPr>
        <w:t>onsulted</w:t>
      </w:r>
      <w:r w:rsidR="00961914" w:rsidRPr="004E5697">
        <w:rPr>
          <w:rFonts w:ascii="Arial" w:eastAsia="TimesNewRomanPSMT" w:hAnsi="Arial" w:cs="Arial"/>
          <w:sz w:val="20"/>
          <w:szCs w:val="20"/>
          <w:lang w:eastAsia="en-ZA"/>
        </w:rPr>
        <w:t xml:space="preserve"> (by the Civilian Secretariat for Police Service) during the drafting process of the IPID Amendment B</w:t>
      </w:r>
      <w:r w:rsidR="00AF6F1F" w:rsidRPr="004E5697">
        <w:rPr>
          <w:rFonts w:ascii="Arial" w:eastAsia="TimesNewRomanPSMT" w:hAnsi="Arial" w:cs="Arial"/>
          <w:sz w:val="20"/>
          <w:szCs w:val="20"/>
          <w:lang w:eastAsia="en-ZA"/>
        </w:rPr>
        <w:t xml:space="preserve">ill and whether the Department’s views </w:t>
      </w:r>
      <w:r w:rsidR="00961914" w:rsidRPr="004E5697">
        <w:rPr>
          <w:rFonts w:ascii="Arial" w:eastAsia="TimesNewRomanPSMT" w:hAnsi="Arial" w:cs="Arial"/>
          <w:sz w:val="20"/>
          <w:szCs w:val="20"/>
          <w:lang w:eastAsia="en-ZA"/>
        </w:rPr>
        <w:t xml:space="preserve">are adequately </w:t>
      </w:r>
      <w:r w:rsidR="00AF6F1F" w:rsidRPr="004E5697">
        <w:rPr>
          <w:rFonts w:ascii="Arial" w:eastAsia="TimesNewRomanPSMT" w:hAnsi="Arial" w:cs="Arial"/>
          <w:sz w:val="20"/>
          <w:szCs w:val="20"/>
          <w:lang w:eastAsia="en-ZA"/>
        </w:rPr>
        <w:t>captured</w:t>
      </w:r>
      <w:r w:rsidR="00961914" w:rsidRPr="004E5697">
        <w:rPr>
          <w:rFonts w:ascii="Arial" w:eastAsia="TimesNewRomanPSMT" w:hAnsi="Arial" w:cs="Arial"/>
          <w:sz w:val="20"/>
          <w:szCs w:val="20"/>
          <w:lang w:eastAsia="en-ZA"/>
        </w:rPr>
        <w:t xml:space="preserve"> </w:t>
      </w:r>
      <w:r w:rsidR="00AF6F1F" w:rsidRPr="004E5697">
        <w:rPr>
          <w:rFonts w:ascii="Arial" w:eastAsia="TimesNewRomanPSMT" w:hAnsi="Arial" w:cs="Arial"/>
          <w:sz w:val="20"/>
          <w:szCs w:val="20"/>
          <w:lang w:eastAsia="en-ZA"/>
        </w:rPr>
        <w:t>in</w:t>
      </w:r>
      <w:r w:rsidR="00961914" w:rsidRPr="004E5697">
        <w:rPr>
          <w:rFonts w:ascii="Arial" w:eastAsia="TimesNewRomanPSMT" w:hAnsi="Arial" w:cs="Arial"/>
          <w:sz w:val="20"/>
          <w:szCs w:val="20"/>
          <w:lang w:eastAsia="en-ZA"/>
        </w:rPr>
        <w:t xml:space="preserve"> the Bill. The </w:t>
      </w:r>
      <w:r w:rsidRPr="004E5697">
        <w:rPr>
          <w:rFonts w:ascii="Arial" w:eastAsia="TimesNewRomanPSMT" w:hAnsi="Arial" w:cs="Arial"/>
          <w:sz w:val="20"/>
          <w:szCs w:val="20"/>
          <w:lang w:eastAsia="en-ZA"/>
        </w:rPr>
        <w:t xml:space="preserve">Department indicated that </w:t>
      </w:r>
      <w:r w:rsidR="00961914" w:rsidRPr="004E5697">
        <w:rPr>
          <w:rFonts w:ascii="Arial" w:eastAsia="TimesNewRomanPSMT" w:hAnsi="Arial" w:cs="Arial"/>
          <w:sz w:val="20"/>
          <w:szCs w:val="20"/>
          <w:lang w:eastAsia="en-ZA"/>
        </w:rPr>
        <w:t xml:space="preserve">proper </w:t>
      </w:r>
      <w:r w:rsidRPr="004E5697">
        <w:rPr>
          <w:rFonts w:ascii="Arial" w:eastAsia="TimesNewRomanPSMT" w:hAnsi="Arial" w:cs="Arial"/>
          <w:sz w:val="20"/>
          <w:szCs w:val="20"/>
          <w:lang w:eastAsia="en-ZA"/>
        </w:rPr>
        <w:t>engage</w:t>
      </w:r>
      <w:r w:rsidR="00961914" w:rsidRPr="004E5697">
        <w:rPr>
          <w:rFonts w:ascii="Arial" w:eastAsia="TimesNewRomanPSMT" w:hAnsi="Arial" w:cs="Arial"/>
          <w:sz w:val="20"/>
          <w:szCs w:val="20"/>
          <w:lang w:eastAsia="en-ZA"/>
        </w:rPr>
        <w:t>ments were held with the S</w:t>
      </w:r>
      <w:r w:rsidR="00AF6F1F" w:rsidRPr="004E5697">
        <w:rPr>
          <w:rFonts w:ascii="Arial" w:eastAsia="TimesNewRomanPSMT" w:hAnsi="Arial" w:cs="Arial"/>
          <w:sz w:val="20"/>
          <w:szCs w:val="20"/>
          <w:lang w:eastAsia="en-ZA"/>
        </w:rPr>
        <w:t xml:space="preserve">ecretariat and they </w:t>
      </w:r>
      <w:r w:rsidR="00961914" w:rsidRPr="004E5697">
        <w:rPr>
          <w:rFonts w:ascii="Arial" w:eastAsia="TimesNewRomanPSMT" w:hAnsi="Arial" w:cs="Arial"/>
          <w:sz w:val="20"/>
          <w:szCs w:val="20"/>
          <w:lang w:eastAsia="en-ZA"/>
        </w:rPr>
        <w:t>are confident that their concerns are addressed. The Department confirmed that the Bill was approved by the</w:t>
      </w:r>
      <w:r w:rsidRPr="004E5697">
        <w:rPr>
          <w:rFonts w:ascii="Arial" w:eastAsia="TimesNewRomanPSMT" w:hAnsi="Arial" w:cs="Arial"/>
          <w:sz w:val="20"/>
          <w:szCs w:val="20"/>
          <w:lang w:eastAsia="en-ZA"/>
        </w:rPr>
        <w:t xml:space="preserve"> JCPS Cluster </w:t>
      </w:r>
      <w:r w:rsidR="00961914" w:rsidRPr="004E5697">
        <w:rPr>
          <w:rFonts w:ascii="Arial" w:eastAsia="TimesNewRomanPSMT" w:hAnsi="Arial" w:cs="Arial"/>
          <w:sz w:val="20"/>
          <w:szCs w:val="20"/>
          <w:lang w:eastAsia="en-ZA"/>
        </w:rPr>
        <w:t>and that it will serve before the Cabinet during the following week</w:t>
      </w:r>
      <w:r w:rsidR="00B931A3" w:rsidRPr="004E5697">
        <w:rPr>
          <w:rFonts w:ascii="Arial" w:eastAsia="TimesNewRomanPSMT" w:hAnsi="Arial" w:cs="Arial"/>
          <w:sz w:val="20"/>
          <w:szCs w:val="20"/>
          <w:lang w:eastAsia="en-ZA"/>
        </w:rPr>
        <w:t xml:space="preserve"> (15 to 19 May 2023)</w:t>
      </w:r>
      <w:r w:rsidR="00961914" w:rsidRPr="004E5697">
        <w:rPr>
          <w:rFonts w:ascii="Arial" w:eastAsia="TimesNewRomanPSMT" w:hAnsi="Arial" w:cs="Arial"/>
          <w:sz w:val="20"/>
          <w:szCs w:val="20"/>
          <w:lang w:eastAsia="en-ZA"/>
        </w:rPr>
        <w:t>.</w:t>
      </w:r>
      <w:r w:rsidRPr="004E5697">
        <w:rPr>
          <w:rFonts w:ascii="Arial" w:eastAsia="TimesNewRomanPSMT" w:hAnsi="Arial" w:cs="Arial"/>
          <w:sz w:val="20"/>
          <w:szCs w:val="20"/>
          <w:lang w:eastAsia="en-ZA"/>
        </w:rPr>
        <w:t xml:space="preserve"> </w:t>
      </w:r>
    </w:p>
    <w:p w:rsidR="00042654" w:rsidRPr="004E5697" w:rsidRDefault="00042654" w:rsidP="004E5697">
      <w:pPr>
        <w:spacing w:line="240" w:lineRule="auto"/>
        <w:jc w:val="left"/>
        <w:rPr>
          <w:rFonts w:ascii="Arial" w:hAnsi="Arial" w:cs="Arial"/>
          <w:sz w:val="20"/>
          <w:szCs w:val="20"/>
        </w:rPr>
      </w:pPr>
    </w:p>
    <w:p w:rsidR="00042654" w:rsidRPr="004E5697" w:rsidRDefault="00042654" w:rsidP="004E5697">
      <w:pPr>
        <w:pStyle w:val="Heading1"/>
        <w:numPr>
          <w:ilvl w:val="0"/>
          <w:numId w:val="10"/>
        </w:numPr>
        <w:spacing w:before="0" w:line="240" w:lineRule="auto"/>
        <w:jc w:val="left"/>
        <w:rPr>
          <w:rFonts w:ascii="Arial" w:hAnsi="Arial" w:cs="Arial"/>
          <w:szCs w:val="20"/>
        </w:rPr>
      </w:pPr>
      <w:r w:rsidRPr="004E5697">
        <w:rPr>
          <w:rFonts w:ascii="Arial" w:hAnsi="Arial" w:cs="Arial"/>
          <w:szCs w:val="20"/>
        </w:rPr>
        <w:t xml:space="preserve">Committee recommendations </w:t>
      </w:r>
      <w:r w:rsidR="007360F4" w:rsidRPr="004E5697">
        <w:rPr>
          <w:rFonts w:ascii="Arial" w:hAnsi="Arial" w:cs="Arial"/>
          <w:szCs w:val="20"/>
        </w:rPr>
        <w:t xml:space="preserve">and request for information </w:t>
      </w:r>
    </w:p>
    <w:p w:rsidR="007360F4" w:rsidRPr="004E5697" w:rsidRDefault="007360F4" w:rsidP="004E5697">
      <w:pPr>
        <w:spacing w:line="240" w:lineRule="auto"/>
        <w:jc w:val="left"/>
        <w:rPr>
          <w:rFonts w:ascii="Arial" w:hAnsi="Arial" w:cs="Arial"/>
          <w:bCs/>
          <w:sz w:val="20"/>
          <w:szCs w:val="20"/>
          <w:lang w:eastAsia="en-ZA"/>
        </w:rPr>
      </w:pPr>
    </w:p>
    <w:p w:rsidR="00042654" w:rsidRPr="004E5697" w:rsidRDefault="001D05C8" w:rsidP="004E5697">
      <w:pPr>
        <w:spacing w:line="240" w:lineRule="auto"/>
        <w:jc w:val="left"/>
        <w:rPr>
          <w:rFonts w:ascii="Arial" w:hAnsi="Arial" w:cs="Arial"/>
          <w:bCs/>
          <w:sz w:val="20"/>
          <w:szCs w:val="20"/>
          <w:lang w:eastAsia="en-ZA"/>
        </w:rPr>
      </w:pPr>
      <w:r w:rsidRPr="004E5697">
        <w:rPr>
          <w:rFonts w:ascii="Arial" w:hAnsi="Arial" w:cs="Arial"/>
          <w:bCs/>
          <w:sz w:val="20"/>
          <w:szCs w:val="20"/>
          <w:lang w:eastAsia="en-ZA"/>
        </w:rPr>
        <w:t>The Committee makes</w:t>
      </w:r>
      <w:r w:rsidR="00042654" w:rsidRPr="004E5697">
        <w:rPr>
          <w:rFonts w:ascii="Arial" w:hAnsi="Arial" w:cs="Arial"/>
          <w:bCs/>
          <w:sz w:val="20"/>
          <w:szCs w:val="20"/>
          <w:lang w:eastAsia="en-ZA"/>
        </w:rPr>
        <w:t xml:space="preserve"> the following recommendations</w:t>
      </w:r>
      <w:r w:rsidR="00300452" w:rsidRPr="004E5697">
        <w:rPr>
          <w:rFonts w:ascii="Arial" w:hAnsi="Arial" w:cs="Arial"/>
          <w:bCs/>
          <w:sz w:val="20"/>
          <w:szCs w:val="20"/>
          <w:lang w:eastAsia="en-ZA"/>
        </w:rPr>
        <w:t xml:space="preserve">: </w:t>
      </w:r>
    </w:p>
    <w:p w:rsidR="00300452" w:rsidRPr="004E5697" w:rsidRDefault="00300452" w:rsidP="004E5697">
      <w:pPr>
        <w:spacing w:line="240" w:lineRule="auto"/>
        <w:jc w:val="left"/>
        <w:rPr>
          <w:rFonts w:ascii="Arial" w:hAnsi="Arial" w:cs="Arial"/>
          <w:bCs/>
          <w:sz w:val="20"/>
          <w:szCs w:val="20"/>
          <w:lang w:eastAsia="en-ZA"/>
        </w:rPr>
      </w:pPr>
    </w:p>
    <w:p w:rsidR="00501C2E" w:rsidRPr="004E5697" w:rsidRDefault="00501C2E" w:rsidP="004E5697">
      <w:pPr>
        <w:pStyle w:val="ListParagraph"/>
        <w:numPr>
          <w:ilvl w:val="1"/>
          <w:numId w:val="12"/>
        </w:numPr>
        <w:spacing w:line="240" w:lineRule="auto"/>
        <w:jc w:val="left"/>
        <w:rPr>
          <w:rFonts w:ascii="Arial" w:hAnsi="Arial" w:cs="Arial"/>
          <w:sz w:val="20"/>
          <w:szCs w:val="20"/>
        </w:rPr>
      </w:pPr>
      <w:r w:rsidRPr="004E5697">
        <w:rPr>
          <w:rFonts w:ascii="Arial" w:hAnsi="Arial" w:cs="Arial"/>
          <w:bCs/>
          <w:sz w:val="20"/>
          <w:szCs w:val="20"/>
        </w:rPr>
        <w:t>The IPID must demonstrate improved capacity to fill its vacant funded posts and reduce its underspending on compensation of employees to enable the Committee to support recommendations to National Treasury for additional funding. This demonstration will allow the Department to appoint more investigators, resulting in increased performance</w:t>
      </w:r>
      <w:r w:rsidR="0042454F" w:rsidRPr="004E5697">
        <w:rPr>
          <w:rFonts w:ascii="Arial" w:hAnsi="Arial" w:cs="Arial"/>
          <w:bCs/>
          <w:sz w:val="20"/>
          <w:szCs w:val="20"/>
        </w:rPr>
        <w:t>,</w:t>
      </w:r>
      <w:r w:rsidRPr="004E5697">
        <w:rPr>
          <w:rFonts w:ascii="Arial" w:hAnsi="Arial" w:cs="Arial"/>
          <w:bCs/>
          <w:sz w:val="20"/>
          <w:szCs w:val="20"/>
        </w:rPr>
        <w:t xml:space="preserve"> especially in the Department’s core service delivery programme, </w:t>
      </w:r>
      <w:r w:rsidRPr="004E5697">
        <w:rPr>
          <w:rFonts w:ascii="Arial" w:hAnsi="Arial" w:cs="Arial"/>
          <w:bCs/>
          <w:i/>
          <w:sz w:val="20"/>
          <w:szCs w:val="20"/>
        </w:rPr>
        <w:t>Investigation and Information Management</w:t>
      </w:r>
      <w:r w:rsidRPr="004E5697">
        <w:rPr>
          <w:rFonts w:ascii="Arial" w:hAnsi="Arial" w:cs="Arial"/>
          <w:bCs/>
          <w:sz w:val="20"/>
          <w:szCs w:val="20"/>
        </w:rPr>
        <w:t>. It is futile to recommend that performance targets must be increased, when there is no capacity to investigate cases reported to the IPID.</w:t>
      </w:r>
    </w:p>
    <w:p w:rsidR="00D438B2" w:rsidRPr="004E5697" w:rsidRDefault="00D438B2" w:rsidP="004E5697">
      <w:pPr>
        <w:spacing w:line="240" w:lineRule="auto"/>
        <w:jc w:val="left"/>
        <w:rPr>
          <w:rFonts w:ascii="Arial" w:hAnsi="Arial" w:cs="Arial"/>
          <w:sz w:val="20"/>
          <w:szCs w:val="20"/>
        </w:rPr>
      </w:pPr>
    </w:p>
    <w:p w:rsidR="00501C2E" w:rsidRPr="004E5697" w:rsidRDefault="00501C2E" w:rsidP="004E5697">
      <w:pPr>
        <w:pStyle w:val="ListParagraph"/>
        <w:numPr>
          <w:ilvl w:val="1"/>
          <w:numId w:val="12"/>
        </w:numPr>
        <w:spacing w:line="240" w:lineRule="auto"/>
        <w:jc w:val="left"/>
        <w:rPr>
          <w:rFonts w:ascii="Arial" w:hAnsi="Arial" w:cs="Arial"/>
          <w:sz w:val="20"/>
          <w:szCs w:val="20"/>
        </w:rPr>
      </w:pPr>
      <w:r w:rsidRPr="004E5697">
        <w:rPr>
          <w:rFonts w:ascii="Arial" w:hAnsi="Arial" w:cs="Arial"/>
          <w:sz w:val="20"/>
          <w:szCs w:val="20"/>
        </w:rPr>
        <w:t xml:space="preserve">The development and implementation of the Department’s new Case Management System should be prioritised. The new system will enable information sharing and collaboration on investigations with other law enforcement agencies.  </w:t>
      </w:r>
    </w:p>
    <w:p w:rsidR="00D438B2" w:rsidRPr="004E5697" w:rsidRDefault="00D438B2" w:rsidP="004E5697">
      <w:pPr>
        <w:spacing w:line="240" w:lineRule="auto"/>
        <w:jc w:val="left"/>
        <w:rPr>
          <w:rFonts w:ascii="Arial" w:hAnsi="Arial" w:cs="Arial"/>
          <w:sz w:val="20"/>
          <w:szCs w:val="20"/>
        </w:rPr>
      </w:pPr>
    </w:p>
    <w:p w:rsidR="00501C2E" w:rsidRPr="004E5697" w:rsidRDefault="00501C2E" w:rsidP="004E5697">
      <w:pPr>
        <w:pStyle w:val="ListParagraph"/>
        <w:numPr>
          <w:ilvl w:val="1"/>
          <w:numId w:val="12"/>
        </w:numPr>
        <w:spacing w:line="240" w:lineRule="auto"/>
        <w:jc w:val="left"/>
        <w:rPr>
          <w:rFonts w:ascii="Arial" w:hAnsi="Arial" w:cs="Arial"/>
          <w:sz w:val="20"/>
          <w:szCs w:val="20"/>
        </w:rPr>
      </w:pPr>
      <w:r w:rsidRPr="004E5697">
        <w:rPr>
          <w:rFonts w:ascii="Arial" w:hAnsi="Arial" w:cs="Arial"/>
          <w:sz w:val="20"/>
          <w:szCs w:val="20"/>
        </w:rPr>
        <w:t xml:space="preserve">Investigations related to recommendations emanating from the Judicial Commission of Enquiry into allegations of State Capture must be prioritised and finalised.  </w:t>
      </w:r>
    </w:p>
    <w:p w:rsidR="00BC5718" w:rsidRPr="004E5697" w:rsidRDefault="00BC5718" w:rsidP="004E5697">
      <w:pPr>
        <w:spacing w:line="240" w:lineRule="auto"/>
        <w:jc w:val="left"/>
        <w:rPr>
          <w:rFonts w:ascii="Arial" w:hAnsi="Arial" w:cs="Arial"/>
          <w:sz w:val="20"/>
          <w:szCs w:val="20"/>
        </w:rPr>
      </w:pPr>
    </w:p>
    <w:p w:rsidR="00501C2E" w:rsidRPr="004E5697" w:rsidRDefault="00501C2E" w:rsidP="004E5697">
      <w:pPr>
        <w:pStyle w:val="ListParagraph"/>
        <w:numPr>
          <w:ilvl w:val="1"/>
          <w:numId w:val="12"/>
        </w:numPr>
        <w:spacing w:line="240" w:lineRule="auto"/>
        <w:jc w:val="left"/>
        <w:rPr>
          <w:rFonts w:ascii="Arial" w:hAnsi="Arial" w:cs="Arial"/>
          <w:sz w:val="20"/>
          <w:szCs w:val="20"/>
        </w:rPr>
      </w:pPr>
      <w:r w:rsidRPr="004E5697">
        <w:rPr>
          <w:rFonts w:ascii="Arial" w:hAnsi="Arial" w:cs="Arial"/>
          <w:color w:val="000000"/>
          <w:sz w:val="20"/>
          <w:szCs w:val="20"/>
        </w:rPr>
        <w:lastRenderedPageBreak/>
        <w:t xml:space="preserve">Efforts to decrease the accumulated case backlog should be intensified, including outstanding toxicology reports. </w:t>
      </w:r>
    </w:p>
    <w:p w:rsidR="00D438B2" w:rsidRPr="004E5697" w:rsidRDefault="00D438B2" w:rsidP="004E5697">
      <w:pPr>
        <w:spacing w:line="240" w:lineRule="auto"/>
        <w:ind w:left="360"/>
        <w:jc w:val="left"/>
        <w:rPr>
          <w:rFonts w:ascii="Arial" w:hAnsi="Arial" w:cs="Arial"/>
          <w:sz w:val="20"/>
          <w:szCs w:val="20"/>
        </w:rPr>
      </w:pPr>
    </w:p>
    <w:p w:rsidR="00501C2E" w:rsidRPr="004E5697" w:rsidRDefault="00BC5718" w:rsidP="004E5697">
      <w:pPr>
        <w:pStyle w:val="ListParagraph"/>
        <w:numPr>
          <w:ilvl w:val="1"/>
          <w:numId w:val="12"/>
        </w:numPr>
        <w:spacing w:line="240" w:lineRule="auto"/>
        <w:jc w:val="left"/>
        <w:rPr>
          <w:rFonts w:ascii="Arial" w:hAnsi="Arial" w:cs="Arial"/>
          <w:sz w:val="20"/>
          <w:szCs w:val="20"/>
        </w:rPr>
      </w:pPr>
      <w:r w:rsidRPr="004E5697">
        <w:rPr>
          <w:rFonts w:ascii="Arial" w:hAnsi="Arial" w:cs="Arial"/>
          <w:sz w:val="20"/>
          <w:szCs w:val="20"/>
        </w:rPr>
        <w:t>The IPID Amendment B</w:t>
      </w:r>
      <w:r w:rsidR="000B4BE1" w:rsidRPr="004E5697">
        <w:rPr>
          <w:rFonts w:ascii="Arial" w:hAnsi="Arial" w:cs="Arial"/>
          <w:sz w:val="20"/>
          <w:szCs w:val="20"/>
        </w:rPr>
        <w:t>ill should provide for</w:t>
      </w:r>
      <w:r w:rsidRPr="004E5697">
        <w:rPr>
          <w:rFonts w:ascii="Arial" w:hAnsi="Arial" w:cs="Arial"/>
          <w:sz w:val="20"/>
          <w:szCs w:val="20"/>
        </w:rPr>
        <w:t xml:space="preserve"> IPID </w:t>
      </w:r>
      <w:r w:rsidR="000B4BE1" w:rsidRPr="004E5697">
        <w:rPr>
          <w:rFonts w:ascii="Arial" w:hAnsi="Arial" w:cs="Arial"/>
          <w:sz w:val="20"/>
          <w:szCs w:val="20"/>
        </w:rPr>
        <w:t xml:space="preserve">Investigators </w:t>
      </w:r>
      <w:r w:rsidRPr="004E5697">
        <w:rPr>
          <w:rFonts w:ascii="Arial" w:hAnsi="Arial" w:cs="Arial"/>
          <w:sz w:val="20"/>
          <w:szCs w:val="20"/>
        </w:rPr>
        <w:t>to attend d</w:t>
      </w:r>
      <w:r w:rsidR="00501C2E" w:rsidRPr="004E5697">
        <w:rPr>
          <w:rFonts w:ascii="Arial" w:hAnsi="Arial" w:cs="Arial"/>
          <w:sz w:val="20"/>
          <w:szCs w:val="20"/>
        </w:rPr>
        <w:t xml:space="preserve">isciplinary </w:t>
      </w:r>
      <w:r w:rsidRPr="004E5697">
        <w:rPr>
          <w:rFonts w:ascii="Arial" w:hAnsi="Arial" w:cs="Arial"/>
          <w:sz w:val="20"/>
          <w:szCs w:val="20"/>
        </w:rPr>
        <w:t xml:space="preserve">hearings on cases </w:t>
      </w:r>
      <w:r w:rsidR="000B4BE1" w:rsidRPr="004E5697">
        <w:rPr>
          <w:rFonts w:ascii="Arial" w:hAnsi="Arial" w:cs="Arial"/>
          <w:sz w:val="20"/>
          <w:szCs w:val="20"/>
        </w:rPr>
        <w:t xml:space="preserve">in which negative </w:t>
      </w:r>
      <w:r w:rsidR="00501C2E" w:rsidRPr="004E5697">
        <w:rPr>
          <w:rFonts w:ascii="Arial" w:hAnsi="Arial" w:cs="Arial"/>
          <w:sz w:val="20"/>
          <w:szCs w:val="20"/>
        </w:rPr>
        <w:t xml:space="preserve">recommendations </w:t>
      </w:r>
      <w:r w:rsidR="000B4BE1" w:rsidRPr="004E5697">
        <w:rPr>
          <w:rFonts w:ascii="Arial" w:hAnsi="Arial" w:cs="Arial"/>
          <w:sz w:val="20"/>
          <w:szCs w:val="20"/>
        </w:rPr>
        <w:t>were made to the SAPS.</w:t>
      </w:r>
      <w:r w:rsidR="00501C2E" w:rsidRPr="004E5697">
        <w:rPr>
          <w:rFonts w:ascii="Arial" w:hAnsi="Arial" w:cs="Arial"/>
          <w:sz w:val="20"/>
          <w:szCs w:val="20"/>
        </w:rPr>
        <w:t xml:space="preserve">  </w:t>
      </w:r>
    </w:p>
    <w:p w:rsidR="00D438B2" w:rsidRPr="004E5697" w:rsidRDefault="00D438B2" w:rsidP="004E5697">
      <w:pPr>
        <w:spacing w:line="240" w:lineRule="auto"/>
        <w:jc w:val="left"/>
        <w:rPr>
          <w:rFonts w:ascii="Arial" w:hAnsi="Arial" w:cs="Arial"/>
          <w:sz w:val="20"/>
          <w:szCs w:val="20"/>
        </w:rPr>
      </w:pPr>
    </w:p>
    <w:p w:rsidR="00501C2E" w:rsidRPr="004E5697" w:rsidRDefault="00501C2E" w:rsidP="004E5697">
      <w:pPr>
        <w:pStyle w:val="ListParagraph"/>
        <w:numPr>
          <w:ilvl w:val="1"/>
          <w:numId w:val="12"/>
        </w:numPr>
        <w:spacing w:line="240" w:lineRule="auto"/>
        <w:jc w:val="left"/>
        <w:rPr>
          <w:rFonts w:ascii="Arial" w:hAnsi="Arial" w:cs="Arial"/>
          <w:sz w:val="20"/>
          <w:szCs w:val="20"/>
        </w:rPr>
      </w:pPr>
      <w:r w:rsidRPr="004E5697">
        <w:rPr>
          <w:rFonts w:ascii="Arial" w:hAnsi="Arial" w:cs="Arial"/>
          <w:sz w:val="20"/>
          <w:szCs w:val="20"/>
        </w:rPr>
        <w:t xml:space="preserve">Consultations with the NPA should be increased to secure a higher </w:t>
      </w:r>
      <w:r w:rsidR="00BC5718" w:rsidRPr="004E5697">
        <w:rPr>
          <w:rFonts w:ascii="Arial" w:hAnsi="Arial" w:cs="Arial"/>
          <w:sz w:val="20"/>
          <w:szCs w:val="20"/>
        </w:rPr>
        <w:t>prosecution</w:t>
      </w:r>
      <w:r w:rsidRPr="004E5697">
        <w:rPr>
          <w:rFonts w:ascii="Arial" w:hAnsi="Arial" w:cs="Arial"/>
          <w:sz w:val="20"/>
          <w:szCs w:val="20"/>
        </w:rPr>
        <w:t xml:space="preserve"> rate on criminal referrals. </w:t>
      </w:r>
    </w:p>
    <w:p w:rsidR="000B4BE1" w:rsidRPr="004E5697" w:rsidRDefault="000B4BE1" w:rsidP="004E5697">
      <w:pPr>
        <w:pStyle w:val="ListParagraph"/>
        <w:spacing w:line="240" w:lineRule="auto"/>
        <w:jc w:val="left"/>
        <w:rPr>
          <w:rFonts w:ascii="Arial" w:hAnsi="Arial" w:cs="Arial"/>
          <w:sz w:val="20"/>
          <w:szCs w:val="20"/>
        </w:rPr>
      </w:pPr>
    </w:p>
    <w:p w:rsidR="000B4BE1" w:rsidRPr="004E5697" w:rsidRDefault="000B4BE1" w:rsidP="004E5697">
      <w:pPr>
        <w:spacing w:line="240" w:lineRule="auto"/>
        <w:jc w:val="left"/>
        <w:rPr>
          <w:rFonts w:ascii="Arial" w:hAnsi="Arial" w:cs="Arial"/>
          <w:sz w:val="20"/>
          <w:szCs w:val="20"/>
        </w:rPr>
      </w:pPr>
      <w:r w:rsidRPr="004E5697">
        <w:rPr>
          <w:rFonts w:ascii="Arial" w:hAnsi="Arial" w:cs="Arial"/>
          <w:sz w:val="20"/>
          <w:szCs w:val="20"/>
        </w:rPr>
        <w:t xml:space="preserve">The Committee resolved to further unpack the responses from the Minister of Finance and National Treasury on the need for IPID to demonstration an increased capacity to fill vacant positions and spend their Compensation of Employees budget allocation. As this response has been reiterated since 2015, the matter needs urgent attention. The Committee will engage with IPID and National Treasury on this matter.  </w:t>
      </w:r>
    </w:p>
    <w:p w:rsidR="007360F4" w:rsidRPr="004E5697" w:rsidRDefault="007360F4" w:rsidP="004E5697">
      <w:pPr>
        <w:spacing w:line="240" w:lineRule="auto"/>
        <w:jc w:val="left"/>
        <w:rPr>
          <w:rFonts w:ascii="Arial" w:hAnsi="Arial" w:cs="Arial"/>
          <w:sz w:val="20"/>
          <w:szCs w:val="20"/>
        </w:rPr>
      </w:pPr>
    </w:p>
    <w:p w:rsidR="00BB01AA" w:rsidRPr="004E5697" w:rsidRDefault="00430460" w:rsidP="004E5697">
      <w:pPr>
        <w:spacing w:line="240" w:lineRule="auto"/>
        <w:jc w:val="left"/>
        <w:rPr>
          <w:rFonts w:ascii="Arial" w:hAnsi="Arial" w:cs="Arial"/>
          <w:sz w:val="20"/>
          <w:szCs w:val="20"/>
        </w:rPr>
      </w:pPr>
      <w:r w:rsidRPr="004E5697">
        <w:rPr>
          <w:rFonts w:ascii="Arial" w:eastAsia="TimesNewRomanPSMT" w:hAnsi="Arial" w:cs="Arial"/>
          <w:sz w:val="20"/>
          <w:szCs w:val="20"/>
          <w:lang w:eastAsia="en-ZA"/>
        </w:rPr>
        <w:t>The written response on clarity and progress on investigations on a 2022 shooting incident that occurred during a community protest in the Komatipoort-area should be submitted before 23 May 2023.</w:t>
      </w:r>
      <w:r w:rsidR="00BB01AA" w:rsidRPr="004E5697">
        <w:rPr>
          <w:rFonts w:ascii="Arial" w:hAnsi="Arial" w:cs="Arial"/>
          <w:sz w:val="20"/>
          <w:szCs w:val="20"/>
        </w:rPr>
        <w:t xml:space="preserve"> </w:t>
      </w:r>
    </w:p>
    <w:p w:rsidR="00BB01AA" w:rsidRPr="004E5697" w:rsidRDefault="00BB01AA" w:rsidP="004E5697">
      <w:pPr>
        <w:spacing w:line="240" w:lineRule="auto"/>
        <w:jc w:val="left"/>
        <w:rPr>
          <w:rFonts w:ascii="Arial" w:hAnsi="Arial" w:cs="Arial"/>
          <w:sz w:val="20"/>
          <w:szCs w:val="20"/>
        </w:rPr>
      </w:pPr>
    </w:p>
    <w:p w:rsidR="00F75957" w:rsidRPr="004E5697" w:rsidRDefault="00F75957" w:rsidP="004E5697">
      <w:pPr>
        <w:pStyle w:val="Heading1"/>
        <w:numPr>
          <w:ilvl w:val="0"/>
          <w:numId w:val="10"/>
        </w:numPr>
        <w:spacing w:before="0" w:line="240" w:lineRule="auto"/>
        <w:jc w:val="left"/>
        <w:rPr>
          <w:rFonts w:ascii="Arial" w:hAnsi="Arial" w:cs="Arial"/>
          <w:szCs w:val="20"/>
        </w:rPr>
      </w:pPr>
      <w:r w:rsidRPr="004E5697">
        <w:rPr>
          <w:rFonts w:ascii="Arial" w:hAnsi="Arial" w:cs="Arial"/>
          <w:szCs w:val="20"/>
        </w:rPr>
        <w:t>Conclusion</w:t>
      </w:r>
      <w:bookmarkEnd w:id="16"/>
      <w:r w:rsidRPr="004E5697">
        <w:rPr>
          <w:rFonts w:ascii="Arial" w:hAnsi="Arial" w:cs="Arial"/>
          <w:szCs w:val="20"/>
        </w:rPr>
        <w:t xml:space="preserve"> </w:t>
      </w:r>
    </w:p>
    <w:p w:rsidR="00F75957" w:rsidRPr="004E5697" w:rsidRDefault="00F75957" w:rsidP="004E5697">
      <w:pPr>
        <w:spacing w:line="240" w:lineRule="auto"/>
        <w:jc w:val="left"/>
        <w:rPr>
          <w:rFonts w:ascii="Arial" w:hAnsi="Arial" w:cs="Arial"/>
          <w:sz w:val="20"/>
          <w:szCs w:val="20"/>
        </w:rPr>
      </w:pPr>
    </w:p>
    <w:p w:rsidR="00D93253" w:rsidRPr="004E5697" w:rsidRDefault="00042654" w:rsidP="004E5697">
      <w:pPr>
        <w:autoSpaceDE w:val="0"/>
        <w:autoSpaceDN w:val="0"/>
        <w:adjustRightInd w:val="0"/>
        <w:spacing w:line="240" w:lineRule="auto"/>
        <w:jc w:val="left"/>
        <w:rPr>
          <w:rFonts w:ascii="Arial" w:eastAsia="TimesNewRomanPSMT" w:hAnsi="Arial" w:cs="Arial"/>
          <w:sz w:val="20"/>
          <w:szCs w:val="20"/>
          <w:lang w:eastAsia="en-ZA"/>
        </w:rPr>
      </w:pPr>
      <w:r w:rsidRPr="004E5697">
        <w:rPr>
          <w:rFonts w:ascii="Arial" w:eastAsia="TimesNewRomanPSMT" w:hAnsi="Arial" w:cs="Arial"/>
          <w:sz w:val="20"/>
          <w:szCs w:val="20"/>
          <w:lang w:eastAsia="en-ZA"/>
        </w:rPr>
        <w:t xml:space="preserve">The Committee notes that there are serious capacity challenges with respect to </w:t>
      </w:r>
      <w:r w:rsidR="000B4BE1" w:rsidRPr="004E5697">
        <w:rPr>
          <w:rFonts w:ascii="Arial" w:eastAsia="TimesNewRomanPSMT" w:hAnsi="Arial" w:cs="Arial"/>
          <w:sz w:val="20"/>
          <w:szCs w:val="20"/>
          <w:lang w:eastAsia="en-ZA"/>
        </w:rPr>
        <w:t xml:space="preserve">IPID’s </w:t>
      </w:r>
      <w:r w:rsidRPr="004E5697">
        <w:rPr>
          <w:rFonts w:ascii="Arial" w:eastAsia="TimesNewRomanPSMT" w:hAnsi="Arial" w:cs="Arial"/>
          <w:sz w:val="20"/>
          <w:szCs w:val="20"/>
          <w:lang w:eastAsia="en-ZA"/>
        </w:rPr>
        <w:t>budget</w:t>
      </w:r>
      <w:r w:rsidR="000B4BE1" w:rsidRPr="004E5697">
        <w:rPr>
          <w:rFonts w:ascii="Arial" w:eastAsia="TimesNewRomanPSMT" w:hAnsi="Arial" w:cs="Arial"/>
          <w:sz w:val="20"/>
          <w:szCs w:val="20"/>
          <w:lang w:eastAsia="en-ZA"/>
        </w:rPr>
        <w:t xml:space="preserve">. </w:t>
      </w:r>
      <w:r w:rsidRPr="004E5697">
        <w:rPr>
          <w:rFonts w:ascii="Arial" w:eastAsia="TimesNewRomanPSMT" w:hAnsi="Arial" w:cs="Arial"/>
          <w:sz w:val="20"/>
          <w:szCs w:val="20"/>
          <w:lang w:eastAsia="en-ZA"/>
        </w:rPr>
        <w:t>The Committee will support all efforts by the IPID to find the necessary resources t</w:t>
      </w:r>
      <w:r w:rsidR="000B4BE1" w:rsidRPr="004E5697">
        <w:rPr>
          <w:rFonts w:ascii="Arial" w:eastAsia="TimesNewRomanPSMT" w:hAnsi="Arial" w:cs="Arial"/>
          <w:sz w:val="20"/>
          <w:szCs w:val="20"/>
          <w:lang w:eastAsia="en-ZA"/>
        </w:rPr>
        <w:t xml:space="preserve">o implement its mandate. While the Committee was critical of the Department’s performance, </w:t>
      </w:r>
      <w:r w:rsidR="00537AA8" w:rsidRPr="004E5697">
        <w:rPr>
          <w:rFonts w:ascii="Arial" w:eastAsia="TimesNewRomanPSMT" w:hAnsi="Arial" w:cs="Arial"/>
          <w:sz w:val="20"/>
          <w:szCs w:val="20"/>
          <w:lang w:eastAsia="en-ZA"/>
        </w:rPr>
        <w:t xml:space="preserve">appreciation was </w:t>
      </w:r>
      <w:r w:rsidR="000B4BE1" w:rsidRPr="004E5697">
        <w:rPr>
          <w:rFonts w:ascii="Arial" w:eastAsia="TimesNewRomanPSMT" w:hAnsi="Arial" w:cs="Arial"/>
          <w:sz w:val="20"/>
          <w:szCs w:val="20"/>
          <w:lang w:eastAsia="en-ZA"/>
        </w:rPr>
        <w:t xml:space="preserve">expressed towards the </w:t>
      </w:r>
      <w:r w:rsidR="00D93253" w:rsidRPr="004E5697">
        <w:rPr>
          <w:rFonts w:ascii="Arial" w:eastAsia="TimesNewRomanPSMT" w:hAnsi="Arial" w:cs="Arial"/>
          <w:sz w:val="20"/>
          <w:szCs w:val="20"/>
          <w:lang w:eastAsia="en-ZA"/>
        </w:rPr>
        <w:t xml:space="preserve">hard working </w:t>
      </w:r>
      <w:r w:rsidR="000B4BE1" w:rsidRPr="004E5697">
        <w:rPr>
          <w:rFonts w:ascii="Arial" w:eastAsia="TimesNewRomanPSMT" w:hAnsi="Arial" w:cs="Arial"/>
          <w:sz w:val="20"/>
          <w:szCs w:val="20"/>
          <w:lang w:eastAsia="en-ZA"/>
        </w:rPr>
        <w:t xml:space="preserve">personnel of </w:t>
      </w:r>
      <w:r w:rsidR="00D93253" w:rsidRPr="004E5697">
        <w:rPr>
          <w:rFonts w:ascii="Arial" w:eastAsia="TimesNewRomanPSMT" w:hAnsi="Arial" w:cs="Arial"/>
          <w:sz w:val="20"/>
          <w:szCs w:val="20"/>
          <w:lang w:eastAsia="en-ZA"/>
        </w:rPr>
        <w:t>the IPID</w:t>
      </w:r>
      <w:r w:rsidR="000B4BE1" w:rsidRPr="004E5697">
        <w:rPr>
          <w:rFonts w:ascii="Arial" w:eastAsia="TimesNewRomanPSMT" w:hAnsi="Arial" w:cs="Arial"/>
          <w:sz w:val="20"/>
          <w:szCs w:val="20"/>
          <w:lang w:eastAsia="en-ZA"/>
        </w:rPr>
        <w:t xml:space="preserve">. </w:t>
      </w:r>
    </w:p>
    <w:p w:rsidR="00D93253" w:rsidRPr="004E5697" w:rsidRDefault="00D93253" w:rsidP="004E5697">
      <w:pPr>
        <w:autoSpaceDE w:val="0"/>
        <w:autoSpaceDN w:val="0"/>
        <w:adjustRightInd w:val="0"/>
        <w:spacing w:line="240" w:lineRule="auto"/>
        <w:jc w:val="left"/>
        <w:rPr>
          <w:rFonts w:ascii="Arial" w:eastAsia="TimesNewRomanPSMT" w:hAnsi="Arial" w:cs="Arial"/>
          <w:sz w:val="20"/>
          <w:szCs w:val="20"/>
          <w:lang w:eastAsia="en-ZA"/>
        </w:rPr>
      </w:pPr>
    </w:p>
    <w:p w:rsidR="00042654" w:rsidRPr="004E5697" w:rsidRDefault="00042654" w:rsidP="004E5697">
      <w:pPr>
        <w:autoSpaceDE w:val="0"/>
        <w:autoSpaceDN w:val="0"/>
        <w:adjustRightInd w:val="0"/>
        <w:spacing w:line="240" w:lineRule="auto"/>
        <w:jc w:val="left"/>
        <w:rPr>
          <w:rFonts w:ascii="Arial" w:eastAsia="TimesNewRomanPSMT" w:hAnsi="Arial" w:cs="Arial"/>
          <w:sz w:val="20"/>
          <w:szCs w:val="20"/>
          <w:lang w:eastAsia="en-ZA"/>
        </w:rPr>
      </w:pPr>
      <w:r w:rsidRPr="004E5697">
        <w:rPr>
          <w:rFonts w:ascii="Arial" w:eastAsia="TimesNewRomanPSMT" w:hAnsi="Arial" w:cs="Arial"/>
          <w:sz w:val="20"/>
          <w:szCs w:val="20"/>
          <w:lang w:eastAsia="en-ZA"/>
        </w:rPr>
        <w:t>The Portfolio Committee on Police supports the budget of the Independent Police Investigative Directorate (IPID) for 202</w:t>
      </w:r>
      <w:r w:rsidR="005F4274" w:rsidRPr="004E5697">
        <w:rPr>
          <w:rFonts w:ascii="Arial" w:eastAsia="TimesNewRomanPSMT" w:hAnsi="Arial" w:cs="Arial"/>
          <w:sz w:val="20"/>
          <w:szCs w:val="20"/>
          <w:lang w:eastAsia="en-ZA"/>
        </w:rPr>
        <w:t>3</w:t>
      </w:r>
      <w:r w:rsidRPr="004E5697">
        <w:rPr>
          <w:rFonts w:ascii="Arial" w:eastAsia="TimesNewRomanPSMT" w:hAnsi="Arial" w:cs="Arial"/>
          <w:sz w:val="20"/>
          <w:szCs w:val="20"/>
          <w:lang w:eastAsia="en-ZA"/>
        </w:rPr>
        <w:t>/2</w:t>
      </w:r>
      <w:r w:rsidR="005F4274" w:rsidRPr="004E5697">
        <w:rPr>
          <w:rFonts w:ascii="Arial" w:eastAsia="TimesNewRomanPSMT" w:hAnsi="Arial" w:cs="Arial"/>
          <w:sz w:val="20"/>
          <w:szCs w:val="20"/>
          <w:lang w:eastAsia="en-ZA"/>
        </w:rPr>
        <w:t>4</w:t>
      </w:r>
      <w:r w:rsidRPr="004E5697">
        <w:rPr>
          <w:rFonts w:ascii="Arial" w:eastAsia="TimesNewRomanPSMT" w:hAnsi="Arial" w:cs="Arial"/>
          <w:sz w:val="20"/>
          <w:szCs w:val="20"/>
          <w:lang w:eastAsia="en-ZA"/>
        </w:rPr>
        <w:t xml:space="preserve"> and recommends that the Budget Vote 24 be adopted.</w:t>
      </w:r>
    </w:p>
    <w:p w:rsidR="00042654" w:rsidRPr="004E5697" w:rsidRDefault="00042654" w:rsidP="004E5697">
      <w:pPr>
        <w:spacing w:line="240" w:lineRule="auto"/>
        <w:jc w:val="left"/>
        <w:rPr>
          <w:rFonts w:ascii="Arial" w:eastAsia="TimesNewRomanPSMT" w:hAnsi="Arial" w:cs="Arial"/>
          <w:b/>
          <w:bCs/>
          <w:sz w:val="20"/>
          <w:szCs w:val="20"/>
          <w:lang w:eastAsia="en-ZA"/>
        </w:rPr>
      </w:pPr>
    </w:p>
    <w:p w:rsidR="00BB01AA" w:rsidRPr="004E5697" w:rsidRDefault="00430460" w:rsidP="004E5697">
      <w:pPr>
        <w:spacing w:line="240" w:lineRule="auto"/>
        <w:jc w:val="left"/>
        <w:rPr>
          <w:rFonts w:ascii="Arial" w:eastAsia="TimesNewRomanPSMT" w:hAnsi="Arial" w:cs="Arial"/>
          <w:bCs/>
          <w:sz w:val="20"/>
          <w:szCs w:val="20"/>
          <w:lang w:eastAsia="en-ZA"/>
        </w:rPr>
      </w:pPr>
      <w:r w:rsidRPr="004E5697">
        <w:rPr>
          <w:rFonts w:ascii="Arial" w:eastAsia="TimesNewRomanPSMT" w:hAnsi="Arial" w:cs="Arial"/>
          <w:sz w:val="20"/>
          <w:szCs w:val="20"/>
          <w:lang w:eastAsia="en-ZA"/>
        </w:rPr>
        <w:t>The Democratic Alliance (DA) and Economic Freedom Fighters (EFF) reserve their rights.</w:t>
      </w:r>
    </w:p>
    <w:p w:rsidR="00BB01AA" w:rsidRPr="004E5697" w:rsidRDefault="00BB01AA" w:rsidP="004E5697">
      <w:pPr>
        <w:spacing w:line="240" w:lineRule="auto"/>
        <w:jc w:val="left"/>
        <w:rPr>
          <w:rFonts w:ascii="Arial" w:eastAsia="TimesNewRomanPSMT" w:hAnsi="Arial" w:cs="Arial"/>
          <w:b/>
          <w:bCs/>
          <w:sz w:val="20"/>
          <w:szCs w:val="20"/>
          <w:lang w:eastAsia="en-ZA"/>
        </w:rPr>
      </w:pPr>
    </w:p>
    <w:p w:rsidR="00D54304" w:rsidRPr="004E5697" w:rsidRDefault="00042654" w:rsidP="004E5697">
      <w:pPr>
        <w:spacing w:line="240" w:lineRule="auto"/>
        <w:jc w:val="left"/>
        <w:rPr>
          <w:rFonts w:ascii="Arial" w:hAnsi="Arial" w:cs="Arial"/>
          <w:sz w:val="20"/>
          <w:szCs w:val="20"/>
        </w:rPr>
      </w:pPr>
      <w:r w:rsidRPr="004E5697">
        <w:rPr>
          <w:rFonts w:ascii="Arial" w:eastAsia="TimesNewRomanPSMT" w:hAnsi="Arial" w:cs="Arial"/>
          <w:b/>
          <w:bCs/>
          <w:sz w:val="20"/>
          <w:szCs w:val="20"/>
          <w:lang w:eastAsia="en-ZA"/>
        </w:rPr>
        <w:t>Report to be considered.</w:t>
      </w:r>
    </w:p>
    <w:sectPr w:rsidR="00D54304" w:rsidRPr="004E5697" w:rsidSect="00042654">
      <w:headerReference w:type="default" r:id="rId8"/>
      <w:footerReference w:type="default" r:id="rId9"/>
      <w:pgSz w:w="11906" w:h="16838"/>
      <w:pgMar w:top="1276"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A5F" w:rsidRDefault="00392A5F" w:rsidP="00BE1544">
      <w:pPr>
        <w:spacing w:line="240" w:lineRule="auto"/>
      </w:pPr>
      <w:r>
        <w:separator/>
      </w:r>
    </w:p>
  </w:endnote>
  <w:endnote w:type="continuationSeparator" w:id="0">
    <w:p w:rsidR="00392A5F" w:rsidRDefault="00392A5F" w:rsidP="00BE15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BT">
    <w:altName w:val="NewsGoth BT"/>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yriadPro-Light">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BC" w:rsidRDefault="003A19BC" w:rsidP="00042654">
    <w:pPr>
      <w:pStyle w:val="Footer"/>
      <w:jc w:val="right"/>
    </w:pPr>
    <w:r w:rsidRPr="00BE1544">
      <w:rPr>
        <w:rFonts w:cs="Arial"/>
        <w:sz w:val="16"/>
        <w:szCs w:val="16"/>
      </w:rPr>
      <w:t xml:space="preserve">Page </w:t>
    </w:r>
    <w:r w:rsidR="00000339" w:rsidRPr="00BE1544">
      <w:rPr>
        <w:rFonts w:cs="Arial"/>
        <w:bCs/>
        <w:sz w:val="16"/>
        <w:szCs w:val="16"/>
      </w:rPr>
      <w:fldChar w:fldCharType="begin"/>
    </w:r>
    <w:r w:rsidRPr="00BE1544">
      <w:rPr>
        <w:rFonts w:cs="Arial"/>
        <w:bCs/>
        <w:sz w:val="16"/>
        <w:szCs w:val="16"/>
      </w:rPr>
      <w:instrText xml:space="preserve"> PAGE </w:instrText>
    </w:r>
    <w:r w:rsidR="00000339" w:rsidRPr="00BE1544">
      <w:rPr>
        <w:rFonts w:cs="Arial"/>
        <w:bCs/>
        <w:sz w:val="16"/>
        <w:szCs w:val="16"/>
      </w:rPr>
      <w:fldChar w:fldCharType="separate"/>
    </w:r>
    <w:r w:rsidR="004E5697">
      <w:rPr>
        <w:rFonts w:cs="Arial"/>
        <w:bCs/>
        <w:noProof/>
        <w:sz w:val="16"/>
        <w:szCs w:val="16"/>
      </w:rPr>
      <w:t>2</w:t>
    </w:r>
    <w:r w:rsidR="00000339" w:rsidRPr="00BE1544">
      <w:rPr>
        <w:rFonts w:cs="Arial"/>
        <w:bCs/>
        <w:sz w:val="16"/>
        <w:szCs w:val="16"/>
      </w:rPr>
      <w:fldChar w:fldCharType="end"/>
    </w:r>
    <w:r w:rsidRPr="00BE1544">
      <w:rPr>
        <w:rFonts w:cs="Arial"/>
        <w:sz w:val="16"/>
        <w:szCs w:val="16"/>
      </w:rPr>
      <w:t xml:space="preserve"> of </w:t>
    </w:r>
    <w:r w:rsidR="00000339" w:rsidRPr="00BE1544">
      <w:rPr>
        <w:rFonts w:cs="Arial"/>
        <w:bCs/>
        <w:sz w:val="16"/>
        <w:szCs w:val="16"/>
      </w:rPr>
      <w:fldChar w:fldCharType="begin"/>
    </w:r>
    <w:r w:rsidRPr="00BE1544">
      <w:rPr>
        <w:rFonts w:cs="Arial"/>
        <w:bCs/>
        <w:sz w:val="16"/>
        <w:szCs w:val="16"/>
      </w:rPr>
      <w:instrText xml:space="preserve"> NUMPAGES  </w:instrText>
    </w:r>
    <w:r w:rsidR="00000339" w:rsidRPr="00BE1544">
      <w:rPr>
        <w:rFonts w:cs="Arial"/>
        <w:bCs/>
        <w:sz w:val="16"/>
        <w:szCs w:val="16"/>
      </w:rPr>
      <w:fldChar w:fldCharType="separate"/>
    </w:r>
    <w:r w:rsidR="004E5697">
      <w:rPr>
        <w:rFonts w:cs="Arial"/>
        <w:bCs/>
        <w:noProof/>
        <w:sz w:val="16"/>
        <w:szCs w:val="16"/>
      </w:rPr>
      <w:t>15</w:t>
    </w:r>
    <w:r w:rsidR="00000339" w:rsidRPr="00BE1544">
      <w:rPr>
        <w:rFonts w:cs="Arial"/>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A5F" w:rsidRDefault="00392A5F" w:rsidP="00BE1544">
      <w:pPr>
        <w:spacing w:line="240" w:lineRule="auto"/>
      </w:pPr>
      <w:r>
        <w:separator/>
      </w:r>
    </w:p>
  </w:footnote>
  <w:footnote w:type="continuationSeparator" w:id="0">
    <w:p w:rsidR="00392A5F" w:rsidRDefault="00392A5F" w:rsidP="00BE154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BC" w:rsidRDefault="003A19BC">
    <w:pPr>
      <w:pStyle w:val="Header"/>
    </w:pPr>
  </w:p>
  <w:p w:rsidR="003A19BC" w:rsidRDefault="003A19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FDE"/>
    <w:multiLevelType w:val="hybridMultilevel"/>
    <w:tmpl w:val="0EBEE75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7252B7"/>
    <w:multiLevelType w:val="hybridMultilevel"/>
    <w:tmpl w:val="A9C21B0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4A39F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1B6048"/>
    <w:multiLevelType w:val="hybridMultilevel"/>
    <w:tmpl w:val="F5F415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1503F5D"/>
    <w:multiLevelType w:val="multilevel"/>
    <w:tmpl w:val="351E5078"/>
    <w:lvl w:ilvl="0">
      <w:start w:val="6"/>
      <w:numFmt w:val="decimal"/>
      <w:lvlText w:val="%1"/>
      <w:lvlJc w:val="left"/>
      <w:pPr>
        <w:ind w:left="360" w:hanging="360"/>
      </w:pPr>
      <w:rPr>
        <w:rFonts w:hint="default"/>
        <w:sz w:val="22"/>
      </w:rPr>
    </w:lvl>
    <w:lvl w:ilvl="1">
      <w:start w:val="1"/>
      <w:numFmt w:val="lowerLetter"/>
      <w:lvlText w:val="%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5">
    <w:nsid w:val="294A40EB"/>
    <w:multiLevelType w:val="hybridMultilevel"/>
    <w:tmpl w:val="6DE44E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70B7100"/>
    <w:multiLevelType w:val="hybridMultilevel"/>
    <w:tmpl w:val="DA2443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A200254"/>
    <w:multiLevelType w:val="hybridMultilevel"/>
    <w:tmpl w:val="245096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A6245FF"/>
    <w:multiLevelType w:val="multilevel"/>
    <w:tmpl w:val="B55070A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BD562F1"/>
    <w:multiLevelType w:val="hybridMultilevel"/>
    <w:tmpl w:val="2620FB4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43B3612"/>
    <w:multiLevelType w:val="hybridMultilevel"/>
    <w:tmpl w:val="C100C25A"/>
    <w:lvl w:ilvl="0" w:tplc="1C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0356EFF"/>
    <w:multiLevelType w:val="hybridMultilevel"/>
    <w:tmpl w:val="EC8C6AB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10"/>
  </w:num>
  <w:num w:numId="5">
    <w:abstractNumId w:val="11"/>
  </w:num>
  <w:num w:numId="6">
    <w:abstractNumId w:val="0"/>
  </w:num>
  <w:num w:numId="7">
    <w:abstractNumId w:val="5"/>
  </w:num>
  <w:num w:numId="8">
    <w:abstractNumId w:val="1"/>
  </w:num>
  <w:num w:numId="9">
    <w:abstractNumId w:val="6"/>
  </w:num>
  <w:num w:numId="10">
    <w:abstractNumId w:val="2"/>
  </w:num>
  <w:num w:numId="11">
    <w:abstractNumId w:val="3"/>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Root w:val="00C227AB"/>
    <w:rsid w:val="00000339"/>
    <w:rsid w:val="00001AC2"/>
    <w:rsid w:val="00002794"/>
    <w:rsid w:val="00002F23"/>
    <w:rsid w:val="00003062"/>
    <w:rsid w:val="00004590"/>
    <w:rsid w:val="0000654B"/>
    <w:rsid w:val="00007F91"/>
    <w:rsid w:val="000143D2"/>
    <w:rsid w:val="00015579"/>
    <w:rsid w:val="00017B1F"/>
    <w:rsid w:val="00024249"/>
    <w:rsid w:val="00024DE4"/>
    <w:rsid w:val="00024EB0"/>
    <w:rsid w:val="00030CF7"/>
    <w:rsid w:val="000317E3"/>
    <w:rsid w:val="0003295E"/>
    <w:rsid w:val="00032B87"/>
    <w:rsid w:val="00035D18"/>
    <w:rsid w:val="00036F68"/>
    <w:rsid w:val="00040DDE"/>
    <w:rsid w:val="00042654"/>
    <w:rsid w:val="00043743"/>
    <w:rsid w:val="000447A4"/>
    <w:rsid w:val="00050AE9"/>
    <w:rsid w:val="00050EB2"/>
    <w:rsid w:val="000517A1"/>
    <w:rsid w:val="000522EF"/>
    <w:rsid w:val="00052B47"/>
    <w:rsid w:val="00060378"/>
    <w:rsid w:val="00061DE4"/>
    <w:rsid w:val="00063706"/>
    <w:rsid w:val="00063DEB"/>
    <w:rsid w:val="0006706D"/>
    <w:rsid w:val="00067260"/>
    <w:rsid w:val="00070F93"/>
    <w:rsid w:val="00071D94"/>
    <w:rsid w:val="0007378D"/>
    <w:rsid w:val="000770AE"/>
    <w:rsid w:val="000776D6"/>
    <w:rsid w:val="00081479"/>
    <w:rsid w:val="00083C04"/>
    <w:rsid w:val="00084867"/>
    <w:rsid w:val="00085123"/>
    <w:rsid w:val="0008709C"/>
    <w:rsid w:val="00095DC8"/>
    <w:rsid w:val="0009774A"/>
    <w:rsid w:val="00097A3E"/>
    <w:rsid w:val="000A2557"/>
    <w:rsid w:val="000A32B4"/>
    <w:rsid w:val="000A33A8"/>
    <w:rsid w:val="000A3705"/>
    <w:rsid w:val="000A4C8A"/>
    <w:rsid w:val="000A5CF9"/>
    <w:rsid w:val="000B4BE1"/>
    <w:rsid w:val="000B6DD1"/>
    <w:rsid w:val="000C179B"/>
    <w:rsid w:val="000C2255"/>
    <w:rsid w:val="000C3F75"/>
    <w:rsid w:val="000C4708"/>
    <w:rsid w:val="000C531F"/>
    <w:rsid w:val="000C6133"/>
    <w:rsid w:val="000D1F45"/>
    <w:rsid w:val="000D3B03"/>
    <w:rsid w:val="000D3C20"/>
    <w:rsid w:val="000D4202"/>
    <w:rsid w:val="000D4938"/>
    <w:rsid w:val="000D5D1D"/>
    <w:rsid w:val="000D62BD"/>
    <w:rsid w:val="000D657C"/>
    <w:rsid w:val="000D6B1E"/>
    <w:rsid w:val="000D7614"/>
    <w:rsid w:val="000D7A5F"/>
    <w:rsid w:val="000E1D3D"/>
    <w:rsid w:val="000E684F"/>
    <w:rsid w:val="000F0B66"/>
    <w:rsid w:val="000F11FA"/>
    <w:rsid w:val="000F1B3B"/>
    <w:rsid w:val="000F1BB2"/>
    <w:rsid w:val="000F2214"/>
    <w:rsid w:val="000F38D6"/>
    <w:rsid w:val="000F58F3"/>
    <w:rsid w:val="00100955"/>
    <w:rsid w:val="00100B45"/>
    <w:rsid w:val="001010A3"/>
    <w:rsid w:val="00101C72"/>
    <w:rsid w:val="00112443"/>
    <w:rsid w:val="001129FC"/>
    <w:rsid w:val="00113F32"/>
    <w:rsid w:val="00114D2D"/>
    <w:rsid w:val="00114E81"/>
    <w:rsid w:val="00117AC0"/>
    <w:rsid w:val="00120AA6"/>
    <w:rsid w:val="00121DAC"/>
    <w:rsid w:val="00123047"/>
    <w:rsid w:val="00125BA2"/>
    <w:rsid w:val="0012659E"/>
    <w:rsid w:val="00126D27"/>
    <w:rsid w:val="00127009"/>
    <w:rsid w:val="00131284"/>
    <w:rsid w:val="001322EC"/>
    <w:rsid w:val="0013261F"/>
    <w:rsid w:val="00132CBD"/>
    <w:rsid w:val="00134BCF"/>
    <w:rsid w:val="0013660E"/>
    <w:rsid w:val="00141D2C"/>
    <w:rsid w:val="0014210F"/>
    <w:rsid w:val="00143983"/>
    <w:rsid w:val="001463C2"/>
    <w:rsid w:val="00146793"/>
    <w:rsid w:val="00150D7D"/>
    <w:rsid w:val="00151751"/>
    <w:rsid w:val="0015189D"/>
    <w:rsid w:val="001522B6"/>
    <w:rsid w:val="001547FD"/>
    <w:rsid w:val="001558C4"/>
    <w:rsid w:val="001576EC"/>
    <w:rsid w:val="00157FA1"/>
    <w:rsid w:val="0016071A"/>
    <w:rsid w:val="00162754"/>
    <w:rsid w:val="0016618C"/>
    <w:rsid w:val="0016660D"/>
    <w:rsid w:val="00166FCA"/>
    <w:rsid w:val="001706BF"/>
    <w:rsid w:val="00170E7B"/>
    <w:rsid w:val="00171AED"/>
    <w:rsid w:val="001723C8"/>
    <w:rsid w:val="00173A7B"/>
    <w:rsid w:val="001743B0"/>
    <w:rsid w:val="001801B9"/>
    <w:rsid w:val="0018295F"/>
    <w:rsid w:val="00183A77"/>
    <w:rsid w:val="0018425F"/>
    <w:rsid w:val="00184D13"/>
    <w:rsid w:val="00193894"/>
    <w:rsid w:val="001951B4"/>
    <w:rsid w:val="00195482"/>
    <w:rsid w:val="00195D7F"/>
    <w:rsid w:val="00195F45"/>
    <w:rsid w:val="00197D40"/>
    <w:rsid w:val="001A04F0"/>
    <w:rsid w:val="001A11CB"/>
    <w:rsid w:val="001A2C3C"/>
    <w:rsid w:val="001A7A7C"/>
    <w:rsid w:val="001B0A07"/>
    <w:rsid w:val="001B4172"/>
    <w:rsid w:val="001B5E6E"/>
    <w:rsid w:val="001C25B8"/>
    <w:rsid w:val="001C3E74"/>
    <w:rsid w:val="001C41CE"/>
    <w:rsid w:val="001C4587"/>
    <w:rsid w:val="001C58B5"/>
    <w:rsid w:val="001C74C8"/>
    <w:rsid w:val="001D05C8"/>
    <w:rsid w:val="001D4ED0"/>
    <w:rsid w:val="001D53BB"/>
    <w:rsid w:val="001E106E"/>
    <w:rsid w:val="001E1AC2"/>
    <w:rsid w:val="001E1D5E"/>
    <w:rsid w:val="001E21FA"/>
    <w:rsid w:val="001E2204"/>
    <w:rsid w:val="001E3CBC"/>
    <w:rsid w:val="001E7433"/>
    <w:rsid w:val="001F2F29"/>
    <w:rsid w:val="001F3CDF"/>
    <w:rsid w:val="001F5552"/>
    <w:rsid w:val="001F56BC"/>
    <w:rsid w:val="001F5C98"/>
    <w:rsid w:val="002004F4"/>
    <w:rsid w:val="00200F17"/>
    <w:rsid w:val="002027C3"/>
    <w:rsid w:val="002042B1"/>
    <w:rsid w:val="00206B45"/>
    <w:rsid w:val="00207222"/>
    <w:rsid w:val="002146DF"/>
    <w:rsid w:val="00216404"/>
    <w:rsid w:val="0021753F"/>
    <w:rsid w:val="002204EE"/>
    <w:rsid w:val="00220FFB"/>
    <w:rsid w:val="002218B1"/>
    <w:rsid w:val="00222784"/>
    <w:rsid w:val="00223708"/>
    <w:rsid w:val="0022438E"/>
    <w:rsid w:val="00224AAA"/>
    <w:rsid w:val="00224CD0"/>
    <w:rsid w:val="00224F07"/>
    <w:rsid w:val="002339FD"/>
    <w:rsid w:val="00236E91"/>
    <w:rsid w:val="00237B9C"/>
    <w:rsid w:val="00237DB9"/>
    <w:rsid w:val="00237F61"/>
    <w:rsid w:val="002425CC"/>
    <w:rsid w:val="002448B1"/>
    <w:rsid w:val="00246BBF"/>
    <w:rsid w:val="00253CAE"/>
    <w:rsid w:val="002563C4"/>
    <w:rsid w:val="00256BEB"/>
    <w:rsid w:val="00256DD5"/>
    <w:rsid w:val="002573EB"/>
    <w:rsid w:val="002637AD"/>
    <w:rsid w:val="00265280"/>
    <w:rsid w:val="00265421"/>
    <w:rsid w:val="002657D6"/>
    <w:rsid w:val="00265BB5"/>
    <w:rsid w:val="00266F04"/>
    <w:rsid w:val="00267C57"/>
    <w:rsid w:val="002712F4"/>
    <w:rsid w:val="00275CB8"/>
    <w:rsid w:val="00280C34"/>
    <w:rsid w:val="00281CDB"/>
    <w:rsid w:val="002822A8"/>
    <w:rsid w:val="0028267C"/>
    <w:rsid w:val="0028498A"/>
    <w:rsid w:val="00285E4B"/>
    <w:rsid w:val="00290BB8"/>
    <w:rsid w:val="002912B7"/>
    <w:rsid w:val="002919C7"/>
    <w:rsid w:val="00294FB8"/>
    <w:rsid w:val="00295876"/>
    <w:rsid w:val="00295897"/>
    <w:rsid w:val="002961CF"/>
    <w:rsid w:val="002A1AF5"/>
    <w:rsid w:val="002A3243"/>
    <w:rsid w:val="002A327F"/>
    <w:rsid w:val="002A3C5B"/>
    <w:rsid w:val="002A4FA7"/>
    <w:rsid w:val="002A5619"/>
    <w:rsid w:val="002A676F"/>
    <w:rsid w:val="002A6A32"/>
    <w:rsid w:val="002A6E1A"/>
    <w:rsid w:val="002A76A8"/>
    <w:rsid w:val="002B148C"/>
    <w:rsid w:val="002B437B"/>
    <w:rsid w:val="002B6B4A"/>
    <w:rsid w:val="002C09BD"/>
    <w:rsid w:val="002C2179"/>
    <w:rsid w:val="002C2295"/>
    <w:rsid w:val="002C265D"/>
    <w:rsid w:val="002C43A5"/>
    <w:rsid w:val="002C52C6"/>
    <w:rsid w:val="002C560F"/>
    <w:rsid w:val="002C7173"/>
    <w:rsid w:val="002C7262"/>
    <w:rsid w:val="002D212E"/>
    <w:rsid w:val="002D6974"/>
    <w:rsid w:val="002D6EE7"/>
    <w:rsid w:val="002E1AD0"/>
    <w:rsid w:val="002E4325"/>
    <w:rsid w:val="002E7F70"/>
    <w:rsid w:val="002E7FC8"/>
    <w:rsid w:val="002F3D79"/>
    <w:rsid w:val="002F42BD"/>
    <w:rsid w:val="002F6F55"/>
    <w:rsid w:val="002F77DB"/>
    <w:rsid w:val="00300298"/>
    <w:rsid w:val="00300452"/>
    <w:rsid w:val="00300E6A"/>
    <w:rsid w:val="003041D9"/>
    <w:rsid w:val="00304D17"/>
    <w:rsid w:val="00305A00"/>
    <w:rsid w:val="00305FEA"/>
    <w:rsid w:val="00306660"/>
    <w:rsid w:val="00307B6F"/>
    <w:rsid w:val="0031278C"/>
    <w:rsid w:val="0031390A"/>
    <w:rsid w:val="00315061"/>
    <w:rsid w:val="00315443"/>
    <w:rsid w:val="00315E41"/>
    <w:rsid w:val="0031661C"/>
    <w:rsid w:val="003167B6"/>
    <w:rsid w:val="00316A05"/>
    <w:rsid w:val="00317CF9"/>
    <w:rsid w:val="00323314"/>
    <w:rsid w:val="003237A6"/>
    <w:rsid w:val="003270A7"/>
    <w:rsid w:val="00327C24"/>
    <w:rsid w:val="00327E4C"/>
    <w:rsid w:val="003301B4"/>
    <w:rsid w:val="003320C2"/>
    <w:rsid w:val="0033438A"/>
    <w:rsid w:val="00334F49"/>
    <w:rsid w:val="00335740"/>
    <w:rsid w:val="00335A1B"/>
    <w:rsid w:val="00336B3F"/>
    <w:rsid w:val="003379C4"/>
    <w:rsid w:val="00337D39"/>
    <w:rsid w:val="003400B3"/>
    <w:rsid w:val="00340323"/>
    <w:rsid w:val="00340FE4"/>
    <w:rsid w:val="003411DC"/>
    <w:rsid w:val="0034151A"/>
    <w:rsid w:val="00343156"/>
    <w:rsid w:val="00344B82"/>
    <w:rsid w:val="00345B67"/>
    <w:rsid w:val="003468AF"/>
    <w:rsid w:val="00346EAB"/>
    <w:rsid w:val="00350986"/>
    <w:rsid w:val="00351DF8"/>
    <w:rsid w:val="00351F7C"/>
    <w:rsid w:val="00352C67"/>
    <w:rsid w:val="0035303E"/>
    <w:rsid w:val="00354D53"/>
    <w:rsid w:val="003572AF"/>
    <w:rsid w:val="00360759"/>
    <w:rsid w:val="00360B08"/>
    <w:rsid w:val="0036130F"/>
    <w:rsid w:val="0036249F"/>
    <w:rsid w:val="00362EC4"/>
    <w:rsid w:val="00366157"/>
    <w:rsid w:val="00366A26"/>
    <w:rsid w:val="00375437"/>
    <w:rsid w:val="00375660"/>
    <w:rsid w:val="00375678"/>
    <w:rsid w:val="003761D1"/>
    <w:rsid w:val="003767F3"/>
    <w:rsid w:val="00376D15"/>
    <w:rsid w:val="00376F03"/>
    <w:rsid w:val="00377577"/>
    <w:rsid w:val="00380577"/>
    <w:rsid w:val="00381165"/>
    <w:rsid w:val="00384B50"/>
    <w:rsid w:val="00384B80"/>
    <w:rsid w:val="003851B0"/>
    <w:rsid w:val="00391575"/>
    <w:rsid w:val="0039202A"/>
    <w:rsid w:val="00392474"/>
    <w:rsid w:val="00392518"/>
    <w:rsid w:val="00392A5F"/>
    <w:rsid w:val="00392EE5"/>
    <w:rsid w:val="003931DD"/>
    <w:rsid w:val="0039361C"/>
    <w:rsid w:val="003939BE"/>
    <w:rsid w:val="00393F08"/>
    <w:rsid w:val="003A016C"/>
    <w:rsid w:val="003A19BC"/>
    <w:rsid w:val="003A2038"/>
    <w:rsid w:val="003A5373"/>
    <w:rsid w:val="003A620D"/>
    <w:rsid w:val="003A67D1"/>
    <w:rsid w:val="003B7399"/>
    <w:rsid w:val="003C0885"/>
    <w:rsid w:val="003C414A"/>
    <w:rsid w:val="003C79FD"/>
    <w:rsid w:val="003C7BB7"/>
    <w:rsid w:val="003C7D90"/>
    <w:rsid w:val="003D3BE2"/>
    <w:rsid w:val="003D5738"/>
    <w:rsid w:val="003D7E0C"/>
    <w:rsid w:val="003E1589"/>
    <w:rsid w:val="003E4826"/>
    <w:rsid w:val="003E6539"/>
    <w:rsid w:val="003F44E9"/>
    <w:rsid w:val="003F458C"/>
    <w:rsid w:val="003F5A10"/>
    <w:rsid w:val="00400E6B"/>
    <w:rsid w:val="00401B13"/>
    <w:rsid w:val="00406A5F"/>
    <w:rsid w:val="00407813"/>
    <w:rsid w:val="00407C3B"/>
    <w:rsid w:val="00410787"/>
    <w:rsid w:val="00411652"/>
    <w:rsid w:val="00414863"/>
    <w:rsid w:val="004161A4"/>
    <w:rsid w:val="004166D2"/>
    <w:rsid w:val="004169CF"/>
    <w:rsid w:val="00416EDD"/>
    <w:rsid w:val="004176CF"/>
    <w:rsid w:val="0042128F"/>
    <w:rsid w:val="0042289B"/>
    <w:rsid w:val="00422B38"/>
    <w:rsid w:val="0042454F"/>
    <w:rsid w:val="00424FE9"/>
    <w:rsid w:val="00425F48"/>
    <w:rsid w:val="00426E99"/>
    <w:rsid w:val="00430460"/>
    <w:rsid w:val="00430E3D"/>
    <w:rsid w:val="00432DA9"/>
    <w:rsid w:val="00432EE2"/>
    <w:rsid w:val="0043346E"/>
    <w:rsid w:val="004352A2"/>
    <w:rsid w:val="00435D33"/>
    <w:rsid w:val="00442A2A"/>
    <w:rsid w:val="00442F0D"/>
    <w:rsid w:val="00443B37"/>
    <w:rsid w:val="00444B23"/>
    <w:rsid w:val="00444D1B"/>
    <w:rsid w:val="004455C3"/>
    <w:rsid w:val="00450700"/>
    <w:rsid w:val="00450DFC"/>
    <w:rsid w:val="00454C2A"/>
    <w:rsid w:val="00454DA8"/>
    <w:rsid w:val="004569D5"/>
    <w:rsid w:val="00456E01"/>
    <w:rsid w:val="00457892"/>
    <w:rsid w:val="00460291"/>
    <w:rsid w:val="00461093"/>
    <w:rsid w:val="0046245B"/>
    <w:rsid w:val="00462784"/>
    <w:rsid w:val="004630CB"/>
    <w:rsid w:val="00464015"/>
    <w:rsid w:val="0046583C"/>
    <w:rsid w:val="004666FB"/>
    <w:rsid w:val="00467434"/>
    <w:rsid w:val="00470C02"/>
    <w:rsid w:val="0047179D"/>
    <w:rsid w:val="00471B0E"/>
    <w:rsid w:val="00473ABB"/>
    <w:rsid w:val="00474FD2"/>
    <w:rsid w:val="00476299"/>
    <w:rsid w:val="00476758"/>
    <w:rsid w:val="00481D86"/>
    <w:rsid w:val="00483CA0"/>
    <w:rsid w:val="004845A2"/>
    <w:rsid w:val="00485906"/>
    <w:rsid w:val="00486BEB"/>
    <w:rsid w:val="00492984"/>
    <w:rsid w:val="00492F21"/>
    <w:rsid w:val="004932BC"/>
    <w:rsid w:val="004933F3"/>
    <w:rsid w:val="00494118"/>
    <w:rsid w:val="00494CB6"/>
    <w:rsid w:val="00495F59"/>
    <w:rsid w:val="004A1879"/>
    <w:rsid w:val="004A2F4D"/>
    <w:rsid w:val="004A3CA2"/>
    <w:rsid w:val="004A3F10"/>
    <w:rsid w:val="004A42BA"/>
    <w:rsid w:val="004A55A4"/>
    <w:rsid w:val="004A5F45"/>
    <w:rsid w:val="004A6BF1"/>
    <w:rsid w:val="004B3955"/>
    <w:rsid w:val="004B6D02"/>
    <w:rsid w:val="004C1A49"/>
    <w:rsid w:val="004C1BB0"/>
    <w:rsid w:val="004C2495"/>
    <w:rsid w:val="004C3F32"/>
    <w:rsid w:val="004C5DED"/>
    <w:rsid w:val="004D30B1"/>
    <w:rsid w:val="004E2900"/>
    <w:rsid w:val="004E2F08"/>
    <w:rsid w:val="004E37C3"/>
    <w:rsid w:val="004E3AE7"/>
    <w:rsid w:val="004E557E"/>
    <w:rsid w:val="004E5697"/>
    <w:rsid w:val="004E68FB"/>
    <w:rsid w:val="004E6EA1"/>
    <w:rsid w:val="004F1F91"/>
    <w:rsid w:val="004F2763"/>
    <w:rsid w:val="004F324C"/>
    <w:rsid w:val="004F42D5"/>
    <w:rsid w:val="004F43A3"/>
    <w:rsid w:val="004F4CF4"/>
    <w:rsid w:val="004F5989"/>
    <w:rsid w:val="004F7AD7"/>
    <w:rsid w:val="0050014C"/>
    <w:rsid w:val="005010EE"/>
    <w:rsid w:val="00501444"/>
    <w:rsid w:val="00501C2E"/>
    <w:rsid w:val="00502791"/>
    <w:rsid w:val="005028B1"/>
    <w:rsid w:val="005029B4"/>
    <w:rsid w:val="00505377"/>
    <w:rsid w:val="00505C38"/>
    <w:rsid w:val="005064BE"/>
    <w:rsid w:val="005075D3"/>
    <w:rsid w:val="00513374"/>
    <w:rsid w:val="00520D65"/>
    <w:rsid w:val="00522C13"/>
    <w:rsid w:val="00523D11"/>
    <w:rsid w:val="005271FE"/>
    <w:rsid w:val="005273ED"/>
    <w:rsid w:val="005304C2"/>
    <w:rsid w:val="005305FE"/>
    <w:rsid w:val="00533BFE"/>
    <w:rsid w:val="005347C2"/>
    <w:rsid w:val="00534D3F"/>
    <w:rsid w:val="00537AA8"/>
    <w:rsid w:val="0054007D"/>
    <w:rsid w:val="005411B1"/>
    <w:rsid w:val="00541A0A"/>
    <w:rsid w:val="00541B2C"/>
    <w:rsid w:val="00542611"/>
    <w:rsid w:val="00543C49"/>
    <w:rsid w:val="005474F4"/>
    <w:rsid w:val="005513B8"/>
    <w:rsid w:val="00552C11"/>
    <w:rsid w:val="00553AE4"/>
    <w:rsid w:val="0055502B"/>
    <w:rsid w:val="00557F0E"/>
    <w:rsid w:val="00557F8C"/>
    <w:rsid w:val="005608FA"/>
    <w:rsid w:val="00560C79"/>
    <w:rsid w:val="0056268E"/>
    <w:rsid w:val="00562879"/>
    <w:rsid w:val="005666C8"/>
    <w:rsid w:val="00570C36"/>
    <w:rsid w:val="00571105"/>
    <w:rsid w:val="0057286E"/>
    <w:rsid w:val="0057365D"/>
    <w:rsid w:val="00573E5D"/>
    <w:rsid w:val="005810BD"/>
    <w:rsid w:val="00581778"/>
    <w:rsid w:val="00582DBE"/>
    <w:rsid w:val="00585125"/>
    <w:rsid w:val="00592663"/>
    <w:rsid w:val="005936EE"/>
    <w:rsid w:val="00596C37"/>
    <w:rsid w:val="005A2393"/>
    <w:rsid w:val="005A3065"/>
    <w:rsid w:val="005A7DF7"/>
    <w:rsid w:val="005B1770"/>
    <w:rsid w:val="005B251F"/>
    <w:rsid w:val="005C0E14"/>
    <w:rsid w:val="005D0AB8"/>
    <w:rsid w:val="005D2711"/>
    <w:rsid w:val="005D34E5"/>
    <w:rsid w:val="005D3522"/>
    <w:rsid w:val="005E0531"/>
    <w:rsid w:val="005E068D"/>
    <w:rsid w:val="005E18F8"/>
    <w:rsid w:val="005E4487"/>
    <w:rsid w:val="005E4E28"/>
    <w:rsid w:val="005E695C"/>
    <w:rsid w:val="005E6E60"/>
    <w:rsid w:val="005F21F3"/>
    <w:rsid w:val="005F2361"/>
    <w:rsid w:val="005F2734"/>
    <w:rsid w:val="005F27EA"/>
    <w:rsid w:val="005F32FA"/>
    <w:rsid w:val="005F4274"/>
    <w:rsid w:val="005F4548"/>
    <w:rsid w:val="005F4B36"/>
    <w:rsid w:val="005F6D2A"/>
    <w:rsid w:val="00602AF1"/>
    <w:rsid w:val="00602FDE"/>
    <w:rsid w:val="006074D9"/>
    <w:rsid w:val="00610D21"/>
    <w:rsid w:val="00614438"/>
    <w:rsid w:val="0061538C"/>
    <w:rsid w:val="0061631A"/>
    <w:rsid w:val="0061714A"/>
    <w:rsid w:val="00617B16"/>
    <w:rsid w:val="00617C3D"/>
    <w:rsid w:val="00617CA4"/>
    <w:rsid w:val="00622912"/>
    <w:rsid w:val="0062721E"/>
    <w:rsid w:val="006275C6"/>
    <w:rsid w:val="0063024A"/>
    <w:rsid w:val="00630803"/>
    <w:rsid w:val="0063378D"/>
    <w:rsid w:val="006354F2"/>
    <w:rsid w:val="00637487"/>
    <w:rsid w:val="00637F86"/>
    <w:rsid w:val="00640E3D"/>
    <w:rsid w:val="006439B5"/>
    <w:rsid w:val="00646664"/>
    <w:rsid w:val="0065017E"/>
    <w:rsid w:val="006532CA"/>
    <w:rsid w:val="006542BA"/>
    <w:rsid w:val="00654519"/>
    <w:rsid w:val="006559E6"/>
    <w:rsid w:val="0065720F"/>
    <w:rsid w:val="00664124"/>
    <w:rsid w:val="00667488"/>
    <w:rsid w:val="00667B9F"/>
    <w:rsid w:val="006719E3"/>
    <w:rsid w:val="00671C35"/>
    <w:rsid w:val="00672FCA"/>
    <w:rsid w:val="00673198"/>
    <w:rsid w:val="00675D54"/>
    <w:rsid w:val="00686334"/>
    <w:rsid w:val="00687B2F"/>
    <w:rsid w:val="00690AF5"/>
    <w:rsid w:val="006912C2"/>
    <w:rsid w:val="006928D4"/>
    <w:rsid w:val="00693C96"/>
    <w:rsid w:val="00694186"/>
    <w:rsid w:val="00694405"/>
    <w:rsid w:val="006955FC"/>
    <w:rsid w:val="006968F4"/>
    <w:rsid w:val="006A144F"/>
    <w:rsid w:val="006A19E1"/>
    <w:rsid w:val="006A4DCE"/>
    <w:rsid w:val="006A6306"/>
    <w:rsid w:val="006A7E30"/>
    <w:rsid w:val="006B19EA"/>
    <w:rsid w:val="006B1BED"/>
    <w:rsid w:val="006B2572"/>
    <w:rsid w:val="006B36B4"/>
    <w:rsid w:val="006B374E"/>
    <w:rsid w:val="006B46E6"/>
    <w:rsid w:val="006B4AA0"/>
    <w:rsid w:val="006B4F27"/>
    <w:rsid w:val="006B7250"/>
    <w:rsid w:val="006C00B3"/>
    <w:rsid w:val="006C2798"/>
    <w:rsid w:val="006C2CE9"/>
    <w:rsid w:val="006C4E57"/>
    <w:rsid w:val="006C62F2"/>
    <w:rsid w:val="006C6D94"/>
    <w:rsid w:val="006D011D"/>
    <w:rsid w:val="006D0CB5"/>
    <w:rsid w:val="006D119F"/>
    <w:rsid w:val="006D22AF"/>
    <w:rsid w:val="006E09F7"/>
    <w:rsid w:val="006E1A25"/>
    <w:rsid w:val="006E3184"/>
    <w:rsid w:val="006E46AA"/>
    <w:rsid w:val="006E5FD6"/>
    <w:rsid w:val="006F01FB"/>
    <w:rsid w:val="006F026D"/>
    <w:rsid w:val="006F19E2"/>
    <w:rsid w:val="006F1B6F"/>
    <w:rsid w:val="006F27BB"/>
    <w:rsid w:val="006F35EF"/>
    <w:rsid w:val="006F4E58"/>
    <w:rsid w:val="006F5E2B"/>
    <w:rsid w:val="006F6313"/>
    <w:rsid w:val="006F6491"/>
    <w:rsid w:val="00700116"/>
    <w:rsid w:val="0070139E"/>
    <w:rsid w:val="00701929"/>
    <w:rsid w:val="00701ED1"/>
    <w:rsid w:val="00701F7C"/>
    <w:rsid w:val="00703D5C"/>
    <w:rsid w:val="00704B05"/>
    <w:rsid w:val="007051CB"/>
    <w:rsid w:val="00705D6A"/>
    <w:rsid w:val="00716B43"/>
    <w:rsid w:val="0072637E"/>
    <w:rsid w:val="007266B9"/>
    <w:rsid w:val="00726CD2"/>
    <w:rsid w:val="00730B6B"/>
    <w:rsid w:val="00731F5A"/>
    <w:rsid w:val="007324BB"/>
    <w:rsid w:val="007360F4"/>
    <w:rsid w:val="00737A92"/>
    <w:rsid w:val="0074003B"/>
    <w:rsid w:val="00743218"/>
    <w:rsid w:val="00743679"/>
    <w:rsid w:val="0074450B"/>
    <w:rsid w:val="00745007"/>
    <w:rsid w:val="00745C10"/>
    <w:rsid w:val="00746C50"/>
    <w:rsid w:val="00747C89"/>
    <w:rsid w:val="007504FC"/>
    <w:rsid w:val="00750BA4"/>
    <w:rsid w:val="00751AD5"/>
    <w:rsid w:val="0075437E"/>
    <w:rsid w:val="00756DAB"/>
    <w:rsid w:val="00757AA8"/>
    <w:rsid w:val="00757F6C"/>
    <w:rsid w:val="007625CA"/>
    <w:rsid w:val="00762936"/>
    <w:rsid w:val="0076666F"/>
    <w:rsid w:val="007670CA"/>
    <w:rsid w:val="00767780"/>
    <w:rsid w:val="00770010"/>
    <w:rsid w:val="007705C2"/>
    <w:rsid w:val="00770BF3"/>
    <w:rsid w:val="007713CC"/>
    <w:rsid w:val="00771771"/>
    <w:rsid w:val="00771B4E"/>
    <w:rsid w:val="00771BB3"/>
    <w:rsid w:val="00772E00"/>
    <w:rsid w:val="00772FC1"/>
    <w:rsid w:val="00773B43"/>
    <w:rsid w:val="00775A80"/>
    <w:rsid w:val="00780B93"/>
    <w:rsid w:val="00790C06"/>
    <w:rsid w:val="00792649"/>
    <w:rsid w:val="00792E07"/>
    <w:rsid w:val="007946EB"/>
    <w:rsid w:val="00794B40"/>
    <w:rsid w:val="00796A1E"/>
    <w:rsid w:val="007A14C9"/>
    <w:rsid w:val="007A25C0"/>
    <w:rsid w:val="007A2CB3"/>
    <w:rsid w:val="007A3DD1"/>
    <w:rsid w:val="007A7673"/>
    <w:rsid w:val="007B0DC7"/>
    <w:rsid w:val="007B169D"/>
    <w:rsid w:val="007B2E0B"/>
    <w:rsid w:val="007B40FD"/>
    <w:rsid w:val="007B7468"/>
    <w:rsid w:val="007C1A53"/>
    <w:rsid w:val="007C2A3F"/>
    <w:rsid w:val="007C31FC"/>
    <w:rsid w:val="007C4576"/>
    <w:rsid w:val="007C4E44"/>
    <w:rsid w:val="007C565A"/>
    <w:rsid w:val="007C647C"/>
    <w:rsid w:val="007C7554"/>
    <w:rsid w:val="007C7BDA"/>
    <w:rsid w:val="007C7C88"/>
    <w:rsid w:val="007D05A5"/>
    <w:rsid w:val="007D0C8A"/>
    <w:rsid w:val="007D2915"/>
    <w:rsid w:val="007D7B78"/>
    <w:rsid w:val="007E0B75"/>
    <w:rsid w:val="007E0C2F"/>
    <w:rsid w:val="007E223A"/>
    <w:rsid w:val="007E2BE8"/>
    <w:rsid w:val="007E434A"/>
    <w:rsid w:val="007F1007"/>
    <w:rsid w:val="007F3FCD"/>
    <w:rsid w:val="007F409A"/>
    <w:rsid w:val="007F57DE"/>
    <w:rsid w:val="007F65BD"/>
    <w:rsid w:val="00801158"/>
    <w:rsid w:val="008020FF"/>
    <w:rsid w:val="0080253B"/>
    <w:rsid w:val="00804847"/>
    <w:rsid w:val="00807C2C"/>
    <w:rsid w:val="008214FC"/>
    <w:rsid w:val="008219C5"/>
    <w:rsid w:val="008229EF"/>
    <w:rsid w:val="008232F2"/>
    <w:rsid w:val="00823C9E"/>
    <w:rsid w:val="00824F3F"/>
    <w:rsid w:val="00825AF3"/>
    <w:rsid w:val="00825EF8"/>
    <w:rsid w:val="00825F60"/>
    <w:rsid w:val="008318F4"/>
    <w:rsid w:val="00835723"/>
    <w:rsid w:val="00835B9F"/>
    <w:rsid w:val="008371B3"/>
    <w:rsid w:val="0084073B"/>
    <w:rsid w:val="0084161E"/>
    <w:rsid w:val="0084349F"/>
    <w:rsid w:val="00843CC4"/>
    <w:rsid w:val="00845AF5"/>
    <w:rsid w:val="00846C05"/>
    <w:rsid w:val="00847490"/>
    <w:rsid w:val="00850027"/>
    <w:rsid w:val="008564C7"/>
    <w:rsid w:val="0086095C"/>
    <w:rsid w:val="00860D56"/>
    <w:rsid w:val="00861D59"/>
    <w:rsid w:val="008621C2"/>
    <w:rsid w:val="008645AD"/>
    <w:rsid w:val="00865F7D"/>
    <w:rsid w:val="008660AC"/>
    <w:rsid w:val="00866A1D"/>
    <w:rsid w:val="0086702B"/>
    <w:rsid w:val="0086747D"/>
    <w:rsid w:val="00870040"/>
    <w:rsid w:val="00872568"/>
    <w:rsid w:val="00873239"/>
    <w:rsid w:val="00874626"/>
    <w:rsid w:val="0087597D"/>
    <w:rsid w:val="008759D7"/>
    <w:rsid w:val="00875A19"/>
    <w:rsid w:val="00876070"/>
    <w:rsid w:val="00881735"/>
    <w:rsid w:val="00881F36"/>
    <w:rsid w:val="008827E7"/>
    <w:rsid w:val="008836FB"/>
    <w:rsid w:val="0088374A"/>
    <w:rsid w:val="00885832"/>
    <w:rsid w:val="00890486"/>
    <w:rsid w:val="008907F5"/>
    <w:rsid w:val="00890ED6"/>
    <w:rsid w:val="0089267F"/>
    <w:rsid w:val="00893EE9"/>
    <w:rsid w:val="008957F2"/>
    <w:rsid w:val="0089786F"/>
    <w:rsid w:val="008A06B4"/>
    <w:rsid w:val="008A0D8B"/>
    <w:rsid w:val="008A1185"/>
    <w:rsid w:val="008A2199"/>
    <w:rsid w:val="008A29D1"/>
    <w:rsid w:val="008A2D6A"/>
    <w:rsid w:val="008A3070"/>
    <w:rsid w:val="008A31D9"/>
    <w:rsid w:val="008A5273"/>
    <w:rsid w:val="008A64A3"/>
    <w:rsid w:val="008B168C"/>
    <w:rsid w:val="008B3163"/>
    <w:rsid w:val="008B51F3"/>
    <w:rsid w:val="008C073A"/>
    <w:rsid w:val="008C1135"/>
    <w:rsid w:val="008C7497"/>
    <w:rsid w:val="008D356A"/>
    <w:rsid w:val="008D4EA6"/>
    <w:rsid w:val="008D76B9"/>
    <w:rsid w:val="008D7F7C"/>
    <w:rsid w:val="008E2AC0"/>
    <w:rsid w:val="008E393B"/>
    <w:rsid w:val="008E465C"/>
    <w:rsid w:val="008F4AA1"/>
    <w:rsid w:val="008F51B0"/>
    <w:rsid w:val="008F6E98"/>
    <w:rsid w:val="008F75C5"/>
    <w:rsid w:val="009022F4"/>
    <w:rsid w:val="0090338E"/>
    <w:rsid w:val="00906A72"/>
    <w:rsid w:val="00907A50"/>
    <w:rsid w:val="00910D4D"/>
    <w:rsid w:val="00911A8B"/>
    <w:rsid w:val="009143EA"/>
    <w:rsid w:val="009157C2"/>
    <w:rsid w:val="00916E4C"/>
    <w:rsid w:val="00920EE6"/>
    <w:rsid w:val="00920FE0"/>
    <w:rsid w:val="009212DA"/>
    <w:rsid w:val="00921681"/>
    <w:rsid w:val="00922B8C"/>
    <w:rsid w:val="00924224"/>
    <w:rsid w:val="00924910"/>
    <w:rsid w:val="009409A5"/>
    <w:rsid w:val="00943C1B"/>
    <w:rsid w:val="00945218"/>
    <w:rsid w:val="00946B24"/>
    <w:rsid w:val="00951362"/>
    <w:rsid w:val="00953186"/>
    <w:rsid w:val="009545A6"/>
    <w:rsid w:val="00955F5E"/>
    <w:rsid w:val="00956640"/>
    <w:rsid w:val="0096027C"/>
    <w:rsid w:val="00961914"/>
    <w:rsid w:val="00963F60"/>
    <w:rsid w:val="00971750"/>
    <w:rsid w:val="0097278D"/>
    <w:rsid w:val="0098016D"/>
    <w:rsid w:val="009859F1"/>
    <w:rsid w:val="00985D2D"/>
    <w:rsid w:val="009878E1"/>
    <w:rsid w:val="00991950"/>
    <w:rsid w:val="00992EFC"/>
    <w:rsid w:val="009933AD"/>
    <w:rsid w:val="0099384F"/>
    <w:rsid w:val="00996413"/>
    <w:rsid w:val="009966F4"/>
    <w:rsid w:val="00996BFD"/>
    <w:rsid w:val="00996E0C"/>
    <w:rsid w:val="00997834"/>
    <w:rsid w:val="009A2690"/>
    <w:rsid w:val="009A2A76"/>
    <w:rsid w:val="009A38C1"/>
    <w:rsid w:val="009A4D30"/>
    <w:rsid w:val="009B0E47"/>
    <w:rsid w:val="009B1318"/>
    <w:rsid w:val="009B2F26"/>
    <w:rsid w:val="009B34BF"/>
    <w:rsid w:val="009B539C"/>
    <w:rsid w:val="009C1143"/>
    <w:rsid w:val="009C1FB7"/>
    <w:rsid w:val="009C4701"/>
    <w:rsid w:val="009D1343"/>
    <w:rsid w:val="009D1626"/>
    <w:rsid w:val="009D1E1F"/>
    <w:rsid w:val="009D4F3B"/>
    <w:rsid w:val="009D54AF"/>
    <w:rsid w:val="009D5F52"/>
    <w:rsid w:val="009D75D9"/>
    <w:rsid w:val="009E0C94"/>
    <w:rsid w:val="009E2586"/>
    <w:rsid w:val="009E3380"/>
    <w:rsid w:val="009E4FCF"/>
    <w:rsid w:val="009E73DE"/>
    <w:rsid w:val="009F3733"/>
    <w:rsid w:val="009F4039"/>
    <w:rsid w:val="009F489F"/>
    <w:rsid w:val="009F4E87"/>
    <w:rsid w:val="009F5C99"/>
    <w:rsid w:val="009F6662"/>
    <w:rsid w:val="009F6AF0"/>
    <w:rsid w:val="00A0339C"/>
    <w:rsid w:val="00A04123"/>
    <w:rsid w:val="00A04548"/>
    <w:rsid w:val="00A04EA5"/>
    <w:rsid w:val="00A074B8"/>
    <w:rsid w:val="00A077DE"/>
    <w:rsid w:val="00A10114"/>
    <w:rsid w:val="00A1153A"/>
    <w:rsid w:val="00A11A98"/>
    <w:rsid w:val="00A126C7"/>
    <w:rsid w:val="00A13906"/>
    <w:rsid w:val="00A14440"/>
    <w:rsid w:val="00A14865"/>
    <w:rsid w:val="00A20134"/>
    <w:rsid w:val="00A212D6"/>
    <w:rsid w:val="00A2194A"/>
    <w:rsid w:val="00A23FDC"/>
    <w:rsid w:val="00A2470A"/>
    <w:rsid w:val="00A2522D"/>
    <w:rsid w:val="00A257AD"/>
    <w:rsid w:val="00A25FA6"/>
    <w:rsid w:val="00A26A08"/>
    <w:rsid w:val="00A345F9"/>
    <w:rsid w:val="00A3487C"/>
    <w:rsid w:val="00A37BBA"/>
    <w:rsid w:val="00A37DB6"/>
    <w:rsid w:val="00A40F3B"/>
    <w:rsid w:val="00A41306"/>
    <w:rsid w:val="00A45878"/>
    <w:rsid w:val="00A466F6"/>
    <w:rsid w:val="00A470C4"/>
    <w:rsid w:val="00A47BF6"/>
    <w:rsid w:val="00A51E0B"/>
    <w:rsid w:val="00A56AF7"/>
    <w:rsid w:val="00A56DA0"/>
    <w:rsid w:val="00A6141D"/>
    <w:rsid w:val="00A623D9"/>
    <w:rsid w:val="00A63A97"/>
    <w:rsid w:val="00A649FA"/>
    <w:rsid w:val="00A7180E"/>
    <w:rsid w:val="00A71B2E"/>
    <w:rsid w:val="00A72166"/>
    <w:rsid w:val="00A732C3"/>
    <w:rsid w:val="00A73843"/>
    <w:rsid w:val="00A73C81"/>
    <w:rsid w:val="00A80DCA"/>
    <w:rsid w:val="00A819C6"/>
    <w:rsid w:val="00A81A3C"/>
    <w:rsid w:val="00A82208"/>
    <w:rsid w:val="00A82671"/>
    <w:rsid w:val="00A83DD1"/>
    <w:rsid w:val="00A840B8"/>
    <w:rsid w:val="00A87125"/>
    <w:rsid w:val="00A90A9E"/>
    <w:rsid w:val="00A913E6"/>
    <w:rsid w:val="00A91DE9"/>
    <w:rsid w:val="00A91E08"/>
    <w:rsid w:val="00A93ABE"/>
    <w:rsid w:val="00A9420E"/>
    <w:rsid w:val="00A95D5C"/>
    <w:rsid w:val="00A9667F"/>
    <w:rsid w:val="00A9685F"/>
    <w:rsid w:val="00AA06B9"/>
    <w:rsid w:val="00AA06E6"/>
    <w:rsid w:val="00AA0817"/>
    <w:rsid w:val="00AA1821"/>
    <w:rsid w:val="00AA30DF"/>
    <w:rsid w:val="00AA4E2E"/>
    <w:rsid w:val="00AA6EB0"/>
    <w:rsid w:val="00AA7E82"/>
    <w:rsid w:val="00AB1C6B"/>
    <w:rsid w:val="00AB405F"/>
    <w:rsid w:val="00AB40C5"/>
    <w:rsid w:val="00AB4D37"/>
    <w:rsid w:val="00AB505F"/>
    <w:rsid w:val="00AB5919"/>
    <w:rsid w:val="00AB5A3B"/>
    <w:rsid w:val="00AB5F0B"/>
    <w:rsid w:val="00AB624F"/>
    <w:rsid w:val="00AC27EA"/>
    <w:rsid w:val="00AC288A"/>
    <w:rsid w:val="00AC4E81"/>
    <w:rsid w:val="00AC5E0C"/>
    <w:rsid w:val="00AD007C"/>
    <w:rsid w:val="00AD0A4E"/>
    <w:rsid w:val="00AD1073"/>
    <w:rsid w:val="00AD24F8"/>
    <w:rsid w:val="00AD2535"/>
    <w:rsid w:val="00AD7511"/>
    <w:rsid w:val="00AE1CBD"/>
    <w:rsid w:val="00AE4253"/>
    <w:rsid w:val="00AE48DC"/>
    <w:rsid w:val="00AE5432"/>
    <w:rsid w:val="00AE5CFF"/>
    <w:rsid w:val="00AF365D"/>
    <w:rsid w:val="00AF51CB"/>
    <w:rsid w:val="00AF54A0"/>
    <w:rsid w:val="00AF55CA"/>
    <w:rsid w:val="00AF6008"/>
    <w:rsid w:val="00AF6630"/>
    <w:rsid w:val="00AF6F1F"/>
    <w:rsid w:val="00AF716A"/>
    <w:rsid w:val="00AF758D"/>
    <w:rsid w:val="00AF75B4"/>
    <w:rsid w:val="00AF7627"/>
    <w:rsid w:val="00AF7A18"/>
    <w:rsid w:val="00AF7F03"/>
    <w:rsid w:val="00B0176B"/>
    <w:rsid w:val="00B02287"/>
    <w:rsid w:val="00B02F54"/>
    <w:rsid w:val="00B06838"/>
    <w:rsid w:val="00B07C58"/>
    <w:rsid w:val="00B120A2"/>
    <w:rsid w:val="00B148C5"/>
    <w:rsid w:val="00B14A6B"/>
    <w:rsid w:val="00B17E29"/>
    <w:rsid w:val="00B217AF"/>
    <w:rsid w:val="00B22A51"/>
    <w:rsid w:val="00B233CC"/>
    <w:rsid w:val="00B23471"/>
    <w:rsid w:val="00B234DA"/>
    <w:rsid w:val="00B24304"/>
    <w:rsid w:val="00B25CB8"/>
    <w:rsid w:val="00B3037B"/>
    <w:rsid w:val="00B31209"/>
    <w:rsid w:val="00B31E6A"/>
    <w:rsid w:val="00B32962"/>
    <w:rsid w:val="00B3700A"/>
    <w:rsid w:val="00B37EB4"/>
    <w:rsid w:val="00B43B8F"/>
    <w:rsid w:val="00B4414D"/>
    <w:rsid w:val="00B45A9B"/>
    <w:rsid w:val="00B47EAC"/>
    <w:rsid w:val="00B51105"/>
    <w:rsid w:val="00B517A6"/>
    <w:rsid w:val="00B5357A"/>
    <w:rsid w:val="00B53B30"/>
    <w:rsid w:val="00B5594C"/>
    <w:rsid w:val="00B57FE9"/>
    <w:rsid w:val="00B63865"/>
    <w:rsid w:val="00B67E67"/>
    <w:rsid w:val="00B74FE4"/>
    <w:rsid w:val="00B756D1"/>
    <w:rsid w:val="00B7665C"/>
    <w:rsid w:val="00B8248A"/>
    <w:rsid w:val="00B85B8E"/>
    <w:rsid w:val="00B85C88"/>
    <w:rsid w:val="00B86AFB"/>
    <w:rsid w:val="00B87F93"/>
    <w:rsid w:val="00B9302E"/>
    <w:rsid w:val="00B931A3"/>
    <w:rsid w:val="00B944C4"/>
    <w:rsid w:val="00B94B4F"/>
    <w:rsid w:val="00B95C21"/>
    <w:rsid w:val="00B964A1"/>
    <w:rsid w:val="00BA3555"/>
    <w:rsid w:val="00BA6FC0"/>
    <w:rsid w:val="00BA77A5"/>
    <w:rsid w:val="00BB01AA"/>
    <w:rsid w:val="00BB41FF"/>
    <w:rsid w:val="00BB60BA"/>
    <w:rsid w:val="00BB6D29"/>
    <w:rsid w:val="00BB7716"/>
    <w:rsid w:val="00BC06F4"/>
    <w:rsid w:val="00BC0BF4"/>
    <w:rsid w:val="00BC18D0"/>
    <w:rsid w:val="00BC24A4"/>
    <w:rsid w:val="00BC27C4"/>
    <w:rsid w:val="00BC2B2C"/>
    <w:rsid w:val="00BC4E68"/>
    <w:rsid w:val="00BC52BB"/>
    <w:rsid w:val="00BC5718"/>
    <w:rsid w:val="00BC7E4E"/>
    <w:rsid w:val="00BD637B"/>
    <w:rsid w:val="00BD6BCB"/>
    <w:rsid w:val="00BD70DD"/>
    <w:rsid w:val="00BD7B45"/>
    <w:rsid w:val="00BD7D53"/>
    <w:rsid w:val="00BE006E"/>
    <w:rsid w:val="00BE106F"/>
    <w:rsid w:val="00BE1544"/>
    <w:rsid w:val="00BE3469"/>
    <w:rsid w:val="00BE350F"/>
    <w:rsid w:val="00BE4CA2"/>
    <w:rsid w:val="00BE6197"/>
    <w:rsid w:val="00BF069C"/>
    <w:rsid w:val="00BF1200"/>
    <w:rsid w:val="00BF5B4C"/>
    <w:rsid w:val="00BF6BFB"/>
    <w:rsid w:val="00C0131A"/>
    <w:rsid w:val="00C017CB"/>
    <w:rsid w:val="00C01CB8"/>
    <w:rsid w:val="00C05CFF"/>
    <w:rsid w:val="00C0615D"/>
    <w:rsid w:val="00C076CE"/>
    <w:rsid w:val="00C07AF7"/>
    <w:rsid w:val="00C07B26"/>
    <w:rsid w:val="00C11559"/>
    <w:rsid w:val="00C11656"/>
    <w:rsid w:val="00C1189C"/>
    <w:rsid w:val="00C135D2"/>
    <w:rsid w:val="00C1651D"/>
    <w:rsid w:val="00C178A6"/>
    <w:rsid w:val="00C17FDE"/>
    <w:rsid w:val="00C20DDB"/>
    <w:rsid w:val="00C210B6"/>
    <w:rsid w:val="00C22755"/>
    <w:rsid w:val="00C227AB"/>
    <w:rsid w:val="00C22E1E"/>
    <w:rsid w:val="00C23660"/>
    <w:rsid w:val="00C24C9B"/>
    <w:rsid w:val="00C252A0"/>
    <w:rsid w:val="00C314BC"/>
    <w:rsid w:val="00C31F4A"/>
    <w:rsid w:val="00C3404E"/>
    <w:rsid w:val="00C36CD0"/>
    <w:rsid w:val="00C36D0D"/>
    <w:rsid w:val="00C37163"/>
    <w:rsid w:val="00C434D9"/>
    <w:rsid w:val="00C441D3"/>
    <w:rsid w:val="00C46206"/>
    <w:rsid w:val="00C464E8"/>
    <w:rsid w:val="00C4672D"/>
    <w:rsid w:val="00C46DB3"/>
    <w:rsid w:val="00C474E5"/>
    <w:rsid w:val="00C5465D"/>
    <w:rsid w:val="00C54C2E"/>
    <w:rsid w:val="00C55A4C"/>
    <w:rsid w:val="00C55DE9"/>
    <w:rsid w:val="00C5769E"/>
    <w:rsid w:val="00C63765"/>
    <w:rsid w:val="00C663DA"/>
    <w:rsid w:val="00C67471"/>
    <w:rsid w:val="00C67B8E"/>
    <w:rsid w:val="00C7019C"/>
    <w:rsid w:val="00C70307"/>
    <w:rsid w:val="00C72DA7"/>
    <w:rsid w:val="00C72FA4"/>
    <w:rsid w:val="00C745D5"/>
    <w:rsid w:val="00C74E9D"/>
    <w:rsid w:val="00C77022"/>
    <w:rsid w:val="00C80460"/>
    <w:rsid w:val="00C808D3"/>
    <w:rsid w:val="00C85519"/>
    <w:rsid w:val="00C94609"/>
    <w:rsid w:val="00C954A2"/>
    <w:rsid w:val="00CA0044"/>
    <w:rsid w:val="00CA00E7"/>
    <w:rsid w:val="00CA1199"/>
    <w:rsid w:val="00CA449E"/>
    <w:rsid w:val="00CA60F6"/>
    <w:rsid w:val="00CB3615"/>
    <w:rsid w:val="00CB48EA"/>
    <w:rsid w:val="00CB56B0"/>
    <w:rsid w:val="00CB7675"/>
    <w:rsid w:val="00CB7C3E"/>
    <w:rsid w:val="00CC2A40"/>
    <w:rsid w:val="00CC67CF"/>
    <w:rsid w:val="00CC70E5"/>
    <w:rsid w:val="00CD043E"/>
    <w:rsid w:val="00CD15B7"/>
    <w:rsid w:val="00CD19C7"/>
    <w:rsid w:val="00CD1F25"/>
    <w:rsid w:val="00CD2150"/>
    <w:rsid w:val="00CD2AF7"/>
    <w:rsid w:val="00CD3322"/>
    <w:rsid w:val="00CD4498"/>
    <w:rsid w:val="00CD6757"/>
    <w:rsid w:val="00CD6999"/>
    <w:rsid w:val="00CD7AB5"/>
    <w:rsid w:val="00CD7C2A"/>
    <w:rsid w:val="00CE31F2"/>
    <w:rsid w:val="00CE7761"/>
    <w:rsid w:val="00CF45F7"/>
    <w:rsid w:val="00CF67E4"/>
    <w:rsid w:val="00D00117"/>
    <w:rsid w:val="00D00E60"/>
    <w:rsid w:val="00D0298E"/>
    <w:rsid w:val="00D0407D"/>
    <w:rsid w:val="00D063EB"/>
    <w:rsid w:val="00D12748"/>
    <w:rsid w:val="00D131AE"/>
    <w:rsid w:val="00D1342A"/>
    <w:rsid w:val="00D14442"/>
    <w:rsid w:val="00D16506"/>
    <w:rsid w:val="00D20585"/>
    <w:rsid w:val="00D21732"/>
    <w:rsid w:val="00D2248B"/>
    <w:rsid w:val="00D224E0"/>
    <w:rsid w:val="00D22957"/>
    <w:rsid w:val="00D2390B"/>
    <w:rsid w:val="00D2408E"/>
    <w:rsid w:val="00D262D4"/>
    <w:rsid w:val="00D273EC"/>
    <w:rsid w:val="00D3113D"/>
    <w:rsid w:val="00D31E8C"/>
    <w:rsid w:val="00D323E9"/>
    <w:rsid w:val="00D32C3D"/>
    <w:rsid w:val="00D3559F"/>
    <w:rsid w:val="00D36CC6"/>
    <w:rsid w:val="00D37083"/>
    <w:rsid w:val="00D401B4"/>
    <w:rsid w:val="00D42D9E"/>
    <w:rsid w:val="00D438B2"/>
    <w:rsid w:val="00D447AD"/>
    <w:rsid w:val="00D461B9"/>
    <w:rsid w:val="00D4745D"/>
    <w:rsid w:val="00D5122E"/>
    <w:rsid w:val="00D52B2D"/>
    <w:rsid w:val="00D5368C"/>
    <w:rsid w:val="00D54304"/>
    <w:rsid w:val="00D54FDD"/>
    <w:rsid w:val="00D61550"/>
    <w:rsid w:val="00D61F27"/>
    <w:rsid w:val="00D70D13"/>
    <w:rsid w:val="00D74EB9"/>
    <w:rsid w:val="00D764AB"/>
    <w:rsid w:val="00D76E76"/>
    <w:rsid w:val="00D81B02"/>
    <w:rsid w:val="00D82553"/>
    <w:rsid w:val="00D872B9"/>
    <w:rsid w:val="00D874B9"/>
    <w:rsid w:val="00D9057C"/>
    <w:rsid w:val="00D90ABD"/>
    <w:rsid w:val="00D910AB"/>
    <w:rsid w:val="00D93253"/>
    <w:rsid w:val="00DA543A"/>
    <w:rsid w:val="00DA5C6E"/>
    <w:rsid w:val="00DA704A"/>
    <w:rsid w:val="00DB11D0"/>
    <w:rsid w:val="00DB1CB9"/>
    <w:rsid w:val="00DB2541"/>
    <w:rsid w:val="00DB2AF0"/>
    <w:rsid w:val="00DB2B51"/>
    <w:rsid w:val="00DB5D5E"/>
    <w:rsid w:val="00DB5F56"/>
    <w:rsid w:val="00DB7FC7"/>
    <w:rsid w:val="00DC077C"/>
    <w:rsid w:val="00DC1077"/>
    <w:rsid w:val="00DC28ED"/>
    <w:rsid w:val="00DC3FB3"/>
    <w:rsid w:val="00DD3E57"/>
    <w:rsid w:val="00DD5C65"/>
    <w:rsid w:val="00DD7A57"/>
    <w:rsid w:val="00DD7FC9"/>
    <w:rsid w:val="00DE15B3"/>
    <w:rsid w:val="00DE3232"/>
    <w:rsid w:val="00DE50E7"/>
    <w:rsid w:val="00DE6BE4"/>
    <w:rsid w:val="00DF2309"/>
    <w:rsid w:val="00DF7186"/>
    <w:rsid w:val="00E00577"/>
    <w:rsid w:val="00E0150B"/>
    <w:rsid w:val="00E03666"/>
    <w:rsid w:val="00E04029"/>
    <w:rsid w:val="00E048E1"/>
    <w:rsid w:val="00E0498B"/>
    <w:rsid w:val="00E05536"/>
    <w:rsid w:val="00E0618D"/>
    <w:rsid w:val="00E068C4"/>
    <w:rsid w:val="00E06BB1"/>
    <w:rsid w:val="00E06F70"/>
    <w:rsid w:val="00E105D7"/>
    <w:rsid w:val="00E107EF"/>
    <w:rsid w:val="00E109D0"/>
    <w:rsid w:val="00E120A7"/>
    <w:rsid w:val="00E129D3"/>
    <w:rsid w:val="00E13B94"/>
    <w:rsid w:val="00E144F3"/>
    <w:rsid w:val="00E15B75"/>
    <w:rsid w:val="00E17337"/>
    <w:rsid w:val="00E17553"/>
    <w:rsid w:val="00E24074"/>
    <w:rsid w:val="00E27B4B"/>
    <w:rsid w:val="00E32CAD"/>
    <w:rsid w:val="00E33184"/>
    <w:rsid w:val="00E33667"/>
    <w:rsid w:val="00E36E26"/>
    <w:rsid w:val="00E37B0F"/>
    <w:rsid w:val="00E411F1"/>
    <w:rsid w:val="00E41FE2"/>
    <w:rsid w:val="00E4266E"/>
    <w:rsid w:val="00E431A7"/>
    <w:rsid w:val="00E43354"/>
    <w:rsid w:val="00E44516"/>
    <w:rsid w:val="00E44C51"/>
    <w:rsid w:val="00E4606F"/>
    <w:rsid w:val="00E53B1E"/>
    <w:rsid w:val="00E56FF7"/>
    <w:rsid w:val="00E57726"/>
    <w:rsid w:val="00E60294"/>
    <w:rsid w:val="00E62838"/>
    <w:rsid w:val="00E62A95"/>
    <w:rsid w:val="00E62E4D"/>
    <w:rsid w:val="00E63479"/>
    <w:rsid w:val="00E65310"/>
    <w:rsid w:val="00E67532"/>
    <w:rsid w:val="00E74277"/>
    <w:rsid w:val="00E74437"/>
    <w:rsid w:val="00E74508"/>
    <w:rsid w:val="00E761E4"/>
    <w:rsid w:val="00E76804"/>
    <w:rsid w:val="00E76E64"/>
    <w:rsid w:val="00E779B2"/>
    <w:rsid w:val="00E77E00"/>
    <w:rsid w:val="00E77E74"/>
    <w:rsid w:val="00E8002B"/>
    <w:rsid w:val="00E80E8B"/>
    <w:rsid w:val="00E81609"/>
    <w:rsid w:val="00E81AD8"/>
    <w:rsid w:val="00E8216E"/>
    <w:rsid w:val="00E8398A"/>
    <w:rsid w:val="00E83F90"/>
    <w:rsid w:val="00E85A18"/>
    <w:rsid w:val="00E85B93"/>
    <w:rsid w:val="00E92950"/>
    <w:rsid w:val="00E93167"/>
    <w:rsid w:val="00E93C54"/>
    <w:rsid w:val="00E96037"/>
    <w:rsid w:val="00E9648D"/>
    <w:rsid w:val="00E977E2"/>
    <w:rsid w:val="00EA13BE"/>
    <w:rsid w:val="00EA37C2"/>
    <w:rsid w:val="00EA3850"/>
    <w:rsid w:val="00EA4299"/>
    <w:rsid w:val="00EA4410"/>
    <w:rsid w:val="00EB143A"/>
    <w:rsid w:val="00EB22EC"/>
    <w:rsid w:val="00EB3DC3"/>
    <w:rsid w:val="00EB46F0"/>
    <w:rsid w:val="00EB501E"/>
    <w:rsid w:val="00EB59CB"/>
    <w:rsid w:val="00EB692F"/>
    <w:rsid w:val="00EB7EBD"/>
    <w:rsid w:val="00EB7EE0"/>
    <w:rsid w:val="00EC0C6E"/>
    <w:rsid w:val="00EC1076"/>
    <w:rsid w:val="00EC4C5C"/>
    <w:rsid w:val="00EC4F9F"/>
    <w:rsid w:val="00EC5130"/>
    <w:rsid w:val="00EC70CF"/>
    <w:rsid w:val="00EC7D58"/>
    <w:rsid w:val="00ED15EC"/>
    <w:rsid w:val="00ED1A07"/>
    <w:rsid w:val="00ED2A40"/>
    <w:rsid w:val="00EE1F53"/>
    <w:rsid w:val="00EE2824"/>
    <w:rsid w:val="00EF0CE6"/>
    <w:rsid w:val="00EF1EBB"/>
    <w:rsid w:val="00EF4A91"/>
    <w:rsid w:val="00F00272"/>
    <w:rsid w:val="00F01276"/>
    <w:rsid w:val="00F01B24"/>
    <w:rsid w:val="00F0351C"/>
    <w:rsid w:val="00F04B04"/>
    <w:rsid w:val="00F057B4"/>
    <w:rsid w:val="00F07A95"/>
    <w:rsid w:val="00F07E0A"/>
    <w:rsid w:val="00F12614"/>
    <w:rsid w:val="00F13FC8"/>
    <w:rsid w:val="00F14BC4"/>
    <w:rsid w:val="00F16438"/>
    <w:rsid w:val="00F1722A"/>
    <w:rsid w:val="00F17ABA"/>
    <w:rsid w:val="00F21E1C"/>
    <w:rsid w:val="00F21EC5"/>
    <w:rsid w:val="00F23106"/>
    <w:rsid w:val="00F2459E"/>
    <w:rsid w:val="00F25666"/>
    <w:rsid w:val="00F25EBD"/>
    <w:rsid w:val="00F26E46"/>
    <w:rsid w:val="00F32553"/>
    <w:rsid w:val="00F34CE5"/>
    <w:rsid w:val="00F37653"/>
    <w:rsid w:val="00F40E33"/>
    <w:rsid w:val="00F417C6"/>
    <w:rsid w:val="00F41D7B"/>
    <w:rsid w:val="00F42754"/>
    <w:rsid w:val="00F5386C"/>
    <w:rsid w:val="00F55C7C"/>
    <w:rsid w:val="00F62736"/>
    <w:rsid w:val="00F62F92"/>
    <w:rsid w:val="00F658FC"/>
    <w:rsid w:val="00F70ED8"/>
    <w:rsid w:val="00F71684"/>
    <w:rsid w:val="00F751A4"/>
    <w:rsid w:val="00F75957"/>
    <w:rsid w:val="00F77F7F"/>
    <w:rsid w:val="00F8008B"/>
    <w:rsid w:val="00F80594"/>
    <w:rsid w:val="00F81AEA"/>
    <w:rsid w:val="00F82846"/>
    <w:rsid w:val="00F82CF0"/>
    <w:rsid w:val="00F83608"/>
    <w:rsid w:val="00F85752"/>
    <w:rsid w:val="00F90285"/>
    <w:rsid w:val="00F909F2"/>
    <w:rsid w:val="00F90B89"/>
    <w:rsid w:val="00F949C3"/>
    <w:rsid w:val="00F95618"/>
    <w:rsid w:val="00F974FF"/>
    <w:rsid w:val="00FA145E"/>
    <w:rsid w:val="00FB060D"/>
    <w:rsid w:val="00FB06C0"/>
    <w:rsid w:val="00FB228C"/>
    <w:rsid w:val="00FB264C"/>
    <w:rsid w:val="00FB34F4"/>
    <w:rsid w:val="00FB3C54"/>
    <w:rsid w:val="00FB5249"/>
    <w:rsid w:val="00FB73C3"/>
    <w:rsid w:val="00FC0AF1"/>
    <w:rsid w:val="00FC1686"/>
    <w:rsid w:val="00FC61E7"/>
    <w:rsid w:val="00FC6316"/>
    <w:rsid w:val="00FC70CA"/>
    <w:rsid w:val="00FD45C2"/>
    <w:rsid w:val="00FD67AE"/>
    <w:rsid w:val="00FD6B87"/>
    <w:rsid w:val="00FD7152"/>
    <w:rsid w:val="00FE156E"/>
    <w:rsid w:val="00FE41F8"/>
    <w:rsid w:val="00FE56A6"/>
    <w:rsid w:val="00FF0FD8"/>
    <w:rsid w:val="00FF3444"/>
    <w:rsid w:val="00FF44B4"/>
    <w:rsid w:val="00FF4AF2"/>
    <w:rsid w:val="00FF514D"/>
    <w:rsid w:val="00FF6BE5"/>
    <w:rsid w:val="00FF6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2654"/>
    <w:pPr>
      <w:spacing w:line="280" w:lineRule="exact"/>
      <w:jc w:val="both"/>
    </w:pPr>
    <w:rPr>
      <w:rFonts w:ascii="Times New Roman" w:hAnsi="Times New Roman"/>
      <w:sz w:val="22"/>
      <w:szCs w:val="22"/>
      <w:lang w:eastAsia="en-US"/>
    </w:rPr>
  </w:style>
  <w:style w:type="paragraph" w:styleId="Heading1">
    <w:name w:val="heading 1"/>
    <w:basedOn w:val="Normal"/>
    <w:next w:val="Normal"/>
    <w:link w:val="Heading1Char"/>
    <w:uiPriority w:val="9"/>
    <w:qFormat/>
    <w:rsid w:val="00BB7716"/>
    <w:pPr>
      <w:keepNext/>
      <w:keepLines/>
      <w:spacing w:before="240"/>
      <w:outlineLvl w:val="0"/>
    </w:pPr>
    <w:rPr>
      <w:rFonts w:eastAsia="Times New Roman"/>
      <w:b/>
      <w:caps/>
      <w:sz w:val="20"/>
      <w:szCs w:val="32"/>
    </w:rPr>
  </w:style>
  <w:style w:type="paragraph" w:styleId="Heading2">
    <w:name w:val="heading 2"/>
    <w:basedOn w:val="Normal"/>
    <w:next w:val="Normal"/>
    <w:link w:val="Heading2Char"/>
    <w:uiPriority w:val="9"/>
    <w:unhideWhenUsed/>
    <w:qFormat/>
    <w:rsid w:val="00300452"/>
    <w:pPr>
      <w:keepNext/>
      <w:keepLines/>
      <w:spacing w:before="40"/>
      <w:jc w:val="left"/>
      <w:outlineLvl w:val="1"/>
    </w:pPr>
    <w:rPr>
      <w:rFonts w:eastAsia="Times New Roman"/>
      <w:b/>
      <w:szCs w:val="26"/>
    </w:rPr>
  </w:style>
  <w:style w:type="paragraph" w:styleId="Heading3">
    <w:name w:val="heading 3"/>
    <w:basedOn w:val="Normal"/>
    <w:next w:val="Normal"/>
    <w:link w:val="Heading3Char"/>
    <w:uiPriority w:val="9"/>
    <w:unhideWhenUsed/>
    <w:qFormat/>
    <w:rsid w:val="00300452"/>
    <w:pPr>
      <w:keepNext/>
      <w:keepLines/>
      <w:outlineLvl w:val="2"/>
    </w:pPr>
    <w:rPr>
      <w:rFonts w:eastAsia="Times New Roman"/>
      <w:b/>
      <w:i/>
      <w:szCs w:val="24"/>
    </w:rPr>
  </w:style>
  <w:style w:type="paragraph" w:styleId="Heading4">
    <w:name w:val="heading 4"/>
    <w:basedOn w:val="Normal"/>
    <w:next w:val="Normal"/>
    <w:link w:val="Heading4Char"/>
    <w:uiPriority w:val="9"/>
    <w:semiHidden/>
    <w:unhideWhenUsed/>
    <w:rsid w:val="009E0C94"/>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9E0C94"/>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9E0C94"/>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semiHidden/>
    <w:unhideWhenUsed/>
    <w:qFormat/>
    <w:rsid w:val="009E0C94"/>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rsid w:val="009E0C94"/>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9E0C94"/>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544"/>
    <w:pPr>
      <w:tabs>
        <w:tab w:val="center" w:pos="4513"/>
        <w:tab w:val="right" w:pos="9026"/>
      </w:tabs>
      <w:spacing w:line="240" w:lineRule="auto"/>
    </w:pPr>
  </w:style>
  <w:style w:type="character" w:customStyle="1" w:styleId="HeaderChar">
    <w:name w:val="Header Char"/>
    <w:basedOn w:val="DefaultParagraphFont"/>
    <w:link w:val="Header"/>
    <w:uiPriority w:val="99"/>
    <w:rsid w:val="00BE1544"/>
  </w:style>
  <w:style w:type="paragraph" w:styleId="Footer">
    <w:name w:val="footer"/>
    <w:basedOn w:val="Normal"/>
    <w:link w:val="FooterChar"/>
    <w:uiPriority w:val="99"/>
    <w:unhideWhenUsed/>
    <w:rsid w:val="00BE1544"/>
    <w:pPr>
      <w:tabs>
        <w:tab w:val="center" w:pos="4513"/>
        <w:tab w:val="right" w:pos="9026"/>
      </w:tabs>
      <w:spacing w:line="240" w:lineRule="auto"/>
    </w:pPr>
  </w:style>
  <w:style w:type="character" w:customStyle="1" w:styleId="FooterChar">
    <w:name w:val="Footer Char"/>
    <w:basedOn w:val="DefaultParagraphFont"/>
    <w:link w:val="Footer"/>
    <w:uiPriority w:val="99"/>
    <w:rsid w:val="00BE1544"/>
  </w:style>
  <w:style w:type="paragraph" w:customStyle="1" w:styleId="ResearchTitle">
    <w:name w:val="Research Title"/>
    <w:basedOn w:val="Normal"/>
    <w:link w:val="ResearchTitleChar"/>
    <w:rsid w:val="008A1185"/>
    <w:rPr>
      <w:b/>
      <w:caps/>
      <w:color w:val="538135"/>
      <w:sz w:val="24"/>
    </w:rPr>
  </w:style>
  <w:style w:type="paragraph" w:customStyle="1" w:styleId="ReseachMainHeading">
    <w:name w:val="Reseach Main Heading"/>
    <w:basedOn w:val="ResearchTitle"/>
    <w:link w:val="ReseachMainHeadingChar"/>
    <w:rsid w:val="005E068D"/>
    <w:rPr>
      <w:sz w:val="22"/>
    </w:rPr>
  </w:style>
  <w:style w:type="character" w:customStyle="1" w:styleId="ResearchTitleChar">
    <w:name w:val="Research Title Char"/>
    <w:link w:val="ResearchTitle"/>
    <w:rsid w:val="008A1185"/>
    <w:rPr>
      <w:rFonts w:ascii="Arial" w:hAnsi="Arial"/>
      <w:b/>
      <w:caps/>
      <w:color w:val="538135"/>
      <w:sz w:val="24"/>
    </w:rPr>
  </w:style>
  <w:style w:type="paragraph" w:customStyle="1" w:styleId="ResearchSubheading">
    <w:name w:val="Research Sub heading"/>
    <w:basedOn w:val="ReseachMainHeading"/>
    <w:link w:val="ResearchSubheadingChar"/>
    <w:rsid w:val="005E068D"/>
    <w:rPr>
      <w:b w:val="0"/>
      <w:caps w:val="0"/>
    </w:rPr>
  </w:style>
  <w:style w:type="character" w:customStyle="1" w:styleId="ReseachMainHeadingChar">
    <w:name w:val="Reseach Main Heading Char"/>
    <w:link w:val="ReseachMainHeading"/>
    <w:rsid w:val="005E068D"/>
    <w:rPr>
      <w:rFonts w:ascii="Arial" w:hAnsi="Arial"/>
      <w:b/>
      <w:caps/>
      <w:color w:val="538135"/>
      <w:sz w:val="24"/>
    </w:rPr>
  </w:style>
  <w:style w:type="character" w:customStyle="1" w:styleId="Heading1Char">
    <w:name w:val="Heading 1 Char"/>
    <w:link w:val="Heading1"/>
    <w:uiPriority w:val="9"/>
    <w:rsid w:val="00BB7716"/>
    <w:rPr>
      <w:rFonts w:ascii="Arial" w:eastAsia="Times New Roman" w:hAnsi="Arial"/>
      <w:b/>
      <w:caps/>
      <w:szCs w:val="32"/>
      <w:lang w:eastAsia="en-US"/>
    </w:rPr>
  </w:style>
  <w:style w:type="character" w:customStyle="1" w:styleId="ResearchSubheadingChar">
    <w:name w:val="Research Sub heading Char"/>
    <w:link w:val="ResearchSubheading"/>
    <w:rsid w:val="005E068D"/>
    <w:rPr>
      <w:rFonts w:ascii="Arial" w:hAnsi="Arial"/>
      <w:b w:val="0"/>
      <w:caps w:val="0"/>
      <w:color w:val="538135"/>
      <w:sz w:val="24"/>
    </w:rPr>
  </w:style>
  <w:style w:type="paragraph" w:styleId="TOCHeading">
    <w:name w:val="TOC Heading"/>
    <w:basedOn w:val="Heading1"/>
    <w:next w:val="Normal"/>
    <w:uiPriority w:val="39"/>
    <w:unhideWhenUsed/>
    <w:qFormat/>
    <w:rsid w:val="00052B47"/>
    <w:pPr>
      <w:outlineLvl w:val="9"/>
    </w:pPr>
    <w:rPr>
      <w:caps w:val="0"/>
      <w:color w:val="000000"/>
      <w:lang w:val="en-US"/>
    </w:rPr>
  </w:style>
  <w:style w:type="paragraph" w:styleId="TOC1">
    <w:name w:val="toc 1"/>
    <w:basedOn w:val="Normal"/>
    <w:next w:val="Normal"/>
    <w:autoRedefine/>
    <w:uiPriority w:val="39"/>
    <w:unhideWhenUsed/>
    <w:qFormat/>
    <w:rsid w:val="00BB7716"/>
    <w:pPr>
      <w:tabs>
        <w:tab w:val="left" w:pos="442"/>
        <w:tab w:val="right" w:leader="dot" w:pos="9016"/>
      </w:tabs>
      <w:spacing w:line="240" w:lineRule="exact"/>
    </w:pPr>
    <w:rPr>
      <w:b/>
      <w:caps/>
      <w:color w:val="000000"/>
      <w:sz w:val="20"/>
    </w:rPr>
  </w:style>
  <w:style w:type="character" w:styleId="Hyperlink">
    <w:name w:val="Hyperlink"/>
    <w:uiPriority w:val="99"/>
    <w:unhideWhenUsed/>
    <w:rsid w:val="005E068D"/>
    <w:rPr>
      <w:color w:val="0563C1"/>
      <w:u w:val="single"/>
    </w:rPr>
  </w:style>
  <w:style w:type="paragraph" w:styleId="ListParagraph">
    <w:name w:val="List Paragraph"/>
    <w:basedOn w:val="Normal"/>
    <w:uiPriority w:val="34"/>
    <w:qFormat/>
    <w:rsid w:val="005E068D"/>
    <w:pPr>
      <w:ind w:left="720"/>
      <w:contextualSpacing/>
    </w:pPr>
  </w:style>
  <w:style w:type="character" w:customStyle="1" w:styleId="Heading2Char">
    <w:name w:val="Heading 2 Char"/>
    <w:link w:val="Heading2"/>
    <w:uiPriority w:val="9"/>
    <w:rsid w:val="00300452"/>
    <w:rPr>
      <w:rFonts w:ascii="Times New Roman" w:eastAsia="Times New Roman" w:hAnsi="Times New Roman"/>
      <w:b/>
      <w:sz w:val="22"/>
      <w:szCs w:val="26"/>
      <w:lang w:eastAsia="en-US"/>
    </w:rPr>
  </w:style>
  <w:style w:type="paragraph" w:styleId="TOC2">
    <w:name w:val="toc 2"/>
    <w:basedOn w:val="Normal"/>
    <w:next w:val="Normal"/>
    <w:autoRedefine/>
    <w:uiPriority w:val="39"/>
    <w:unhideWhenUsed/>
    <w:rsid w:val="00B31E6A"/>
    <w:pPr>
      <w:spacing w:line="240" w:lineRule="exact"/>
      <w:ind w:left="221"/>
    </w:pPr>
    <w:rPr>
      <w:sz w:val="20"/>
    </w:rPr>
  </w:style>
  <w:style w:type="paragraph" w:styleId="TOC3">
    <w:name w:val="toc 3"/>
    <w:basedOn w:val="Normal"/>
    <w:next w:val="Normal"/>
    <w:link w:val="TOC3Char"/>
    <w:autoRedefine/>
    <w:uiPriority w:val="39"/>
    <w:unhideWhenUsed/>
    <w:rsid w:val="00B31E6A"/>
    <w:pPr>
      <w:spacing w:line="240" w:lineRule="exact"/>
      <w:ind w:left="442"/>
    </w:pPr>
    <w:rPr>
      <w:rFonts w:eastAsia="Times New Roman"/>
      <w:sz w:val="20"/>
      <w:lang w:val="en-US"/>
    </w:rPr>
  </w:style>
  <w:style w:type="paragraph" w:styleId="Title">
    <w:name w:val="Title"/>
    <w:basedOn w:val="Normal"/>
    <w:next w:val="Normal"/>
    <w:link w:val="TitleChar"/>
    <w:uiPriority w:val="10"/>
    <w:qFormat/>
    <w:rsid w:val="00495F59"/>
    <w:pPr>
      <w:spacing w:line="240" w:lineRule="auto"/>
      <w:contextualSpacing/>
    </w:pPr>
    <w:rPr>
      <w:rFonts w:eastAsia="Times New Roman"/>
      <w:b/>
      <w:caps/>
      <w:spacing w:val="-10"/>
      <w:kern w:val="28"/>
      <w:sz w:val="24"/>
      <w:szCs w:val="56"/>
    </w:rPr>
  </w:style>
  <w:style w:type="character" w:customStyle="1" w:styleId="TitleChar">
    <w:name w:val="Title Char"/>
    <w:link w:val="Title"/>
    <w:uiPriority w:val="10"/>
    <w:rsid w:val="00495F59"/>
    <w:rPr>
      <w:rFonts w:ascii="Arial" w:eastAsia="Times New Roman" w:hAnsi="Arial"/>
      <w:b/>
      <w:caps/>
      <w:spacing w:val="-10"/>
      <w:kern w:val="28"/>
      <w:sz w:val="24"/>
      <w:szCs w:val="56"/>
      <w:lang w:eastAsia="en-US"/>
    </w:rPr>
  </w:style>
  <w:style w:type="paragraph" w:styleId="Subtitle">
    <w:name w:val="Subtitle"/>
    <w:basedOn w:val="Normal"/>
    <w:next w:val="Normal"/>
    <w:link w:val="SubtitleChar"/>
    <w:uiPriority w:val="11"/>
    <w:rsid w:val="00893EE9"/>
    <w:pPr>
      <w:numPr>
        <w:ilvl w:val="1"/>
      </w:numPr>
    </w:pPr>
    <w:rPr>
      <w:rFonts w:eastAsia="Times New Roman"/>
      <w:color w:val="5A5A5A"/>
      <w:spacing w:val="15"/>
    </w:rPr>
  </w:style>
  <w:style w:type="character" w:customStyle="1" w:styleId="SubtitleChar">
    <w:name w:val="Subtitle Char"/>
    <w:link w:val="Subtitle"/>
    <w:uiPriority w:val="11"/>
    <w:rsid w:val="00893EE9"/>
    <w:rPr>
      <w:rFonts w:eastAsia="Times New Roman"/>
      <w:color w:val="5A5A5A"/>
      <w:spacing w:val="15"/>
    </w:rPr>
  </w:style>
  <w:style w:type="character" w:customStyle="1" w:styleId="Heading3Char">
    <w:name w:val="Heading 3 Char"/>
    <w:link w:val="Heading3"/>
    <w:uiPriority w:val="9"/>
    <w:rsid w:val="00300452"/>
    <w:rPr>
      <w:rFonts w:ascii="Times New Roman" w:eastAsia="Times New Roman" w:hAnsi="Times New Roman"/>
      <w:b/>
      <w:i/>
      <w:sz w:val="22"/>
      <w:szCs w:val="24"/>
      <w:lang w:eastAsia="en-US"/>
    </w:rPr>
  </w:style>
  <w:style w:type="character" w:customStyle="1" w:styleId="Heading4Char">
    <w:name w:val="Heading 4 Char"/>
    <w:link w:val="Heading4"/>
    <w:uiPriority w:val="9"/>
    <w:semiHidden/>
    <w:rsid w:val="009E0C94"/>
    <w:rPr>
      <w:rFonts w:ascii="Calibri Light" w:eastAsia="Times New Roman" w:hAnsi="Calibri Light" w:cs="Times New Roman"/>
      <w:i/>
      <w:iCs/>
      <w:color w:val="2E74B5"/>
    </w:rPr>
  </w:style>
  <w:style w:type="character" w:customStyle="1" w:styleId="Heading5Char">
    <w:name w:val="Heading 5 Char"/>
    <w:link w:val="Heading5"/>
    <w:uiPriority w:val="9"/>
    <w:semiHidden/>
    <w:rsid w:val="009E0C94"/>
    <w:rPr>
      <w:rFonts w:ascii="Calibri Light" w:eastAsia="Times New Roman" w:hAnsi="Calibri Light" w:cs="Times New Roman"/>
      <w:color w:val="2E74B5"/>
    </w:rPr>
  </w:style>
  <w:style w:type="character" w:customStyle="1" w:styleId="Heading6Char">
    <w:name w:val="Heading 6 Char"/>
    <w:link w:val="Heading6"/>
    <w:uiPriority w:val="9"/>
    <w:semiHidden/>
    <w:rsid w:val="009E0C94"/>
    <w:rPr>
      <w:rFonts w:ascii="Calibri Light" w:eastAsia="Times New Roman" w:hAnsi="Calibri Light" w:cs="Times New Roman"/>
      <w:color w:val="1F4D78"/>
    </w:rPr>
  </w:style>
  <w:style w:type="character" w:customStyle="1" w:styleId="Heading7Char">
    <w:name w:val="Heading 7 Char"/>
    <w:link w:val="Heading7"/>
    <w:uiPriority w:val="9"/>
    <w:semiHidden/>
    <w:rsid w:val="009E0C94"/>
    <w:rPr>
      <w:rFonts w:ascii="Calibri Light" w:eastAsia="Times New Roman" w:hAnsi="Calibri Light" w:cs="Times New Roman"/>
      <w:i/>
      <w:iCs/>
      <w:color w:val="1F4D78"/>
    </w:rPr>
  </w:style>
  <w:style w:type="character" w:customStyle="1" w:styleId="Heading8Char">
    <w:name w:val="Heading 8 Char"/>
    <w:link w:val="Heading8"/>
    <w:uiPriority w:val="9"/>
    <w:semiHidden/>
    <w:rsid w:val="009E0C94"/>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9E0C94"/>
    <w:rPr>
      <w:rFonts w:ascii="Calibri Light" w:eastAsia="Times New Roman" w:hAnsi="Calibri Light" w:cs="Times New Roman"/>
      <w:i/>
      <w:iCs/>
      <w:color w:val="272727"/>
      <w:sz w:val="21"/>
      <w:szCs w:val="21"/>
    </w:rPr>
  </w:style>
  <w:style w:type="table" w:styleId="TableGrid">
    <w:name w:val="Table Grid"/>
    <w:basedOn w:val="TableNormal"/>
    <w:uiPriority w:val="39"/>
    <w:rsid w:val="009E0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B9302E"/>
    <w:pPr>
      <w:numPr>
        <w:numId w:val="1"/>
      </w:numPr>
    </w:pPr>
  </w:style>
  <w:style w:type="paragraph" w:styleId="CommentText">
    <w:name w:val="annotation text"/>
    <w:basedOn w:val="Normal"/>
    <w:link w:val="CommentTextChar"/>
    <w:semiHidden/>
    <w:rsid w:val="00052B47"/>
    <w:pPr>
      <w:jc w:val="left"/>
    </w:pPr>
    <w:rPr>
      <w:rFonts w:eastAsia="Times New Roman"/>
      <w:color w:val="000000"/>
      <w:sz w:val="20"/>
      <w:szCs w:val="20"/>
      <w:lang w:val="en-GB" w:eastAsia="en-GB"/>
    </w:rPr>
  </w:style>
  <w:style w:type="character" w:customStyle="1" w:styleId="CommentTextChar">
    <w:name w:val="Comment Text Char"/>
    <w:link w:val="CommentText"/>
    <w:semiHidden/>
    <w:rsid w:val="00052B47"/>
    <w:rPr>
      <w:rFonts w:ascii="Arial" w:eastAsia="Times New Roman" w:hAnsi="Arial" w:cs="Times New Roman"/>
      <w:color w:val="000000"/>
      <w:sz w:val="20"/>
      <w:szCs w:val="20"/>
      <w:lang w:val="en-GB" w:eastAsia="en-GB"/>
    </w:rPr>
  </w:style>
  <w:style w:type="paragraph" w:customStyle="1" w:styleId="TOC">
    <w:name w:val="TOC"/>
    <w:basedOn w:val="TOC3"/>
    <w:link w:val="TOCChar"/>
    <w:qFormat/>
    <w:rsid w:val="005810BD"/>
    <w:pPr>
      <w:tabs>
        <w:tab w:val="left" w:pos="1320"/>
        <w:tab w:val="right" w:leader="dot" w:pos="9016"/>
      </w:tabs>
    </w:pPr>
    <w:rPr>
      <w:i/>
      <w:noProof/>
    </w:rPr>
  </w:style>
  <w:style w:type="paragraph" w:customStyle="1" w:styleId="Pa16">
    <w:name w:val="Pa16"/>
    <w:basedOn w:val="Normal"/>
    <w:next w:val="Normal"/>
    <w:uiPriority w:val="99"/>
    <w:rsid w:val="007713CC"/>
    <w:pPr>
      <w:autoSpaceDE w:val="0"/>
      <w:autoSpaceDN w:val="0"/>
      <w:adjustRightInd w:val="0"/>
      <w:spacing w:line="221" w:lineRule="atLeast"/>
      <w:jc w:val="left"/>
    </w:pPr>
    <w:rPr>
      <w:rFonts w:cs="Arial"/>
      <w:sz w:val="24"/>
      <w:szCs w:val="24"/>
      <w:lang w:eastAsia="en-ZA"/>
    </w:rPr>
  </w:style>
  <w:style w:type="character" w:customStyle="1" w:styleId="TOC3Char">
    <w:name w:val="TOC 3 Char"/>
    <w:link w:val="TOC3"/>
    <w:uiPriority w:val="39"/>
    <w:rsid w:val="005810BD"/>
    <w:rPr>
      <w:rFonts w:ascii="Arial" w:eastAsia="Times New Roman" w:hAnsi="Arial" w:cs="Times New Roman"/>
      <w:sz w:val="20"/>
      <w:lang w:val="en-US"/>
    </w:rPr>
  </w:style>
  <w:style w:type="character" w:customStyle="1" w:styleId="TOCChar">
    <w:name w:val="TOC Char"/>
    <w:link w:val="TOC"/>
    <w:rsid w:val="005810BD"/>
    <w:rPr>
      <w:rFonts w:ascii="Arial" w:eastAsia="Times New Roman" w:hAnsi="Arial" w:cs="Times New Roman"/>
      <w:i/>
      <w:noProof/>
      <w:sz w:val="20"/>
      <w:lang w:val="en-US"/>
    </w:rPr>
  </w:style>
  <w:style w:type="character" w:customStyle="1" w:styleId="A0">
    <w:name w:val="A0"/>
    <w:uiPriority w:val="99"/>
    <w:rsid w:val="007713CC"/>
    <w:rPr>
      <w:color w:val="000000"/>
      <w:sz w:val="16"/>
      <w:szCs w:val="16"/>
    </w:rPr>
  </w:style>
  <w:style w:type="character" w:customStyle="1" w:styleId="A11">
    <w:name w:val="A11"/>
    <w:uiPriority w:val="99"/>
    <w:rsid w:val="007713CC"/>
    <w:rPr>
      <w:color w:val="000000"/>
      <w:sz w:val="9"/>
      <w:szCs w:val="9"/>
    </w:rPr>
  </w:style>
  <w:style w:type="paragraph" w:customStyle="1" w:styleId="Default">
    <w:name w:val="Default"/>
    <w:rsid w:val="00391575"/>
    <w:pPr>
      <w:autoSpaceDE w:val="0"/>
      <w:autoSpaceDN w:val="0"/>
      <w:adjustRightInd w:val="0"/>
    </w:pPr>
    <w:rPr>
      <w:rFonts w:ascii="Arial" w:hAnsi="Arial" w:cs="Arial"/>
      <w:color w:val="000000"/>
      <w:sz w:val="24"/>
      <w:szCs w:val="24"/>
    </w:rPr>
  </w:style>
  <w:style w:type="paragraph" w:customStyle="1" w:styleId="Pa7">
    <w:name w:val="Pa7"/>
    <w:basedOn w:val="Default"/>
    <w:next w:val="Default"/>
    <w:uiPriority w:val="99"/>
    <w:rsid w:val="00E74277"/>
    <w:pPr>
      <w:spacing w:line="221" w:lineRule="atLeast"/>
    </w:pPr>
    <w:rPr>
      <w:color w:val="auto"/>
    </w:rPr>
  </w:style>
  <w:style w:type="paragraph" w:styleId="FootnoteText">
    <w:name w:val="footnote text"/>
    <w:aliases w:val="Footnote Text Char1,Footnote Text Char Char,fn Char,ft,a footnote text,Char Char Char,Footnote Text Char1 Char Char,Footnote Text Char Char Char Char,Footnote Text Char1 Char1 Char1 Char Char,Footnote Text Char Char Char1 Char1 Char Char"/>
    <w:basedOn w:val="Normal"/>
    <w:link w:val="FootnoteTextChar"/>
    <w:uiPriority w:val="99"/>
    <w:unhideWhenUsed/>
    <w:qFormat/>
    <w:rsid w:val="007F3FCD"/>
    <w:pPr>
      <w:spacing w:line="240" w:lineRule="auto"/>
    </w:pPr>
    <w:rPr>
      <w:rFonts w:eastAsiaTheme="minorHAnsi" w:cstheme="minorBidi"/>
      <w:sz w:val="20"/>
      <w:szCs w:val="20"/>
    </w:rPr>
  </w:style>
  <w:style w:type="character" w:customStyle="1" w:styleId="FootnoteTextChar">
    <w:name w:val="Footnote Text Char"/>
    <w:aliases w:val="Footnote Text Char1 Char,Footnote Text Char Char Char,fn Char Char,ft Char,a footnote text Char,Char Char Char Char,Footnote Text Char1 Char Char Char,Footnote Text Char Char Char Char Char"/>
    <w:basedOn w:val="DefaultParagraphFont"/>
    <w:link w:val="FootnoteText"/>
    <w:uiPriority w:val="99"/>
    <w:rsid w:val="007F3FCD"/>
    <w:rPr>
      <w:rFonts w:ascii="Arial" w:eastAsiaTheme="minorHAnsi" w:hAnsi="Arial" w:cstheme="minorBidi"/>
      <w:lang w:eastAsia="en-US"/>
    </w:rPr>
  </w:style>
  <w:style w:type="character" w:styleId="FootnoteReference">
    <w:name w:val="footnote reference"/>
    <w:aliases w:val="ftref,JCL Footnote Reference"/>
    <w:basedOn w:val="DefaultParagraphFont"/>
    <w:uiPriority w:val="99"/>
    <w:unhideWhenUsed/>
    <w:qFormat/>
    <w:rsid w:val="007F3FCD"/>
    <w:rPr>
      <w:vertAlign w:val="superscript"/>
    </w:rPr>
  </w:style>
  <w:style w:type="paragraph" w:customStyle="1" w:styleId="Pa6">
    <w:name w:val="Pa6"/>
    <w:basedOn w:val="Default"/>
    <w:next w:val="Default"/>
    <w:uiPriority w:val="99"/>
    <w:rsid w:val="00FF44B4"/>
    <w:pPr>
      <w:spacing w:line="221" w:lineRule="atLeast"/>
    </w:pPr>
    <w:rPr>
      <w:color w:val="auto"/>
    </w:rPr>
  </w:style>
  <w:style w:type="paragraph" w:styleId="BalloonText">
    <w:name w:val="Balloon Text"/>
    <w:basedOn w:val="Normal"/>
    <w:link w:val="BalloonTextChar"/>
    <w:uiPriority w:val="99"/>
    <w:semiHidden/>
    <w:unhideWhenUsed/>
    <w:rsid w:val="00CC70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0E5"/>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533BFE"/>
    <w:rPr>
      <w:sz w:val="16"/>
      <w:szCs w:val="16"/>
    </w:rPr>
  </w:style>
  <w:style w:type="paragraph" w:styleId="CommentSubject">
    <w:name w:val="annotation subject"/>
    <w:basedOn w:val="CommentText"/>
    <w:next w:val="CommentText"/>
    <w:link w:val="CommentSubjectChar"/>
    <w:uiPriority w:val="99"/>
    <w:semiHidden/>
    <w:unhideWhenUsed/>
    <w:rsid w:val="00533BFE"/>
    <w:pPr>
      <w:spacing w:line="240" w:lineRule="auto"/>
      <w:jc w:val="both"/>
    </w:pPr>
    <w:rPr>
      <w:rFonts w:eastAsia="Calibri"/>
      <w:b/>
      <w:bCs/>
      <w:color w:val="auto"/>
      <w:lang w:val="en-ZA" w:eastAsia="en-US"/>
    </w:rPr>
  </w:style>
  <w:style w:type="character" w:customStyle="1" w:styleId="CommentSubjectChar">
    <w:name w:val="Comment Subject Char"/>
    <w:basedOn w:val="CommentTextChar"/>
    <w:link w:val="CommentSubject"/>
    <w:uiPriority w:val="99"/>
    <w:semiHidden/>
    <w:rsid w:val="00533BFE"/>
    <w:rPr>
      <w:rFonts w:ascii="Arial" w:eastAsia="Times New Roman" w:hAnsi="Arial" w:cs="Times New Roman"/>
      <w:b/>
      <w:bCs/>
      <w:color w:val="000000"/>
      <w:sz w:val="20"/>
      <w:szCs w:val="20"/>
      <w:lang w:val="en-GB" w:eastAsia="en-US"/>
    </w:rPr>
  </w:style>
  <w:style w:type="character" w:customStyle="1" w:styleId="A7">
    <w:name w:val="A7"/>
    <w:uiPriority w:val="99"/>
    <w:rsid w:val="00581778"/>
    <w:rPr>
      <w:rFonts w:cs="NewsGoth BT"/>
      <w:color w:val="000000"/>
      <w:sz w:val="20"/>
      <w:szCs w:val="20"/>
    </w:rPr>
  </w:style>
  <w:style w:type="paragraph" w:customStyle="1" w:styleId="Pa11">
    <w:name w:val="Pa11"/>
    <w:basedOn w:val="Default"/>
    <w:next w:val="Default"/>
    <w:uiPriority w:val="99"/>
    <w:rsid w:val="00E60294"/>
    <w:pPr>
      <w:spacing w:line="481" w:lineRule="atLeast"/>
    </w:pPr>
    <w:rPr>
      <w:rFonts w:ascii="NewsGoth BT" w:hAnsi="NewsGoth BT" w:cs="Times New Roman"/>
      <w:color w:val="auto"/>
    </w:rPr>
  </w:style>
</w:styles>
</file>

<file path=word/webSettings.xml><?xml version="1.0" encoding="utf-8"?>
<w:webSettings xmlns:r="http://schemas.openxmlformats.org/officeDocument/2006/relationships" xmlns:w="http://schemas.openxmlformats.org/wordprocessingml/2006/main">
  <w:divs>
    <w:div w:id="40325786">
      <w:bodyDiv w:val="1"/>
      <w:marLeft w:val="0"/>
      <w:marRight w:val="0"/>
      <w:marTop w:val="0"/>
      <w:marBottom w:val="0"/>
      <w:divBdr>
        <w:top w:val="none" w:sz="0" w:space="0" w:color="auto"/>
        <w:left w:val="none" w:sz="0" w:space="0" w:color="auto"/>
        <w:bottom w:val="none" w:sz="0" w:space="0" w:color="auto"/>
        <w:right w:val="none" w:sz="0" w:space="0" w:color="auto"/>
      </w:divBdr>
    </w:div>
    <w:div w:id="110515086">
      <w:bodyDiv w:val="1"/>
      <w:marLeft w:val="0"/>
      <w:marRight w:val="0"/>
      <w:marTop w:val="0"/>
      <w:marBottom w:val="0"/>
      <w:divBdr>
        <w:top w:val="none" w:sz="0" w:space="0" w:color="auto"/>
        <w:left w:val="none" w:sz="0" w:space="0" w:color="auto"/>
        <w:bottom w:val="none" w:sz="0" w:space="0" w:color="auto"/>
        <w:right w:val="none" w:sz="0" w:space="0" w:color="auto"/>
      </w:divBdr>
    </w:div>
    <w:div w:id="191503135">
      <w:bodyDiv w:val="1"/>
      <w:marLeft w:val="0"/>
      <w:marRight w:val="0"/>
      <w:marTop w:val="0"/>
      <w:marBottom w:val="0"/>
      <w:divBdr>
        <w:top w:val="none" w:sz="0" w:space="0" w:color="auto"/>
        <w:left w:val="none" w:sz="0" w:space="0" w:color="auto"/>
        <w:bottom w:val="none" w:sz="0" w:space="0" w:color="auto"/>
        <w:right w:val="none" w:sz="0" w:space="0" w:color="auto"/>
      </w:divBdr>
    </w:div>
    <w:div w:id="229659564">
      <w:bodyDiv w:val="1"/>
      <w:marLeft w:val="0"/>
      <w:marRight w:val="0"/>
      <w:marTop w:val="0"/>
      <w:marBottom w:val="0"/>
      <w:divBdr>
        <w:top w:val="none" w:sz="0" w:space="0" w:color="auto"/>
        <w:left w:val="none" w:sz="0" w:space="0" w:color="auto"/>
        <w:bottom w:val="none" w:sz="0" w:space="0" w:color="auto"/>
        <w:right w:val="none" w:sz="0" w:space="0" w:color="auto"/>
      </w:divBdr>
    </w:div>
    <w:div w:id="443157974">
      <w:bodyDiv w:val="1"/>
      <w:marLeft w:val="0"/>
      <w:marRight w:val="0"/>
      <w:marTop w:val="0"/>
      <w:marBottom w:val="0"/>
      <w:divBdr>
        <w:top w:val="none" w:sz="0" w:space="0" w:color="auto"/>
        <w:left w:val="none" w:sz="0" w:space="0" w:color="auto"/>
        <w:bottom w:val="none" w:sz="0" w:space="0" w:color="auto"/>
        <w:right w:val="none" w:sz="0" w:space="0" w:color="auto"/>
      </w:divBdr>
    </w:div>
    <w:div w:id="454755797">
      <w:bodyDiv w:val="1"/>
      <w:marLeft w:val="0"/>
      <w:marRight w:val="0"/>
      <w:marTop w:val="0"/>
      <w:marBottom w:val="0"/>
      <w:divBdr>
        <w:top w:val="none" w:sz="0" w:space="0" w:color="auto"/>
        <w:left w:val="none" w:sz="0" w:space="0" w:color="auto"/>
        <w:bottom w:val="none" w:sz="0" w:space="0" w:color="auto"/>
        <w:right w:val="none" w:sz="0" w:space="0" w:color="auto"/>
      </w:divBdr>
    </w:div>
    <w:div w:id="472478925">
      <w:bodyDiv w:val="1"/>
      <w:marLeft w:val="0"/>
      <w:marRight w:val="0"/>
      <w:marTop w:val="0"/>
      <w:marBottom w:val="0"/>
      <w:divBdr>
        <w:top w:val="none" w:sz="0" w:space="0" w:color="auto"/>
        <w:left w:val="none" w:sz="0" w:space="0" w:color="auto"/>
        <w:bottom w:val="none" w:sz="0" w:space="0" w:color="auto"/>
        <w:right w:val="none" w:sz="0" w:space="0" w:color="auto"/>
      </w:divBdr>
    </w:div>
    <w:div w:id="551163414">
      <w:bodyDiv w:val="1"/>
      <w:marLeft w:val="0"/>
      <w:marRight w:val="0"/>
      <w:marTop w:val="0"/>
      <w:marBottom w:val="0"/>
      <w:divBdr>
        <w:top w:val="none" w:sz="0" w:space="0" w:color="auto"/>
        <w:left w:val="none" w:sz="0" w:space="0" w:color="auto"/>
        <w:bottom w:val="none" w:sz="0" w:space="0" w:color="auto"/>
        <w:right w:val="none" w:sz="0" w:space="0" w:color="auto"/>
      </w:divBdr>
    </w:div>
    <w:div w:id="565722075">
      <w:bodyDiv w:val="1"/>
      <w:marLeft w:val="0"/>
      <w:marRight w:val="0"/>
      <w:marTop w:val="0"/>
      <w:marBottom w:val="0"/>
      <w:divBdr>
        <w:top w:val="none" w:sz="0" w:space="0" w:color="auto"/>
        <w:left w:val="none" w:sz="0" w:space="0" w:color="auto"/>
        <w:bottom w:val="none" w:sz="0" w:space="0" w:color="auto"/>
        <w:right w:val="none" w:sz="0" w:space="0" w:color="auto"/>
      </w:divBdr>
    </w:div>
    <w:div w:id="667365372">
      <w:bodyDiv w:val="1"/>
      <w:marLeft w:val="0"/>
      <w:marRight w:val="0"/>
      <w:marTop w:val="0"/>
      <w:marBottom w:val="0"/>
      <w:divBdr>
        <w:top w:val="none" w:sz="0" w:space="0" w:color="auto"/>
        <w:left w:val="none" w:sz="0" w:space="0" w:color="auto"/>
        <w:bottom w:val="none" w:sz="0" w:space="0" w:color="auto"/>
        <w:right w:val="none" w:sz="0" w:space="0" w:color="auto"/>
      </w:divBdr>
    </w:div>
    <w:div w:id="699404239">
      <w:bodyDiv w:val="1"/>
      <w:marLeft w:val="0"/>
      <w:marRight w:val="0"/>
      <w:marTop w:val="0"/>
      <w:marBottom w:val="0"/>
      <w:divBdr>
        <w:top w:val="none" w:sz="0" w:space="0" w:color="auto"/>
        <w:left w:val="none" w:sz="0" w:space="0" w:color="auto"/>
        <w:bottom w:val="none" w:sz="0" w:space="0" w:color="auto"/>
        <w:right w:val="none" w:sz="0" w:space="0" w:color="auto"/>
      </w:divBdr>
    </w:div>
    <w:div w:id="722869391">
      <w:bodyDiv w:val="1"/>
      <w:marLeft w:val="0"/>
      <w:marRight w:val="0"/>
      <w:marTop w:val="0"/>
      <w:marBottom w:val="0"/>
      <w:divBdr>
        <w:top w:val="none" w:sz="0" w:space="0" w:color="auto"/>
        <w:left w:val="none" w:sz="0" w:space="0" w:color="auto"/>
        <w:bottom w:val="none" w:sz="0" w:space="0" w:color="auto"/>
        <w:right w:val="none" w:sz="0" w:space="0" w:color="auto"/>
      </w:divBdr>
    </w:div>
    <w:div w:id="810945157">
      <w:bodyDiv w:val="1"/>
      <w:marLeft w:val="0"/>
      <w:marRight w:val="0"/>
      <w:marTop w:val="0"/>
      <w:marBottom w:val="0"/>
      <w:divBdr>
        <w:top w:val="none" w:sz="0" w:space="0" w:color="auto"/>
        <w:left w:val="none" w:sz="0" w:space="0" w:color="auto"/>
        <w:bottom w:val="none" w:sz="0" w:space="0" w:color="auto"/>
        <w:right w:val="none" w:sz="0" w:space="0" w:color="auto"/>
      </w:divBdr>
    </w:div>
    <w:div w:id="844825528">
      <w:bodyDiv w:val="1"/>
      <w:marLeft w:val="0"/>
      <w:marRight w:val="0"/>
      <w:marTop w:val="0"/>
      <w:marBottom w:val="0"/>
      <w:divBdr>
        <w:top w:val="none" w:sz="0" w:space="0" w:color="auto"/>
        <w:left w:val="none" w:sz="0" w:space="0" w:color="auto"/>
        <w:bottom w:val="none" w:sz="0" w:space="0" w:color="auto"/>
        <w:right w:val="none" w:sz="0" w:space="0" w:color="auto"/>
      </w:divBdr>
    </w:div>
    <w:div w:id="942803600">
      <w:bodyDiv w:val="1"/>
      <w:marLeft w:val="0"/>
      <w:marRight w:val="0"/>
      <w:marTop w:val="0"/>
      <w:marBottom w:val="0"/>
      <w:divBdr>
        <w:top w:val="none" w:sz="0" w:space="0" w:color="auto"/>
        <w:left w:val="none" w:sz="0" w:space="0" w:color="auto"/>
        <w:bottom w:val="none" w:sz="0" w:space="0" w:color="auto"/>
        <w:right w:val="none" w:sz="0" w:space="0" w:color="auto"/>
      </w:divBdr>
    </w:div>
    <w:div w:id="974680151">
      <w:bodyDiv w:val="1"/>
      <w:marLeft w:val="0"/>
      <w:marRight w:val="0"/>
      <w:marTop w:val="0"/>
      <w:marBottom w:val="0"/>
      <w:divBdr>
        <w:top w:val="none" w:sz="0" w:space="0" w:color="auto"/>
        <w:left w:val="none" w:sz="0" w:space="0" w:color="auto"/>
        <w:bottom w:val="none" w:sz="0" w:space="0" w:color="auto"/>
        <w:right w:val="none" w:sz="0" w:space="0" w:color="auto"/>
      </w:divBdr>
    </w:div>
    <w:div w:id="1002121731">
      <w:bodyDiv w:val="1"/>
      <w:marLeft w:val="0"/>
      <w:marRight w:val="0"/>
      <w:marTop w:val="0"/>
      <w:marBottom w:val="0"/>
      <w:divBdr>
        <w:top w:val="none" w:sz="0" w:space="0" w:color="auto"/>
        <w:left w:val="none" w:sz="0" w:space="0" w:color="auto"/>
        <w:bottom w:val="none" w:sz="0" w:space="0" w:color="auto"/>
        <w:right w:val="none" w:sz="0" w:space="0" w:color="auto"/>
      </w:divBdr>
      <w:divsChild>
        <w:div w:id="798257021">
          <w:marLeft w:val="547"/>
          <w:marRight w:val="0"/>
          <w:marTop w:val="96"/>
          <w:marBottom w:val="0"/>
          <w:divBdr>
            <w:top w:val="none" w:sz="0" w:space="0" w:color="auto"/>
            <w:left w:val="none" w:sz="0" w:space="0" w:color="auto"/>
            <w:bottom w:val="none" w:sz="0" w:space="0" w:color="auto"/>
            <w:right w:val="none" w:sz="0" w:space="0" w:color="auto"/>
          </w:divBdr>
        </w:div>
      </w:divsChild>
    </w:div>
    <w:div w:id="1024748390">
      <w:bodyDiv w:val="1"/>
      <w:marLeft w:val="0"/>
      <w:marRight w:val="0"/>
      <w:marTop w:val="0"/>
      <w:marBottom w:val="0"/>
      <w:divBdr>
        <w:top w:val="none" w:sz="0" w:space="0" w:color="auto"/>
        <w:left w:val="none" w:sz="0" w:space="0" w:color="auto"/>
        <w:bottom w:val="none" w:sz="0" w:space="0" w:color="auto"/>
        <w:right w:val="none" w:sz="0" w:space="0" w:color="auto"/>
      </w:divBdr>
    </w:div>
    <w:div w:id="1036664928">
      <w:bodyDiv w:val="1"/>
      <w:marLeft w:val="0"/>
      <w:marRight w:val="0"/>
      <w:marTop w:val="0"/>
      <w:marBottom w:val="0"/>
      <w:divBdr>
        <w:top w:val="none" w:sz="0" w:space="0" w:color="auto"/>
        <w:left w:val="none" w:sz="0" w:space="0" w:color="auto"/>
        <w:bottom w:val="none" w:sz="0" w:space="0" w:color="auto"/>
        <w:right w:val="none" w:sz="0" w:space="0" w:color="auto"/>
      </w:divBdr>
    </w:div>
    <w:div w:id="1065834317">
      <w:bodyDiv w:val="1"/>
      <w:marLeft w:val="0"/>
      <w:marRight w:val="0"/>
      <w:marTop w:val="0"/>
      <w:marBottom w:val="0"/>
      <w:divBdr>
        <w:top w:val="none" w:sz="0" w:space="0" w:color="auto"/>
        <w:left w:val="none" w:sz="0" w:space="0" w:color="auto"/>
        <w:bottom w:val="none" w:sz="0" w:space="0" w:color="auto"/>
        <w:right w:val="none" w:sz="0" w:space="0" w:color="auto"/>
      </w:divBdr>
    </w:div>
    <w:div w:id="1071466661">
      <w:bodyDiv w:val="1"/>
      <w:marLeft w:val="0"/>
      <w:marRight w:val="0"/>
      <w:marTop w:val="0"/>
      <w:marBottom w:val="0"/>
      <w:divBdr>
        <w:top w:val="none" w:sz="0" w:space="0" w:color="auto"/>
        <w:left w:val="none" w:sz="0" w:space="0" w:color="auto"/>
        <w:bottom w:val="none" w:sz="0" w:space="0" w:color="auto"/>
        <w:right w:val="none" w:sz="0" w:space="0" w:color="auto"/>
      </w:divBdr>
    </w:div>
    <w:div w:id="1071659903">
      <w:bodyDiv w:val="1"/>
      <w:marLeft w:val="0"/>
      <w:marRight w:val="0"/>
      <w:marTop w:val="0"/>
      <w:marBottom w:val="0"/>
      <w:divBdr>
        <w:top w:val="none" w:sz="0" w:space="0" w:color="auto"/>
        <w:left w:val="none" w:sz="0" w:space="0" w:color="auto"/>
        <w:bottom w:val="none" w:sz="0" w:space="0" w:color="auto"/>
        <w:right w:val="none" w:sz="0" w:space="0" w:color="auto"/>
      </w:divBdr>
    </w:div>
    <w:div w:id="1243838387">
      <w:bodyDiv w:val="1"/>
      <w:marLeft w:val="0"/>
      <w:marRight w:val="0"/>
      <w:marTop w:val="0"/>
      <w:marBottom w:val="0"/>
      <w:divBdr>
        <w:top w:val="none" w:sz="0" w:space="0" w:color="auto"/>
        <w:left w:val="none" w:sz="0" w:space="0" w:color="auto"/>
        <w:bottom w:val="none" w:sz="0" w:space="0" w:color="auto"/>
        <w:right w:val="none" w:sz="0" w:space="0" w:color="auto"/>
      </w:divBdr>
    </w:div>
    <w:div w:id="1244755617">
      <w:bodyDiv w:val="1"/>
      <w:marLeft w:val="0"/>
      <w:marRight w:val="0"/>
      <w:marTop w:val="0"/>
      <w:marBottom w:val="0"/>
      <w:divBdr>
        <w:top w:val="none" w:sz="0" w:space="0" w:color="auto"/>
        <w:left w:val="none" w:sz="0" w:space="0" w:color="auto"/>
        <w:bottom w:val="none" w:sz="0" w:space="0" w:color="auto"/>
        <w:right w:val="none" w:sz="0" w:space="0" w:color="auto"/>
      </w:divBdr>
    </w:div>
    <w:div w:id="1264387195">
      <w:bodyDiv w:val="1"/>
      <w:marLeft w:val="0"/>
      <w:marRight w:val="0"/>
      <w:marTop w:val="0"/>
      <w:marBottom w:val="0"/>
      <w:divBdr>
        <w:top w:val="none" w:sz="0" w:space="0" w:color="auto"/>
        <w:left w:val="none" w:sz="0" w:space="0" w:color="auto"/>
        <w:bottom w:val="none" w:sz="0" w:space="0" w:color="auto"/>
        <w:right w:val="none" w:sz="0" w:space="0" w:color="auto"/>
      </w:divBdr>
    </w:div>
    <w:div w:id="1292663375">
      <w:bodyDiv w:val="1"/>
      <w:marLeft w:val="0"/>
      <w:marRight w:val="0"/>
      <w:marTop w:val="0"/>
      <w:marBottom w:val="0"/>
      <w:divBdr>
        <w:top w:val="none" w:sz="0" w:space="0" w:color="auto"/>
        <w:left w:val="none" w:sz="0" w:space="0" w:color="auto"/>
        <w:bottom w:val="none" w:sz="0" w:space="0" w:color="auto"/>
        <w:right w:val="none" w:sz="0" w:space="0" w:color="auto"/>
      </w:divBdr>
    </w:div>
    <w:div w:id="1354841995">
      <w:bodyDiv w:val="1"/>
      <w:marLeft w:val="0"/>
      <w:marRight w:val="0"/>
      <w:marTop w:val="0"/>
      <w:marBottom w:val="0"/>
      <w:divBdr>
        <w:top w:val="none" w:sz="0" w:space="0" w:color="auto"/>
        <w:left w:val="none" w:sz="0" w:space="0" w:color="auto"/>
        <w:bottom w:val="none" w:sz="0" w:space="0" w:color="auto"/>
        <w:right w:val="none" w:sz="0" w:space="0" w:color="auto"/>
      </w:divBdr>
    </w:div>
    <w:div w:id="1393121079">
      <w:bodyDiv w:val="1"/>
      <w:marLeft w:val="0"/>
      <w:marRight w:val="0"/>
      <w:marTop w:val="0"/>
      <w:marBottom w:val="0"/>
      <w:divBdr>
        <w:top w:val="none" w:sz="0" w:space="0" w:color="auto"/>
        <w:left w:val="none" w:sz="0" w:space="0" w:color="auto"/>
        <w:bottom w:val="none" w:sz="0" w:space="0" w:color="auto"/>
        <w:right w:val="none" w:sz="0" w:space="0" w:color="auto"/>
      </w:divBdr>
    </w:div>
    <w:div w:id="1424688978">
      <w:bodyDiv w:val="1"/>
      <w:marLeft w:val="0"/>
      <w:marRight w:val="0"/>
      <w:marTop w:val="0"/>
      <w:marBottom w:val="0"/>
      <w:divBdr>
        <w:top w:val="none" w:sz="0" w:space="0" w:color="auto"/>
        <w:left w:val="none" w:sz="0" w:space="0" w:color="auto"/>
        <w:bottom w:val="none" w:sz="0" w:space="0" w:color="auto"/>
        <w:right w:val="none" w:sz="0" w:space="0" w:color="auto"/>
      </w:divBdr>
    </w:div>
    <w:div w:id="1434788110">
      <w:bodyDiv w:val="1"/>
      <w:marLeft w:val="0"/>
      <w:marRight w:val="0"/>
      <w:marTop w:val="0"/>
      <w:marBottom w:val="0"/>
      <w:divBdr>
        <w:top w:val="none" w:sz="0" w:space="0" w:color="auto"/>
        <w:left w:val="none" w:sz="0" w:space="0" w:color="auto"/>
        <w:bottom w:val="none" w:sz="0" w:space="0" w:color="auto"/>
        <w:right w:val="none" w:sz="0" w:space="0" w:color="auto"/>
      </w:divBdr>
    </w:div>
    <w:div w:id="1456674541">
      <w:bodyDiv w:val="1"/>
      <w:marLeft w:val="0"/>
      <w:marRight w:val="0"/>
      <w:marTop w:val="0"/>
      <w:marBottom w:val="0"/>
      <w:divBdr>
        <w:top w:val="none" w:sz="0" w:space="0" w:color="auto"/>
        <w:left w:val="none" w:sz="0" w:space="0" w:color="auto"/>
        <w:bottom w:val="none" w:sz="0" w:space="0" w:color="auto"/>
        <w:right w:val="none" w:sz="0" w:space="0" w:color="auto"/>
      </w:divBdr>
    </w:div>
    <w:div w:id="1464232718">
      <w:bodyDiv w:val="1"/>
      <w:marLeft w:val="0"/>
      <w:marRight w:val="0"/>
      <w:marTop w:val="0"/>
      <w:marBottom w:val="0"/>
      <w:divBdr>
        <w:top w:val="none" w:sz="0" w:space="0" w:color="auto"/>
        <w:left w:val="none" w:sz="0" w:space="0" w:color="auto"/>
        <w:bottom w:val="none" w:sz="0" w:space="0" w:color="auto"/>
        <w:right w:val="none" w:sz="0" w:space="0" w:color="auto"/>
      </w:divBdr>
    </w:div>
    <w:div w:id="1480685483">
      <w:bodyDiv w:val="1"/>
      <w:marLeft w:val="0"/>
      <w:marRight w:val="0"/>
      <w:marTop w:val="0"/>
      <w:marBottom w:val="0"/>
      <w:divBdr>
        <w:top w:val="none" w:sz="0" w:space="0" w:color="auto"/>
        <w:left w:val="none" w:sz="0" w:space="0" w:color="auto"/>
        <w:bottom w:val="none" w:sz="0" w:space="0" w:color="auto"/>
        <w:right w:val="none" w:sz="0" w:space="0" w:color="auto"/>
      </w:divBdr>
    </w:div>
    <w:div w:id="1590773890">
      <w:bodyDiv w:val="1"/>
      <w:marLeft w:val="0"/>
      <w:marRight w:val="0"/>
      <w:marTop w:val="0"/>
      <w:marBottom w:val="0"/>
      <w:divBdr>
        <w:top w:val="none" w:sz="0" w:space="0" w:color="auto"/>
        <w:left w:val="none" w:sz="0" w:space="0" w:color="auto"/>
        <w:bottom w:val="none" w:sz="0" w:space="0" w:color="auto"/>
        <w:right w:val="none" w:sz="0" w:space="0" w:color="auto"/>
      </w:divBdr>
    </w:div>
    <w:div w:id="1712341469">
      <w:bodyDiv w:val="1"/>
      <w:marLeft w:val="0"/>
      <w:marRight w:val="0"/>
      <w:marTop w:val="0"/>
      <w:marBottom w:val="0"/>
      <w:divBdr>
        <w:top w:val="none" w:sz="0" w:space="0" w:color="auto"/>
        <w:left w:val="none" w:sz="0" w:space="0" w:color="auto"/>
        <w:bottom w:val="none" w:sz="0" w:space="0" w:color="auto"/>
        <w:right w:val="none" w:sz="0" w:space="0" w:color="auto"/>
      </w:divBdr>
    </w:div>
    <w:div w:id="1764647577">
      <w:bodyDiv w:val="1"/>
      <w:marLeft w:val="0"/>
      <w:marRight w:val="0"/>
      <w:marTop w:val="0"/>
      <w:marBottom w:val="0"/>
      <w:divBdr>
        <w:top w:val="none" w:sz="0" w:space="0" w:color="auto"/>
        <w:left w:val="none" w:sz="0" w:space="0" w:color="auto"/>
        <w:bottom w:val="none" w:sz="0" w:space="0" w:color="auto"/>
        <w:right w:val="none" w:sz="0" w:space="0" w:color="auto"/>
      </w:divBdr>
    </w:div>
    <w:div w:id="1777287714">
      <w:bodyDiv w:val="1"/>
      <w:marLeft w:val="0"/>
      <w:marRight w:val="0"/>
      <w:marTop w:val="0"/>
      <w:marBottom w:val="0"/>
      <w:divBdr>
        <w:top w:val="none" w:sz="0" w:space="0" w:color="auto"/>
        <w:left w:val="none" w:sz="0" w:space="0" w:color="auto"/>
        <w:bottom w:val="none" w:sz="0" w:space="0" w:color="auto"/>
        <w:right w:val="none" w:sz="0" w:space="0" w:color="auto"/>
      </w:divBdr>
    </w:div>
    <w:div w:id="1780447709">
      <w:bodyDiv w:val="1"/>
      <w:marLeft w:val="0"/>
      <w:marRight w:val="0"/>
      <w:marTop w:val="0"/>
      <w:marBottom w:val="0"/>
      <w:divBdr>
        <w:top w:val="none" w:sz="0" w:space="0" w:color="auto"/>
        <w:left w:val="none" w:sz="0" w:space="0" w:color="auto"/>
        <w:bottom w:val="none" w:sz="0" w:space="0" w:color="auto"/>
        <w:right w:val="none" w:sz="0" w:space="0" w:color="auto"/>
      </w:divBdr>
    </w:div>
    <w:div w:id="1813210544">
      <w:bodyDiv w:val="1"/>
      <w:marLeft w:val="0"/>
      <w:marRight w:val="0"/>
      <w:marTop w:val="0"/>
      <w:marBottom w:val="0"/>
      <w:divBdr>
        <w:top w:val="none" w:sz="0" w:space="0" w:color="auto"/>
        <w:left w:val="none" w:sz="0" w:space="0" w:color="auto"/>
        <w:bottom w:val="none" w:sz="0" w:space="0" w:color="auto"/>
        <w:right w:val="none" w:sz="0" w:space="0" w:color="auto"/>
      </w:divBdr>
    </w:div>
    <w:div w:id="1829855762">
      <w:bodyDiv w:val="1"/>
      <w:marLeft w:val="0"/>
      <w:marRight w:val="0"/>
      <w:marTop w:val="0"/>
      <w:marBottom w:val="0"/>
      <w:divBdr>
        <w:top w:val="none" w:sz="0" w:space="0" w:color="auto"/>
        <w:left w:val="none" w:sz="0" w:space="0" w:color="auto"/>
        <w:bottom w:val="none" w:sz="0" w:space="0" w:color="auto"/>
        <w:right w:val="none" w:sz="0" w:space="0" w:color="auto"/>
      </w:divBdr>
    </w:div>
    <w:div w:id="2009207592">
      <w:bodyDiv w:val="1"/>
      <w:marLeft w:val="0"/>
      <w:marRight w:val="0"/>
      <w:marTop w:val="0"/>
      <w:marBottom w:val="0"/>
      <w:divBdr>
        <w:top w:val="none" w:sz="0" w:space="0" w:color="auto"/>
        <w:left w:val="none" w:sz="0" w:space="0" w:color="auto"/>
        <w:bottom w:val="none" w:sz="0" w:space="0" w:color="auto"/>
        <w:right w:val="none" w:sz="0" w:space="0" w:color="auto"/>
      </w:divBdr>
    </w:div>
    <w:div w:id="2019961432">
      <w:bodyDiv w:val="1"/>
      <w:marLeft w:val="0"/>
      <w:marRight w:val="0"/>
      <w:marTop w:val="0"/>
      <w:marBottom w:val="0"/>
      <w:divBdr>
        <w:top w:val="none" w:sz="0" w:space="0" w:color="auto"/>
        <w:left w:val="none" w:sz="0" w:space="0" w:color="auto"/>
        <w:bottom w:val="none" w:sz="0" w:space="0" w:color="auto"/>
        <w:right w:val="none" w:sz="0" w:space="0" w:color="auto"/>
      </w:divBdr>
    </w:div>
    <w:div w:id="2022967851">
      <w:bodyDiv w:val="1"/>
      <w:marLeft w:val="0"/>
      <w:marRight w:val="0"/>
      <w:marTop w:val="0"/>
      <w:marBottom w:val="0"/>
      <w:divBdr>
        <w:top w:val="none" w:sz="0" w:space="0" w:color="auto"/>
        <w:left w:val="none" w:sz="0" w:space="0" w:color="auto"/>
        <w:bottom w:val="none" w:sz="0" w:space="0" w:color="auto"/>
        <w:right w:val="none" w:sz="0" w:space="0" w:color="auto"/>
      </w:divBdr>
    </w:div>
    <w:div w:id="2083091374">
      <w:bodyDiv w:val="1"/>
      <w:marLeft w:val="0"/>
      <w:marRight w:val="0"/>
      <w:marTop w:val="0"/>
      <w:marBottom w:val="0"/>
      <w:divBdr>
        <w:top w:val="none" w:sz="0" w:space="0" w:color="auto"/>
        <w:left w:val="none" w:sz="0" w:space="0" w:color="auto"/>
        <w:bottom w:val="none" w:sz="0" w:space="0" w:color="auto"/>
        <w:right w:val="none" w:sz="0" w:space="0" w:color="auto"/>
      </w:divBdr>
    </w:div>
    <w:div w:id="2100177404">
      <w:bodyDiv w:val="1"/>
      <w:marLeft w:val="0"/>
      <w:marRight w:val="0"/>
      <w:marTop w:val="0"/>
      <w:marBottom w:val="0"/>
      <w:divBdr>
        <w:top w:val="none" w:sz="0" w:space="0" w:color="auto"/>
        <w:left w:val="none" w:sz="0" w:space="0" w:color="auto"/>
        <w:bottom w:val="none" w:sz="0" w:space="0" w:color="auto"/>
        <w:right w:val="none" w:sz="0" w:space="0" w:color="auto"/>
      </w:divBdr>
    </w:div>
    <w:div w:id="214076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vanzyl-gous\Desktop\RU%20New%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1F788-DD3E-4247-9FFF-E3081874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 New - Copy</Template>
  <TotalTime>0</TotalTime>
  <Pages>15</Pages>
  <Words>7195</Words>
  <Characters>41012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48111</CharactersWithSpaces>
  <SharedDoc>false</SharedDoc>
  <HLinks>
    <vt:vector size="48" baseType="variant">
      <vt:variant>
        <vt:i4>1114167</vt:i4>
      </vt:variant>
      <vt:variant>
        <vt:i4>44</vt:i4>
      </vt:variant>
      <vt:variant>
        <vt:i4>0</vt:i4>
      </vt:variant>
      <vt:variant>
        <vt:i4>5</vt:i4>
      </vt:variant>
      <vt:variant>
        <vt:lpwstr/>
      </vt:variant>
      <vt:variant>
        <vt:lpwstr>_Toc450204359</vt:lpwstr>
      </vt:variant>
      <vt:variant>
        <vt:i4>1114167</vt:i4>
      </vt:variant>
      <vt:variant>
        <vt:i4>38</vt:i4>
      </vt:variant>
      <vt:variant>
        <vt:i4>0</vt:i4>
      </vt:variant>
      <vt:variant>
        <vt:i4>5</vt:i4>
      </vt:variant>
      <vt:variant>
        <vt:lpwstr/>
      </vt:variant>
      <vt:variant>
        <vt:lpwstr>_Toc450204358</vt:lpwstr>
      </vt:variant>
      <vt:variant>
        <vt:i4>1114167</vt:i4>
      </vt:variant>
      <vt:variant>
        <vt:i4>32</vt:i4>
      </vt:variant>
      <vt:variant>
        <vt:i4>0</vt:i4>
      </vt:variant>
      <vt:variant>
        <vt:i4>5</vt:i4>
      </vt:variant>
      <vt:variant>
        <vt:lpwstr/>
      </vt:variant>
      <vt:variant>
        <vt:lpwstr>_Toc450204357</vt:lpwstr>
      </vt:variant>
      <vt:variant>
        <vt:i4>1114167</vt:i4>
      </vt:variant>
      <vt:variant>
        <vt:i4>26</vt:i4>
      </vt:variant>
      <vt:variant>
        <vt:i4>0</vt:i4>
      </vt:variant>
      <vt:variant>
        <vt:i4>5</vt:i4>
      </vt:variant>
      <vt:variant>
        <vt:lpwstr/>
      </vt:variant>
      <vt:variant>
        <vt:lpwstr>_Toc450204356</vt:lpwstr>
      </vt:variant>
      <vt:variant>
        <vt:i4>1114167</vt:i4>
      </vt:variant>
      <vt:variant>
        <vt:i4>20</vt:i4>
      </vt:variant>
      <vt:variant>
        <vt:i4>0</vt:i4>
      </vt:variant>
      <vt:variant>
        <vt:i4>5</vt:i4>
      </vt:variant>
      <vt:variant>
        <vt:lpwstr/>
      </vt:variant>
      <vt:variant>
        <vt:lpwstr>_Toc450204355</vt:lpwstr>
      </vt:variant>
      <vt:variant>
        <vt:i4>1114167</vt:i4>
      </vt:variant>
      <vt:variant>
        <vt:i4>14</vt:i4>
      </vt:variant>
      <vt:variant>
        <vt:i4>0</vt:i4>
      </vt:variant>
      <vt:variant>
        <vt:i4>5</vt:i4>
      </vt:variant>
      <vt:variant>
        <vt:lpwstr/>
      </vt:variant>
      <vt:variant>
        <vt:lpwstr>_Toc450204354</vt:lpwstr>
      </vt:variant>
      <vt:variant>
        <vt:i4>1114167</vt:i4>
      </vt:variant>
      <vt:variant>
        <vt:i4>8</vt:i4>
      </vt:variant>
      <vt:variant>
        <vt:i4>0</vt:i4>
      </vt:variant>
      <vt:variant>
        <vt:i4>5</vt:i4>
      </vt:variant>
      <vt:variant>
        <vt:lpwstr/>
      </vt:variant>
      <vt:variant>
        <vt:lpwstr>_Toc450204353</vt:lpwstr>
      </vt:variant>
      <vt:variant>
        <vt:i4>1114167</vt:i4>
      </vt:variant>
      <vt:variant>
        <vt:i4>2</vt:i4>
      </vt:variant>
      <vt:variant>
        <vt:i4>0</vt:i4>
      </vt:variant>
      <vt:variant>
        <vt:i4>5</vt:i4>
      </vt:variant>
      <vt:variant>
        <vt:lpwstr/>
      </vt:variant>
      <vt:variant>
        <vt:lpwstr>_Toc450204352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van Zyl-Gous</dc:creator>
  <cp:lastModifiedBy>User</cp:lastModifiedBy>
  <cp:revision>2</cp:revision>
  <cp:lastPrinted>2021-04-23T11:24:00Z</cp:lastPrinted>
  <dcterms:created xsi:type="dcterms:W3CDTF">2023-05-19T11:46:00Z</dcterms:created>
  <dcterms:modified xsi:type="dcterms:W3CDTF">2023-05-19T11:46:00Z</dcterms:modified>
</cp:coreProperties>
</file>