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A0" w:rsidRPr="00D319E0" w:rsidRDefault="00EA5536" w:rsidP="00D319E0">
      <w:pPr>
        <w:autoSpaceDE w:val="0"/>
        <w:autoSpaceDN w:val="0"/>
        <w:adjustRightInd w:val="0"/>
        <w:spacing w:line="240" w:lineRule="auto"/>
        <w:jc w:val="left"/>
        <w:rPr>
          <w:rFonts w:ascii="Arial" w:hAnsi="Arial" w:cs="Arial"/>
          <w:b/>
          <w:bCs/>
          <w:sz w:val="20"/>
          <w:szCs w:val="20"/>
        </w:rPr>
      </w:pPr>
      <w:r w:rsidRPr="00D319E0">
        <w:rPr>
          <w:rFonts w:ascii="Arial" w:hAnsi="Arial" w:cs="Arial"/>
          <w:b/>
          <w:bCs/>
          <w:sz w:val="20"/>
          <w:szCs w:val="20"/>
        </w:rPr>
        <w:t xml:space="preserve">Report of the Portfolio Committee on Police on the 2023/24 Budget Vote 21 and Annual Performance Plan (APP) of the Civilian Secretariat for Police Service (CSPS), dated 17 </w:t>
      </w:r>
      <w:r w:rsidR="00267358" w:rsidRPr="00D319E0">
        <w:rPr>
          <w:rFonts w:ascii="Arial" w:hAnsi="Arial" w:cs="Arial"/>
          <w:b/>
          <w:bCs/>
          <w:sz w:val="20"/>
          <w:szCs w:val="20"/>
        </w:rPr>
        <w:t>M</w:t>
      </w:r>
      <w:r w:rsidRPr="00D319E0">
        <w:rPr>
          <w:rFonts w:ascii="Arial" w:hAnsi="Arial" w:cs="Arial"/>
          <w:b/>
          <w:bCs/>
          <w:sz w:val="20"/>
          <w:szCs w:val="20"/>
        </w:rPr>
        <w:t>ay 2023.</w:t>
      </w:r>
    </w:p>
    <w:p w:rsidR="00B352A0" w:rsidRPr="00D319E0" w:rsidRDefault="00B352A0" w:rsidP="00D319E0">
      <w:pPr>
        <w:spacing w:line="240" w:lineRule="auto"/>
        <w:jc w:val="left"/>
        <w:rPr>
          <w:rFonts w:ascii="Arial" w:hAnsi="Arial" w:cs="Arial"/>
          <w:sz w:val="20"/>
          <w:szCs w:val="20"/>
        </w:rPr>
      </w:pPr>
    </w:p>
    <w:p w:rsidR="00B352A0" w:rsidRPr="00D319E0" w:rsidRDefault="00B352A0" w:rsidP="00D319E0">
      <w:pPr>
        <w:spacing w:line="240" w:lineRule="auto"/>
        <w:jc w:val="left"/>
        <w:rPr>
          <w:rFonts w:ascii="Arial" w:hAnsi="Arial" w:cs="Arial"/>
          <w:sz w:val="20"/>
          <w:szCs w:val="20"/>
        </w:rPr>
      </w:pPr>
      <w:r w:rsidRPr="00D319E0">
        <w:rPr>
          <w:rFonts w:ascii="Arial" w:hAnsi="Arial" w:cs="Arial"/>
          <w:sz w:val="20"/>
          <w:szCs w:val="20"/>
        </w:rPr>
        <w:t>The Portfolio Committee on Police examined the Budget Vote of the Civilian Secretariat for Police Service (Vote 21) for the 202</w:t>
      </w:r>
      <w:r w:rsidR="00592F7A" w:rsidRPr="00D319E0">
        <w:rPr>
          <w:rFonts w:ascii="Arial" w:hAnsi="Arial" w:cs="Arial"/>
          <w:sz w:val="20"/>
          <w:szCs w:val="20"/>
        </w:rPr>
        <w:t>3</w:t>
      </w:r>
      <w:r w:rsidRPr="00D319E0">
        <w:rPr>
          <w:rFonts w:ascii="Arial" w:hAnsi="Arial" w:cs="Arial"/>
          <w:sz w:val="20"/>
          <w:szCs w:val="20"/>
        </w:rPr>
        <w:t>/2</w:t>
      </w:r>
      <w:r w:rsidR="00592F7A" w:rsidRPr="00D319E0">
        <w:rPr>
          <w:rFonts w:ascii="Arial" w:hAnsi="Arial" w:cs="Arial"/>
          <w:sz w:val="20"/>
          <w:szCs w:val="20"/>
        </w:rPr>
        <w:t>4</w:t>
      </w:r>
      <w:r w:rsidRPr="00D319E0">
        <w:rPr>
          <w:rFonts w:ascii="Arial" w:hAnsi="Arial" w:cs="Arial"/>
          <w:sz w:val="20"/>
          <w:szCs w:val="20"/>
        </w:rPr>
        <w:t xml:space="preserve"> financial year, as well as the projections of the Medium-Term Expenditure Framework (MTEF) for 2020-2024, which were included in the Estimates of National Expenditure (ENE) 202</w:t>
      </w:r>
      <w:r w:rsidR="00592F7A" w:rsidRPr="00D319E0">
        <w:rPr>
          <w:rFonts w:ascii="Arial" w:hAnsi="Arial" w:cs="Arial"/>
          <w:sz w:val="20"/>
          <w:szCs w:val="20"/>
        </w:rPr>
        <w:t>3</w:t>
      </w:r>
      <w:r w:rsidRPr="00D319E0">
        <w:rPr>
          <w:rFonts w:ascii="Arial" w:hAnsi="Arial" w:cs="Arial"/>
          <w:sz w:val="20"/>
          <w:szCs w:val="20"/>
        </w:rPr>
        <w:t>. The budget was examined in conjunction with the Annual Performance Plan (APP) for 202</w:t>
      </w:r>
      <w:r w:rsidR="00592F7A" w:rsidRPr="00D319E0">
        <w:rPr>
          <w:rFonts w:ascii="Arial" w:hAnsi="Arial" w:cs="Arial"/>
          <w:sz w:val="20"/>
          <w:szCs w:val="20"/>
        </w:rPr>
        <w:t>3</w:t>
      </w:r>
      <w:r w:rsidRPr="00D319E0">
        <w:rPr>
          <w:rFonts w:ascii="Arial" w:hAnsi="Arial" w:cs="Arial"/>
          <w:sz w:val="20"/>
          <w:szCs w:val="20"/>
        </w:rPr>
        <w:t>/2</w:t>
      </w:r>
      <w:r w:rsidR="00592F7A" w:rsidRPr="00D319E0">
        <w:rPr>
          <w:rFonts w:ascii="Arial" w:hAnsi="Arial" w:cs="Arial"/>
          <w:sz w:val="20"/>
          <w:szCs w:val="20"/>
        </w:rPr>
        <w:t>4</w:t>
      </w:r>
      <w:r w:rsidRPr="00D319E0">
        <w:rPr>
          <w:rFonts w:ascii="Arial" w:hAnsi="Arial" w:cs="Arial"/>
          <w:sz w:val="20"/>
          <w:szCs w:val="20"/>
        </w:rPr>
        <w:t xml:space="preserve"> and the Strategic Plan (2020-2025). The Committee reports as follows:</w:t>
      </w:r>
    </w:p>
    <w:p w:rsidR="00B352A0" w:rsidRPr="00D319E0" w:rsidRDefault="00B352A0" w:rsidP="00D319E0">
      <w:pPr>
        <w:spacing w:line="240" w:lineRule="auto"/>
        <w:jc w:val="left"/>
        <w:rPr>
          <w:rFonts w:ascii="Arial" w:hAnsi="Arial" w:cs="Arial"/>
          <w:sz w:val="20"/>
          <w:szCs w:val="20"/>
        </w:rPr>
      </w:pPr>
    </w:p>
    <w:p w:rsidR="00B352A0" w:rsidRPr="00D319E0" w:rsidRDefault="00B352A0" w:rsidP="00D319E0">
      <w:pPr>
        <w:pStyle w:val="Heading1"/>
        <w:numPr>
          <w:ilvl w:val="0"/>
          <w:numId w:val="19"/>
        </w:numPr>
        <w:spacing w:before="0" w:line="240" w:lineRule="auto"/>
        <w:jc w:val="left"/>
        <w:rPr>
          <w:rFonts w:ascii="Arial" w:hAnsi="Arial" w:cs="Arial"/>
          <w:sz w:val="20"/>
          <w:szCs w:val="20"/>
        </w:rPr>
      </w:pPr>
      <w:bookmarkStart w:id="0" w:name="_Toc100665190"/>
      <w:r w:rsidRPr="00D319E0">
        <w:rPr>
          <w:rFonts w:ascii="Arial" w:hAnsi="Arial" w:cs="Arial"/>
          <w:sz w:val="20"/>
          <w:szCs w:val="20"/>
        </w:rPr>
        <w:t>Introduction</w:t>
      </w:r>
      <w:bookmarkEnd w:id="0"/>
    </w:p>
    <w:p w:rsidR="00B352A0" w:rsidRPr="00D319E0" w:rsidRDefault="00B352A0" w:rsidP="00D319E0">
      <w:pPr>
        <w:spacing w:line="240" w:lineRule="auto"/>
        <w:jc w:val="left"/>
        <w:rPr>
          <w:rFonts w:ascii="Arial" w:hAnsi="Arial" w:cs="Arial"/>
          <w:sz w:val="20"/>
          <w:szCs w:val="20"/>
        </w:rPr>
      </w:pPr>
    </w:p>
    <w:p w:rsidR="00B352A0" w:rsidRPr="00D319E0" w:rsidRDefault="00B352A0" w:rsidP="00D319E0">
      <w:pPr>
        <w:pStyle w:val="Heading2"/>
        <w:numPr>
          <w:ilvl w:val="1"/>
          <w:numId w:val="19"/>
        </w:numPr>
        <w:spacing w:before="0" w:line="240" w:lineRule="auto"/>
        <w:rPr>
          <w:rFonts w:ascii="Arial" w:hAnsi="Arial" w:cs="Arial"/>
          <w:sz w:val="20"/>
          <w:szCs w:val="20"/>
        </w:rPr>
      </w:pPr>
      <w:r w:rsidRPr="00D319E0">
        <w:rPr>
          <w:rFonts w:ascii="Arial" w:hAnsi="Arial" w:cs="Arial"/>
          <w:sz w:val="20"/>
          <w:szCs w:val="20"/>
        </w:rPr>
        <w:t xml:space="preserve">Structure </w:t>
      </w:r>
    </w:p>
    <w:p w:rsidR="00B352A0" w:rsidRPr="00D319E0" w:rsidRDefault="00B352A0" w:rsidP="00D319E0">
      <w:pPr>
        <w:spacing w:line="240" w:lineRule="auto"/>
        <w:jc w:val="left"/>
        <w:rPr>
          <w:rFonts w:ascii="Arial" w:hAnsi="Arial" w:cs="Arial"/>
          <w:sz w:val="20"/>
          <w:szCs w:val="20"/>
        </w:rPr>
      </w:pPr>
    </w:p>
    <w:p w:rsidR="00B352A0" w:rsidRPr="00D319E0" w:rsidRDefault="00B352A0" w:rsidP="00D319E0">
      <w:pPr>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The Report provides an overview of the 202</w:t>
      </w:r>
      <w:r w:rsidR="00592F7A" w:rsidRPr="00D319E0">
        <w:rPr>
          <w:rFonts w:ascii="Arial" w:eastAsia="TimesNewRomanPSMT" w:hAnsi="Arial" w:cs="Arial"/>
          <w:sz w:val="20"/>
          <w:szCs w:val="20"/>
          <w:lang w:eastAsia="en-ZA"/>
        </w:rPr>
        <w:t>3</w:t>
      </w:r>
      <w:r w:rsidRPr="00D319E0">
        <w:rPr>
          <w:rFonts w:ascii="Arial" w:eastAsia="TimesNewRomanPSMT" w:hAnsi="Arial" w:cs="Arial"/>
          <w:sz w:val="20"/>
          <w:szCs w:val="20"/>
          <w:lang w:eastAsia="en-ZA"/>
        </w:rPr>
        <w:t>/2</w:t>
      </w:r>
      <w:r w:rsidR="00592F7A" w:rsidRPr="00D319E0">
        <w:rPr>
          <w:rFonts w:ascii="Arial" w:eastAsia="TimesNewRomanPSMT" w:hAnsi="Arial" w:cs="Arial"/>
          <w:sz w:val="20"/>
          <w:szCs w:val="20"/>
          <w:lang w:eastAsia="en-ZA"/>
        </w:rPr>
        <w:t>4</w:t>
      </w:r>
      <w:r w:rsidRPr="00D319E0">
        <w:rPr>
          <w:rFonts w:ascii="Arial" w:eastAsia="TimesNewRomanPSMT" w:hAnsi="Arial" w:cs="Arial"/>
          <w:sz w:val="20"/>
          <w:szCs w:val="20"/>
          <w:lang w:eastAsia="en-ZA"/>
        </w:rPr>
        <w:t xml:space="preserve"> Budget Hearings of the CSPS. The Report is structured as follows:</w:t>
      </w:r>
    </w:p>
    <w:p w:rsidR="00B352A0" w:rsidRPr="00D319E0" w:rsidRDefault="00B352A0" w:rsidP="00D319E0">
      <w:pPr>
        <w:pStyle w:val="ListParagraph"/>
        <w:numPr>
          <w:ilvl w:val="0"/>
          <w:numId w:val="20"/>
        </w:numPr>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Section 1: Introduction. This section provides an introduction to this Report as well as a summary of meetings held during the hearings.</w:t>
      </w:r>
    </w:p>
    <w:p w:rsidR="00B352A0" w:rsidRPr="00D319E0" w:rsidRDefault="00B352A0" w:rsidP="00D319E0">
      <w:pPr>
        <w:pStyle w:val="ListParagraph"/>
        <w:numPr>
          <w:ilvl w:val="0"/>
          <w:numId w:val="20"/>
        </w:numPr>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 xml:space="preserve">Section 2: </w:t>
      </w:r>
      <w:r w:rsidR="009B3C87" w:rsidRPr="00D319E0">
        <w:rPr>
          <w:rFonts w:ascii="Arial" w:eastAsia="TimesNewRomanPSMT" w:hAnsi="Arial" w:cs="Arial"/>
          <w:sz w:val="20"/>
          <w:szCs w:val="20"/>
          <w:lang w:eastAsia="en-ZA"/>
        </w:rPr>
        <w:t>Strategic overview</w:t>
      </w:r>
      <w:r w:rsidRPr="00D319E0">
        <w:rPr>
          <w:rFonts w:ascii="Arial" w:eastAsia="TimesNewRomanPSMT" w:hAnsi="Arial" w:cs="Arial"/>
          <w:sz w:val="20"/>
          <w:szCs w:val="20"/>
          <w:lang w:eastAsia="en-ZA"/>
        </w:rPr>
        <w:t xml:space="preserve">. This section provides </w:t>
      </w:r>
      <w:r w:rsidR="009B3C87" w:rsidRPr="00D319E0">
        <w:rPr>
          <w:rFonts w:ascii="Arial" w:eastAsia="TimesNewRomanPSMT" w:hAnsi="Arial" w:cs="Arial"/>
          <w:sz w:val="20"/>
          <w:szCs w:val="20"/>
          <w:lang w:eastAsia="en-ZA"/>
        </w:rPr>
        <w:t>an overview of the strategic priorities of the Department during the 202</w:t>
      </w:r>
      <w:r w:rsidR="00592F7A" w:rsidRPr="00D319E0">
        <w:rPr>
          <w:rFonts w:ascii="Arial" w:eastAsia="TimesNewRomanPSMT" w:hAnsi="Arial" w:cs="Arial"/>
          <w:sz w:val="20"/>
          <w:szCs w:val="20"/>
          <w:lang w:eastAsia="en-ZA"/>
        </w:rPr>
        <w:t>3</w:t>
      </w:r>
      <w:r w:rsidR="009B3C87" w:rsidRPr="00D319E0">
        <w:rPr>
          <w:rFonts w:ascii="Arial" w:eastAsia="TimesNewRomanPSMT" w:hAnsi="Arial" w:cs="Arial"/>
          <w:sz w:val="20"/>
          <w:szCs w:val="20"/>
          <w:lang w:eastAsia="en-ZA"/>
        </w:rPr>
        <w:t>/2</w:t>
      </w:r>
      <w:r w:rsidR="00592F7A" w:rsidRPr="00D319E0">
        <w:rPr>
          <w:rFonts w:ascii="Arial" w:eastAsia="TimesNewRomanPSMT" w:hAnsi="Arial" w:cs="Arial"/>
          <w:sz w:val="20"/>
          <w:szCs w:val="20"/>
          <w:lang w:eastAsia="en-ZA"/>
        </w:rPr>
        <w:t>4</w:t>
      </w:r>
      <w:r w:rsidR="009B3C87" w:rsidRPr="00D319E0">
        <w:rPr>
          <w:rFonts w:ascii="Arial" w:eastAsia="TimesNewRomanPSMT" w:hAnsi="Arial" w:cs="Arial"/>
          <w:sz w:val="20"/>
          <w:szCs w:val="20"/>
          <w:lang w:eastAsia="en-ZA"/>
        </w:rPr>
        <w:t xml:space="preserve"> financial year, as well as the medium-term.</w:t>
      </w:r>
    </w:p>
    <w:p w:rsidR="009B3C87" w:rsidRPr="00D319E0" w:rsidRDefault="00B352A0" w:rsidP="00D319E0">
      <w:pPr>
        <w:pStyle w:val="ListParagraph"/>
        <w:numPr>
          <w:ilvl w:val="0"/>
          <w:numId w:val="20"/>
        </w:numPr>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 xml:space="preserve">Section 3: </w:t>
      </w:r>
      <w:r w:rsidR="009B3C87" w:rsidRPr="00D319E0">
        <w:rPr>
          <w:rFonts w:ascii="Arial" w:eastAsia="TimesNewRomanPSMT" w:hAnsi="Arial" w:cs="Arial"/>
          <w:sz w:val="20"/>
          <w:szCs w:val="20"/>
          <w:lang w:eastAsia="en-ZA"/>
        </w:rPr>
        <w:t>Progress on drafting legislation. This section provides an overview of the progress made on the drafting of legislation by the Department during 202</w:t>
      </w:r>
      <w:r w:rsidR="001A43F5" w:rsidRPr="00D319E0">
        <w:rPr>
          <w:rFonts w:ascii="Arial" w:eastAsia="TimesNewRomanPSMT" w:hAnsi="Arial" w:cs="Arial"/>
          <w:sz w:val="20"/>
          <w:szCs w:val="20"/>
          <w:lang w:eastAsia="en-ZA"/>
        </w:rPr>
        <w:t>2/2</w:t>
      </w:r>
      <w:r w:rsidR="00592F7A" w:rsidRPr="00D319E0">
        <w:rPr>
          <w:rFonts w:ascii="Arial" w:eastAsia="TimesNewRomanPSMT" w:hAnsi="Arial" w:cs="Arial"/>
          <w:sz w:val="20"/>
          <w:szCs w:val="20"/>
          <w:lang w:eastAsia="en-ZA"/>
        </w:rPr>
        <w:t>3 and over the medium-term</w:t>
      </w:r>
      <w:r w:rsidR="009B3C87" w:rsidRPr="00D319E0">
        <w:rPr>
          <w:rFonts w:ascii="Arial" w:eastAsia="TimesNewRomanPSMT" w:hAnsi="Arial" w:cs="Arial"/>
          <w:sz w:val="20"/>
          <w:szCs w:val="20"/>
          <w:lang w:eastAsia="en-ZA"/>
        </w:rPr>
        <w:t xml:space="preserve">.  </w:t>
      </w:r>
    </w:p>
    <w:p w:rsidR="00533127" w:rsidRPr="00D319E0" w:rsidRDefault="009B3C87" w:rsidP="00D319E0">
      <w:pPr>
        <w:pStyle w:val="ListParagraph"/>
        <w:numPr>
          <w:ilvl w:val="0"/>
          <w:numId w:val="20"/>
        </w:numPr>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 xml:space="preserve">Section 4: </w:t>
      </w:r>
      <w:r w:rsidR="00533127" w:rsidRPr="00D319E0">
        <w:rPr>
          <w:rFonts w:ascii="Arial" w:eastAsia="TimesNewRomanPSMT" w:hAnsi="Arial" w:cs="Arial"/>
          <w:sz w:val="20"/>
          <w:szCs w:val="20"/>
          <w:lang w:eastAsia="en-ZA"/>
        </w:rPr>
        <w:t xml:space="preserve">Relevant court rulings. </w:t>
      </w:r>
      <w:r w:rsidR="003061C3" w:rsidRPr="00D319E0">
        <w:rPr>
          <w:rFonts w:ascii="Arial" w:eastAsia="TimesNewRomanPSMT" w:hAnsi="Arial" w:cs="Arial"/>
          <w:sz w:val="20"/>
          <w:szCs w:val="20"/>
          <w:lang w:eastAsia="en-ZA"/>
        </w:rPr>
        <w:t xml:space="preserve">The section summarises relevant </w:t>
      </w:r>
      <w:r w:rsidR="003061C3" w:rsidRPr="00D319E0">
        <w:rPr>
          <w:rFonts w:ascii="Arial" w:hAnsi="Arial" w:cs="Arial"/>
          <w:sz w:val="20"/>
          <w:szCs w:val="20"/>
        </w:rPr>
        <w:t xml:space="preserve">court rulings </w:t>
      </w:r>
      <w:r w:rsidR="00522413" w:rsidRPr="00D319E0">
        <w:rPr>
          <w:rFonts w:ascii="Arial" w:hAnsi="Arial" w:cs="Arial"/>
          <w:sz w:val="20"/>
          <w:szCs w:val="20"/>
        </w:rPr>
        <w:t xml:space="preserve">that </w:t>
      </w:r>
      <w:r w:rsidR="003061C3" w:rsidRPr="00D319E0">
        <w:rPr>
          <w:rFonts w:ascii="Arial" w:hAnsi="Arial" w:cs="Arial"/>
          <w:sz w:val="20"/>
          <w:szCs w:val="20"/>
        </w:rPr>
        <w:t>have a direct impact on legislation under the administration of the Minister of Police and must be taken into account by the Department when drafting legislation.</w:t>
      </w:r>
    </w:p>
    <w:p w:rsidR="00B352A0" w:rsidRPr="00D319E0" w:rsidRDefault="00533127" w:rsidP="00D319E0">
      <w:pPr>
        <w:pStyle w:val="ListParagraph"/>
        <w:numPr>
          <w:ilvl w:val="0"/>
          <w:numId w:val="20"/>
        </w:numPr>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 xml:space="preserve">Section 5: </w:t>
      </w:r>
      <w:r w:rsidR="00B352A0" w:rsidRPr="00D319E0">
        <w:rPr>
          <w:rFonts w:ascii="Arial" w:eastAsia="TimesNewRomanPSMT" w:hAnsi="Arial" w:cs="Arial"/>
          <w:sz w:val="20"/>
          <w:szCs w:val="20"/>
          <w:lang w:eastAsia="en-ZA"/>
        </w:rPr>
        <w:t>Budget allocation for 202</w:t>
      </w:r>
      <w:r w:rsidR="00592F7A" w:rsidRPr="00D319E0">
        <w:rPr>
          <w:rFonts w:ascii="Arial" w:eastAsia="TimesNewRomanPSMT" w:hAnsi="Arial" w:cs="Arial"/>
          <w:sz w:val="20"/>
          <w:szCs w:val="20"/>
          <w:lang w:eastAsia="en-ZA"/>
        </w:rPr>
        <w:t>3</w:t>
      </w:r>
      <w:r w:rsidR="00B352A0" w:rsidRPr="00D319E0">
        <w:rPr>
          <w:rFonts w:ascii="Arial" w:eastAsia="TimesNewRomanPSMT" w:hAnsi="Arial" w:cs="Arial"/>
          <w:sz w:val="20"/>
          <w:szCs w:val="20"/>
          <w:lang w:eastAsia="en-ZA"/>
        </w:rPr>
        <w:t>/2</w:t>
      </w:r>
      <w:r w:rsidR="00592F7A" w:rsidRPr="00D319E0">
        <w:rPr>
          <w:rFonts w:ascii="Arial" w:eastAsia="TimesNewRomanPSMT" w:hAnsi="Arial" w:cs="Arial"/>
          <w:sz w:val="20"/>
          <w:szCs w:val="20"/>
          <w:lang w:eastAsia="en-ZA"/>
        </w:rPr>
        <w:t>4</w:t>
      </w:r>
      <w:r w:rsidR="00B352A0" w:rsidRPr="00D319E0">
        <w:rPr>
          <w:rFonts w:ascii="Arial" w:eastAsia="TimesNewRomanPSMT" w:hAnsi="Arial" w:cs="Arial"/>
          <w:sz w:val="20"/>
          <w:szCs w:val="20"/>
          <w:lang w:eastAsia="en-ZA"/>
        </w:rPr>
        <w:t xml:space="preserve">. This section provides an analysis of the budget allocations per programme of the </w:t>
      </w:r>
      <w:r w:rsidR="009B3C87" w:rsidRPr="00D319E0">
        <w:rPr>
          <w:rFonts w:ascii="Arial" w:eastAsia="TimesNewRomanPSMT" w:hAnsi="Arial" w:cs="Arial"/>
          <w:sz w:val="20"/>
          <w:szCs w:val="20"/>
          <w:lang w:eastAsia="en-ZA"/>
        </w:rPr>
        <w:t>CSPS</w:t>
      </w:r>
      <w:r w:rsidR="00B352A0" w:rsidRPr="00D319E0">
        <w:rPr>
          <w:rFonts w:ascii="Arial" w:eastAsia="TimesNewRomanPSMT" w:hAnsi="Arial" w:cs="Arial"/>
          <w:sz w:val="20"/>
          <w:szCs w:val="20"/>
          <w:lang w:eastAsia="en-ZA"/>
        </w:rPr>
        <w:t xml:space="preserve"> for the 202</w:t>
      </w:r>
      <w:r w:rsidR="00592F7A" w:rsidRPr="00D319E0">
        <w:rPr>
          <w:rFonts w:ascii="Arial" w:eastAsia="TimesNewRomanPSMT" w:hAnsi="Arial" w:cs="Arial"/>
          <w:sz w:val="20"/>
          <w:szCs w:val="20"/>
          <w:lang w:eastAsia="en-ZA"/>
        </w:rPr>
        <w:t>3</w:t>
      </w:r>
      <w:r w:rsidR="00B352A0" w:rsidRPr="00D319E0">
        <w:rPr>
          <w:rFonts w:ascii="Arial" w:eastAsia="TimesNewRomanPSMT" w:hAnsi="Arial" w:cs="Arial"/>
          <w:sz w:val="20"/>
          <w:szCs w:val="20"/>
          <w:lang w:eastAsia="en-ZA"/>
        </w:rPr>
        <w:t>/2</w:t>
      </w:r>
      <w:r w:rsidR="00592F7A" w:rsidRPr="00D319E0">
        <w:rPr>
          <w:rFonts w:ascii="Arial" w:eastAsia="TimesNewRomanPSMT" w:hAnsi="Arial" w:cs="Arial"/>
          <w:sz w:val="20"/>
          <w:szCs w:val="20"/>
          <w:lang w:eastAsia="en-ZA"/>
        </w:rPr>
        <w:t>4</w:t>
      </w:r>
      <w:r w:rsidR="00B352A0" w:rsidRPr="00D319E0">
        <w:rPr>
          <w:rFonts w:ascii="Arial" w:eastAsia="TimesNewRomanPSMT" w:hAnsi="Arial" w:cs="Arial"/>
          <w:sz w:val="20"/>
          <w:szCs w:val="20"/>
          <w:lang w:eastAsia="en-ZA"/>
        </w:rPr>
        <w:t xml:space="preserve"> financial year. </w:t>
      </w:r>
    </w:p>
    <w:p w:rsidR="00B352A0" w:rsidRPr="00D319E0" w:rsidRDefault="009B3C87" w:rsidP="00D319E0">
      <w:pPr>
        <w:pStyle w:val="ListParagraph"/>
        <w:numPr>
          <w:ilvl w:val="0"/>
          <w:numId w:val="20"/>
        </w:numPr>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 xml:space="preserve">Section </w:t>
      </w:r>
      <w:r w:rsidR="009A229C" w:rsidRPr="00D319E0">
        <w:rPr>
          <w:rFonts w:ascii="Arial" w:eastAsia="TimesNewRomanPSMT" w:hAnsi="Arial" w:cs="Arial"/>
          <w:sz w:val="20"/>
          <w:szCs w:val="20"/>
          <w:lang w:eastAsia="en-ZA"/>
        </w:rPr>
        <w:t>6</w:t>
      </w:r>
      <w:r w:rsidR="00B352A0" w:rsidRPr="00D319E0">
        <w:rPr>
          <w:rFonts w:ascii="Arial" w:eastAsia="TimesNewRomanPSMT" w:hAnsi="Arial" w:cs="Arial"/>
          <w:sz w:val="20"/>
          <w:szCs w:val="20"/>
          <w:lang w:eastAsia="en-ZA"/>
        </w:rPr>
        <w:t>: Programme performance indicators for 202</w:t>
      </w:r>
      <w:r w:rsidR="00592F7A" w:rsidRPr="00D319E0">
        <w:rPr>
          <w:rFonts w:ascii="Arial" w:eastAsia="TimesNewRomanPSMT" w:hAnsi="Arial" w:cs="Arial"/>
          <w:sz w:val="20"/>
          <w:szCs w:val="20"/>
          <w:lang w:eastAsia="en-ZA"/>
        </w:rPr>
        <w:t>3</w:t>
      </w:r>
      <w:r w:rsidR="00B352A0" w:rsidRPr="00D319E0">
        <w:rPr>
          <w:rFonts w:ascii="Arial" w:eastAsia="TimesNewRomanPSMT" w:hAnsi="Arial" w:cs="Arial"/>
          <w:sz w:val="20"/>
          <w:szCs w:val="20"/>
          <w:lang w:eastAsia="en-ZA"/>
        </w:rPr>
        <w:t>/2</w:t>
      </w:r>
      <w:r w:rsidR="00592F7A" w:rsidRPr="00D319E0">
        <w:rPr>
          <w:rFonts w:ascii="Arial" w:eastAsia="TimesNewRomanPSMT" w:hAnsi="Arial" w:cs="Arial"/>
          <w:sz w:val="20"/>
          <w:szCs w:val="20"/>
          <w:lang w:eastAsia="en-ZA"/>
        </w:rPr>
        <w:t>4</w:t>
      </w:r>
      <w:r w:rsidR="00B352A0" w:rsidRPr="00D319E0">
        <w:rPr>
          <w:rFonts w:ascii="Arial" w:eastAsia="TimesNewRomanPSMT" w:hAnsi="Arial" w:cs="Arial"/>
          <w:sz w:val="20"/>
          <w:szCs w:val="20"/>
          <w:lang w:eastAsia="en-ZA"/>
        </w:rPr>
        <w:t xml:space="preserve">. This section provides a summary of the </w:t>
      </w:r>
      <w:r w:rsidRPr="00D319E0">
        <w:rPr>
          <w:rFonts w:ascii="Arial" w:eastAsia="TimesNewRomanPSMT" w:hAnsi="Arial" w:cs="Arial"/>
          <w:sz w:val="20"/>
          <w:szCs w:val="20"/>
          <w:lang w:eastAsia="en-ZA"/>
        </w:rPr>
        <w:t xml:space="preserve">Department’s </w:t>
      </w:r>
      <w:r w:rsidR="00B352A0" w:rsidRPr="00D319E0">
        <w:rPr>
          <w:rFonts w:ascii="Arial" w:eastAsia="TimesNewRomanPSMT" w:hAnsi="Arial" w:cs="Arial"/>
          <w:sz w:val="20"/>
          <w:szCs w:val="20"/>
          <w:lang w:eastAsia="en-ZA"/>
        </w:rPr>
        <w:t>performance indicators per programme for the 202</w:t>
      </w:r>
      <w:r w:rsidR="00592F7A" w:rsidRPr="00D319E0">
        <w:rPr>
          <w:rFonts w:ascii="Arial" w:eastAsia="TimesNewRomanPSMT" w:hAnsi="Arial" w:cs="Arial"/>
          <w:sz w:val="20"/>
          <w:szCs w:val="20"/>
          <w:lang w:eastAsia="en-ZA"/>
        </w:rPr>
        <w:t>3</w:t>
      </w:r>
      <w:r w:rsidR="00B352A0" w:rsidRPr="00D319E0">
        <w:rPr>
          <w:rFonts w:ascii="Arial" w:eastAsia="TimesNewRomanPSMT" w:hAnsi="Arial" w:cs="Arial"/>
          <w:sz w:val="20"/>
          <w:szCs w:val="20"/>
          <w:lang w:eastAsia="en-ZA"/>
        </w:rPr>
        <w:t>/2</w:t>
      </w:r>
      <w:r w:rsidR="00592F7A" w:rsidRPr="00D319E0">
        <w:rPr>
          <w:rFonts w:ascii="Arial" w:eastAsia="TimesNewRomanPSMT" w:hAnsi="Arial" w:cs="Arial"/>
          <w:sz w:val="20"/>
          <w:szCs w:val="20"/>
          <w:lang w:eastAsia="en-ZA"/>
        </w:rPr>
        <w:t>4</w:t>
      </w:r>
      <w:r w:rsidR="00B352A0" w:rsidRPr="00D319E0">
        <w:rPr>
          <w:rFonts w:ascii="Arial" w:eastAsia="TimesNewRomanPSMT" w:hAnsi="Arial" w:cs="Arial"/>
          <w:sz w:val="20"/>
          <w:szCs w:val="20"/>
          <w:lang w:eastAsia="en-ZA"/>
        </w:rPr>
        <w:t xml:space="preserve"> financial year. </w:t>
      </w:r>
    </w:p>
    <w:p w:rsidR="00B352A0" w:rsidRPr="00D319E0" w:rsidRDefault="00B352A0" w:rsidP="00D319E0">
      <w:pPr>
        <w:pStyle w:val="ListParagraph"/>
        <w:numPr>
          <w:ilvl w:val="0"/>
          <w:numId w:val="20"/>
        </w:numPr>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Section</w:t>
      </w:r>
      <w:r w:rsidR="009B3C87" w:rsidRPr="00D319E0">
        <w:rPr>
          <w:rFonts w:ascii="Arial" w:eastAsia="TimesNewRomanPSMT" w:hAnsi="Arial" w:cs="Arial"/>
          <w:sz w:val="20"/>
          <w:szCs w:val="20"/>
          <w:lang w:eastAsia="en-ZA"/>
        </w:rPr>
        <w:t xml:space="preserve"> </w:t>
      </w:r>
      <w:r w:rsidR="009A229C" w:rsidRPr="00D319E0">
        <w:rPr>
          <w:rFonts w:ascii="Arial" w:eastAsia="TimesNewRomanPSMT" w:hAnsi="Arial" w:cs="Arial"/>
          <w:sz w:val="20"/>
          <w:szCs w:val="20"/>
          <w:lang w:eastAsia="en-ZA"/>
        </w:rPr>
        <w:t>7</w:t>
      </w:r>
      <w:r w:rsidR="009B3C87" w:rsidRPr="00D319E0">
        <w:rPr>
          <w:rFonts w:ascii="Arial" w:eastAsia="TimesNewRomanPSMT" w:hAnsi="Arial" w:cs="Arial"/>
          <w:sz w:val="20"/>
          <w:szCs w:val="20"/>
          <w:lang w:eastAsia="en-ZA"/>
        </w:rPr>
        <w:t>: Committee observations</w:t>
      </w:r>
      <w:r w:rsidRPr="00D319E0">
        <w:rPr>
          <w:rFonts w:ascii="Arial" w:eastAsia="TimesNewRomanPSMT" w:hAnsi="Arial" w:cs="Arial"/>
          <w:sz w:val="20"/>
          <w:szCs w:val="20"/>
          <w:lang w:eastAsia="en-ZA"/>
        </w:rPr>
        <w:t xml:space="preserve">. This section provides </w:t>
      </w:r>
      <w:r w:rsidR="00F22A35" w:rsidRPr="00D319E0">
        <w:rPr>
          <w:rFonts w:ascii="Arial" w:eastAsia="TimesNewRomanPSMT" w:hAnsi="Arial" w:cs="Arial"/>
          <w:sz w:val="20"/>
          <w:szCs w:val="20"/>
          <w:lang w:eastAsia="en-ZA"/>
        </w:rPr>
        <w:t xml:space="preserve">a summary of </w:t>
      </w:r>
      <w:r w:rsidRPr="00D319E0">
        <w:rPr>
          <w:rFonts w:ascii="Arial" w:eastAsia="TimesNewRomanPSMT" w:hAnsi="Arial" w:cs="Arial"/>
          <w:sz w:val="20"/>
          <w:szCs w:val="20"/>
          <w:lang w:eastAsia="en-ZA"/>
        </w:rPr>
        <w:t>observations made by the Portfolio Committee on Police during the 202</w:t>
      </w:r>
      <w:r w:rsidR="00592F7A" w:rsidRPr="00D319E0">
        <w:rPr>
          <w:rFonts w:ascii="Arial" w:eastAsia="TimesNewRomanPSMT" w:hAnsi="Arial" w:cs="Arial"/>
          <w:sz w:val="20"/>
          <w:szCs w:val="20"/>
          <w:lang w:eastAsia="en-ZA"/>
        </w:rPr>
        <w:t>3</w:t>
      </w:r>
      <w:r w:rsidRPr="00D319E0">
        <w:rPr>
          <w:rFonts w:ascii="Arial" w:eastAsia="TimesNewRomanPSMT" w:hAnsi="Arial" w:cs="Arial"/>
          <w:sz w:val="20"/>
          <w:szCs w:val="20"/>
          <w:lang w:eastAsia="en-ZA"/>
        </w:rPr>
        <w:t>/2</w:t>
      </w:r>
      <w:r w:rsidR="00592F7A" w:rsidRPr="00D319E0">
        <w:rPr>
          <w:rFonts w:ascii="Arial" w:eastAsia="TimesNewRomanPSMT" w:hAnsi="Arial" w:cs="Arial"/>
          <w:sz w:val="20"/>
          <w:szCs w:val="20"/>
          <w:lang w:eastAsia="en-ZA"/>
        </w:rPr>
        <w:t>4</w:t>
      </w:r>
      <w:r w:rsidRPr="00D319E0">
        <w:rPr>
          <w:rFonts w:ascii="Arial" w:eastAsia="TimesNewRomanPSMT" w:hAnsi="Arial" w:cs="Arial"/>
          <w:sz w:val="20"/>
          <w:szCs w:val="20"/>
          <w:lang w:eastAsia="en-ZA"/>
        </w:rPr>
        <w:t xml:space="preserve"> budget hearings and subsequent responses by the Department.</w:t>
      </w:r>
    </w:p>
    <w:p w:rsidR="00B352A0" w:rsidRPr="00D319E0" w:rsidRDefault="00B352A0" w:rsidP="00D319E0">
      <w:pPr>
        <w:pStyle w:val="ListParagraph"/>
        <w:numPr>
          <w:ilvl w:val="0"/>
          <w:numId w:val="20"/>
        </w:numPr>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 xml:space="preserve">Section </w:t>
      </w:r>
      <w:r w:rsidR="009A229C" w:rsidRPr="00D319E0">
        <w:rPr>
          <w:rFonts w:ascii="Arial" w:eastAsia="TimesNewRomanPSMT" w:hAnsi="Arial" w:cs="Arial"/>
          <w:sz w:val="20"/>
          <w:szCs w:val="20"/>
          <w:lang w:eastAsia="en-ZA"/>
        </w:rPr>
        <w:t>8</w:t>
      </w:r>
      <w:r w:rsidRPr="00D319E0">
        <w:rPr>
          <w:rFonts w:ascii="Arial" w:eastAsia="TimesNewRomanPSMT" w:hAnsi="Arial" w:cs="Arial"/>
          <w:sz w:val="20"/>
          <w:szCs w:val="20"/>
          <w:lang w:eastAsia="en-ZA"/>
        </w:rPr>
        <w:t xml:space="preserve">: Recommendations and additional information. This section summarises the recommendations made by the Portfolio Committee on Police, as well as the additional information requested from the </w:t>
      </w:r>
      <w:r w:rsidR="009B3C87" w:rsidRPr="00D319E0">
        <w:rPr>
          <w:rFonts w:ascii="Arial" w:eastAsia="TimesNewRomanPSMT" w:hAnsi="Arial" w:cs="Arial"/>
          <w:sz w:val="20"/>
          <w:szCs w:val="20"/>
          <w:lang w:eastAsia="en-ZA"/>
        </w:rPr>
        <w:t>Department</w:t>
      </w:r>
      <w:r w:rsidRPr="00D319E0">
        <w:rPr>
          <w:rFonts w:ascii="Arial" w:eastAsia="TimesNewRomanPSMT" w:hAnsi="Arial" w:cs="Arial"/>
          <w:sz w:val="20"/>
          <w:szCs w:val="20"/>
          <w:lang w:eastAsia="en-ZA"/>
        </w:rPr>
        <w:t>.</w:t>
      </w:r>
    </w:p>
    <w:p w:rsidR="00B352A0" w:rsidRPr="00D319E0" w:rsidRDefault="00B352A0" w:rsidP="00D319E0">
      <w:pPr>
        <w:pStyle w:val="ListParagraph"/>
        <w:numPr>
          <w:ilvl w:val="0"/>
          <w:numId w:val="20"/>
        </w:numPr>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 xml:space="preserve">Section </w:t>
      </w:r>
      <w:r w:rsidR="009A229C" w:rsidRPr="00D319E0">
        <w:rPr>
          <w:rFonts w:ascii="Arial" w:eastAsia="TimesNewRomanPSMT" w:hAnsi="Arial" w:cs="Arial"/>
          <w:sz w:val="20"/>
          <w:szCs w:val="20"/>
          <w:lang w:eastAsia="en-ZA"/>
        </w:rPr>
        <w:t>9</w:t>
      </w:r>
      <w:r w:rsidRPr="00D319E0">
        <w:rPr>
          <w:rFonts w:ascii="Arial" w:eastAsia="TimesNewRomanPSMT" w:hAnsi="Arial" w:cs="Arial"/>
          <w:sz w:val="20"/>
          <w:szCs w:val="20"/>
          <w:lang w:eastAsia="en-ZA"/>
        </w:rPr>
        <w:t xml:space="preserve">: Conclusion. This section provides concluding remarks. </w:t>
      </w:r>
    </w:p>
    <w:p w:rsidR="00B352A0" w:rsidRPr="00D319E0" w:rsidRDefault="00B352A0" w:rsidP="00D319E0">
      <w:pPr>
        <w:spacing w:line="240" w:lineRule="auto"/>
        <w:jc w:val="left"/>
        <w:rPr>
          <w:rFonts w:ascii="Arial" w:hAnsi="Arial" w:cs="Arial"/>
          <w:sz w:val="20"/>
          <w:szCs w:val="20"/>
        </w:rPr>
      </w:pPr>
    </w:p>
    <w:p w:rsidR="00B352A0" w:rsidRPr="00D319E0" w:rsidRDefault="00B352A0" w:rsidP="00D319E0">
      <w:pPr>
        <w:pStyle w:val="Heading2"/>
        <w:numPr>
          <w:ilvl w:val="1"/>
          <w:numId w:val="19"/>
        </w:numPr>
        <w:spacing w:before="0" w:line="240" w:lineRule="auto"/>
        <w:rPr>
          <w:rFonts w:ascii="Arial" w:hAnsi="Arial" w:cs="Arial"/>
          <w:sz w:val="20"/>
          <w:szCs w:val="20"/>
        </w:rPr>
      </w:pPr>
      <w:r w:rsidRPr="00D319E0">
        <w:rPr>
          <w:rFonts w:ascii="Arial" w:hAnsi="Arial" w:cs="Arial"/>
          <w:sz w:val="20"/>
          <w:szCs w:val="20"/>
        </w:rPr>
        <w:t xml:space="preserve">Meetings held </w:t>
      </w:r>
    </w:p>
    <w:p w:rsidR="00B352A0" w:rsidRPr="00D319E0" w:rsidRDefault="00B352A0" w:rsidP="00D319E0">
      <w:pPr>
        <w:spacing w:line="240" w:lineRule="auto"/>
        <w:jc w:val="left"/>
        <w:rPr>
          <w:rFonts w:ascii="Arial" w:hAnsi="Arial" w:cs="Arial"/>
          <w:sz w:val="20"/>
          <w:szCs w:val="20"/>
        </w:rPr>
      </w:pPr>
    </w:p>
    <w:p w:rsidR="00B352A0" w:rsidRPr="00D319E0" w:rsidRDefault="00B352A0" w:rsidP="00D319E0">
      <w:pPr>
        <w:autoSpaceDE w:val="0"/>
        <w:autoSpaceDN w:val="0"/>
        <w:adjustRightInd w:val="0"/>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 xml:space="preserve">The Committee met on </w:t>
      </w:r>
      <w:r w:rsidR="00592F7A" w:rsidRPr="00D319E0">
        <w:rPr>
          <w:rFonts w:ascii="Arial" w:eastAsia="TimesNewRomanPSMT" w:hAnsi="Arial" w:cs="Arial"/>
          <w:sz w:val="20"/>
          <w:szCs w:val="20"/>
          <w:lang w:eastAsia="en-ZA"/>
        </w:rPr>
        <w:t>19</w:t>
      </w:r>
      <w:r w:rsidRPr="00D319E0">
        <w:rPr>
          <w:rFonts w:ascii="Arial" w:eastAsia="TimesNewRomanPSMT" w:hAnsi="Arial" w:cs="Arial"/>
          <w:sz w:val="20"/>
          <w:szCs w:val="20"/>
          <w:lang w:eastAsia="en-ZA"/>
        </w:rPr>
        <w:t xml:space="preserve"> April 202</w:t>
      </w:r>
      <w:r w:rsidR="00592F7A" w:rsidRPr="00D319E0">
        <w:rPr>
          <w:rFonts w:ascii="Arial" w:eastAsia="TimesNewRomanPSMT" w:hAnsi="Arial" w:cs="Arial"/>
          <w:sz w:val="20"/>
          <w:szCs w:val="20"/>
          <w:lang w:eastAsia="en-ZA"/>
        </w:rPr>
        <w:t>3</w:t>
      </w:r>
      <w:r w:rsidRPr="00D319E0">
        <w:rPr>
          <w:rFonts w:ascii="Arial" w:eastAsia="TimesNewRomanPSMT" w:hAnsi="Arial" w:cs="Arial"/>
          <w:sz w:val="20"/>
          <w:szCs w:val="20"/>
          <w:lang w:eastAsia="en-ZA"/>
        </w:rPr>
        <w:t xml:space="preserve"> to consider the 202</w:t>
      </w:r>
      <w:r w:rsidR="00592F7A" w:rsidRPr="00D319E0">
        <w:rPr>
          <w:rFonts w:ascii="Arial" w:eastAsia="TimesNewRomanPSMT" w:hAnsi="Arial" w:cs="Arial"/>
          <w:sz w:val="20"/>
          <w:szCs w:val="20"/>
          <w:lang w:eastAsia="en-ZA"/>
        </w:rPr>
        <w:t>3</w:t>
      </w:r>
      <w:r w:rsidRPr="00D319E0">
        <w:rPr>
          <w:rFonts w:ascii="Arial" w:eastAsia="TimesNewRomanPSMT" w:hAnsi="Arial" w:cs="Arial"/>
          <w:sz w:val="20"/>
          <w:szCs w:val="20"/>
          <w:lang w:eastAsia="en-ZA"/>
        </w:rPr>
        <w:t>/2</w:t>
      </w:r>
      <w:r w:rsidR="00592F7A" w:rsidRPr="00D319E0">
        <w:rPr>
          <w:rFonts w:ascii="Arial" w:eastAsia="TimesNewRomanPSMT" w:hAnsi="Arial" w:cs="Arial"/>
          <w:sz w:val="20"/>
          <w:szCs w:val="20"/>
          <w:lang w:eastAsia="en-ZA"/>
        </w:rPr>
        <w:t>4</w:t>
      </w:r>
      <w:r w:rsidRPr="00D319E0">
        <w:rPr>
          <w:rFonts w:ascii="Arial" w:eastAsia="TimesNewRomanPSMT" w:hAnsi="Arial" w:cs="Arial"/>
          <w:sz w:val="20"/>
          <w:szCs w:val="20"/>
          <w:lang w:eastAsia="en-ZA"/>
        </w:rPr>
        <w:t xml:space="preserve"> budget and APP of the CSPS. The meeting was held on a virtual platform.</w:t>
      </w:r>
      <w:r w:rsidR="00CC5086" w:rsidRPr="00D319E0">
        <w:rPr>
          <w:rFonts w:ascii="Arial" w:eastAsia="TimesNewRomanPSMT" w:hAnsi="Arial" w:cs="Arial"/>
          <w:sz w:val="20"/>
          <w:szCs w:val="20"/>
          <w:lang w:eastAsia="en-ZA"/>
        </w:rPr>
        <w:t xml:space="preserve"> A follow-up meeting was held on 03 May 2023 to address </w:t>
      </w:r>
      <w:r w:rsidR="00200371" w:rsidRPr="00D319E0">
        <w:rPr>
          <w:rFonts w:ascii="Arial" w:eastAsia="TimesNewRomanPSMT" w:hAnsi="Arial" w:cs="Arial"/>
          <w:sz w:val="20"/>
          <w:szCs w:val="20"/>
          <w:lang w:eastAsia="en-ZA"/>
        </w:rPr>
        <w:t xml:space="preserve">selected </w:t>
      </w:r>
      <w:r w:rsidR="00CC5086" w:rsidRPr="00D319E0">
        <w:rPr>
          <w:rFonts w:ascii="Arial" w:eastAsia="TimesNewRomanPSMT" w:hAnsi="Arial" w:cs="Arial"/>
          <w:sz w:val="20"/>
          <w:szCs w:val="20"/>
          <w:lang w:eastAsia="en-ZA"/>
        </w:rPr>
        <w:t xml:space="preserve">concerns that were raised on 19 April 2023. </w:t>
      </w:r>
    </w:p>
    <w:p w:rsidR="0041291E" w:rsidRPr="00D319E0" w:rsidRDefault="0041291E" w:rsidP="00D319E0">
      <w:pPr>
        <w:autoSpaceDE w:val="0"/>
        <w:autoSpaceDN w:val="0"/>
        <w:adjustRightInd w:val="0"/>
        <w:spacing w:line="240" w:lineRule="auto"/>
        <w:jc w:val="left"/>
        <w:rPr>
          <w:rFonts w:ascii="Arial" w:eastAsia="TimesNewRomanPSMT" w:hAnsi="Arial" w:cs="Arial"/>
          <w:sz w:val="20"/>
          <w:szCs w:val="20"/>
          <w:lang w:eastAsia="en-ZA"/>
        </w:rPr>
      </w:pPr>
    </w:p>
    <w:p w:rsidR="00CE1CC6" w:rsidRPr="00D319E0" w:rsidRDefault="00CE1CC6" w:rsidP="00D319E0">
      <w:pPr>
        <w:pStyle w:val="Heading1"/>
        <w:numPr>
          <w:ilvl w:val="0"/>
          <w:numId w:val="19"/>
        </w:numPr>
        <w:spacing w:before="0" w:line="240" w:lineRule="auto"/>
        <w:jc w:val="left"/>
        <w:rPr>
          <w:rFonts w:ascii="Arial" w:hAnsi="Arial" w:cs="Arial"/>
          <w:sz w:val="20"/>
          <w:szCs w:val="20"/>
        </w:rPr>
      </w:pPr>
      <w:bookmarkStart w:id="1" w:name="_Toc100572307"/>
      <w:r w:rsidRPr="00D319E0">
        <w:rPr>
          <w:rFonts w:ascii="Arial" w:hAnsi="Arial" w:cs="Arial"/>
          <w:sz w:val="20"/>
          <w:szCs w:val="20"/>
        </w:rPr>
        <w:t>Strategic Focus</w:t>
      </w:r>
      <w:r w:rsidR="004E3206" w:rsidRPr="00D319E0">
        <w:rPr>
          <w:rFonts w:ascii="Arial" w:hAnsi="Arial" w:cs="Arial"/>
          <w:sz w:val="20"/>
          <w:szCs w:val="20"/>
        </w:rPr>
        <w:t xml:space="preserve"> </w:t>
      </w:r>
      <w:r w:rsidR="00BC289D" w:rsidRPr="00D319E0">
        <w:rPr>
          <w:rFonts w:ascii="Arial" w:hAnsi="Arial" w:cs="Arial"/>
          <w:sz w:val="20"/>
          <w:szCs w:val="20"/>
        </w:rPr>
        <w:t>for 202</w:t>
      </w:r>
      <w:r w:rsidR="00F02997" w:rsidRPr="00D319E0">
        <w:rPr>
          <w:rFonts w:ascii="Arial" w:hAnsi="Arial" w:cs="Arial"/>
          <w:sz w:val="20"/>
          <w:szCs w:val="20"/>
        </w:rPr>
        <w:t>3</w:t>
      </w:r>
      <w:r w:rsidR="00BC289D" w:rsidRPr="00D319E0">
        <w:rPr>
          <w:rFonts w:ascii="Arial" w:hAnsi="Arial" w:cs="Arial"/>
          <w:sz w:val="20"/>
          <w:szCs w:val="20"/>
        </w:rPr>
        <w:t>/2</w:t>
      </w:r>
      <w:r w:rsidR="00F02997" w:rsidRPr="00D319E0">
        <w:rPr>
          <w:rFonts w:ascii="Arial" w:hAnsi="Arial" w:cs="Arial"/>
          <w:sz w:val="20"/>
          <w:szCs w:val="20"/>
        </w:rPr>
        <w:t>4</w:t>
      </w:r>
      <w:r w:rsidR="00BC289D" w:rsidRPr="00D319E0">
        <w:rPr>
          <w:rFonts w:ascii="Arial" w:hAnsi="Arial" w:cs="Arial"/>
          <w:sz w:val="20"/>
          <w:szCs w:val="20"/>
        </w:rPr>
        <w:t xml:space="preserve">and </w:t>
      </w:r>
      <w:r w:rsidR="004E3206" w:rsidRPr="00D319E0">
        <w:rPr>
          <w:rFonts w:ascii="Arial" w:hAnsi="Arial" w:cs="Arial"/>
          <w:sz w:val="20"/>
          <w:szCs w:val="20"/>
        </w:rPr>
        <w:t>medium-term</w:t>
      </w:r>
      <w:bookmarkEnd w:id="1"/>
    </w:p>
    <w:p w:rsidR="00CE1CC6" w:rsidRPr="00D319E0" w:rsidRDefault="00CE1CC6" w:rsidP="00D319E0">
      <w:pPr>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color w:val="000000"/>
          <w:sz w:val="20"/>
          <w:szCs w:val="20"/>
          <w:lang w:eastAsia="en-ZA"/>
        </w:rPr>
      </w:pPr>
      <w:r w:rsidRPr="00D319E0">
        <w:rPr>
          <w:rFonts w:ascii="Arial" w:hAnsi="Arial" w:cs="Arial"/>
          <w:color w:val="000000"/>
          <w:sz w:val="20"/>
          <w:szCs w:val="20"/>
          <w:lang w:eastAsia="en-ZA"/>
        </w:rPr>
        <w:t>The Department’s strategic focus for 2023/24 and over the medium term includes the following:</w:t>
      </w:r>
    </w:p>
    <w:p w:rsidR="00F02997" w:rsidRPr="00D319E0" w:rsidRDefault="00F02997" w:rsidP="00D319E0">
      <w:pPr>
        <w:pStyle w:val="ListParagraph"/>
        <w:numPr>
          <w:ilvl w:val="0"/>
          <w:numId w:val="16"/>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Encouraging community participation in the fight against crime through facilitating events such as imbizos and public participation programmes; </w:t>
      </w:r>
    </w:p>
    <w:p w:rsidR="00F02997" w:rsidRPr="00D319E0" w:rsidRDefault="00F02997" w:rsidP="00D319E0">
      <w:pPr>
        <w:pStyle w:val="ListParagraph"/>
        <w:numPr>
          <w:ilvl w:val="0"/>
          <w:numId w:val="16"/>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Developing policies and legislation for the police sector; and </w:t>
      </w:r>
    </w:p>
    <w:p w:rsidR="00F02997" w:rsidRPr="00D319E0" w:rsidRDefault="00F02997" w:rsidP="00D319E0">
      <w:pPr>
        <w:pStyle w:val="ListParagraph"/>
        <w:numPr>
          <w:ilvl w:val="0"/>
          <w:numId w:val="16"/>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Assessing and monitoring the performance of the police service, for example, its implementation of recommendations from the Independent Police Investigative Directorate and monitoring its compliance with the legal prescripts effecting its work.</w:t>
      </w:r>
    </w:p>
    <w:p w:rsidR="00F02997" w:rsidRPr="00D319E0" w:rsidRDefault="00F02997" w:rsidP="00D319E0">
      <w:pPr>
        <w:autoSpaceDE w:val="0"/>
        <w:autoSpaceDN w:val="0"/>
        <w:adjustRightInd w:val="0"/>
        <w:spacing w:line="240" w:lineRule="auto"/>
        <w:jc w:val="left"/>
        <w:rPr>
          <w:rFonts w:ascii="Arial" w:hAnsi="Arial" w:cs="Arial"/>
          <w:sz w:val="20"/>
          <w:szCs w:val="20"/>
          <w:lang w:eastAsia="en-ZA"/>
        </w:rPr>
      </w:pPr>
    </w:p>
    <w:p w:rsidR="00F02997" w:rsidRPr="00D319E0" w:rsidRDefault="00F02997" w:rsidP="00D319E0">
      <w:pPr>
        <w:pStyle w:val="Default"/>
        <w:rPr>
          <w:sz w:val="20"/>
          <w:szCs w:val="20"/>
        </w:rPr>
      </w:pPr>
      <w:r w:rsidRPr="00D319E0">
        <w:rPr>
          <w:sz w:val="20"/>
          <w:szCs w:val="20"/>
        </w:rPr>
        <w:t xml:space="preserve">As part of the 2020 – 2025 planning cycle, the CSPS adopted a five-year strategy centred around </w:t>
      </w:r>
      <w:r w:rsidRPr="00D319E0">
        <w:rPr>
          <w:i/>
          <w:iCs/>
          <w:sz w:val="20"/>
          <w:szCs w:val="20"/>
        </w:rPr>
        <w:t xml:space="preserve">improving levels of trust in the police through effective civilian oversight </w:t>
      </w:r>
      <w:r w:rsidRPr="00D319E0">
        <w:rPr>
          <w:sz w:val="20"/>
          <w:szCs w:val="20"/>
        </w:rPr>
        <w:t xml:space="preserve">as the desired impact. The Department identified four institutional outcomes towards the achievement of its envisaged impact, including: </w:t>
      </w:r>
    </w:p>
    <w:p w:rsidR="00F02997" w:rsidRPr="00D319E0" w:rsidRDefault="00F02997" w:rsidP="00D319E0">
      <w:pPr>
        <w:pStyle w:val="Default"/>
        <w:numPr>
          <w:ilvl w:val="0"/>
          <w:numId w:val="17"/>
        </w:numPr>
        <w:rPr>
          <w:sz w:val="20"/>
          <w:szCs w:val="20"/>
        </w:rPr>
      </w:pPr>
      <w:r w:rsidRPr="00D319E0">
        <w:rPr>
          <w:sz w:val="20"/>
          <w:szCs w:val="20"/>
        </w:rPr>
        <w:t xml:space="preserve">Improving community participation in the fight against crime; </w:t>
      </w:r>
    </w:p>
    <w:p w:rsidR="00F02997" w:rsidRPr="00D319E0" w:rsidRDefault="00F02997" w:rsidP="00D319E0">
      <w:pPr>
        <w:pStyle w:val="Default"/>
        <w:numPr>
          <w:ilvl w:val="0"/>
          <w:numId w:val="17"/>
        </w:numPr>
        <w:rPr>
          <w:sz w:val="20"/>
          <w:szCs w:val="20"/>
        </w:rPr>
      </w:pPr>
      <w:r w:rsidRPr="00D319E0">
        <w:rPr>
          <w:sz w:val="20"/>
          <w:szCs w:val="20"/>
        </w:rPr>
        <w:t xml:space="preserve">Improving community-police relations;  </w:t>
      </w:r>
    </w:p>
    <w:p w:rsidR="00F02997" w:rsidRPr="00D319E0" w:rsidRDefault="00F02997" w:rsidP="00D319E0">
      <w:pPr>
        <w:pStyle w:val="Default"/>
        <w:numPr>
          <w:ilvl w:val="0"/>
          <w:numId w:val="17"/>
        </w:numPr>
        <w:rPr>
          <w:sz w:val="20"/>
          <w:szCs w:val="20"/>
        </w:rPr>
      </w:pPr>
      <w:r w:rsidRPr="00D319E0">
        <w:rPr>
          <w:sz w:val="20"/>
          <w:szCs w:val="20"/>
        </w:rPr>
        <w:lastRenderedPageBreak/>
        <w:t xml:space="preserve">Facilitating collaboration, coordination and integration on safety, crime and violence prevention within the three spheres of government; and </w:t>
      </w:r>
    </w:p>
    <w:p w:rsidR="00BC289D" w:rsidRPr="00D319E0" w:rsidRDefault="00F02997" w:rsidP="00D319E0">
      <w:pPr>
        <w:pStyle w:val="Default"/>
        <w:numPr>
          <w:ilvl w:val="0"/>
          <w:numId w:val="17"/>
        </w:numPr>
        <w:rPr>
          <w:sz w:val="20"/>
          <w:szCs w:val="20"/>
        </w:rPr>
      </w:pPr>
      <w:r w:rsidRPr="00D319E0">
        <w:rPr>
          <w:sz w:val="20"/>
          <w:szCs w:val="20"/>
        </w:rPr>
        <w:t>Ensuring a transformed and accountable police service.</w:t>
      </w:r>
    </w:p>
    <w:p w:rsidR="00F02997" w:rsidRPr="00D319E0" w:rsidRDefault="00F02997" w:rsidP="00D319E0">
      <w:pPr>
        <w:autoSpaceDE w:val="0"/>
        <w:autoSpaceDN w:val="0"/>
        <w:adjustRightInd w:val="0"/>
        <w:spacing w:line="240" w:lineRule="auto"/>
        <w:jc w:val="left"/>
        <w:rPr>
          <w:rFonts w:ascii="Arial" w:hAnsi="Arial" w:cs="Arial"/>
          <w:sz w:val="20"/>
          <w:szCs w:val="20"/>
          <w:lang w:eastAsia="en-ZA"/>
        </w:rPr>
      </w:pPr>
    </w:p>
    <w:p w:rsidR="00AB6277" w:rsidRPr="00D319E0" w:rsidRDefault="006229AA" w:rsidP="00D319E0">
      <w:pPr>
        <w:pStyle w:val="Heading1"/>
        <w:numPr>
          <w:ilvl w:val="0"/>
          <w:numId w:val="19"/>
        </w:numPr>
        <w:spacing w:before="0" w:line="240" w:lineRule="auto"/>
        <w:jc w:val="left"/>
        <w:rPr>
          <w:rFonts w:ascii="Arial" w:hAnsi="Arial" w:cs="Arial"/>
          <w:sz w:val="20"/>
          <w:szCs w:val="20"/>
        </w:rPr>
      </w:pPr>
      <w:bookmarkStart w:id="2" w:name="_Toc100572308"/>
      <w:r w:rsidRPr="00D319E0">
        <w:rPr>
          <w:rFonts w:ascii="Arial" w:hAnsi="Arial" w:cs="Arial"/>
          <w:sz w:val="20"/>
          <w:szCs w:val="20"/>
        </w:rPr>
        <w:t xml:space="preserve">Progress on drafting of </w:t>
      </w:r>
      <w:r w:rsidR="00AB6277" w:rsidRPr="00D319E0">
        <w:rPr>
          <w:rFonts w:ascii="Arial" w:hAnsi="Arial" w:cs="Arial"/>
          <w:sz w:val="20"/>
          <w:szCs w:val="20"/>
        </w:rPr>
        <w:t>Legislation</w:t>
      </w:r>
      <w:bookmarkEnd w:id="2"/>
      <w:r w:rsidR="00AB6277" w:rsidRPr="00D319E0">
        <w:rPr>
          <w:rFonts w:ascii="Arial" w:hAnsi="Arial" w:cs="Arial"/>
          <w:sz w:val="20"/>
          <w:szCs w:val="20"/>
        </w:rPr>
        <w:t xml:space="preserve"> </w:t>
      </w:r>
    </w:p>
    <w:p w:rsidR="006229AA" w:rsidRPr="00D319E0" w:rsidRDefault="006229AA" w:rsidP="00D319E0">
      <w:pPr>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The CSPS plans to fin</w:t>
      </w:r>
      <w:r w:rsidR="00C06359" w:rsidRPr="00D319E0">
        <w:rPr>
          <w:rFonts w:ascii="Arial" w:hAnsi="Arial" w:cs="Arial"/>
          <w:sz w:val="20"/>
          <w:szCs w:val="20"/>
          <w:lang w:eastAsia="en-ZA"/>
        </w:rPr>
        <w:t>alise six bills over the medium-</w:t>
      </w:r>
      <w:r w:rsidRPr="00D319E0">
        <w:rPr>
          <w:rFonts w:ascii="Arial" w:hAnsi="Arial" w:cs="Arial"/>
          <w:sz w:val="20"/>
          <w:szCs w:val="20"/>
          <w:lang w:eastAsia="en-ZA"/>
        </w:rPr>
        <w:t xml:space="preserve">term, including the: </w:t>
      </w:r>
    </w:p>
    <w:p w:rsidR="00F02997" w:rsidRPr="00D319E0" w:rsidRDefault="00F02997" w:rsidP="00D319E0">
      <w:pPr>
        <w:pStyle w:val="ListParagraph"/>
        <w:numPr>
          <w:ilvl w:val="0"/>
          <w:numId w:val="36"/>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South African Police Service Amendment Bill </w:t>
      </w:r>
    </w:p>
    <w:p w:rsidR="00F02997" w:rsidRPr="00D319E0" w:rsidRDefault="00F02997" w:rsidP="00D319E0">
      <w:pPr>
        <w:pStyle w:val="ListParagraph"/>
        <w:numPr>
          <w:ilvl w:val="0"/>
          <w:numId w:val="36"/>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Independent Police Investigative Directorate Amendment Bill </w:t>
      </w:r>
    </w:p>
    <w:p w:rsidR="00F02997" w:rsidRPr="00D319E0" w:rsidRDefault="00F02997" w:rsidP="00D319E0">
      <w:pPr>
        <w:pStyle w:val="ListParagraph"/>
        <w:numPr>
          <w:ilvl w:val="0"/>
          <w:numId w:val="36"/>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Stock Theft Amendment Bill</w:t>
      </w:r>
    </w:p>
    <w:p w:rsidR="00F02997" w:rsidRPr="00D319E0" w:rsidRDefault="00F02997" w:rsidP="00D319E0">
      <w:pPr>
        <w:pStyle w:val="ListParagraph"/>
        <w:numPr>
          <w:ilvl w:val="0"/>
          <w:numId w:val="36"/>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Firearms Control Amendment Bill</w:t>
      </w:r>
    </w:p>
    <w:p w:rsidR="00F02997" w:rsidRPr="00D319E0" w:rsidRDefault="00F02997" w:rsidP="00D319E0">
      <w:pPr>
        <w:pStyle w:val="ListParagraph"/>
        <w:numPr>
          <w:ilvl w:val="0"/>
          <w:numId w:val="36"/>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Second</w:t>
      </w:r>
      <w:r w:rsidRPr="00D319E0">
        <w:rPr>
          <w:rFonts w:cs="Arial"/>
          <w:sz w:val="20"/>
          <w:szCs w:val="20"/>
          <w:lang w:eastAsia="en-ZA"/>
        </w:rPr>
        <w:t>‐</w:t>
      </w:r>
      <w:r w:rsidRPr="00D319E0">
        <w:rPr>
          <w:rFonts w:ascii="Arial" w:hAnsi="Arial" w:cs="Arial"/>
          <w:sz w:val="20"/>
          <w:szCs w:val="20"/>
          <w:lang w:eastAsia="en-ZA"/>
        </w:rPr>
        <w:t xml:space="preserve">hand Goods Amendment Bill </w:t>
      </w:r>
    </w:p>
    <w:p w:rsidR="00F02997" w:rsidRPr="00D319E0" w:rsidRDefault="00F02997" w:rsidP="00D319E0">
      <w:pPr>
        <w:pStyle w:val="ListParagraph"/>
        <w:numPr>
          <w:ilvl w:val="0"/>
          <w:numId w:val="36"/>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Civilian Secretariat for Police Service Amendment Bill</w:t>
      </w:r>
    </w:p>
    <w:p w:rsidR="00F02997" w:rsidRPr="00D319E0" w:rsidRDefault="00F02997" w:rsidP="00D319E0">
      <w:pPr>
        <w:autoSpaceDE w:val="0"/>
        <w:autoSpaceDN w:val="0"/>
        <w:adjustRightInd w:val="0"/>
        <w:spacing w:line="240" w:lineRule="auto"/>
        <w:jc w:val="left"/>
        <w:rPr>
          <w:rFonts w:ascii="Arial" w:hAnsi="Arial" w:cs="Arial"/>
          <w:sz w:val="20"/>
          <w:szCs w:val="20"/>
          <w:lang w:eastAsia="en-ZA"/>
        </w:rPr>
      </w:pPr>
    </w:p>
    <w:p w:rsidR="00F02997" w:rsidRPr="00D319E0" w:rsidRDefault="00F02997" w:rsidP="00D319E0">
      <w:p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The Criminal Law (Forensic Procedures) Amendment Bill and the Protection of Constitutional Democracy Against Terrorist and Related Activities Amendment Bill, were finalised in 2022.</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spacing w:line="240" w:lineRule="auto"/>
        <w:jc w:val="left"/>
        <w:rPr>
          <w:rFonts w:ascii="Arial" w:hAnsi="Arial" w:cs="Arial"/>
          <w:sz w:val="20"/>
          <w:szCs w:val="20"/>
        </w:rPr>
      </w:pPr>
      <w:r w:rsidRPr="00D319E0">
        <w:rPr>
          <w:rFonts w:ascii="Arial" w:hAnsi="Arial" w:cs="Arial"/>
          <w:sz w:val="20"/>
          <w:szCs w:val="20"/>
        </w:rPr>
        <w:t>During 2022/23</w:t>
      </w:r>
      <w:r w:rsidR="00C06359" w:rsidRPr="00D319E0">
        <w:rPr>
          <w:rFonts w:ascii="Arial" w:hAnsi="Arial" w:cs="Arial"/>
          <w:sz w:val="20"/>
          <w:szCs w:val="20"/>
        </w:rPr>
        <w:t xml:space="preserve"> (past financial year)</w:t>
      </w:r>
      <w:r w:rsidRPr="00D319E0">
        <w:rPr>
          <w:rFonts w:ascii="Arial" w:hAnsi="Arial" w:cs="Arial"/>
          <w:sz w:val="20"/>
          <w:szCs w:val="20"/>
        </w:rPr>
        <w:t xml:space="preserve">, the following progress was made in terms of key legislation affecting the policing portfolio: </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b/>
          <w:sz w:val="20"/>
          <w:szCs w:val="20"/>
          <w:lang w:eastAsia="en-ZA"/>
        </w:rPr>
      </w:pPr>
      <w:r w:rsidRPr="00D319E0">
        <w:rPr>
          <w:rFonts w:ascii="Arial" w:hAnsi="Arial" w:cs="Arial"/>
          <w:b/>
          <w:sz w:val="20"/>
          <w:szCs w:val="20"/>
          <w:lang w:eastAsia="en-ZA"/>
        </w:rPr>
        <w:t xml:space="preserve">South African Police Service Amendment Bill </w:t>
      </w:r>
    </w:p>
    <w:p w:rsidR="00F02997" w:rsidRPr="00D319E0" w:rsidRDefault="00F02997" w:rsidP="00D319E0">
      <w:pPr>
        <w:pStyle w:val="ListParagraph"/>
        <w:numPr>
          <w:ilvl w:val="0"/>
          <w:numId w:val="11"/>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Public comments received in 2021 were considered and incorporated into the Bill. </w:t>
      </w:r>
    </w:p>
    <w:p w:rsidR="00F02997" w:rsidRPr="00D319E0" w:rsidRDefault="00F02997" w:rsidP="00D319E0">
      <w:pPr>
        <w:pStyle w:val="ListParagraph"/>
        <w:numPr>
          <w:ilvl w:val="0"/>
          <w:numId w:val="11"/>
        </w:numPr>
        <w:autoSpaceDE w:val="0"/>
        <w:autoSpaceDN w:val="0"/>
        <w:adjustRightInd w:val="0"/>
        <w:spacing w:line="240" w:lineRule="auto"/>
        <w:jc w:val="left"/>
        <w:rPr>
          <w:rFonts w:ascii="Arial" w:hAnsi="Arial" w:cs="Arial"/>
          <w:i/>
          <w:sz w:val="20"/>
          <w:szCs w:val="20"/>
          <w:lang w:eastAsia="en-ZA"/>
        </w:rPr>
      </w:pPr>
      <w:r w:rsidRPr="00D319E0">
        <w:rPr>
          <w:rFonts w:ascii="Arial" w:hAnsi="Arial" w:cs="Arial"/>
          <w:sz w:val="20"/>
          <w:szCs w:val="20"/>
          <w:lang w:eastAsia="en-ZA"/>
        </w:rPr>
        <w:t xml:space="preserve">The introduction of the Bill in Parliament for consideration is envisaged in the new financial year (2023/24). </w:t>
      </w:r>
      <w:r w:rsidRPr="00D319E0">
        <w:rPr>
          <w:rFonts w:ascii="Arial" w:hAnsi="Arial" w:cs="Arial"/>
          <w:i/>
          <w:sz w:val="20"/>
          <w:szCs w:val="20"/>
          <w:lang w:eastAsia="en-ZA"/>
        </w:rPr>
        <w:t xml:space="preserve">Note: The Bill should stand over to the new Administration for processing. </w:t>
      </w:r>
    </w:p>
    <w:p w:rsidR="00F02997" w:rsidRPr="00D319E0" w:rsidRDefault="00F02997" w:rsidP="00D319E0">
      <w:pPr>
        <w:autoSpaceDE w:val="0"/>
        <w:autoSpaceDN w:val="0"/>
        <w:adjustRightInd w:val="0"/>
        <w:spacing w:line="240" w:lineRule="auto"/>
        <w:jc w:val="left"/>
        <w:rPr>
          <w:rFonts w:ascii="Arial" w:hAnsi="Arial" w:cs="Arial"/>
          <w:sz w:val="20"/>
          <w:szCs w:val="20"/>
          <w:lang w:eastAsia="en-ZA"/>
        </w:rPr>
      </w:pPr>
    </w:p>
    <w:p w:rsidR="00F02997" w:rsidRPr="00D319E0" w:rsidRDefault="00F02997" w:rsidP="00D319E0">
      <w:pPr>
        <w:autoSpaceDE w:val="0"/>
        <w:autoSpaceDN w:val="0"/>
        <w:adjustRightInd w:val="0"/>
        <w:spacing w:line="240" w:lineRule="auto"/>
        <w:jc w:val="left"/>
        <w:rPr>
          <w:rFonts w:ascii="Arial" w:hAnsi="Arial" w:cs="Arial"/>
          <w:sz w:val="20"/>
          <w:szCs w:val="20"/>
          <w:lang w:eastAsia="en-ZA"/>
        </w:rPr>
      </w:pPr>
      <w:r w:rsidRPr="00D319E0">
        <w:rPr>
          <w:rFonts w:ascii="Arial" w:hAnsi="Arial" w:cs="Arial"/>
          <w:b/>
          <w:bCs/>
          <w:sz w:val="20"/>
          <w:szCs w:val="20"/>
          <w:lang w:eastAsia="en-ZA"/>
        </w:rPr>
        <w:t xml:space="preserve">Firearms Control Amendment Bill </w:t>
      </w:r>
    </w:p>
    <w:p w:rsidR="00F02997" w:rsidRPr="00D319E0" w:rsidRDefault="00F02997" w:rsidP="00D319E0">
      <w:pPr>
        <w:pStyle w:val="ListParagraph"/>
        <w:numPr>
          <w:ilvl w:val="0"/>
          <w:numId w:val="13"/>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The Bill was published for public comments in May 2021. </w:t>
      </w:r>
    </w:p>
    <w:p w:rsidR="00F02997" w:rsidRPr="00D319E0" w:rsidRDefault="00F02997" w:rsidP="00D319E0">
      <w:pPr>
        <w:pStyle w:val="ListParagraph"/>
        <w:numPr>
          <w:ilvl w:val="0"/>
          <w:numId w:val="13"/>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A series of consultation meetings with stakeholders took place from February to August 2022. </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sz w:val="20"/>
          <w:szCs w:val="20"/>
          <w:lang w:eastAsia="en-ZA"/>
        </w:rPr>
      </w:pPr>
      <w:r w:rsidRPr="00D319E0">
        <w:rPr>
          <w:rFonts w:ascii="Arial" w:hAnsi="Arial" w:cs="Arial"/>
          <w:b/>
          <w:bCs/>
          <w:sz w:val="20"/>
          <w:szCs w:val="20"/>
          <w:lang w:eastAsia="en-ZA"/>
        </w:rPr>
        <w:t xml:space="preserve">Independent Police Investigative Directorate Amendment Bill </w:t>
      </w:r>
    </w:p>
    <w:p w:rsidR="00F02997" w:rsidRPr="00D319E0" w:rsidRDefault="00F02997" w:rsidP="00D319E0">
      <w:pPr>
        <w:pStyle w:val="ListParagraph"/>
        <w:numPr>
          <w:ilvl w:val="0"/>
          <w:numId w:val="35"/>
        </w:numPr>
        <w:autoSpaceDE w:val="0"/>
        <w:autoSpaceDN w:val="0"/>
        <w:adjustRightInd w:val="0"/>
        <w:spacing w:line="240" w:lineRule="auto"/>
        <w:jc w:val="left"/>
        <w:rPr>
          <w:rFonts w:ascii="Arial" w:hAnsi="Arial" w:cs="Arial"/>
          <w:color w:val="000000"/>
          <w:sz w:val="20"/>
          <w:szCs w:val="20"/>
          <w:lang w:eastAsia="en-ZA"/>
        </w:rPr>
      </w:pPr>
      <w:r w:rsidRPr="00D319E0">
        <w:rPr>
          <w:rFonts w:ascii="Arial" w:hAnsi="Arial" w:cs="Arial"/>
          <w:color w:val="000000"/>
          <w:sz w:val="20"/>
          <w:szCs w:val="20"/>
          <w:lang w:eastAsia="en-ZA"/>
        </w:rPr>
        <w:t xml:space="preserve">The Bill was approved by Cabinet for publication in the Gazette for public comments in October 2022. </w:t>
      </w:r>
    </w:p>
    <w:p w:rsidR="00F02997" w:rsidRPr="00D319E0" w:rsidRDefault="00F02997" w:rsidP="00D319E0">
      <w:pPr>
        <w:pStyle w:val="ListParagraph"/>
        <w:numPr>
          <w:ilvl w:val="0"/>
          <w:numId w:val="35"/>
        </w:numPr>
        <w:autoSpaceDE w:val="0"/>
        <w:autoSpaceDN w:val="0"/>
        <w:adjustRightInd w:val="0"/>
        <w:spacing w:line="240" w:lineRule="auto"/>
        <w:jc w:val="left"/>
        <w:rPr>
          <w:rFonts w:ascii="Arial" w:hAnsi="Arial" w:cs="Arial"/>
          <w:color w:val="000000"/>
          <w:sz w:val="20"/>
          <w:szCs w:val="20"/>
          <w:lang w:eastAsia="en-ZA"/>
        </w:rPr>
      </w:pPr>
      <w:r w:rsidRPr="00D319E0">
        <w:rPr>
          <w:rFonts w:ascii="Arial" w:hAnsi="Arial" w:cs="Arial"/>
          <w:color w:val="000000"/>
          <w:sz w:val="20"/>
          <w:szCs w:val="20"/>
          <w:lang w:eastAsia="en-ZA"/>
        </w:rPr>
        <w:t xml:space="preserve">All comments will be considered and, where necessary, incorporated into the Bill for further consideration by the JCPS Cluster with the goal of obtaining approval for introduction of the Bill in Parliament. </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spacing w:line="240" w:lineRule="auto"/>
        <w:jc w:val="left"/>
        <w:rPr>
          <w:rFonts w:ascii="Arial" w:hAnsi="Arial" w:cs="Arial"/>
          <w:b/>
          <w:sz w:val="20"/>
          <w:szCs w:val="20"/>
        </w:rPr>
      </w:pPr>
      <w:r w:rsidRPr="00D319E0">
        <w:rPr>
          <w:rFonts w:ascii="Arial" w:hAnsi="Arial" w:cs="Arial"/>
          <w:b/>
          <w:sz w:val="20"/>
          <w:szCs w:val="20"/>
        </w:rPr>
        <w:t>Review of CSPS Act</w:t>
      </w:r>
    </w:p>
    <w:p w:rsidR="00F02997" w:rsidRPr="00D319E0" w:rsidRDefault="00F02997" w:rsidP="00D319E0">
      <w:pPr>
        <w:spacing w:line="240" w:lineRule="auto"/>
        <w:jc w:val="left"/>
        <w:rPr>
          <w:rFonts w:ascii="Arial" w:hAnsi="Arial" w:cs="Arial"/>
          <w:i/>
          <w:sz w:val="20"/>
          <w:szCs w:val="20"/>
          <w:u w:val="single"/>
        </w:rPr>
      </w:pPr>
      <w:r w:rsidRPr="00D319E0">
        <w:rPr>
          <w:rFonts w:ascii="Arial" w:hAnsi="Arial" w:cs="Arial"/>
          <w:sz w:val="20"/>
          <w:szCs w:val="20"/>
        </w:rPr>
        <w:t xml:space="preserve">In its 2022/23 APP, the Department stated the need for an urgent review of the CSPS Act, 2011. It stated that although the </w:t>
      </w:r>
      <w:r w:rsidRPr="00D319E0">
        <w:rPr>
          <w:rFonts w:ascii="Arial" w:hAnsi="Arial" w:cs="Arial"/>
          <w:i/>
          <w:sz w:val="20"/>
          <w:szCs w:val="20"/>
        </w:rPr>
        <w:t xml:space="preserve">“CSPS legislation is good, clear and succinct in terms of our oversight role, </w:t>
      </w:r>
      <w:r w:rsidRPr="00D319E0">
        <w:rPr>
          <w:rFonts w:ascii="Arial" w:hAnsi="Arial" w:cs="Arial"/>
          <w:i/>
          <w:sz w:val="20"/>
          <w:szCs w:val="20"/>
          <w:u w:val="single"/>
        </w:rPr>
        <w:t>is also somewhat vague in terms of empowering the Department to actively pursue some of the bold choices in its organisational strategy by making allowances for enforcement in instances of non-adherence to its provisions by SAPS</w:t>
      </w:r>
      <w:r w:rsidRPr="00D319E0">
        <w:rPr>
          <w:rFonts w:ascii="Arial" w:hAnsi="Arial" w:cs="Arial"/>
          <w:i/>
          <w:sz w:val="20"/>
          <w:szCs w:val="20"/>
        </w:rPr>
        <w:t>. The need for a review of the Act has thus become pertinent, particularly taking into account the fact that both the SAPS and IPID Acts have also been reviewed.”</w:t>
      </w:r>
    </w:p>
    <w:p w:rsidR="00FB33B9" w:rsidRPr="00D319E0" w:rsidRDefault="00FB33B9" w:rsidP="00D319E0">
      <w:pPr>
        <w:spacing w:line="240" w:lineRule="auto"/>
        <w:jc w:val="left"/>
        <w:rPr>
          <w:rFonts w:ascii="Arial" w:hAnsi="Arial" w:cs="Arial"/>
          <w:sz w:val="20"/>
          <w:szCs w:val="20"/>
          <w:u w:val="single"/>
        </w:rPr>
      </w:pPr>
    </w:p>
    <w:p w:rsidR="00F02997" w:rsidRPr="00D319E0" w:rsidRDefault="00F02997" w:rsidP="00D319E0">
      <w:pPr>
        <w:pStyle w:val="Heading1"/>
        <w:numPr>
          <w:ilvl w:val="0"/>
          <w:numId w:val="19"/>
        </w:numPr>
        <w:spacing w:before="0" w:line="240" w:lineRule="auto"/>
        <w:jc w:val="left"/>
        <w:rPr>
          <w:rFonts w:ascii="Arial" w:hAnsi="Arial" w:cs="Arial"/>
          <w:sz w:val="20"/>
          <w:szCs w:val="20"/>
        </w:rPr>
      </w:pPr>
      <w:bookmarkStart w:id="3" w:name="_Toc132207291"/>
      <w:r w:rsidRPr="00D319E0">
        <w:rPr>
          <w:rFonts w:ascii="Arial" w:hAnsi="Arial" w:cs="Arial"/>
          <w:sz w:val="20"/>
          <w:szCs w:val="20"/>
        </w:rPr>
        <w:t xml:space="preserve">Relevant Court Rulings </w:t>
      </w:r>
      <w:bookmarkEnd w:id="3"/>
    </w:p>
    <w:p w:rsidR="00F02997" w:rsidRPr="00D319E0" w:rsidRDefault="00F02997" w:rsidP="00D319E0">
      <w:pPr>
        <w:pStyle w:val="Default"/>
        <w:rPr>
          <w:sz w:val="20"/>
          <w:szCs w:val="20"/>
        </w:rPr>
      </w:pPr>
    </w:p>
    <w:p w:rsidR="00F02997" w:rsidRPr="00D319E0" w:rsidRDefault="00F02997" w:rsidP="00D319E0">
      <w:pPr>
        <w:pStyle w:val="Default"/>
        <w:rPr>
          <w:sz w:val="20"/>
          <w:szCs w:val="20"/>
        </w:rPr>
      </w:pPr>
      <w:r w:rsidRPr="00D319E0">
        <w:rPr>
          <w:sz w:val="20"/>
          <w:szCs w:val="20"/>
        </w:rPr>
        <w:t xml:space="preserve">The following court rulings have a direct impact on legislation under the administration of the Minister of Police, many of which indicate the constitutional invalidity of various sections of Act currently in operation. These defects must be addressed through legislative amendments to the following Act: </w:t>
      </w:r>
    </w:p>
    <w:p w:rsidR="00F02997" w:rsidRPr="00D319E0" w:rsidRDefault="00F02997" w:rsidP="00D319E0">
      <w:pPr>
        <w:pStyle w:val="Default"/>
        <w:numPr>
          <w:ilvl w:val="0"/>
          <w:numId w:val="15"/>
        </w:numPr>
        <w:rPr>
          <w:sz w:val="20"/>
          <w:szCs w:val="20"/>
        </w:rPr>
      </w:pPr>
      <w:r w:rsidRPr="00D319E0">
        <w:rPr>
          <w:sz w:val="20"/>
          <w:szCs w:val="20"/>
        </w:rPr>
        <w:t>SAPS Act, 1995 (No 68 of 1995)</w:t>
      </w:r>
    </w:p>
    <w:p w:rsidR="00F02997" w:rsidRPr="00D319E0" w:rsidRDefault="00F02997" w:rsidP="00D319E0">
      <w:pPr>
        <w:pStyle w:val="Default"/>
        <w:numPr>
          <w:ilvl w:val="0"/>
          <w:numId w:val="15"/>
        </w:numPr>
        <w:rPr>
          <w:sz w:val="20"/>
          <w:szCs w:val="20"/>
        </w:rPr>
      </w:pPr>
      <w:r w:rsidRPr="00D319E0">
        <w:rPr>
          <w:sz w:val="20"/>
          <w:szCs w:val="20"/>
        </w:rPr>
        <w:t>Regulation of Gatherings Act, 1993 (No 205 of 1993)</w:t>
      </w:r>
    </w:p>
    <w:p w:rsidR="00F02997" w:rsidRPr="00D319E0" w:rsidRDefault="00F02997" w:rsidP="00D319E0">
      <w:pPr>
        <w:pStyle w:val="Default"/>
        <w:numPr>
          <w:ilvl w:val="0"/>
          <w:numId w:val="15"/>
        </w:numPr>
        <w:rPr>
          <w:sz w:val="20"/>
          <w:szCs w:val="20"/>
        </w:rPr>
      </w:pPr>
      <w:r w:rsidRPr="00D319E0">
        <w:rPr>
          <w:sz w:val="20"/>
          <w:szCs w:val="20"/>
        </w:rPr>
        <w:t>Intimidation Act, 1982 (No 72 of 1982)</w:t>
      </w:r>
    </w:p>
    <w:p w:rsidR="00F02997" w:rsidRPr="00D319E0" w:rsidRDefault="00F02997" w:rsidP="00D319E0">
      <w:pPr>
        <w:pStyle w:val="Default"/>
        <w:numPr>
          <w:ilvl w:val="0"/>
          <w:numId w:val="15"/>
        </w:numPr>
        <w:rPr>
          <w:sz w:val="20"/>
          <w:szCs w:val="20"/>
        </w:rPr>
      </w:pPr>
      <w:r w:rsidRPr="00D319E0">
        <w:rPr>
          <w:sz w:val="20"/>
          <w:szCs w:val="20"/>
        </w:rPr>
        <w:t>Firearms Control Act, 2000 (No 60 of 2000)</w:t>
      </w:r>
    </w:p>
    <w:p w:rsidR="00F02997" w:rsidRPr="00D319E0" w:rsidRDefault="00F02997" w:rsidP="00D319E0">
      <w:pPr>
        <w:pStyle w:val="Default"/>
        <w:ind w:left="720"/>
        <w:rPr>
          <w:sz w:val="20"/>
          <w:szCs w:val="20"/>
        </w:rPr>
      </w:pPr>
    </w:p>
    <w:p w:rsidR="00F02997" w:rsidRPr="00D319E0" w:rsidRDefault="00F02997" w:rsidP="00D319E0">
      <w:pPr>
        <w:pStyle w:val="Default"/>
        <w:numPr>
          <w:ilvl w:val="0"/>
          <w:numId w:val="33"/>
        </w:numPr>
        <w:rPr>
          <w:b/>
          <w:i/>
          <w:iCs/>
          <w:sz w:val="20"/>
          <w:szCs w:val="20"/>
        </w:rPr>
      </w:pPr>
      <w:r w:rsidRPr="00D319E0">
        <w:rPr>
          <w:b/>
          <w:sz w:val="20"/>
          <w:szCs w:val="20"/>
        </w:rPr>
        <w:t xml:space="preserve">CCT 32/18: </w:t>
      </w:r>
      <w:r w:rsidRPr="00D319E0">
        <w:rPr>
          <w:b/>
          <w:i/>
          <w:iCs/>
          <w:sz w:val="20"/>
          <w:szCs w:val="20"/>
        </w:rPr>
        <w:t xml:space="preserve">Mlungwana and Others v the State and Others. </w:t>
      </w:r>
      <w:r w:rsidRPr="00D319E0">
        <w:rPr>
          <w:iCs/>
          <w:sz w:val="20"/>
          <w:szCs w:val="20"/>
        </w:rPr>
        <w:t>T</w:t>
      </w:r>
      <w:r w:rsidRPr="00D319E0">
        <w:rPr>
          <w:sz w:val="20"/>
          <w:szCs w:val="20"/>
        </w:rPr>
        <w:t xml:space="preserve">he </w:t>
      </w:r>
      <w:r w:rsidRPr="00D319E0">
        <w:rPr>
          <w:sz w:val="20"/>
          <w:szCs w:val="20"/>
          <w:u w:val="single"/>
        </w:rPr>
        <w:t xml:space="preserve">Constitutional Court declared section 12 (1) (a) of the </w:t>
      </w:r>
      <w:r w:rsidRPr="00D319E0">
        <w:rPr>
          <w:i/>
          <w:sz w:val="20"/>
          <w:szCs w:val="20"/>
          <w:u w:val="single"/>
        </w:rPr>
        <w:t>Regulation of Gatherings Act 205 of 1993</w:t>
      </w:r>
      <w:r w:rsidRPr="00D319E0">
        <w:rPr>
          <w:sz w:val="20"/>
          <w:szCs w:val="20"/>
          <w:u w:val="single"/>
        </w:rPr>
        <w:t xml:space="preserve"> unconstitutional and invalid</w:t>
      </w:r>
      <w:r w:rsidRPr="00D319E0">
        <w:rPr>
          <w:sz w:val="20"/>
          <w:szCs w:val="20"/>
        </w:rPr>
        <w:t xml:space="preserve"> to the extent that it makes the failure to give notice or the giving of inadequate notice by any person who convened a gathering a criminal offence. Not receiving prior notice of a planned gathering has the effect that the police cannot do the necessary planning in </w:t>
      </w:r>
      <w:r w:rsidRPr="00D319E0">
        <w:rPr>
          <w:sz w:val="20"/>
          <w:szCs w:val="20"/>
        </w:rPr>
        <w:lastRenderedPageBreak/>
        <w:t xml:space="preserve">respect of law enforcement relating to the gathering. This will be remedied through amendments to the SAPS Act. </w:t>
      </w:r>
    </w:p>
    <w:p w:rsidR="00F02997" w:rsidRPr="00D319E0" w:rsidRDefault="00F02997" w:rsidP="00D319E0">
      <w:pPr>
        <w:pStyle w:val="Default"/>
        <w:rPr>
          <w:sz w:val="20"/>
          <w:szCs w:val="20"/>
        </w:rPr>
      </w:pPr>
    </w:p>
    <w:p w:rsidR="00F02997" w:rsidRPr="00D319E0" w:rsidRDefault="00F02997" w:rsidP="00D319E0">
      <w:pPr>
        <w:pStyle w:val="Default"/>
        <w:numPr>
          <w:ilvl w:val="0"/>
          <w:numId w:val="33"/>
        </w:numPr>
        <w:rPr>
          <w:b/>
          <w:sz w:val="20"/>
          <w:szCs w:val="20"/>
        </w:rPr>
      </w:pPr>
      <w:r w:rsidRPr="00D319E0">
        <w:rPr>
          <w:b/>
          <w:sz w:val="20"/>
          <w:szCs w:val="20"/>
        </w:rPr>
        <w:t xml:space="preserve">CCT 174/18: </w:t>
      </w:r>
      <w:r w:rsidRPr="00D319E0">
        <w:rPr>
          <w:b/>
          <w:i/>
          <w:iCs/>
          <w:sz w:val="20"/>
          <w:szCs w:val="20"/>
        </w:rPr>
        <w:t xml:space="preserve">Moyo and Another v Minister of Police and Others </w:t>
      </w:r>
      <w:r w:rsidRPr="00D319E0">
        <w:rPr>
          <w:b/>
          <w:sz w:val="20"/>
          <w:szCs w:val="20"/>
        </w:rPr>
        <w:t xml:space="preserve">(Case CCT 174/18) and </w:t>
      </w:r>
      <w:r w:rsidRPr="00D319E0">
        <w:rPr>
          <w:b/>
          <w:i/>
          <w:iCs/>
          <w:sz w:val="20"/>
          <w:szCs w:val="20"/>
        </w:rPr>
        <w:t>Sonti and Another v. Minister of Police and Others.</w:t>
      </w:r>
      <w:r w:rsidRPr="00D319E0">
        <w:rPr>
          <w:b/>
          <w:sz w:val="20"/>
          <w:szCs w:val="20"/>
        </w:rPr>
        <w:t xml:space="preserve"> </w:t>
      </w:r>
      <w:r w:rsidRPr="00D319E0">
        <w:rPr>
          <w:sz w:val="20"/>
          <w:szCs w:val="20"/>
        </w:rPr>
        <w:t xml:space="preserve">The </w:t>
      </w:r>
      <w:r w:rsidRPr="00D319E0">
        <w:rPr>
          <w:sz w:val="20"/>
          <w:szCs w:val="20"/>
          <w:u w:val="single"/>
        </w:rPr>
        <w:t xml:space="preserve">Constitutional Court declared section 1(2) of the </w:t>
      </w:r>
      <w:r w:rsidRPr="00D319E0">
        <w:rPr>
          <w:i/>
          <w:sz w:val="20"/>
          <w:szCs w:val="20"/>
          <w:u w:val="single"/>
        </w:rPr>
        <w:t>Intimidation Act 72 of 1982</w:t>
      </w:r>
      <w:r w:rsidRPr="00D319E0">
        <w:rPr>
          <w:sz w:val="20"/>
          <w:szCs w:val="20"/>
          <w:u w:val="single"/>
        </w:rPr>
        <w:t xml:space="preserve"> unconstitutional and invalid.</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pStyle w:val="ListParagraph"/>
        <w:numPr>
          <w:ilvl w:val="0"/>
          <w:numId w:val="33"/>
        </w:numPr>
        <w:spacing w:line="240" w:lineRule="auto"/>
        <w:jc w:val="left"/>
        <w:rPr>
          <w:rFonts w:ascii="Arial" w:hAnsi="Arial" w:cs="Arial"/>
          <w:b/>
          <w:sz w:val="20"/>
          <w:szCs w:val="20"/>
        </w:rPr>
      </w:pPr>
      <w:r w:rsidRPr="00D319E0">
        <w:rPr>
          <w:rFonts w:ascii="Arial" w:hAnsi="Arial" w:cs="Arial"/>
          <w:b/>
          <w:sz w:val="20"/>
          <w:szCs w:val="20"/>
        </w:rPr>
        <w:t xml:space="preserve">CCT 07/14 and CCT 09/14 </w:t>
      </w:r>
      <w:r w:rsidRPr="00D319E0">
        <w:rPr>
          <w:rFonts w:ascii="Arial" w:hAnsi="Arial" w:cs="Arial"/>
          <w:b/>
          <w:i/>
          <w:iCs/>
          <w:sz w:val="20"/>
          <w:szCs w:val="20"/>
        </w:rPr>
        <w:t xml:space="preserve">Helen Suzmann Foundation v President of the Republic of South Africa and Others Case CCT 07/14, Glenister v President of the Republic of South Africa and Others Case No. CCT 09/14. </w:t>
      </w:r>
      <w:r w:rsidRPr="00D319E0">
        <w:rPr>
          <w:rFonts w:ascii="Arial" w:hAnsi="Arial" w:cs="Arial"/>
          <w:sz w:val="20"/>
          <w:szCs w:val="20"/>
        </w:rPr>
        <w:t>The Constitutional Court declared various section of the SAPS Act relating to the Directorate for Priority Crime Investigation (DPCI) summarily unconstitutional, invalid and struck it from the Act. The SAPS Amendment Bill, 2020, proposes to repeal all the provisions affected by the judgement.</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pStyle w:val="ListParagraph"/>
        <w:numPr>
          <w:ilvl w:val="0"/>
          <w:numId w:val="33"/>
        </w:numPr>
        <w:spacing w:line="240" w:lineRule="auto"/>
        <w:jc w:val="left"/>
        <w:rPr>
          <w:rFonts w:ascii="Arial" w:hAnsi="Arial" w:cs="Arial"/>
          <w:b/>
          <w:sz w:val="20"/>
          <w:szCs w:val="20"/>
        </w:rPr>
      </w:pPr>
      <w:r w:rsidRPr="00D319E0">
        <w:rPr>
          <w:rFonts w:ascii="Arial" w:hAnsi="Arial" w:cs="Arial"/>
          <w:b/>
          <w:sz w:val="20"/>
          <w:szCs w:val="20"/>
        </w:rPr>
        <w:t xml:space="preserve">CCT 255/15: </w:t>
      </w:r>
      <w:r w:rsidRPr="00D319E0">
        <w:rPr>
          <w:rFonts w:ascii="Arial" w:hAnsi="Arial" w:cs="Arial"/>
          <w:b/>
          <w:i/>
          <w:iCs/>
          <w:sz w:val="20"/>
          <w:szCs w:val="20"/>
        </w:rPr>
        <w:t xml:space="preserve">McBride v Minister of Police and Another Case No. CCT 255/15 [2016] ZACC 30; 2016 (2) SACR 585 (CC); 2016 (11) BCLR 1398 (CC). </w:t>
      </w:r>
      <w:r w:rsidRPr="00D319E0">
        <w:rPr>
          <w:rFonts w:ascii="Arial" w:hAnsi="Arial" w:cs="Arial"/>
          <w:sz w:val="20"/>
          <w:szCs w:val="20"/>
        </w:rPr>
        <w:t>The Constitutional Court declared various sections of the IPID Act, 2011 unconstitutional and invalid. Parliament had 24 months to cure the defects (before 6 September 2016). Due to time delays, the Portfolio Committee on Police drafted a Committee Bill. Parliament finalised the Bill, which was signed into law by the President on 26 May 2020, as the IPID Amendment Act 27 of 2019.</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pStyle w:val="ListParagraph"/>
        <w:numPr>
          <w:ilvl w:val="0"/>
          <w:numId w:val="33"/>
        </w:numPr>
        <w:spacing w:line="240" w:lineRule="auto"/>
        <w:jc w:val="left"/>
        <w:rPr>
          <w:rFonts w:ascii="Arial" w:hAnsi="Arial" w:cs="Arial"/>
          <w:b/>
          <w:sz w:val="20"/>
          <w:szCs w:val="20"/>
        </w:rPr>
      </w:pPr>
      <w:r w:rsidRPr="00D319E0">
        <w:rPr>
          <w:rFonts w:ascii="Arial" w:hAnsi="Arial" w:cs="Arial"/>
          <w:b/>
          <w:sz w:val="20"/>
          <w:szCs w:val="20"/>
        </w:rPr>
        <w:t xml:space="preserve">CCT 195/21: </w:t>
      </w:r>
      <w:r w:rsidRPr="00D319E0">
        <w:rPr>
          <w:rFonts w:ascii="Arial" w:hAnsi="Arial" w:cs="Arial"/>
          <w:b/>
          <w:i/>
          <w:sz w:val="20"/>
          <w:szCs w:val="20"/>
        </w:rPr>
        <w:t xml:space="preserve">Minister of Police and Others v Fidelity Security Services (Pty) Limited (CCT195/21 [2022} ZACC 16. </w:t>
      </w:r>
      <w:r w:rsidRPr="00D319E0">
        <w:rPr>
          <w:rFonts w:ascii="Arial" w:hAnsi="Arial" w:cs="Arial"/>
          <w:sz w:val="20"/>
          <w:szCs w:val="20"/>
        </w:rPr>
        <w:t xml:space="preserve">According to the CSPS: “The Constitutional Court ruled that there is a distinction between ownership and possession and that it is through the limitation of possession that the Act potentially qualifies or limits ownership in the public interest. Once a possession licence has expired without renewal, continued possession results in unlawfulness in terms of the Act which does not necessarily impact on a person’s ownership. The general scheme of the Firearms Control Act No 60 of 2000, particularly sections 3, 20, 24 and 28, concern possession, not ownership and that the Act does not purport to regulate or remove ownership. </w:t>
      </w:r>
    </w:p>
    <w:p w:rsidR="00F02997" w:rsidRPr="00D319E0" w:rsidRDefault="00F02997" w:rsidP="00D319E0">
      <w:pPr>
        <w:pStyle w:val="Default"/>
        <w:ind w:left="720"/>
        <w:rPr>
          <w:sz w:val="20"/>
          <w:szCs w:val="20"/>
        </w:rPr>
      </w:pPr>
    </w:p>
    <w:p w:rsidR="00F02997" w:rsidRPr="00D319E0" w:rsidRDefault="00F02997" w:rsidP="00D319E0">
      <w:pPr>
        <w:pStyle w:val="Default"/>
        <w:ind w:left="720"/>
        <w:rPr>
          <w:sz w:val="20"/>
          <w:szCs w:val="20"/>
        </w:rPr>
      </w:pPr>
      <w:r w:rsidRPr="00D319E0">
        <w:rPr>
          <w:sz w:val="20"/>
          <w:szCs w:val="20"/>
        </w:rPr>
        <w:t>In fact, section 149(2)(b) of the Act confirms ownership of even a forfeited firearm, as it stipulates that “</w:t>
      </w:r>
      <w:r w:rsidRPr="00D319E0">
        <w:rPr>
          <w:i/>
          <w:iCs/>
          <w:sz w:val="20"/>
          <w:szCs w:val="20"/>
        </w:rPr>
        <w:t>the firearm remains the property of the owner until destruction</w:t>
      </w:r>
      <w:r w:rsidRPr="00D319E0">
        <w:rPr>
          <w:sz w:val="20"/>
          <w:szCs w:val="20"/>
        </w:rPr>
        <w:t>”. Possession of a firearm without a valid licence or other authorisation to possess constitutes an offence. The fact that a firearm’s licence has previously expired does not make it a prohibited firearm. Fidelity would be entitled to apply for new licences in respect of the firearms in question based on this aspect. Any person who has an expired possession licence would be allowed to apply for a new licence and this is not limited to a licence in terms of section 20 for business purposes. The Registrar must accept and consider the application for new licences, however it is not obliged to grant those. The outcome will depend on the merits of each application. The SAPS have been issued with guidelines on how to implement the judgement.”</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pStyle w:val="ListParagraph"/>
        <w:numPr>
          <w:ilvl w:val="0"/>
          <w:numId w:val="33"/>
        </w:numPr>
        <w:spacing w:line="240" w:lineRule="auto"/>
        <w:jc w:val="left"/>
        <w:rPr>
          <w:rFonts w:ascii="Arial" w:hAnsi="Arial" w:cs="Arial"/>
          <w:b/>
          <w:i/>
          <w:iCs/>
          <w:sz w:val="20"/>
          <w:szCs w:val="20"/>
        </w:rPr>
      </w:pPr>
      <w:r w:rsidRPr="00D319E0">
        <w:rPr>
          <w:rFonts w:ascii="Arial" w:hAnsi="Arial" w:cs="Arial"/>
          <w:b/>
          <w:sz w:val="20"/>
          <w:szCs w:val="20"/>
        </w:rPr>
        <w:t xml:space="preserve">Case 18205/2018: </w:t>
      </w:r>
      <w:r w:rsidRPr="00D319E0">
        <w:rPr>
          <w:rFonts w:ascii="Arial" w:hAnsi="Arial" w:cs="Arial"/>
          <w:b/>
          <w:i/>
          <w:iCs/>
          <w:sz w:val="20"/>
          <w:szCs w:val="20"/>
        </w:rPr>
        <w:t xml:space="preserve">The Residents of: Industry House, 5 Davies Street, New Doornfontein, Johannesburg and Others v The Minister of Police and Others. </w:t>
      </w:r>
      <w:r w:rsidRPr="00D319E0">
        <w:rPr>
          <w:rFonts w:ascii="Arial" w:hAnsi="Arial" w:cs="Arial"/>
          <w:sz w:val="20"/>
          <w:szCs w:val="20"/>
        </w:rPr>
        <w:t>The High Court found section 13(7) of the South African Police Service Act, 1995, unconstitutional in respect of the manner in which warrantless searches are possible in terms of the Act. The Court ordered wording to be inserted into the Act to align the SAPS Act, 1995, in respect of warrantless searches with the Criminal Procedure Act, 1977. The judgement still needs to be confirmed by the Constitutional Court.</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pStyle w:val="ListParagraph"/>
        <w:numPr>
          <w:ilvl w:val="0"/>
          <w:numId w:val="33"/>
        </w:numPr>
        <w:spacing w:line="240" w:lineRule="auto"/>
        <w:jc w:val="left"/>
        <w:rPr>
          <w:rFonts w:ascii="Arial" w:hAnsi="Arial" w:cs="Arial"/>
          <w:b/>
          <w:sz w:val="20"/>
          <w:szCs w:val="20"/>
        </w:rPr>
      </w:pPr>
      <w:r w:rsidRPr="00D319E0">
        <w:rPr>
          <w:rFonts w:ascii="Arial" w:hAnsi="Arial" w:cs="Arial"/>
          <w:b/>
          <w:sz w:val="20"/>
          <w:szCs w:val="20"/>
        </w:rPr>
        <w:t>Case 56/2019</w:t>
      </w:r>
      <w:r w:rsidRPr="00D319E0">
        <w:rPr>
          <w:rFonts w:ascii="Arial" w:hAnsi="Arial" w:cs="Arial"/>
          <w:b/>
          <w:i/>
          <w:sz w:val="20"/>
          <w:szCs w:val="20"/>
        </w:rPr>
        <w:t xml:space="preserve">: National Commissioner of Police v Gun Owners of South Africa Case No 561/19. </w:t>
      </w:r>
      <w:r w:rsidRPr="00D319E0">
        <w:rPr>
          <w:rFonts w:ascii="Arial" w:hAnsi="Arial" w:cs="Arial"/>
          <w:sz w:val="20"/>
          <w:szCs w:val="20"/>
        </w:rPr>
        <w:t xml:space="preserve">According to the CSPS: “The Supreme Court of Appeal held that the interim interdict granted against the appellants is constitutionally inappropriate, it violates the principle of separation of powers, it guarantees the unlawful possession of firearms, and therefore it must be set aside. </w:t>
      </w:r>
    </w:p>
    <w:p w:rsidR="00F02997" w:rsidRPr="00D319E0" w:rsidRDefault="00F02997" w:rsidP="00D319E0">
      <w:pPr>
        <w:spacing w:line="240" w:lineRule="auto"/>
        <w:ind w:left="360"/>
        <w:jc w:val="left"/>
        <w:rPr>
          <w:rFonts w:ascii="Arial" w:hAnsi="Arial" w:cs="Arial"/>
          <w:sz w:val="20"/>
          <w:szCs w:val="20"/>
        </w:rPr>
      </w:pPr>
    </w:p>
    <w:p w:rsidR="00F02997" w:rsidRPr="00D319E0" w:rsidRDefault="00F02997" w:rsidP="00D319E0">
      <w:pPr>
        <w:spacing w:line="240" w:lineRule="auto"/>
        <w:ind w:left="720"/>
        <w:jc w:val="left"/>
        <w:rPr>
          <w:rFonts w:ascii="Arial" w:hAnsi="Arial" w:cs="Arial"/>
          <w:sz w:val="20"/>
          <w:szCs w:val="20"/>
        </w:rPr>
      </w:pPr>
      <w:r w:rsidRPr="00D319E0">
        <w:rPr>
          <w:rFonts w:ascii="Arial" w:hAnsi="Arial" w:cs="Arial"/>
          <w:sz w:val="20"/>
          <w:szCs w:val="20"/>
        </w:rPr>
        <w:t xml:space="preserve">The appellants appeal against an urgent interim interdict issued by Prinsloo J in the Gauteng Division of the High Court, Pretoria, which prevents the South African Police Service (the SAPS) from applying, implementing, and enforcing various provisions of the Firearms Control Act 60 of 2000 (the Act). Practically, the interdict disabled the scheme of renewal and termination of firearm licenses under the Act by prohibiting the SAPS from demanding or </w:t>
      </w:r>
      <w:r w:rsidRPr="00D319E0">
        <w:rPr>
          <w:rFonts w:ascii="Arial" w:hAnsi="Arial" w:cs="Arial"/>
          <w:sz w:val="20"/>
          <w:szCs w:val="20"/>
        </w:rPr>
        <w:lastRenderedPageBreak/>
        <w:t>accepting the surrender of firearms by license-holders whose firearm licenses expired because they failed to renew them within the timeframe prescribed by the Act.”</w:t>
      </w:r>
    </w:p>
    <w:p w:rsidR="00F02997" w:rsidRPr="00D319E0" w:rsidRDefault="00F02997" w:rsidP="00D319E0">
      <w:pPr>
        <w:spacing w:line="240" w:lineRule="auto"/>
        <w:jc w:val="left"/>
        <w:rPr>
          <w:rFonts w:ascii="Arial" w:hAnsi="Arial" w:cs="Arial"/>
          <w:sz w:val="20"/>
          <w:szCs w:val="20"/>
          <w:u w:val="single"/>
        </w:rPr>
      </w:pPr>
    </w:p>
    <w:p w:rsidR="00F463A2" w:rsidRPr="00D319E0" w:rsidRDefault="00052B47" w:rsidP="00D319E0">
      <w:pPr>
        <w:pStyle w:val="Heading1"/>
        <w:numPr>
          <w:ilvl w:val="0"/>
          <w:numId w:val="19"/>
        </w:numPr>
        <w:spacing w:before="0" w:line="240" w:lineRule="auto"/>
        <w:jc w:val="left"/>
        <w:rPr>
          <w:rFonts w:ascii="Arial" w:hAnsi="Arial" w:cs="Arial"/>
          <w:sz w:val="20"/>
          <w:szCs w:val="20"/>
        </w:rPr>
      </w:pPr>
      <w:bookmarkStart w:id="4" w:name="_Toc100572309"/>
      <w:r w:rsidRPr="00D319E0">
        <w:rPr>
          <w:rFonts w:ascii="Arial" w:hAnsi="Arial" w:cs="Arial"/>
          <w:sz w:val="20"/>
          <w:szCs w:val="20"/>
        </w:rPr>
        <w:t xml:space="preserve">Budget </w:t>
      </w:r>
      <w:r w:rsidR="00971F0A" w:rsidRPr="00D319E0">
        <w:rPr>
          <w:rFonts w:ascii="Arial" w:hAnsi="Arial" w:cs="Arial"/>
          <w:sz w:val="20"/>
          <w:szCs w:val="20"/>
        </w:rPr>
        <w:t>allocati</w:t>
      </w:r>
      <w:r w:rsidR="00253639" w:rsidRPr="00D319E0">
        <w:rPr>
          <w:rFonts w:ascii="Arial" w:hAnsi="Arial" w:cs="Arial"/>
          <w:sz w:val="20"/>
          <w:szCs w:val="20"/>
        </w:rPr>
        <w:t xml:space="preserve">on </w:t>
      </w:r>
      <w:r w:rsidR="005A6379" w:rsidRPr="00D319E0">
        <w:rPr>
          <w:rFonts w:ascii="Arial" w:hAnsi="Arial" w:cs="Arial"/>
          <w:sz w:val="20"/>
          <w:szCs w:val="20"/>
        </w:rPr>
        <w:t>202</w:t>
      </w:r>
      <w:r w:rsidR="00F02997" w:rsidRPr="00D319E0">
        <w:rPr>
          <w:rFonts w:ascii="Arial" w:hAnsi="Arial" w:cs="Arial"/>
          <w:sz w:val="20"/>
          <w:szCs w:val="20"/>
        </w:rPr>
        <w:t>3</w:t>
      </w:r>
      <w:r w:rsidR="005A6379" w:rsidRPr="00D319E0">
        <w:rPr>
          <w:rFonts w:ascii="Arial" w:hAnsi="Arial" w:cs="Arial"/>
          <w:sz w:val="20"/>
          <w:szCs w:val="20"/>
        </w:rPr>
        <w:t>/2</w:t>
      </w:r>
      <w:bookmarkEnd w:id="4"/>
      <w:r w:rsidR="00F02997" w:rsidRPr="00D319E0">
        <w:rPr>
          <w:rFonts w:ascii="Arial" w:hAnsi="Arial" w:cs="Arial"/>
          <w:sz w:val="20"/>
          <w:szCs w:val="20"/>
        </w:rPr>
        <w:t>4</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pStyle w:val="Heading2"/>
        <w:numPr>
          <w:ilvl w:val="1"/>
          <w:numId w:val="19"/>
        </w:numPr>
        <w:spacing w:before="0" w:line="240" w:lineRule="auto"/>
        <w:rPr>
          <w:rFonts w:ascii="Arial" w:hAnsi="Arial" w:cs="Arial"/>
          <w:sz w:val="20"/>
          <w:szCs w:val="20"/>
        </w:rPr>
      </w:pPr>
      <w:bookmarkStart w:id="5" w:name="_Toc132207293"/>
      <w:r w:rsidRPr="00D319E0">
        <w:rPr>
          <w:rFonts w:ascii="Arial" w:hAnsi="Arial" w:cs="Arial"/>
          <w:sz w:val="20"/>
          <w:szCs w:val="20"/>
        </w:rPr>
        <w:t>Overall budget allocation</w:t>
      </w:r>
      <w:bookmarkEnd w:id="5"/>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sz w:val="20"/>
          <w:szCs w:val="20"/>
        </w:rPr>
      </w:pPr>
      <w:r w:rsidRPr="00D319E0">
        <w:rPr>
          <w:rFonts w:ascii="Arial" w:hAnsi="Arial" w:cs="Arial"/>
          <w:sz w:val="20"/>
          <w:szCs w:val="20"/>
        </w:rPr>
        <w:t xml:space="preserve">The CSPS received a Main Appropriation of R154.2 million in 2023/24, which is a nominal decrease of R1.8 million or 1.1 per cent compared to the previous financial year. In real terms (inflation considered), the Department’s allocation decreased with R9 million, or 5.75 per cent. </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b/>
          <w:bCs/>
          <w:i/>
          <w:sz w:val="20"/>
          <w:szCs w:val="20"/>
        </w:rPr>
      </w:pPr>
      <w:r w:rsidRPr="00D319E0">
        <w:rPr>
          <w:rFonts w:ascii="Arial" w:hAnsi="Arial" w:cs="Arial"/>
          <w:b/>
          <w:i/>
          <w:sz w:val="20"/>
          <w:szCs w:val="20"/>
        </w:rPr>
        <w:t xml:space="preserve">Table 1: </w:t>
      </w:r>
      <w:r w:rsidRPr="00D319E0">
        <w:rPr>
          <w:rFonts w:ascii="Arial" w:hAnsi="Arial" w:cs="Arial"/>
          <w:b/>
          <w:bCs/>
          <w:i/>
          <w:sz w:val="20"/>
          <w:szCs w:val="20"/>
        </w:rPr>
        <w:t>Comparative changes in expenditure estimates by programme: 2022/23 to 2023/24</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993"/>
        <w:gridCol w:w="992"/>
        <w:gridCol w:w="1134"/>
        <w:gridCol w:w="1106"/>
        <w:gridCol w:w="1479"/>
        <w:gridCol w:w="1564"/>
      </w:tblGrid>
      <w:tr w:rsidR="00F02997" w:rsidRPr="00D319E0" w:rsidTr="00C06359">
        <w:trPr>
          <w:trHeight w:val="765"/>
        </w:trPr>
        <w:tc>
          <w:tcPr>
            <w:tcW w:w="226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Programme</w:t>
            </w:r>
          </w:p>
        </w:tc>
        <w:tc>
          <w:tcPr>
            <w:tcW w:w="1985" w:type="dxa"/>
            <w:gridSpan w:val="2"/>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Budget</w:t>
            </w:r>
          </w:p>
        </w:tc>
        <w:tc>
          <w:tcPr>
            <w:tcW w:w="1134" w:type="dxa"/>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Nominal Increase/ Decrease 2023/24</w:t>
            </w:r>
          </w:p>
        </w:tc>
        <w:tc>
          <w:tcPr>
            <w:tcW w:w="1072" w:type="dxa"/>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Real Increase/ Decrease 2023/24</w:t>
            </w:r>
          </w:p>
        </w:tc>
        <w:tc>
          <w:tcPr>
            <w:tcW w:w="1479" w:type="dxa"/>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Nominal Percent change in 2023/24</w:t>
            </w:r>
          </w:p>
        </w:tc>
        <w:tc>
          <w:tcPr>
            <w:tcW w:w="1564" w:type="dxa"/>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Real Percent change in 2023/24</w:t>
            </w:r>
          </w:p>
        </w:tc>
      </w:tr>
      <w:tr w:rsidR="00F02997" w:rsidRPr="00D319E0" w:rsidTr="00C06359">
        <w:trPr>
          <w:trHeight w:val="264"/>
        </w:trPr>
        <w:tc>
          <w:tcPr>
            <w:tcW w:w="226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 million</w:t>
            </w:r>
          </w:p>
        </w:tc>
        <w:tc>
          <w:tcPr>
            <w:tcW w:w="99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2022/23</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2023/24</w:t>
            </w:r>
          </w:p>
        </w:tc>
        <w:tc>
          <w:tcPr>
            <w:tcW w:w="1134" w:type="dxa"/>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072" w:type="dxa"/>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479" w:type="dxa"/>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564" w:type="dxa"/>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r>
      <w:tr w:rsidR="00F02997" w:rsidRPr="00D319E0" w:rsidTr="00C06359">
        <w:trPr>
          <w:trHeight w:val="264"/>
        </w:trPr>
        <w:tc>
          <w:tcPr>
            <w:tcW w:w="226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Programme 1: Administration </w:t>
            </w:r>
          </w:p>
        </w:tc>
        <w:tc>
          <w:tcPr>
            <w:tcW w:w="99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71,3</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70,7</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0,6</w:t>
            </w:r>
          </w:p>
        </w:tc>
        <w:tc>
          <w:tcPr>
            <w:tcW w:w="107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3,9</w:t>
            </w:r>
          </w:p>
        </w:tc>
        <w:tc>
          <w:tcPr>
            <w:tcW w:w="147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-0,88 per cent</w:t>
            </w:r>
          </w:p>
        </w:tc>
        <w:tc>
          <w:tcPr>
            <w:tcW w:w="156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-5,51 per cent</w:t>
            </w:r>
          </w:p>
        </w:tc>
      </w:tr>
      <w:tr w:rsidR="00F02997" w:rsidRPr="00D319E0" w:rsidTr="00C06359">
        <w:trPr>
          <w:trHeight w:val="264"/>
        </w:trPr>
        <w:tc>
          <w:tcPr>
            <w:tcW w:w="226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Programme 2: Intersectoral Coordination and Strategic Partnerships</w:t>
            </w:r>
          </w:p>
        </w:tc>
        <w:tc>
          <w:tcPr>
            <w:tcW w:w="99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27,2</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26,6</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0,6</w:t>
            </w:r>
          </w:p>
        </w:tc>
        <w:tc>
          <w:tcPr>
            <w:tcW w:w="107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1,8</w:t>
            </w:r>
          </w:p>
        </w:tc>
        <w:tc>
          <w:tcPr>
            <w:tcW w:w="147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-2,09 per cent</w:t>
            </w:r>
          </w:p>
        </w:tc>
        <w:tc>
          <w:tcPr>
            <w:tcW w:w="156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-6,66 per cent</w:t>
            </w:r>
          </w:p>
        </w:tc>
      </w:tr>
      <w:tr w:rsidR="00F02997" w:rsidRPr="00D319E0" w:rsidTr="00C06359">
        <w:trPr>
          <w:trHeight w:val="264"/>
        </w:trPr>
        <w:tc>
          <w:tcPr>
            <w:tcW w:w="226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Programme 3: Legislation and Policy Development</w:t>
            </w:r>
          </w:p>
        </w:tc>
        <w:tc>
          <w:tcPr>
            <w:tcW w:w="99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23,6</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23,5</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0,1</w:t>
            </w:r>
          </w:p>
        </w:tc>
        <w:tc>
          <w:tcPr>
            <w:tcW w:w="107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1,2</w:t>
            </w:r>
          </w:p>
        </w:tc>
        <w:tc>
          <w:tcPr>
            <w:tcW w:w="147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-0,56 per cent</w:t>
            </w:r>
          </w:p>
        </w:tc>
        <w:tc>
          <w:tcPr>
            <w:tcW w:w="156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-5,20 per cent</w:t>
            </w:r>
          </w:p>
        </w:tc>
      </w:tr>
      <w:tr w:rsidR="00F02997" w:rsidRPr="00D319E0" w:rsidTr="00C06359">
        <w:trPr>
          <w:trHeight w:val="264"/>
        </w:trPr>
        <w:tc>
          <w:tcPr>
            <w:tcW w:w="226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Programme 4: Civilian Oversight, Monitoring and Evaluation </w:t>
            </w:r>
          </w:p>
        </w:tc>
        <w:tc>
          <w:tcPr>
            <w:tcW w:w="99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33,8</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33,4</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0,4</w:t>
            </w:r>
          </w:p>
        </w:tc>
        <w:tc>
          <w:tcPr>
            <w:tcW w:w="107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2,0</w:t>
            </w:r>
          </w:p>
        </w:tc>
        <w:tc>
          <w:tcPr>
            <w:tcW w:w="147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-1,30 per cent</w:t>
            </w:r>
          </w:p>
        </w:tc>
        <w:tc>
          <w:tcPr>
            <w:tcW w:w="156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-5,91 per cent</w:t>
            </w:r>
          </w:p>
        </w:tc>
      </w:tr>
      <w:tr w:rsidR="00F02997" w:rsidRPr="00D319E0" w:rsidTr="00C06359">
        <w:trPr>
          <w:trHeight w:val="264"/>
        </w:trPr>
        <w:tc>
          <w:tcPr>
            <w:tcW w:w="226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TOTAL</w:t>
            </w:r>
          </w:p>
        </w:tc>
        <w:tc>
          <w:tcPr>
            <w:tcW w:w="99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155,9</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154,2</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1,8</w:t>
            </w:r>
          </w:p>
        </w:tc>
        <w:tc>
          <w:tcPr>
            <w:tcW w:w="107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9,0</w:t>
            </w:r>
          </w:p>
        </w:tc>
        <w:tc>
          <w:tcPr>
            <w:tcW w:w="147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-1,1 per cent</w:t>
            </w:r>
          </w:p>
        </w:tc>
        <w:tc>
          <w:tcPr>
            <w:tcW w:w="156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-5,75 per cent</w:t>
            </w:r>
          </w:p>
        </w:tc>
      </w:tr>
    </w:tbl>
    <w:p w:rsidR="00F02997" w:rsidRPr="00D319E0" w:rsidRDefault="00F02997" w:rsidP="00D319E0">
      <w:pPr>
        <w:autoSpaceDE w:val="0"/>
        <w:autoSpaceDN w:val="0"/>
        <w:adjustRightInd w:val="0"/>
        <w:spacing w:line="240" w:lineRule="auto"/>
        <w:jc w:val="left"/>
        <w:rPr>
          <w:rFonts w:ascii="Arial" w:hAnsi="Arial" w:cs="Arial"/>
          <w:i/>
          <w:sz w:val="20"/>
          <w:szCs w:val="20"/>
        </w:rPr>
      </w:pPr>
      <w:r w:rsidRPr="00D319E0">
        <w:rPr>
          <w:rFonts w:ascii="Arial" w:hAnsi="Arial" w:cs="Arial"/>
          <w:i/>
          <w:sz w:val="20"/>
          <w:szCs w:val="20"/>
        </w:rPr>
        <w:t>Source: National Treasury (2023)</w:t>
      </w:r>
    </w:p>
    <w:p w:rsidR="00F02997" w:rsidRPr="00D319E0" w:rsidRDefault="00F02997" w:rsidP="00D319E0">
      <w:pPr>
        <w:autoSpaceDE w:val="0"/>
        <w:autoSpaceDN w:val="0"/>
        <w:adjustRightInd w:val="0"/>
        <w:spacing w:line="240" w:lineRule="auto"/>
        <w:jc w:val="left"/>
        <w:rPr>
          <w:rFonts w:ascii="Arial" w:hAnsi="Arial" w:cs="Arial"/>
          <w:i/>
          <w:sz w:val="20"/>
          <w:szCs w:val="20"/>
        </w:rPr>
      </w:pPr>
    </w:p>
    <w:p w:rsidR="00F02997" w:rsidRPr="00D319E0" w:rsidRDefault="00F02997" w:rsidP="00D319E0">
      <w:pPr>
        <w:autoSpaceDE w:val="0"/>
        <w:autoSpaceDN w:val="0"/>
        <w:adjustRightInd w:val="0"/>
        <w:spacing w:line="240" w:lineRule="auto"/>
        <w:jc w:val="left"/>
        <w:rPr>
          <w:rFonts w:ascii="Arial" w:hAnsi="Arial" w:cs="Arial"/>
          <w:sz w:val="20"/>
          <w:szCs w:val="20"/>
        </w:rPr>
      </w:pPr>
      <w:r w:rsidRPr="00D319E0">
        <w:rPr>
          <w:rFonts w:ascii="Arial" w:hAnsi="Arial" w:cs="Arial"/>
          <w:sz w:val="20"/>
          <w:szCs w:val="20"/>
        </w:rPr>
        <w:t xml:space="preserve">The Administration Programme received a Main Appropriation of R70.7 million in 2023/24, which is a nominal decrease of 0.8 per cent (considering inflation, it is a real decrease of 5.51 per cent) compared to the previous financial year. The Intersectoral Coordination and Strategic Partnerships Programme received a Main Appropriation of R26.6 million in 2023/24, which is a nominal decrease of 2.09 per cent compared to the previous financial year. However, considering inflation, the Programme received a real decrease of 6.66 per cent. The Legislation and Policy Development Programme received a Main Appropriation of R23.5 million which is a nominal decrease of R100 000.00 or 0.56 per cent. In real terms, the Programme’s allocation decreased by 5.2 per cent. The Civilian Oversight, Monitoring and Evaluation Programme received a Main Appropriation of R33.4 million, which is a nominal decrease of 1.3 per cent. In real terms, the allocation decreased by 5.91 per cent.      </w:t>
      </w:r>
    </w:p>
    <w:p w:rsidR="00F02997" w:rsidRPr="00D319E0" w:rsidRDefault="00F02997" w:rsidP="00D319E0">
      <w:pPr>
        <w:spacing w:line="240" w:lineRule="auto"/>
        <w:jc w:val="left"/>
        <w:rPr>
          <w:rFonts w:ascii="Arial" w:hAnsi="Arial" w:cs="Arial"/>
          <w:b/>
          <w:bCs/>
          <w:sz w:val="20"/>
          <w:szCs w:val="20"/>
        </w:rPr>
      </w:pPr>
    </w:p>
    <w:p w:rsidR="00D000DA" w:rsidRPr="00D319E0" w:rsidRDefault="00D000DA" w:rsidP="00D319E0">
      <w:pPr>
        <w:spacing w:line="240" w:lineRule="auto"/>
        <w:jc w:val="left"/>
        <w:rPr>
          <w:rFonts w:ascii="Arial" w:hAnsi="Arial" w:cs="Arial"/>
          <w:b/>
          <w:bCs/>
          <w:sz w:val="20"/>
          <w:szCs w:val="20"/>
        </w:rPr>
      </w:pPr>
    </w:p>
    <w:p w:rsidR="00D000DA" w:rsidRPr="00D319E0" w:rsidRDefault="00D000DA" w:rsidP="00D319E0">
      <w:pPr>
        <w:spacing w:line="240" w:lineRule="auto"/>
        <w:jc w:val="left"/>
        <w:rPr>
          <w:rFonts w:ascii="Arial" w:hAnsi="Arial" w:cs="Arial"/>
          <w:b/>
          <w:bCs/>
          <w:sz w:val="20"/>
          <w:szCs w:val="20"/>
        </w:rPr>
      </w:pPr>
    </w:p>
    <w:p w:rsidR="00D000DA" w:rsidRPr="00D319E0" w:rsidRDefault="00D000DA" w:rsidP="00D319E0">
      <w:pPr>
        <w:spacing w:line="240" w:lineRule="auto"/>
        <w:jc w:val="left"/>
        <w:rPr>
          <w:rFonts w:ascii="Arial" w:hAnsi="Arial" w:cs="Arial"/>
          <w:b/>
          <w:bCs/>
          <w:sz w:val="20"/>
          <w:szCs w:val="20"/>
        </w:rPr>
      </w:pPr>
    </w:p>
    <w:p w:rsidR="00D000DA" w:rsidRPr="00D319E0" w:rsidRDefault="00D000DA" w:rsidP="00D319E0">
      <w:pPr>
        <w:spacing w:line="240" w:lineRule="auto"/>
        <w:jc w:val="left"/>
        <w:rPr>
          <w:rFonts w:ascii="Arial" w:hAnsi="Arial" w:cs="Arial"/>
          <w:b/>
          <w:bCs/>
          <w:sz w:val="20"/>
          <w:szCs w:val="20"/>
        </w:rPr>
      </w:pPr>
    </w:p>
    <w:p w:rsidR="00D000DA" w:rsidRPr="00D319E0" w:rsidRDefault="00D000DA" w:rsidP="00D319E0">
      <w:pPr>
        <w:spacing w:line="240" w:lineRule="auto"/>
        <w:jc w:val="left"/>
        <w:rPr>
          <w:rFonts w:ascii="Arial" w:hAnsi="Arial" w:cs="Arial"/>
          <w:b/>
          <w:bCs/>
          <w:sz w:val="20"/>
          <w:szCs w:val="20"/>
        </w:rPr>
      </w:pPr>
    </w:p>
    <w:p w:rsidR="00D000DA" w:rsidRPr="00D319E0" w:rsidRDefault="00D000DA" w:rsidP="00D319E0">
      <w:pPr>
        <w:spacing w:line="240" w:lineRule="auto"/>
        <w:jc w:val="left"/>
        <w:rPr>
          <w:rFonts w:ascii="Arial" w:hAnsi="Arial" w:cs="Arial"/>
          <w:b/>
          <w:bCs/>
          <w:sz w:val="20"/>
          <w:szCs w:val="20"/>
        </w:rPr>
      </w:pPr>
    </w:p>
    <w:p w:rsidR="00F02997" w:rsidRPr="00D319E0" w:rsidRDefault="00F02997" w:rsidP="00D319E0">
      <w:pPr>
        <w:spacing w:line="240" w:lineRule="auto"/>
        <w:jc w:val="left"/>
        <w:rPr>
          <w:rFonts w:ascii="Arial" w:hAnsi="Arial" w:cs="Arial"/>
          <w:b/>
          <w:i/>
          <w:sz w:val="20"/>
          <w:szCs w:val="20"/>
        </w:rPr>
      </w:pPr>
      <w:r w:rsidRPr="00D319E0">
        <w:rPr>
          <w:rFonts w:ascii="Arial" w:hAnsi="Arial" w:cs="Arial"/>
          <w:b/>
          <w:i/>
          <w:sz w:val="20"/>
          <w:szCs w:val="20"/>
        </w:rPr>
        <w:t>Table 2: Percent of total Department’s budget per subprogramme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852"/>
        <w:gridCol w:w="1699"/>
        <w:gridCol w:w="852"/>
        <w:gridCol w:w="1700"/>
        <w:gridCol w:w="1559"/>
      </w:tblGrid>
      <w:tr w:rsidR="00F02997" w:rsidRPr="00D319E0" w:rsidTr="00C06359">
        <w:trPr>
          <w:trHeight w:val="1035"/>
        </w:trPr>
        <w:tc>
          <w:tcPr>
            <w:tcW w:w="254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Programme</w:t>
            </w:r>
          </w:p>
        </w:tc>
        <w:tc>
          <w:tcPr>
            <w:tcW w:w="852" w:type="dxa"/>
            <w:shd w:val="clear" w:color="auto" w:fill="auto"/>
            <w:vAlign w:val="center"/>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Budget</w:t>
            </w:r>
          </w:p>
        </w:tc>
        <w:tc>
          <w:tcPr>
            <w:tcW w:w="1699" w:type="dxa"/>
            <w:shd w:val="clear" w:color="auto" w:fill="auto"/>
            <w:vAlign w:val="center"/>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Percent of total budget per programme</w:t>
            </w:r>
          </w:p>
        </w:tc>
        <w:tc>
          <w:tcPr>
            <w:tcW w:w="852" w:type="dxa"/>
            <w:shd w:val="clear" w:color="auto" w:fill="auto"/>
            <w:vAlign w:val="center"/>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Budget</w:t>
            </w:r>
          </w:p>
        </w:tc>
        <w:tc>
          <w:tcPr>
            <w:tcW w:w="1700" w:type="dxa"/>
            <w:shd w:val="clear" w:color="auto" w:fill="auto"/>
            <w:vAlign w:val="center"/>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Percent of total budget per programme</w:t>
            </w:r>
          </w:p>
        </w:tc>
        <w:tc>
          <w:tcPr>
            <w:tcW w:w="1559" w:type="dxa"/>
            <w:shd w:val="clear" w:color="auto" w:fill="auto"/>
            <w:vAlign w:val="center"/>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Change in percent allocation</w:t>
            </w:r>
          </w:p>
        </w:tc>
      </w:tr>
      <w:tr w:rsidR="00F02997" w:rsidRPr="00D319E0" w:rsidTr="00C06359">
        <w:trPr>
          <w:trHeight w:val="264"/>
        </w:trPr>
        <w:tc>
          <w:tcPr>
            <w:tcW w:w="254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 million</w:t>
            </w:r>
          </w:p>
        </w:tc>
        <w:tc>
          <w:tcPr>
            <w:tcW w:w="2551" w:type="dxa"/>
            <w:gridSpan w:val="2"/>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2022/23</w:t>
            </w:r>
          </w:p>
        </w:tc>
        <w:tc>
          <w:tcPr>
            <w:tcW w:w="2552" w:type="dxa"/>
            <w:gridSpan w:val="2"/>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2023/24</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p>
        </w:tc>
      </w:tr>
      <w:tr w:rsidR="00F02997" w:rsidRPr="00D319E0" w:rsidTr="00C06359">
        <w:trPr>
          <w:trHeight w:val="264"/>
        </w:trPr>
        <w:tc>
          <w:tcPr>
            <w:tcW w:w="254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Programme 1: Administration </w:t>
            </w:r>
          </w:p>
        </w:tc>
        <w:tc>
          <w:tcPr>
            <w:tcW w:w="8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71,3</w:t>
            </w:r>
          </w:p>
        </w:tc>
        <w:tc>
          <w:tcPr>
            <w:tcW w:w="169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45,75 per cent</w:t>
            </w:r>
          </w:p>
        </w:tc>
        <w:tc>
          <w:tcPr>
            <w:tcW w:w="8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70,7</w:t>
            </w:r>
          </w:p>
        </w:tc>
        <w:tc>
          <w:tcPr>
            <w:tcW w:w="170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45,87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0,12 per cent</w:t>
            </w:r>
          </w:p>
        </w:tc>
      </w:tr>
      <w:tr w:rsidR="00F02997" w:rsidRPr="00D319E0" w:rsidTr="00C06359">
        <w:trPr>
          <w:trHeight w:val="264"/>
        </w:trPr>
        <w:tc>
          <w:tcPr>
            <w:tcW w:w="254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Programme 2: Intersectoral Coordination </w:t>
            </w:r>
            <w:r w:rsidRPr="00D319E0">
              <w:rPr>
                <w:rFonts w:ascii="Arial" w:eastAsia="Times New Roman" w:hAnsi="Arial" w:cs="Arial"/>
                <w:sz w:val="20"/>
                <w:szCs w:val="20"/>
                <w:lang w:eastAsia="en-ZA"/>
              </w:rPr>
              <w:lastRenderedPageBreak/>
              <w:t>and Strategic Partnerships</w:t>
            </w:r>
          </w:p>
        </w:tc>
        <w:tc>
          <w:tcPr>
            <w:tcW w:w="8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lastRenderedPageBreak/>
              <w:t xml:space="preserve">  27,2</w:t>
            </w:r>
          </w:p>
        </w:tc>
        <w:tc>
          <w:tcPr>
            <w:tcW w:w="169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17,42 per cent</w:t>
            </w:r>
          </w:p>
        </w:tc>
        <w:tc>
          <w:tcPr>
            <w:tcW w:w="8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26,6</w:t>
            </w:r>
          </w:p>
        </w:tc>
        <w:tc>
          <w:tcPr>
            <w:tcW w:w="170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17,25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-0,17 per cent</w:t>
            </w:r>
          </w:p>
        </w:tc>
      </w:tr>
      <w:tr w:rsidR="00F02997" w:rsidRPr="00D319E0" w:rsidTr="00C06359">
        <w:trPr>
          <w:trHeight w:val="264"/>
        </w:trPr>
        <w:tc>
          <w:tcPr>
            <w:tcW w:w="254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lastRenderedPageBreak/>
              <w:t>Programme 3: Legislation and Policy Development</w:t>
            </w:r>
          </w:p>
        </w:tc>
        <w:tc>
          <w:tcPr>
            <w:tcW w:w="8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23,6</w:t>
            </w:r>
          </w:p>
        </w:tc>
        <w:tc>
          <w:tcPr>
            <w:tcW w:w="169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15,13 per cent</w:t>
            </w:r>
          </w:p>
        </w:tc>
        <w:tc>
          <w:tcPr>
            <w:tcW w:w="8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23,5</w:t>
            </w:r>
          </w:p>
        </w:tc>
        <w:tc>
          <w:tcPr>
            <w:tcW w:w="170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15,21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0,09 per cent</w:t>
            </w:r>
          </w:p>
        </w:tc>
      </w:tr>
      <w:tr w:rsidR="00F02997" w:rsidRPr="00D319E0" w:rsidTr="00C06359">
        <w:trPr>
          <w:trHeight w:val="264"/>
        </w:trPr>
        <w:tc>
          <w:tcPr>
            <w:tcW w:w="254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Programme 4: Civilian Oversight, Monitoring and Evaluation </w:t>
            </w:r>
          </w:p>
        </w:tc>
        <w:tc>
          <w:tcPr>
            <w:tcW w:w="8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33,8</w:t>
            </w:r>
          </w:p>
        </w:tc>
        <w:tc>
          <w:tcPr>
            <w:tcW w:w="169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21,70 per cent</w:t>
            </w:r>
          </w:p>
        </w:tc>
        <w:tc>
          <w:tcPr>
            <w:tcW w:w="8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33,4</w:t>
            </w:r>
          </w:p>
        </w:tc>
        <w:tc>
          <w:tcPr>
            <w:tcW w:w="170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21,67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-0,04 per cent</w:t>
            </w:r>
          </w:p>
        </w:tc>
      </w:tr>
      <w:tr w:rsidR="00F02997" w:rsidRPr="00D319E0" w:rsidTr="00C06359">
        <w:trPr>
          <w:trHeight w:val="264"/>
        </w:trPr>
        <w:tc>
          <w:tcPr>
            <w:tcW w:w="254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TOTAL</w:t>
            </w:r>
          </w:p>
        </w:tc>
        <w:tc>
          <w:tcPr>
            <w:tcW w:w="8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155,9</w:t>
            </w:r>
          </w:p>
        </w:tc>
        <w:tc>
          <w:tcPr>
            <w:tcW w:w="169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100,00 per cent</w:t>
            </w:r>
          </w:p>
        </w:tc>
        <w:tc>
          <w:tcPr>
            <w:tcW w:w="8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154,2</w:t>
            </w:r>
          </w:p>
        </w:tc>
        <w:tc>
          <w:tcPr>
            <w:tcW w:w="170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100,00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0,00 per cent</w:t>
            </w:r>
          </w:p>
        </w:tc>
      </w:tr>
    </w:tbl>
    <w:p w:rsidR="00F02997" w:rsidRPr="00D319E0" w:rsidRDefault="00F02997" w:rsidP="00D319E0">
      <w:pPr>
        <w:autoSpaceDE w:val="0"/>
        <w:autoSpaceDN w:val="0"/>
        <w:adjustRightInd w:val="0"/>
        <w:spacing w:line="240" w:lineRule="auto"/>
        <w:jc w:val="left"/>
        <w:rPr>
          <w:rFonts w:ascii="Arial" w:hAnsi="Arial" w:cs="Arial"/>
          <w:i/>
          <w:sz w:val="20"/>
          <w:szCs w:val="20"/>
        </w:rPr>
      </w:pPr>
      <w:r w:rsidRPr="00D319E0">
        <w:rPr>
          <w:rFonts w:ascii="Arial" w:hAnsi="Arial" w:cs="Arial"/>
          <w:i/>
          <w:sz w:val="20"/>
          <w:szCs w:val="20"/>
        </w:rPr>
        <w:t>Source: National Treasury (2023)</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sz w:val="20"/>
          <w:szCs w:val="20"/>
        </w:rPr>
      </w:pPr>
      <w:r w:rsidRPr="00D319E0">
        <w:rPr>
          <w:rFonts w:ascii="Arial" w:hAnsi="Arial" w:cs="Arial"/>
          <w:sz w:val="20"/>
          <w:szCs w:val="20"/>
        </w:rPr>
        <w:t xml:space="preserve">In 2023/24, the percentages of the total Departmental budget remained similar compared to the previous financial year. The Administration Programme continues to receive the bulk of the Department’s total budget allocation at 45.87 per cent, which is a proportional increase of 0.12 per cent compared to the previous financial year. The Civilian Oversight, Monitoring and Evaluations Programme continues to receive the second largest proportional allocation from the total Departmental budget at 21.68 per cent. Compared to the previous financial year, the Programme’s proportional allocation decreased slightly by 0.04 per cent.    </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sz w:val="20"/>
          <w:szCs w:val="20"/>
        </w:rPr>
      </w:pPr>
      <w:r w:rsidRPr="00D319E0">
        <w:rPr>
          <w:rFonts w:ascii="Arial" w:hAnsi="Arial" w:cs="Arial"/>
          <w:sz w:val="20"/>
          <w:szCs w:val="20"/>
        </w:rPr>
        <w:t xml:space="preserve">The Intersectoral Coordination and Strategic Partnerships Programme continues to receive the third largest proportional allocation of the total Departmental budget at 17.25 per cent. This is a decrease of 0.17 per cent compared to the previous financial year. The Legislation and Policy Development Programme continues to receive the smallest proportional allocation at 15.21 per cent. The Programme’s proportional allocation increased with 0.09 per cent in 2023/24 compared to the previous financial year. </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D000DA" w:rsidRPr="00D319E0" w:rsidRDefault="00D000DA"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pStyle w:val="Heading2"/>
        <w:numPr>
          <w:ilvl w:val="1"/>
          <w:numId w:val="19"/>
        </w:numPr>
        <w:spacing w:before="0" w:line="240" w:lineRule="auto"/>
        <w:rPr>
          <w:rFonts w:ascii="Arial" w:hAnsi="Arial" w:cs="Arial"/>
          <w:sz w:val="20"/>
          <w:szCs w:val="20"/>
        </w:rPr>
      </w:pPr>
      <w:bookmarkStart w:id="6" w:name="_Toc132207294"/>
      <w:r w:rsidRPr="00D319E0">
        <w:rPr>
          <w:rFonts w:ascii="Arial" w:hAnsi="Arial" w:cs="Arial"/>
          <w:sz w:val="20"/>
          <w:szCs w:val="20"/>
        </w:rPr>
        <w:t>Budget allocation per economic classification</w:t>
      </w:r>
      <w:bookmarkEnd w:id="6"/>
      <w:r w:rsidRPr="00D319E0">
        <w:rPr>
          <w:rFonts w:ascii="Arial" w:hAnsi="Arial" w:cs="Arial"/>
          <w:sz w:val="20"/>
          <w:szCs w:val="20"/>
        </w:rPr>
        <w:t xml:space="preserve"> </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sz w:val="20"/>
          <w:szCs w:val="20"/>
        </w:rPr>
      </w:pPr>
      <w:r w:rsidRPr="00D319E0">
        <w:rPr>
          <w:rFonts w:ascii="Arial" w:hAnsi="Arial" w:cs="Arial"/>
          <w:sz w:val="20"/>
          <w:szCs w:val="20"/>
        </w:rPr>
        <w:t xml:space="preserve">In terms of economic classification, the bulk of the Department’s budget is located in </w:t>
      </w:r>
      <w:r w:rsidRPr="00D319E0">
        <w:rPr>
          <w:rFonts w:ascii="Arial" w:hAnsi="Arial" w:cs="Arial"/>
          <w:i/>
          <w:sz w:val="20"/>
          <w:szCs w:val="20"/>
        </w:rPr>
        <w:t>Current payments</w:t>
      </w:r>
      <w:r w:rsidRPr="00D319E0">
        <w:rPr>
          <w:rFonts w:ascii="Arial" w:hAnsi="Arial" w:cs="Arial"/>
          <w:sz w:val="20"/>
          <w:szCs w:val="20"/>
        </w:rPr>
        <w:t xml:space="preserve">, of which 70.61 per cent (R108.9 million) goes towards </w:t>
      </w:r>
      <w:r w:rsidRPr="00D319E0">
        <w:rPr>
          <w:rFonts w:ascii="Arial" w:hAnsi="Arial" w:cs="Arial"/>
          <w:i/>
          <w:sz w:val="20"/>
          <w:szCs w:val="20"/>
        </w:rPr>
        <w:t>Compensation of Employees</w:t>
      </w:r>
      <w:r w:rsidRPr="00D319E0">
        <w:rPr>
          <w:rFonts w:ascii="Arial" w:hAnsi="Arial" w:cs="Arial"/>
          <w:sz w:val="20"/>
          <w:szCs w:val="20"/>
        </w:rPr>
        <w:t xml:space="preserve">. The allocation towards </w:t>
      </w:r>
      <w:r w:rsidRPr="00D319E0">
        <w:rPr>
          <w:rFonts w:ascii="Arial" w:hAnsi="Arial" w:cs="Arial"/>
          <w:i/>
          <w:sz w:val="20"/>
          <w:szCs w:val="20"/>
        </w:rPr>
        <w:t>Compensation of Employees</w:t>
      </w:r>
      <w:r w:rsidRPr="00D319E0">
        <w:rPr>
          <w:rFonts w:ascii="Arial" w:hAnsi="Arial" w:cs="Arial"/>
          <w:sz w:val="20"/>
          <w:szCs w:val="20"/>
        </w:rPr>
        <w:t xml:space="preserve"> decreased nominally by 1.79 per cent compared to the previous financial year. In 2023/24, R39.8 million is allocated to </w:t>
      </w:r>
      <w:r w:rsidRPr="00D319E0">
        <w:rPr>
          <w:rFonts w:ascii="Arial" w:hAnsi="Arial" w:cs="Arial"/>
          <w:i/>
          <w:sz w:val="20"/>
          <w:szCs w:val="20"/>
        </w:rPr>
        <w:t>Goods and services</w:t>
      </w:r>
      <w:r w:rsidRPr="00D319E0">
        <w:rPr>
          <w:rFonts w:ascii="Arial" w:hAnsi="Arial" w:cs="Arial"/>
          <w:sz w:val="20"/>
          <w:szCs w:val="20"/>
        </w:rPr>
        <w:t xml:space="preserve">, which is a nominal decrease of 3.0 per cent compared to the previous financial year. </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sz w:val="20"/>
          <w:szCs w:val="20"/>
        </w:rPr>
      </w:pPr>
      <w:r w:rsidRPr="00D319E0">
        <w:rPr>
          <w:rFonts w:ascii="Arial" w:hAnsi="Arial" w:cs="Arial"/>
          <w:sz w:val="20"/>
          <w:szCs w:val="20"/>
        </w:rPr>
        <w:t xml:space="preserve">In 2023/24, the allocation towards </w:t>
      </w:r>
      <w:r w:rsidRPr="00D319E0">
        <w:rPr>
          <w:rFonts w:ascii="Arial" w:hAnsi="Arial" w:cs="Arial"/>
          <w:i/>
          <w:sz w:val="20"/>
          <w:szCs w:val="20"/>
        </w:rPr>
        <w:t>Payments for Capital Assets</w:t>
      </w:r>
      <w:r w:rsidRPr="00D319E0">
        <w:rPr>
          <w:rFonts w:ascii="Arial" w:hAnsi="Arial" w:cs="Arial"/>
          <w:sz w:val="20"/>
          <w:szCs w:val="20"/>
        </w:rPr>
        <w:t xml:space="preserve"> is R5.3 million which is a nominal increase of 45.65 per cent compared to the previous financial year. </w:t>
      </w:r>
      <w:r w:rsidRPr="00D319E0">
        <w:rPr>
          <w:rFonts w:ascii="Arial" w:hAnsi="Arial" w:cs="Arial"/>
          <w:i/>
          <w:sz w:val="20"/>
          <w:szCs w:val="20"/>
        </w:rPr>
        <w:t>Machinery and equipment</w:t>
      </w:r>
      <w:r w:rsidRPr="00D319E0">
        <w:rPr>
          <w:rFonts w:ascii="Arial" w:hAnsi="Arial" w:cs="Arial"/>
          <w:sz w:val="20"/>
          <w:szCs w:val="20"/>
        </w:rPr>
        <w:t xml:space="preserve"> received a Main Appropriation of R5 million, which is a nominal increase of 38.4 per cent compared to the R3.6 million allocation received in the 2022/23 financial year. The allocation towards </w:t>
      </w:r>
      <w:r w:rsidRPr="00D319E0">
        <w:rPr>
          <w:rFonts w:ascii="Arial" w:hAnsi="Arial" w:cs="Arial"/>
          <w:i/>
          <w:sz w:val="20"/>
          <w:szCs w:val="20"/>
        </w:rPr>
        <w:t>Software and other intangible assets</w:t>
      </w:r>
      <w:r w:rsidRPr="00D319E0">
        <w:rPr>
          <w:rFonts w:ascii="Arial" w:hAnsi="Arial" w:cs="Arial"/>
          <w:sz w:val="20"/>
          <w:szCs w:val="20"/>
        </w:rPr>
        <w:t xml:space="preserve"> is R400 000 in 2023/24, which is a nominal increase of 405.56 per cent or R300 000.00.</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b/>
          <w:i/>
          <w:sz w:val="20"/>
          <w:szCs w:val="20"/>
        </w:rPr>
      </w:pPr>
      <w:r w:rsidRPr="00D319E0">
        <w:rPr>
          <w:rFonts w:ascii="Arial" w:hAnsi="Arial" w:cs="Arial"/>
          <w:b/>
          <w:i/>
          <w:sz w:val="20"/>
          <w:szCs w:val="20"/>
        </w:rPr>
        <w:t>Table 3: CSPS 2023/24 Budget summary per economic classification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939"/>
        <w:gridCol w:w="939"/>
        <w:gridCol w:w="1106"/>
        <w:gridCol w:w="1134"/>
        <w:gridCol w:w="1559"/>
        <w:gridCol w:w="1560"/>
      </w:tblGrid>
      <w:tr w:rsidR="00F02997" w:rsidRPr="00D319E0" w:rsidTr="00CC5086">
        <w:trPr>
          <w:trHeight w:val="765"/>
          <w:tblHeader/>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Programme</w:t>
            </w:r>
          </w:p>
        </w:tc>
        <w:tc>
          <w:tcPr>
            <w:tcW w:w="1734" w:type="dxa"/>
            <w:gridSpan w:val="2"/>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Budget</w:t>
            </w:r>
          </w:p>
        </w:tc>
        <w:tc>
          <w:tcPr>
            <w:tcW w:w="1101" w:type="dxa"/>
            <w:vMerge w:val="restart"/>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Nominal Increase/ Decrease in 2023/24</w:t>
            </w:r>
          </w:p>
        </w:tc>
        <w:tc>
          <w:tcPr>
            <w:tcW w:w="1134" w:type="dxa"/>
            <w:vMerge w:val="restart"/>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Real Increase/ Decrease in 2023/24</w:t>
            </w:r>
          </w:p>
        </w:tc>
        <w:tc>
          <w:tcPr>
            <w:tcW w:w="1559" w:type="dxa"/>
            <w:vMerge w:val="restart"/>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Nominal Percent change in 2023/24</w:t>
            </w:r>
          </w:p>
        </w:tc>
        <w:tc>
          <w:tcPr>
            <w:tcW w:w="1560" w:type="dxa"/>
            <w:vMerge w:val="restart"/>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Real Percent change in 2023/24</w:t>
            </w:r>
          </w:p>
        </w:tc>
      </w:tr>
      <w:tr w:rsidR="00F02997" w:rsidRPr="00D319E0" w:rsidTr="00533127">
        <w:trPr>
          <w:trHeight w:val="264"/>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 million</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2022/23</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2023/24</w:t>
            </w:r>
          </w:p>
        </w:tc>
        <w:tc>
          <w:tcPr>
            <w:tcW w:w="1101" w:type="dxa"/>
            <w:vMerge/>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134" w:type="dxa"/>
            <w:vMerge/>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559" w:type="dxa"/>
            <w:vMerge/>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560" w:type="dxa"/>
            <w:vMerge/>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r>
      <w:tr w:rsidR="00F02997" w:rsidRPr="00D319E0" w:rsidTr="00533127">
        <w:trPr>
          <w:trHeight w:val="264"/>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Current payments</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151,9</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148,7</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3,2</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10,2</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-2,11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-6,69 per cent</w:t>
            </w:r>
          </w:p>
        </w:tc>
      </w:tr>
      <w:tr w:rsidR="00F02997" w:rsidRPr="00D319E0" w:rsidTr="00533127">
        <w:trPr>
          <w:trHeight w:val="264"/>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Compensation of employees</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110,8</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108,9</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2,0</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7,1</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-1,79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-6,37 per cent</w:t>
            </w:r>
          </w:p>
        </w:tc>
      </w:tr>
      <w:tr w:rsidR="00F02997" w:rsidRPr="00D319E0" w:rsidTr="00533127">
        <w:trPr>
          <w:trHeight w:val="264"/>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Goods and services</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41,1</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39,8</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1,2</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3,1</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-3,00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-7,53 per cent</w:t>
            </w:r>
          </w:p>
        </w:tc>
      </w:tr>
      <w:tr w:rsidR="00F02997" w:rsidRPr="00D319E0" w:rsidTr="00533127">
        <w:trPr>
          <w:trHeight w:val="264"/>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Transfers and subsidies</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0,4</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0,1</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0,2</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0,2</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-60,98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-62,80 per cent</w:t>
            </w:r>
          </w:p>
        </w:tc>
      </w:tr>
      <w:tr w:rsidR="00F02997" w:rsidRPr="00D319E0" w:rsidTr="00533127">
        <w:trPr>
          <w:trHeight w:val="264"/>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Provinces and municipalities</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0,0</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0,0</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0,0</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0,0</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26,32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20,42 per cent</w:t>
            </w:r>
          </w:p>
        </w:tc>
      </w:tr>
      <w:tr w:rsidR="00F02997" w:rsidRPr="00D319E0" w:rsidTr="00533127">
        <w:trPr>
          <w:trHeight w:val="264"/>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Departmental agencies and accounts</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0,1</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0,1</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0,0</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0,0</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9,09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4,00 per cent</w:t>
            </w:r>
          </w:p>
        </w:tc>
      </w:tr>
      <w:tr w:rsidR="00F02997" w:rsidRPr="00D319E0" w:rsidTr="00533127">
        <w:trPr>
          <w:trHeight w:val="264"/>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Households</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0,2</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0,0</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0,2</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0,2</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-100,00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-100,00 per cent</w:t>
            </w:r>
          </w:p>
        </w:tc>
      </w:tr>
      <w:tr w:rsidR="00F02997" w:rsidRPr="00D319E0" w:rsidTr="00533127">
        <w:trPr>
          <w:trHeight w:val="264"/>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Payments for capital </w:t>
            </w:r>
            <w:r w:rsidRPr="00D319E0">
              <w:rPr>
                <w:rFonts w:ascii="Arial" w:eastAsia="Times New Roman" w:hAnsi="Arial" w:cs="Arial"/>
                <w:b/>
                <w:sz w:val="20"/>
                <w:szCs w:val="20"/>
                <w:lang w:eastAsia="en-ZA"/>
              </w:rPr>
              <w:lastRenderedPageBreak/>
              <w:t>assets</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lastRenderedPageBreak/>
              <w:t xml:space="preserve">  3,7</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5,3</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1,7</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1,4</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45,65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38,85 per cent</w:t>
            </w:r>
          </w:p>
        </w:tc>
      </w:tr>
      <w:tr w:rsidR="00F02997" w:rsidRPr="00D319E0" w:rsidTr="00533127">
        <w:trPr>
          <w:trHeight w:val="264"/>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lastRenderedPageBreak/>
              <w:t>Machinery and equipment</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3,6</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5,0</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1,4</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1,1</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38,41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31,95 per cent</w:t>
            </w:r>
          </w:p>
        </w:tc>
      </w:tr>
      <w:tr w:rsidR="00F02997" w:rsidRPr="00D319E0" w:rsidTr="00533127">
        <w:trPr>
          <w:trHeight w:val="264"/>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Software and other intangible assets</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0,1</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0,4</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0,3</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0,3</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405,56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381,94 per cent</w:t>
            </w:r>
          </w:p>
        </w:tc>
      </w:tr>
      <w:tr w:rsidR="00F02997" w:rsidRPr="00D319E0" w:rsidTr="00533127">
        <w:trPr>
          <w:trHeight w:val="264"/>
        </w:trPr>
        <w:tc>
          <w:tcPr>
            <w:tcW w:w="240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TOTAL</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155,9</w:t>
            </w:r>
          </w:p>
        </w:tc>
        <w:tc>
          <w:tcPr>
            <w:tcW w:w="867"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154,2</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1,8</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9,0</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-1,1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-5,75 per cent</w:t>
            </w:r>
          </w:p>
        </w:tc>
      </w:tr>
    </w:tbl>
    <w:p w:rsidR="00F02997" w:rsidRPr="00D319E0" w:rsidRDefault="00F02997" w:rsidP="00D319E0">
      <w:pPr>
        <w:autoSpaceDE w:val="0"/>
        <w:autoSpaceDN w:val="0"/>
        <w:adjustRightInd w:val="0"/>
        <w:spacing w:line="240" w:lineRule="auto"/>
        <w:jc w:val="left"/>
        <w:rPr>
          <w:rFonts w:ascii="Arial" w:hAnsi="Arial" w:cs="Arial"/>
          <w:i/>
          <w:sz w:val="20"/>
          <w:szCs w:val="20"/>
        </w:rPr>
      </w:pPr>
      <w:r w:rsidRPr="00D319E0">
        <w:rPr>
          <w:rFonts w:ascii="Arial" w:hAnsi="Arial" w:cs="Arial"/>
          <w:i/>
          <w:sz w:val="20"/>
          <w:szCs w:val="20"/>
        </w:rPr>
        <w:t>Source: National Treasury (2023)</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pStyle w:val="Heading2"/>
        <w:numPr>
          <w:ilvl w:val="1"/>
          <w:numId w:val="19"/>
        </w:numPr>
        <w:spacing w:before="0" w:line="240" w:lineRule="auto"/>
        <w:rPr>
          <w:rFonts w:ascii="Arial" w:hAnsi="Arial" w:cs="Arial"/>
          <w:sz w:val="20"/>
          <w:szCs w:val="20"/>
        </w:rPr>
      </w:pPr>
      <w:bookmarkStart w:id="7" w:name="_Toc132207295"/>
      <w:r w:rsidRPr="00D319E0">
        <w:rPr>
          <w:rFonts w:ascii="Arial" w:hAnsi="Arial" w:cs="Arial"/>
          <w:sz w:val="20"/>
          <w:szCs w:val="20"/>
        </w:rPr>
        <w:t>Programme 1: Administration</w:t>
      </w:r>
      <w:bookmarkEnd w:id="7"/>
      <w:r w:rsidRPr="00D319E0">
        <w:rPr>
          <w:rFonts w:ascii="Arial" w:hAnsi="Arial" w:cs="Arial"/>
          <w:sz w:val="20"/>
          <w:szCs w:val="20"/>
        </w:rPr>
        <w:t xml:space="preserve">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The Administration Programme’s budget allocation decreased from R71.3 million in 2022/23 to R70.7 million in 2023/24, which is a nominal decrease of 0.9 per cent (or R600 000). Considering inflation, the Programme’s allocation decreased by 5.51 per cent compared to the previous financial year.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The </w:t>
      </w:r>
      <w:r w:rsidRPr="00D319E0">
        <w:rPr>
          <w:rFonts w:ascii="Arial" w:hAnsi="Arial" w:cs="Arial"/>
          <w:bCs/>
          <w:i/>
          <w:sz w:val="20"/>
          <w:szCs w:val="20"/>
        </w:rPr>
        <w:t>Department Management</w:t>
      </w:r>
      <w:r w:rsidRPr="00D319E0">
        <w:rPr>
          <w:rFonts w:ascii="Arial" w:hAnsi="Arial" w:cs="Arial"/>
          <w:bCs/>
          <w:sz w:val="20"/>
          <w:szCs w:val="20"/>
        </w:rPr>
        <w:t xml:space="preserve"> subprogramme received a Main Allocation of R13.2 million in 2023/24, which is a nominal decrease of 1.15 per cent and real decrease of 5.77 per cent compared to the previous financial year.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The </w:t>
      </w:r>
      <w:r w:rsidRPr="00D319E0">
        <w:rPr>
          <w:rFonts w:ascii="Arial" w:hAnsi="Arial" w:cs="Arial"/>
          <w:bCs/>
          <w:i/>
          <w:sz w:val="20"/>
          <w:szCs w:val="20"/>
        </w:rPr>
        <w:t>Corporate Services</w:t>
      </w:r>
      <w:r w:rsidRPr="00D319E0">
        <w:rPr>
          <w:rFonts w:ascii="Arial" w:hAnsi="Arial" w:cs="Arial"/>
          <w:bCs/>
          <w:sz w:val="20"/>
          <w:szCs w:val="20"/>
        </w:rPr>
        <w:t xml:space="preserve"> subprogramme’s allocation decreased slightly from R25.2 million in 2022/23 to R24.7 million in 2023/24, which is a nominal decrease of 2.26 per cent. However, considering inflation, the allocation showed a real decrease of 6.83 per cent. The </w:t>
      </w:r>
      <w:r w:rsidRPr="00D319E0">
        <w:rPr>
          <w:rFonts w:ascii="Arial" w:hAnsi="Arial" w:cs="Arial"/>
          <w:bCs/>
          <w:i/>
          <w:sz w:val="20"/>
          <w:szCs w:val="20"/>
        </w:rPr>
        <w:t>Finance Administration</w:t>
      </w:r>
      <w:r w:rsidRPr="00D319E0">
        <w:rPr>
          <w:rFonts w:ascii="Arial" w:hAnsi="Arial" w:cs="Arial"/>
          <w:bCs/>
          <w:sz w:val="20"/>
          <w:szCs w:val="20"/>
        </w:rPr>
        <w:t xml:space="preserve"> subprogramme received a slight nominal decrease of 3.37 per cent, which is a real decrease of 7.88 per cent.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The Department relocated to their new offices in 2022. The budget allocation of the </w:t>
      </w:r>
      <w:r w:rsidRPr="00D319E0">
        <w:rPr>
          <w:rFonts w:ascii="Arial" w:hAnsi="Arial" w:cs="Arial"/>
          <w:bCs/>
          <w:i/>
          <w:sz w:val="20"/>
          <w:szCs w:val="20"/>
        </w:rPr>
        <w:t>Office Accommodation</w:t>
      </w:r>
      <w:r w:rsidRPr="00D319E0">
        <w:rPr>
          <w:rFonts w:ascii="Arial" w:hAnsi="Arial" w:cs="Arial"/>
          <w:bCs/>
          <w:sz w:val="20"/>
          <w:szCs w:val="20"/>
        </w:rPr>
        <w:t xml:space="preserve"> subprogramme increases from R9.1 million in 2022/23 to R9.9 million in 2023/24, which is a nominal increase of 8.76 per cent.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
          <w:bCs/>
          <w:i/>
          <w:sz w:val="20"/>
          <w:szCs w:val="20"/>
        </w:rPr>
      </w:pPr>
      <w:r w:rsidRPr="00D319E0">
        <w:rPr>
          <w:rFonts w:ascii="Arial" w:hAnsi="Arial" w:cs="Arial"/>
          <w:b/>
          <w:bCs/>
          <w:i/>
          <w:sz w:val="20"/>
          <w:szCs w:val="20"/>
        </w:rPr>
        <w:t xml:space="preserve">Table 4: Budget allocation: Administration Programme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992"/>
        <w:gridCol w:w="992"/>
        <w:gridCol w:w="1276"/>
        <w:gridCol w:w="1276"/>
        <w:gridCol w:w="1559"/>
        <w:gridCol w:w="1559"/>
      </w:tblGrid>
      <w:tr w:rsidR="00F02997" w:rsidRPr="00D319E0" w:rsidTr="00C06359">
        <w:trPr>
          <w:trHeight w:val="765"/>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Programme</w:t>
            </w:r>
          </w:p>
        </w:tc>
        <w:tc>
          <w:tcPr>
            <w:tcW w:w="1984" w:type="dxa"/>
            <w:gridSpan w:val="2"/>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Budget</w:t>
            </w:r>
          </w:p>
        </w:tc>
        <w:tc>
          <w:tcPr>
            <w:tcW w:w="1276" w:type="dxa"/>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Nominal Increase/ Decrease in 2023/24</w:t>
            </w:r>
          </w:p>
        </w:tc>
        <w:tc>
          <w:tcPr>
            <w:tcW w:w="1276" w:type="dxa"/>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Real Increase/ Decrease in 2023/24</w:t>
            </w:r>
          </w:p>
        </w:tc>
        <w:tc>
          <w:tcPr>
            <w:tcW w:w="1559" w:type="dxa"/>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Nominal Percent change in 2023/24</w:t>
            </w:r>
          </w:p>
        </w:tc>
        <w:tc>
          <w:tcPr>
            <w:tcW w:w="1559" w:type="dxa"/>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Real Percent change in 2023/24</w:t>
            </w: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 million</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2022/23</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2023/24</w:t>
            </w:r>
          </w:p>
        </w:tc>
        <w:tc>
          <w:tcPr>
            <w:tcW w:w="1276" w:type="dxa"/>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276" w:type="dxa"/>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559" w:type="dxa"/>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559" w:type="dxa"/>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1: Department Management</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13,3</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13,2</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0,2</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0,8</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-1,15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-5,77 per cent</w:t>
            </w: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Sub-programme 2: Corporate Services </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25,2</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24,7</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0,6</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1,7</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-2,26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-6,83 per cent</w:t>
            </w: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Sub-programme 3: Finance Administration </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18,8</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18,1</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0,6</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1,5</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-3,37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-7,88 per cent</w:t>
            </w: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Sub-programme 4: Office Accommodation </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9,1</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9,9</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0,8</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0,3</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8,76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3,68 per cent</w:t>
            </w: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Sub-programme 5: Internal Audit </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4,9</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4,8</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0,1</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0,3</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-1,54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-6,14 per cent</w:t>
            </w: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TOTAL</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71,3</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70,7</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0,6</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3,9</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-0,9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-5,51 per cent</w:t>
            </w:r>
          </w:p>
        </w:tc>
      </w:tr>
    </w:tbl>
    <w:p w:rsidR="00F02997" w:rsidRPr="00D319E0" w:rsidRDefault="00F02997" w:rsidP="00D319E0">
      <w:pPr>
        <w:autoSpaceDE w:val="0"/>
        <w:autoSpaceDN w:val="0"/>
        <w:adjustRightInd w:val="0"/>
        <w:spacing w:line="240" w:lineRule="auto"/>
        <w:jc w:val="left"/>
        <w:rPr>
          <w:rFonts w:ascii="Arial" w:hAnsi="Arial" w:cs="Arial"/>
          <w:i/>
          <w:sz w:val="20"/>
          <w:szCs w:val="20"/>
        </w:rPr>
      </w:pPr>
      <w:r w:rsidRPr="00D319E0">
        <w:rPr>
          <w:rFonts w:ascii="Arial" w:hAnsi="Arial" w:cs="Arial"/>
          <w:i/>
          <w:sz w:val="20"/>
          <w:szCs w:val="20"/>
        </w:rPr>
        <w:t>Source: National Treasury (2023)</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The </w:t>
      </w:r>
      <w:r w:rsidRPr="00D319E0">
        <w:rPr>
          <w:rFonts w:ascii="Arial" w:hAnsi="Arial" w:cs="Arial"/>
          <w:bCs/>
          <w:i/>
          <w:sz w:val="20"/>
          <w:szCs w:val="20"/>
        </w:rPr>
        <w:t xml:space="preserve">Internal Audit </w:t>
      </w:r>
      <w:r w:rsidRPr="00D319E0">
        <w:rPr>
          <w:rFonts w:ascii="Arial" w:hAnsi="Arial" w:cs="Arial"/>
          <w:bCs/>
          <w:sz w:val="20"/>
          <w:szCs w:val="20"/>
        </w:rPr>
        <w:t xml:space="preserve">subprogramme received a Main Appropriation of R4.8 million in 2023/24, which is a slight decrease compared to the previous financial year. </w:t>
      </w:r>
    </w:p>
    <w:p w:rsidR="00F02997" w:rsidRPr="00D319E0" w:rsidRDefault="00F02997" w:rsidP="00D319E0">
      <w:pPr>
        <w:spacing w:line="240" w:lineRule="auto"/>
        <w:jc w:val="left"/>
        <w:rPr>
          <w:rFonts w:ascii="Arial" w:hAnsi="Arial" w:cs="Arial"/>
          <w:b/>
          <w:sz w:val="20"/>
          <w:szCs w:val="20"/>
        </w:rPr>
      </w:pPr>
    </w:p>
    <w:p w:rsidR="00F02997" w:rsidRPr="00D319E0" w:rsidRDefault="00F02997" w:rsidP="00D319E0">
      <w:pPr>
        <w:spacing w:line="240" w:lineRule="auto"/>
        <w:jc w:val="left"/>
        <w:rPr>
          <w:rFonts w:ascii="Arial" w:hAnsi="Arial" w:cs="Arial"/>
          <w:b/>
          <w:i/>
          <w:sz w:val="20"/>
          <w:szCs w:val="20"/>
        </w:rPr>
      </w:pPr>
      <w:r w:rsidRPr="00D319E0">
        <w:rPr>
          <w:rFonts w:ascii="Arial" w:hAnsi="Arial" w:cs="Arial"/>
          <w:b/>
          <w:i/>
          <w:sz w:val="20"/>
          <w:szCs w:val="20"/>
        </w:rPr>
        <w:t xml:space="preserve">Table 5: Percent of total Administration Programme budget </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992"/>
        <w:gridCol w:w="1701"/>
        <w:gridCol w:w="850"/>
        <w:gridCol w:w="1560"/>
        <w:gridCol w:w="1842"/>
      </w:tblGrid>
      <w:tr w:rsidR="00F02997" w:rsidRPr="00D319E0" w:rsidTr="00C06359">
        <w:trPr>
          <w:trHeight w:val="1035"/>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Programme</w:t>
            </w:r>
          </w:p>
        </w:tc>
        <w:tc>
          <w:tcPr>
            <w:tcW w:w="992" w:type="dxa"/>
            <w:shd w:val="clear" w:color="auto" w:fill="auto"/>
            <w:vAlign w:val="center"/>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Budget</w:t>
            </w:r>
          </w:p>
        </w:tc>
        <w:tc>
          <w:tcPr>
            <w:tcW w:w="1701" w:type="dxa"/>
            <w:shd w:val="clear" w:color="auto" w:fill="auto"/>
            <w:vAlign w:val="center"/>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Percent of total budget per programme</w:t>
            </w:r>
          </w:p>
        </w:tc>
        <w:tc>
          <w:tcPr>
            <w:tcW w:w="850" w:type="dxa"/>
            <w:shd w:val="clear" w:color="auto" w:fill="auto"/>
            <w:vAlign w:val="center"/>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Budget</w:t>
            </w:r>
          </w:p>
        </w:tc>
        <w:tc>
          <w:tcPr>
            <w:tcW w:w="1560" w:type="dxa"/>
            <w:shd w:val="clear" w:color="auto" w:fill="auto"/>
            <w:vAlign w:val="center"/>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Percent of total budget per programme</w:t>
            </w:r>
          </w:p>
        </w:tc>
        <w:tc>
          <w:tcPr>
            <w:tcW w:w="1842" w:type="dxa"/>
            <w:shd w:val="clear" w:color="auto" w:fill="auto"/>
            <w:vAlign w:val="center"/>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Change in percent allocation</w:t>
            </w: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 million</w:t>
            </w:r>
          </w:p>
        </w:tc>
        <w:tc>
          <w:tcPr>
            <w:tcW w:w="2693" w:type="dxa"/>
            <w:gridSpan w:val="2"/>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2022/23</w:t>
            </w:r>
          </w:p>
        </w:tc>
        <w:tc>
          <w:tcPr>
            <w:tcW w:w="2410" w:type="dxa"/>
            <w:gridSpan w:val="2"/>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2023/24</w:t>
            </w:r>
          </w:p>
        </w:tc>
        <w:tc>
          <w:tcPr>
            <w:tcW w:w="184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lastRenderedPageBreak/>
              <w:t>Sub-programme 1: Department Management</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13,3</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18,67 per cent</w:t>
            </w:r>
          </w:p>
        </w:tc>
        <w:tc>
          <w:tcPr>
            <w:tcW w:w="85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13,2</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18,62 per cent</w:t>
            </w:r>
          </w:p>
        </w:tc>
        <w:tc>
          <w:tcPr>
            <w:tcW w:w="184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-0,05 per cent</w:t>
            </w: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Sub-programme 2: Corporate Services </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25,2</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35,36 per cent</w:t>
            </w:r>
          </w:p>
        </w:tc>
        <w:tc>
          <w:tcPr>
            <w:tcW w:w="85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24,7</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34,86 per cent</w:t>
            </w:r>
          </w:p>
        </w:tc>
        <w:tc>
          <w:tcPr>
            <w:tcW w:w="184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-0,49 per cent</w:t>
            </w: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Sub-programme 3: Finance Administration </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18,8</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26,31 per cent</w:t>
            </w:r>
          </w:p>
        </w:tc>
        <w:tc>
          <w:tcPr>
            <w:tcW w:w="85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18,1</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25,65 per cent</w:t>
            </w:r>
          </w:p>
        </w:tc>
        <w:tc>
          <w:tcPr>
            <w:tcW w:w="184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-0,66 per cent</w:t>
            </w: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Sub-programme 4: Office Accommodation </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9,1</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12,82 per cent</w:t>
            </w:r>
          </w:p>
        </w:tc>
        <w:tc>
          <w:tcPr>
            <w:tcW w:w="85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9,9</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14,07 per cent</w:t>
            </w:r>
          </w:p>
        </w:tc>
        <w:tc>
          <w:tcPr>
            <w:tcW w:w="184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1,25 per cent</w:t>
            </w: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Sub-programme 5: Internal Audit </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4,9</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6,84 per cent</w:t>
            </w:r>
          </w:p>
        </w:tc>
        <w:tc>
          <w:tcPr>
            <w:tcW w:w="85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4,8</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6,80 per cent</w:t>
            </w:r>
          </w:p>
        </w:tc>
        <w:tc>
          <w:tcPr>
            <w:tcW w:w="184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-0,05 per cent</w:t>
            </w:r>
          </w:p>
        </w:tc>
      </w:tr>
      <w:tr w:rsidR="00F02997" w:rsidRPr="00D319E0" w:rsidTr="00C06359">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TOTAL</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71,3</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100,00 per cent</w:t>
            </w:r>
          </w:p>
        </w:tc>
        <w:tc>
          <w:tcPr>
            <w:tcW w:w="85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70,7</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100,00 per cent</w:t>
            </w:r>
          </w:p>
        </w:tc>
        <w:tc>
          <w:tcPr>
            <w:tcW w:w="184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0,00 per cent</w:t>
            </w:r>
          </w:p>
        </w:tc>
      </w:tr>
    </w:tbl>
    <w:p w:rsidR="00F02997" w:rsidRPr="00D319E0" w:rsidRDefault="00F02997" w:rsidP="00D319E0">
      <w:pPr>
        <w:autoSpaceDE w:val="0"/>
        <w:autoSpaceDN w:val="0"/>
        <w:adjustRightInd w:val="0"/>
        <w:spacing w:line="240" w:lineRule="auto"/>
        <w:jc w:val="left"/>
        <w:rPr>
          <w:rFonts w:ascii="Arial" w:hAnsi="Arial" w:cs="Arial"/>
          <w:i/>
          <w:sz w:val="20"/>
          <w:szCs w:val="20"/>
        </w:rPr>
      </w:pPr>
      <w:r w:rsidRPr="00D319E0">
        <w:rPr>
          <w:rFonts w:ascii="Arial" w:hAnsi="Arial" w:cs="Arial"/>
          <w:i/>
          <w:sz w:val="20"/>
          <w:szCs w:val="20"/>
        </w:rPr>
        <w:t>Source: National Treasury (2023)</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The increase in the Office Accommodation subprogramme’s budget allocation affected the proportional allocations of the subprogrammes of the Administration Programme. The Corporate services subprogramme continues to receive the bulk of the Programme’s budget allocation at 34.86 per cent. The proportional allocations of the Departmental Management, the Financial Management and the Internal Audit subprogrammes decreased with 0.05 per cent, 0.49 per cent and 0.05 per cent, respectively. The Office Accommodation subprogramme receives 14.07 per cent of the Programme’s total budget allocation.</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pStyle w:val="Heading2"/>
        <w:numPr>
          <w:ilvl w:val="1"/>
          <w:numId w:val="19"/>
        </w:numPr>
        <w:spacing w:before="0" w:line="240" w:lineRule="auto"/>
        <w:rPr>
          <w:rFonts w:ascii="Arial" w:hAnsi="Arial" w:cs="Arial"/>
          <w:sz w:val="20"/>
          <w:szCs w:val="20"/>
        </w:rPr>
      </w:pPr>
      <w:bookmarkStart w:id="8" w:name="_Toc132207296"/>
      <w:r w:rsidRPr="00D319E0">
        <w:rPr>
          <w:rFonts w:ascii="Arial" w:hAnsi="Arial" w:cs="Arial"/>
          <w:sz w:val="20"/>
          <w:szCs w:val="20"/>
        </w:rPr>
        <w:t>Programme 2: Intersectoral Coordination and Strategic Partnerships</w:t>
      </w:r>
      <w:bookmarkEnd w:id="8"/>
      <w:r w:rsidRPr="00D319E0">
        <w:rPr>
          <w:rFonts w:ascii="Arial" w:hAnsi="Arial" w:cs="Arial"/>
          <w:sz w:val="20"/>
          <w:szCs w:val="20"/>
        </w:rPr>
        <w:t xml:space="preserve">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The Intersectoral Coordination and Strategic Partnerships Programme received a Main Appropriation of R26.6 million in 2023/24, which is a nominal decrease of 2.1 per cent. Considering inflation, the Programme received a real decrease of 6.66 per cent (or R1.8 million). The </w:t>
      </w:r>
      <w:r w:rsidRPr="00D319E0">
        <w:rPr>
          <w:rFonts w:ascii="Arial" w:hAnsi="Arial" w:cs="Arial"/>
          <w:bCs/>
          <w:i/>
          <w:sz w:val="20"/>
          <w:szCs w:val="20"/>
        </w:rPr>
        <w:t>Intergovernmental, Civil Society and Public-Private Partnerships</w:t>
      </w:r>
      <w:r w:rsidRPr="00D319E0">
        <w:rPr>
          <w:rFonts w:ascii="Arial" w:hAnsi="Arial" w:cs="Arial"/>
          <w:bCs/>
          <w:sz w:val="20"/>
          <w:szCs w:val="20"/>
        </w:rPr>
        <w:t xml:space="preserve"> subprogramme received a Main Appropriation of R22.5 million in 2023/24, which is a nominal decrease of 2.15 per cent compared to the previous financial year. Considering inflation, the subprogramme’s allocation decreased with 6.72 per cent compared to the previous financial year.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ind w:right="-613"/>
        <w:jc w:val="left"/>
        <w:rPr>
          <w:rFonts w:ascii="Arial" w:hAnsi="Arial" w:cs="Arial"/>
          <w:b/>
          <w:i/>
          <w:sz w:val="20"/>
          <w:szCs w:val="20"/>
        </w:rPr>
      </w:pPr>
      <w:r w:rsidRPr="00D319E0">
        <w:rPr>
          <w:rFonts w:ascii="Arial" w:hAnsi="Arial" w:cs="Arial"/>
          <w:b/>
          <w:bCs/>
          <w:i/>
          <w:sz w:val="20"/>
          <w:szCs w:val="20"/>
        </w:rPr>
        <w:t xml:space="preserve">Table 6: Budget allocation: </w:t>
      </w:r>
      <w:r w:rsidRPr="00D319E0">
        <w:rPr>
          <w:rFonts w:ascii="Arial" w:hAnsi="Arial" w:cs="Arial"/>
          <w:b/>
          <w:i/>
          <w:sz w:val="20"/>
          <w:szCs w:val="20"/>
        </w:rPr>
        <w:t xml:space="preserve">Intersectoral Coordination and Strategic Partnerships Programme </w:t>
      </w:r>
    </w:p>
    <w:tbl>
      <w:tblPr>
        <w:tblW w:w="1006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939"/>
        <w:gridCol w:w="939"/>
        <w:gridCol w:w="1106"/>
        <w:gridCol w:w="1134"/>
        <w:gridCol w:w="1418"/>
        <w:gridCol w:w="1701"/>
      </w:tblGrid>
      <w:tr w:rsidR="00F02997" w:rsidRPr="00D319E0" w:rsidTr="00C06359">
        <w:trPr>
          <w:trHeight w:val="765"/>
          <w:tblHeader/>
        </w:trPr>
        <w:tc>
          <w:tcPr>
            <w:tcW w:w="283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Programme</w:t>
            </w:r>
          </w:p>
        </w:tc>
        <w:tc>
          <w:tcPr>
            <w:tcW w:w="1876" w:type="dxa"/>
            <w:gridSpan w:val="2"/>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Budget</w:t>
            </w:r>
          </w:p>
        </w:tc>
        <w:tc>
          <w:tcPr>
            <w:tcW w:w="1101" w:type="dxa"/>
            <w:vMerge w:val="restart"/>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Nominal Increase/ Decrease in 2023/24</w:t>
            </w:r>
          </w:p>
        </w:tc>
        <w:tc>
          <w:tcPr>
            <w:tcW w:w="1134" w:type="dxa"/>
            <w:vMerge w:val="restart"/>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Real Increase/ Decrease in 2023/24</w:t>
            </w:r>
          </w:p>
        </w:tc>
        <w:tc>
          <w:tcPr>
            <w:tcW w:w="1418" w:type="dxa"/>
            <w:vMerge w:val="restart"/>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Nominal Percent change in 2023/24</w:t>
            </w:r>
          </w:p>
        </w:tc>
        <w:tc>
          <w:tcPr>
            <w:tcW w:w="1701" w:type="dxa"/>
            <w:vMerge w:val="restart"/>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Real Percent change in 2023/24</w:t>
            </w:r>
          </w:p>
        </w:tc>
      </w:tr>
      <w:tr w:rsidR="00F02997" w:rsidRPr="00D319E0" w:rsidTr="00C06359">
        <w:trPr>
          <w:trHeight w:val="264"/>
        </w:trPr>
        <w:tc>
          <w:tcPr>
            <w:tcW w:w="283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 million</w:t>
            </w:r>
          </w:p>
        </w:tc>
        <w:tc>
          <w:tcPr>
            <w:tcW w:w="938"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2022/23</w:t>
            </w:r>
          </w:p>
        </w:tc>
        <w:tc>
          <w:tcPr>
            <w:tcW w:w="938"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2023/24</w:t>
            </w:r>
          </w:p>
        </w:tc>
        <w:tc>
          <w:tcPr>
            <w:tcW w:w="1101" w:type="dxa"/>
            <w:vMerge/>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134" w:type="dxa"/>
            <w:vMerge/>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418" w:type="dxa"/>
            <w:vMerge/>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701" w:type="dxa"/>
            <w:vMerge/>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r>
      <w:tr w:rsidR="00F02997" w:rsidRPr="00D319E0" w:rsidTr="00C06359">
        <w:trPr>
          <w:trHeight w:val="264"/>
        </w:trPr>
        <w:tc>
          <w:tcPr>
            <w:tcW w:w="283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1: Intergovernmental, Civil Society and Public-Private Partnerships</w:t>
            </w:r>
          </w:p>
        </w:tc>
        <w:tc>
          <w:tcPr>
            <w:tcW w:w="938"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23,0</w:t>
            </w:r>
          </w:p>
        </w:tc>
        <w:tc>
          <w:tcPr>
            <w:tcW w:w="938"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22,5</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0,5</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1,5</w:t>
            </w:r>
          </w:p>
        </w:tc>
        <w:tc>
          <w:tcPr>
            <w:tcW w:w="1418"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-2,15 per cent</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-6,72 per cent</w:t>
            </w:r>
          </w:p>
        </w:tc>
      </w:tr>
      <w:tr w:rsidR="00F02997" w:rsidRPr="00D319E0" w:rsidTr="00C06359">
        <w:trPr>
          <w:trHeight w:val="264"/>
        </w:trPr>
        <w:tc>
          <w:tcPr>
            <w:tcW w:w="283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2: Community Outreach</w:t>
            </w:r>
          </w:p>
        </w:tc>
        <w:tc>
          <w:tcPr>
            <w:tcW w:w="938"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4,1</w:t>
            </w:r>
          </w:p>
        </w:tc>
        <w:tc>
          <w:tcPr>
            <w:tcW w:w="938"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4,1</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0,1</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0,3</w:t>
            </w:r>
          </w:p>
        </w:tc>
        <w:tc>
          <w:tcPr>
            <w:tcW w:w="1418"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-1,76 per cent</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-6,35 per cent</w:t>
            </w:r>
          </w:p>
        </w:tc>
      </w:tr>
      <w:tr w:rsidR="00F02997" w:rsidRPr="00D319E0" w:rsidTr="00C06359">
        <w:trPr>
          <w:trHeight w:val="264"/>
        </w:trPr>
        <w:tc>
          <w:tcPr>
            <w:tcW w:w="283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TOTAL</w:t>
            </w:r>
          </w:p>
        </w:tc>
        <w:tc>
          <w:tcPr>
            <w:tcW w:w="938"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27,2</w:t>
            </w:r>
          </w:p>
        </w:tc>
        <w:tc>
          <w:tcPr>
            <w:tcW w:w="938"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26,6</w:t>
            </w:r>
          </w:p>
        </w:tc>
        <w:tc>
          <w:tcPr>
            <w:tcW w:w="11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0,6</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1,8</w:t>
            </w:r>
          </w:p>
        </w:tc>
        <w:tc>
          <w:tcPr>
            <w:tcW w:w="1418"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-2,1 per cent</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-6,66 per cent</w:t>
            </w:r>
          </w:p>
        </w:tc>
      </w:tr>
    </w:tbl>
    <w:p w:rsidR="00F02997" w:rsidRPr="00D319E0" w:rsidRDefault="00F02997" w:rsidP="00D319E0">
      <w:pPr>
        <w:autoSpaceDE w:val="0"/>
        <w:autoSpaceDN w:val="0"/>
        <w:adjustRightInd w:val="0"/>
        <w:spacing w:line="240" w:lineRule="auto"/>
        <w:jc w:val="left"/>
        <w:rPr>
          <w:rFonts w:ascii="Arial" w:hAnsi="Arial" w:cs="Arial"/>
          <w:i/>
          <w:sz w:val="20"/>
          <w:szCs w:val="20"/>
        </w:rPr>
      </w:pPr>
      <w:r w:rsidRPr="00D319E0">
        <w:rPr>
          <w:rFonts w:ascii="Arial" w:hAnsi="Arial" w:cs="Arial"/>
          <w:i/>
          <w:sz w:val="20"/>
          <w:szCs w:val="20"/>
        </w:rPr>
        <w:t>Source: National Treasury (2023)</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The </w:t>
      </w:r>
      <w:r w:rsidRPr="00D319E0">
        <w:rPr>
          <w:rFonts w:ascii="Arial" w:hAnsi="Arial" w:cs="Arial"/>
          <w:bCs/>
          <w:i/>
          <w:sz w:val="20"/>
          <w:szCs w:val="20"/>
        </w:rPr>
        <w:t>Community Outreach</w:t>
      </w:r>
      <w:r w:rsidRPr="00D319E0">
        <w:rPr>
          <w:rFonts w:ascii="Arial" w:hAnsi="Arial" w:cs="Arial"/>
          <w:bCs/>
          <w:sz w:val="20"/>
          <w:szCs w:val="20"/>
        </w:rPr>
        <w:t xml:space="preserve"> subprogramme received a Main Appropriation of R4.1 million in 2023/24, which is the same as the previous financial year. Considering inflation, the subprogramme’s allocation decreased by 6.35 per cent compared to the previous financial year.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Proportionally, the </w:t>
      </w:r>
      <w:r w:rsidRPr="00D319E0">
        <w:rPr>
          <w:rFonts w:ascii="Arial" w:hAnsi="Arial" w:cs="Arial"/>
          <w:bCs/>
          <w:i/>
          <w:sz w:val="20"/>
          <w:szCs w:val="20"/>
        </w:rPr>
        <w:t>Intergovernmental, Civil Society and Public-Private Partnerships</w:t>
      </w:r>
      <w:r w:rsidRPr="00D319E0">
        <w:rPr>
          <w:rFonts w:ascii="Arial" w:hAnsi="Arial" w:cs="Arial"/>
          <w:bCs/>
          <w:sz w:val="20"/>
          <w:szCs w:val="20"/>
        </w:rPr>
        <w:t xml:space="preserve"> subprogramme receives 84.71 per cent of the Programme’s total budget allocation, while the </w:t>
      </w:r>
      <w:r w:rsidRPr="00D319E0">
        <w:rPr>
          <w:rFonts w:ascii="Arial" w:hAnsi="Arial" w:cs="Arial"/>
          <w:bCs/>
          <w:i/>
          <w:sz w:val="20"/>
          <w:szCs w:val="20"/>
        </w:rPr>
        <w:t>Community Outreach</w:t>
      </w:r>
      <w:r w:rsidRPr="00D319E0">
        <w:rPr>
          <w:rFonts w:ascii="Arial" w:hAnsi="Arial" w:cs="Arial"/>
          <w:bCs/>
          <w:sz w:val="20"/>
          <w:szCs w:val="20"/>
        </w:rPr>
        <w:t xml:space="preserve"> subprogramme receives 15.29 per cent of the total.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ind w:right="-613"/>
        <w:jc w:val="left"/>
        <w:rPr>
          <w:rFonts w:ascii="Arial" w:hAnsi="Arial" w:cs="Arial"/>
          <w:b/>
          <w:i/>
          <w:sz w:val="20"/>
          <w:szCs w:val="20"/>
        </w:rPr>
      </w:pPr>
      <w:r w:rsidRPr="00D319E0">
        <w:rPr>
          <w:rFonts w:ascii="Arial" w:hAnsi="Arial" w:cs="Arial"/>
          <w:b/>
          <w:i/>
          <w:sz w:val="20"/>
          <w:szCs w:val="20"/>
        </w:rPr>
        <w:t>Table 7: Percent of total Intersectoral Coordination and Strategic Partnerships Programme budget per subprogramme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992"/>
        <w:gridCol w:w="1701"/>
        <w:gridCol w:w="992"/>
        <w:gridCol w:w="1701"/>
        <w:gridCol w:w="1559"/>
      </w:tblGrid>
      <w:tr w:rsidR="00F02997" w:rsidRPr="00D319E0" w:rsidTr="00C06359">
        <w:trPr>
          <w:trHeight w:val="1035"/>
          <w:tblHeader/>
        </w:trPr>
        <w:tc>
          <w:tcPr>
            <w:tcW w:w="26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lastRenderedPageBreak/>
              <w:t>Programme</w:t>
            </w:r>
          </w:p>
        </w:tc>
        <w:tc>
          <w:tcPr>
            <w:tcW w:w="992"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Budget</w:t>
            </w:r>
          </w:p>
        </w:tc>
        <w:tc>
          <w:tcPr>
            <w:tcW w:w="1701"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Percent of total budget per programme</w:t>
            </w:r>
          </w:p>
        </w:tc>
        <w:tc>
          <w:tcPr>
            <w:tcW w:w="992"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Budget</w:t>
            </w:r>
          </w:p>
        </w:tc>
        <w:tc>
          <w:tcPr>
            <w:tcW w:w="1701"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Percent of total budget per programme</w:t>
            </w:r>
          </w:p>
        </w:tc>
        <w:tc>
          <w:tcPr>
            <w:tcW w:w="1559"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Change in percent allocation</w:t>
            </w:r>
          </w:p>
        </w:tc>
      </w:tr>
      <w:tr w:rsidR="00F02997" w:rsidRPr="00D319E0" w:rsidTr="00C06359">
        <w:trPr>
          <w:trHeight w:val="264"/>
          <w:tblHeader/>
        </w:trPr>
        <w:tc>
          <w:tcPr>
            <w:tcW w:w="26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 million</w:t>
            </w:r>
          </w:p>
        </w:tc>
        <w:tc>
          <w:tcPr>
            <w:tcW w:w="2693" w:type="dxa"/>
            <w:gridSpan w:val="2"/>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2022/23</w:t>
            </w:r>
          </w:p>
        </w:tc>
        <w:tc>
          <w:tcPr>
            <w:tcW w:w="2693" w:type="dxa"/>
            <w:gridSpan w:val="2"/>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2023/24</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p>
        </w:tc>
      </w:tr>
      <w:tr w:rsidR="00F02997" w:rsidRPr="00D319E0" w:rsidTr="00C06359">
        <w:trPr>
          <w:trHeight w:val="264"/>
        </w:trPr>
        <w:tc>
          <w:tcPr>
            <w:tcW w:w="26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1: Intergovernmental, Civil Society and Public-Private Partnerships</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23,0</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84,76 per cent</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22,5</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84,71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-0,05 per cent</w:t>
            </w:r>
          </w:p>
        </w:tc>
      </w:tr>
      <w:tr w:rsidR="00F02997" w:rsidRPr="00D319E0" w:rsidTr="00C06359">
        <w:trPr>
          <w:trHeight w:val="264"/>
        </w:trPr>
        <w:tc>
          <w:tcPr>
            <w:tcW w:w="26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2: Community Outreach</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4,1</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15,24 per cent</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4,1</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15,29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0,05 per cent</w:t>
            </w:r>
          </w:p>
        </w:tc>
      </w:tr>
      <w:tr w:rsidR="00F02997" w:rsidRPr="00D319E0" w:rsidTr="00C06359">
        <w:trPr>
          <w:trHeight w:val="264"/>
        </w:trPr>
        <w:tc>
          <w:tcPr>
            <w:tcW w:w="26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TOTAL</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27,2</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100,00 per cent</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26,6</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100,00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0,00 per cent</w:t>
            </w:r>
          </w:p>
        </w:tc>
      </w:tr>
    </w:tbl>
    <w:p w:rsidR="00F02997" w:rsidRPr="00D319E0" w:rsidRDefault="00F02997" w:rsidP="00D319E0">
      <w:pPr>
        <w:autoSpaceDE w:val="0"/>
        <w:autoSpaceDN w:val="0"/>
        <w:adjustRightInd w:val="0"/>
        <w:spacing w:line="240" w:lineRule="auto"/>
        <w:jc w:val="left"/>
        <w:rPr>
          <w:rFonts w:ascii="Arial" w:hAnsi="Arial" w:cs="Arial"/>
          <w:i/>
          <w:sz w:val="20"/>
          <w:szCs w:val="20"/>
        </w:rPr>
      </w:pPr>
      <w:r w:rsidRPr="00D319E0">
        <w:rPr>
          <w:rFonts w:ascii="Arial" w:hAnsi="Arial" w:cs="Arial"/>
          <w:i/>
          <w:sz w:val="20"/>
          <w:szCs w:val="20"/>
        </w:rPr>
        <w:t>Source: National Treasury (2023)</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pStyle w:val="Heading2"/>
        <w:numPr>
          <w:ilvl w:val="1"/>
          <w:numId w:val="19"/>
        </w:numPr>
        <w:spacing w:before="0" w:line="240" w:lineRule="auto"/>
        <w:rPr>
          <w:rFonts w:ascii="Arial" w:hAnsi="Arial" w:cs="Arial"/>
          <w:sz w:val="20"/>
          <w:szCs w:val="20"/>
        </w:rPr>
      </w:pPr>
      <w:bookmarkStart w:id="9" w:name="_Toc132207297"/>
      <w:r w:rsidRPr="00D319E0">
        <w:rPr>
          <w:rFonts w:ascii="Arial" w:hAnsi="Arial" w:cs="Arial"/>
          <w:sz w:val="20"/>
          <w:szCs w:val="20"/>
        </w:rPr>
        <w:t>Programme 3: Legislation and Policy Development</w:t>
      </w:r>
      <w:bookmarkEnd w:id="9"/>
      <w:r w:rsidRPr="00D319E0">
        <w:rPr>
          <w:rFonts w:ascii="Arial" w:hAnsi="Arial" w:cs="Arial"/>
          <w:sz w:val="20"/>
          <w:szCs w:val="20"/>
        </w:rPr>
        <w:t xml:space="preserve">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The Legislation and Policy Development Programme received a Main Appropriation of R23.5 million in 2023/24, which is a nominal decrease of 0.6 per cent compared to the previous financial year. Considering inflation, the Programme’s allocation shows a real decrease of 5.2 per cent.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
          <w:bCs/>
          <w:i/>
          <w:sz w:val="20"/>
          <w:szCs w:val="20"/>
        </w:rPr>
      </w:pPr>
      <w:r w:rsidRPr="00D319E0">
        <w:rPr>
          <w:rFonts w:ascii="Arial" w:hAnsi="Arial" w:cs="Arial"/>
          <w:b/>
          <w:bCs/>
          <w:i/>
          <w:sz w:val="20"/>
          <w:szCs w:val="20"/>
        </w:rPr>
        <w:t xml:space="preserve">Table 8: Budget allocation: </w:t>
      </w:r>
      <w:r w:rsidRPr="00D319E0">
        <w:rPr>
          <w:rFonts w:ascii="Arial" w:hAnsi="Arial" w:cs="Arial"/>
          <w:b/>
          <w:i/>
          <w:sz w:val="20"/>
          <w:szCs w:val="20"/>
        </w:rPr>
        <w:t xml:space="preserve">Legislation and Police Development Programme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992"/>
        <w:gridCol w:w="992"/>
        <w:gridCol w:w="1134"/>
        <w:gridCol w:w="1134"/>
        <w:gridCol w:w="1559"/>
        <w:gridCol w:w="1560"/>
      </w:tblGrid>
      <w:tr w:rsidR="00F02997" w:rsidRPr="00D319E0" w:rsidTr="00D000DA">
        <w:trPr>
          <w:trHeight w:val="765"/>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Programme</w:t>
            </w:r>
          </w:p>
        </w:tc>
        <w:tc>
          <w:tcPr>
            <w:tcW w:w="1984" w:type="dxa"/>
            <w:gridSpan w:val="2"/>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Budget</w:t>
            </w:r>
          </w:p>
        </w:tc>
        <w:tc>
          <w:tcPr>
            <w:tcW w:w="1134" w:type="dxa"/>
            <w:shd w:val="clear" w:color="auto" w:fill="auto"/>
            <w:vAlign w:val="center"/>
            <w:hideMark/>
          </w:tcPr>
          <w:p w:rsidR="00F02997" w:rsidRPr="00D319E0" w:rsidRDefault="00D000DA"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 xml:space="preserve">Nominal Increase/ Decrease </w:t>
            </w:r>
            <w:r w:rsidR="00F02997" w:rsidRPr="00D319E0">
              <w:rPr>
                <w:rFonts w:ascii="Arial" w:eastAsia="Times New Roman" w:hAnsi="Arial" w:cs="Arial"/>
                <w:b/>
                <w:bCs/>
                <w:sz w:val="20"/>
                <w:szCs w:val="20"/>
                <w:lang w:eastAsia="en-ZA"/>
              </w:rPr>
              <w:t xml:space="preserve"> 2023/24</w:t>
            </w:r>
          </w:p>
        </w:tc>
        <w:tc>
          <w:tcPr>
            <w:tcW w:w="1134" w:type="dxa"/>
            <w:shd w:val="clear" w:color="auto" w:fill="auto"/>
            <w:vAlign w:val="center"/>
            <w:hideMark/>
          </w:tcPr>
          <w:p w:rsidR="00F02997" w:rsidRPr="00D319E0" w:rsidRDefault="00D000DA"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 xml:space="preserve">Real Increase/ Decrease </w:t>
            </w:r>
            <w:r w:rsidR="00F02997" w:rsidRPr="00D319E0">
              <w:rPr>
                <w:rFonts w:ascii="Arial" w:eastAsia="Times New Roman" w:hAnsi="Arial" w:cs="Arial"/>
                <w:b/>
                <w:bCs/>
                <w:sz w:val="20"/>
                <w:szCs w:val="20"/>
                <w:lang w:eastAsia="en-ZA"/>
              </w:rPr>
              <w:t>2023/24</w:t>
            </w:r>
          </w:p>
        </w:tc>
        <w:tc>
          <w:tcPr>
            <w:tcW w:w="1559" w:type="dxa"/>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Nominal Percent change in 2023/24</w:t>
            </w:r>
          </w:p>
        </w:tc>
        <w:tc>
          <w:tcPr>
            <w:tcW w:w="1560" w:type="dxa"/>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Real Percent change in 2023/24</w:t>
            </w:r>
          </w:p>
        </w:tc>
      </w:tr>
      <w:tr w:rsidR="00F02997" w:rsidRPr="00D319E0" w:rsidTr="00D000DA">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 million</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2022/23</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2023/24</w:t>
            </w:r>
          </w:p>
        </w:tc>
        <w:tc>
          <w:tcPr>
            <w:tcW w:w="1134" w:type="dxa"/>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134" w:type="dxa"/>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559" w:type="dxa"/>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560" w:type="dxa"/>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r>
      <w:tr w:rsidR="00F02997" w:rsidRPr="00D319E0" w:rsidTr="00D000DA">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1: Policy Development and Research</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16,1</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15,7</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0,4</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1,1</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-2,32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-6,88 per cent</w:t>
            </w:r>
          </w:p>
        </w:tc>
      </w:tr>
      <w:tr w:rsidR="00F02997" w:rsidRPr="00D319E0" w:rsidTr="00D000DA">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2: Legislation</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7,5</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7,7</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0,2</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0,1</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3,24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-1,58 per cent</w:t>
            </w:r>
          </w:p>
        </w:tc>
      </w:tr>
      <w:tr w:rsidR="00F02997" w:rsidRPr="00D319E0" w:rsidTr="00D000DA">
        <w:trPr>
          <w:trHeight w:val="264"/>
        </w:trPr>
        <w:tc>
          <w:tcPr>
            <w:tcW w:w="255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TOTAL</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23,6</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23,5</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0,1</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1,2</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-0,6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-5,20 per cent</w:t>
            </w:r>
          </w:p>
        </w:tc>
      </w:tr>
    </w:tbl>
    <w:p w:rsidR="00F02997" w:rsidRPr="00D319E0" w:rsidRDefault="00F02997" w:rsidP="00D319E0">
      <w:pPr>
        <w:autoSpaceDE w:val="0"/>
        <w:autoSpaceDN w:val="0"/>
        <w:adjustRightInd w:val="0"/>
        <w:spacing w:line="240" w:lineRule="auto"/>
        <w:jc w:val="left"/>
        <w:rPr>
          <w:rFonts w:ascii="Arial" w:hAnsi="Arial" w:cs="Arial"/>
          <w:i/>
          <w:sz w:val="20"/>
          <w:szCs w:val="20"/>
        </w:rPr>
      </w:pPr>
      <w:r w:rsidRPr="00D319E0">
        <w:rPr>
          <w:rFonts w:ascii="Arial" w:hAnsi="Arial" w:cs="Arial"/>
          <w:i/>
          <w:sz w:val="20"/>
          <w:szCs w:val="20"/>
        </w:rPr>
        <w:t>Source: National Treasury (2023)</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The </w:t>
      </w:r>
      <w:r w:rsidRPr="00D319E0">
        <w:rPr>
          <w:rFonts w:ascii="Arial" w:hAnsi="Arial" w:cs="Arial"/>
          <w:bCs/>
          <w:i/>
          <w:sz w:val="20"/>
          <w:szCs w:val="20"/>
        </w:rPr>
        <w:t>Policy Development and Research</w:t>
      </w:r>
      <w:r w:rsidRPr="00D319E0">
        <w:rPr>
          <w:rFonts w:ascii="Arial" w:hAnsi="Arial" w:cs="Arial"/>
          <w:bCs/>
          <w:sz w:val="20"/>
          <w:szCs w:val="20"/>
        </w:rPr>
        <w:t xml:space="preserve"> subprogramme received a Main Appropriation of R15.7 million, which is a nominal decrease of R400 000.00 or 2.32 per cent in 2023/24. Considering inflation, the subprogramme’s allocation decreased with 6.88 per cent.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The </w:t>
      </w:r>
      <w:r w:rsidRPr="00D319E0">
        <w:rPr>
          <w:rFonts w:ascii="Arial" w:hAnsi="Arial" w:cs="Arial"/>
          <w:bCs/>
          <w:i/>
          <w:sz w:val="20"/>
          <w:szCs w:val="20"/>
        </w:rPr>
        <w:t xml:space="preserve">Legislation </w:t>
      </w:r>
      <w:r w:rsidRPr="00D319E0">
        <w:rPr>
          <w:rFonts w:ascii="Arial" w:hAnsi="Arial" w:cs="Arial"/>
          <w:bCs/>
          <w:sz w:val="20"/>
          <w:szCs w:val="20"/>
        </w:rPr>
        <w:t>subprogramme received a Main Appropriation of R7.7 million in 2023/24, which is a nominal increase of 3.24 per cent. However, considering inflation, the allocation decreased by 1.58 per cent compared to the previous financial year.</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The proportional allocations towards subprogrammes changed in 2023/24 compared to the previous financial year. The </w:t>
      </w:r>
      <w:r w:rsidRPr="00D319E0">
        <w:rPr>
          <w:rFonts w:ascii="Arial" w:hAnsi="Arial" w:cs="Arial"/>
          <w:bCs/>
          <w:i/>
          <w:sz w:val="20"/>
          <w:szCs w:val="20"/>
        </w:rPr>
        <w:t>Policy Development and Research</w:t>
      </w:r>
      <w:r w:rsidRPr="00D319E0">
        <w:rPr>
          <w:rFonts w:ascii="Arial" w:hAnsi="Arial" w:cs="Arial"/>
          <w:bCs/>
          <w:sz w:val="20"/>
          <w:szCs w:val="20"/>
        </w:rPr>
        <w:t xml:space="preserve"> subprogramme continues to receive the bulk of the Programme’s allocation at 67.12 per cent, which decreased by 1.21 per cent. The </w:t>
      </w:r>
      <w:r w:rsidRPr="00D319E0">
        <w:rPr>
          <w:rFonts w:ascii="Arial" w:hAnsi="Arial" w:cs="Arial"/>
          <w:bCs/>
          <w:i/>
          <w:sz w:val="20"/>
          <w:szCs w:val="20"/>
        </w:rPr>
        <w:t>Legislation</w:t>
      </w:r>
      <w:r w:rsidRPr="00D319E0">
        <w:rPr>
          <w:rFonts w:ascii="Arial" w:hAnsi="Arial" w:cs="Arial"/>
          <w:bCs/>
          <w:sz w:val="20"/>
          <w:szCs w:val="20"/>
        </w:rPr>
        <w:t xml:space="preserve"> subprogramme receives 32.9 per cent of the Programme’s total appropriation for 2023/24. The subprogramme’s proportional allocation increased by 1.21 per cent in 2023/24 compared to the previous financial year. </w:t>
      </w:r>
    </w:p>
    <w:p w:rsidR="00F02997" w:rsidRPr="00D319E0" w:rsidRDefault="00F02997" w:rsidP="00D319E0">
      <w:pPr>
        <w:spacing w:line="240" w:lineRule="auto"/>
        <w:jc w:val="left"/>
        <w:rPr>
          <w:rFonts w:ascii="Arial" w:hAnsi="Arial" w:cs="Arial"/>
          <w:bCs/>
          <w:sz w:val="20"/>
          <w:szCs w:val="20"/>
        </w:rPr>
      </w:pPr>
    </w:p>
    <w:p w:rsidR="00D000DA" w:rsidRPr="00D319E0" w:rsidRDefault="00D000DA" w:rsidP="00D319E0">
      <w:pPr>
        <w:spacing w:line="240" w:lineRule="auto"/>
        <w:jc w:val="left"/>
        <w:rPr>
          <w:rFonts w:ascii="Arial" w:hAnsi="Arial" w:cs="Arial"/>
          <w:bCs/>
          <w:sz w:val="20"/>
          <w:szCs w:val="20"/>
        </w:rPr>
      </w:pPr>
    </w:p>
    <w:p w:rsidR="00D000DA" w:rsidRPr="00D319E0" w:rsidRDefault="00D000DA"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
          <w:i/>
          <w:sz w:val="20"/>
          <w:szCs w:val="20"/>
        </w:rPr>
      </w:pPr>
      <w:r w:rsidRPr="00D319E0">
        <w:rPr>
          <w:rFonts w:ascii="Arial" w:hAnsi="Arial" w:cs="Arial"/>
          <w:b/>
          <w:i/>
          <w:sz w:val="20"/>
          <w:szCs w:val="20"/>
        </w:rPr>
        <w:t xml:space="preserve">Table 9: Percent of total Legislation and Police Development Programme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992"/>
        <w:gridCol w:w="1701"/>
        <w:gridCol w:w="905"/>
        <w:gridCol w:w="1662"/>
        <w:gridCol w:w="1560"/>
      </w:tblGrid>
      <w:tr w:rsidR="00F02997" w:rsidRPr="00D319E0" w:rsidTr="00C06359">
        <w:trPr>
          <w:trHeight w:val="1035"/>
          <w:tblHeader/>
        </w:trPr>
        <w:tc>
          <w:tcPr>
            <w:tcW w:w="269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Programme</w:t>
            </w:r>
          </w:p>
        </w:tc>
        <w:tc>
          <w:tcPr>
            <w:tcW w:w="992"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Budget</w:t>
            </w:r>
          </w:p>
        </w:tc>
        <w:tc>
          <w:tcPr>
            <w:tcW w:w="1701"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Percent of total budget per programme</w:t>
            </w:r>
          </w:p>
        </w:tc>
        <w:tc>
          <w:tcPr>
            <w:tcW w:w="889"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Budget</w:t>
            </w:r>
          </w:p>
        </w:tc>
        <w:tc>
          <w:tcPr>
            <w:tcW w:w="1662"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Percent of total budget per programme</w:t>
            </w:r>
          </w:p>
        </w:tc>
        <w:tc>
          <w:tcPr>
            <w:tcW w:w="1560"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Change in percent allocation</w:t>
            </w:r>
          </w:p>
        </w:tc>
      </w:tr>
      <w:tr w:rsidR="00F02997" w:rsidRPr="00D319E0" w:rsidTr="00C06359">
        <w:trPr>
          <w:trHeight w:val="264"/>
          <w:tblHeader/>
        </w:trPr>
        <w:tc>
          <w:tcPr>
            <w:tcW w:w="269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 million</w:t>
            </w:r>
          </w:p>
        </w:tc>
        <w:tc>
          <w:tcPr>
            <w:tcW w:w="2693" w:type="dxa"/>
            <w:gridSpan w:val="2"/>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2022/23</w:t>
            </w:r>
          </w:p>
        </w:tc>
        <w:tc>
          <w:tcPr>
            <w:tcW w:w="2551" w:type="dxa"/>
            <w:gridSpan w:val="2"/>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2023/24</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p>
        </w:tc>
      </w:tr>
      <w:tr w:rsidR="00F02997" w:rsidRPr="00D319E0" w:rsidTr="00C06359">
        <w:trPr>
          <w:trHeight w:val="264"/>
        </w:trPr>
        <w:tc>
          <w:tcPr>
            <w:tcW w:w="269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Sub-programme 1: Policy Development and </w:t>
            </w:r>
            <w:r w:rsidRPr="00D319E0">
              <w:rPr>
                <w:rFonts w:ascii="Arial" w:eastAsia="Times New Roman" w:hAnsi="Arial" w:cs="Arial"/>
                <w:sz w:val="20"/>
                <w:szCs w:val="20"/>
                <w:lang w:eastAsia="en-ZA"/>
              </w:rPr>
              <w:lastRenderedPageBreak/>
              <w:t>Research</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lastRenderedPageBreak/>
              <w:t xml:space="preserve">  16,1</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68,31 per cent</w:t>
            </w:r>
          </w:p>
        </w:tc>
        <w:tc>
          <w:tcPr>
            <w:tcW w:w="8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15,7</w:t>
            </w:r>
          </w:p>
        </w:tc>
        <w:tc>
          <w:tcPr>
            <w:tcW w:w="166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67,10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-1,21 per cent</w:t>
            </w:r>
          </w:p>
        </w:tc>
      </w:tr>
      <w:tr w:rsidR="00F02997" w:rsidRPr="00D319E0" w:rsidTr="00C06359">
        <w:trPr>
          <w:trHeight w:val="264"/>
        </w:trPr>
        <w:tc>
          <w:tcPr>
            <w:tcW w:w="269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lastRenderedPageBreak/>
              <w:t>Sub-programme 2: Legislation</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7,5</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31,69 per cent</w:t>
            </w:r>
          </w:p>
        </w:tc>
        <w:tc>
          <w:tcPr>
            <w:tcW w:w="8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7,7</w:t>
            </w:r>
          </w:p>
        </w:tc>
        <w:tc>
          <w:tcPr>
            <w:tcW w:w="166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32,90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1,21 per cent</w:t>
            </w:r>
          </w:p>
        </w:tc>
      </w:tr>
      <w:tr w:rsidR="00F02997" w:rsidRPr="00D319E0" w:rsidTr="00C06359">
        <w:trPr>
          <w:trHeight w:val="264"/>
        </w:trPr>
        <w:tc>
          <w:tcPr>
            <w:tcW w:w="269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TOTAL</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23,6</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100,00 per cent</w:t>
            </w:r>
          </w:p>
        </w:tc>
        <w:tc>
          <w:tcPr>
            <w:tcW w:w="8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23,5</w:t>
            </w:r>
          </w:p>
        </w:tc>
        <w:tc>
          <w:tcPr>
            <w:tcW w:w="166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100,00 per cent</w:t>
            </w:r>
          </w:p>
        </w:tc>
        <w:tc>
          <w:tcPr>
            <w:tcW w:w="1560"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0,00 per cent</w:t>
            </w:r>
          </w:p>
        </w:tc>
      </w:tr>
    </w:tbl>
    <w:p w:rsidR="00F02997" w:rsidRPr="00D319E0" w:rsidRDefault="00F02997" w:rsidP="00D319E0">
      <w:pPr>
        <w:autoSpaceDE w:val="0"/>
        <w:autoSpaceDN w:val="0"/>
        <w:adjustRightInd w:val="0"/>
        <w:spacing w:line="240" w:lineRule="auto"/>
        <w:jc w:val="left"/>
        <w:rPr>
          <w:rFonts w:ascii="Arial" w:hAnsi="Arial" w:cs="Arial"/>
          <w:i/>
          <w:sz w:val="20"/>
          <w:szCs w:val="20"/>
        </w:rPr>
      </w:pPr>
      <w:r w:rsidRPr="00D319E0">
        <w:rPr>
          <w:rFonts w:ascii="Arial" w:hAnsi="Arial" w:cs="Arial"/>
          <w:i/>
          <w:sz w:val="20"/>
          <w:szCs w:val="20"/>
        </w:rPr>
        <w:t>Source: National Treasury (2023)</w:t>
      </w:r>
    </w:p>
    <w:p w:rsidR="00522413" w:rsidRPr="00D319E0" w:rsidRDefault="00522413" w:rsidP="00D319E0">
      <w:pPr>
        <w:spacing w:line="240" w:lineRule="auto"/>
        <w:jc w:val="left"/>
        <w:rPr>
          <w:rFonts w:ascii="Arial" w:hAnsi="Arial" w:cs="Arial"/>
          <w:bCs/>
          <w:sz w:val="20"/>
          <w:szCs w:val="20"/>
        </w:rPr>
      </w:pPr>
    </w:p>
    <w:p w:rsidR="00522413" w:rsidRPr="00D319E0" w:rsidRDefault="00522413" w:rsidP="00D319E0">
      <w:pPr>
        <w:spacing w:line="240" w:lineRule="auto"/>
        <w:jc w:val="left"/>
        <w:rPr>
          <w:rFonts w:ascii="Arial" w:hAnsi="Arial" w:cs="Arial"/>
          <w:bCs/>
          <w:sz w:val="20"/>
          <w:szCs w:val="20"/>
        </w:rPr>
      </w:pPr>
    </w:p>
    <w:p w:rsidR="00F02997" w:rsidRPr="00D319E0" w:rsidRDefault="00F02997" w:rsidP="00D319E0">
      <w:pPr>
        <w:pStyle w:val="Heading2"/>
        <w:numPr>
          <w:ilvl w:val="1"/>
          <w:numId w:val="19"/>
        </w:numPr>
        <w:spacing w:before="0" w:line="240" w:lineRule="auto"/>
        <w:rPr>
          <w:rFonts w:ascii="Arial" w:hAnsi="Arial" w:cs="Arial"/>
          <w:sz w:val="20"/>
          <w:szCs w:val="20"/>
        </w:rPr>
      </w:pPr>
      <w:bookmarkStart w:id="10" w:name="_Toc132207298"/>
      <w:r w:rsidRPr="00D319E0">
        <w:rPr>
          <w:rFonts w:ascii="Arial" w:hAnsi="Arial" w:cs="Arial"/>
          <w:sz w:val="20"/>
          <w:szCs w:val="20"/>
        </w:rPr>
        <w:t>Programme 4: Civilian Oversight, Monitoring and Evaluation</w:t>
      </w:r>
      <w:bookmarkEnd w:id="10"/>
      <w:r w:rsidRPr="00D319E0">
        <w:rPr>
          <w:rFonts w:ascii="Arial" w:hAnsi="Arial" w:cs="Arial"/>
          <w:sz w:val="20"/>
          <w:szCs w:val="20"/>
        </w:rPr>
        <w:t xml:space="preserve">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bCs/>
          <w:sz w:val="20"/>
          <w:szCs w:val="20"/>
        </w:rPr>
        <w:t xml:space="preserve">The Civilian Oversight, Monitoring and Evaluation Programme received a Main Appropriation of R33.4 million in 2023/24, which is a nominal decrease of 1.3 per cent and a real decrease of 5.91 per cent. The </w:t>
      </w:r>
      <w:r w:rsidRPr="00D319E0">
        <w:rPr>
          <w:rFonts w:ascii="Arial" w:hAnsi="Arial" w:cs="Arial"/>
          <w:i/>
          <w:sz w:val="20"/>
          <w:szCs w:val="20"/>
        </w:rPr>
        <w:t>Police Performance, Conduct and Compliance</w:t>
      </w:r>
      <w:r w:rsidRPr="00D319E0">
        <w:rPr>
          <w:rFonts w:ascii="Arial" w:hAnsi="Arial" w:cs="Arial"/>
          <w:sz w:val="20"/>
          <w:szCs w:val="20"/>
        </w:rPr>
        <w:t xml:space="preserve"> subprogramme</w:t>
      </w:r>
      <w:r w:rsidRPr="00D319E0">
        <w:rPr>
          <w:rFonts w:ascii="Arial" w:hAnsi="Arial" w:cs="Arial"/>
          <w:bCs/>
          <w:sz w:val="20"/>
          <w:szCs w:val="20"/>
        </w:rPr>
        <w:t xml:space="preserve"> received a Main Appropriation of R15.6 million in 2023/24, which is a slight nominal increase of 0.42 per cent. However, considering inflation, the allocation decreased by 4.27 per cent.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spacing w:line="240" w:lineRule="auto"/>
        <w:jc w:val="left"/>
        <w:rPr>
          <w:rFonts w:ascii="Arial" w:hAnsi="Arial" w:cs="Arial"/>
          <w:bCs/>
          <w:sz w:val="20"/>
          <w:szCs w:val="20"/>
        </w:rPr>
      </w:pPr>
      <w:r w:rsidRPr="00D319E0">
        <w:rPr>
          <w:rFonts w:ascii="Arial" w:hAnsi="Arial" w:cs="Arial"/>
          <w:sz w:val="20"/>
          <w:szCs w:val="20"/>
        </w:rPr>
        <w:t xml:space="preserve">The </w:t>
      </w:r>
      <w:r w:rsidRPr="00D319E0">
        <w:rPr>
          <w:rFonts w:ascii="Arial" w:hAnsi="Arial" w:cs="Arial"/>
          <w:i/>
          <w:sz w:val="20"/>
          <w:szCs w:val="20"/>
        </w:rPr>
        <w:t>Policy and Programme Evaluations</w:t>
      </w:r>
      <w:r w:rsidRPr="00D319E0">
        <w:rPr>
          <w:rFonts w:ascii="Arial" w:hAnsi="Arial" w:cs="Arial"/>
          <w:sz w:val="20"/>
          <w:szCs w:val="20"/>
        </w:rPr>
        <w:t xml:space="preserve"> subprogramme received a Main Appropriation of R7.2 million in 2023/24, which remained unchanged compared to the previous financial year. Considering inflation, the subprogramme’s allocation decreased by 4.47 per cent.    </w:t>
      </w:r>
    </w:p>
    <w:p w:rsidR="00F02997" w:rsidRPr="00D319E0" w:rsidRDefault="00F02997" w:rsidP="00D319E0">
      <w:pPr>
        <w:spacing w:line="240" w:lineRule="auto"/>
        <w:jc w:val="left"/>
        <w:rPr>
          <w:rFonts w:ascii="Arial" w:hAnsi="Arial" w:cs="Arial"/>
          <w:bCs/>
          <w:sz w:val="20"/>
          <w:szCs w:val="20"/>
        </w:rPr>
      </w:pPr>
    </w:p>
    <w:p w:rsidR="00F02997" w:rsidRPr="00D319E0" w:rsidRDefault="00F02997" w:rsidP="00D319E0">
      <w:pPr>
        <w:autoSpaceDE w:val="0"/>
        <w:autoSpaceDN w:val="0"/>
        <w:adjustRightInd w:val="0"/>
        <w:spacing w:line="240" w:lineRule="auto"/>
        <w:jc w:val="left"/>
        <w:rPr>
          <w:rFonts w:ascii="Arial" w:hAnsi="Arial" w:cs="Arial"/>
          <w:b/>
          <w:bCs/>
          <w:i/>
          <w:sz w:val="20"/>
          <w:szCs w:val="20"/>
        </w:rPr>
      </w:pPr>
      <w:r w:rsidRPr="00D319E0">
        <w:rPr>
          <w:rFonts w:ascii="Arial" w:hAnsi="Arial" w:cs="Arial"/>
          <w:b/>
          <w:bCs/>
          <w:i/>
          <w:sz w:val="20"/>
          <w:szCs w:val="20"/>
        </w:rPr>
        <w:t xml:space="preserve">Table 10: Budget allocation: Civilian Oversight, Monitoring and Evaluation </w:t>
      </w:r>
      <w:r w:rsidRPr="00D319E0">
        <w:rPr>
          <w:rFonts w:ascii="Arial" w:hAnsi="Arial" w:cs="Arial"/>
          <w:b/>
          <w:i/>
          <w:sz w:val="20"/>
          <w:szCs w:val="20"/>
        </w:rPr>
        <w:t xml:space="preserve">Programme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992"/>
        <w:gridCol w:w="1134"/>
        <w:gridCol w:w="1276"/>
        <w:gridCol w:w="1276"/>
        <w:gridCol w:w="1559"/>
        <w:gridCol w:w="1559"/>
      </w:tblGrid>
      <w:tr w:rsidR="00F02997" w:rsidRPr="00D319E0" w:rsidTr="00C06359">
        <w:trPr>
          <w:trHeight w:val="765"/>
          <w:tblHeader/>
        </w:trPr>
        <w:tc>
          <w:tcPr>
            <w:tcW w:w="25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Programme</w:t>
            </w:r>
          </w:p>
        </w:tc>
        <w:tc>
          <w:tcPr>
            <w:tcW w:w="2126" w:type="dxa"/>
            <w:gridSpan w:val="2"/>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Budget</w:t>
            </w:r>
          </w:p>
        </w:tc>
        <w:tc>
          <w:tcPr>
            <w:tcW w:w="1276" w:type="dxa"/>
            <w:vMerge w:val="restart"/>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Nominal Increase/ Decrease in 2023/24</w:t>
            </w:r>
          </w:p>
        </w:tc>
        <w:tc>
          <w:tcPr>
            <w:tcW w:w="1276" w:type="dxa"/>
            <w:vMerge w:val="restart"/>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Real Increase/ Decrease in 2023/24</w:t>
            </w:r>
          </w:p>
        </w:tc>
        <w:tc>
          <w:tcPr>
            <w:tcW w:w="1559" w:type="dxa"/>
            <w:vMerge w:val="restart"/>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Nominal Percent change in 2023/24</w:t>
            </w:r>
          </w:p>
        </w:tc>
        <w:tc>
          <w:tcPr>
            <w:tcW w:w="1559" w:type="dxa"/>
            <w:vMerge w:val="restart"/>
            <w:shd w:val="clear" w:color="auto" w:fill="auto"/>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Real Percent change in 2023/24</w:t>
            </w:r>
          </w:p>
        </w:tc>
      </w:tr>
      <w:tr w:rsidR="00F02997" w:rsidRPr="00D319E0" w:rsidTr="00C06359">
        <w:trPr>
          <w:trHeight w:val="264"/>
        </w:trPr>
        <w:tc>
          <w:tcPr>
            <w:tcW w:w="25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 million</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2022/23</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2023/24</w:t>
            </w:r>
          </w:p>
        </w:tc>
        <w:tc>
          <w:tcPr>
            <w:tcW w:w="1276" w:type="dxa"/>
            <w:vMerge/>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276" w:type="dxa"/>
            <w:vMerge/>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559" w:type="dxa"/>
            <w:vMerge/>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c>
          <w:tcPr>
            <w:tcW w:w="1559" w:type="dxa"/>
            <w:vMerge/>
            <w:vAlign w:val="center"/>
            <w:hideMark/>
          </w:tcPr>
          <w:p w:rsidR="00F02997" w:rsidRPr="00D319E0" w:rsidRDefault="00F02997" w:rsidP="00D319E0">
            <w:pPr>
              <w:spacing w:line="240" w:lineRule="auto"/>
              <w:jc w:val="left"/>
              <w:rPr>
                <w:rFonts w:ascii="Arial" w:eastAsia="Times New Roman" w:hAnsi="Arial" w:cs="Arial"/>
                <w:b/>
                <w:bCs/>
                <w:sz w:val="20"/>
                <w:szCs w:val="20"/>
                <w:lang w:eastAsia="en-ZA"/>
              </w:rPr>
            </w:pPr>
          </w:p>
        </w:tc>
      </w:tr>
      <w:tr w:rsidR="00F02997" w:rsidRPr="00D319E0" w:rsidTr="00C06359">
        <w:trPr>
          <w:trHeight w:val="264"/>
        </w:trPr>
        <w:tc>
          <w:tcPr>
            <w:tcW w:w="25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1: Police Performance, Conduct and Compliance</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15,5</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15,6</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0,1</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0,7</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0,42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-4,27 per cent</w:t>
            </w:r>
          </w:p>
        </w:tc>
      </w:tr>
      <w:tr w:rsidR="00F02997" w:rsidRPr="00D319E0" w:rsidTr="00C06359">
        <w:trPr>
          <w:trHeight w:val="264"/>
        </w:trPr>
        <w:tc>
          <w:tcPr>
            <w:tcW w:w="25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2: Policy and Programme Evaluations</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7,2</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7,2</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0,0</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0,3</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0,21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-4,47 per cent</w:t>
            </w:r>
          </w:p>
        </w:tc>
      </w:tr>
      <w:tr w:rsidR="00F02997" w:rsidRPr="00D319E0" w:rsidTr="00C06359">
        <w:trPr>
          <w:trHeight w:val="264"/>
        </w:trPr>
        <w:tc>
          <w:tcPr>
            <w:tcW w:w="25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Sub-programme 3: Office of the Directorate for Priority Crime Investigation Judge </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7,4</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6,9</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0,4</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0,8</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-6,08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-10,47 per cent</w:t>
            </w:r>
          </w:p>
        </w:tc>
      </w:tr>
      <w:tr w:rsidR="00F02997" w:rsidRPr="00D319E0" w:rsidTr="00C06359">
        <w:trPr>
          <w:trHeight w:val="264"/>
        </w:trPr>
        <w:tc>
          <w:tcPr>
            <w:tcW w:w="25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4: National Forensic Oversight and Ethics Board</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3,8</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3,7</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0,1</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0,2</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-1,88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-6,46 per cent</w:t>
            </w:r>
          </w:p>
        </w:tc>
      </w:tr>
      <w:tr w:rsidR="00F02997" w:rsidRPr="00D319E0" w:rsidTr="00C06359">
        <w:trPr>
          <w:trHeight w:val="264"/>
        </w:trPr>
        <w:tc>
          <w:tcPr>
            <w:tcW w:w="255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TOTAL</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33,8</w:t>
            </w:r>
          </w:p>
        </w:tc>
        <w:tc>
          <w:tcPr>
            <w:tcW w:w="1134"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33,4</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0,4</w:t>
            </w:r>
          </w:p>
        </w:tc>
        <w:tc>
          <w:tcPr>
            <w:tcW w:w="1276"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2,0</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-1,3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-5,91 per cent</w:t>
            </w:r>
          </w:p>
        </w:tc>
      </w:tr>
    </w:tbl>
    <w:p w:rsidR="00F02997" w:rsidRPr="00D319E0" w:rsidRDefault="00F02997" w:rsidP="00D319E0">
      <w:pPr>
        <w:autoSpaceDE w:val="0"/>
        <w:autoSpaceDN w:val="0"/>
        <w:adjustRightInd w:val="0"/>
        <w:spacing w:line="240" w:lineRule="auto"/>
        <w:jc w:val="left"/>
        <w:rPr>
          <w:rFonts w:ascii="Arial" w:hAnsi="Arial" w:cs="Arial"/>
          <w:i/>
          <w:sz w:val="20"/>
          <w:szCs w:val="20"/>
        </w:rPr>
      </w:pPr>
      <w:r w:rsidRPr="00D319E0">
        <w:rPr>
          <w:rFonts w:ascii="Arial" w:hAnsi="Arial" w:cs="Arial"/>
          <w:i/>
          <w:sz w:val="20"/>
          <w:szCs w:val="20"/>
        </w:rPr>
        <w:t>Source: National Treasury (2023)</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sz w:val="20"/>
          <w:szCs w:val="20"/>
        </w:rPr>
      </w:pPr>
      <w:r w:rsidRPr="00D319E0">
        <w:rPr>
          <w:rFonts w:ascii="Arial" w:hAnsi="Arial" w:cs="Arial"/>
          <w:sz w:val="20"/>
          <w:szCs w:val="20"/>
        </w:rPr>
        <w:t xml:space="preserve">The </w:t>
      </w:r>
      <w:r w:rsidRPr="00D319E0">
        <w:rPr>
          <w:rFonts w:ascii="Arial" w:eastAsia="Times New Roman" w:hAnsi="Arial" w:cs="Arial"/>
          <w:i/>
          <w:sz w:val="20"/>
          <w:szCs w:val="20"/>
          <w:lang w:eastAsia="en-ZA"/>
        </w:rPr>
        <w:t>Office of the Directorate for Priority Crime Investigation Judge</w:t>
      </w:r>
      <w:r w:rsidRPr="00D319E0">
        <w:rPr>
          <w:rFonts w:ascii="Arial" w:hAnsi="Arial" w:cs="Arial"/>
          <w:i/>
          <w:sz w:val="20"/>
          <w:szCs w:val="20"/>
        </w:rPr>
        <w:t xml:space="preserve"> </w:t>
      </w:r>
      <w:r w:rsidRPr="00D319E0">
        <w:rPr>
          <w:rFonts w:ascii="Arial" w:hAnsi="Arial" w:cs="Arial"/>
          <w:sz w:val="20"/>
          <w:szCs w:val="20"/>
        </w:rPr>
        <w:t xml:space="preserve">subprogramme received a Main Appropriation of R6.9 million in 2023/24, which is a nominal decrease of 6.08 per cent, which is a real decrease of 10.47 per cent. The </w:t>
      </w:r>
      <w:r w:rsidRPr="00D319E0">
        <w:rPr>
          <w:rFonts w:ascii="Arial" w:eastAsia="Times New Roman" w:hAnsi="Arial" w:cs="Arial"/>
          <w:i/>
          <w:sz w:val="20"/>
          <w:szCs w:val="20"/>
          <w:lang w:eastAsia="en-ZA"/>
        </w:rPr>
        <w:t>National Forensic Oversight and Ethics Board</w:t>
      </w:r>
      <w:r w:rsidRPr="00D319E0">
        <w:rPr>
          <w:rFonts w:ascii="Arial" w:hAnsi="Arial" w:cs="Arial"/>
          <w:sz w:val="20"/>
          <w:szCs w:val="20"/>
        </w:rPr>
        <w:t xml:space="preserve"> subprogramme received a Main Appropriation of R3.7 million in 2023/24, which is a nominal decrease of 1.88 per cent and real decrease of 6.46 per cent compared to the previous financial year. </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sz w:val="20"/>
          <w:szCs w:val="20"/>
        </w:rPr>
      </w:pPr>
      <w:r w:rsidRPr="00D319E0">
        <w:rPr>
          <w:rFonts w:ascii="Arial" w:hAnsi="Arial" w:cs="Arial"/>
          <w:sz w:val="20"/>
          <w:szCs w:val="20"/>
        </w:rPr>
        <w:t xml:space="preserve">The proportional allocations towards the subprogrammes shifted slightly in 2023/24 compared to the previous financial year. The decreased allocation of the Directorate for Priority Crime Investigation Judge subprogramme resulted in a 1.06 per cent decrease of its proportional allocation in 2023/24. </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spacing w:line="240" w:lineRule="auto"/>
        <w:jc w:val="left"/>
        <w:rPr>
          <w:rFonts w:ascii="Arial" w:hAnsi="Arial" w:cs="Arial"/>
          <w:b/>
          <w:i/>
          <w:sz w:val="20"/>
          <w:szCs w:val="20"/>
        </w:rPr>
      </w:pPr>
      <w:r w:rsidRPr="00D319E0">
        <w:rPr>
          <w:rFonts w:ascii="Arial" w:hAnsi="Arial" w:cs="Arial"/>
          <w:b/>
          <w:i/>
          <w:sz w:val="20"/>
          <w:szCs w:val="20"/>
        </w:rPr>
        <w:t xml:space="preserve">Table 11: Percent of total </w:t>
      </w:r>
      <w:r w:rsidRPr="00D319E0">
        <w:rPr>
          <w:rFonts w:ascii="Arial" w:hAnsi="Arial" w:cs="Arial"/>
          <w:b/>
          <w:bCs/>
          <w:i/>
          <w:sz w:val="20"/>
          <w:szCs w:val="20"/>
        </w:rPr>
        <w:t xml:space="preserve">Civilian Oversight, Monitoring and Evaluation </w:t>
      </w:r>
      <w:r w:rsidRPr="00D319E0">
        <w:rPr>
          <w:rFonts w:ascii="Arial" w:hAnsi="Arial" w:cs="Arial"/>
          <w:b/>
          <w:i/>
          <w:sz w:val="20"/>
          <w:szCs w:val="20"/>
        </w:rPr>
        <w:t>Programme budget</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905"/>
        <w:gridCol w:w="1663"/>
        <w:gridCol w:w="992"/>
        <w:gridCol w:w="1701"/>
        <w:gridCol w:w="1559"/>
      </w:tblGrid>
      <w:tr w:rsidR="00F02997" w:rsidRPr="00D319E0" w:rsidTr="00C06359">
        <w:trPr>
          <w:trHeight w:val="1035"/>
        </w:trPr>
        <w:tc>
          <w:tcPr>
            <w:tcW w:w="283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lastRenderedPageBreak/>
              <w:t>Programme</w:t>
            </w:r>
          </w:p>
        </w:tc>
        <w:tc>
          <w:tcPr>
            <w:tcW w:w="889"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Budget</w:t>
            </w:r>
          </w:p>
        </w:tc>
        <w:tc>
          <w:tcPr>
            <w:tcW w:w="1663"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Percent of total budget per programme</w:t>
            </w:r>
          </w:p>
        </w:tc>
        <w:tc>
          <w:tcPr>
            <w:tcW w:w="992"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Budget</w:t>
            </w:r>
          </w:p>
        </w:tc>
        <w:tc>
          <w:tcPr>
            <w:tcW w:w="1701"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Percent of total budget per programme</w:t>
            </w:r>
          </w:p>
        </w:tc>
        <w:tc>
          <w:tcPr>
            <w:tcW w:w="1559" w:type="dxa"/>
            <w:shd w:val="clear" w:color="auto" w:fill="auto"/>
            <w:vAlign w:val="center"/>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Change in percent allocation</w:t>
            </w:r>
          </w:p>
        </w:tc>
      </w:tr>
      <w:tr w:rsidR="00F02997" w:rsidRPr="00D319E0" w:rsidTr="00C06359">
        <w:trPr>
          <w:trHeight w:val="264"/>
        </w:trPr>
        <w:tc>
          <w:tcPr>
            <w:tcW w:w="283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bCs/>
                <w:sz w:val="20"/>
                <w:szCs w:val="20"/>
                <w:lang w:eastAsia="en-ZA"/>
              </w:rPr>
            </w:pPr>
            <w:r w:rsidRPr="00D319E0">
              <w:rPr>
                <w:rFonts w:ascii="Arial" w:eastAsia="Times New Roman" w:hAnsi="Arial" w:cs="Arial"/>
                <w:b/>
                <w:bCs/>
                <w:sz w:val="20"/>
                <w:szCs w:val="20"/>
                <w:lang w:eastAsia="en-ZA"/>
              </w:rPr>
              <w:t>R million</w:t>
            </w:r>
          </w:p>
        </w:tc>
        <w:tc>
          <w:tcPr>
            <w:tcW w:w="2552" w:type="dxa"/>
            <w:gridSpan w:val="2"/>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2022/23</w:t>
            </w:r>
          </w:p>
        </w:tc>
        <w:tc>
          <w:tcPr>
            <w:tcW w:w="2693" w:type="dxa"/>
            <w:gridSpan w:val="2"/>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2023/24</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p>
        </w:tc>
      </w:tr>
      <w:tr w:rsidR="00F02997" w:rsidRPr="00D319E0" w:rsidTr="00C06359">
        <w:trPr>
          <w:trHeight w:val="264"/>
        </w:trPr>
        <w:tc>
          <w:tcPr>
            <w:tcW w:w="283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1: Police Performance, Conduct and Compliance</w:t>
            </w:r>
          </w:p>
        </w:tc>
        <w:tc>
          <w:tcPr>
            <w:tcW w:w="8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15,5</w:t>
            </w:r>
          </w:p>
        </w:tc>
        <w:tc>
          <w:tcPr>
            <w:tcW w:w="166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45,92 per cent</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15,6</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46,72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0,80 per cent</w:t>
            </w:r>
          </w:p>
        </w:tc>
      </w:tr>
      <w:tr w:rsidR="00F02997" w:rsidRPr="00D319E0" w:rsidTr="00C06359">
        <w:trPr>
          <w:trHeight w:val="264"/>
        </w:trPr>
        <w:tc>
          <w:tcPr>
            <w:tcW w:w="283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2: Policy and Programme Evaluations</w:t>
            </w:r>
          </w:p>
        </w:tc>
        <w:tc>
          <w:tcPr>
            <w:tcW w:w="8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7,2</w:t>
            </w:r>
          </w:p>
        </w:tc>
        <w:tc>
          <w:tcPr>
            <w:tcW w:w="166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21,14 per cent</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7,2</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21,47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0,32 per cent</w:t>
            </w:r>
          </w:p>
        </w:tc>
      </w:tr>
      <w:tr w:rsidR="00F02997" w:rsidRPr="00D319E0" w:rsidTr="00C06359">
        <w:trPr>
          <w:trHeight w:val="264"/>
        </w:trPr>
        <w:tc>
          <w:tcPr>
            <w:tcW w:w="283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Sub-programme 3: Office of the Directorate for Priority Crime Investigation Judge </w:t>
            </w:r>
          </w:p>
        </w:tc>
        <w:tc>
          <w:tcPr>
            <w:tcW w:w="8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7,4</w:t>
            </w:r>
          </w:p>
        </w:tc>
        <w:tc>
          <w:tcPr>
            <w:tcW w:w="166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21,77 per cent</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6,9</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20,71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-1,06 per cent</w:t>
            </w:r>
          </w:p>
        </w:tc>
      </w:tr>
      <w:tr w:rsidR="00F02997" w:rsidRPr="00D319E0" w:rsidTr="00C06359">
        <w:trPr>
          <w:trHeight w:val="264"/>
        </w:trPr>
        <w:tc>
          <w:tcPr>
            <w:tcW w:w="283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Sub-programme 4: National Forensic Oversight and Ethics Board</w:t>
            </w:r>
          </w:p>
        </w:tc>
        <w:tc>
          <w:tcPr>
            <w:tcW w:w="8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3,8</w:t>
            </w:r>
          </w:p>
        </w:tc>
        <w:tc>
          <w:tcPr>
            <w:tcW w:w="166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11,17 per cent</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 xml:space="preserve">  3,7</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11,10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sz w:val="20"/>
                <w:szCs w:val="20"/>
                <w:lang w:eastAsia="en-ZA"/>
              </w:rPr>
            </w:pPr>
            <w:r w:rsidRPr="00D319E0">
              <w:rPr>
                <w:rFonts w:ascii="Arial" w:eastAsia="Times New Roman" w:hAnsi="Arial" w:cs="Arial"/>
                <w:sz w:val="20"/>
                <w:szCs w:val="20"/>
                <w:lang w:eastAsia="en-ZA"/>
              </w:rPr>
              <w:t>-0,07 per cent</w:t>
            </w:r>
          </w:p>
        </w:tc>
      </w:tr>
      <w:tr w:rsidR="00F02997" w:rsidRPr="00D319E0" w:rsidTr="00C06359">
        <w:trPr>
          <w:trHeight w:val="264"/>
        </w:trPr>
        <w:tc>
          <w:tcPr>
            <w:tcW w:w="2835"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TOTAL</w:t>
            </w:r>
          </w:p>
        </w:tc>
        <w:tc>
          <w:tcPr>
            <w:tcW w:w="88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33,8</w:t>
            </w:r>
          </w:p>
        </w:tc>
        <w:tc>
          <w:tcPr>
            <w:tcW w:w="1663"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100,00 per cent</w:t>
            </w:r>
          </w:p>
        </w:tc>
        <w:tc>
          <w:tcPr>
            <w:tcW w:w="992"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 xml:space="preserve">  33,4</w:t>
            </w:r>
          </w:p>
        </w:tc>
        <w:tc>
          <w:tcPr>
            <w:tcW w:w="1701"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100,00 per cent</w:t>
            </w:r>
          </w:p>
        </w:tc>
        <w:tc>
          <w:tcPr>
            <w:tcW w:w="1559" w:type="dxa"/>
            <w:shd w:val="clear" w:color="auto" w:fill="auto"/>
            <w:noWrap/>
            <w:vAlign w:val="bottom"/>
            <w:hideMark/>
          </w:tcPr>
          <w:p w:rsidR="00F02997" w:rsidRPr="00D319E0" w:rsidRDefault="00F02997" w:rsidP="00D319E0">
            <w:pPr>
              <w:spacing w:line="240" w:lineRule="auto"/>
              <w:jc w:val="left"/>
              <w:rPr>
                <w:rFonts w:ascii="Arial" w:eastAsia="Times New Roman" w:hAnsi="Arial" w:cs="Arial"/>
                <w:b/>
                <w:sz w:val="20"/>
                <w:szCs w:val="20"/>
                <w:lang w:eastAsia="en-ZA"/>
              </w:rPr>
            </w:pPr>
            <w:r w:rsidRPr="00D319E0">
              <w:rPr>
                <w:rFonts w:ascii="Arial" w:eastAsia="Times New Roman" w:hAnsi="Arial" w:cs="Arial"/>
                <w:b/>
                <w:sz w:val="20"/>
                <w:szCs w:val="20"/>
                <w:lang w:eastAsia="en-ZA"/>
              </w:rPr>
              <w:t>0,00 per cent</w:t>
            </w:r>
          </w:p>
        </w:tc>
      </w:tr>
    </w:tbl>
    <w:p w:rsidR="00F02997" w:rsidRPr="00D319E0" w:rsidRDefault="00F02997" w:rsidP="00D319E0">
      <w:pPr>
        <w:autoSpaceDE w:val="0"/>
        <w:autoSpaceDN w:val="0"/>
        <w:adjustRightInd w:val="0"/>
        <w:spacing w:line="240" w:lineRule="auto"/>
        <w:jc w:val="left"/>
        <w:rPr>
          <w:rFonts w:ascii="Arial" w:hAnsi="Arial" w:cs="Arial"/>
          <w:i/>
          <w:sz w:val="20"/>
          <w:szCs w:val="20"/>
        </w:rPr>
      </w:pPr>
      <w:r w:rsidRPr="00D319E0">
        <w:rPr>
          <w:rFonts w:ascii="Arial" w:hAnsi="Arial" w:cs="Arial"/>
          <w:i/>
          <w:sz w:val="20"/>
          <w:szCs w:val="20"/>
        </w:rPr>
        <w:t>Source: National Treasury (2023)</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pStyle w:val="Heading2"/>
        <w:numPr>
          <w:ilvl w:val="1"/>
          <w:numId w:val="19"/>
        </w:numPr>
        <w:spacing w:before="0" w:line="240" w:lineRule="auto"/>
        <w:rPr>
          <w:rFonts w:ascii="Arial" w:hAnsi="Arial" w:cs="Arial"/>
          <w:sz w:val="20"/>
          <w:szCs w:val="20"/>
        </w:rPr>
      </w:pPr>
      <w:bookmarkStart w:id="11" w:name="_Toc132207299"/>
      <w:r w:rsidRPr="00D319E0">
        <w:rPr>
          <w:rFonts w:ascii="Arial" w:hAnsi="Arial" w:cs="Arial"/>
          <w:sz w:val="20"/>
          <w:szCs w:val="20"/>
        </w:rPr>
        <w:t>Expenditure on personnel/compensation of employees</w:t>
      </w:r>
      <w:bookmarkEnd w:id="11"/>
      <w:r w:rsidRPr="00D319E0">
        <w:rPr>
          <w:rFonts w:ascii="Arial" w:hAnsi="Arial" w:cs="Arial"/>
          <w:sz w:val="20"/>
          <w:szCs w:val="20"/>
        </w:rPr>
        <w:t xml:space="preserve"> </w:t>
      </w:r>
    </w:p>
    <w:p w:rsidR="00F02997" w:rsidRPr="00D319E0" w:rsidRDefault="00F02997" w:rsidP="00D319E0">
      <w:pPr>
        <w:autoSpaceDE w:val="0"/>
        <w:autoSpaceDN w:val="0"/>
        <w:adjustRightInd w:val="0"/>
        <w:spacing w:line="240" w:lineRule="auto"/>
        <w:jc w:val="left"/>
        <w:rPr>
          <w:rFonts w:ascii="Arial" w:hAnsi="Arial" w:cs="Arial"/>
          <w:sz w:val="20"/>
          <w:szCs w:val="20"/>
          <w:lang w:eastAsia="en-ZA"/>
        </w:rPr>
      </w:pPr>
    </w:p>
    <w:p w:rsidR="00F02997" w:rsidRPr="00D319E0" w:rsidRDefault="00F02997" w:rsidP="00D319E0">
      <w:pPr>
        <w:autoSpaceDE w:val="0"/>
        <w:autoSpaceDN w:val="0"/>
        <w:adjustRightInd w:val="0"/>
        <w:spacing w:line="240" w:lineRule="auto"/>
        <w:jc w:val="left"/>
        <w:rPr>
          <w:rFonts w:ascii="Arial" w:hAnsi="Arial" w:cs="Arial"/>
          <w:sz w:val="20"/>
          <w:szCs w:val="20"/>
        </w:rPr>
      </w:pPr>
      <w:r w:rsidRPr="00D319E0">
        <w:rPr>
          <w:rFonts w:ascii="Arial" w:hAnsi="Arial" w:cs="Arial"/>
          <w:sz w:val="20"/>
          <w:szCs w:val="20"/>
          <w:lang w:eastAsia="en-ZA"/>
        </w:rPr>
        <w:t xml:space="preserve">Compensation of employees remains the Department’s largest cost driver, accounting for </w:t>
      </w:r>
      <w:r w:rsidRPr="00D319E0">
        <w:rPr>
          <w:rFonts w:ascii="Arial" w:hAnsi="Arial" w:cs="Arial"/>
          <w:sz w:val="20"/>
          <w:szCs w:val="20"/>
        </w:rPr>
        <w:t xml:space="preserve">70.61 per cent (R108.9 million) of the Department’s total 2023/24 budget allocation. This allocation decreased nominally by 1.79 per cent compared to the previous financial year. </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sz w:val="20"/>
          <w:szCs w:val="20"/>
        </w:rPr>
      </w:pPr>
      <w:r w:rsidRPr="00D319E0">
        <w:rPr>
          <w:rFonts w:ascii="Arial" w:hAnsi="Arial" w:cs="Arial"/>
          <w:sz w:val="20"/>
          <w:szCs w:val="20"/>
        </w:rPr>
        <w:t xml:space="preserve">When the Secretariat became a designated Department in 2012, the personnel establishment consisted of a total of 107 posts, which has grown to156 posts, indicating a growth rate of approximately 46%. Additional posts were created over the years to capacitate the Department to deliver on its mandate. </w:t>
      </w:r>
      <w:r w:rsidRPr="00D319E0">
        <w:rPr>
          <w:rFonts w:ascii="Arial" w:hAnsi="Arial" w:cs="Arial"/>
          <w:sz w:val="20"/>
          <w:szCs w:val="20"/>
          <w:lang w:eastAsia="en-ZA"/>
        </w:rPr>
        <w:t>The number of personnel in the Secretariat is expected to increase from 162 in 2023/24 to 166 in 2025/26. According to National Treasury, new staff members will be employed at lower salary notches than their predecessors to save costs. The Secretariat has 28 posts additional to the establishment, mainly due to the appointment of cleaning and security personnel on a contract basis following the relocation to a new and bigger office building in April 2022.</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pStyle w:val="Heading1"/>
        <w:numPr>
          <w:ilvl w:val="0"/>
          <w:numId w:val="19"/>
        </w:numPr>
        <w:spacing w:before="0" w:line="240" w:lineRule="auto"/>
        <w:jc w:val="left"/>
        <w:rPr>
          <w:rFonts w:ascii="Arial" w:hAnsi="Arial" w:cs="Arial"/>
          <w:sz w:val="20"/>
          <w:szCs w:val="20"/>
        </w:rPr>
      </w:pPr>
      <w:bookmarkStart w:id="12" w:name="_Toc132207300"/>
      <w:r w:rsidRPr="00D319E0">
        <w:rPr>
          <w:rFonts w:ascii="Arial" w:hAnsi="Arial" w:cs="Arial"/>
          <w:sz w:val="20"/>
          <w:szCs w:val="20"/>
        </w:rPr>
        <w:t>Performance analysis 2023/24</w:t>
      </w:r>
      <w:bookmarkEnd w:id="12"/>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spacing w:line="240" w:lineRule="auto"/>
        <w:jc w:val="left"/>
        <w:rPr>
          <w:rFonts w:ascii="Arial" w:hAnsi="Arial" w:cs="Arial"/>
          <w:sz w:val="20"/>
          <w:szCs w:val="20"/>
        </w:rPr>
      </w:pPr>
      <w:r w:rsidRPr="00D319E0">
        <w:rPr>
          <w:rFonts w:ascii="Arial" w:hAnsi="Arial" w:cs="Arial"/>
          <w:sz w:val="20"/>
          <w:szCs w:val="20"/>
        </w:rPr>
        <w:t xml:space="preserve">This section provides a summary of the performance indicators and targets of the Department’s budget programmes. The section further highlights key concerns for consideration of Parliament during the 2023/24 budget hearings of the Department. </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spacing w:line="240" w:lineRule="auto"/>
        <w:jc w:val="left"/>
        <w:rPr>
          <w:rFonts w:ascii="Arial" w:hAnsi="Arial" w:cs="Arial"/>
          <w:sz w:val="20"/>
          <w:szCs w:val="20"/>
        </w:rPr>
      </w:pPr>
      <w:r w:rsidRPr="00D319E0">
        <w:rPr>
          <w:rFonts w:ascii="Arial" w:hAnsi="Arial" w:cs="Arial"/>
          <w:sz w:val="20"/>
          <w:szCs w:val="20"/>
        </w:rPr>
        <w:t xml:space="preserve">In 2023/24, the Department identified 30 performance indicators, of which most targets remained unchanged from the previous financial year. The Department introduced two new targets in 2023/24. </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spacing w:line="240" w:lineRule="auto"/>
        <w:jc w:val="left"/>
        <w:rPr>
          <w:rFonts w:ascii="Arial" w:hAnsi="Arial" w:cs="Arial"/>
          <w:sz w:val="20"/>
          <w:szCs w:val="20"/>
        </w:rPr>
      </w:pPr>
      <w:r w:rsidRPr="00D319E0">
        <w:rPr>
          <w:rFonts w:ascii="Arial" w:hAnsi="Arial" w:cs="Arial"/>
          <w:sz w:val="20"/>
          <w:szCs w:val="20"/>
        </w:rPr>
        <w:t xml:space="preserve">According to the Department, the effectiveness of their civilian oversight mandate, including the provision of strategic and policy advice to the Minister of Police, </w:t>
      </w:r>
      <w:r w:rsidRPr="00D319E0">
        <w:rPr>
          <w:rFonts w:ascii="Arial" w:hAnsi="Arial" w:cs="Arial"/>
          <w:sz w:val="20"/>
          <w:szCs w:val="20"/>
          <w:u w:val="single"/>
        </w:rPr>
        <w:t>rests on adequate and reasonable access to SAPS systems and information by the CSPS and ultimately on the willingness to implement CSPS policy proposals and recommendations.</w:t>
      </w:r>
      <w:r w:rsidRPr="00D319E0">
        <w:rPr>
          <w:rFonts w:ascii="Arial" w:hAnsi="Arial" w:cs="Arial"/>
          <w:sz w:val="20"/>
          <w:szCs w:val="20"/>
        </w:rPr>
        <w:t xml:space="preserve"> As such, the working relationship and effective functioning of cooperative governance structures between the SAPS and CSPS must be continuously strengthened.</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pStyle w:val="Heading2"/>
        <w:numPr>
          <w:ilvl w:val="1"/>
          <w:numId w:val="19"/>
        </w:numPr>
        <w:spacing w:before="0" w:line="240" w:lineRule="auto"/>
        <w:rPr>
          <w:rFonts w:ascii="Arial" w:hAnsi="Arial" w:cs="Arial"/>
          <w:sz w:val="20"/>
          <w:szCs w:val="20"/>
        </w:rPr>
      </w:pPr>
      <w:bookmarkStart w:id="13" w:name="_Toc132207301"/>
      <w:r w:rsidRPr="00D319E0">
        <w:rPr>
          <w:rFonts w:ascii="Arial" w:hAnsi="Arial" w:cs="Arial"/>
          <w:sz w:val="20"/>
          <w:szCs w:val="20"/>
        </w:rPr>
        <w:t>Programme 1: Administration</w:t>
      </w:r>
      <w:bookmarkEnd w:id="13"/>
      <w:r w:rsidRPr="00D319E0">
        <w:rPr>
          <w:rFonts w:ascii="Arial" w:hAnsi="Arial" w:cs="Arial"/>
          <w:sz w:val="20"/>
          <w:szCs w:val="20"/>
        </w:rPr>
        <w:t xml:space="preserve"> </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spacing w:line="240" w:lineRule="auto"/>
        <w:jc w:val="left"/>
        <w:rPr>
          <w:rFonts w:ascii="Arial" w:hAnsi="Arial" w:cs="Arial"/>
          <w:sz w:val="20"/>
          <w:szCs w:val="20"/>
        </w:rPr>
      </w:pPr>
      <w:r w:rsidRPr="00D319E0">
        <w:rPr>
          <w:rFonts w:ascii="Arial" w:hAnsi="Arial" w:cs="Arial"/>
          <w:b/>
          <w:sz w:val="20"/>
          <w:szCs w:val="20"/>
        </w:rPr>
        <w:t xml:space="preserve">Programme purpose: </w:t>
      </w:r>
      <w:r w:rsidRPr="00D319E0">
        <w:rPr>
          <w:rFonts w:ascii="Arial" w:hAnsi="Arial" w:cs="Arial"/>
          <w:sz w:val="20"/>
          <w:szCs w:val="20"/>
        </w:rPr>
        <w:t xml:space="preserve">The purpose of the Administration Programme is to provide strategic leadership, management and support services to the Department. </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autoSpaceDE w:val="0"/>
        <w:autoSpaceDN w:val="0"/>
        <w:adjustRightInd w:val="0"/>
        <w:spacing w:line="240" w:lineRule="auto"/>
        <w:jc w:val="left"/>
        <w:rPr>
          <w:rFonts w:ascii="Arial" w:hAnsi="Arial" w:cs="Arial"/>
          <w:sz w:val="20"/>
          <w:szCs w:val="20"/>
        </w:rPr>
      </w:pPr>
      <w:r w:rsidRPr="00D319E0">
        <w:rPr>
          <w:rFonts w:ascii="Arial" w:hAnsi="Arial" w:cs="Arial"/>
          <w:sz w:val="20"/>
          <w:szCs w:val="20"/>
        </w:rPr>
        <w:t xml:space="preserve">For the 2023/24 financial year, the Administration programme has 7 performance indicators, of which two targets are new compared to the previous financial year. </w:t>
      </w:r>
    </w:p>
    <w:p w:rsidR="00F02997" w:rsidRPr="00D319E0" w:rsidRDefault="00F02997" w:rsidP="00D319E0">
      <w:pPr>
        <w:autoSpaceDE w:val="0"/>
        <w:autoSpaceDN w:val="0"/>
        <w:adjustRightInd w:val="0"/>
        <w:spacing w:line="240" w:lineRule="auto"/>
        <w:jc w:val="left"/>
        <w:rPr>
          <w:rFonts w:ascii="Arial" w:hAnsi="Arial" w:cs="Arial"/>
          <w:sz w:val="20"/>
          <w:szCs w:val="20"/>
        </w:rPr>
      </w:pPr>
    </w:p>
    <w:p w:rsidR="00F02997" w:rsidRPr="00D319E0" w:rsidRDefault="00F02997" w:rsidP="00D319E0">
      <w:pPr>
        <w:spacing w:line="240" w:lineRule="auto"/>
        <w:jc w:val="left"/>
        <w:rPr>
          <w:rFonts w:ascii="Arial" w:hAnsi="Arial" w:cs="Arial"/>
          <w:b/>
          <w:sz w:val="20"/>
          <w:szCs w:val="20"/>
        </w:rPr>
      </w:pPr>
      <w:r w:rsidRPr="00D319E0">
        <w:rPr>
          <w:rFonts w:ascii="Arial" w:hAnsi="Arial" w:cs="Arial"/>
          <w:b/>
          <w:sz w:val="20"/>
          <w:szCs w:val="20"/>
        </w:rPr>
        <w:t xml:space="preserve">Subprogramme: Department Management </w:t>
      </w:r>
    </w:p>
    <w:p w:rsidR="00F02997" w:rsidRPr="00D319E0" w:rsidRDefault="00F02997" w:rsidP="00D319E0">
      <w:pPr>
        <w:pStyle w:val="ListParagraph"/>
        <w:numPr>
          <w:ilvl w:val="0"/>
          <w:numId w:val="31"/>
        </w:numPr>
        <w:autoSpaceDE w:val="0"/>
        <w:autoSpaceDN w:val="0"/>
        <w:adjustRightInd w:val="0"/>
        <w:spacing w:line="240" w:lineRule="auto"/>
        <w:jc w:val="left"/>
        <w:rPr>
          <w:rFonts w:ascii="Arial" w:hAnsi="Arial" w:cs="Arial"/>
          <w:color w:val="000000"/>
          <w:sz w:val="20"/>
          <w:szCs w:val="20"/>
          <w:lang w:eastAsia="en-ZA"/>
        </w:rPr>
      </w:pPr>
      <w:r w:rsidRPr="00D319E0">
        <w:rPr>
          <w:rFonts w:ascii="Arial" w:hAnsi="Arial" w:cs="Arial"/>
          <w:color w:val="000000"/>
          <w:sz w:val="20"/>
          <w:szCs w:val="20"/>
          <w:lang w:eastAsia="en-ZA"/>
        </w:rPr>
        <w:t xml:space="preserve">One database developed on CSPS recommendations implemented by SAPS </w:t>
      </w:r>
    </w:p>
    <w:p w:rsidR="00F02997" w:rsidRPr="00D319E0" w:rsidRDefault="00F02997" w:rsidP="00D319E0">
      <w:pPr>
        <w:pStyle w:val="ListParagraph"/>
        <w:numPr>
          <w:ilvl w:val="0"/>
          <w:numId w:val="31"/>
        </w:numPr>
        <w:autoSpaceDE w:val="0"/>
        <w:autoSpaceDN w:val="0"/>
        <w:adjustRightInd w:val="0"/>
        <w:spacing w:line="240" w:lineRule="auto"/>
        <w:jc w:val="left"/>
        <w:rPr>
          <w:rFonts w:ascii="Arial" w:hAnsi="Arial" w:cs="Arial"/>
          <w:color w:val="000000"/>
          <w:sz w:val="20"/>
          <w:szCs w:val="20"/>
          <w:lang w:eastAsia="en-ZA"/>
        </w:rPr>
      </w:pPr>
      <w:r w:rsidRPr="00D319E0">
        <w:rPr>
          <w:rFonts w:ascii="Arial" w:hAnsi="Arial" w:cs="Arial"/>
          <w:color w:val="000000"/>
          <w:sz w:val="20"/>
          <w:szCs w:val="20"/>
          <w:lang w:eastAsia="en-ZA"/>
        </w:rPr>
        <w:lastRenderedPageBreak/>
        <w:t xml:space="preserve">Two reports on the role of CSPS in facilitating the implementation of the ICVPS </w:t>
      </w:r>
    </w:p>
    <w:p w:rsidR="00F02997" w:rsidRPr="00D319E0" w:rsidRDefault="00F02997" w:rsidP="00D319E0">
      <w:pPr>
        <w:autoSpaceDE w:val="0"/>
        <w:autoSpaceDN w:val="0"/>
        <w:adjustRightInd w:val="0"/>
        <w:spacing w:line="240" w:lineRule="auto"/>
        <w:jc w:val="left"/>
        <w:rPr>
          <w:rFonts w:ascii="Arial" w:hAnsi="Arial" w:cs="Arial"/>
          <w:color w:val="000000"/>
          <w:sz w:val="20"/>
          <w:szCs w:val="20"/>
          <w:lang w:eastAsia="en-ZA"/>
        </w:rPr>
      </w:pPr>
    </w:p>
    <w:p w:rsidR="00F02997" w:rsidRPr="00D319E0" w:rsidRDefault="00F02997" w:rsidP="00D319E0">
      <w:pPr>
        <w:spacing w:line="240" w:lineRule="auto"/>
        <w:jc w:val="left"/>
        <w:rPr>
          <w:rFonts w:ascii="Arial" w:hAnsi="Arial" w:cs="Arial"/>
          <w:b/>
          <w:sz w:val="20"/>
          <w:szCs w:val="20"/>
        </w:rPr>
      </w:pPr>
      <w:r w:rsidRPr="00D319E0">
        <w:rPr>
          <w:rFonts w:ascii="Arial" w:hAnsi="Arial" w:cs="Arial"/>
          <w:b/>
          <w:sz w:val="20"/>
          <w:szCs w:val="20"/>
        </w:rPr>
        <w:t xml:space="preserve">Subprogramme: Corporate Services </w:t>
      </w:r>
    </w:p>
    <w:p w:rsidR="00F02997" w:rsidRPr="00D319E0" w:rsidRDefault="00F02997" w:rsidP="00D319E0">
      <w:pPr>
        <w:pStyle w:val="ListParagraph"/>
        <w:numPr>
          <w:ilvl w:val="0"/>
          <w:numId w:val="31"/>
        </w:numPr>
        <w:spacing w:line="240" w:lineRule="auto"/>
        <w:jc w:val="left"/>
        <w:rPr>
          <w:rFonts w:ascii="Arial" w:hAnsi="Arial" w:cs="Arial"/>
          <w:b/>
          <w:sz w:val="20"/>
          <w:szCs w:val="20"/>
        </w:rPr>
      </w:pPr>
      <w:r w:rsidRPr="00D319E0">
        <w:rPr>
          <w:rFonts w:ascii="Arial" w:hAnsi="Arial" w:cs="Arial"/>
          <w:sz w:val="20"/>
          <w:szCs w:val="20"/>
          <w:lang w:eastAsia="en-ZA"/>
        </w:rPr>
        <w:t>Vacancy rate of not more than 10% of the total post establishment: Target increased from 7% in 2022/23.</w:t>
      </w:r>
    </w:p>
    <w:p w:rsidR="00F02997" w:rsidRPr="00D319E0" w:rsidRDefault="00F02997" w:rsidP="00D319E0">
      <w:pPr>
        <w:pStyle w:val="ListParagraph"/>
        <w:numPr>
          <w:ilvl w:val="0"/>
          <w:numId w:val="31"/>
        </w:numPr>
        <w:spacing w:line="240" w:lineRule="auto"/>
        <w:jc w:val="left"/>
        <w:rPr>
          <w:rFonts w:ascii="Arial" w:hAnsi="Arial" w:cs="Arial"/>
          <w:b/>
          <w:sz w:val="20"/>
          <w:szCs w:val="20"/>
        </w:rPr>
      </w:pPr>
      <w:r w:rsidRPr="00D319E0">
        <w:rPr>
          <w:rFonts w:ascii="Arial" w:hAnsi="Arial" w:cs="Arial"/>
          <w:sz w:val="20"/>
          <w:szCs w:val="20"/>
          <w:lang w:eastAsia="en-ZA"/>
        </w:rPr>
        <w:t>Percentage of implementation of the Human Capital Strategy: Target remains unchanged at 100% implementation.</w:t>
      </w:r>
    </w:p>
    <w:p w:rsidR="00F02997" w:rsidRPr="00D319E0" w:rsidRDefault="00F02997" w:rsidP="00D319E0">
      <w:pPr>
        <w:pStyle w:val="ListParagraph"/>
        <w:numPr>
          <w:ilvl w:val="0"/>
          <w:numId w:val="31"/>
        </w:numPr>
        <w:spacing w:line="240" w:lineRule="auto"/>
        <w:jc w:val="left"/>
        <w:rPr>
          <w:rFonts w:ascii="Arial" w:hAnsi="Arial" w:cs="Arial"/>
          <w:b/>
          <w:sz w:val="20"/>
          <w:szCs w:val="20"/>
        </w:rPr>
      </w:pPr>
      <w:r w:rsidRPr="00D319E0">
        <w:rPr>
          <w:rFonts w:ascii="Arial" w:hAnsi="Arial" w:cs="Arial"/>
          <w:sz w:val="20"/>
          <w:szCs w:val="20"/>
          <w:lang w:eastAsia="en-ZA"/>
        </w:rPr>
        <w:t xml:space="preserve">Percentage implementation of the Information and Communication Technology (ICT) Strategy: Target remains unchanged at 100%. </w:t>
      </w:r>
    </w:p>
    <w:p w:rsidR="00F02997" w:rsidRPr="00D319E0" w:rsidRDefault="00F02997" w:rsidP="00D319E0">
      <w:pPr>
        <w:spacing w:line="240" w:lineRule="auto"/>
        <w:jc w:val="left"/>
        <w:rPr>
          <w:rFonts w:ascii="Arial" w:hAnsi="Arial" w:cs="Arial"/>
          <w:b/>
          <w:sz w:val="20"/>
          <w:szCs w:val="20"/>
        </w:rPr>
      </w:pPr>
    </w:p>
    <w:p w:rsidR="00F02997" w:rsidRPr="00D319E0" w:rsidRDefault="00F02997" w:rsidP="00D319E0">
      <w:pPr>
        <w:spacing w:line="240" w:lineRule="auto"/>
        <w:jc w:val="left"/>
        <w:rPr>
          <w:rFonts w:ascii="Arial" w:hAnsi="Arial" w:cs="Arial"/>
          <w:b/>
          <w:sz w:val="20"/>
          <w:szCs w:val="20"/>
        </w:rPr>
      </w:pPr>
      <w:r w:rsidRPr="00D319E0">
        <w:rPr>
          <w:rFonts w:ascii="Arial" w:hAnsi="Arial" w:cs="Arial"/>
          <w:b/>
          <w:sz w:val="20"/>
          <w:szCs w:val="20"/>
        </w:rPr>
        <w:t xml:space="preserve">Subprogramme: Finance Administration </w:t>
      </w:r>
    </w:p>
    <w:p w:rsidR="00F02997" w:rsidRPr="00D319E0" w:rsidRDefault="00F02997" w:rsidP="00D319E0">
      <w:pPr>
        <w:pStyle w:val="ListParagraph"/>
        <w:numPr>
          <w:ilvl w:val="0"/>
          <w:numId w:val="31"/>
        </w:numPr>
        <w:spacing w:line="240" w:lineRule="auto"/>
        <w:jc w:val="left"/>
        <w:rPr>
          <w:rFonts w:ascii="Arial" w:hAnsi="Arial" w:cs="Arial"/>
          <w:b/>
          <w:sz w:val="20"/>
          <w:szCs w:val="20"/>
        </w:rPr>
      </w:pPr>
      <w:r w:rsidRPr="00D319E0">
        <w:rPr>
          <w:rFonts w:ascii="Arial" w:hAnsi="Arial" w:cs="Arial"/>
          <w:sz w:val="20"/>
          <w:szCs w:val="20"/>
          <w:lang w:eastAsia="en-ZA"/>
        </w:rPr>
        <w:t>Percentage of payments made to creditors within 30 days: Target remains unchanged at 100%.</w:t>
      </w:r>
    </w:p>
    <w:p w:rsidR="00F02997" w:rsidRPr="00D319E0" w:rsidRDefault="00F02997" w:rsidP="00D319E0">
      <w:pPr>
        <w:pStyle w:val="ListParagraph"/>
        <w:numPr>
          <w:ilvl w:val="0"/>
          <w:numId w:val="31"/>
        </w:numPr>
        <w:spacing w:line="240" w:lineRule="auto"/>
        <w:jc w:val="left"/>
        <w:rPr>
          <w:rFonts w:ascii="Arial" w:hAnsi="Arial" w:cs="Arial"/>
          <w:sz w:val="20"/>
          <w:szCs w:val="20"/>
        </w:rPr>
      </w:pPr>
      <w:r w:rsidRPr="00D319E0">
        <w:rPr>
          <w:rFonts w:ascii="Arial" w:hAnsi="Arial" w:cs="Arial"/>
          <w:sz w:val="20"/>
          <w:szCs w:val="20"/>
          <w:lang w:eastAsia="en-ZA"/>
        </w:rPr>
        <w:t xml:space="preserve">Percentage of expenditure in relation to the allocated budget: Target remains unchanged at 98%.  </w:t>
      </w:r>
    </w:p>
    <w:p w:rsidR="00F02997" w:rsidRPr="00D319E0" w:rsidRDefault="00F02997" w:rsidP="00D319E0">
      <w:pPr>
        <w:pStyle w:val="Heading2"/>
        <w:spacing w:before="0" w:line="240" w:lineRule="auto"/>
        <w:rPr>
          <w:rFonts w:ascii="Arial" w:hAnsi="Arial" w:cs="Arial"/>
          <w:caps/>
          <w:sz w:val="20"/>
          <w:szCs w:val="20"/>
        </w:rPr>
      </w:pPr>
    </w:p>
    <w:p w:rsidR="00F02997" w:rsidRPr="00D319E0" w:rsidRDefault="00F02997" w:rsidP="00D319E0">
      <w:pPr>
        <w:pStyle w:val="Heading2"/>
        <w:numPr>
          <w:ilvl w:val="1"/>
          <w:numId w:val="19"/>
        </w:numPr>
        <w:spacing w:before="0" w:line="240" w:lineRule="auto"/>
        <w:rPr>
          <w:rFonts w:ascii="Arial" w:hAnsi="Arial" w:cs="Arial"/>
          <w:sz w:val="20"/>
          <w:szCs w:val="20"/>
        </w:rPr>
      </w:pPr>
      <w:bookmarkStart w:id="14" w:name="_Toc132207302"/>
      <w:r w:rsidRPr="00D319E0">
        <w:rPr>
          <w:rFonts w:ascii="Arial" w:hAnsi="Arial" w:cs="Arial"/>
          <w:sz w:val="20"/>
          <w:szCs w:val="20"/>
        </w:rPr>
        <w:t>Programme 2: Intersectoral Coordination and Strategic Partnerships</w:t>
      </w:r>
      <w:bookmarkEnd w:id="14"/>
      <w:r w:rsidRPr="00D319E0">
        <w:rPr>
          <w:rFonts w:ascii="Arial" w:hAnsi="Arial" w:cs="Arial"/>
          <w:sz w:val="20"/>
          <w:szCs w:val="20"/>
        </w:rPr>
        <w:t xml:space="preserve"> </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spacing w:line="240" w:lineRule="auto"/>
        <w:jc w:val="left"/>
        <w:rPr>
          <w:rFonts w:ascii="Arial" w:hAnsi="Arial" w:cs="Arial"/>
          <w:sz w:val="20"/>
          <w:szCs w:val="20"/>
        </w:rPr>
      </w:pPr>
      <w:r w:rsidRPr="00D319E0">
        <w:rPr>
          <w:rFonts w:ascii="Arial" w:hAnsi="Arial" w:cs="Arial"/>
          <w:b/>
          <w:sz w:val="20"/>
          <w:szCs w:val="20"/>
        </w:rPr>
        <w:t xml:space="preserve">Programme purpose: </w:t>
      </w:r>
      <w:r w:rsidRPr="00D319E0">
        <w:rPr>
          <w:rFonts w:ascii="Arial" w:hAnsi="Arial" w:cs="Arial"/>
          <w:sz w:val="20"/>
          <w:szCs w:val="20"/>
        </w:rPr>
        <w:t xml:space="preserve">The purpose of the </w:t>
      </w:r>
      <w:r w:rsidRPr="00D319E0">
        <w:rPr>
          <w:rFonts w:ascii="Arial" w:hAnsi="Arial" w:cs="Arial"/>
          <w:i/>
          <w:sz w:val="20"/>
          <w:szCs w:val="20"/>
        </w:rPr>
        <w:t>Intersectoral Coordination and Strategic Partnerships</w:t>
      </w:r>
      <w:r w:rsidRPr="00D319E0">
        <w:rPr>
          <w:rFonts w:ascii="Arial" w:hAnsi="Arial" w:cs="Arial"/>
          <w:sz w:val="20"/>
          <w:szCs w:val="20"/>
        </w:rPr>
        <w:t xml:space="preserve"> Programme is to manage and encourage national dialogue on community safety and crime prevention. </w:t>
      </w:r>
    </w:p>
    <w:p w:rsidR="00F02997" w:rsidRPr="00D319E0" w:rsidRDefault="00F02997" w:rsidP="00D319E0">
      <w:pPr>
        <w:spacing w:line="240" w:lineRule="auto"/>
        <w:jc w:val="left"/>
        <w:rPr>
          <w:rFonts w:ascii="Arial" w:hAnsi="Arial" w:cs="Arial"/>
          <w:b/>
          <w:sz w:val="20"/>
          <w:szCs w:val="20"/>
        </w:rPr>
      </w:pPr>
    </w:p>
    <w:p w:rsidR="00F02997" w:rsidRPr="00D319E0" w:rsidRDefault="00F02997" w:rsidP="00D319E0">
      <w:pPr>
        <w:spacing w:line="240" w:lineRule="auto"/>
        <w:jc w:val="left"/>
        <w:rPr>
          <w:rFonts w:ascii="Arial" w:hAnsi="Arial" w:cs="Arial"/>
          <w:sz w:val="20"/>
          <w:szCs w:val="20"/>
        </w:rPr>
      </w:pPr>
      <w:r w:rsidRPr="00D319E0">
        <w:rPr>
          <w:rFonts w:ascii="Arial" w:hAnsi="Arial" w:cs="Arial"/>
          <w:sz w:val="20"/>
          <w:szCs w:val="20"/>
        </w:rPr>
        <w:t xml:space="preserve">For the 2023/24 financial year, the Programme identified nine performance indicators.  </w:t>
      </w:r>
    </w:p>
    <w:p w:rsidR="00F02997" w:rsidRPr="00D319E0" w:rsidRDefault="00F02997" w:rsidP="00D319E0">
      <w:pPr>
        <w:autoSpaceDE w:val="0"/>
        <w:autoSpaceDN w:val="0"/>
        <w:adjustRightInd w:val="0"/>
        <w:spacing w:line="240" w:lineRule="auto"/>
        <w:jc w:val="left"/>
        <w:rPr>
          <w:rFonts w:ascii="Arial" w:hAnsi="Arial" w:cs="Arial"/>
          <w:sz w:val="20"/>
          <w:szCs w:val="20"/>
          <w:lang w:eastAsia="en-ZA"/>
        </w:rPr>
      </w:pPr>
    </w:p>
    <w:p w:rsidR="00F02997" w:rsidRPr="00D319E0" w:rsidRDefault="00F02997" w:rsidP="00D319E0">
      <w:pPr>
        <w:spacing w:line="240" w:lineRule="auto"/>
        <w:jc w:val="left"/>
        <w:rPr>
          <w:rFonts w:ascii="Arial" w:hAnsi="Arial" w:cs="Arial"/>
          <w:b/>
          <w:sz w:val="20"/>
          <w:szCs w:val="20"/>
        </w:rPr>
      </w:pPr>
      <w:r w:rsidRPr="00D319E0">
        <w:rPr>
          <w:rFonts w:ascii="Arial" w:hAnsi="Arial" w:cs="Arial"/>
          <w:b/>
          <w:sz w:val="20"/>
          <w:szCs w:val="20"/>
        </w:rPr>
        <w:t xml:space="preserve">Sub programme: Intergovernmental, Civil Society and Public-Private Partnerships  </w:t>
      </w:r>
    </w:p>
    <w:p w:rsidR="00F02997" w:rsidRPr="00D319E0" w:rsidRDefault="00F02997" w:rsidP="00D319E0">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Number of memoranda of understanding (MoUs) signed with stakeholders in order to build safer communities: Target remains unchanged at two MOUs for 2023/24.</w:t>
      </w:r>
    </w:p>
    <w:p w:rsidR="00F02997" w:rsidRPr="00D319E0" w:rsidRDefault="00F02997" w:rsidP="00D319E0">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Number of MoUs implemented to build safer communities. The target is reduced from three MoUs to two MOUs in 2023/24. </w:t>
      </w:r>
    </w:p>
    <w:p w:rsidR="00F02997" w:rsidRPr="00D319E0" w:rsidRDefault="00F02997" w:rsidP="00D319E0">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Number of assessments conducted to determine the functionality of established Community Safety Forums (CSFs): Target remains unchanged at nine workshops.</w:t>
      </w:r>
    </w:p>
    <w:p w:rsidR="00F02997" w:rsidRPr="00D319E0" w:rsidRDefault="00F02997" w:rsidP="00D319E0">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Number of provincial capacity-building sessions held on crime prevention policies per year: Target remains unchanged at nine sessions. </w:t>
      </w:r>
    </w:p>
    <w:p w:rsidR="00F02997" w:rsidRPr="00D319E0" w:rsidRDefault="00F02997" w:rsidP="00D319E0">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Number of anti-crime campaigns conducted per year: Target remains unchanged at three campaigns in 2023/24. </w:t>
      </w:r>
    </w:p>
    <w:p w:rsidR="00F02997" w:rsidRPr="00D319E0" w:rsidRDefault="00F02997" w:rsidP="00D319E0">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Number of assessment reports conducted to determine the functionality of established Community Policing Forums (CPFs). Target remains unchanged at two reports.</w:t>
      </w:r>
    </w:p>
    <w:p w:rsidR="00F02997" w:rsidRPr="00D319E0" w:rsidRDefault="00F02997" w:rsidP="00D319E0">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Number of provincial CPF training workshops facilitated on the civilian oversight role of CPFs. The target for 2023/24 remains unchanged at nine workshops.</w:t>
      </w:r>
    </w:p>
    <w:p w:rsidR="00F02997" w:rsidRPr="00D319E0" w:rsidRDefault="00F02997" w:rsidP="00D319E0">
      <w:pPr>
        <w:spacing w:line="240" w:lineRule="auto"/>
        <w:jc w:val="left"/>
        <w:rPr>
          <w:rFonts w:ascii="Arial" w:hAnsi="Arial" w:cs="Arial"/>
          <w:b/>
          <w:sz w:val="20"/>
          <w:szCs w:val="20"/>
          <w:lang w:eastAsia="en-ZA"/>
        </w:rPr>
      </w:pPr>
    </w:p>
    <w:p w:rsidR="00F02997" w:rsidRPr="00D319E0" w:rsidRDefault="00F02997" w:rsidP="00D319E0">
      <w:pPr>
        <w:spacing w:line="240" w:lineRule="auto"/>
        <w:jc w:val="left"/>
        <w:rPr>
          <w:rFonts w:ascii="Arial" w:hAnsi="Arial" w:cs="Arial"/>
          <w:b/>
          <w:sz w:val="20"/>
          <w:szCs w:val="20"/>
          <w:lang w:eastAsia="en-ZA"/>
        </w:rPr>
      </w:pPr>
      <w:r w:rsidRPr="00D319E0">
        <w:rPr>
          <w:rFonts w:ascii="Arial" w:hAnsi="Arial" w:cs="Arial"/>
          <w:b/>
          <w:sz w:val="20"/>
          <w:szCs w:val="20"/>
          <w:lang w:eastAsia="en-ZA"/>
        </w:rPr>
        <w:t xml:space="preserve">Sub programme: Community Outreach </w:t>
      </w:r>
    </w:p>
    <w:p w:rsidR="00F02997" w:rsidRPr="00D319E0" w:rsidRDefault="00F02997" w:rsidP="00D319E0">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Number of izimbizo/public participation programmes held with communities to promote community safety: Target remains unchanged at eight in 2023/24.</w:t>
      </w:r>
    </w:p>
    <w:p w:rsidR="00F02997" w:rsidRPr="00D319E0" w:rsidRDefault="00F02997" w:rsidP="00D319E0">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Number of response plans on the Izimbizo / public participation programmes held to promote community safety (feedback to communities). The target for 2023/24 is increased from four response plans (in 2022/23) to eight response plans. </w:t>
      </w:r>
    </w:p>
    <w:p w:rsidR="00F02997" w:rsidRPr="00D319E0" w:rsidRDefault="00F02997" w:rsidP="00D319E0">
      <w:pPr>
        <w:pStyle w:val="Heading2"/>
        <w:spacing w:before="0" w:line="240" w:lineRule="auto"/>
        <w:rPr>
          <w:rFonts w:ascii="Arial" w:hAnsi="Arial" w:cs="Arial"/>
          <w:sz w:val="20"/>
          <w:szCs w:val="20"/>
        </w:rPr>
      </w:pPr>
    </w:p>
    <w:p w:rsidR="00F02997" w:rsidRPr="00D319E0" w:rsidRDefault="00F02997" w:rsidP="00D319E0">
      <w:pPr>
        <w:pStyle w:val="Heading2"/>
        <w:numPr>
          <w:ilvl w:val="1"/>
          <w:numId w:val="19"/>
        </w:numPr>
        <w:spacing w:before="0" w:line="240" w:lineRule="auto"/>
        <w:rPr>
          <w:rFonts w:ascii="Arial" w:hAnsi="Arial" w:cs="Arial"/>
          <w:sz w:val="20"/>
          <w:szCs w:val="20"/>
        </w:rPr>
      </w:pPr>
      <w:bookmarkStart w:id="15" w:name="_Toc132207303"/>
      <w:r w:rsidRPr="00D319E0">
        <w:rPr>
          <w:rFonts w:ascii="Arial" w:hAnsi="Arial" w:cs="Arial"/>
          <w:sz w:val="20"/>
          <w:szCs w:val="20"/>
        </w:rPr>
        <w:t>Programme 3: Legislation and Policy Development</w:t>
      </w:r>
      <w:bookmarkEnd w:id="15"/>
      <w:r w:rsidRPr="00D319E0">
        <w:rPr>
          <w:rFonts w:ascii="Arial" w:hAnsi="Arial" w:cs="Arial"/>
          <w:sz w:val="20"/>
          <w:szCs w:val="20"/>
        </w:rPr>
        <w:t xml:space="preserve"> </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spacing w:line="240" w:lineRule="auto"/>
        <w:jc w:val="left"/>
        <w:rPr>
          <w:rFonts w:ascii="Arial" w:hAnsi="Arial" w:cs="Arial"/>
          <w:sz w:val="20"/>
          <w:szCs w:val="20"/>
        </w:rPr>
      </w:pPr>
      <w:r w:rsidRPr="00D319E0">
        <w:rPr>
          <w:rFonts w:ascii="Arial" w:hAnsi="Arial" w:cs="Arial"/>
          <w:b/>
          <w:sz w:val="20"/>
          <w:szCs w:val="20"/>
        </w:rPr>
        <w:t xml:space="preserve">Programme purpose: </w:t>
      </w:r>
      <w:r w:rsidRPr="00D319E0">
        <w:rPr>
          <w:rFonts w:ascii="Arial" w:hAnsi="Arial" w:cs="Arial"/>
          <w:sz w:val="20"/>
          <w:szCs w:val="20"/>
        </w:rPr>
        <w:t xml:space="preserve">The purpose of the </w:t>
      </w:r>
      <w:r w:rsidRPr="00D319E0">
        <w:rPr>
          <w:rFonts w:ascii="Arial" w:hAnsi="Arial" w:cs="Arial"/>
          <w:i/>
          <w:sz w:val="20"/>
          <w:szCs w:val="20"/>
        </w:rPr>
        <w:t>Legislation and Policy Development</w:t>
      </w:r>
      <w:r w:rsidRPr="00D319E0">
        <w:rPr>
          <w:rFonts w:ascii="Arial" w:hAnsi="Arial" w:cs="Arial"/>
          <w:sz w:val="20"/>
          <w:szCs w:val="20"/>
        </w:rPr>
        <w:t xml:space="preserve"> Programme is to develop policy and legislation for the police sector and to conduct research on policing and crime. </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spacing w:line="240" w:lineRule="auto"/>
        <w:jc w:val="left"/>
        <w:rPr>
          <w:rFonts w:ascii="Arial" w:hAnsi="Arial" w:cs="Arial"/>
          <w:sz w:val="20"/>
          <w:szCs w:val="20"/>
        </w:rPr>
      </w:pPr>
      <w:r w:rsidRPr="00D319E0">
        <w:rPr>
          <w:rFonts w:ascii="Arial" w:hAnsi="Arial" w:cs="Arial"/>
          <w:sz w:val="20"/>
          <w:szCs w:val="20"/>
        </w:rPr>
        <w:t xml:space="preserve">For the 2022/23 financial year, the Programme identified four performance indicators. </w:t>
      </w:r>
    </w:p>
    <w:p w:rsidR="00F02997" w:rsidRPr="00D319E0" w:rsidRDefault="00F02997" w:rsidP="00D319E0">
      <w:pPr>
        <w:spacing w:line="240" w:lineRule="auto"/>
        <w:jc w:val="left"/>
        <w:rPr>
          <w:rFonts w:ascii="Arial" w:hAnsi="Arial" w:cs="Arial"/>
          <w:b/>
          <w:sz w:val="20"/>
          <w:szCs w:val="20"/>
        </w:rPr>
      </w:pPr>
    </w:p>
    <w:p w:rsidR="00F02997" w:rsidRPr="00D319E0" w:rsidRDefault="00F02997" w:rsidP="00D319E0">
      <w:pPr>
        <w:spacing w:line="240" w:lineRule="auto"/>
        <w:jc w:val="left"/>
        <w:rPr>
          <w:rFonts w:ascii="Arial" w:hAnsi="Arial" w:cs="Arial"/>
          <w:b/>
          <w:sz w:val="20"/>
          <w:szCs w:val="20"/>
        </w:rPr>
      </w:pPr>
      <w:r w:rsidRPr="00D319E0">
        <w:rPr>
          <w:rFonts w:ascii="Arial" w:hAnsi="Arial" w:cs="Arial"/>
          <w:b/>
          <w:sz w:val="20"/>
          <w:szCs w:val="20"/>
        </w:rPr>
        <w:t xml:space="preserve">Sub programme: Policy Development and Research   </w:t>
      </w:r>
    </w:p>
    <w:p w:rsidR="00F02997" w:rsidRPr="00D319E0" w:rsidRDefault="00F02997" w:rsidP="00D319E0">
      <w:pPr>
        <w:pStyle w:val="ListParagraph"/>
        <w:numPr>
          <w:ilvl w:val="0"/>
          <w:numId w:val="8"/>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Number of draft national policing polices submitted to the Secretary for approval per year: Target remains unchanged at one policy. </w:t>
      </w:r>
    </w:p>
    <w:p w:rsidR="00F02997" w:rsidRPr="00D319E0" w:rsidRDefault="00F02997" w:rsidP="00D319E0">
      <w:pPr>
        <w:pStyle w:val="ListParagraph"/>
        <w:numPr>
          <w:ilvl w:val="1"/>
          <w:numId w:val="8"/>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color w:val="000000"/>
          <w:sz w:val="20"/>
          <w:szCs w:val="20"/>
          <w:lang w:eastAsia="en-ZA"/>
        </w:rPr>
        <w:t xml:space="preserve">As in 2022/23, the focus for 2023/24 is on conducting in-depth consultations on the draft </w:t>
      </w:r>
      <w:r w:rsidRPr="00D319E0">
        <w:rPr>
          <w:rFonts w:ascii="Arial" w:hAnsi="Arial" w:cs="Arial"/>
          <w:b/>
          <w:color w:val="000000"/>
          <w:sz w:val="20"/>
          <w:szCs w:val="20"/>
          <w:lang w:eastAsia="en-ZA"/>
        </w:rPr>
        <w:t>National Policing Policy (NPP)</w:t>
      </w:r>
      <w:r w:rsidRPr="00D319E0">
        <w:rPr>
          <w:rFonts w:ascii="Arial" w:hAnsi="Arial" w:cs="Arial"/>
          <w:color w:val="000000"/>
          <w:sz w:val="20"/>
          <w:szCs w:val="20"/>
          <w:lang w:eastAsia="en-ZA"/>
        </w:rPr>
        <w:t xml:space="preserve"> with stakeholders, specifically the SAPS, the MECs and the provincial Departments of Community Safety. </w:t>
      </w:r>
    </w:p>
    <w:p w:rsidR="00F02997" w:rsidRPr="00D319E0" w:rsidRDefault="00F02997" w:rsidP="00D319E0">
      <w:pPr>
        <w:pStyle w:val="ListParagraph"/>
        <w:numPr>
          <w:ilvl w:val="0"/>
          <w:numId w:val="8"/>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lastRenderedPageBreak/>
        <w:t xml:space="preserve">Number of research reports on policing approved by the Secretary per year: Target decreased from two research reports to one research report. </w:t>
      </w:r>
    </w:p>
    <w:p w:rsidR="00F02997" w:rsidRPr="00D319E0" w:rsidRDefault="00F02997" w:rsidP="00D319E0">
      <w:pPr>
        <w:pStyle w:val="ListParagraph"/>
        <w:numPr>
          <w:ilvl w:val="0"/>
          <w:numId w:val="8"/>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Percentage implementation of Knowledge and Information Management Strategy. The 2023/24 target is 100% implementation. </w:t>
      </w:r>
    </w:p>
    <w:p w:rsidR="00F02997" w:rsidRPr="00D319E0" w:rsidRDefault="00F02997" w:rsidP="00D319E0">
      <w:pPr>
        <w:spacing w:line="240" w:lineRule="auto"/>
        <w:jc w:val="left"/>
        <w:rPr>
          <w:rFonts w:ascii="Arial" w:hAnsi="Arial" w:cs="Arial"/>
          <w:b/>
          <w:sz w:val="20"/>
          <w:szCs w:val="20"/>
          <w:lang w:eastAsia="en-ZA"/>
        </w:rPr>
      </w:pPr>
    </w:p>
    <w:p w:rsidR="00F02997" w:rsidRPr="00D319E0" w:rsidRDefault="00F02997" w:rsidP="00D319E0">
      <w:pPr>
        <w:spacing w:line="240" w:lineRule="auto"/>
        <w:jc w:val="left"/>
        <w:rPr>
          <w:rFonts w:ascii="Arial" w:hAnsi="Arial" w:cs="Arial"/>
          <w:b/>
          <w:sz w:val="20"/>
          <w:szCs w:val="20"/>
          <w:lang w:eastAsia="en-ZA"/>
        </w:rPr>
      </w:pPr>
      <w:r w:rsidRPr="00D319E0">
        <w:rPr>
          <w:rFonts w:ascii="Arial" w:hAnsi="Arial" w:cs="Arial"/>
          <w:b/>
          <w:sz w:val="20"/>
          <w:szCs w:val="20"/>
          <w:lang w:eastAsia="en-ZA"/>
        </w:rPr>
        <w:t xml:space="preserve">Sub programme: Legislation </w:t>
      </w:r>
    </w:p>
    <w:p w:rsidR="00F02997" w:rsidRPr="00D319E0" w:rsidRDefault="00F02997" w:rsidP="00D319E0">
      <w:pPr>
        <w:pStyle w:val="ListParagraph"/>
        <w:numPr>
          <w:ilvl w:val="0"/>
          <w:numId w:val="8"/>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Number of Bills submitted to the Minister for Cabinet approval per year: Target remains unchanged at two Bills.  </w:t>
      </w:r>
    </w:p>
    <w:p w:rsidR="00F02997" w:rsidRPr="00D319E0" w:rsidRDefault="00F02997" w:rsidP="00D319E0">
      <w:pPr>
        <w:autoSpaceDE w:val="0"/>
        <w:autoSpaceDN w:val="0"/>
        <w:adjustRightInd w:val="0"/>
        <w:spacing w:line="240" w:lineRule="auto"/>
        <w:jc w:val="left"/>
        <w:rPr>
          <w:rFonts w:ascii="Arial" w:hAnsi="Arial" w:cs="Arial"/>
          <w:color w:val="000000"/>
          <w:sz w:val="20"/>
          <w:szCs w:val="20"/>
          <w:lang w:eastAsia="en-ZA"/>
        </w:rPr>
      </w:pPr>
    </w:p>
    <w:p w:rsidR="00F02997" w:rsidRPr="00D319E0" w:rsidRDefault="00F02997" w:rsidP="00D319E0">
      <w:pPr>
        <w:autoSpaceDE w:val="0"/>
        <w:autoSpaceDN w:val="0"/>
        <w:adjustRightInd w:val="0"/>
        <w:spacing w:line="240" w:lineRule="auto"/>
        <w:jc w:val="left"/>
        <w:rPr>
          <w:rFonts w:ascii="Arial" w:hAnsi="Arial" w:cs="Arial"/>
          <w:color w:val="000000"/>
          <w:sz w:val="20"/>
          <w:szCs w:val="20"/>
          <w:lang w:eastAsia="en-ZA"/>
        </w:rPr>
      </w:pPr>
      <w:r w:rsidRPr="00D319E0">
        <w:rPr>
          <w:rFonts w:ascii="Arial" w:hAnsi="Arial" w:cs="Arial"/>
          <w:color w:val="000000"/>
          <w:sz w:val="20"/>
          <w:szCs w:val="20"/>
          <w:lang w:eastAsia="en-ZA"/>
        </w:rPr>
        <w:t xml:space="preserve">Although only two Bills will be submitted to the Minister for Cabinet approval, work will continue on the following Bills: </w:t>
      </w:r>
    </w:p>
    <w:p w:rsidR="00F02997" w:rsidRPr="00D319E0" w:rsidRDefault="00F02997" w:rsidP="00D319E0">
      <w:pPr>
        <w:pStyle w:val="Default"/>
        <w:rPr>
          <w:sz w:val="20"/>
          <w:szCs w:val="20"/>
        </w:rPr>
      </w:pPr>
    </w:p>
    <w:p w:rsidR="00F02997" w:rsidRPr="00D319E0" w:rsidRDefault="00F02997" w:rsidP="00D319E0">
      <w:pPr>
        <w:pStyle w:val="ListParagraph"/>
        <w:numPr>
          <w:ilvl w:val="0"/>
          <w:numId w:val="32"/>
        </w:numPr>
        <w:autoSpaceDE w:val="0"/>
        <w:autoSpaceDN w:val="0"/>
        <w:adjustRightInd w:val="0"/>
        <w:spacing w:line="240" w:lineRule="auto"/>
        <w:jc w:val="left"/>
        <w:rPr>
          <w:rFonts w:ascii="Arial" w:hAnsi="Arial" w:cs="Arial"/>
          <w:color w:val="000000"/>
          <w:sz w:val="20"/>
          <w:szCs w:val="20"/>
          <w:lang w:eastAsia="en-ZA"/>
        </w:rPr>
      </w:pPr>
      <w:r w:rsidRPr="00D319E0">
        <w:rPr>
          <w:rFonts w:ascii="Arial" w:hAnsi="Arial" w:cs="Arial"/>
          <w:sz w:val="20"/>
          <w:szCs w:val="20"/>
        </w:rPr>
        <w:t>South African Police Service Amendment Bill</w:t>
      </w:r>
    </w:p>
    <w:p w:rsidR="00F02997" w:rsidRPr="00D319E0" w:rsidRDefault="00F02997" w:rsidP="00D319E0">
      <w:pPr>
        <w:pStyle w:val="ListParagraph"/>
        <w:numPr>
          <w:ilvl w:val="0"/>
          <w:numId w:val="32"/>
        </w:numPr>
        <w:autoSpaceDE w:val="0"/>
        <w:autoSpaceDN w:val="0"/>
        <w:adjustRightInd w:val="0"/>
        <w:spacing w:line="240" w:lineRule="auto"/>
        <w:jc w:val="left"/>
        <w:rPr>
          <w:rFonts w:ascii="Arial" w:hAnsi="Arial" w:cs="Arial"/>
          <w:color w:val="000000"/>
          <w:sz w:val="20"/>
          <w:szCs w:val="20"/>
          <w:lang w:eastAsia="en-ZA"/>
        </w:rPr>
      </w:pPr>
      <w:r w:rsidRPr="00D319E0">
        <w:rPr>
          <w:rFonts w:ascii="Arial" w:hAnsi="Arial" w:cs="Arial"/>
          <w:sz w:val="20"/>
          <w:szCs w:val="20"/>
        </w:rPr>
        <w:t>Independent Police Investigative Directorate Amendment Bill</w:t>
      </w:r>
    </w:p>
    <w:p w:rsidR="00F02997" w:rsidRPr="00D319E0" w:rsidRDefault="00F02997" w:rsidP="00D319E0">
      <w:pPr>
        <w:pStyle w:val="ListParagraph"/>
        <w:numPr>
          <w:ilvl w:val="0"/>
          <w:numId w:val="32"/>
        </w:numPr>
        <w:autoSpaceDE w:val="0"/>
        <w:autoSpaceDN w:val="0"/>
        <w:adjustRightInd w:val="0"/>
        <w:spacing w:line="240" w:lineRule="auto"/>
        <w:jc w:val="left"/>
        <w:rPr>
          <w:rFonts w:ascii="Arial" w:hAnsi="Arial" w:cs="Arial"/>
          <w:color w:val="000000"/>
          <w:sz w:val="20"/>
          <w:szCs w:val="20"/>
          <w:lang w:eastAsia="en-ZA"/>
        </w:rPr>
      </w:pPr>
      <w:r w:rsidRPr="00D319E0">
        <w:rPr>
          <w:rFonts w:ascii="Arial" w:hAnsi="Arial" w:cs="Arial"/>
          <w:sz w:val="20"/>
          <w:szCs w:val="20"/>
        </w:rPr>
        <w:t>Firearms Control Amendment Bill</w:t>
      </w:r>
    </w:p>
    <w:p w:rsidR="00F02997" w:rsidRPr="00D319E0" w:rsidRDefault="00F02997" w:rsidP="00D319E0">
      <w:pPr>
        <w:pStyle w:val="ListParagraph"/>
        <w:numPr>
          <w:ilvl w:val="0"/>
          <w:numId w:val="32"/>
        </w:numPr>
        <w:autoSpaceDE w:val="0"/>
        <w:autoSpaceDN w:val="0"/>
        <w:adjustRightInd w:val="0"/>
        <w:spacing w:line="240" w:lineRule="auto"/>
        <w:jc w:val="left"/>
        <w:rPr>
          <w:rFonts w:ascii="Arial" w:hAnsi="Arial" w:cs="Arial"/>
          <w:color w:val="000000"/>
          <w:sz w:val="20"/>
          <w:szCs w:val="20"/>
          <w:lang w:eastAsia="en-ZA"/>
        </w:rPr>
      </w:pPr>
      <w:r w:rsidRPr="00D319E0">
        <w:rPr>
          <w:rFonts w:ascii="Arial" w:hAnsi="Arial" w:cs="Arial"/>
          <w:sz w:val="20"/>
          <w:szCs w:val="20"/>
        </w:rPr>
        <w:t>Second Hand Goods Amendment Bill</w:t>
      </w:r>
    </w:p>
    <w:p w:rsidR="00F02997" w:rsidRPr="00D319E0" w:rsidRDefault="00F02997" w:rsidP="00D319E0">
      <w:pPr>
        <w:pStyle w:val="ListParagraph"/>
        <w:numPr>
          <w:ilvl w:val="0"/>
          <w:numId w:val="32"/>
        </w:numPr>
        <w:autoSpaceDE w:val="0"/>
        <w:autoSpaceDN w:val="0"/>
        <w:adjustRightInd w:val="0"/>
        <w:spacing w:line="240" w:lineRule="auto"/>
        <w:jc w:val="left"/>
        <w:rPr>
          <w:rFonts w:ascii="Arial" w:hAnsi="Arial" w:cs="Arial"/>
          <w:color w:val="000000"/>
          <w:sz w:val="20"/>
          <w:szCs w:val="20"/>
          <w:lang w:eastAsia="en-ZA"/>
        </w:rPr>
      </w:pPr>
      <w:r w:rsidRPr="00D319E0">
        <w:rPr>
          <w:rFonts w:ascii="Arial" w:hAnsi="Arial" w:cs="Arial"/>
          <w:sz w:val="20"/>
          <w:szCs w:val="20"/>
        </w:rPr>
        <w:t>Stock Theft Amendment Bill</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pStyle w:val="Heading2"/>
        <w:numPr>
          <w:ilvl w:val="1"/>
          <w:numId w:val="19"/>
        </w:numPr>
        <w:spacing w:before="0" w:line="240" w:lineRule="auto"/>
        <w:rPr>
          <w:rFonts w:ascii="Arial" w:hAnsi="Arial" w:cs="Arial"/>
          <w:sz w:val="20"/>
          <w:szCs w:val="20"/>
        </w:rPr>
      </w:pPr>
      <w:bookmarkStart w:id="16" w:name="_Toc132207304"/>
      <w:r w:rsidRPr="00D319E0">
        <w:rPr>
          <w:rFonts w:ascii="Arial" w:hAnsi="Arial" w:cs="Arial"/>
          <w:sz w:val="20"/>
          <w:szCs w:val="20"/>
        </w:rPr>
        <w:t>Programme 4: Civilian Oversight, Monitoring and Evaluation</w:t>
      </w:r>
      <w:bookmarkEnd w:id="16"/>
      <w:r w:rsidRPr="00D319E0">
        <w:rPr>
          <w:rFonts w:ascii="Arial" w:hAnsi="Arial" w:cs="Arial"/>
          <w:sz w:val="20"/>
          <w:szCs w:val="20"/>
        </w:rPr>
        <w:t xml:space="preserve"> </w:t>
      </w:r>
    </w:p>
    <w:p w:rsidR="00F02997" w:rsidRPr="00D319E0" w:rsidRDefault="00F02997" w:rsidP="00D319E0">
      <w:pPr>
        <w:spacing w:line="240" w:lineRule="auto"/>
        <w:jc w:val="left"/>
        <w:rPr>
          <w:rFonts w:ascii="Arial" w:hAnsi="Arial" w:cs="Arial"/>
          <w:b/>
          <w:sz w:val="20"/>
          <w:szCs w:val="20"/>
        </w:rPr>
      </w:pPr>
    </w:p>
    <w:p w:rsidR="00F02997" w:rsidRPr="00D319E0" w:rsidRDefault="00F02997" w:rsidP="00D319E0">
      <w:pPr>
        <w:spacing w:line="240" w:lineRule="auto"/>
        <w:jc w:val="left"/>
        <w:rPr>
          <w:rFonts w:ascii="Arial" w:hAnsi="Arial" w:cs="Arial"/>
          <w:sz w:val="20"/>
          <w:szCs w:val="20"/>
        </w:rPr>
      </w:pPr>
      <w:r w:rsidRPr="00D319E0">
        <w:rPr>
          <w:rFonts w:ascii="Arial" w:hAnsi="Arial" w:cs="Arial"/>
          <w:b/>
          <w:sz w:val="20"/>
          <w:szCs w:val="20"/>
        </w:rPr>
        <w:t xml:space="preserve">Programme purpose: </w:t>
      </w:r>
      <w:r w:rsidRPr="00D319E0">
        <w:rPr>
          <w:rFonts w:ascii="Arial" w:hAnsi="Arial" w:cs="Arial"/>
          <w:sz w:val="20"/>
          <w:szCs w:val="20"/>
        </w:rPr>
        <w:t xml:space="preserve">The purpose of the </w:t>
      </w:r>
      <w:r w:rsidRPr="00D319E0">
        <w:rPr>
          <w:rFonts w:ascii="Arial" w:hAnsi="Arial" w:cs="Arial"/>
          <w:i/>
          <w:sz w:val="20"/>
          <w:szCs w:val="20"/>
        </w:rPr>
        <w:t>Civilian Oversight, Monitoring and Evaluation</w:t>
      </w:r>
      <w:r w:rsidRPr="00D319E0">
        <w:rPr>
          <w:rFonts w:ascii="Arial" w:hAnsi="Arial" w:cs="Arial"/>
          <w:sz w:val="20"/>
          <w:szCs w:val="20"/>
        </w:rPr>
        <w:t xml:space="preserve"> Programme is to oversee, monitor and report on the performance of the SAPS. </w:t>
      </w:r>
    </w:p>
    <w:p w:rsidR="00F02997" w:rsidRPr="00D319E0" w:rsidRDefault="00F02997" w:rsidP="00D319E0">
      <w:pPr>
        <w:spacing w:line="240" w:lineRule="auto"/>
        <w:jc w:val="left"/>
        <w:rPr>
          <w:rFonts w:ascii="Arial" w:hAnsi="Arial" w:cs="Arial"/>
          <w:sz w:val="20"/>
          <w:szCs w:val="20"/>
        </w:rPr>
      </w:pPr>
    </w:p>
    <w:p w:rsidR="00F02997" w:rsidRPr="00D319E0" w:rsidRDefault="00F02997" w:rsidP="00D319E0">
      <w:pPr>
        <w:spacing w:line="240" w:lineRule="auto"/>
        <w:jc w:val="left"/>
        <w:rPr>
          <w:rFonts w:ascii="Arial" w:hAnsi="Arial" w:cs="Arial"/>
          <w:sz w:val="20"/>
          <w:szCs w:val="20"/>
        </w:rPr>
      </w:pPr>
      <w:r w:rsidRPr="00D319E0">
        <w:rPr>
          <w:rFonts w:ascii="Arial" w:hAnsi="Arial" w:cs="Arial"/>
          <w:sz w:val="20"/>
          <w:szCs w:val="20"/>
        </w:rPr>
        <w:t xml:space="preserve">For the 2023/24 financial year, the Programme identified 10 performance indicators, of which most targets remain unchanged compared to the previous financial year. </w:t>
      </w:r>
    </w:p>
    <w:p w:rsidR="00F02997" w:rsidRPr="00D319E0" w:rsidRDefault="00F02997" w:rsidP="00D319E0">
      <w:pPr>
        <w:spacing w:line="240" w:lineRule="auto"/>
        <w:jc w:val="left"/>
        <w:rPr>
          <w:rFonts w:ascii="Arial" w:hAnsi="Arial" w:cs="Arial"/>
          <w:b/>
          <w:sz w:val="20"/>
          <w:szCs w:val="20"/>
        </w:rPr>
      </w:pPr>
    </w:p>
    <w:p w:rsidR="00F02997" w:rsidRPr="00D319E0" w:rsidRDefault="00F02997" w:rsidP="00D319E0">
      <w:pPr>
        <w:spacing w:line="240" w:lineRule="auto"/>
        <w:jc w:val="left"/>
        <w:rPr>
          <w:rFonts w:ascii="Arial" w:hAnsi="Arial" w:cs="Arial"/>
          <w:b/>
          <w:sz w:val="20"/>
          <w:szCs w:val="20"/>
        </w:rPr>
      </w:pPr>
      <w:r w:rsidRPr="00D319E0">
        <w:rPr>
          <w:rFonts w:ascii="Arial" w:hAnsi="Arial" w:cs="Arial"/>
          <w:b/>
          <w:sz w:val="20"/>
          <w:szCs w:val="20"/>
        </w:rPr>
        <w:t xml:space="preserve">Sub programme: Police Performance, Conduct and Compliance Monitoring  </w:t>
      </w:r>
    </w:p>
    <w:p w:rsidR="00F02997" w:rsidRPr="00D319E0" w:rsidRDefault="00F02997" w:rsidP="00D319E0">
      <w:pPr>
        <w:spacing w:line="240" w:lineRule="auto"/>
        <w:jc w:val="left"/>
        <w:rPr>
          <w:rFonts w:ascii="Arial" w:hAnsi="Arial" w:cs="Arial"/>
          <w:b/>
          <w:sz w:val="20"/>
          <w:szCs w:val="20"/>
        </w:rPr>
      </w:pPr>
    </w:p>
    <w:p w:rsidR="00F02997" w:rsidRPr="00D319E0" w:rsidRDefault="00F02997" w:rsidP="00D319E0">
      <w:pPr>
        <w:pStyle w:val="ListParagraph"/>
        <w:numPr>
          <w:ilvl w:val="0"/>
          <w:numId w:val="9"/>
        </w:numPr>
        <w:spacing w:line="240" w:lineRule="auto"/>
        <w:jc w:val="left"/>
        <w:rPr>
          <w:rFonts w:ascii="Arial" w:hAnsi="Arial" w:cs="Arial"/>
          <w:sz w:val="20"/>
          <w:szCs w:val="20"/>
        </w:rPr>
      </w:pPr>
      <w:r w:rsidRPr="00D319E0">
        <w:rPr>
          <w:rFonts w:ascii="Arial" w:hAnsi="Arial" w:cs="Arial"/>
          <w:sz w:val="20"/>
          <w:szCs w:val="20"/>
          <w:lang w:eastAsia="en-ZA"/>
        </w:rPr>
        <w:t xml:space="preserve">Number of Police Oversight Reports approved by the Secretary: Target reduced from three to two reports in 2023/24.  </w:t>
      </w:r>
    </w:p>
    <w:p w:rsidR="00F02997" w:rsidRPr="00D319E0" w:rsidRDefault="00F02997" w:rsidP="00D319E0">
      <w:pPr>
        <w:pStyle w:val="ListParagraph"/>
        <w:numPr>
          <w:ilvl w:val="0"/>
          <w:numId w:val="9"/>
        </w:numPr>
        <w:spacing w:line="240" w:lineRule="auto"/>
        <w:jc w:val="left"/>
        <w:rPr>
          <w:rFonts w:ascii="Arial" w:hAnsi="Arial" w:cs="Arial"/>
          <w:sz w:val="20"/>
          <w:szCs w:val="20"/>
        </w:rPr>
      </w:pPr>
      <w:r w:rsidRPr="00D319E0">
        <w:rPr>
          <w:rFonts w:ascii="Arial" w:hAnsi="Arial" w:cs="Arial"/>
          <w:sz w:val="20"/>
          <w:szCs w:val="20"/>
          <w:lang w:eastAsia="en-ZA"/>
        </w:rPr>
        <w:t>Number of SAPS Budget and Programme Performance Assessment Reports approved by the Secretary for Police Service per year: Target remains unchanged at one report.</w:t>
      </w:r>
    </w:p>
    <w:p w:rsidR="00F02997" w:rsidRPr="00D319E0" w:rsidRDefault="00F02997" w:rsidP="00D319E0">
      <w:pPr>
        <w:pStyle w:val="ListParagraph"/>
        <w:numPr>
          <w:ilvl w:val="0"/>
          <w:numId w:val="9"/>
        </w:numPr>
        <w:spacing w:line="240" w:lineRule="auto"/>
        <w:jc w:val="left"/>
        <w:rPr>
          <w:rFonts w:ascii="Arial" w:hAnsi="Arial" w:cs="Arial"/>
          <w:sz w:val="20"/>
          <w:szCs w:val="20"/>
        </w:rPr>
      </w:pPr>
      <w:r w:rsidRPr="00D319E0">
        <w:rPr>
          <w:rFonts w:ascii="Arial" w:hAnsi="Arial" w:cs="Arial"/>
          <w:sz w:val="20"/>
          <w:szCs w:val="20"/>
          <w:lang w:eastAsia="en-ZA"/>
        </w:rPr>
        <w:t>Number of Assessments Reports on SAPS Complaints Management conducted: Target remains unchanged at two reports.</w:t>
      </w:r>
    </w:p>
    <w:p w:rsidR="00F02997" w:rsidRPr="00D319E0" w:rsidRDefault="00F02997" w:rsidP="00D319E0">
      <w:pPr>
        <w:pStyle w:val="ListParagraph"/>
        <w:numPr>
          <w:ilvl w:val="0"/>
          <w:numId w:val="9"/>
        </w:numPr>
        <w:spacing w:line="240" w:lineRule="auto"/>
        <w:jc w:val="left"/>
        <w:rPr>
          <w:rFonts w:ascii="Arial" w:hAnsi="Arial" w:cs="Arial"/>
          <w:sz w:val="20"/>
          <w:szCs w:val="20"/>
        </w:rPr>
      </w:pPr>
      <w:r w:rsidRPr="00D319E0">
        <w:rPr>
          <w:rFonts w:ascii="Arial" w:hAnsi="Arial" w:cs="Arial"/>
          <w:sz w:val="20"/>
          <w:szCs w:val="20"/>
          <w:lang w:eastAsia="en-ZA"/>
        </w:rPr>
        <w:t>Number reports on SAPS Implementation of IPID Recommendations: Target remains unchanged at two reports.</w:t>
      </w:r>
    </w:p>
    <w:p w:rsidR="00F02997" w:rsidRPr="00D319E0" w:rsidRDefault="00F02997" w:rsidP="00D319E0">
      <w:pPr>
        <w:pStyle w:val="ListParagraph"/>
        <w:numPr>
          <w:ilvl w:val="0"/>
          <w:numId w:val="9"/>
        </w:numPr>
        <w:spacing w:line="240" w:lineRule="auto"/>
        <w:jc w:val="left"/>
        <w:rPr>
          <w:rFonts w:ascii="Arial" w:hAnsi="Arial" w:cs="Arial"/>
          <w:sz w:val="20"/>
          <w:szCs w:val="20"/>
        </w:rPr>
      </w:pPr>
      <w:r w:rsidRPr="00D319E0">
        <w:rPr>
          <w:rFonts w:ascii="Arial" w:hAnsi="Arial" w:cs="Arial"/>
          <w:sz w:val="20"/>
          <w:szCs w:val="20"/>
          <w:lang w:eastAsia="en-ZA"/>
        </w:rPr>
        <w:t xml:space="preserve">Number of assessments on police conduct and integrity undertaken: Target remains unchanged at one assessment. </w:t>
      </w:r>
    </w:p>
    <w:p w:rsidR="00F02997" w:rsidRPr="00D319E0" w:rsidRDefault="00F02997" w:rsidP="00D319E0">
      <w:pPr>
        <w:pStyle w:val="ListParagraph"/>
        <w:numPr>
          <w:ilvl w:val="0"/>
          <w:numId w:val="9"/>
        </w:numPr>
        <w:spacing w:line="240" w:lineRule="auto"/>
        <w:jc w:val="left"/>
        <w:rPr>
          <w:rFonts w:ascii="Arial" w:hAnsi="Arial" w:cs="Arial"/>
          <w:sz w:val="20"/>
          <w:szCs w:val="20"/>
        </w:rPr>
      </w:pPr>
      <w:r w:rsidRPr="00D319E0">
        <w:rPr>
          <w:rFonts w:ascii="Arial" w:hAnsi="Arial" w:cs="Arial"/>
          <w:sz w:val="20"/>
          <w:szCs w:val="20"/>
          <w:lang w:eastAsia="en-ZA"/>
        </w:rPr>
        <w:t>Number of Compliance Monitoring Reports on the implementation of the Domestic Violence Act, 1998 by SAPS: Target remains unchanged at two reports.</w:t>
      </w:r>
    </w:p>
    <w:p w:rsidR="00F02997" w:rsidRPr="00D319E0" w:rsidRDefault="00F02997" w:rsidP="00D319E0">
      <w:pPr>
        <w:pStyle w:val="ListParagraph"/>
        <w:numPr>
          <w:ilvl w:val="0"/>
          <w:numId w:val="9"/>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Number of reports on the implementation and compliance to legislation and policies: Target remains unchanged at two reports. </w:t>
      </w:r>
    </w:p>
    <w:p w:rsidR="00F02997" w:rsidRPr="00D319E0" w:rsidRDefault="00F02997" w:rsidP="00D319E0">
      <w:pPr>
        <w:pStyle w:val="ListParagraph"/>
        <w:numPr>
          <w:ilvl w:val="0"/>
          <w:numId w:val="9"/>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Number of reports on the functioning of the National Forensic DNA Database assessed per year: Target remains unchanged at four reports.  </w:t>
      </w:r>
    </w:p>
    <w:p w:rsidR="00F02997" w:rsidRPr="00D319E0" w:rsidRDefault="00F02997" w:rsidP="00D319E0">
      <w:pPr>
        <w:autoSpaceDE w:val="0"/>
        <w:autoSpaceDN w:val="0"/>
        <w:adjustRightInd w:val="0"/>
        <w:spacing w:line="240" w:lineRule="auto"/>
        <w:jc w:val="left"/>
        <w:rPr>
          <w:rFonts w:ascii="Arial" w:hAnsi="Arial" w:cs="Arial"/>
          <w:sz w:val="20"/>
          <w:szCs w:val="20"/>
          <w:lang w:eastAsia="en-ZA"/>
        </w:rPr>
      </w:pPr>
    </w:p>
    <w:p w:rsidR="00F02997" w:rsidRPr="00D319E0" w:rsidRDefault="00F02997" w:rsidP="00D319E0">
      <w:pPr>
        <w:autoSpaceDE w:val="0"/>
        <w:autoSpaceDN w:val="0"/>
        <w:adjustRightInd w:val="0"/>
        <w:spacing w:line="240" w:lineRule="auto"/>
        <w:jc w:val="left"/>
        <w:rPr>
          <w:rFonts w:ascii="Arial" w:hAnsi="Arial" w:cs="Arial"/>
          <w:b/>
          <w:sz w:val="20"/>
          <w:szCs w:val="20"/>
          <w:lang w:eastAsia="en-ZA"/>
        </w:rPr>
      </w:pPr>
      <w:r w:rsidRPr="00D319E0">
        <w:rPr>
          <w:rFonts w:ascii="Arial" w:hAnsi="Arial" w:cs="Arial"/>
          <w:b/>
          <w:sz w:val="20"/>
          <w:szCs w:val="20"/>
          <w:lang w:eastAsia="en-ZA"/>
        </w:rPr>
        <w:t xml:space="preserve">Sub programme: Policy and Programme Evaluations  </w:t>
      </w:r>
    </w:p>
    <w:p w:rsidR="00F02997" w:rsidRPr="00D319E0" w:rsidRDefault="00F02997" w:rsidP="00D319E0">
      <w:pPr>
        <w:pStyle w:val="ListParagraph"/>
        <w:numPr>
          <w:ilvl w:val="0"/>
          <w:numId w:val="9"/>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Number of assessment reports on SAPS programmes: Target remains unchanged at one report. </w:t>
      </w:r>
    </w:p>
    <w:p w:rsidR="00F02997" w:rsidRPr="00D319E0" w:rsidRDefault="00F02997" w:rsidP="00D319E0">
      <w:pPr>
        <w:pStyle w:val="ListParagraph"/>
        <w:numPr>
          <w:ilvl w:val="0"/>
          <w:numId w:val="9"/>
        </w:numPr>
        <w:autoSpaceDE w:val="0"/>
        <w:autoSpaceDN w:val="0"/>
        <w:adjustRightInd w:val="0"/>
        <w:spacing w:line="240" w:lineRule="auto"/>
        <w:jc w:val="left"/>
        <w:rPr>
          <w:rFonts w:ascii="Arial" w:hAnsi="Arial" w:cs="Arial"/>
          <w:sz w:val="20"/>
          <w:szCs w:val="20"/>
          <w:lang w:eastAsia="en-ZA"/>
        </w:rPr>
      </w:pPr>
      <w:r w:rsidRPr="00D319E0">
        <w:rPr>
          <w:rFonts w:ascii="Arial" w:hAnsi="Arial" w:cs="Arial"/>
          <w:sz w:val="20"/>
          <w:szCs w:val="20"/>
          <w:lang w:eastAsia="en-ZA"/>
        </w:rPr>
        <w:t xml:space="preserve">Number of evaluation reports on legislation and policies: Target remains unchanged at one report. </w:t>
      </w:r>
    </w:p>
    <w:p w:rsidR="00F02997" w:rsidRPr="00D319E0" w:rsidRDefault="00F02997" w:rsidP="00D319E0">
      <w:pPr>
        <w:autoSpaceDE w:val="0"/>
        <w:autoSpaceDN w:val="0"/>
        <w:adjustRightInd w:val="0"/>
        <w:spacing w:line="240" w:lineRule="auto"/>
        <w:jc w:val="left"/>
        <w:rPr>
          <w:rFonts w:ascii="Arial" w:hAnsi="Arial" w:cs="Arial"/>
          <w:sz w:val="20"/>
          <w:szCs w:val="20"/>
          <w:lang w:eastAsia="en-ZA"/>
        </w:rPr>
      </w:pPr>
    </w:p>
    <w:p w:rsidR="00FB33B9" w:rsidRPr="00D319E0" w:rsidRDefault="00FB33B9" w:rsidP="00D319E0">
      <w:pPr>
        <w:pStyle w:val="Heading1"/>
        <w:numPr>
          <w:ilvl w:val="0"/>
          <w:numId w:val="19"/>
        </w:numPr>
        <w:spacing w:before="0" w:line="240" w:lineRule="auto"/>
        <w:jc w:val="left"/>
        <w:rPr>
          <w:rFonts w:ascii="Arial" w:hAnsi="Arial" w:cs="Arial"/>
          <w:sz w:val="20"/>
          <w:szCs w:val="20"/>
        </w:rPr>
      </w:pPr>
      <w:bookmarkStart w:id="17" w:name="_Toc100572322"/>
      <w:r w:rsidRPr="00D319E0">
        <w:rPr>
          <w:rFonts w:ascii="Arial" w:hAnsi="Arial" w:cs="Arial"/>
          <w:sz w:val="20"/>
          <w:szCs w:val="20"/>
        </w:rPr>
        <w:t xml:space="preserve">Committee Observations </w:t>
      </w:r>
    </w:p>
    <w:p w:rsidR="00FB33B9" w:rsidRPr="00D319E0" w:rsidRDefault="00FB33B9" w:rsidP="00D319E0">
      <w:pPr>
        <w:spacing w:line="240" w:lineRule="auto"/>
        <w:jc w:val="left"/>
        <w:rPr>
          <w:rFonts w:ascii="Arial" w:hAnsi="Arial" w:cs="Arial"/>
          <w:sz w:val="20"/>
          <w:szCs w:val="20"/>
        </w:rPr>
      </w:pPr>
    </w:p>
    <w:p w:rsidR="00952CEB" w:rsidRPr="00D319E0" w:rsidRDefault="00952CEB" w:rsidP="00D319E0">
      <w:pPr>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The Committee made the following observations during the 202</w:t>
      </w:r>
      <w:r w:rsidR="00F02997" w:rsidRPr="00D319E0">
        <w:rPr>
          <w:rFonts w:ascii="Arial" w:eastAsia="TimesNewRomanPSMT" w:hAnsi="Arial" w:cs="Arial"/>
          <w:sz w:val="20"/>
          <w:szCs w:val="20"/>
          <w:lang w:eastAsia="en-ZA"/>
        </w:rPr>
        <w:t>3</w:t>
      </w:r>
      <w:r w:rsidRPr="00D319E0">
        <w:rPr>
          <w:rFonts w:ascii="Arial" w:eastAsia="TimesNewRomanPSMT" w:hAnsi="Arial" w:cs="Arial"/>
          <w:sz w:val="20"/>
          <w:szCs w:val="20"/>
          <w:lang w:eastAsia="en-ZA"/>
        </w:rPr>
        <w:t>/2</w:t>
      </w:r>
      <w:r w:rsidR="00F02997" w:rsidRPr="00D319E0">
        <w:rPr>
          <w:rFonts w:ascii="Arial" w:eastAsia="TimesNewRomanPSMT" w:hAnsi="Arial" w:cs="Arial"/>
          <w:sz w:val="20"/>
          <w:szCs w:val="20"/>
          <w:lang w:eastAsia="en-ZA"/>
        </w:rPr>
        <w:t>4</w:t>
      </w:r>
      <w:r w:rsidRPr="00D319E0">
        <w:rPr>
          <w:rFonts w:ascii="Arial" w:eastAsia="TimesNewRomanPSMT" w:hAnsi="Arial" w:cs="Arial"/>
          <w:sz w:val="20"/>
          <w:szCs w:val="20"/>
          <w:lang w:eastAsia="en-ZA"/>
        </w:rPr>
        <w:t xml:space="preserve"> budget hearings:</w:t>
      </w:r>
    </w:p>
    <w:p w:rsidR="00200371" w:rsidRPr="00D319E0" w:rsidRDefault="00200371" w:rsidP="00D319E0">
      <w:pPr>
        <w:spacing w:line="240" w:lineRule="auto"/>
        <w:jc w:val="left"/>
        <w:rPr>
          <w:rFonts w:ascii="Arial" w:hAnsi="Arial" w:cs="Arial"/>
          <w:b/>
          <w:sz w:val="20"/>
          <w:szCs w:val="20"/>
          <w:lang w:val="en-US"/>
        </w:rPr>
      </w:pPr>
    </w:p>
    <w:p w:rsidR="00200371" w:rsidRPr="00D319E0" w:rsidRDefault="00200371" w:rsidP="00D319E0">
      <w:pPr>
        <w:spacing w:line="240" w:lineRule="auto"/>
        <w:jc w:val="left"/>
        <w:rPr>
          <w:rFonts w:ascii="Arial" w:hAnsi="Arial" w:cs="Arial"/>
          <w:sz w:val="20"/>
          <w:szCs w:val="20"/>
          <w:lang w:val="en-US"/>
        </w:rPr>
      </w:pPr>
      <w:r w:rsidRPr="00D319E0">
        <w:rPr>
          <w:rFonts w:ascii="Arial" w:hAnsi="Arial" w:cs="Arial"/>
          <w:b/>
          <w:sz w:val="20"/>
          <w:szCs w:val="20"/>
          <w:lang w:val="en-US"/>
        </w:rPr>
        <w:t>Vacancies:</w:t>
      </w:r>
      <w:r w:rsidRPr="00D319E0">
        <w:rPr>
          <w:rFonts w:ascii="Arial" w:hAnsi="Arial" w:cs="Arial"/>
          <w:sz w:val="20"/>
          <w:szCs w:val="20"/>
          <w:lang w:val="en-US"/>
        </w:rPr>
        <w:t xml:space="preserve"> </w:t>
      </w:r>
      <w:r w:rsidR="0060014D" w:rsidRPr="00D319E0">
        <w:rPr>
          <w:rFonts w:ascii="Arial" w:hAnsi="Arial" w:cs="Arial"/>
          <w:sz w:val="20"/>
          <w:szCs w:val="20"/>
          <w:lang w:val="en-US"/>
        </w:rPr>
        <w:t xml:space="preserve">The Committee raised concern about the high number of vacancies in the Department, especially the </w:t>
      </w:r>
      <w:r w:rsidR="009B34EA" w:rsidRPr="00D319E0">
        <w:rPr>
          <w:rFonts w:ascii="Arial" w:hAnsi="Arial" w:cs="Arial"/>
          <w:sz w:val="20"/>
          <w:szCs w:val="20"/>
          <w:lang w:val="en-US"/>
        </w:rPr>
        <w:t xml:space="preserve">position of the </w:t>
      </w:r>
      <w:r w:rsidR="0060014D" w:rsidRPr="00D319E0">
        <w:rPr>
          <w:rFonts w:ascii="Arial" w:hAnsi="Arial" w:cs="Arial"/>
          <w:sz w:val="20"/>
          <w:szCs w:val="20"/>
          <w:lang w:val="en-US"/>
        </w:rPr>
        <w:t>S</w:t>
      </w:r>
      <w:r w:rsidRPr="00D319E0">
        <w:rPr>
          <w:rFonts w:ascii="Arial" w:hAnsi="Arial" w:cs="Arial"/>
          <w:sz w:val="20"/>
          <w:szCs w:val="20"/>
          <w:lang w:val="en-US"/>
        </w:rPr>
        <w:t>ecretary</w:t>
      </w:r>
      <w:r w:rsidR="0060014D" w:rsidRPr="00D319E0">
        <w:rPr>
          <w:rFonts w:ascii="Arial" w:hAnsi="Arial" w:cs="Arial"/>
          <w:sz w:val="20"/>
          <w:szCs w:val="20"/>
          <w:lang w:val="en-US"/>
        </w:rPr>
        <w:t xml:space="preserve"> for Police. The Committee noted that instability is caused when the accounting officer of a Department is acting for prolonged periods. The Committee questioned when the position</w:t>
      </w:r>
      <w:r w:rsidR="00D75CBD" w:rsidRPr="00D319E0">
        <w:rPr>
          <w:rFonts w:ascii="Arial" w:hAnsi="Arial" w:cs="Arial"/>
          <w:sz w:val="20"/>
          <w:szCs w:val="20"/>
          <w:lang w:val="en-US"/>
        </w:rPr>
        <w:t>s</w:t>
      </w:r>
      <w:r w:rsidR="0060014D" w:rsidRPr="00D319E0">
        <w:rPr>
          <w:rFonts w:ascii="Arial" w:hAnsi="Arial" w:cs="Arial"/>
          <w:sz w:val="20"/>
          <w:szCs w:val="20"/>
          <w:lang w:val="en-US"/>
        </w:rPr>
        <w:t xml:space="preserve"> will be filled and the reason for the delay. Additionally, the Committee raised concern about the vacanc</w:t>
      </w:r>
      <w:r w:rsidR="00D75CBD" w:rsidRPr="00D319E0">
        <w:rPr>
          <w:rFonts w:ascii="Arial" w:hAnsi="Arial" w:cs="Arial"/>
          <w:sz w:val="20"/>
          <w:szCs w:val="20"/>
          <w:lang w:val="en-US"/>
        </w:rPr>
        <w:t>ies</w:t>
      </w:r>
      <w:r w:rsidR="0060014D" w:rsidRPr="00D319E0">
        <w:rPr>
          <w:rFonts w:ascii="Arial" w:hAnsi="Arial" w:cs="Arial"/>
          <w:sz w:val="20"/>
          <w:szCs w:val="20"/>
          <w:lang w:val="en-US"/>
        </w:rPr>
        <w:t xml:space="preserve"> </w:t>
      </w:r>
      <w:r w:rsidR="009B34EA" w:rsidRPr="00D319E0">
        <w:rPr>
          <w:rFonts w:ascii="Arial" w:hAnsi="Arial" w:cs="Arial"/>
          <w:sz w:val="20"/>
          <w:szCs w:val="20"/>
          <w:lang w:val="en-US"/>
        </w:rPr>
        <w:t>in the positions of</w:t>
      </w:r>
      <w:r w:rsidR="0060014D" w:rsidRPr="00D319E0">
        <w:rPr>
          <w:rFonts w:ascii="Arial" w:hAnsi="Arial" w:cs="Arial"/>
          <w:sz w:val="20"/>
          <w:szCs w:val="20"/>
          <w:lang w:val="en-US"/>
        </w:rPr>
        <w:t xml:space="preserve"> the </w:t>
      </w:r>
      <w:r w:rsidRPr="00D319E0">
        <w:rPr>
          <w:rFonts w:ascii="Arial" w:hAnsi="Arial" w:cs="Arial"/>
          <w:sz w:val="20"/>
          <w:szCs w:val="20"/>
          <w:lang w:val="en-US"/>
        </w:rPr>
        <w:t xml:space="preserve">DPCI Judge and </w:t>
      </w:r>
      <w:r w:rsidR="009B34EA" w:rsidRPr="00D319E0">
        <w:rPr>
          <w:rFonts w:ascii="Arial" w:hAnsi="Arial" w:cs="Arial"/>
          <w:sz w:val="20"/>
          <w:szCs w:val="20"/>
          <w:lang w:val="en-US"/>
        </w:rPr>
        <w:t xml:space="preserve">the </w:t>
      </w:r>
      <w:r w:rsidRPr="00D319E0">
        <w:rPr>
          <w:rFonts w:ascii="Arial" w:hAnsi="Arial" w:cs="Arial"/>
          <w:sz w:val="20"/>
          <w:szCs w:val="20"/>
          <w:lang w:val="en-US"/>
        </w:rPr>
        <w:t xml:space="preserve">DNA Board </w:t>
      </w:r>
      <w:r w:rsidRPr="00D319E0">
        <w:rPr>
          <w:rFonts w:ascii="Arial" w:hAnsi="Arial" w:cs="Arial"/>
          <w:sz w:val="20"/>
          <w:szCs w:val="20"/>
          <w:lang w:val="en-US"/>
        </w:rPr>
        <w:lastRenderedPageBreak/>
        <w:t xml:space="preserve">Chairperson. </w:t>
      </w:r>
      <w:r w:rsidR="0060014D" w:rsidRPr="00D319E0">
        <w:rPr>
          <w:rFonts w:ascii="Arial" w:hAnsi="Arial" w:cs="Arial"/>
          <w:sz w:val="20"/>
          <w:szCs w:val="20"/>
          <w:lang w:val="en-US"/>
        </w:rPr>
        <w:t>The Department indicated that the recruitment process is ongoing and that various factors</w:t>
      </w:r>
      <w:r w:rsidR="00850EF5" w:rsidRPr="00D319E0">
        <w:rPr>
          <w:rFonts w:ascii="Arial" w:hAnsi="Arial" w:cs="Arial"/>
          <w:sz w:val="20"/>
          <w:szCs w:val="20"/>
          <w:lang w:val="en-US"/>
        </w:rPr>
        <w:t>,</w:t>
      </w:r>
      <w:r w:rsidR="0060014D" w:rsidRPr="00D319E0">
        <w:rPr>
          <w:rFonts w:ascii="Arial" w:hAnsi="Arial" w:cs="Arial"/>
          <w:sz w:val="20"/>
          <w:szCs w:val="20"/>
          <w:lang w:val="en-US"/>
        </w:rPr>
        <w:t xml:space="preserve"> beyond their control</w:t>
      </w:r>
      <w:r w:rsidR="00850EF5" w:rsidRPr="00D319E0">
        <w:rPr>
          <w:rFonts w:ascii="Arial" w:hAnsi="Arial" w:cs="Arial"/>
          <w:sz w:val="20"/>
          <w:szCs w:val="20"/>
          <w:lang w:val="en-US"/>
        </w:rPr>
        <w:t>,</w:t>
      </w:r>
      <w:r w:rsidR="0060014D" w:rsidRPr="00D319E0">
        <w:rPr>
          <w:rFonts w:ascii="Arial" w:hAnsi="Arial" w:cs="Arial"/>
          <w:sz w:val="20"/>
          <w:szCs w:val="20"/>
          <w:lang w:val="en-US"/>
        </w:rPr>
        <w:t xml:space="preserve"> impacted negatively on the appointment of these individuals. </w:t>
      </w:r>
    </w:p>
    <w:p w:rsidR="00200371" w:rsidRPr="00D319E0" w:rsidRDefault="00200371" w:rsidP="00D319E0">
      <w:pPr>
        <w:spacing w:line="240" w:lineRule="auto"/>
        <w:jc w:val="left"/>
        <w:rPr>
          <w:rFonts w:ascii="Arial" w:hAnsi="Arial" w:cs="Arial"/>
          <w:sz w:val="20"/>
          <w:szCs w:val="20"/>
          <w:lang w:val="en-US"/>
        </w:rPr>
      </w:pPr>
    </w:p>
    <w:p w:rsidR="00200371" w:rsidRPr="00D319E0" w:rsidRDefault="00BD31E7" w:rsidP="00D319E0">
      <w:pPr>
        <w:spacing w:line="240" w:lineRule="auto"/>
        <w:jc w:val="left"/>
        <w:rPr>
          <w:rFonts w:ascii="Arial" w:eastAsia="TimesNewRomanPSMT" w:hAnsi="Arial" w:cs="Arial"/>
          <w:sz w:val="20"/>
          <w:szCs w:val="20"/>
          <w:lang w:eastAsia="en-ZA"/>
        </w:rPr>
      </w:pPr>
      <w:r w:rsidRPr="00D319E0">
        <w:rPr>
          <w:rFonts w:ascii="Arial" w:eastAsia="TimesNewRomanPSMT" w:hAnsi="Arial" w:cs="Arial"/>
          <w:b/>
          <w:sz w:val="20"/>
          <w:szCs w:val="20"/>
          <w:lang w:eastAsia="en-ZA"/>
        </w:rPr>
        <w:t>C</w:t>
      </w:r>
      <w:r w:rsidR="0017790A" w:rsidRPr="00D319E0">
        <w:rPr>
          <w:rFonts w:ascii="Arial" w:eastAsia="TimesNewRomanPSMT" w:hAnsi="Arial" w:cs="Arial"/>
          <w:b/>
          <w:sz w:val="20"/>
          <w:szCs w:val="20"/>
          <w:lang w:eastAsia="en-ZA"/>
        </w:rPr>
        <w:t xml:space="preserve">ommunity </w:t>
      </w:r>
      <w:r w:rsidR="00850EF5" w:rsidRPr="00D319E0">
        <w:rPr>
          <w:rFonts w:ascii="Arial" w:eastAsia="TimesNewRomanPSMT" w:hAnsi="Arial" w:cs="Arial"/>
          <w:b/>
          <w:sz w:val="20"/>
          <w:szCs w:val="20"/>
          <w:lang w:eastAsia="en-ZA"/>
        </w:rPr>
        <w:t>Police</w:t>
      </w:r>
      <w:r w:rsidR="0017790A" w:rsidRPr="00D319E0">
        <w:rPr>
          <w:rFonts w:ascii="Arial" w:eastAsia="TimesNewRomanPSMT" w:hAnsi="Arial" w:cs="Arial"/>
          <w:b/>
          <w:sz w:val="20"/>
          <w:szCs w:val="20"/>
          <w:lang w:eastAsia="en-ZA"/>
        </w:rPr>
        <w:t xml:space="preserve"> Forums (C</w:t>
      </w:r>
      <w:r w:rsidR="00850EF5" w:rsidRPr="00D319E0">
        <w:rPr>
          <w:rFonts w:ascii="Arial" w:eastAsia="TimesNewRomanPSMT" w:hAnsi="Arial" w:cs="Arial"/>
          <w:b/>
          <w:sz w:val="20"/>
          <w:szCs w:val="20"/>
          <w:lang w:eastAsia="en-ZA"/>
        </w:rPr>
        <w:t>P</w:t>
      </w:r>
      <w:r w:rsidR="0017790A" w:rsidRPr="00D319E0">
        <w:rPr>
          <w:rFonts w:ascii="Arial" w:eastAsia="TimesNewRomanPSMT" w:hAnsi="Arial" w:cs="Arial"/>
          <w:b/>
          <w:sz w:val="20"/>
          <w:szCs w:val="20"/>
          <w:lang w:eastAsia="en-ZA"/>
        </w:rPr>
        <w:t>Fs):</w:t>
      </w:r>
      <w:r w:rsidR="0017790A" w:rsidRPr="00D319E0">
        <w:rPr>
          <w:rFonts w:ascii="Arial" w:eastAsia="TimesNewRomanPSMT" w:hAnsi="Arial" w:cs="Arial"/>
          <w:sz w:val="20"/>
          <w:szCs w:val="20"/>
          <w:lang w:eastAsia="en-ZA"/>
        </w:rPr>
        <w:t xml:space="preserve"> The Committee </w:t>
      </w:r>
      <w:r w:rsidR="0060014D" w:rsidRPr="00D319E0">
        <w:rPr>
          <w:rFonts w:ascii="Arial" w:eastAsia="TimesNewRomanPSMT" w:hAnsi="Arial" w:cs="Arial"/>
          <w:sz w:val="20"/>
          <w:szCs w:val="20"/>
          <w:lang w:eastAsia="en-ZA"/>
        </w:rPr>
        <w:t>raised significant concern about the status of CPFs and the fact that the delay in amending the South African Police</w:t>
      </w:r>
      <w:r w:rsidR="00ED11C4" w:rsidRPr="00D319E0">
        <w:rPr>
          <w:rFonts w:ascii="Arial" w:eastAsia="TimesNewRomanPSMT" w:hAnsi="Arial" w:cs="Arial"/>
          <w:sz w:val="20"/>
          <w:szCs w:val="20"/>
          <w:lang w:eastAsia="en-ZA"/>
        </w:rPr>
        <w:t xml:space="preserve"> Service Act had a significant</w:t>
      </w:r>
      <w:r w:rsidR="0060014D" w:rsidRPr="00D319E0">
        <w:rPr>
          <w:rFonts w:ascii="Arial" w:eastAsia="TimesNewRomanPSMT" w:hAnsi="Arial" w:cs="Arial"/>
          <w:sz w:val="20"/>
          <w:szCs w:val="20"/>
          <w:lang w:eastAsia="en-ZA"/>
        </w:rPr>
        <w:t xml:space="preserve"> adverse effect on the resourcing of CPFs. </w:t>
      </w:r>
      <w:r w:rsidR="006D3D58" w:rsidRPr="00D319E0">
        <w:rPr>
          <w:rFonts w:ascii="Arial" w:eastAsia="TimesNewRomanPSMT" w:hAnsi="Arial" w:cs="Arial"/>
          <w:sz w:val="20"/>
          <w:szCs w:val="20"/>
          <w:lang w:eastAsia="en-ZA"/>
        </w:rPr>
        <w:t>The draft amendments to the SAPS Act clarifies the position</w:t>
      </w:r>
      <w:r w:rsidR="00850EF5" w:rsidRPr="00D319E0">
        <w:rPr>
          <w:rFonts w:ascii="Arial" w:eastAsia="TimesNewRomanPSMT" w:hAnsi="Arial" w:cs="Arial"/>
          <w:sz w:val="20"/>
          <w:szCs w:val="20"/>
          <w:lang w:eastAsia="en-ZA"/>
        </w:rPr>
        <w:t>, functioning and resourcing</w:t>
      </w:r>
      <w:r w:rsidR="006D3D58" w:rsidRPr="00D319E0">
        <w:rPr>
          <w:rFonts w:ascii="Arial" w:eastAsia="TimesNewRomanPSMT" w:hAnsi="Arial" w:cs="Arial"/>
          <w:sz w:val="20"/>
          <w:szCs w:val="20"/>
          <w:lang w:eastAsia="en-ZA"/>
        </w:rPr>
        <w:t xml:space="preserve"> of CPFs</w:t>
      </w:r>
      <w:r w:rsidR="00850EF5" w:rsidRPr="00D319E0">
        <w:rPr>
          <w:rFonts w:ascii="Arial" w:eastAsia="TimesNewRomanPSMT" w:hAnsi="Arial" w:cs="Arial"/>
          <w:sz w:val="20"/>
          <w:szCs w:val="20"/>
          <w:lang w:eastAsia="en-ZA"/>
        </w:rPr>
        <w:t>. The CPFs</w:t>
      </w:r>
      <w:r w:rsidR="006D3D58" w:rsidRPr="00D319E0">
        <w:rPr>
          <w:rFonts w:ascii="Arial" w:eastAsia="TimesNewRomanPSMT" w:hAnsi="Arial" w:cs="Arial"/>
          <w:sz w:val="20"/>
          <w:szCs w:val="20"/>
          <w:lang w:eastAsia="en-ZA"/>
        </w:rPr>
        <w:t xml:space="preserve"> are currently straddled between the SAPS, the CSPS and Provincial Secretariats over which the CSPS has no oversight mandate. The concerns regarding CPFs were also sharply raised with the SAPS during its budget hearing.   </w:t>
      </w:r>
    </w:p>
    <w:p w:rsidR="00200371" w:rsidRPr="00D319E0" w:rsidRDefault="00200371" w:rsidP="00D319E0">
      <w:pPr>
        <w:pStyle w:val="ListParagraph"/>
        <w:spacing w:line="240" w:lineRule="auto"/>
        <w:jc w:val="left"/>
        <w:rPr>
          <w:rFonts w:ascii="Arial" w:eastAsia="TimesNewRomanPSMT" w:hAnsi="Arial" w:cs="Arial"/>
          <w:sz w:val="20"/>
          <w:szCs w:val="20"/>
          <w:lang w:eastAsia="en-ZA"/>
        </w:rPr>
      </w:pPr>
    </w:p>
    <w:p w:rsidR="00200371" w:rsidRPr="00D319E0" w:rsidRDefault="00F80EC9" w:rsidP="00D319E0">
      <w:pPr>
        <w:spacing w:line="240" w:lineRule="auto"/>
        <w:jc w:val="left"/>
        <w:rPr>
          <w:rFonts w:ascii="Arial" w:eastAsia="TimesNewRomanPSMT" w:hAnsi="Arial" w:cs="Arial"/>
          <w:sz w:val="20"/>
          <w:szCs w:val="20"/>
          <w:lang w:eastAsia="en-ZA"/>
        </w:rPr>
      </w:pPr>
      <w:r w:rsidRPr="00D319E0">
        <w:rPr>
          <w:rFonts w:ascii="Arial" w:eastAsia="TimesNewRomanPSMT" w:hAnsi="Arial" w:cs="Arial"/>
          <w:b/>
          <w:sz w:val="20"/>
          <w:szCs w:val="20"/>
          <w:lang w:eastAsia="en-ZA"/>
        </w:rPr>
        <w:t xml:space="preserve">Impact </w:t>
      </w:r>
      <w:r w:rsidR="007B6390" w:rsidRPr="00D319E0">
        <w:rPr>
          <w:rFonts w:ascii="Arial" w:eastAsia="TimesNewRomanPSMT" w:hAnsi="Arial" w:cs="Arial"/>
          <w:b/>
          <w:sz w:val="20"/>
          <w:szCs w:val="20"/>
          <w:lang w:eastAsia="en-ZA"/>
        </w:rPr>
        <w:t>of the Department:</w:t>
      </w:r>
      <w:r w:rsidR="007B6390" w:rsidRPr="00D319E0">
        <w:rPr>
          <w:rFonts w:ascii="Arial" w:eastAsia="TimesNewRomanPSMT" w:hAnsi="Arial" w:cs="Arial"/>
          <w:sz w:val="20"/>
          <w:szCs w:val="20"/>
          <w:lang w:eastAsia="en-ZA"/>
        </w:rPr>
        <w:t xml:space="preserve"> </w:t>
      </w:r>
      <w:r w:rsidR="0024736A" w:rsidRPr="00D319E0">
        <w:rPr>
          <w:rFonts w:ascii="Arial" w:eastAsia="TimesNewRomanPSMT" w:hAnsi="Arial" w:cs="Arial"/>
          <w:sz w:val="20"/>
          <w:szCs w:val="20"/>
          <w:lang w:eastAsia="en-ZA"/>
        </w:rPr>
        <w:t xml:space="preserve">The Committee raised concern about </w:t>
      </w:r>
      <w:r w:rsidR="00850EF5" w:rsidRPr="00D319E0">
        <w:rPr>
          <w:rFonts w:ascii="Arial" w:eastAsia="TimesNewRomanPSMT" w:hAnsi="Arial" w:cs="Arial"/>
          <w:sz w:val="20"/>
          <w:szCs w:val="20"/>
          <w:lang w:eastAsia="en-ZA"/>
        </w:rPr>
        <w:t xml:space="preserve">the manner in which </w:t>
      </w:r>
      <w:r w:rsidR="0024736A" w:rsidRPr="00D319E0">
        <w:rPr>
          <w:rFonts w:ascii="Arial" w:eastAsia="TimesNewRomanPSMT" w:hAnsi="Arial" w:cs="Arial"/>
          <w:sz w:val="20"/>
          <w:szCs w:val="20"/>
          <w:lang w:eastAsia="en-ZA"/>
        </w:rPr>
        <w:t xml:space="preserve">the </w:t>
      </w:r>
      <w:r w:rsidR="00850EF5" w:rsidRPr="00D319E0">
        <w:rPr>
          <w:rFonts w:ascii="Arial" w:eastAsia="TimesNewRomanPSMT" w:hAnsi="Arial" w:cs="Arial"/>
          <w:sz w:val="20"/>
          <w:szCs w:val="20"/>
          <w:lang w:eastAsia="en-ZA"/>
        </w:rPr>
        <w:t xml:space="preserve">Department’s </w:t>
      </w:r>
      <w:r w:rsidR="0024736A" w:rsidRPr="00D319E0">
        <w:rPr>
          <w:rFonts w:ascii="Arial" w:eastAsia="TimesNewRomanPSMT" w:hAnsi="Arial" w:cs="Arial"/>
          <w:sz w:val="20"/>
          <w:szCs w:val="20"/>
          <w:lang w:eastAsia="en-ZA"/>
        </w:rPr>
        <w:t>i</w:t>
      </w:r>
      <w:r w:rsidR="007B6390" w:rsidRPr="00D319E0">
        <w:rPr>
          <w:rFonts w:ascii="Arial" w:eastAsia="TimesNewRomanPSMT" w:hAnsi="Arial" w:cs="Arial"/>
          <w:sz w:val="20"/>
          <w:szCs w:val="20"/>
          <w:lang w:eastAsia="en-ZA"/>
        </w:rPr>
        <w:t xml:space="preserve">mpact </w:t>
      </w:r>
      <w:r w:rsidR="0024736A" w:rsidRPr="00D319E0">
        <w:rPr>
          <w:rFonts w:ascii="Arial" w:eastAsia="TimesNewRomanPSMT" w:hAnsi="Arial" w:cs="Arial"/>
          <w:sz w:val="20"/>
          <w:szCs w:val="20"/>
          <w:lang w:eastAsia="en-ZA"/>
        </w:rPr>
        <w:t>is measured at ground level</w:t>
      </w:r>
      <w:r w:rsidR="006D3D58" w:rsidRPr="00D319E0">
        <w:rPr>
          <w:rFonts w:ascii="Arial" w:eastAsia="TimesNewRomanPSMT" w:hAnsi="Arial" w:cs="Arial"/>
          <w:sz w:val="20"/>
          <w:szCs w:val="20"/>
          <w:lang w:eastAsia="en-ZA"/>
        </w:rPr>
        <w:t>, and whether izimbizo’s has the desired effect</w:t>
      </w:r>
      <w:r w:rsidR="0024736A" w:rsidRPr="00D319E0">
        <w:rPr>
          <w:rFonts w:ascii="Arial" w:eastAsia="TimesNewRomanPSMT" w:hAnsi="Arial" w:cs="Arial"/>
          <w:sz w:val="20"/>
          <w:szCs w:val="20"/>
          <w:lang w:eastAsia="en-ZA"/>
        </w:rPr>
        <w:t>. In addition, the Committee noted that many theories and strategies are being developed to address this concern, but asked w</w:t>
      </w:r>
      <w:r w:rsidR="006D3D58" w:rsidRPr="00D319E0">
        <w:rPr>
          <w:rFonts w:ascii="Arial" w:eastAsia="TimesNewRomanPSMT" w:hAnsi="Arial" w:cs="Arial"/>
          <w:sz w:val="20"/>
          <w:szCs w:val="20"/>
          <w:lang w:eastAsia="en-ZA"/>
        </w:rPr>
        <w:t xml:space="preserve">hether its impact is measurable. </w:t>
      </w:r>
      <w:r w:rsidR="0024736A" w:rsidRPr="00D319E0">
        <w:rPr>
          <w:rFonts w:ascii="Arial" w:eastAsia="TimesNewRomanPSMT" w:hAnsi="Arial" w:cs="Arial"/>
          <w:sz w:val="20"/>
          <w:szCs w:val="20"/>
          <w:lang w:eastAsia="en-ZA"/>
        </w:rPr>
        <w:t xml:space="preserve">The Department indicated that their Strategic Plan was reviewed based on questions regarding their impact on ground level and on </w:t>
      </w:r>
      <w:r w:rsidR="00592CD6" w:rsidRPr="00D319E0">
        <w:rPr>
          <w:rFonts w:ascii="Arial" w:eastAsia="TimesNewRomanPSMT" w:hAnsi="Arial" w:cs="Arial"/>
          <w:sz w:val="20"/>
          <w:szCs w:val="20"/>
          <w:lang w:eastAsia="en-ZA"/>
        </w:rPr>
        <w:t xml:space="preserve">increasing </w:t>
      </w:r>
      <w:r w:rsidR="0024736A" w:rsidRPr="00D319E0">
        <w:rPr>
          <w:rFonts w:ascii="Arial" w:eastAsia="TimesNewRomanPSMT" w:hAnsi="Arial" w:cs="Arial"/>
          <w:sz w:val="20"/>
          <w:szCs w:val="20"/>
          <w:lang w:eastAsia="en-ZA"/>
        </w:rPr>
        <w:t xml:space="preserve">the </w:t>
      </w:r>
      <w:r w:rsidR="00592CD6" w:rsidRPr="00D319E0">
        <w:rPr>
          <w:rFonts w:ascii="Arial" w:eastAsia="TimesNewRomanPSMT" w:hAnsi="Arial" w:cs="Arial"/>
          <w:sz w:val="20"/>
          <w:szCs w:val="20"/>
          <w:lang w:eastAsia="en-ZA"/>
        </w:rPr>
        <w:t xml:space="preserve">professionalism </w:t>
      </w:r>
      <w:r w:rsidR="0024736A" w:rsidRPr="00D319E0">
        <w:rPr>
          <w:rFonts w:ascii="Arial" w:eastAsia="TimesNewRomanPSMT" w:hAnsi="Arial" w:cs="Arial"/>
          <w:sz w:val="20"/>
          <w:szCs w:val="20"/>
          <w:lang w:eastAsia="en-ZA"/>
        </w:rPr>
        <w:t xml:space="preserve">of the SAPS. </w:t>
      </w:r>
    </w:p>
    <w:p w:rsidR="00F33198" w:rsidRPr="00D319E0" w:rsidRDefault="00F33198" w:rsidP="00D319E0">
      <w:pPr>
        <w:spacing w:line="240" w:lineRule="auto"/>
        <w:jc w:val="left"/>
        <w:rPr>
          <w:rFonts w:ascii="Arial" w:eastAsia="TimesNewRomanPSMT" w:hAnsi="Arial" w:cs="Arial"/>
          <w:sz w:val="20"/>
          <w:szCs w:val="20"/>
          <w:lang w:eastAsia="en-ZA"/>
        </w:rPr>
      </w:pPr>
    </w:p>
    <w:p w:rsidR="00F80EC9" w:rsidRPr="00D319E0" w:rsidRDefault="007B6390" w:rsidP="00D319E0">
      <w:pPr>
        <w:pStyle w:val="Default"/>
        <w:rPr>
          <w:bCs/>
          <w:color w:val="auto"/>
          <w:sz w:val="20"/>
          <w:szCs w:val="20"/>
        </w:rPr>
      </w:pPr>
      <w:r w:rsidRPr="00D319E0">
        <w:rPr>
          <w:b/>
          <w:color w:val="auto"/>
          <w:sz w:val="20"/>
          <w:szCs w:val="20"/>
        </w:rPr>
        <w:t>Mandate:</w:t>
      </w:r>
      <w:r w:rsidRPr="00D319E0">
        <w:rPr>
          <w:color w:val="auto"/>
          <w:sz w:val="20"/>
          <w:szCs w:val="20"/>
        </w:rPr>
        <w:t xml:space="preserve"> The Committee questioned the effective execution of the Department’s mandate in terms of </w:t>
      </w:r>
      <w:r w:rsidRPr="00D319E0">
        <w:rPr>
          <w:bCs/>
          <w:color w:val="auto"/>
          <w:sz w:val="20"/>
          <w:szCs w:val="20"/>
        </w:rPr>
        <w:t xml:space="preserve">exercising transversal </w:t>
      </w:r>
      <w:r w:rsidRPr="00D319E0">
        <w:rPr>
          <w:bCs/>
          <w:iCs/>
          <w:color w:val="auto"/>
          <w:sz w:val="20"/>
          <w:szCs w:val="20"/>
        </w:rPr>
        <w:t xml:space="preserve">civilian oversight </w:t>
      </w:r>
      <w:r w:rsidRPr="00D319E0">
        <w:rPr>
          <w:bCs/>
          <w:color w:val="auto"/>
          <w:sz w:val="20"/>
          <w:szCs w:val="20"/>
        </w:rPr>
        <w:t>on matters relating to, amongst others, the governance, service delivery, performance and resourcing of the SAPS</w:t>
      </w:r>
      <w:r w:rsidR="00D75CBD" w:rsidRPr="00D319E0">
        <w:rPr>
          <w:bCs/>
          <w:color w:val="auto"/>
          <w:sz w:val="20"/>
          <w:szCs w:val="20"/>
        </w:rPr>
        <w:t>,</w:t>
      </w:r>
      <w:r w:rsidR="0024736A" w:rsidRPr="00D319E0">
        <w:rPr>
          <w:bCs/>
          <w:color w:val="auto"/>
          <w:sz w:val="20"/>
          <w:szCs w:val="20"/>
        </w:rPr>
        <w:t xml:space="preserve"> because the SAPS is continuously experiencing challenges in all areas of oversight. The Department noted that they </w:t>
      </w:r>
      <w:r w:rsidR="00EE77E7" w:rsidRPr="00D319E0">
        <w:rPr>
          <w:rFonts w:eastAsia="TimesNewRomanPSMT"/>
          <w:sz w:val="20"/>
          <w:szCs w:val="20"/>
        </w:rPr>
        <w:t>submit</w:t>
      </w:r>
      <w:r w:rsidR="00D146BF" w:rsidRPr="00D319E0">
        <w:rPr>
          <w:rFonts w:eastAsia="TimesNewRomanPSMT"/>
          <w:sz w:val="20"/>
          <w:szCs w:val="20"/>
        </w:rPr>
        <w:t xml:space="preserve"> regular</w:t>
      </w:r>
      <w:r w:rsidR="00EE77E7" w:rsidRPr="00D319E0">
        <w:rPr>
          <w:rFonts w:eastAsia="TimesNewRomanPSMT"/>
          <w:sz w:val="20"/>
          <w:szCs w:val="20"/>
        </w:rPr>
        <w:t xml:space="preserve"> reports </w:t>
      </w:r>
      <w:r w:rsidR="00D146BF" w:rsidRPr="00D319E0">
        <w:rPr>
          <w:rFonts w:eastAsia="TimesNewRomanPSMT"/>
          <w:sz w:val="20"/>
          <w:szCs w:val="20"/>
        </w:rPr>
        <w:t xml:space="preserve">to the SAPS and the Minister of Police </w:t>
      </w:r>
      <w:r w:rsidR="00EE77E7" w:rsidRPr="00D319E0">
        <w:rPr>
          <w:rFonts w:eastAsia="TimesNewRomanPSMT"/>
          <w:sz w:val="20"/>
          <w:szCs w:val="20"/>
        </w:rPr>
        <w:t>with specific recommendations that must be implemented</w:t>
      </w:r>
      <w:r w:rsidR="00D146BF" w:rsidRPr="00D319E0">
        <w:rPr>
          <w:rFonts w:eastAsia="TimesNewRomanPSMT"/>
          <w:sz w:val="20"/>
          <w:szCs w:val="20"/>
        </w:rPr>
        <w:t xml:space="preserve">. </w:t>
      </w:r>
    </w:p>
    <w:p w:rsidR="00F33198" w:rsidRPr="00D319E0" w:rsidRDefault="00F33198" w:rsidP="00D319E0">
      <w:pPr>
        <w:spacing w:line="240" w:lineRule="auto"/>
        <w:jc w:val="left"/>
        <w:rPr>
          <w:rFonts w:ascii="Arial" w:eastAsia="TimesNewRomanPSMT" w:hAnsi="Arial" w:cs="Arial"/>
          <w:sz w:val="20"/>
          <w:szCs w:val="20"/>
          <w:lang w:eastAsia="en-ZA"/>
        </w:rPr>
      </w:pPr>
    </w:p>
    <w:p w:rsidR="00200371" w:rsidRPr="00D319E0" w:rsidRDefault="00C06359" w:rsidP="00D319E0">
      <w:pPr>
        <w:spacing w:line="240" w:lineRule="auto"/>
        <w:jc w:val="left"/>
        <w:rPr>
          <w:rFonts w:ascii="Arial" w:eastAsia="TimesNewRomanPSMT" w:hAnsi="Arial" w:cs="Arial"/>
          <w:sz w:val="20"/>
          <w:szCs w:val="20"/>
          <w:lang w:eastAsia="en-ZA"/>
        </w:rPr>
      </w:pPr>
      <w:r w:rsidRPr="00D319E0">
        <w:rPr>
          <w:rFonts w:ascii="Arial" w:eastAsia="TimesNewRomanPSMT" w:hAnsi="Arial" w:cs="Arial"/>
          <w:b/>
          <w:sz w:val="20"/>
          <w:szCs w:val="20"/>
          <w:lang w:eastAsia="en-ZA"/>
        </w:rPr>
        <w:t>Delay in drafting</w:t>
      </w:r>
      <w:r w:rsidR="00F80EC9" w:rsidRPr="00D319E0">
        <w:rPr>
          <w:rFonts w:ascii="Arial" w:eastAsia="TimesNewRomanPSMT" w:hAnsi="Arial" w:cs="Arial"/>
          <w:b/>
          <w:sz w:val="20"/>
          <w:szCs w:val="20"/>
          <w:lang w:eastAsia="en-ZA"/>
        </w:rPr>
        <w:t xml:space="preserve"> legislation</w:t>
      </w:r>
      <w:r w:rsidR="00EE77E7" w:rsidRPr="00D319E0">
        <w:rPr>
          <w:rFonts w:ascii="Arial" w:eastAsia="TimesNewRomanPSMT" w:hAnsi="Arial" w:cs="Arial"/>
          <w:b/>
          <w:sz w:val="20"/>
          <w:szCs w:val="20"/>
          <w:lang w:eastAsia="en-ZA"/>
        </w:rPr>
        <w:t>:</w:t>
      </w:r>
      <w:r w:rsidR="00EE77E7" w:rsidRPr="00D319E0">
        <w:rPr>
          <w:rFonts w:ascii="Arial" w:eastAsia="TimesNewRomanPSMT" w:hAnsi="Arial" w:cs="Arial"/>
          <w:sz w:val="20"/>
          <w:szCs w:val="20"/>
          <w:lang w:eastAsia="en-ZA"/>
        </w:rPr>
        <w:t xml:space="preserve"> </w:t>
      </w:r>
      <w:r w:rsidR="0084271F" w:rsidRPr="00D319E0">
        <w:rPr>
          <w:rFonts w:ascii="Arial" w:eastAsia="TimesNewRomanPSMT" w:hAnsi="Arial" w:cs="Arial"/>
          <w:sz w:val="20"/>
          <w:szCs w:val="20"/>
          <w:lang w:eastAsia="en-ZA"/>
        </w:rPr>
        <w:t xml:space="preserve">The </w:t>
      </w:r>
      <w:r w:rsidR="006D3D58" w:rsidRPr="00D319E0">
        <w:rPr>
          <w:rFonts w:ascii="Arial" w:eastAsia="TimesNewRomanPSMT" w:hAnsi="Arial" w:cs="Arial"/>
          <w:sz w:val="20"/>
          <w:szCs w:val="20"/>
          <w:lang w:eastAsia="en-ZA"/>
        </w:rPr>
        <w:t xml:space="preserve">delay in finalising, and submitting, draft legislation to Parliament was raised </w:t>
      </w:r>
      <w:r w:rsidR="00D75CBD" w:rsidRPr="00D319E0">
        <w:rPr>
          <w:rFonts w:ascii="Arial" w:eastAsia="TimesNewRomanPSMT" w:hAnsi="Arial" w:cs="Arial"/>
          <w:sz w:val="20"/>
          <w:szCs w:val="20"/>
          <w:lang w:eastAsia="en-ZA"/>
        </w:rPr>
        <w:t xml:space="preserve">as </w:t>
      </w:r>
      <w:r w:rsidR="006D3D58" w:rsidRPr="00D319E0">
        <w:rPr>
          <w:rFonts w:ascii="Arial" w:eastAsia="TimesNewRomanPSMT" w:hAnsi="Arial" w:cs="Arial"/>
          <w:sz w:val="20"/>
          <w:szCs w:val="20"/>
          <w:lang w:eastAsia="en-ZA"/>
        </w:rPr>
        <w:t xml:space="preserve">a key concern. The </w:t>
      </w:r>
      <w:r w:rsidR="0084271F" w:rsidRPr="00D319E0">
        <w:rPr>
          <w:rFonts w:ascii="Arial" w:eastAsia="TimesNewRomanPSMT" w:hAnsi="Arial" w:cs="Arial"/>
          <w:sz w:val="20"/>
          <w:szCs w:val="20"/>
          <w:lang w:eastAsia="en-ZA"/>
        </w:rPr>
        <w:t xml:space="preserve">Committee </w:t>
      </w:r>
      <w:r w:rsidR="006D3D58" w:rsidRPr="00D319E0">
        <w:rPr>
          <w:rFonts w:ascii="Arial" w:eastAsia="TimesNewRomanPSMT" w:hAnsi="Arial" w:cs="Arial"/>
          <w:sz w:val="20"/>
          <w:szCs w:val="20"/>
          <w:lang w:eastAsia="en-ZA"/>
        </w:rPr>
        <w:t xml:space="preserve">noted that several high impact Bills have been outstanding for more than a decade, among which is the SAPS Amendment Bill. The Committee expressed its dissatisfaction at the confirmation that the SAPS Amendment Bill will not be brought to Parliament in the </w:t>
      </w:r>
      <w:r w:rsidR="005B3EF7" w:rsidRPr="00D319E0">
        <w:rPr>
          <w:rFonts w:ascii="Arial" w:eastAsia="TimesNewRomanPSMT" w:hAnsi="Arial" w:cs="Arial"/>
          <w:sz w:val="20"/>
          <w:szCs w:val="20"/>
          <w:lang w:eastAsia="en-ZA"/>
        </w:rPr>
        <w:t>6</w:t>
      </w:r>
      <w:r w:rsidR="005B3EF7" w:rsidRPr="00D319E0">
        <w:rPr>
          <w:rFonts w:ascii="Arial" w:eastAsia="TimesNewRomanPSMT" w:hAnsi="Arial" w:cs="Arial"/>
          <w:sz w:val="20"/>
          <w:szCs w:val="20"/>
          <w:vertAlign w:val="superscript"/>
          <w:lang w:eastAsia="en-ZA"/>
        </w:rPr>
        <w:t>th</w:t>
      </w:r>
      <w:r w:rsidR="005B3EF7" w:rsidRPr="00D319E0">
        <w:rPr>
          <w:rFonts w:ascii="Arial" w:eastAsia="TimesNewRomanPSMT" w:hAnsi="Arial" w:cs="Arial"/>
          <w:sz w:val="20"/>
          <w:szCs w:val="20"/>
          <w:lang w:eastAsia="en-ZA"/>
        </w:rPr>
        <w:t xml:space="preserve"> Parliamentary term, due to the fact that the timeframe is too short to process the Bill and that the Leader of Government Business (Deputy President) has issued a directive that only legislation with Constitutional Court deadlines, and those already on the legislative schedule of Cabinet</w:t>
      </w:r>
      <w:r w:rsidR="00D75CBD" w:rsidRPr="00D319E0">
        <w:rPr>
          <w:rFonts w:ascii="Arial" w:eastAsia="TimesNewRomanPSMT" w:hAnsi="Arial" w:cs="Arial"/>
          <w:sz w:val="20"/>
          <w:szCs w:val="20"/>
          <w:lang w:eastAsia="en-ZA"/>
        </w:rPr>
        <w:t>,</w:t>
      </w:r>
      <w:r w:rsidR="005B3EF7" w:rsidRPr="00D319E0">
        <w:rPr>
          <w:rFonts w:ascii="Arial" w:eastAsia="TimesNewRomanPSMT" w:hAnsi="Arial" w:cs="Arial"/>
          <w:sz w:val="20"/>
          <w:szCs w:val="20"/>
          <w:lang w:eastAsia="en-ZA"/>
        </w:rPr>
        <w:t xml:space="preserve"> will be processed through Cabinet for submission to Parliament. The Committee noted that this directive should not be used as an excuse for not finalising the SAPS Amendment Bill, as the Bill has been outstanding for almost 25 years and still predates the 1996 Constitution. The failure is laid at the feet of the Department for not allowing adequate time to process the Bill. The Committee noted that only the IPID Amendment Bill will be targeted for completion within the remainder of the 6</w:t>
      </w:r>
      <w:r w:rsidR="005B3EF7" w:rsidRPr="00D319E0">
        <w:rPr>
          <w:rFonts w:ascii="Arial" w:eastAsia="TimesNewRomanPSMT" w:hAnsi="Arial" w:cs="Arial"/>
          <w:sz w:val="20"/>
          <w:szCs w:val="20"/>
          <w:vertAlign w:val="superscript"/>
          <w:lang w:eastAsia="en-ZA"/>
        </w:rPr>
        <w:t>th</w:t>
      </w:r>
      <w:r w:rsidR="005B3EF7" w:rsidRPr="00D319E0">
        <w:rPr>
          <w:rFonts w:ascii="Arial" w:eastAsia="TimesNewRomanPSMT" w:hAnsi="Arial" w:cs="Arial"/>
          <w:sz w:val="20"/>
          <w:szCs w:val="20"/>
          <w:lang w:eastAsia="en-ZA"/>
        </w:rPr>
        <w:t xml:space="preserve"> Parliamentary term.  </w:t>
      </w:r>
      <w:r w:rsidR="006D3D58" w:rsidRPr="00D319E0">
        <w:rPr>
          <w:rFonts w:ascii="Arial" w:hAnsi="Arial" w:cs="Arial"/>
          <w:sz w:val="20"/>
          <w:szCs w:val="20"/>
          <w:lang w:val="en-US"/>
        </w:rPr>
        <w:t xml:space="preserve">In light thereof, the Committee questioned whether the Department’s APP should not be amended to indicate that only one Bill (instead of two) is planned for finalisation in the 2023/24 financial year. </w:t>
      </w:r>
    </w:p>
    <w:p w:rsidR="00200371" w:rsidRPr="00D319E0" w:rsidRDefault="00200371" w:rsidP="00D319E0">
      <w:pPr>
        <w:spacing w:line="240" w:lineRule="auto"/>
        <w:jc w:val="left"/>
        <w:rPr>
          <w:rFonts w:ascii="Arial" w:hAnsi="Arial" w:cs="Arial"/>
          <w:sz w:val="20"/>
          <w:szCs w:val="20"/>
        </w:rPr>
      </w:pPr>
    </w:p>
    <w:p w:rsidR="00200371" w:rsidRPr="00D319E0" w:rsidRDefault="005B3EF7" w:rsidP="00D319E0">
      <w:pPr>
        <w:spacing w:line="240" w:lineRule="auto"/>
        <w:jc w:val="left"/>
        <w:rPr>
          <w:rFonts w:ascii="Arial" w:hAnsi="Arial" w:cs="Arial"/>
          <w:sz w:val="20"/>
          <w:szCs w:val="20"/>
          <w:lang w:val="en-US"/>
        </w:rPr>
      </w:pPr>
      <w:r w:rsidRPr="00D319E0">
        <w:rPr>
          <w:rFonts w:ascii="Arial" w:hAnsi="Arial" w:cs="Arial"/>
          <w:b/>
          <w:sz w:val="20"/>
          <w:szCs w:val="20"/>
          <w:lang w:val="en-US"/>
        </w:rPr>
        <w:t>Relevant c</w:t>
      </w:r>
      <w:r w:rsidR="00200371" w:rsidRPr="00D319E0">
        <w:rPr>
          <w:rFonts w:ascii="Arial" w:hAnsi="Arial" w:cs="Arial"/>
          <w:b/>
          <w:sz w:val="20"/>
          <w:szCs w:val="20"/>
          <w:lang w:val="en-US"/>
        </w:rPr>
        <w:t>ourt rulings:</w:t>
      </w:r>
      <w:r w:rsidR="00200371" w:rsidRPr="00D319E0">
        <w:rPr>
          <w:rFonts w:ascii="Arial" w:hAnsi="Arial" w:cs="Arial"/>
          <w:sz w:val="20"/>
          <w:szCs w:val="20"/>
          <w:lang w:val="en-US"/>
        </w:rPr>
        <w:t xml:space="preserve">  </w:t>
      </w:r>
      <w:r w:rsidRPr="00D319E0">
        <w:rPr>
          <w:rFonts w:ascii="Arial" w:hAnsi="Arial" w:cs="Arial"/>
          <w:sz w:val="20"/>
          <w:szCs w:val="20"/>
          <w:lang w:val="en-US"/>
        </w:rPr>
        <w:t xml:space="preserve">The Committee noted with concern the number of </w:t>
      </w:r>
      <w:r w:rsidR="009A229C" w:rsidRPr="00D319E0">
        <w:rPr>
          <w:rFonts w:ascii="Arial" w:hAnsi="Arial" w:cs="Arial"/>
          <w:sz w:val="20"/>
          <w:szCs w:val="20"/>
          <w:lang w:val="en-US"/>
        </w:rPr>
        <w:t xml:space="preserve">court rulings that impact on legislation within the policing environment and note that these judgements must be taken into account when drafting the affected Acts. The Committee further noted that several of the judgements declared specific parts of the SAPS Act, IPID Act and Regulation of Gatherings Act unconstitutional and that these must be remedied as a matter of urgency.  </w:t>
      </w:r>
    </w:p>
    <w:p w:rsidR="00200371" w:rsidRPr="00D319E0" w:rsidRDefault="00200371" w:rsidP="00D319E0">
      <w:pPr>
        <w:spacing w:line="240" w:lineRule="auto"/>
        <w:jc w:val="left"/>
        <w:rPr>
          <w:rFonts w:ascii="Arial" w:hAnsi="Arial" w:cs="Arial"/>
          <w:sz w:val="20"/>
          <w:szCs w:val="20"/>
        </w:rPr>
      </w:pPr>
    </w:p>
    <w:p w:rsidR="00FB33B9" w:rsidRPr="00D319E0" w:rsidRDefault="00FB33B9" w:rsidP="00D319E0">
      <w:pPr>
        <w:pStyle w:val="Heading1"/>
        <w:numPr>
          <w:ilvl w:val="0"/>
          <w:numId w:val="19"/>
        </w:numPr>
        <w:spacing w:before="0" w:line="240" w:lineRule="auto"/>
        <w:jc w:val="left"/>
        <w:rPr>
          <w:rFonts w:ascii="Arial" w:hAnsi="Arial" w:cs="Arial"/>
          <w:sz w:val="20"/>
          <w:szCs w:val="20"/>
        </w:rPr>
      </w:pPr>
      <w:r w:rsidRPr="00D319E0">
        <w:rPr>
          <w:rFonts w:ascii="Arial" w:hAnsi="Arial" w:cs="Arial"/>
          <w:sz w:val="20"/>
          <w:szCs w:val="20"/>
        </w:rPr>
        <w:t xml:space="preserve">Committee recommendations </w:t>
      </w:r>
    </w:p>
    <w:p w:rsidR="00FB33B9" w:rsidRPr="00D319E0" w:rsidRDefault="00FB33B9" w:rsidP="00D319E0">
      <w:pPr>
        <w:spacing w:line="240" w:lineRule="auto"/>
        <w:jc w:val="left"/>
        <w:rPr>
          <w:rFonts w:ascii="Arial" w:hAnsi="Arial" w:cs="Arial"/>
          <w:sz w:val="20"/>
          <w:szCs w:val="20"/>
        </w:rPr>
      </w:pPr>
    </w:p>
    <w:p w:rsidR="00C841CB" w:rsidRPr="00D319E0" w:rsidRDefault="00C841CB" w:rsidP="00D319E0">
      <w:pPr>
        <w:pStyle w:val="Heading2"/>
        <w:numPr>
          <w:ilvl w:val="1"/>
          <w:numId w:val="19"/>
        </w:numPr>
        <w:spacing w:before="0" w:line="240" w:lineRule="auto"/>
        <w:rPr>
          <w:rFonts w:ascii="Arial" w:hAnsi="Arial" w:cs="Arial"/>
          <w:sz w:val="20"/>
          <w:szCs w:val="20"/>
        </w:rPr>
      </w:pPr>
      <w:r w:rsidRPr="00D319E0">
        <w:rPr>
          <w:rFonts w:ascii="Arial" w:hAnsi="Arial" w:cs="Arial"/>
          <w:sz w:val="20"/>
          <w:szCs w:val="20"/>
        </w:rPr>
        <w:t>Recommendations</w:t>
      </w:r>
    </w:p>
    <w:p w:rsidR="00C841CB" w:rsidRPr="00D319E0" w:rsidRDefault="00C841CB" w:rsidP="00D319E0">
      <w:pPr>
        <w:spacing w:line="240" w:lineRule="auto"/>
        <w:jc w:val="left"/>
        <w:rPr>
          <w:rFonts w:ascii="Arial" w:hAnsi="Arial" w:cs="Arial"/>
          <w:sz w:val="20"/>
          <w:szCs w:val="20"/>
        </w:rPr>
      </w:pPr>
    </w:p>
    <w:p w:rsidR="005D10C1" w:rsidRPr="00D319E0" w:rsidRDefault="00952CEB" w:rsidP="00D319E0">
      <w:pPr>
        <w:spacing w:line="240" w:lineRule="auto"/>
        <w:jc w:val="left"/>
        <w:rPr>
          <w:rFonts w:ascii="Arial" w:hAnsi="Arial" w:cs="Arial"/>
          <w:bCs/>
          <w:sz w:val="20"/>
          <w:szCs w:val="20"/>
          <w:lang w:eastAsia="en-ZA"/>
        </w:rPr>
      </w:pPr>
      <w:r w:rsidRPr="00D319E0">
        <w:rPr>
          <w:rFonts w:ascii="Arial" w:hAnsi="Arial" w:cs="Arial"/>
          <w:bCs/>
          <w:sz w:val="20"/>
          <w:szCs w:val="20"/>
          <w:lang w:eastAsia="en-ZA"/>
        </w:rPr>
        <w:t>The Committee made the following recommendations:</w:t>
      </w:r>
    </w:p>
    <w:p w:rsidR="005D10C1" w:rsidRPr="00D319E0" w:rsidRDefault="005D10C1" w:rsidP="00D319E0">
      <w:pPr>
        <w:spacing w:line="240" w:lineRule="auto"/>
        <w:jc w:val="left"/>
        <w:rPr>
          <w:rFonts w:ascii="Arial" w:hAnsi="Arial" w:cs="Arial"/>
          <w:bCs/>
          <w:sz w:val="20"/>
          <w:szCs w:val="20"/>
          <w:lang w:eastAsia="en-ZA"/>
        </w:rPr>
      </w:pPr>
    </w:p>
    <w:p w:rsidR="008D0C6C" w:rsidRPr="00D319E0" w:rsidRDefault="008D0C6C" w:rsidP="00D319E0">
      <w:pPr>
        <w:pStyle w:val="ListParagraph"/>
        <w:numPr>
          <w:ilvl w:val="0"/>
          <w:numId w:val="30"/>
        </w:numPr>
        <w:spacing w:line="240" w:lineRule="auto"/>
        <w:jc w:val="left"/>
        <w:rPr>
          <w:rFonts w:ascii="Arial" w:hAnsi="Arial" w:cs="Arial"/>
          <w:bCs/>
          <w:sz w:val="20"/>
          <w:szCs w:val="20"/>
          <w:lang w:eastAsia="en-ZA"/>
        </w:rPr>
      </w:pPr>
      <w:r w:rsidRPr="00D319E0">
        <w:rPr>
          <w:rFonts w:ascii="Arial" w:hAnsi="Arial" w:cs="Arial"/>
          <w:bCs/>
          <w:sz w:val="20"/>
          <w:szCs w:val="20"/>
          <w:lang w:eastAsia="en-ZA"/>
        </w:rPr>
        <w:t>The Committee recommends that the Department should further analyse the impact that their programmes</w:t>
      </w:r>
      <w:r w:rsidR="001027BE" w:rsidRPr="00D319E0">
        <w:rPr>
          <w:rFonts w:ascii="Arial" w:hAnsi="Arial" w:cs="Arial"/>
          <w:bCs/>
          <w:sz w:val="20"/>
          <w:szCs w:val="20"/>
          <w:lang w:eastAsia="en-ZA"/>
        </w:rPr>
        <w:t xml:space="preserve"> and performance indicators</w:t>
      </w:r>
      <w:r w:rsidRPr="00D319E0">
        <w:rPr>
          <w:rFonts w:ascii="Arial" w:hAnsi="Arial" w:cs="Arial"/>
          <w:bCs/>
          <w:sz w:val="20"/>
          <w:szCs w:val="20"/>
          <w:lang w:eastAsia="en-ZA"/>
        </w:rPr>
        <w:t xml:space="preserve"> have on the professionalisation of the SAPS. </w:t>
      </w:r>
    </w:p>
    <w:p w:rsidR="009A229C" w:rsidRPr="00D319E0" w:rsidRDefault="009A229C" w:rsidP="00D319E0">
      <w:pPr>
        <w:pStyle w:val="ListParagraph"/>
        <w:spacing w:line="240" w:lineRule="auto"/>
        <w:jc w:val="left"/>
        <w:rPr>
          <w:rFonts w:ascii="Arial" w:hAnsi="Arial" w:cs="Arial"/>
          <w:bCs/>
          <w:sz w:val="20"/>
          <w:szCs w:val="20"/>
          <w:lang w:eastAsia="en-ZA"/>
        </w:rPr>
      </w:pPr>
    </w:p>
    <w:p w:rsidR="00A66BE7" w:rsidRPr="00D319E0" w:rsidRDefault="00AD46C3" w:rsidP="00D319E0">
      <w:pPr>
        <w:pStyle w:val="ListParagraph"/>
        <w:numPr>
          <w:ilvl w:val="0"/>
          <w:numId w:val="30"/>
        </w:numPr>
        <w:spacing w:line="240" w:lineRule="auto"/>
        <w:jc w:val="left"/>
        <w:rPr>
          <w:rFonts w:ascii="Arial" w:hAnsi="Arial" w:cs="Arial"/>
          <w:bCs/>
          <w:sz w:val="20"/>
          <w:szCs w:val="20"/>
          <w:lang w:eastAsia="en-ZA"/>
        </w:rPr>
      </w:pPr>
      <w:r w:rsidRPr="00D319E0">
        <w:rPr>
          <w:rFonts w:ascii="Arial" w:hAnsi="Arial" w:cs="Arial"/>
          <w:bCs/>
          <w:sz w:val="20"/>
          <w:szCs w:val="20"/>
          <w:lang w:eastAsia="en-ZA"/>
        </w:rPr>
        <w:t>The Committee recommends that the Department should intensify efforts to submit legislation to the Minister for tabli</w:t>
      </w:r>
      <w:r w:rsidR="009A229C" w:rsidRPr="00D319E0">
        <w:rPr>
          <w:rFonts w:ascii="Arial" w:hAnsi="Arial" w:cs="Arial"/>
          <w:bCs/>
          <w:sz w:val="20"/>
          <w:szCs w:val="20"/>
          <w:lang w:eastAsia="en-ZA"/>
        </w:rPr>
        <w:t xml:space="preserve">ng in Parliament. The Department’s legislative drafting capacity should be increased significantly to reduce the backlog in drafting legislation, further noting that this is a specialised and scarce skill. </w:t>
      </w:r>
    </w:p>
    <w:p w:rsidR="00185866" w:rsidRPr="00D319E0" w:rsidRDefault="00185866" w:rsidP="00D319E0">
      <w:pPr>
        <w:pStyle w:val="ListParagraph"/>
        <w:spacing w:line="240" w:lineRule="auto"/>
        <w:jc w:val="left"/>
        <w:rPr>
          <w:rFonts w:ascii="Arial" w:hAnsi="Arial" w:cs="Arial"/>
          <w:bCs/>
          <w:sz w:val="20"/>
          <w:szCs w:val="20"/>
          <w:lang w:eastAsia="en-ZA"/>
        </w:rPr>
      </w:pPr>
    </w:p>
    <w:p w:rsidR="00185866" w:rsidRPr="00D319E0" w:rsidRDefault="00185866" w:rsidP="00D319E0">
      <w:pPr>
        <w:pStyle w:val="ListParagraph"/>
        <w:numPr>
          <w:ilvl w:val="0"/>
          <w:numId w:val="30"/>
        </w:numPr>
        <w:spacing w:line="240" w:lineRule="auto"/>
        <w:jc w:val="left"/>
        <w:rPr>
          <w:rFonts w:ascii="Arial" w:hAnsi="Arial" w:cs="Arial"/>
          <w:bCs/>
          <w:sz w:val="20"/>
          <w:szCs w:val="20"/>
          <w:lang w:eastAsia="en-ZA"/>
        </w:rPr>
      </w:pPr>
      <w:r w:rsidRPr="00D319E0">
        <w:rPr>
          <w:rFonts w:ascii="Arial" w:hAnsi="Arial" w:cs="Arial"/>
          <w:bCs/>
          <w:sz w:val="20"/>
          <w:szCs w:val="20"/>
          <w:lang w:eastAsia="en-ZA"/>
        </w:rPr>
        <w:lastRenderedPageBreak/>
        <w:t xml:space="preserve">The Committee recommends that the Department should seize the opportunity </w:t>
      </w:r>
      <w:r w:rsidR="001027BE" w:rsidRPr="00D319E0">
        <w:rPr>
          <w:rFonts w:ascii="Arial" w:hAnsi="Arial" w:cs="Arial"/>
          <w:bCs/>
          <w:sz w:val="20"/>
          <w:szCs w:val="20"/>
          <w:lang w:eastAsia="en-ZA"/>
        </w:rPr>
        <w:t xml:space="preserve">when amending its guiding legislation to clarify and strengthen its mandate to give effect to its Constitutional mandate and intensify its role in professionalising the South African Police Service.  </w:t>
      </w:r>
    </w:p>
    <w:p w:rsidR="00C841CB" w:rsidRPr="00D319E0" w:rsidRDefault="00C841CB" w:rsidP="00D319E0">
      <w:pPr>
        <w:spacing w:line="240" w:lineRule="auto"/>
        <w:jc w:val="left"/>
        <w:rPr>
          <w:rFonts w:ascii="Arial" w:hAnsi="Arial" w:cs="Arial"/>
          <w:sz w:val="20"/>
          <w:szCs w:val="20"/>
        </w:rPr>
      </w:pPr>
    </w:p>
    <w:p w:rsidR="006160F2" w:rsidRPr="00D319E0" w:rsidRDefault="006160F2" w:rsidP="00D319E0">
      <w:pPr>
        <w:pStyle w:val="Heading1"/>
        <w:numPr>
          <w:ilvl w:val="0"/>
          <w:numId w:val="19"/>
        </w:numPr>
        <w:spacing w:before="0" w:line="240" w:lineRule="auto"/>
        <w:jc w:val="left"/>
        <w:rPr>
          <w:rFonts w:ascii="Arial" w:hAnsi="Arial" w:cs="Arial"/>
          <w:sz w:val="20"/>
          <w:szCs w:val="20"/>
        </w:rPr>
      </w:pPr>
      <w:r w:rsidRPr="00D319E0">
        <w:rPr>
          <w:rFonts w:ascii="Arial" w:hAnsi="Arial" w:cs="Arial"/>
          <w:sz w:val="20"/>
          <w:szCs w:val="20"/>
        </w:rPr>
        <w:t>Conclusion</w:t>
      </w:r>
      <w:bookmarkEnd w:id="17"/>
      <w:r w:rsidRPr="00D319E0">
        <w:rPr>
          <w:rFonts w:ascii="Arial" w:hAnsi="Arial" w:cs="Arial"/>
          <w:sz w:val="20"/>
          <w:szCs w:val="20"/>
        </w:rPr>
        <w:t xml:space="preserve"> </w:t>
      </w:r>
    </w:p>
    <w:p w:rsidR="006160F2" w:rsidRPr="00D319E0" w:rsidRDefault="006160F2" w:rsidP="00D319E0">
      <w:pPr>
        <w:pStyle w:val="Heading1"/>
        <w:spacing w:before="0" w:line="240" w:lineRule="auto"/>
        <w:jc w:val="left"/>
        <w:rPr>
          <w:rFonts w:ascii="Arial" w:hAnsi="Arial" w:cs="Arial"/>
          <w:sz w:val="20"/>
          <w:szCs w:val="20"/>
        </w:rPr>
      </w:pPr>
    </w:p>
    <w:p w:rsidR="006160F2" w:rsidRPr="00D319E0" w:rsidRDefault="006160F2" w:rsidP="00D319E0">
      <w:pPr>
        <w:spacing w:line="240" w:lineRule="auto"/>
        <w:jc w:val="left"/>
        <w:rPr>
          <w:rFonts w:ascii="Arial" w:hAnsi="Arial" w:cs="Arial"/>
          <w:sz w:val="20"/>
          <w:szCs w:val="20"/>
        </w:rPr>
      </w:pPr>
      <w:r w:rsidRPr="00D319E0">
        <w:rPr>
          <w:rFonts w:ascii="Arial" w:hAnsi="Arial" w:cs="Arial"/>
          <w:sz w:val="20"/>
          <w:szCs w:val="20"/>
        </w:rPr>
        <w:t xml:space="preserve">The CSPS must prioritise its role to reduce violent crime through the promotion of a more active citizenry and the establishment of a new social compact. A key aspect thereof is the effective implementation of the 2016 White Paper on Safety and Security, which </w:t>
      </w:r>
      <w:r w:rsidRPr="00D319E0">
        <w:rPr>
          <w:rFonts w:ascii="Arial" w:hAnsi="Arial" w:cs="Arial"/>
          <w:sz w:val="20"/>
          <w:szCs w:val="20"/>
          <w:lang w:eastAsia="en-ZA"/>
        </w:rPr>
        <w:t xml:space="preserve">focuses on realising the Vision 2030 and </w:t>
      </w:r>
      <w:r w:rsidR="006D0745" w:rsidRPr="00D319E0">
        <w:rPr>
          <w:rFonts w:ascii="Arial" w:hAnsi="Arial" w:cs="Arial"/>
          <w:sz w:val="20"/>
          <w:szCs w:val="20"/>
          <w:lang w:eastAsia="en-ZA"/>
        </w:rPr>
        <w:t xml:space="preserve">creating an </w:t>
      </w:r>
      <w:r w:rsidRPr="00D319E0">
        <w:rPr>
          <w:rFonts w:ascii="Arial" w:hAnsi="Arial" w:cs="Arial"/>
          <w:sz w:val="20"/>
          <w:szCs w:val="20"/>
          <w:lang w:eastAsia="en-ZA"/>
        </w:rPr>
        <w:t xml:space="preserve">integrated and holistic approach to safety and security across all </w:t>
      </w:r>
      <w:r w:rsidR="00FB7388" w:rsidRPr="00D319E0">
        <w:rPr>
          <w:rFonts w:ascii="Arial" w:hAnsi="Arial" w:cs="Arial"/>
          <w:sz w:val="20"/>
          <w:szCs w:val="20"/>
          <w:lang w:eastAsia="en-ZA"/>
        </w:rPr>
        <w:t>G</w:t>
      </w:r>
      <w:r w:rsidRPr="00D319E0">
        <w:rPr>
          <w:rFonts w:ascii="Arial" w:hAnsi="Arial" w:cs="Arial"/>
          <w:sz w:val="20"/>
          <w:szCs w:val="20"/>
          <w:lang w:eastAsia="en-ZA"/>
        </w:rPr>
        <w:t>overnment departments and civil society.</w:t>
      </w:r>
      <w:r w:rsidR="004B2FF2" w:rsidRPr="00D319E0">
        <w:rPr>
          <w:rFonts w:ascii="Arial" w:hAnsi="Arial" w:cs="Arial"/>
          <w:sz w:val="20"/>
          <w:szCs w:val="20"/>
        </w:rPr>
        <w:t xml:space="preserve"> </w:t>
      </w:r>
    </w:p>
    <w:p w:rsidR="0048063E" w:rsidRPr="00D319E0" w:rsidRDefault="0048063E" w:rsidP="00D319E0">
      <w:pPr>
        <w:spacing w:line="240" w:lineRule="auto"/>
        <w:jc w:val="left"/>
        <w:rPr>
          <w:rFonts w:ascii="Arial" w:hAnsi="Arial" w:cs="Arial"/>
          <w:sz w:val="20"/>
          <w:szCs w:val="20"/>
        </w:rPr>
      </w:pPr>
    </w:p>
    <w:p w:rsidR="0048063E" w:rsidRPr="00D319E0" w:rsidRDefault="0048063E" w:rsidP="00D319E0">
      <w:pPr>
        <w:autoSpaceDE w:val="0"/>
        <w:autoSpaceDN w:val="0"/>
        <w:adjustRightInd w:val="0"/>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The Portfolio Committee on Police supports the budget of the Civilian Secretariat for Police Service (CSPS) for 202</w:t>
      </w:r>
      <w:r w:rsidR="00670DE6" w:rsidRPr="00D319E0">
        <w:rPr>
          <w:rFonts w:ascii="Arial" w:eastAsia="TimesNewRomanPSMT" w:hAnsi="Arial" w:cs="Arial"/>
          <w:sz w:val="20"/>
          <w:szCs w:val="20"/>
          <w:lang w:eastAsia="en-ZA"/>
        </w:rPr>
        <w:t>3</w:t>
      </w:r>
      <w:r w:rsidRPr="00D319E0">
        <w:rPr>
          <w:rFonts w:ascii="Arial" w:eastAsia="TimesNewRomanPSMT" w:hAnsi="Arial" w:cs="Arial"/>
          <w:sz w:val="20"/>
          <w:szCs w:val="20"/>
          <w:lang w:eastAsia="en-ZA"/>
        </w:rPr>
        <w:t>/2</w:t>
      </w:r>
      <w:r w:rsidR="00670DE6" w:rsidRPr="00D319E0">
        <w:rPr>
          <w:rFonts w:ascii="Arial" w:eastAsia="TimesNewRomanPSMT" w:hAnsi="Arial" w:cs="Arial"/>
          <w:sz w:val="20"/>
          <w:szCs w:val="20"/>
          <w:lang w:eastAsia="en-ZA"/>
        </w:rPr>
        <w:t>4</w:t>
      </w:r>
      <w:r w:rsidRPr="00D319E0">
        <w:rPr>
          <w:rFonts w:ascii="Arial" w:eastAsia="TimesNewRomanPSMT" w:hAnsi="Arial" w:cs="Arial"/>
          <w:sz w:val="20"/>
          <w:szCs w:val="20"/>
          <w:lang w:eastAsia="en-ZA"/>
        </w:rPr>
        <w:t xml:space="preserve"> and recommends that the Budget Vote 21 be adopted.</w:t>
      </w:r>
    </w:p>
    <w:p w:rsidR="001A43F5" w:rsidRPr="00D319E0" w:rsidRDefault="001A43F5" w:rsidP="00D319E0">
      <w:pPr>
        <w:spacing w:line="240" w:lineRule="auto"/>
        <w:jc w:val="left"/>
        <w:rPr>
          <w:rFonts w:ascii="Arial" w:eastAsia="TimesNewRomanPSMT" w:hAnsi="Arial" w:cs="Arial"/>
          <w:sz w:val="20"/>
          <w:szCs w:val="20"/>
          <w:lang w:eastAsia="en-ZA"/>
        </w:rPr>
      </w:pPr>
    </w:p>
    <w:p w:rsidR="00ED11C4" w:rsidRPr="00D319E0" w:rsidRDefault="00FD7FD3" w:rsidP="00D319E0">
      <w:pPr>
        <w:spacing w:line="240" w:lineRule="auto"/>
        <w:jc w:val="left"/>
        <w:rPr>
          <w:rFonts w:ascii="Arial" w:eastAsia="TimesNewRomanPSMT" w:hAnsi="Arial" w:cs="Arial"/>
          <w:sz w:val="20"/>
          <w:szCs w:val="20"/>
          <w:lang w:eastAsia="en-ZA"/>
        </w:rPr>
      </w:pPr>
      <w:r w:rsidRPr="00D319E0">
        <w:rPr>
          <w:rFonts w:ascii="Arial" w:eastAsia="TimesNewRomanPSMT" w:hAnsi="Arial" w:cs="Arial"/>
          <w:sz w:val="20"/>
          <w:szCs w:val="20"/>
          <w:lang w:eastAsia="en-ZA"/>
        </w:rPr>
        <w:t>The Democratic Alliance (DA) and Economic Freedom Fighters (EFF) reserve their rights.</w:t>
      </w:r>
    </w:p>
    <w:p w:rsidR="00FD7FD3" w:rsidRPr="00D319E0" w:rsidRDefault="00FD7FD3" w:rsidP="00D319E0">
      <w:pPr>
        <w:spacing w:line="240" w:lineRule="auto"/>
        <w:jc w:val="left"/>
        <w:rPr>
          <w:rFonts w:ascii="Arial" w:eastAsia="TimesNewRomanPSMT" w:hAnsi="Arial" w:cs="Arial"/>
          <w:b/>
          <w:bCs/>
          <w:sz w:val="20"/>
          <w:szCs w:val="20"/>
          <w:lang w:eastAsia="en-ZA"/>
        </w:rPr>
      </w:pPr>
    </w:p>
    <w:p w:rsidR="00C924E4" w:rsidRPr="00D319E0" w:rsidRDefault="00670DE6" w:rsidP="00D319E0">
      <w:pPr>
        <w:spacing w:line="240" w:lineRule="auto"/>
        <w:jc w:val="left"/>
        <w:rPr>
          <w:rFonts w:ascii="Arial" w:hAnsi="Arial" w:cs="Arial"/>
          <w:sz w:val="20"/>
          <w:szCs w:val="20"/>
        </w:rPr>
      </w:pPr>
      <w:r w:rsidRPr="00D319E0">
        <w:rPr>
          <w:rFonts w:ascii="Arial" w:eastAsia="TimesNewRomanPSMT" w:hAnsi="Arial" w:cs="Arial"/>
          <w:b/>
          <w:bCs/>
          <w:sz w:val="20"/>
          <w:szCs w:val="20"/>
          <w:lang w:eastAsia="en-ZA"/>
        </w:rPr>
        <w:t>Report to be considered.</w:t>
      </w:r>
    </w:p>
    <w:p w:rsidR="00C924E4" w:rsidRPr="00D319E0" w:rsidRDefault="00C924E4" w:rsidP="00D319E0">
      <w:pPr>
        <w:spacing w:line="240" w:lineRule="auto"/>
        <w:jc w:val="left"/>
        <w:rPr>
          <w:rFonts w:ascii="Arial" w:hAnsi="Arial" w:cs="Arial"/>
          <w:sz w:val="20"/>
          <w:szCs w:val="20"/>
        </w:rPr>
      </w:pPr>
    </w:p>
    <w:sectPr w:rsidR="00C924E4" w:rsidRPr="00D319E0" w:rsidSect="00D000DA">
      <w:headerReference w:type="default" r:id="rId8"/>
      <w:footerReference w:type="default" r:id="rId9"/>
      <w:footerReference w:type="first" r:id="rId10"/>
      <w:pgSz w:w="11906" w:h="16838"/>
      <w:pgMar w:top="993"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020" w:rsidRDefault="00481020" w:rsidP="00BE1544">
      <w:pPr>
        <w:spacing w:line="240" w:lineRule="auto"/>
      </w:pPr>
      <w:r>
        <w:separator/>
      </w:r>
    </w:p>
  </w:endnote>
  <w:endnote w:type="continuationSeparator" w:id="0">
    <w:p w:rsidR="00481020" w:rsidRDefault="00481020"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31" w:rsidRDefault="009D7631" w:rsidP="00BE1544">
    <w:pPr>
      <w:pStyle w:val="Footer"/>
    </w:pPr>
    <w:r>
      <w:rPr>
        <w:rFonts w:cs="Arial"/>
        <w:sz w:val="16"/>
        <w:szCs w:val="16"/>
      </w:rPr>
      <w:t xml:space="preserve">                                                                                                                                                                                      </w:t>
    </w:r>
    <w:r w:rsidRPr="00BE1544">
      <w:rPr>
        <w:rFonts w:cs="Arial"/>
        <w:sz w:val="16"/>
        <w:szCs w:val="16"/>
      </w:rPr>
      <w:t xml:space="preserve">Page </w:t>
    </w:r>
    <w:r w:rsidR="000660E6" w:rsidRPr="00BE1544">
      <w:rPr>
        <w:rFonts w:cs="Arial"/>
        <w:bCs/>
        <w:sz w:val="16"/>
        <w:szCs w:val="16"/>
      </w:rPr>
      <w:fldChar w:fldCharType="begin"/>
    </w:r>
    <w:r w:rsidRPr="00BE1544">
      <w:rPr>
        <w:rFonts w:cs="Arial"/>
        <w:bCs/>
        <w:sz w:val="16"/>
        <w:szCs w:val="16"/>
      </w:rPr>
      <w:instrText xml:space="preserve"> PAGE </w:instrText>
    </w:r>
    <w:r w:rsidR="000660E6" w:rsidRPr="00BE1544">
      <w:rPr>
        <w:rFonts w:cs="Arial"/>
        <w:bCs/>
        <w:sz w:val="16"/>
        <w:szCs w:val="16"/>
      </w:rPr>
      <w:fldChar w:fldCharType="separate"/>
    </w:r>
    <w:r w:rsidR="00D319E0">
      <w:rPr>
        <w:rFonts w:cs="Arial"/>
        <w:bCs/>
        <w:noProof/>
        <w:sz w:val="16"/>
        <w:szCs w:val="16"/>
      </w:rPr>
      <w:t>14</w:t>
    </w:r>
    <w:r w:rsidR="000660E6" w:rsidRPr="00BE1544">
      <w:rPr>
        <w:rFonts w:cs="Arial"/>
        <w:bCs/>
        <w:sz w:val="16"/>
        <w:szCs w:val="16"/>
      </w:rPr>
      <w:fldChar w:fldCharType="end"/>
    </w:r>
    <w:r w:rsidRPr="00BE1544">
      <w:rPr>
        <w:rFonts w:cs="Arial"/>
        <w:sz w:val="16"/>
        <w:szCs w:val="16"/>
      </w:rPr>
      <w:t xml:space="preserve"> of </w:t>
    </w:r>
    <w:r w:rsidR="000660E6" w:rsidRPr="00BE1544">
      <w:rPr>
        <w:rFonts w:cs="Arial"/>
        <w:bCs/>
        <w:sz w:val="16"/>
        <w:szCs w:val="16"/>
      </w:rPr>
      <w:fldChar w:fldCharType="begin"/>
    </w:r>
    <w:r w:rsidRPr="00BE1544">
      <w:rPr>
        <w:rFonts w:cs="Arial"/>
        <w:bCs/>
        <w:sz w:val="16"/>
        <w:szCs w:val="16"/>
      </w:rPr>
      <w:instrText xml:space="preserve"> NUMPAGES  </w:instrText>
    </w:r>
    <w:r w:rsidR="000660E6" w:rsidRPr="00BE1544">
      <w:rPr>
        <w:rFonts w:cs="Arial"/>
        <w:bCs/>
        <w:sz w:val="16"/>
        <w:szCs w:val="16"/>
      </w:rPr>
      <w:fldChar w:fldCharType="separate"/>
    </w:r>
    <w:r w:rsidR="00D319E0">
      <w:rPr>
        <w:rFonts w:cs="Arial"/>
        <w:bCs/>
        <w:noProof/>
        <w:sz w:val="16"/>
        <w:szCs w:val="16"/>
      </w:rPr>
      <w:t>16</w:t>
    </w:r>
    <w:r w:rsidR="000660E6" w:rsidRPr="00BE1544">
      <w:rPr>
        <w:rFonts w:cs="Arial"/>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31" w:rsidRPr="00BE1544" w:rsidRDefault="009D7631">
    <w:pPr>
      <w:pStyle w:val="Footer"/>
      <w:rPr>
        <w:rFonts w:cs="Arial"/>
        <w:sz w:val="16"/>
        <w:szCs w:val="16"/>
      </w:rPr>
    </w:pPr>
    <w:r>
      <w:rPr>
        <w:rFonts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020" w:rsidRDefault="00481020" w:rsidP="00BE1544">
      <w:pPr>
        <w:spacing w:line="240" w:lineRule="auto"/>
      </w:pPr>
      <w:r>
        <w:separator/>
      </w:r>
    </w:p>
  </w:footnote>
  <w:footnote w:type="continuationSeparator" w:id="0">
    <w:p w:rsidR="00481020" w:rsidRDefault="00481020" w:rsidP="00BE15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31" w:rsidRDefault="009D7631">
    <w:pPr>
      <w:pStyle w:val="Header"/>
    </w:pPr>
  </w:p>
  <w:p w:rsidR="009D7631" w:rsidRDefault="009D76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B87"/>
    <w:multiLevelType w:val="hybridMultilevel"/>
    <w:tmpl w:val="86B67A0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4A39F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A5685A"/>
    <w:multiLevelType w:val="hybridMultilevel"/>
    <w:tmpl w:val="34061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7C1E02"/>
    <w:multiLevelType w:val="hybridMultilevel"/>
    <w:tmpl w:val="A3F225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83481F"/>
    <w:multiLevelType w:val="hybridMultilevel"/>
    <w:tmpl w:val="F3769D5C"/>
    <w:lvl w:ilvl="0" w:tplc="641ABB2A">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2048EC"/>
    <w:multiLevelType w:val="hybridMultilevel"/>
    <w:tmpl w:val="8734615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B6048"/>
    <w:multiLevelType w:val="hybridMultilevel"/>
    <w:tmpl w:val="F5F41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DC0C9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3F2D22"/>
    <w:multiLevelType w:val="hybridMultilevel"/>
    <w:tmpl w:val="7B0AB0B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B645F6"/>
    <w:multiLevelType w:val="hybridMultilevel"/>
    <w:tmpl w:val="69EE59A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F72B3B"/>
    <w:multiLevelType w:val="hybridMultilevel"/>
    <w:tmpl w:val="1E8AEACC"/>
    <w:lvl w:ilvl="0" w:tplc="1C090011">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F902A1"/>
    <w:multiLevelType w:val="hybridMultilevel"/>
    <w:tmpl w:val="0B8A00E6"/>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A925B27"/>
    <w:multiLevelType w:val="hybridMultilevel"/>
    <w:tmpl w:val="3B3E1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E5778AC"/>
    <w:multiLevelType w:val="hybridMultilevel"/>
    <w:tmpl w:val="76507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1E85B78"/>
    <w:multiLevelType w:val="hybridMultilevel"/>
    <w:tmpl w:val="72D4A668"/>
    <w:lvl w:ilvl="0" w:tplc="1C090011">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4210BBB"/>
    <w:multiLevelType w:val="hybridMultilevel"/>
    <w:tmpl w:val="7FB02936"/>
    <w:lvl w:ilvl="0" w:tplc="1C090011">
      <w:start w:val="1"/>
      <w:numFmt w:val="decimal"/>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
    <w:nsid w:val="3DA76E6A"/>
    <w:multiLevelType w:val="hybridMultilevel"/>
    <w:tmpl w:val="69C2B2E8"/>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6637C6C"/>
    <w:multiLevelType w:val="hybridMultilevel"/>
    <w:tmpl w:val="8734615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7936AC"/>
    <w:multiLevelType w:val="hybridMultilevel"/>
    <w:tmpl w:val="26968FB4"/>
    <w:lvl w:ilvl="0" w:tplc="1C090011">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03">
      <w:start w:val="1"/>
      <w:numFmt w:val="bullet"/>
      <w:lvlText w:val="o"/>
      <w:lvlJc w:val="left"/>
      <w:pPr>
        <w:ind w:left="2160" w:hanging="180"/>
      </w:pPr>
      <w:rPr>
        <w:rFonts w:ascii="Courier New" w:hAnsi="Courier New" w:cs="Courier New"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F6639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922614"/>
    <w:multiLevelType w:val="hybridMultilevel"/>
    <w:tmpl w:val="05922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11A0612"/>
    <w:multiLevelType w:val="hybridMultilevel"/>
    <w:tmpl w:val="0AB63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27D5F57"/>
    <w:multiLevelType w:val="hybridMultilevel"/>
    <w:tmpl w:val="2BDE3D86"/>
    <w:lvl w:ilvl="0" w:tplc="A6F21510">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51E1A3C"/>
    <w:multiLevelType w:val="hybridMultilevel"/>
    <w:tmpl w:val="77C0928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5C4799B"/>
    <w:multiLevelType w:val="hybridMultilevel"/>
    <w:tmpl w:val="8BF603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5E32671"/>
    <w:multiLevelType w:val="hybridMultilevel"/>
    <w:tmpl w:val="6A1E5F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AB92642"/>
    <w:multiLevelType w:val="hybridMultilevel"/>
    <w:tmpl w:val="D444D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6077694"/>
    <w:multiLevelType w:val="hybridMultilevel"/>
    <w:tmpl w:val="70B8E0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8387976"/>
    <w:multiLevelType w:val="hybridMultilevel"/>
    <w:tmpl w:val="01A2FB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8C0691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E31242"/>
    <w:multiLevelType w:val="hybridMultilevel"/>
    <w:tmpl w:val="60E25D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B696B9E"/>
    <w:multiLevelType w:val="hybridMultilevel"/>
    <w:tmpl w:val="131A3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802468"/>
    <w:multiLevelType w:val="hybridMultilevel"/>
    <w:tmpl w:val="E96A35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AAB47D8"/>
    <w:multiLevelType w:val="hybridMultilevel"/>
    <w:tmpl w:val="C48CE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B76237C"/>
    <w:multiLevelType w:val="hybridMultilevel"/>
    <w:tmpl w:val="A96AD724"/>
    <w:lvl w:ilvl="0" w:tplc="ED047538">
      <w:start w:val="1"/>
      <w:numFmt w:val="decimal"/>
      <w:lvlText w:val="%1)"/>
      <w:lvlJc w:val="left"/>
      <w:pPr>
        <w:ind w:left="720" w:hanging="360"/>
      </w:pPr>
      <w:rPr>
        <w:b w:val="0"/>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E3D50AF"/>
    <w:multiLevelType w:val="hybridMultilevel"/>
    <w:tmpl w:val="2F5E7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4"/>
  </w:num>
  <w:num w:numId="4">
    <w:abstractNumId w:val="5"/>
  </w:num>
  <w:num w:numId="5">
    <w:abstractNumId w:val="15"/>
  </w:num>
  <w:num w:numId="6">
    <w:abstractNumId w:val="35"/>
  </w:num>
  <w:num w:numId="7">
    <w:abstractNumId w:val="10"/>
  </w:num>
  <w:num w:numId="8">
    <w:abstractNumId w:val="18"/>
  </w:num>
  <w:num w:numId="9">
    <w:abstractNumId w:val="14"/>
  </w:num>
  <w:num w:numId="10">
    <w:abstractNumId w:val="20"/>
  </w:num>
  <w:num w:numId="11">
    <w:abstractNumId w:val="31"/>
  </w:num>
  <w:num w:numId="12">
    <w:abstractNumId w:val="27"/>
  </w:num>
  <w:num w:numId="13">
    <w:abstractNumId w:val="22"/>
  </w:num>
  <w:num w:numId="14">
    <w:abstractNumId w:val="29"/>
  </w:num>
  <w:num w:numId="15">
    <w:abstractNumId w:val="32"/>
  </w:num>
  <w:num w:numId="16">
    <w:abstractNumId w:val="16"/>
  </w:num>
  <w:num w:numId="17">
    <w:abstractNumId w:val="34"/>
  </w:num>
  <w:num w:numId="18">
    <w:abstractNumId w:val="2"/>
  </w:num>
  <w:num w:numId="19">
    <w:abstractNumId w:val="1"/>
  </w:num>
  <w:num w:numId="20">
    <w:abstractNumId w:val="6"/>
  </w:num>
  <w:num w:numId="21">
    <w:abstractNumId w:val="30"/>
  </w:num>
  <w:num w:numId="22">
    <w:abstractNumId w:val="28"/>
  </w:num>
  <w:num w:numId="23">
    <w:abstractNumId w:val="12"/>
  </w:num>
  <w:num w:numId="24">
    <w:abstractNumId w:val="25"/>
  </w:num>
  <w:num w:numId="25">
    <w:abstractNumId w:val="26"/>
  </w:num>
  <w:num w:numId="26">
    <w:abstractNumId w:val="13"/>
  </w:num>
  <w:num w:numId="27">
    <w:abstractNumId w:val="7"/>
  </w:num>
  <w:num w:numId="28">
    <w:abstractNumId w:val="8"/>
  </w:num>
  <w:num w:numId="29">
    <w:abstractNumId w:val="11"/>
  </w:num>
  <w:num w:numId="30">
    <w:abstractNumId w:val="33"/>
  </w:num>
  <w:num w:numId="31">
    <w:abstractNumId w:val="23"/>
  </w:num>
  <w:num w:numId="32">
    <w:abstractNumId w:val="36"/>
  </w:num>
  <w:num w:numId="33">
    <w:abstractNumId w:val="4"/>
  </w:num>
  <w:num w:numId="34">
    <w:abstractNumId w:val="0"/>
  </w:num>
  <w:num w:numId="35">
    <w:abstractNumId w:val="21"/>
  </w:num>
  <w:num w:numId="36">
    <w:abstractNumId w:val="9"/>
  </w:num>
  <w:num w:numId="37">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C227AB"/>
    <w:rsid w:val="00001050"/>
    <w:rsid w:val="00001753"/>
    <w:rsid w:val="00001AC2"/>
    <w:rsid w:val="0000654B"/>
    <w:rsid w:val="00007F91"/>
    <w:rsid w:val="000129BF"/>
    <w:rsid w:val="00015579"/>
    <w:rsid w:val="00017B1F"/>
    <w:rsid w:val="00017D0F"/>
    <w:rsid w:val="00017ECD"/>
    <w:rsid w:val="00023275"/>
    <w:rsid w:val="000236B6"/>
    <w:rsid w:val="00024249"/>
    <w:rsid w:val="00024EB0"/>
    <w:rsid w:val="000309B2"/>
    <w:rsid w:val="00032380"/>
    <w:rsid w:val="0003295E"/>
    <w:rsid w:val="00032AA0"/>
    <w:rsid w:val="00032B87"/>
    <w:rsid w:val="00036F68"/>
    <w:rsid w:val="00042EB2"/>
    <w:rsid w:val="00043743"/>
    <w:rsid w:val="000447A4"/>
    <w:rsid w:val="00050AE9"/>
    <w:rsid w:val="000517A1"/>
    <w:rsid w:val="000522EF"/>
    <w:rsid w:val="00052B47"/>
    <w:rsid w:val="000571E1"/>
    <w:rsid w:val="00063706"/>
    <w:rsid w:val="0006432E"/>
    <w:rsid w:val="00064BBE"/>
    <w:rsid w:val="000660E6"/>
    <w:rsid w:val="00070F93"/>
    <w:rsid w:val="0007378D"/>
    <w:rsid w:val="00080622"/>
    <w:rsid w:val="00081283"/>
    <w:rsid w:val="00081479"/>
    <w:rsid w:val="0008709C"/>
    <w:rsid w:val="0009459D"/>
    <w:rsid w:val="00095471"/>
    <w:rsid w:val="000A2557"/>
    <w:rsid w:val="000A32B4"/>
    <w:rsid w:val="000A5BE5"/>
    <w:rsid w:val="000A5CF9"/>
    <w:rsid w:val="000B0639"/>
    <w:rsid w:val="000B6DD1"/>
    <w:rsid w:val="000B732D"/>
    <w:rsid w:val="000C179B"/>
    <w:rsid w:val="000C335B"/>
    <w:rsid w:val="000C3B3C"/>
    <w:rsid w:val="000C3F75"/>
    <w:rsid w:val="000C5E34"/>
    <w:rsid w:val="000C60A6"/>
    <w:rsid w:val="000C7CA1"/>
    <w:rsid w:val="000C7CE3"/>
    <w:rsid w:val="000D3B03"/>
    <w:rsid w:val="000D3C20"/>
    <w:rsid w:val="000D5D1D"/>
    <w:rsid w:val="000D7614"/>
    <w:rsid w:val="000D7A5F"/>
    <w:rsid w:val="000E1D3D"/>
    <w:rsid w:val="000E684F"/>
    <w:rsid w:val="000F1B3B"/>
    <w:rsid w:val="000F1BB2"/>
    <w:rsid w:val="000F2214"/>
    <w:rsid w:val="000F38D6"/>
    <w:rsid w:val="000F39BB"/>
    <w:rsid w:val="000F3D97"/>
    <w:rsid w:val="000F58F3"/>
    <w:rsid w:val="000F692B"/>
    <w:rsid w:val="000F7296"/>
    <w:rsid w:val="00100B45"/>
    <w:rsid w:val="001010A3"/>
    <w:rsid w:val="00101C72"/>
    <w:rsid w:val="001027BE"/>
    <w:rsid w:val="001029E0"/>
    <w:rsid w:val="001033A4"/>
    <w:rsid w:val="001059AF"/>
    <w:rsid w:val="00110D94"/>
    <w:rsid w:val="00110DD2"/>
    <w:rsid w:val="00114D2D"/>
    <w:rsid w:val="00115F55"/>
    <w:rsid w:val="00117FCF"/>
    <w:rsid w:val="00121DAC"/>
    <w:rsid w:val="00122876"/>
    <w:rsid w:val="00122A53"/>
    <w:rsid w:val="0012420A"/>
    <w:rsid w:val="00141007"/>
    <w:rsid w:val="00141852"/>
    <w:rsid w:val="00143B2D"/>
    <w:rsid w:val="0014409E"/>
    <w:rsid w:val="001463C2"/>
    <w:rsid w:val="00146793"/>
    <w:rsid w:val="001522B6"/>
    <w:rsid w:val="00152EEB"/>
    <w:rsid w:val="001547FD"/>
    <w:rsid w:val="001576EC"/>
    <w:rsid w:val="00157FA1"/>
    <w:rsid w:val="0016050A"/>
    <w:rsid w:val="0016071A"/>
    <w:rsid w:val="00163AC7"/>
    <w:rsid w:val="00166FCA"/>
    <w:rsid w:val="0017107A"/>
    <w:rsid w:val="00171B85"/>
    <w:rsid w:val="001723C8"/>
    <w:rsid w:val="00172E8D"/>
    <w:rsid w:val="001743B0"/>
    <w:rsid w:val="0017580E"/>
    <w:rsid w:val="0017790A"/>
    <w:rsid w:val="001801B9"/>
    <w:rsid w:val="00180798"/>
    <w:rsid w:val="00183A77"/>
    <w:rsid w:val="0018425F"/>
    <w:rsid w:val="00184D13"/>
    <w:rsid w:val="00185866"/>
    <w:rsid w:val="00193894"/>
    <w:rsid w:val="00194AF7"/>
    <w:rsid w:val="001951B4"/>
    <w:rsid w:val="00195D7F"/>
    <w:rsid w:val="00195F45"/>
    <w:rsid w:val="00196268"/>
    <w:rsid w:val="001A05BC"/>
    <w:rsid w:val="001A0DE2"/>
    <w:rsid w:val="001A11CB"/>
    <w:rsid w:val="001A2C3C"/>
    <w:rsid w:val="001A43F5"/>
    <w:rsid w:val="001A5AC4"/>
    <w:rsid w:val="001A7A7C"/>
    <w:rsid w:val="001B0A07"/>
    <w:rsid w:val="001B3E4E"/>
    <w:rsid w:val="001B4172"/>
    <w:rsid w:val="001B4832"/>
    <w:rsid w:val="001B5A0E"/>
    <w:rsid w:val="001B5E6E"/>
    <w:rsid w:val="001B689F"/>
    <w:rsid w:val="001C26A4"/>
    <w:rsid w:val="001C3E74"/>
    <w:rsid w:val="001C518C"/>
    <w:rsid w:val="001C6F80"/>
    <w:rsid w:val="001C74C8"/>
    <w:rsid w:val="001C77F9"/>
    <w:rsid w:val="001C7E66"/>
    <w:rsid w:val="001D390E"/>
    <w:rsid w:val="001D4ED0"/>
    <w:rsid w:val="001D7455"/>
    <w:rsid w:val="001E1AC2"/>
    <w:rsid w:val="001E1D5E"/>
    <w:rsid w:val="001E21FA"/>
    <w:rsid w:val="001E2662"/>
    <w:rsid w:val="001E3CBC"/>
    <w:rsid w:val="001E7433"/>
    <w:rsid w:val="001F0345"/>
    <w:rsid w:val="001F5BC8"/>
    <w:rsid w:val="001F6E6D"/>
    <w:rsid w:val="00200371"/>
    <w:rsid w:val="002042B1"/>
    <w:rsid w:val="00207222"/>
    <w:rsid w:val="00211157"/>
    <w:rsid w:val="002204EE"/>
    <w:rsid w:val="002222FB"/>
    <w:rsid w:val="00224AAA"/>
    <w:rsid w:val="00224F07"/>
    <w:rsid w:val="0022512D"/>
    <w:rsid w:val="002274B9"/>
    <w:rsid w:val="00232E3F"/>
    <w:rsid w:val="002339FD"/>
    <w:rsid w:val="00233FD8"/>
    <w:rsid w:val="002364E8"/>
    <w:rsid w:val="002367D5"/>
    <w:rsid w:val="002377A5"/>
    <w:rsid w:val="00237B9C"/>
    <w:rsid w:val="002407D6"/>
    <w:rsid w:val="002425CC"/>
    <w:rsid w:val="002448B1"/>
    <w:rsid w:val="00245E4E"/>
    <w:rsid w:val="00246B09"/>
    <w:rsid w:val="00246BBF"/>
    <w:rsid w:val="00247218"/>
    <w:rsid w:val="0024736A"/>
    <w:rsid w:val="00253639"/>
    <w:rsid w:val="00254A5C"/>
    <w:rsid w:val="00256DD5"/>
    <w:rsid w:val="002573EB"/>
    <w:rsid w:val="0025753C"/>
    <w:rsid w:val="00265280"/>
    <w:rsid w:val="00265A42"/>
    <w:rsid w:val="00265BB5"/>
    <w:rsid w:val="00266F04"/>
    <w:rsid w:val="00267358"/>
    <w:rsid w:val="00267C57"/>
    <w:rsid w:val="002712F4"/>
    <w:rsid w:val="00275CB8"/>
    <w:rsid w:val="00280C34"/>
    <w:rsid w:val="00281CDB"/>
    <w:rsid w:val="00281D19"/>
    <w:rsid w:val="0028267C"/>
    <w:rsid w:val="00284BA8"/>
    <w:rsid w:val="002909E8"/>
    <w:rsid w:val="00290F60"/>
    <w:rsid w:val="0029114B"/>
    <w:rsid w:val="002912B7"/>
    <w:rsid w:val="0029431E"/>
    <w:rsid w:val="00294FB8"/>
    <w:rsid w:val="00295876"/>
    <w:rsid w:val="00295FC4"/>
    <w:rsid w:val="002961CF"/>
    <w:rsid w:val="00296900"/>
    <w:rsid w:val="002973B9"/>
    <w:rsid w:val="002979BA"/>
    <w:rsid w:val="002A1AF5"/>
    <w:rsid w:val="002A3243"/>
    <w:rsid w:val="002A363C"/>
    <w:rsid w:val="002A3C5B"/>
    <w:rsid w:val="002A5619"/>
    <w:rsid w:val="002A676F"/>
    <w:rsid w:val="002A6A32"/>
    <w:rsid w:val="002A6E1A"/>
    <w:rsid w:val="002A76A8"/>
    <w:rsid w:val="002B148C"/>
    <w:rsid w:val="002B437B"/>
    <w:rsid w:val="002B48C8"/>
    <w:rsid w:val="002B6B4A"/>
    <w:rsid w:val="002C2295"/>
    <w:rsid w:val="002C35B1"/>
    <w:rsid w:val="002C560F"/>
    <w:rsid w:val="002C5D4E"/>
    <w:rsid w:val="002C6C14"/>
    <w:rsid w:val="002C7262"/>
    <w:rsid w:val="002C72D1"/>
    <w:rsid w:val="002D06F7"/>
    <w:rsid w:val="002D2EA3"/>
    <w:rsid w:val="002D6EE7"/>
    <w:rsid w:val="002E1911"/>
    <w:rsid w:val="002E1AD0"/>
    <w:rsid w:val="002E7148"/>
    <w:rsid w:val="002E7F70"/>
    <w:rsid w:val="002F3B9E"/>
    <w:rsid w:val="002F3D79"/>
    <w:rsid w:val="002F42BD"/>
    <w:rsid w:val="002F48F7"/>
    <w:rsid w:val="003041D9"/>
    <w:rsid w:val="003041F8"/>
    <w:rsid w:val="003061C3"/>
    <w:rsid w:val="00306C0B"/>
    <w:rsid w:val="00307B6F"/>
    <w:rsid w:val="0031278C"/>
    <w:rsid w:val="0031390A"/>
    <w:rsid w:val="00315061"/>
    <w:rsid w:val="00315E62"/>
    <w:rsid w:val="0031661C"/>
    <w:rsid w:val="003167B6"/>
    <w:rsid w:val="00317CF9"/>
    <w:rsid w:val="00321614"/>
    <w:rsid w:val="003237A6"/>
    <w:rsid w:val="003270A7"/>
    <w:rsid w:val="00327C24"/>
    <w:rsid w:val="00327E4C"/>
    <w:rsid w:val="0033165F"/>
    <w:rsid w:val="003320C2"/>
    <w:rsid w:val="00335740"/>
    <w:rsid w:val="003400B3"/>
    <w:rsid w:val="003411DC"/>
    <w:rsid w:val="0034240E"/>
    <w:rsid w:val="00343156"/>
    <w:rsid w:val="00345F96"/>
    <w:rsid w:val="003468AF"/>
    <w:rsid w:val="00346EAB"/>
    <w:rsid w:val="00350139"/>
    <w:rsid w:val="003514A7"/>
    <w:rsid w:val="00351E71"/>
    <w:rsid w:val="00352C67"/>
    <w:rsid w:val="0035303E"/>
    <w:rsid w:val="003547F4"/>
    <w:rsid w:val="0035556C"/>
    <w:rsid w:val="00360B08"/>
    <w:rsid w:val="00361044"/>
    <w:rsid w:val="0036130F"/>
    <w:rsid w:val="00361F45"/>
    <w:rsid w:val="00363DAD"/>
    <w:rsid w:val="00366157"/>
    <w:rsid w:val="00366324"/>
    <w:rsid w:val="003749D6"/>
    <w:rsid w:val="003761D1"/>
    <w:rsid w:val="00376D15"/>
    <w:rsid w:val="00380577"/>
    <w:rsid w:val="0038249F"/>
    <w:rsid w:val="003851B0"/>
    <w:rsid w:val="00391575"/>
    <w:rsid w:val="00392474"/>
    <w:rsid w:val="00392B9D"/>
    <w:rsid w:val="003939BE"/>
    <w:rsid w:val="00393F08"/>
    <w:rsid w:val="00395241"/>
    <w:rsid w:val="003954A0"/>
    <w:rsid w:val="003A016C"/>
    <w:rsid w:val="003A196A"/>
    <w:rsid w:val="003A537D"/>
    <w:rsid w:val="003A67D1"/>
    <w:rsid w:val="003B5676"/>
    <w:rsid w:val="003B7399"/>
    <w:rsid w:val="003C63C8"/>
    <w:rsid w:val="003C7BB7"/>
    <w:rsid w:val="003D1D47"/>
    <w:rsid w:val="003D3BE2"/>
    <w:rsid w:val="003D4915"/>
    <w:rsid w:val="003D7E0C"/>
    <w:rsid w:val="003E0476"/>
    <w:rsid w:val="003E1589"/>
    <w:rsid w:val="003E4826"/>
    <w:rsid w:val="003E6539"/>
    <w:rsid w:val="003F09A5"/>
    <w:rsid w:val="003F0A54"/>
    <w:rsid w:val="003F1250"/>
    <w:rsid w:val="003F5A10"/>
    <w:rsid w:val="003F6C04"/>
    <w:rsid w:val="00406A5F"/>
    <w:rsid w:val="00407813"/>
    <w:rsid w:val="00407C3B"/>
    <w:rsid w:val="0041291E"/>
    <w:rsid w:val="00413BD8"/>
    <w:rsid w:val="00414863"/>
    <w:rsid w:val="004161A4"/>
    <w:rsid w:val="004166D2"/>
    <w:rsid w:val="004169CF"/>
    <w:rsid w:val="00416EDD"/>
    <w:rsid w:val="004176CF"/>
    <w:rsid w:val="00422B38"/>
    <w:rsid w:val="00423041"/>
    <w:rsid w:val="00424C9A"/>
    <w:rsid w:val="00424FE9"/>
    <w:rsid w:val="00426E99"/>
    <w:rsid w:val="0042783A"/>
    <w:rsid w:val="00430E3D"/>
    <w:rsid w:val="0043346E"/>
    <w:rsid w:val="00436472"/>
    <w:rsid w:val="004371C0"/>
    <w:rsid w:val="00442F0D"/>
    <w:rsid w:val="00444D1B"/>
    <w:rsid w:val="00444ECB"/>
    <w:rsid w:val="00445C49"/>
    <w:rsid w:val="00450700"/>
    <w:rsid w:val="00450B21"/>
    <w:rsid w:val="00451C1A"/>
    <w:rsid w:val="00454C2A"/>
    <w:rsid w:val="00454DA8"/>
    <w:rsid w:val="00457892"/>
    <w:rsid w:val="00461093"/>
    <w:rsid w:val="00462784"/>
    <w:rsid w:val="004633B6"/>
    <w:rsid w:val="00464015"/>
    <w:rsid w:val="004643AD"/>
    <w:rsid w:val="004672F9"/>
    <w:rsid w:val="00467434"/>
    <w:rsid w:val="0047179D"/>
    <w:rsid w:val="004719B5"/>
    <w:rsid w:val="00471B0E"/>
    <w:rsid w:val="004746A3"/>
    <w:rsid w:val="00474FD2"/>
    <w:rsid w:val="0048063E"/>
    <w:rsid w:val="00481020"/>
    <w:rsid w:val="00481D86"/>
    <w:rsid w:val="00485906"/>
    <w:rsid w:val="004871A8"/>
    <w:rsid w:val="00492F21"/>
    <w:rsid w:val="004932BC"/>
    <w:rsid w:val="00494118"/>
    <w:rsid w:val="0049556F"/>
    <w:rsid w:val="004955B6"/>
    <w:rsid w:val="00495B9A"/>
    <w:rsid w:val="00495D14"/>
    <w:rsid w:val="004A3CA2"/>
    <w:rsid w:val="004A3F10"/>
    <w:rsid w:val="004A42BA"/>
    <w:rsid w:val="004A6BF1"/>
    <w:rsid w:val="004A7F06"/>
    <w:rsid w:val="004B2FF2"/>
    <w:rsid w:val="004B3E87"/>
    <w:rsid w:val="004B6D02"/>
    <w:rsid w:val="004B7AFA"/>
    <w:rsid w:val="004C1A49"/>
    <w:rsid w:val="004C1ED9"/>
    <w:rsid w:val="004C3DFA"/>
    <w:rsid w:val="004C3F32"/>
    <w:rsid w:val="004C5DED"/>
    <w:rsid w:val="004C7614"/>
    <w:rsid w:val="004C7AFC"/>
    <w:rsid w:val="004D30B1"/>
    <w:rsid w:val="004E2900"/>
    <w:rsid w:val="004E2F08"/>
    <w:rsid w:val="004E3206"/>
    <w:rsid w:val="004E331D"/>
    <w:rsid w:val="004E37C3"/>
    <w:rsid w:val="004E557E"/>
    <w:rsid w:val="004E5CD4"/>
    <w:rsid w:val="004E68FB"/>
    <w:rsid w:val="004E6EA1"/>
    <w:rsid w:val="004E7F14"/>
    <w:rsid w:val="004F0445"/>
    <w:rsid w:val="004F133D"/>
    <w:rsid w:val="004F2763"/>
    <w:rsid w:val="004F324C"/>
    <w:rsid w:val="004F3500"/>
    <w:rsid w:val="004F4CF4"/>
    <w:rsid w:val="004F5989"/>
    <w:rsid w:val="004F620C"/>
    <w:rsid w:val="004F730E"/>
    <w:rsid w:val="0050014C"/>
    <w:rsid w:val="005028B1"/>
    <w:rsid w:val="00504F4F"/>
    <w:rsid w:val="00505377"/>
    <w:rsid w:val="00505549"/>
    <w:rsid w:val="00511F94"/>
    <w:rsid w:val="00513374"/>
    <w:rsid w:val="005159DF"/>
    <w:rsid w:val="0052026B"/>
    <w:rsid w:val="00520D65"/>
    <w:rsid w:val="00522413"/>
    <w:rsid w:val="005234CA"/>
    <w:rsid w:val="00523D11"/>
    <w:rsid w:val="005273ED"/>
    <w:rsid w:val="00533127"/>
    <w:rsid w:val="00535647"/>
    <w:rsid w:val="0053577C"/>
    <w:rsid w:val="00535894"/>
    <w:rsid w:val="0053685C"/>
    <w:rsid w:val="005400DC"/>
    <w:rsid w:val="005411B1"/>
    <w:rsid w:val="005412D0"/>
    <w:rsid w:val="00541A0A"/>
    <w:rsid w:val="00541B2C"/>
    <w:rsid w:val="00543C49"/>
    <w:rsid w:val="00552C11"/>
    <w:rsid w:val="00552ECD"/>
    <w:rsid w:val="00553AE4"/>
    <w:rsid w:val="0055502B"/>
    <w:rsid w:val="00557F8C"/>
    <w:rsid w:val="005608FA"/>
    <w:rsid w:val="00560C79"/>
    <w:rsid w:val="00562879"/>
    <w:rsid w:val="00562B8C"/>
    <w:rsid w:val="00562E19"/>
    <w:rsid w:val="00565B6B"/>
    <w:rsid w:val="00566BA4"/>
    <w:rsid w:val="00570C36"/>
    <w:rsid w:val="005718E3"/>
    <w:rsid w:val="005742E7"/>
    <w:rsid w:val="00577D0C"/>
    <w:rsid w:val="005810BD"/>
    <w:rsid w:val="00583CFA"/>
    <w:rsid w:val="00585125"/>
    <w:rsid w:val="00587C40"/>
    <w:rsid w:val="00592CD6"/>
    <w:rsid w:val="00592F7A"/>
    <w:rsid w:val="00596C37"/>
    <w:rsid w:val="00597E84"/>
    <w:rsid w:val="005A2393"/>
    <w:rsid w:val="005A4D97"/>
    <w:rsid w:val="005A6379"/>
    <w:rsid w:val="005A6549"/>
    <w:rsid w:val="005B1770"/>
    <w:rsid w:val="005B251F"/>
    <w:rsid w:val="005B3EF7"/>
    <w:rsid w:val="005B6A1F"/>
    <w:rsid w:val="005C2D6B"/>
    <w:rsid w:val="005C7A4C"/>
    <w:rsid w:val="005D0AB8"/>
    <w:rsid w:val="005D10C1"/>
    <w:rsid w:val="005D210C"/>
    <w:rsid w:val="005D2711"/>
    <w:rsid w:val="005D2917"/>
    <w:rsid w:val="005D2D78"/>
    <w:rsid w:val="005D3900"/>
    <w:rsid w:val="005E01FE"/>
    <w:rsid w:val="005E068D"/>
    <w:rsid w:val="005E2A99"/>
    <w:rsid w:val="005E6E60"/>
    <w:rsid w:val="005F2734"/>
    <w:rsid w:val="005F4548"/>
    <w:rsid w:val="005F69D7"/>
    <w:rsid w:val="005F6D2A"/>
    <w:rsid w:val="0060014D"/>
    <w:rsid w:val="00601AE0"/>
    <w:rsid w:val="006023BF"/>
    <w:rsid w:val="00602AF1"/>
    <w:rsid w:val="00602FDE"/>
    <w:rsid w:val="00603349"/>
    <w:rsid w:val="006074D9"/>
    <w:rsid w:val="00611ECB"/>
    <w:rsid w:val="00614438"/>
    <w:rsid w:val="006160F2"/>
    <w:rsid w:val="0061631A"/>
    <w:rsid w:val="0061714A"/>
    <w:rsid w:val="00617B16"/>
    <w:rsid w:val="00617C3D"/>
    <w:rsid w:val="006229AA"/>
    <w:rsid w:val="0062452B"/>
    <w:rsid w:val="0062721E"/>
    <w:rsid w:val="0063024A"/>
    <w:rsid w:val="00630803"/>
    <w:rsid w:val="006324AE"/>
    <w:rsid w:val="00632D84"/>
    <w:rsid w:val="0063378D"/>
    <w:rsid w:val="006354F2"/>
    <w:rsid w:val="00637487"/>
    <w:rsid w:val="00637F86"/>
    <w:rsid w:val="006439B5"/>
    <w:rsid w:val="00645879"/>
    <w:rsid w:val="00645F05"/>
    <w:rsid w:val="00646664"/>
    <w:rsid w:val="00647627"/>
    <w:rsid w:val="0065016C"/>
    <w:rsid w:val="0065017E"/>
    <w:rsid w:val="0065221E"/>
    <w:rsid w:val="00656864"/>
    <w:rsid w:val="0066337A"/>
    <w:rsid w:val="00667488"/>
    <w:rsid w:val="00667B9F"/>
    <w:rsid w:val="00670DE6"/>
    <w:rsid w:val="00673198"/>
    <w:rsid w:val="00675D54"/>
    <w:rsid w:val="00681372"/>
    <w:rsid w:val="00683255"/>
    <w:rsid w:val="00684C93"/>
    <w:rsid w:val="00687B2F"/>
    <w:rsid w:val="006912C2"/>
    <w:rsid w:val="006928D4"/>
    <w:rsid w:val="00693C96"/>
    <w:rsid w:val="006A0D7B"/>
    <w:rsid w:val="006A1FB1"/>
    <w:rsid w:val="006A2F04"/>
    <w:rsid w:val="006A4B92"/>
    <w:rsid w:val="006A6306"/>
    <w:rsid w:val="006A7E30"/>
    <w:rsid w:val="006B19EA"/>
    <w:rsid w:val="006B30C4"/>
    <w:rsid w:val="006B36B4"/>
    <w:rsid w:val="006B4F27"/>
    <w:rsid w:val="006B5D3A"/>
    <w:rsid w:val="006B7250"/>
    <w:rsid w:val="006B785D"/>
    <w:rsid w:val="006C2798"/>
    <w:rsid w:val="006C2CE9"/>
    <w:rsid w:val="006C62F2"/>
    <w:rsid w:val="006C6D94"/>
    <w:rsid w:val="006D011D"/>
    <w:rsid w:val="006D0745"/>
    <w:rsid w:val="006D0CB5"/>
    <w:rsid w:val="006D22AF"/>
    <w:rsid w:val="006D3218"/>
    <w:rsid w:val="006D3D58"/>
    <w:rsid w:val="006E120E"/>
    <w:rsid w:val="006E3184"/>
    <w:rsid w:val="006E46AA"/>
    <w:rsid w:val="006E5FD6"/>
    <w:rsid w:val="006F01FB"/>
    <w:rsid w:val="006F026D"/>
    <w:rsid w:val="006F19E2"/>
    <w:rsid w:val="006F1B6F"/>
    <w:rsid w:val="006F27BB"/>
    <w:rsid w:val="006F5E2B"/>
    <w:rsid w:val="006F6313"/>
    <w:rsid w:val="006F6F20"/>
    <w:rsid w:val="0070139E"/>
    <w:rsid w:val="00701F7C"/>
    <w:rsid w:val="007051CB"/>
    <w:rsid w:val="00705D6A"/>
    <w:rsid w:val="007067C6"/>
    <w:rsid w:val="00713540"/>
    <w:rsid w:val="00716BC4"/>
    <w:rsid w:val="00723CB6"/>
    <w:rsid w:val="00726A07"/>
    <w:rsid w:val="007276F7"/>
    <w:rsid w:val="00727D83"/>
    <w:rsid w:val="00730009"/>
    <w:rsid w:val="007311C0"/>
    <w:rsid w:val="007324BB"/>
    <w:rsid w:val="00733178"/>
    <w:rsid w:val="00736454"/>
    <w:rsid w:val="007377CC"/>
    <w:rsid w:val="00737A92"/>
    <w:rsid w:val="00740EE5"/>
    <w:rsid w:val="00740F31"/>
    <w:rsid w:val="00743218"/>
    <w:rsid w:val="00743679"/>
    <w:rsid w:val="0074415B"/>
    <w:rsid w:val="00745007"/>
    <w:rsid w:val="00746C50"/>
    <w:rsid w:val="00747C89"/>
    <w:rsid w:val="00751AD5"/>
    <w:rsid w:val="00754CFB"/>
    <w:rsid w:val="00757AA8"/>
    <w:rsid w:val="00757C4D"/>
    <w:rsid w:val="007613DD"/>
    <w:rsid w:val="0076262D"/>
    <w:rsid w:val="007669F6"/>
    <w:rsid w:val="007670CA"/>
    <w:rsid w:val="00767780"/>
    <w:rsid w:val="00770010"/>
    <w:rsid w:val="00770BF3"/>
    <w:rsid w:val="007713CC"/>
    <w:rsid w:val="00771BB3"/>
    <w:rsid w:val="0077212F"/>
    <w:rsid w:val="00772166"/>
    <w:rsid w:val="00772E00"/>
    <w:rsid w:val="00772FC1"/>
    <w:rsid w:val="00773CF1"/>
    <w:rsid w:val="00775978"/>
    <w:rsid w:val="00780B93"/>
    <w:rsid w:val="0078333C"/>
    <w:rsid w:val="00790C06"/>
    <w:rsid w:val="007919CE"/>
    <w:rsid w:val="00792620"/>
    <w:rsid w:val="00792E07"/>
    <w:rsid w:val="007946EB"/>
    <w:rsid w:val="0079562E"/>
    <w:rsid w:val="00796A1E"/>
    <w:rsid w:val="007A1355"/>
    <w:rsid w:val="007A6742"/>
    <w:rsid w:val="007A7673"/>
    <w:rsid w:val="007A7E7F"/>
    <w:rsid w:val="007B0B8D"/>
    <w:rsid w:val="007B0DC7"/>
    <w:rsid w:val="007B169D"/>
    <w:rsid w:val="007B2E0B"/>
    <w:rsid w:val="007B41B5"/>
    <w:rsid w:val="007B6390"/>
    <w:rsid w:val="007B7468"/>
    <w:rsid w:val="007C1A53"/>
    <w:rsid w:val="007C2BF9"/>
    <w:rsid w:val="007C4E44"/>
    <w:rsid w:val="007C565D"/>
    <w:rsid w:val="007C5829"/>
    <w:rsid w:val="007C6DE4"/>
    <w:rsid w:val="007C7BDA"/>
    <w:rsid w:val="007C7C88"/>
    <w:rsid w:val="007D0C84"/>
    <w:rsid w:val="007D0C8A"/>
    <w:rsid w:val="007D2915"/>
    <w:rsid w:val="007E0C2F"/>
    <w:rsid w:val="007E223A"/>
    <w:rsid w:val="007E67F2"/>
    <w:rsid w:val="007E7607"/>
    <w:rsid w:val="007F1007"/>
    <w:rsid w:val="007F3473"/>
    <w:rsid w:val="007F3FCD"/>
    <w:rsid w:val="007F409A"/>
    <w:rsid w:val="007F57DE"/>
    <w:rsid w:val="007F65BD"/>
    <w:rsid w:val="007F7D41"/>
    <w:rsid w:val="00801158"/>
    <w:rsid w:val="008020FF"/>
    <w:rsid w:val="008021E3"/>
    <w:rsid w:val="0080253B"/>
    <w:rsid w:val="00804847"/>
    <w:rsid w:val="0080703E"/>
    <w:rsid w:val="008106AE"/>
    <w:rsid w:val="00813DA8"/>
    <w:rsid w:val="00814420"/>
    <w:rsid w:val="008214FC"/>
    <w:rsid w:val="00823A2B"/>
    <w:rsid w:val="008241B5"/>
    <w:rsid w:val="00824F3F"/>
    <w:rsid w:val="00825AF3"/>
    <w:rsid w:val="0082666B"/>
    <w:rsid w:val="008318F4"/>
    <w:rsid w:val="00832417"/>
    <w:rsid w:val="00835723"/>
    <w:rsid w:val="00835B9F"/>
    <w:rsid w:val="0084073B"/>
    <w:rsid w:val="00841275"/>
    <w:rsid w:val="008423DA"/>
    <w:rsid w:val="0084271F"/>
    <w:rsid w:val="00844C05"/>
    <w:rsid w:val="00845AF5"/>
    <w:rsid w:val="00850EF5"/>
    <w:rsid w:val="008564C7"/>
    <w:rsid w:val="0086095C"/>
    <w:rsid w:val="00860D56"/>
    <w:rsid w:val="008645AD"/>
    <w:rsid w:val="00865F7D"/>
    <w:rsid w:val="00867FCA"/>
    <w:rsid w:val="00870040"/>
    <w:rsid w:val="00872568"/>
    <w:rsid w:val="008737BC"/>
    <w:rsid w:val="00874626"/>
    <w:rsid w:val="0087597D"/>
    <w:rsid w:val="00876070"/>
    <w:rsid w:val="00876C7D"/>
    <w:rsid w:val="00881735"/>
    <w:rsid w:val="00881F36"/>
    <w:rsid w:val="008836FB"/>
    <w:rsid w:val="0088374A"/>
    <w:rsid w:val="00885076"/>
    <w:rsid w:val="00886D21"/>
    <w:rsid w:val="00890486"/>
    <w:rsid w:val="00890ED6"/>
    <w:rsid w:val="00893EE9"/>
    <w:rsid w:val="00894C22"/>
    <w:rsid w:val="008957F2"/>
    <w:rsid w:val="008A039E"/>
    <w:rsid w:val="008A06B4"/>
    <w:rsid w:val="008A1185"/>
    <w:rsid w:val="008A2795"/>
    <w:rsid w:val="008A29D1"/>
    <w:rsid w:val="008A2EEF"/>
    <w:rsid w:val="008A3070"/>
    <w:rsid w:val="008A3E89"/>
    <w:rsid w:val="008A64A3"/>
    <w:rsid w:val="008B2F6F"/>
    <w:rsid w:val="008C0C75"/>
    <w:rsid w:val="008C1135"/>
    <w:rsid w:val="008C35A2"/>
    <w:rsid w:val="008C3CDE"/>
    <w:rsid w:val="008C76C8"/>
    <w:rsid w:val="008D0C6C"/>
    <w:rsid w:val="008E17F5"/>
    <w:rsid w:val="008E393B"/>
    <w:rsid w:val="008F51B0"/>
    <w:rsid w:val="008F75C5"/>
    <w:rsid w:val="009013F6"/>
    <w:rsid w:val="009022F4"/>
    <w:rsid w:val="0090338E"/>
    <w:rsid w:val="00903A4A"/>
    <w:rsid w:val="0090599B"/>
    <w:rsid w:val="00907A50"/>
    <w:rsid w:val="00910D4D"/>
    <w:rsid w:val="00911A8B"/>
    <w:rsid w:val="009170B8"/>
    <w:rsid w:val="00921681"/>
    <w:rsid w:val="009218D7"/>
    <w:rsid w:val="00924910"/>
    <w:rsid w:val="00930B05"/>
    <w:rsid w:val="00932A4E"/>
    <w:rsid w:val="00933974"/>
    <w:rsid w:val="009345EA"/>
    <w:rsid w:val="00935012"/>
    <w:rsid w:val="00936AE2"/>
    <w:rsid w:val="00937466"/>
    <w:rsid w:val="009446FE"/>
    <w:rsid w:val="00945218"/>
    <w:rsid w:val="0094754A"/>
    <w:rsid w:val="00950376"/>
    <w:rsid w:val="00950FB6"/>
    <w:rsid w:val="00951362"/>
    <w:rsid w:val="00952CEB"/>
    <w:rsid w:val="00953186"/>
    <w:rsid w:val="009545C4"/>
    <w:rsid w:val="00955E73"/>
    <w:rsid w:val="00957241"/>
    <w:rsid w:val="00957EB0"/>
    <w:rsid w:val="0096027C"/>
    <w:rsid w:val="00964BEC"/>
    <w:rsid w:val="00971F0A"/>
    <w:rsid w:val="0097278D"/>
    <w:rsid w:val="009762EB"/>
    <w:rsid w:val="009825E7"/>
    <w:rsid w:val="009833D8"/>
    <w:rsid w:val="009878E1"/>
    <w:rsid w:val="00991950"/>
    <w:rsid w:val="00992B1B"/>
    <w:rsid w:val="00992F79"/>
    <w:rsid w:val="00996BFD"/>
    <w:rsid w:val="009A229C"/>
    <w:rsid w:val="009A2690"/>
    <w:rsid w:val="009A2A76"/>
    <w:rsid w:val="009B0E47"/>
    <w:rsid w:val="009B1EAA"/>
    <w:rsid w:val="009B34EA"/>
    <w:rsid w:val="009B3C87"/>
    <w:rsid w:val="009B5029"/>
    <w:rsid w:val="009B530B"/>
    <w:rsid w:val="009B539C"/>
    <w:rsid w:val="009D124D"/>
    <w:rsid w:val="009D143C"/>
    <w:rsid w:val="009D4F3B"/>
    <w:rsid w:val="009D5542"/>
    <w:rsid w:val="009D7631"/>
    <w:rsid w:val="009E0C94"/>
    <w:rsid w:val="009E3380"/>
    <w:rsid w:val="009E3AE9"/>
    <w:rsid w:val="009E47DF"/>
    <w:rsid w:val="009E640E"/>
    <w:rsid w:val="009E73DE"/>
    <w:rsid w:val="009F1975"/>
    <w:rsid w:val="009F24E9"/>
    <w:rsid w:val="009F3733"/>
    <w:rsid w:val="009F3A65"/>
    <w:rsid w:val="009F4039"/>
    <w:rsid w:val="009F499A"/>
    <w:rsid w:val="009F5C99"/>
    <w:rsid w:val="009F6662"/>
    <w:rsid w:val="009F6884"/>
    <w:rsid w:val="00A0339C"/>
    <w:rsid w:val="00A04123"/>
    <w:rsid w:val="00A04548"/>
    <w:rsid w:val="00A04A49"/>
    <w:rsid w:val="00A074B8"/>
    <w:rsid w:val="00A077DE"/>
    <w:rsid w:val="00A109AE"/>
    <w:rsid w:val="00A11A98"/>
    <w:rsid w:val="00A126C7"/>
    <w:rsid w:val="00A13906"/>
    <w:rsid w:val="00A14440"/>
    <w:rsid w:val="00A22B58"/>
    <w:rsid w:val="00A23FDC"/>
    <w:rsid w:val="00A2470A"/>
    <w:rsid w:val="00A256EB"/>
    <w:rsid w:val="00A257AD"/>
    <w:rsid w:val="00A26A08"/>
    <w:rsid w:val="00A31B2C"/>
    <w:rsid w:val="00A345F9"/>
    <w:rsid w:val="00A3487C"/>
    <w:rsid w:val="00A36439"/>
    <w:rsid w:val="00A37BBA"/>
    <w:rsid w:val="00A37DB6"/>
    <w:rsid w:val="00A45249"/>
    <w:rsid w:val="00A45878"/>
    <w:rsid w:val="00A470C4"/>
    <w:rsid w:val="00A47A29"/>
    <w:rsid w:val="00A51D7E"/>
    <w:rsid w:val="00A53CB7"/>
    <w:rsid w:val="00A56AF7"/>
    <w:rsid w:val="00A56DA0"/>
    <w:rsid w:val="00A5716E"/>
    <w:rsid w:val="00A61179"/>
    <w:rsid w:val="00A6141D"/>
    <w:rsid w:val="00A627A9"/>
    <w:rsid w:val="00A63A97"/>
    <w:rsid w:val="00A649FA"/>
    <w:rsid w:val="00A66BE7"/>
    <w:rsid w:val="00A67F83"/>
    <w:rsid w:val="00A71B2E"/>
    <w:rsid w:val="00A72166"/>
    <w:rsid w:val="00A732C3"/>
    <w:rsid w:val="00A73843"/>
    <w:rsid w:val="00A73FDB"/>
    <w:rsid w:val="00A75BD3"/>
    <w:rsid w:val="00A77CDA"/>
    <w:rsid w:val="00A80DCA"/>
    <w:rsid w:val="00A82671"/>
    <w:rsid w:val="00A83DD1"/>
    <w:rsid w:val="00A86E2C"/>
    <w:rsid w:val="00A87125"/>
    <w:rsid w:val="00A87D8B"/>
    <w:rsid w:val="00A902CD"/>
    <w:rsid w:val="00A90A9E"/>
    <w:rsid w:val="00A91DE9"/>
    <w:rsid w:val="00A91E08"/>
    <w:rsid w:val="00A92FB7"/>
    <w:rsid w:val="00A947AA"/>
    <w:rsid w:val="00A9574E"/>
    <w:rsid w:val="00A95D5C"/>
    <w:rsid w:val="00A9667F"/>
    <w:rsid w:val="00A9685F"/>
    <w:rsid w:val="00AA06E6"/>
    <w:rsid w:val="00AA0CDA"/>
    <w:rsid w:val="00AA1821"/>
    <w:rsid w:val="00AA6EB0"/>
    <w:rsid w:val="00AA7E82"/>
    <w:rsid w:val="00AB0264"/>
    <w:rsid w:val="00AB0710"/>
    <w:rsid w:val="00AB1C6B"/>
    <w:rsid w:val="00AB41FA"/>
    <w:rsid w:val="00AB5919"/>
    <w:rsid w:val="00AB5A3B"/>
    <w:rsid w:val="00AB624F"/>
    <w:rsid w:val="00AB6277"/>
    <w:rsid w:val="00AC057C"/>
    <w:rsid w:val="00AC27EA"/>
    <w:rsid w:val="00AC288A"/>
    <w:rsid w:val="00AD0A4E"/>
    <w:rsid w:val="00AD24F8"/>
    <w:rsid w:val="00AD2D8B"/>
    <w:rsid w:val="00AD46C3"/>
    <w:rsid w:val="00AD7511"/>
    <w:rsid w:val="00AE1CBD"/>
    <w:rsid w:val="00AE4253"/>
    <w:rsid w:val="00AE48DC"/>
    <w:rsid w:val="00AE5432"/>
    <w:rsid w:val="00AF365D"/>
    <w:rsid w:val="00AF55CA"/>
    <w:rsid w:val="00AF6009"/>
    <w:rsid w:val="00AF716A"/>
    <w:rsid w:val="00AF75B4"/>
    <w:rsid w:val="00AF7F03"/>
    <w:rsid w:val="00B0176B"/>
    <w:rsid w:val="00B02287"/>
    <w:rsid w:val="00B030D7"/>
    <w:rsid w:val="00B07C58"/>
    <w:rsid w:val="00B148C5"/>
    <w:rsid w:val="00B17E29"/>
    <w:rsid w:val="00B234DA"/>
    <w:rsid w:val="00B23E02"/>
    <w:rsid w:val="00B24304"/>
    <w:rsid w:val="00B25CB8"/>
    <w:rsid w:val="00B267B1"/>
    <w:rsid w:val="00B3037B"/>
    <w:rsid w:val="00B31209"/>
    <w:rsid w:val="00B31E6A"/>
    <w:rsid w:val="00B32962"/>
    <w:rsid w:val="00B352A0"/>
    <w:rsid w:val="00B35C24"/>
    <w:rsid w:val="00B3700A"/>
    <w:rsid w:val="00B37EB4"/>
    <w:rsid w:val="00B431D7"/>
    <w:rsid w:val="00B4414D"/>
    <w:rsid w:val="00B4440D"/>
    <w:rsid w:val="00B4527D"/>
    <w:rsid w:val="00B45A9B"/>
    <w:rsid w:val="00B45DBC"/>
    <w:rsid w:val="00B51105"/>
    <w:rsid w:val="00B52566"/>
    <w:rsid w:val="00B5357A"/>
    <w:rsid w:val="00B543EF"/>
    <w:rsid w:val="00B5594C"/>
    <w:rsid w:val="00B57FE9"/>
    <w:rsid w:val="00B63865"/>
    <w:rsid w:val="00B6697C"/>
    <w:rsid w:val="00B7204C"/>
    <w:rsid w:val="00B74FE4"/>
    <w:rsid w:val="00B761BF"/>
    <w:rsid w:val="00B85BB4"/>
    <w:rsid w:val="00B85C88"/>
    <w:rsid w:val="00B86AFB"/>
    <w:rsid w:val="00B9088A"/>
    <w:rsid w:val="00B92FF1"/>
    <w:rsid w:val="00B9302E"/>
    <w:rsid w:val="00B95FBA"/>
    <w:rsid w:val="00B964A1"/>
    <w:rsid w:val="00BA0B6F"/>
    <w:rsid w:val="00BA1050"/>
    <w:rsid w:val="00BA3555"/>
    <w:rsid w:val="00BA4FEB"/>
    <w:rsid w:val="00BA57B8"/>
    <w:rsid w:val="00BA6BF4"/>
    <w:rsid w:val="00BA6FC0"/>
    <w:rsid w:val="00BA77A5"/>
    <w:rsid w:val="00BB054F"/>
    <w:rsid w:val="00BB60BA"/>
    <w:rsid w:val="00BC0BF4"/>
    <w:rsid w:val="00BC2474"/>
    <w:rsid w:val="00BC24A4"/>
    <w:rsid w:val="00BC27C4"/>
    <w:rsid w:val="00BC289D"/>
    <w:rsid w:val="00BC7E4E"/>
    <w:rsid w:val="00BD2797"/>
    <w:rsid w:val="00BD31E7"/>
    <w:rsid w:val="00BD49FC"/>
    <w:rsid w:val="00BD4B5C"/>
    <w:rsid w:val="00BD7B45"/>
    <w:rsid w:val="00BD7D53"/>
    <w:rsid w:val="00BE106F"/>
    <w:rsid w:val="00BE1544"/>
    <w:rsid w:val="00BE3469"/>
    <w:rsid w:val="00BE4CA2"/>
    <w:rsid w:val="00BE6197"/>
    <w:rsid w:val="00BF1200"/>
    <w:rsid w:val="00BF1866"/>
    <w:rsid w:val="00C0131A"/>
    <w:rsid w:val="00C03DEF"/>
    <w:rsid w:val="00C05CFF"/>
    <w:rsid w:val="00C0615D"/>
    <w:rsid w:val="00C06359"/>
    <w:rsid w:val="00C072E7"/>
    <w:rsid w:val="00C07B26"/>
    <w:rsid w:val="00C1189C"/>
    <w:rsid w:val="00C1236C"/>
    <w:rsid w:val="00C21D15"/>
    <w:rsid w:val="00C22485"/>
    <w:rsid w:val="00C227AB"/>
    <w:rsid w:val="00C22F45"/>
    <w:rsid w:val="00C23660"/>
    <w:rsid w:val="00C24C9B"/>
    <w:rsid w:val="00C31F4A"/>
    <w:rsid w:val="00C3404E"/>
    <w:rsid w:val="00C35448"/>
    <w:rsid w:val="00C36CD0"/>
    <w:rsid w:val="00C36D0D"/>
    <w:rsid w:val="00C37163"/>
    <w:rsid w:val="00C434D9"/>
    <w:rsid w:val="00C441D3"/>
    <w:rsid w:val="00C464E8"/>
    <w:rsid w:val="00C474E5"/>
    <w:rsid w:val="00C51108"/>
    <w:rsid w:val="00C5465D"/>
    <w:rsid w:val="00C55DE9"/>
    <w:rsid w:val="00C565DB"/>
    <w:rsid w:val="00C5769E"/>
    <w:rsid w:val="00C627BC"/>
    <w:rsid w:val="00C63765"/>
    <w:rsid w:val="00C67A6A"/>
    <w:rsid w:val="00C7216D"/>
    <w:rsid w:val="00C73244"/>
    <w:rsid w:val="00C841CB"/>
    <w:rsid w:val="00C858AF"/>
    <w:rsid w:val="00C85C09"/>
    <w:rsid w:val="00C92187"/>
    <w:rsid w:val="00C924E4"/>
    <w:rsid w:val="00C954A2"/>
    <w:rsid w:val="00C96D1D"/>
    <w:rsid w:val="00CA0044"/>
    <w:rsid w:val="00CA00E7"/>
    <w:rsid w:val="00CA11CD"/>
    <w:rsid w:val="00CA449E"/>
    <w:rsid w:val="00CA467A"/>
    <w:rsid w:val="00CB22B2"/>
    <w:rsid w:val="00CB2B87"/>
    <w:rsid w:val="00CB3615"/>
    <w:rsid w:val="00CB48EA"/>
    <w:rsid w:val="00CC5086"/>
    <w:rsid w:val="00CC67CF"/>
    <w:rsid w:val="00CC70E5"/>
    <w:rsid w:val="00CD1F25"/>
    <w:rsid w:val="00CD1F7F"/>
    <w:rsid w:val="00CD2150"/>
    <w:rsid w:val="00CD4498"/>
    <w:rsid w:val="00CE119D"/>
    <w:rsid w:val="00CE121F"/>
    <w:rsid w:val="00CE1CC6"/>
    <w:rsid w:val="00CE2645"/>
    <w:rsid w:val="00CE31F2"/>
    <w:rsid w:val="00CF34DE"/>
    <w:rsid w:val="00CF4B76"/>
    <w:rsid w:val="00CF598F"/>
    <w:rsid w:val="00CF6118"/>
    <w:rsid w:val="00CF67E4"/>
    <w:rsid w:val="00D000DA"/>
    <w:rsid w:val="00D00117"/>
    <w:rsid w:val="00D00E60"/>
    <w:rsid w:val="00D0113B"/>
    <w:rsid w:val="00D063EB"/>
    <w:rsid w:val="00D10B5C"/>
    <w:rsid w:val="00D12748"/>
    <w:rsid w:val="00D131AE"/>
    <w:rsid w:val="00D14442"/>
    <w:rsid w:val="00D146BF"/>
    <w:rsid w:val="00D15696"/>
    <w:rsid w:val="00D22957"/>
    <w:rsid w:val="00D2390B"/>
    <w:rsid w:val="00D25D79"/>
    <w:rsid w:val="00D3113D"/>
    <w:rsid w:val="00D319E0"/>
    <w:rsid w:val="00D31E8C"/>
    <w:rsid w:val="00D323E9"/>
    <w:rsid w:val="00D32C3D"/>
    <w:rsid w:val="00D336B4"/>
    <w:rsid w:val="00D36CC6"/>
    <w:rsid w:val="00D447AD"/>
    <w:rsid w:val="00D448E4"/>
    <w:rsid w:val="00D50981"/>
    <w:rsid w:val="00D51925"/>
    <w:rsid w:val="00D5368C"/>
    <w:rsid w:val="00D54822"/>
    <w:rsid w:val="00D56FDA"/>
    <w:rsid w:val="00D70D13"/>
    <w:rsid w:val="00D72E1D"/>
    <w:rsid w:val="00D74EB9"/>
    <w:rsid w:val="00D75CBD"/>
    <w:rsid w:val="00D764AB"/>
    <w:rsid w:val="00D76694"/>
    <w:rsid w:val="00D81B02"/>
    <w:rsid w:val="00D82553"/>
    <w:rsid w:val="00D839A8"/>
    <w:rsid w:val="00D84899"/>
    <w:rsid w:val="00D84A11"/>
    <w:rsid w:val="00D86F8E"/>
    <w:rsid w:val="00D874B9"/>
    <w:rsid w:val="00D90ABD"/>
    <w:rsid w:val="00D92256"/>
    <w:rsid w:val="00D93FC3"/>
    <w:rsid w:val="00D9702D"/>
    <w:rsid w:val="00DA289B"/>
    <w:rsid w:val="00DA543A"/>
    <w:rsid w:val="00DA5C54"/>
    <w:rsid w:val="00DA5C6E"/>
    <w:rsid w:val="00DB11D0"/>
    <w:rsid w:val="00DB2AF0"/>
    <w:rsid w:val="00DB5F56"/>
    <w:rsid w:val="00DC1077"/>
    <w:rsid w:val="00DC28ED"/>
    <w:rsid w:val="00DC3FB3"/>
    <w:rsid w:val="00DC44EB"/>
    <w:rsid w:val="00DC5D54"/>
    <w:rsid w:val="00DD050D"/>
    <w:rsid w:val="00DD128A"/>
    <w:rsid w:val="00DD3E57"/>
    <w:rsid w:val="00DD5C65"/>
    <w:rsid w:val="00DE0E28"/>
    <w:rsid w:val="00DE3174"/>
    <w:rsid w:val="00DE3232"/>
    <w:rsid w:val="00DE50E7"/>
    <w:rsid w:val="00DF4574"/>
    <w:rsid w:val="00DF7186"/>
    <w:rsid w:val="00E00577"/>
    <w:rsid w:val="00E0150B"/>
    <w:rsid w:val="00E025E2"/>
    <w:rsid w:val="00E0264F"/>
    <w:rsid w:val="00E03666"/>
    <w:rsid w:val="00E048E1"/>
    <w:rsid w:val="00E0498B"/>
    <w:rsid w:val="00E0618D"/>
    <w:rsid w:val="00E06BB1"/>
    <w:rsid w:val="00E06CB1"/>
    <w:rsid w:val="00E10F80"/>
    <w:rsid w:val="00E1244C"/>
    <w:rsid w:val="00E129D3"/>
    <w:rsid w:val="00E144F3"/>
    <w:rsid w:val="00E20351"/>
    <w:rsid w:val="00E206E1"/>
    <w:rsid w:val="00E228F6"/>
    <w:rsid w:val="00E24A77"/>
    <w:rsid w:val="00E27B4B"/>
    <w:rsid w:val="00E31A39"/>
    <w:rsid w:val="00E32CAD"/>
    <w:rsid w:val="00E33184"/>
    <w:rsid w:val="00E34080"/>
    <w:rsid w:val="00E35440"/>
    <w:rsid w:val="00E37BB2"/>
    <w:rsid w:val="00E41247"/>
    <w:rsid w:val="00E431A7"/>
    <w:rsid w:val="00E43354"/>
    <w:rsid w:val="00E4606F"/>
    <w:rsid w:val="00E47F00"/>
    <w:rsid w:val="00E5236E"/>
    <w:rsid w:val="00E5380F"/>
    <w:rsid w:val="00E53B1E"/>
    <w:rsid w:val="00E53D69"/>
    <w:rsid w:val="00E55114"/>
    <w:rsid w:val="00E557E3"/>
    <w:rsid w:val="00E63479"/>
    <w:rsid w:val="00E63D7E"/>
    <w:rsid w:val="00E67532"/>
    <w:rsid w:val="00E74277"/>
    <w:rsid w:val="00E74508"/>
    <w:rsid w:val="00E759CC"/>
    <w:rsid w:val="00E761E4"/>
    <w:rsid w:val="00E76804"/>
    <w:rsid w:val="00E76AFD"/>
    <w:rsid w:val="00E76E64"/>
    <w:rsid w:val="00E77629"/>
    <w:rsid w:val="00E779B2"/>
    <w:rsid w:val="00E77E74"/>
    <w:rsid w:val="00E80E8B"/>
    <w:rsid w:val="00E81609"/>
    <w:rsid w:val="00E81AD8"/>
    <w:rsid w:val="00E82850"/>
    <w:rsid w:val="00E82888"/>
    <w:rsid w:val="00E85B93"/>
    <w:rsid w:val="00E8798D"/>
    <w:rsid w:val="00E92950"/>
    <w:rsid w:val="00E93167"/>
    <w:rsid w:val="00E93EED"/>
    <w:rsid w:val="00E9648D"/>
    <w:rsid w:val="00E96897"/>
    <w:rsid w:val="00EA37C2"/>
    <w:rsid w:val="00EA3850"/>
    <w:rsid w:val="00EA5536"/>
    <w:rsid w:val="00EA77DF"/>
    <w:rsid w:val="00EB1CAC"/>
    <w:rsid w:val="00EB22EC"/>
    <w:rsid w:val="00EB2572"/>
    <w:rsid w:val="00EB46F0"/>
    <w:rsid w:val="00EB7AED"/>
    <w:rsid w:val="00EC0C6E"/>
    <w:rsid w:val="00EC4F9F"/>
    <w:rsid w:val="00EC5130"/>
    <w:rsid w:val="00EC59DF"/>
    <w:rsid w:val="00ED11C4"/>
    <w:rsid w:val="00ED1A07"/>
    <w:rsid w:val="00EE1F53"/>
    <w:rsid w:val="00EE2824"/>
    <w:rsid w:val="00EE77E7"/>
    <w:rsid w:val="00EF1FCA"/>
    <w:rsid w:val="00EF4A91"/>
    <w:rsid w:val="00EF6E40"/>
    <w:rsid w:val="00EF77CD"/>
    <w:rsid w:val="00F00272"/>
    <w:rsid w:val="00F02997"/>
    <w:rsid w:val="00F057B4"/>
    <w:rsid w:val="00F05A92"/>
    <w:rsid w:val="00F07A95"/>
    <w:rsid w:val="00F07E0A"/>
    <w:rsid w:val="00F14BC4"/>
    <w:rsid w:val="00F1722A"/>
    <w:rsid w:val="00F21E1C"/>
    <w:rsid w:val="00F22A35"/>
    <w:rsid w:val="00F23106"/>
    <w:rsid w:val="00F25666"/>
    <w:rsid w:val="00F25EBD"/>
    <w:rsid w:val="00F3088B"/>
    <w:rsid w:val="00F3221A"/>
    <w:rsid w:val="00F32FD0"/>
    <w:rsid w:val="00F33198"/>
    <w:rsid w:val="00F36924"/>
    <w:rsid w:val="00F37BB7"/>
    <w:rsid w:val="00F40C53"/>
    <w:rsid w:val="00F417C6"/>
    <w:rsid w:val="00F41CD1"/>
    <w:rsid w:val="00F41D7B"/>
    <w:rsid w:val="00F44F0F"/>
    <w:rsid w:val="00F463A2"/>
    <w:rsid w:val="00F55C7C"/>
    <w:rsid w:val="00F61CEB"/>
    <w:rsid w:val="00F61DD1"/>
    <w:rsid w:val="00F62736"/>
    <w:rsid w:val="00F638D1"/>
    <w:rsid w:val="00F64399"/>
    <w:rsid w:val="00F6470C"/>
    <w:rsid w:val="00F658FC"/>
    <w:rsid w:val="00F6654B"/>
    <w:rsid w:val="00F70ED8"/>
    <w:rsid w:val="00F72AB6"/>
    <w:rsid w:val="00F751A4"/>
    <w:rsid w:val="00F77F7F"/>
    <w:rsid w:val="00F80594"/>
    <w:rsid w:val="00F80ADB"/>
    <w:rsid w:val="00F80EC9"/>
    <w:rsid w:val="00F8253C"/>
    <w:rsid w:val="00F82846"/>
    <w:rsid w:val="00F82CF0"/>
    <w:rsid w:val="00F83608"/>
    <w:rsid w:val="00F85A2F"/>
    <w:rsid w:val="00F86368"/>
    <w:rsid w:val="00F86825"/>
    <w:rsid w:val="00F91775"/>
    <w:rsid w:val="00F92438"/>
    <w:rsid w:val="00F94F47"/>
    <w:rsid w:val="00F95618"/>
    <w:rsid w:val="00F974FF"/>
    <w:rsid w:val="00F978E4"/>
    <w:rsid w:val="00F97B6B"/>
    <w:rsid w:val="00FA48A4"/>
    <w:rsid w:val="00FA4BDA"/>
    <w:rsid w:val="00FB0102"/>
    <w:rsid w:val="00FB06C0"/>
    <w:rsid w:val="00FB228C"/>
    <w:rsid w:val="00FB2D3C"/>
    <w:rsid w:val="00FB33B9"/>
    <w:rsid w:val="00FB5249"/>
    <w:rsid w:val="00FB7388"/>
    <w:rsid w:val="00FB73C3"/>
    <w:rsid w:val="00FC01D4"/>
    <w:rsid w:val="00FC112A"/>
    <w:rsid w:val="00FC61E7"/>
    <w:rsid w:val="00FC7BD4"/>
    <w:rsid w:val="00FD45C2"/>
    <w:rsid w:val="00FD6B87"/>
    <w:rsid w:val="00FD7ACC"/>
    <w:rsid w:val="00FD7C9D"/>
    <w:rsid w:val="00FD7CD1"/>
    <w:rsid w:val="00FD7FD3"/>
    <w:rsid w:val="00FE41F8"/>
    <w:rsid w:val="00FF0EC1"/>
    <w:rsid w:val="00FF0FD8"/>
    <w:rsid w:val="00FF1B1A"/>
    <w:rsid w:val="00FF44B4"/>
    <w:rsid w:val="00FF5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52A0"/>
    <w:pPr>
      <w:spacing w:line="280" w:lineRule="exact"/>
      <w:jc w:val="both"/>
    </w:pPr>
    <w:rPr>
      <w:rFonts w:ascii="Times New Roman" w:hAnsi="Times New Roman"/>
      <w:sz w:val="22"/>
      <w:szCs w:val="22"/>
      <w:lang w:eastAsia="en-US"/>
    </w:rPr>
  </w:style>
  <w:style w:type="paragraph" w:styleId="Heading1">
    <w:name w:val="heading 1"/>
    <w:basedOn w:val="Normal"/>
    <w:next w:val="Normal"/>
    <w:link w:val="Heading1Char"/>
    <w:uiPriority w:val="9"/>
    <w:qFormat/>
    <w:rsid w:val="0041291E"/>
    <w:pPr>
      <w:keepNext/>
      <w:keepLines/>
      <w:spacing w:before="240"/>
      <w:outlineLvl w:val="0"/>
    </w:pPr>
    <w:rPr>
      <w:rFonts w:eastAsia="Times New Roman"/>
      <w:b/>
      <w:caps/>
      <w:szCs w:val="32"/>
    </w:rPr>
  </w:style>
  <w:style w:type="paragraph" w:styleId="Heading2">
    <w:name w:val="heading 2"/>
    <w:basedOn w:val="Normal"/>
    <w:next w:val="Normal"/>
    <w:link w:val="Heading2Char"/>
    <w:uiPriority w:val="9"/>
    <w:unhideWhenUsed/>
    <w:qFormat/>
    <w:rsid w:val="0041291E"/>
    <w:pPr>
      <w:keepNext/>
      <w:keepLines/>
      <w:spacing w:before="40"/>
      <w:jc w:val="left"/>
      <w:outlineLvl w:val="1"/>
    </w:pPr>
    <w:rPr>
      <w:rFonts w:eastAsia="Times New Roman"/>
      <w:b/>
      <w:szCs w:val="26"/>
    </w:rPr>
  </w:style>
  <w:style w:type="paragraph" w:styleId="Heading3">
    <w:name w:val="heading 3"/>
    <w:basedOn w:val="Normal"/>
    <w:next w:val="Normal"/>
    <w:link w:val="Heading3Char"/>
    <w:uiPriority w:val="9"/>
    <w:unhideWhenUsed/>
    <w:qFormat/>
    <w:rsid w:val="00971F0A"/>
    <w:pPr>
      <w:keepNext/>
      <w:keepLines/>
      <w:outlineLvl w:val="2"/>
    </w:pPr>
    <w:rPr>
      <w:rFonts w:eastAsia="Times New Roman"/>
      <w:b/>
      <w:i/>
      <w:sz w:val="20"/>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link w:val="ResearchTitle"/>
    <w:rsid w:val="008A1185"/>
    <w:rPr>
      <w:rFonts w:ascii="Arial" w:hAnsi="Arial"/>
      <w:b/>
      <w:caps/>
      <w:color w:val="538135"/>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link w:val="ReseachMainHeading"/>
    <w:rsid w:val="005E068D"/>
    <w:rPr>
      <w:rFonts w:ascii="Arial" w:hAnsi="Arial"/>
      <w:b/>
      <w:caps/>
      <w:color w:val="538135"/>
      <w:sz w:val="24"/>
    </w:rPr>
  </w:style>
  <w:style w:type="character" w:customStyle="1" w:styleId="Heading1Char">
    <w:name w:val="Heading 1 Char"/>
    <w:link w:val="Heading1"/>
    <w:uiPriority w:val="9"/>
    <w:rsid w:val="0041291E"/>
    <w:rPr>
      <w:rFonts w:ascii="Times New Roman" w:eastAsia="Times New Roman" w:hAnsi="Times New Roman"/>
      <w:b/>
      <w:caps/>
      <w:sz w:val="22"/>
      <w:szCs w:val="32"/>
      <w:lang w:eastAsia="en-US"/>
    </w:rPr>
  </w:style>
  <w:style w:type="character" w:customStyle="1" w:styleId="ResearchSubheadingChar">
    <w:name w:val="Research Sub heading Char"/>
    <w:link w:val="ResearchSubheading"/>
    <w:rsid w:val="005E068D"/>
    <w:rPr>
      <w:rFonts w:ascii="Arial" w:hAnsi="Arial"/>
      <w:b w:val="0"/>
      <w:caps w:val="0"/>
      <w:color w:val="538135"/>
      <w:sz w:val="24"/>
    </w:rPr>
  </w:style>
  <w:style w:type="paragraph" w:styleId="TOCHeading">
    <w:name w:val="TOC Heading"/>
    <w:basedOn w:val="Heading1"/>
    <w:next w:val="Normal"/>
    <w:uiPriority w:val="39"/>
    <w:unhideWhenUsed/>
    <w:qFormat/>
    <w:rsid w:val="00052B47"/>
    <w:pPr>
      <w:outlineLvl w:val="9"/>
    </w:pPr>
    <w:rPr>
      <w:caps w:val="0"/>
      <w:color w:val="000000"/>
      <w:lang w:val="en-US"/>
    </w:rPr>
  </w:style>
  <w:style w:type="paragraph" w:styleId="TOC1">
    <w:name w:val="toc 1"/>
    <w:basedOn w:val="Normal"/>
    <w:next w:val="Normal"/>
    <w:autoRedefine/>
    <w:uiPriority w:val="39"/>
    <w:unhideWhenUsed/>
    <w:qFormat/>
    <w:rsid w:val="00950376"/>
    <w:pPr>
      <w:tabs>
        <w:tab w:val="left" w:pos="442"/>
        <w:tab w:val="right" w:leader="dot" w:pos="9016"/>
      </w:tabs>
      <w:spacing w:line="240" w:lineRule="exact"/>
    </w:pPr>
    <w:rPr>
      <w:b/>
      <w:caps/>
      <w:color w:val="000000"/>
      <w:sz w:val="20"/>
    </w:rPr>
  </w:style>
  <w:style w:type="character" w:styleId="Hyperlink">
    <w:name w:val="Hyperlink"/>
    <w:uiPriority w:val="99"/>
    <w:unhideWhenUsed/>
    <w:rsid w:val="005E068D"/>
    <w:rPr>
      <w:color w:val="0563C1"/>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link w:val="Heading2"/>
    <w:uiPriority w:val="9"/>
    <w:rsid w:val="0041291E"/>
    <w:rPr>
      <w:rFonts w:ascii="Times New Roman" w:eastAsia="Times New Roman" w:hAnsi="Times New Roman"/>
      <w:b/>
      <w:sz w:val="22"/>
      <w:szCs w:val="26"/>
      <w:lang w:eastAsia="en-US"/>
    </w:rPr>
  </w:style>
  <w:style w:type="paragraph" w:styleId="TOC2">
    <w:name w:val="toc 2"/>
    <w:basedOn w:val="Normal"/>
    <w:next w:val="Normal"/>
    <w:autoRedefine/>
    <w:uiPriority w:val="39"/>
    <w:unhideWhenUsed/>
    <w:rsid w:val="00B31E6A"/>
    <w:pPr>
      <w:spacing w:line="240" w:lineRule="exact"/>
      <w:ind w:left="221"/>
    </w:pPr>
    <w:rPr>
      <w:sz w:val="20"/>
    </w:rPr>
  </w:style>
  <w:style w:type="paragraph" w:styleId="TOC3">
    <w:name w:val="toc 3"/>
    <w:basedOn w:val="Normal"/>
    <w:next w:val="Normal"/>
    <w:link w:val="TOC3Char"/>
    <w:autoRedefine/>
    <w:uiPriority w:val="39"/>
    <w:unhideWhenUsed/>
    <w:rsid w:val="00B31E6A"/>
    <w:pPr>
      <w:spacing w:line="240" w:lineRule="exact"/>
      <w:ind w:left="442"/>
    </w:pPr>
    <w:rPr>
      <w:rFonts w:eastAsia="Times New Roman"/>
      <w:sz w:val="20"/>
      <w:lang w:val="en-US"/>
    </w:rPr>
  </w:style>
  <w:style w:type="paragraph" w:styleId="Title">
    <w:name w:val="Title"/>
    <w:basedOn w:val="Normal"/>
    <w:next w:val="Normal"/>
    <w:link w:val="TitleChar"/>
    <w:uiPriority w:val="10"/>
    <w:qFormat/>
    <w:rsid w:val="00032AA0"/>
    <w:pPr>
      <w:spacing w:line="240" w:lineRule="auto"/>
      <w:contextualSpacing/>
    </w:pPr>
    <w:rPr>
      <w:rFonts w:eastAsia="Times New Roman"/>
      <w:b/>
      <w:caps/>
      <w:spacing w:val="-10"/>
      <w:kern w:val="28"/>
      <w:sz w:val="24"/>
      <w:szCs w:val="56"/>
    </w:rPr>
  </w:style>
  <w:style w:type="character" w:customStyle="1" w:styleId="TitleChar">
    <w:name w:val="Title Char"/>
    <w:link w:val="Title"/>
    <w:uiPriority w:val="10"/>
    <w:rsid w:val="00032AA0"/>
    <w:rPr>
      <w:rFonts w:ascii="Arial" w:eastAsia="Times New Roman" w:hAnsi="Arial"/>
      <w:b/>
      <w:caps/>
      <w:spacing w:val="-10"/>
      <w:kern w:val="28"/>
      <w:sz w:val="24"/>
      <w:szCs w:val="56"/>
      <w:lang w:eastAsia="en-US"/>
    </w:rPr>
  </w:style>
  <w:style w:type="paragraph" w:styleId="Subtitle">
    <w:name w:val="Subtitle"/>
    <w:basedOn w:val="Normal"/>
    <w:next w:val="Normal"/>
    <w:link w:val="SubtitleChar"/>
    <w:uiPriority w:val="11"/>
    <w:rsid w:val="00893EE9"/>
    <w:pPr>
      <w:numPr>
        <w:ilvl w:val="1"/>
      </w:numPr>
    </w:pPr>
    <w:rPr>
      <w:rFonts w:eastAsia="Times New Roman"/>
      <w:color w:val="5A5A5A"/>
      <w:spacing w:val="15"/>
    </w:rPr>
  </w:style>
  <w:style w:type="character" w:customStyle="1" w:styleId="SubtitleChar">
    <w:name w:val="Subtitle Char"/>
    <w:link w:val="Subtitle"/>
    <w:uiPriority w:val="11"/>
    <w:rsid w:val="00893EE9"/>
    <w:rPr>
      <w:rFonts w:eastAsia="Times New Roman"/>
      <w:color w:val="5A5A5A"/>
      <w:spacing w:val="15"/>
    </w:rPr>
  </w:style>
  <w:style w:type="character" w:customStyle="1" w:styleId="Heading3Char">
    <w:name w:val="Heading 3 Char"/>
    <w:link w:val="Heading3"/>
    <w:uiPriority w:val="9"/>
    <w:rsid w:val="00971F0A"/>
    <w:rPr>
      <w:rFonts w:ascii="Arial" w:eastAsia="Times New Roman" w:hAnsi="Arial"/>
      <w:b/>
      <w:i/>
      <w:szCs w:val="24"/>
      <w:lang w:eastAsia="en-US"/>
    </w:rPr>
  </w:style>
  <w:style w:type="character" w:customStyle="1" w:styleId="Heading4Char">
    <w:name w:val="Heading 4 Char"/>
    <w:link w:val="Heading4"/>
    <w:uiPriority w:val="9"/>
    <w:semiHidden/>
    <w:rsid w:val="009E0C94"/>
    <w:rPr>
      <w:rFonts w:ascii="Calibri Light" w:eastAsia="Times New Roman" w:hAnsi="Calibri Light" w:cs="Times New Roman"/>
      <w:i/>
      <w:iCs/>
      <w:color w:val="2E74B5"/>
    </w:rPr>
  </w:style>
  <w:style w:type="character" w:customStyle="1" w:styleId="Heading5Char">
    <w:name w:val="Heading 5 Char"/>
    <w:link w:val="Heading5"/>
    <w:uiPriority w:val="9"/>
    <w:semiHidden/>
    <w:rsid w:val="009E0C94"/>
    <w:rPr>
      <w:rFonts w:ascii="Calibri Light" w:eastAsia="Times New Roman" w:hAnsi="Calibri Light" w:cs="Times New Roman"/>
      <w:color w:val="2E74B5"/>
    </w:rPr>
  </w:style>
  <w:style w:type="character" w:customStyle="1" w:styleId="Heading6Char">
    <w:name w:val="Heading 6 Char"/>
    <w:link w:val="Heading6"/>
    <w:uiPriority w:val="9"/>
    <w:semiHidden/>
    <w:rsid w:val="009E0C94"/>
    <w:rPr>
      <w:rFonts w:ascii="Calibri Light" w:eastAsia="Times New Roman" w:hAnsi="Calibri Light" w:cs="Times New Roman"/>
      <w:color w:val="1F4D78"/>
    </w:rPr>
  </w:style>
  <w:style w:type="character" w:customStyle="1" w:styleId="Heading7Char">
    <w:name w:val="Heading 7 Char"/>
    <w:link w:val="Heading7"/>
    <w:uiPriority w:val="9"/>
    <w:semiHidden/>
    <w:rsid w:val="009E0C94"/>
    <w:rPr>
      <w:rFonts w:ascii="Calibri Light" w:eastAsia="Times New Roman" w:hAnsi="Calibri Light" w:cs="Times New Roman"/>
      <w:i/>
      <w:iCs/>
      <w:color w:val="1F4D78"/>
    </w:rPr>
  </w:style>
  <w:style w:type="character" w:customStyle="1" w:styleId="Heading8Char">
    <w:name w:val="Heading 8 Char"/>
    <w:link w:val="Heading8"/>
    <w:uiPriority w:val="9"/>
    <w:semiHidden/>
    <w:rsid w:val="009E0C94"/>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9E0C94"/>
    <w:rPr>
      <w:rFonts w:ascii="Calibri Light" w:eastAsia="Times New Roman" w:hAnsi="Calibri Light" w:cs="Times New Roman"/>
      <w:i/>
      <w:iCs/>
      <w:color w:val="272727"/>
      <w:sz w:val="21"/>
      <w:szCs w:val="21"/>
    </w:rPr>
  </w:style>
  <w:style w:type="table" w:styleId="TableGrid">
    <w:name w:val="Table Grid"/>
    <w:basedOn w:val="TableNormal"/>
    <w:uiPriority w:val="39"/>
    <w:rsid w:val="009E0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1"/>
      </w:numPr>
    </w:pPr>
  </w:style>
  <w:style w:type="paragraph" w:styleId="CommentText">
    <w:name w:val="annotation text"/>
    <w:basedOn w:val="Normal"/>
    <w:link w:val="CommentTextChar"/>
    <w:semiHidden/>
    <w:rsid w:val="00052B47"/>
    <w:pPr>
      <w:jc w:val="left"/>
    </w:pPr>
    <w:rPr>
      <w:rFonts w:eastAsia="Times New Roman"/>
      <w:color w:val="000000"/>
      <w:sz w:val="20"/>
      <w:szCs w:val="20"/>
      <w:lang w:val="en-GB" w:eastAsia="en-GB"/>
    </w:rPr>
  </w:style>
  <w:style w:type="character" w:customStyle="1" w:styleId="CommentTextChar">
    <w:name w:val="Comment Text Char"/>
    <w:link w:val="CommentText"/>
    <w:semiHidden/>
    <w:rsid w:val="00052B47"/>
    <w:rPr>
      <w:rFonts w:ascii="Arial" w:eastAsia="Times New Roman" w:hAnsi="Arial" w:cs="Times New Roman"/>
      <w:color w:val="000000"/>
      <w:sz w:val="20"/>
      <w:szCs w:val="20"/>
      <w:lang w:val="en-GB" w:eastAsia="en-GB"/>
    </w:rPr>
  </w:style>
  <w:style w:type="paragraph" w:customStyle="1" w:styleId="TOC">
    <w:name w:val="TOC"/>
    <w:basedOn w:val="TOC3"/>
    <w:link w:val="TOCChar"/>
    <w:qFormat/>
    <w:rsid w:val="005810BD"/>
    <w:pPr>
      <w:tabs>
        <w:tab w:val="left" w:pos="1320"/>
        <w:tab w:val="right" w:leader="dot" w:pos="9016"/>
      </w:tabs>
    </w:pPr>
    <w:rPr>
      <w:i/>
      <w:noProof/>
    </w:rPr>
  </w:style>
  <w:style w:type="paragraph" w:customStyle="1" w:styleId="Pa16">
    <w:name w:val="Pa16"/>
    <w:basedOn w:val="Normal"/>
    <w:next w:val="Normal"/>
    <w:uiPriority w:val="99"/>
    <w:rsid w:val="007713CC"/>
    <w:pPr>
      <w:autoSpaceDE w:val="0"/>
      <w:autoSpaceDN w:val="0"/>
      <w:adjustRightInd w:val="0"/>
      <w:spacing w:line="221" w:lineRule="atLeast"/>
      <w:jc w:val="left"/>
    </w:pPr>
    <w:rPr>
      <w:rFonts w:cs="Arial"/>
      <w:sz w:val="24"/>
      <w:szCs w:val="24"/>
      <w:lang w:eastAsia="en-ZA"/>
    </w:rPr>
  </w:style>
  <w:style w:type="character" w:customStyle="1" w:styleId="TOC3Char">
    <w:name w:val="TOC 3 Char"/>
    <w:link w:val="TOC3"/>
    <w:uiPriority w:val="39"/>
    <w:rsid w:val="005810BD"/>
    <w:rPr>
      <w:rFonts w:ascii="Arial" w:eastAsia="Times New Roman" w:hAnsi="Arial" w:cs="Times New Roman"/>
      <w:sz w:val="20"/>
      <w:lang w:val="en-US"/>
    </w:rPr>
  </w:style>
  <w:style w:type="character" w:customStyle="1" w:styleId="TOCChar">
    <w:name w:val="TOC Char"/>
    <w:link w:val="TOC"/>
    <w:rsid w:val="005810BD"/>
    <w:rPr>
      <w:rFonts w:ascii="Arial" w:eastAsia="Times New Roman" w:hAnsi="Arial" w:cs="Times New Roman"/>
      <w:i/>
      <w:noProof/>
      <w:sz w:val="20"/>
      <w:lang w:val="en-US"/>
    </w:rPr>
  </w:style>
  <w:style w:type="character" w:customStyle="1" w:styleId="A0">
    <w:name w:val="A0"/>
    <w:uiPriority w:val="99"/>
    <w:rsid w:val="007713CC"/>
    <w:rPr>
      <w:color w:val="000000"/>
      <w:sz w:val="16"/>
      <w:szCs w:val="16"/>
    </w:rPr>
  </w:style>
  <w:style w:type="character" w:customStyle="1" w:styleId="A11">
    <w:name w:val="A11"/>
    <w:uiPriority w:val="99"/>
    <w:rsid w:val="007713CC"/>
    <w:rPr>
      <w:color w:val="000000"/>
      <w:sz w:val="9"/>
      <w:szCs w:val="9"/>
    </w:rPr>
  </w:style>
  <w:style w:type="paragraph" w:customStyle="1" w:styleId="Default">
    <w:name w:val="Default"/>
    <w:rsid w:val="00391575"/>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E74277"/>
    <w:pPr>
      <w:spacing w:line="221" w:lineRule="atLeast"/>
    </w:pPr>
    <w:rPr>
      <w:color w:val="auto"/>
    </w:rPr>
  </w:style>
  <w:style w:type="paragraph" w:styleId="FootnoteText">
    <w:name w:val="footnote text"/>
    <w:basedOn w:val="Normal"/>
    <w:link w:val="FootnoteTextChar"/>
    <w:uiPriority w:val="99"/>
    <w:semiHidden/>
    <w:unhideWhenUsed/>
    <w:rsid w:val="007F3FCD"/>
    <w:pPr>
      <w:spacing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7F3FCD"/>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7F3FCD"/>
    <w:rPr>
      <w:vertAlign w:val="superscript"/>
    </w:rPr>
  </w:style>
  <w:style w:type="paragraph" w:customStyle="1" w:styleId="Pa6">
    <w:name w:val="Pa6"/>
    <w:basedOn w:val="Default"/>
    <w:next w:val="Default"/>
    <w:uiPriority w:val="99"/>
    <w:rsid w:val="00FF44B4"/>
    <w:pPr>
      <w:spacing w:line="221" w:lineRule="atLeast"/>
    </w:pPr>
    <w:rPr>
      <w:color w:val="auto"/>
    </w:rPr>
  </w:style>
  <w:style w:type="paragraph" w:styleId="BalloonText">
    <w:name w:val="Balloon Text"/>
    <w:basedOn w:val="Normal"/>
    <w:link w:val="BalloonTextChar"/>
    <w:uiPriority w:val="99"/>
    <w:semiHidden/>
    <w:unhideWhenUsed/>
    <w:rsid w:val="00CC70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E5"/>
    <w:rPr>
      <w:rFonts w:ascii="Segoe UI" w:hAnsi="Segoe UI" w:cs="Segoe UI"/>
      <w:sz w:val="18"/>
      <w:szCs w:val="18"/>
      <w:lang w:eastAsia="en-US"/>
    </w:rPr>
  </w:style>
  <w:style w:type="paragraph" w:styleId="NoSpacing">
    <w:name w:val="No Spacing"/>
    <w:link w:val="NoSpacingChar"/>
    <w:uiPriority w:val="1"/>
    <w:qFormat/>
    <w:rsid w:val="0076262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6262D"/>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9013F6"/>
    <w:rPr>
      <w:sz w:val="16"/>
      <w:szCs w:val="16"/>
    </w:rPr>
  </w:style>
  <w:style w:type="paragraph" w:styleId="CommentSubject">
    <w:name w:val="annotation subject"/>
    <w:basedOn w:val="CommentText"/>
    <w:next w:val="CommentText"/>
    <w:link w:val="CommentSubjectChar"/>
    <w:uiPriority w:val="99"/>
    <w:semiHidden/>
    <w:unhideWhenUsed/>
    <w:rsid w:val="009013F6"/>
    <w:pPr>
      <w:spacing w:line="240" w:lineRule="auto"/>
      <w:jc w:val="both"/>
    </w:pPr>
    <w:rPr>
      <w:rFonts w:eastAsia="Calibri"/>
      <w:b/>
      <w:bCs/>
      <w:color w:val="auto"/>
      <w:lang w:val="en-ZA" w:eastAsia="en-US"/>
    </w:rPr>
  </w:style>
  <w:style w:type="character" w:customStyle="1" w:styleId="CommentSubjectChar">
    <w:name w:val="Comment Subject Char"/>
    <w:basedOn w:val="CommentTextChar"/>
    <w:link w:val="CommentSubject"/>
    <w:uiPriority w:val="99"/>
    <w:semiHidden/>
    <w:rsid w:val="009013F6"/>
    <w:rPr>
      <w:rFonts w:ascii="Arial" w:eastAsia="Times New Roman" w:hAnsi="Arial" w:cs="Times New Roman"/>
      <w:b/>
      <w:bCs/>
      <w:color w:val="000000"/>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7971083">
      <w:bodyDiv w:val="1"/>
      <w:marLeft w:val="0"/>
      <w:marRight w:val="0"/>
      <w:marTop w:val="0"/>
      <w:marBottom w:val="0"/>
      <w:divBdr>
        <w:top w:val="none" w:sz="0" w:space="0" w:color="auto"/>
        <w:left w:val="none" w:sz="0" w:space="0" w:color="auto"/>
        <w:bottom w:val="none" w:sz="0" w:space="0" w:color="auto"/>
        <w:right w:val="none" w:sz="0" w:space="0" w:color="auto"/>
      </w:divBdr>
    </w:div>
    <w:div w:id="38290334">
      <w:bodyDiv w:val="1"/>
      <w:marLeft w:val="0"/>
      <w:marRight w:val="0"/>
      <w:marTop w:val="0"/>
      <w:marBottom w:val="0"/>
      <w:divBdr>
        <w:top w:val="none" w:sz="0" w:space="0" w:color="auto"/>
        <w:left w:val="none" w:sz="0" w:space="0" w:color="auto"/>
        <w:bottom w:val="none" w:sz="0" w:space="0" w:color="auto"/>
        <w:right w:val="none" w:sz="0" w:space="0" w:color="auto"/>
      </w:divBdr>
    </w:div>
    <w:div w:id="69694015">
      <w:bodyDiv w:val="1"/>
      <w:marLeft w:val="0"/>
      <w:marRight w:val="0"/>
      <w:marTop w:val="0"/>
      <w:marBottom w:val="0"/>
      <w:divBdr>
        <w:top w:val="none" w:sz="0" w:space="0" w:color="auto"/>
        <w:left w:val="none" w:sz="0" w:space="0" w:color="auto"/>
        <w:bottom w:val="none" w:sz="0" w:space="0" w:color="auto"/>
        <w:right w:val="none" w:sz="0" w:space="0" w:color="auto"/>
      </w:divBdr>
    </w:div>
    <w:div w:id="110515086">
      <w:bodyDiv w:val="1"/>
      <w:marLeft w:val="0"/>
      <w:marRight w:val="0"/>
      <w:marTop w:val="0"/>
      <w:marBottom w:val="0"/>
      <w:divBdr>
        <w:top w:val="none" w:sz="0" w:space="0" w:color="auto"/>
        <w:left w:val="none" w:sz="0" w:space="0" w:color="auto"/>
        <w:bottom w:val="none" w:sz="0" w:space="0" w:color="auto"/>
        <w:right w:val="none" w:sz="0" w:space="0" w:color="auto"/>
      </w:divBdr>
    </w:div>
    <w:div w:id="210272132">
      <w:bodyDiv w:val="1"/>
      <w:marLeft w:val="0"/>
      <w:marRight w:val="0"/>
      <w:marTop w:val="0"/>
      <w:marBottom w:val="0"/>
      <w:divBdr>
        <w:top w:val="none" w:sz="0" w:space="0" w:color="auto"/>
        <w:left w:val="none" w:sz="0" w:space="0" w:color="auto"/>
        <w:bottom w:val="none" w:sz="0" w:space="0" w:color="auto"/>
        <w:right w:val="none" w:sz="0" w:space="0" w:color="auto"/>
      </w:divBdr>
    </w:div>
    <w:div w:id="303051802">
      <w:bodyDiv w:val="1"/>
      <w:marLeft w:val="0"/>
      <w:marRight w:val="0"/>
      <w:marTop w:val="0"/>
      <w:marBottom w:val="0"/>
      <w:divBdr>
        <w:top w:val="none" w:sz="0" w:space="0" w:color="auto"/>
        <w:left w:val="none" w:sz="0" w:space="0" w:color="auto"/>
        <w:bottom w:val="none" w:sz="0" w:space="0" w:color="auto"/>
        <w:right w:val="none" w:sz="0" w:space="0" w:color="auto"/>
      </w:divBdr>
    </w:div>
    <w:div w:id="333798845">
      <w:bodyDiv w:val="1"/>
      <w:marLeft w:val="0"/>
      <w:marRight w:val="0"/>
      <w:marTop w:val="0"/>
      <w:marBottom w:val="0"/>
      <w:divBdr>
        <w:top w:val="none" w:sz="0" w:space="0" w:color="auto"/>
        <w:left w:val="none" w:sz="0" w:space="0" w:color="auto"/>
        <w:bottom w:val="none" w:sz="0" w:space="0" w:color="auto"/>
        <w:right w:val="none" w:sz="0" w:space="0" w:color="auto"/>
      </w:divBdr>
    </w:div>
    <w:div w:id="377584619">
      <w:bodyDiv w:val="1"/>
      <w:marLeft w:val="0"/>
      <w:marRight w:val="0"/>
      <w:marTop w:val="0"/>
      <w:marBottom w:val="0"/>
      <w:divBdr>
        <w:top w:val="none" w:sz="0" w:space="0" w:color="auto"/>
        <w:left w:val="none" w:sz="0" w:space="0" w:color="auto"/>
        <w:bottom w:val="none" w:sz="0" w:space="0" w:color="auto"/>
        <w:right w:val="none" w:sz="0" w:space="0" w:color="auto"/>
      </w:divBdr>
    </w:div>
    <w:div w:id="401414945">
      <w:bodyDiv w:val="1"/>
      <w:marLeft w:val="0"/>
      <w:marRight w:val="0"/>
      <w:marTop w:val="0"/>
      <w:marBottom w:val="0"/>
      <w:divBdr>
        <w:top w:val="none" w:sz="0" w:space="0" w:color="auto"/>
        <w:left w:val="none" w:sz="0" w:space="0" w:color="auto"/>
        <w:bottom w:val="none" w:sz="0" w:space="0" w:color="auto"/>
        <w:right w:val="none" w:sz="0" w:space="0" w:color="auto"/>
      </w:divBdr>
    </w:div>
    <w:div w:id="459885297">
      <w:bodyDiv w:val="1"/>
      <w:marLeft w:val="0"/>
      <w:marRight w:val="0"/>
      <w:marTop w:val="0"/>
      <w:marBottom w:val="0"/>
      <w:divBdr>
        <w:top w:val="none" w:sz="0" w:space="0" w:color="auto"/>
        <w:left w:val="none" w:sz="0" w:space="0" w:color="auto"/>
        <w:bottom w:val="none" w:sz="0" w:space="0" w:color="auto"/>
        <w:right w:val="none" w:sz="0" w:space="0" w:color="auto"/>
      </w:divBdr>
    </w:div>
    <w:div w:id="469399044">
      <w:bodyDiv w:val="1"/>
      <w:marLeft w:val="0"/>
      <w:marRight w:val="0"/>
      <w:marTop w:val="0"/>
      <w:marBottom w:val="0"/>
      <w:divBdr>
        <w:top w:val="none" w:sz="0" w:space="0" w:color="auto"/>
        <w:left w:val="none" w:sz="0" w:space="0" w:color="auto"/>
        <w:bottom w:val="none" w:sz="0" w:space="0" w:color="auto"/>
        <w:right w:val="none" w:sz="0" w:space="0" w:color="auto"/>
      </w:divBdr>
    </w:div>
    <w:div w:id="660810922">
      <w:bodyDiv w:val="1"/>
      <w:marLeft w:val="0"/>
      <w:marRight w:val="0"/>
      <w:marTop w:val="0"/>
      <w:marBottom w:val="0"/>
      <w:divBdr>
        <w:top w:val="none" w:sz="0" w:space="0" w:color="auto"/>
        <w:left w:val="none" w:sz="0" w:space="0" w:color="auto"/>
        <w:bottom w:val="none" w:sz="0" w:space="0" w:color="auto"/>
        <w:right w:val="none" w:sz="0" w:space="0" w:color="auto"/>
      </w:divBdr>
    </w:div>
    <w:div w:id="699404239">
      <w:bodyDiv w:val="1"/>
      <w:marLeft w:val="0"/>
      <w:marRight w:val="0"/>
      <w:marTop w:val="0"/>
      <w:marBottom w:val="0"/>
      <w:divBdr>
        <w:top w:val="none" w:sz="0" w:space="0" w:color="auto"/>
        <w:left w:val="none" w:sz="0" w:space="0" w:color="auto"/>
        <w:bottom w:val="none" w:sz="0" w:space="0" w:color="auto"/>
        <w:right w:val="none" w:sz="0" w:space="0" w:color="auto"/>
      </w:divBdr>
    </w:div>
    <w:div w:id="816798370">
      <w:bodyDiv w:val="1"/>
      <w:marLeft w:val="0"/>
      <w:marRight w:val="0"/>
      <w:marTop w:val="0"/>
      <w:marBottom w:val="0"/>
      <w:divBdr>
        <w:top w:val="none" w:sz="0" w:space="0" w:color="auto"/>
        <w:left w:val="none" w:sz="0" w:space="0" w:color="auto"/>
        <w:bottom w:val="none" w:sz="0" w:space="0" w:color="auto"/>
        <w:right w:val="none" w:sz="0" w:space="0" w:color="auto"/>
      </w:divBdr>
    </w:div>
    <w:div w:id="844825528">
      <w:bodyDiv w:val="1"/>
      <w:marLeft w:val="0"/>
      <w:marRight w:val="0"/>
      <w:marTop w:val="0"/>
      <w:marBottom w:val="0"/>
      <w:divBdr>
        <w:top w:val="none" w:sz="0" w:space="0" w:color="auto"/>
        <w:left w:val="none" w:sz="0" w:space="0" w:color="auto"/>
        <w:bottom w:val="none" w:sz="0" w:space="0" w:color="auto"/>
        <w:right w:val="none" w:sz="0" w:space="0" w:color="auto"/>
      </w:divBdr>
    </w:div>
    <w:div w:id="927080409">
      <w:bodyDiv w:val="1"/>
      <w:marLeft w:val="0"/>
      <w:marRight w:val="0"/>
      <w:marTop w:val="0"/>
      <w:marBottom w:val="0"/>
      <w:divBdr>
        <w:top w:val="none" w:sz="0" w:space="0" w:color="auto"/>
        <w:left w:val="none" w:sz="0" w:space="0" w:color="auto"/>
        <w:bottom w:val="none" w:sz="0" w:space="0" w:color="auto"/>
        <w:right w:val="none" w:sz="0" w:space="0" w:color="auto"/>
      </w:divBdr>
    </w:div>
    <w:div w:id="1036664928">
      <w:bodyDiv w:val="1"/>
      <w:marLeft w:val="0"/>
      <w:marRight w:val="0"/>
      <w:marTop w:val="0"/>
      <w:marBottom w:val="0"/>
      <w:divBdr>
        <w:top w:val="none" w:sz="0" w:space="0" w:color="auto"/>
        <w:left w:val="none" w:sz="0" w:space="0" w:color="auto"/>
        <w:bottom w:val="none" w:sz="0" w:space="0" w:color="auto"/>
        <w:right w:val="none" w:sz="0" w:space="0" w:color="auto"/>
      </w:divBdr>
    </w:div>
    <w:div w:id="1049721793">
      <w:bodyDiv w:val="1"/>
      <w:marLeft w:val="0"/>
      <w:marRight w:val="0"/>
      <w:marTop w:val="0"/>
      <w:marBottom w:val="0"/>
      <w:divBdr>
        <w:top w:val="none" w:sz="0" w:space="0" w:color="auto"/>
        <w:left w:val="none" w:sz="0" w:space="0" w:color="auto"/>
        <w:bottom w:val="none" w:sz="0" w:space="0" w:color="auto"/>
        <w:right w:val="none" w:sz="0" w:space="0" w:color="auto"/>
      </w:divBdr>
    </w:div>
    <w:div w:id="1071659903">
      <w:bodyDiv w:val="1"/>
      <w:marLeft w:val="0"/>
      <w:marRight w:val="0"/>
      <w:marTop w:val="0"/>
      <w:marBottom w:val="0"/>
      <w:divBdr>
        <w:top w:val="none" w:sz="0" w:space="0" w:color="auto"/>
        <w:left w:val="none" w:sz="0" w:space="0" w:color="auto"/>
        <w:bottom w:val="none" w:sz="0" w:space="0" w:color="auto"/>
        <w:right w:val="none" w:sz="0" w:space="0" w:color="auto"/>
      </w:divBdr>
    </w:div>
    <w:div w:id="1119377906">
      <w:bodyDiv w:val="1"/>
      <w:marLeft w:val="0"/>
      <w:marRight w:val="0"/>
      <w:marTop w:val="0"/>
      <w:marBottom w:val="0"/>
      <w:divBdr>
        <w:top w:val="none" w:sz="0" w:space="0" w:color="auto"/>
        <w:left w:val="none" w:sz="0" w:space="0" w:color="auto"/>
        <w:bottom w:val="none" w:sz="0" w:space="0" w:color="auto"/>
        <w:right w:val="none" w:sz="0" w:space="0" w:color="auto"/>
      </w:divBdr>
    </w:div>
    <w:div w:id="1164079764">
      <w:bodyDiv w:val="1"/>
      <w:marLeft w:val="0"/>
      <w:marRight w:val="0"/>
      <w:marTop w:val="0"/>
      <w:marBottom w:val="0"/>
      <w:divBdr>
        <w:top w:val="none" w:sz="0" w:space="0" w:color="auto"/>
        <w:left w:val="none" w:sz="0" w:space="0" w:color="auto"/>
        <w:bottom w:val="none" w:sz="0" w:space="0" w:color="auto"/>
        <w:right w:val="none" w:sz="0" w:space="0" w:color="auto"/>
      </w:divBdr>
    </w:div>
    <w:div w:id="1264387195">
      <w:bodyDiv w:val="1"/>
      <w:marLeft w:val="0"/>
      <w:marRight w:val="0"/>
      <w:marTop w:val="0"/>
      <w:marBottom w:val="0"/>
      <w:divBdr>
        <w:top w:val="none" w:sz="0" w:space="0" w:color="auto"/>
        <w:left w:val="none" w:sz="0" w:space="0" w:color="auto"/>
        <w:bottom w:val="none" w:sz="0" w:space="0" w:color="auto"/>
        <w:right w:val="none" w:sz="0" w:space="0" w:color="auto"/>
      </w:divBdr>
    </w:div>
    <w:div w:id="1292663375">
      <w:bodyDiv w:val="1"/>
      <w:marLeft w:val="0"/>
      <w:marRight w:val="0"/>
      <w:marTop w:val="0"/>
      <w:marBottom w:val="0"/>
      <w:divBdr>
        <w:top w:val="none" w:sz="0" w:space="0" w:color="auto"/>
        <w:left w:val="none" w:sz="0" w:space="0" w:color="auto"/>
        <w:bottom w:val="none" w:sz="0" w:space="0" w:color="auto"/>
        <w:right w:val="none" w:sz="0" w:space="0" w:color="auto"/>
      </w:divBdr>
    </w:div>
    <w:div w:id="1330862471">
      <w:bodyDiv w:val="1"/>
      <w:marLeft w:val="0"/>
      <w:marRight w:val="0"/>
      <w:marTop w:val="0"/>
      <w:marBottom w:val="0"/>
      <w:divBdr>
        <w:top w:val="none" w:sz="0" w:space="0" w:color="auto"/>
        <w:left w:val="none" w:sz="0" w:space="0" w:color="auto"/>
        <w:bottom w:val="none" w:sz="0" w:space="0" w:color="auto"/>
        <w:right w:val="none" w:sz="0" w:space="0" w:color="auto"/>
      </w:divBdr>
    </w:div>
    <w:div w:id="1349061406">
      <w:bodyDiv w:val="1"/>
      <w:marLeft w:val="0"/>
      <w:marRight w:val="0"/>
      <w:marTop w:val="0"/>
      <w:marBottom w:val="0"/>
      <w:divBdr>
        <w:top w:val="none" w:sz="0" w:space="0" w:color="auto"/>
        <w:left w:val="none" w:sz="0" w:space="0" w:color="auto"/>
        <w:bottom w:val="none" w:sz="0" w:space="0" w:color="auto"/>
        <w:right w:val="none" w:sz="0" w:space="0" w:color="auto"/>
      </w:divBdr>
    </w:div>
    <w:div w:id="1356494233">
      <w:bodyDiv w:val="1"/>
      <w:marLeft w:val="0"/>
      <w:marRight w:val="0"/>
      <w:marTop w:val="0"/>
      <w:marBottom w:val="0"/>
      <w:divBdr>
        <w:top w:val="none" w:sz="0" w:space="0" w:color="auto"/>
        <w:left w:val="none" w:sz="0" w:space="0" w:color="auto"/>
        <w:bottom w:val="none" w:sz="0" w:space="0" w:color="auto"/>
        <w:right w:val="none" w:sz="0" w:space="0" w:color="auto"/>
      </w:divBdr>
    </w:div>
    <w:div w:id="1393121079">
      <w:bodyDiv w:val="1"/>
      <w:marLeft w:val="0"/>
      <w:marRight w:val="0"/>
      <w:marTop w:val="0"/>
      <w:marBottom w:val="0"/>
      <w:divBdr>
        <w:top w:val="none" w:sz="0" w:space="0" w:color="auto"/>
        <w:left w:val="none" w:sz="0" w:space="0" w:color="auto"/>
        <w:bottom w:val="none" w:sz="0" w:space="0" w:color="auto"/>
        <w:right w:val="none" w:sz="0" w:space="0" w:color="auto"/>
      </w:divBdr>
    </w:div>
    <w:div w:id="1432042024">
      <w:bodyDiv w:val="1"/>
      <w:marLeft w:val="0"/>
      <w:marRight w:val="0"/>
      <w:marTop w:val="0"/>
      <w:marBottom w:val="0"/>
      <w:divBdr>
        <w:top w:val="none" w:sz="0" w:space="0" w:color="auto"/>
        <w:left w:val="none" w:sz="0" w:space="0" w:color="auto"/>
        <w:bottom w:val="none" w:sz="0" w:space="0" w:color="auto"/>
        <w:right w:val="none" w:sz="0" w:space="0" w:color="auto"/>
      </w:divBdr>
    </w:div>
    <w:div w:id="1527711734">
      <w:bodyDiv w:val="1"/>
      <w:marLeft w:val="0"/>
      <w:marRight w:val="0"/>
      <w:marTop w:val="0"/>
      <w:marBottom w:val="0"/>
      <w:divBdr>
        <w:top w:val="none" w:sz="0" w:space="0" w:color="auto"/>
        <w:left w:val="none" w:sz="0" w:space="0" w:color="auto"/>
        <w:bottom w:val="none" w:sz="0" w:space="0" w:color="auto"/>
        <w:right w:val="none" w:sz="0" w:space="0" w:color="auto"/>
      </w:divBdr>
    </w:div>
    <w:div w:id="1572041344">
      <w:bodyDiv w:val="1"/>
      <w:marLeft w:val="0"/>
      <w:marRight w:val="0"/>
      <w:marTop w:val="0"/>
      <w:marBottom w:val="0"/>
      <w:divBdr>
        <w:top w:val="none" w:sz="0" w:space="0" w:color="auto"/>
        <w:left w:val="none" w:sz="0" w:space="0" w:color="auto"/>
        <w:bottom w:val="none" w:sz="0" w:space="0" w:color="auto"/>
        <w:right w:val="none" w:sz="0" w:space="0" w:color="auto"/>
      </w:divBdr>
    </w:div>
    <w:div w:id="1575968416">
      <w:bodyDiv w:val="1"/>
      <w:marLeft w:val="0"/>
      <w:marRight w:val="0"/>
      <w:marTop w:val="0"/>
      <w:marBottom w:val="0"/>
      <w:divBdr>
        <w:top w:val="none" w:sz="0" w:space="0" w:color="auto"/>
        <w:left w:val="none" w:sz="0" w:space="0" w:color="auto"/>
        <w:bottom w:val="none" w:sz="0" w:space="0" w:color="auto"/>
        <w:right w:val="none" w:sz="0" w:space="0" w:color="auto"/>
      </w:divBdr>
    </w:div>
    <w:div w:id="1600065930">
      <w:bodyDiv w:val="1"/>
      <w:marLeft w:val="0"/>
      <w:marRight w:val="0"/>
      <w:marTop w:val="0"/>
      <w:marBottom w:val="0"/>
      <w:divBdr>
        <w:top w:val="none" w:sz="0" w:space="0" w:color="auto"/>
        <w:left w:val="none" w:sz="0" w:space="0" w:color="auto"/>
        <w:bottom w:val="none" w:sz="0" w:space="0" w:color="auto"/>
        <w:right w:val="none" w:sz="0" w:space="0" w:color="auto"/>
      </w:divBdr>
    </w:div>
    <w:div w:id="1664239723">
      <w:bodyDiv w:val="1"/>
      <w:marLeft w:val="0"/>
      <w:marRight w:val="0"/>
      <w:marTop w:val="0"/>
      <w:marBottom w:val="0"/>
      <w:divBdr>
        <w:top w:val="none" w:sz="0" w:space="0" w:color="auto"/>
        <w:left w:val="none" w:sz="0" w:space="0" w:color="auto"/>
        <w:bottom w:val="none" w:sz="0" w:space="0" w:color="auto"/>
        <w:right w:val="none" w:sz="0" w:space="0" w:color="auto"/>
      </w:divBdr>
    </w:div>
    <w:div w:id="1712341469">
      <w:bodyDiv w:val="1"/>
      <w:marLeft w:val="0"/>
      <w:marRight w:val="0"/>
      <w:marTop w:val="0"/>
      <w:marBottom w:val="0"/>
      <w:divBdr>
        <w:top w:val="none" w:sz="0" w:space="0" w:color="auto"/>
        <w:left w:val="none" w:sz="0" w:space="0" w:color="auto"/>
        <w:bottom w:val="none" w:sz="0" w:space="0" w:color="auto"/>
        <w:right w:val="none" w:sz="0" w:space="0" w:color="auto"/>
      </w:divBdr>
    </w:div>
    <w:div w:id="1768235458">
      <w:bodyDiv w:val="1"/>
      <w:marLeft w:val="0"/>
      <w:marRight w:val="0"/>
      <w:marTop w:val="0"/>
      <w:marBottom w:val="0"/>
      <w:divBdr>
        <w:top w:val="none" w:sz="0" w:space="0" w:color="auto"/>
        <w:left w:val="none" w:sz="0" w:space="0" w:color="auto"/>
        <w:bottom w:val="none" w:sz="0" w:space="0" w:color="auto"/>
        <w:right w:val="none" w:sz="0" w:space="0" w:color="auto"/>
      </w:divBdr>
    </w:div>
    <w:div w:id="1813210544">
      <w:bodyDiv w:val="1"/>
      <w:marLeft w:val="0"/>
      <w:marRight w:val="0"/>
      <w:marTop w:val="0"/>
      <w:marBottom w:val="0"/>
      <w:divBdr>
        <w:top w:val="none" w:sz="0" w:space="0" w:color="auto"/>
        <w:left w:val="none" w:sz="0" w:space="0" w:color="auto"/>
        <w:bottom w:val="none" w:sz="0" w:space="0" w:color="auto"/>
        <w:right w:val="none" w:sz="0" w:space="0" w:color="auto"/>
      </w:divBdr>
    </w:div>
    <w:div w:id="1829855762">
      <w:bodyDiv w:val="1"/>
      <w:marLeft w:val="0"/>
      <w:marRight w:val="0"/>
      <w:marTop w:val="0"/>
      <w:marBottom w:val="0"/>
      <w:divBdr>
        <w:top w:val="none" w:sz="0" w:space="0" w:color="auto"/>
        <w:left w:val="none" w:sz="0" w:space="0" w:color="auto"/>
        <w:bottom w:val="none" w:sz="0" w:space="0" w:color="auto"/>
        <w:right w:val="none" w:sz="0" w:space="0" w:color="auto"/>
      </w:divBdr>
    </w:div>
    <w:div w:id="1848981231">
      <w:bodyDiv w:val="1"/>
      <w:marLeft w:val="0"/>
      <w:marRight w:val="0"/>
      <w:marTop w:val="0"/>
      <w:marBottom w:val="0"/>
      <w:divBdr>
        <w:top w:val="none" w:sz="0" w:space="0" w:color="auto"/>
        <w:left w:val="none" w:sz="0" w:space="0" w:color="auto"/>
        <w:bottom w:val="none" w:sz="0" w:space="0" w:color="auto"/>
        <w:right w:val="none" w:sz="0" w:space="0" w:color="auto"/>
      </w:divBdr>
    </w:div>
    <w:div w:id="1925603507">
      <w:bodyDiv w:val="1"/>
      <w:marLeft w:val="0"/>
      <w:marRight w:val="0"/>
      <w:marTop w:val="0"/>
      <w:marBottom w:val="0"/>
      <w:divBdr>
        <w:top w:val="none" w:sz="0" w:space="0" w:color="auto"/>
        <w:left w:val="none" w:sz="0" w:space="0" w:color="auto"/>
        <w:bottom w:val="none" w:sz="0" w:space="0" w:color="auto"/>
        <w:right w:val="none" w:sz="0" w:space="0" w:color="auto"/>
      </w:divBdr>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 w:id="1954165923">
      <w:bodyDiv w:val="1"/>
      <w:marLeft w:val="0"/>
      <w:marRight w:val="0"/>
      <w:marTop w:val="0"/>
      <w:marBottom w:val="0"/>
      <w:divBdr>
        <w:top w:val="none" w:sz="0" w:space="0" w:color="auto"/>
        <w:left w:val="none" w:sz="0" w:space="0" w:color="auto"/>
        <w:bottom w:val="none" w:sz="0" w:space="0" w:color="auto"/>
        <w:right w:val="none" w:sz="0" w:space="0" w:color="auto"/>
      </w:divBdr>
    </w:div>
    <w:div w:id="1988901060">
      <w:bodyDiv w:val="1"/>
      <w:marLeft w:val="0"/>
      <w:marRight w:val="0"/>
      <w:marTop w:val="0"/>
      <w:marBottom w:val="0"/>
      <w:divBdr>
        <w:top w:val="none" w:sz="0" w:space="0" w:color="auto"/>
        <w:left w:val="none" w:sz="0" w:space="0" w:color="auto"/>
        <w:bottom w:val="none" w:sz="0" w:space="0" w:color="auto"/>
        <w:right w:val="none" w:sz="0" w:space="0" w:color="auto"/>
      </w:divBdr>
    </w:div>
    <w:div w:id="2022967851">
      <w:bodyDiv w:val="1"/>
      <w:marLeft w:val="0"/>
      <w:marRight w:val="0"/>
      <w:marTop w:val="0"/>
      <w:marBottom w:val="0"/>
      <w:divBdr>
        <w:top w:val="none" w:sz="0" w:space="0" w:color="auto"/>
        <w:left w:val="none" w:sz="0" w:space="0" w:color="auto"/>
        <w:bottom w:val="none" w:sz="0" w:space="0" w:color="auto"/>
        <w:right w:val="none" w:sz="0" w:space="0" w:color="auto"/>
      </w:divBdr>
    </w:div>
    <w:div w:id="2083091374">
      <w:bodyDiv w:val="1"/>
      <w:marLeft w:val="0"/>
      <w:marRight w:val="0"/>
      <w:marTop w:val="0"/>
      <w:marBottom w:val="0"/>
      <w:divBdr>
        <w:top w:val="none" w:sz="0" w:space="0" w:color="auto"/>
        <w:left w:val="none" w:sz="0" w:space="0" w:color="auto"/>
        <w:bottom w:val="none" w:sz="0" w:space="0" w:color="auto"/>
        <w:right w:val="none" w:sz="0" w:space="0" w:color="auto"/>
      </w:divBdr>
    </w:div>
    <w:div w:id="21300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zyl-gous\Desktop\RU%20New%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6654-5ACD-4062-81FC-122DA52E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 New - Copy</Template>
  <TotalTime>1</TotalTime>
  <Pages>14</Pages>
  <Words>6483</Words>
  <Characters>36959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43356</CharactersWithSpaces>
  <SharedDoc>false</SharedDoc>
  <HLinks>
    <vt:vector size="48" baseType="variant">
      <vt:variant>
        <vt:i4>1114167</vt:i4>
      </vt:variant>
      <vt:variant>
        <vt:i4>44</vt:i4>
      </vt:variant>
      <vt:variant>
        <vt:i4>0</vt:i4>
      </vt:variant>
      <vt:variant>
        <vt:i4>5</vt:i4>
      </vt:variant>
      <vt:variant>
        <vt:lpwstr/>
      </vt:variant>
      <vt:variant>
        <vt:lpwstr>_Toc450204359</vt:lpwstr>
      </vt:variant>
      <vt:variant>
        <vt:i4>1114167</vt:i4>
      </vt:variant>
      <vt:variant>
        <vt:i4>38</vt:i4>
      </vt:variant>
      <vt:variant>
        <vt:i4>0</vt:i4>
      </vt:variant>
      <vt:variant>
        <vt:i4>5</vt:i4>
      </vt:variant>
      <vt:variant>
        <vt:lpwstr/>
      </vt:variant>
      <vt:variant>
        <vt:lpwstr>_Toc450204358</vt:lpwstr>
      </vt:variant>
      <vt:variant>
        <vt:i4>1114167</vt:i4>
      </vt:variant>
      <vt:variant>
        <vt:i4>32</vt:i4>
      </vt:variant>
      <vt:variant>
        <vt:i4>0</vt:i4>
      </vt:variant>
      <vt:variant>
        <vt:i4>5</vt:i4>
      </vt:variant>
      <vt:variant>
        <vt:lpwstr/>
      </vt:variant>
      <vt:variant>
        <vt:lpwstr>_Toc450204357</vt:lpwstr>
      </vt:variant>
      <vt:variant>
        <vt:i4>1114167</vt:i4>
      </vt:variant>
      <vt:variant>
        <vt:i4>26</vt:i4>
      </vt:variant>
      <vt:variant>
        <vt:i4>0</vt:i4>
      </vt:variant>
      <vt:variant>
        <vt:i4>5</vt:i4>
      </vt:variant>
      <vt:variant>
        <vt:lpwstr/>
      </vt:variant>
      <vt:variant>
        <vt:lpwstr>_Toc450204356</vt:lpwstr>
      </vt:variant>
      <vt:variant>
        <vt:i4>1114167</vt:i4>
      </vt:variant>
      <vt:variant>
        <vt:i4>20</vt:i4>
      </vt:variant>
      <vt:variant>
        <vt:i4>0</vt:i4>
      </vt:variant>
      <vt:variant>
        <vt:i4>5</vt:i4>
      </vt:variant>
      <vt:variant>
        <vt:lpwstr/>
      </vt:variant>
      <vt:variant>
        <vt:lpwstr>_Toc450204355</vt:lpwstr>
      </vt:variant>
      <vt:variant>
        <vt:i4>1114167</vt:i4>
      </vt:variant>
      <vt:variant>
        <vt:i4>14</vt:i4>
      </vt:variant>
      <vt:variant>
        <vt:i4>0</vt:i4>
      </vt:variant>
      <vt:variant>
        <vt:i4>5</vt:i4>
      </vt:variant>
      <vt:variant>
        <vt:lpwstr/>
      </vt:variant>
      <vt:variant>
        <vt:lpwstr>_Toc450204354</vt:lpwstr>
      </vt:variant>
      <vt:variant>
        <vt:i4>1114167</vt:i4>
      </vt:variant>
      <vt:variant>
        <vt:i4>8</vt:i4>
      </vt:variant>
      <vt:variant>
        <vt:i4>0</vt:i4>
      </vt:variant>
      <vt:variant>
        <vt:i4>5</vt:i4>
      </vt:variant>
      <vt:variant>
        <vt:lpwstr/>
      </vt:variant>
      <vt:variant>
        <vt:lpwstr>_Toc450204353</vt:lpwstr>
      </vt:variant>
      <vt:variant>
        <vt:i4>1114167</vt:i4>
      </vt:variant>
      <vt:variant>
        <vt:i4>2</vt:i4>
      </vt:variant>
      <vt:variant>
        <vt:i4>0</vt:i4>
      </vt:variant>
      <vt:variant>
        <vt:i4>5</vt:i4>
      </vt:variant>
      <vt:variant>
        <vt:lpwstr/>
      </vt:variant>
      <vt:variant>
        <vt:lpwstr>_Toc450204352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van Zyl-Gous</dc:creator>
  <cp:lastModifiedBy>User</cp:lastModifiedBy>
  <cp:revision>2</cp:revision>
  <cp:lastPrinted>2021-04-23T11:09:00Z</cp:lastPrinted>
  <dcterms:created xsi:type="dcterms:W3CDTF">2023-05-19T11:40:00Z</dcterms:created>
  <dcterms:modified xsi:type="dcterms:W3CDTF">2023-05-19T11:40:00Z</dcterms:modified>
</cp:coreProperties>
</file>