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35" w:rsidRPr="003C4106" w:rsidRDefault="003C4106" w:rsidP="003C4106">
      <w:pPr>
        <w:contextualSpacing/>
        <w:rPr>
          <w:b/>
          <w:color w:val="000000"/>
          <w:sz w:val="20"/>
          <w:szCs w:val="20"/>
        </w:rPr>
      </w:pPr>
      <w:r w:rsidRPr="003C4106">
        <w:rPr>
          <w:b/>
          <w:color w:val="000000"/>
          <w:sz w:val="20"/>
          <w:szCs w:val="20"/>
        </w:rPr>
        <w:t>Policy Assessment and</w:t>
      </w:r>
      <w:r>
        <w:rPr>
          <w:b/>
          <w:color w:val="000000"/>
          <w:sz w:val="20"/>
          <w:szCs w:val="20"/>
        </w:rPr>
        <w:t xml:space="preserve"> Recommendations Report o</w:t>
      </w:r>
      <w:r w:rsidRPr="003C4106">
        <w:rPr>
          <w:b/>
          <w:color w:val="000000"/>
          <w:sz w:val="20"/>
          <w:szCs w:val="20"/>
        </w:rPr>
        <w:t>f the Select Committee on Health and Social Services on Budget Vote 18: Health, Annual Performance Plan of the</w:t>
      </w:r>
      <w:r>
        <w:rPr>
          <w:b/>
          <w:color w:val="000000"/>
          <w:sz w:val="20"/>
          <w:szCs w:val="20"/>
        </w:rPr>
        <w:t xml:space="preserve"> Department o</w:t>
      </w:r>
      <w:r w:rsidRPr="003C4106">
        <w:rPr>
          <w:b/>
          <w:color w:val="000000"/>
          <w:sz w:val="20"/>
          <w:szCs w:val="20"/>
        </w:rPr>
        <w:t xml:space="preserve">f Health, Dated, 16 May 2023 </w:t>
      </w:r>
    </w:p>
    <w:p w:rsidR="00837635" w:rsidRPr="003C4106" w:rsidRDefault="00837635" w:rsidP="003C4106">
      <w:pPr>
        <w:contextualSpacing/>
        <w:rPr>
          <w:b/>
          <w:color w:val="000000"/>
          <w:sz w:val="20"/>
          <w:szCs w:val="20"/>
        </w:rPr>
      </w:pPr>
    </w:p>
    <w:p w:rsidR="00837635" w:rsidRPr="003C4106" w:rsidRDefault="002D063D" w:rsidP="003C4106">
      <w:pPr>
        <w:contextualSpacing/>
        <w:rPr>
          <w:color w:val="000000"/>
          <w:sz w:val="20"/>
          <w:szCs w:val="20"/>
        </w:rPr>
      </w:pPr>
      <w:r w:rsidRPr="003C4106">
        <w:rPr>
          <w:color w:val="000000"/>
          <w:sz w:val="20"/>
          <w:szCs w:val="20"/>
        </w:rPr>
        <w:t xml:space="preserve">The </w:t>
      </w:r>
      <w:r w:rsidR="00F00338" w:rsidRPr="003C4106">
        <w:rPr>
          <w:color w:val="000000"/>
          <w:sz w:val="20"/>
          <w:szCs w:val="20"/>
        </w:rPr>
        <w:t>Select</w:t>
      </w:r>
      <w:r w:rsidR="003E4CD3" w:rsidRPr="003C4106">
        <w:rPr>
          <w:color w:val="000000"/>
          <w:sz w:val="20"/>
          <w:szCs w:val="20"/>
        </w:rPr>
        <w:t xml:space="preserve"> Committee on </w:t>
      </w:r>
      <w:bookmarkStart w:id="0" w:name="_GoBack"/>
      <w:r w:rsidR="003E4CD3" w:rsidRPr="003C4106">
        <w:rPr>
          <w:color w:val="000000"/>
          <w:sz w:val="20"/>
          <w:szCs w:val="20"/>
        </w:rPr>
        <w:t>Health and Social Services</w:t>
      </w:r>
      <w:bookmarkEnd w:id="0"/>
      <w:r w:rsidR="003E4CD3" w:rsidRPr="003C4106">
        <w:rPr>
          <w:color w:val="000000"/>
          <w:sz w:val="20"/>
          <w:szCs w:val="20"/>
        </w:rPr>
        <w:t xml:space="preserve"> </w:t>
      </w:r>
      <w:r w:rsidRPr="003C4106">
        <w:rPr>
          <w:color w:val="000000"/>
          <w:sz w:val="20"/>
          <w:szCs w:val="20"/>
        </w:rPr>
        <w:t>(</w:t>
      </w:r>
      <w:r w:rsidR="00C61E87" w:rsidRPr="003C4106">
        <w:rPr>
          <w:color w:val="000000"/>
          <w:sz w:val="20"/>
          <w:szCs w:val="20"/>
        </w:rPr>
        <w:t xml:space="preserve">henceforth, </w:t>
      </w:r>
      <w:r w:rsidRPr="003C4106">
        <w:rPr>
          <w:color w:val="000000"/>
          <w:sz w:val="20"/>
          <w:szCs w:val="20"/>
        </w:rPr>
        <w:t xml:space="preserve">the Committee), having considered </w:t>
      </w:r>
      <w:r w:rsidR="00C61E87" w:rsidRPr="003C4106">
        <w:rPr>
          <w:color w:val="000000"/>
          <w:sz w:val="20"/>
          <w:szCs w:val="20"/>
        </w:rPr>
        <w:t xml:space="preserve">and deliberated on </w:t>
      </w:r>
      <w:r w:rsidRPr="003C4106">
        <w:rPr>
          <w:color w:val="000000"/>
          <w:sz w:val="20"/>
          <w:szCs w:val="20"/>
        </w:rPr>
        <w:t xml:space="preserve">Budget Vote 18: Health, together with the </w:t>
      </w:r>
      <w:r w:rsidR="003E4CD3" w:rsidRPr="003C4106">
        <w:rPr>
          <w:color w:val="000000"/>
          <w:sz w:val="20"/>
          <w:szCs w:val="20"/>
        </w:rPr>
        <w:t>2023/24 Annual Performance Plan</w:t>
      </w:r>
      <w:r w:rsidRPr="003C4106">
        <w:rPr>
          <w:color w:val="000000"/>
          <w:sz w:val="20"/>
          <w:szCs w:val="20"/>
        </w:rPr>
        <w:t xml:space="preserve"> (APP) of the Depart</w:t>
      </w:r>
      <w:r w:rsidR="00F00338" w:rsidRPr="003C4106">
        <w:rPr>
          <w:color w:val="000000"/>
          <w:sz w:val="20"/>
          <w:szCs w:val="20"/>
        </w:rPr>
        <w:t>ment of Health (</w:t>
      </w:r>
      <w:r w:rsidR="00C61E87" w:rsidRPr="003C4106">
        <w:rPr>
          <w:color w:val="000000"/>
          <w:sz w:val="20"/>
          <w:szCs w:val="20"/>
        </w:rPr>
        <w:t xml:space="preserve">henceforth, </w:t>
      </w:r>
      <w:r w:rsidR="00F00338" w:rsidRPr="003C4106">
        <w:rPr>
          <w:color w:val="000000"/>
          <w:sz w:val="20"/>
          <w:szCs w:val="20"/>
        </w:rPr>
        <w:t>the Department)</w:t>
      </w:r>
      <w:r w:rsidR="001C3778" w:rsidRPr="003C4106">
        <w:rPr>
          <w:color w:val="000000"/>
          <w:sz w:val="20"/>
          <w:szCs w:val="20"/>
        </w:rPr>
        <w:t xml:space="preserve"> on 02 May 2023</w:t>
      </w:r>
      <w:r w:rsidR="00F00338" w:rsidRPr="003C4106">
        <w:rPr>
          <w:color w:val="000000"/>
          <w:sz w:val="20"/>
          <w:szCs w:val="20"/>
        </w:rPr>
        <w:t>, r</w:t>
      </w:r>
      <w:r w:rsidRPr="003C4106">
        <w:rPr>
          <w:color w:val="000000"/>
          <w:sz w:val="20"/>
          <w:szCs w:val="20"/>
        </w:rPr>
        <w:t>eports as follows:</w:t>
      </w:r>
    </w:p>
    <w:p w:rsidR="00837635" w:rsidRPr="003C4106" w:rsidRDefault="00837635" w:rsidP="003C4106">
      <w:pPr>
        <w:contextualSpacing/>
        <w:rPr>
          <w:color w:val="000000"/>
          <w:sz w:val="20"/>
          <w:szCs w:val="20"/>
        </w:rPr>
      </w:pPr>
    </w:p>
    <w:p w:rsidR="00837635" w:rsidRPr="003C4106" w:rsidRDefault="002D063D" w:rsidP="003C4106">
      <w:pPr>
        <w:pStyle w:val="Heading1"/>
        <w:numPr>
          <w:ilvl w:val="0"/>
          <w:numId w:val="7"/>
        </w:numPr>
        <w:contextualSpacing/>
        <w:rPr>
          <w:smallCaps/>
        </w:rPr>
      </w:pPr>
      <w:bookmarkStart w:id="1" w:name="_2p2csry" w:colFirst="0" w:colLast="0"/>
      <w:bookmarkStart w:id="2" w:name="_Toc134007185"/>
      <w:bookmarkEnd w:id="1"/>
      <w:r w:rsidRPr="003C4106">
        <w:t>INTRODUCTION</w:t>
      </w:r>
      <w:bookmarkEnd w:id="2"/>
    </w:p>
    <w:p w:rsidR="00837635" w:rsidRPr="003C4106" w:rsidRDefault="00837635" w:rsidP="003C4106">
      <w:pPr>
        <w:pBdr>
          <w:top w:val="nil"/>
          <w:left w:val="nil"/>
          <w:bottom w:val="nil"/>
          <w:right w:val="nil"/>
          <w:between w:val="nil"/>
        </w:pBdr>
        <w:contextualSpacing/>
        <w:rPr>
          <w:b/>
          <w:color w:val="000000"/>
          <w:sz w:val="20"/>
          <w:szCs w:val="20"/>
        </w:rPr>
      </w:pPr>
    </w:p>
    <w:p w:rsidR="00837635" w:rsidRPr="003C4106" w:rsidRDefault="002D063D" w:rsidP="003C4106">
      <w:pPr>
        <w:pBdr>
          <w:top w:val="nil"/>
          <w:left w:val="nil"/>
          <w:bottom w:val="nil"/>
          <w:right w:val="nil"/>
          <w:between w:val="nil"/>
        </w:pBdr>
        <w:contextualSpacing/>
        <w:rPr>
          <w:color w:val="000000"/>
          <w:sz w:val="20"/>
          <w:szCs w:val="20"/>
        </w:rPr>
      </w:pPr>
      <w:r w:rsidRPr="003C4106">
        <w:rPr>
          <w:color w:val="000000"/>
          <w:sz w:val="20"/>
          <w:szCs w:val="20"/>
        </w:rPr>
        <w:t>Section 5(2) of the Constitution of S</w:t>
      </w:r>
      <w:r w:rsidR="0056034D" w:rsidRPr="003C4106">
        <w:rPr>
          <w:color w:val="000000"/>
          <w:sz w:val="20"/>
          <w:szCs w:val="20"/>
        </w:rPr>
        <w:t>outh Africa and S</w:t>
      </w:r>
      <w:r w:rsidRPr="003C4106">
        <w:rPr>
          <w:color w:val="000000"/>
          <w:sz w:val="20"/>
          <w:szCs w:val="20"/>
        </w:rPr>
        <w:t xml:space="preserve">ection 27(4) of the Public Finance Management Act (No.1 of 1999) set out the role of Parliamentary committees in overseeing the performance of government departments and entities. </w:t>
      </w:r>
      <w:r w:rsidR="00C83765" w:rsidRPr="003C4106">
        <w:rPr>
          <w:color w:val="000000"/>
          <w:sz w:val="20"/>
          <w:szCs w:val="20"/>
        </w:rPr>
        <w:t xml:space="preserve">As part of conducting Parliamentary oversight, Committees have the constitutional mandate to scrutinise the budgets of the Executive. In this regard, the Committee considered the APP and budget allocation of the Department of Health. </w:t>
      </w:r>
    </w:p>
    <w:p w:rsidR="00837635" w:rsidRPr="003C4106" w:rsidRDefault="00837635" w:rsidP="003C4106">
      <w:pPr>
        <w:pBdr>
          <w:top w:val="nil"/>
          <w:left w:val="nil"/>
          <w:bottom w:val="nil"/>
          <w:right w:val="nil"/>
          <w:between w:val="nil"/>
        </w:pBdr>
        <w:contextualSpacing/>
        <w:rPr>
          <w:color w:val="000000"/>
          <w:sz w:val="20"/>
          <w:szCs w:val="20"/>
        </w:rPr>
      </w:pPr>
    </w:p>
    <w:p w:rsidR="00837635" w:rsidRPr="003C4106" w:rsidRDefault="002D063D" w:rsidP="003C4106">
      <w:pPr>
        <w:contextualSpacing/>
        <w:rPr>
          <w:color w:val="000000"/>
          <w:sz w:val="20"/>
          <w:szCs w:val="20"/>
        </w:rPr>
      </w:pPr>
      <w:bookmarkStart w:id="3" w:name="_147n2zr" w:colFirst="0" w:colLast="0"/>
      <w:bookmarkEnd w:id="3"/>
      <w:r w:rsidRPr="003C4106">
        <w:rPr>
          <w:color w:val="000000"/>
          <w:sz w:val="20"/>
          <w:szCs w:val="20"/>
        </w:rPr>
        <w:t>This rep</w:t>
      </w:r>
      <w:r w:rsidR="00F00338" w:rsidRPr="003C4106">
        <w:rPr>
          <w:color w:val="000000"/>
          <w:sz w:val="20"/>
          <w:szCs w:val="20"/>
        </w:rPr>
        <w:t>ort summarises the presentation</w:t>
      </w:r>
      <w:r w:rsidRPr="003C4106">
        <w:rPr>
          <w:color w:val="000000"/>
          <w:sz w:val="20"/>
          <w:szCs w:val="20"/>
        </w:rPr>
        <w:t xml:space="preserve"> received from the Department of Health</w:t>
      </w:r>
      <w:r w:rsidR="00F00338" w:rsidRPr="003C4106">
        <w:rPr>
          <w:color w:val="000000"/>
          <w:sz w:val="20"/>
          <w:szCs w:val="20"/>
        </w:rPr>
        <w:t xml:space="preserve"> fo</w:t>
      </w:r>
      <w:r w:rsidRPr="003C4106">
        <w:rPr>
          <w:color w:val="000000"/>
          <w:sz w:val="20"/>
          <w:szCs w:val="20"/>
        </w:rPr>
        <w:t xml:space="preserve">cusing on the 2023/24 Annual Performance Plans and, as well as allocations over the medium-term expenditure framework (MTEF) period. This report details the deliberations, observations and recommendations made by the Committee relating to </w:t>
      </w:r>
      <w:r w:rsidR="00C2618B" w:rsidRPr="003C4106">
        <w:rPr>
          <w:color w:val="000000"/>
          <w:sz w:val="20"/>
          <w:szCs w:val="20"/>
        </w:rPr>
        <w:t xml:space="preserve">Budget </w:t>
      </w:r>
      <w:r w:rsidRPr="003C4106">
        <w:rPr>
          <w:color w:val="000000"/>
          <w:sz w:val="20"/>
          <w:szCs w:val="20"/>
        </w:rPr>
        <w:t xml:space="preserve">Vote 18.  </w:t>
      </w:r>
    </w:p>
    <w:p w:rsidR="00837635" w:rsidRPr="003C4106" w:rsidRDefault="00837635" w:rsidP="003C4106">
      <w:pPr>
        <w:contextualSpacing/>
        <w:rPr>
          <w:color w:val="000000"/>
          <w:sz w:val="20"/>
          <w:szCs w:val="20"/>
        </w:rPr>
      </w:pPr>
    </w:p>
    <w:p w:rsidR="00837635" w:rsidRPr="003C4106" w:rsidRDefault="00C2618B" w:rsidP="003C4106">
      <w:pPr>
        <w:pStyle w:val="Heading1"/>
        <w:numPr>
          <w:ilvl w:val="0"/>
          <w:numId w:val="7"/>
        </w:numPr>
        <w:contextualSpacing/>
        <w:rPr>
          <w:color w:val="000000"/>
        </w:rPr>
      </w:pPr>
      <w:bookmarkStart w:id="4" w:name="_3o7alnk" w:colFirst="0" w:colLast="0"/>
      <w:bookmarkEnd w:id="4"/>
      <w:r w:rsidRPr="003C4106">
        <w:rPr>
          <w:color w:val="000000"/>
        </w:rPr>
        <w:t xml:space="preserve">STRATEGIC PRIORITIES </w:t>
      </w:r>
    </w:p>
    <w:p w:rsidR="00837635" w:rsidRPr="003C4106" w:rsidRDefault="00837635" w:rsidP="003C4106">
      <w:pPr>
        <w:contextualSpacing/>
        <w:rPr>
          <w:color w:val="000000"/>
          <w:sz w:val="20"/>
          <w:szCs w:val="20"/>
        </w:rPr>
      </w:pPr>
      <w:bookmarkStart w:id="5" w:name="_32hioqz" w:colFirst="0" w:colLast="0"/>
      <w:bookmarkEnd w:id="5"/>
    </w:p>
    <w:p w:rsidR="00030F7B" w:rsidRPr="003C4106" w:rsidRDefault="00030F7B" w:rsidP="003C4106">
      <w:pPr>
        <w:pStyle w:val="Heading2"/>
        <w:numPr>
          <w:ilvl w:val="1"/>
          <w:numId w:val="10"/>
        </w:numPr>
        <w:contextualSpacing/>
        <w:rPr>
          <w:color w:val="000000"/>
          <w:sz w:val="20"/>
          <w:szCs w:val="20"/>
        </w:rPr>
      </w:pPr>
      <w:bookmarkStart w:id="6" w:name="_1hmsyys" w:colFirst="0" w:colLast="0"/>
      <w:bookmarkStart w:id="7" w:name="_Toc134007191"/>
      <w:bookmarkEnd w:id="6"/>
      <w:r w:rsidRPr="003C4106">
        <w:rPr>
          <w:color w:val="000000"/>
          <w:sz w:val="20"/>
          <w:szCs w:val="20"/>
        </w:rPr>
        <w:t>Vision, Mission and Mandate</w:t>
      </w:r>
    </w:p>
    <w:p w:rsidR="00030F7B" w:rsidRPr="003C4106" w:rsidRDefault="00030F7B" w:rsidP="003C4106">
      <w:pPr>
        <w:rPr>
          <w:sz w:val="20"/>
          <w:szCs w:val="20"/>
        </w:rPr>
      </w:pPr>
    </w:p>
    <w:p w:rsidR="00030F7B" w:rsidRPr="003C4106" w:rsidRDefault="00030F7B" w:rsidP="003C4106">
      <w:pPr>
        <w:contextualSpacing/>
        <w:rPr>
          <w:sz w:val="20"/>
          <w:szCs w:val="20"/>
        </w:rPr>
      </w:pPr>
      <w:r w:rsidRPr="003C4106">
        <w:rPr>
          <w:sz w:val="20"/>
          <w:szCs w:val="20"/>
        </w:rPr>
        <w:t xml:space="preserve">The Department envisions </w:t>
      </w:r>
      <w:r w:rsidR="007353D2" w:rsidRPr="003C4106">
        <w:rPr>
          <w:sz w:val="20"/>
          <w:szCs w:val="20"/>
        </w:rPr>
        <w:t>a “long and healthy life for all South Africans”</w:t>
      </w:r>
      <w:r w:rsidR="00071BEC" w:rsidRPr="003C4106">
        <w:rPr>
          <w:sz w:val="20"/>
          <w:szCs w:val="20"/>
        </w:rPr>
        <w:t xml:space="preserve">. The Department aims to </w:t>
      </w:r>
      <w:r w:rsidR="0050159B" w:rsidRPr="003C4106">
        <w:rPr>
          <w:sz w:val="20"/>
          <w:szCs w:val="20"/>
        </w:rPr>
        <w:t>realise its vision</w:t>
      </w:r>
      <w:r w:rsidR="00071BEC" w:rsidRPr="003C4106">
        <w:rPr>
          <w:sz w:val="20"/>
          <w:szCs w:val="20"/>
        </w:rPr>
        <w:t xml:space="preserve"> through the prevention of illness, disease and the promotion of healthy lifestyles</w:t>
      </w:r>
      <w:r w:rsidR="0050159B" w:rsidRPr="003C4106">
        <w:rPr>
          <w:sz w:val="20"/>
          <w:szCs w:val="20"/>
        </w:rPr>
        <w:t xml:space="preserve">. In addition, it aims </w:t>
      </w:r>
      <w:r w:rsidR="00071BEC" w:rsidRPr="003C4106">
        <w:rPr>
          <w:sz w:val="20"/>
          <w:szCs w:val="20"/>
        </w:rPr>
        <w:t>to consistently improve the health care delivery system by focusing on access, equity, efficiency, quality and sustainability.</w:t>
      </w:r>
    </w:p>
    <w:p w:rsidR="00030F7B" w:rsidRPr="003C4106" w:rsidRDefault="00030F7B" w:rsidP="003C4106">
      <w:pPr>
        <w:rPr>
          <w:sz w:val="20"/>
          <w:szCs w:val="20"/>
        </w:rPr>
      </w:pPr>
    </w:p>
    <w:p w:rsidR="00030F7B" w:rsidRPr="003C4106" w:rsidRDefault="007E3FE7" w:rsidP="003C4106">
      <w:pPr>
        <w:pStyle w:val="Heading2"/>
        <w:numPr>
          <w:ilvl w:val="1"/>
          <w:numId w:val="10"/>
        </w:numPr>
        <w:contextualSpacing/>
        <w:rPr>
          <w:sz w:val="20"/>
          <w:szCs w:val="20"/>
        </w:rPr>
      </w:pPr>
      <w:r w:rsidRPr="003C4106">
        <w:rPr>
          <w:sz w:val="20"/>
          <w:szCs w:val="20"/>
        </w:rPr>
        <w:t>Policy Priorities</w:t>
      </w:r>
    </w:p>
    <w:p w:rsidR="007E3FE7" w:rsidRPr="003C4106" w:rsidRDefault="007E3FE7" w:rsidP="003C4106">
      <w:pPr>
        <w:rPr>
          <w:sz w:val="20"/>
          <w:szCs w:val="20"/>
        </w:rPr>
      </w:pPr>
    </w:p>
    <w:p w:rsidR="007E3FE7" w:rsidRPr="003C4106" w:rsidRDefault="007E3FE7" w:rsidP="003C4106">
      <w:pPr>
        <w:rPr>
          <w:sz w:val="20"/>
          <w:szCs w:val="20"/>
          <w:lang w:val="en-US"/>
        </w:rPr>
      </w:pPr>
      <w:r w:rsidRPr="003C4106">
        <w:rPr>
          <w:sz w:val="20"/>
          <w:szCs w:val="20"/>
        </w:rPr>
        <w:t xml:space="preserve">The policy priorities of the Department are aligned with </w:t>
      </w:r>
      <w:r w:rsidR="00C30020" w:rsidRPr="003C4106">
        <w:rPr>
          <w:sz w:val="20"/>
          <w:szCs w:val="20"/>
        </w:rPr>
        <w:t xml:space="preserve">the Constitution of the Republic of South Africa (1996). The Constitution gives effect to </w:t>
      </w:r>
      <w:r w:rsidR="00C26A80" w:rsidRPr="003C4106">
        <w:rPr>
          <w:sz w:val="20"/>
          <w:szCs w:val="20"/>
        </w:rPr>
        <w:t xml:space="preserve">the right of everyone to have access to </w:t>
      </w:r>
      <w:r w:rsidR="00B72935" w:rsidRPr="003C4106">
        <w:rPr>
          <w:sz w:val="20"/>
          <w:szCs w:val="20"/>
        </w:rPr>
        <w:t xml:space="preserve">equality </w:t>
      </w:r>
      <w:r w:rsidR="00C26A80" w:rsidRPr="003C4106">
        <w:rPr>
          <w:sz w:val="20"/>
          <w:szCs w:val="20"/>
        </w:rPr>
        <w:t>(Section 9)</w:t>
      </w:r>
      <w:r w:rsidR="00B72935" w:rsidRPr="003C4106">
        <w:rPr>
          <w:sz w:val="20"/>
          <w:szCs w:val="20"/>
        </w:rPr>
        <w:t xml:space="preserve"> and health care services (Section 27)</w:t>
      </w:r>
      <w:r w:rsidR="00105200" w:rsidRPr="003C4106">
        <w:rPr>
          <w:sz w:val="20"/>
          <w:szCs w:val="20"/>
        </w:rPr>
        <w:t xml:space="preserve"> including children (Section 28). In addition, </w:t>
      </w:r>
      <w:r w:rsidR="00AA6B6D" w:rsidRPr="003C4106">
        <w:rPr>
          <w:bCs/>
          <w:sz w:val="20"/>
          <w:szCs w:val="20"/>
          <w:lang w:val="en-US"/>
        </w:rPr>
        <w:t>Schedule 4 of the Constitution</w:t>
      </w:r>
      <w:r w:rsidR="00AA6B6D" w:rsidRPr="003C4106">
        <w:rPr>
          <w:b/>
          <w:bCs/>
          <w:sz w:val="20"/>
          <w:szCs w:val="20"/>
          <w:lang w:val="en-US"/>
        </w:rPr>
        <w:t xml:space="preserve"> </w:t>
      </w:r>
      <w:r w:rsidR="00AA6B6D" w:rsidRPr="003C4106">
        <w:rPr>
          <w:sz w:val="20"/>
          <w:szCs w:val="20"/>
          <w:lang w:val="en-US"/>
        </w:rPr>
        <w:t xml:space="preserve">reflects health services as a concurrent national and provincial legislative competence. </w:t>
      </w:r>
    </w:p>
    <w:p w:rsidR="00AA6B6D" w:rsidRPr="003C4106" w:rsidRDefault="00AA6B6D" w:rsidP="003C4106">
      <w:pPr>
        <w:rPr>
          <w:sz w:val="20"/>
          <w:szCs w:val="20"/>
          <w:lang w:val="en-US"/>
        </w:rPr>
      </w:pPr>
    </w:p>
    <w:p w:rsidR="00AA6B6D" w:rsidRPr="003C4106" w:rsidRDefault="00AA6B6D" w:rsidP="003C4106">
      <w:pPr>
        <w:rPr>
          <w:sz w:val="20"/>
          <w:szCs w:val="20"/>
          <w:lang w:val="en-US"/>
        </w:rPr>
      </w:pPr>
      <w:r w:rsidRPr="003C4106">
        <w:rPr>
          <w:sz w:val="20"/>
          <w:szCs w:val="20"/>
          <w:lang w:val="en-US"/>
        </w:rPr>
        <w:t xml:space="preserve">The Department’s Strategic Plan and APP are </w:t>
      </w:r>
      <w:r w:rsidR="00C07A9F" w:rsidRPr="003C4106">
        <w:rPr>
          <w:sz w:val="20"/>
          <w:szCs w:val="20"/>
          <w:lang w:val="en-US"/>
        </w:rPr>
        <w:t>derived from</w:t>
      </w:r>
      <w:r w:rsidRPr="003C4106">
        <w:rPr>
          <w:sz w:val="20"/>
          <w:szCs w:val="20"/>
          <w:lang w:val="en-US"/>
        </w:rPr>
        <w:t xml:space="preserve"> the </w:t>
      </w:r>
      <w:r w:rsidR="004271ED" w:rsidRPr="003C4106">
        <w:rPr>
          <w:sz w:val="20"/>
          <w:szCs w:val="20"/>
          <w:lang w:val="en-US"/>
        </w:rPr>
        <w:t>National Development Plan (NDP): Vision 2030</w:t>
      </w:r>
      <w:r w:rsidR="00C07A9F" w:rsidRPr="003C4106">
        <w:rPr>
          <w:sz w:val="20"/>
          <w:szCs w:val="20"/>
          <w:lang w:val="en-US"/>
        </w:rPr>
        <w:t>,</w:t>
      </w:r>
      <w:r w:rsidR="00B5203D" w:rsidRPr="003C4106">
        <w:rPr>
          <w:sz w:val="20"/>
          <w:szCs w:val="20"/>
          <w:lang w:val="en-US"/>
        </w:rPr>
        <w:t xml:space="preserve"> United Nations Sustainable Development Goals (SDGs)</w:t>
      </w:r>
      <w:r w:rsidR="00C07A9F" w:rsidRPr="003C4106">
        <w:rPr>
          <w:sz w:val="20"/>
          <w:szCs w:val="20"/>
          <w:lang w:val="en-US"/>
        </w:rPr>
        <w:t xml:space="preserve"> and the mandate </w:t>
      </w:r>
      <w:r w:rsidR="0035692D" w:rsidRPr="003C4106">
        <w:rPr>
          <w:sz w:val="20"/>
          <w:szCs w:val="20"/>
          <w:lang w:val="en-US"/>
        </w:rPr>
        <w:t>from the 2019-2024 Medium Term Strategic Framework (MTSF).</w:t>
      </w:r>
    </w:p>
    <w:p w:rsidR="00AA6B6D" w:rsidRPr="003C4106" w:rsidRDefault="00AA6B6D" w:rsidP="003C4106">
      <w:pPr>
        <w:rPr>
          <w:sz w:val="20"/>
          <w:szCs w:val="20"/>
        </w:rPr>
      </w:pPr>
    </w:p>
    <w:p w:rsidR="00B0065C" w:rsidRPr="003C4106" w:rsidRDefault="00B0065C" w:rsidP="003C4106">
      <w:pPr>
        <w:contextualSpacing/>
        <w:rPr>
          <w:color w:val="000000"/>
          <w:sz w:val="20"/>
          <w:szCs w:val="20"/>
        </w:rPr>
      </w:pPr>
      <w:r w:rsidRPr="003C4106">
        <w:rPr>
          <w:color w:val="000000"/>
          <w:sz w:val="20"/>
          <w:szCs w:val="20"/>
        </w:rPr>
        <w:t xml:space="preserve">The NDP identifies demographics, burden of disease, health systems and the social and environmental determinants of health as the key areas for intervention required to improve the health system in the country. Nine goals for health have been identified in the NDP, </w:t>
      </w:r>
      <w:r w:rsidR="009D7E71" w:rsidRPr="003C4106">
        <w:rPr>
          <w:color w:val="000000"/>
          <w:sz w:val="20"/>
          <w:szCs w:val="20"/>
        </w:rPr>
        <w:t>namely</w:t>
      </w:r>
      <w:r w:rsidRPr="003C4106">
        <w:rPr>
          <w:color w:val="000000"/>
          <w:sz w:val="20"/>
          <w:szCs w:val="20"/>
        </w:rPr>
        <w:t>:</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Average male and female life expectancy at birth increased to 70 years;</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 xml:space="preserve">Tuberculosis (TB) prevention and cure progressively improved;                                                                                                                                                                                                                                                                                                                       </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Maternal, infant and child mortality reduced;</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Significantly reduced prevalence of non-communicable chronic diseases;</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Injury, accidents and violence reduced by 50% from 2010 levels;</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Health system reforms completed;</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Primary Health Care</w:t>
      </w:r>
      <w:r w:rsidR="005B5D52" w:rsidRPr="003C4106">
        <w:rPr>
          <w:color w:val="000000"/>
          <w:sz w:val="20"/>
          <w:szCs w:val="20"/>
        </w:rPr>
        <w:t xml:space="preserve"> (PHC)</w:t>
      </w:r>
      <w:r w:rsidRPr="003C4106">
        <w:rPr>
          <w:color w:val="000000"/>
          <w:sz w:val="20"/>
          <w:szCs w:val="20"/>
        </w:rPr>
        <w:t xml:space="preserve"> teams deployed to provide care to families and communities;</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Universal health coverage achieved; and</w:t>
      </w:r>
    </w:p>
    <w:p w:rsidR="00B0065C" w:rsidRPr="003C4106" w:rsidRDefault="00B0065C" w:rsidP="003C4106">
      <w:pPr>
        <w:numPr>
          <w:ilvl w:val="0"/>
          <w:numId w:val="6"/>
        </w:numPr>
        <w:ind w:left="450" w:hanging="450"/>
        <w:contextualSpacing/>
        <w:rPr>
          <w:color w:val="000000"/>
          <w:sz w:val="20"/>
          <w:szCs w:val="20"/>
        </w:rPr>
      </w:pPr>
      <w:r w:rsidRPr="003C4106">
        <w:rPr>
          <w:color w:val="000000"/>
          <w:sz w:val="20"/>
          <w:szCs w:val="20"/>
        </w:rPr>
        <w:t>Health posts filled with skilled, committed and competent individuals.</w:t>
      </w:r>
    </w:p>
    <w:p w:rsidR="00B0065C" w:rsidRPr="003C4106" w:rsidRDefault="00B0065C" w:rsidP="003C4106">
      <w:pPr>
        <w:ind w:left="360"/>
        <w:contextualSpacing/>
        <w:rPr>
          <w:color w:val="000000"/>
          <w:sz w:val="20"/>
          <w:szCs w:val="20"/>
        </w:rPr>
      </w:pPr>
    </w:p>
    <w:p w:rsidR="00B0065C" w:rsidRPr="003C4106" w:rsidRDefault="00B0065C" w:rsidP="003C4106">
      <w:pPr>
        <w:contextualSpacing/>
        <w:rPr>
          <w:color w:val="000000"/>
          <w:sz w:val="20"/>
          <w:szCs w:val="20"/>
        </w:rPr>
      </w:pPr>
      <w:r w:rsidRPr="003C4106">
        <w:rPr>
          <w:color w:val="000000"/>
          <w:sz w:val="20"/>
          <w:szCs w:val="20"/>
        </w:rPr>
        <w:t>The planned National Health Commission is aimed at preventing and reducing the burden of communicable diseases. The Department envisages a number of health system reforms, including improved health facility planning, Health Management Information System, and quality of care</w:t>
      </w:r>
      <w:bookmarkStart w:id="8" w:name="_1v1yuxt" w:colFirst="0" w:colLast="0"/>
      <w:bookmarkEnd w:id="8"/>
      <w:r w:rsidR="00F00305" w:rsidRPr="003C4106">
        <w:rPr>
          <w:color w:val="000000"/>
          <w:sz w:val="20"/>
          <w:szCs w:val="20"/>
        </w:rPr>
        <w:t>.</w:t>
      </w:r>
    </w:p>
    <w:p w:rsidR="00A73983" w:rsidRPr="003C4106" w:rsidRDefault="00A73983" w:rsidP="003C4106">
      <w:pPr>
        <w:contextualSpacing/>
        <w:rPr>
          <w:color w:val="000000"/>
          <w:sz w:val="20"/>
          <w:szCs w:val="20"/>
        </w:rPr>
      </w:pPr>
    </w:p>
    <w:p w:rsidR="00B0065C" w:rsidRPr="003C4106" w:rsidRDefault="00B0065C" w:rsidP="003C4106">
      <w:pPr>
        <w:contextualSpacing/>
        <w:rPr>
          <w:color w:val="000000"/>
          <w:sz w:val="20"/>
          <w:szCs w:val="20"/>
        </w:rPr>
      </w:pPr>
      <w:r w:rsidRPr="003C4106">
        <w:rPr>
          <w:color w:val="000000"/>
          <w:sz w:val="20"/>
          <w:szCs w:val="20"/>
        </w:rPr>
        <w:lastRenderedPageBreak/>
        <w:t xml:space="preserve">In addition to the NDP, the health sector is also guided by the health sector Ten Point Plan and the United Nations (UN) Sustainable Development Goals 2030 (SDGs). </w:t>
      </w:r>
      <w:r w:rsidR="00A62462" w:rsidRPr="003C4106">
        <w:rPr>
          <w:color w:val="000000"/>
          <w:sz w:val="20"/>
          <w:szCs w:val="20"/>
        </w:rPr>
        <w:t xml:space="preserve">The Department’s Strategic Plan consists of two impact statements derived from the 2019-2024 MTSF, which are linked to 18 outcomes. </w:t>
      </w:r>
      <w:r w:rsidR="009421B3" w:rsidRPr="003C4106">
        <w:rPr>
          <w:color w:val="000000"/>
          <w:sz w:val="20"/>
          <w:szCs w:val="20"/>
        </w:rPr>
        <w:t xml:space="preserve">Figure 1 shows the </w:t>
      </w:r>
      <w:r w:rsidR="00D06C78" w:rsidRPr="003C4106">
        <w:rPr>
          <w:color w:val="000000"/>
          <w:sz w:val="20"/>
          <w:szCs w:val="20"/>
        </w:rPr>
        <w:t xml:space="preserve">2019-2024 MTSF Priority related to the </w:t>
      </w:r>
      <w:r w:rsidRPr="003C4106">
        <w:rPr>
          <w:color w:val="000000"/>
          <w:sz w:val="20"/>
          <w:szCs w:val="20"/>
        </w:rPr>
        <w:t>Departm</w:t>
      </w:r>
      <w:r w:rsidR="009421B3" w:rsidRPr="003C4106">
        <w:rPr>
          <w:color w:val="000000"/>
          <w:sz w:val="20"/>
          <w:szCs w:val="20"/>
        </w:rPr>
        <w:t>ent’s five-year strategic goals</w:t>
      </w:r>
      <w:r w:rsidR="00A62462" w:rsidRPr="003C4106">
        <w:rPr>
          <w:color w:val="000000"/>
          <w:sz w:val="20"/>
          <w:szCs w:val="20"/>
        </w:rPr>
        <w:t xml:space="preserve">. </w:t>
      </w:r>
    </w:p>
    <w:p w:rsidR="00B0065C" w:rsidRPr="003C4106" w:rsidRDefault="00B0065C" w:rsidP="003C4106">
      <w:pPr>
        <w:contextualSpacing/>
        <w:rPr>
          <w:color w:val="000000" w:themeColor="text1"/>
          <w:sz w:val="20"/>
          <w:szCs w:val="20"/>
        </w:rPr>
      </w:pPr>
    </w:p>
    <w:p w:rsidR="00A4016E" w:rsidRPr="003C4106" w:rsidRDefault="007535D2" w:rsidP="003C4106">
      <w:pPr>
        <w:pStyle w:val="Caption"/>
        <w:spacing w:after="0"/>
        <w:rPr>
          <w:b/>
          <w:color w:val="000000" w:themeColor="text1"/>
          <w:sz w:val="20"/>
          <w:szCs w:val="20"/>
        </w:rPr>
      </w:pPr>
      <w:r w:rsidRPr="003C4106">
        <w:rPr>
          <w:b/>
          <w:color w:val="000000" w:themeColor="text1"/>
          <w:sz w:val="20"/>
          <w:szCs w:val="20"/>
        </w:rPr>
        <w:t xml:space="preserve">Figure </w:t>
      </w:r>
      <w:r w:rsidR="00D95EDE" w:rsidRPr="003C4106">
        <w:rPr>
          <w:b/>
          <w:color w:val="000000" w:themeColor="text1"/>
          <w:sz w:val="20"/>
          <w:szCs w:val="20"/>
        </w:rPr>
        <w:fldChar w:fldCharType="begin"/>
      </w:r>
      <w:r w:rsidRPr="003C4106">
        <w:rPr>
          <w:b/>
          <w:color w:val="000000" w:themeColor="text1"/>
          <w:sz w:val="20"/>
          <w:szCs w:val="20"/>
        </w:rPr>
        <w:instrText xml:space="preserve"> SEQ Figure \* ARABIC </w:instrText>
      </w:r>
      <w:r w:rsidR="00D95EDE" w:rsidRPr="003C4106">
        <w:rPr>
          <w:b/>
          <w:color w:val="000000" w:themeColor="text1"/>
          <w:sz w:val="20"/>
          <w:szCs w:val="20"/>
        </w:rPr>
        <w:fldChar w:fldCharType="separate"/>
      </w:r>
      <w:r w:rsidR="00205AF7" w:rsidRPr="003C4106">
        <w:rPr>
          <w:b/>
          <w:noProof/>
          <w:color w:val="000000" w:themeColor="text1"/>
          <w:sz w:val="20"/>
          <w:szCs w:val="20"/>
        </w:rPr>
        <w:t>1</w:t>
      </w:r>
      <w:r w:rsidR="00D95EDE" w:rsidRPr="003C4106">
        <w:rPr>
          <w:b/>
          <w:color w:val="000000" w:themeColor="text1"/>
          <w:sz w:val="20"/>
          <w:szCs w:val="20"/>
        </w:rPr>
        <w:fldChar w:fldCharType="end"/>
      </w:r>
      <w:r w:rsidR="009B00BE" w:rsidRPr="003C4106">
        <w:rPr>
          <w:b/>
          <w:color w:val="000000" w:themeColor="text1"/>
          <w:sz w:val="20"/>
          <w:szCs w:val="20"/>
        </w:rPr>
        <w:t xml:space="preserve">: </w:t>
      </w:r>
      <w:r w:rsidR="00E007D3" w:rsidRPr="003C4106">
        <w:rPr>
          <w:b/>
          <w:color w:val="000000" w:themeColor="text1"/>
          <w:sz w:val="20"/>
          <w:szCs w:val="20"/>
        </w:rPr>
        <w:t>MTSF P</w:t>
      </w:r>
      <w:r w:rsidR="009421B3" w:rsidRPr="003C4106">
        <w:rPr>
          <w:b/>
          <w:color w:val="000000" w:themeColor="text1"/>
          <w:sz w:val="20"/>
          <w:szCs w:val="20"/>
        </w:rPr>
        <w:t>riority 3 (Education, Skills and Health)</w:t>
      </w:r>
      <w:r w:rsidR="00D7650E" w:rsidRPr="003C4106">
        <w:rPr>
          <w:b/>
          <w:color w:val="000000" w:themeColor="text1"/>
          <w:sz w:val="20"/>
          <w:szCs w:val="20"/>
        </w:rPr>
        <w:t xml:space="preserve"> impact statements</w:t>
      </w:r>
    </w:p>
    <w:p w:rsidR="00A4016E" w:rsidRPr="003C4106" w:rsidRDefault="00A4016E" w:rsidP="003C4106">
      <w:pPr>
        <w:contextualSpacing/>
        <w:rPr>
          <w:sz w:val="20"/>
          <w:szCs w:val="20"/>
        </w:rPr>
      </w:pPr>
      <w:r w:rsidRPr="003C4106">
        <w:rPr>
          <w:noProof/>
          <w:sz w:val="20"/>
          <w:szCs w:val="20"/>
          <w:lang w:val="en-US" w:eastAsia="en-US"/>
        </w:rPr>
        <w:drawing>
          <wp:inline distT="0" distB="0" distL="0" distR="0">
            <wp:extent cx="5486400" cy="1743075"/>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0762" w:rsidRPr="003C4106" w:rsidRDefault="002F0762" w:rsidP="003C4106">
      <w:pPr>
        <w:contextualSpacing/>
        <w:rPr>
          <w:color w:val="auto"/>
          <w:sz w:val="20"/>
          <w:szCs w:val="20"/>
        </w:rPr>
      </w:pPr>
    </w:p>
    <w:p w:rsidR="002F0762" w:rsidRPr="003C4106" w:rsidRDefault="002F0762" w:rsidP="003C4106">
      <w:pPr>
        <w:contextualSpacing/>
        <w:rPr>
          <w:color w:val="auto"/>
          <w:sz w:val="20"/>
          <w:szCs w:val="20"/>
        </w:rPr>
      </w:pPr>
      <w:r w:rsidRPr="003C4106">
        <w:rPr>
          <w:color w:val="auto"/>
          <w:sz w:val="20"/>
          <w:szCs w:val="20"/>
        </w:rPr>
        <w:t xml:space="preserve">The key policy priorities of the Department include the following: </w:t>
      </w:r>
    </w:p>
    <w:p w:rsidR="002F0762" w:rsidRPr="003C4106" w:rsidRDefault="002F0762" w:rsidP="003C4106">
      <w:pPr>
        <w:contextualSpacing/>
        <w:rPr>
          <w:color w:val="auto"/>
          <w:sz w:val="20"/>
          <w:szCs w:val="20"/>
        </w:rPr>
      </w:pPr>
    </w:p>
    <w:p w:rsidR="002F0762" w:rsidRPr="003C4106" w:rsidRDefault="002F0762" w:rsidP="003C4106">
      <w:pPr>
        <w:numPr>
          <w:ilvl w:val="0"/>
          <w:numId w:val="8"/>
        </w:numPr>
        <w:ind w:left="360"/>
        <w:contextualSpacing/>
        <w:rPr>
          <w:color w:val="auto"/>
          <w:sz w:val="20"/>
          <w:szCs w:val="20"/>
        </w:rPr>
      </w:pPr>
      <w:r w:rsidRPr="003C4106">
        <w:rPr>
          <w:b/>
          <w:color w:val="auto"/>
          <w:sz w:val="20"/>
          <w:szCs w:val="20"/>
        </w:rPr>
        <w:t xml:space="preserve">National Strategic Plan (NSP) for HIV, TB and STIs (2023 – 2028): </w:t>
      </w:r>
      <w:r w:rsidRPr="003C4106">
        <w:rPr>
          <w:color w:val="auto"/>
          <w:sz w:val="20"/>
          <w:szCs w:val="20"/>
        </w:rPr>
        <w:t>The fifth generation of the NSP was launched in 2023. This NSP will ramp up efforts to reach the 95-95-95 goal. This includes all provinces scaling up paediatric HIV treatment that is more effective and easier for care-givers to administer. TB remains the leading cause of death in the country. More focused measures will be implemented to tackle both TB and HIV in order to transition to the 95-95-95 targets set for both TB and HIV.</w:t>
      </w:r>
    </w:p>
    <w:p w:rsidR="002F0762" w:rsidRPr="003C4106" w:rsidRDefault="002F0762" w:rsidP="003C4106">
      <w:pPr>
        <w:pBdr>
          <w:top w:val="nil"/>
          <w:left w:val="nil"/>
          <w:bottom w:val="nil"/>
          <w:right w:val="nil"/>
          <w:between w:val="nil"/>
        </w:pBdr>
        <w:ind w:left="360" w:hanging="360"/>
        <w:contextualSpacing/>
        <w:rPr>
          <w:b/>
          <w:color w:val="auto"/>
          <w:sz w:val="20"/>
          <w:szCs w:val="20"/>
        </w:rPr>
      </w:pPr>
    </w:p>
    <w:p w:rsidR="002F0762" w:rsidRPr="003C4106" w:rsidRDefault="002F0762" w:rsidP="003C4106">
      <w:pPr>
        <w:numPr>
          <w:ilvl w:val="0"/>
          <w:numId w:val="8"/>
        </w:numPr>
        <w:ind w:left="360"/>
        <w:contextualSpacing/>
        <w:rPr>
          <w:color w:val="auto"/>
          <w:sz w:val="20"/>
          <w:szCs w:val="20"/>
        </w:rPr>
      </w:pPr>
      <w:r w:rsidRPr="003C4106">
        <w:rPr>
          <w:b/>
          <w:color w:val="auto"/>
          <w:sz w:val="20"/>
          <w:szCs w:val="20"/>
        </w:rPr>
        <w:t>Reduce Non-Communicable Diseases</w:t>
      </w:r>
      <w:r w:rsidR="00774176" w:rsidRPr="003C4106">
        <w:rPr>
          <w:b/>
          <w:color w:val="auto"/>
          <w:sz w:val="20"/>
          <w:szCs w:val="20"/>
        </w:rPr>
        <w:t xml:space="preserve"> (NCDs)</w:t>
      </w:r>
      <w:r w:rsidRPr="003C4106">
        <w:rPr>
          <w:color w:val="auto"/>
          <w:sz w:val="20"/>
          <w:szCs w:val="20"/>
        </w:rPr>
        <w:t xml:space="preserve">: The </w:t>
      </w:r>
      <w:r w:rsidR="00774176" w:rsidRPr="003C4106">
        <w:rPr>
          <w:color w:val="auto"/>
          <w:sz w:val="20"/>
          <w:szCs w:val="20"/>
        </w:rPr>
        <w:t>2022–2027 NSP</w:t>
      </w:r>
      <w:r w:rsidRPr="003C4106">
        <w:rPr>
          <w:color w:val="auto"/>
          <w:sz w:val="20"/>
          <w:szCs w:val="20"/>
        </w:rPr>
        <w:t xml:space="preserve"> for the Prevention and Control of </w:t>
      </w:r>
      <w:r w:rsidR="00774176" w:rsidRPr="003C4106">
        <w:rPr>
          <w:color w:val="auto"/>
          <w:sz w:val="20"/>
          <w:szCs w:val="20"/>
        </w:rPr>
        <w:t xml:space="preserve">NCDs </w:t>
      </w:r>
      <w:r w:rsidRPr="003C4106">
        <w:rPr>
          <w:color w:val="auto"/>
          <w:sz w:val="20"/>
          <w:szCs w:val="20"/>
        </w:rPr>
        <w:t>will be implemented to reduce the rapid growth in NCDs including, amongst others, cancer, diabetes, and mental health. Changing behaviour, raising awareness of status regarding hypertension, diabetes and cholesterol, as well as preventing complications that result in disabilities, are key priorities. The Departme</w:t>
      </w:r>
      <w:r w:rsidR="00774176" w:rsidRPr="003C4106">
        <w:rPr>
          <w:color w:val="auto"/>
          <w:sz w:val="20"/>
          <w:szCs w:val="20"/>
        </w:rPr>
        <w:t>nt is also prioritising a multi-</w:t>
      </w:r>
      <w:r w:rsidRPr="003C4106">
        <w:rPr>
          <w:color w:val="auto"/>
          <w:sz w:val="20"/>
          <w:szCs w:val="20"/>
        </w:rPr>
        <w:t>sectoral approach to the c</w:t>
      </w:r>
      <w:r w:rsidR="00AA521F" w:rsidRPr="003C4106">
        <w:rPr>
          <w:color w:val="auto"/>
          <w:sz w:val="20"/>
          <w:szCs w:val="20"/>
        </w:rPr>
        <w:t xml:space="preserve">ommunities’ reproductive needs, with a focus on </w:t>
      </w:r>
      <w:r w:rsidRPr="003C4106">
        <w:rPr>
          <w:color w:val="auto"/>
          <w:sz w:val="20"/>
          <w:szCs w:val="20"/>
        </w:rPr>
        <w:t>younger women</w:t>
      </w:r>
      <w:r w:rsidRPr="003C4106">
        <w:rPr>
          <w:i/>
          <w:color w:val="auto"/>
          <w:sz w:val="20"/>
          <w:szCs w:val="20"/>
        </w:rPr>
        <w:t>.</w:t>
      </w:r>
    </w:p>
    <w:p w:rsidR="002F0762" w:rsidRPr="003C4106" w:rsidRDefault="002F0762" w:rsidP="003C4106">
      <w:pPr>
        <w:ind w:left="360" w:hanging="360"/>
        <w:contextualSpacing/>
        <w:rPr>
          <w:color w:val="auto"/>
          <w:sz w:val="20"/>
          <w:szCs w:val="20"/>
        </w:rPr>
      </w:pPr>
    </w:p>
    <w:p w:rsidR="002F0762" w:rsidRPr="003C4106" w:rsidRDefault="002F0762" w:rsidP="003C4106">
      <w:pPr>
        <w:numPr>
          <w:ilvl w:val="0"/>
          <w:numId w:val="8"/>
        </w:numPr>
        <w:ind w:left="360"/>
        <w:contextualSpacing/>
        <w:rPr>
          <w:color w:val="auto"/>
          <w:sz w:val="20"/>
          <w:szCs w:val="20"/>
        </w:rPr>
      </w:pPr>
      <w:r w:rsidRPr="003C4106">
        <w:rPr>
          <w:b/>
          <w:color w:val="auto"/>
          <w:sz w:val="20"/>
          <w:szCs w:val="20"/>
        </w:rPr>
        <w:t xml:space="preserve">Facilitate the implementation of the </w:t>
      </w:r>
      <w:r w:rsidR="004341B0" w:rsidRPr="003C4106">
        <w:rPr>
          <w:b/>
          <w:color w:val="auto"/>
          <w:sz w:val="20"/>
          <w:szCs w:val="20"/>
        </w:rPr>
        <w:t>National Health Insurance (</w:t>
      </w:r>
      <w:r w:rsidRPr="003C4106">
        <w:rPr>
          <w:b/>
          <w:color w:val="auto"/>
          <w:sz w:val="20"/>
          <w:szCs w:val="20"/>
        </w:rPr>
        <w:t>NHI</w:t>
      </w:r>
      <w:r w:rsidR="004341B0" w:rsidRPr="003C4106">
        <w:rPr>
          <w:b/>
          <w:color w:val="auto"/>
          <w:sz w:val="20"/>
          <w:szCs w:val="20"/>
        </w:rPr>
        <w:t>)</w:t>
      </w:r>
      <w:r w:rsidRPr="003C4106">
        <w:rPr>
          <w:b/>
          <w:color w:val="auto"/>
          <w:sz w:val="20"/>
          <w:szCs w:val="20"/>
        </w:rPr>
        <w:t xml:space="preserve"> service.</w:t>
      </w:r>
      <w:r w:rsidRPr="003C4106">
        <w:rPr>
          <w:color w:val="auto"/>
          <w:sz w:val="20"/>
          <w:szCs w:val="20"/>
        </w:rPr>
        <w:t xml:space="preserve"> The Department will continue to prepare for the implementation of the proposed NHI. The Department is still in the process of developing and implementing the Electronic Health Record (EHR) that will collate all the patient’s health data and information into one digital record, providing complete and up-to-date information at the point of care. </w:t>
      </w:r>
    </w:p>
    <w:p w:rsidR="002F0762" w:rsidRPr="003C4106" w:rsidRDefault="002F0762" w:rsidP="003C4106">
      <w:pPr>
        <w:pBdr>
          <w:top w:val="nil"/>
          <w:left w:val="nil"/>
          <w:bottom w:val="nil"/>
          <w:right w:val="nil"/>
          <w:between w:val="nil"/>
        </w:pBdr>
        <w:ind w:left="360" w:hanging="360"/>
        <w:contextualSpacing/>
        <w:rPr>
          <w:color w:val="auto"/>
          <w:sz w:val="20"/>
          <w:szCs w:val="20"/>
        </w:rPr>
      </w:pPr>
    </w:p>
    <w:p w:rsidR="002F0762" w:rsidRPr="003C4106" w:rsidRDefault="002F0762" w:rsidP="003C4106">
      <w:pPr>
        <w:numPr>
          <w:ilvl w:val="0"/>
          <w:numId w:val="8"/>
        </w:numPr>
        <w:ind w:left="360"/>
        <w:contextualSpacing/>
        <w:rPr>
          <w:color w:val="auto"/>
          <w:sz w:val="20"/>
          <w:szCs w:val="20"/>
        </w:rPr>
      </w:pPr>
      <w:r w:rsidRPr="003C4106">
        <w:rPr>
          <w:b/>
          <w:color w:val="auto"/>
          <w:sz w:val="20"/>
          <w:szCs w:val="20"/>
        </w:rPr>
        <w:t>Improvement of health system infrastructure</w:t>
      </w:r>
      <w:r w:rsidRPr="003C4106">
        <w:rPr>
          <w:color w:val="auto"/>
          <w:sz w:val="20"/>
          <w:szCs w:val="20"/>
        </w:rPr>
        <w:t>: The Department will continue to implement the 10-year National Health Infrastructure Plan, which includes maintenance and refurbishment of health facilities.</w:t>
      </w:r>
    </w:p>
    <w:p w:rsidR="006E5DD0" w:rsidRPr="003C4106" w:rsidRDefault="006E5DD0" w:rsidP="003C4106">
      <w:pPr>
        <w:contextualSpacing/>
        <w:rPr>
          <w:sz w:val="20"/>
          <w:szCs w:val="20"/>
        </w:rPr>
      </w:pPr>
    </w:p>
    <w:p w:rsidR="00B0065C" w:rsidRPr="003C4106" w:rsidRDefault="00A73983" w:rsidP="003C4106">
      <w:pPr>
        <w:pStyle w:val="Heading1"/>
        <w:numPr>
          <w:ilvl w:val="0"/>
          <w:numId w:val="7"/>
        </w:numPr>
        <w:contextualSpacing/>
        <w:rPr>
          <w:color w:val="000000"/>
        </w:rPr>
      </w:pPr>
      <w:r w:rsidRPr="003C4106">
        <w:rPr>
          <w:color w:val="000000"/>
        </w:rPr>
        <w:t>BUDGET ANALYSIS FOR 2023/24</w:t>
      </w:r>
    </w:p>
    <w:p w:rsidR="006169B9" w:rsidRPr="003C4106" w:rsidRDefault="006169B9" w:rsidP="003C4106">
      <w:pPr>
        <w:contextualSpacing/>
        <w:rPr>
          <w:sz w:val="20"/>
          <w:szCs w:val="20"/>
        </w:rPr>
      </w:pPr>
    </w:p>
    <w:p w:rsidR="006169B9" w:rsidRPr="003C4106" w:rsidRDefault="0048410B" w:rsidP="003C4106">
      <w:pPr>
        <w:pStyle w:val="Heading2"/>
        <w:rPr>
          <w:color w:val="000000"/>
          <w:sz w:val="20"/>
          <w:szCs w:val="20"/>
        </w:rPr>
      </w:pPr>
      <w:bookmarkStart w:id="9" w:name="_Toc134007199"/>
      <w:r w:rsidRPr="003C4106">
        <w:rPr>
          <w:color w:val="000000"/>
          <w:sz w:val="20"/>
          <w:szCs w:val="20"/>
        </w:rPr>
        <w:t xml:space="preserve">3.1 </w:t>
      </w:r>
      <w:r w:rsidR="006169B9" w:rsidRPr="003C4106">
        <w:rPr>
          <w:color w:val="000000"/>
          <w:sz w:val="20"/>
          <w:szCs w:val="20"/>
        </w:rPr>
        <w:t>Consolidated Health Budget 2023/24</w:t>
      </w:r>
      <w:bookmarkEnd w:id="9"/>
    </w:p>
    <w:p w:rsidR="006169B9" w:rsidRPr="003C4106" w:rsidRDefault="006169B9" w:rsidP="003C4106">
      <w:pPr>
        <w:contextualSpacing/>
        <w:rPr>
          <w:color w:val="000000"/>
          <w:sz w:val="20"/>
          <w:szCs w:val="20"/>
        </w:rPr>
      </w:pPr>
    </w:p>
    <w:p w:rsidR="006169B9" w:rsidRPr="003C4106" w:rsidRDefault="00E371E8" w:rsidP="003C4106">
      <w:pPr>
        <w:contextualSpacing/>
        <w:rPr>
          <w:color w:val="000000"/>
          <w:sz w:val="20"/>
          <w:szCs w:val="20"/>
        </w:rPr>
      </w:pPr>
      <w:r w:rsidRPr="003C4106">
        <w:rPr>
          <w:color w:val="000000"/>
          <w:sz w:val="20"/>
          <w:szCs w:val="20"/>
        </w:rPr>
        <w:t>The p</w:t>
      </w:r>
      <w:r w:rsidR="006169B9" w:rsidRPr="003C4106">
        <w:rPr>
          <w:color w:val="000000"/>
          <w:sz w:val="20"/>
          <w:szCs w:val="20"/>
        </w:rPr>
        <w:t>ublic</w:t>
      </w:r>
      <w:r w:rsidRPr="003C4106">
        <w:rPr>
          <w:color w:val="000000"/>
          <w:sz w:val="20"/>
          <w:szCs w:val="20"/>
        </w:rPr>
        <w:t xml:space="preserve"> health b</w:t>
      </w:r>
      <w:r w:rsidR="006169B9" w:rsidRPr="003C4106">
        <w:rPr>
          <w:color w:val="000000"/>
          <w:sz w:val="20"/>
          <w:szCs w:val="20"/>
        </w:rPr>
        <w:t xml:space="preserve">udget spans across the national department, its entities and the provincial Departments of Health. The consolidated budget for 2023/24 totals R259.2 billion, down from R259.4 billion in the previous financial year. Table </w:t>
      </w:r>
      <w:r w:rsidR="00EB7D7D" w:rsidRPr="003C4106">
        <w:rPr>
          <w:color w:val="000000"/>
          <w:sz w:val="20"/>
          <w:szCs w:val="20"/>
        </w:rPr>
        <w:t>1</w:t>
      </w:r>
      <w:r w:rsidR="006169B9" w:rsidRPr="003C4106">
        <w:rPr>
          <w:color w:val="000000"/>
          <w:sz w:val="20"/>
          <w:szCs w:val="20"/>
        </w:rPr>
        <w:t xml:space="preserve"> provides a breakdown of the 2023/24 budget, by functional and economical classification. </w:t>
      </w:r>
    </w:p>
    <w:p w:rsidR="00F61E7F" w:rsidRPr="003C4106" w:rsidRDefault="00F61E7F" w:rsidP="003C4106">
      <w:pPr>
        <w:contextualSpacing/>
        <w:rPr>
          <w:color w:val="000000"/>
          <w:sz w:val="20"/>
          <w:szCs w:val="20"/>
        </w:rPr>
      </w:pPr>
    </w:p>
    <w:p w:rsidR="006169B9" w:rsidRPr="003C4106" w:rsidRDefault="00A94847" w:rsidP="003C4106">
      <w:pPr>
        <w:pStyle w:val="Caption"/>
        <w:spacing w:after="0"/>
        <w:rPr>
          <w:b/>
          <w:color w:val="000000"/>
          <w:sz w:val="20"/>
          <w:szCs w:val="20"/>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1</w:t>
      </w:r>
      <w:r w:rsidR="00D95EDE" w:rsidRPr="003C4106">
        <w:rPr>
          <w:b/>
          <w:color w:val="auto"/>
          <w:sz w:val="20"/>
          <w:szCs w:val="20"/>
        </w:rPr>
        <w:fldChar w:fldCharType="end"/>
      </w:r>
      <w:r w:rsidR="006169B9" w:rsidRPr="003C4106">
        <w:rPr>
          <w:b/>
          <w:color w:val="auto"/>
          <w:sz w:val="20"/>
          <w:szCs w:val="20"/>
        </w:rPr>
        <w:t xml:space="preserve">: Consolidated </w:t>
      </w:r>
      <w:r w:rsidR="003F1721" w:rsidRPr="003C4106">
        <w:rPr>
          <w:b/>
          <w:color w:val="000000"/>
          <w:sz w:val="20"/>
          <w:szCs w:val="20"/>
        </w:rPr>
        <w:t>spending by functional and economic classification</w:t>
      </w:r>
      <w:r w:rsidR="006169B9" w:rsidRPr="003C4106">
        <w:rPr>
          <w:b/>
          <w:color w:val="000000"/>
          <w:sz w:val="20"/>
          <w:szCs w:val="20"/>
        </w:rPr>
        <w:t>, 2023/24</w:t>
      </w:r>
    </w:p>
    <w:tbl>
      <w:tblPr>
        <w:tblStyle w:val="GridTable7Colorful"/>
        <w:tblW w:w="9985" w:type="dxa"/>
        <w:tblLayout w:type="fixed"/>
        <w:tblLook w:val="0400"/>
      </w:tblPr>
      <w:tblGrid>
        <w:gridCol w:w="1329"/>
        <w:gridCol w:w="1005"/>
        <w:gridCol w:w="649"/>
        <w:gridCol w:w="930"/>
        <w:gridCol w:w="614"/>
        <w:gridCol w:w="958"/>
        <w:gridCol w:w="544"/>
        <w:gridCol w:w="1043"/>
        <w:gridCol w:w="592"/>
        <w:gridCol w:w="874"/>
        <w:gridCol w:w="567"/>
        <w:gridCol w:w="880"/>
      </w:tblGrid>
      <w:tr w:rsidR="006169B9" w:rsidRPr="003C4106" w:rsidTr="00DC7361">
        <w:trPr>
          <w:cnfStyle w:val="000000100000"/>
          <w:trHeight w:val="755"/>
        </w:trPr>
        <w:tc>
          <w:tcPr>
            <w:tcW w:w="1329" w:type="dxa"/>
          </w:tcPr>
          <w:p w:rsidR="006169B9" w:rsidRPr="003C4106" w:rsidRDefault="006169B9" w:rsidP="003C4106">
            <w:pPr>
              <w:ind w:left="113" w:right="113"/>
              <w:contextualSpacing/>
              <w:rPr>
                <w:b/>
                <w:color w:val="000000"/>
                <w:sz w:val="20"/>
                <w:szCs w:val="20"/>
              </w:rPr>
            </w:pPr>
          </w:p>
        </w:tc>
        <w:tc>
          <w:tcPr>
            <w:tcW w:w="1654" w:type="dxa"/>
            <w:gridSpan w:val="2"/>
          </w:tcPr>
          <w:p w:rsidR="006169B9" w:rsidRPr="003C4106" w:rsidRDefault="006169B9" w:rsidP="003C4106">
            <w:pPr>
              <w:ind w:right="-31"/>
              <w:contextualSpacing/>
              <w:rPr>
                <w:b/>
                <w:color w:val="000000"/>
                <w:sz w:val="20"/>
                <w:szCs w:val="20"/>
              </w:rPr>
            </w:pPr>
            <w:r w:rsidRPr="003C4106">
              <w:rPr>
                <w:b/>
                <w:color w:val="000000"/>
                <w:sz w:val="20"/>
                <w:szCs w:val="20"/>
              </w:rPr>
              <w:t>Compensation of Employees</w:t>
            </w:r>
          </w:p>
        </w:tc>
        <w:tc>
          <w:tcPr>
            <w:tcW w:w="1544" w:type="dxa"/>
            <w:gridSpan w:val="2"/>
          </w:tcPr>
          <w:p w:rsidR="006169B9" w:rsidRPr="003C4106" w:rsidRDefault="006169B9" w:rsidP="003C4106">
            <w:pPr>
              <w:contextualSpacing/>
              <w:rPr>
                <w:b/>
                <w:color w:val="000000"/>
                <w:sz w:val="20"/>
                <w:szCs w:val="20"/>
              </w:rPr>
            </w:pPr>
            <w:r w:rsidRPr="003C4106">
              <w:rPr>
                <w:b/>
                <w:color w:val="000000"/>
                <w:sz w:val="20"/>
                <w:szCs w:val="20"/>
              </w:rPr>
              <w:t>Goods and Services</w:t>
            </w:r>
          </w:p>
        </w:tc>
        <w:tc>
          <w:tcPr>
            <w:tcW w:w="1502" w:type="dxa"/>
            <w:gridSpan w:val="2"/>
          </w:tcPr>
          <w:p w:rsidR="006169B9" w:rsidRPr="003C4106" w:rsidRDefault="006169B9" w:rsidP="003C4106">
            <w:pPr>
              <w:contextualSpacing/>
              <w:rPr>
                <w:b/>
                <w:color w:val="000000"/>
                <w:sz w:val="20"/>
                <w:szCs w:val="20"/>
              </w:rPr>
            </w:pPr>
            <w:r w:rsidRPr="003C4106">
              <w:rPr>
                <w:b/>
                <w:color w:val="000000"/>
                <w:sz w:val="20"/>
                <w:szCs w:val="20"/>
              </w:rPr>
              <w:t>Capital spending and transfers</w:t>
            </w:r>
          </w:p>
        </w:tc>
        <w:tc>
          <w:tcPr>
            <w:tcW w:w="1635" w:type="dxa"/>
            <w:gridSpan w:val="2"/>
          </w:tcPr>
          <w:p w:rsidR="006169B9" w:rsidRPr="003C4106" w:rsidRDefault="006169B9" w:rsidP="003C4106">
            <w:pPr>
              <w:contextualSpacing/>
              <w:rPr>
                <w:b/>
                <w:color w:val="000000"/>
                <w:sz w:val="20"/>
                <w:szCs w:val="20"/>
              </w:rPr>
            </w:pPr>
            <w:r w:rsidRPr="003C4106">
              <w:rPr>
                <w:b/>
                <w:color w:val="000000"/>
                <w:sz w:val="20"/>
                <w:szCs w:val="20"/>
              </w:rPr>
              <w:t>Current transfers and subsidies</w:t>
            </w:r>
          </w:p>
        </w:tc>
        <w:tc>
          <w:tcPr>
            <w:tcW w:w="1441" w:type="dxa"/>
            <w:gridSpan w:val="2"/>
          </w:tcPr>
          <w:p w:rsidR="006169B9" w:rsidRPr="003C4106" w:rsidRDefault="006169B9" w:rsidP="003C4106">
            <w:pPr>
              <w:contextualSpacing/>
              <w:rPr>
                <w:b/>
                <w:color w:val="000000"/>
                <w:sz w:val="20"/>
                <w:szCs w:val="20"/>
              </w:rPr>
            </w:pPr>
            <w:r w:rsidRPr="003C4106">
              <w:rPr>
                <w:b/>
                <w:color w:val="000000"/>
                <w:sz w:val="20"/>
                <w:szCs w:val="20"/>
              </w:rPr>
              <w:t>Interest Payments</w:t>
            </w:r>
          </w:p>
        </w:tc>
        <w:tc>
          <w:tcPr>
            <w:tcW w:w="880" w:type="dxa"/>
          </w:tcPr>
          <w:p w:rsidR="006169B9" w:rsidRPr="003C4106" w:rsidRDefault="006169B9" w:rsidP="003C4106">
            <w:pPr>
              <w:contextualSpacing/>
              <w:rPr>
                <w:b/>
                <w:color w:val="000000"/>
                <w:sz w:val="20"/>
                <w:szCs w:val="20"/>
              </w:rPr>
            </w:pPr>
            <w:r w:rsidRPr="003C4106">
              <w:rPr>
                <w:b/>
                <w:color w:val="000000"/>
                <w:sz w:val="20"/>
                <w:szCs w:val="20"/>
              </w:rPr>
              <w:t>Total</w:t>
            </w:r>
          </w:p>
        </w:tc>
      </w:tr>
      <w:tr w:rsidR="006169B9" w:rsidRPr="003C4106" w:rsidTr="00DC7361">
        <w:trPr>
          <w:trHeight w:val="350"/>
        </w:trPr>
        <w:tc>
          <w:tcPr>
            <w:tcW w:w="1329" w:type="dxa"/>
          </w:tcPr>
          <w:p w:rsidR="006169B9" w:rsidRPr="003C4106" w:rsidRDefault="006169B9" w:rsidP="003C4106">
            <w:pPr>
              <w:contextualSpacing/>
              <w:rPr>
                <w:b/>
                <w:color w:val="000000"/>
                <w:sz w:val="20"/>
                <w:szCs w:val="20"/>
              </w:rPr>
            </w:pPr>
            <w:r w:rsidRPr="003C4106">
              <w:rPr>
                <w:b/>
                <w:color w:val="000000"/>
                <w:sz w:val="20"/>
                <w:szCs w:val="20"/>
              </w:rPr>
              <w:lastRenderedPageBreak/>
              <w:t>R billion</w:t>
            </w:r>
          </w:p>
        </w:tc>
        <w:tc>
          <w:tcPr>
            <w:tcW w:w="1005" w:type="dxa"/>
          </w:tcPr>
          <w:p w:rsidR="006169B9" w:rsidRPr="003C4106" w:rsidRDefault="006169B9" w:rsidP="003C4106">
            <w:pPr>
              <w:contextualSpacing/>
              <w:rPr>
                <w:b/>
                <w:color w:val="000000"/>
                <w:sz w:val="20"/>
                <w:szCs w:val="20"/>
              </w:rPr>
            </w:pPr>
            <w:r w:rsidRPr="003C4106">
              <w:rPr>
                <w:b/>
                <w:color w:val="000000"/>
                <w:sz w:val="20"/>
                <w:szCs w:val="20"/>
              </w:rPr>
              <w:t>Amount</w:t>
            </w:r>
          </w:p>
        </w:tc>
        <w:tc>
          <w:tcPr>
            <w:tcW w:w="649" w:type="dxa"/>
          </w:tcPr>
          <w:p w:rsidR="006169B9" w:rsidRPr="003C4106" w:rsidRDefault="006169B9" w:rsidP="003C4106">
            <w:pPr>
              <w:ind w:right="-31"/>
              <w:contextualSpacing/>
              <w:rPr>
                <w:b/>
                <w:color w:val="000000"/>
                <w:sz w:val="20"/>
                <w:szCs w:val="20"/>
              </w:rPr>
            </w:pPr>
            <w:r w:rsidRPr="003C4106">
              <w:rPr>
                <w:b/>
                <w:color w:val="000000"/>
                <w:sz w:val="20"/>
                <w:szCs w:val="20"/>
              </w:rPr>
              <w:t>%</w:t>
            </w:r>
          </w:p>
        </w:tc>
        <w:tc>
          <w:tcPr>
            <w:tcW w:w="930" w:type="dxa"/>
          </w:tcPr>
          <w:p w:rsidR="006169B9" w:rsidRPr="003C4106" w:rsidRDefault="006169B9" w:rsidP="003C4106">
            <w:pPr>
              <w:contextualSpacing/>
              <w:rPr>
                <w:b/>
                <w:color w:val="000000"/>
                <w:sz w:val="20"/>
                <w:szCs w:val="20"/>
              </w:rPr>
            </w:pPr>
            <w:r w:rsidRPr="003C4106">
              <w:rPr>
                <w:b/>
                <w:color w:val="000000"/>
                <w:sz w:val="20"/>
                <w:szCs w:val="20"/>
              </w:rPr>
              <w:t>Amount</w:t>
            </w:r>
          </w:p>
        </w:tc>
        <w:tc>
          <w:tcPr>
            <w:tcW w:w="614" w:type="dxa"/>
          </w:tcPr>
          <w:p w:rsidR="006169B9" w:rsidRPr="003C4106" w:rsidRDefault="006169B9" w:rsidP="003C4106">
            <w:pPr>
              <w:contextualSpacing/>
              <w:rPr>
                <w:b/>
                <w:color w:val="000000"/>
                <w:sz w:val="20"/>
                <w:szCs w:val="20"/>
              </w:rPr>
            </w:pPr>
            <w:r w:rsidRPr="003C4106">
              <w:rPr>
                <w:b/>
                <w:color w:val="000000"/>
                <w:sz w:val="20"/>
                <w:szCs w:val="20"/>
              </w:rPr>
              <w:t>%</w:t>
            </w:r>
          </w:p>
        </w:tc>
        <w:tc>
          <w:tcPr>
            <w:tcW w:w="958" w:type="dxa"/>
          </w:tcPr>
          <w:p w:rsidR="006169B9" w:rsidRPr="003C4106" w:rsidRDefault="006169B9" w:rsidP="003C4106">
            <w:pPr>
              <w:contextualSpacing/>
              <w:rPr>
                <w:b/>
                <w:color w:val="000000"/>
                <w:sz w:val="20"/>
                <w:szCs w:val="20"/>
              </w:rPr>
            </w:pPr>
            <w:r w:rsidRPr="003C4106">
              <w:rPr>
                <w:b/>
                <w:color w:val="000000"/>
                <w:sz w:val="20"/>
                <w:szCs w:val="20"/>
              </w:rPr>
              <w:t>Amount</w:t>
            </w:r>
          </w:p>
        </w:tc>
        <w:tc>
          <w:tcPr>
            <w:tcW w:w="544" w:type="dxa"/>
          </w:tcPr>
          <w:p w:rsidR="006169B9" w:rsidRPr="003C4106" w:rsidRDefault="006169B9" w:rsidP="003C4106">
            <w:pPr>
              <w:contextualSpacing/>
              <w:rPr>
                <w:b/>
                <w:color w:val="000000"/>
                <w:sz w:val="20"/>
                <w:szCs w:val="20"/>
              </w:rPr>
            </w:pPr>
            <w:r w:rsidRPr="003C4106">
              <w:rPr>
                <w:b/>
                <w:color w:val="000000"/>
                <w:sz w:val="20"/>
                <w:szCs w:val="20"/>
              </w:rPr>
              <w:t>%</w:t>
            </w:r>
          </w:p>
        </w:tc>
        <w:tc>
          <w:tcPr>
            <w:tcW w:w="1043" w:type="dxa"/>
          </w:tcPr>
          <w:p w:rsidR="006169B9" w:rsidRPr="003C4106" w:rsidRDefault="006169B9" w:rsidP="003C4106">
            <w:pPr>
              <w:contextualSpacing/>
              <w:rPr>
                <w:b/>
                <w:color w:val="000000"/>
                <w:sz w:val="20"/>
                <w:szCs w:val="20"/>
              </w:rPr>
            </w:pPr>
            <w:r w:rsidRPr="003C4106">
              <w:rPr>
                <w:b/>
                <w:color w:val="000000"/>
                <w:sz w:val="20"/>
                <w:szCs w:val="20"/>
              </w:rPr>
              <w:t>Amount</w:t>
            </w:r>
          </w:p>
        </w:tc>
        <w:tc>
          <w:tcPr>
            <w:tcW w:w="592" w:type="dxa"/>
          </w:tcPr>
          <w:p w:rsidR="006169B9" w:rsidRPr="003C4106" w:rsidRDefault="006169B9" w:rsidP="003C4106">
            <w:pPr>
              <w:contextualSpacing/>
              <w:rPr>
                <w:b/>
                <w:color w:val="000000"/>
                <w:sz w:val="20"/>
                <w:szCs w:val="20"/>
              </w:rPr>
            </w:pPr>
            <w:r w:rsidRPr="003C4106">
              <w:rPr>
                <w:b/>
                <w:color w:val="000000"/>
                <w:sz w:val="20"/>
                <w:szCs w:val="20"/>
              </w:rPr>
              <w:t>%</w:t>
            </w:r>
          </w:p>
        </w:tc>
        <w:tc>
          <w:tcPr>
            <w:tcW w:w="874" w:type="dxa"/>
          </w:tcPr>
          <w:p w:rsidR="006169B9" w:rsidRPr="003C4106" w:rsidRDefault="006169B9" w:rsidP="003C4106">
            <w:pPr>
              <w:ind w:right="-104" w:hanging="227"/>
              <w:contextualSpacing/>
              <w:rPr>
                <w:b/>
                <w:color w:val="000000"/>
                <w:sz w:val="20"/>
                <w:szCs w:val="20"/>
              </w:rPr>
            </w:pPr>
            <w:r w:rsidRPr="003C4106">
              <w:rPr>
                <w:b/>
                <w:color w:val="000000"/>
                <w:sz w:val="20"/>
                <w:szCs w:val="20"/>
              </w:rPr>
              <w:t>Amount</w:t>
            </w:r>
          </w:p>
        </w:tc>
        <w:tc>
          <w:tcPr>
            <w:tcW w:w="567" w:type="dxa"/>
          </w:tcPr>
          <w:p w:rsidR="006169B9" w:rsidRPr="003C4106" w:rsidRDefault="006169B9" w:rsidP="003C4106">
            <w:pPr>
              <w:contextualSpacing/>
              <w:rPr>
                <w:b/>
                <w:color w:val="000000"/>
                <w:sz w:val="20"/>
                <w:szCs w:val="20"/>
              </w:rPr>
            </w:pPr>
            <w:r w:rsidRPr="003C4106">
              <w:rPr>
                <w:b/>
                <w:color w:val="000000"/>
                <w:sz w:val="20"/>
                <w:szCs w:val="20"/>
              </w:rPr>
              <w:t>%</w:t>
            </w:r>
          </w:p>
        </w:tc>
        <w:tc>
          <w:tcPr>
            <w:tcW w:w="880" w:type="dxa"/>
          </w:tcPr>
          <w:p w:rsidR="006169B9" w:rsidRPr="003C4106" w:rsidRDefault="006169B9" w:rsidP="003C4106">
            <w:pPr>
              <w:contextualSpacing/>
              <w:rPr>
                <w:b/>
                <w:color w:val="000000"/>
                <w:sz w:val="20"/>
                <w:szCs w:val="20"/>
              </w:rPr>
            </w:pPr>
          </w:p>
        </w:tc>
      </w:tr>
      <w:tr w:rsidR="006169B9" w:rsidRPr="003C4106" w:rsidTr="003F1721">
        <w:trPr>
          <w:cnfStyle w:val="000000100000"/>
          <w:trHeight w:val="429"/>
        </w:trPr>
        <w:tc>
          <w:tcPr>
            <w:tcW w:w="1329" w:type="dxa"/>
          </w:tcPr>
          <w:p w:rsidR="006169B9" w:rsidRPr="003C4106" w:rsidRDefault="006169B9" w:rsidP="003C4106">
            <w:pPr>
              <w:ind w:right="-133" w:hanging="113"/>
              <w:contextualSpacing/>
              <w:rPr>
                <w:b/>
                <w:color w:val="000000"/>
                <w:sz w:val="20"/>
                <w:szCs w:val="20"/>
              </w:rPr>
            </w:pPr>
            <w:r w:rsidRPr="003C4106">
              <w:rPr>
                <w:b/>
                <w:color w:val="000000"/>
                <w:sz w:val="20"/>
                <w:szCs w:val="20"/>
              </w:rPr>
              <w:t xml:space="preserve">  Consolidated Health </w:t>
            </w:r>
          </w:p>
        </w:tc>
        <w:tc>
          <w:tcPr>
            <w:tcW w:w="1005" w:type="dxa"/>
          </w:tcPr>
          <w:p w:rsidR="006169B9" w:rsidRPr="003C4106" w:rsidRDefault="006169B9" w:rsidP="003C4106">
            <w:pPr>
              <w:contextualSpacing/>
              <w:rPr>
                <w:color w:val="000000"/>
                <w:sz w:val="20"/>
                <w:szCs w:val="20"/>
              </w:rPr>
            </w:pPr>
            <w:r w:rsidRPr="003C4106">
              <w:rPr>
                <w:color w:val="000000"/>
                <w:sz w:val="20"/>
                <w:szCs w:val="20"/>
              </w:rPr>
              <w:t>163.6</w:t>
            </w:r>
          </w:p>
        </w:tc>
        <w:tc>
          <w:tcPr>
            <w:tcW w:w="649" w:type="dxa"/>
          </w:tcPr>
          <w:p w:rsidR="006169B9" w:rsidRPr="003C4106" w:rsidRDefault="006169B9" w:rsidP="003C4106">
            <w:pPr>
              <w:ind w:right="-31"/>
              <w:contextualSpacing/>
              <w:rPr>
                <w:color w:val="000000"/>
                <w:sz w:val="20"/>
                <w:szCs w:val="20"/>
              </w:rPr>
            </w:pPr>
            <w:r w:rsidRPr="003C4106">
              <w:rPr>
                <w:color w:val="000000"/>
                <w:sz w:val="20"/>
                <w:szCs w:val="20"/>
              </w:rPr>
              <w:t>63.1</w:t>
            </w:r>
          </w:p>
        </w:tc>
        <w:tc>
          <w:tcPr>
            <w:tcW w:w="930" w:type="dxa"/>
          </w:tcPr>
          <w:p w:rsidR="006169B9" w:rsidRPr="003C4106" w:rsidRDefault="006169B9" w:rsidP="003C4106">
            <w:pPr>
              <w:contextualSpacing/>
              <w:rPr>
                <w:color w:val="000000"/>
                <w:sz w:val="20"/>
                <w:szCs w:val="20"/>
              </w:rPr>
            </w:pPr>
            <w:r w:rsidRPr="003C4106">
              <w:rPr>
                <w:color w:val="000000"/>
                <w:sz w:val="20"/>
                <w:szCs w:val="20"/>
              </w:rPr>
              <w:t>76.1</w:t>
            </w:r>
          </w:p>
        </w:tc>
        <w:tc>
          <w:tcPr>
            <w:tcW w:w="614" w:type="dxa"/>
          </w:tcPr>
          <w:p w:rsidR="006169B9" w:rsidRPr="003C4106" w:rsidRDefault="006169B9" w:rsidP="003C4106">
            <w:pPr>
              <w:contextualSpacing/>
              <w:rPr>
                <w:color w:val="000000"/>
                <w:sz w:val="20"/>
                <w:szCs w:val="20"/>
              </w:rPr>
            </w:pPr>
            <w:r w:rsidRPr="003C4106">
              <w:rPr>
                <w:color w:val="000000"/>
                <w:sz w:val="20"/>
                <w:szCs w:val="20"/>
              </w:rPr>
              <w:t>29.4</w:t>
            </w:r>
          </w:p>
        </w:tc>
        <w:tc>
          <w:tcPr>
            <w:tcW w:w="958" w:type="dxa"/>
          </w:tcPr>
          <w:p w:rsidR="006169B9" w:rsidRPr="003C4106" w:rsidRDefault="006169B9" w:rsidP="003C4106">
            <w:pPr>
              <w:contextualSpacing/>
              <w:rPr>
                <w:color w:val="000000"/>
                <w:sz w:val="20"/>
                <w:szCs w:val="20"/>
              </w:rPr>
            </w:pPr>
            <w:r w:rsidRPr="003C4106">
              <w:rPr>
                <w:color w:val="000000"/>
                <w:sz w:val="20"/>
                <w:szCs w:val="20"/>
              </w:rPr>
              <w:t>13.3</w:t>
            </w:r>
          </w:p>
        </w:tc>
        <w:tc>
          <w:tcPr>
            <w:tcW w:w="544" w:type="dxa"/>
          </w:tcPr>
          <w:p w:rsidR="006169B9" w:rsidRPr="003C4106" w:rsidRDefault="006169B9" w:rsidP="003C4106">
            <w:pPr>
              <w:tabs>
                <w:tab w:val="left" w:pos="34"/>
              </w:tabs>
              <w:contextualSpacing/>
              <w:rPr>
                <w:color w:val="000000"/>
                <w:sz w:val="20"/>
                <w:szCs w:val="20"/>
              </w:rPr>
            </w:pPr>
            <w:r w:rsidRPr="003C4106">
              <w:rPr>
                <w:color w:val="000000"/>
                <w:sz w:val="20"/>
                <w:szCs w:val="20"/>
              </w:rPr>
              <w:t>5.1</w:t>
            </w:r>
          </w:p>
        </w:tc>
        <w:tc>
          <w:tcPr>
            <w:tcW w:w="1043" w:type="dxa"/>
          </w:tcPr>
          <w:p w:rsidR="006169B9" w:rsidRPr="003C4106" w:rsidRDefault="006169B9" w:rsidP="003C4106">
            <w:pPr>
              <w:contextualSpacing/>
              <w:rPr>
                <w:color w:val="000000"/>
                <w:sz w:val="20"/>
                <w:szCs w:val="20"/>
              </w:rPr>
            </w:pPr>
            <w:r w:rsidRPr="003C4106">
              <w:rPr>
                <w:color w:val="000000"/>
                <w:sz w:val="20"/>
                <w:szCs w:val="20"/>
              </w:rPr>
              <w:t>6.2</w:t>
            </w:r>
          </w:p>
        </w:tc>
        <w:tc>
          <w:tcPr>
            <w:tcW w:w="592" w:type="dxa"/>
          </w:tcPr>
          <w:p w:rsidR="006169B9" w:rsidRPr="003C4106" w:rsidRDefault="006169B9" w:rsidP="003C4106">
            <w:pPr>
              <w:contextualSpacing/>
              <w:rPr>
                <w:color w:val="000000"/>
                <w:sz w:val="20"/>
                <w:szCs w:val="20"/>
              </w:rPr>
            </w:pPr>
            <w:r w:rsidRPr="003C4106">
              <w:rPr>
                <w:color w:val="000000"/>
                <w:sz w:val="20"/>
                <w:szCs w:val="20"/>
              </w:rPr>
              <w:t>2.4</w:t>
            </w:r>
          </w:p>
        </w:tc>
        <w:tc>
          <w:tcPr>
            <w:tcW w:w="874" w:type="dxa"/>
          </w:tcPr>
          <w:p w:rsidR="006169B9" w:rsidRPr="003C4106" w:rsidRDefault="006169B9" w:rsidP="003C4106">
            <w:pPr>
              <w:contextualSpacing/>
              <w:rPr>
                <w:color w:val="000000"/>
                <w:sz w:val="20"/>
                <w:szCs w:val="20"/>
              </w:rPr>
            </w:pPr>
            <w:r w:rsidRPr="003C4106">
              <w:rPr>
                <w:color w:val="000000"/>
                <w:sz w:val="20"/>
                <w:szCs w:val="20"/>
              </w:rPr>
              <w:t>0.0</w:t>
            </w:r>
          </w:p>
        </w:tc>
        <w:tc>
          <w:tcPr>
            <w:tcW w:w="567" w:type="dxa"/>
          </w:tcPr>
          <w:p w:rsidR="006169B9" w:rsidRPr="003C4106" w:rsidRDefault="006169B9" w:rsidP="003C4106">
            <w:pPr>
              <w:contextualSpacing/>
              <w:rPr>
                <w:color w:val="000000"/>
                <w:sz w:val="20"/>
                <w:szCs w:val="20"/>
              </w:rPr>
            </w:pPr>
            <w:r w:rsidRPr="003C4106">
              <w:rPr>
                <w:color w:val="000000"/>
                <w:sz w:val="20"/>
                <w:szCs w:val="20"/>
              </w:rPr>
              <w:t>0.0</w:t>
            </w:r>
          </w:p>
        </w:tc>
        <w:tc>
          <w:tcPr>
            <w:tcW w:w="880" w:type="dxa"/>
          </w:tcPr>
          <w:p w:rsidR="006169B9" w:rsidRPr="003C4106" w:rsidRDefault="006169B9" w:rsidP="003C4106">
            <w:pPr>
              <w:contextualSpacing/>
              <w:rPr>
                <w:color w:val="000000"/>
                <w:sz w:val="20"/>
                <w:szCs w:val="20"/>
              </w:rPr>
            </w:pPr>
            <w:r w:rsidRPr="003C4106">
              <w:rPr>
                <w:color w:val="000000"/>
                <w:sz w:val="20"/>
                <w:szCs w:val="20"/>
              </w:rPr>
              <w:t>259.2</w:t>
            </w:r>
          </w:p>
        </w:tc>
      </w:tr>
      <w:tr w:rsidR="006169B9" w:rsidRPr="003C4106" w:rsidTr="003F1721">
        <w:trPr>
          <w:trHeight w:val="429"/>
        </w:trPr>
        <w:tc>
          <w:tcPr>
            <w:tcW w:w="1329" w:type="dxa"/>
          </w:tcPr>
          <w:p w:rsidR="006169B9" w:rsidRPr="003C4106" w:rsidRDefault="006169B9" w:rsidP="003C4106">
            <w:pPr>
              <w:contextualSpacing/>
              <w:rPr>
                <w:b/>
                <w:color w:val="000000"/>
                <w:sz w:val="20"/>
                <w:szCs w:val="20"/>
              </w:rPr>
            </w:pPr>
            <w:r w:rsidRPr="003C4106">
              <w:rPr>
                <w:b/>
                <w:color w:val="000000"/>
                <w:sz w:val="20"/>
                <w:szCs w:val="20"/>
              </w:rPr>
              <w:t xml:space="preserve">Total </w:t>
            </w:r>
          </w:p>
          <w:p w:rsidR="006169B9" w:rsidRPr="003C4106" w:rsidRDefault="006169B9" w:rsidP="003C4106">
            <w:pPr>
              <w:contextualSpacing/>
              <w:rPr>
                <w:b/>
                <w:color w:val="000000"/>
                <w:sz w:val="20"/>
                <w:szCs w:val="20"/>
              </w:rPr>
            </w:pPr>
            <w:r w:rsidRPr="003C4106">
              <w:rPr>
                <w:b/>
                <w:color w:val="000000"/>
                <w:sz w:val="20"/>
                <w:szCs w:val="20"/>
              </w:rPr>
              <w:t>Expenditure</w:t>
            </w:r>
          </w:p>
        </w:tc>
        <w:tc>
          <w:tcPr>
            <w:tcW w:w="1005" w:type="dxa"/>
          </w:tcPr>
          <w:p w:rsidR="006169B9" w:rsidRPr="003C4106" w:rsidRDefault="006169B9" w:rsidP="003C4106">
            <w:pPr>
              <w:contextualSpacing/>
              <w:rPr>
                <w:color w:val="000000"/>
                <w:sz w:val="20"/>
                <w:szCs w:val="20"/>
              </w:rPr>
            </w:pPr>
            <w:r w:rsidRPr="003C4106">
              <w:rPr>
                <w:color w:val="000000"/>
                <w:sz w:val="20"/>
                <w:szCs w:val="20"/>
              </w:rPr>
              <w:t>701.2</w:t>
            </w:r>
          </w:p>
        </w:tc>
        <w:tc>
          <w:tcPr>
            <w:tcW w:w="649" w:type="dxa"/>
          </w:tcPr>
          <w:p w:rsidR="006169B9" w:rsidRPr="003C4106" w:rsidRDefault="006169B9" w:rsidP="003C4106">
            <w:pPr>
              <w:ind w:right="-31"/>
              <w:contextualSpacing/>
              <w:rPr>
                <w:color w:val="000000"/>
                <w:sz w:val="20"/>
                <w:szCs w:val="20"/>
              </w:rPr>
            </w:pPr>
            <w:r w:rsidRPr="003C4106">
              <w:rPr>
                <w:color w:val="000000"/>
                <w:sz w:val="20"/>
                <w:szCs w:val="20"/>
              </w:rPr>
              <w:t>31.3</w:t>
            </w:r>
          </w:p>
        </w:tc>
        <w:tc>
          <w:tcPr>
            <w:tcW w:w="930" w:type="dxa"/>
          </w:tcPr>
          <w:p w:rsidR="006169B9" w:rsidRPr="003C4106" w:rsidRDefault="006169B9" w:rsidP="003C4106">
            <w:pPr>
              <w:contextualSpacing/>
              <w:rPr>
                <w:color w:val="000000"/>
                <w:sz w:val="20"/>
                <w:szCs w:val="20"/>
              </w:rPr>
            </w:pPr>
            <w:r w:rsidRPr="003C4106">
              <w:rPr>
                <w:color w:val="000000"/>
                <w:sz w:val="20"/>
                <w:szCs w:val="20"/>
              </w:rPr>
              <w:t>305.2</w:t>
            </w:r>
          </w:p>
        </w:tc>
        <w:tc>
          <w:tcPr>
            <w:tcW w:w="614" w:type="dxa"/>
          </w:tcPr>
          <w:p w:rsidR="006169B9" w:rsidRPr="003C4106" w:rsidRDefault="006169B9" w:rsidP="003C4106">
            <w:pPr>
              <w:contextualSpacing/>
              <w:rPr>
                <w:color w:val="000000"/>
                <w:sz w:val="20"/>
                <w:szCs w:val="20"/>
              </w:rPr>
            </w:pPr>
            <w:r w:rsidRPr="003C4106">
              <w:rPr>
                <w:color w:val="000000"/>
                <w:sz w:val="20"/>
                <w:szCs w:val="20"/>
              </w:rPr>
              <w:t>13.6</w:t>
            </w:r>
          </w:p>
        </w:tc>
        <w:tc>
          <w:tcPr>
            <w:tcW w:w="958" w:type="dxa"/>
          </w:tcPr>
          <w:p w:rsidR="006169B9" w:rsidRPr="003C4106" w:rsidRDefault="006169B9" w:rsidP="003C4106">
            <w:pPr>
              <w:contextualSpacing/>
              <w:rPr>
                <w:color w:val="000000"/>
                <w:sz w:val="20"/>
                <w:szCs w:val="20"/>
              </w:rPr>
            </w:pPr>
            <w:r w:rsidRPr="003C4106">
              <w:rPr>
                <w:color w:val="000000"/>
                <w:sz w:val="20"/>
                <w:szCs w:val="20"/>
              </w:rPr>
              <w:t>192.8</w:t>
            </w:r>
          </w:p>
        </w:tc>
        <w:tc>
          <w:tcPr>
            <w:tcW w:w="544" w:type="dxa"/>
          </w:tcPr>
          <w:p w:rsidR="006169B9" w:rsidRPr="003C4106" w:rsidRDefault="006169B9" w:rsidP="003C4106">
            <w:pPr>
              <w:contextualSpacing/>
              <w:rPr>
                <w:color w:val="000000"/>
                <w:sz w:val="20"/>
                <w:szCs w:val="20"/>
              </w:rPr>
            </w:pPr>
            <w:r w:rsidRPr="003C4106">
              <w:rPr>
                <w:color w:val="000000"/>
                <w:sz w:val="20"/>
                <w:szCs w:val="20"/>
              </w:rPr>
              <w:t>8.6</w:t>
            </w:r>
          </w:p>
        </w:tc>
        <w:tc>
          <w:tcPr>
            <w:tcW w:w="1043" w:type="dxa"/>
          </w:tcPr>
          <w:p w:rsidR="006169B9" w:rsidRPr="003C4106" w:rsidRDefault="006169B9" w:rsidP="003C4106">
            <w:pPr>
              <w:contextualSpacing/>
              <w:rPr>
                <w:color w:val="000000"/>
                <w:sz w:val="20"/>
                <w:szCs w:val="20"/>
              </w:rPr>
            </w:pPr>
            <w:r w:rsidRPr="003C4106">
              <w:rPr>
                <w:color w:val="000000"/>
                <w:sz w:val="20"/>
                <w:szCs w:val="20"/>
              </w:rPr>
              <w:t>685.0</w:t>
            </w:r>
          </w:p>
        </w:tc>
        <w:tc>
          <w:tcPr>
            <w:tcW w:w="592" w:type="dxa"/>
          </w:tcPr>
          <w:p w:rsidR="006169B9" w:rsidRPr="003C4106" w:rsidRDefault="006169B9" w:rsidP="003C4106">
            <w:pPr>
              <w:contextualSpacing/>
              <w:rPr>
                <w:color w:val="000000"/>
                <w:sz w:val="20"/>
                <w:szCs w:val="20"/>
              </w:rPr>
            </w:pPr>
            <w:r w:rsidRPr="003C4106">
              <w:rPr>
                <w:color w:val="000000"/>
                <w:sz w:val="20"/>
                <w:szCs w:val="20"/>
              </w:rPr>
              <w:t>30.5</w:t>
            </w:r>
          </w:p>
        </w:tc>
        <w:tc>
          <w:tcPr>
            <w:tcW w:w="874" w:type="dxa"/>
          </w:tcPr>
          <w:p w:rsidR="006169B9" w:rsidRPr="003C4106" w:rsidRDefault="006169B9" w:rsidP="003C4106">
            <w:pPr>
              <w:contextualSpacing/>
              <w:rPr>
                <w:color w:val="000000"/>
                <w:sz w:val="20"/>
                <w:szCs w:val="20"/>
              </w:rPr>
            </w:pPr>
            <w:r w:rsidRPr="003C4106">
              <w:rPr>
                <w:color w:val="000000"/>
                <w:sz w:val="20"/>
                <w:szCs w:val="20"/>
              </w:rPr>
              <w:t>349.5</w:t>
            </w:r>
          </w:p>
        </w:tc>
        <w:tc>
          <w:tcPr>
            <w:tcW w:w="567" w:type="dxa"/>
          </w:tcPr>
          <w:p w:rsidR="006169B9" w:rsidRPr="003C4106" w:rsidRDefault="006169B9" w:rsidP="003C4106">
            <w:pPr>
              <w:ind w:right="-51"/>
              <w:contextualSpacing/>
              <w:rPr>
                <w:color w:val="000000"/>
                <w:sz w:val="20"/>
                <w:szCs w:val="20"/>
              </w:rPr>
            </w:pPr>
            <w:r w:rsidRPr="003C4106">
              <w:rPr>
                <w:color w:val="000000"/>
                <w:sz w:val="20"/>
                <w:szCs w:val="20"/>
              </w:rPr>
              <w:t>14.4</w:t>
            </w:r>
          </w:p>
        </w:tc>
        <w:tc>
          <w:tcPr>
            <w:tcW w:w="880" w:type="dxa"/>
          </w:tcPr>
          <w:p w:rsidR="006169B9" w:rsidRPr="003C4106" w:rsidRDefault="006169B9" w:rsidP="003C4106">
            <w:pPr>
              <w:contextualSpacing/>
              <w:rPr>
                <w:color w:val="000000"/>
                <w:sz w:val="20"/>
                <w:szCs w:val="20"/>
              </w:rPr>
            </w:pPr>
            <w:r w:rsidRPr="003C4106">
              <w:rPr>
                <w:color w:val="000000"/>
                <w:sz w:val="20"/>
                <w:szCs w:val="20"/>
              </w:rPr>
              <w:t>2 242.6</w:t>
            </w:r>
          </w:p>
        </w:tc>
      </w:tr>
    </w:tbl>
    <w:p w:rsidR="006169B9" w:rsidRPr="003C4106" w:rsidRDefault="006169B9" w:rsidP="003C4106">
      <w:pPr>
        <w:contextualSpacing/>
        <w:rPr>
          <w:color w:val="000000"/>
          <w:sz w:val="20"/>
          <w:szCs w:val="20"/>
        </w:rPr>
      </w:pPr>
    </w:p>
    <w:p w:rsidR="006169B9" w:rsidRPr="003C4106" w:rsidRDefault="0003430C" w:rsidP="003C4106">
      <w:pPr>
        <w:contextualSpacing/>
        <w:rPr>
          <w:color w:val="000000"/>
          <w:sz w:val="20"/>
          <w:szCs w:val="20"/>
        </w:rPr>
      </w:pPr>
      <w:r w:rsidRPr="003C4106">
        <w:rPr>
          <w:color w:val="000000"/>
          <w:sz w:val="20"/>
          <w:szCs w:val="20"/>
        </w:rPr>
        <w:t>T</w:t>
      </w:r>
      <w:r w:rsidR="004A433D" w:rsidRPr="003C4106">
        <w:rPr>
          <w:color w:val="000000"/>
          <w:sz w:val="20"/>
          <w:szCs w:val="20"/>
        </w:rPr>
        <w:t>able 1</w:t>
      </w:r>
      <w:r w:rsidRPr="003C4106">
        <w:rPr>
          <w:color w:val="000000"/>
          <w:sz w:val="20"/>
          <w:szCs w:val="20"/>
        </w:rPr>
        <w:t xml:space="preserve"> shows the following:</w:t>
      </w:r>
    </w:p>
    <w:p w:rsidR="006169B9" w:rsidRPr="003C4106" w:rsidRDefault="006169B9" w:rsidP="003C4106">
      <w:pPr>
        <w:numPr>
          <w:ilvl w:val="0"/>
          <w:numId w:val="5"/>
        </w:numPr>
        <w:pBdr>
          <w:top w:val="nil"/>
          <w:left w:val="nil"/>
          <w:bottom w:val="nil"/>
          <w:right w:val="nil"/>
          <w:between w:val="nil"/>
        </w:pBdr>
        <w:ind w:left="450" w:hanging="450"/>
        <w:contextualSpacing/>
        <w:rPr>
          <w:color w:val="000000"/>
          <w:sz w:val="20"/>
          <w:szCs w:val="20"/>
        </w:rPr>
      </w:pPr>
      <w:r w:rsidRPr="003C4106">
        <w:rPr>
          <w:color w:val="000000"/>
          <w:sz w:val="20"/>
          <w:szCs w:val="20"/>
        </w:rPr>
        <w:t xml:space="preserve">A significant segment of the consolidated health expenditure, 63.1%, is dedicated to </w:t>
      </w:r>
      <w:r w:rsidR="0003430C" w:rsidRPr="003C4106">
        <w:rPr>
          <w:i/>
          <w:color w:val="000000"/>
          <w:sz w:val="20"/>
          <w:szCs w:val="20"/>
        </w:rPr>
        <w:t xml:space="preserve">compensation of employees </w:t>
      </w:r>
      <w:r w:rsidRPr="003C4106">
        <w:rPr>
          <w:i/>
          <w:color w:val="000000"/>
          <w:sz w:val="20"/>
          <w:szCs w:val="20"/>
        </w:rPr>
        <w:t>(COE</w:t>
      </w:r>
      <w:r w:rsidRPr="003C4106">
        <w:rPr>
          <w:color w:val="000000"/>
          <w:sz w:val="20"/>
          <w:szCs w:val="20"/>
        </w:rPr>
        <w:t>), which totals R163.6 billion, up from R159.6 billion.</w:t>
      </w:r>
    </w:p>
    <w:p w:rsidR="006169B9" w:rsidRPr="003C4106" w:rsidRDefault="006169B9" w:rsidP="003C4106">
      <w:pPr>
        <w:numPr>
          <w:ilvl w:val="0"/>
          <w:numId w:val="5"/>
        </w:numPr>
        <w:pBdr>
          <w:top w:val="nil"/>
          <w:left w:val="nil"/>
          <w:bottom w:val="nil"/>
          <w:right w:val="nil"/>
          <w:between w:val="nil"/>
        </w:pBdr>
        <w:ind w:left="450" w:hanging="450"/>
        <w:contextualSpacing/>
        <w:rPr>
          <w:color w:val="000000"/>
          <w:sz w:val="20"/>
          <w:szCs w:val="20"/>
        </w:rPr>
      </w:pPr>
      <w:r w:rsidRPr="003C4106">
        <w:rPr>
          <w:color w:val="000000"/>
          <w:sz w:val="20"/>
          <w:szCs w:val="20"/>
        </w:rPr>
        <w:t xml:space="preserve">Consolidated health expenditure on </w:t>
      </w:r>
      <w:r w:rsidR="00B15C02" w:rsidRPr="003C4106">
        <w:rPr>
          <w:i/>
          <w:color w:val="000000"/>
          <w:sz w:val="20"/>
          <w:szCs w:val="20"/>
        </w:rPr>
        <w:t>goods and services</w:t>
      </w:r>
      <w:r w:rsidR="00B15C02" w:rsidRPr="003C4106">
        <w:rPr>
          <w:color w:val="000000"/>
          <w:sz w:val="20"/>
          <w:szCs w:val="20"/>
        </w:rPr>
        <w:t xml:space="preserve"> </w:t>
      </w:r>
      <w:r w:rsidRPr="003C4106">
        <w:rPr>
          <w:color w:val="000000"/>
          <w:sz w:val="20"/>
          <w:szCs w:val="20"/>
        </w:rPr>
        <w:t xml:space="preserve">totals R76.1 billion, down from R78.9 billion, which constitutes 29.4% of overall health expenditure. </w:t>
      </w:r>
    </w:p>
    <w:p w:rsidR="006169B9" w:rsidRPr="003C4106" w:rsidRDefault="006169B9" w:rsidP="003C4106">
      <w:pPr>
        <w:numPr>
          <w:ilvl w:val="0"/>
          <w:numId w:val="5"/>
        </w:numPr>
        <w:pBdr>
          <w:top w:val="nil"/>
          <w:left w:val="nil"/>
          <w:bottom w:val="nil"/>
          <w:right w:val="nil"/>
          <w:between w:val="nil"/>
        </w:pBdr>
        <w:ind w:left="450" w:hanging="450"/>
        <w:contextualSpacing/>
        <w:rPr>
          <w:color w:val="000000"/>
          <w:sz w:val="20"/>
          <w:szCs w:val="20"/>
        </w:rPr>
      </w:pPr>
      <w:r w:rsidRPr="003C4106">
        <w:rPr>
          <w:color w:val="000000"/>
          <w:sz w:val="20"/>
          <w:szCs w:val="20"/>
        </w:rPr>
        <w:t xml:space="preserve">Consolidated health expenditure also makes provision for R13.3 billion (5.1%) allocated to </w:t>
      </w:r>
      <w:r w:rsidR="0003430C" w:rsidRPr="003C4106">
        <w:rPr>
          <w:i/>
          <w:color w:val="000000"/>
          <w:sz w:val="20"/>
          <w:szCs w:val="20"/>
        </w:rPr>
        <w:t>capital</w:t>
      </w:r>
      <w:r w:rsidRPr="003C4106">
        <w:rPr>
          <w:i/>
          <w:color w:val="000000"/>
          <w:sz w:val="20"/>
          <w:szCs w:val="20"/>
        </w:rPr>
        <w:t xml:space="preserve"> spending and transfers</w:t>
      </w:r>
      <w:r w:rsidRPr="003C4106">
        <w:rPr>
          <w:color w:val="000000"/>
          <w:sz w:val="20"/>
          <w:szCs w:val="20"/>
        </w:rPr>
        <w:t xml:space="preserve">, and R 6.2 billion (down from R6.4 billion in the previous year) for </w:t>
      </w:r>
      <w:r w:rsidR="0003430C" w:rsidRPr="003C4106">
        <w:rPr>
          <w:i/>
          <w:color w:val="000000"/>
          <w:sz w:val="20"/>
          <w:szCs w:val="20"/>
        </w:rPr>
        <w:t>c</w:t>
      </w:r>
      <w:r w:rsidRPr="003C4106">
        <w:rPr>
          <w:i/>
          <w:color w:val="000000"/>
          <w:sz w:val="20"/>
          <w:szCs w:val="20"/>
        </w:rPr>
        <w:t>urrent transfers and subsidies</w:t>
      </w:r>
      <w:r w:rsidRPr="003C4106">
        <w:rPr>
          <w:color w:val="000000"/>
          <w:sz w:val="20"/>
          <w:szCs w:val="20"/>
        </w:rPr>
        <w:t xml:space="preserve"> (2.4%). </w:t>
      </w:r>
    </w:p>
    <w:p w:rsidR="006169B9" w:rsidRPr="003C4106" w:rsidRDefault="006169B9" w:rsidP="003C4106">
      <w:pPr>
        <w:numPr>
          <w:ilvl w:val="0"/>
          <w:numId w:val="5"/>
        </w:numPr>
        <w:pBdr>
          <w:top w:val="nil"/>
          <w:left w:val="nil"/>
          <w:bottom w:val="nil"/>
          <w:right w:val="nil"/>
          <w:between w:val="nil"/>
        </w:pBdr>
        <w:ind w:left="450" w:hanging="450"/>
        <w:contextualSpacing/>
        <w:rPr>
          <w:color w:val="000000"/>
          <w:sz w:val="20"/>
          <w:szCs w:val="20"/>
        </w:rPr>
      </w:pPr>
      <w:r w:rsidRPr="003C4106">
        <w:rPr>
          <w:color w:val="000000"/>
          <w:sz w:val="20"/>
          <w:szCs w:val="20"/>
        </w:rPr>
        <w:t xml:space="preserve">There is no allocation for </w:t>
      </w:r>
      <w:r w:rsidR="00B15C02" w:rsidRPr="003C4106">
        <w:rPr>
          <w:i/>
          <w:color w:val="000000"/>
          <w:sz w:val="20"/>
          <w:szCs w:val="20"/>
        </w:rPr>
        <w:t>interest payments</w:t>
      </w:r>
      <w:r w:rsidRPr="003C4106">
        <w:rPr>
          <w:color w:val="000000"/>
          <w:sz w:val="20"/>
          <w:szCs w:val="20"/>
        </w:rPr>
        <w:t>. However, given that Provinces are known to run high levels of accruals, this is likely not accurate</w:t>
      </w:r>
      <w:r w:rsidR="00B15C02" w:rsidRPr="003C4106">
        <w:rPr>
          <w:color w:val="000000"/>
          <w:sz w:val="20"/>
          <w:szCs w:val="20"/>
        </w:rPr>
        <w:t xml:space="preserve"> - </w:t>
      </w:r>
      <w:r w:rsidRPr="003C4106">
        <w:rPr>
          <w:color w:val="000000"/>
          <w:sz w:val="20"/>
          <w:szCs w:val="20"/>
        </w:rPr>
        <w:t xml:space="preserve">suppliers are probably charging interest for late payment. </w:t>
      </w:r>
    </w:p>
    <w:p w:rsidR="006169B9" w:rsidRPr="003C4106" w:rsidRDefault="006169B9" w:rsidP="003C4106">
      <w:pPr>
        <w:contextualSpacing/>
        <w:rPr>
          <w:color w:val="000000"/>
          <w:sz w:val="20"/>
          <w:szCs w:val="20"/>
        </w:rPr>
      </w:pPr>
    </w:p>
    <w:p w:rsidR="006169B9" w:rsidRPr="003C4106" w:rsidRDefault="00576AA7" w:rsidP="003C4106">
      <w:pPr>
        <w:pStyle w:val="Heading2"/>
        <w:numPr>
          <w:ilvl w:val="1"/>
          <w:numId w:val="11"/>
        </w:numPr>
        <w:rPr>
          <w:color w:val="auto"/>
          <w:sz w:val="20"/>
          <w:szCs w:val="20"/>
        </w:rPr>
      </w:pPr>
      <w:bookmarkStart w:id="10" w:name="_nmf14n" w:colFirst="0" w:colLast="0"/>
      <w:bookmarkStart w:id="11" w:name="_Toc134007200"/>
      <w:bookmarkEnd w:id="10"/>
      <w:r w:rsidRPr="003C4106">
        <w:rPr>
          <w:color w:val="auto"/>
          <w:sz w:val="20"/>
          <w:szCs w:val="20"/>
        </w:rPr>
        <w:t xml:space="preserve">Financial Assessment </w:t>
      </w:r>
      <w:r w:rsidR="00162F63" w:rsidRPr="003C4106">
        <w:rPr>
          <w:color w:val="auto"/>
          <w:sz w:val="20"/>
          <w:szCs w:val="20"/>
        </w:rPr>
        <w:t xml:space="preserve">of the </w:t>
      </w:r>
      <w:r w:rsidR="006169B9" w:rsidRPr="003C4106">
        <w:rPr>
          <w:color w:val="auto"/>
          <w:sz w:val="20"/>
          <w:szCs w:val="20"/>
        </w:rPr>
        <w:t>Department</w:t>
      </w:r>
      <w:r w:rsidR="00162F63" w:rsidRPr="003C4106">
        <w:rPr>
          <w:color w:val="auto"/>
          <w:sz w:val="20"/>
          <w:szCs w:val="20"/>
        </w:rPr>
        <w:t xml:space="preserve">’s </w:t>
      </w:r>
      <w:r w:rsidR="006169B9" w:rsidRPr="003C4106">
        <w:rPr>
          <w:color w:val="auto"/>
          <w:sz w:val="20"/>
          <w:szCs w:val="20"/>
        </w:rPr>
        <w:t>Budget (2023/24)</w:t>
      </w:r>
      <w:bookmarkEnd w:id="11"/>
    </w:p>
    <w:p w:rsidR="00483C91" w:rsidRPr="003C4106" w:rsidRDefault="00483C91" w:rsidP="003C4106">
      <w:pPr>
        <w:contextualSpacing/>
        <w:rPr>
          <w:color w:val="000000"/>
          <w:sz w:val="20"/>
          <w:szCs w:val="20"/>
        </w:rPr>
      </w:pPr>
    </w:p>
    <w:p w:rsidR="00483C91" w:rsidRPr="003C4106" w:rsidRDefault="00607873" w:rsidP="003C4106">
      <w:pPr>
        <w:contextualSpacing/>
        <w:rPr>
          <w:color w:val="000000"/>
          <w:sz w:val="20"/>
          <w:szCs w:val="20"/>
        </w:rPr>
      </w:pPr>
      <w:r w:rsidRPr="003C4106">
        <w:rPr>
          <w:color w:val="000000"/>
          <w:sz w:val="20"/>
          <w:szCs w:val="20"/>
        </w:rPr>
        <w:t>As shows in Table 2, t</w:t>
      </w:r>
      <w:r w:rsidR="00483C91" w:rsidRPr="003C4106">
        <w:rPr>
          <w:color w:val="000000"/>
          <w:sz w:val="20"/>
          <w:szCs w:val="20"/>
        </w:rPr>
        <w:t>he Department receives R60.1 billion, down from R64.6 billion in 2022/23. This represents a decrease of 6.9% in nominal terms (11.2% in real terms). This reduction is the result of the once</w:t>
      </w:r>
      <w:r w:rsidR="00483C91" w:rsidRPr="003C4106">
        <w:rPr>
          <w:rFonts w:ascii="Times New Roman" w:eastAsia="Cambria Math" w:hAnsi="Times New Roman"/>
          <w:color w:val="000000"/>
          <w:sz w:val="20"/>
          <w:szCs w:val="20"/>
        </w:rPr>
        <w:t>‐</w:t>
      </w:r>
      <w:r w:rsidR="00483C91" w:rsidRPr="003C4106">
        <w:rPr>
          <w:color w:val="000000"/>
          <w:sz w:val="20"/>
          <w:szCs w:val="20"/>
        </w:rPr>
        <w:t xml:space="preserve">off allocations for the </w:t>
      </w:r>
      <w:r w:rsidR="00167578" w:rsidRPr="003C4106">
        <w:rPr>
          <w:color w:val="000000"/>
          <w:sz w:val="20"/>
          <w:szCs w:val="20"/>
        </w:rPr>
        <w:t>coronavirus (</w:t>
      </w:r>
      <w:r w:rsidR="00483C91" w:rsidRPr="003C4106">
        <w:rPr>
          <w:color w:val="000000"/>
          <w:sz w:val="20"/>
          <w:szCs w:val="20"/>
        </w:rPr>
        <w:t>COVID</w:t>
      </w:r>
      <w:r w:rsidR="00483C91" w:rsidRPr="003C4106">
        <w:rPr>
          <w:rFonts w:ascii="Times New Roman" w:eastAsia="Cambria Math" w:hAnsi="Times New Roman"/>
          <w:color w:val="000000"/>
          <w:sz w:val="20"/>
          <w:szCs w:val="20"/>
        </w:rPr>
        <w:t>‐</w:t>
      </w:r>
      <w:r w:rsidR="00483C91" w:rsidRPr="003C4106">
        <w:rPr>
          <w:color w:val="000000"/>
          <w:sz w:val="20"/>
          <w:szCs w:val="20"/>
        </w:rPr>
        <w:t>19</w:t>
      </w:r>
      <w:r w:rsidR="00167578" w:rsidRPr="003C4106">
        <w:rPr>
          <w:color w:val="000000"/>
          <w:sz w:val="20"/>
          <w:szCs w:val="20"/>
        </w:rPr>
        <w:t>)</w:t>
      </w:r>
      <w:r w:rsidR="00483C91" w:rsidRPr="003C4106">
        <w:rPr>
          <w:color w:val="000000"/>
          <w:sz w:val="20"/>
          <w:szCs w:val="20"/>
        </w:rPr>
        <w:t xml:space="preserve"> response in 2021/22 and baseline reductions effected over the 2021 MTEF period.</w:t>
      </w:r>
    </w:p>
    <w:p w:rsidR="00483C91" w:rsidRPr="003C4106" w:rsidRDefault="00483C91" w:rsidP="003C4106">
      <w:pPr>
        <w:contextualSpacing/>
        <w:rPr>
          <w:color w:val="000000"/>
          <w:sz w:val="20"/>
          <w:szCs w:val="20"/>
        </w:rPr>
      </w:pPr>
    </w:p>
    <w:p w:rsidR="00733AFB" w:rsidRPr="003C4106" w:rsidRDefault="006020E9" w:rsidP="003C4106">
      <w:pPr>
        <w:pStyle w:val="Caption"/>
        <w:spacing w:after="0"/>
        <w:rPr>
          <w:rFonts w:eastAsia="Times New Roman"/>
          <w:b/>
          <w:i w:val="0"/>
          <w:color w:val="auto"/>
          <w:sz w:val="20"/>
          <w:szCs w:val="20"/>
          <w:lang w:eastAsia="en-GB"/>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2</w:t>
      </w:r>
      <w:r w:rsidR="00D95EDE" w:rsidRPr="003C4106">
        <w:rPr>
          <w:b/>
          <w:color w:val="auto"/>
          <w:sz w:val="20"/>
          <w:szCs w:val="20"/>
        </w:rPr>
        <w:fldChar w:fldCharType="end"/>
      </w:r>
      <w:r w:rsidR="00733AFB" w:rsidRPr="003C4106">
        <w:rPr>
          <w:rFonts w:eastAsia="Times New Roman"/>
          <w:b/>
          <w:i w:val="0"/>
          <w:color w:val="auto"/>
          <w:sz w:val="20"/>
          <w:szCs w:val="20"/>
          <w:lang w:eastAsia="en-GB"/>
        </w:rPr>
        <w:t xml:space="preserve">: Overall 2023/24 budget of the Department by programme </w:t>
      </w:r>
    </w:p>
    <w:tbl>
      <w:tblPr>
        <w:tblStyle w:val="GridTable6Colorful1"/>
        <w:tblW w:w="9085" w:type="dxa"/>
        <w:tblLook w:val="04A0"/>
      </w:tblPr>
      <w:tblGrid>
        <w:gridCol w:w="1435"/>
        <w:gridCol w:w="1080"/>
        <w:gridCol w:w="1170"/>
        <w:gridCol w:w="1620"/>
        <w:gridCol w:w="1260"/>
        <w:gridCol w:w="1350"/>
        <w:gridCol w:w="1170"/>
      </w:tblGrid>
      <w:tr w:rsidR="00733AFB" w:rsidRPr="003C4106" w:rsidTr="00733AFB">
        <w:trPr>
          <w:cnfStyle w:val="100000000000"/>
          <w:trHeight w:val="647"/>
        </w:trPr>
        <w:tc>
          <w:tcPr>
            <w:cnfStyle w:val="001000000000"/>
            <w:tcW w:w="1435" w:type="dxa"/>
            <w:vMerge w:val="restart"/>
            <w:shd w:val="clear" w:color="auto" w:fill="BFBFBF"/>
            <w:noWrap/>
            <w:vAlign w:val="center"/>
            <w:hideMark/>
          </w:tcPr>
          <w:p w:rsidR="00733AFB" w:rsidRPr="003C4106" w:rsidRDefault="00733AFB" w:rsidP="003C4106">
            <w:pPr>
              <w:rPr>
                <w:rFonts w:ascii="Arial" w:hAnsi="Arial" w:cs="Arial"/>
                <w:lang w:eastAsia="en-GB"/>
              </w:rPr>
            </w:pPr>
            <w:r w:rsidRPr="003C4106">
              <w:rPr>
                <w:rFonts w:ascii="Arial" w:hAnsi="Arial" w:cs="Arial"/>
                <w:lang w:eastAsia="en-GB"/>
              </w:rPr>
              <w:t>Programme</w:t>
            </w:r>
          </w:p>
          <w:p w:rsidR="00733AFB" w:rsidRPr="003C4106" w:rsidRDefault="00733AFB" w:rsidP="003C4106">
            <w:pPr>
              <w:rPr>
                <w:rFonts w:ascii="Arial" w:hAnsi="Arial" w:cs="Arial"/>
                <w:lang w:eastAsia="en-GB"/>
              </w:rPr>
            </w:pPr>
          </w:p>
          <w:p w:rsidR="00733AFB" w:rsidRPr="003C4106" w:rsidRDefault="00733AFB" w:rsidP="003C4106">
            <w:pPr>
              <w:rPr>
                <w:rFonts w:ascii="Arial" w:hAnsi="Arial" w:cs="Arial"/>
                <w:lang w:eastAsia="en-GB"/>
              </w:rPr>
            </w:pPr>
            <w:r w:rsidRPr="003C4106">
              <w:rPr>
                <w:rFonts w:ascii="Arial" w:hAnsi="Arial" w:cs="Arial"/>
                <w:lang w:eastAsia="en-GB"/>
              </w:rPr>
              <w:t>R million</w:t>
            </w:r>
          </w:p>
        </w:tc>
        <w:tc>
          <w:tcPr>
            <w:tcW w:w="2250" w:type="dxa"/>
            <w:gridSpan w:val="2"/>
            <w:shd w:val="clear" w:color="auto" w:fill="BFBFBF"/>
            <w:vAlign w:val="center"/>
            <w:hideMark/>
          </w:tcPr>
          <w:p w:rsidR="00733AFB" w:rsidRPr="003C4106" w:rsidRDefault="00733AFB" w:rsidP="003C4106">
            <w:pPr>
              <w:cnfStyle w:val="100000000000"/>
              <w:rPr>
                <w:rFonts w:ascii="Arial" w:hAnsi="Arial" w:cs="Arial"/>
                <w:lang w:eastAsia="en-GB"/>
              </w:rPr>
            </w:pPr>
            <w:r w:rsidRPr="003C4106">
              <w:rPr>
                <w:rFonts w:ascii="Arial" w:hAnsi="Arial" w:cs="Arial"/>
                <w:lang w:eastAsia="en-GB"/>
              </w:rPr>
              <w:t>Budget</w:t>
            </w:r>
          </w:p>
        </w:tc>
        <w:tc>
          <w:tcPr>
            <w:tcW w:w="1620" w:type="dxa"/>
            <w:vMerge w:val="restart"/>
            <w:shd w:val="clear" w:color="auto" w:fill="BFBFBF"/>
            <w:vAlign w:val="center"/>
            <w:hideMark/>
          </w:tcPr>
          <w:p w:rsidR="00733AFB" w:rsidRPr="003C4106" w:rsidRDefault="00733AFB" w:rsidP="003C4106">
            <w:pPr>
              <w:cnfStyle w:val="100000000000"/>
              <w:rPr>
                <w:rFonts w:ascii="Arial" w:hAnsi="Arial" w:cs="Arial"/>
                <w:lang w:eastAsia="en-GB"/>
              </w:rPr>
            </w:pPr>
            <w:r w:rsidRPr="003C4106">
              <w:rPr>
                <w:rFonts w:ascii="Arial" w:hAnsi="Arial" w:cs="Arial"/>
                <w:lang w:eastAsia="en-GB"/>
              </w:rPr>
              <w:t>Nominal Increase / Decrease in 2023/24</w:t>
            </w:r>
          </w:p>
        </w:tc>
        <w:tc>
          <w:tcPr>
            <w:tcW w:w="1260" w:type="dxa"/>
            <w:vMerge w:val="restart"/>
            <w:shd w:val="clear" w:color="auto" w:fill="BFBFBF"/>
            <w:vAlign w:val="center"/>
            <w:hideMark/>
          </w:tcPr>
          <w:p w:rsidR="00733AFB" w:rsidRPr="003C4106" w:rsidRDefault="00733AFB" w:rsidP="003C4106">
            <w:pPr>
              <w:cnfStyle w:val="100000000000"/>
              <w:rPr>
                <w:rFonts w:ascii="Arial" w:hAnsi="Arial" w:cs="Arial"/>
                <w:lang w:eastAsia="en-GB"/>
              </w:rPr>
            </w:pPr>
            <w:r w:rsidRPr="003C4106">
              <w:rPr>
                <w:rFonts w:ascii="Arial" w:hAnsi="Arial" w:cs="Arial"/>
                <w:lang w:eastAsia="en-GB"/>
              </w:rPr>
              <w:t>Real Increase/ Decrease in 2023/24</w:t>
            </w:r>
          </w:p>
        </w:tc>
        <w:tc>
          <w:tcPr>
            <w:tcW w:w="1350" w:type="dxa"/>
            <w:vMerge w:val="restart"/>
            <w:shd w:val="clear" w:color="auto" w:fill="BFBFBF"/>
            <w:vAlign w:val="center"/>
            <w:hideMark/>
          </w:tcPr>
          <w:p w:rsidR="00733AFB" w:rsidRPr="003C4106" w:rsidRDefault="00733AFB" w:rsidP="003C4106">
            <w:pPr>
              <w:cnfStyle w:val="100000000000"/>
              <w:rPr>
                <w:rFonts w:ascii="Arial" w:hAnsi="Arial" w:cs="Arial"/>
                <w:lang w:eastAsia="en-GB"/>
              </w:rPr>
            </w:pPr>
            <w:r w:rsidRPr="003C4106">
              <w:rPr>
                <w:rFonts w:ascii="Arial" w:hAnsi="Arial" w:cs="Arial"/>
                <w:lang w:eastAsia="en-GB"/>
              </w:rPr>
              <w:t>Nominal % change in 2023/24</w:t>
            </w:r>
          </w:p>
        </w:tc>
        <w:tc>
          <w:tcPr>
            <w:tcW w:w="1170" w:type="dxa"/>
            <w:vMerge w:val="restart"/>
            <w:shd w:val="clear" w:color="auto" w:fill="BFBFBF"/>
            <w:vAlign w:val="center"/>
            <w:hideMark/>
          </w:tcPr>
          <w:p w:rsidR="00733AFB" w:rsidRPr="003C4106" w:rsidRDefault="00733AFB" w:rsidP="003C4106">
            <w:pPr>
              <w:cnfStyle w:val="100000000000"/>
              <w:rPr>
                <w:rFonts w:ascii="Arial" w:hAnsi="Arial" w:cs="Arial"/>
                <w:lang w:eastAsia="en-GB"/>
              </w:rPr>
            </w:pPr>
            <w:r w:rsidRPr="003C4106">
              <w:rPr>
                <w:rFonts w:ascii="Arial" w:hAnsi="Arial" w:cs="Arial"/>
                <w:lang w:eastAsia="en-GB"/>
              </w:rPr>
              <w:t>Real % change in 2023/24</w:t>
            </w:r>
          </w:p>
        </w:tc>
      </w:tr>
      <w:tr w:rsidR="00733AFB" w:rsidRPr="003C4106" w:rsidTr="00733AFB">
        <w:trPr>
          <w:cnfStyle w:val="000000100000"/>
          <w:trHeight w:val="375"/>
        </w:trPr>
        <w:tc>
          <w:tcPr>
            <w:cnfStyle w:val="001000000000"/>
            <w:tcW w:w="1435" w:type="dxa"/>
            <w:vMerge/>
            <w:shd w:val="clear" w:color="auto" w:fill="BFBFBF"/>
            <w:noWrap/>
            <w:hideMark/>
          </w:tcPr>
          <w:p w:rsidR="00733AFB" w:rsidRPr="003C4106" w:rsidRDefault="00733AFB" w:rsidP="003C4106">
            <w:pPr>
              <w:rPr>
                <w:rFonts w:ascii="Arial" w:hAnsi="Arial" w:cs="Arial"/>
                <w:lang w:eastAsia="en-GB"/>
              </w:rPr>
            </w:pPr>
          </w:p>
        </w:tc>
        <w:tc>
          <w:tcPr>
            <w:tcW w:w="1080" w:type="dxa"/>
            <w:shd w:val="clear" w:color="auto" w:fill="BFBFBF"/>
            <w:noWrap/>
            <w:vAlign w:val="center"/>
            <w:hideMark/>
          </w:tcPr>
          <w:p w:rsidR="00733AFB" w:rsidRPr="003C4106" w:rsidRDefault="00733AFB" w:rsidP="003C4106">
            <w:pPr>
              <w:cnfStyle w:val="000000100000"/>
              <w:rPr>
                <w:rFonts w:ascii="Arial" w:hAnsi="Arial" w:cs="Arial"/>
                <w:b/>
                <w:bCs/>
                <w:lang w:eastAsia="en-GB"/>
              </w:rPr>
            </w:pPr>
            <w:r w:rsidRPr="003C4106">
              <w:rPr>
                <w:rFonts w:ascii="Arial" w:hAnsi="Arial" w:cs="Arial"/>
                <w:b/>
                <w:bCs/>
                <w:lang w:eastAsia="en-GB"/>
              </w:rPr>
              <w:t>2022/23</w:t>
            </w:r>
          </w:p>
        </w:tc>
        <w:tc>
          <w:tcPr>
            <w:tcW w:w="1170" w:type="dxa"/>
            <w:shd w:val="clear" w:color="auto" w:fill="BFBFBF"/>
            <w:noWrap/>
            <w:vAlign w:val="center"/>
            <w:hideMark/>
          </w:tcPr>
          <w:p w:rsidR="00733AFB" w:rsidRPr="003C4106" w:rsidRDefault="00733AFB" w:rsidP="003C4106">
            <w:pPr>
              <w:cnfStyle w:val="000000100000"/>
              <w:rPr>
                <w:rFonts w:ascii="Arial" w:hAnsi="Arial" w:cs="Arial"/>
                <w:b/>
                <w:bCs/>
                <w:lang w:eastAsia="en-GB"/>
              </w:rPr>
            </w:pPr>
            <w:r w:rsidRPr="003C4106">
              <w:rPr>
                <w:rFonts w:ascii="Arial" w:hAnsi="Arial" w:cs="Arial"/>
                <w:b/>
                <w:bCs/>
                <w:lang w:eastAsia="en-GB"/>
              </w:rPr>
              <w:t>2023/24</w:t>
            </w:r>
          </w:p>
        </w:tc>
        <w:tc>
          <w:tcPr>
            <w:tcW w:w="1620" w:type="dxa"/>
            <w:vMerge/>
            <w:shd w:val="clear" w:color="auto" w:fill="BFBFBF"/>
            <w:hideMark/>
          </w:tcPr>
          <w:p w:rsidR="00733AFB" w:rsidRPr="003C4106" w:rsidRDefault="00733AFB" w:rsidP="003C4106">
            <w:pPr>
              <w:cnfStyle w:val="000000100000"/>
              <w:rPr>
                <w:rFonts w:ascii="Arial" w:hAnsi="Arial" w:cs="Arial"/>
                <w:b/>
                <w:bCs/>
                <w:lang w:eastAsia="en-GB"/>
              </w:rPr>
            </w:pPr>
          </w:p>
        </w:tc>
        <w:tc>
          <w:tcPr>
            <w:tcW w:w="1260" w:type="dxa"/>
            <w:vMerge/>
            <w:shd w:val="clear" w:color="auto" w:fill="BFBFBF"/>
            <w:hideMark/>
          </w:tcPr>
          <w:p w:rsidR="00733AFB" w:rsidRPr="003C4106" w:rsidRDefault="00733AFB" w:rsidP="003C4106">
            <w:pPr>
              <w:cnfStyle w:val="000000100000"/>
              <w:rPr>
                <w:rFonts w:ascii="Arial" w:hAnsi="Arial" w:cs="Arial"/>
                <w:b/>
                <w:bCs/>
                <w:lang w:eastAsia="en-GB"/>
              </w:rPr>
            </w:pPr>
          </w:p>
        </w:tc>
        <w:tc>
          <w:tcPr>
            <w:tcW w:w="1350" w:type="dxa"/>
            <w:vMerge/>
            <w:shd w:val="clear" w:color="auto" w:fill="BFBFBF"/>
            <w:hideMark/>
          </w:tcPr>
          <w:p w:rsidR="00733AFB" w:rsidRPr="003C4106" w:rsidRDefault="00733AFB" w:rsidP="003C4106">
            <w:pPr>
              <w:cnfStyle w:val="000000100000"/>
              <w:rPr>
                <w:rFonts w:ascii="Arial" w:hAnsi="Arial" w:cs="Arial"/>
                <w:b/>
                <w:bCs/>
                <w:lang w:eastAsia="en-GB"/>
              </w:rPr>
            </w:pPr>
          </w:p>
        </w:tc>
        <w:tc>
          <w:tcPr>
            <w:tcW w:w="1170" w:type="dxa"/>
            <w:vMerge/>
            <w:shd w:val="clear" w:color="auto" w:fill="BFBFBF"/>
            <w:hideMark/>
          </w:tcPr>
          <w:p w:rsidR="00733AFB" w:rsidRPr="003C4106" w:rsidRDefault="00733AFB" w:rsidP="003C4106">
            <w:pPr>
              <w:cnfStyle w:val="000000100000"/>
              <w:rPr>
                <w:rFonts w:ascii="Arial" w:hAnsi="Arial" w:cs="Arial"/>
                <w:b/>
                <w:bCs/>
                <w:lang w:eastAsia="en-GB"/>
              </w:rPr>
            </w:pPr>
          </w:p>
        </w:tc>
      </w:tr>
      <w:tr w:rsidR="00733AFB" w:rsidRPr="003C4106" w:rsidTr="00733AFB">
        <w:trPr>
          <w:trHeight w:val="264"/>
        </w:trPr>
        <w:tc>
          <w:tcPr>
            <w:cnfStyle w:val="001000000000"/>
            <w:tcW w:w="1435" w:type="dxa"/>
            <w:noWrap/>
            <w:hideMark/>
          </w:tcPr>
          <w:p w:rsidR="00733AFB" w:rsidRPr="003C4106" w:rsidRDefault="00733AFB" w:rsidP="003C4106">
            <w:pPr>
              <w:rPr>
                <w:rFonts w:ascii="Arial" w:hAnsi="Arial" w:cs="Arial"/>
                <w:lang w:eastAsia="en-GB"/>
              </w:rPr>
            </w:pPr>
            <w:r w:rsidRPr="003C4106">
              <w:rPr>
                <w:rFonts w:ascii="Arial" w:hAnsi="Arial" w:cs="Arial"/>
                <w:lang w:eastAsia="en-GB"/>
              </w:rPr>
              <w:t xml:space="preserve">Programme 1 </w:t>
            </w:r>
          </w:p>
        </w:tc>
        <w:tc>
          <w:tcPr>
            <w:tcW w:w="1080" w:type="dxa"/>
            <w:noWrap/>
          </w:tcPr>
          <w:p w:rsidR="00733AFB" w:rsidRPr="003C4106" w:rsidRDefault="00DD3CFE" w:rsidP="003C4106">
            <w:pPr>
              <w:cnfStyle w:val="000000000000"/>
              <w:rPr>
                <w:rFonts w:ascii="Arial" w:hAnsi="Arial" w:cs="Arial"/>
                <w:lang w:eastAsia="en-GB"/>
              </w:rPr>
            </w:pPr>
            <w:r w:rsidRPr="003C4106">
              <w:rPr>
                <w:rFonts w:ascii="Arial" w:hAnsi="Arial" w:cs="Arial"/>
                <w:lang w:eastAsia="en-GB"/>
              </w:rPr>
              <w:t>786,1</w:t>
            </w:r>
          </w:p>
        </w:tc>
        <w:tc>
          <w:tcPr>
            <w:tcW w:w="1170" w:type="dxa"/>
            <w:noWrap/>
          </w:tcPr>
          <w:p w:rsidR="00733AFB" w:rsidRPr="003C4106" w:rsidRDefault="00DD3CFE" w:rsidP="003C4106">
            <w:pPr>
              <w:cnfStyle w:val="000000000000"/>
              <w:rPr>
                <w:rFonts w:ascii="Arial" w:hAnsi="Arial" w:cs="Arial"/>
                <w:lang w:eastAsia="en-GB"/>
              </w:rPr>
            </w:pPr>
            <w:r w:rsidRPr="003C4106">
              <w:rPr>
                <w:rFonts w:ascii="Arial" w:hAnsi="Arial" w:cs="Arial"/>
                <w:lang w:eastAsia="en-GB"/>
              </w:rPr>
              <w:t>800,9</w:t>
            </w:r>
          </w:p>
        </w:tc>
        <w:tc>
          <w:tcPr>
            <w:tcW w:w="1620" w:type="dxa"/>
            <w:noWrap/>
          </w:tcPr>
          <w:p w:rsidR="00733AFB" w:rsidRPr="003C4106" w:rsidRDefault="00DD3CFE" w:rsidP="003C4106">
            <w:pPr>
              <w:cnfStyle w:val="000000000000"/>
              <w:rPr>
                <w:rFonts w:ascii="Arial" w:hAnsi="Arial" w:cs="Arial"/>
                <w:lang w:eastAsia="en-GB"/>
              </w:rPr>
            </w:pPr>
            <w:r w:rsidRPr="003C4106">
              <w:rPr>
                <w:rFonts w:ascii="Arial" w:hAnsi="Arial" w:cs="Arial"/>
                <w:lang w:eastAsia="en-GB"/>
              </w:rPr>
              <w:t>14,8</w:t>
            </w:r>
          </w:p>
        </w:tc>
        <w:tc>
          <w:tcPr>
            <w:tcW w:w="1260" w:type="dxa"/>
            <w:noWrap/>
          </w:tcPr>
          <w:p w:rsidR="00733AFB" w:rsidRPr="003C4106" w:rsidRDefault="00DD3CFE" w:rsidP="003C4106">
            <w:pPr>
              <w:cnfStyle w:val="000000000000"/>
              <w:rPr>
                <w:rFonts w:ascii="Arial" w:hAnsi="Arial" w:cs="Arial"/>
                <w:lang w:eastAsia="en-GB"/>
              </w:rPr>
            </w:pPr>
            <w:r w:rsidRPr="003C4106">
              <w:rPr>
                <w:rFonts w:ascii="Arial" w:hAnsi="Arial" w:cs="Arial"/>
                <w:lang w:eastAsia="en-GB"/>
              </w:rPr>
              <w:t>-22,6</w:t>
            </w:r>
          </w:p>
        </w:tc>
        <w:tc>
          <w:tcPr>
            <w:tcW w:w="1350" w:type="dxa"/>
            <w:noWrap/>
          </w:tcPr>
          <w:p w:rsidR="00733AFB" w:rsidRPr="003C4106" w:rsidRDefault="00DD3CFE" w:rsidP="003C4106">
            <w:pPr>
              <w:cnfStyle w:val="000000000000"/>
              <w:rPr>
                <w:rFonts w:ascii="Arial" w:hAnsi="Arial" w:cs="Arial"/>
                <w:lang w:eastAsia="en-GB"/>
              </w:rPr>
            </w:pPr>
            <w:r w:rsidRPr="003C4106">
              <w:rPr>
                <w:rFonts w:ascii="Arial" w:hAnsi="Arial" w:cs="Arial"/>
                <w:lang w:eastAsia="en-GB"/>
              </w:rPr>
              <w:t>1.9%</w:t>
            </w:r>
          </w:p>
        </w:tc>
        <w:tc>
          <w:tcPr>
            <w:tcW w:w="1170" w:type="dxa"/>
            <w:noWrap/>
          </w:tcPr>
          <w:p w:rsidR="00733AFB" w:rsidRPr="003C4106" w:rsidRDefault="00DD3CFE" w:rsidP="003C4106">
            <w:pPr>
              <w:cnfStyle w:val="000000000000"/>
              <w:rPr>
                <w:rFonts w:ascii="Arial" w:hAnsi="Arial" w:cs="Arial"/>
                <w:lang w:eastAsia="en-GB"/>
              </w:rPr>
            </w:pPr>
            <w:r w:rsidRPr="003C4106">
              <w:rPr>
                <w:rFonts w:ascii="Arial" w:hAnsi="Arial" w:cs="Arial"/>
                <w:lang w:eastAsia="en-GB"/>
              </w:rPr>
              <w:t>-2,9%</w:t>
            </w:r>
          </w:p>
        </w:tc>
      </w:tr>
      <w:tr w:rsidR="00733AFB" w:rsidRPr="003C4106" w:rsidTr="00733AFB">
        <w:trPr>
          <w:cnfStyle w:val="000000100000"/>
          <w:trHeight w:val="264"/>
        </w:trPr>
        <w:tc>
          <w:tcPr>
            <w:cnfStyle w:val="001000000000"/>
            <w:tcW w:w="1435" w:type="dxa"/>
            <w:noWrap/>
            <w:hideMark/>
          </w:tcPr>
          <w:p w:rsidR="00733AFB" w:rsidRPr="003C4106" w:rsidRDefault="00733AFB" w:rsidP="003C4106">
            <w:pPr>
              <w:rPr>
                <w:rFonts w:ascii="Arial" w:hAnsi="Arial" w:cs="Arial"/>
                <w:lang w:eastAsia="en-GB"/>
              </w:rPr>
            </w:pPr>
            <w:r w:rsidRPr="003C4106">
              <w:rPr>
                <w:rFonts w:ascii="Arial" w:hAnsi="Arial" w:cs="Arial"/>
                <w:lang w:eastAsia="en-GB"/>
              </w:rPr>
              <w:t>Programme 2</w:t>
            </w:r>
          </w:p>
        </w:tc>
        <w:tc>
          <w:tcPr>
            <w:tcW w:w="1080" w:type="dxa"/>
            <w:noWrap/>
          </w:tcPr>
          <w:p w:rsidR="00733AFB" w:rsidRPr="003C4106" w:rsidRDefault="00DD3CFE" w:rsidP="003C4106">
            <w:pPr>
              <w:cnfStyle w:val="000000100000"/>
              <w:rPr>
                <w:rFonts w:ascii="Arial" w:hAnsi="Arial" w:cs="Arial"/>
                <w:lang w:eastAsia="en-GB"/>
              </w:rPr>
            </w:pPr>
            <w:r w:rsidRPr="003C4106">
              <w:rPr>
                <w:rFonts w:ascii="Arial" w:hAnsi="Arial" w:cs="Arial"/>
                <w:lang w:eastAsia="en-GB"/>
              </w:rPr>
              <w:t>1 534,1</w:t>
            </w:r>
          </w:p>
        </w:tc>
        <w:tc>
          <w:tcPr>
            <w:tcW w:w="1170" w:type="dxa"/>
            <w:noWrap/>
          </w:tcPr>
          <w:p w:rsidR="00733AFB" w:rsidRPr="003C4106" w:rsidRDefault="00DD3CFE" w:rsidP="003C4106">
            <w:pPr>
              <w:cnfStyle w:val="000000100000"/>
              <w:rPr>
                <w:rFonts w:ascii="Arial" w:hAnsi="Arial" w:cs="Arial"/>
                <w:lang w:eastAsia="en-GB"/>
              </w:rPr>
            </w:pPr>
            <w:r w:rsidRPr="003C4106">
              <w:rPr>
                <w:rFonts w:ascii="Arial" w:hAnsi="Arial" w:cs="Arial"/>
                <w:lang w:eastAsia="en-GB"/>
              </w:rPr>
              <w:t>1 542,6</w:t>
            </w:r>
          </w:p>
        </w:tc>
        <w:tc>
          <w:tcPr>
            <w:tcW w:w="1620" w:type="dxa"/>
            <w:noWrap/>
          </w:tcPr>
          <w:p w:rsidR="00733AFB" w:rsidRPr="003C4106" w:rsidRDefault="007807ED" w:rsidP="003C4106">
            <w:pPr>
              <w:cnfStyle w:val="000000100000"/>
              <w:rPr>
                <w:rFonts w:ascii="Arial" w:hAnsi="Arial" w:cs="Arial"/>
                <w:lang w:eastAsia="en-GB"/>
              </w:rPr>
            </w:pPr>
            <w:r w:rsidRPr="003C4106">
              <w:rPr>
                <w:rFonts w:ascii="Arial" w:hAnsi="Arial" w:cs="Arial"/>
                <w:lang w:eastAsia="en-GB"/>
              </w:rPr>
              <w:t>8,5</w:t>
            </w:r>
          </w:p>
        </w:tc>
        <w:tc>
          <w:tcPr>
            <w:tcW w:w="1260" w:type="dxa"/>
            <w:noWrap/>
          </w:tcPr>
          <w:p w:rsidR="00733AFB" w:rsidRPr="003C4106" w:rsidRDefault="007807ED" w:rsidP="003C4106">
            <w:pPr>
              <w:cnfStyle w:val="000000100000"/>
              <w:rPr>
                <w:rFonts w:ascii="Arial" w:hAnsi="Arial" w:cs="Arial"/>
                <w:lang w:eastAsia="en-GB"/>
              </w:rPr>
            </w:pPr>
            <w:r w:rsidRPr="003C4106">
              <w:rPr>
                <w:rFonts w:ascii="Arial" w:hAnsi="Arial" w:cs="Arial"/>
                <w:lang w:eastAsia="en-GB"/>
              </w:rPr>
              <w:t>-63,6</w:t>
            </w:r>
          </w:p>
        </w:tc>
        <w:tc>
          <w:tcPr>
            <w:tcW w:w="1350" w:type="dxa"/>
            <w:noWrap/>
          </w:tcPr>
          <w:p w:rsidR="00733AFB" w:rsidRPr="003C4106" w:rsidRDefault="007807ED" w:rsidP="003C4106">
            <w:pPr>
              <w:cnfStyle w:val="000000100000"/>
              <w:rPr>
                <w:rFonts w:ascii="Arial" w:hAnsi="Arial" w:cs="Arial"/>
                <w:lang w:eastAsia="en-GB"/>
              </w:rPr>
            </w:pPr>
            <w:r w:rsidRPr="003C4106">
              <w:rPr>
                <w:rFonts w:ascii="Arial" w:hAnsi="Arial" w:cs="Arial"/>
                <w:lang w:eastAsia="en-GB"/>
              </w:rPr>
              <w:t>0,6%</w:t>
            </w:r>
          </w:p>
        </w:tc>
        <w:tc>
          <w:tcPr>
            <w:tcW w:w="1170" w:type="dxa"/>
            <w:noWrap/>
          </w:tcPr>
          <w:p w:rsidR="00733AFB" w:rsidRPr="003C4106" w:rsidRDefault="00DD3CFE" w:rsidP="003C4106">
            <w:pPr>
              <w:cnfStyle w:val="000000100000"/>
              <w:rPr>
                <w:rFonts w:ascii="Arial" w:hAnsi="Arial" w:cs="Arial"/>
                <w:lang w:eastAsia="en-GB"/>
              </w:rPr>
            </w:pPr>
            <w:r w:rsidRPr="003C4106">
              <w:rPr>
                <w:rFonts w:ascii="Arial" w:hAnsi="Arial" w:cs="Arial"/>
                <w:lang w:eastAsia="en-GB"/>
              </w:rPr>
              <w:t>-4.1%</w:t>
            </w:r>
          </w:p>
        </w:tc>
      </w:tr>
      <w:tr w:rsidR="00733AFB" w:rsidRPr="003C4106" w:rsidTr="00733AFB">
        <w:trPr>
          <w:trHeight w:val="264"/>
        </w:trPr>
        <w:tc>
          <w:tcPr>
            <w:cnfStyle w:val="001000000000"/>
            <w:tcW w:w="1435" w:type="dxa"/>
            <w:noWrap/>
            <w:hideMark/>
          </w:tcPr>
          <w:p w:rsidR="00733AFB" w:rsidRPr="003C4106" w:rsidRDefault="00733AFB" w:rsidP="003C4106">
            <w:pPr>
              <w:rPr>
                <w:rFonts w:ascii="Arial" w:hAnsi="Arial" w:cs="Arial"/>
                <w:lang w:eastAsia="en-GB"/>
              </w:rPr>
            </w:pPr>
            <w:r w:rsidRPr="003C4106">
              <w:rPr>
                <w:rFonts w:ascii="Arial" w:hAnsi="Arial" w:cs="Arial"/>
                <w:lang w:eastAsia="en-GB"/>
              </w:rPr>
              <w:t xml:space="preserve">Programme 3 </w:t>
            </w:r>
          </w:p>
        </w:tc>
        <w:tc>
          <w:tcPr>
            <w:tcW w:w="1080" w:type="dxa"/>
            <w:noWrap/>
          </w:tcPr>
          <w:p w:rsidR="00733AFB" w:rsidRPr="003C4106" w:rsidRDefault="007807ED" w:rsidP="003C4106">
            <w:pPr>
              <w:cnfStyle w:val="000000000000"/>
              <w:rPr>
                <w:rFonts w:ascii="Arial" w:hAnsi="Arial" w:cs="Arial"/>
                <w:lang w:eastAsia="en-GB"/>
              </w:rPr>
            </w:pPr>
            <w:r w:rsidRPr="003C4106">
              <w:rPr>
                <w:rFonts w:ascii="Arial" w:hAnsi="Arial" w:cs="Arial"/>
                <w:lang w:eastAsia="en-GB"/>
              </w:rPr>
              <w:t>26 916,7</w:t>
            </w:r>
          </w:p>
        </w:tc>
        <w:tc>
          <w:tcPr>
            <w:tcW w:w="1170" w:type="dxa"/>
            <w:noWrap/>
          </w:tcPr>
          <w:p w:rsidR="00733AFB" w:rsidRPr="003C4106" w:rsidRDefault="007807ED" w:rsidP="003C4106">
            <w:pPr>
              <w:cnfStyle w:val="000000000000"/>
              <w:rPr>
                <w:rFonts w:ascii="Arial" w:hAnsi="Arial" w:cs="Arial"/>
                <w:lang w:eastAsia="en-GB"/>
              </w:rPr>
            </w:pPr>
            <w:r w:rsidRPr="003C4106">
              <w:rPr>
                <w:rFonts w:ascii="Arial" w:hAnsi="Arial" w:cs="Arial"/>
                <w:lang w:eastAsia="en-GB"/>
              </w:rPr>
              <w:t>24 641,7</w:t>
            </w:r>
          </w:p>
        </w:tc>
        <w:tc>
          <w:tcPr>
            <w:tcW w:w="1620" w:type="dxa"/>
            <w:noWrap/>
          </w:tcPr>
          <w:p w:rsidR="00733AFB" w:rsidRPr="003C4106" w:rsidRDefault="007807ED" w:rsidP="003C4106">
            <w:pPr>
              <w:cnfStyle w:val="000000000000"/>
              <w:rPr>
                <w:rFonts w:ascii="Arial" w:hAnsi="Arial" w:cs="Arial"/>
                <w:lang w:eastAsia="en-GB"/>
              </w:rPr>
            </w:pPr>
            <w:r w:rsidRPr="003C4106">
              <w:rPr>
                <w:rFonts w:ascii="Arial" w:hAnsi="Arial" w:cs="Arial"/>
                <w:lang w:eastAsia="en-GB"/>
              </w:rPr>
              <w:t>-2 275,0</w:t>
            </w:r>
          </w:p>
        </w:tc>
        <w:tc>
          <w:tcPr>
            <w:tcW w:w="1260" w:type="dxa"/>
            <w:noWrap/>
          </w:tcPr>
          <w:p w:rsidR="00733AFB" w:rsidRPr="003C4106" w:rsidRDefault="007807ED" w:rsidP="003C4106">
            <w:pPr>
              <w:cnfStyle w:val="000000000000"/>
              <w:rPr>
                <w:rFonts w:ascii="Arial" w:hAnsi="Arial" w:cs="Arial"/>
                <w:lang w:eastAsia="en-GB"/>
              </w:rPr>
            </w:pPr>
            <w:r w:rsidRPr="003C4106">
              <w:rPr>
                <w:rFonts w:ascii="Arial" w:hAnsi="Arial" w:cs="Arial"/>
                <w:lang w:eastAsia="en-GB"/>
              </w:rPr>
              <w:t>-3 426,0</w:t>
            </w:r>
          </w:p>
        </w:tc>
        <w:tc>
          <w:tcPr>
            <w:tcW w:w="1350" w:type="dxa"/>
            <w:noWrap/>
          </w:tcPr>
          <w:p w:rsidR="00733AFB" w:rsidRPr="003C4106" w:rsidRDefault="007807ED" w:rsidP="003C4106">
            <w:pPr>
              <w:cnfStyle w:val="000000000000"/>
              <w:rPr>
                <w:rFonts w:ascii="Arial" w:hAnsi="Arial" w:cs="Arial"/>
                <w:lang w:eastAsia="en-GB"/>
              </w:rPr>
            </w:pPr>
            <w:r w:rsidRPr="003C4106">
              <w:rPr>
                <w:rFonts w:ascii="Arial" w:hAnsi="Arial" w:cs="Arial"/>
                <w:lang w:eastAsia="en-GB"/>
              </w:rPr>
              <w:t>-8,5</w:t>
            </w:r>
            <w:r w:rsidR="008B6574" w:rsidRPr="003C4106">
              <w:rPr>
                <w:rFonts w:ascii="Arial" w:hAnsi="Arial" w:cs="Arial"/>
                <w:lang w:eastAsia="en-GB"/>
              </w:rPr>
              <w:t>%</w:t>
            </w:r>
          </w:p>
        </w:tc>
        <w:tc>
          <w:tcPr>
            <w:tcW w:w="1170" w:type="dxa"/>
            <w:noWrap/>
          </w:tcPr>
          <w:p w:rsidR="00733AFB" w:rsidRPr="003C4106" w:rsidRDefault="00021F7D" w:rsidP="003C4106">
            <w:pPr>
              <w:cnfStyle w:val="000000000000"/>
              <w:rPr>
                <w:rFonts w:ascii="Arial" w:hAnsi="Arial" w:cs="Arial"/>
                <w:lang w:eastAsia="en-GB"/>
              </w:rPr>
            </w:pPr>
            <w:r w:rsidRPr="003C4106">
              <w:rPr>
                <w:rFonts w:ascii="Arial" w:hAnsi="Arial" w:cs="Arial"/>
                <w:lang w:eastAsia="en-GB"/>
              </w:rPr>
              <w:t>-12,7%</w:t>
            </w:r>
          </w:p>
        </w:tc>
      </w:tr>
      <w:tr w:rsidR="00733AFB" w:rsidRPr="003C4106" w:rsidTr="00733AFB">
        <w:trPr>
          <w:cnfStyle w:val="000000100000"/>
          <w:trHeight w:val="264"/>
        </w:trPr>
        <w:tc>
          <w:tcPr>
            <w:cnfStyle w:val="001000000000"/>
            <w:tcW w:w="1435" w:type="dxa"/>
            <w:noWrap/>
            <w:hideMark/>
          </w:tcPr>
          <w:p w:rsidR="00733AFB" w:rsidRPr="003C4106" w:rsidRDefault="00733AFB" w:rsidP="003C4106">
            <w:pPr>
              <w:rPr>
                <w:rFonts w:ascii="Arial" w:hAnsi="Arial" w:cs="Arial"/>
                <w:lang w:eastAsia="en-GB"/>
              </w:rPr>
            </w:pPr>
            <w:r w:rsidRPr="003C4106">
              <w:rPr>
                <w:rFonts w:ascii="Arial" w:hAnsi="Arial" w:cs="Arial"/>
                <w:lang w:eastAsia="en-GB"/>
              </w:rPr>
              <w:t xml:space="preserve">Programme 4 </w:t>
            </w:r>
          </w:p>
        </w:tc>
        <w:tc>
          <w:tcPr>
            <w:tcW w:w="1080" w:type="dxa"/>
            <w:noWrap/>
          </w:tcPr>
          <w:p w:rsidR="00733AFB" w:rsidRPr="003C4106" w:rsidRDefault="008B6574" w:rsidP="003C4106">
            <w:pPr>
              <w:cnfStyle w:val="000000100000"/>
              <w:rPr>
                <w:rFonts w:ascii="Arial" w:hAnsi="Arial" w:cs="Arial"/>
                <w:lang w:eastAsia="en-GB"/>
              </w:rPr>
            </w:pPr>
            <w:r w:rsidRPr="003C4106">
              <w:rPr>
                <w:rFonts w:ascii="Arial" w:hAnsi="Arial" w:cs="Arial"/>
                <w:lang w:eastAsia="en-GB"/>
              </w:rPr>
              <w:t>5 153,6</w:t>
            </w:r>
          </w:p>
        </w:tc>
        <w:tc>
          <w:tcPr>
            <w:tcW w:w="1170" w:type="dxa"/>
            <w:noWrap/>
          </w:tcPr>
          <w:p w:rsidR="00733AFB" w:rsidRPr="003C4106" w:rsidRDefault="008B6574" w:rsidP="003C4106">
            <w:pPr>
              <w:cnfStyle w:val="000000100000"/>
              <w:rPr>
                <w:rFonts w:ascii="Arial" w:hAnsi="Arial" w:cs="Arial"/>
                <w:lang w:eastAsia="en-GB"/>
              </w:rPr>
            </w:pPr>
            <w:r w:rsidRPr="003C4106">
              <w:rPr>
                <w:rFonts w:ascii="Arial" w:hAnsi="Arial" w:cs="Arial"/>
                <w:lang w:eastAsia="en-GB"/>
              </w:rPr>
              <w:t>3 007,4</w:t>
            </w:r>
          </w:p>
        </w:tc>
        <w:tc>
          <w:tcPr>
            <w:tcW w:w="1620" w:type="dxa"/>
            <w:noWrap/>
          </w:tcPr>
          <w:p w:rsidR="00733AFB" w:rsidRPr="003C4106" w:rsidRDefault="008B6574" w:rsidP="003C4106">
            <w:pPr>
              <w:cnfStyle w:val="000000100000"/>
              <w:rPr>
                <w:rFonts w:ascii="Arial" w:hAnsi="Arial" w:cs="Arial"/>
                <w:lang w:eastAsia="en-GB"/>
              </w:rPr>
            </w:pPr>
            <w:r w:rsidRPr="003C4106">
              <w:rPr>
                <w:rFonts w:ascii="Arial" w:hAnsi="Arial" w:cs="Arial"/>
                <w:lang w:eastAsia="en-GB"/>
              </w:rPr>
              <w:t>-2 146,2</w:t>
            </w:r>
          </w:p>
        </w:tc>
        <w:tc>
          <w:tcPr>
            <w:tcW w:w="1260" w:type="dxa"/>
            <w:noWrap/>
          </w:tcPr>
          <w:p w:rsidR="00733AFB" w:rsidRPr="003C4106" w:rsidRDefault="008B6574" w:rsidP="003C4106">
            <w:pPr>
              <w:cnfStyle w:val="000000100000"/>
              <w:rPr>
                <w:rFonts w:ascii="Arial" w:hAnsi="Arial" w:cs="Arial"/>
                <w:lang w:eastAsia="en-GB"/>
              </w:rPr>
            </w:pPr>
            <w:r w:rsidRPr="003C4106">
              <w:rPr>
                <w:rFonts w:ascii="Arial" w:hAnsi="Arial" w:cs="Arial"/>
                <w:lang w:eastAsia="en-GB"/>
              </w:rPr>
              <w:t>-2 286,7</w:t>
            </w:r>
          </w:p>
        </w:tc>
        <w:tc>
          <w:tcPr>
            <w:tcW w:w="1350" w:type="dxa"/>
            <w:noWrap/>
          </w:tcPr>
          <w:p w:rsidR="00733AFB" w:rsidRPr="003C4106" w:rsidRDefault="008B6574" w:rsidP="003C4106">
            <w:pPr>
              <w:cnfStyle w:val="000000100000"/>
              <w:rPr>
                <w:rFonts w:ascii="Arial" w:hAnsi="Arial" w:cs="Arial"/>
                <w:lang w:eastAsia="en-GB"/>
              </w:rPr>
            </w:pPr>
            <w:r w:rsidRPr="003C4106">
              <w:rPr>
                <w:rFonts w:ascii="Arial" w:hAnsi="Arial" w:cs="Arial"/>
                <w:lang w:eastAsia="en-GB"/>
              </w:rPr>
              <w:t>-41,6</w:t>
            </w:r>
            <w:r w:rsidR="00A75E33" w:rsidRPr="003C4106">
              <w:rPr>
                <w:rFonts w:ascii="Arial" w:hAnsi="Arial" w:cs="Arial"/>
                <w:lang w:eastAsia="en-GB"/>
              </w:rPr>
              <w:t>%</w:t>
            </w:r>
          </w:p>
        </w:tc>
        <w:tc>
          <w:tcPr>
            <w:tcW w:w="1170" w:type="dxa"/>
            <w:noWrap/>
          </w:tcPr>
          <w:p w:rsidR="00733AFB" w:rsidRPr="003C4106" w:rsidRDefault="00021F7D" w:rsidP="003C4106">
            <w:pPr>
              <w:cnfStyle w:val="000000100000"/>
              <w:rPr>
                <w:rFonts w:ascii="Arial" w:hAnsi="Arial" w:cs="Arial"/>
                <w:lang w:eastAsia="en-GB"/>
              </w:rPr>
            </w:pPr>
            <w:r w:rsidRPr="003C4106">
              <w:rPr>
                <w:rFonts w:ascii="Arial" w:hAnsi="Arial" w:cs="Arial"/>
                <w:lang w:eastAsia="en-GB"/>
              </w:rPr>
              <w:t>-44,4%</w:t>
            </w:r>
          </w:p>
        </w:tc>
      </w:tr>
      <w:tr w:rsidR="00733AFB" w:rsidRPr="003C4106" w:rsidTr="00733AFB">
        <w:trPr>
          <w:trHeight w:val="264"/>
        </w:trPr>
        <w:tc>
          <w:tcPr>
            <w:cnfStyle w:val="001000000000"/>
            <w:tcW w:w="1435" w:type="dxa"/>
            <w:noWrap/>
            <w:hideMark/>
          </w:tcPr>
          <w:p w:rsidR="00733AFB" w:rsidRPr="003C4106" w:rsidRDefault="00733AFB" w:rsidP="003C4106">
            <w:pPr>
              <w:rPr>
                <w:rFonts w:ascii="Arial" w:hAnsi="Arial" w:cs="Arial"/>
                <w:lang w:eastAsia="en-GB"/>
              </w:rPr>
            </w:pPr>
            <w:r w:rsidRPr="003C4106">
              <w:rPr>
                <w:rFonts w:ascii="Arial" w:hAnsi="Arial" w:cs="Arial"/>
                <w:lang w:eastAsia="en-GB"/>
              </w:rPr>
              <w:t>Programme 5</w:t>
            </w:r>
          </w:p>
        </w:tc>
        <w:tc>
          <w:tcPr>
            <w:tcW w:w="1080" w:type="dxa"/>
            <w:noWrap/>
          </w:tcPr>
          <w:p w:rsidR="00733AFB" w:rsidRPr="003C4106" w:rsidRDefault="008B6574" w:rsidP="003C4106">
            <w:pPr>
              <w:cnfStyle w:val="000000000000"/>
              <w:rPr>
                <w:rFonts w:ascii="Arial" w:hAnsi="Arial" w:cs="Arial"/>
                <w:lang w:eastAsia="en-GB"/>
              </w:rPr>
            </w:pPr>
            <w:r w:rsidRPr="003C4106">
              <w:rPr>
                <w:rFonts w:ascii="Arial" w:hAnsi="Arial" w:cs="Arial"/>
                <w:lang w:eastAsia="en-GB"/>
              </w:rPr>
              <w:t>22 641,6</w:t>
            </w:r>
          </w:p>
        </w:tc>
        <w:tc>
          <w:tcPr>
            <w:tcW w:w="1170" w:type="dxa"/>
            <w:noWrap/>
          </w:tcPr>
          <w:p w:rsidR="00733AFB" w:rsidRPr="003C4106" w:rsidRDefault="008B6574" w:rsidP="003C4106">
            <w:pPr>
              <w:cnfStyle w:val="000000000000"/>
              <w:rPr>
                <w:rFonts w:ascii="Arial" w:hAnsi="Arial" w:cs="Arial"/>
                <w:lang w:eastAsia="en-GB"/>
              </w:rPr>
            </w:pPr>
            <w:r w:rsidRPr="003C4106">
              <w:rPr>
                <w:rFonts w:ascii="Arial" w:hAnsi="Arial" w:cs="Arial"/>
                <w:lang w:eastAsia="en-GB"/>
              </w:rPr>
              <w:t>22 582,0</w:t>
            </w:r>
          </w:p>
        </w:tc>
        <w:tc>
          <w:tcPr>
            <w:tcW w:w="1620" w:type="dxa"/>
            <w:noWrap/>
          </w:tcPr>
          <w:p w:rsidR="00733AFB" w:rsidRPr="003C4106" w:rsidRDefault="00A75E33" w:rsidP="003C4106">
            <w:pPr>
              <w:cnfStyle w:val="000000000000"/>
              <w:rPr>
                <w:rFonts w:ascii="Arial" w:hAnsi="Arial" w:cs="Arial"/>
                <w:lang w:eastAsia="en-GB"/>
              </w:rPr>
            </w:pPr>
            <w:r w:rsidRPr="003C4106">
              <w:rPr>
                <w:rFonts w:ascii="Arial" w:hAnsi="Arial" w:cs="Arial"/>
                <w:lang w:eastAsia="en-GB"/>
              </w:rPr>
              <w:t>-59,6</w:t>
            </w:r>
          </w:p>
        </w:tc>
        <w:tc>
          <w:tcPr>
            <w:tcW w:w="1260" w:type="dxa"/>
            <w:noWrap/>
          </w:tcPr>
          <w:p w:rsidR="00733AFB" w:rsidRPr="003C4106" w:rsidRDefault="00A75E33" w:rsidP="003C4106">
            <w:pPr>
              <w:cnfStyle w:val="000000000000"/>
              <w:rPr>
                <w:rFonts w:ascii="Arial" w:hAnsi="Arial" w:cs="Arial"/>
                <w:lang w:eastAsia="en-GB"/>
              </w:rPr>
            </w:pPr>
            <w:r w:rsidRPr="003C4106">
              <w:rPr>
                <w:rFonts w:ascii="Arial" w:hAnsi="Arial" w:cs="Arial"/>
                <w:lang w:eastAsia="en-GB"/>
              </w:rPr>
              <w:t>-1 114,4</w:t>
            </w:r>
          </w:p>
        </w:tc>
        <w:tc>
          <w:tcPr>
            <w:tcW w:w="1350" w:type="dxa"/>
            <w:noWrap/>
          </w:tcPr>
          <w:p w:rsidR="00733AFB" w:rsidRPr="003C4106" w:rsidRDefault="00A75E33" w:rsidP="003C4106">
            <w:pPr>
              <w:cnfStyle w:val="000000000000"/>
              <w:rPr>
                <w:rFonts w:ascii="Arial" w:hAnsi="Arial" w:cs="Arial"/>
                <w:lang w:eastAsia="en-GB"/>
              </w:rPr>
            </w:pPr>
            <w:r w:rsidRPr="003C4106">
              <w:rPr>
                <w:rFonts w:ascii="Arial" w:hAnsi="Arial" w:cs="Arial"/>
                <w:lang w:eastAsia="en-GB"/>
              </w:rPr>
              <w:t>-0,3%</w:t>
            </w:r>
          </w:p>
        </w:tc>
        <w:tc>
          <w:tcPr>
            <w:tcW w:w="1170" w:type="dxa"/>
            <w:noWrap/>
          </w:tcPr>
          <w:p w:rsidR="00733AFB" w:rsidRPr="003C4106" w:rsidRDefault="00021F7D" w:rsidP="003C4106">
            <w:pPr>
              <w:cnfStyle w:val="000000000000"/>
              <w:rPr>
                <w:rFonts w:ascii="Arial" w:hAnsi="Arial" w:cs="Arial"/>
                <w:lang w:eastAsia="en-GB"/>
              </w:rPr>
            </w:pPr>
            <w:r w:rsidRPr="003C4106">
              <w:rPr>
                <w:rFonts w:ascii="Arial" w:hAnsi="Arial" w:cs="Arial"/>
                <w:lang w:eastAsia="en-GB"/>
              </w:rPr>
              <w:t>-4,9%</w:t>
            </w:r>
          </w:p>
        </w:tc>
      </w:tr>
      <w:tr w:rsidR="00733AFB" w:rsidRPr="003C4106" w:rsidTr="00920AE2">
        <w:trPr>
          <w:cnfStyle w:val="000000100000"/>
          <w:trHeight w:val="264"/>
        </w:trPr>
        <w:tc>
          <w:tcPr>
            <w:cnfStyle w:val="001000000000"/>
            <w:tcW w:w="1435" w:type="dxa"/>
            <w:noWrap/>
          </w:tcPr>
          <w:p w:rsidR="00733AFB" w:rsidRPr="003C4106" w:rsidRDefault="00733AFB" w:rsidP="003C4106">
            <w:pPr>
              <w:rPr>
                <w:rFonts w:ascii="Arial" w:hAnsi="Arial" w:cs="Arial"/>
                <w:bCs w:val="0"/>
                <w:lang w:eastAsia="en-GB"/>
              </w:rPr>
            </w:pPr>
            <w:r w:rsidRPr="003C4106">
              <w:rPr>
                <w:rFonts w:ascii="Arial" w:hAnsi="Arial" w:cs="Arial"/>
                <w:bCs w:val="0"/>
                <w:lang w:eastAsia="en-GB"/>
              </w:rPr>
              <w:t>Programme 6</w:t>
            </w:r>
          </w:p>
        </w:tc>
        <w:tc>
          <w:tcPr>
            <w:tcW w:w="1080" w:type="dxa"/>
            <w:noWrap/>
          </w:tcPr>
          <w:p w:rsidR="00733AFB" w:rsidRPr="003C4106" w:rsidRDefault="00C1354E" w:rsidP="003C4106">
            <w:pPr>
              <w:cnfStyle w:val="000000100000"/>
              <w:rPr>
                <w:rFonts w:ascii="Arial" w:hAnsi="Arial" w:cs="Arial"/>
                <w:lang w:eastAsia="en-GB"/>
              </w:rPr>
            </w:pPr>
            <w:r w:rsidRPr="003C4106">
              <w:rPr>
                <w:rFonts w:ascii="Arial" w:hAnsi="Arial" w:cs="Arial"/>
                <w:lang w:eastAsia="en-GB"/>
              </w:rPr>
              <w:t>7 523,5</w:t>
            </w:r>
          </w:p>
        </w:tc>
        <w:tc>
          <w:tcPr>
            <w:tcW w:w="1170" w:type="dxa"/>
            <w:noWrap/>
          </w:tcPr>
          <w:p w:rsidR="00733AFB" w:rsidRPr="003C4106" w:rsidRDefault="00C1354E" w:rsidP="003C4106">
            <w:pPr>
              <w:cnfStyle w:val="000000100000"/>
              <w:rPr>
                <w:rFonts w:ascii="Arial" w:hAnsi="Arial" w:cs="Arial"/>
                <w:lang w:eastAsia="en-GB"/>
              </w:rPr>
            </w:pPr>
            <w:r w:rsidRPr="003C4106">
              <w:rPr>
                <w:rFonts w:ascii="Arial" w:hAnsi="Arial" w:cs="Arial"/>
                <w:lang w:eastAsia="en-GB"/>
              </w:rPr>
              <w:t>7 536,8</w:t>
            </w:r>
          </w:p>
        </w:tc>
        <w:tc>
          <w:tcPr>
            <w:tcW w:w="1620" w:type="dxa"/>
            <w:noWrap/>
          </w:tcPr>
          <w:p w:rsidR="00733AFB" w:rsidRPr="003C4106" w:rsidRDefault="00C1354E" w:rsidP="003C4106">
            <w:pPr>
              <w:cnfStyle w:val="000000100000"/>
              <w:rPr>
                <w:rFonts w:ascii="Arial" w:hAnsi="Arial" w:cs="Arial"/>
                <w:lang w:eastAsia="en-GB"/>
              </w:rPr>
            </w:pPr>
            <w:r w:rsidRPr="003C4106">
              <w:rPr>
                <w:rFonts w:ascii="Arial" w:hAnsi="Arial" w:cs="Arial"/>
                <w:lang w:eastAsia="en-GB"/>
              </w:rPr>
              <w:t>13,3</w:t>
            </w:r>
          </w:p>
        </w:tc>
        <w:tc>
          <w:tcPr>
            <w:tcW w:w="1260" w:type="dxa"/>
            <w:noWrap/>
          </w:tcPr>
          <w:p w:rsidR="00733AFB" w:rsidRPr="003C4106" w:rsidRDefault="00021F7D" w:rsidP="003C4106">
            <w:pPr>
              <w:cnfStyle w:val="000000100000"/>
              <w:rPr>
                <w:rFonts w:ascii="Arial" w:hAnsi="Arial" w:cs="Arial"/>
                <w:lang w:eastAsia="en-GB"/>
              </w:rPr>
            </w:pPr>
            <w:r w:rsidRPr="003C4106">
              <w:rPr>
                <w:rFonts w:ascii="Arial" w:hAnsi="Arial" w:cs="Arial"/>
                <w:lang w:eastAsia="en-GB"/>
              </w:rPr>
              <w:t>-338,8</w:t>
            </w:r>
          </w:p>
        </w:tc>
        <w:tc>
          <w:tcPr>
            <w:tcW w:w="1350" w:type="dxa"/>
            <w:noWrap/>
          </w:tcPr>
          <w:p w:rsidR="00733AFB" w:rsidRPr="003C4106" w:rsidRDefault="00021F7D" w:rsidP="003C4106">
            <w:pPr>
              <w:cnfStyle w:val="000000100000"/>
              <w:rPr>
                <w:rFonts w:ascii="Arial" w:hAnsi="Arial" w:cs="Arial"/>
                <w:lang w:eastAsia="en-GB"/>
              </w:rPr>
            </w:pPr>
            <w:r w:rsidRPr="003C4106">
              <w:rPr>
                <w:rFonts w:ascii="Arial" w:hAnsi="Arial" w:cs="Arial"/>
                <w:lang w:eastAsia="en-GB"/>
              </w:rPr>
              <w:t>0,2%</w:t>
            </w:r>
          </w:p>
        </w:tc>
        <w:tc>
          <w:tcPr>
            <w:tcW w:w="1170" w:type="dxa"/>
            <w:noWrap/>
          </w:tcPr>
          <w:p w:rsidR="00733AFB" w:rsidRPr="003C4106" w:rsidRDefault="00021F7D" w:rsidP="003C4106">
            <w:pPr>
              <w:cnfStyle w:val="000000100000"/>
              <w:rPr>
                <w:rFonts w:ascii="Arial" w:hAnsi="Arial" w:cs="Arial"/>
                <w:lang w:eastAsia="en-GB"/>
              </w:rPr>
            </w:pPr>
            <w:r w:rsidRPr="003C4106">
              <w:rPr>
                <w:rFonts w:ascii="Arial" w:hAnsi="Arial" w:cs="Arial"/>
                <w:lang w:eastAsia="en-GB"/>
              </w:rPr>
              <w:t>-4.5%</w:t>
            </w:r>
          </w:p>
        </w:tc>
      </w:tr>
      <w:tr w:rsidR="00733AFB" w:rsidRPr="003C4106" w:rsidTr="00733AFB">
        <w:trPr>
          <w:trHeight w:val="264"/>
        </w:trPr>
        <w:tc>
          <w:tcPr>
            <w:cnfStyle w:val="001000000000"/>
            <w:tcW w:w="1435" w:type="dxa"/>
            <w:noWrap/>
            <w:hideMark/>
          </w:tcPr>
          <w:p w:rsidR="00733AFB" w:rsidRPr="003C4106" w:rsidRDefault="00733AFB" w:rsidP="003C4106">
            <w:pPr>
              <w:rPr>
                <w:rFonts w:ascii="Arial" w:hAnsi="Arial" w:cs="Arial"/>
                <w:lang w:eastAsia="en-GB"/>
              </w:rPr>
            </w:pPr>
            <w:r w:rsidRPr="003C4106">
              <w:rPr>
                <w:rFonts w:ascii="Arial" w:hAnsi="Arial" w:cs="Arial"/>
                <w:lang w:eastAsia="en-GB"/>
              </w:rPr>
              <w:t>Total</w:t>
            </w:r>
          </w:p>
        </w:tc>
        <w:tc>
          <w:tcPr>
            <w:tcW w:w="1080" w:type="dxa"/>
            <w:noWrap/>
          </w:tcPr>
          <w:p w:rsidR="00733AFB" w:rsidRPr="003C4106" w:rsidRDefault="00C1354E" w:rsidP="003C4106">
            <w:pPr>
              <w:cnfStyle w:val="000000000000"/>
              <w:rPr>
                <w:rFonts w:ascii="Arial" w:hAnsi="Arial" w:cs="Arial"/>
                <w:b/>
                <w:lang w:eastAsia="en-GB"/>
              </w:rPr>
            </w:pPr>
            <w:r w:rsidRPr="003C4106">
              <w:rPr>
                <w:rFonts w:ascii="Arial" w:hAnsi="Arial" w:cs="Arial"/>
                <w:b/>
                <w:lang w:eastAsia="en-GB"/>
              </w:rPr>
              <w:t>64 555.7</w:t>
            </w:r>
          </w:p>
        </w:tc>
        <w:tc>
          <w:tcPr>
            <w:tcW w:w="1170" w:type="dxa"/>
            <w:noWrap/>
          </w:tcPr>
          <w:p w:rsidR="00733AFB" w:rsidRPr="003C4106" w:rsidRDefault="00C1354E" w:rsidP="003C4106">
            <w:pPr>
              <w:cnfStyle w:val="000000000000"/>
              <w:rPr>
                <w:rFonts w:ascii="Arial" w:hAnsi="Arial" w:cs="Arial"/>
                <w:b/>
                <w:lang w:eastAsia="en-GB"/>
              </w:rPr>
            </w:pPr>
            <w:r w:rsidRPr="003C4106">
              <w:rPr>
                <w:rFonts w:ascii="Arial" w:hAnsi="Arial" w:cs="Arial"/>
                <w:b/>
                <w:lang w:eastAsia="en-GB"/>
              </w:rPr>
              <w:t>60 111,4</w:t>
            </w:r>
          </w:p>
        </w:tc>
        <w:tc>
          <w:tcPr>
            <w:tcW w:w="1620" w:type="dxa"/>
            <w:noWrap/>
          </w:tcPr>
          <w:p w:rsidR="00733AFB" w:rsidRPr="003C4106" w:rsidRDefault="00C1354E" w:rsidP="003C4106">
            <w:pPr>
              <w:cnfStyle w:val="000000000000"/>
              <w:rPr>
                <w:rFonts w:ascii="Arial" w:hAnsi="Arial" w:cs="Arial"/>
                <w:b/>
                <w:lang w:eastAsia="en-GB"/>
              </w:rPr>
            </w:pPr>
            <w:r w:rsidRPr="003C4106">
              <w:rPr>
                <w:rFonts w:ascii="Arial" w:hAnsi="Arial" w:cs="Arial"/>
                <w:b/>
                <w:lang w:eastAsia="en-GB"/>
              </w:rPr>
              <w:t>-4 444,3</w:t>
            </w:r>
          </w:p>
        </w:tc>
        <w:tc>
          <w:tcPr>
            <w:tcW w:w="1260" w:type="dxa"/>
            <w:noWrap/>
          </w:tcPr>
          <w:p w:rsidR="00733AFB" w:rsidRPr="003C4106" w:rsidRDefault="00C1354E" w:rsidP="003C4106">
            <w:pPr>
              <w:cnfStyle w:val="000000000000"/>
              <w:rPr>
                <w:rFonts w:ascii="Arial" w:hAnsi="Arial" w:cs="Arial"/>
                <w:b/>
                <w:lang w:eastAsia="en-GB"/>
              </w:rPr>
            </w:pPr>
            <w:r w:rsidRPr="003C4106">
              <w:rPr>
                <w:rFonts w:ascii="Arial" w:hAnsi="Arial" w:cs="Arial"/>
                <w:b/>
                <w:lang w:eastAsia="en-GB"/>
              </w:rPr>
              <w:t>-7 252,2</w:t>
            </w:r>
          </w:p>
        </w:tc>
        <w:tc>
          <w:tcPr>
            <w:tcW w:w="1350" w:type="dxa"/>
            <w:noWrap/>
          </w:tcPr>
          <w:p w:rsidR="00733AFB" w:rsidRPr="003C4106" w:rsidRDefault="00C1354E" w:rsidP="003C4106">
            <w:pPr>
              <w:cnfStyle w:val="000000000000"/>
              <w:rPr>
                <w:rFonts w:ascii="Arial" w:hAnsi="Arial" w:cs="Arial"/>
                <w:b/>
                <w:lang w:eastAsia="en-GB"/>
              </w:rPr>
            </w:pPr>
            <w:r w:rsidRPr="003C4106">
              <w:rPr>
                <w:rFonts w:ascii="Arial" w:hAnsi="Arial" w:cs="Arial"/>
                <w:b/>
                <w:lang w:eastAsia="en-GB"/>
              </w:rPr>
              <w:t>-6,9%</w:t>
            </w:r>
          </w:p>
        </w:tc>
        <w:tc>
          <w:tcPr>
            <w:tcW w:w="1170" w:type="dxa"/>
            <w:noWrap/>
          </w:tcPr>
          <w:p w:rsidR="00733AFB" w:rsidRPr="003C4106" w:rsidRDefault="00C1354E" w:rsidP="003C4106">
            <w:pPr>
              <w:cnfStyle w:val="000000000000"/>
              <w:rPr>
                <w:rFonts w:ascii="Arial" w:hAnsi="Arial" w:cs="Arial"/>
                <w:b/>
                <w:lang w:eastAsia="en-GB"/>
              </w:rPr>
            </w:pPr>
            <w:r w:rsidRPr="003C4106">
              <w:rPr>
                <w:rFonts w:ascii="Arial" w:hAnsi="Arial" w:cs="Arial"/>
                <w:b/>
                <w:lang w:eastAsia="en-GB"/>
              </w:rPr>
              <w:t>-11,2%</w:t>
            </w:r>
          </w:p>
        </w:tc>
      </w:tr>
    </w:tbl>
    <w:p w:rsidR="00733AFB" w:rsidRPr="003C4106" w:rsidRDefault="00733AFB" w:rsidP="003C4106">
      <w:pPr>
        <w:rPr>
          <w:rFonts w:eastAsia="Times New Roman"/>
          <w:color w:val="auto"/>
          <w:sz w:val="20"/>
          <w:szCs w:val="20"/>
          <w:lang w:eastAsia="en-GB"/>
        </w:rPr>
      </w:pPr>
      <w:r w:rsidRPr="003C4106">
        <w:rPr>
          <w:rFonts w:eastAsia="Times New Roman"/>
          <w:color w:val="auto"/>
          <w:sz w:val="20"/>
          <w:szCs w:val="20"/>
          <w:lang w:eastAsia="en-GB"/>
        </w:rPr>
        <w:t>Source: National Treasury (2023)</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The two largest programmes, namely Programme 3: </w:t>
      </w:r>
      <w:r w:rsidRPr="003C4106">
        <w:rPr>
          <w:i/>
          <w:color w:val="000000"/>
          <w:sz w:val="20"/>
          <w:szCs w:val="20"/>
        </w:rPr>
        <w:t>Communicable and Non-Communicable Diseases</w:t>
      </w:r>
      <w:r w:rsidRPr="003C4106">
        <w:rPr>
          <w:color w:val="000000"/>
          <w:sz w:val="20"/>
          <w:szCs w:val="20"/>
        </w:rPr>
        <w:t xml:space="preserve"> (R24.6 billion) and Programme 5: </w:t>
      </w:r>
      <w:r w:rsidRPr="003C4106">
        <w:rPr>
          <w:i/>
          <w:color w:val="000000"/>
          <w:sz w:val="20"/>
          <w:szCs w:val="20"/>
        </w:rPr>
        <w:t>Hospital Systems</w:t>
      </w:r>
      <w:r w:rsidRPr="003C4106">
        <w:rPr>
          <w:color w:val="000000"/>
          <w:sz w:val="20"/>
          <w:szCs w:val="20"/>
        </w:rPr>
        <w:t xml:space="preserve"> (R22.6 billion), jointly constitute 78.6% of the total budget allocation. </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Programme 4: </w:t>
      </w:r>
      <w:r w:rsidR="005266AE" w:rsidRPr="003C4106">
        <w:rPr>
          <w:i/>
          <w:color w:val="000000"/>
          <w:sz w:val="20"/>
          <w:szCs w:val="20"/>
        </w:rPr>
        <w:t>PHC</w:t>
      </w:r>
      <w:r w:rsidRPr="003C4106">
        <w:rPr>
          <w:i/>
          <w:color w:val="000000"/>
          <w:sz w:val="20"/>
          <w:szCs w:val="20"/>
        </w:rPr>
        <w:t xml:space="preserve"> Services</w:t>
      </w:r>
      <w:r w:rsidRPr="003C4106">
        <w:rPr>
          <w:color w:val="000000"/>
          <w:sz w:val="20"/>
          <w:szCs w:val="20"/>
        </w:rPr>
        <w:t xml:space="preserve">, declines 41.6% from R5.2 billion to R3.0 billion. The smallest budget item (constituting only 1.3% of the total budget) is Programme 1: </w:t>
      </w:r>
      <w:r w:rsidRPr="003C4106">
        <w:rPr>
          <w:i/>
          <w:color w:val="000000"/>
          <w:sz w:val="20"/>
          <w:szCs w:val="20"/>
        </w:rPr>
        <w:t>Administration</w:t>
      </w:r>
      <w:r w:rsidRPr="003C4106">
        <w:rPr>
          <w:color w:val="000000"/>
          <w:sz w:val="20"/>
          <w:szCs w:val="20"/>
        </w:rPr>
        <w:t xml:space="preserve">, which increases by 1.9% from R786.1 million to R800.9 million. </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In terms of economic classification, the bulk of the NDoH budget (R56.3 billion or 93.4 per cent) consists of transfers and subsidies. This figure includes R54.2 billion to Provinces and municipalities, </w:t>
      </w:r>
      <w:r w:rsidRPr="003C4106">
        <w:rPr>
          <w:color w:val="000000"/>
          <w:sz w:val="20"/>
          <w:szCs w:val="20"/>
        </w:rPr>
        <w:lastRenderedPageBreak/>
        <w:t xml:space="preserve">R189.8 million to Non-Profit Organisations (NPOs), and R1.9 billion to departmental agencies and accounts. </w:t>
      </w:r>
    </w:p>
    <w:p w:rsidR="006169B9" w:rsidRPr="003C4106" w:rsidRDefault="006169B9" w:rsidP="003C4106">
      <w:pPr>
        <w:contextualSpacing/>
        <w:rPr>
          <w:color w:val="000000"/>
          <w:sz w:val="20"/>
          <w:szCs w:val="20"/>
        </w:rPr>
      </w:pPr>
    </w:p>
    <w:p w:rsidR="006169B9" w:rsidRPr="003C4106" w:rsidRDefault="006169B9" w:rsidP="003C4106">
      <w:pPr>
        <w:numPr>
          <w:ilvl w:val="0"/>
          <w:numId w:val="1"/>
        </w:numPr>
        <w:pBdr>
          <w:top w:val="nil"/>
          <w:left w:val="nil"/>
          <w:bottom w:val="nil"/>
          <w:right w:val="nil"/>
          <w:between w:val="nil"/>
        </w:pBdr>
        <w:ind w:left="360"/>
        <w:contextualSpacing/>
        <w:rPr>
          <w:color w:val="000000"/>
          <w:sz w:val="20"/>
          <w:szCs w:val="20"/>
        </w:rPr>
      </w:pPr>
      <w:r w:rsidRPr="003C4106">
        <w:rPr>
          <w:color w:val="000000"/>
          <w:sz w:val="20"/>
          <w:szCs w:val="20"/>
        </w:rPr>
        <w:t xml:space="preserve">Current payments constitute a total value of R2.6 billion, which represents 4.3% of the total budget allocation. </w:t>
      </w:r>
    </w:p>
    <w:p w:rsidR="006169B9" w:rsidRPr="003C4106" w:rsidRDefault="006169B9" w:rsidP="003C4106">
      <w:pPr>
        <w:numPr>
          <w:ilvl w:val="0"/>
          <w:numId w:val="1"/>
        </w:numPr>
        <w:pBdr>
          <w:top w:val="nil"/>
          <w:left w:val="nil"/>
          <w:bottom w:val="nil"/>
          <w:right w:val="nil"/>
          <w:between w:val="nil"/>
        </w:pBdr>
        <w:ind w:left="360"/>
        <w:contextualSpacing/>
        <w:rPr>
          <w:color w:val="000000"/>
          <w:sz w:val="20"/>
          <w:szCs w:val="20"/>
        </w:rPr>
      </w:pPr>
      <w:r w:rsidRPr="003C4106">
        <w:rPr>
          <w:color w:val="000000"/>
          <w:sz w:val="20"/>
          <w:szCs w:val="20"/>
        </w:rPr>
        <w:t xml:space="preserve">Compensation of employees declines from R812.1 million, to R682.1 million.  This 16% decrease is of concern. </w:t>
      </w:r>
    </w:p>
    <w:p w:rsidR="006169B9" w:rsidRPr="003C4106" w:rsidRDefault="006169B9" w:rsidP="003C4106">
      <w:pPr>
        <w:numPr>
          <w:ilvl w:val="0"/>
          <w:numId w:val="1"/>
        </w:numPr>
        <w:pBdr>
          <w:top w:val="nil"/>
          <w:left w:val="nil"/>
          <w:bottom w:val="nil"/>
          <w:right w:val="nil"/>
          <w:between w:val="nil"/>
        </w:pBdr>
        <w:ind w:left="360"/>
        <w:contextualSpacing/>
        <w:rPr>
          <w:color w:val="000000"/>
          <w:sz w:val="20"/>
          <w:szCs w:val="20"/>
        </w:rPr>
      </w:pPr>
      <w:r w:rsidRPr="003C4106">
        <w:rPr>
          <w:color w:val="000000"/>
          <w:sz w:val="20"/>
          <w:szCs w:val="20"/>
        </w:rPr>
        <w:t>Most of the current expenditure (R1.9 billion) is allocated to Goods and Services, constituting approximately 73.1% of the total current payments.</w:t>
      </w:r>
    </w:p>
    <w:p w:rsidR="006169B9" w:rsidRPr="003C4106" w:rsidRDefault="006169B9" w:rsidP="003C4106">
      <w:pPr>
        <w:numPr>
          <w:ilvl w:val="0"/>
          <w:numId w:val="1"/>
        </w:numPr>
        <w:pBdr>
          <w:top w:val="nil"/>
          <w:left w:val="nil"/>
          <w:bottom w:val="nil"/>
          <w:right w:val="nil"/>
          <w:between w:val="nil"/>
        </w:pBdr>
        <w:ind w:left="360"/>
        <w:contextualSpacing/>
        <w:rPr>
          <w:color w:val="000000"/>
          <w:sz w:val="20"/>
          <w:szCs w:val="20"/>
        </w:rPr>
      </w:pPr>
      <w:r w:rsidRPr="003C4106">
        <w:rPr>
          <w:color w:val="000000"/>
          <w:sz w:val="20"/>
          <w:szCs w:val="20"/>
        </w:rPr>
        <w:t>The largest share of expenditure goes to Contractors at R601.2 million.</w:t>
      </w:r>
    </w:p>
    <w:p w:rsidR="006169B9" w:rsidRPr="003C4106" w:rsidRDefault="006169B9" w:rsidP="003C4106">
      <w:pPr>
        <w:numPr>
          <w:ilvl w:val="0"/>
          <w:numId w:val="1"/>
        </w:numPr>
        <w:pBdr>
          <w:top w:val="nil"/>
          <w:left w:val="nil"/>
          <w:bottom w:val="nil"/>
          <w:right w:val="nil"/>
          <w:between w:val="nil"/>
        </w:pBdr>
        <w:ind w:left="360"/>
        <w:contextualSpacing/>
        <w:rPr>
          <w:color w:val="000000"/>
          <w:sz w:val="20"/>
          <w:szCs w:val="20"/>
        </w:rPr>
      </w:pPr>
      <w:r w:rsidRPr="003C4106">
        <w:rPr>
          <w:color w:val="000000"/>
          <w:sz w:val="20"/>
          <w:szCs w:val="20"/>
        </w:rPr>
        <w:t xml:space="preserve">Expenditure items that also receive a large share of the Goods and Services budget are Inventory: Medical supplies R115.7 million, and Consultants: Business and advisory services R303.2 million. </w:t>
      </w:r>
    </w:p>
    <w:p w:rsidR="006169B9" w:rsidRPr="003C4106" w:rsidRDefault="006169B9" w:rsidP="003C4106">
      <w:pPr>
        <w:numPr>
          <w:ilvl w:val="0"/>
          <w:numId w:val="1"/>
        </w:numPr>
        <w:pBdr>
          <w:top w:val="nil"/>
          <w:left w:val="nil"/>
          <w:bottom w:val="nil"/>
          <w:right w:val="nil"/>
          <w:between w:val="nil"/>
        </w:pBdr>
        <w:ind w:left="360"/>
        <w:contextualSpacing/>
        <w:rPr>
          <w:color w:val="000000"/>
          <w:sz w:val="20"/>
          <w:szCs w:val="20"/>
        </w:rPr>
      </w:pPr>
      <w:r w:rsidRPr="003C4106">
        <w:rPr>
          <w:color w:val="000000"/>
          <w:sz w:val="20"/>
          <w:szCs w:val="20"/>
        </w:rPr>
        <w:t xml:space="preserve">Operating leases amount to R105.5 </w:t>
      </w:r>
      <w:r w:rsidR="004341B0" w:rsidRPr="003C4106">
        <w:rPr>
          <w:color w:val="000000"/>
          <w:sz w:val="20"/>
          <w:szCs w:val="20"/>
        </w:rPr>
        <w:t>million</w:t>
      </w:r>
      <w:r w:rsidR="001366A6" w:rsidRPr="003C4106">
        <w:rPr>
          <w:color w:val="000000"/>
          <w:sz w:val="20"/>
          <w:szCs w:val="20"/>
        </w:rPr>
        <w:t>. Travel</w:t>
      </w:r>
      <w:r w:rsidRPr="003C4106">
        <w:rPr>
          <w:color w:val="000000"/>
          <w:sz w:val="20"/>
          <w:szCs w:val="20"/>
        </w:rPr>
        <w:t xml:space="preserve"> and subsistence </w:t>
      </w:r>
      <w:r w:rsidR="001366A6" w:rsidRPr="003C4106">
        <w:rPr>
          <w:color w:val="000000"/>
          <w:sz w:val="20"/>
          <w:szCs w:val="20"/>
        </w:rPr>
        <w:t xml:space="preserve">is </w:t>
      </w:r>
      <w:r w:rsidRPr="003C4106">
        <w:rPr>
          <w:color w:val="000000"/>
          <w:sz w:val="20"/>
          <w:szCs w:val="20"/>
        </w:rPr>
        <w:t xml:space="preserve">at R139.2 million. </w:t>
      </w:r>
    </w:p>
    <w:p w:rsidR="006169B9" w:rsidRPr="003C4106" w:rsidRDefault="006169B9" w:rsidP="003C4106">
      <w:pPr>
        <w:numPr>
          <w:ilvl w:val="0"/>
          <w:numId w:val="1"/>
        </w:numPr>
        <w:pBdr>
          <w:top w:val="nil"/>
          <w:left w:val="nil"/>
          <w:bottom w:val="nil"/>
          <w:right w:val="nil"/>
          <w:between w:val="nil"/>
        </w:pBdr>
        <w:ind w:left="360"/>
        <w:contextualSpacing/>
        <w:rPr>
          <w:color w:val="000000"/>
          <w:sz w:val="20"/>
          <w:szCs w:val="20"/>
        </w:rPr>
      </w:pPr>
      <w:r w:rsidRPr="003C4106">
        <w:rPr>
          <w:color w:val="000000"/>
          <w:sz w:val="20"/>
          <w:szCs w:val="20"/>
        </w:rPr>
        <w:t xml:space="preserve">Capital assets is allocated R1.3 billion. Buildings and other fixed structures are allocated R1.2 billion, and Machinery and Equipment is allocated R112.4 million. </w:t>
      </w:r>
    </w:p>
    <w:p w:rsidR="00AF07E5" w:rsidRPr="003C4106" w:rsidRDefault="00AF07E5" w:rsidP="003C4106">
      <w:pPr>
        <w:pBdr>
          <w:top w:val="nil"/>
          <w:left w:val="nil"/>
          <w:bottom w:val="nil"/>
          <w:right w:val="nil"/>
          <w:between w:val="nil"/>
        </w:pBdr>
        <w:ind w:left="360"/>
        <w:contextualSpacing/>
        <w:rPr>
          <w:color w:val="000000"/>
          <w:sz w:val="20"/>
          <w:szCs w:val="20"/>
        </w:rPr>
      </w:pPr>
    </w:p>
    <w:p w:rsidR="006169B9" w:rsidRPr="003C4106" w:rsidRDefault="006169B9" w:rsidP="003C4106">
      <w:pPr>
        <w:pStyle w:val="Heading3"/>
        <w:numPr>
          <w:ilvl w:val="2"/>
          <w:numId w:val="11"/>
        </w:numPr>
        <w:spacing w:before="0" w:after="0"/>
        <w:rPr>
          <w:i/>
          <w:color w:val="000000"/>
          <w:sz w:val="20"/>
          <w:szCs w:val="20"/>
        </w:rPr>
      </w:pPr>
      <w:r w:rsidRPr="003C4106">
        <w:rPr>
          <w:i/>
          <w:color w:val="000000"/>
          <w:sz w:val="20"/>
          <w:szCs w:val="20"/>
        </w:rPr>
        <w:t>Spending priorities for 2023 MTEF</w:t>
      </w:r>
    </w:p>
    <w:p w:rsidR="006169B9" w:rsidRPr="003C4106" w:rsidRDefault="00AF07E5" w:rsidP="003C4106">
      <w:pPr>
        <w:contextualSpacing/>
        <w:rPr>
          <w:color w:val="000000"/>
          <w:sz w:val="20"/>
          <w:szCs w:val="20"/>
        </w:rPr>
      </w:pPr>
      <w:r w:rsidRPr="003C4106">
        <w:rPr>
          <w:color w:val="000000"/>
          <w:sz w:val="20"/>
          <w:szCs w:val="20"/>
        </w:rPr>
        <w:t xml:space="preserve"> </w:t>
      </w:r>
      <w:r w:rsidR="006169B9" w:rsidRPr="003C4106">
        <w:rPr>
          <w:color w:val="000000"/>
          <w:sz w:val="20"/>
          <w:szCs w:val="20"/>
        </w:rPr>
        <w:t xml:space="preserve">      </w:t>
      </w:r>
    </w:p>
    <w:p w:rsidR="006169B9" w:rsidRPr="003C4106" w:rsidRDefault="006169B9" w:rsidP="003C4106">
      <w:pPr>
        <w:contextualSpacing/>
        <w:rPr>
          <w:color w:val="000000"/>
          <w:sz w:val="20"/>
          <w:szCs w:val="20"/>
        </w:rPr>
      </w:pPr>
      <w:r w:rsidRPr="003C4106">
        <w:rPr>
          <w:color w:val="000000"/>
          <w:sz w:val="20"/>
          <w:szCs w:val="20"/>
        </w:rPr>
        <w:t xml:space="preserve">Over the medium term, the Department will continue to focus on the prevention and treatment of communicable and non-communicable diseases, overseeing </w:t>
      </w:r>
      <w:r w:rsidR="005266AE" w:rsidRPr="003C4106">
        <w:rPr>
          <w:color w:val="000000"/>
          <w:sz w:val="20"/>
          <w:szCs w:val="20"/>
        </w:rPr>
        <w:t>PHC</w:t>
      </w:r>
      <w:r w:rsidRPr="003C4106">
        <w:rPr>
          <w:color w:val="000000"/>
          <w:sz w:val="20"/>
          <w:szCs w:val="20"/>
        </w:rPr>
        <w:t xml:space="preserve"> services, phased implementation of the NHI, supporting tertiary health care services, investing in Public Health Infrastructure and developing the health workforce. </w:t>
      </w:r>
    </w:p>
    <w:p w:rsidR="006169B9" w:rsidRPr="003C4106" w:rsidRDefault="006169B9" w:rsidP="003C4106">
      <w:pPr>
        <w:contextualSpacing/>
        <w:rPr>
          <w:color w:val="000000"/>
          <w:sz w:val="20"/>
          <w:szCs w:val="20"/>
          <w:highlight w:val="yellow"/>
        </w:rPr>
      </w:pPr>
    </w:p>
    <w:p w:rsidR="006169B9" w:rsidRPr="003C4106" w:rsidRDefault="006169B9" w:rsidP="003C4106">
      <w:pPr>
        <w:numPr>
          <w:ilvl w:val="0"/>
          <w:numId w:val="2"/>
        </w:numPr>
        <w:pBdr>
          <w:top w:val="nil"/>
          <w:left w:val="nil"/>
          <w:bottom w:val="nil"/>
          <w:right w:val="nil"/>
          <w:between w:val="nil"/>
        </w:pBdr>
        <w:ind w:left="360"/>
        <w:contextualSpacing/>
        <w:rPr>
          <w:color w:val="000000"/>
          <w:sz w:val="20"/>
          <w:szCs w:val="20"/>
        </w:rPr>
      </w:pPr>
      <w:r w:rsidRPr="003C4106">
        <w:rPr>
          <w:color w:val="000000"/>
          <w:sz w:val="20"/>
          <w:szCs w:val="20"/>
        </w:rPr>
        <w:t xml:space="preserve">Phased implementation of the NHI continues. Over the MTEF, R8.8 billion is allocated for NHI activities - the NHI Indirect </w:t>
      </w:r>
      <w:r w:rsidR="000955B9" w:rsidRPr="003C4106">
        <w:rPr>
          <w:color w:val="000000"/>
          <w:sz w:val="20"/>
          <w:szCs w:val="20"/>
        </w:rPr>
        <w:t>g</w:t>
      </w:r>
      <w:r w:rsidRPr="003C4106">
        <w:rPr>
          <w:color w:val="000000"/>
          <w:sz w:val="20"/>
          <w:szCs w:val="20"/>
        </w:rPr>
        <w:t xml:space="preserve">rant is allocated R6.5 billion. R2.1 billion is allocated to Provincial Health Departments through the Direct </w:t>
      </w:r>
      <w:r w:rsidR="000955B9" w:rsidRPr="003C4106">
        <w:rPr>
          <w:color w:val="000000"/>
          <w:sz w:val="20"/>
          <w:szCs w:val="20"/>
        </w:rPr>
        <w:t>NHI g</w:t>
      </w:r>
      <w:r w:rsidRPr="003C4106">
        <w:rPr>
          <w:color w:val="000000"/>
          <w:sz w:val="20"/>
          <w:szCs w:val="20"/>
        </w:rPr>
        <w:t xml:space="preserve">rant. This will be used for contracting </w:t>
      </w:r>
      <w:r w:rsidR="005266AE" w:rsidRPr="003C4106">
        <w:rPr>
          <w:color w:val="000000"/>
          <w:sz w:val="20"/>
          <w:szCs w:val="20"/>
        </w:rPr>
        <w:t>PHC</w:t>
      </w:r>
      <w:r w:rsidRPr="003C4106">
        <w:rPr>
          <w:color w:val="000000"/>
          <w:sz w:val="20"/>
          <w:szCs w:val="20"/>
        </w:rPr>
        <w:t xml:space="preserve"> doctors, and mental health and oncology service providers. R174.2 million is earmarked for capacitating the Department’s </w:t>
      </w:r>
      <w:r w:rsidR="00F93215" w:rsidRPr="003C4106">
        <w:rPr>
          <w:color w:val="000000"/>
          <w:sz w:val="20"/>
          <w:szCs w:val="20"/>
        </w:rPr>
        <w:t xml:space="preserve">NHI </w:t>
      </w:r>
      <w:r w:rsidR="000955B9" w:rsidRPr="003C4106">
        <w:rPr>
          <w:color w:val="000000"/>
          <w:sz w:val="20"/>
          <w:szCs w:val="20"/>
        </w:rPr>
        <w:t>u</w:t>
      </w:r>
      <w:r w:rsidRPr="003C4106">
        <w:rPr>
          <w:color w:val="000000"/>
          <w:sz w:val="20"/>
          <w:szCs w:val="20"/>
        </w:rPr>
        <w:t xml:space="preserve">nit and building its health technology assessment. </w:t>
      </w:r>
    </w:p>
    <w:p w:rsidR="006169B9" w:rsidRPr="003C4106" w:rsidRDefault="006169B9" w:rsidP="003C4106">
      <w:pPr>
        <w:pBdr>
          <w:top w:val="nil"/>
          <w:left w:val="nil"/>
          <w:bottom w:val="nil"/>
          <w:right w:val="nil"/>
          <w:between w:val="nil"/>
        </w:pBdr>
        <w:ind w:left="360" w:hanging="360"/>
        <w:contextualSpacing/>
        <w:rPr>
          <w:color w:val="000000"/>
          <w:sz w:val="20"/>
          <w:szCs w:val="20"/>
          <w:highlight w:val="yellow"/>
        </w:rPr>
      </w:pPr>
    </w:p>
    <w:p w:rsidR="006169B9" w:rsidRPr="003C4106" w:rsidRDefault="000955B9" w:rsidP="003C4106">
      <w:pPr>
        <w:numPr>
          <w:ilvl w:val="0"/>
          <w:numId w:val="2"/>
        </w:numPr>
        <w:pBdr>
          <w:top w:val="nil"/>
          <w:left w:val="nil"/>
          <w:bottom w:val="nil"/>
          <w:right w:val="nil"/>
          <w:between w:val="nil"/>
        </w:pBdr>
        <w:ind w:left="360"/>
        <w:contextualSpacing/>
        <w:rPr>
          <w:color w:val="000000"/>
          <w:sz w:val="20"/>
          <w:szCs w:val="20"/>
        </w:rPr>
      </w:pPr>
      <w:r w:rsidRPr="003C4106">
        <w:rPr>
          <w:color w:val="000000"/>
          <w:sz w:val="20"/>
          <w:szCs w:val="20"/>
        </w:rPr>
        <w:t>The District Health Programmes g</w:t>
      </w:r>
      <w:r w:rsidR="006169B9" w:rsidRPr="003C4106">
        <w:rPr>
          <w:color w:val="000000"/>
          <w:sz w:val="20"/>
          <w:szCs w:val="20"/>
        </w:rPr>
        <w:t xml:space="preserve">rant (previously known as the HIV, TB, malaria and community outreach grant) is allocated R25.0 billion per year over the medium term to fund the prevention and treatment of HIV and TB. The target is for 7 million people per year to receive ARV treatment by 2025/26. </w:t>
      </w:r>
    </w:p>
    <w:p w:rsidR="006169B9" w:rsidRPr="003C4106" w:rsidRDefault="006169B9" w:rsidP="003C4106">
      <w:pPr>
        <w:numPr>
          <w:ilvl w:val="1"/>
          <w:numId w:val="2"/>
        </w:numPr>
        <w:pBdr>
          <w:top w:val="nil"/>
          <w:left w:val="nil"/>
          <w:bottom w:val="nil"/>
          <w:right w:val="nil"/>
          <w:between w:val="nil"/>
        </w:pBdr>
        <w:ind w:left="720"/>
        <w:contextualSpacing/>
        <w:rPr>
          <w:color w:val="000000"/>
          <w:sz w:val="20"/>
          <w:szCs w:val="20"/>
        </w:rPr>
      </w:pPr>
      <w:r w:rsidRPr="003C4106">
        <w:rPr>
          <w:color w:val="000000"/>
          <w:sz w:val="20"/>
          <w:szCs w:val="20"/>
        </w:rPr>
        <w:t xml:space="preserve">R10 million per year in 2023/24 and 2024/25 are allocated to the Communicable Diseases sub-programme in order to provide for the COVID-19 no - fault compensation scheme. </w:t>
      </w:r>
    </w:p>
    <w:p w:rsidR="006169B9" w:rsidRPr="003C4106" w:rsidRDefault="006169B9" w:rsidP="003C4106">
      <w:pPr>
        <w:contextualSpacing/>
        <w:rPr>
          <w:color w:val="000000"/>
          <w:sz w:val="20"/>
          <w:szCs w:val="20"/>
        </w:rPr>
      </w:pPr>
    </w:p>
    <w:p w:rsidR="006169B9" w:rsidRPr="003C4106" w:rsidRDefault="006169B9" w:rsidP="003C4106">
      <w:pPr>
        <w:numPr>
          <w:ilvl w:val="0"/>
          <w:numId w:val="2"/>
        </w:numPr>
        <w:pBdr>
          <w:top w:val="nil"/>
          <w:left w:val="nil"/>
          <w:bottom w:val="nil"/>
          <w:right w:val="nil"/>
          <w:between w:val="nil"/>
        </w:pBdr>
        <w:ind w:left="360"/>
        <w:contextualSpacing/>
        <w:rPr>
          <w:color w:val="000000"/>
          <w:sz w:val="20"/>
          <w:szCs w:val="20"/>
        </w:rPr>
      </w:pPr>
      <w:r w:rsidRPr="003C4106">
        <w:rPr>
          <w:i/>
          <w:color w:val="000000"/>
          <w:sz w:val="20"/>
          <w:szCs w:val="20"/>
        </w:rPr>
        <w:t xml:space="preserve">Overseeing </w:t>
      </w:r>
      <w:r w:rsidR="005266AE" w:rsidRPr="003C4106">
        <w:rPr>
          <w:i/>
          <w:color w:val="000000"/>
          <w:sz w:val="20"/>
          <w:szCs w:val="20"/>
        </w:rPr>
        <w:t>PHC</w:t>
      </w:r>
      <w:r w:rsidR="00F93215" w:rsidRPr="003C4106">
        <w:rPr>
          <w:i/>
          <w:color w:val="000000"/>
          <w:sz w:val="20"/>
          <w:szCs w:val="20"/>
        </w:rPr>
        <w:t xml:space="preserve"> </w:t>
      </w:r>
      <w:r w:rsidR="00B21805" w:rsidRPr="003C4106">
        <w:rPr>
          <w:i/>
          <w:color w:val="000000"/>
          <w:sz w:val="20"/>
          <w:szCs w:val="20"/>
        </w:rPr>
        <w:t>services</w:t>
      </w:r>
      <w:r w:rsidR="00B21805" w:rsidRPr="003C4106">
        <w:rPr>
          <w:color w:val="000000"/>
          <w:sz w:val="20"/>
          <w:szCs w:val="20"/>
        </w:rPr>
        <w:t>:</w:t>
      </w:r>
      <w:r w:rsidRPr="003C4106">
        <w:rPr>
          <w:color w:val="000000"/>
          <w:sz w:val="20"/>
          <w:szCs w:val="20"/>
        </w:rPr>
        <w:t xml:space="preserve"> Port Health Services’ function will be shifted from the NDOH to the newly established Department of Home </w:t>
      </w:r>
      <w:r w:rsidR="005B5D52" w:rsidRPr="003C4106">
        <w:rPr>
          <w:color w:val="000000"/>
          <w:sz w:val="20"/>
          <w:szCs w:val="20"/>
        </w:rPr>
        <w:t>Affairs (DHA) entity, the BMA</w:t>
      </w:r>
      <w:r w:rsidRPr="003C4106">
        <w:rPr>
          <w:color w:val="000000"/>
          <w:sz w:val="20"/>
          <w:szCs w:val="20"/>
        </w:rPr>
        <w:t xml:space="preserve">. R162 million will be shifted in 2023/24, R171.1 million in 2024/25 and R178.9 million in 2025/26. Approximately 295 employees will be shifted to the BMA. The NDOH will continue to provide policy guidance to the BMA on port health services. The reasons and mechanism for the shift of the Port Health function needs to be examined by the Committee. </w:t>
      </w:r>
    </w:p>
    <w:p w:rsidR="006169B9" w:rsidRPr="003C4106" w:rsidRDefault="006169B9" w:rsidP="003C4106">
      <w:pPr>
        <w:pBdr>
          <w:top w:val="nil"/>
          <w:left w:val="nil"/>
          <w:bottom w:val="nil"/>
          <w:right w:val="nil"/>
          <w:between w:val="nil"/>
        </w:pBdr>
        <w:ind w:left="360" w:hanging="360"/>
        <w:contextualSpacing/>
        <w:rPr>
          <w:color w:val="000000"/>
          <w:sz w:val="20"/>
          <w:szCs w:val="20"/>
        </w:rPr>
      </w:pPr>
    </w:p>
    <w:p w:rsidR="006169B9" w:rsidRPr="003C4106" w:rsidRDefault="006169B9" w:rsidP="003C4106">
      <w:pPr>
        <w:numPr>
          <w:ilvl w:val="0"/>
          <w:numId w:val="2"/>
        </w:numPr>
        <w:pBdr>
          <w:top w:val="nil"/>
          <w:left w:val="nil"/>
          <w:bottom w:val="nil"/>
          <w:right w:val="nil"/>
          <w:between w:val="nil"/>
        </w:pBdr>
        <w:ind w:left="360"/>
        <w:contextualSpacing/>
        <w:rPr>
          <w:color w:val="000000"/>
          <w:sz w:val="20"/>
          <w:szCs w:val="20"/>
        </w:rPr>
      </w:pPr>
      <w:r w:rsidRPr="003C4106">
        <w:rPr>
          <w:i/>
          <w:color w:val="000000"/>
          <w:sz w:val="20"/>
          <w:szCs w:val="20"/>
        </w:rPr>
        <w:t>Investing in health infrastructure</w:t>
      </w:r>
      <w:r w:rsidR="00B21805" w:rsidRPr="003C4106">
        <w:rPr>
          <w:color w:val="000000"/>
          <w:sz w:val="20"/>
          <w:szCs w:val="20"/>
        </w:rPr>
        <w:t>: About</w:t>
      </w:r>
      <w:r w:rsidRPr="003C4106">
        <w:rPr>
          <w:color w:val="000000"/>
          <w:sz w:val="20"/>
          <w:szCs w:val="20"/>
        </w:rPr>
        <w:t xml:space="preserve"> R22.2 billion will be transferred to Provinces through the </w:t>
      </w:r>
      <w:r w:rsidR="000955B9" w:rsidRPr="003C4106">
        <w:rPr>
          <w:color w:val="000000"/>
          <w:sz w:val="20"/>
          <w:szCs w:val="20"/>
        </w:rPr>
        <w:t>Health Facility Revitalisation g</w:t>
      </w:r>
      <w:r w:rsidRPr="003C4106">
        <w:rPr>
          <w:color w:val="000000"/>
          <w:sz w:val="20"/>
          <w:szCs w:val="20"/>
        </w:rPr>
        <w:t xml:space="preserve">rant.  R4.7 billion is managed by the Department on behalf of Provinces through the health facility revitalisation component of the </w:t>
      </w:r>
      <w:r w:rsidR="000955B9" w:rsidRPr="003C4106">
        <w:rPr>
          <w:color w:val="000000"/>
          <w:sz w:val="20"/>
          <w:szCs w:val="20"/>
        </w:rPr>
        <w:t>NHI grant. These g</w:t>
      </w:r>
      <w:r w:rsidRPr="003C4106">
        <w:rPr>
          <w:color w:val="000000"/>
          <w:sz w:val="20"/>
          <w:szCs w:val="20"/>
        </w:rPr>
        <w:t xml:space="preserve">rants are aimed at accelerating the construction, maintenance, upgrading and rehabilitation of new and existing health system infrastructure, as well as providing medical equipment required to render health services. This will include the on-going construction of the Limpopo Central Hospital, which will be the first central hospital in the province. </w:t>
      </w:r>
    </w:p>
    <w:p w:rsidR="006169B9" w:rsidRPr="003C4106" w:rsidRDefault="006169B9" w:rsidP="003C4106">
      <w:pPr>
        <w:ind w:left="360" w:hanging="360"/>
        <w:contextualSpacing/>
        <w:rPr>
          <w:color w:val="000000"/>
          <w:sz w:val="20"/>
          <w:szCs w:val="20"/>
        </w:rPr>
      </w:pPr>
    </w:p>
    <w:p w:rsidR="006169B9" w:rsidRPr="003C4106" w:rsidRDefault="00673B03" w:rsidP="003C4106">
      <w:pPr>
        <w:numPr>
          <w:ilvl w:val="0"/>
          <w:numId w:val="2"/>
        </w:numPr>
        <w:pBdr>
          <w:top w:val="nil"/>
          <w:left w:val="nil"/>
          <w:bottom w:val="nil"/>
          <w:right w:val="nil"/>
          <w:between w:val="nil"/>
        </w:pBdr>
        <w:ind w:left="360"/>
        <w:contextualSpacing/>
        <w:rPr>
          <w:color w:val="000000"/>
          <w:sz w:val="20"/>
          <w:szCs w:val="20"/>
        </w:rPr>
      </w:pPr>
      <w:r w:rsidRPr="003C4106">
        <w:rPr>
          <w:color w:val="000000"/>
          <w:sz w:val="20"/>
          <w:szCs w:val="20"/>
        </w:rPr>
        <w:t>The National Tertiary Services g</w:t>
      </w:r>
      <w:r w:rsidR="006169B9" w:rsidRPr="003C4106">
        <w:rPr>
          <w:color w:val="000000"/>
          <w:sz w:val="20"/>
          <w:szCs w:val="20"/>
        </w:rPr>
        <w:t xml:space="preserve">rant is allocated R14 billion in 2023/4, and R14.7 billion in 2024/25 and R15.3 billion in 2025/26 in Programme 5: Hospital Systems. The </w:t>
      </w:r>
      <w:r w:rsidRPr="003C4106">
        <w:rPr>
          <w:color w:val="000000"/>
          <w:sz w:val="20"/>
          <w:szCs w:val="20"/>
        </w:rPr>
        <w:t>g</w:t>
      </w:r>
      <w:r w:rsidR="006169B9" w:rsidRPr="003C4106">
        <w:rPr>
          <w:color w:val="000000"/>
          <w:sz w:val="20"/>
          <w:szCs w:val="20"/>
        </w:rPr>
        <w:t xml:space="preserve">rant compensates </w:t>
      </w:r>
      <w:r w:rsidRPr="003C4106">
        <w:rPr>
          <w:color w:val="000000"/>
          <w:sz w:val="20"/>
          <w:szCs w:val="20"/>
        </w:rPr>
        <w:t xml:space="preserve">provincial departments </w:t>
      </w:r>
      <w:r w:rsidR="006169B9" w:rsidRPr="003C4106">
        <w:rPr>
          <w:color w:val="000000"/>
          <w:sz w:val="20"/>
          <w:szCs w:val="20"/>
        </w:rPr>
        <w:t xml:space="preserve">for providing tertiary services to patients from elsewhere. The </w:t>
      </w:r>
      <w:r w:rsidRPr="003C4106">
        <w:rPr>
          <w:color w:val="000000"/>
          <w:sz w:val="20"/>
          <w:szCs w:val="20"/>
        </w:rPr>
        <w:t>g</w:t>
      </w:r>
      <w:r w:rsidR="006169B9" w:rsidRPr="003C4106">
        <w:rPr>
          <w:color w:val="000000"/>
          <w:sz w:val="20"/>
          <w:szCs w:val="20"/>
        </w:rPr>
        <w:t>rant has a developmental component earmarked to establish tertiary services in provinces with limited access to them. In this regard, o</w:t>
      </w:r>
      <w:r w:rsidRPr="003C4106">
        <w:rPr>
          <w:color w:val="000000"/>
          <w:sz w:val="20"/>
          <w:szCs w:val="20"/>
        </w:rPr>
        <w:t>ncology services will be rolled-</w:t>
      </w:r>
      <w:r w:rsidR="006169B9" w:rsidRPr="003C4106">
        <w:rPr>
          <w:color w:val="000000"/>
          <w:sz w:val="20"/>
          <w:szCs w:val="20"/>
        </w:rPr>
        <w:t xml:space="preserve">out in Mpumalanga and Limpopo to reduce referrals to Gauteng hospitals. </w:t>
      </w:r>
    </w:p>
    <w:p w:rsidR="006169B9" w:rsidRPr="003C4106" w:rsidRDefault="006169B9" w:rsidP="003C4106">
      <w:pPr>
        <w:pBdr>
          <w:top w:val="nil"/>
          <w:left w:val="nil"/>
          <w:bottom w:val="nil"/>
          <w:right w:val="nil"/>
          <w:between w:val="nil"/>
        </w:pBdr>
        <w:ind w:left="360" w:hanging="360"/>
        <w:contextualSpacing/>
        <w:rPr>
          <w:color w:val="000000"/>
          <w:sz w:val="20"/>
          <w:szCs w:val="20"/>
        </w:rPr>
      </w:pPr>
    </w:p>
    <w:p w:rsidR="006169B9" w:rsidRPr="003C4106" w:rsidRDefault="006169B9" w:rsidP="003C4106">
      <w:pPr>
        <w:numPr>
          <w:ilvl w:val="0"/>
          <w:numId w:val="2"/>
        </w:numPr>
        <w:pBdr>
          <w:top w:val="nil"/>
          <w:left w:val="nil"/>
          <w:bottom w:val="nil"/>
          <w:right w:val="nil"/>
          <w:between w:val="nil"/>
        </w:pBdr>
        <w:ind w:left="360"/>
        <w:contextualSpacing/>
        <w:rPr>
          <w:color w:val="000000"/>
          <w:sz w:val="20"/>
          <w:szCs w:val="20"/>
        </w:rPr>
      </w:pPr>
      <w:r w:rsidRPr="003C4106">
        <w:rPr>
          <w:i/>
          <w:color w:val="000000"/>
          <w:sz w:val="20"/>
          <w:szCs w:val="20"/>
        </w:rPr>
        <w:lastRenderedPageBreak/>
        <w:t xml:space="preserve">Developing </w:t>
      </w:r>
      <w:r w:rsidR="00B21805" w:rsidRPr="003C4106">
        <w:rPr>
          <w:i/>
          <w:color w:val="000000"/>
          <w:sz w:val="20"/>
          <w:szCs w:val="20"/>
        </w:rPr>
        <w:t>human resources for health</w:t>
      </w:r>
      <w:r w:rsidRPr="003C4106">
        <w:rPr>
          <w:color w:val="000000"/>
          <w:sz w:val="20"/>
          <w:szCs w:val="20"/>
        </w:rPr>
        <w:t>. Under Programme 6: Health System Governance and Human Resources additional allocations are made to the statutory human resources component of th</w:t>
      </w:r>
      <w:r w:rsidR="00673B03" w:rsidRPr="003C4106">
        <w:rPr>
          <w:color w:val="000000"/>
          <w:sz w:val="20"/>
          <w:szCs w:val="20"/>
        </w:rPr>
        <w:t>e Human Resources and Training g</w:t>
      </w:r>
      <w:r w:rsidRPr="003C4106">
        <w:rPr>
          <w:color w:val="000000"/>
          <w:sz w:val="20"/>
          <w:szCs w:val="20"/>
        </w:rPr>
        <w:t>rant to ensure students can complete their medical internshi</w:t>
      </w:r>
      <w:r w:rsidR="00673B03" w:rsidRPr="003C4106">
        <w:rPr>
          <w:color w:val="000000"/>
          <w:sz w:val="20"/>
          <w:szCs w:val="20"/>
        </w:rPr>
        <w:t>ps and community service. This g</w:t>
      </w:r>
      <w:r w:rsidRPr="003C4106">
        <w:rPr>
          <w:color w:val="000000"/>
          <w:sz w:val="20"/>
          <w:szCs w:val="20"/>
        </w:rPr>
        <w:t>rant now totals R7.8 billion over the MTEF. For further development and training of existing health workers, the training component of the grant is allocated R8.5 billion over the same period.</w:t>
      </w:r>
    </w:p>
    <w:p w:rsidR="006169B9" w:rsidRPr="003C4106" w:rsidRDefault="006169B9" w:rsidP="003C4106">
      <w:pPr>
        <w:contextualSpacing/>
        <w:rPr>
          <w:i/>
          <w:color w:val="000000"/>
          <w:sz w:val="20"/>
          <w:szCs w:val="20"/>
          <w:u w:val="single"/>
        </w:rPr>
      </w:pPr>
    </w:p>
    <w:p w:rsidR="006169B9" w:rsidRPr="003C4106" w:rsidRDefault="006169B9" w:rsidP="003C4106">
      <w:pPr>
        <w:pStyle w:val="ListParagraph"/>
        <w:numPr>
          <w:ilvl w:val="2"/>
          <w:numId w:val="11"/>
        </w:numPr>
        <w:pBdr>
          <w:top w:val="nil"/>
          <w:left w:val="nil"/>
          <w:bottom w:val="nil"/>
          <w:right w:val="nil"/>
          <w:between w:val="nil"/>
        </w:pBdr>
        <w:spacing w:line="240" w:lineRule="auto"/>
        <w:contextualSpacing/>
        <w:outlineLvl w:val="2"/>
        <w:rPr>
          <w:rFonts w:cs="Arial"/>
          <w:b/>
          <w:i/>
          <w:sz w:val="20"/>
          <w:szCs w:val="20"/>
        </w:rPr>
      </w:pPr>
      <w:r w:rsidRPr="003C4106">
        <w:rPr>
          <w:rFonts w:cs="Arial"/>
          <w:b/>
          <w:i/>
          <w:sz w:val="20"/>
          <w:szCs w:val="20"/>
        </w:rPr>
        <w:t>Conditional Grants</w:t>
      </w:r>
    </w:p>
    <w:p w:rsidR="00AF07E5" w:rsidRPr="003C4106" w:rsidRDefault="00AF07E5" w:rsidP="003C4106">
      <w:pPr>
        <w:pStyle w:val="ListParagraph"/>
        <w:pBdr>
          <w:top w:val="nil"/>
          <w:left w:val="nil"/>
          <w:bottom w:val="nil"/>
          <w:right w:val="nil"/>
          <w:between w:val="nil"/>
        </w:pBdr>
        <w:spacing w:line="240" w:lineRule="auto"/>
        <w:contextualSpacing/>
        <w:rPr>
          <w:rFonts w:cs="Arial"/>
          <w:i/>
          <w:sz w:val="20"/>
          <w:szCs w:val="20"/>
          <w:u w:val="single"/>
        </w:rPr>
      </w:pPr>
    </w:p>
    <w:p w:rsidR="006169B9" w:rsidRPr="003C4106" w:rsidRDefault="006169B9" w:rsidP="003C4106">
      <w:pPr>
        <w:contextualSpacing/>
        <w:rPr>
          <w:color w:val="000000"/>
          <w:sz w:val="20"/>
          <w:szCs w:val="20"/>
        </w:rPr>
      </w:pPr>
      <w:r w:rsidRPr="003C4106">
        <w:rPr>
          <w:color w:val="000000"/>
          <w:sz w:val="20"/>
          <w:szCs w:val="20"/>
        </w:rPr>
        <w:t xml:space="preserve">In terms of direct grants, the Department administers R54.2 billion in 2023/24. The largest grant is </w:t>
      </w:r>
      <w:r w:rsidR="00673B03" w:rsidRPr="003C4106">
        <w:rPr>
          <w:color w:val="000000"/>
          <w:sz w:val="20"/>
          <w:szCs w:val="20"/>
        </w:rPr>
        <w:t>the District Health Programmes g</w:t>
      </w:r>
      <w:r w:rsidRPr="003C4106">
        <w:rPr>
          <w:color w:val="000000"/>
          <w:sz w:val="20"/>
          <w:szCs w:val="20"/>
        </w:rPr>
        <w:t>rant, which receives R26.9 billion, followed by the Nationa</w:t>
      </w:r>
      <w:r w:rsidR="00673B03" w:rsidRPr="003C4106">
        <w:rPr>
          <w:color w:val="000000"/>
          <w:sz w:val="20"/>
          <w:szCs w:val="20"/>
        </w:rPr>
        <w:t>l Tertiary Services grant</w:t>
      </w:r>
      <w:r w:rsidRPr="003C4106">
        <w:rPr>
          <w:color w:val="000000"/>
          <w:sz w:val="20"/>
          <w:szCs w:val="20"/>
        </w:rPr>
        <w:t xml:space="preserve"> with R14.1 billion, and the Health Facility Revitalisation </w:t>
      </w:r>
      <w:r w:rsidR="00673B03" w:rsidRPr="003C4106">
        <w:rPr>
          <w:color w:val="000000"/>
          <w:sz w:val="20"/>
          <w:szCs w:val="20"/>
        </w:rPr>
        <w:t>g</w:t>
      </w:r>
      <w:r w:rsidRPr="003C4106">
        <w:rPr>
          <w:color w:val="000000"/>
          <w:sz w:val="20"/>
          <w:szCs w:val="20"/>
        </w:rPr>
        <w:t xml:space="preserve">rant with R7.1 billion. </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With regard to the indirect grants, the </w:t>
      </w:r>
      <w:r w:rsidR="004341B0" w:rsidRPr="003C4106">
        <w:rPr>
          <w:color w:val="000000"/>
          <w:sz w:val="20"/>
          <w:szCs w:val="20"/>
        </w:rPr>
        <w:t>NHI</w:t>
      </w:r>
      <w:r w:rsidR="00673B03" w:rsidRPr="003C4106">
        <w:rPr>
          <w:color w:val="000000"/>
          <w:sz w:val="20"/>
          <w:szCs w:val="20"/>
        </w:rPr>
        <w:t xml:space="preserve"> </w:t>
      </w:r>
      <w:r w:rsidR="004341B0" w:rsidRPr="003C4106">
        <w:rPr>
          <w:color w:val="000000"/>
          <w:sz w:val="20"/>
          <w:szCs w:val="20"/>
        </w:rPr>
        <w:t>i</w:t>
      </w:r>
      <w:r w:rsidR="00673B03" w:rsidRPr="003C4106">
        <w:rPr>
          <w:color w:val="000000"/>
          <w:sz w:val="20"/>
          <w:szCs w:val="20"/>
        </w:rPr>
        <w:t>ndirect g</w:t>
      </w:r>
      <w:r w:rsidRPr="003C4106">
        <w:rPr>
          <w:color w:val="000000"/>
          <w:sz w:val="20"/>
          <w:szCs w:val="20"/>
        </w:rPr>
        <w:t xml:space="preserve">rant is allocated R2.5 billion. </w:t>
      </w:r>
    </w:p>
    <w:p w:rsidR="006169B9" w:rsidRPr="003C4106" w:rsidRDefault="006169B9" w:rsidP="003C4106">
      <w:pPr>
        <w:contextualSpacing/>
        <w:rPr>
          <w:color w:val="000000"/>
          <w:sz w:val="20"/>
          <w:szCs w:val="20"/>
        </w:rPr>
      </w:pPr>
    </w:p>
    <w:p w:rsidR="006169B9" w:rsidRPr="003C4106" w:rsidRDefault="005A26C3" w:rsidP="003C4106">
      <w:pPr>
        <w:pStyle w:val="Heading2"/>
        <w:keepLines/>
        <w:numPr>
          <w:ilvl w:val="1"/>
          <w:numId w:val="11"/>
        </w:numPr>
        <w:contextualSpacing/>
        <w:rPr>
          <w:sz w:val="20"/>
          <w:szCs w:val="20"/>
        </w:rPr>
      </w:pPr>
      <w:bookmarkStart w:id="12" w:name="_Toc134007201"/>
      <w:r w:rsidRPr="003C4106">
        <w:rPr>
          <w:color w:val="000000"/>
          <w:sz w:val="20"/>
          <w:szCs w:val="20"/>
        </w:rPr>
        <w:t xml:space="preserve">Programme Analysis </w:t>
      </w:r>
      <w:bookmarkEnd w:id="12"/>
      <w:r w:rsidR="006169B9" w:rsidRPr="003C4106">
        <w:rPr>
          <w:color w:val="000000"/>
          <w:sz w:val="20"/>
          <w:szCs w:val="20"/>
        </w:rPr>
        <w:t xml:space="preserve"> </w:t>
      </w:r>
    </w:p>
    <w:p w:rsidR="006169B9" w:rsidRPr="003C4106" w:rsidRDefault="00CE5183" w:rsidP="003C4106">
      <w:pPr>
        <w:pStyle w:val="Heading3"/>
        <w:spacing w:before="0" w:after="0"/>
        <w:rPr>
          <w:i/>
          <w:color w:val="000000"/>
          <w:sz w:val="20"/>
          <w:szCs w:val="20"/>
        </w:rPr>
      </w:pPr>
      <w:bookmarkStart w:id="13" w:name="_37m2jsg" w:colFirst="0" w:colLast="0"/>
      <w:bookmarkEnd w:id="13"/>
      <w:r w:rsidRPr="003C4106">
        <w:rPr>
          <w:i/>
          <w:color w:val="000000"/>
          <w:sz w:val="20"/>
          <w:szCs w:val="20"/>
        </w:rPr>
        <w:t xml:space="preserve">3.3.1 </w:t>
      </w:r>
      <w:r w:rsidR="006169B9" w:rsidRPr="003C4106">
        <w:rPr>
          <w:i/>
          <w:color w:val="000000"/>
          <w:sz w:val="20"/>
          <w:szCs w:val="20"/>
        </w:rPr>
        <w:t xml:space="preserve">Programme 1: Administration </w:t>
      </w:r>
    </w:p>
    <w:p w:rsidR="005B51A7" w:rsidRPr="003C4106" w:rsidRDefault="005B51A7" w:rsidP="003C4106">
      <w:pPr>
        <w:contextualSpacing/>
        <w:rPr>
          <w:rFonts w:eastAsia="Times New Roman"/>
          <w:color w:val="auto"/>
          <w:sz w:val="20"/>
          <w:szCs w:val="20"/>
          <w:lang w:eastAsia="en-GB"/>
        </w:rPr>
      </w:pPr>
      <w:r w:rsidRPr="003C4106">
        <w:rPr>
          <w:rFonts w:eastAsia="Times New Roman"/>
          <w:color w:val="auto"/>
          <w:sz w:val="20"/>
          <w:szCs w:val="20"/>
          <w:lang w:eastAsia="en-GB"/>
        </w:rPr>
        <w:t>The purpose of this programme is to provide leadership, management and support services to the Department and the sector. Table 2 shows how the budget is allocated in this Programme.</w:t>
      </w:r>
    </w:p>
    <w:p w:rsidR="005B51A7" w:rsidRPr="003C4106" w:rsidRDefault="005B51A7" w:rsidP="003C4106">
      <w:pPr>
        <w:contextualSpacing/>
        <w:rPr>
          <w:rFonts w:eastAsia="Times New Roman"/>
          <w:color w:val="auto"/>
          <w:sz w:val="20"/>
          <w:szCs w:val="20"/>
          <w:lang w:eastAsia="en-GB"/>
        </w:rPr>
      </w:pPr>
    </w:p>
    <w:p w:rsidR="005B51A7" w:rsidRPr="003C4106" w:rsidRDefault="005B51A7" w:rsidP="003C4106">
      <w:pPr>
        <w:pStyle w:val="Caption"/>
        <w:spacing w:after="0"/>
        <w:rPr>
          <w:rFonts w:eastAsia="Times New Roman"/>
          <w:b/>
          <w:color w:val="auto"/>
          <w:sz w:val="20"/>
          <w:szCs w:val="20"/>
          <w:lang w:eastAsia="en-GB"/>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3</w:t>
      </w:r>
      <w:r w:rsidR="00D95EDE" w:rsidRPr="003C4106">
        <w:rPr>
          <w:b/>
          <w:color w:val="auto"/>
          <w:sz w:val="20"/>
          <w:szCs w:val="20"/>
        </w:rPr>
        <w:fldChar w:fldCharType="end"/>
      </w:r>
      <w:r w:rsidRPr="003C4106">
        <w:rPr>
          <w:rFonts w:eastAsia="Times New Roman"/>
          <w:b/>
          <w:color w:val="auto"/>
          <w:sz w:val="20"/>
          <w:szCs w:val="20"/>
          <w:lang w:eastAsia="en-GB"/>
        </w:rPr>
        <w:t>: Administration</w:t>
      </w:r>
      <w:r w:rsidRPr="003C4106" w:rsidDel="00456BC8">
        <w:rPr>
          <w:rFonts w:eastAsia="Times New Roman"/>
          <w:b/>
          <w:color w:val="auto"/>
          <w:sz w:val="20"/>
          <w:szCs w:val="20"/>
          <w:lang w:eastAsia="en-GB"/>
        </w:rPr>
        <w:t xml:space="preserve"> </w:t>
      </w:r>
      <w:r w:rsidRPr="003C4106">
        <w:rPr>
          <w:rFonts w:eastAsia="Times New Roman"/>
          <w:b/>
          <w:color w:val="auto"/>
          <w:sz w:val="20"/>
          <w:szCs w:val="20"/>
          <w:lang w:eastAsia="en-GB"/>
        </w:rPr>
        <w:t>Programme budget allocation</w:t>
      </w:r>
    </w:p>
    <w:tbl>
      <w:tblPr>
        <w:tblStyle w:val="GridTable6Colorful2"/>
        <w:tblW w:w="8905" w:type="dxa"/>
        <w:tblLook w:val="04A0"/>
      </w:tblPr>
      <w:tblGrid>
        <w:gridCol w:w="1795"/>
        <w:gridCol w:w="939"/>
        <w:gridCol w:w="990"/>
        <w:gridCol w:w="1350"/>
        <w:gridCol w:w="1350"/>
        <w:gridCol w:w="1350"/>
        <w:gridCol w:w="1170"/>
      </w:tblGrid>
      <w:tr w:rsidR="005B51A7" w:rsidRPr="003C4106" w:rsidTr="005B51A7">
        <w:trPr>
          <w:cnfStyle w:val="100000000000"/>
          <w:trHeight w:val="638"/>
        </w:trPr>
        <w:tc>
          <w:tcPr>
            <w:cnfStyle w:val="001000000000"/>
            <w:tcW w:w="1795" w:type="dxa"/>
            <w:vMerge w:val="restart"/>
            <w:shd w:val="clear" w:color="auto" w:fill="BFBFBF"/>
            <w:noWrap/>
            <w:vAlign w:val="center"/>
            <w:hideMark/>
          </w:tcPr>
          <w:p w:rsidR="005B51A7" w:rsidRPr="003C4106" w:rsidRDefault="005B51A7" w:rsidP="003C4106">
            <w:pPr>
              <w:rPr>
                <w:rFonts w:ascii="Arial" w:hAnsi="Arial" w:cs="Arial"/>
                <w:lang w:eastAsia="en-GB"/>
              </w:rPr>
            </w:pPr>
            <w:r w:rsidRPr="003C4106">
              <w:rPr>
                <w:rFonts w:ascii="Arial" w:hAnsi="Arial" w:cs="Arial"/>
                <w:lang w:eastAsia="en-GB"/>
              </w:rPr>
              <w:t>Programme</w:t>
            </w:r>
          </w:p>
          <w:p w:rsidR="005B51A7" w:rsidRPr="003C4106" w:rsidRDefault="005B51A7" w:rsidP="003C4106">
            <w:pPr>
              <w:rPr>
                <w:rFonts w:ascii="Arial" w:hAnsi="Arial" w:cs="Arial"/>
                <w:lang w:eastAsia="en-GB"/>
              </w:rPr>
            </w:pPr>
          </w:p>
          <w:p w:rsidR="005B51A7" w:rsidRPr="003C4106" w:rsidRDefault="005B51A7" w:rsidP="003C4106">
            <w:pPr>
              <w:rPr>
                <w:rFonts w:ascii="Arial" w:hAnsi="Arial" w:cs="Arial"/>
                <w:lang w:eastAsia="en-GB"/>
              </w:rPr>
            </w:pPr>
            <w:r w:rsidRPr="003C4106">
              <w:rPr>
                <w:rFonts w:ascii="Arial" w:hAnsi="Arial" w:cs="Arial"/>
                <w:lang w:eastAsia="en-GB"/>
              </w:rPr>
              <w:t>R million</w:t>
            </w:r>
          </w:p>
        </w:tc>
        <w:tc>
          <w:tcPr>
            <w:tcW w:w="1890" w:type="dxa"/>
            <w:gridSpan w:val="2"/>
            <w:shd w:val="clear" w:color="auto" w:fill="BFBFBF"/>
            <w:vAlign w:val="center"/>
            <w:hideMark/>
          </w:tcPr>
          <w:p w:rsidR="005B51A7" w:rsidRPr="003C4106" w:rsidRDefault="005B51A7" w:rsidP="003C4106">
            <w:pPr>
              <w:cnfStyle w:val="100000000000"/>
              <w:rPr>
                <w:rFonts w:ascii="Arial" w:hAnsi="Arial" w:cs="Arial"/>
                <w:lang w:eastAsia="en-GB"/>
              </w:rPr>
            </w:pPr>
            <w:r w:rsidRPr="003C4106">
              <w:rPr>
                <w:rFonts w:ascii="Arial" w:hAnsi="Arial" w:cs="Arial"/>
                <w:lang w:eastAsia="en-GB"/>
              </w:rPr>
              <w:t>Budget</w:t>
            </w:r>
          </w:p>
        </w:tc>
        <w:tc>
          <w:tcPr>
            <w:tcW w:w="1350" w:type="dxa"/>
            <w:vMerge w:val="restart"/>
            <w:shd w:val="clear" w:color="auto" w:fill="BFBFBF"/>
            <w:vAlign w:val="center"/>
            <w:hideMark/>
          </w:tcPr>
          <w:p w:rsidR="005B51A7" w:rsidRPr="003C4106" w:rsidRDefault="005B51A7" w:rsidP="003C4106">
            <w:pPr>
              <w:cnfStyle w:val="100000000000"/>
              <w:rPr>
                <w:rFonts w:ascii="Arial" w:hAnsi="Arial" w:cs="Arial"/>
                <w:lang w:eastAsia="en-GB"/>
              </w:rPr>
            </w:pPr>
            <w:r w:rsidRPr="003C4106">
              <w:rPr>
                <w:rFonts w:ascii="Arial" w:hAnsi="Arial" w:cs="Arial"/>
                <w:lang w:eastAsia="en-GB"/>
              </w:rPr>
              <w:t>Nominal change in 2023/24</w:t>
            </w:r>
          </w:p>
          <w:p w:rsidR="005B51A7" w:rsidRPr="003C4106" w:rsidRDefault="005B51A7"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5B51A7" w:rsidRPr="003C4106" w:rsidRDefault="005B51A7" w:rsidP="003C4106">
            <w:pPr>
              <w:cnfStyle w:val="100000000000"/>
              <w:rPr>
                <w:rFonts w:ascii="Arial" w:hAnsi="Arial" w:cs="Arial"/>
                <w:lang w:eastAsia="en-GB"/>
              </w:rPr>
            </w:pPr>
            <w:r w:rsidRPr="003C4106">
              <w:rPr>
                <w:rFonts w:ascii="Arial" w:hAnsi="Arial" w:cs="Arial"/>
                <w:lang w:eastAsia="en-GB"/>
              </w:rPr>
              <w:t>Real change in 2023/24</w:t>
            </w:r>
          </w:p>
          <w:p w:rsidR="005B51A7" w:rsidRPr="003C4106" w:rsidRDefault="005B51A7"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5B51A7" w:rsidRPr="003C4106" w:rsidRDefault="005B51A7" w:rsidP="003C4106">
            <w:pPr>
              <w:cnfStyle w:val="100000000000"/>
              <w:rPr>
                <w:rFonts w:ascii="Arial" w:hAnsi="Arial" w:cs="Arial"/>
                <w:lang w:eastAsia="en-GB"/>
              </w:rPr>
            </w:pPr>
            <w:r w:rsidRPr="003C4106">
              <w:rPr>
                <w:rFonts w:ascii="Arial" w:hAnsi="Arial" w:cs="Arial"/>
                <w:lang w:eastAsia="en-GB"/>
              </w:rPr>
              <w:t>Nominal % change in 2023/24</w:t>
            </w:r>
          </w:p>
        </w:tc>
        <w:tc>
          <w:tcPr>
            <w:tcW w:w="1170" w:type="dxa"/>
            <w:vMerge w:val="restart"/>
            <w:shd w:val="clear" w:color="auto" w:fill="BFBFBF"/>
            <w:vAlign w:val="center"/>
            <w:hideMark/>
          </w:tcPr>
          <w:p w:rsidR="005B51A7" w:rsidRPr="003C4106" w:rsidRDefault="005B51A7" w:rsidP="003C4106">
            <w:pPr>
              <w:cnfStyle w:val="100000000000"/>
              <w:rPr>
                <w:rFonts w:ascii="Arial" w:hAnsi="Arial" w:cs="Arial"/>
                <w:lang w:eastAsia="en-GB"/>
              </w:rPr>
            </w:pPr>
            <w:r w:rsidRPr="003C4106">
              <w:rPr>
                <w:rFonts w:ascii="Arial" w:hAnsi="Arial" w:cs="Arial"/>
                <w:lang w:eastAsia="en-GB"/>
              </w:rPr>
              <w:t>Real % change in 2023/24</w:t>
            </w:r>
          </w:p>
        </w:tc>
      </w:tr>
      <w:tr w:rsidR="005B51A7" w:rsidRPr="003C4106" w:rsidTr="005B51A7">
        <w:trPr>
          <w:cnfStyle w:val="000000100000"/>
          <w:trHeight w:val="330"/>
        </w:trPr>
        <w:tc>
          <w:tcPr>
            <w:cnfStyle w:val="001000000000"/>
            <w:tcW w:w="1795" w:type="dxa"/>
            <w:vMerge/>
            <w:noWrap/>
            <w:hideMark/>
          </w:tcPr>
          <w:p w:rsidR="005B51A7" w:rsidRPr="003C4106" w:rsidRDefault="005B51A7" w:rsidP="003C4106">
            <w:pPr>
              <w:rPr>
                <w:rFonts w:ascii="Arial" w:hAnsi="Arial" w:cs="Arial"/>
                <w:lang w:eastAsia="en-GB"/>
              </w:rPr>
            </w:pPr>
          </w:p>
        </w:tc>
        <w:tc>
          <w:tcPr>
            <w:tcW w:w="900" w:type="dxa"/>
            <w:shd w:val="clear" w:color="auto" w:fill="BFBFBF"/>
            <w:noWrap/>
            <w:vAlign w:val="center"/>
            <w:hideMark/>
          </w:tcPr>
          <w:p w:rsidR="005B51A7" w:rsidRPr="003C4106" w:rsidRDefault="005B51A7" w:rsidP="003C4106">
            <w:pPr>
              <w:cnfStyle w:val="000000100000"/>
              <w:rPr>
                <w:rFonts w:ascii="Arial" w:hAnsi="Arial" w:cs="Arial"/>
                <w:b/>
                <w:bCs/>
                <w:lang w:eastAsia="en-GB"/>
              </w:rPr>
            </w:pPr>
            <w:r w:rsidRPr="003C4106">
              <w:rPr>
                <w:rFonts w:ascii="Arial" w:hAnsi="Arial" w:cs="Arial"/>
                <w:b/>
                <w:bCs/>
                <w:lang w:eastAsia="en-GB"/>
              </w:rPr>
              <w:t>2022/23</w:t>
            </w:r>
          </w:p>
        </w:tc>
        <w:tc>
          <w:tcPr>
            <w:tcW w:w="990" w:type="dxa"/>
            <w:shd w:val="clear" w:color="auto" w:fill="BFBFBF"/>
            <w:noWrap/>
            <w:vAlign w:val="center"/>
            <w:hideMark/>
          </w:tcPr>
          <w:p w:rsidR="005B51A7" w:rsidRPr="003C4106" w:rsidRDefault="005B51A7" w:rsidP="003C4106">
            <w:pPr>
              <w:cnfStyle w:val="000000100000"/>
              <w:rPr>
                <w:rFonts w:ascii="Arial" w:hAnsi="Arial" w:cs="Arial"/>
                <w:b/>
                <w:bCs/>
                <w:lang w:eastAsia="en-GB"/>
              </w:rPr>
            </w:pPr>
            <w:r w:rsidRPr="003C4106">
              <w:rPr>
                <w:rFonts w:ascii="Arial" w:hAnsi="Arial" w:cs="Arial"/>
                <w:b/>
                <w:bCs/>
                <w:lang w:eastAsia="en-GB"/>
              </w:rPr>
              <w:t>2023/24</w:t>
            </w:r>
          </w:p>
        </w:tc>
        <w:tc>
          <w:tcPr>
            <w:tcW w:w="1350" w:type="dxa"/>
            <w:vMerge/>
            <w:hideMark/>
          </w:tcPr>
          <w:p w:rsidR="005B51A7" w:rsidRPr="003C4106" w:rsidRDefault="005B51A7" w:rsidP="003C4106">
            <w:pPr>
              <w:cnfStyle w:val="000000100000"/>
              <w:rPr>
                <w:rFonts w:ascii="Arial" w:hAnsi="Arial" w:cs="Arial"/>
                <w:b/>
                <w:bCs/>
                <w:lang w:eastAsia="en-GB"/>
              </w:rPr>
            </w:pPr>
          </w:p>
        </w:tc>
        <w:tc>
          <w:tcPr>
            <w:tcW w:w="1350" w:type="dxa"/>
            <w:vMerge/>
            <w:hideMark/>
          </w:tcPr>
          <w:p w:rsidR="005B51A7" w:rsidRPr="003C4106" w:rsidRDefault="005B51A7" w:rsidP="003C4106">
            <w:pPr>
              <w:cnfStyle w:val="000000100000"/>
              <w:rPr>
                <w:rFonts w:ascii="Arial" w:hAnsi="Arial" w:cs="Arial"/>
                <w:b/>
                <w:bCs/>
                <w:lang w:eastAsia="en-GB"/>
              </w:rPr>
            </w:pPr>
          </w:p>
        </w:tc>
        <w:tc>
          <w:tcPr>
            <w:tcW w:w="1350" w:type="dxa"/>
            <w:vMerge/>
            <w:hideMark/>
          </w:tcPr>
          <w:p w:rsidR="005B51A7" w:rsidRPr="003C4106" w:rsidRDefault="005B51A7" w:rsidP="003C4106">
            <w:pPr>
              <w:cnfStyle w:val="000000100000"/>
              <w:rPr>
                <w:rFonts w:ascii="Arial" w:hAnsi="Arial" w:cs="Arial"/>
                <w:b/>
                <w:bCs/>
                <w:lang w:eastAsia="en-GB"/>
              </w:rPr>
            </w:pPr>
          </w:p>
        </w:tc>
        <w:tc>
          <w:tcPr>
            <w:tcW w:w="1170" w:type="dxa"/>
            <w:vMerge/>
            <w:hideMark/>
          </w:tcPr>
          <w:p w:rsidR="005B51A7" w:rsidRPr="003C4106" w:rsidRDefault="005B51A7" w:rsidP="003C4106">
            <w:pPr>
              <w:cnfStyle w:val="000000100000"/>
              <w:rPr>
                <w:rFonts w:ascii="Arial" w:hAnsi="Arial" w:cs="Arial"/>
                <w:b/>
                <w:bCs/>
                <w:lang w:eastAsia="en-GB"/>
              </w:rPr>
            </w:pPr>
          </w:p>
        </w:tc>
      </w:tr>
      <w:tr w:rsidR="00E15C7F" w:rsidRPr="003C4106" w:rsidTr="00920AE2">
        <w:trPr>
          <w:trHeight w:val="264"/>
        </w:trPr>
        <w:tc>
          <w:tcPr>
            <w:cnfStyle w:val="001000000000"/>
            <w:tcW w:w="1795" w:type="dxa"/>
            <w:noWrap/>
            <w:hideMark/>
          </w:tcPr>
          <w:p w:rsidR="00E15C7F" w:rsidRPr="003C4106" w:rsidRDefault="00E15C7F" w:rsidP="003C4106">
            <w:pPr>
              <w:rPr>
                <w:rFonts w:ascii="Arial" w:hAnsi="Arial" w:cs="Arial"/>
                <w:lang w:eastAsia="en-GB"/>
              </w:rPr>
            </w:pPr>
            <w:r w:rsidRPr="003C4106">
              <w:rPr>
                <w:rFonts w:ascii="Arial" w:hAnsi="Arial" w:cs="Arial"/>
                <w:lang w:eastAsia="en-GB"/>
              </w:rPr>
              <w:t>Ministry</w:t>
            </w:r>
          </w:p>
        </w:tc>
        <w:tc>
          <w:tcPr>
            <w:tcW w:w="90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44,0</w:t>
            </w:r>
          </w:p>
        </w:tc>
        <w:tc>
          <w:tcPr>
            <w:tcW w:w="99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42,0</w:t>
            </w:r>
          </w:p>
        </w:tc>
        <w:tc>
          <w:tcPr>
            <w:tcW w:w="135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-2,0</w:t>
            </w:r>
          </w:p>
        </w:tc>
        <w:tc>
          <w:tcPr>
            <w:tcW w:w="135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-4,0</w:t>
            </w:r>
          </w:p>
        </w:tc>
        <w:tc>
          <w:tcPr>
            <w:tcW w:w="135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-4,5%</w:t>
            </w:r>
          </w:p>
        </w:tc>
        <w:tc>
          <w:tcPr>
            <w:tcW w:w="117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-9,0%</w:t>
            </w:r>
          </w:p>
        </w:tc>
      </w:tr>
      <w:tr w:rsidR="00E15C7F" w:rsidRPr="003C4106" w:rsidTr="005B51A7">
        <w:trPr>
          <w:cnfStyle w:val="000000100000"/>
          <w:trHeight w:val="264"/>
        </w:trPr>
        <w:tc>
          <w:tcPr>
            <w:cnfStyle w:val="001000000000"/>
            <w:tcW w:w="1795" w:type="dxa"/>
            <w:noWrap/>
            <w:hideMark/>
          </w:tcPr>
          <w:p w:rsidR="00E15C7F" w:rsidRPr="003C4106" w:rsidRDefault="00E15C7F" w:rsidP="003C4106">
            <w:pPr>
              <w:rPr>
                <w:rFonts w:ascii="Arial" w:hAnsi="Arial" w:cs="Arial"/>
                <w:lang w:eastAsia="en-GB"/>
              </w:rPr>
            </w:pPr>
            <w:r w:rsidRPr="003C4106">
              <w:rPr>
                <w:rFonts w:ascii="Arial" w:hAnsi="Arial" w:cs="Arial"/>
                <w:lang w:eastAsia="en-GB"/>
              </w:rPr>
              <w:t>Management</w:t>
            </w:r>
          </w:p>
        </w:tc>
        <w:tc>
          <w:tcPr>
            <w:tcW w:w="90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10,2</w:t>
            </w:r>
          </w:p>
        </w:tc>
        <w:tc>
          <w:tcPr>
            <w:tcW w:w="99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10,1</w:t>
            </w:r>
          </w:p>
        </w:tc>
        <w:tc>
          <w:tcPr>
            <w:tcW w:w="135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-0,1</w:t>
            </w:r>
          </w:p>
        </w:tc>
        <w:tc>
          <w:tcPr>
            <w:tcW w:w="135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-0,6</w:t>
            </w:r>
          </w:p>
        </w:tc>
        <w:tc>
          <w:tcPr>
            <w:tcW w:w="135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-1,0%</w:t>
            </w:r>
          </w:p>
        </w:tc>
        <w:tc>
          <w:tcPr>
            <w:tcW w:w="117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-5,6%</w:t>
            </w:r>
          </w:p>
        </w:tc>
      </w:tr>
      <w:tr w:rsidR="00E15C7F" w:rsidRPr="003C4106" w:rsidTr="00920AE2">
        <w:trPr>
          <w:trHeight w:val="264"/>
        </w:trPr>
        <w:tc>
          <w:tcPr>
            <w:cnfStyle w:val="001000000000"/>
            <w:tcW w:w="1795" w:type="dxa"/>
            <w:noWrap/>
            <w:hideMark/>
          </w:tcPr>
          <w:p w:rsidR="00E15C7F" w:rsidRPr="003C4106" w:rsidRDefault="00E15C7F" w:rsidP="003C4106">
            <w:pPr>
              <w:rPr>
                <w:rFonts w:ascii="Arial" w:hAnsi="Arial" w:cs="Arial"/>
                <w:lang w:eastAsia="en-GB"/>
              </w:rPr>
            </w:pPr>
            <w:r w:rsidRPr="003C4106">
              <w:rPr>
                <w:rFonts w:ascii="Arial" w:hAnsi="Arial" w:cs="Arial"/>
                <w:lang w:eastAsia="en-GB"/>
              </w:rPr>
              <w:t>Corporate Services</w:t>
            </w:r>
          </w:p>
        </w:tc>
        <w:tc>
          <w:tcPr>
            <w:tcW w:w="90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391,4</w:t>
            </w:r>
          </w:p>
        </w:tc>
        <w:tc>
          <w:tcPr>
            <w:tcW w:w="99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428,3</w:t>
            </w:r>
          </w:p>
        </w:tc>
        <w:tc>
          <w:tcPr>
            <w:tcW w:w="135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36,9</w:t>
            </w:r>
          </w:p>
        </w:tc>
        <w:tc>
          <w:tcPr>
            <w:tcW w:w="135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16,9</w:t>
            </w:r>
          </w:p>
        </w:tc>
        <w:tc>
          <w:tcPr>
            <w:tcW w:w="135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9,4%</w:t>
            </w:r>
          </w:p>
        </w:tc>
        <w:tc>
          <w:tcPr>
            <w:tcW w:w="1170" w:type="dxa"/>
            <w:noWrap/>
          </w:tcPr>
          <w:p w:rsidR="00E15C7F" w:rsidRPr="003C4106" w:rsidRDefault="00E15C7F" w:rsidP="003C4106">
            <w:pPr>
              <w:cnfStyle w:val="000000000000"/>
              <w:rPr>
                <w:rFonts w:ascii="Arial" w:hAnsi="Arial" w:cs="Arial"/>
                <w:lang w:eastAsia="en-GB"/>
              </w:rPr>
            </w:pPr>
            <w:r w:rsidRPr="003C4106">
              <w:rPr>
                <w:rFonts w:ascii="Arial" w:hAnsi="Arial" w:cs="Arial"/>
                <w:lang w:eastAsia="en-GB"/>
              </w:rPr>
              <w:t>4,3%</w:t>
            </w:r>
          </w:p>
        </w:tc>
      </w:tr>
      <w:tr w:rsidR="00E15C7F" w:rsidRPr="003C4106" w:rsidTr="005B51A7">
        <w:trPr>
          <w:cnfStyle w:val="000000100000"/>
          <w:trHeight w:val="264"/>
        </w:trPr>
        <w:tc>
          <w:tcPr>
            <w:cnfStyle w:val="001000000000"/>
            <w:tcW w:w="1795" w:type="dxa"/>
            <w:noWrap/>
            <w:hideMark/>
          </w:tcPr>
          <w:p w:rsidR="00E15C7F" w:rsidRPr="003C4106" w:rsidRDefault="00E15C7F" w:rsidP="003C4106">
            <w:pPr>
              <w:rPr>
                <w:rFonts w:ascii="Arial" w:hAnsi="Arial" w:cs="Arial"/>
                <w:lang w:eastAsia="en-GB"/>
              </w:rPr>
            </w:pPr>
            <w:r w:rsidRPr="003C4106">
              <w:rPr>
                <w:rFonts w:ascii="Arial" w:hAnsi="Arial" w:cs="Arial"/>
                <w:lang w:eastAsia="en-GB"/>
              </w:rPr>
              <w:t>Property Management</w:t>
            </w:r>
          </w:p>
        </w:tc>
        <w:tc>
          <w:tcPr>
            <w:tcW w:w="90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163,7</w:t>
            </w:r>
          </w:p>
        </w:tc>
        <w:tc>
          <w:tcPr>
            <w:tcW w:w="99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168,9</w:t>
            </w:r>
          </w:p>
        </w:tc>
        <w:tc>
          <w:tcPr>
            <w:tcW w:w="135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5,2</w:t>
            </w:r>
          </w:p>
        </w:tc>
        <w:tc>
          <w:tcPr>
            <w:tcW w:w="135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-2,7</w:t>
            </w:r>
          </w:p>
        </w:tc>
        <w:tc>
          <w:tcPr>
            <w:tcW w:w="1350" w:type="dxa"/>
            <w:noWrap/>
          </w:tcPr>
          <w:p w:rsidR="00E15C7F" w:rsidRPr="003C4106" w:rsidRDefault="00E15C7F" w:rsidP="003C4106">
            <w:pPr>
              <w:cnfStyle w:val="000000100000"/>
              <w:rPr>
                <w:rFonts w:ascii="Arial" w:hAnsi="Arial" w:cs="Arial"/>
                <w:lang w:eastAsia="en-GB"/>
              </w:rPr>
            </w:pPr>
            <w:r w:rsidRPr="003C4106">
              <w:rPr>
                <w:rFonts w:ascii="Arial" w:hAnsi="Arial" w:cs="Arial"/>
                <w:lang w:eastAsia="en-GB"/>
              </w:rPr>
              <w:t>3,2%</w:t>
            </w:r>
          </w:p>
        </w:tc>
        <w:tc>
          <w:tcPr>
            <w:tcW w:w="1170" w:type="dxa"/>
            <w:noWrap/>
          </w:tcPr>
          <w:p w:rsidR="00E15C7F" w:rsidRPr="003C4106" w:rsidRDefault="00384893" w:rsidP="003C4106">
            <w:pPr>
              <w:cnfStyle w:val="000000100000"/>
              <w:rPr>
                <w:rFonts w:ascii="Arial" w:hAnsi="Arial" w:cs="Arial"/>
                <w:lang w:eastAsia="en-GB"/>
              </w:rPr>
            </w:pPr>
            <w:r w:rsidRPr="003C4106">
              <w:rPr>
                <w:rFonts w:ascii="Arial" w:hAnsi="Arial" w:cs="Arial"/>
                <w:lang w:eastAsia="en-GB"/>
              </w:rPr>
              <w:t>-1,6%</w:t>
            </w:r>
          </w:p>
        </w:tc>
      </w:tr>
      <w:tr w:rsidR="005B51A7" w:rsidRPr="003C4106" w:rsidTr="00920AE2">
        <w:trPr>
          <w:trHeight w:val="264"/>
        </w:trPr>
        <w:tc>
          <w:tcPr>
            <w:cnfStyle w:val="001000000000"/>
            <w:tcW w:w="1795" w:type="dxa"/>
            <w:noWrap/>
            <w:hideMark/>
          </w:tcPr>
          <w:p w:rsidR="005B51A7" w:rsidRPr="003C4106" w:rsidRDefault="00EE260D" w:rsidP="003C4106">
            <w:pPr>
              <w:rPr>
                <w:rFonts w:ascii="Arial" w:hAnsi="Arial" w:cs="Arial"/>
                <w:lang w:eastAsia="en-GB"/>
              </w:rPr>
            </w:pPr>
            <w:r w:rsidRPr="003C4106">
              <w:rPr>
                <w:rFonts w:ascii="Arial" w:hAnsi="Arial" w:cs="Arial"/>
                <w:lang w:eastAsia="en-GB"/>
              </w:rPr>
              <w:t>Financial Management</w:t>
            </w:r>
          </w:p>
        </w:tc>
        <w:tc>
          <w:tcPr>
            <w:tcW w:w="900" w:type="dxa"/>
            <w:noWrap/>
          </w:tcPr>
          <w:p w:rsidR="005B51A7" w:rsidRPr="003C4106" w:rsidRDefault="00E15C7F" w:rsidP="003C4106">
            <w:pPr>
              <w:cnfStyle w:val="000000000000"/>
              <w:rPr>
                <w:rFonts w:ascii="Arial" w:hAnsi="Arial" w:cs="Arial"/>
                <w:lang w:eastAsia="en-GB"/>
              </w:rPr>
            </w:pPr>
            <w:r w:rsidRPr="003C4106">
              <w:rPr>
                <w:rFonts w:ascii="Arial" w:hAnsi="Arial" w:cs="Arial"/>
                <w:lang w:eastAsia="en-GB"/>
              </w:rPr>
              <w:t>176,9</w:t>
            </w:r>
          </w:p>
        </w:tc>
        <w:tc>
          <w:tcPr>
            <w:tcW w:w="990" w:type="dxa"/>
            <w:noWrap/>
          </w:tcPr>
          <w:p w:rsidR="005B51A7" w:rsidRPr="003C4106" w:rsidRDefault="00E15C7F" w:rsidP="003C4106">
            <w:pPr>
              <w:cnfStyle w:val="000000000000"/>
              <w:rPr>
                <w:rFonts w:ascii="Arial" w:hAnsi="Arial" w:cs="Arial"/>
                <w:lang w:eastAsia="en-GB"/>
              </w:rPr>
            </w:pPr>
            <w:r w:rsidRPr="003C4106">
              <w:rPr>
                <w:rFonts w:ascii="Arial" w:hAnsi="Arial" w:cs="Arial"/>
                <w:lang w:eastAsia="en-GB"/>
              </w:rPr>
              <w:t>151,6</w:t>
            </w:r>
          </w:p>
        </w:tc>
        <w:tc>
          <w:tcPr>
            <w:tcW w:w="1350" w:type="dxa"/>
            <w:noWrap/>
          </w:tcPr>
          <w:p w:rsidR="005B51A7" w:rsidRPr="003C4106" w:rsidRDefault="00E15C7F" w:rsidP="003C4106">
            <w:pPr>
              <w:cnfStyle w:val="000000000000"/>
              <w:rPr>
                <w:rFonts w:ascii="Arial" w:hAnsi="Arial" w:cs="Arial"/>
                <w:lang w:eastAsia="en-GB"/>
              </w:rPr>
            </w:pPr>
            <w:r w:rsidRPr="003C4106">
              <w:rPr>
                <w:rFonts w:ascii="Arial" w:hAnsi="Arial" w:cs="Arial"/>
                <w:lang w:eastAsia="en-GB"/>
              </w:rPr>
              <w:t>-25,3</w:t>
            </w:r>
          </w:p>
        </w:tc>
        <w:tc>
          <w:tcPr>
            <w:tcW w:w="1350" w:type="dxa"/>
            <w:noWrap/>
          </w:tcPr>
          <w:p w:rsidR="005B51A7" w:rsidRPr="003C4106" w:rsidRDefault="00E15C7F" w:rsidP="003C4106">
            <w:pPr>
              <w:cnfStyle w:val="000000000000"/>
              <w:rPr>
                <w:rFonts w:ascii="Arial" w:hAnsi="Arial" w:cs="Arial"/>
                <w:lang w:eastAsia="en-GB"/>
              </w:rPr>
            </w:pPr>
            <w:r w:rsidRPr="003C4106">
              <w:rPr>
                <w:rFonts w:ascii="Arial" w:hAnsi="Arial" w:cs="Arial"/>
                <w:lang w:eastAsia="en-GB"/>
              </w:rPr>
              <w:t>-32,4</w:t>
            </w:r>
          </w:p>
        </w:tc>
        <w:tc>
          <w:tcPr>
            <w:tcW w:w="1350" w:type="dxa"/>
            <w:noWrap/>
          </w:tcPr>
          <w:p w:rsidR="005B51A7" w:rsidRPr="003C4106" w:rsidRDefault="00E15C7F" w:rsidP="003C4106">
            <w:pPr>
              <w:cnfStyle w:val="000000000000"/>
              <w:rPr>
                <w:rFonts w:ascii="Arial" w:hAnsi="Arial" w:cs="Arial"/>
                <w:lang w:eastAsia="en-GB"/>
              </w:rPr>
            </w:pPr>
            <w:r w:rsidRPr="003C4106">
              <w:rPr>
                <w:rFonts w:ascii="Arial" w:hAnsi="Arial" w:cs="Arial"/>
                <w:lang w:eastAsia="en-GB"/>
              </w:rPr>
              <w:t>-14,3%</w:t>
            </w:r>
          </w:p>
        </w:tc>
        <w:tc>
          <w:tcPr>
            <w:tcW w:w="1170" w:type="dxa"/>
            <w:noWrap/>
          </w:tcPr>
          <w:p w:rsidR="005B51A7" w:rsidRPr="003C4106" w:rsidRDefault="00384893" w:rsidP="003C4106">
            <w:pPr>
              <w:cnfStyle w:val="000000000000"/>
              <w:rPr>
                <w:rFonts w:ascii="Arial" w:hAnsi="Arial" w:cs="Arial"/>
                <w:lang w:eastAsia="en-GB"/>
              </w:rPr>
            </w:pPr>
            <w:r w:rsidRPr="003C4106">
              <w:rPr>
                <w:rFonts w:ascii="Arial" w:hAnsi="Arial" w:cs="Arial"/>
                <w:lang w:eastAsia="en-GB"/>
              </w:rPr>
              <w:t>-18,3%</w:t>
            </w:r>
          </w:p>
        </w:tc>
      </w:tr>
      <w:tr w:rsidR="005B51A7" w:rsidRPr="003C4106" w:rsidTr="00EE260D">
        <w:trPr>
          <w:cnfStyle w:val="000000100000"/>
          <w:trHeight w:val="264"/>
        </w:trPr>
        <w:tc>
          <w:tcPr>
            <w:cnfStyle w:val="001000000000"/>
            <w:tcW w:w="1795" w:type="dxa"/>
            <w:noWrap/>
          </w:tcPr>
          <w:p w:rsidR="005B51A7" w:rsidRPr="003C4106" w:rsidRDefault="00EE260D" w:rsidP="003C4106">
            <w:pPr>
              <w:rPr>
                <w:rFonts w:ascii="Arial" w:hAnsi="Arial" w:cs="Arial"/>
                <w:lang w:eastAsia="en-GB"/>
              </w:rPr>
            </w:pPr>
            <w:r w:rsidRPr="003C4106">
              <w:rPr>
                <w:rFonts w:ascii="Arial" w:hAnsi="Arial" w:cs="Arial"/>
                <w:lang w:eastAsia="en-GB"/>
              </w:rPr>
              <w:t>Total</w:t>
            </w:r>
          </w:p>
        </w:tc>
        <w:tc>
          <w:tcPr>
            <w:tcW w:w="900" w:type="dxa"/>
            <w:noWrap/>
          </w:tcPr>
          <w:p w:rsidR="005B51A7" w:rsidRPr="003C4106" w:rsidRDefault="00E15C7F" w:rsidP="003C4106">
            <w:pPr>
              <w:cnfStyle w:val="000000100000"/>
              <w:rPr>
                <w:rFonts w:ascii="Arial" w:hAnsi="Arial" w:cs="Arial"/>
                <w:lang w:eastAsia="en-GB"/>
              </w:rPr>
            </w:pPr>
            <w:r w:rsidRPr="003C4106">
              <w:rPr>
                <w:rFonts w:ascii="Arial" w:hAnsi="Arial" w:cs="Arial"/>
                <w:lang w:eastAsia="en-GB"/>
              </w:rPr>
              <w:t>786,1</w:t>
            </w:r>
          </w:p>
        </w:tc>
        <w:tc>
          <w:tcPr>
            <w:tcW w:w="990" w:type="dxa"/>
            <w:noWrap/>
          </w:tcPr>
          <w:p w:rsidR="005B51A7" w:rsidRPr="003C4106" w:rsidRDefault="00E15C7F" w:rsidP="003C4106">
            <w:pPr>
              <w:cnfStyle w:val="000000100000"/>
              <w:rPr>
                <w:rFonts w:ascii="Arial" w:hAnsi="Arial" w:cs="Arial"/>
                <w:lang w:eastAsia="en-GB"/>
              </w:rPr>
            </w:pPr>
            <w:r w:rsidRPr="003C4106">
              <w:rPr>
                <w:rFonts w:ascii="Arial" w:hAnsi="Arial" w:cs="Arial"/>
                <w:lang w:eastAsia="en-GB"/>
              </w:rPr>
              <w:t>800,9</w:t>
            </w:r>
          </w:p>
        </w:tc>
        <w:tc>
          <w:tcPr>
            <w:tcW w:w="1350" w:type="dxa"/>
            <w:noWrap/>
          </w:tcPr>
          <w:p w:rsidR="005B51A7" w:rsidRPr="003C4106" w:rsidRDefault="00E15C7F" w:rsidP="003C4106">
            <w:pPr>
              <w:cnfStyle w:val="000000100000"/>
              <w:rPr>
                <w:rFonts w:ascii="Arial" w:hAnsi="Arial" w:cs="Arial"/>
                <w:lang w:eastAsia="en-GB"/>
              </w:rPr>
            </w:pPr>
            <w:r w:rsidRPr="003C4106">
              <w:rPr>
                <w:rFonts w:ascii="Arial" w:hAnsi="Arial" w:cs="Arial"/>
                <w:lang w:eastAsia="en-GB"/>
              </w:rPr>
              <w:t>14,8</w:t>
            </w:r>
          </w:p>
        </w:tc>
        <w:tc>
          <w:tcPr>
            <w:tcW w:w="1350" w:type="dxa"/>
            <w:noWrap/>
          </w:tcPr>
          <w:p w:rsidR="005B51A7" w:rsidRPr="003C4106" w:rsidRDefault="00E15C7F" w:rsidP="003C4106">
            <w:pPr>
              <w:cnfStyle w:val="000000100000"/>
              <w:rPr>
                <w:rFonts w:ascii="Arial" w:hAnsi="Arial" w:cs="Arial"/>
                <w:lang w:eastAsia="en-GB"/>
              </w:rPr>
            </w:pPr>
            <w:r w:rsidRPr="003C4106">
              <w:rPr>
                <w:rFonts w:ascii="Arial" w:hAnsi="Arial" w:cs="Arial"/>
                <w:lang w:eastAsia="en-GB"/>
              </w:rPr>
              <w:t>-22,6</w:t>
            </w:r>
          </w:p>
        </w:tc>
        <w:tc>
          <w:tcPr>
            <w:tcW w:w="1350" w:type="dxa"/>
            <w:noWrap/>
          </w:tcPr>
          <w:p w:rsidR="005B51A7" w:rsidRPr="003C4106" w:rsidRDefault="00E15C7F" w:rsidP="003C4106">
            <w:pPr>
              <w:cnfStyle w:val="000000100000"/>
              <w:rPr>
                <w:rFonts w:ascii="Arial" w:hAnsi="Arial" w:cs="Arial"/>
                <w:lang w:eastAsia="en-GB"/>
              </w:rPr>
            </w:pPr>
            <w:r w:rsidRPr="003C4106">
              <w:rPr>
                <w:rFonts w:ascii="Arial" w:hAnsi="Arial" w:cs="Arial"/>
                <w:lang w:eastAsia="en-GB"/>
              </w:rPr>
              <w:t>1,9%</w:t>
            </w:r>
          </w:p>
        </w:tc>
        <w:tc>
          <w:tcPr>
            <w:tcW w:w="1170" w:type="dxa"/>
            <w:noWrap/>
          </w:tcPr>
          <w:p w:rsidR="005B51A7" w:rsidRPr="003C4106" w:rsidRDefault="00E15C7F" w:rsidP="003C4106">
            <w:pPr>
              <w:cnfStyle w:val="000000100000"/>
              <w:rPr>
                <w:rFonts w:ascii="Arial" w:hAnsi="Arial" w:cs="Arial"/>
                <w:lang w:eastAsia="en-GB"/>
              </w:rPr>
            </w:pPr>
            <w:r w:rsidRPr="003C4106">
              <w:rPr>
                <w:rFonts w:ascii="Arial" w:hAnsi="Arial" w:cs="Arial"/>
                <w:lang w:eastAsia="en-GB"/>
              </w:rPr>
              <w:t>-2,9%</w:t>
            </w:r>
          </w:p>
        </w:tc>
      </w:tr>
    </w:tbl>
    <w:p w:rsidR="005B51A7" w:rsidRPr="003C4106" w:rsidRDefault="005B51A7" w:rsidP="003C4106">
      <w:pPr>
        <w:rPr>
          <w:rFonts w:eastAsia="Times New Roman"/>
          <w:color w:val="auto"/>
          <w:sz w:val="20"/>
          <w:szCs w:val="20"/>
          <w:lang w:eastAsia="en-GB"/>
        </w:rPr>
      </w:pPr>
      <w:r w:rsidRPr="003C4106">
        <w:rPr>
          <w:rFonts w:eastAsia="Times New Roman"/>
          <w:i/>
          <w:iCs/>
          <w:color w:val="auto"/>
          <w:sz w:val="20"/>
          <w:szCs w:val="20"/>
          <w:lang w:eastAsia="en-GB"/>
        </w:rPr>
        <w:t>Source: National Treasury (2023)</w:t>
      </w:r>
    </w:p>
    <w:p w:rsidR="005B51A7" w:rsidRPr="003C4106" w:rsidRDefault="005B51A7"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Programme 1’s budget increases by 1.9% in nominal terms (and decreases by 2.9% in real terms) from R786.1 million in 2022/23 to R800.9 million in 2023/24. Corporate Services</w:t>
      </w:r>
      <w:r w:rsidR="00D17017" w:rsidRPr="003C4106">
        <w:rPr>
          <w:color w:val="000000"/>
          <w:sz w:val="20"/>
          <w:szCs w:val="20"/>
        </w:rPr>
        <w:t xml:space="preserve"> is the largest sub-programme</w:t>
      </w:r>
      <w:r w:rsidRPr="003C4106">
        <w:rPr>
          <w:i/>
          <w:color w:val="000000"/>
          <w:sz w:val="20"/>
          <w:szCs w:val="20"/>
        </w:rPr>
        <w:t>,</w:t>
      </w:r>
      <w:r w:rsidRPr="003C4106">
        <w:rPr>
          <w:color w:val="000000"/>
          <w:sz w:val="20"/>
          <w:szCs w:val="20"/>
        </w:rPr>
        <w:t xml:space="preserve"> of which its allocation increases by 9.4% in nominal terms and by 4.3% </w:t>
      </w:r>
      <w:r w:rsidR="00D17017" w:rsidRPr="003C4106">
        <w:rPr>
          <w:color w:val="000000"/>
          <w:sz w:val="20"/>
          <w:szCs w:val="20"/>
        </w:rPr>
        <w:t xml:space="preserve">in real terms. </w:t>
      </w:r>
      <w:r w:rsidRPr="003C4106">
        <w:rPr>
          <w:color w:val="000000"/>
          <w:sz w:val="20"/>
          <w:szCs w:val="20"/>
        </w:rPr>
        <w:t xml:space="preserve">Financial Management decreases, from R176.9 million to R151.6 million, representing a 14.3% decrease in nominal terms and 18.3% decrease in real terms. </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In terms of economic classification, 98.5% of the budget is allocated to </w:t>
      </w:r>
      <w:r w:rsidR="003B2B48" w:rsidRPr="003C4106">
        <w:rPr>
          <w:i/>
          <w:color w:val="000000"/>
          <w:sz w:val="20"/>
          <w:szCs w:val="20"/>
        </w:rPr>
        <w:t>current payments</w:t>
      </w:r>
      <w:r w:rsidR="003B2B48" w:rsidRPr="003C4106">
        <w:rPr>
          <w:color w:val="000000"/>
          <w:sz w:val="20"/>
          <w:szCs w:val="20"/>
        </w:rPr>
        <w:t xml:space="preserve">. </w:t>
      </w:r>
      <w:r w:rsidRPr="003C4106">
        <w:rPr>
          <w:i/>
          <w:color w:val="000000"/>
          <w:sz w:val="20"/>
          <w:szCs w:val="20"/>
        </w:rPr>
        <w:t>Compensation of employees</w:t>
      </w:r>
      <w:r w:rsidRPr="003C4106">
        <w:rPr>
          <w:color w:val="000000"/>
          <w:sz w:val="20"/>
          <w:szCs w:val="20"/>
        </w:rPr>
        <w:t xml:space="preserve"> amounts to R249.4 million, down from R250.1 million in the previous financial year. </w:t>
      </w:r>
      <w:r w:rsidR="009757D6" w:rsidRPr="003C4106">
        <w:rPr>
          <w:color w:val="000000"/>
          <w:sz w:val="20"/>
          <w:szCs w:val="20"/>
        </w:rPr>
        <w:t xml:space="preserve">Approximately </w:t>
      </w:r>
      <w:r w:rsidRPr="003C4106">
        <w:rPr>
          <w:color w:val="000000"/>
          <w:sz w:val="20"/>
          <w:szCs w:val="20"/>
        </w:rPr>
        <w:t xml:space="preserve">R539.3 million is allocated to </w:t>
      </w:r>
      <w:r w:rsidR="003B2B48" w:rsidRPr="003C4106">
        <w:rPr>
          <w:i/>
          <w:color w:val="000000"/>
          <w:sz w:val="20"/>
          <w:szCs w:val="20"/>
        </w:rPr>
        <w:t>g</w:t>
      </w:r>
      <w:r w:rsidRPr="003C4106">
        <w:rPr>
          <w:i/>
          <w:color w:val="000000"/>
          <w:sz w:val="20"/>
          <w:szCs w:val="20"/>
        </w:rPr>
        <w:t>oods and services</w:t>
      </w:r>
      <w:r w:rsidRPr="003C4106">
        <w:rPr>
          <w:color w:val="000000"/>
          <w:sz w:val="20"/>
          <w:szCs w:val="20"/>
        </w:rPr>
        <w:t>. T</w:t>
      </w:r>
      <w:r w:rsidR="009757D6" w:rsidRPr="003C4106">
        <w:rPr>
          <w:color w:val="000000"/>
          <w:sz w:val="20"/>
          <w:szCs w:val="20"/>
        </w:rPr>
        <w:t xml:space="preserve">his includes R126.6 million for </w:t>
      </w:r>
      <w:r w:rsidR="009757D6" w:rsidRPr="003C4106">
        <w:rPr>
          <w:i/>
          <w:color w:val="000000"/>
          <w:sz w:val="20"/>
          <w:szCs w:val="20"/>
        </w:rPr>
        <w:t>o</w:t>
      </w:r>
      <w:r w:rsidRPr="003C4106">
        <w:rPr>
          <w:i/>
          <w:color w:val="000000"/>
          <w:sz w:val="20"/>
          <w:szCs w:val="20"/>
        </w:rPr>
        <w:t>perating l</w:t>
      </w:r>
      <w:r w:rsidR="009757D6" w:rsidRPr="003C4106">
        <w:rPr>
          <w:i/>
          <w:color w:val="000000"/>
          <w:sz w:val="20"/>
          <w:szCs w:val="20"/>
        </w:rPr>
        <w:t>eases</w:t>
      </w:r>
      <w:r w:rsidR="009757D6" w:rsidRPr="003C4106">
        <w:rPr>
          <w:color w:val="000000"/>
          <w:sz w:val="20"/>
          <w:szCs w:val="20"/>
        </w:rPr>
        <w:t xml:space="preserve">, R56.2 for </w:t>
      </w:r>
      <w:r w:rsidR="009757D6" w:rsidRPr="003C4106">
        <w:rPr>
          <w:i/>
          <w:color w:val="000000"/>
          <w:sz w:val="20"/>
          <w:szCs w:val="20"/>
        </w:rPr>
        <w:t>p</w:t>
      </w:r>
      <w:r w:rsidRPr="003C4106">
        <w:rPr>
          <w:i/>
          <w:color w:val="000000"/>
          <w:sz w:val="20"/>
          <w:szCs w:val="20"/>
        </w:rPr>
        <w:t xml:space="preserve">roperty </w:t>
      </w:r>
      <w:r w:rsidR="009757D6" w:rsidRPr="003C4106">
        <w:rPr>
          <w:i/>
          <w:color w:val="000000"/>
          <w:sz w:val="20"/>
          <w:szCs w:val="20"/>
        </w:rPr>
        <w:t>payments</w:t>
      </w:r>
      <w:r w:rsidR="009757D6" w:rsidRPr="003C4106">
        <w:rPr>
          <w:color w:val="000000"/>
          <w:sz w:val="20"/>
          <w:szCs w:val="20"/>
        </w:rPr>
        <w:t xml:space="preserve"> and R51.0 million for </w:t>
      </w:r>
      <w:r w:rsidR="009757D6" w:rsidRPr="003C4106">
        <w:rPr>
          <w:i/>
          <w:color w:val="000000"/>
          <w:sz w:val="20"/>
          <w:szCs w:val="20"/>
        </w:rPr>
        <w:t>t</w:t>
      </w:r>
      <w:r w:rsidRPr="003C4106">
        <w:rPr>
          <w:i/>
          <w:color w:val="000000"/>
          <w:sz w:val="20"/>
          <w:szCs w:val="20"/>
        </w:rPr>
        <w:t xml:space="preserve">ravel and </w:t>
      </w:r>
      <w:r w:rsidR="009757D6" w:rsidRPr="003C4106">
        <w:rPr>
          <w:i/>
          <w:color w:val="000000"/>
          <w:sz w:val="20"/>
          <w:szCs w:val="20"/>
        </w:rPr>
        <w:t>s</w:t>
      </w:r>
      <w:r w:rsidRPr="003C4106">
        <w:rPr>
          <w:i/>
          <w:color w:val="000000"/>
          <w:sz w:val="20"/>
          <w:szCs w:val="20"/>
        </w:rPr>
        <w:t>ubsistence</w:t>
      </w:r>
      <w:r w:rsidRPr="003C4106">
        <w:rPr>
          <w:color w:val="000000"/>
          <w:sz w:val="20"/>
          <w:szCs w:val="20"/>
        </w:rPr>
        <w:t>.</w:t>
      </w:r>
    </w:p>
    <w:p w:rsidR="006169B9" w:rsidRPr="003C4106" w:rsidRDefault="006169B9" w:rsidP="003C4106">
      <w:pPr>
        <w:contextualSpacing/>
        <w:rPr>
          <w:color w:val="000000"/>
          <w:sz w:val="20"/>
          <w:szCs w:val="20"/>
        </w:rPr>
      </w:pPr>
      <w:bookmarkStart w:id="14" w:name="_1mrcu09" w:colFirst="0" w:colLast="0"/>
      <w:bookmarkEnd w:id="14"/>
    </w:p>
    <w:p w:rsidR="006169B9" w:rsidRPr="003C4106" w:rsidRDefault="006169B9" w:rsidP="003C4106">
      <w:pPr>
        <w:pStyle w:val="ListParagraph"/>
        <w:numPr>
          <w:ilvl w:val="2"/>
          <w:numId w:val="12"/>
        </w:numPr>
        <w:pBdr>
          <w:top w:val="nil"/>
          <w:left w:val="nil"/>
          <w:bottom w:val="nil"/>
          <w:right w:val="nil"/>
          <w:between w:val="nil"/>
        </w:pBdr>
        <w:spacing w:line="240" w:lineRule="auto"/>
        <w:contextualSpacing/>
        <w:outlineLvl w:val="2"/>
        <w:rPr>
          <w:rFonts w:cs="Arial"/>
          <w:i/>
          <w:sz w:val="20"/>
          <w:szCs w:val="20"/>
        </w:rPr>
      </w:pPr>
      <w:r w:rsidRPr="003C4106">
        <w:rPr>
          <w:rFonts w:cs="Arial"/>
          <w:i/>
          <w:sz w:val="20"/>
          <w:szCs w:val="20"/>
        </w:rPr>
        <w:t xml:space="preserve">Programme 2: </w:t>
      </w:r>
      <w:r w:rsidR="00EF0691" w:rsidRPr="003C4106">
        <w:rPr>
          <w:rFonts w:cs="Arial"/>
          <w:i/>
          <w:sz w:val="20"/>
          <w:szCs w:val="20"/>
        </w:rPr>
        <w:t>NHI</w:t>
      </w:r>
    </w:p>
    <w:p w:rsidR="00E777CA" w:rsidRPr="003C4106" w:rsidRDefault="00E777CA" w:rsidP="003C4106">
      <w:pPr>
        <w:tabs>
          <w:tab w:val="left" w:pos="1134"/>
        </w:tabs>
        <w:rPr>
          <w:rFonts w:eastAsia="Times New Roman"/>
          <w:color w:val="auto"/>
          <w:sz w:val="20"/>
          <w:szCs w:val="20"/>
          <w:lang w:val="en-ZA"/>
        </w:rPr>
      </w:pPr>
      <w:r w:rsidRPr="003C4106">
        <w:rPr>
          <w:rFonts w:eastAsia="Times New Roman"/>
          <w:color w:val="auto"/>
          <w:sz w:val="20"/>
          <w:szCs w:val="20"/>
          <w:lang w:val="en-ZA"/>
        </w:rPr>
        <w:t>The purpose of th</w:t>
      </w:r>
      <w:r w:rsidR="00EF0691" w:rsidRPr="003C4106">
        <w:rPr>
          <w:rFonts w:eastAsia="Times New Roman"/>
          <w:color w:val="auto"/>
          <w:sz w:val="20"/>
          <w:szCs w:val="20"/>
          <w:lang w:val="en-ZA"/>
        </w:rPr>
        <w:t>is</w:t>
      </w:r>
      <w:r w:rsidRPr="003C4106">
        <w:rPr>
          <w:rFonts w:eastAsia="Times New Roman"/>
          <w:color w:val="auto"/>
          <w:sz w:val="20"/>
          <w:szCs w:val="20"/>
          <w:lang w:val="en-ZA"/>
        </w:rPr>
        <w:t xml:space="preserve"> programme is to achieve universal health coverage by improving the quality and coverage of health services through the development and implementation of policies and health financing reforms.</w:t>
      </w:r>
    </w:p>
    <w:p w:rsidR="006169B9" w:rsidRPr="003C4106" w:rsidRDefault="006169B9" w:rsidP="003C4106">
      <w:pPr>
        <w:contextualSpacing/>
        <w:rPr>
          <w:color w:val="000000"/>
          <w:sz w:val="20"/>
          <w:szCs w:val="20"/>
        </w:rPr>
      </w:pPr>
    </w:p>
    <w:p w:rsidR="00920AE2" w:rsidRPr="003C4106" w:rsidRDefault="006D456D" w:rsidP="003C4106">
      <w:pPr>
        <w:pStyle w:val="Caption"/>
        <w:spacing w:after="0"/>
        <w:rPr>
          <w:rFonts w:eastAsia="Times New Roman"/>
          <w:b/>
          <w:color w:val="auto"/>
          <w:sz w:val="20"/>
          <w:szCs w:val="20"/>
          <w:lang w:eastAsia="en-GB"/>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4</w:t>
      </w:r>
      <w:r w:rsidR="00D95EDE" w:rsidRPr="003C4106">
        <w:rPr>
          <w:b/>
          <w:color w:val="auto"/>
          <w:sz w:val="20"/>
          <w:szCs w:val="20"/>
        </w:rPr>
        <w:fldChar w:fldCharType="end"/>
      </w:r>
      <w:r w:rsidR="00920AE2" w:rsidRPr="003C4106">
        <w:rPr>
          <w:rFonts w:eastAsia="Times New Roman"/>
          <w:b/>
          <w:color w:val="auto"/>
          <w:sz w:val="20"/>
          <w:szCs w:val="20"/>
          <w:lang w:eastAsia="en-GB"/>
        </w:rPr>
        <w:t xml:space="preserve">: </w:t>
      </w:r>
      <w:r w:rsidR="00E777CA" w:rsidRPr="003C4106">
        <w:rPr>
          <w:rFonts w:eastAsia="Times New Roman"/>
          <w:b/>
          <w:color w:val="auto"/>
          <w:sz w:val="20"/>
          <w:szCs w:val="20"/>
          <w:lang w:eastAsia="en-GB"/>
        </w:rPr>
        <w:t xml:space="preserve">NHI </w:t>
      </w:r>
      <w:r w:rsidR="00920AE2" w:rsidRPr="003C4106">
        <w:rPr>
          <w:rFonts w:eastAsia="Times New Roman"/>
          <w:b/>
          <w:color w:val="auto"/>
          <w:sz w:val="20"/>
          <w:szCs w:val="20"/>
          <w:lang w:eastAsia="en-GB"/>
        </w:rPr>
        <w:t>Programme budget allocation</w:t>
      </w:r>
    </w:p>
    <w:tbl>
      <w:tblPr>
        <w:tblStyle w:val="GridTable6Colorful2"/>
        <w:tblW w:w="8905" w:type="dxa"/>
        <w:tblLook w:val="04A0"/>
      </w:tblPr>
      <w:tblGrid>
        <w:gridCol w:w="1795"/>
        <w:gridCol w:w="939"/>
        <w:gridCol w:w="990"/>
        <w:gridCol w:w="1350"/>
        <w:gridCol w:w="1350"/>
        <w:gridCol w:w="1350"/>
        <w:gridCol w:w="1170"/>
      </w:tblGrid>
      <w:tr w:rsidR="00920AE2" w:rsidRPr="003C4106" w:rsidTr="00920AE2">
        <w:trPr>
          <w:cnfStyle w:val="100000000000"/>
          <w:trHeight w:val="638"/>
        </w:trPr>
        <w:tc>
          <w:tcPr>
            <w:cnfStyle w:val="001000000000"/>
            <w:tcW w:w="1795" w:type="dxa"/>
            <w:vMerge w:val="restart"/>
            <w:shd w:val="clear" w:color="auto" w:fill="BFBFBF"/>
            <w:noWrap/>
            <w:vAlign w:val="center"/>
            <w:hideMark/>
          </w:tcPr>
          <w:p w:rsidR="00920AE2" w:rsidRPr="003C4106" w:rsidRDefault="00920AE2" w:rsidP="003C4106">
            <w:pPr>
              <w:rPr>
                <w:rFonts w:ascii="Arial" w:hAnsi="Arial" w:cs="Arial"/>
                <w:lang w:eastAsia="en-GB"/>
              </w:rPr>
            </w:pPr>
            <w:r w:rsidRPr="003C4106">
              <w:rPr>
                <w:rFonts w:ascii="Arial" w:hAnsi="Arial" w:cs="Arial"/>
                <w:lang w:eastAsia="en-GB"/>
              </w:rPr>
              <w:t>Programme</w:t>
            </w:r>
          </w:p>
          <w:p w:rsidR="00920AE2" w:rsidRPr="003C4106" w:rsidRDefault="00920AE2" w:rsidP="003C4106">
            <w:pPr>
              <w:rPr>
                <w:rFonts w:ascii="Arial" w:hAnsi="Arial" w:cs="Arial"/>
                <w:lang w:eastAsia="en-GB"/>
              </w:rPr>
            </w:pPr>
          </w:p>
          <w:p w:rsidR="00920AE2" w:rsidRPr="003C4106" w:rsidRDefault="00920AE2" w:rsidP="003C4106">
            <w:pPr>
              <w:rPr>
                <w:rFonts w:ascii="Arial" w:hAnsi="Arial" w:cs="Arial"/>
                <w:lang w:eastAsia="en-GB"/>
              </w:rPr>
            </w:pPr>
            <w:r w:rsidRPr="003C4106">
              <w:rPr>
                <w:rFonts w:ascii="Arial" w:hAnsi="Arial" w:cs="Arial"/>
                <w:lang w:eastAsia="en-GB"/>
              </w:rPr>
              <w:t>R million</w:t>
            </w:r>
          </w:p>
        </w:tc>
        <w:tc>
          <w:tcPr>
            <w:tcW w:w="1890" w:type="dxa"/>
            <w:gridSpan w:val="2"/>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Budget</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 change in 2023/24</w:t>
            </w:r>
          </w:p>
        </w:tc>
        <w:tc>
          <w:tcPr>
            <w:tcW w:w="117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 change in 2023/24</w:t>
            </w:r>
          </w:p>
        </w:tc>
      </w:tr>
      <w:tr w:rsidR="00920AE2" w:rsidRPr="003C4106" w:rsidTr="00920AE2">
        <w:trPr>
          <w:cnfStyle w:val="000000100000"/>
          <w:trHeight w:val="330"/>
        </w:trPr>
        <w:tc>
          <w:tcPr>
            <w:cnfStyle w:val="001000000000"/>
            <w:tcW w:w="1795" w:type="dxa"/>
            <w:vMerge/>
            <w:noWrap/>
            <w:hideMark/>
          </w:tcPr>
          <w:p w:rsidR="00920AE2" w:rsidRPr="003C4106" w:rsidRDefault="00920AE2" w:rsidP="003C4106">
            <w:pPr>
              <w:rPr>
                <w:rFonts w:ascii="Arial" w:hAnsi="Arial" w:cs="Arial"/>
                <w:lang w:eastAsia="en-GB"/>
              </w:rPr>
            </w:pPr>
          </w:p>
        </w:tc>
        <w:tc>
          <w:tcPr>
            <w:tcW w:w="90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2022/23</w:t>
            </w:r>
          </w:p>
        </w:tc>
        <w:tc>
          <w:tcPr>
            <w:tcW w:w="99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2023/24</w:t>
            </w: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170" w:type="dxa"/>
            <w:vMerge/>
            <w:hideMark/>
          </w:tcPr>
          <w:p w:rsidR="00920AE2" w:rsidRPr="003C4106" w:rsidRDefault="00920AE2" w:rsidP="003C4106">
            <w:pPr>
              <w:cnfStyle w:val="000000100000"/>
              <w:rPr>
                <w:rFonts w:ascii="Arial" w:hAnsi="Arial" w:cs="Arial"/>
                <w:b/>
                <w:bCs/>
                <w:lang w:eastAsia="en-GB"/>
              </w:rPr>
            </w:pPr>
          </w:p>
        </w:tc>
      </w:tr>
      <w:tr w:rsidR="00920AE2" w:rsidRPr="003C4106" w:rsidTr="00137B63">
        <w:trPr>
          <w:trHeight w:val="264"/>
        </w:trPr>
        <w:tc>
          <w:tcPr>
            <w:cnfStyle w:val="001000000000"/>
            <w:tcW w:w="1795" w:type="dxa"/>
            <w:noWrap/>
          </w:tcPr>
          <w:p w:rsidR="00920AE2" w:rsidRPr="003C4106" w:rsidRDefault="00137B63" w:rsidP="003C4106">
            <w:pPr>
              <w:rPr>
                <w:rFonts w:ascii="Arial" w:hAnsi="Arial" w:cs="Arial"/>
                <w:lang w:eastAsia="en-GB"/>
              </w:rPr>
            </w:pPr>
            <w:r w:rsidRPr="003C4106">
              <w:rPr>
                <w:rFonts w:ascii="Arial" w:hAnsi="Arial" w:cs="Arial"/>
                <w:lang w:eastAsia="en-GB"/>
              </w:rPr>
              <w:lastRenderedPageBreak/>
              <w:t>Programme Management</w:t>
            </w:r>
          </w:p>
        </w:tc>
        <w:tc>
          <w:tcPr>
            <w:tcW w:w="900" w:type="dxa"/>
            <w:noWrap/>
          </w:tcPr>
          <w:p w:rsidR="00920AE2" w:rsidRPr="003C4106" w:rsidRDefault="00137B63" w:rsidP="003C4106">
            <w:pPr>
              <w:cnfStyle w:val="000000000000"/>
              <w:rPr>
                <w:rFonts w:ascii="Arial" w:hAnsi="Arial" w:cs="Arial"/>
                <w:lang w:eastAsia="en-GB"/>
              </w:rPr>
            </w:pPr>
            <w:r w:rsidRPr="003C4106">
              <w:rPr>
                <w:rFonts w:ascii="Arial" w:hAnsi="Arial" w:cs="Arial"/>
                <w:lang w:eastAsia="en-GB"/>
              </w:rPr>
              <w:t>6,9</w:t>
            </w:r>
          </w:p>
        </w:tc>
        <w:tc>
          <w:tcPr>
            <w:tcW w:w="99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7,1</w:t>
            </w:r>
          </w:p>
        </w:tc>
        <w:tc>
          <w:tcPr>
            <w:tcW w:w="135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0,2</w:t>
            </w:r>
          </w:p>
        </w:tc>
        <w:tc>
          <w:tcPr>
            <w:tcW w:w="135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-0,1</w:t>
            </w:r>
          </w:p>
        </w:tc>
        <w:tc>
          <w:tcPr>
            <w:tcW w:w="135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2,9%</w:t>
            </w:r>
          </w:p>
        </w:tc>
        <w:tc>
          <w:tcPr>
            <w:tcW w:w="117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-1,9%</w:t>
            </w:r>
          </w:p>
        </w:tc>
      </w:tr>
      <w:tr w:rsidR="00920AE2" w:rsidRPr="003C4106" w:rsidTr="00137B63">
        <w:trPr>
          <w:cnfStyle w:val="000000100000"/>
          <w:trHeight w:val="264"/>
        </w:trPr>
        <w:tc>
          <w:tcPr>
            <w:cnfStyle w:val="001000000000"/>
            <w:tcW w:w="1795" w:type="dxa"/>
            <w:noWrap/>
          </w:tcPr>
          <w:p w:rsidR="00920AE2" w:rsidRPr="003C4106" w:rsidRDefault="00137B63" w:rsidP="003C4106">
            <w:pPr>
              <w:rPr>
                <w:rFonts w:ascii="Arial" w:hAnsi="Arial" w:cs="Arial"/>
                <w:lang w:eastAsia="en-GB"/>
              </w:rPr>
            </w:pPr>
            <w:r w:rsidRPr="003C4106">
              <w:rPr>
                <w:rFonts w:ascii="Arial" w:hAnsi="Arial" w:cs="Arial"/>
                <w:lang w:eastAsia="en-GB"/>
              </w:rPr>
              <w:t>Affordable Medicine</w:t>
            </w:r>
          </w:p>
        </w:tc>
        <w:tc>
          <w:tcPr>
            <w:tcW w:w="900" w:type="dxa"/>
            <w:noWrap/>
          </w:tcPr>
          <w:p w:rsidR="00920AE2" w:rsidRPr="003C4106" w:rsidRDefault="00137B63" w:rsidP="003C4106">
            <w:pPr>
              <w:cnfStyle w:val="000000100000"/>
              <w:rPr>
                <w:rFonts w:ascii="Arial" w:hAnsi="Arial" w:cs="Arial"/>
                <w:lang w:eastAsia="en-GB"/>
              </w:rPr>
            </w:pPr>
            <w:r w:rsidRPr="003C4106">
              <w:rPr>
                <w:rFonts w:ascii="Arial" w:hAnsi="Arial" w:cs="Arial"/>
                <w:lang w:eastAsia="en-GB"/>
              </w:rPr>
              <w:t>56,0</w:t>
            </w:r>
          </w:p>
        </w:tc>
        <w:tc>
          <w:tcPr>
            <w:tcW w:w="99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56,0</w:t>
            </w:r>
          </w:p>
        </w:tc>
        <w:tc>
          <w:tcPr>
            <w:tcW w:w="135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0</w:t>
            </w:r>
          </w:p>
        </w:tc>
        <w:tc>
          <w:tcPr>
            <w:tcW w:w="135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-2,</w:t>
            </w:r>
            <w:r w:rsidR="006D456D" w:rsidRPr="003C4106">
              <w:rPr>
                <w:rFonts w:ascii="Arial" w:hAnsi="Arial" w:cs="Arial"/>
                <w:lang w:eastAsia="en-GB"/>
              </w:rPr>
              <w:t>6</w:t>
            </w:r>
          </w:p>
        </w:tc>
        <w:tc>
          <w:tcPr>
            <w:tcW w:w="135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0%</w:t>
            </w:r>
          </w:p>
        </w:tc>
        <w:tc>
          <w:tcPr>
            <w:tcW w:w="117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-4,7%</w:t>
            </w:r>
          </w:p>
        </w:tc>
      </w:tr>
      <w:tr w:rsidR="00920AE2" w:rsidRPr="003C4106" w:rsidTr="00137B63">
        <w:trPr>
          <w:trHeight w:val="264"/>
        </w:trPr>
        <w:tc>
          <w:tcPr>
            <w:cnfStyle w:val="001000000000"/>
            <w:tcW w:w="1795" w:type="dxa"/>
            <w:noWrap/>
          </w:tcPr>
          <w:p w:rsidR="00920AE2" w:rsidRPr="003C4106" w:rsidRDefault="00137B63" w:rsidP="003C4106">
            <w:pPr>
              <w:rPr>
                <w:rFonts w:ascii="Arial" w:hAnsi="Arial" w:cs="Arial"/>
                <w:lang w:eastAsia="en-GB"/>
              </w:rPr>
            </w:pPr>
            <w:r w:rsidRPr="003C4106">
              <w:rPr>
                <w:rFonts w:ascii="Arial" w:hAnsi="Arial" w:cs="Arial"/>
                <w:lang w:eastAsia="en-GB"/>
              </w:rPr>
              <w:t>Health Financing &amp; NHI</w:t>
            </w:r>
          </w:p>
        </w:tc>
        <w:tc>
          <w:tcPr>
            <w:tcW w:w="900" w:type="dxa"/>
            <w:noWrap/>
          </w:tcPr>
          <w:p w:rsidR="00920AE2" w:rsidRPr="003C4106" w:rsidRDefault="00137B63" w:rsidP="003C4106">
            <w:pPr>
              <w:cnfStyle w:val="000000000000"/>
              <w:rPr>
                <w:rFonts w:ascii="Arial" w:hAnsi="Arial" w:cs="Arial"/>
                <w:lang w:eastAsia="en-GB"/>
              </w:rPr>
            </w:pPr>
            <w:r w:rsidRPr="003C4106">
              <w:rPr>
                <w:rFonts w:ascii="Arial" w:hAnsi="Arial" w:cs="Arial"/>
                <w:lang w:eastAsia="en-GB"/>
              </w:rPr>
              <w:t>1 471,2</w:t>
            </w:r>
          </w:p>
        </w:tc>
        <w:tc>
          <w:tcPr>
            <w:tcW w:w="99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1 479,5</w:t>
            </w:r>
          </w:p>
        </w:tc>
        <w:tc>
          <w:tcPr>
            <w:tcW w:w="135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8,3</w:t>
            </w:r>
          </w:p>
        </w:tc>
        <w:tc>
          <w:tcPr>
            <w:tcW w:w="135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-60,8</w:t>
            </w:r>
          </w:p>
        </w:tc>
        <w:tc>
          <w:tcPr>
            <w:tcW w:w="135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0,6%</w:t>
            </w:r>
          </w:p>
        </w:tc>
        <w:tc>
          <w:tcPr>
            <w:tcW w:w="1170" w:type="dxa"/>
            <w:noWrap/>
          </w:tcPr>
          <w:p w:rsidR="00920AE2" w:rsidRPr="003C4106" w:rsidRDefault="00737013" w:rsidP="003C4106">
            <w:pPr>
              <w:cnfStyle w:val="000000000000"/>
              <w:rPr>
                <w:rFonts w:ascii="Arial" w:hAnsi="Arial" w:cs="Arial"/>
                <w:lang w:eastAsia="en-GB"/>
              </w:rPr>
            </w:pPr>
            <w:r w:rsidRPr="003C4106">
              <w:rPr>
                <w:rFonts w:ascii="Arial" w:hAnsi="Arial" w:cs="Arial"/>
                <w:lang w:eastAsia="en-GB"/>
              </w:rPr>
              <w:t>-4,1%</w:t>
            </w:r>
          </w:p>
        </w:tc>
      </w:tr>
      <w:tr w:rsidR="00920AE2" w:rsidRPr="003C4106" w:rsidTr="00920AE2">
        <w:trPr>
          <w:cnfStyle w:val="000000100000"/>
          <w:trHeight w:val="264"/>
        </w:trPr>
        <w:tc>
          <w:tcPr>
            <w:cnfStyle w:val="001000000000"/>
            <w:tcW w:w="1795" w:type="dxa"/>
            <w:noWrap/>
          </w:tcPr>
          <w:p w:rsidR="00920AE2" w:rsidRPr="003C4106" w:rsidRDefault="00920AE2" w:rsidP="003C4106">
            <w:pPr>
              <w:rPr>
                <w:rFonts w:ascii="Arial" w:hAnsi="Arial" w:cs="Arial"/>
                <w:lang w:eastAsia="en-GB"/>
              </w:rPr>
            </w:pPr>
            <w:r w:rsidRPr="003C4106">
              <w:rPr>
                <w:rFonts w:ascii="Arial" w:hAnsi="Arial" w:cs="Arial"/>
                <w:lang w:eastAsia="en-GB"/>
              </w:rPr>
              <w:t>Total</w:t>
            </w:r>
          </w:p>
        </w:tc>
        <w:tc>
          <w:tcPr>
            <w:tcW w:w="900" w:type="dxa"/>
            <w:noWrap/>
          </w:tcPr>
          <w:p w:rsidR="00920AE2" w:rsidRPr="003C4106" w:rsidRDefault="00137B63" w:rsidP="003C4106">
            <w:pPr>
              <w:cnfStyle w:val="000000100000"/>
              <w:rPr>
                <w:rFonts w:ascii="Arial" w:hAnsi="Arial" w:cs="Arial"/>
                <w:lang w:eastAsia="en-GB"/>
              </w:rPr>
            </w:pPr>
            <w:r w:rsidRPr="003C4106">
              <w:rPr>
                <w:rFonts w:ascii="Arial" w:hAnsi="Arial" w:cs="Arial"/>
                <w:lang w:eastAsia="en-GB"/>
              </w:rPr>
              <w:t>1 534,1</w:t>
            </w:r>
          </w:p>
        </w:tc>
        <w:tc>
          <w:tcPr>
            <w:tcW w:w="990" w:type="dxa"/>
            <w:noWrap/>
          </w:tcPr>
          <w:p w:rsidR="00920AE2" w:rsidRPr="003C4106" w:rsidRDefault="00137B63" w:rsidP="003C4106">
            <w:pPr>
              <w:cnfStyle w:val="000000100000"/>
              <w:rPr>
                <w:rFonts w:ascii="Arial" w:hAnsi="Arial" w:cs="Arial"/>
                <w:lang w:eastAsia="en-GB"/>
              </w:rPr>
            </w:pPr>
            <w:r w:rsidRPr="003C4106">
              <w:rPr>
                <w:rFonts w:ascii="Arial" w:hAnsi="Arial" w:cs="Arial"/>
                <w:lang w:eastAsia="en-GB"/>
              </w:rPr>
              <w:t>1 542,6</w:t>
            </w:r>
          </w:p>
        </w:tc>
        <w:tc>
          <w:tcPr>
            <w:tcW w:w="135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8,5</w:t>
            </w:r>
          </w:p>
        </w:tc>
        <w:tc>
          <w:tcPr>
            <w:tcW w:w="135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-63,6</w:t>
            </w:r>
          </w:p>
        </w:tc>
        <w:tc>
          <w:tcPr>
            <w:tcW w:w="1350" w:type="dxa"/>
            <w:noWrap/>
          </w:tcPr>
          <w:p w:rsidR="00920AE2" w:rsidRPr="003C4106" w:rsidRDefault="006D456D" w:rsidP="003C4106">
            <w:pPr>
              <w:cnfStyle w:val="000000100000"/>
              <w:rPr>
                <w:rFonts w:ascii="Arial" w:hAnsi="Arial" w:cs="Arial"/>
                <w:lang w:eastAsia="en-GB"/>
              </w:rPr>
            </w:pPr>
            <w:r w:rsidRPr="003C4106">
              <w:rPr>
                <w:rFonts w:ascii="Arial" w:hAnsi="Arial" w:cs="Arial"/>
                <w:lang w:eastAsia="en-GB"/>
              </w:rPr>
              <w:t>0,6%</w:t>
            </w:r>
          </w:p>
        </w:tc>
        <w:tc>
          <w:tcPr>
            <w:tcW w:w="1170" w:type="dxa"/>
            <w:noWrap/>
          </w:tcPr>
          <w:p w:rsidR="00920AE2" w:rsidRPr="003C4106" w:rsidRDefault="00737013" w:rsidP="003C4106">
            <w:pPr>
              <w:cnfStyle w:val="000000100000"/>
              <w:rPr>
                <w:rFonts w:ascii="Arial" w:hAnsi="Arial" w:cs="Arial"/>
                <w:lang w:eastAsia="en-GB"/>
              </w:rPr>
            </w:pPr>
            <w:r w:rsidRPr="003C4106">
              <w:rPr>
                <w:rFonts w:ascii="Arial" w:hAnsi="Arial" w:cs="Arial"/>
                <w:lang w:eastAsia="en-GB"/>
              </w:rPr>
              <w:t>-4,1%</w:t>
            </w:r>
          </w:p>
        </w:tc>
      </w:tr>
    </w:tbl>
    <w:p w:rsidR="00920AE2" w:rsidRPr="003C4106" w:rsidRDefault="00920AE2" w:rsidP="003C4106">
      <w:pPr>
        <w:rPr>
          <w:rFonts w:eastAsia="Times New Roman"/>
          <w:color w:val="auto"/>
          <w:sz w:val="20"/>
          <w:szCs w:val="20"/>
          <w:lang w:eastAsia="en-GB"/>
        </w:rPr>
      </w:pPr>
      <w:r w:rsidRPr="003C4106">
        <w:rPr>
          <w:rFonts w:eastAsia="Times New Roman"/>
          <w:i/>
          <w:iCs/>
          <w:color w:val="auto"/>
          <w:sz w:val="20"/>
          <w:szCs w:val="20"/>
          <w:lang w:eastAsia="en-GB"/>
        </w:rPr>
        <w:t>Source: National Treasury (2023)</w:t>
      </w:r>
    </w:p>
    <w:p w:rsidR="00920AE2" w:rsidRPr="003C4106" w:rsidRDefault="00920AE2" w:rsidP="003C4106">
      <w:pPr>
        <w:contextualSpacing/>
        <w:rPr>
          <w:color w:val="000000"/>
          <w:sz w:val="20"/>
          <w:szCs w:val="20"/>
        </w:rPr>
      </w:pPr>
    </w:p>
    <w:p w:rsidR="006169B9" w:rsidRPr="003C4106" w:rsidRDefault="00B730B5" w:rsidP="003C4106">
      <w:pPr>
        <w:contextualSpacing/>
        <w:rPr>
          <w:color w:val="000000"/>
          <w:sz w:val="20"/>
          <w:szCs w:val="20"/>
        </w:rPr>
      </w:pPr>
      <w:r w:rsidRPr="003C4106">
        <w:rPr>
          <w:color w:val="000000"/>
          <w:sz w:val="20"/>
          <w:szCs w:val="20"/>
        </w:rPr>
        <w:t>This p</w:t>
      </w:r>
      <w:r w:rsidR="006169B9" w:rsidRPr="003C4106">
        <w:rPr>
          <w:color w:val="000000"/>
          <w:sz w:val="20"/>
          <w:szCs w:val="20"/>
        </w:rPr>
        <w:t xml:space="preserve">rogramme’s </w:t>
      </w:r>
      <w:r w:rsidR="0084756B" w:rsidRPr="003C4106">
        <w:rPr>
          <w:color w:val="000000"/>
          <w:sz w:val="20"/>
          <w:szCs w:val="20"/>
        </w:rPr>
        <w:t>budget increases by 0.6% in nominal terms (decreases by 4.1% in real terms). A</w:t>
      </w:r>
      <w:r w:rsidR="00183E4C" w:rsidRPr="003C4106">
        <w:rPr>
          <w:color w:val="000000"/>
          <w:sz w:val="20"/>
          <w:szCs w:val="20"/>
        </w:rPr>
        <w:t xml:space="preserve"> total of R</w:t>
      </w:r>
      <w:r w:rsidR="0084756B" w:rsidRPr="003C4106">
        <w:rPr>
          <w:color w:val="000000"/>
          <w:sz w:val="20"/>
          <w:szCs w:val="20"/>
        </w:rPr>
        <w:t xml:space="preserve">793.1 million is allocated for </w:t>
      </w:r>
      <w:r w:rsidR="0084756B" w:rsidRPr="003C4106">
        <w:rPr>
          <w:i/>
          <w:color w:val="000000"/>
          <w:sz w:val="20"/>
          <w:szCs w:val="20"/>
        </w:rPr>
        <w:t>current payments</w:t>
      </w:r>
      <w:r w:rsidR="0084756B" w:rsidRPr="003C4106">
        <w:rPr>
          <w:color w:val="000000"/>
          <w:sz w:val="20"/>
          <w:szCs w:val="20"/>
        </w:rPr>
        <w:t xml:space="preserve">, of which R700.1 million is for </w:t>
      </w:r>
      <w:r w:rsidR="0084756B" w:rsidRPr="003C4106">
        <w:rPr>
          <w:i/>
          <w:color w:val="000000"/>
          <w:sz w:val="20"/>
          <w:szCs w:val="20"/>
        </w:rPr>
        <w:t>goods and services</w:t>
      </w:r>
      <w:r w:rsidR="00C4462E" w:rsidRPr="003C4106">
        <w:rPr>
          <w:i/>
          <w:color w:val="000000"/>
          <w:sz w:val="20"/>
          <w:szCs w:val="20"/>
        </w:rPr>
        <w:t xml:space="preserve">, </w:t>
      </w:r>
      <w:r w:rsidR="00C4462E" w:rsidRPr="003C4106">
        <w:rPr>
          <w:color w:val="000000"/>
          <w:sz w:val="20"/>
          <w:szCs w:val="20"/>
        </w:rPr>
        <w:t>and R554.3</w:t>
      </w:r>
      <w:r w:rsidR="0084756B" w:rsidRPr="003C4106">
        <w:rPr>
          <w:color w:val="000000"/>
          <w:sz w:val="20"/>
          <w:szCs w:val="20"/>
        </w:rPr>
        <w:t xml:space="preserve"> million or 70.0% of the goods and services budget is spent on contractors. </w:t>
      </w:r>
      <w:r w:rsidR="006D2506" w:rsidRPr="003C4106">
        <w:rPr>
          <w:color w:val="000000"/>
          <w:sz w:val="20"/>
          <w:szCs w:val="20"/>
        </w:rPr>
        <w:t>In</w:t>
      </w:r>
      <w:r w:rsidR="0084756B" w:rsidRPr="003C4106">
        <w:rPr>
          <w:color w:val="000000"/>
          <w:sz w:val="20"/>
          <w:szCs w:val="20"/>
        </w:rPr>
        <w:t xml:space="preserve"> terms of </w:t>
      </w:r>
      <w:r w:rsidR="0084756B" w:rsidRPr="003C4106">
        <w:rPr>
          <w:i/>
          <w:color w:val="000000"/>
          <w:sz w:val="20"/>
          <w:szCs w:val="20"/>
        </w:rPr>
        <w:t>transfers and subsidies</w:t>
      </w:r>
      <w:r w:rsidR="00183E4C" w:rsidRPr="003C4106">
        <w:rPr>
          <w:color w:val="000000"/>
          <w:sz w:val="20"/>
          <w:szCs w:val="20"/>
        </w:rPr>
        <w:t>, R</w:t>
      </w:r>
      <w:r w:rsidR="0084756B" w:rsidRPr="003C4106">
        <w:rPr>
          <w:color w:val="000000"/>
          <w:sz w:val="20"/>
          <w:szCs w:val="20"/>
        </w:rPr>
        <w:t xml:space="preserve">694.7 million is transferred to </w:t>
      </w:r>
      <w:r w:rsidR="0084756B" w:rsidRPr="003C4106">
        <w:rPr>
          <w:i/>
          <w:color w:val="000000"/>
          <w:sz w:val="20"/>
          <w:szCs w:val="20"/>
        </w:rPr>
        <w:t>provinces and municipalities</w:t>
      </w:r>
      <w:r w:rsidR="006D2506" w:rsidRPr="003C4106">
        <w:rPr>
          <w:color w:val="000000"/>
          <w:sz w:val="20"/>
          <w:szCs w:val="20"/>
        </w:rPr>
        <w:t xml:space="preserve">. </w:t>
      </w:r>
      <w:r w:rsidR="006D2506" w:rsidRPr="003C4106">
        <w:rPr>
          <w:i/>
          <w:color w:val="000000"/>
          <w:sz w:val="20"/>
          <w:szCs w:val="20"/>
        </w:rPr>
        <w:t>Capital assets</w:t>
      </w:r>
      <w:r w:rsidR="006D2506" w:rsidRPr="003C4106">
        <w:rPr>
          <w:color w:val="000000"/>
          <w:sz w:val="20"/>
          <w:szCs w:val="20"/>
        </w:rPr>
        <w:t xml:space="preserve"> </w:t>
      </w:r>
      <w:r w:rsidR="0084756B" w:rsidRPr="003C4106">
        <w:rPr>
          <w:color w:val="000000"/>
          <w:sz w:val="20"/>
          <w:szCs w:val="20"/>
        </w:rPr>
        <w:t xml:space="preserve">is allocated </w:t>
      </w:r>
      <w:r w:rsidR="006D2506" w:rsidRPr="003C4106">
        <w:rPr>
          <w:color w:val="000000"/>
          <w:sz w:val="20"/>
          <w:szCs w:val="20"/>
        </w:rPr>
        <w:t>54.8 million</w:t>
      </w:r>
      <w:r w:rsidR="0084756B" w:rsidRPr="003C4106">
        <w:rPr>
          <w:color w:val="000000"/>
          <w:sz w:val="20"/>
          <w:szCs w:val="20"/>
        </w:rPr>
        <w:t xml:space="preserve">. </w:t>
      </w:r>
    </w:p>
    <w:p w:rsidR="006169B9" w:rsidRPr="003C4106" w:rsidRDefault="006169B9" w:rsidP="003C4106">
      <w:pPr>
        <w:contextualSpacing/>
        <w:rPr>
          <w:color w:val="000000"/>
          <w:sz w:val="20"/>
          <w:szCs w:val="20"/>
        </w:rPr>
      </w:pPr>
    </w:p>
    <w:p w:rsidR="006169B9" w:rsidRPr="003C4106" w:rsidRDefault="006169B9" w:rsidP="003C4106">
      <w:pPr>
        <w:pStyle w:val="ListParagraph"/>
        <w:numPr>
          <w:ilvl w:val="2"/>
          <w:numId w:val="12"/>
        </w:numPr>
        <w:pBdr>
          <w:top w:val="nil"/>
          <w:left w:val="nil"/>
          <w:bottom w:val="nil"/>
          <w:right w:val="nil"/>
          <w:between w:val="nil"/>
        </w:pBdr>
        <w:spacing w:line="240" w:lineRule="auto"/>
        <w:contextualSpacing/>
        <w:outlineLvl w:val="2"/>
        <w:rPr>
          <w:rFonts w:cs="Arial"/>
          <w:i/>
          <w:sz w:val="20"/>
          <w:szCs w:val="20"/>
        </w:rPr>
      </w:pPr>
      <w:bookmarkStart w:id="15" w:name="_46r0co2" w:colFirst="0" w:colLast="0"/>
      <w:bookmarkEnd w:id="15"/>
      <w:r w:rsidRPr="003C4106">
        <w:rPr>
          <w:rFonts w:cs="Arial"/>
          <w:i/>
          <w:sz w:val="20"/>
          <w:szCs w:val="20"/>
        </w:rPr>
        <w:t>Programme 3: Communicable and Non-Communicable Diseases</w:t>
      </w:r>
    </w:p>
    <w:p w:rsidR="006169B9" w:rsidRPr="003C4106" w:rsidRDefault="00F10E2D" w:rsidP="003C4106">
      <w:pPr>
        <w:contextualSpacing/>
        <w:rPr>
          <w:color w:val="000000"/>
          <w:sz w:val="20"/>
          <w:szCs w:val="20"/>
        </w:rPr>
      </w:pPr>
      <w:r w:rsidRPr="003C4106">
        <w:rPr>
          <w:color w:val="000000"/>
          <w:sz w:val="20"/>
          <w:szCs w:val="20"/>
        </w:rPr>
        <w:t>The purpose of th</w:t>
      </w:r>
      <w:r w:rsidR="00B730B5" w:rsidRPr="003C4106">
        <w:rPr>
          <w:color w:val="000000"/>
          <w:sz w:val="20"/>
          <w:szCs w:val="20"/>
        </w:rPr>
        <w:t>is</w:t>
      </w:r>
      <w:r w:rsidRPr="003C4106">
        <w:rPr>
          <w:color w:val="000000"/>
          <w:sz w:val="20"/>
          <w:szCs w:val="20"/>
        </w:rPr>
        <w:t xml:space="preserve"> programme is to develop and support the implementation of national policies, guidelines, norms and standards, and the achievement of targets for the national response needed to decrease morbidity and mortality associated with communicable and non</w:t>
      </w:r>
      <w:r w:rsidRPr="003C4106">
        <w:rPr>
          <w:rFonts w:ascii="Times New Roman" w:hAnsi="Times New Roman"/>
          <w:color w:val="000000"/>
          <w:sz w:val="20"/>
          <w:szCs w:val="20"/>
        </w:rPr>
        <w:t>‐</w:t>
      </w:r>
      <w:r w:rsidRPr="003C4106">
        <w:rPr>
          <w:color w:val="000000"/>
          <w:sz w:val="20"/>
          <w:szCs w:val="20"/>
        </w:rPr>
        <w:t>communicable diseases. Develop strategies and implement programmes that reduce maternal and child mortality.</w:t>
      </w:r>
    </w:p>
    <w:p w:rsidR="00B730B5" w:rsidRPr="003C4106" w:rsidRDefault="00B730B5" w:rsidP="003C4106">
      <w:pPr>
        <w:contextualSpacing/>
        <w:rPr>
          <w:color w:val="000000"/>
          <w:sz w:val="20"/>
          <w:szCs w:val="20"/>
        </w:rPr>
      </w:pPr>
    </w:p>
    <w:p w:rsidR="00920AE2" w:rsidRPr="003C4106" w:rsidRDefault="00920AE2" w:rsidP="003C4106">
      <w:pPr>
        <w:pStyle w:val="Caption"/>
        <w:spacing w:after="0"/>
        <w:rPr>
          <w:rFonts w:eastAsia="Times New Roman"/>
          <w:b/>
          <w:color w:val="auto"/>
          <w:sz w:val="20"/>
          <w:szCs w:val="20"/>
          <w:lang w:eastAsia="en-GB"/>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5</w:t>
      </w:r>
      <w:r w:rsidR="00D95EDE" w:rsidRPr="003C4106">
        <w:rPr>
          <w:b/>
          <w:color w:val="auto"/>
          <w:sz w:val="20"/>
          <w:szCs w:val="20"/>
        </w:rPr>
        <w:fldChar w:fldCharType="end"/>
      </w:r>
      <w:r w:rsidRPr="003C4106">
        <w:rPr>
          <w:rFonts w:eastAsia="Times New Roman"/>
          <w:b/>
          <w:color w:val="auto"/>
          <w:sz w:val="20"/>
          <w:szCs w:val="20"/>
          <w:lang w:eastAsia="en-GB"/>
        </w:rPr>
        <w:t xml:space="preserve">: </w:t>
      </w:r>
      <w:r w:rsidR="00A36002" w:rsidRPr="003C4106">
        <w:rPr>
          <w:rFonts w:eastAsia="Times New Roman"/>
          <w:b/>
          <w:color w:val="auto"/>
          <w:sz w:val="20"/>
          <w:szCs w:val="20"/>
          <w:lang w:eastAsia="en-GB"/>
        </w:rPr>
        <w:t xml:space="preserve">Communicable and Non-Communicable Diseases </w:t>
      </w:r>
      <w:r w:rsidRPr="003C4106">
        <w:rPr>
          <w:rFonts w:eastAsia="Times New Roman"/>
          <w:b/>
          <w:color w:val="auto"/>
          <w:sz w:val="20"/>
          <w:szCs w:val="20"/>
          <w:lang w:eastAsia="en-GB"/>
        </w:rPr>
        <w:t>Programme budget allocation</w:t>
      </w:r>
    </w:p>
    <w:tbl>
      <w:tblPr>
        <w:tblStyle w:val="GridTable6Colorful2"/>
        <w:tblW w:w="8905" w:type="dxa"/>
        <w:tblLook w:val="04A0"/>
      </w:tblPr>
      <w:tblGrid>
        <w:gridCol w:w="1705"/>
        <w:gridCol w:w="990"/>
        <w:gridCol w:w="990"/>
        <w:gridCol w:w="1350"/>
        <w:gridCol w:w="1350"/>
        <w:gridCol w:w="1350"/>
        <w:gridCol w:w="1170"/>
      </w:tblGrid>
      <w:tr w:rsidR="00920AE2" w:rsidRPr="003C4106" w:rsidTr="00531559">
        <w:trPr>
          <w:cnfStyle w:val="100000000000"/>
          <w:trHeight w:val="638"/>
        </w:trPr>
        <w:tc>
          <w:tcPr>
            <w:cnfStyle w:val="001000000000"/>
            <w:tcW w:w="1705" w:type="dxa"/>
            <w:vMerge w:val="restart"/>
            <w:shd w:val="clear" w:color="auto" w:fill="BFBFBF"/>
            <w:noWrap/>
            <w:vAlign w:val="center"/>
            <w:hideMark/>
          </w:tcPr>
          <w:p w:rsidR="00920AE2" w:rsidRPr="003C4106" w:rsidRDefault="00920AE2" w:rsidP="003C4106">
            <w:pPr>
              <w:rPr>
                <w:rFonts w:ascii="Arial" w:hAnsi="Arial" w:cs="Arial"/>
                <w:lang w:eastAsia="en-GB"/>
              </w:rPr>
            </w:pPr>
            <w:r w:rsidRPr="003C4106">
              <w:rPr>
                <w:rFonts w:ascii="Arial" w:hAnsi="Arial" w:cs="Arial"/>
                <w:lang w:eastAsia="en-GB"/>
              </w:rPr>
              <w:t>Programme</w:t>
            </w:r>
          </w:p>
          <w:p w:rsidR="00920AE2" w:rsidRPr="003C4106" w:rsidRDefault="00920AE2" w:rsidP="003C4106">
            <w:pPr>
              <w:rPr>
                <w:rFonts w:ascii="Arial" w:hAnsi="Arial" w:cs="Arial"/>
                <w:lang w:eastAsia="en-GB"/>
              </w:rPr>
            </w:pPr>
          </w:p>
          <w:p w:rsidR="00920AE2" w:rsidRPr="003C4106" w:rsidRDefault="00920AE2" w:rsidP="003C4106">
            <w:pPr>
              <w:rPr>
                <w:rFonts w:ascii="Arial" w:hAnsi="Arial" w:cs="Arial"/>
                <w:lang w:eastAsia="en-GB"/>
              </w:rPr>
            </w:pPr>
            <w:r w:rsidRPr="003C4106">
              <w:rPr>
                <w:rFonts w:ascii="Arial" w:hAnsi="Arial" w:cs="Arial"/>
                <w:lang w:eastAsia="en-GB"/>
              </w:rPr>
              <w:t>R million</w:t>
            </w:r>
          </w:p>
        </w:tc>
        <w:tc>
          <w:tcPr>
            <w:tcW w:w="1980" w:type="dxa"/>
            <w:gridSpan w:val="2"/>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Budget</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 change in 2023/24</w:t>
            </w:r>
          </w:p>
        </w:tc>
        <w:tc>
          <w:tcPr>
            <w:tcW w:w="117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 change in 2023/24</w:t>
            </w:r>
          </w:p>
        </w:tc>
      </w:tr>
      <w:tr w:rsidR="00920AE2" w:rsidRPr="003C4106" w:rsidTr="00531559">
        <w:trPr>
          <w:cnfStyle w:val="000000100000"/>
          <w:trHeight w:val="330"/>
        </w:trPr>
        <w:tc>
          <w:tcPr>
            <w:cnfStyle w:val="001000000000"/>
            <w:tcW w:w="1705" w:type="dxa"/>
            <w:vMerge/>
            <w:noWrap/>
            <w:hideMark/>
          </w:tcPr>
          <w:p w:rsidR="00920AE2" w:rsidRPr="003C4106" w:rsidRDefault="00920AE2" w:rsidP="003C4106">
            <w:pPr>
              <w:rPr>
                <w:rFonts w:ascii="Arial" w:hAnsi="Arial" w:cs="Arial"/>
                <w:lang w:eastAsia="en-GB"/>
              </w:rPr>
            </w:pPr>
          </w:p>
        </w:tc>
        <w:tc>
          <w:tcPr>
            <w:tcW w:w="99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2022/23</w:t>
            </w:r>
          </w:p>
        </w:tc>
        <w:tc>
          <w:tcPr>
            <w:tcW w:w="99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2023/24</w:t>
            </w: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170" w:type="dxa"/>
            <w:vMerge/>
            <w:hideMark/>
          </w:tcPr>
          <w:p w:rsidR="00920AE2" w:rsidRPr="003C4106" w:rsidRDefault="00920AE2" w:rsidP="003C4106">
            <w:pPr>
              <w:cnfStyle w:val="000000100000"/>
              <w:rPr>
                <w:rFonts w:ascii="Arial" w:hAnsi="Arial" w:cs="Arial"/>
                <w:b/>
                <w:bCs/>
                <w:lang w:eastAsia="en-GB"/>
              </w:rPr>
            </w:pPr>
          </w:p>
        </w:tc>
      </w:tr>
      <w:tr w:rsidR="00920AE2" w:rsidRPr="003C4106" w:rsidTr="00531559">
        <w:trPr>
          <w:trHeight w:val="264"/>
        </w:trPr>
        <w:tc>
          <w:tcPr>
            <w:cnfStyle w:val="001000000000"/>
            <w:tcW w:w="1705" w:type="dxa"/>
            <w:noWrap/>
          </w:tcPr>
          <w:p w:rsidR="00920AE2" w:rsidRPr="003C4106" w:rsidRDefault="00DB5412" w:rsidP="003C4106">
            <w:pPr>
              <w:rPr>
                <w:rFonts w:ascii="Arial" w:hAnsi="Arial" w:cs="Arial"/>
                <w:lang w:eastAsia="en-GB"/>
              </w:rPr>
            </w:pPr>
            <w:r w:rsidRPr="003C4106">
              <w:rPr>
                <w:rFonts w:ascii="Arial" w:hAnsi="Arial" w:cs="Arial"/>
                <w:lang w:eastAsia="en-GB"/>
              </w:rPr>
              <w:t>Programme Management</w:t>
            </w:r>
          </w:p>
        </w:tc>
        <w:tc>
          <w:tcPr>
            <w:tcW w:w="990" w:type="dxa"/>
            <w:noWrap/>
          </w:tcPr>
          <w:p w:rsidR="00920AE2" w:rsidRPr="003C4106" w:rsidRDefault="00237AAC" w:rsidP="003C4106">
            <w:pPr>
              <w:cnfStyle w:val="000000000000"/>
              <w:rPr>
                <w:rFonts w:ascii="Arial" w:hAnsi="Arial" w:cs="Arial"/>
                <w:lang w:eastAsia="en-GB"/>
              </w:rPr>
            </w:pPr>
            <w:r w:rsidRPr="003C4106">
              <w:rPr>
                <w:rFonts w:ascii="Arial" w:hAnsi="Arial" w:cs="Arial"/>
                <w:lang w:eastAsia="en-GB"/>
              </w:rPr>
              <w:t>7,9</w:t>
            </w:r>
          </w:p>
        </w:tc>
        <w:tc>
          <w:tcPr>
            <w:tcW w:w="990" w:type="dxa"/>
            <w:noWrap/>
          </w:tcPr>
          <w:p w:rsidR="00920AE2" w:rsidRPr="003C4106" w:rsidRDefault="00237AAC" w:rsidP="003C4106">
            <w:pPr>
              <w:cnfStyle w:val="000000000000"/>
              <w:rPr>
                <w:rFonts w:ascii="Arial" w:hAnsi="Arial" w:cs="Arial"/>
                <w:lang w:eastAsia="en-GB"/>
              </w:rPr>
            </w:pPr>
            <w:r w:rsidRPr="003C4106">
              <w:rPr>
                <w:rFonts w:ascii="Arial" w:hAnsi="Arial" w:cs="Arial"/>
                <w:lang w:eastAsia="en-GB"/>
              </w:rPr>
              <w:t>7,9</w:t>
            </w:r>
          </w:p>
        </w:tc>
        <w:tc>
          <w:tcPr>
            <w:tcW w:w="1350" w:type="dxa"/>
            <w:noWrap/>
          </w:tcPr>
          <w:p w:rsidR="00920AE2" w:rsidRPr="003C4106" w:rsidRDefault="00FB5CDB" w:rsidP="003C4106">
            <w:pPr>
              <w:cnfStyle w:val="000000000000"/>
              <w:rPr>
                <w:rFonts w:ascii="Arial" w:hAnsi="Arial" w:cs="Arial"/>
                <w:lang w:eastAsia="en-GB"/>
              </w:rPr>
            </w:pPr>
            <w:r w:rsidRPr="003C4106">
              <w:rPr>
                <w:rFonts w:ascii="Arial" w:hAnsi="Arial" w:cs="Arial"/>
                <w:lang w:eastAsia="en-GB"/>
              </w:rPr>
              <w:t>0</w:t>
            </w:r>
          </w:p>
        </w:tc>
        <w:tc>
          <w:tcPr>
            <w:tcW w:w="1350" w:type="dxa"/>
            <w:noWrap/>
          </w:tcPr>
          <w:p w:rsidR="00920AE2" w:rsidRPr="003C4106" w:rsidRDefault="00FB5CDB" w:rsidP="003C4106">
            <w:pPr>
              <w:cnfStyle w:val="000000000000"/>
              <w:rPr>
                <w:rFonts w:ascii="Arial" w:hAnsi="Arial" w:cs="Arial"/>
                <w:lang w:eastAsia="en-GB"/>
              </w:rPr>
            </w:pPr>
            <w:r w:rsidRPr="003C4106">
              <w:rPr>
                <w:rFonts w:ascii="Arial" w:hAnsi="Arial" w:cs="Arial"/>
                <w:lang w:eastAsia="en-GB"/>
              </w:rPr>
              <w:t>-0,4</w:t>
            </w:r>
          </w:p>
        </w:tc>
        <w:tc>
          <w:tcPr>
            <w:tcW w:w="1350" w:type="dxa"/>
            <w:noWrap/>
          </w:tcPr>
          <w:p w:rsidR="00920AE2" w:rsidRPr="003C4106" w:rsidRDefault="00FB5CDB" w:rsidP="003C4106">
            <w:pPr>
              <w:cnfStyle w:val="000000000000"/>
              <w:rPr>
                <w:rFonts w:ascii="Arial" w:hAnsi="Arial" w:cs="Arial"/>
                <w:lang w:eastAsia="en-GB"/>
              </w:rPr>
            </w:pPr>
            <w:r w:rsidRPr="003C4106">
              <w:rPr>
                <w:rFonts w:ascii="Arial" w:hAnsi="Arial" w:cs="Arial"/>
                <w:lang w:eastAsia="en-GB"/>
              </w:rPr>
              <w:t>0</w:t>
            </w:r>
          </w:p>
        </w:tc>
        <w:tc>
          <w:tcPr>
            <w:tcW w:w="1170" w:type="dxa"/>
            <w:noWrap/>
          </w:tcPr>
          <w:p w:rsidR="00920AE2" w:rsidRPr="003C4106" w:rsidRDefault="00FB5CDB" w:rsidP="003C4106">
            <w:pPr>
              <w:cnfStyle w:val="000000000000"/>
              <w:rPr>
                <w:rFonts w:ascii="Arial" w:hAnsi="Arial" w:cs="Arial"/>
                <w:lang w:eastAsia="en-GB"/>
              </w:rPr>
            </w:pPr>
            <w:r w:rsidRPr="003C4106">
              <w:rPr>
                <w:rFonts w:ascii="Arial" w:hAnsi="Arial" w:cs="Arial"/>
                <w:lang w:eastAsia="en-GB"/>
              </w:rPr>
              <w:t>-4,7%</w:t>
            </w:r>
          </w:p>
        </w:tc>
      </w:tr>
      <w:tr w:rsidR="00920AE2" w:rsidRPr="003C4106" w:rsidTr="00531559">
        <w:trPr>
          <w:cnfStyle w:val="000000100000"/>
          <w:trHeight w:val="264"/>
        </w:trPr>
        <w:tc>
          <w:tcPr>
            <w:cnfStyle w:val="001000000000"/>
            <w:tcW w:w="1705" w:type="dxa"/>
            <w:noWrap/>
          </w:tcPr>
          <w:p w:rsidR="00920AE2" w:rsidRPr="003C4106" w:rsidRDefault="00DB5412" w:rsidP="003C4106">
            <w:pPr>
              <w:rPr>
                <w:rFonts w:ascii="Arial" w:hAnsi="Arial" w:cs="Arial"/>
                <w:lang w:eastAsia="en-GB"/>
              </w:rPr>
            </w:pPr>
            <w:r w:rsidRPr="003C4106">
              <w:rPr>
                <w:rFonts w:ascii="Arial" w:hAnsi="Arial" w:cs="Arial"/>
                <w:lang w:eastAsia="en-GB"/>
              </w:rPr>
              <w:t xml:space="preserve">HIV, </w:t>
            </w:r>
            <w:r w:rsidR="00235B79" w:rsidRPr="003C4106">
              <w:rPr>
                <w:rFonts w:ascii="Arial" w:hAnsi="Arial" w:cs="Arial"/>
                <w:lang w:eastAsia="en-GB"/>
              </w:rPr>
              <w:t xml:space="preserve">AIDS &amp; </w:t>
            </w:r>
            <w:r w:rsidRPr="003C4106">
              <w:rPr>
                <w:rFonts w:ascii="Arial" w:hAnsi="Arial" w:cs="Arial"/>
                <w:lang w:eastAsia="en-GB"/>
              </w:rPr>
              <w:t>STIs</w:t>
            </w:r>
          </w:p>
        </w:tc>
        <w:tc>
          <w:tcPr>
            <w:tcW w:w="990" w:type="dxa"/>
            <w:noWrap/>
          </w:tcPr>
          <w:p w:rsidR="00920AE2" w:rsidRPr="003C4106" w:rsidRDefault="00A907CB" w:rsidP="003C4106">
            <w:pPr>
              <w:cnfStyle w:val="000000100000"/>
              <w:rPr>
                <w:rFonts w:ascii="Arial" w:hAnsi="Arial" w:cs="Arial"/>
                <w:lang w:eastAsia="en-GB"/>
              </w:rPr>
            </w:pPr>
            <w:r w:rsidRPr="003C4106">
              <w:rPr>
                <w:rFonts w:ascii="Arial" w:hAnsi="Arial" w:cs="Arial"/>
                <w:lang w:eastAsia="en-GB"/>
              </w:rPr>
              <w:t xml:space="preserve">24 </w:t>
            </w:r>
            <w:r w:rsidR="00531559" w:rsidRPr="003C4106">
              <w:rPr>
                <w:rFonts w:ascii="Arial" w:hAnsi="Arial" w:cs="Arial"/>
                <w:lang w:eastAsia="en-GB"/>
              </w:rPr>
              <w:t>568,2</w:t>
            </w:r>
          </w:p>
        </w:tc>
        <w:tc>
          <w:tcPr>
            <w:tcW w:w="990" w:type="dxa"/>
            <w:noWrap/>
          </w:tcPr>
          <w:p w:rsidR="00920AE2" w:rsidRPr="003C4106" w:rsidRDefault="00A907CB" w:rsidP="003C4106">
            <w:pPr>
              <w:cnfStyle w:val="000000100000"/>
              <w:rPr>
                <w:rFonts w:ascii="Arial" w:hAnsi="Arial" w:cs="Arial"/>
                <w:lang w:eastAsia="en-GB"/>
              </w:rPr>
            </w:pPr>
            <w:r w:rsidRPr="003C4106">
              <w:rPr>
                <w:rFonts w:ascii="Arial" w:hAnsi="Arial" w:cs="Arial"/>
                <w:lang w:eastAsia="en-GB"/>
              </w:rPr>
              <w:t>24 379,8</w:t>
            </w:r>
          </w:p>
        </w:tc>
        <w:tc>
          <w:tcPr>
            <w:tcW w:w="1350" w:type="dxa"/>
            <w:noWrap/>
          </w:tcPr>
          <w:p w:rsidR="00920AE2" w:rsidRPr="003C4106" w:rsidRDefault="00EA6D0E" w:rsidP="003C4106">
            <w:pPr>
              <w:cnfStyle w:val="000000100000"/>
              <w:rPr>
                <w:rFonts w:ascii="Arial" w:hAnsi="Arial" w:cs="Arial"/>
                <w:lang w:eastAsia="en-GB"/>
              </w:rPr>
            </w:pPr>
            <w:r w:rsidRPr="003C4106">
              <w:rPr>
                <w:rFonts w:ascii="Arial" w:hAnsi="Arial" w:cs="Arial"/>
                <w:lang w:eastAsia="en-GB"/>
              </w:rPr>
              <w:t>-188,4</w:t>
            </w:r>
          </w:p>
        </w:tc>
        <w:tc>
          <w:tcPr>
            <w:tcW w:w="1350" w:type="dxa"/>
            <w:noWrap/>
          </w:tcPr>
          <w:p w:rsidR="00920AE2" w:rsidRPr="003C4106" w:rsidRDefault="0055448E" w:rsidP="003C4106">
            <w:pPr>
              <w:cnfStyle w:val="000000100000"/>
              <w:rPr>
                <w:rFonts w:ascii="Arial" w:hAnsi="Arial" w:cs="Arial"/>
                <w:lang w:eastAsia="en-GB"/>
              </w:rPr>
            </w:pPr>
            <w:r w:rsidRPr="003C4106">
              <w:rPr>
                <w:rFonts w:ascii="Arial" w:hAnsi="Arial" w:cs="Arial"/>
                <w:lang w:eastAsia="en-GB"/>
              </w:rPr>
              <w:t>-1 327,2</w:t>
            </w:r>
          </w:p>
        </w:tc>
        <w:tc>
          <w:tcPr>
            <w:tcW w:w="1350" w:type="dxa"/>
            <w:noWrap/>
          </w:tcPr>
          <w:p w:rsidR="00920AE2" w:rsidRPr="003C4106" w:rsidRDefault="00EA4EFA" w:rsidP="003C4106">
            <w:pPr>
              <w:cnfStyle w:val="000000100000"/>
              <w:rPr>
                <w:rFonts w:ascii="Arial" w:hAnsi="Arial" w:cs="Arial"/>
                <w:lang w:eastAsia="en-GB"/>
              </w:rPr>
            </w:pPr>
            <w:r w:rsidRPr="003C4106">
              <w:rPr>
                <w:rFonts w:ascii="Arial" w:hAnsi="Arial" w:cs="Arial"/>
                <w:lang w:eastAsia="en-GB"/>
              </w:rPr>
              <w:t>0,8%</w:t>
            </w:r>
          </w:p>
        </w:tc>
        <w:tc>
          <w:tcPr>
            <w:tcW w:w="1170" w:type="dxa"/>
            <w:noWrap/>
          </w:tcPr>
          <w:p w:rsidR="00920AE2" w:rsidRPr="003C4106" w:rsidRDefault="00FB5CDB" w:rsidP="003C4106">
            <w:pPr>
              <w:cnfStyle w:val="000000100000"/>
              <w:rPr>
                <w:rFonts w:ascii="Arial" w:hAnsi="Arial" w:cs="Arial"/>
                <w:lang w:eastAsia="en-GB"/>
              </w:rPr>
            </w:pPr>
            <w:r w:rsidRPr="003C4106">
              <w:rPr>
                <w:rFonts w:ascii="Arial" w:hAnsi="Arial" w:cs="Arial"/>
                <w:lang w:eastAsia="en-GB"/>
              </w:rPr>
              <w:t>-5,4%</w:t>
            </w:r>
          </w:p>
        </w:tc>
      </w:tr>
      <w:tr w:rsidR="00920AE2" w:rsidRPr="003C4106" w:rsidTr="00531559">
        <w:trPr>
          <w:trHeight w:val="264"/>
        </w:trPr>
        <w:tc>
          <w:tcPr>
            <w:cnfStyle w:val="001000000000"/>
            <w:tcW w:w="1705" w:type="dxa"/>
            <w:noWrap/>
          </w:tcPr>
          <w:p w:rsidR="00920AE2" w:rsidRPr="003C4106" w:rsidRDefault="00235B79" w:rsidP="003C4106">
            <w:pPr>
              <w:rPr>
                <w:rFonts w:ascii="Arial" w:hAnsi="Arial" w:cs="Arial"/>
                <w:lang w:eastAsia="en-GB"/>
              </w:rPr>
            </w:pPr>
            <w:r w:rsidRPr="003C4106">
              <w:rPr>
                <w:rFonts w:ascii="Arial" w:hAnsi="Arial" w:cs="Arial"/>
                <w:lang w:eastAsia="en-GB"/>
              </w:rPr>
              <w:t>TB Management</w:t>
            </w:r>
          </w:p>
        </w:tc>
        <w:tc>
          <w:tcPr>
            <w:tcW w:w="990" w:type="dxa"/>
            <w:noWrap/>
          </w:tcPr>
          <w:p w:rsidR="00920AE2" w:rsidRPr="003C4106" w:rsidRDefault="00531559" w:rsidP="003C4106">
            <w:pPr>
              <w:cnfStyle w:val="000000000000"/>
              <w:rPr>
                <w:rFonts w:ascii="Arial" w:hAnsi="Arial" w:cs="Arial"/>
                <w:lang w:eastAsia="en-GB"/>
              </w:rPr>
            </w:pPr>
            <w:r w:rsidRPr="003C4106">
              <w:rPr>
                <w:rFonts w:ascii="Arial" w:hAnsi="Arial" w:cs="Arial"/>
                <w:lang w:eastAsia="en-GB"/>
              </w:rPr>
              <w:t>27,6</w:t>
            </w:r>
          </w:p>
        </w:tc>
        <w:tc>
          <w:tcPr>
            <w:tcW w:w="990" w:type="dxa"/>
            <w:noWrap/>
          </w:tcPr>
          <w:p w:rsidR="00920AE2" w:rsidRPr="003C4106" w:rsidRDefault="00531559" w:rsidP="003C4106">
            <w:pPr>
              <w:cnfStyle w:val="000000000000"/>
              <w:rPr>
                <w:rFonts w:ascii="Arial" w:hAnsi="Arial" w:cs="Arial"/>
                <w:lang w:eastAsia="en-GB"/>
              </w:rPr>
            </w:pPr>
            <w:r w:rsidRPr="003C4106">
              <w:rPr>
                <w:rFonts w:ascii="Arial" w:hAnsi="Arial" w:cs="Arial"/>
                <w:lang w:eastAsia="en-GB"/>
              </w:rPr>
              <w:t>28,6</w:t>
            </w:r>
          </w:p>
        </w:tc>
        <w:tc>
          <w:tcPr>
            <w:tcW w:w="1350" w:type="dxa"/>
            <w:noWrap/>
          </w:tcPr>
          <w:p w:rsidR="00920AE2" w:rsidRPr="003C4106" w:rsidRDefault="00EA6D0E" w:rsidP="003C4106">
            <w:pPr>
              <w:cnfStyle w:val="000000000000"/>
              <w:rPr>
                <w:rFonts w:ascii="Arial" w:hAnsi="Arial" w:cs="Arial"/>
                <w:lang w:eastAsia="en-GB"/>
              </w:rPr>
            </w:pPr>
            <w:r w:rsidRPr="003C4106">
              <w:rPr>
                <w:rFonts w:ascii="Arial" w:hAnsi="Arial" w:cs="Arial"/>
                <w:lang w:eastAsia="en-GB"/>
              </w:rPr>
              <w:t>1,0</w:t>
            </w:r>
          </w:p>
        </w:tc>
        <w:tc>
          <w:tcPr>
            <w:tcW w:w="1350" w:type="dxa"/>
            <w:noWrap/>
          </w:tcPr>
          <w:p w:rsidR="00920AE2" w:rsidRPr="003C4106" w:rsidRDefault="0055448E" w:rsidP="003C4106">
            <w:pPr>
              <w:cnfStyle w:val="000000000000"/>
              <w:rPr>
                <w:rFonts w:ascii="Arial" w:hAnsi="Arial" w:cs="Arial"/>
                <w:lang w:eastAsia="en-GB"/>
              </w:rPr>
            </w:pPr>
            <w:r w:rsidRPr="003C4106">
              <w:rPr>
                <w:rFonts w:ascii="Arial" w:hAnsi="Arial" w:cs="Arial"/>
                <w:lang w:eastAsia="en-GB"/>
              </w:rPr>
              <w:t>-0,3</w:t>
            </w:r>
          </w:p>
        </w:tc>
        <w:tc>
          <w:tcPr>
            <w:tcW w:w="1350" w:type="dxa"/>
            <w:noWrap/>
          </w:tcPr>
          <w:p w:rsidR="00920AE2" w:rsidRPr="003C4106" w:rsidRDefault="00EA4EFA" w:rsidP="003C4106">
            <w:pPr>
              <w:cnfStyle w:val="000000000000"/>
              <w:rPr>
                <w:rFonts w:ascii="Arial" w:hAnsi="Arial" w:cs="Arial"/>
                <w:lang w:eastAsia="en-GB"/>
              </w:rPr>
            </w:pPr>
            <w:r w:rsidRPr="003C4106">
              <w:rPr>
                <w:rFonts w:ascii="Arial" w:hAnsi="Arial" w:cs="Arial"/>
                <w:lang w:eastAsia="en-GB"/>
              </w:rPr>
              <w:t>3,6%</w:t>
            </w:r>
          </w:p>
        </w:tc>
        <w:tc>
          <w:tcPr>
            <w:tcW w:w="1170" w:type="dxa"/>
            <w:noWrap/>
          </w:tcPr>
          <w:p w:rsidR="00920AE2" w:rsidRPr="003C4106" w:rsidRDefault="00FB5CDB" w:rsidP="003C4106">
            <w:pPr>
              <w:cnfStyle w:val="000000000000"/>
              <w:rPr>
                <w:rFonts w:ascii="Arial" w:hAnsi="Arial" w:cs="Arial"/>
                <w:lang w:eastAsia="en-GB"/>
              </w:rPr>
            </w:pPr>
            <w:r w:rsidRPr="003C4106">
              <w:rPr>
                <w:rFonts w:ascii="Arial" w:hAnsi="Arial" w:cs="Arial"/>
                <w:lang w:eastAsia="en-GB"/>
              </w:rPr>
              <w:t>-1,2%</w:t>
            </w:r>
          </w:p>
        </w:tc>
      </w:tr>
      <w:tr w:rsidR="00920AE2" w:rsidRPr="003C4106" w:rsidTr="00531559">
        <w:trPr>
          <w:cnfStyle w:val="000000100000"/>
          <w:trHeight w:val="264"/>
        </w:trPr>
        <w:tc>
          <w:tcPr>
            <w:cnfStyle w:val="001000000000"/>
            <w:tcW w:w="1705" w:type="dxa"/>
            <w:noWrap/>
          </w:tcPr>
          <w:p w:rsidR="00920AE2" w:rsidRPr="003C4106" w:rsidRDefault="00235B79" w:rsidP="003C4106">
            <w:pPr>
              <w:rPr>
                <w:rFonts w:ascii="Arial" w:hAnsi="Arial" w:cs="Arial"/>
                <w:lang w:eastAsia="en-GB"/>
              </w:rPr>
            </w:pPr>
            <w:r w:rsidRPr="003C4106">
              <w:rPr>
                <w:rFonts w:ascii="Arial" w:hAnsi="Arial" w:cs="Arial"/>
                <w:lang w:eastAsia="en-GB"/>
              </w:rPr>
              <w:t>Women’s Maternal &amp; Reproductive Health</w:t>
            </w:r>
          </w:p>
        </w:tc>
        <w:tc>
          <w:tcPr>
            <w:tcW w:w="990" w:type="dxa"/>
            <w:noWrap/>
          </w:tcPr>
          <w:p w:rsidR="00920AE2" w:rsidRPr="003C4106" w:rsidRDefault="00531559" w:rsidP="003C4106">
            <w:pPr>
              <w:cnfStyle w:val="000000100000"/>
              <w:rPr>
                <w:rFonts w:ascii="Arial" w:hAnsi="Arial" w:cs="Arial"/>
                <w:lang w:eastAsia="en-GB"/>
              </w:rPr>
            </w:pPr>
            <w:r w:rsidRPr="003C4106">
              <w:rPr>
                <w:rFonts w:ascii="Arial" w:hAnsi="Arial" w:cs="Arial"/>
                <w:lang w:eastAsia="en-GB"/>
              </w:rPr>
              <w:t>17,4</w:t>
            </w:r>
          </w:p>
        </w:tc>
        <w:tc>
          <w:tcPr>
            <w:tcW w:w="990" w:type="dxa"/>
            <w:noWrap/>
          </w:tcPr>
          <w:p w:rsidR="00920AE2" w:rsidRPr="003C4106" w:rsidRDefault="006B187C" w:rsidP="003C4106">
            <w:pPr>
              <w:cnfStyle w:val="000000100000"/>
              <w:rPr>
                <w:rFonts w:ascii="Arial" w:hAnsi="Arial" w:cs="Arial"/>
                <w:lang w:eastAsia="en-GB"/>
              </w:rPr>
            </w:pPr>
            <w:r w:rsidRPr="003C4106">
              <w:rPr>
                <w:rFonts w:ascii="Arial" w:hAnsi="Arial" w:cs="Arial"/>
                <w:lang w:eastAsia="en-GB"/>
              </w:rPr>
              <w:t>17,6</w:t>
            </w:r>
          </w:p>
        </w:tc>
        <w:tc>
          <w:tcPr>
            <w:tcW w:w="1350" w:type="dxa"/>
            <w:noWrap/>
          </w:tcPr>
          <w:p w:rsidR="00920AE2" w:rsidRPr="003C4106" w:rsidRDefault="00EA6D0E" w:rsidP="003C4106">
            <w:pPr>
              <w:cnfStyle w:val="000000100000"/>
              <w:rPr>
                <w:rFonts w:ascii="Arial" w:hAnsi="Arial" w:cs="Arial"/>
                <w:lang w:eastAsia="en-GB"/>
              </w:rPr>
            </w:pPr>
            <w:r w:rsidRPr="003C4106">
              <w:rPr>
                <w:rFonts w:ascii="Arial" w:hAnsi="Arial" w:cs="Arial"/>
                <w:lang w:eastAsia="en-GB"/>
              </w:rPr>
              <w:t>0,2</w:t>
            </w:r>
          </w:p>
        </w:tc>
        <w:tc>
          <w:tcPr>
            <w:tcW w:w="1350" w:type="dxa"/>
            <w:noWrap/>
          </w:tcPr>
          <w:p w:rsidR="00920AE2" w:rsidRPr="003C4106" w:rsidRDefault="0055448E" w:rsidP="003C4106">
            <w:pPr>
              <w:cnfStyle w:val="000000100000"/>
              <w:rPr>
                <w:rFonts w:ascii="Arial" w:hAnsi="Arial" w:cs="Arial"/>
                <w:lang w:eastAsia="en-GB"/>
              </w:rPr>
            </w:pPr>
            <w:r w:rsidRPr="003C4106">
              <w:rPr>
                <w:rFonts w:ascii="Arial" w:hAnsi="Arial" w:cs="Arial"/>
                <w:lang w:eastAsia="en-GB"/>
              </w:rPr>
              <w:t>-0,6</w:t>
            </w:r>
          </w:p>
        </w:tc>
        <w:tc>
          <w:tcPr>
            <w:tcW w:w="1350" w:type="dxa"/>
            <w:noWrap/>
          </w:tcPr>
          <w:p w:rsidR="00920AE2" w:rsidRPr="003C4106" w:rsidRDefault="00EA4EFA" w:rsidP="003C4106">
            <w:pPr>
              <w:cnfStyle w:val="000000100000"/>
              <w:rPr>
                <w:rFonts w:ascii="Arial" w:hAnsi="Arial" w:cs="Arial"/>
                <w:lang w:eastAsia="en-GB"/>
              </w:rPr>
            </w:pPr>
            <w:r w:rsidRPr="003C4106">
              <w:rPr>
                <w:rFonts w:ascii="Arial" w:hAnsi="Arial" w:cs="Arial"/>
                <w:lang w:eastAsia="en-GB"/>
              </w:rPr>
              <w:t>1,1%</w:t>
            </w:r>
          </w:p>
        </w:tc>
        <w:tc>
          <w:tcPr>
            <w:tcW w:w="1170" w:type="dxa"/>
            <w:noWrap/>
          </w:tcPr>
          <w:p w:rsidR="00920AE2" w:rsidRPr="003C4106" w:rsidRDefault="00FB5CDB" w:rsidP="003C4106">
            <w:pPr>
              <w:cnfStyle w:val="000000100000"/>
              <w:rPr>
                <w:rFonts w:ascii="Arial" w:hAnsi="Arial" w:cs="Arial"/>
                <w:lang w:eastAsia="en-GB"/>
              </w:rPr>
            </w:pPr>
            <w:r w:rsidRPr="003C4106">
              <w:rPr>
                <w:rFonts w:ascii="Arial" w:hAnsi="Arial" w:cs="Arial"/>
                <w:lang w:eastAsia="en-GB"/>
              </w:rPr>
              <w:t>-3,6%</w:t>
            </w:r>
          </w:p>
        </w:tc>
      </w:tr>
      <w:tr w:rsidR="00F24B23" w:rsidRPr="003C4106" w:rsidTr="00531559">
        <w:trPr>
          <w:trHeight w:val="264"/>
        </w:trPr>
        <w:tc>
          <w:tcPr>
            <w:cnfStyle w:val="001000000000"/>
            <w:tcW w:w="1705" w:type="dxa"/>
            <w:noWrap/>
          </w:tcPr>
          <w:p w:rsidR="00F24B23" w:rsidRPr="003C4106" w:rsidRDefault="00235B79" w:rsidP="003C4106">
            <w:pPr>
              <w:rPr>
                <w:rFonts w:ascii="Arial" w:hAnsi="Arial" w:cs="Arial"/>
                <w:lang w:eastAsia="en-GB"/>
              </w:rPr>
            </w:pPr>
            <w:r w:rsidRPr="003C4106">
              <w:rPr>
                <w:rFonts w:ascii="Arial" w:hAnsi="Arial" w:cs="Arial"/>
                <w:lang w:eastAsia="en-GB"/>
              </w:rPr>
              <w:t>Child, Youth &amp; School Health</w:t>
            </w:r>
          </w:p>
        </w:tc>
        <w:tc>
          <w:tcPr>
            <w:tcW w:w="990" w:type="dxa"/>
            <w:noWrap/>
          </w:tcPr>
          <w:p w:rsidR="00F24B23" w:rsidRPr="003C4106" w:rsidRDefault="006B187C" w:rsidP="003C4106">
            <w:pPr>
              <w:cnfStyle w:val="000000000000"/>
              <w:rPr>
                <w:rFonts w:ascii="Arial" w:hAnsi="Arial" w:cs="Arial"/>
                <w:lang w:eastAsia="en-GB"/>
              </w:rPr>
            </w:pPr>
            <w:r w:rsidRPr="003C4106">
              <w:rPr>
                <w:rFonts w:ascii="Arial" w:hAnsi="Arial" w:cs="Arial"/>
                <w:lang w:eastAsia="en-GB"/>
              </w:rPr>
              <w:t>28,3</w:t>
            </w:r>
          </w:p>
        </w:tc>
        <w:tc>
          <w:tcPr>
            <w:tcW w:w="990" w:type="dxa"/>
            <w:noWrap/>
          </w:tcPr>
          <w:p w:rsidR="00F24B23" w:rsidRPr="003C4106" w:rsidRDefault="006B187C" w:rsidP="003C4106">
            <w:pPr>
              <w:cnfStyle w:val="000000000000"/>
              <w:rPr>
                <w:rFonts w:ascii="Arial" w:hAnsi="Arial" w:cs="Arial"/>
                <w:lang w:eastAsia="en-GB"/>
              </w:rPr>
            </w:pPr>
            <w:r w:rsidRPr="003C4106">
              <w:rPr>
                <w:rFonts w:ascii="Arial" w:hAnsi="Arial" w:cs="Arial"/>
                <w:lang w:eastAsia="en-GB"/>
              </w:rPr>
              <w:t>28,0</w:t>
            </w:r>
          </w:p>
        </w:tc>
        <w:tc>
          <w:tcPr>
            <w:tcW w:w="1350" w:type="dxa"/>
            <w:noWrap/>
          </w:tcPr>
          <w:p w:rsidR="00F24B23" w:rsidRPr="003C4106" w:rsidRDefault="00EA6D0E" w:rsidP="003C4106">
            <w:pPr>
              <w:cnfStyle w:val="000000000000"/>
              <w:rPr>
                <w:rFonts w:ascii="Arial" w:hAnsi="Arial" w:cs="Arial"/>
                <w:lang w:eastAsia="en-GB"/>
              </w:rPr>
            </w:pPr>
            <w:r w:rsidRPr="003C4106">
              <w:rPr>
                <w:rFonts w:ascii="Arial" w:hAnsi="Arial" w:cs="Arial"/>
                <w:lang w:eastAsia="en-GB"/>
              </w:rPr>
              <w:t>-0,3</w:t>
            </w:r>
          </w:p>
        </w:tc>
        <w:tc>
          <w:tcPr>
            <w:tcW w:w="1350" w:type="dxa"/>
            <w:noWrap/>
          </w:tcPr>
          <w:p w:rsidR="00F24B23" w:rsidRPr="003C4106" w:rsidRDefault="0055448E" w:rsidP="003C4106">
            <w:pPr>
              <w:cnfStyle w:val="000000000000"/>
              <w:rPr>
                <w:rFonts w:ascii="Arial" w:hAnsi="Arial" w:cs="Arial"/>
                <w:lang w:eastAsia="en-GB"/>
              </w:rPr>
            </w:pPr>
            <w:r w:rsidRPr="003C4106">
              <w:rPr>
                <w:rFonts w:ascii="Arial" w:hAnsi="Arial" w:cs="Arial"/>
                <w:lang w:eastAsia="en-GB"/>
              </w:rPr>
              <w:t>-1,6</w:t>
            </w:r>
          </w:p>
        </w:tc>
        <w:tc>
          <w:tcPr>
            <w:tcW w:w="1350" w:type="dxa"/>
            <w:noWrap/>
          </w:tcPr>
          <w:p w:rsidR="00F24B23" w:rsidRPr="003C4106" w:rsidRDefault="00EA4EFA" w:rsidP="003C4106">
            <w:pPr>
              <w:cnfStyle w:val="000000000000"/>
              <w:rPr>
                <w:rFonts w:ascii="Arial" w:hAnsi="Arial" w:cs="Arial"/>
                <w:lang w:eastAsia="en-GB"/>
              </w:rPr>
            </w:pPr>
            <w:r w:rsidRPr="003C4106">
              <w:rPr>
                <w:rFonts w:ascii="Arial" w:hAnsi="Arial" w:cs="Arial"/>
                <w:lang w:eastAsia="en-GB"/>
              </w:rPr>
              <w:t>-1,1%</w:t>
            </w:r>
          </w:p>
        </w:tc>
        <w:tc>
          <w:tcPr>
            <w:tcW w:w="1170" w:type="dxa"/>
            <w:noWrap/>
          </w:tcPr>
          <w:p w:rsidR="00F24B23" w:rsidRPr="003C4106" w:rsidRDefault="00FB5CDB" w:rsidP="003C4106">
            <w:pPr>
              <w:cnfStyle w:val="000000000000"/>
              <w:rPr>
                <w:rFonts w:ascii="Arial" w:hAnsi="Arial" w:cs="Arial"/>
                <w:lang w:eastAsia="en-GB"/>
              </w:rPr>
            </w:pPr>
            <w:r w:rsidRPr="003C4106">
              <w:rPr>
                <w:rFonts w:ascii="Arial" w:hAnsi="Arial" w:cs="Arial"/>
                <w:lang w:eastAsia="en-GB"/>
              </w:rPr>
              <w:t>-5,7%</w:t>
            </w:r>
          </w:p>
        </w:tc>
      </w:tr>
      <w:tr w:rsidR="00F24B23" w:rsidRPr="003C4106" w:rsidTr="00531559">
        <w:trPr>
          <w:cnfStyle w:val="000000100000"/>
          <w:trHeight w:val="264"/>
        </w:trPr>
        <w:tc>
          <w:tcPr>
            <w:cnfStyle w:val="001000000000"/>
            <w:tcW w:w="1705" w:type="dxa"/>
            <w:noWrap/>
          </w:tcPr>
          <w:p w:rsidR="00F24B23" w:rsidRPr="003C4106" w:rsidRDefault="00235B79" w:rsidP="003C4106">
            <w:pPr>
              <w:rPr>
                <w:rFonts w:ascii="Arial" w:hAnsi="Arial" w:cs="Arial"/>
                <w:lang w:eastAsia="en-GB"/>
              </w:rPr>
            </w:pPr>
            <w:r w:rsidRPr="003C4106">
              <w:rPr>
                <w:rFonts w:ascii="Arial" w:hAnsi="Arial" w:cs="Arial"/>
                <w:lang w:eastAsia="en-GB"/>
              </w:rPr>
              <w:t>Communicable Diseases</w:t>
            </w:r>
          </w:p>
        </w:tc>
        <w:tc>
          <w:tcPr>
            <w:tcW w:w="990" w:type="dxa"/>
            <w:noWrap/>
          </w:tcPr>
          <w:p w:rsidR="00F24B23" w:rsidRPr="003C4106" w:rsidRDefault="006B187C" w:rsidP="003C4106">
            <w:pPr>
              <w:cnfStyle w:val="000000100000"/>
              <w:rPr>
                <w:rFonts w:ascii="Arial" w:hAnsi="Arial" w:cs="Arial"/>
                <w:lang w:eastAsia="en-GB"/>
              </w:rPr>
            </w:pPr>
            <w:r w:rsidRPr="003C4106">
              <w:rPr>
                <w:rFonts w:ascii="Arial" w:hAnsi="Arial" w:cs="Arial"/>
                <w:lang w:eastAsia="en-GB"/>
              </w:rPr>
              <w:t>2  151,3</w:t>
            </w:r>
          </w:p>
        </w:tc>
        <w:tc>
          <w:tcPr>
            <w:tcW w:w="990" w:type="dxa"/>
            <w:noWrap/>
          </w:tcPr>
          <w:p w:rsidR="00F24B23" w:rsidRPr="003C4106" w:rsidRDefault="006B187C" w:rsidP="003C4106">
            <w:pPr>
              <w:cnfStyle w:val="000000100000"/>
              <w:rPr>
                <w:rFonts w:ascii="Arial" w:hAnsi="Arial" w:cs="Arial"/>
                <w:lang w:eastAsia="en-GB"/>
              </w:rPr>
            </w:pPr>
            <w:r w:rsidRPr="003C4106">
              <w:rPr>
                <w:rFonts w:ascii="Arial" w:hAnsi="Arial" w:cs="Arial"/>
                <w:lang w:eastAsia="en-GB"/>
              </w:rPr>
              <w:t>60,5</w:t>
            </w:r>
          </w:p>
        </w:tc>
        <w:tc>
          <w:tcPr>
            <w:tcW w:w="1350" w:type="dxa"/>
            <w:noWrap/>
          </w:tcPr>
          <w:p w:rsidR="00F24B23" w:rsidRPr="003C4106" w:rsidRDefault="00EA6D0E" w:rsidP="003C4106">
            <w:pPr>
              <w:cnfStyle w:val="000000100000"/>
              <w:rPr>
                <w:rFonts w:ascii="Arial" w:hAnsi="Arial" w:cs="Arial"/>
                <w:lang w:eastAsia="en-GB"/>
              </w:rPr>
            </w:pPr>
            <w:r w:rsidRPr="003C4106">
              <w:rPr>
                <w:rFonts w:ascii="Arial" w:hAnsi="Arial" w:cs="Arial"/>
                <w:lang w:eastAsia="en-GB"/>
              </w:rPr>
              <w:t xml:space="preserve">-2 </w:t>
            </w:r>
            <w:r w:rsidR="00A907CB" w:rsidRPr="003C4106">
              <w:rPr>
                <w:rFonts w:ascii="Arial" w:hAnsi="Arial" w:cs="Arial"/>
                <w:lang w:eastAsia="en-GB"/>
              </w:rPr>
              <w:t>090,8</w:t>
            </w:r>
          </w:p>
        </w:tc>
        <w:tc>
          <w:tcPr>
            <w:tcW w:w="1350" w:type="dxa"/>
            <w:noWrap/>
          </w:tcPr>
          <w:p w:rsidR="00F24B23" w:rsidRPr="003C4106" w:rsidRDefault="00EA6D0E" w:rsidP="003C4106">
            <w:pPr>
              <w:cnfStyle w:val="000000100000"/>
              <w:rPr>
                <w:rFonts w:ascii="Arial" w:hAnsi="Arial" w:cs="Arial"/>
                <w:lang w:eastAsia="en-GB"/>
              </w:rPr>
            </w:pPr>
            <w:r w:rsidRPr="003C4106">
              <w:rPr>
                <w:rFonts w:ascii="Arial" w:hAnsi="Arial" w:cs="Arial"/>
                <w:lang w:eastAsia="en-GB"/>
              </w:rPr>
              <w:t>-2 093,6</w:t>
            </w:r>
          </w:p>
        </w:tc>
        <w:tc>
          <w:tcPr>
            <w:tcW w:w="1350" w:type="dxa"/>
            <w:noWrap/>
          </w:tcPr>
          <w:p w:rsidR="00F24B23" w:rsidRPr="003C4106" w:rsidRDefault="00EA4EFA" w:rsidP="003C4106">
            <w:pPr>
              <w:cnfStyle w:val="000000100000"/>
              <w:rPr>
                <w:rFonts w:ascii="Arial" w:hAnsi="Arial" w:cs="Arial"/>
                <w:lang w:eastAsia="en-GB"/>
              </w:rPr>
            </w:pPr>
            <w:r w:rsidRPr="003C4106">
              <w:rPr>
                <w:rFonts w:ascii="Arial" w:hAnsi="Arial" w:cs="Arial"/>
                <w:lang w:eastAsia="en-GB"/>
              </w:rPr>
              <w:t>-97,2%</w:t>
            </w:r>
          </w:p>
        </w:tc>
        <w:tc>
          <w:tcPr>
            <w:tcW w:w="1170" w:type="dxa"/>
            <w:noWrap/>
          </w:tcPr>
          <w:p w:rsidR="00F24B23" w:rsidRPr="003C4106" w:rsidRDefault="00FB5CDB" w:rsidP="003C4106">
            <w:pPr>
              <w:cnfStyle w:val="000000100000"/>
              <w:rPr>
                <w:rFonts w:ascii="Arial" w:hAnsi="Arial" w:cs="Arial"/>
                <w:lang w:eastAsia="en-GB"/>
              </w:rPr>
            </w:pPr>
            <w:r w:rsidRPr="003C4106">
              <w:rPr>
                <w:rFonts w:ascii="Arial" w:hAnsi="Arial" w:cs="Arial"/>
                <w:lang w:eastAsia="en-GB"/>
              </w:rPr>
              <w:t>-97,3%</w:t>
            </w:r>
          </w:p>
        </w:tc>
      </w:tr>
      <w:tr w:rsidR="00F24B23" w:rsidRPr="003C4106" w:rsidTr="00531559">
        <w:trPr>
          <w:trHeight w:val="264"/>
        </w:trPr>
        <w:tc>
          <w:tcPr>
            <w:cnfStyle w:val="001000000000"/>
            <w:tcW w:w="1705" w:type="dxa"/>
            <w:noWrap/>
          </w:tcPr>
          <w:p w:rsidR="00F24B23" w:rsidRPr="003C4106" w:rsidRDefault="00235B79" w:rsidP="003C4106">
            <w:pPr>
              <w:rPr>
                <w:rFonts w:ascii="Arial" w:hAnsi="Arial" w:cs="Arial"/>
                <w:lang w:eastAsia="en-GB"/>
              </w:rPr>
            </w:pPr>
            <w:r w:rsidRPr="003C4106">
              <w:rPr>
                <w:rFonts w:ascii="Arial" w:hAnsi="Arial" w:cs="Arial"/>
                <w:lang w:eastAsia="en-GB"/>
              </w:rPr>
              <w:t>Non-Communicable Diseases</w:t>
            </w:r>
          </w:p>
        </w:tc>
        <w:tc>
          <w:tcPr>
            <w:tcW w:w="990" w:type="dxa"/>
            <w:noWrap/>
          </w:tcPr>
          <w:p w:rsidR="00F24B23" w:rsidRPr="003C4106" w:rsidRDefault="00531559" w:rsidP="003C4106">
            <w:pPr>
              <w:cnfStyle w:val="000000000000"/>
              <w:rPr>
                <w:rFonts w:ascii="Arial" w:hAnsi="Arial" w:cs="Arial"/>
                <w:lang w:eastAsia="en-GB"/>
              </w:rPr>
            </w:pPr>
            <w:r w:rsidRPr="003C4106">
              <w:rPr>
                <w:rFonts w:ascii="Arial" w:hAnsi="Arial" w:cs="Arial"/>
                <w:lang w:eastAsia="en-GB"/>
              </w:rPr>
              <w:t>83,9</w:t>
            </w:r>
          </w:p>
        </w:tc>
        <w:tc>
          <w:tcPr>
            <w:tcW w:w="990" w:type="dxa"/>
            <w:noWrap/>
          </w:tcPr>
          <w:p w:rsidR="00F24B23" w:rsidRPr="003C4106" w:rsidRDefault="006B187C" w:rsidP="003C4106">
            <w:pPr>
              <w:cnfStyle w:val="000000000000"/>
              <w:rPr>
                <w:rFonts w:ascii="Arial" w:hAnsi="Arial" w:cs="Arial"/>
                <w:lang w:eastAsia="en-GB"/>
              </w:rPr>
            </w:pPr>
            <w:r w:rsidRPr="003C4106">
              <w:rPr>
                <w:rFonts w:ascii="Arial" w:hAnsi="Arial" w:cs="Arial"/>
                <w:lang w:eastAsia="en-GB"/>
              </w:rPr>
              <w:t>86,6</w:t>
            </w:r>
          </w:p>
        </w:tc>
        <w:tc>
          <w:tcPr>
            <w:tcW w:w="1350" w:type="dxa"/>
            <w:noWrap/>
          </w:tcPr>
          <w:p w:rsidR="00F24B23" w:rsidRPr="003C4106" w:rsidRDefault="00A907CB" w:rsidP="003C4106">
            <w:pPr>
              <w:cnfStyle w:val="000000000000"/>
              <w:rPr>
                <w:rFonts w:ascii="Arial" w:hAnsi="Arial" w:cs="Arial"/>
                <w:lang w:eastAsia="en-GB"/>
              </w:rPr>
            </w:pPr>
            <w:r w:rsidRPr="003C4106">
              <w:rPr>
                <w:rFonts w:ascii="Arial" w:hAnsi="Arial" w:cs="Arial"/>
                <w:lang w:eastAsia="en-GB"/>
              </w:rPr>
              <w:t>2,7</w:t>
            </w:r>
          </w:p>
        </w:tc>
        <w:tc>
          <w:tcPr>
            <w:tcW w:w="1350" w:type="dxa"/>
            <w:noWrap/>
          </w:tcPr>
          <w:p w:rsidR="00F24B23" w:rsidRPr="003C4106" w:rsidRDefault="00EA6D0E" w:rsidP="003C4106">
            <w:pPr>
              <w:cnfStyle w:val="000000000000"/>
              <w:rPr>
                <w:rFonts w:ascii="Arial" w:hAnsi="Arial" w:cs="Arial"/>
                <w:lang w:eastAsia="en-GB"/>
              </w:rPr>
            </w:pPr>
            <w:r w:rsidRPr="003C4106">
              <w:rPr>
                <w:rFonts w:ascii="Arial" w:hAnsi="Arial" w:cs="Arial"/>
                <w:lang w:eastAsia="en-GB"/>
              </w:rPr>
              <w:t>-1,3</w:t>
            </w:r>
          </w:p>
        </w:tc>
        <w:tc>
          <w:tcPr>
            <w:tcW w:w="1350" w:type="dxa"/>
            <w:noWrap/>
          </w:tcPr>
          <w:p w:rsidR="00F24B23" w:rsidRPr="003C4106" w:rsidRDefault="00EA4EFA" w:rsidP="003C4106">
            <w:pPr>
              <w:cnfStyle w:val="000000000000"/>
              <w:rPr>
                <w:rFonts w:ascii="Arial" w:hAnsi="Arial" w:cs="Arial"/>
                <w:lang w:eastAsia="en-GB"/>
              </w:rPr>
            </w:pPr>
            <w:r w:rsidRPr="003C4106">
              <w:rPr>
                <w:rFonts w:ascii="Arial" w:hAnsi="Arial" w:cs="Arial"/>
                <w:lang w:eastAsia="en-GB"/>
              </w:rPr>
              <w:t>3,2%</w:t>
            </w:r>
          </w:p>
        </w:tc>
        <w:tc>
          <w:tcPr>
            <w:tcW w:w="1170" w:type="dxa"/>
            <w:noWrap/>
          </w:tcPr>
          <w:p w:rsidR="00F24B23" w:rsidRPr="003C4106" w:rsidRDefault="00FB5CDB" w:rsidP="003C4106">
            <w:pPr>
              <w:cnfStyle w:val="000000000000"/>
              <w:rPr>
                <w:rFonts w:ascii="Arial" w:hAnsi="Arial" w:cs="Arial"/>
                <w:lang w:eastAsia="en-GB"/>
              </w:rPr>
            </w:pPr>
            <w:r w:rsidRPr="003C4106">
              <w:rPr>
                <w:rFonts w:ascii="Arial" w:hAnsi="Arial" w:cs="Arial"/>
                <w:lang w:eastAsia="en-GB"/>
              </w:rPr>
              <w:t>-1,6%</w:t>
            </w:r>
          </w:p>
        </w:tc>
      </w:tr>
      <w:tr w:rsidR="00920AE2" w:rsidRPr="003C4106" w:rsidTr="00531559">
        <w:trPr>
          <w:cnfStyle w:val="000000100000"/>
          <w:trHeight w:val="264"/>
        </w:trPr>
        <w:tc>
          <w:tcPr>
            <w:cnfStyle w:val="001000000000"/>
            <w:tcW w:w="1705" w:type="dxa"/>
            <w:noWrap/>
          </w:tcPr>
          <w:p w:rsidR="00920AE2" w:rsidRPr="003C4106" w:rsidRDefault="00000C87" w:rsidP="003C4106">
            <w:pPr>
              <w:rPr>
                <w:rFonts w:ascii="Arial" w:hAnsi="Arial" w:cs="Arial"/>
                <w:lang w:eastAsia="en-GB"/>
              </w:rPr>
            </w:pPr>
            <w:r w:rsidRPr="003C4106">
              <w:rPr>
                <w:rFonts w:ascii="Arial" w:hAnsi="Arial" w:cs="Arial"/>
                <w:lang w:eastAsia="en-GB"/>
              </w:rPr>
              <w:t>Health Promotion &amp; Nutrition</w:t>
            </w:r>
          </w:p>
        </w:tc>
        <w:tc>
          <w:tcPr>
            <w:tcW w:w="990" w:type="dxa"/>
            <w:noWrap/>
          </w:tcPr>
          <w:p w:rsidR="00920AE2" w:rsidRPr="003C4106" w:rsidRDefault="00531559" w:rsidP="003C4106">
            <w:pPr>
              <w:cnfStyle w:val="000000100000"/>
              <w:rPr>
                <w:rFonts w:ascii="Arial" w:hAnsi="Arial" w:cs="Arial"/>
                <w:lang w:eastAsia="en-GB"/>
              </w:rPr>
            </w:pPr>
            <w:r w:rsidRPr="003C4106">
              <w:rPr>
                <w:rFonts w:ascii="Arial" w:hAnsi="Arial" w:cs="Arial"/>
                <w:lang w:eastAsia="en-GB"/>
              </w:rPr>
              <w:t>32,2</w:t>
            </w:r>
          </w:p>
        </w:tc>
        <w:tc>
          <w:tcPr>
            <w:tcW w:w="990" w:type="dxa"/>
            <w:noWrap/>
          </w:tcPr>
          <w:p w:rsidR="00920AE2" w:rsidRPr="003C4106" w:rsidRDefault="00531559" w:rsidP="003C4106">
            <w:pPr>
              <w:cnfStyle w:val="000000100000"/>
              <w:rPr>
                <w:rFonts w:ascii="Arial" w:hAnsi="Arial" w:cs="Arial"/>
                <w:lang w:eastAsia="en-GB"/>
              </w:rPr>
            </w:pPr>
            <w:r w:rsidRPr="003C4106">
              <w:rPr>
                <w:rFonts w:ascii="Arial" w:hAnsi="Arial" w:cs="Arial"/>
                <w:lang w:eastAsia="en-GB"/>
              </w:rPr>
              <w:t>32,6</w:t>
            </w:r>
          </w:p>
        </w:tc>
        <w:tc>
          <w:tcPr>
            <w:tcW w:w="1350" w:type="dxa"/>
            <w:noWrap/>
          </w:tcPr>
          <w:p w:rsidR="00920AE2" w:rsidRPr="003C4106" w:rsidRDefault="00A907CB" w:rsidP="003C4106">
            <w:pPr>
              <w:cnfStyle w:val="000000100000"/>
              <w:rPr>
                <w:rFonts w:ascii="Arial" w:hAnsi="Arial" w:cs="Arial"/>
                <w:lang w:eastAsia="en-GB"/>
              </w:rPr>
            </w:pPr>
            <w:r w:rsidRPr="003C4106">
              <w:rPr>
                <w:rFonts w:ascii="Arial" w:hAnsi="Arial" w:cs="Arial"/>
                <w:lang w:eastAsia="en-GB"/>
              </w:rPr>
              <w:t>0,4</w:t>
            </w:r>
          </w:p>
        </w:tc>
        <w:tc>
          <w:tcPr>
            <w:tcW w:w="1350" w:type="dxa"/>
            <w:noWrap/>
          </w:tcPr>
          <w:p w:rsidR="00920AE2" w:rsidRPr="003C4106" w:rsidRDefault="00EA6D0E" w:rsidP="003C4106">
            <w:pPr>
              <w:cnfStyle w:val="000000100000"/>
              <w:rPr>
                <w:rFonts w:ascii="Arial" w:hAnsi="Arial" w:cs="Arial"/>
                <w:lang w:eastAsia="en-GB"/>
              </w:rPr>
            </w:pPr>
            <w:r w:rsidRPr="003C4106">
              <w:rPr>
                <w:rFonts w:ascii="Arial" w:hAnsi="Arial" w:cs="Arial"/>
                <w:lang w:eastAsia="en-GB"/>
              </w:rPr>
              <w:t>-1,1</w:t>
            </w:r>
          </w:p>
        </w:tc>
        <w:tc>
          <w:tcPr>
            <w:tcW w:w="1350" w:type="dxa"/>
            <w:noWrap/>
          </w:tcPr>
          <w:p w:rsidR="00920AE2" w:rsidRPr="003C4106" w:rsidRDefault="00EA4EFA" w:rsidP="003C4106">
            <w:pPr>
              <w:cnfStyle w:val="000000100000"/>
              <w:rPr>
                <w:rFonts w:ascii="Arial" w:hAnsi="Arial" w:cs="Arial"/>
                <w:lang w:eastAsia="en-GB"/>
              </w:rPr>
            </w:pPr>
            <w:r w:rsidRPr="003C4106">
              <w:rPr>
                <w:rFonts w:ascii="Arial" w:hAnsi="Arial" w:cs="Arial"/>
                <w:lang w:eastAsia="en-GB"/>
              </w:rPr>
              <w:t>1,2%</w:t>
            </w:r>
          </w:p>
        </w:tc>
        <w:tc>
          <w:tcPr>
            <w:tcW w:w="1170" w:type="dxa"/>
            <w:noWrap/>
          </w:tcPr>
          <w:p w:rsidR="00920AE2" w:rsidRPr="003C4106" w:rsidRDefault="00FB5CDB" w:rsidP="003C4106">
            <w:pPr>
              <w:cnfStyle w:val="000000100000"/>
              <w:rPr>
                <w:rFonts w:ascii="Arial" w:hAnsi="Arial" w:cs="Arial"/>
                <w:lang w:eastAsia="en-GB"/>
              </w:rPr>
            </w:pPr>
            <w:r w:rsidRPr="003C4106">
              <w:rPr>
                <w:rFonts w:ascii="Arial" w:hAnsi="Arial" w:cs="Arial"/>
                <w:lang w:eastAsia="en-GB"/>
              </w:rPr>
              <w:t>-3,5%</w:t>
            </w:r>
          </w:p>
        </w:tc>
      </w:tr>
      <w:tr w:rsidR="00920AE2" w:rsidRPr="003C4106" w:rsidTr="00531559">
        <w:trPr>
          <w:trHeight w:val="264"/>
        </w:trPr>
        <w:tc>
          <w:tcPr>
            <w:cnfStyle w:val="001000000000"/>
            <w:tcW w:w="1705" w:type="dxa"/>
            <w:noWrap/>
          </w:tcPr>
          <w:p w:rsidR="00920AE2" w:rsidRPr="003C4106" w:rsidRDefault="00920AE2" w:rsidP="003C4106">
            <w:pPr>
              <w:rPr>
                <w:rFonts w:ascii="Arial" w:hAnsi="Arial" w:cs="Arial"/>
                <w:lang w:eastAsia="en-GB"/>
              </w:rPr>
            </w:pPr>
            <w:r w:rsidRPr="003C4106">
              <w:rPr>
                <w:rFonts w:ascii="Arial" w:hAnsi="Arial" w:cs="Arial"/>
                <w:lang w:eastAsia="en-GB"/>
              </w:rPr>
              <w:t>Total</w:t>
            </w:r>
          </w:p>
        </w:tc>
        <w:tc>
          <w:tcPr>
            <w:tcW w:w="990" w:type="dxa"/>
            <w:noWrap/>
          </w:tcPr>
          <w:p w:rsidR="00920AE2" w:rsidRPr="003C4106" w:rsidRDefault="00531559" w:rsidP="003C4106">
            <w:pPr>
              <w:cnfStyle w:val="000000000000"/>
              <w:rPr>
                <w:rFonts w:ascii="Arial" w:hAnsi="Arial" w:cs="Arial"/>
                <w:lang w:eastAsia="en-GB"/>
              </w:rPr>
            </w:pPr>
            <w:r w:rsidRPr="003C4106">
              <w:rPr>
                <w:rFonts w:ascii="Arial" w:hAnsi="Arial" w:cs="Arial"/>
                <w:lang w:eastAsia="en-GB"/>
              </w:rPr>
              <w:t>26 916,7</w:t>
            </w:r>
          </w:p>
        </w:tc>
        <w:tc>
          <w:tcPr>
            <w:tcW w:w="990" w:type="dxa"/>
            <w:noWrap/>
          </w:tcPr>
          <w:p w:rsidR="00920AE2" w:rsidRPr="003C4106" w:rsidRDefault="00531559" w:rsidP="003C4106">
            <w:pPr>
              <w:cnfStyle w:val="000000000000"/>
              <w:rPr>
                <w:rFonts w:ascii="Arial" w:hAnsi="Arial" w:cs="Arial"/>
                <w:lang w:eastAsia="en-GB"/>
              </w:rPr>
            </w:pPr>
            <w:r w:rsidRPr="003C4106">
              <w:rPr>
                <w:rFonts w:ascii="Arial" w:hAnsi="Arial" w:cs="Arial"/>
                <w:lang w:eastAsia="en-GB"/>
              </w:rPr>
              <w:t>24 641,7</w:t>
            </w:r>
          </w:p>
        </w:tc>
        <w:tc>
          <w:tcPr>
            <w:tcW w:w="1350" w:type="dxa"/>
            <w:noWrap/>
          </w:tcPr>
          <w:p w:rsidR="00920AE2" w:rsidRPr="003C4106" w:rsidRDefault="00A907CB" w:rsidP="003C4106">
            <w:pPr>
              <w:cnfStyle w:val="000000000000"/>
              <w:rPr>
                <w:rFonts w:ascii="Arial" w:hAnsi="Arial" w:cs="Arial"/>
                <w:lang w:eastAsia="en-GB"/>
              </w:rPr>
            </w:pPr>
            <w:r w:rsidRPr="003C4106">
              <w:rPr>
                <w:rFonts w:ascii="Arial" w:hAnsi="Arial" w:cs="Arial"/>
                <w:lang w:eastAsia="en-GB"/>
              </w:rPr>
              <w:t>-2 275,0</w:t>
            </w:r>
          </w:p>
        </w:tc>
        <w:tc>
          <w:tcPr>
            <w:tcW w:w="1350" w:type="dxa"/>
            <w:noWrap/>
          </w:tcPr>
          <w:p w:rsidR="00920AE2" w:rsidRPr="003C4106" w:rsidRDefault="00EA6D0E" w:rsidP="003C4106">
            <w:pPr>
              <w:cnfStyle w:val="000000000000"/>
              <w:rPr>
                <w:rFonts w:ascii="Arial" w:hAnsi="Arial" w:cs="Arial"/>
                <w:lang w:eastAsia="en-GB"/>
              </w:rPr>
            </w:pPr>
            <w:r w:rsidRPr="003C4106">
              <w:rPr>
                <w:rFonts w:ascii="Arial" w:hAnsi="Arial" w:cs="Arial"/>
                <w:lang w:eastAsia="en-GB"/>
              </w:rPr>
              <w:t>-3 426,0</w:t>
            </w:r>
          </w:p>
        </w:tc>
        <w:tc>
          <w:tcPr>
            <w:tcW w:w="1350" w:type="dxa"/>
            <w:noWrap/>
          </w:tcPr>
          <w:p w:rsidR="00920AE2" w:rsidRPr="003C4106" w:rsidRDefault="0055448E" w:rsidP="003C4106">
            <w:pPr>
              <w:cnfStyle w:val="000000000000"/>
              <w:rPr>
                <w:rFonts w:ascii="Arial" w:hAnsi="Arial" w:cs="Arial"/>
                <w:lang w:eastAsia="en-GB"/>
              </w:rPr>
            </w:pPr>
            <w:r w:rsidRPr="003C4106">
              <w:rPr>
                <w:rFonts w:ascii="Arial" w:hAnsi="Arial" w:cs="Arial"/>
                <w:lang w:eastAsia="en-GB"/>
              </w:rPr>
              <w:t>-8,5%</w:t>
            </w:r>
          </w:p>
        </w:tc>
        <w:tc>
          <w:tcPr>
            <w:tcW w:w="1170" w:type="dxa"/>
            <w:noWrap/>
          </w:tcPr>
          <w:p w:rsidR="00920AE2" w:rsidRPr="003C4106" w:rsidRDefault="00EA4EFA" w:rsidP="003C4106">
            <w:pPr>
              <w:cnfStyle w:val="000000000000"/>
              <w:rPr>
                <w:rFonts w:ascii="Arial" w:hAnsi="Arial" w:cs="Arial"/>
                <w:lang w:eastAsia="en-GB"/>
              </w:rPr>
            </w:pPr>
            <w:r w:rsidRPr="003C4106">
              <w:rPr>
                <w:rFonts w:ascii="Arial" w:hAnsi="Arial" w:cs="Arial"/>
                <w:lang w:eastAsia="en-GB"/>
              </w:rPr>
              <w:t>-12,7%</w:t>
            </w:r>
          </w:p>
        </w:tc>
      </w:tr>
    </w:tbl>
    <w:p w:rsidR="00920AE2" w:rsidRPr="003C4106" w:rsidRDefault="00920AE2" w:rsidP="003C4106">
      <w:pPr>
        <w:rPr>
          <w:rFonts w:eastAsia="Times New Roman"/>
          <w:color w:val="auto"/>
          <w:sz w:val="20"/>
          <w:szCs w:val="20"/>
          <w:lang w:eastAsia="en-GB"/>
        </w:rPr>
      </w:pPr>
      <w:r w:rsidRPr="003C4106">
        <w:rPr>
          <w:rFonts w:eastAsia="Times New Roman"/>
          <w:i/>
          <w:iCs/>
          <w:color w:val="auto"/>
          <w:sz w:val="20"/>
          <w:szCs w:val="20"/>
          <w:lang w:eastAsia="en-GB"/>
        </w:rPr>
        <w:t>Source: National Treasury (2023)</w:t>
      </w:r>
    </w:p>
    <w:p w:rsidR="00920AE2" w:rsidRPr="003C4106" w:rsidRDefault="00920AE2"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This programme budget decreases from R26.9 billion to R24.6 billion, ostensibly due to the R2.1 billion reductions in the Communicable Diseases sub-programme after the COVID-19 interventions in the previous years. </w:t>
      </w:r>
    </w:p>
    <w:p w:rsidR="006169B9" w:rsidRPr="003C4106" w:rsidRDefault="006169B9" w:rsidP="003C4106">
      <w:pPr>
        <w:contextualSpacing/>
        <w:rPr>
          <w:color w:val="000000"/>
          <w:sz w:val="20"/>
          <w:szCs w:val="20"/>
        </w:rPr>
      </w:pPr>
      <w:r w:rsidRPr="003C4106">
        <w:rPr>
          <w:color w:val="000000"/>
          <w:sz w:val="20"/>
          <w:szCs w:val="20"/>
        </w:rPr>
        <w:t xml:space="preserve"> </w:t>
      </w:r>
    </w:p>
    <w:p w:rsidR="006169B9" w:rsidRPr="003C4106" w:rsidRDefault="00CC1588" w:rsidP="003C4106">
      <w:pPr>
        <w:contextualSpacing/>
        <w:rPr>
          <w:color w:val="000000"/>
          <w:sz w:val="20"/>
          <w:szCs w:val="20"/>
        </w:rPr>
      </w:pPr>
      <w:r w:rsidRPr="003C4106">
        <w:rPr>
          <w:color w:val="000000"/>
          <w:sz w:val="20"/>
          <w:szCs w:val="20"/>
        </w:rPr>
        <w:t>Approximately</w:t>
      </w:r>
      <w:r w:rsidR="006169B9" w:rsidRPr="003C4106">
        <w:rPr>
          <w:color w:val="000000"/>
          <w:sz w:val="20"/>
          <w:szCs w:val="20"/>
        </w:rPr>
        <w:t xml:space="preserve"> 98.9</w:t>
      </w:r>
      <w:r w:rsidR="00671B8D" w:rsidRPr="003C4106">
        <w:rPr>
          <w:color w:val="000000"/>
          <w:sz w:val="20"/>
          <w:szCs w:val="20"/>
        </w:rPr>
        <w:t>%</w:t>
      </w:r>
      <w:r w:rsidR="006169B9" w:rsidRPr="003C4106">
        <w:rPr>
          <w:color w:val="000000"/>
          <w:sz w:val="20"/>
          <w:szCs w:val="20"/>
        </w:rPr>
        <w:t xml:space="preserve"> is allocated to the </w:t>
      </w:r>
      <w:r w:rsidR="006169B9" w:rsidRPr="003C4106">
        <w:rPr>
          <w:i/>
          <w:color w:val="000000"/>
          <w:sz w:val="20"/>
          <w:szCs w:val="20"/>
        </w:rPr>
        <w:t xml:space="preserve">HIV, AIDS and STIs </w:t>
      </w:r>
      <w:r w:rsidR="006169B9" w:rsidRPr="003C4106">
        <w:rPr>
          <w:color w:val="000000"/>
          <w:sz w:val="20"/>
          <w:szCs w:val="20"/>
        </w:rPr>
        <w:t xml:space="preserve">sub-programme, amounting to R24.4 billion in 2023/24. This represents a nominal decrease of 0.8% (a decline of 5.4% in real terms). The </w:t>
      </w:r>
      <w:r w:rsidR="006169B9" w:rsidRPr="003C4106">
        <w:rPr>
          <w:i/>
          <w:color w:val="000000"/>
          <w:sz w:val="20"/>
          <w:szCs w:val="20"/>
        </w:rPr>
        <w:t xml:space="preserve">Communicable Diseases </w:t>
      </w:r>
      <w:r w:rsidR="006169B9" w:rsidRPr="003C4106">
        <w:rPr>
          <w:color w:val="000000"/>
          <w:sz w:val="20"/>
          <w:szCs w:val="20"/>
        </w:rPr>
        <w:t xml:space="preserve">sub-programme allocation decreases by 97.2% (97.3% in real terms). The remaining six sub-programmes combined receive approximately 1.1% of the programme’s budget. </w:t>
      </w:r>
      <w:r w:rsidR="006169B9" w:rsidRPr="003C4106">
        <w:rPr>
          <w:color w:val="000000"/>
          <w:sz w:val="20"/>
          <w:szCs w:val="20"/>
        </w:rPr>
        <w:lastRenderedPageBreak/>
        <w:t xml:space="preserve">This includes the </w:t>
      </w:r>
      <w:r w:rsidR="006169B9" w:rsidRPr="003C4106">
        <w:rPr>
          <w:i/>
          <w:color w:val="000000"/>
          <w:sz w:val="20"/>
          <w:szCs w:val="20"/>
        </w:rPr>
        <w:t>Tuberculosis Management; Women’s Maternal and Reproductive Health; Child,</w:t>
      </w:r>
      <w:r w:rsidR="00C159EF" w:rsidRPr="003C4106">
        <w:rPr>
          <w:i/>
          <w:color w:val="000000"/>
          <w:sz w:val="20"/>
          <w:szCs w:val="20"/>
        </w:rPr>
        <w:t xml:space="preserve"> Youth and School Health; Non-C</w:t>
      </w:r>
      <w:r w:rsidR="006169B9" w:rsidRPr="003C4106">
        <w:rPr>
          <w:i/>
          <w:color w:val="000000"/>
          <w:sz w:val="20"/>
          <w:szCs w:val="20"/>
        </w:rPr>
        <w:t>ommunicable Diseases</w:t>
      </w:r>
      <w:r w:rsidR="00A5317A" w:rsidRPr="003C4106">
        <w:rPr>
          <w:i/>
          <w:color w:val="000000"/>
          <w:sz w:val="20"/>
          <w:szCs w:val="20"/>
        </w:rPr>
        <w:t>;</w:t>
      </w:r>
      <w:r w:rsidR="006169B9" w:rsidRPr="003C4106">
        <w:rPr>
          <w:i/>
          <w:color w:val="000000"/>
          <w:sz w:val="20"/>
          <w:szCs w:val="20"/>
        </w:rPr>
        <w:t xml:space="preserve"> and the Health Promotion and Nutrition </w:t>
      </w:r>
      <w:r w:rsidR="006169B9" w:rsidRPr="003C4106">
        <w:rPr>
          <w:color w:val="000000"/>
          <w:sz w:val="20"/>
          <w:szCs w:val="20"/>
        </w:rPr>
        <w:t xml:space="preserve">sub-programmes. </w:t>
      </w:r>
    </w:p>
    <w:p w:rsidR="006169B9" w:rsidRPr="003C4106" w:rsidRDefault="006169B9" w:rsidP="003C4106">
      <w:pPr>
        <w:contextualSpacing/>
        <w:rPr>
          <w:b/>
          <w:color w:val="000000"/>
          <w:sz w:val="20"/>
          <w:szCs w:val="20"/>
        </w:rPr>
      </w:pPr>
    </w:p>
    <w:p w:rsidR="006169B9" w:rsidRPr="003C4106" w:rsidRDefault="006169B9" w:rsidP="003C4106">
      <w:pPr>
        <w:pStyle w:val="ListParagraph"/>
        <w:numPr>
          <w:ilvl w:val="2"/>
          <w:numId w:val="12"/>
        </w:numPr>
        <w:pBdr>
          <w:top w:val="nil"/>
          <w:left w:val="nil"/>
          <w:bottom w:val="nil"/>
          <w:right w:val="nil"/>
          <w:between w:val="nil"/>
        </w:pBdr>
        <w:spacing w:line="240" w:lineRule="auto"/>
        <w:contextualSpacing/>
        <w:outlineLvl w:val="2"/>
        <w:rPr>
          <w:rFonts w:cs="Arial"/>
          <w:b/>
          <w:i/>
          <w:sz w:val="20"/>
          <w:szCs w:val="20"/>
        </w:rPr>
      </w:pPr>
      <w:bookmarkStart w:id="16" w:name="_2lwamvv" w:colFirst="0" w:colLast="0"/>
      <w:bookmarkEnd w:id="16"/>
      <w:r w:rsidRPr="003C4106">
        <w:rPr>
          <w:rFonts w:cs="Arial"/>
          <w:b/>
          <w:i/>
          <w:sz w:val="20"/>
          <w:szCs w:val="20"/>
        </w:rPr>
        <w:t>P</w:t>
      </w:r>
      <w:r w:rsidR="00B21805" w:rsidRPr="003C4106">
        <w:rPr>
          <w:rFonts w:cs="Arial"/>
          <w:b/>
          <w:i/>
          <w:sz w:val="20"/>
          <w:szCs w:val="20"/>
        </w:rPr>
        <w:t>rogramme 4: Primary Health Care (PHC)</w:t>
      </w:r>
    </w:p>
    <w:p w:rsidR="006169B9" w:rsidRPr="003C4106" w:rsidRDefault="00BA5291" w:rsidP="003C4106">
      <w:pPr>
        <w:contextualSpacing/>
        <w:rPr>
          <w:color w:val="000000"/>
          <w:sz w:val="20"/>
          <w:szCs w:val="20"/>
        </w:rPr>
      </w:pPr>
      <w:r w:rsidRPr="003C4106">
        <w:rPr>
          <w:color w:val="000000"/>
          <w:sz w:val="20"/>
          <w:szCs w:val="20"/>
        </w:rPr>
        <w:t>The purpose of this programme is to develop and oversee the implementation of legislation, policies, systems, norms and standards for a uniform, well</w:t>
      </w:r>
      <w:r w:rsidRPr="003C4106">
        <w:rPr>
          <w:rFonts w:ascii="Times New Roman" w:hAnsi="Times New Roman"/>
          <w:color w:val="000000"/>
          <w:sz w:val="20"/>
          <w:szCs w:val="20"/>
        </w:rPr>
        <w:t>‐</w:t>
      </w:r>
      <w:r w:rsidRPr="003C4106">
        <w:rPr>
          <w:color w:val="000000"/>
          <w:sz w:val="20"/>
          <w:szCs w:val="20"/>
        </w:rPr>
        <w:t>functioning district health system, including emergency, environmental and port health services.</w:t>
      </w:r>
    </w:p>
    <w:p w:rsidR="00BA5291" w:rsidRPr="003C4106" w:rsidRDefault="00BA5291" w:rsidP="003C4106">
      <w:pPr>
        <w:contextualSpacing/>
        <w:rPr>
          <w:color w:val="000000"/>
          <w:sz w:val="20"/>
          <w:szCs w:val="20"/>
        </w:rPr>
      </w:pPr>
    </w:p>
    <w:p w:rsidR="00920AE2" w:rsidRPr="003C4106" w:rsidRDefault="00920AE2" w:rsidP="003C4106">
      <w:pPr>
        <w:pStyle w:val="Caption"/>
        <w:spacing w:after="0"/>
        <w:rPr>
          <w:rFonts w:eastAsia="Times New Roman"/>
          <w:b/>
          <w:color w:val="auto"/>
          <w:sz w:val="20"/>
          <w:szCs w:val="20"/>
          <w:lang w:eastAsia="en-GB"/>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6</w:t>
      </w:r>
      <w:r w:rsidR="00D95EDE" w:rsidRPr="003C4106">
        <w:rPr>
          <w:b/>
          <w:color w:val="auto"/>
          <w:sz w:val="20"/>
          <w:szCs w:val="20"/>
        </w:rPr>
        <w:fldChar w:fldCharType="end"/>
      </w:r>
      <w:r w:rsidRPr="003C4106">
        <w:rPr>
          <w:rFonts w:eastAsia="Times New Roman"/>
          <w:b/>
          <w:color w:val="auto"/>
          <w:sz w:val="20"/>
          <w:szCs w:val="20"/>
          <w:lang w:eastAsia="en-GB"/>
        </w:rPr>
        <w:t xml:space="preserve">: </w:t>
      </w:r>
      <w:r w:rsidR="00B21805" w:rsidRPr="003C4106">
        <w:rPr>
          <w:rFonts w:eastAsia="Times New Roman"/>
          <w:b/>
          <w:color w:val="auto"/>
          <w:sz w:val="20"/>
          <w:szCs w:val="20"/>
          <w:lang w:eastAsia="en-GB"/>
        </w:rPr>
        <w:t>PHC</w:t>
      </w:r>
      <w:r w:rsidRPr="003C4106" w:rsidDel="00456BC8">
        <w:rPr>
          <w:rFonts w:eastAsia="Times New Roman"/>
          <w:b/>
          <w:color w:val="auto"/>
          <w:sz w:val="20"/>
          <w:szCs w:val="20"/>
          <w:lang w:eastAsia="en-GB"/>
        </w:rPr>
        <w:t xml:space="preserve"> </w:t>
      </w:r>
      <w:r w:rsidRPr="003C4106">
        <w:rPr>
          <w:rFonts w:eastAsia="Times New Roman"/>
          <w:b/>
          <w:color w:val="auto"/>
          <w:sz w:val="20"/>
          <w:szCs w:val="20"/>
          <w:lang w:eastAsia="en-GB"/>
        </w:rPr>
        <w:t>Programme budget allocation</w:t>
      </w:r>
    </w:p>
    <w:tbl>
      <w:tblPr>
        <w:tblStyle w:val="GridTable6Colorful2"/>
        <w:tblW w:w="8905" w:type="dxa"/>
        <w:tblLook w:val="04A0"/>
      </w:tblPr>
      <w:tblGrid>
        <w:gridCol w:w="1795"/>
        <w:gridCol w:w="939"/>
        <w:gridCol w:w="990"/>
        <w:gridCol w:w="1350"/>
        <w:gridCol w:w="1350"/>
        <w:gridCol w:w="1350"/>
        <w:gridCol w:w="1170"/>
      </w:tblGrid>
      <w:tr w:rsidR="00920AE2" w:rsidRPr="003C4106" w:rsidTr="00920AE2">
        <w:trPr>
          <w:cnfStyle w:val="100000000000"/>
          <w:trHeight w:val="638"/>
        </w:trPr>
        <w:tc>
          <w:tcPr>
            <w:cnfStyle w:val="001000000000"/>
            <w:tcW w:w="1795" w:type="dxa"/>
            <w:vMerge w:val="restart"/>
            <w:shd w:val="clear" w:color="auto" w:fill="BFBFBF"/>
            <w:noWrap/>
            <w:vAlign w:val="center"/>
            <w:hideMark/>
          </w:tcPr>
          <w:p w:rsidR="00920AE2" w:rsidRPr="003C4106" w:rsidRDefault="00920AE2" w:rsidP="003C4106">
            <w:pPr>
              <w:rPr>
                <w:rFonts w:ascii="Arial" w:hAnsi="Arial" w:cs="Arial"/>
                <w:lang w:eastAsia="en-GB"/>
              </w:rPr>
            </w:pPr>
            <w:r w:rsidRPr="003C4106">
              <w:rPr>
                <w:rFonts w:ascii="Arial" w:hAnsi="Arial" w:cs="Arial"/>
                <w:lang w:eastAsia="en-GB"/>
              </w:rPr>
              <w:t>Programme</w:t>
            </w:r>
          </w:p>
          <w:p w:rsidR="00920AE2" w:rsidRPr="003C4106" w:rsidRDefault="00920AE2" w:rsidP="003C4106">
            <w:pPr>
              <w:rPr>
                <w:rFonts w:ascii="Arial" w:hAnsi="Arial" w:cs="Arial"/>
                <w:lang w:eastAsia="en-GB"/>
              </w:rPr>
            </w:pPr>
          </w:p>
          <w:p w:rsidR="00920AE2" w:rsidRPr="003C4106" w:rsidRDefault="00920AE2" w:rsidP="003C4106">
            <w:pPr>
              <w:rPr>
                <w:rFonts w:ascii="Arial" w:hAnsi="Arial" w:cs="Arial"/>
                <w:lang w:eastAsia="en-GB"/>
              </w:rPr>
            </w:pPr>
            <w:r w:rsidRPr="003C4106">
              <w:rPr>
                <w:rFonts w:ascii="Arial" w:hAnsi="Arial" w:cs="Arial"/>
                <w:lang w:eastAsia="en-GB"/>
              </w:rPr>
              <w:t>R million</w:t>
            </w:r>
          </w:p>
        </w:tc>
        <w:tc>
          <w:tcPr>
            <w:tcW w:w="1890" w:type="dxa"/>
            <w:gridSpan w:val="2"/>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Budget</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 change in 2023/24</w:t>
            </w:r>
          </w:p>
        </w:tc>
        <w:tc>
          <w:tcPr>
            <w:tcW w:w="117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 change in 2023/24</w:t>
            </w:r>
          </w:p>
        </w:tc>
      </w:tr>
      <w:tr w:rsidR="00920AE2" w:rsidRPr="003C4106" w:rsidTr="00920AE2">
        <w:trPr>
          <w:cnfStyle w:val="000000100000"/>
          <w:trHeight w:val="330"/>
        </w:trPr>
        <w:tc>
          <w:tcPr>
            <w:cnfStyle w:val="001000000000"/>
            <w:tcW w:w="1795" w:type="dxa"/>
            <w:vMerge/>
            <w:noWrap/>
            <w:hideMark/>
          </w:tcPr>
          <w:p w:rsidR="00920AE2" w:rsidRPr="003C4106" w:rsidRDefault="00920AE2" w:rsidP="003C4106">
            <w:pPr>
              <w:rPr>
                <w:rFonts w:ascii="Arial" w:hAnsi="Arial" w:cs="Arial"/>
                <w:lang w:eastAsia="en-GB"/>
              </w:rPr>
            </w:pPr>
          </w:p>
        </w:tc>
        <w:tc>
          <w:tcPr>
            <w:tcW w:w="90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2022/23</w:t>
            </w:r>
          </w:p>
        </w:tc>
        <w:tc>
          <w:tcPr>
            <w:tcW w:w="99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2023/24</w:t>
            </w: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170" w:type="dxa"/>
            <w:vMerge/>
            <w:hideMark/>
          </w:tcPr>
          <w:p w:rsidR="00920AE2" w:rsidRPr="003C4106" w:rsidRDefault="00920AE2" w:rsidP="003C4106">
            <w:pPr>
              <w:cnfStyle w:val="000000100000"/>
              <w:rPr>
                <w:rFonts w:ascii="Arial" w:hAnsi="Arial" w:cs="Arial"/>
                <w:b/>
                <w:bCs/>
                <w:lang w:eastAsia="en-GB"/>
              </w:rPr>
            </w:pPr>
          </w:p>
        </w:tc>
      </w:tr>
      <w:tr w:rsidR="00920AE2" w:rsidRPr="003C4106" w:rsidTr="00965D9E">
        <w:trPr>
          <w:trHeight w:val="264"/>
        </w:trPr>
        <w:tc>
          <w:tcPr>
            <w:cnfStyle w:val="001000000000"/>
            <w:tcW w:w="1795" w:type="dxa"/>
            <w:noWrap/>
          </w:tcPr>
          <w:p w:rsidR="00920AE2" w:rsidRPr="003C4106" w:rsidRDefault="00DC1F09" w:rsidP="003C4106">
            <w:pPr>
              <w:rPr>
                <w:rFonts w:ascii="Arial" w:hAnsi="Arial" w:cs="Arial"/>
                <w:lang w:eastAsia="en-GB"/>
              </w:rPr>
            </w:pPr>
            <w:r w:rsidRPr="003C4106">
              <w:rPr>
                <w:rFonts w:ascii="Arial" w:hAnsi="Arial" w:cs="Arial"/>
                <w:lang w:eastAsia="en-GB"/>
              </w:rPr>
              <w:t>Programme Management</w:t>
            </w:r>
          </w:p>
        </w:tc>
        <w:tc>
          <w:tcPr>
            <w:tcW w:w="900" w:type="dxa"/>
            <w:noWrap/>
          </w:tcPr>
          <w:p w:rsidR="00920AE2" w:rsidRPr="003C4106" w:rsidRDefault="00DC1F09" w:rsidP="003C4106">
            <w:pPr>
              <w:cnfStyle w:val="000000000000"/>
              <w:rPr>
                <w:rFonts w:ascii="Arial" w:hAnsi="Arial" w:cs="Arial"/>
                <w:lang w:eastAsia="en-GB"/>
              </w:rPr>
            </w:pPr>
            <w:r w:rsidRPr="003C4106">
              <w:rPr>
                <w:rFonts w:ascii="Arial" w:hAnsi="Arial" w:cs="Arial"/>
                <w:lang w:eastAsia="en-GB"/>
              </w:rPr>
              <w:t>7,0</w:t>
            </w:r>
          </w:p>
        </w:tc>
        <w:tc>
          <w:tcPr>
            <w:tcW w:w="990" w:type="dxa"/>
            <w:noWrap/>
          </w:tcPr>
          <w:p w:rsidR="00920AE2" w:rsidRPr="003C4106" w:rsidRDefault="00DC1F09" w:rsidP="003C4106">
            <w:pPr>
              <w:cnfStyle w:val="000000000000"/>
              <w:rPr>
                <w:rFonts w:ascii="Arial" w:hAnsi="Arial" w:cs="Arial"/>
                <w:lang w:eastAsia="en-GB"/>
              </w:rPr>
            </w:pPr>
            <w:r w:rsidRPr="003C4106">
              <w:rPr>
                <w:rFonts w:ascii="Arial" w:hAnsi="Arial" w:cs="Arial"/>
                <w:lang w:eastAsia="en-GB"/>
              </w:rPr>
              <w:t>6,9</w:t>
            </w:r>
          </w:p>
        </w:tc>
        <w:tc>
          <w:tcPr>
            <w:tcW w:w="1350" w:type="dxa"/>
            <w:noWrap/>
          </w:tcPr>
          <w:p w:rsidR="00920AE2" w:rsidRPr="003C4106" w:rsidRDefault="00DC1F09" w:rsidP="003C4106">
            <w:pPr>
              <w:cnfStyle w:val="000000000000"/>
              <w:rPr>
                <w:rFonts w:ascii="Arial" w:hAnsi="Arial" w:cs="Arial"/>
                <w:lang w:eastAsia="en-GB"/>
              </w:rPr>
            </w:pPr>
            <w:r w:rsidRPr="003C4106">
              <w:rPr>
                <w:rFonts w:ascii="Arial" w:hAnsi="Arial" w:cs="Arial"/>
                <w:lang w:eastAsia="en-GB"/>
              </w:rPr>
              <w:t>-0,1</w:t>
            </w:r>
          </w:p>
        </w:tc>
        <w:tc>
          <w:tcPr>
            <w:tcW w:w="1350" w:type="dxa"/>
            <w:noWrap/>
          </w:tcPr>
          <w:p w:rsidR="00920AE2" w:rsidRPr="003C4106" w:rsidRDefault="000B3165" w:rsidP="003C4106">
            <w:pPr>
              <w:cnfStyle w:val="000000000000"/>
              <w:rPr>
                <w:rFonts w:ascii="Arial" w:hAnsi="Arial" w:cs="Arial"/>
                <w:lang w:eastAsia="en-GB"/>
              </w:rPr>
            </w:pPr>
            <w:r w:rsidRPr="003C4106">
              <w:rPr>
                <w:rFonts w:ascii="Arial" w:hAnsi="Arial" w:cs="Arial"/>
                <w:lang w:eastAsia="en-GB"/>
              </w:rPr>
              <w:t>-0,4</w:t>
            </w:r>
          </w:p>
        </w:tc>
        <w:tc>
          <w:tcPr>
            <w:tcW w:w="1350" w:type="dxa"/>
            <w:noWrap/>
          </w:tcPr>
          <w:p w:rsidR="00920AE2" w:rsidRPr="003C4106" w:rsidRDefault="000B3165" w:rsidP="003C4106">
            <w:pPr>
              <w:cnfStyle w:val="000000000000"/>
              <w:rPr>
                <w:rFonts w:ascii="Arial" w:hAnsi="Arial" w:cs="Arial"/>
                <w:lang w:eastAsia="en-GB"/>
              </w:rPr>
            </w:pPr>
            <w:r w:rsidRPr="003C4106">
              <w:rPr>
                <w:rFonts w:ascii="Arial" w:hAnsi="Arial" w:cs="Arial"/>
                <w:lang w:eastAsia="en-GB"/>
              </w:rPr>
              <w:t>-1,4%</w:t>
            </w:r>
          </w:p>
        </w:tc>
        <w:tc>
          <w:tcPr>
            <w:tcW w:w="1170" w:type="dxa"/>
            <w:noWrap/>
          </w:tcPr>
          <w:p w:rsidR="00920AE2" w:rsidRPr="003C4106" w:rsidRDefault="000B3165" w:rsidP="003C4106">
            <w:pPr>
              <w:cnfStyle w:val="000000000000"/>
              <w:rPr>
                <w:rFonts w:ascii="Arial" w:hAnsi="Arial" w:cs="Arial"/>
                <w:lang w:eastAsia="en-GB"/>
              </w:rPr>
            </w:pPr>
            <w:r w:rsidRPr="003C4106">
              <w:rPr>
                <w:rFonts w:ascii="Arial" w:hAnsi="Arial" w:cs="Arial"/>
                <w:lang w:eastAsia="en-GB"/>
              </w:rPr>
              <w:t>-6,0%</w:t>
            </w:r>
          </w:p>
        </w:tc>
      </w:tr>
      <w:tr w:rsidR="00920AE2" w:rsidRPr="003C4106" w:rsidTr="00965D9E">
        <w:trPr>
          <w:cnfStyle w:val="000000100000"/>
          <w:trHeight w:val="264"/>
        </w:trPr>
        <w:tc>
          <w:tcPr>
            <w:cnfStyle w:val="001000000000"/>
            <w:tcW w:w="1795" w:type="dxa"/>
            <w:noWrap/>
          </w:tcPr>
          <w:p w:rsidR="00920AE2" w:rsidRPr="003C4106" w:rsidRDefault="000B3165" w:rsidP="003C4106">
            <w:pPr>
              <w:rPr>
                <w:rFonts w:ascii="Arial" w:hAnsi="Arial" w:cs="Arial"/>
                <w:lang w:eastAsia="en-GB"/>
              </w:rPr>
            </w:pPr>
            <w:r w:rsidRPr="003C4106">
              <w:rPr>
                <w:rFonts w:ascii="Arial" w:hAnsi="Arial" w:cs="Arial"/>
                <w:lang w:eastAsia="en-GB"/>
              </w:rPr>
              <w:t>District Health Services</w:t>
            </w:r>
          </w:p>
        </w:tc>
        <w:tc>
          <w:tcPr>
            <w:tcW w:w="900" w:type="dxa"/>
            <w:noWrap/>
          </w:tcPr>
          <w:p w:rsidR="00920AE2" w:rsidRPr="003C4106" w:rsidRDefault="000B3165" w:rsidP="003C4106">
            <w:pPr>
              <w:cnfStyle w:val="000000100000"/>
              <w:rPr>
                <w:rFonts w:ascii="Arial" w:hAnsi="Arial" w:cs="Arial"/>
                <w:lang w:eastAsia="en-GB"/>
              </w:rPr>
            </w:pPr>
            <w:r w:rsidRPr="003C4106">
              <w:rPr>
                <w:rFonts w:ascii="Arial" w:hAnsi="Arial" w:cs="Arial"/>
                <w:lang w:eastAsia="en-GB"/>
              </w:rPr>
              <w:t>4 909,9</w:t>
            </w:r>
          </w:p>
        </w:tc>
        <w:tc>
          <w:tcPr>
            <w:tcW w:w="990" w:type="dxa"/>
            <w:noWrap/>
          </w:tcPr>
          <w:p w:rsidR="00920AE2" w:rsidRPr="003C4106" w:rsidRDefault="000B3165" w:rsidP="003C4106">
            <w:pPr>
              <w:cnfStyle w:val="000000100000"/>
              <w:rPr>
                <w:rFonts w:ascii="Arial" w:hAnsi="Arial" w:cs="Arial"/>
                <w:lang w:eastAsia="en-GB"/>
              </w:rPr>
            </w:pPr>
            <w:r w:rsidRPr="003C4106">
              <w:rPr>
                <w:rFonts w:ascii="Arial" w:hAnsi="Arial" w:cs="Arial"/>
                <w:lang w:eastAsia="en-GB"/>
              </w:rPr>
              <w:t>2 951,1</w:t>
            </w:r>
          </w:p>
        </w:tc>
        <w:tc>
          <w:tcPr>
            <w:tcW w:w="1350" w:type="dxa"/>
            <w:noWrap/>
          </w:tcPr>
          <w:p w:rsidR="00920AE2" w:rsidRPr="003C4106" w:rsidRDefault="000B3165" w:rsidP="003C4106">
            <w:pPr>
              <w:cnfStyle w:val="000000100000"/>
              <w:rPr>
                <w:rFonts w:ascii="Arial" w:hAnsi="Arial" w:cs="Arial"/>
                <w:lang w:eastAsia="en-GB"/>
              </w:rPr>
            </w:pPr>
            <w:r w:rsidRPr="003C4106">
              <w:rPr>
                <w:rFonts w:ascii="Arial" w:hAnsi="Arial" w:cs="Arial"/>
                <w:lang w:eastAsia="en-GB"/>
              </w:rPr>
              <w:t>-1 958,8</w:t>
            </w:r>
          </w:p>
        </w:tc>
        <w:tc>
          <w:tcPr>
            <w:tcW w:w="1350" w:type="dxa"/>
            <w:noWrap/>
          </w:tcPr>
          <w:p w:rsidR="00920AE2" w:rsidRPr="003C4106" w:rsidRDefault="000B3165" w:rsidP="003C4106">
            <w:pPr>
              <w:cnfStyle w:val="000000100000"/>
              <w:rPr>
                <w:rFonts w:ascii="Arial" w:hAnsi="Arial" w:cs="Arial"/>
                <w:lang w:eastAsia="en-GB"/>
              </w:rPr>
            </w:pPr>
            <w:r w:rsidRPr="003C4106">
              <w:rPr>
                <w:rFonts w:ascii="Arial" w:hAnsi="Arial" w:cs="Arial"/>
                <w:lang w:eastAsia="en-GB"/>
              </w:rPr>
              <w:t>-2, 096,6</w:t>
            </w:r>
          </w:p>
        </w:tc>
        <w:tc>
          <w:tcPr>
            <w:tcW w:w="1350" w:type="dxa"/>
            <w:noWrap/>
          </w:tcPr>
          <w:p w:rsidR="00920AE2" w:rsidRPr="003C4106" w:rsidRDefault="000B3165" w:rsidP="003C4106">
            <w:pPr>
              <w:cnfStyle w:val="000000100000"/>
              <w:rPr>
                <w:rFonts w:ascii="Arial" w:hAnsi="Arial" w:cs="Arial"/>
                <w:lang w:eastAsia="en-GB"/>
              </w:rPr>
            </w:pPr>
            <w:r w:rsidRPr="003C4106">
              <w:rPr>
                <w:rFonts w:ascii="Arial" w:hAnsi="Arial" w:cs="Arial"/>
                <w:lang w:eastAsia="en-GB"/>
              </w:rPr>
              <w:t>-39,9%</w:t>
            </w:r>
          </w:p>
        </w:tc>
        <w:tc>
          <w:tcPr>
            <w:tcW w:w="1170" w:type="dxa"/>
            <w:noWrap/>
          </w:tcPr>
          <w:p w:rsidR="00920AE2" w:rsidRPr="003C4106" w:rsidRDefault="000B3165" w:rsidP="003C4106">
            <w:pPr>
              <w:cnfStyle w:val="000000100000"/>
              <w:rPr>
                <w:rFonts w:ascii="Arial" w:hAnsi="Arial" w:cs="Arial"/>
                <w:lang w:eastAsia="en-GB"/>
              </w:rPr>
            </w:pPr>
            <w:r w:rsidRPr="003C4106">
              <w:rPr>
                <w:rFonts w:ascii="Arial" w:hAnsi="Arial" w:cs="Arial"/>
                <w:lang w:eastAsia="en-GB"/>
              </w:rPr>
              <w:t>-42,7%</w:t>
            </w:r>
          </w:p>
        </w:tc>
      </w:tr>
      <w:tr w:rsidR="00920AE2" w:rsidRPr="003C4106" w:rsidTr="00965D9E">
        <w:trPr>
          <w:trHeight w:val="264"/>
        </w:trPr>
        <w:tc>
          <w:tcPr>
            <w:cnfStyle w:val="001000000000"/>
            <w:tcW w:w="1795" w:type="dxa"/>
            <w:noWrap/>
          </w:tcPr>
          <w:p w:rsidR="00920AE2" w:rsidRPr="003C4106" w:rsidRDefault="00446DEE" w:rsidP="003C4106">
            <w:pPr>
              <w:rPr>
                <w:rFonts w:ascii="Arial" w:hAnsi="Arial" w:cs="Arial"/>
                <w:lang w:eastAsia="en-GB"/>
              </w:rPr>
            </w:pPr>
            <w:r w:rsidRPr="003C4106">
              <w:rPr>
                <w:rFonts w:ascii="Arial" w:hAnsi="Arial" w:cs="Arial"/>
                <w:lang w:eastAsia="en-GB"/>
              </w:rPr>
              <w:t>Environmental &amp; Port Health Services</w:t>
            </w:r>
          </w:p>
        </w:tc>
        <w:tc>
          <w:tcPr>
            <w:tcW w:w="900" w:type="dxa"/>
            <w:noWrap/>
          </w:tcPr>
          <w:p w:rsidR="00920AE2" w:rsidRPr="003C4106" w:rsidRDefault="00446DEE" w:rsidP="003C4106">
            <w:pPr>
              <w:cnfStyle w:val="000000000000"/>
              <w:rPr>
                <w:rFonts w:ascii="Arial" w:hAnsi="Arial" w:cs="Arial"/>
                <w:lang w:eastAsia="en-GB"/>
              </w:rPr>
            </w:pPr>
            <w:r w:rsidRPr="003C4106">
              <w:rPr>
                <w:rFonts w:ascii="Arial" w:hAnsi="Arial" w:cs="Arial"/>
                <w:lang w:eastAsia="en-GB"/>
              </w:rPr>
              <w:t>228,4</w:t>
            </w:r>
          </w:p>
        </w:tc>
        <w:tc>
          <w:tcPr>
            <w:tcW w:w="990" w:type="dxa"/>
            <w:noWrap/>
          </w:tcPr>
          <w:p w:rsidR="00920AE2" w:rsidRPr="003C4106" w:rsidRDefault="0050357A" w:rsidP="003C4106">
            <w:pPr>
              <w:cnfStyle w:val="000000000000"/>
              <w:rPr>
                <w:rFonts w:ascii="Arial" w:hAnsi="Arial" w:cs="Arial"/>
                <w:lang w:eastAsia="en-GB"/>
              </w:rPr>
            </w:pPr>
            <w:r w:rsidRPr="003C4106">
              <w:rPr>
                <w:rFonts w:ascii="Arial" w:hAnsi="Arial" w:cs="Arial"/>
                <w:lang w:eastAsia="en-GB"/>
              </w:rPr>
              <w:t>40,8</w:t>
            </w:r>
          </w:p>
        </w:tc>
        <w:tc>
          <w:tcPr>
            <w:tcW w:w="1350" w:type="dxa"/>
            <w:noWrap/>
          </w:tcPr>
          <w:p w:rsidR="00920AE2" w:rsidRPr="003C4106" w:rsidRDefault="0050357A" w:rsidP="003C4106">
            <w:pPr>
              <w:cnfStyle w:val="000000000000"/>
              <w:rPr>
                <w:rFonts w:ascii="Arial" w:hAnsi="Arial" w:cs="Arial"/>
                <w:lang w:eastAsia="en-GB"/>
              </w:rPr>
            </w:pPr>
            <w:r w:rsidRPr="003C4106">
              <w:rPr>
                <w:rFonts w:ascii="Arial" w:hAnsi="Arial" w:cs="Arial"/>
                <w:lang w:eastAsia="en-GB"/>
              </w:rPr>
              <w:t>-187,6</w:t>
            </w:r>
          </w:p>
        </w:tc>
        <w:tc>
          <w:tcPr>
            <w:tcW w:w="1350" w:type="dxa"/>
            <w:noWrap/>
          </w:tcPr>
          <w:p w:rsidR="00920AE2" w:rsidRPr="003C4106" w:rsidRDefault="00764A56" w:rsidP="003C4106">
            <w:pPr>
              <w:cnfStyle w:val="000000000000"/>
              <w:rPr>
                <w:rFonts w:ascii="Arial" w:hAnsi="Arial" w:cs="Arial"/>
                <w:lang w:eastAsia="en-GB"/>
              </w:rPr>
            </w:pPr>
            <w:r w:rsidRPr="003C4106">
              <w:rPr>
                <w:rFonts w:ascii="Arial" w:hAnsi="Arial" w:cs="Arial"/>
                <w:lang w:eastAsia="en-GB"/>
              </w:rPr>
              <w:t>-189,5</w:t>
            </w:r>
          </w:p>
        </w:tc>
        <w:tc>
          <w:tcPr>
            <w:tcW w:w="1350" w:type="dxa"/>
            <w:noWrap/>
          </w:tcPr>
          <w:p w:rsidR="00920AE2" w:rsidRPr="003C4106" w:rsidRDefault="00764A56" w:rsidP="003C4106">
            <w:pPr>
              <w:cnfStyle w:val="000000000000"/>
              <w:rPr>
                <w:rFonts w:ascii="Arial" w:hAnsi="Arial" w:cs="Arial"/>
                <w:lang w:eastAsia="en-GB"/>
              </w:rPr>
            </w:pPr>
            <w:r w:rsidRPr="003C4106">
              <w:rPr>
                <w:rFonts w:ascii="Arial" w:hAnsi="Arial" w:cs="Arial"/>
                <w:lang w:eastAsia="en-GB"/>
              </w:rPr>
              <w:t>-82,1%</w:t>
            </w:r>
          </w:p>
        </w:tc>
        <w:tc>
          <w:tcPr>
            <w:tcW w:w="1170" w:type="dxa"/>
            <w:noWrap/>
          </w:tcPr>
          <w:p w:rsidR="00920AE2" w:rsidRPr="003C4106" w:rsidRDefault="00446DEE" w:rsidP="003C4106">
            <w:pPr>
              <w:cnfStyle w:val="000000000000"/>
              <w:rPr>
                <w:rFonts w:ascii="Arial" w:hAnsi="Arial" w:cs="Arial"/>
                <w:lang w:eastAsia="en-GB"/>
              </w:rPr>
            </w:pPr>
            <w:r w:rsidRPr="003C4106">
              <w:rPr>
                <w:rFonts w:ascii="Arial" w:hAnsi="Arial" w:cs="Arial"/>
                <w:lang w:eastAsia="en-GB"/>
              </w:rPr>
              <w:t>-83,0%</w:t>
            </w:r>
          </w:p>
        </w:tc>
      </w:tr>
      <w:tr w:rsidR="00764A56" w:rsidRPr="003C4106" w:rsidTr="00965D9E">
        <w:trPr>
          <w:cnfStyle w:val="000000100000"/>
          <w:trHeight w:val="264"/>
        </w:trPr>
        <w:tc>
          <w:tcPr>
            <w:cnfStyle w:val="001000000000"/>
            <w:tcW w:w="1795" w:type="dxa"/>
            <w:noWrap/>
          </w:tcPr>
          <w:p w:rsidR="00764A56" w:rsidRPr="003C4106" w:rsidRDefault="001B48E5" w:rsidP="003C4106">
            <w:pPr>
              <w:rPr>
                <w:rFonts w:ascii="Arial" w:hAnsi="Arial" w:cs="Arial"/>
                <w:lang w:eastAsia="en-GB"/>
              </w:rPr>
            </w:pPr>
            <w:r w:rsidRPr="003C4106">
              <w:rPr>
                <w:rFonts w:ascii="Arial" w:hAnsi="Arial" w:cs="Arial"/>
                <w:lang w:eastAsia="en-GB"/>
              </w:rPr>
              <w:t>Emergency</w:t>
            </w:r>
            <w:r w:rsidR="00764A56" w:rsidRPr="003C4106">
              <w:rPr>
                <w:rFonts w:ascii="Arial" w:hAnsi="Arial" w:cs="Arial"/>
                <w:lang w:eastAsia="en-GB"/>
              </w:rPr>
              <w:t xml:space="preserve"> Medical Services &amp; Trauma</w:t>
            </w:r>
          </w:p>
        </w:tc>
        <w:tc>
          <w:tcPr>
            <w:tcW w:w="900" w:type="dxa"/>
            <w:noWrap/>
          </w:tcPr>
          <w:p w:rsidR="00764A56" w:rsidRPr="003C4106" w:rsidRDefault="00764A56" w:rsidP="003C4106">
            <w:pPr>
              <w:cnfStyle w:val="000000100000"/>
              <w:rPr>
                <w:rFonts w:ascii="Arial" w:hAnsi="Arial" w:cs="Arial"/>
                <w:lang w:eastAsia="en-GB"/>
              </w:rPr>
            </w:pPr>
            <w:r w:rsidRPr="003C4106">
              <w:rPr>
                <w:rFonts w:ascii="Arial" w:hAnsi="Arial" w:cs="Arial"/>
                <w:lang w:eastAsia="en-GB"/>
              </w:rPr>
              <w:t>8,4</w:t>
            </w:r>
          </w:p>
        </w:tc>
        <w:tc>
          <w:tcPr>
            <w:tcW w:w="990" w:type="dxa"/>
            <w:noWrap/>
          </w:tcPr>
          <w:p w:rsidR="00764A56" w:rsidRPr="003C4106" w:rsidRDefault="00764A56" w:rsidP="003C4106">
            <w:pPr>
              <w:cnfStyle w:val="000000100000"/>
              <w:rPr>
                <w:rFonts w:ascii="Arial" w:hAnsi="Arial" w:cs="Arial"/>
                <w:lang w:eastAsia="en-GB"/>
              </w:rPr>
            </w:pPr>
            <w:r w:rsidRPr="003C4106">
              <w:rPr>
                <w:rFonts w:ascii="Arial" w:hAnsi="Arial" w:cs="Arial"/>
                <w:lang w:eastAsia="en-GB"/>
              </w:rPr>
              <w:t>8,6</w:t>
            </w:r>
          </w:p>
        </w:tc>
        <w:tc>
          <w:tcPr>
            <w:tcW w:w="1350" w:type="dxa"/>
            <w:noWrap/>
          </w:tcPr>
          <w:p w:rsidR="00764A56" w:rsidRPr="003C4106" w:rsidRDefault="00764A56" w:rsidP="003C4106">
            <w:pPr>
              <w:cnfStyle w:val="000000100000"/>
              <w:rPr>
                <w:rFonts w:ascii="Arial" w:hAnsi="Arial" w:cs="Arial"/>
                <w:lang w:eastAsia="en-GB"/>
              </w:rPr>
            </w:pPr>
            <w:r w:rsidRPr="003C4106">
              <w:rPr>
                <w:rFonts w:ascii="Arial" w:hAnsi="Arial" w:cs="Arial"/>
                <w:lang w:eastAsia="en-GB"/>
              </w:rPr>
              <w:t>0,2</w:t>
            </w:r>
          </w:p>
        </w:tc>
        <w:tc>
          <w:tcPr>
            <w:tcW w:w="1350" w:type="dxa"/>
            <w:noWrap/>
          </w:tcPr>
          <w:p w:rsidR="00764A56" w:rsidRPr="003C4106" w:rsidRDefault="00764A56" w:rsidP="003C4106">
            <w:pPr>
              <w:cnfStyle w:val="000000100000"/>
              <w:rPr>
                <w:rFonts w:ascii="Arial" w:hAnsi="Arial" w:cs="Arial"/>
                <w:lang w:eastAsia="en-GB"/>
              </w:rPr>
            </w:pPr>
            <w:r w:rsidRPr="003C4106">
              <w:rPr>
                <w:rFonts w:ascii="Arial" w:hAnsi="Arial" w:cs="Arial"/>
                <w:lang w:eastAsia="en-GB"/>
              </w:rPr>
              <w:t>0,2</w:t>
            </w:r>
          </w:p>
        </w:tc>
        <w:tc>
          <w:tcPr>
            <w:tcW w:w="1350" w:type="dxa"/>
            <w:noWrap/>
          </w:tcPr>
          <w:p w:rsidR="00764A56" w:rsidRPr="003C4106" w:rsidRDefault="00764A56" w:rsidP="003C4106">
            <w:pPr>
              <w:cnfStyle w:val="000000100000"/>
              <w:rPr>
                <w:rFonts w:ascii="Arial" w:hAnsi="Arial" w:cs="Arial"/>
                <w:lang w:eastAsia="en-GB"/>
              </w:rPr>
            </w:pPr>
            <w:r w:rsidRPr="003C4106">
              <w:rPr>
                <w:rFonts w:ascii="Arial" w:hAnsi="Arial" w:cs="Arial"/>
                <w:lang w:eastAsia="en-GB"/>
              </w:rPr>
              <w:t>2,4%</w:t>
            </w:r>
          </w:p>
        </w:tc>
        <w:tc>
          <w:tcPr>
            <w:tcW w:w="1170" w:type="dxa"/>
            <w:noWrap/>
          </w:tcPr>
          <w:p w:rsidR="00764A56" w:rsidRPr="003C4106" w:rsidRDefault="00764A56" w:rsidP="003C4106">
            <w:pPr>
              <w:cnfStyle w:val="000000100000"/>
              <w:rPr>
                <w:rFonts w:ascii="Arial" w:hAnsi="Arial" w:cs="Arial"/>
                <w:lang w:eastAsia="en-GB"/>
              </w:rPr>
            </w:pPr>
            <w:r w:rsidRPr="003C4106">
              <w:rPr>
                <w:rFonts w:ascii="Arial" w:hAnsi="Arial" w:cs="Arial"/>
                <w:lang w:eastAsia="en-GB"/>
              </w:rPr>
              <w:t>-2,4%</w:t>
            </w:r>
          </w:p>
        </w:tc>
      </w:tr>
      <w:tr w:rsidR="00764A56" w:rsidRPr="003C4106" w:rsidTr="00965D9E">
        <w:trPr>
          <w:trHeight w:val="264"/>
        </w:trPr>
        <w:tc>
          <w:tcPr>
            <w:cnfStyle w:val="001000000000"/>
            <w:tcW w:w="1795" w:type="dxa"/>
            <w:noWrap/>
          </w:tcPr>
          <w:p w:rsidR="00764A56" w:rsidRPr="003C4106" w:rsidRDefault="00764A56" w:rsidP="003C4106">
            <w:pPr>
              <w:rPr>
                <w:rFonts w:ascii="Arial" w:hAnsi="Arial" w:cs="Arial"/>
                <w:lang w:eastAsia="en-GB"/>
              </w:rPr>
            </w:pPr>
            <w:r w:rsidRPr="003C4106">
              <w:rPr>
                <w:rFonts w:ascii="Arial" w:hAnsi="Arial" w:cs="Arial"/>
                <w:lang w:eastAsia="en-GB"/>
              </w:rPr>
              <w:t>Total</w:t>
            </w:r>
          </w:p>
        </w:tc>
        <w:tc>
          <w:tcPr>
            <w:tcW w:w="900" w:type="dxa"/>
            <w:noWrap/>
          </w:tcPr>
          <w:p w:rsidR="00764A56" w:rsidRPr="003C4106" w:rsidRDefault="00764A56" w:rsidP="003C4106">
            <w:pPr>
              <w:cnfStyle w:val="000000000000"/>
              <w:rPr>
                <w:rFonts w:ascii="Arial" w:hAnsi="Arial" w:cs="Arial"/>
                <w:lang w:eastAsia="en-GB"/>
              </w:rPr>
            </w:pPr>
            <w:r w:rsidRPr="003C4106">
              <w:rPr>
                <w:rFonts w:ascii="Arial" w:hAnsi="Arial" w:cs="Arial"/>
                <w:lang w:eastAsia="en-GB"/>
              </w:rPr>
              <w:t>5 153,6</w:t>
            </w:r>
          </w:p>
        </w:tc>
        <w:tc>
          <w:tcPr>
            <w:tcW w:w="990" w:type="dxa"/>
            <w:noWrap/>
          </w:tcPr>
          <w:p w:rsidR="00764A56" w:rsidRPr="003C4106" w:rsidRDefault="00764A56" w:rsidP="003C4106">
            <w:pPr>
              <w:cnfStyle w:val="000000000000"/>
              <w:rPr>
                <w:rFonts w:ascii="Arial" w:hAnsi="Arial" w:cs="Arial"/>
                <w:lang w:eastAsia="en-GB"/>
              </w:rPr>
            </w:pPr>
            <w:r w:rsidRPr="003C4106">
              <w:rPr>
                <w:rFonts w:ascii="Arial" w:hAnsi="Arial" w:cs="Arial"/>
                <w:lang w:eastAsia="en-GB"/>
              </w:rPr>
              <w:t>3 007,4</w:t>
            </w:r>
          </w:p>
        </w:tc>
        <w:tc>
          <w:tcPr>
            <w:tcW w:w="1350" w:type="dxa"/>
            <w:noWrap/>
          </w:tcPr>
          <w:p w:rsidR="00764A56" w:rsidRPr="003C4106" w:rsidRDefault="00764A56" w:rsidP="003C4106">
            <w:pPr>
              <w:cnfStyle w:val="000000000000"/>
              <w:rPr>
                <w:rFonts w:ascii="Arial" w:hAnsi="Arial" w:cs="Arial"/>
                <w:lang w:eastAsia="en-GB"/>
              </w:rPr>
            </w:pPr>
            <w:r w:rsidRPr="003C4106">
              <w:rPr>
                <w:rFonts w:ascii="Arial" w:hAnsi="Arial" w:cs="Arial"/>
                <w:lang w:eastAsia="en-GB"/>
              </w:rPr>
              <w:t>-2 146,2</w:t>
            </w:r>
          </w:p>
        </w:tc>
        <w:tc>
          <w:tcPr>
            <w:tcW w:w="1350" w:type="dxa"/>
            <w:noWrap/>
          </w:tcPr>
          <w:p w:rsidR="00764A56" w:rsidRPr="003C4106" w:rsidRDefault="00764A56" w:rsidP="003C4106">
            <w:pPr>
              <w:cnfStyle w:val="000000000000"/>
              <w:rPr>
                <w:rFonts w:ascii="Arial" w:hAnsi="Arial" w:cs="Arial"/>
                <w:lang w:eastAsia="en-GB"/>
              </w:rPr>
            </w:pPr>
            <w:r w:rsidRPr="003C4106">
              <w:rPr>
                <w:rFonts w:ascii="Arial" w:hAnsi="Arial" w:cs="Arial"/>
                <w:lang w:eastAsia="en-GB"/>
              </w:rPr>
              <w:t>-2 286,7</w:t>
            </w:r>
          </w:p>
        </w:tc>
        <w:tc>
          <w:tcPr>
            <w:tcW w:w="1350" w:type="dxa"/>
            <w:noWrap/>
          </w:tcPr>
          <w:p w:rsidR="00764A56" w:rsidRPr="003C4106" w:rsidRDefault="00764A56" w:rsidP="003C4106">
            <w:pPr>
              <w:cnfStyle w:val="000000000000"/>
              <w:rPr>
                <w:rFonts w:ascii="Arial" w:hAnsi="Arial" w:cs="Arial"/>
                <w:lang w:eastAsia="en-GB"/>
              </w:rPr>
            </w:pPr>
            <w:r w:rsidRPr="003C4106">
              <w:rPr>
                <w:rFonts w:ascii="Arial" w:hAnsi="Arial" w:cs="Arial"/>
                <w:lang w:eastAsia="en-GB"/>
              </w:rPr>
              <w:t>-41,6%</w:t>
            </w:r>
          </w:p>
        </w:tc>
        <w:tc>
          <w:tcPr>
            <w:tcW w:w="1170" w:type="dxa"/>
            <w:noWrap/>
          </w:tcPr>
          <w:p w:rsidR="00764A56" w:rsidRPr="003C4106" w:rsidRDefault="00764A56" w:rsidP="003C4106">
            <w:pPr>
              <w:cnfStyle w:val="000000000000"/>
              <w:rPr>
                <w:rFonts w:ascii="Arial" w:hAnsi="Arial" w:cs="Arial"/>
                <w:lang w:eastAsia="en-GB"/>
              </w:rPr>
            </w:pPr>
            <w:r w:rsidRPr="003C4106">
              <w:rPr>
                <w:rFonts w:ascii="Arial" w:hAnsi="Arial" w:cs="Arial"/>
                <w:lang w:eastAsia="en-GB"/>
              </w:rPr>
              <w:t>-44,4%</w:t>
            </w:r>
          </w:p>
        </w:tc>
      </w:tr>
    </w:tbl>
    <w:p w:rsidR="00920AE2" w:rsidRPr="003C4106" w:rsidRDefault="00920AE2" w:rsidP="003C4106">
      <w:pPr>
        <w:rPr>
          <w:rFonts w:eastAsia="Times New Roman"/>
          <w:color w:val="auto"/>
          <w:sz w:val="20"/>
          <w:szCs w:val="20"/>
          <w:lang w:eastAsia="en-GB"/>
        </w:rPr>
      </w:pPr>
      <w:r w:rsidRPr="003C4106">
        <w:rPr>
          <w:rFonts w:eastAsia="Times New Roman"/>
          <w:i/>
          <w:iCs/>
          <w:color w:val="auto"/>
          <w:sz w:val="20"/>
          <w:szCs w:val="20"/>
          <w:lang w:eastAsia="en-GB"/>
        </w:rPr>
        <w:t>Source: National Treasury (2023)</w:t>
      </w:r>
    </w:p>
    <w:p w:rsidR="00920AE2" w:rsidRPr="003C4106" w:rsidRDefault="00920AE2"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This Programme’s budget declines by 41.6% in nominal terms from R5.2 billion to R3.1 billion. The </w:t>
      </w:r>
      <w:r w:rsidRPr="003C4106">
        <w:rPr>
          <w:i/>
          <w:color w:val="000000"/>
          <w:sz w:val="20"/>
          <w:szCs w:val="20"/>
        </w:rPr>
        <w:t xml:space="preserve">District Health Services </w:t>
      </w:r>
      <w:r w:rsidRPr="003C4106">
        <w:rPr>
          <w:color w:val="000000"/>
          <w:sz w:val="20"/>
          <w:szCs w:val="20"/>
        </w:rPr>
        <w:t>sub-programme decreases from R4.9 billion in the previous year, to R3.0 billion in 2023/24, a reduction of 39.9% nominally, and 42.7% in real terms.</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i/>
          <w:color w:val="000000"/>
          <w:sz w:val="20"/>
          <w:szCs w:val="20"/>
        </w:rPr>
        <w:t>Environmental and Port Health Services</w:t>
      </w:r>
      <w:r w:rsidR="001B48E5" w:rsidRPr="003C4106">
        <w:rPr>
          <w:color w:val="000000"/>
          <w:sz w:val="20"/>
          <w:szCs w:val="20"/>
        </w:rPr>
        <w:t xml:space="preserve"> declines by 82.1% (</w:t>
      </w:r>
      <w:r w:rsidRPr="003C4106">
        <w:rPr>
          <w:color w:val="000000"/>
          <w:sz w:val="20"/>
          <w:szCs w:val="20"/>
        </w:rPr>
        <w:t xml:space="preserve">R187.6 million) from R228.4 million to R40.8 million in 2023/24. R162 million is shifted from this programme as the Port Health function is moved to the </w:t>
      </w:r>
      <w:r w:rsidR="005B5D52" w:rsidRPr="003C4106">
        <w:rPr>
          <w:color w:val="000000"/>
          <w:sz w:val="20"/>
          <w:szCs w:val="20"/>
        </w:rPr>
        <w:t>BMA</w:t>
      </w:r>
      <w:r w:rsidRPr="003C4106">
        <w:rPr>
          <w:color w:val="000000"/>
          <w:sz w:val="20"/>
          <w:szCs w:val="20"/>
        </w:rPr>
        <w:t xml:space="preserve">, a newly created entity in the Department of Home Affairs. </w:t>
      </w:r>
    </w:p>
    <w:p w:rsidR="006169B9" w:rsidRPr="003C4106" w:rsidRDefault="006169B9" w:rsidP="003C4106">
      <w:pPr>
        <w:contextualSpacing/>
        <w:rPr>
          <w:color w:val="000000"/>
          <w:sz w:val="20"/>
          <w:szCs w:val="20"/>
        </w:rPr>
      </w:pPr>
    </w:p>
    <w:p w:rsidR="006169B9" w:rsidRPr="003C4106" w:rsidRDefault="006169B9" w:rsidP="003C4106">
      <w:pPr>
        <w:pStyle w:val="ListParagraph"/>
        <w:numPr>
          <w:ilvl w:val="2"/>
          <w:numId w:val="12"/>
        </w:numPr>
        <w:pBdr>
          <w:top w:val="nil"/>
          <w:left w:val="nil"/>
          <w:bottom w:val="nil"/>
          <w:right w:val="nil"/>
          <w:between w:val="nil"/>
        </w:pBdr>
        <w:spacing w:line="240" w:lineRule="auto"/>
        <w:contextualSpacing/>
        <w:outlineLvl w:val="2"/>
        <w:rPr>
          <w:rFonts w:cs="Arial"/>
          <w:b/>
          <w:i/>
          <w:sz w:val="20"/>
          <w:szCs w:val="20"/>
        </w:rPr>
      </w:pPr>
      <w:bookmarkStart w:id="17" w:name="_111kx3o" w:colFirst="0" w:colLast="0"/>
      <w:bookmarkEnd w:id="17"/>
      <w:r w:rsidRPr="003C4106">
        <w:rPr>
          <w:rFonts w:cs="Arial"/>
          <w:b/>
          <w:i/>
          <w:sz w:val="20"/>
          <w:szCs w:val="20"/>
        </w:rPr>
        <w:t xml:space="preserve">Programme 5: Hospital Systems </w:t>
      </w:r>
    </w:p>
    <w:p w:rsidR="006169B9" w:rsidRPr="003C4106" w:rsidRDefault="003C2ED6" w:rsidP="003C4106">
      <w:pPr>
        <w:contextualSpacing/>
        <w:rPr>
          <w:color w:val="000000"/>
          <w:sz w:val="20"/>
          <w:szCs w:val="20"/>
        </w:rPr>
      </w:pPr>
      <w:r w:rsidRPr="003C4106">
        <w:rPr>
          <w:color w:val="000000"/>
          <w:sz w:val="20"/>
          <w:szCs w:val="20"/>
        </w:rPr>
        <w:t>The programme’s purpose is to develop national policies and plans for all levels of hospital services to strengthen the referral system and facilitate the improvement of hospitals. Ensure that the planning, coordination, delivery and oversight of health infrastructure meet the country’s health needs.</w:t>
      </w:r>
    </w:p>
    <w:p w:rsidR="003E3B10" w:rsidRPr="003C4106" w:rsidRDefault="003E3B10" w:rsidP="003C4106">
      <w:pPr>
        <w:contextualSpacing/>
        <w:rPr>
          <w:color w:val="000000"/>
          <w:sz w:val="20"/>
          <w:szCs w:val="20"/>
        </w:rPr>
      </w:pPr>
    </w:p>
    <w:p w:rsidR="00920AE2" w:rsidRPr="003C4106" w:rsidRDefault="00920AE2" w:rsidP="003C4106">
      <w:pPr>
        <w:pStyle w:val="Caption"/>
        <w:spacing w:after="0"/>
        <w:rPr>
          <w:rFonts w:eastAsia="Times New Roman"/>
          <w:b/>
          <w:color w:val="auto"/>
          <w:sz w:val="20"/>
          <w:szCs w:val="20"/>
          <w:lang w:eastAsia="en-GB"/>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7</w:t>
      </w:r>
      <w:r w:rsidR="00D95EDE" w:rsidRPr="003C4106">
        <w:rPr>
          <w:b/>
          <w:color w:val="auto"/>
          <w:sz w:val="20"/>
          <w:szCs w:val="20"/>
        </w:rPr>
        <w:fldChar w:fldCharType="end"/>
      </w:r>
      <w:r w:rsidRPr="003C4106">
        <w:rPr>
          <w:rFonts w:eastAsia="Times New Roman"/>
          <w:b/>
          <w:color w:val="auto"/>
          <w:sz w:val="20"/>
          <w:szCs w:val="20"/>
          <w:lang w:eastAsia="en-GB"/>
        </w:rPr>
        <w:t xml:space="preserve">: </w:t>
      </w:r>
      <w:r w:rsidR="00135084" w:rsidRPr="003C4106">
        <w:rPr>
          <w:rFonts w:eastAsia="Times New Roman"/>
          <w:b/>
          <w:color w:val="auto"/>
          <w:sz w:val="20"/>
          <w:szCs w:val="20"/>
          <w:lang w:eastAsia="en-GB"/>
        </w:rPr>
        <w:t>Hospital Systems</w:t>
      </w:r>
      <w:r w:rsidRPr="003C4106" w:rsidDel="00456BC8">
        <w:rPr>
          <w:rFonts w:eastAsia="Times New Roman"/>
          <w:b/>
          <w:color w:val="auto"/>
          <w:sz w:val="20"/>
          <w:szCs w:val="20"/>
          <w:lang w:eastAsia="en-GB"/>
        </w:rPr>
        <w:t xml:space="preserve"> </w:t>
      </w:r>
      <w:r w:rsidRPr="003C4106">
        <w:rPr>
          <w:rFonts w:eastAsia="Times New Roman"/>
          <w:b/>
          <w:color w:val="auto"/>
          <w:sz w:val="20"/>
          <w:szCs w:val="20"/>
          <w:lang w:eastAsia="en-GB"/>
        </w:rPr>
        <w:t>Programme budget allocation</w:t>
      </w:r>
    </w:p>
    <w:tbl>
      <w:tblPr>
        <w:tblStyle w:val="GridTable6Colorful2"/>
        <w:tblW w:w="8905" w:type="dxa"/>
        <w:tblLook w:val="04A0"/>
      </w:tblPr>
      <w:tblGrid>
        <w:gridCol w:w="1705"/>
        <w:gridCol w:w="990"/>
        <w:gridCol w:w="990"/>
        <w:gridCol w:w="1350"/>
        <w:gridCol w:w="1350"/>
        <w:gridCol w:w="1350"/>
        <w:gridCol w:w="1170"/>
      </w:tblGrid>
      <w:tr w:rsidR="00920AE2" w:rsidRPr="003C4106" w:rsidTr="007329B7">
        <w:trPr>
          <w:cnfStyle w:val="100000000000"/>
          <w:trHeight w:val="638"/>
        </w:trPr>
        <w:tc>
          <w:tcPr>
            <w:cnfStyle w:val="001000000000"/>
            <w:tcW w:w="1705" w:type="dxa"/>
            <w:vMerge w:val="restart"/>
            <w:shd w:val="clear" w:color="auto" w:fill="BFBFBF"/>
            <w:noWrap/>
            <w:vAlign w:val="center"/>
            <w:hideMark/>
          </w:tcPr>
          <w:p w:rsidR="00920AE2" w:rsidRPr="003C4106" w:rsidRDefault="00920AE2" w:rsidP="003C4106">
            <w:pPr>
              <w:rPr>
                <w:rFonts w:ascii="Arial" w:hAnsi="Arial" w:cs="Arial"/>
                <w:lang w:eastAsia="en-GB"/>
              </w:rPr>
            </w:pPr>
            <w:r w:rsidRPr="003C4106">
              <w:rPr>
                <w:rFonts w:ascii="Arial" w:hAnsi="Arial" w:cs="Arial"/>
                <w:lang w:eastAsia="en-GB"/>
              </w:rPr>
              <w:t>Programme</w:t>
            </w:r>
          </w:p>
          <w:p w:rsidR="00920AE2" w:rsidRPr="003C4106" w:rsidRDefault="00920AE2" w:rsidP="003C4106">
            <w:pPr>
              <w:rPr>
                <w:rFonts w:ascii="Arial" w:hAnsi="Arial" w:cs="Arial"/>
                <w:lang w:eastAsia="en-GB"/>
              </w:rPr>
            </w:pPr>
          </w:p>
          <w:p w:rsidR="00920AE2" w:rsidRPr="003C4106" w:rsidRDefault="00920AE2" w:rsidP="003C4106">
            <w:pPr>
              <w:rPr>
                <w:rFonts w:ascii="Arial" w:hAnsi="Arial" w:cs="Arial"/>
                <w:lang w:eastAsia="en-GB"/>
              </w:rPr>
            </w:pPr>
            <w:r w:rsidRPr="003C4106">
              <w:rPr>
                <w:rFonts w:ascii="Arial" w:hAnsi="Arial" w:cs="Arial"/>
                <w:lang w:eastAsia="en-GB"/>
              </w:rPr>
              <w:t>R million</w:t>
            </w:r>
          </w:p>
        </w:tc>
        <w:tc>
          <w:tcPr>
            <w:tcW w:w="1980" w:type="dxa"/>
            <w:gridSpan w:val="2"/>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Budget</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 change in 2023/24</w:t>
            </w:r>
          </w:p>
        </w:tc>
        <w:tc>
          <w:tcPr>
            <w:tcW w:w="117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 change in 2023/24</w:t>
            </w:r>
          </w:p>
        </w:tc>
      </w:tr>
      <w:tr w:rsidR="00920AE2" w:rsidRPr="003C4106" w:rsidTr="007329B7">
        <w:trPr>
          <w:cnfStyle w:val="000000100000"/>
          <w:trHeight w:val="330"/>
        </w:trPr>
        <w:tc>
          <w:tcPr>
            <w:cnfStyle w:val="001000000000"/>
            <w:tcW w:w="1705" w:type="dxa"/>
            <w:vMerge/>
            <w:noWrap/>
            <w:hideMark/>
          </w:tcPr>
          <w:p w:rsidR="00920AE2" w:rsidRPr="003C4106" w:rsidRDefault="00920AE2" w:rsidP="003C4106">
            <w:pPr>
              <w:rPr>
                <w:rFonts w:ascii="Arial" w:hAnsi="Arial" w:cs="Arial"/>
                <w:lang w:eastAsia="en-GB"/>
              </w:rPr>
            </w:pPr>
          </w:p>
        </w:tc>
        <w:tc>
          <w:tcPr>
            <w:tcW w:w="99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2022/23</w:t>
            </w:r>
          </w:p>
        </w:tc>
        <w:tc>
          <w:tcPr>
            <w:tcW w:w="99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2023/24</w:t>
            </w: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170" w:type="dxa"/>
            <w:vMerge/>
            <w:hideMark/>
          </w:tcPr>
          <w:p w:rsidR="00920AE2" w:rsidRPr="003C4106" w:rsidRDefault="00920AE2" w:rsidP="003C4106">
            <w:pPr>
              <w:cnfStyle w:val="000000100000"/>
              <w:rPr>
                <w:rFonts w:ascii="Arial" w:hAnsi="Arial" w:cs="Arial"/>
                <w:b/>
                <w:bCs/>
                <w:lang w:eastAsia="en-GB"/>
              </w:rPr>
            </w:pPr>
          </w:p>
        </w:tc>
      </w:tr>
      <w:tr w:rsidR="005A2BE5" w:rsidRPr="003C4106" w:rsidTr="007329B7">
        <w:trPr>
          <w:trHeight w:val="264"/>
        </w:trPr>
        <w:tc>
          <w:tcPr>
            <w:cnfStyle w:val="001000000000"/>
            <w:tcW w:w="1705" w:type="dxa"/>
            <w:noWrap/>
          </w:tcPr>
          <w:p w:rsidR="005A2BE5" w:rsidRPr="003C4106" w:rsidRDefault="005A2BE5" w:rsidP="003C4106">
            <w:pPr>
              <w:rPr>
                <w:rFonts w:ascii="Arial" w:hAnsi="Arial" w:cs="Arial"/>
                <w:lang w:eastAsia="en-GB"/>
              </w:rPr>
            </w:pPr>
            <w:r w:rsidRPr="003C4106">
              <w:rPr>
                <w:rFonts w:ascii="Arial" w:hAnsi="Arial" w:cs="Arial"/>
                <w:lang w:eastAsia="en-GB"/>
              </w:rPr>
              <w:t>Programme Management</w:t>
            </w:r>
          </w:p>
        </w:tc>
        <w:tc>
          <w:tcPr>
            <w:tcW w:w="990" w:type="dxa"/>
            <w:noWrap/>
          </w:tcPr>
          <w:p w:rsidR="005A2BE5" w:rsidRPr="003C4106" w:rsidRDefault="005A2BE5" w:rsidP="003C4106">
            <w:pPr>
              <w:cnfStyle w:val="000000000000"/>
              <w:rPr>
                <w:rFonts w:ascii="Arial" w:hAnsi="Arial" w:cs="Arial"/>
                <w:lang w:eastAsia="en-GB"/>
              </w:rPr>
            </w:pPr>
            <w:r w:rsidRPr="003C4106">
              <w:rPr>
                <w:rFonts w:ascii="Arial" w:hAnsi="Arial" w:cs="Arial"/>
                <w:lang w:eastAsia="en-GB"/>
              </w:rPr>
              <w:t>5,0</w:t>
            </w:r>
          </w:p>
        </w:tc>
        <w:tc>
          <w:tcPr>
            <w:tcW w:w="990" w:type="dxa"/>
            <w:noWrap/>
          </w:tcPr>
          <w:p w:rsidR="005A2BE5" w:rsidRPr="003C4106" w:rsidRDefault="005A2BE5" w:rsidP="003C4106">
            <w:pPr>
              <w:cnfStyle w:val="000000000000"/>
              <w:rPr>
                <w:rFonts w:ascii="Arial" w:hAnsi="Arial" w:cs="Arial"/>
                <w:lang w:eastAsia="en-GB"/>
              </w:rPr>
            </w:pPr>
            <w:r w:rsidRPr="003C4106">
              <w:rPr>
                <w:rFonts w:ascii="Arial" w:hAnsi="Arial" w:cs="Arial"/>
                <w:lang w:eastAsia="en-GB"/>
              </w:rPr>
              <w:t>5,0</w:t>
            </w:r>
          </w:p>
        </w:tc>
        <w:tc>
          <w:tcPr>
            <w:tcW w:w="1350" w:type="dxa"/>
            <w:noWrap/>
          </w:tcPr>
          <w:p w:rsidR="005A2BE5" w:rsidRPr="003C4106" w:rsidRDefault="005A2BE5" w:rsidP="003C4106">
            <w:pPr>
              <w:cnfStyle w:val="000000000000"/>
              <w:rPr>
                <w:rFonts w:ascii="Arial" w:hAnsi="Arial" w:cs="Arial"/>
                <w:lang w:eastAsia="en-GB"/>
              </w:rPr>
            </w:pPr>
            <w:r w:rsidRPr="003C4106">
              <w:rPr>
                <w:rFonts w:ascii="Arial" w:hAnsi="Arial" w:cs="Arial"/>
                <w:lang w:eastAsia="en-GB"/>
              </w:rPr>
              <w:t>0</w:t>
            </w:r>
          </w:p>
        </w:tc>
        <w:tc>
          <w:tcPr>
            <w:tcW w:w="1350" w:type="dxa"/>
            <w:noWrap/>
          </w:tcPr>
          <w:p w:rsidR="005A2BE5" w:rsidRPr="003C4106" w:rsidRDefault="005A2BE5" w:rsidP="003C4106">
            <w:pPr>
              <w:cnfStyle w:val="000000000000"/>
              <w:rPr>
                <w:rFonts w:ascii="Arial" w:hAnsi="Arial" w:cs="Arial"/>
                <w:lang w:eastAsia="en-GB"/>
              </w:rPr>
            </w:pPr>
            <w:r w:rsidRPr="003C4106">
              <w:rPr>
                <w:rFonts w:ascii="Arial" w:hAnsi="Arial" w:cs="Arial"/>
                <w:lang w:eastAsia="en-GB"/>
              </w:rPr>
              <w:t>-0,2</w:t>
            </w:r>
          </w:p>
        </w:tc>
        <w:tc>
          <w:tcPr>
            <w:tcW w:w="1350" w:type="dxa"/>
            <w:noWrap/>
          </w:tcPr>
          <w:p w:rsidR="005A2BE5" w:rsidRPr="003C4106" w:rsidRDefault="005A2BE5" w:rsidP="003C4106">
            <w:pPr>
              <w:cnfStyle w:val="000000000000"/>
              <w:rPr>
                <w:rFonts w:ascii="Arial" w:hAnsi="Arial" w:cs="Arial"/>
                <w:lang w:eastAsia="en-GB"/>
              </w:rPr>
            </w:pPr>
            <w:r w:rsidRPr="003C4106">
              <w:rPr>
                <w:rFonts w:ascii="Arial" w:hAnsi="Arial" w:cs="Arial"/>
                <w:lang w:eastAsia="en-GB"/>
              </w:rPr>
              <w:t>0</w:t>
            </w:r>
            <w:r w:rsidR="00A6068E" w:rsidRPr="003C4106">
              <w:rPr>
                <w:rFonts w:ascii="Arial" w:hAnsi="Arial" w:cs="Arial"/>
                <w:lang w:eastAsia="en-GB"/>
              </w:rPr>
              <w:t>%</w:t>
            </w:r>
          </w:p>
        </w:tc>
        <w:tc>
          <w:tcPr>
            <w:tcW w:w="1170" w:type="dxa"/>
            <w:noWrap/>
          </w:tcPr>
          <w:p w:rsidR="005A2BE5" w:rsidRPr="003C4106" w:rsidRDefault="005A2BE5" w:rsidP="003C4106">
            <w:pPr>
              <w:cnfStyle w:val="000000000000"/>
              <w:rPr>
                <w:rFonts w:ascii="Arial" w:hAnsi="Arial" w:cs="Arial"/>
                <w:lang w:eastAsia="en-GB"/>
              </w:rPr>
            </w:pPr>
            <w:r w:rsidRPr="003C4106">
              <w:rPr>
                <w:rFonts w:ascii="Arial" w:hAnsi="Arial" w:cs="Arial"/>
                <w:lang w:eastAsia="en-GB"/>
              </w:rPr>
              <w:t>-4,7%</w:t>
            </w:r>
          </w:p>
        </w:tc>
      </w:tr>
      <w:tr w:rsidR="00920AE2" w:rsidRPr="003C4106" w:rsidTr="007329B7">
        <w:trPr>
          <w:cnfStyle w:val="000000100000"/>
          <w:trHeight w:val="264"/>
        </w:trPr>
        <w:tc>
          <w:tcPr>
            <w:cnfStyle w:val="001000000000"/>
            <w:tcW w:w="1705" w:type="dxa"/>
            <w:noWrap/>
          </w:tcPr>
          <w:p w:rsidR="00920AE2" w:rsidRPr="003C4106" w:rsidRDefault="00FE3E39" w:rsidP="003C4106">
            <w:pPr>
              <w:rPr>
                <w:rFonts w:ascii="Arial" w:hAnsi="Arial" w:cs="Arial"/>
                <w:lang w:eastAsia="en-GB"/>
              </w:rPr>
            </w:pPr>
            <w:r w:rsidRPr="003C4106">
              <w:rPr>
                <w:rFonts w:ascii="Arial" w:hAnsi="Arial" w:cs="Arial"/>
              </w:rPr>
              <w:t>Health Facilities Infrastructure Management</w:t>
            </w:r>
          </w:p>
        </w:tc>
        <w:tc>
          <w:tcPr>
            <w:tcW w:w="990" w:type="dxa"/>
            <w:noWrap/>
          </w:tcPr>
          <w:p w:rsidR="00920AE2" w:rsidRPr="003C4106" w:rsidRDefault="005A2BE5" w:rsidP="003C4106">
            <w:pPr>
              <w:cnfStyle w:val="000000100000"/>
              <w:rPr>
                <w:rFonts w:ascii="Arial" w:hAnsi="Arial" w:cs="Arial"/>
                <w:lang w:eastAsia="en-GB"/>
              </w:rPr>
            </w:pPr>
            <w:r w:rsidRPr="003C4106">
              <w:rPr>
                <w:rFonts w:ascii="Arial" w:hAnsi="Arial" w:cs="Arial"/>
                <w:lang w:eastAsia="en-GB"/>
              </w:rPr>
              <w:t>8 320,6</w:t>
            </w:r>
          </w:p>
        </w:tc>
        <w:tc>
          <w:tcPr>
            <w:tcW w:w="990" w:type="dxa"/>
            <w:noWrap/>
          </w:tcPr>
          <w:p w:rsidR="00920AE2" w:rsidRPr="003C4106" w:rsidRDefault="005A2BE5" w:rsidP="003C4106">
            <w:pPr>
              <w:cnfStyle w:val="000000100000"/>
              <w:rPr>
                <w:rFonts w:ascii="Arial" w:hAnsi="Arial" w:cs="Arial"/>
                <w:lang w:eastAsia="en-GB"/>
              </w:rPr>
            </w:pPr>
            <w:r w:rsidRPr="003C4106">
              <w:rPr>
                <w:rFonts w:ascii="Arial" w:hAnsi="Arial" w:cs="Arial"/>
                <w:lang w:eastAsia="en-GB"/>
              </w:rPr>
              <w:t>8 542,5</w:t>
            </w:r>
          </w:p>
        </w:tc>
        <w:tc>
          <w:tcPr>
            <w:tcW w:w="1350" w:type="dxa"/>
            <w:noWrap/>
          </w:tcPr>
          <w:p w:rsidR="00920AE2" w:rsidRPr="003C4106" w:rsidRDefault="005A2BE5" w:rsidP="003C4106">
            <w:pPr>
              <w:cnfStyle w:val="000000100000"/>
              <w:rPr>
                <w:rFonts w:ascii="Arial" w:hAnsi="Arial" w:cs="Arial"/>
                <w:lang w:eastAsia="en-GB"/>
              </w:rPr>
            </w:pPr>
            <w:r w:rsidRPr="003C4106">
              <w:rPr>
                <w:rFonts w:ascii="Arial" w:hAnsi="Arial" w:cs="Arial"/>
                <w:lang w:eastAsia="en-GB"/>
              </w:rPr>
              <w:t>221,9</w:t>
            </w:r>
          </w:p>
        </w:tc>
        <w:tc>
          <w:tcPr>
            <w:tcW w:w="1350" w:type="dxa"/>
            <w:noWrap/>
          </w:tcPr>
          <w:p w:rsidR="00920AE2" w:rsidRPr="003C4106" w:rsidRDefault="005A2BE5" w:rsidP="003C4106">
            <w:pPr>
              <w:cnfStyle w:val="000000100000"/>
              <w:rPr>
                <w:rFonts w:ascii="Arial" w:hAnsi="Arial" w:cs="Arial"/>
                <w:lang w:eastAsia="en-GB"/>
              </w:rPr>
            </w:pPr>
            <w:r w:rsidRPr="003C4106">
              <w:rPr>
                <w:rFonts w:ascii="Arial" w:hAnsi="Arial" w:cs="Arial"/>
                <w:lang w:eastAsia="en-GB"/>
              </w:rPr>
              <w:t>-177,1</w:t>
            </w:r>
          </w:p>
        </w:tc>
        <w:tc>
          <w:tcPr>
            <w:tcW w:w="1350" w:type="dxa"/>
            <w:noWrap/>
          </w:tcPr>
          <w:p w:rsidR="00920AE2" w:rsidRPr="003C4106" w:rsidRDefault="005A2BE5" w:rsidP="003C4106">
            <w:pPr>
              <w:cnfStyle w:val="000000100000"/>
              <w:rPr>
                <w:rFonts w:ascii="Arial" w:hAnsi="Arial" w:cs="Arial"/>
                <w:lang w:eastAsia="en-GB"/>
              </w:rPr>
            </w:pPr>
            <w:r w:rsidRPr="003C4106">
              <w:rPr>
                <w:rFonts w:ascii="Arial" w:hAnsi="Arial" w:cs="Arial"/>
                <w:lang w:eastAsia="en-GB"/>
              </w:rPr>
              <w:t>2,7%</w:t>
            </w:r>
          </w:p>
        </w:tc>
        <w:tc>
          <w:tcPr>
            <w:tcW w:w="1170" w:type="dxa"/>
            <w:noWrap/>
          </w:tcPr>
          <w:p w:rsidR="00920AE2" w:rsidRPr="003C4106" w:rsidRDefault="00A6068E" w:rsidP="003C4106">
            <w:pPr>
              <w:cnfStyle w:val="000000100000"/>
              <w:rPr>
                <w:rFonts w:ascii="Arial" w:hAnsi="Arial" w:cs="Arial"/>
                <w:lang w:eastAsia="en-GB"/>
              </w:rPr>
            </w:pPr>
            <w:r w:rsidRPr="003C4106">
              <w:rPr>
                <w:rFonts w:ascii="Arial" w:hAnsi="Arial" w:cs="Arial"/>
                <w:lang w:eastAsia="en-GB"/>
              </w:rPr>
              <w:t>-2,1%</w:t>
            </w:r>
          </w:p>
        </w:tc>
      </w:tr>
      <w:tr w:rsidR="00920AE2" w:rsidRPr="003C4106" w:rsidTr="007329B7">
        <w:trPr>
          <w:trHeight w:val="264"/>
        </w:trPr>
        <w:tc>
          <w:tcPr>
            <w:cnfStyle w:val="001000000000"/>
            <w:tcW w:w="1705" w:type="dxa"/>
            <w:noWrap/>
          </w:tcPr>
          <w:p w:rsidR="00920AE2" w:rsidRPr="003C4106" w:rsidRDefault="00FF62CD" w:rsidP="003C4106">
            <w:pPr>
              <w:rPr>
                <w:rFonts w:ascii="Arial" w:hAnsi="Arial" w:cs="Arial"/>
                <w:lang w:eastAsia="en-GB"/>
              </w:rPr>
            </w:pPr>
            <w:r w:rsidRPr="003C4106">
              <w:rPr>
                <w:rFonts w:ascii="Arial" w:hAnsi="Arial" w:cs="Arial"/>
              </w:rPr>
              <w:t>Hospital Systems</w:t>
            </w:r>
          </w:p>
        </w:tc>
        <w:tc>
          <w:tcPr>
            <w:tcW w:w="990" w:type="dxa"/>
            <w:noWrap/>
          </w:tcPr>
          <w:p w:rsidR="00920AE2" w:rsidRPr="003C4106" w:rsidRDefault="00A6068E" w:rsidP="003C4106">
            <w:pPr>
              <w:cnfStyle w:val="000000000000"/>
              <w:rPr>
                <w:rFonts w:ascii="Arial" w:hAnsi="Arial" w:cs="Arial"/>
                <w:lang w:eastAsia="en-GB"/>
              </w:rPr>
            </w:pPr>
            <w:r w:rsidRPr="003C4106">
              <w:rPr>
                <w:rFonts w:ascii="Arial" w:hAnsi="Arial" w:cs="Arial"/>
                <w:lang w:eastAsia="en-GB"/>
              </w:rPr>
              <w:t>14 316,0</w:t>
            </w:r>
          </w:p>
        </w:tc>
        <w:tc>
          <w:tcPr>
            <w:tcW w:w="990" w:type="dxa"/>
            <w:noWrap/>
          </w:tcPr>
          <w:p w:rsidR="00920AE2" w:rsidRPr="003C4106" w:rsidRDefault="00A6068E" w:rsidP="003C4106">
            <w:pPr>
              <w:cnfStyle w:val="000000000000"/>
              <w:rPr>
                <w:rFonts w:ascii="Arial" w:hAnsi="Arial" w:cs="Arial"/>
                <w:lang w:eastAsia="en-GB"/>
              </w:rPr>
            </w:pPr>
            <w:r w:rsidRPr="003C4106">
              <w:rPr>
                <w:rFonts w:ascii="Arial" w:hAnsi="Arial" w:cs="Arial"/>
                <w:lang w:eastAsia="en-GB"/>
              </w:rPr>
              <w:t>14 034,5</w:t>
            </w:r>
          </w:p>
        </w:tc>
        <w:tc>
          <w:tcPr>
            <w:tcW w:w="1350" w:type="dxa"/>
            <w:noWrap/>
          </w:tcPr>
          <w:p w:rsidR="00920AE2" w:rsidRPr="003C4106" w:rsidRDefault="00A6068E" w:rsidP="003C4106">
            <w:pPr>
              <w:cnfStyle w:val="000000000000"/>
              <w:rPr>
                <w:rFonts w:ascii="Arial" w:hAnsi="Arial" w:cs="Arial"/>
                <w:lang w:eastAsia="en-GB"/>
              </w:rPr>
            </w:pPr>
            <w:r w:rsidRPr="003C4106">
              <w:rPr>
                <w:rFonts w:ascii="Arial" w:hAnsi="Arial" w:cs="Arial"/>
                <w:lang w:eastAsia="en-GB"/>
              </w:rPr>
              <w:t>-281,5</w:t>
            </w:r>
          </w:p>
        </w:tc>
        <w:tc>
          <w:tcPr>
            <w:tcW w:w="1350" w:type="dxa"/>
            <w:noWrap/>
          </w:tcPr>
          <w:p w:rsidR="00920AE2" w:rsidRPr="003C4106" w:rsidRDefault="00A6068E" w:rsidP="003C4106">
            <w:pPr>
              <w:cnfStyle w:val="000000000000"/>
              <w:rPr>
                <w:rFonts w:ascii="Arial" w:hAnsi="Arial" w:cs="Arial"/>
                <w:lang w:eastAsia="en-GB"/>
              </w:rPr>
            </w:pPr>
            <w:r w:rsidRPr="003C4106">
              <w:rPr>
                <w:rFonts w:ascii="Arial" w:hAnsi="Arial" w:cs="Arial"/>
                <w:lang w:eastAsia="en-GB"/>
              </w:rPr>
              <w:t>-937,1</w:t>
            </w:r>
          </w:p>
        </w:tc>
        <w:tc>
          <w:tcPr>
            <w:tcW w:w="1350" w:type="dxa"/>
            <w:noWrap/>
          </w:tcPr>
          <w:p w:rsidR="00920AE2" w:rsidRPr="003C4106" w:rsidRDefault="00A6068E" w:rsidP="003C4106">
            <w:pPr>
              <w:cnfStyle w:val="000000000000"/>
              <w:rPr>
                <w:rFonts w:ascii="Arial" w:hAnsi="Arial" w:cs="Arial"/>
                <w:lang w:eastAsia="en-GB"/>
              </w:rPr>
            </w:pPr>
            <w:r w:rsidRPr="003C4106">
              <w:rPr>
                <w:rFonts w:ascii="Arial" w:hAnsi="Arial" w:cs="Arial"/>
                <w:lang w:eastAsia="en-GB"/>
              </w:rPr>
              <w:t>-2,0%</w:t>
            </w:r>
          </w:p>
        </w:tc>
        <w:tc>
          <w:tcPr>
            <w:tcW w:w="1170" w:type="dxa"/>
            <w:noWrap/>
          </w:tcPr>
          <w:p w:rsidR="00920AE2" w:rsidRPr="003C4106" w:rsidRDefault="00A6068E" w:rsidP="003C4106">
            <w:pPr>
              <w:cnfStyle w:val="000000000000"/>
              <w:rPr>
                <w:rFonts w:ascii="Arial" w:hAnsi="Arial" w:cs="Arial"/>
                <w:lang w:eastAsia="en-GB"/>
              </w:rPr>
            </w:pPr>
            <w:r w:rsidRPr="003C4106">
              <w:rPr>
                <w:rFonts w:ascii="Arial" w:hAnsi="Arial" w:cs="Arial"/>
                <w:lang w:eastAsia="en-GB"/>
              </w:rPr>
              <w:t>-6,5%</w:t>
            </w:r>
          </w:p>
        </w:tc>
      </w:tr>
      <w:tr w:rsidR="00920AE2" w:rsidRPr="003C4106" w:rsidTr="007329B7">
        <w:trPr>
          <w:cnfStyle w:val="000000100000"/>
          <w:trHeight w:val="264"/>
        </w:trPr>
        <w:tc>
          <w:tcPr>
            <w:cnfStyle w:val="001000000000"/>
            <w:tcW w:w="1705" w:type="dxa"/>
            <w:noWrap/>
          </w:tcPr>
          <w:p w:rsidR="00920AE2" w:rsidRPr="003C4106" w:rsidRDefault="00920AE2" w:rsidP="003C4106">
            <w:pPr>
              <w:rPr>
                <w:rFonts w:ascii="Arial" w:hAnsi="Arial" w:cs="Arial"/>
                <w:lang w:eastAsia="en-GB"/>
              </w:rPr>
            </w:pPr>
            <w:r w:rsidRPr="003C4106">
              <w:rPr>
                <w:rFonts w:ascii="Arial" w:hAnsi="Arial" w:cs="Arial"/>
                <w:lang w:eastAsia="en-GB"/>
              </w:rPr>
              <w:t>Total</w:t>
            </w:r>
          </w:p>
        </w:tc>
        <w:tc>
          <w:tcPr>
            <w:tcW w:w="990" w:type="dxa"/>
            <w:noWrap/>
          </w:tcPr>
          <w:p w:rsidR="00920AE2" w:rsidRPr="003C4106" w:rsidRDefault="00A6068E" w:rsidP="003C4106">
            <w:pPr>
              <w:cnfStyle w:val="000000100000"/>
              <w:rPr>
                <w:rFonts w:ascii="Arial" w:hAnsi="Arial" w:cs="Arial"/>
                <w:lang w:eastAsia="en-GB"/>
              </w:rPr>
            </w:pPr>
            <w:r w:rsidRPr="003C4106">
              <w:rPr>
                <w:rFonts w:ascii="Arial" w:hAnsi="Arial" w:cs="Arial"/>
                <w:lang w:eastAsia="en-GB"/>
              </w:rPr>
              <w:t>22 641,6</w:t>
            </w:r>
          </w:p>
        </w:tc>
        <w:tc>
          <w:tcPr>
            <w:tcW w:w="990" w:type="dxa"/>
            <w:noWrap/>
          </w:tcPr>
          <w:p w:rsidR="00920AE2" w:rsidRPr="003C4106" w:rsidRDefault="00A6068E" w:rsidP="003C4106">
            <w:pPr>
              <w:cnfStyle w:val="000000100000"/>
              <w:rPr>
                <w:rFonts w:ascii="Arial" w:hAnsi="Arial" w:cs="Arial"/>
                <w:lang w:eastAsia="en-GB"/>
              </w:rPr>
            </w:pPr>
            <w:r w:rsidRPr="003C4106">
              <w:rPr>
                <w:rFonts w:ascii="Arial" w:hAnsi="Arial" w:cs="Arial"/>
                <w:lang w:eastAsia="en-GB"/>
              </w:rPr>
              <w:t>22 582,0</w:t>
            </w:r>
          </w:p>
        </w:tc>
        <w:tc>
          <w:tcPr>
            <w:tcW w:w="1350" w:type="dxa"/>
            <w:noWrap/>
          </w:tcPr>
          <w:p w:rsidR="00920AE2" w:rsidRPr="003C4106" w:rsidRDefault="00A6068E" w:rsidP="003C4106">
            <w:pPr>
              <w:cnfStyle w:val="000000100000"/>
              <w:rPr>
                <w:rFonts w:ascii="Arial" w:hAnsi="Arial" w:cs="Arial"/>
                <w:lang w:eastAsia="en-GB"/>
              </w:rPr>
            </w:pPr>
            <w:r w:rsidRPr="003C4106">
              <w:rPr>
                <w:rFonts w:ascii="Arial" w:hAnsi="Arial" w:cs="Arial"/>
                <w:lang w:eastAsia="en-GB"/>
              </w:rPr>
              <w:t>-59,6</w:t>
            </w:r>
          </w:p>
        </w:tc>
        <w:tc>
          <w:tcPr>
            <w:tcW w:w="1350" w:type="dxa"/>
            <w:noWrap/>
          </w:tcPr>
          <w:p w:rsidR="00920AE2" w:rsidRPr="003C4106" w:rsidRDefault="00A6068E" w:rsidP="003C4106">
            <w:pPr>
              <w:cnfStyle w:val="000000100000"/>
              <w:rPr>
                <w:rFonts w:ascii="Arial" w:hAnsi="Arial" w:cs="Arial"/>
                <w:lang w:eastAsia="en-GB"/>
              </w:rPr>
            </w:pPr>
            <w:r w:rsidRPr="003C4106">
              <w:rPr>
                <w:rFonts w:ascii="Arial" w:hAnsi="Arial" w:cs="Arial"/>
                <w:lang w:eastAsia="en-GB"/>
              </w:rPr>
              <w:t>-1 114,4</w:t>
            </w:r>
          </w:p>
        </w:tc>
        <w:tc>
          <w:tcPr>
            <w:tcW w:w="1350" w:type="dxa"/>
            <w:noWrap/>
          </w:tcPr>
          <w:p w:rsidR="00920AE2" w:rsidRPr="003C4106" w:rsidRDefault="00A6068E" w:rsidP="003C4106">
            <w:pPr>
              <w:cnfStyle w:val="000000100000"/>
              <w:rPr>
                <w:rFonts w:ascii="Arial" w:hAnsi="Arial" w:cs="Arial"/>
                <w:lang w:eastAsia="en-GB"/>
              </w:rPr>
            </w:pPr>
            <w:r w:rsidRPr="003C4106">
              <w:rPr>
                <w:rFonts w:ascii="Arial" w:hAnsi="Arial" w:cs="Arial"/>
                <w:lang w:eastAsia="en-GB"/>
              </w:rPr>
              <w:t>-0,3%</w:t>
            </w:r>
          </w:p>
        </w:tc>
        <w:tc>
          <w:tcPr>
            <w:tcW w:w="1170" w:type="dxa"/>
            <w:noWrap/>
          </w:tcPr>
          <w:p w:rsidR="00920AE2" w:rsidRPr="003C4106" w:rsidRDefault="00A6068E" w:rsidP="003C4106">
            <w:pPr>
              <w:cnfStyle w:val="000000100000"/>
              <w:rPr>
                <w:rFonts w:ascii="Arial" w:hAnsi="Arial" w:cs="Arial"/>
                <w:lang w:eastAsia="en-GB"/>
              </w:rPr>
            </w:pPr>
            <w:r w:rsidRPr="003C4106">
              <w:rPr>
                <w:rFonts w:ascii="Arial" w:hAnsi="Arial" w:cs="Arial"/>
                <w:lang w:eastAsia="en-GB"/>
              </w:rPr>
              <w:t>-4,9%</w:t>
            </w:r>
          </w:p>
        </w:tc>
      </w:tr>
    </w:tbl>
    <w:p w:rsidR="00920AE2" w:rsidRPr="003C4106" w:rsidRDefault="00920AE2" w:rsidP="003C4106">
      <w:pPr>
        <w:contextualSpacing/>
        <w:rPr>
          <w:rFonts w:eastAsia="Times New Roman"/>
          <w:color w:val="auto"/>
          <w:sz w:val="20"/>
          <w:szCs w:val="20"/>
          <w:lang w:eastAsia="en-GB"/>
        </w:rPr>
      </w:pPr>
      <w:r w:rsidRPr="003C4106">
        <w:rPr>
          <w:rFonts w:eastAsia="Times New Roman"/>
          <w:i/>
          <w:iCs/>
          <w:color w:val="auto"/>
          <w:sz w:val="20"/>
          <w:szCs w:val="20"/>
          <w:lang w:eastAsia="en-GB"/>
        </w:rPr>
        <w:t>Source: National Treasury (2023)</w:t>
      </w:r>
    </w:p>
    <w:p w:rsidR="00F96663" w:rsidRPr="003C4106" w:rsidRDefault="00F96663"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The total budget for Programme 5 remains stagnant, declining 0.3% in nominal terms and by 4.9% in real terms.</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The 2023/24 allocation to the </w:t>
      </w:r>
      <w:r w:rsidRPr="003C4106">
        <w:rPr>
          <w:i/>
          <w:color w:val="000000"/>
          <w:sz w:val="20"/>
          <w:szCs w:val="20"/>
        </w:rPr>
        <w:t>Health Facilities Infrastructure Management</w:t>
      </w:r>
      <w:r w:rsidRPr="003C4106">
        <w:rPr>
          <w:color w:val="000000"/>
          <w:sz w:val="20"/>
          <w:szCs w:val="20"/>
        </w:rPr>
        <w:t xml:space="preserve"> sub-programme increases by 2.7% in nominal terms from R8.3 billion in 2022/23 to R8.5 billion in 2023/24, which is a decline of 2.1% in real terms.  </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The </w:t>
      </w:r>
      <w:r w:rsidRPr="003C4106">
        <w:rPr>
          <w:i/>
          <w:color w:val="000000"/>
          <w:sz w:val="20"/>
          <w:szCs w:val="20"/>
        </w:rPr>
        <w:t>Hospital Systems</w:t>
      </w:r>
      <w:r w:rsidRPr="003C4106">
        <w:rPr>
          <w:color w:val="000000"/>
          <w:sz w:val="20"/>
          <w:szCs w:val="20"/>
        </w:rPr>
        <w:t xml:space="preserve"> sub-programme decreases by R281.5 million from R14.3 billion in 2022/23 to R14.0 billion in 2023/24, representing nominal decrease of 2.0% and a 6.5% decline in real terms. </w:t>
      </w:r>
      <w:r w:rsidR="00862006" w:rsidRPr="003C4106">
        <w:rPr>
          <w:color w:val="000000"/>
          <w:sz w:val="20"/>
          <w:szCs w:val="20"/>
        </w:rPr>
        <w:t>Approximately 97.5</w:t>
      </w:r>
      <w:r w:rsidRPr="003C4106">
        <w:rPr>
          <w:color w:val="000000"/>
          <w:sz w:val="20"/>
          <w:szCs w:val="20"/>
        </w:rPr>
        <w:t>% of programme fund</w:t>
      </w:r>
      <w:r w:rsidR="00862006" w:rsidRPr="003C4106">
        <w:rPr>
          <w:color w:val="000000"/>
          <w:sz w:val="20"/>
          <w:szCs w:val="20"/>
        </w:rPr>
        <w:t xml:space="preserve">ing is transferred to provincial departments </w:t>
      </w:r>
      <w:r w:rsidR="00C4462E" w:rsidRPr="003C4106">
        <w:rPr>
          <w:color w:val="000000"/>
          <w:sz w:val="20"/>
          <w:szCs w:val="20"/>
        </w:rPr>
        <w:t>through</w:t>
      </w:r>
      <w:r w:rsidRPr="003C4106">
        <w:rPr>
          <w:color w:val="000000"/>
          <w:sz w:val="20"/>
          <w:szCs w:val="20"/>
        </w:rPr>
        <w:t xml:space="preserve"> the </w:t>
      </w:r>
      <w:r w:rsidR="00BA16FD" w:rsidRPr="003C4106">
        <w:rPr>
          <w:color w:val="000000"/>
          <w:sz w:val="20"/>
          <w:szCs w:val="20"/>
        </w:rPr>
        <w:t xml:space="preserve">Health Facility Revitalisation and </w:t>
      </w:r>
      <w:r w:rsidRPr="003C4106">
        <w:rPr>
          <w:color w:val="000000"/>
          <w:sz w:val="20"/>
          <w:szCs w:val="20"/>
        </w:rPr>
        <w:t>N</w:t>
      </w:r>
      <w:r w:rsidR="00C4462E" w:rsidRPr="003C4106">
        <w:rPr>
          <w:color w:val="000000"/>
          <w:sz w:val="20"/>
          <w:szCs w:val="20"/>
        </w:rPr>
        <w:t xml:space="preserve">ational Tertiary Services </w:t>
      </w:r>
      <w:r w:rsidR="00BA16FD" w:rsidRPr="003C4106">
        <w:rPr>
          <w:color w:val="000000"/>
          <w:sz w:val="20"/>
          <w:szCs w:val="20"/>
        </w:rPr>
        <w:t>(</w:t>
      </w:r>
      <w:r w:rsidR="00C4462E" w:rsidRPr="003C4106">
        <w:rPr>
          <w:color w:val="000000"/>
          <w:sz w:val="20"/>
          <w:szCs w:val="20"/>
        </w:rPr>
        <w:t>conditional</w:t>
      </w:r>
      <w:r w:rsidR="00BA16FD" w:rsidRPr="003C4106">
        <w:rPr>
          <w:color w:val="000000"/>
          <w:sz w:val="20"/>
          <w:szCs w:val="20"/>
        </w:rPr>
        <w:t>)</w:t>
      </w:r>
      <w:r w:rsidR="00C4462E" w:rsidRPr="003C4106">
        <w:rPr>
          <w:color w:val="000000"/>
          <w:sz w:val="20"/>
          <w:szCs w:val="20"/>
        </w:rPr>
        <w:t xml:space="preserve"> grant</w:t>
      </w:r>
      <w:r w:rsidR="00BA16FD" w:rsidRPr="003C4106">
        <w:rPr>
          <w:color w:val="000000"/>
          <w:sz w:val="20"/>
          <w:szCs w:val="20"/>
        </w:rPr>
        <w:t>s</w:t>
      </w:r>
      <w:r w:rsidR="00862006" w:rsidRPr="003C4106">
        <w:rPr>
          <w:color w:val="000000"/>
          <w:sz w:val="20"/>
          <w:szCs w:val="20"/>
        </w:rPr>
        <w:t>.</w:t>
      </w:r>
    </w:p>
    <w:p w:rsidR="006169B9" w:rsidRPr="003C4106" w:rsidRDefault="006169B9" w:rsidP="003C4106">
      <w:pPr>
        <w:contextualSpacing/>
        <w:rPr>
          <w:color w:val="000000"/>
          <w:sz w:val="20"/>
          <w:szCs w:val="20"/>
        </w:rPr>
      </w:pPr>
    </w:p>
    <w:p w:rsidR="006169B9" w:rsidRPr="003C4106" w:rsidRDefault="006169B9" w:rsidP="003C4106">
      <w:pPr>
        <w:pStyle w:val="ListParagraph"/>
        <w:numPr>
          <w:ilvl w:val="2"/>
          <w:numId w:val="12"/>
        </w:numPr>
        <w:pBdr>
          <w:top w:val="nil"/>
          <w:left w:val="nil"/>
          <w:bottom w:val="nil"/>
          <w:right w:val="nil"/>
          <w:between w:val="nil"/>
        </w:pBdr>
        <w:spacing w:line="240" w:lineRule="auto"/>
        <w:contextualSpacing/>
        <w:outlineLvl w:val="2"/>
        <w:rPr>
          <w:rFonts w:cs="Arial"/>
          <w:b/>
          <w:i/>
          <w:sz w:val="20"/>
          <w:szCs w:val="20"/>
        </w:rPr>
      </w:pPr>
      <w:bookmarkStart w:id="18" w:name="_3l18frh" w:colFirst="0" w:colLast="0"/>
      <w:bookmarkEnd w:id="18"/>
      <w:r w:rsidRPr="003C4106">
        <w:rPr>
          <w:rFonts w:cs="Arial"/>
          <w:b/>
          <w:i/>
          <w:sz w:val="20"/>
          <w:szCs w:val="20"/>
        </w:rPr>
        <w:t>Programme 6: Health Systems Governance and Human Resources</w:t>
      </w:r>
    </w:p>
    <w:p w:rsidR="006169B9" w:rsidRPr="003C4106" w:rsidRDefault="00015C79" w:rsidP="003C4106">
      <w:pPr>
        <w:contextualSpacing/>
        <w:rPr>
          <w:color w:val="000000"/>
          <w:sz w:val="20"/>
          <w:szCs w:val="20"/>
        </w:rPr>
      </w:pPr>
      <w:r w:rsidRPr="003C4106">
        <w:rPr>
          <w:color w:val="000000"/>
          <w:sz w:val="20"/>
          <w:szCs w:val="20"/>
        </w:rPr>
        <w:t>P</w:t>
      </w:r>
      <w:r w:rsidR="00D42CE9" w:rsidRPr="003C4106">
        <w:rPr>
          <w:color w:val="000000"/>
          <w:sz w:val="20"/>
          <w:szCs w:val="20"/>
        </w:rPr>
        <w:t>olic</w:t>
      </w:r>
      <w:r w:rsidRPr="003C4106">
        <w:rPr>
          <w:color w:val="000000"/>
          <w:sz w:val="20"/>
          <w:szCs w:val="20"/>
        </w:rPr>
        <w:t>y</w:t>
      </w:r>
      <w:r w:rsidR="00D42CE9" w:rsidRPr="003C4106">
        <w:rPr>
          <w:color w:val="000000"/>
          <w:sz w:val="20"/>
          <w:szCs w:val="20"/>
        </w:rPr>
        <w:t xml:space="preserve"> and systems </w:t>
      </w:r>
      <w:r w:rsidRPr="003C4106">
        <w:rPr>
          <w:color w:val="000000"/>
          <w:sz w:val="20"/>
          <w:szCs w:val="20"/>
        </w:rPr>
        <w:t xml:space="preserve">development </w:t>
      </w:r>
      <w:r w:rsidR="00D42CE9" w:rsidRPr="003C4106">
        <w:rPr>
          <w:color w:val="000000"/>
          <w:sz w:val="20"/>
          <w:szCs w:val="20"/>
        </w:rPr>
        <w:t>for the planning, managing and training of health sector human resources, and planning, monitoring, evaluation and research in the sector</w:t>
      </w:r>
      <w:r w:rsidRPr="003C4106">
        <w:rPr>
          <w:color w:val="000000"/>
          <w:sz w:val="20"/>
          <w:szCs w:val="20"/>
        </w:rPr>
        <w:t xml:space="preserve"> is this programme’s purpose</w:t>
      </w:r>
      <w:r w:rsidR="00D42CE9" w:rsidRPr="003C4106">
        <w:rPr>
          <w:color w:val="000000"/>
          <w:sz w:val="20"/>
          <w:szCs w:val="20"/>
        </w:rPr>
        <w:t xml:space="preserve">. </w:t>
      </w:r>
      <w:r w:rsidR="00FD0D8A" w:rsidRPr="003C4106">
        <w:rPr>
          <w:color w:val="000000"/>
          <w:sz w:val="20"/>
          <w:szCs w:val="20"/>
        </w:rPr>
        <w:t>In addition, the programme p</w:t>
      </w:r>
      <w:r w:rsidR="00D42CE9" w:rsidRPr="003C4106">
        <w:rPr>
          <w:color w:val="000000"/>
          <w:sz w:val="20"/>
          <w:szCs w:val="20"/>
        </w:rPr>
        <w:t>rovide</w:t>
      </w:r>
      <w:r w:rsidR="00FD0D8A" w:rsidRPr="003C4106">
        <w:rPr>
          <w:color w:val="000000"/>
          <w:sz w:val="20"/>
          <w:szCs w:val="20"/>
        </w:rPr>
        <w:t>s</w:t>
      </w:r>
      <w:r w:rsidR="00D42CE9" w:rsidRPr="003C4106">
        <w:rPr>
          <w:color w:val="000000"/>
          <w:sz w:val="20"/>
          <w:szCs w:val="20"/>
        </w:rPr>
        <w:t xml:space="preserve"> oversight to all public entities in the sector and statutory health professional councils in South Africa.</w:t>
      </w:r>
    </w:p>
    <w:p w:rsidR="00D42CE9" w:rsidRPr="003C4106" w:rsidRDefault="00D42CE9" w:rsidP="003C4106">
      <w:pPr>
        <w:contextualSpacing/>
        <w:rPr>
          <w:color w:val="000000"/>
          <w:sz w:val="20"/>
          <w:szCs w:val="20"/>
        </w:rPr>
      </w:pPr>
    </w:p>
    <w:p w:rsidR="00920AE2" w:rsidRPr="003C4106" w:rsidRDefault="00920AE2" w:rsidP="003C4106">
      <w:pPr>
        <w:pStyle w:val="Caption"/>
        <w:spacing w:after="0"/>
        <w:rPr>
          <w:rFonts w:eastAsia="Times New Roman"/>
          <w:b/>
          <w:color w:val="auto"/>
          <w:sz w:val="20"/>
          <w:szCs w:val="20"/>
          <w:lang w:eastAsia="en-GB"/>
        </w:rPr>
      </w:pPr>
      <w:r w:rsidRPr="003C4106">
        <w:rPr>
          <w:b/>
          <w:color w:val="auto"/>
          <w:sz w:val="20"/>
          <w:szCs w:val="20"/>
        </w:rPr>
        <w:t xml:space="preserve">Table </w:t>
      </w:r>
      <w:r w:rsidR="00D95EDE" w:rsidRPr="003C4106">
        <w:rPr>
          <w:b/>
          <w:color w:val="auto"/>
          <w:sz w:val="20"/>
          <w:szCs w:val="20"/>
        </w:rPr>
        <w:fldChar w:fldCharType="begin"/>
      </w:r>
      <w:r w:rsidRPr="003C4106">
        <w:rPr>
          <w:b/>
          <w:color w:val="auto"/>
          <w:sz w:val="20"/>
          <w:szCs w:val="20"/>
        </w:rPr>
        <w:instrText xml:space="preserve"> SEQ Table \* ARABIC </w:instrText>
      </w:r>
      <w:r w:rsidR="00D95EDE" w:rsidRPr="003C4106">
        <w:rPr>
          <w:b/>
          <w:color w:val="auto"/>
          <w:sz w:val="20"/>
          <w:szCs w:val="20"/>
        </w:rPr>
        <w:fldChar w:fldCharType="separate"/>
      </w:r>
      <w:r w:rsidR="00205AF7" w:rsidRPr="003C4106">
        <w:rPr>
          <w:b/>
          <w:noProof/>
          <w:color w:val="auto"/>
          <w:sz w:val="20"/>
          <w:szCs w:val="20"/>
        </w:rPr>
        <w:t>8</w:t>
      </w:r>
      <w:r w:rsidR="00D95EDE" w:rsidRPr="003C4106">
        <w:rPr>
          <w:b/>
          <w:color w:val="auto"/>
          <w:sz w:val="20"/>
          <w:szCs w:val="20"/>
        </w:rPr>
        <w:fldChar w:fldCharType="end"/>
      </w:r>
      <w:r w:rsidRPr="003C4106">
        <w:rPr>
          <w:rFonts w:eastAsia="Times New Roman"/>
          <w:b/>
          <w:color w:val="auto"/>
          <w:sz w:val="20"/>
          <w:szCs w:val="20"/>
          <w:lang w:eastAsia="en-GB"/>
        </w:rPr>
        <w:t xml:space="preserve">: </w:t>
      </w:r>
      <w:r w:rsidR="003E3B10" w:rsidRPr="003C4106">
        <w:rPr>
          <w:rFonts w:eastAsia="Times New Roman"/>
          <w:b/>
          <w:color w:val="auto"/>
          <w:sz w:val="20"/>
          <w:szCs w:val="20"/>
          <w:lang w:eastAsia="en-GB"/>
        </w:rPr>
        <w:t>Health Systems Governance and Human Resources</w:t>
      </w:r>
      <w:r w:rsidRPr="003C4106" w:rsidDel="00456BC8">
        <w:rPr>
          <w:rFonts w:eastAsia="Times New Roman"/>
          <w:b/>
          <w:color w:val="auto"/>
          <w:sz w:val="20"/>
          <w:szCs w:val="20"/>
          <w:lang w:eastAsia="en-GB"/>
        </w:rPr>
        <w:t xml:space="preserve"> </w:t>
      </w:r>
      <w:r w:rsidRPr="003C4106">
        <w:rPr>
          <w:rFonts w:eastAsia="Times New Roman"/>
          <w:b/>
          <w:color w:val="auto"/>
          <w:sz w:val="20"/>
          <w:szCs w:val="20"/>
          <w:lang w:eastAsia="en-GB"/>
        </w:rPr>
        <w:t>Programme budget allocation</w:t>
      </w:r>
    </w:p>
    <w:tbl>
      <w:tblPr>
        <w:tblStyle w:val="GridTable6Colorful2"/>
        <w:tblW w:w="8905" w:type="dxa"/>
        <w:tblLook w:val="04A0"/>
      </w:tblPr>
      <w:tblGrid>
        <w:gridCol w:w="1795"/>
        <w:gridCol w:w="939"/>
        <w:gridCol w:w="990"/>
        <w:gridCol w:w="1350"/>
        <w:gridCol w:w="1350"/>
        <w:gridCol w:w="1350"/>
        <w:gridCol w:w="1170"/>
      </w:tblGrid>
      <w:tr w:rsidR="00920AE2" w:rsidRPr="003C4106" w:rsidTr="00920AE2">
        <w:trPr>
          <w:cnfStyle w:val="100000000000"/>
          <w:trHeight w:val="638"/>
        </w:trPr>
        <w:tc>
          <w:tcPr>
            <w:cnfStyle w:val="001000000000"/>
            <w:tcW w:w="1795" w:type="dxa"/>
            <w:vMerge w:val="restart"/>
            <w:shd w:val="clear" w:color="auto" w:fill="BFBFBF"/>
            <w:noWrap/>
            <w:vAlign w:val="center"/>
            <w:hideMark/>
          </w:tcPr>
          <w:p w:rsidR="00920AE2" w:rsidRPr="003C4106" w:rsidRDefault="00920AE2" w:rsidP="003C4106">
            <w:pPr>
              <w:rPr>
                <w:rFonts w:ascii="Arial" w:hAnsi="Arial" w:cs="Arial"/>
                <w:lang w:eastAsia="en-GB"/>
              </w:rPr>
            </w:pPr>
            <w:r w:rsidRPr="003C4106">
              <w:rPr>
                <w:rFonts w:ascii="Arial" w:hAnsi="Arial" w:cs="Arial"/>
                <w:lang w:eastAsia="en-GB"/>
              </w:rPr>
              <w:t>Programme</w:t>
            </w:r>
          </w:p>
          <w:p w:rsidR="00920AE2" w:rsidRPr="003C4106" w:rsidRDefault="00920AE2" w:rsidP="003C4106">
            <w:pPr>
              <w:rPr>
                <w:rFonts w:ascii="Arial" w:hAnsi="Arial" w:cs="Arial"/>
                <w:lang w:eastAsia="en-GB"/>
              </w:rPr>
            </w:pPr>
          </w:p>
          <w:p w:rsidR="00920AE2" w:rsidRPr="003C4106" w:rsidRDefault="00920AE2" w:rsidP="003C4106">
            <w:pPr>
              <w:rPr>
                <w:rFonts w:ascii="Arial" w:hAnsi="Arial" w:cs="Arial"/>
                <w:lang w:eastAsia="en-GB"/>
              </w:rPr>
            </w:pPr>
            <w:r w:rsidRPr="003C4106">
              <w:rPr>
                <w:rFonts w:ascii="Arial" w:hAnsi="Arial" w:cs="Arial"/>
                <w:lang w:eastAsia="en-GB"/>
              </w:rPr>
              <w:t>R million</w:t>
            </w:r>
          </w:p>
        </w:tc>
        <w:tc>
          <w:tcPr>
            <w:tcW w:w="1890" w:type="dxa"/>
            <w:gridSpan w:val="2"/>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Budget</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change in 2023/24</w:t>
            </w:r>
          </w:p>
          <w:p w:rsidR="00920AE2" w:rsidRPr="003C4106" w:rsidRDefault="00920AE2" w:rsidP="003C4106">
            <w:pPr>
              <w:cnfStyle w:val="100000000000"/>
              <w:rPr>
                <w:rFonts w:ascii="Arial" w:hAnsi="Arial" w:cs="Arial"/>
                <w:lang w:eastAsia="en-GB"/>
              </w:rPr>
            </w:pPr>
            <w:r w:rsidRPr="003C4106">
              <w:rPr>
                <w:rFonts w:ascii="Arial" w:hAnsi="Arial" w:cs="Arial"/>
                <w:lang w:eastAsia="en-GB"/>
              </w:rPr>
              <w:t>(Rand value)</w:t>
            </w:r>
          </w:p>
        </w:tc>
        <w:tc>
          <w:tcPr>
            <w:tcW w:w="135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Nominal % change in 2023/24</w:t>
            </w:r>
          </w:p>
        </w:tc>
        <w:tc>
          <w:tcPr>
            <w:tcW w:w="1170" w:type="dxa"/>
            <w:vMerge w:val="restart"/>
            <w:shd w:val="clear" w:color="auto" w:fill="BFBFBF"/>
            <w:vAlign w:val="center"/>
            <w:hideMark/>
          </w:tcPr>
          <w:p w:rsidR="00920AE2" w:rsidRPr="003C4106" w:rsidRDefault="00920AE2" w:rsidP="003C4106">
            <w:pPr>
              <w:cnfStyle w:val="100000000000"/>
              <w:rPr>
                <w:rFonts w:ascii="Arial" w:hAnsi="Arial" w:cs="Arial"/>
                <w:lang w:eastAsia="en-GB"/>
              </w:rPr>
            </w:pPr>
            <w:r w:rsidRPr="003C4106">
              <w:rPr>
                <w:rFonts w:ascii="Arial" w:hAnsi="Arial" w:cs="Arial"/>
                <w:lang w:eastAsia="en-GB"/>
              </w:rPr>
              <w:t>Real % change in 2023/24</w:t>
            </w:r>
          </w:p>
        </w:tc>
      </w:tr>
      <w:tr w:rsidR="00920AE2" w:rsidRPr="003C4106" w:rsidTr="00920AE2">
        <w:trPr>
          <w:cnfStyle w:val="000000100000"/>
          <w:trHeight w:val="330"/>
        </w:trPr>
        <w:tc>
          <w:tcPr>
            <w:cnfStyle w:val="001000000000"/>
            <w:tcW w:w="1795" w:type="dxa"/>
            <w:vMerge/>
            <w:noWrap/>
            <w:hideMark/>
          </w:tcPr>
          <w:p w:rsidR="00920AE2" w:rsidRPr="003C4106" w:rsidRDefault="00920AE2" w:rsidP="003C4106">
            <w:pPr>
              <w:rPr>
                <w:rFonts w:ascii="Arial" w:hAnsi="Arial" w:cs="Arial"/>
                <w:lang w:eastAsia="en-GB"/>
              </w:rPr>
            </w:pPr>
          </w:p>
        </w:tc>
        <w:tc>
          <w:tcPr>
            <w:tcW w:w="90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2022/23</w:t>
            </w:r>
          </w:p>
        </w:tc>
        <w:tc>
          <w:tcPr>
            <w:tcW w:w="990" w:type="dxa"/>
            <w:shd w:val="clear" w:color="auto" w:fill="BFBFBF"/>
            <w:noWrap/>
            <w:vAlign w:val="center"/>
            <w:hideMark/>
          </w:tcPr>
          <w:p w:rsidR="00920AE2" w:rsidRPr="003C4106" w:rsidRDefault="00920AE2" w:rsidP="003C4106">
            <w:pPr>
              <w:cnfStyle w:val="000000100000"/>
              <w:rPr>
                <w:rFonts w:ascii="Arial" w:hAnsi="Arial" w:cs="Arial"/>
                <w:b/>
                <w:bCs/>
                <w:lang w:eastAsia="en-GB"/>
              </w:rPr>
            </w:pPr>
            <w:r w:rsidRPr="003C4106">
              <w:rPr>
                <w:rFonts w:ascii="Arial" w:hAnsi="Arial" w:cs="Arial"/>
                <w:b/>
                <w:bCs/>
                <w:lang w:eastAsia="en-GB"/>
              </w:rPr>
              <w:t>2023/24</w:t>
            </w: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350" w:type="dxa"/>
            <w:vMerge/>
            <w:hideMark/>
          </w:tcPr>
          <w:p w:rsidR="00920AE2" w:rsidRPr="003C4106" w:rsidRDefault="00920AE2" w:rsidP="003C4106">
            <w:pPr>
              <w:cnfStyle w:val="000000100000"/>
              <w:rPr>
                <w:rFonts w:ascii="Arial" w:hAnsi="Arial" w:cs="Arial"/>
                <w:b/>
                <w:bCs/>
                <w:lang w:eastAsia="en-GB"/>
              </w:rPr>
            </w:pPr>
          </w:p>
        </w:tc>
        <w:tc>
          <w:tcPr>
            <w:tcW w:w="1170" w:type="dxa"/>
            <w:vMerge/>
            <w:hideMark/>
          </w:tcPr>
          <w:p w:rsidR="00920AE2" w:rsidRPr="003C4106" w:rsidRDefault="00920AE2" w:rsidP="003C4106">
            <w:pPr>
              <w:cnfStyle w:val="000000100000"/>
              <w:rPr>
                <w:rFonts w:ascii="Arial" w:hAnsi="Arial" w:cs="Arial"/>
                <w:b/>
                <w:bCs/>
                <w:lang w:eastAsia="en-GB"/>
              </w:rPr>
            </w:pPr>
          </w:p>
        </w:tc>
      </w:tr>
      <w:tr w:rsidR="00920AE2" w:rsidRPr="003C4106" w:rsidTr="003E3B10">
        <w:trPr>
          <w:trHeight w:val="264"/>
        </w:trPr>
        <w:tc>
          <w:tcPr>
            <w:cnfStyle w:val="001000000000"/>
            <w:tcW w:w="1795" w:type="dxa"/>
            <w:noWrap/>
          </w:tcPr>
          <w:p w:rsidR="00920AE2" w:rsidRPr="003C4106" w:rsidRDefault="00FD0D8A" w:rsidP="003C4106">
            <w:pPr>
              <w:rPr>
                <w:rFonts w:ascii="Arial" w:hAnsi="Arial" w:cs="Arial"/>
                <w:lang w:eastAsia="en-GB"/>
              </w:rPr>
            </w:pPr>
            <w:r w:rsidRPr="003C4106">
              <w:rPr>
                <w:rFonts w:ascii="Arial" w:hAnsi="Arial" w:cs="Arial"/>
                <w:lang w:eastAsia="en-GB"/>
              </w:rPr>
              <w:t>Programme Management</w:t>
            </w:r>
          </w:p>
        </w:tc>
        <w:tc>
          <w:tcPr>
            <w:tcW w:w="900" w:type="dxa"/>
            <w:noWrap/>
          </w:tcPr>
          <w:p w:rsidR="00920AE2" w:rsidRPr="003C4106" w:rsidRDefault="005D57B6" w:rsidP="003C4106">
            <w:pPr>
              <w:cnfStyle w:val="000000000000"/>
              <w:rPr>
                <w:rFonts w:ascii="Arial" w:hAnsi="Arial" w:cs="Arial"/>
                <w:lang w:eastAsia="en-GB"/>
              </w:rPr>
            </w:pPr>
            <w:r w:rsidRPr="003C4106">
              <w:rPr>
                <w:rFonts w:ascii="Arial" w:hAnsi="Arial" w:cs="Arial"/>
                <w:lang w:eastAsia="en-GB"/>
              </w:rPr>
              <w:t>8,2</w:t>
            </w:r>
          </w:p>
        </w:tc>
        <w:tc>
          <w:tcPr>
            <w:tcW w:w="990" w:type="dxa"/>
            <w:noWrap/>
          </w:tcPr>
          <w:p w:rsidR="00920AE2" w:rsidRPr="003C4106" w:rsidRDefault="005D57B6" w:rsidP="003C4106">
            <w:pPr>
              <w:cnfStyle w:val="000000000000"/>
              <w:rPr>
                <w:rFonts w:ascii="Arial" w:hAnsi="Arial" w:cs="Arial"/>
                <w:lang w:eastAsia="en-GB"/>
              </w:rPr>
            </w:pPr>
            <w:r w:rsidRPr="003C4106">
              <w:rPr>
                <w:rFonts w:ascii="Arial" w:hAnsi="Arial" w:cs="Arial"/>
                <w:lang w:eastAsia="en-GB"/>
              </w:rPr>
              <w:t>8,1</w:t>
            </w:r>
          </w:p>
        </w:tc>
        <w:tc>
          <w:tcPr>
            <w:tcW w:w="1350" w:type="dxa"/>
            <w:noWrap/>
          </w:tcPr>
          <w:p w:rsidR="00920AE2" w:rsidRPr="003C4106" w:rsidRDefault="00A57511" w:rsidP="003C4106">
            <w:pPr>
              <w:cnfStyle w:val="000000000000"/>
              <w:rPr>
                <w:rFonts w:ascii="Arial" w:hAnsi="Arial" w:cs="Arial"/>
                <w:lang w:eastAsia="en-GB"/>
              </w:rPr>
            </w:pPr>
            <w:r w:rsidRPr="003C4106">
              <w:rPr>
                <w:rFonts w:ascii="Arial" w:hAnsi="Arial" w:cs="Arial"/>
                <w:lang w:eastAsia="en-GB"/>
              </w:rPr>
              <w:t>-0,1</w:t>
            </w:r>
          </w:p>
        </w:tc>
        <w:tc>
          <w:tcPr>
            <w:tcW w:w="1350" w:type="dxa"/>
            <w:noWrap/>
          </w:tcPr>
          <w:p w:rsidR="00920AE2" w:rsidRPr="003C4106" w:rsidRDefault="0084468A" w:rsidP="003C4106">
            <w:pPr>
              <w:cnfStyle w:val="000000000000"/>
              <w:rPr>
                <w:rFonts w:ascii="Arial" w:hAnsi="Arial" w:cs="Arial"/>
                <w:lang w:eastAsia="en-GB"/>
              </w:rPr>
            </w:pPr>
            <w:r w:rsidRPr="003C4106">
              <w:rPr>
                <w:rFonts w:ascii="Arial" w:hAnsi="Arial" w:cs="Arial"/>
                <w:lang w:eastAsia="en-GB"/>
              </w:rPr>
              <w:t>-0,5</w:t>
            </w:r>
          </w:p>
        </w:tc>
        <w:tc>
          <w:tcPr>
            <w:tcW w:w="1350" w:type="dxa"/>
            <w:noWrap/>
          </w:tcPr>
          <w:p w:rsidR="00920AE2" w:rsidRPr="003C4106" w:rsidRDefault="00917632" w:rsidP="003C4106">
            <w:pPr>
              <w:cnfStyle w:val="000000000000"/>
              <w:rPr>
                <w:rFonts w:ascii="Arial" w:hAnsi="Arial" w:cs="Arial"/>
                <w:lang w:eastAsia="en-GB"/>
              </w:rPr>
            </w:pPr>
            <w:r w:rsidRPr="003C4106">
              <w:rPr>
                <w:rFonts w:ascii="Arial" w:hAnsi="Arial" w:cs="Arial"/>
                <w:lang w:eastAsia="en-GB"/>
              </w:rPr>
              <w:t>-1,2%</w:t>
            </w:r>
          </w:p>
        </w:tc>
        <w:tc>
          <w:tcPr>
            <w:tcW w:w="1170" w:type="dxa"/>
            <w:noWrap/>
          </w:tcPr>
          <w:p w:rsidR="00920AE2" w:rsidRPr="003C4106" w:rsidRDefault="008E539F" w:rsidP="003C4106">
            <w:pPr>
              <w:cnfStyle w:val="000000000000"/>
              <w:rPr>
                <w:rFonts w:ascii="Arial" w:hAnsi="Arial" w:cs="Arial"/>
                <w:lang w:eastAsia="en-GB"/>
              </w:rPr>
            </w:pPr>
            <w:r w:rsidRPr="003C4106">
              <w:rPr>
                <w:rFonts w:ascii="Arial" w:hAnsi="Arial" w:cs="Arial"/>
                <w:lang w:eastAsia="en-GB"/>
              </w:rPr>
              <w:t>-5,8%</w:t>
            </w:r>
          </w:p>
        </w:tc>
      </w:tr>
      <w:tr w:rsidR="00920AE2" w:rsidRPr="003C4106" w:rsidTr="003E3B10">
        <w:trPr>
          <w:cnfStyle w:val="000000100000"/>
          <w:trHeight w:val="264"/>
        </w:trPr>
        <w:tc>
          <w:tcPr>
            <w:cnfStyle w:val="001000000000"/>
            <w:tcW w:w="1795" w:type="dxa"/>
            <w:noWrap/>
          </w:tcPr>
          <w:p w:rsidR="00920AE2" w:rsidRPr="003C4106" w:rsidRDefault="00FD0D8A" w:rsidP="003C4106">
            <w:pPr>
              <w:rPr>
                <w:rFonts w:ascii="Arial" w:hAnsi="Arial" w:cs="Arial"/>
                <w:lang w:eastAsia="en-GB"/>
              </w:rPr>
            </w:pPr>
            <w:r w:rsidRPr="003C4106">
              <w:rPr>
                <w:rFonts w:ascii="Arial" w:hAnsi="Arial" w:cs="Arial"/>
                <w:lang w:eastAsia="en-GB"/>
              </w:rPr>
              <w:t>Policy &amp; Planning</w:t>
            </w:r>
          </w:p>
        </w:tc>
        <w:tc>
          <w:tcPr>
            <w:tcW w:w="900" w:type="dxa"/>
            <w:noWrap/>
          </w:tcPr>
          <w:p w:rsidR="00920AE2" w:rsidRPr="003C4106" w:rsidRDefault="005D57B6" w:rsidP="003C4106">
            <w:pPr>
              <w:cnfStyle w:val="000000100000"/>
              <w:rPr>
                <w:rFonts w:ascii="Arial" w:hAnsi="Arial" w:cs="Arial"/>
                <w:lang w:eastAsia="en-GB"/>
              </w:rPr>
            </w:pPr>
            <w:r w:rsidRPr="003C4106">
              <w:rPr>
                <w:rFonts w:ascii="Arial" w:hAnsi="Arial" w:cs="Arial"/>
                <w:lang w:eastAsia="en-GB"/>
              </w:rPr>
              <w:t>7,1</w:t>
            </w:r>
          </w:p>
        </w:tc>
        <w:tc>
          <w:tcPr>
            <w:tcW w:w="990" w:type="dxa"/>
            <w:noWrap/>
          </w:tcPr>
          <w:p w:rsidR="00920AE2" w:rsidRPr="003C4106" w:rsidRDefault="005D57B6" w:rsidP="003C4106">
            <w:pPr>
              <w:cnfStyle w:val="000000100000"/>
              <w:rPr>
                <w:rFonts w:ascii="Arial" w:hAnsi="Arial" w:cs="Arial"/>
                <w:lang w:eastAsia="en-GB"/>
              </w:rPr>
            </w:pPr>
            <w:r w:rsidRPr="003C4106">
              <w:rPr>
                <w:rFonts w:ascii="Arial" w:hAnsi="Arial" w:cs="Arial"/>
                <w:lang w:eastAsia="en-GB"/>
              </w:rPr>
              <w:t>7,3</w:t>
            </w:r>
          </w:p>
        </w:tc>
        <w:tc>
          <w:tcPr>
            <w:tcW w:w="1350" w:type="dxa"/>
            <w:noWrap/>
          </w:tcPr>
          <w:p w:rsidR="00920AE2" w:rsidRPr="003C4106" w:rsidRDefault="00A57511" w:rsidP="003C4106">
            <w:pPr>
              <w:cnfStyle w:val="000000100000"/>
              <w:rPr>
                <w:rFonts w:ascii="Arial" w:hAnsi="Arial" w:cs="Arial"/>
                <w:lang w:eastAsia="en-GB"/>
              </w:rPr>
            </w:pPr>
            <w:r w:rsidRPr="003C4106">
              <w:rPr>
                <w:rFonts w:ascii="Arial" w:hAnsi="Arial" w:cs="Arial"/>
                <w:lang w:eastAsia="en-GB"/>
              </w:rPr>
              <w:t>0,2</w:t>
            </w:r>
          </w:p>
        </w:tc>
        <w:tc>
          <w:tcPr>
            <w:tcW w:w="1350" w:type="dxa"/>
            <w:noWrap/>
          </w:tcPr>
          <w:p w:rsidR="00920AE2" w:rsidRPr="003C4106" w:rsidRDefault="0084468A" w:rsidP="003C4106">
            <w:pPr>
              <w:cnfStyle w:val="000000100000"/>
              <w:rPr>
                <w:rFonts w:ascii="Arial" w:hAnsi="Arial" w:cs="Arial"/>
                <w:lang w:eastAsia="en-GB"/>
              </w:rPr>
            </w:pPr>
            <w:r w:rsidRPr="003C4106">
              <w:rPr>
                <w:rFonts w:ascii="Arial" w:hAnsi="Arial" w:cs="Arial"/>
                <w:lang w:eastAsia="en-GB"/>
              </w:rPr>
              <w:t>0,1</w:t>
            </w:r>
          </w:p>
        </w:tc>
        <w:tc>
          <w:tcPr>
            <w:tcW w:w="1350" w:type="dxa"/>
            <w:noWrap/>
          </w:tcPr>
          <w:p w:rsidR="00920AE2" w:rsidRPr="003C4106" w:rsidRDefault="0084468A" w:rsidP="003C4106">
            <w:pPr>
              <w:cnfStyle w:val="000000100000"/>
              <w:rPr>
                <w:rFonts w:ascii="Arial" w:hAnsi="Arial" w:cs="Arial"/>
                <w:lang w:eastAsia="en-GB"/>
              </w:rPr>
            </w:pPr>
            <w:r w:rsidRPr="003C4106">
              <w:rPr>
                <w:rFonts w:ascii="Arial" w:hAnsi="Arial" w:cs="Arial"/>
                <w:lang w:eastAsia="en-GB"/>
              </w:rPr>
              <w:t>2,8%</w:t>
            </w:r>
          </w:p>
        </w:tc>
        <w:tc>
          <w:tcPr>
            <w:tcW w:w="1170" w:type="dxa"/>
            <w:noWrap/>
          </w:tcPr>
          <w:p w:rsidR="00920AE2" w:rsidRPr="003C4106" w:rsidRDefault="00917632" w:rsidP="003C4106">
            <w:pPr>
              <w:cnfStyle w:val="000000100000"/>
              <w:rPr>
                <w:rFonts w:ascii="Arial" w:hAnsi="Arial" w:cs="Arial"/>
                <w:lang w:eastAsia="en-GB"/>
              </w:rPr>
            </w:pPr>
            <w:r w:rsidRPr="003C4106">
              <w:rPr>
                <w:rFonts w:ascii="Arial" w:hAnsi="Arial" w:cs="Arial"/>
                <w:lang w:eastAsia="en-GB"/>
              </w:rPr>
              <w:t>-2,0%</w:t>
            </w:r>
          </w:p>
        </w:tc>
      </w:tr>
      <w:tr w:rsidR="00920AE2" w:rsidRPr="003C4106" w:rsidTr="003E3B10">
        <w:trPr>
          <w:trHeight w:val="264"/>
        </w:trPr>
        <w:tc>
          <w:tcPr>
            <w:cnfStyle w:val="001000000000"/>
            <w:tcW w:w="1795" w:type="dxa"/>
            <w:noWrap/>
          </w:tcPr>
          <w:p w:rsidR="00920AE2" w:rsidRPr="003C4106" w:rsidRDefault="00FD0D8A" w:rsidP="003C4106">
            <w:pPr>
              <w:rPr>
                <w:rFonts w:ascii="Arial" w:hAnsi="Arial" w:cs="Arial"/>
                <w:lang w:eastAsia="en-GB"/>
              </w:rPr>
            </w:pPr>
            <w:r w:rsidRPr="003C4106">
              <w:rPr>
                <w:rFonts w:ascii="Arial" w:hAnsi="Arial" w:cs="Arial"/>
                <w:lang w:eastAsia="en-GB"/>
              </w:rPr>
              <w:t>Public Entities Management &amp;</w:t>
            </w:r>
            <w:r w:rsidR="0020617C" w:rsidRPr="003C4106">
              <w:rPr>
                <w:rFonts w:ascii="Arial" w:hAnsi="Arial" w:cs="Arial"/>
                <w:lang w:eastAsia="en-GB"/>
              </w:rPr>
              <w:t xml:space="preserve"> Laboratories</w:t>
            </w:r>
          </w:p>
        </w:tc>
        <w:tc>
          <w:tcPr>
            <w:tcW w:w="900" w:type="dxa"/>
            <w:noWrap/>
          </w:tcPr>
          <w:p w:rsidR="00920AE2" w:rsidRPr="003C4106" w:rsidRDefault="005D57B6" w:rsidP="003C4106">
            <w:pPr>
              <w:cnfStyle w:val="000000000000"/>
              <w:rPr>
                <w:rFonts w:ascii="Arial" w:hAnsi="Arial" w:cs="Arial"/>
                <w:lang w:eastAsia="en-GB"/>
              </w:rPr>
            </w:pPr>
            <w:r w:rsidRPr="003C4106">
              <w:rPr>
                <w:rFonts w:ascii="Arial" w:hAnsi="Arial" w:cs="Arial"/>
                <w:lang w:eastAsia="en-GB"/>
              </w:rPr>
              <w:t>1 954,6</w:t>
            </w:r>
          </w:p>
        </w:tc>
        <w:tc>
          <w:tcPr>
            <w:tcW w:w="990" w:type="dxa"/>
            <w:noWrap/>
          </w:tcPr>
          <w:p w:rsidR="00920AE2" w:rsidRPr="003C4106" w:rsidRDefault="005D57B6" w:rsidP="003C4106">
            <w:pPr>
              <w:cnfStyle w:val="000000000000"/>
              <w:rPr>
                <w:rFonts w:ascii="Arial" w:hAnsi="Arial" w:cs="Arial"/>
                <w:lang w:eastAsia="en-GB"/>
              </w:rPr>
            </w:pPr>
            <w:r w:rsidRPr="003C4106">
              <w:rPr>
                <w:rFonts w:ascii="Arial" w:hAnsi="Arial" w:cs="Arial"/>
                <w:lang w:eastAsia="en-GB"/>
              </w:rPr>
              <w:t>1 936,7</w:t>
            </w:r>
          </w:p>
        </w:tc>
        <w:tc>
          <w:tcPr>
            <w:tcW w:w="1350" w:type="dxa"/>
            <w:noWrap/>
          </w:tcPr>
          <w:p w:rsidR="00920AE2" w:rsidRPr="003C4106" w:rsidRDefault="00A57511" w:rsidP="003C4106">
            <w:pPr>
              <w:cnfStyle w:val="000000000000"/>
              <w:rPr>
                <w:rFonts w:ascii="Arial" w:hAnsi="Arial" w:cs="Arial"/>
                <w:lang w:eastAsia="en-GB"/>
              </w:rPr>
            </w:pPr>
            <w:r w:rsidRPr="003C4106">
              <w:rPr>
                <w:rFonts w:ascii="Arial" w:hAnsi="Arial" w:cs="Arial"/>
                <w:lang w:eastAsia="en-GB"/>
              </w:rPr>
              <w:t>-17,9</w:t>
            </w:r>
          </w:p>
        </w:tc>
        <w:tc>
          <w:tcPr>
            <w:tcW w:w="1350" w:type="dxa"/>
            <w:noWrap/>
          </w:tcPr>
          <w:p w:rsidR="00920AE2" w:rsidRPr="003C4106" w:rsidRDefault="0084468A" w:rsidP="003C4106">
            <w:pPr>
              <w:cnfStyle w:val="000000000000"/>
              <w:rPr>
                <w:rFonts w:ascii="Arial" w:hAnsi="Arial" w:cs="Arial"/>
                <w:lang w:eastAsia="en-GB"/>
              </w:rPr>
            </w:pPr>
            <w:r w:rsidRPr="003C4106">
              <w:rPr>
                <w:rFonts w:ascii="Arial" w:hAnsi="Arial" w:cs="Arial"/>
                <w:lang w:eastAsia="en-GB"/>
              </w:rPr>
              <w:t>-108,4</w:t>
            </w:r>
          </w:p>
        </w:tc>
        <w:tc>
          <w:tcPr>
            <w:tcW w:w="1350" w:type="dxa"/>
            <w:noWrap/>
          </w:tcPr>
          <w:p w:rsidR="00920AE2" w:rsidRPr="003C4106" w:rsidRDefault="0084468A" w:rsidP="003C4106">
            <w:pPr>
              <w:cnfStyle w:val="000000000000"/>
              <w:rPr>
                <w:rFonts w:ascii="Arial" w:hAnsi="Arial" w:cs="Arial"/>
                <w:lang w:eastAsia="en-GB"/>
              </w:rPr>
            </w:pPr>
            <w:r w:rsidRPr="003C4106">
              <w:rPr>
                <w:rFonts w:ascii="Arial" w:hAnsi="Arial" w:cs="Arial"/>
                <w:lang w:eastAsia="en-GB"/>
              </w:rPr>
              <w:t>-0,9%</w:t>
            </w:r>
          </w:p>
        </w:tc>
        <w:tc>
          <w:tcPr>
            <w:tcW w:w="1170" w:type="dxa"/>
            <w:noWrap/>
          </w:tcPr>
          <w:p w:rsidR="00920AE2" w:rsidRPr="003C4106" w:rsidRDefault="00917632" w:rsidP="003C4106">
            <w:pPr>
              <w:cnfStyle w:val="000000000000"/>
              <w:rPr>
                <w:rFonts w:ascii="Arial" w:hAnsi="Arial" w:cs="Arial"/>
                <w:lang w:eastAsia="en-GB"/>
              </w:rPr>
            </w:pPr>
            <w:r w:rsidRPr="003C4106">
              <w:rPr>
                <w:rFonts w:ascii="Arial" w:hAnsi="Arial" w:cs="Arial"/>
                <w:lang w:eastAsia="en-GB"/>
              </w:rPr>
              <w:t>-5,5%</w:t>
            </w:r>
          </w:p>
        </w:tc>
      </w:tr>
      <w:tr w:rsidR="00920AE2" w:rsidRPr="003C4106" w:rsidTr="003E3B10">
        <w:trPr>
          <w:cnfStyle w:val="000000100000"/>
          <w:trHeight w:val="264"/>
        </w:trPr>
        <w:tc>
          <w:tcPr>
            <w:cnfStyle w:val="001000000000"/>
            <w:tcW w:w="1795" w:type="dxa"/>
            <w:noWrap/>
          </w:tcPr>
          <w:p w:rsidR="00920AE2" w:rsidRPr="003C4106" w:rsidRDefault="0020617C" w:rsidP="003C4106">
            <w:pPr>
              <w:rPr>
                <w:rFonts w:ascii="Arial" w:hAnsi="Arial" w:cs="Arial"/>
                <w:lang w:eastAsia="en-GB"/>
              </w:rPr>
            </w:pPr>
            <w:r w:rsidRPr="003C4106">
              <w:rPr>
                <w:rFonts w:ascii="Arial" w:hAnsi="Arial" w:cs="Arial"/>
                <w:lang w:eastAsia="en-GB"/>
              </w:rPr>
              <w:t>Nursing Services</w:t>
            </w:r>
          </w:p>
        </w:tc>
        <w:tc>
          <w:tcPr>
            <w:tcW w:w="900" w:type="dxa"/>
            <w:noWrap/>
          </w:tcPr>
          <w:p w:rsidR="00920AE2" w:rsidRPr="003C4106" w:rsidRDefault="00F46394" w:rsidP="003C4106">
            <w:pPr>
              <w:cnfStyle w:val="000000100000"/>
              <w:rPr>
                <w:rFonts w:ascii="Arial" w:hAnsi="Arial" w:cs="Arial"/>
                <w:lang w:eastAsia="en-GB"/>
              </w:rPr>
            </w:pPr>
            <w:r w:rsidRPr="003C4106">
              <w:rPr>
                <w:rFonts w:ascii="Arial" w:hAnsi="Arial" w:cs="Arial"/>
                <w:lang w:eastAsia="en-GB"/>
              </w:rPr>
              <w:t>10,3</w:t>
            </w:r>
          </w:p>
        </w:tc>
        <w:tc>
          <w:tcPr>
            <w:tcW w:w="990" w:type="dxa"/>
            <w:noWrap/>
          </w:tcPr>
          <w:p w:rsidR="00920AE2" w:rsidRPr="003C4106" w:rsidRDefault="00F46394" w:rsidP="003C4106">
            <w:pPr>
              <w:cnfStyle w:val="000000100000"/>
              <w:rPr>
                <w:rFonts w:ascii="Arial" w:hAnsi="Arial" w:cs="Arial"/>
                <w:lang w:eastAsia="en-GB"/>
              </w:rPr>
            </w:pPr>
            <w:r w:rsidRPr="003C4106">
              <w:rPr>
                <w:rFonts w:ascii="Arial" w:hAnsi="Arial" w:cs="Arial"/>
                <w:lang w:eastAsia="en-GB"/>
              </w:rPr>
              <w:t>10,1</w:t>
            </w:r>
          </w:p>
        </w:tc>
        <w:tc>
          <w:tcPr>
            <w:tcW w:w="1350" w:type="dxa"/>
            <w:noWrap/>
          </w:tcPr>
          <w:p w:rsidR="00920AE2" w:rsidRPr="003C4106" w:rsidRDefault="00486551" w:rsidP="003C4106">
            <w:pPr>
              <w:cnfStyle w:val="000000100000"/>
              <w:rPr>
                <w:rFonts w:ascii="Arial" w:hAnsi="Arial" w:cs="Arial"/>
                <w:lang w:eastAsia="en-GB"/>
              </w:rPr>
            </w:pPr>
            <w:r w:rsidRPr="003C4106">
              <w:rPr>
                <w:rFonts w:ascii="Arial" w:hAnsi="Arial" w:cs="Arial"/>
                <w:lang w:eastAsia="en-GB"/>
              </w:rPr>
              <w:t>-0,2</w:t>
            </w:r>
          </w:p>
        </w:tc>
        <w:tc>
          <w:tcPr>
            <w:tcW w:w="1350" w:type="dxa"/>
            <w:noWrap/>
          </w:tcPr>
          <w:p w:rsidR="00920AE2" w:rsidRPr="003C4106" w:rsidRDefault="00A57511" w:rsidP="003C4106">
            <w:pPr>
              <w:cnfStyle w:val="000000100000"/>
              <w:rPr>
                <w:rFonts w:ascii="Arial" w:hAnsi="Arial" w:cs="Arial"/>
                <w:lang w:eastAsia="en-GB"/>
              </w:rPr>
            </w:pPr>
            <w:r w:rsidRPr="003C4106">
              <w:rPr>
                <w:rFonts w:ascii="Arial" w:hAnsi="Arial" w:cs="Arial"/>
                <w:lang w:eastAsia="en-GB"/>
              </w:rPr>
              <w:t>-</w:t>
            </w:r>
            <w:r w:rsidR="0084468A" w:rsidRPr="003C4106">
              <w:rPr>
                <w:rFonts w:ascii="Arial" w:hAnsi="Arial" w:cs="Arial"/>
                <w:lang w:eastAsia="en-GB"/>
              </w:rPr>
              <w:t>0,7</w:t>
            </w:r>
          </w:p>
        </w:tc>
        <w:tc>
          <w:tcPr>
            <w:tcW w:w="1350" w:type="dxa"/>
            <w:noWrap/>
          </w:tcPr>
          <w:p w:rsidR="00920AE2" w:rsidRPr="003C4106" w:rsidRDefault="0084468A" w:rsidP="003C4106">
            <w:pPr>
              <w:cnfStyle w:val="000000100000"/>
              <w:rPr>
                <w:rFonts w:ascii="Arial" w:hAnsi="Arial" w:cs="Arial"/>
                <w:lang w:eastAsia="en-GB"/>
              </w:rPr>
            </w:pPr>
            <w:r w:rsidRPr="003C4106">
              <w:rPr>
                <w:rFonts w:ascii="Arial" w:hAnsi="Arial" w:cs="Arial"/>
                <w:lang w:eastAsia="en-GB"/>
              </w:rPr>
              <w:t>-1,9%</w:t>
            </w:r>
          </w:p>
        </w:tc>
        <w:tc>
          <w:tcPr>
            <w:tcW w:w="1170" w:type="dxa"/>
            <w:noWrap/>
          </w:tcPr>
          <w:p w:rsidR="00920AE2" w:rsidRPr="003C4106" w:rsidRDefault="00917632" w:rsidP="003C4106">
            <w:pPr>
              <w:cnfStyle w:val="000000100000"/>
              <w:rPr>
                <w:rFonts w:ascii="Arial" w:hAnsi="Arial" w:cs="Arial"/>
                <w:lang w:eastAsia="en-GB"/>
              </w:rPr>
            </w:pPr>
            <w:r w:rsidRPr="003C4106">
              <w:rPr>
                <w:rFonts w:ascii="Arial" w:hAnsi="Arial" w:cs="Arial"/>
                <w:lang w:eastAsia="en-GB"/>
              </w:rPr>
              <w:t>-6,5%</w:t>
            </w:r>
          </w:p>
        </w:tc>
      </w:tr>
      <w:tr w:rsidR="00920AE2" w:rsidRPr="003C4106" w:rsidTr="003E3B10">
        <w:trPr>
          <w:trHeight w:val="264"/>
        </w:trPr>
        <w:tc>
          <w:tcPr>
            <w:cnfStyle w:val="001000000000"/>
            <w:tcW w:w="1795" w:type="dxa"/>
            <w:noWrap/>
          </w:tcPr>
          <w:p w:rsidR="00920AE2" w:rsidRPr="003C4106" w:rsidRDefault="0020617C" w:rsidP="003C4106">
            <w:pPr>
              <w:rPr>
                <w:rFonts w:ascii="Arial" w:hAnsi="Arial" w:cs="Arial"/>
                <w:lang w:eastAsia="en-GB"/>
              </w:rPr>
            </w:pPr>
            <w:r w:rsidRPr="003C4106">
              <w:rPr>
                <w:rFonts w:ascii="Arial" w:hAnsi="Arial" w:cs="Arial"/>
                <w:lang w:eastAsia="en-GB"/>
              </w:rPr>
              <w:t xml:space="preserve">Health Information, Monitoring &amp; Evaluation </w:t>
            </w:r>
          </w:p>
        </w:tc>
        <w:tc>
          <w:tcPr>
            <w:tcW w:w="900" w:type="dxa"/>
            <w:noWrap/>
          </w:tcPr>
          <w:p w:rsidR="00920AE2" w:rsidRPr="003C4106" w:rsidRDefault="00F46394" w:rsidP="003C4106">
            <w:pPr>
              <w:cnfStyle w:val="000000000000"/>
              <w:rPr>
                <w:rFonts w:ascii="Arial" w:hAnsi="Arial" w:cs="Arial"/>
                <w:lang w:eastAsia="en-GB"/>
              </w:rPr>
            </w:pPr>
            <w:r w:rsidRPr="003C4106">
              <w:rPr>
                <w:rFonts w:ascii="Arial" w:hAnsi="Arial" w:cs="Arial"/>
                <w:lang w:eastAsia="en-GB"/>
              </w:rPr>
              <w:t>71,9</w:t>
            </w:r>
          </w:p>
        </w:tc>
        <w:tc>
          <w:tcPr>
            <w:tcW w:w="990" w:type="dxa"/>
            <w:noWrap/>
          </w:tcPr>
          <w:p w:rsidR="00920AE2" w:rsidRPr="003C4106" w:rsidRDefault="00F46394" w:rsidP="003C4106">
            <w:pPr>
              <w:cnfStyle w:val="000000000000"/>
              <w:rPr>
                <w:rFonts w:ascii="Arial" w:hAnsi="Arial" w:cs="Arial"/>
                <w:lang w:eastAsia="en-GB"/>
              </w:rPr>
            </w:pPr>
            <w:r w:rsidRPr="003C4106">
              <w:rPr>
                <w:rFonts w:ascii="Arial" w:hAnsi="Arial" w:cs="Arial"/>
                <w:lang w:eastAsia="en-GB"/>
              </w:rPr>
              <w:t>72,5</w:t>
            </w:r>
          </w:p>
        </w:tc>
        <w:tc>
          <w:tcPr>
            <w:tcW w:w="1350" w:type="dxa"/>
            <w:noWrap/>
          </w:tcPr>
          <w:p w:rsidR="00920AE2" w:rsidRPr="003C4106" w:rsidRDefault="00486551" w:rsidP="003C4106">
            <w:pPr>
              <w:cnfStyle w:val="000000000000"/>
              <w:rPr>
                <w:rFonts w:ascii="Arial" w:hAnsi="Arial" w:cs="Arial"/>
                <w:lang w:eastAsia="en-GB"/>
              </w:rPr>
            </w:pPr>
            <w:r w:rsidRPr="003C4106">
              <w:rPr>
                <w:rFonts w:ascii="Arial" w:hAnsi="Arial" w:cs="Arial"/>
                <w:lang w:eastAsia="en-GB"/>
              </w:rPr>
              <w:t>0,6</w:t>
            </w:r>
          </w:p>
        </w:tc>
        <w:tc>
          <w:tcPr>
            <w:tcW w:w="1350" w:type="dxa"/>
            <w:noWrap/>
          </w:tcPr>
          <w:p w:rsidR="00920AE2" w:rsidRPr="003C4106" w:rsidRDefault="00A57511" w:rsidP="003C4106">
            <w:pPr>
              <w:cnfStyle w:val="000000000000"/>
              <w:rPr>
                <w:rFonts w:ascii="Arial" w:hAnsi="Arial" w:cs="Arial"/>
                <w:lang w:eastAsia="en-GB"/>
              </w:rPr>
            </w:pPr>
            <w:r w:rsidRPr="003C4106">
              <w:rPr>
                <w:rFonts w:ascii="Arial" w:hAnsi="Arial" w:cs="Arial"/>
                <w:lang w:eastAsia="en-GB"/>
              </w:rPr>
              <w:t>-2,8</w:t>
            </w:r>
          </w:p>
        </w:tc>
        <w:tc>
          <w:tcPr>
            <w:tcW w:w="1350" w:type="dxa"/>
            <w:noWrap/>
          </w:tcPr>
          <w:p w:rsidR="00920AE2" w:rsidRPr="003C4106" w:rsidRDefault="0084468A" w:rsidP="003C4106">
            <w:pPr>
              <w:cnfStyle w:val="000000000000"/>
              <w:rPr>
                <w:rFonts w:ascii="Arial" w:hAnsi="Arial" w:cs="Arial"/>
                <w:lang w:eastAsia="en-GB"/>
              </w:rPr>
            </w:pPr>
            <w:r w:rsidRPr="003C4106">
              <w:rPr>
                <w:rFonts w:ascii="Arial" w:hAnsi="Arial" w:cs="Arial"/>
                <w:lang w:eastAsia="en-GB"/>
              </w:rPr>
              <w:t>0,8%</w:t>
            </w:r>
          </w:p>
        </w:tc>
        <w:tc>
          <w:tcPr>
            <w:tcW w:w="1170" w:type="dxa"/>
            <w:noWrap/>
          </w:tcPr>
          <w:p w:rsidR="00920AE2" w:rsidRPr="003C4106" w:rsidRDefault="00917632" w:rsidP="003C4106">
            <w:pPr>
              <w:cnfStyle w:val="000000000000"/>
              <w:rPr>
                <w:rFonts w:ascii="Arial" w:hAnsi="Arial" w:cs="Arial"/>
                <w:lang w:eastAsia="en-GB"/>
              </w:rPr>
            </w:pPr>
            <w:r w:rsidRPr="003C4106">
              <w:rPr>
                <w:rFonts w:ascii="Arial" w:hAnsi="Arial" w:cs="Arial"/>
                <w:lang w:eastAsia="en-GB"/>
              </w:rPr>
              <w:t>-3,9%</w:t>
            </w:r>
          </w:p>
        </w:tc>
      </w:tr>
      <w:tr w:rsidR="00920AE2" w:rsidRPr="003C4106" w:rsidTr="00920AE2">
        <w:trPr>
          <w:cnfStyle w:val="000000100000"/>
          <w:trHeight w:val="264"/>
        </w:trPr>
        <w:tc>
          <w:tcPr>
            <w:cnfStyle w:val="001000000000"/>
            <w:tcW w:w="1795" w:type="dxa"/>
            <w:noWrap/>
          </w:tcPr>
          <w:p w:rsidR="00920AE2" w:rsidRPr="003C4106" w:rsidRDefault="0020617C" w:rsidP="003C4106">
            <w:pPr>
              <w:rPr>
                <w:rFonts w:ascii="Arial" w:hAnsi="Arial" w:cs="Arial"/>
                <w:lang w:eastAsia="en-GB"/>
              </w:rPr>
            </w:pPr>
            <w:r w:rsidRPr="003C4106">
              <w:rPr>
                <w:rFonts w:ascii="Arial" w:hAnsi="Arial" w:cs="Arial"/>
                <w:lang w:eastAsia="en-GB"/>
              </w:rPr>
              <w:t>Human Resources for Health</w:t>
            </w:r>
          </w:p>
        </w:tc>
        <w:tc>
          <w:tcPr>
            <w:tcW w:w="900" w:type="dxa"/>
            <w:noWrap/>
          </w:tcPr>
          <w:p w:rsidR="00920AE2" w:rsidRPr="003C4106" w:rsidRDefault="00070657" w:rsidP="003C4106">
            <w:pPr>
              <w:cnfStyle w:val="000000100000"/>
              <w:rPr>
                <w:rFonts w:ascii="Arial" w:hAnsi="Arial" w:cs="Arial"/>
                <w:lang w:eastAsia="en-GB"/>
              </w:rPr>
            </w:pPr>
            <w:r w:rsidRPr="003C4106">
              <w:rPr>
                <w:rFonts w:ascii="Arial" w:hAnsi="Arial" w:cs="Arial"/>
                <w:lang w:eastAsia="en-GB"/>
              </w:rPr>
              <w:t>5 471,3</w:t>
            </w:r>
          </w:p>
        </w:tc>
        <w:tc>
          <w:tcPr>
            <w:tcW w:w="990" w:type="dxa"/>
            <w:noWrap/>
          </w:tcPr>
          <w:p w:rsidR="00920AE2" w:rsidRPr="003C4106" w:rsidRDefault="00070657" w:rsidP="003C4106">
            <w:pPr>
              <w:cnfStyle w:val="000000100000"/>
              <w:rPr>
                <w:rFonts w:ascii="Arial" w:hAnsi="Arial" w:cs="Arial"/>
                <w:lang w:eastAsia="en-GB"/>
              </w:rPr>
            </w:pPr>
            <w:r w:rsidRPr="003C4106">
              <w:rPr>
                <w:rFonts w:ascii="Arial" w:hAnsi="Arial" w:cs="Arial"/>
                <w:lang w:eastAsia="en-GB"/>
              </w:rPr>
              <w:t>5 502,0</w:t>
            </w:r>
          </w:p>
        </w:tc>
        <w:tc>
          <w:tcPr>
            <w:tcW w:w="1350" w:type="dxa"/>
            <w:noWrap/>
          </w:tcPr>
          <w:p w:rsidR="00920AE2" w:rsidRPr="003C4106" w:rsidRDefault="00486551" w:rsidP="003C4106">
            <w:pPr>
              <w:cnfStyle w:val="000000100000"/>
              <w:rPr>
                <w:rFonts w:ascii="Arial" w:hAnsi="Arial" w:cs="Arial"/>
                <w:lang w:eastAsia="en-GB"/>
              </w:rPr>
            </w:pPr>
            <w:r w:rsidRPr="003C4106">
              <w:rPr>
                <w:rFonts w:ascii="Arial" w:hAnsi="Arial" w:cs="Arial"/>
                <w:lang w:eastAsia="en-GB"/>
              </w:rPr>
              <w:t>30,7</w:t>
            </w:r>
          </w:p>
        </w:tc>
        <w:tc>
          <w:tcPr>
            <w:tcW w:w="1350" w:type="dxa"/>
            <w:noWrap/>
          </w:tcPr>
          <w:p w:rsidR="00920AE2" w:rsidRPr="003C4106" w:rsidRDefault="00A57511" w:rsidP="003C4106">
            <w:pPr>
              <w:cnfStyle w:val="000000100000"/>
              <w:rPr>
                <w:rFonts w:ascii="Arial" w:hAnsi="Arial" w:cs="Arial"/>
                <w:lang w:eastAsia="en-GB"/>
              </w:rPr>
            </w:pPr>
            <w:r w:rsidRPr="003C4106">
              <w:rPr>
                <w:rFonts w:ascii="Arial" w:hAnsi="Arial" w:cs="Arial"/>
                <w:lang w:eastAsia="en-GB"/>
              </w:rPr>
              <w:t>-226,3</w:t>
            </w:r>
          </w:p>
        </w:tc>
        <w:tc>
          <w:tcPr>
            <w:tcW w:w="1350" w:type="dxa"/>
            <w:noWrap/>
          </w:tcPr>
          <w:p w:rsidR="00920AE2" w:rsidRPr="003C4106" w:rsidRDefault="0084468A" w:rsidP="003C4106">
            <w:pPr>
              <w:cnfStyle w:val="000000100000"/>
              <w:rPr>
                <w:rFonts w:ascii="Arial" w:hAnsi="Arial" w:cs="Arial"/>
                <w:lang w:eastAsia="en-GB"/>
              </w:rPr>
            </w:pPr>
            <w:r w:rsidRPr="003C4106">
              <w:rPr>
                <w:rFonts w:ascii="Arial" w:hAnsi="Arial" w:cs="Arial"/>
                <w:lang w:eastAsia="en-GB"/>
              </w:rPr>
              <w:t>0,6%</w:t>
            </w:r>
          </w:p>
        </w:tc>
        <w:tc>
          <w:tcPr>
            <w:tcW w:w="1170" w:type="dxa"/>
            <w:noWrap/>
          </w:tcPr>
          <w:p w:rsidR="00920AE2" w:rsidRPr="003C4106" w:rsidRDefault="00917632" w:rsidP="003C4106">
            <w:pPr>
              <w:cnfStyle w:val="000000100000"/>
              <w:rPr>
                <w:rFonts w:ascii="Arial" w:hAnsi="Arial" w:cs="Arial"/>
                <w:lang w:eastAsia="en-GB"/>
              </w:rPr>
            </w:pPr>
            <w:r w:rsidRPr="003C4106">
              <w:rPr>
                <w:rFonts w:ascii="Arial" w:hAnsi="Arial" w:cs="Arial"/>
                <w:lang w:eastAsia="en-GB"/>
              </w:rPr>
              <w:t>-4,1%</w:t>
            </w:r>
          </w:p>
        </w:tc>
      </w:tr>
      <w:tr w:rsidR="00FD0D8A" w:rsidRPr="003C4106" w:rsidTr="00920AE2">
        <w:trPr>
          <w:trHeight w:val="264"/>
        </w:trPr>
        <w:tc>
          <w:tcPr>
            <w:cnfStyle w:val="001000000000"/>
            <w:tcW w:w="1795" w:type="dxa"/>
            <w:noWrap/>
          </w:tcPr>
          <w:p w:rsidR="00FD0D8A" w:rsidRPr="003C4106" w:rsidRDefault="00FD0D8A" w:rsidP="003C4106">
            <w:pPr>
              <w:rPr>
                <w:rFonts w:ascii="Arial" w:hAnsi="Arial" w:cs="Arial"/>
                <w:lang w:eastAsia="en-GB"/>
              </w:rPr>
            </w:pPr>
            <w:r w:rsidRPr="003C4106">
              <w:rPr>
                <w:rFonts w:ascii="Arial" w:hAnsi="Arial" w:cs="Arial"/>
                <w:lang w:eastAsia="en-GB"/>
              </w:rPr>
              <w:t xml:space="preserve">Total </w:t>
            </w:r>
          </w:p>
        </w:tc>
        <w:tc>
          <w:tcPr>
            <w:tcW w:w="900" w:type="dxa"/>
            <w:noWrap/>
          </w:tcPr>
          <w:p w:rsidR="00FD0D8A" w:rsidRPr="003C4106" w:rsidRDefault="00070657" w:rsidP="003C4106">
            <w:pPr>
              <w:cnfStyle w:val="000000000000"/>
              <w:rPr>
                <w:rFonts w:ascii="Arial" w:hAnsi="Arial" w:cs="Arial"/>
                <w:lang w:eastAsia="en-GB"/>
              </w:rPr>
            </w:pPr>
            <w:r w:rsidRPr="003C4106">
              <w:rPr>
                <w:rFonts w:ascii="Arial" w:hAnsi="Arial" w:cs="Arial"/>
                <w:lang w:eastAsia="en-GB"/>
              </w:rPr>
              <w:t>7 523,5</w:t>
            </w:r>
          </w:p>
        </w:tc>
        <w:tc>
          <w:tcPr>
            <w:tcW w:w="990" w:type="dxa"/>
            <w:noWrap/>
          </w:tcPr>
          <w:p w:rsidR="00FD0D8A" w:rsidRPr="003C4106" w:rsidRDefault="008E539F" w:rsidP="003C4106">
            <w:pPr>
              <w:cnfStyle w:val="000000000000"/>
              <w:rPr>
                <w:rFonts w:ascii="Arial" w:hAnsi="Arial" w:cs="Arial"/>
                <w:lang w:eastAsia="en-GB"/>
              </w:rPr>
            </w:pPr>
            <w:r w:rsidRPr="003C4106">
              <w:rPr>
                <w:rFonts w:ascii="Arial" w:hAnsi="Arial" w:cs="Arial"/>
                <w:lang w:eastAsia="en-GB"/>
              </w:rPr>
              <w:t>7 536,8</w:t>
            </w:r>
          </w:p>
        </w:tc>
        <w:tc>
          <w:tcPr>
            <w:tcW w:w="1350" w:type="dxa"/>
            <w:noWrap/>
          </w:tcPr>
          <w:p w:rsidR="00FD0D8A" w:rsidRPr="003C4106" w:rsidRDefault="008E539F" w:rsidP="003C4106">
            <w:pPr>
              <w:cnfStyle w:val="000000000000"/>
              <w:rPr>
                <w:rFonts w:ascii="Arial" w:hAnsi="Arial" w:cs="Arial"/>
                <w:lang w:eastAsia="en-GB"/>
              </w:rPr>
            </w:pPr>
            <w:r w:rsidRPr="003C4106">
              <w:rPr>
                <w:rFonts w:ascii="Arial" w:hAnsi="Arial" w:cs="Arial"/>
                <w:lang w:eastAsia="en-GB"/>
              </w:rPr>
              <w:t>13,3</w:t>
            </w:r>
          </w:p>
        </w:tc>
        <w:tc>
          <w:tcPr>
            <w:tcW w:w="1350" w:type="dxa"/>
            <w:noWrap/>
          </w:tcPr>
          <w:p w:rsidR="00FD0D8A" w:rsidRPr="003C4106" w:rsidRDefault="008E539F" w:rsidP="003C4106">
            <w:pPr>
              <w:cnfStyle w:val="000000000000"/>
              <w:rPr>
                <w:rFonts w:ascii="Arial" w:hAnsi="Arial" w:cs="Arial"/>
                <w:lang w:eastAsia="en-GB"/>
              </w:rPr>
            </w:pPr>
            <w:r w:rsidRPr="003C4106">
              <w:rPr>
                <w:rFonts w:ascii="Arial" w:hAnsi="Arial" w:cs="Arial"/>
                <w:lang w:eastAsia="en-GB"/>
              </w:rPr>
              <w:t>-338,8</w:t>
            </w:r>
          </w:p>
        </w:tc>
        <w:tc>
          <w:tcPr>
            <w:tcW w:w="1350" w:type="dxa"/>
            <w:noWrap/>
          </w:tcPr>
          <w:p w:rsidR="00FD0D8A" w:rsidRPr="003C4106" w:rsidRDefault="008E539F" w:rsidP="003C4106">
            <w:pPr>
              <w:cnfStyle w:val="000000000000"/>
              <w:rPr>
                <w:rFonts w:ascii="Arial" w:hAnsi="Arial" w:cs="Arial"/>
                <w:lang w:eastAsia="en-GB"/>
              </w:rPr>
            </w:pPr>
            <w:r w:rsidRPr="003C4106">
              <w:rPr>
                <w:rFonts w:ascii="Arial" w:hAnsi="Arial" w:cs="Arial"/>
                <w:lang w:eastAsia="en-GB"/>
              </w:rPr>
              <w:t>0,2%</w:t>
            </w:r>
          </w:p>
        </w:tc>
        <w:tc>
          <w:tcPr>
            <w:tcW w:w="1170" w:type="dxa"/>
            <w:noWrap/>
          </w:tcPr>
          <w:p w:rsidR="00FD0D8A" w:rsidRPr="003C4106" w:rsidRDefault="008E539F" w:rsidP="003C4106">
            <w:pPr>
              <w:cnfStyle w:val="000000000000"/>
              <w:rPr>
                <w:rFonts w:ascii="Arial" w:hAnsi="Arial" w:cs="Arial"/>
                <w:lang w:eastAsia="en-GB"/>
              </w:rPr>
            </w:pPr>
            <w:r w:rsidRPr="003C4106">
              <w:rPr>
                <w:rFonts w:ascii="Arial" w:hAnsi="Arial" w:cs="Arial"/>
                <w:lang w:eastAsia="en-GB"/>
              </w:rPr>
              <w:t>-4,5%</w:t>
            </w:r>
          </w:p>
        </w:tc>
      </w:tr>
    </w:tbl>
    <w:p w:rsidR="00920AE2" w:rsidRPr="003C4106" w:rsidRDefault="00920AE2" w:rsidP="003C4106">
      <w:pPr>
        <w:rPr>
          <w:rFonts w:eastAsia="Times New Roman"/>
          <w:color w:val="auto"/>
          <w:sz w:val="20"/>
          <w:szCs w:val="20"/>
          <w:lang w:eastAsia="en-GB"/>
        </w:rPr>
      </w:pPr>
      <w:r w:rsidRPr="003C4106">
        <w:rPr>
          <w:rFonts w:eastAsia="Times New Roman"/>
          <w:i/>
          <w:iCs/>
          <w:color w:val="auto"/>
          <w:sz w:val="20"/>
          <w:szCs w:val="20"/>
          <w:lang w:eastAsia="en-GB"/>
        </w:rPr>
        <w:t>Source: National Treasury (2023)</w:t>
      </w:r>
    </w:p>
    <w:p w:rsidR="00920AE2" w:rsidRPr="003C4106" w:rsidRDefault="00920AE2"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Programme 6 remains stagnant increasing by only 0.2% in nominal terms and decreasing by</w:t>
      </w:r>
      <w:r w:rsidR="00671B8D" w:rsidRPr="003C4106">
        <w:rPr>
          <w:color w:val="000000"/>
          <w:sz w:val="20"/>
          <w:szCs w:val="20"/>
        </w:rPr>
        <w:t xml:space="preserve"> 4.5% in real terms in 2023/24. </w:t>
      </w:r>
      <w:r w:rsidRPr="003C4106">
        <w:rPr>
          <w:color w:val="000000"/>
          <w:sz w:val="20"/>
          <w:szCs w:val="20"/>
        </w:rPr>
        <w:t xml:space="preserve">The </w:t>
      </w:r>
      <w:r w:rsidRPr="003C4106">
        <w:rPr>
          <w:i/>
          <w:color w:val="000000"/>
          <w:sz w:val="20"/>
          <w:szCs w:val="20"/>
        </w:rPr>
        <w:t>Human Resources for Health</w:t>
      </w:r>
      <w:r w:rsidRPr="003C4106">
        <w:rPr>
          <w:color w:val="000000"/>
          <w:sz w:val="20"/>
          <w:szCs w:val="20"/>
        </w:rPr>
        <w:t xml:space="preserve"> sub-programme receives R5.5 billion, which is an increase of 0.6% in nominal terms from the previous financial year’s total, a real decrease of 4.1%. The </w:t>
      </w:r>
      <w:r w:rsidRPr="003C4106">
        <w:rPr>
          <w:i/>
          <w:color w:val="000000"/>
          <w:sz w:val="20"/>
          <w:szCs w:val="20"/>
        </w:rPr>
        <w:t xml:space="preserve">Public Entities Management </w:t>
      </w:r>
      <w:r w:rsidR="001736D7" w:rsidRPr="003C4106">
        <w:rPr>
          <w:color w:val="000000"/>
          <w:sz w:val="20"/>
          <w:szCs w:val="20"/>
        </w:rPr>
        <w:t>sub-programme</w:t>
      </w:r>
      <w:r w:rsidRPr="003C4106">
        <w:rPr>
          <w:color w:val="000000"/>
          <w:sz w:val="20"/>
          <w:szCs w:val="20"/>
        </w:rPr>
        <w:t xml:space="preserve"> receives R1.94 billion, </w:t>
      </w:r>
      <w:r w:rsidR="001736D7" w:rsidRPr="003C4106">
        <w:rPr>
          <w:color w:val="000000"/>
          <w:sz w:val="20"/>
          <w:szCs w:val="20"/>
        </w:rPr>
        <w:t xml:space="preserve">a </w:t>
      </w:r>
      <w:r w:rsidRPr="003C4106">
        <w:rPr>
          <w:color w:val="000000"/>
          <w:sz w:val="20"/>
          <w:szCs w:val="20"/>
        </w:rPr>
        <w:t>decreas</w:t>
      </w:r>
      <w:r w:rsidR="001736D7" w:rsidRPr="003C4106">
        <w:rPr>
          <w:color w:val="000000"/>
          <w:sz w:val="20"/>
          <w:szCs w:val="20"/>
        </w:rPr>
        <w:t>e</w:t>
      </w:r>
      <w:r w:rsidRPr="003C4106">
        <w:rPr>
          <w:color w:val="000000"/>
          <w:sz w:val="20"/>
          <w:szCs w:val="20"/>
        </w:rPr>
        <w:t xml:space="preserve"> by 0.9% in nominal terms (</w:t>
      </w:r>
      <w:r w:rsidR="001736D7" w:rsidRPr="003C4106">
        <w:rPr>
          <w:color w:val="000000"/>
          <w:sz w:val="20"/>
          <w:szCs w:val="20"/>
        </w:rPr>
        <w:t>that is</w:t>
      </w:r>
      <w:r w:rsidRPr="003C4106">
        <w:rPr>
          <w:color w:val="000000"/>
          <w:sz w:val="20"/>
          <w:szCs w:val="20"/>
        </w:rPr>
        <w:t xml:space="preserve"> </w:t>
      </w:r>
      <w:r w:rsidR="001736D7" w:rsidRPr="003C4106">
        <w:rPr>
          <w:color w:val="000000"/>
          <w:sz w:val="20"/>
          <w:szCs w:val="20"/>
        </w:rPr>
        <w:t xml:space="preserve">a </w:t>
      </w:r>
      <w:r w:rsidRPr="003C4106">
        <w:rPr>
          <w:color w:val="000000"/>
          <w:sz w:val="20"/>
          <w:szCs w:val="20"/>
        </w:rPr>
        <w:t xml:space="preserve">5.5% decrease in real terms) from the previous year’s allocation of R1.95 billion. </w:t>
      </w:r>
    </w:p>
    <w:p w:rsidR="006169B9" w:rsidRPr="003C4106" w:rsidRDefault="006169B9" w:rsidP="003C4106">
      <w:pPr>
        <w:contextualSpacing/>
        <w:rPr>
          <w:color w:val="000000"/>
          <w:sz w:val="20"/>
          <w:szCs w:val="20"/>
        </w:rPr>
      </w:pPr>
    </w:p>
    <w:p w:rsidR="006169B9" w:rsidRPr="003C4106" w:rsidRDefault="006169B9" w:rsidP="003C4106">
      <w:pPr>
        <w:contextualSpacing/>
        <w:rPr>
          <w:color w:val="000000"/>
          <w:sz w:val="20"/>
          <w:szCs w:val="20"/>
        </w:rPr>
      </w:pPr>
      <w:r w:rsidRPr="003C4106">
        <w:rPr>
          <w:color w:val="000000"/>
          <w:sz w:val="20"/>
          <w:szCs w:val="20"/>
        </w:rPr>
        <w:t xml:space="preserve">The </w:t>
      </w:r>
      <w:r w:rsidRPr="003C4106">
        <w:rPr>
          <w:i/>
          <w:color w:val="000000"/>
          <w:sz w:val="20"/>
          <w:szCs w:val="20"/>
        </w:rPr>
        <w:t>Nursing Services</w:t>
      </w:r>
      <w:r w:rsidRPr="003C4106">
        <w:rPr>
          <w:color w:val="000000"/>
          <w:sz w:val="20"/>
          <w:szCs w:val="20"/>
        </w:rPr>
        <w:t xml:space="preserve"> sub-programme decreases by 1.9% in nominal terms from R10.3 million to R10.1 million in 2023/24, a decline of 6.5% in real terms. </w:t>
      </w:r>
    </w:p>
    <w:p w:rsidR="004F2CE4" w:rsidRPr="003C4106" w:rsidRDefault="004F2CE4" w:rsidP="003C4106">
      <w:pPr>
        <w:pStyle w:val="ListParagraph"/>
        <w:spacing w:line="240" w:lineRule="auto"/>
        <w:rPr>
          <w:rFonts w:cs="Arial"/>
          <w:sz w:val="20"/>
          <w:szCs w:val="20"/>
        </w:rPr>
      </w:pPr>
      <w:bookmarkStart w:id="19" w:name="_vx1227" w:colFirst="0" w:colLast="0"/>
      <w:bookmarkEnd w:id="7"/>
      <w:bookmarkEnd w:id="19"/>
    </w:p>
    <w:p w:rsidR="004F2CE4" w:rsidRPr="003C4106" w:rsidRDefault="004F2CE4" w:rsidP="003C4106">
      <w:pPr>
        <w:pStyle w:val="ListParagraph"/>
        <w:numPr>
          <w:ilvl w:val="0"/>
          <w:numId w:val="7"/>
        </w:numPr>
        <w:spacing w:line="240" w:lineRule="auto"/>
        <w:contextualSpacing/>
        <w:rPr>
          <w:rFonts w:cs="Arial"/>
          <w:b/>
          <w:color w:val="auto"/>
          <w:sz w:val="20"/>
          <w:szCs w:val="20"/>
        </w:rPr>
      </w:pPr>
      <w:r w:rsidRPr="003C4106">
        <w:rPr>
          <w:rFonts w:cs="Arial"/>
          <w:b/>
          <w:color w:val="auto"/>
          <w:sz w:val="20"/>
          <w:szCs w:val="20"/>
        </w:rPr>
        <w:t>MEASURING SERVICE DELIVERY AND FINANCIAL PERFORMANCE</w:t>
      </w:r>
    </w:p>
    <w:p w:rsidR="00844A20" w:rsidRPr="003C4106" w:rsidRDefault="00194409" w:rsidP="003C4106">
      <w:pPr>
        <w:pBdr>
          <w:top w:val="nil"/>
          <w:left w:val="nil"/>
          <w:bottom w:val="nil"/>
          <w:right w:val="nil"/>
          <w:between w:val="nil"/>
        </w:pBdr>
        <w:contextualSpacing/>
        <w:rPr>
          <w:color w:val="000000"/>
          <w:sz w:val="20"/>
          <w:szCs w:val="20"/>
        </w:rPr>
      </w:pPr>
      <w:r w:rsidRPr="003C4106">
        <w:rPr>
          <w:b/>
          <w:color w:val="FF0000"/>
          <w:sz w:val="20"/>
          <w:szCs w:val="20"/>
        </w:rPr>
        <w:br/>
      </w:r>
      <w:r w:rsidR="0037177D" w:rsidRPr="003C4106">
        <w:rPr>
          <w:color w:val="auto"/>
          <w:sz w:val="20"/>
          <w:szCs w:val="20"/>
        </w:rPr>
        <w:t>Overall, t</w:t>
      </w:r>
      <w:r w:rsidRPr="003C4106">
        <w:rPr>
          <w:color w:val="auto"/>
          <w:sz w:val="20"/>
          <w:szCs w:val="20"/>
        </w:rPr>
        <w:t>he Department’s APP r</w:t>
      </w:r>
      <w:r w:rsidR="00844A20" w:rsidRPr="003C4106">
        <w:rPr>
          <w:color w:val="000000"/>
          <w:sz w:val="20"/>
          <w:szCs w:val="20"/>
        </w:rPr>
        <w:t xml:space="preserve">esponds to key diagnostics provided by </w:t>
      </w:r>
      <w:r w:rsidRPr="003C4106">
        <w:rPr>
          <w:color w:val="000000"/>
          <w:sz w:val="20"/>
          <w:szCs w:val="20"/>
        </w:rPr>
        <w:t xml:space="preserve">the </w:t>
      </w:r>
      <w:r w:rsidR="00844A20" w:rsidRPr="003C4106">
        <w:rPr>
          <w:color w:val="000000"/>
          <w:sz w:val="20"/>
          <w:szCs w:val="20"/>
        </w:rPr>
        <w:t xml:space="preserve">Presidential </w:t>
      </w:r>
      <w:r w:rsidRPr="003C4106">
        <w:rPr>
          <w:color w:val="000000"/>
          <w:sz w:val="20"/>
          <w:szCs w:val="20"/>
        </w:rPr>
        <w:t>Health Summit Compact</w:t>
      </w:r>
      <w:r w:rsidR="00844A20" w:rsidRPr="003C4106">
        <w:rPr>
          <w:color w:val="000000"/>
          <w:sz w:val="20"/>
          <w:szCs w:val="20"/>
        </w:rPr>
        <w:t xml:space="preserve">; recommendations from the Lancet </w:t>
      </w:r>
      <w:r w:rsidRPr="003C4106">
        <w:rPr>
          <w:color w:val="000000"/>
          <w:sz w:val="20"/>
          <w:szCs w:val="20"/>
        </w:rPr>
        <w:t>Quality Commission</w:t>
      </w:r>
      <w:r w:rsidR="00844A20" w:rsidRPr="003C4106">
        <w:rPr>
          <w:color w:val="000000"/>
          <w:sz w:val="20"/>
          <w:szCs w:val="20"/>
        </w:rPr>
        <w:t>; recommendations by the Health Market Inquiry; and the South African Demographic and Health survey</w:t>
      </w:r>
      <w:r w:rsidR="0037177D" w:rsidRPr="003C4106">
        <w:rPr>
          <w:color w:val="000000"/>
          <w:sz w:val="20"/>
          <w:szCs w:val="20"/>
        </w:rPr>
        <w:t>.</w:t>
      </w:r>
    </w:p>
    <w:p w:rsidR="0037177D" w:rsidRPr="003C4106" w:rsidRDefault="0037177D" w:rsidP="003C4106">
      <w:pPr>
        <w:pBdr>
          <w:top w:val="nil"/>
          <w:left w:val="nil"/>
          <w:bottom w:val="nil"/>
          <w:right w:val="nil"/>
          <w:between w:val="nil"/>
        </w:pBdr>
        <w:contextualSpacing/>
        <w:rPr>
          <w:color w:val="000000"/>
          <w:sz w:val="20"/>
          <w:szCs w:val="20"/>
        </w:rPr>
      </w:pPr>
    </w:p>
    <w:p w:rsidR="00DF2F8C" w:rsidRPr="003C4106" w:rsidRDefault="0037177D" w:rsidP="003C4106">
      <w:pPr>
        <w:contextualSpacing/>
        <w:rPr>
          <w:color w:val="auto"/>
          <w:sz w:val="20"/>
          <w:szCs w:val="20"/>
        </w:rPr>
      </w:pPr>
      <w:r w:rsidRPr="003C4106">
        <w:rPr>
          <w:color w:val="auto"/>
          <w:sz w:val="20"/>
          <w:szCs w:val="20"/>
        </w:rPr>
        <w:lastRenderedPageBreak/>
        <w:t xml:space="preserve">However, following resource constraints that were exacerbated by the </w:t>
      </w:r>
      <w:r w:rsidR="00DF2F8C" w:rsidRPr="003C4106">
        <w:rPr>
          <w:color w:val="auto"/>
          <w:sz w:val="20"/>
          <w:szCs w:val="20"/>
        </w:rPr>
        <w:t>COVID-19</w:t>
      </w:r>
      <w:r w:rsidRPr="003C4106">
        <w:rPr>
          <w:color w:val="auto"/>
          <w:sz w:val="20"/>
          <w:szCs w:val="20"/>
        </w:rPr>
        <w:t xml:space="preserve"> pandemic, it is </w:t>
      </w:r>
      <w:r w:rsidR="00DF2F8C" w:rsidRPr="003C4106">
        <w:rPr>
          <w:color w:val="auto"/>
          <w:sz w:val="20"/>
          <w:szCs w:val="20"/>
        </w:rPr>
        <w:t>concerning that the Health Budget declines by 6.9 percent in the 2023/24 financial year</w:t>
      </w:r>
      <w:r w:rsidR="00D20675" w:rsidRPr="003C4106">
        <w:rPr>
          <w:color w:val="auto"/>
          <w:sz w:val="20"/>
          <w:szCs w:val="20"/>
        </w:rPr>
        <w:t>. The health budget is</w:t>
      </w:r>
      <w:r w:rsidR="00DF2F8C" w:rsidRPr="003C4106">
        <w:rPr>
          <w:color w:val="auto"/>
          <w:sz w:val="20"/>
          <w:szCs w:val="20"/>
        </w:rPr>
        <w:t xml:space="preserve"> expected to grow by only 0.4 percent over the MTEF, compared to average growth rate of 8.3% between 2019/20 – 2022/23. This is due to baseline reductions in the 2021 Budget, which included the HIV and AIDS and Tertiary Services </w:t>
      </w:r>
      <w:r w:rsidR="004341B0" w:rsidRPr="003C4106">
        <w:rPr>
          <w:color w:val="auto"/>
          <w:sz w:val="20"/>
          <w:szCs w:val="20"/>
        </w:rPr>
        <w:t>conditional g</w:t>
      </w:r>
      <w:r w:rsidR="00DF2F8C" w:rsidRPr="003C4106">
        <w:rPr>
          <w:color w:val="auto"/>
          <w:sz w:val="20"/>
          <w:szCs w:val="20"/>
        </w:rPr>
        <w:t xml:space="preserve">rants. </w:t>
      </w:r>
      <w:r w:rsidR="00D20675" w:rsidRPr="003C4106">
        <w:rPr>
          <w:color w:val="auto"/>
          <w:sz w:val="20"/>
          <w:szCs w:val="20"/>
        </w:rPr>
        <w:t>Notwithstanding, t</w:t>
      </w:r>
      <w:r w:rsidR="00DF2F8C" w:rsidRPr="003C4106">
        <w:rPr>
          <w:color w:val="auto"/>
          <w:sz w:val="20"/>
          <w:szCs w:val="20"/>
        </w:rPr>
        <w:t xml:space="preserve">he COVID-19 vaccine programme which was a prominent part of the </w:t>
      </w:r>
      <w:r w:rsidR="00D20675" w:rsidRPr="003C4106">
        <w:rPr>
          <w:color w:val="auto"/>
          <w:sz w:val="20"/>
          <w:szCs w:val="20"/>
        </w:rPr>
        <w:t xml:space="preserve">health budget </w:t>
      </w:r>
      <w:r w:rsidR="00DF2F8C" w:rsidRPr="003C4106">
        <w:rPr>
          <w:color w:val="auto"/>
          <w:sz w:val="20"/>
          <w:szCs w:val="20"/>
        </w:rPr>
        <w:t xml:space="preserve">previously is now integrated into the Department’s routine services. </w:t>
      </w:r>
      <w:bookmarkStart w:id="20" w:name="_41mghml" w:colFirst="0" w:colLast="0"/>
      <w:bookmarkStart w:id="21" w:name="_2grqrue" w:colFirst="0" w:colLast="0"/>
      <w:bookmarkEnd w:id="20"/>
      <w:bookmarkEnd w:id="21"/>
    </w:p>
    <w:p w:rsidR="00B01BFC" w:rsidRPr="003C4106" w:rsidRDefault="00B01BFC" w:rsidP="003C4106">
      <w:pPr>
        <w:contextualSpacing/>
        <w:rPr>
          <w:b/>
          <w:color w:val="FF0000"/>
          <w:sz w:val="20"/>
          <w:szCs w:val="20"/>
        </w:rPr>
      </w:pPr>
    </w:p>
    <w:p w:rsidR="004F2CE4" w:rsidRPr="003C4106" w:rsidRDefault="004F2CE4" w:rsidP="003C4106">
      <w:pPr>
        <w:pStyle w:val="ListParagraph"/>
        <w:numPr>
          <w:ilvl w:val="1"/>
          <w:numId w:val="9"/>
        </w:numPr>
        <w:spacing w:line="240" w:lineRule="auto"/>
        <w:contextualSpacing/>
        <w:rPr>
          <w:rFonts w:cs="Arial"/>
          <w:b/>
          <w:color w:val="auto"/>
          <w:sz w:val="20"/>
          <w:szCs w:val="20"/>
        </w:rPr>
      </w:pPr>
      <w:r w:rsidRPr="003C4106">
        <w:rPr>
          <w:rFonts w:cs="Arial"/>
          <w:b/>
          <w:color w:val="auto"/>
          <w:sz w:val="20"/>
          <w:szCs w:val="20"/>
        </w:rPr>
        <w:t>Overall Performance Targets</w:t>
      </w:r>
    </w:p>
    <w:p w:rsidR="00E878C5" w:rsidRPr="003C4106" w:rsidRDefault="00E878C5" w:rsidP="003C4106">
      <w:pPr>
        <w:contextualSpacing/>
        <w:rPr>
          <w:color w:val="000000"/>
          <w:sz w:val="20"/>
          <w:szCs w:val="20"/>
        </w:rPr>
      </w:pPr>
    </w:p>
    <w:p w:rsidR="00015AF2" w:rsidRPr="003C4106" w:rsidRDefault="00015AF2" w:rsidP="003C4106">
      <w:pPr>
        <w:contextualSpacing/>
        <w:rPr>
          <w:color w:val="auto"/>
          <w:sz w:val="20"/>
          <w:szCs w:val="20"/>
        </w:rPr>
      </w:pPr>
      <w:r w:rsidRPr="003C4106">
        <w:rPr>
          <w:color w:val="auto"/>
          <w:sz w:val="20"/>
          <w:szCs w:val="20"/>
        </w:rPr>
        <w:t>Over the 2023 MTEF, the Department’s focus will be on:</w:t>
      </w:r>
    </w:p>
    <w:p w:rsidR="00015AF2" w:rsidRPr="003C4106" w:rsidRDefault="00015AF2" w:rsidP="003C4106">
      <w:pPr>
        <w:pStyle w:val="ListParagraph"/>
        <w:numPr>
          <w:ilvl w:val="0"/>
          <w:numId w:val="14"/>
        </w:numPr>
        <w:tabs>
          <w:tab w:val="left" w:pos="360"/>
        </w:tabs>
        <w:spacing w:line="240" w:lineRule="auto"/>
        <w:ind w:left="360"/>
        <w:contextualSpacing/>
        <w:rPr>
          <w:rFonts w:cs="Arial"/>
          <w:color w:val="auto"/>
          <w:sz w:val="20"/>
          <w:szCs w:val="20"/>
        </w:rPr>
      </w:pPr>
      <w:r w:rsidRPr="003C4106">
        <w:rPr>
          <w:rFonts w:cs="Arial"/>
          <w:color w:val="auto"/>
          <w:sz w:val="20"/>
          <w:szCs w:val="20"/>
        </w:rPr>
        <w:t>Preventing and treating communicable and non</w:t>
      </w:r>
      <w:r w:rsidRPr="003C4106">
        <w:rPr>
          <w:rFonts w:ascii="Times New Roman" w:hAnsi="Times New Roman" w:cs="Arial"/>
          <w:color w:val="auto"/>
          <w:sz w:val="20"/>
          <w:szCs w:val="20"/>
        </w:rPr>
        <w:t>‐</w:t>
      </w:r>
      <w:r w:rsidRPr="003C4106">
        <w:rPr>
          <w:rFonts w:cs="Arial"/>
          <w:color w:val="auto"/>
          <w:sz w:val="20"/>
          <w:szCs w:val="20"/>
        </w:rPr>
        <w:t xml:space="preserve">communicable diseases; </w:t>
      </w:r>
    </w:p>
    <w:p w:rsidR="00015AF2" w:rsidRPr="003C4106" w:rsidRDefault="00015AF2" w:rsidP="003C4106">
      <w:pPr>
        <w:pStyle w:val="ListParagraph"/>
        <w:numPr>
          <w:ilvl w:val="0"/>
          <w:numId w:val="14"/>
        </w:numPr>
        <w:tabs>
          <w:tab w:val="left" w:pos="360"/>
        </w:tabs>
        <w:spacing w:line="240" w:lineRule="auto"/>
        <w:ind w:left="360"/>
        <w:contextualSpacing/>
        <w:rPr>
          <w:rFonts w:cs="Arial"/>
          <w:color w:val="auto"/>
          <w:sz w:val="20"/>
          <w:szCs w:val="20"/>
        </w:rPr>
      </w:pPr>
      <w:r w:rsidRPr="003C4106">
        <w:rPr>
          <w:rFonts w:cs="Arial"/>
          <w:color w:val="auto"/>
          <w:sz w:val="20"/>
          <w:szCs w:val="20"/>
        </w:rPr>
        <w:t>Overseeing PHC services and the shift of port health from the PHC programme to the newly established Department of Home Affairs entity, the Border Management Authority (BMA);</w:t>
      </w:r>
    </w:p>
    <w:p w:rsidR="00015AF2" w:rsidRPr="003C4106" w:rsidRDefault="00015AF2" w:rsidP="003C4106">
      <w:pPr>
        <w:pStyle w:val="ListParagraph"/>
        <w:numPr>
          <w:ilvl w:val="0"/>
          <w:numId w:val="14"/>
        </w:numPr>
        <w:tabs>
          <w:tab w:val="left" w:pos="360"/>
        </w:tabs>
        <w:spacing w:line="240" w:lineRule="auto"/>
        <w:ind w:left="360"/>
        <w:contextualSpacing/>
        <w:rPr>
          <w:rFonts w:cs="Arial"/>
          <w:color w:val="auto"/>
          <w:sz w:val="20"/>
          <w:szCs w:val="20"/>
        </w:rPr>
      </w:pPr>
      <w:r w:rsidRPr="003C4106">
        <w:rPr>
          <w:rFonts w:cs="Arial"/>
          <w:color w:val="auto"/>
          <w:sz w:val="20"/>
          <w:szCs w:val="20"/>
        </w:rPr>
        <w:t xml:space="preserve">Strengthening the health system and preparing for </w:t>
      </w:r>
      <w:r w:rsidR="004341B0" w:rsidRPr="003C4106">
        <w:rPr>
          <w:rFonts w:cs="Arial"/>
          <w:color w:val="auto"/>
          <w:sz w:val="20"/>
          <w:szCs w:val="20"/>
        </w:rPr>
        <w:t>NHI</w:t>
      </w:r>
      <w:r w:rsidRPr="003C4106">
        <w:rPr>
          <w:rFonts w:cs="Arial"/>
          <w:color w:val="auto"/>
          <w:sz w:val="20"/>
          <w:szCs w:val="20"/>
        </w:rPr>
        <w:t>;</w:t>
      </w:r>
    </w:p>
    <w:p w:rsidR="00015AF2" w:rsidRPr="003C4106" w:rsidRDefault="00015AF2" w:rsidP="003C4106">
      <w:pPr>
        <w:pStyle w:val="ListParagraph"/>
        <w:numPr>
          <w:ilvl w:val="0"/>
          <w:numId w:val="14"/>
        </w:numPr>
        <w:tabs>
          <w:tab w:val="left" w:pos="360"/>
        </w:tabs>
        <w:spacing w:line="240" w:lineRule="auto"/>
        <w:ind w:left="360"/>
        <w:contextualSpacing/>
        <w:rPr>
          <w:rFonts w:cs="Arial"/>
          <w:color w:val="auto"/>
          <w:sz w:val="20"/>
          <w:szCs w:val="20"/>
        </w:rPr>
      </w:pPr>
      <w:r w:rsidRPr="003C4106">
        <w:rPr>
          <w:rFonts w:cs="Arial"/>
          <w:color w:val="auto"/>
          <w:sz w:val="20"/>
          <w:szCs w:val="20"/>
        </w:rPr>
        <w:t>Supporting tertiary health care services;</w:t>
      </w:r>
    </w:p>
    <w:p w:rsidR="00015AF2" w:rsidRPr="003C4106" w:rsidRDefault="00015AF2" w:rsidP="003C4106">
      <w:pPr>
        <w:pStyle w:val="ListParagraph"/>
        <w:numPr>
          <w:ilvl w:val="0"/>
          <w:numId w:val="14"/>
        </w:numPr>
        <w:tabs>
          <w:tab w:val="left" w:pos="360"/>
        </w:tabs>
        <w:spacing w:line="240" w:lineRule="auto"/>
        <w:ind w:left="360"/>
        <w:contextualSpacing/>
        <w:rPr>
          <w:rFonts w:cs="Arial"/>
          <w:color w:val="auto"/>
          <w:sz w:val="20"/>
          <w:szCs w:val="20"/>
        </w:rPr>
      </w:pPr>
      <w:r w:rsidRPr="003C4106">
        <w:rPr>
          <w:rFonts w:cs="Arial"/>
          <w:color w:val="auto"/>
          <w:sz w:val="20"/>
          <w:szCs w:val="20"/>
        </w:rPr>
        <w:t>Investing in health infrastructure;</w:t>
      </w:r>
    </w:p>
    <w:p w:rsidR="00015AF2" w:rsidRPr="003C4106" w:rsidRDefault="00015AF2" w:rsidP="003C4106">
      <w:pPr>
        <w:pStyle w:val="ListParagraph"/>
        <w:numPr>
          <w:ilvl w:val="0"/>
          <w:numId w:val="14"/>
        </w:numPr>
        <w:tabs>
          <w:tab w:val="left" w:pos="360"/>
        </w:tabs>
        <w:spacing w:line="240" w:lineRule="auto"/>
        <w:ind w:left="360"/>
        <w:contextualSpacing/>
        <w:rPr>
          <w:rFonts w:cs="Arial"/>
          <w:color w:val="auto"/>
          <w:sz w:val="20"/>
          <w:szCs w:val="20"/>
        </w:rPr>
      </w:pPr>
      <w:r w:rsidRPr="003C4106">
        <w:rPr>
          <w:rFonts w:cs="Arial"/>
          <w:color w:val="auto"/>
          <w:sz w:val="20"/>
          <w:szCs w:val="20"/>
        </w:rPr>
        <w:t xml:space="preserve">Supporting tertiary health care services in provinces; and </w:t>
      </w:r>
    </w:p>
    <w:p w:rsidR="002A6E07" w:rsidRPr="003C4106" w:rsidRDefault="00015AF2" w:rsidP="003C4106">
      <w:pPr>
        <w:pStyle w:val="ListParagraph"/>
        <w:numPr>
          <w:ilvl w:val="0"/>
          <w:numId w:val="14"/>
        </w:numPr>
        <w:tabs>
          <w:tab w:val="left" w:pos="360"/>
        </w:tabs>
        <w:spacing w:line="240" w:lineRule="auto"/>
        <w:ind w:left="360"/>
        <w:contextualSpacing/>
        <w:rPr>
          <w:rFonts w:cs="Arial"/>
          <w:color w:val="auto"/>
          <w:sz w:val="20"/>
          <w:szCs w:val="20"/>
        </w:rPr>
      </w:pPr>
      <w:r w:rsidRPr="003C4106">
        <w:rPr>
          <w:rFonts w:cs="Arial"/>
          <w:color w:val="auto"/>
          <w:sz w:val="20"/>
          <w:szCs w:val="20"/>
        </w:rPr>
        <w:t xml:space="preserve">Developing the health workforce. </w:t>
      </w:r>
    </w:p>
    <w:p w:rsidR="00415F11" w:rsidRPr="003C4106" w:rsidRDefault="00415F11" w:rsidP="003C4106">
      <w:pPr>
        <w:contextualSpacing/>
        <w:rPr>
          <w:color w:val="FF0000"/>
          <w:sz w:val="20"/>
          <w:szCs w:val="20"/>
        </w:rPr>
      </w:pPr>
    </w:p>
    <w:p w:rsidR="004F2CE4" w:rsidRPr="003C4106" w:rsidRDefault="004F2CE4" w:rsidP="003C4106">
      <w:pPr>
        <w:pStyle w:val="ListParagraph"/>
        <w:numPr>
          <w:ilvl w:val="1"/>
          <w:numId w:val="9"/>
        </w:numPr>
        <w:spacing w:line="240" w:lineRule="auto"/>
        <w:contextualSpacing/>
        <w:rPr>
          <w:rFonts w:cs="Arial"/>
          <w:b/>
          <w:color w:val="auto"/>
          <w:sz w:val="20"/>
          <w:szCs w:val="20"/>
        </w:rPr>
      </w:pPr>
      <w:r w:rsidRPr="003C4106">
        <w:rPr>
          <w:rFonts w:cs="Arial"/>
          <w:b/>
          <w:color w:val="auto"/>
          <w:sz w:val="20"/>
          <w:szCs w:val="20"/>
        </w:rPr>
        <w:t>Legislation</w:t>
      </w:r>
    </w:p>
    <w:p w:rsidR="004F2CE4" w:rsidRPr="003C4106" w:rsidRDefault="004F2CE4" w:rsidP="003C4106">
      <w:pPr>
        <w:tabs>
          <w:tab w:val="left" w:pos="450"/>
        </w:tabs>
        <w:contextualSpacing/>
        <w:rPr>
          <w:color w:val="000000"/>
          <w:sz w:val="20"/>
          <w:szCs w:val="20"/>
        </w:rPr>
      </w:pPr>
    </w:p>
    <w:p w:rsidR="00837635" w:rsidRPr="003C4106" w:rsidRDefault="00BB0921" w:rsidP="003C4106">
      <w:pPr>
        <w:tabs>
          <w:tab w:val="left" w:pos="450"/>
        </w:tabs>
        <w:contextualSpacing/>
        <w:rPr>
          <w:color w:val="000000"/>
          <w:sz w:val="20"/>
          <w:szCs w:val="20"/>
        </w:rPr>
      </w:pPr>
      <w:r w:rsidRPr="003C4106">
        <w:rPr>
          <w:color w:val="000000"/>
          <w:sz w:val="20"/>
          <w:szCs w:val="20"/>
        </w:rPr>
        <w:t>In respect of legislation, the Department reported the following to the Committee:</w:t>
      </w:r>
      <w:bookmarkStart w:id="22" w:name="_3fwokq0" w:colFirst="0" w:colLast="0"/>
      <w:bookmarkStart w:id="23" w:name="_4f1mdlm" w:colFirst="0" w:colLast="0"/>
      <w:bookmarkStart w:id="24" w:name="_2u6wntf" w:colFirst="0" w:colLast="0"/>
      <w:bookmarkEnd w:id="22"/>
      <w:bookmarkEnd w:id="23"/>
      <w:bookmarkEnd w:id="24"/>
    </w:p>
    <w:p w:rsidR="00844A20" w:rsidRPr="003C4106" w:rsidRDefault="008370E4" w:rsidP="003C4106">
      <w:pPr>
        <w:numPr>
          <w:ilvl w:val="0"/>
          <w:numId w:val="3"/>
        </w:numPr>
        <w:pBdr>
          <w:top w:val="nil"/>
          <w:left w:val="nil"/>
          <w:bottom w:val="nil"/>
          <w:right w:val="nil"/>
          <w:between w:val="nil"/>
        </w:pBdr>
        <w:ind w:left="450" w:hanging="450"/>
        <w:contextualSpacing/>
        <w:rPr>
          <w:color w:val="000000"/>
          <w:sz w:val="20"/>
          <w:szCs w:val="20"/>
        </w:rPr>
      </w:pPr>
      <w:bookmarkStart w:id="25" w:name="_3tbugp1" w:colFirst="0" w:colLast="0"/>
      <w:bookmarkStart w:id="26" w:name="_28h4qwu" w:colFirst="0" w:colLast="0"/>
      <w:bookmarkEnd w:id="25"/>
      <w:bookmarkEnd w:id="26"/>
      <w:r w:rsidRPr="003C4106">
        <w:rPr>
          <w:color w:val="000000"/>
          <w:sz w:val="20"/>
          <w:szCs w:val="20"/>
        </w:rPr>
        <w:t xml:space="preserve">There </w:t>
      </w:r>
      <w:r w:rsidR="0089497D" w:rsidRPr="003C4106">
        <w:rPr>
          <w:color w:val="000000"/>
          <w:sz w:val="20"/>
          <w:szCs w:val="20"/>
        </w:rPr>
        <w:t>is notable</w:t>
      </w:r>
      <w:r w:rsidR="00844A20" w:rsidRPr="003C4106">
        <w:rPr>
          <w:color w:val="000000"/>
          <w:sz w:val="20"/>
          <w:szCs w:val="20"/>
        </w:rPr>
        <w:t xml:space="preserve"> progress </w:t>
      </w:r>
      <w:r w:rsidRPr="003C4106">
        <w:rPr>
          <w:color w:val="000000"/>
          <w:sz w:val="20"/>
          <w:szCs w:val="20"/>
        </w:rPr>
        <w:t>in the</w:t>
      </w:r>
      <w:r w:rsidR="00844A20" w:rsidRPr="003C4106">
        <w:rPr>
          <w:color w:val="000000"/>
          <w:sz w:val="20"/>
          <w:szCs w:val="20"/>
        </w:rPr>
        <w:t xml:space="preserve"> process</w:t>
      </w:r>
      <w:r w:rsidRPr="003C4106">
        <w:rPr>
          <w:color w:val="000000"/>
          <w:sz w:val="20"/>
          <w:szCs w:val="20"/>
        </w:rPr>
        <w:t xml:space="preserve">ing of the NHI </w:t>
      </w:r>
      <w:r w:rsidR="0089497D" w:rsidRPr="003C4106">
        <w:rPr>
          <w:color w:val="000000"/>
          <w:sz w:val="20"/>
          <w:szCs w:val="20"/>
        </w:rPr>
        <w:t>Bill</w:t>
      </w:r>
      <w:r w:rsidRPr="003C4106">
        <w:rPr>
          <w:color w:val="000000"/>
          <w:sz w:val="20"/>
          <w:szCs w:val="20"/>
        </w:rPr>
        <w:t>.</w:t>
      </w:r>
      <w:r w:rsidR="00844A20" w:rsidRPr="003C4106">
        <w:rPr>
          <w:color w:val="000000"/>
          <w:sz w:val="20"/>
          <w:szCs w:val="20"/>
        </w:rPr>
        <w:t xml:space="preserve"> Oral submission</w:t>
      </w:r>
      <w:r w:rsidR="0089497D" w:rsidRPr="003C4106">
        <w:rPr>
          <w:color w:val="000000"/>
          <w:sz w:val="20"/>
          <w:szCs w:val="20"/>
        </w:rPr>
        <w:t>s</w:t>
      </w:r>
      <w:r w:rsidR="00844A20" w:rsidRPr="003C4106">
        <w:rPr>
          <w:color w:val="000000"/>
          <w:sz w:val="20"/>
          <w:szCs w:val="20"/>
        </w:rPr>
        <w:t xml:space="preserve"> on the NHI Bill took place and the clause-by-clause review by the Portfolio Committee </w:t>
      </w:r>
      <w:r w:rsidR="0089497D" w:rsidRPr="003C4106">
        <w:rPr>
          <w:color w:val="000000"/>
          <w:sz w:val="20"/>
          <w:szCs w:val="20"/>
        </w:rPr>
        <w:t xml:space="preserve">on Health </w:t>
      </w:r>
      <w:r w:rsidR="00844A20" w:rsidRPr="003C4106">
        <w:rPr>
          <w:color w:val="000000"/>
          <w:sz w:val="20"/>
          <w:szCs w:val="20"/>
        </w:rPr>
        <w:t>has been completed.</w:t>
      </w:r>
    </w:p>
    <w:p w:rsidR="00AC7FCE" w:rsidRPr="003C4106" w:rsidRDefault="00AC7FCE" w:rsidP="003C4106">
      <w:pPr>
        <w:numPr>
          <w:ilvl w:val="0"/>
          <w:numId w:val="3"/>
        </w:numPr>
        <w:pBdr>
          <w:top w:val="nil"/>
          <w:left w:val="nil"/>
          <w:bottom w:val="nil"/>
          <w:right w:val="nil"/>
          <w:between w:val="nil"/>
        </w:pBdr>
        <w:ind w:left="450" w:hanging="450"/>
        <w:contextualSpacing/>
        <w:rPr>
          <w:color w:val="000000"/>
          <w:sz w:val="20"/>
          <w:szCs w:val="20"/>
        </w:rPr>
      </w:pPr>
      <w:r w:rsidRPr="003C4106">
        <w:rPr>
          <w:color w:val="000000"/>
          <w:sz w:val="20"/>
          <w:szCs w:val="20"/>
        </w:rPr>
        <w:t>Legislation to manage medico-legal claims will be developed.</w:t>
      </w:r>
    </w:p>
    <w:p w:rsidR="009428BB" w:rsidRPr="003C4106" w:rsidRDefault="009428BB" w:rsidP="003C4106">
      <w:pPr>
        <w:contextualSpacing/>
        <w:rPr>
          <w:sz w:val="20"/>
          <w:szCs w:val="20"/>
        </w:rPr>
      </w:pPr>
    </w:p>
    <w:p w:rsidR="002E49E5" w:rsidRPr="003C4106" w:rsidRDefault="009428BB" w:rsidP="003C4106">
      <w:pPr>
        <w:pStyle w:val="ListParagraph"/>
        <w:numPr>
          <w:ilvl w:val="0"/>
          <w:numId w:val="7"/>
        </w:numPr>
        <w:spacing w:line="240" w:lineRule="auto"/>
        <w:contextualSpacing/>
        <w:rPr>
          <w:rFonts w:cs="Arial"/>
          <w:b/>
          <w:color w:val="auto"/>
          <w:sz w:val="20"/>
          <w:szCs w:val="20"/>
        </w:rPr>
      </w:pPr>
      <w:r w:rsidRPr="003C4106">
        <w:rPr>
          <w:rFonts w:cs="Arial"/>
          <w:b/>
          <w:color w:val="auto"/>
          <w:sz w:val="20"/>
          <w:szCs w:val="20"/>
        </w:rPr>
        <w:t xml:space="preserve">COMMITTEE DELIBERATIONS </w:t>
      </w:r>
    </w:p>
    <w:p w:rsidR="00837635" w:rsidRPr="003C4106" w:rsidRDefault="00837635" w:rsidP="003C4106">
      <w:pPr>
        <w:contextualSpacing/>
        <w:rPr>
          <w:b/>
          <w:color w:val="000000"/>
          <w:sz w:val="20"/>
          <w:szCs w:val="20"/>
        </w:rPr>
      </w:pPr>
      <w:bookmarkStart w:id="27" w:name="_206ipza" w:colFirst="0" w:colLast="0"/>
      <w:bookmarkEnd w:id="27"/>
    </w:p>
    <w:p w:rsidR="00B01BFC" w:rsidRPr="003C4106" w:rsidRDefault="00B01BFC" w:rsidP="003C4106">
      <w:pPr>
        <w:contextualSpacing/>
        <w:rPr>
          <w:color w:val="000000"/>
          <w:sz w:val="20"/>
          <w:szCs w:val="20"/>
        </w:rPr>
      </w:pPr>
      <w:r w:rsidRPr="003C4106">
        <w:rPr>
          <w:color w:val="000000"/>
          <w:sz w:val="20"/>
          <w:szCs w:val="20"/>
        </w:rPr>
        <w:t>Having considered the APP and the budget of the Department</w:t>
      </w:r>
      <w:r w:rsidR="00AA5DC7" w:rsidRPr="003C4106">
        <w:rPr>
          <w:color w:val="000000"/>
          <w:sz w:val="20"/>
          <w:szCs w:val="20"/>
        </w:rPr>
        <w:t>, this section summarises the Committee deliberations.</w:t>
      </w:r>
    </w:p>
    <w:p w:rsidR="001A730C" w:rsidRPr="003C4106" w:rsidRDefault="001A730C" w:rsidP="003C4106">
      <w:pPr>
        <w:pBdr>
          <w:top w:val="nil"/>
          <w:left w:val="nil"/>
          <w:bottom w:val="nil"/>
          <w:right w:val="nil"/>
          <w:between w:val="nil"/>
        </w:pBdr>
        <w:contextualSpacing/>
        <w:rPr>
          <w:b/>
          <w:sz w:val="20"/>
          <w:szCs w:val="20"/>
        </w:rPr>
      </w:pPr>
    </w:p>
    <w:p w:rsidR="001A730C" w:rsidRPr="003C4106" w:rsidRDefault="001A730C" w:rsidP="003C4106">
      <w:pPr>
        <w:numPr>
          <w:ilvl w:val="0"/>
          <w:numId w:val="4"/>
        </w:numPr>
        <w:pBdr>
          <w:top w:val="nil"/>
          <w:left w:val="nil"/>
          <w:bottom w:val="nil"/>
          <w:right w:val="nil"/>
          <w:between w:val="nil"/>
        </w:pBdr>
        <w:ind w:left="270" w:hanging="270"/>
        <w:contextualSpacing/>
        <w:rPr>
          <w:sz w:val="20"/>
          <w:szCs w:val="20"/>
        </w:rPr>
      </w:pPr>
      <w:r w:rsidRPr="003C4106">
        <w:rPr>
          <w:sz w:val="20"/>
          <w:szCs w:val="20"/>
        </w:rPr>
        <w:t xml:space="preserve">The Committee enquired whether there were mechanisms in place to assist </w:t>
      </w:r>
      <w:r w:rsidR="00ED1CAE" w:rsidRPr="003C4106">
        <w:rPr>
          <w:sz w:val="20"/>
          <w:szCs w:val="20"/>
        </w:rPr>
        <w:t xml:space="preserve">provincial health </w:t>
      </w:r>
      <w:r w:rsidRPr="003C4106">
        <w:rPr>
          <w:sz w:val="20"/>
          <w:szCs w:val="20"/>
        </w:rPr>
        <w:t>departments with better audit outcomes.</w:t>
      </w:r>
    </w:p>
    <w:p w:rsidR="001A730C" w:rsidRPr="003C4106" w:rsidRDefault="00AA5DC7" w:rsidP="003C4106">
      <w:pPr>
        <w:pBdr>
          <w:top w:val="nil"/>
          <w:left w:val="nil"/>
          <w:bottom w:val="nil"/>
          <w:right w:val="nil"/>
          <w:between w:val="nil"/>
        </w:pBdr>
        <w:contextualSpacing/>
        <w:rPr>
          <w:i/>
          <w:color w:val="FF0000"/>
          <w:sz w:val="20"/>
          <w:szCs w:val="20"/>
        </w:rPr>
      </w:pPr>
      <w:r w:rsidRPr="003C4106">
        <w:rPr>
          <w:i/>
          <w:sz w:val="20"/>
          <w:szCs w:val="20"/>
        </w:rPr>
        <w:t xml:space="preserve">The Department reported that </w:t>
      </w:r>
      <w:r w:rsidR="00ED1CAE" w:rsidRPr="003C4106">
        <w:rPr>
          <w:i/>
          <w:sz w:val="20"/>
          <w:szCs w:val="20"/>
        </w:rPr>
        <w:t xml:space="preserve">it provides support through </w:t>
      </w:r>
      <w:r w:rsidR="002119F8" w:rsidRPr="003C4106">
        <w:rPr>
          <w:i/>
          <w:sz w:val="20"/>
          <w:szCs w:val="20"/>
        </w:rPr>
        <w:t>the CFO</w:t>
      </w:r>
      <w:r w:rsidR="00A3536B" w:rsidRPr="003C4106">
        <w:rPr>
          <w:i/>
          <w:sz w:val="20"/>
          <w:szCs w:val="20"/>
        </w:rPr>
        <w:t xml:space="preserve"> Forum</w:t>
      </w:r>
      <w:r w:rsidR="00C805A7" w:rsidRPr="003C4106">
        <w:rPr>
          <w:i/>
          <w:sz w:val="20"/>
          <w:szCs w:val="20"/>
        </w:rPr>
        <w:t xml:space="preserve"> and</w:t>
      </w:r>
      <w:r w:rsidR="00ED1CAE" w:rsidRPr="003C4106">
        <w:rPr>
          <w:i/>
          <w:sz w:val="20"/>
          <w:szCs w:val="20"/>
        </w:rPr>
        <w:t xml:space="preserve"> it works closely </w:t>
      </w:r>
      <w:r w:rsidR="00ED1CAE" w:rsidRPr="003C4106">
        <w:rPr>
          <w:i/>
          <w:color w:val="auto"/>
          <w:sz w:val="20"/>
          <w:szCs w:val="20"/>
        </w:rPr>
        <w:t xml:space="preserve">with </w:t>
      </w:r>
      <w:r w:rsidR="00C805A7" w:rsidRPr="003C4106">
        <w:rPr>
          <w:i/>
          <w:color w:val="auto"/>
          <w:sz w:val="20"/>
          <w:szCs w:val="20"/>
        </w:rPr>
        <w:t>SAICA</w:t>
      </w:r>
      <w:r w:rsidR="00F32E41" w:rsidRPr="003C4106">
        <w:rPr>
          <w:i/>
          <w:color w:val="auto"/>
          <w:sz w:val="20"/>
          <w:szCs w:val="20"/>
        </w:rPr>
        <w:t xml:space="preserve"> to assist provincial departments with financial management and audit outcomes. </w:t>
      </w:r>
      <w:r w:rsidR="002119F8" w:rsidRPr="003C4106">
        <w:rPr>
          <w:i/>
          <w:color w:val="auto"/>
          <w:sz w:val="20"/>
          <w:szCs w:val="20"/>
        </w:rPr>
        <w:t>In addition, there are regular m</w:t>
      </w:r>
      <w:r w:rsidR="001A730C" w:rsidRPr="003C4106">
        <w:rPr>
          <w:i/>
          <w:color w:val="auto"/>
          <w:sz w:val="20"/>
          <w:szCs w:val="20"/>
        </w:rPr>
        <w:t>eetings with the A</w:t>
      </w:r>
      <w:r w:rsidR="00A3536B" w:rsidRPr="003C4106">
        <w:rPr>
          <w:i/>
          <w:color w:val="auto"/>
          <w:sz w:val="20"/>
          <w:szCs w:val="20"/>
        </w:rPr>
        <w:t>uditor-</w:t>
      </w:r>
      <w:r w:rsidR="001A730C" w:rsidRPr="003C4106">
        <w:rPr>
          <w:i/>
          <w:color w:val="auto"/>
          <w:sz w:val="20"/>
          <w:szCs w:val="20"/>
        </w:rPr>
        <w:t>G</w:t>
      </w:r>
      <w:r w:rsidR="00A3536B" w:rsidRPr="003C4106">
        <w:rPr>
          <w:i/>
          <w:color w:val="auto"/>
          <w:sz w:val="20"/>
          <w:szCs w:val="20"/>
        </w:rPr>
        <w:t>eneral’</w:t>
      </w:r>
      <w:r w:rsidR="001A730C" w:rsidRPr="003C4106">
        <w:rPr>
          <w:i/>
          <w:color w:val="auto"/>
          <w:sz w:val="20"/>
          <w:szCs w:val="20"/>
        </w:rPr>
        <w:t>s office</w:t>
      </w:r>
      <w:r w:rsidR="0093735F" w:rsidRPr="003C4106">
        <w:rPr>
          <w:i/>
          <w:color w:val="auto"/>
          <w:sz w:val="20"/>
          <w:szCs w:val="20"/>
        </w:rPr>
        <w:t xml:space="preserve"> and the Department monitors the roll-out of grants</w:t>
      </w:r>
      <w:r w:rsidR="00F23B57" w:rsidRPr="003C4106">
        <w:rPr>
          <w:i/>
          <w:color w:val="auto"/>
          <w:sz w:val="20"/>
          <w:szCs w:val="20"/>
        </w:rPr>
        <w:t>.</w:t>
      </w:r>
    </w:p>
    <w:p w:rsidR="001A730C" w:rsidRPr="003C4106" w:rsidRDefault="001A730C" w:rsidP="003C4106">
      <w:pPr>
        <w:pBdr>
          <w:top w:val="nil"/>
          <w:left w:val="nil"/>
          <w:bottom w:val="nil"/>
          <w:right w:val="nil"/>
          <w:between w:val="nil"/>
        </w:pBdr>
        <w:contextualSpacing/>
        <w:rPr>
          <w:i/>
          <w:sz w:val="20"/>
          <w:szCs w:val="20"/>
        </w:rPr>
      </w:pPr>
    </w:p>
    <w:p w:rsidR="001A730C" w:rsidRPr="003C4106" w:rsidRDefault="001A730C" w:rsidP="003C4106">
      <w:pPr>
        <w:numPr>
          <w:ilvl w:val="0"/>
          <w:numId w:val="4"/>
        </w:numPr>
        <w:pBdr>
          <w:top w:val="nil"/>
          <w:left w:val="nil"/>
          <w:bottom w:val="nil"/>
          <w:right w:val="nil"/>
          <w:between w:val="nil"/>
        </w:pBdr>
        <w:ind w:left="360"/>
        <w:contextualSpacing/>
        <w:rPr>
          <w:sz w:val="20"/>
          <w:szCs w:val="20"/>
        </w:rPr>
      </w:pPr>
      <w:r w:rsidRPr="003C4106">
        <w:rPr>
          <w:sz w:val="20"/>
          <w:szCs w:val="20"/>
        </w:rPr>
        <w:t xml:space="preserve">The </w:t>
      </w:r>
      <w:r w:rsidR="00C805A7" w:rsidRPr="003C4106">
        <w:rPr>
          <w:sz w:val="20"/>
          <w:szCs w:val="20"/>
        </w:rPr>
        <w:t>C</w:t>
      </w:r>
      <w:r w:rsidRPr="003C4106">
        <w:rPr>
          <w:sz w:val="20"/>
          <w:szCs w:val="20"/>
        </w:rPr>
        <w:t xml:space="preserve">ommittee noted with concern that there have been severe budget cuts especially with </w:t>
      </w:r>
      <w:r w:rsidR="005B5D52" w:rsidRPr="003C4106">
        <w:rPr>
          <w:sz w:val="20"/>
          <w:szCs w:val="20"/>
        </w:rPr>
        <w:t>PHC services</w:t>
      </w:r>
      <w:r w:rsidR="002119F8" w:rsidRPr="003C4106">
        <w:rPr>
          <w:sz w:val="20"/>
          <w:szCs w:val="20"/>
        </w:rPr>
        <w:t>.</w:t>
      </w:r>
    </w:p>
    <w:p w:rsidR="001A730C" w:rsidRPr="003C4106" w:rsidRDefault="001A730C" w:rsidP="003C4106">
      <w:pPr>
        <w:pBdr>
          <w:top w:val="nil"/>
          <w:left w:val="nil"/>
          <w:bottom w:val="nil"/>
          <w:right w:val="nil"/>
          <w:between w:val="nil"/>
        </w:pBdr>
        <w:contextualSpacing/>
        <w:rPr>
          <w:i/>
          <w:sz w:val="20"/>
          <w:szCs w:val="20"/>
        </w:rPr>
      </w:pPr>
      <w:r w:rsidRPr="003C4106">
        <w:rPr>
          <w:i/>
          <w:sz w:val="20"/>
          <w:szCs w:val="20"/>
        </w:rPr>
        <w:t xml:space="preserve">The </w:t>
      </w:r>
      <w:r w:rsidR="00C805A7" w:rsidRPr="003C4106">
        <w:rPr>
          <w:i/>
          <w:sz w:val="20"/>
          <w:szCs w:val="20"/>
        </w:rPr>
        <w:t>D</w:t>
      </w:r>
      <w:r w:rsidRPr="003C4106">
        <w:rPr>
          <w:i/>
          <w:sz w:val="20"/>
          <w:szCs w:val="20"/>
        </w:rPr>
        <w:t xml:space="preserve">epartment </w:t>
      </w:r>
      <w:r w:rsidR="00C805A7" w:rsidRPr="003C4106">
        <w:rPr>
          <w:i/>
          <w:sz w:val="20"/>
          <w:szCs w:val="20"/>
        </w:rPr>
        <w:t xml:space="preserve">reported that it </w:t>
      </w:r>
      <w:r w:rsidRPr="003C4106">
        <w:rPr>
          <w:i/>
          <w:sz w:val="20"/>
          <w:szCs w:val="20"/>
        </w:rPr>
        <w:t xml:space="preserve">has reprioritised its budget and </w:t>
      </w:r>
      <w:r w:rsidR="00F23B57" w:rsidRPr="003C4106">
        <w:rPr>
          <w:i/>
          <w:sz w:val="20"/>
          <w:szCs w:val="20"/>
        </w:rPr>
        <w:t xml:space="preserve">look into surgery and oncology backlogs. </w:t>
      </w:r>
    </w:p>
    <w:p w:rsidR="001A730C" w:rsidRPr="003C4106" w:rsidRDefault="001A730C" w:rsidP="003C4106">
      <w:pPr>
        <w:pBdr>
          <w:top w:val="nil"/>
          <w:left w:val="nil"/>
          <w:bottom w:val="nil"/>
          <w:right w:val="nil"/>
          <w:between w:val="nil"/>
        </w:pBdr>
        <w:contextualSpacing/>
        <w:rPr>
          <w:sz w:val="20"/>
          <w:szCs w:val="20"/>
        </w:rPr>
      </w:pPr>
    </w:p>
    <w:p w:rsidR="001A730C" w:rsidRPr="003C4106" w:rsidRDefault="00C805A7" w:rsidP="003C4106">
      <w:pPr>
        <w:numPr>
          <w:ilvl w:val="0"/>
          <w:numId w:val="4"/>
        </w:numPr>
        <w:pBdr>
          <w:top w:val="nil"/>
          <w:left w:val="nil"/>
          <w:bottom w:val="nil"/>
          <w:right w:val="nil"/>
          <w:between w:val="nil"/>
        </w:pBdr>
        <w:ind w:left="360"/>
        <w:contextualSpacing/>
        <w:rPr>
          <w:sz w:val="20"/>
          <w:szCs w:val="20"/>
        </w:rPr>
      </w:pPr>
      <w:r w:rsidRPr="003C4106">
        <w:rPr>
          <w:sz w:val="20"/>
          <w:szCs w:val="20"/>
        </w:rPr>
        <w:t>The C</w:t>
      </w:r>
      <w:r w:rsidR="001A730C" w:rsidRPr="003C4106">
        <w:rPr>
          <w:sz w:val="20"/>
          <w:szCs w:val="20"/>
        </w:rPr>
        <w:t xml:space="preserve">ommittee </w:t>
      </w:r>
      <w:r w:rsidR="004210ED" w:rsidRPr="003C4106">
        <w:rPr>
          <w:sz w:val="20"/>
          <w:szCs w:val="20"/>
        </w:rPr>
        <w:t>requested a status update on the</w:t>
      </w:r>
      <w:r w:rsidR="001A730C" w:rsidRPr="003C4106">
        <w:rPr>
          <w:sz w:val="20"/>
          <w:szCs w:val="20"/>
        </w:rPr>
        <w:t xml:space="preserve"> construction of the Limpopo </w:t>
      </w:r>
      <w:r w:rsidR="004210ED" w:rsidRPr="003C4106">
        <w:rPr>
          <w:color w:val="auto"/>
          <w:sz w:val="20"/>
          <w:szCs w:val="20"/>
        </w:rPr>
        <w:t>Academic</w:t>
      </w:r>
      <w:r w:rsidR="001A730C" w:rsidRPr="003C4106">
        <w:rPr>
          <w:color w:val="auto"/>
          <w:sz w:val="20"/>
          <w:szCs w:val="20"/>
        </w:rPr>
        <w:t xml:space="preserve"> </w:t>
      </w:r>
      <w:r w:rsidR="001A730C" w:rsidRPr="003C4106">
        <w:rPr>
          <w:sz w:val="20"/>
          <w:szCs w:val="20"/>
        </w:rPr>
        <w:t>Hospital.</w:t>
      </w:r>
    </w:p>
    <w:p w:rsidR="001A730C" w:rsidRPr="003C4106" w:rsidRDefault="00C805A7" w:rsidP="003C4106">
      <w:pPr>
        <w:pBdr>
          <w:top w:val="nil"/>
          <w:left w:val="nil"/>
          <w:bottom w:val="nil"/>
          <w:right w:val="nil"/>
          <w:between w:val="nil"/>
        </w:pBdr>
        <w:contextualSpacing/>
        <w:rPr>
          <w:i/>
          <w:sz w:val="20"/>
          <w:szCs w:val="20"/>
        </w:rPr>
      </w:pPr>
      <w:r w:rsidRPr="003C4106">
        <w:rPr>
          <w:i/>
          <w:sz w:val="20"/>
          <w:szCs w:val="20"/>
        </w:rPr>
        <w:t>It was reported that a</w:t>
      </w:r>
      <w:r w:rsidR="001A730C" w:rsidRPr="003C4106">
        <w:rPr>
          <w:i/>
          <w:sz w:val="20"/>
          <w:szCs w:val="20"/>
        </w:rPr>
        <w:t xml:space="preserve"> </w:t>
      </w:r>
      <w:r w:rsidR="006A3D00" w:rsidRPr="003C4106">
        <w:rPr>
          <w:i/>
          <w:sz w:val="20"/>
          <w:szCs w:val="20"/>
        </w:rPr>
        <w:t>contractor has been appointed and is setting-up the</w:t>
      </w:r>
      <w:r w:rsidR="001A730C" w:rsidRPr="003C4106">
        <w:rPr>
          <w:i/>
          <w:sz w:val="20"/>
          <w:szCs w:val="20"/>
        </w:rPr>
        <w:t xml:space="preserve"> site</w:t>
      </w:r>
      <w:r w:rsidR="006A3D00" w:rsidRPr="003C4106">
        <w:rPr>
          <w:i/>
          <w:sz w:val="20"/>
          <w:szCs w:val="20"/>
        </w:rPr>
        <w:t>.</w:t>
      </w:r>
      <w:r w:rsidR="001A730C" w:rsidRPr="003C4106">
        <w:rPr>
          <w:i/>
          <w:sz w:val="20"/>
          <w:szCs w:val="20"/>
        </w:rPr>
        <w:t xml:space="preserve"> </w:t>
      </w:r>
      <w:r w:rsidR="006A3D00" w:rsidRPr="003C4106">
        <w:rPr>
          <w:i/>
          <w:sz w:val="20"/>
          <w:szCs w:val="20"/>
        </w:rPr>
        <w:t xml:space="preserve">Construction </w:t>
      </w:r>
      <w:r w:rsidR="001A730C" w:rsidRPr="003C4106">
        <w:rPr>
          <w:i/>
          <w:sz w:val="20"/>
          <w:szCs w:val="20"/>
        </w:rPr>
        <w:t xml:space="preserve">is envisioned that work will start within two </w:t>
      </w:r>
      <w:r w:rsidR="006A3D00" w:rsidRPr="003C4106">
        <w:rPr>
          <w:i/>
          <w:sz w:val="20"/>
          <w:szCs w:val="20"/>
        </w:rPr>
        <w:t>months</w:t>
      </w:r>
      <w:r w:rsidR="001A730C" w:rsidRPr="003C4106">
        <w:rPr>
          <w:i/>
          <w:sz w:val="20"/>
          <w:szCs w:val="20"/>
        </w:rPr>
        <w:t>. The work permit has been granted and the project is estimated to create many jobs.</w:t>
      </w:r>
      <w:r w:rsidR="002F4371" w:rsidRPr="003C4106">
        <w:rPr>
          <w:i/>
          <w:sz w:val="20"/>
          <w:szCs w:val="20"/>
        </w:rPr>
        <w:t xml:space="preserve"> The anticipated deadline is 2028.</w:t>
      </w:r>
    </w:p>
    <w:p w:rsidR="001A730C" w:rsidRPr="003C4106" w:rsidRDefault="001A730C" w:rsidP="003C4106">
      <w:pPr>
        <w:pBdr>
          <w:top w:val="nil"/>
          <w:left w:val="nil"/>
          <w:bottom w:val="nil"/>
          <w:right w:val="nil"/>
          <w:between w:val="nil"/>
        </w:pBdr>
        <w:contextualSpacing/>
        <w:rPr>
          <w:i/>
          <w:sz w:val="20"/>
          <w:szCs w:val="20"/>
        </w:rPr>
      </w:pPr>
    </w:p>
    <w:p w:rsidR="001A730C" w:rsidRPr="003C4106" w:rsidRDefault="00A53E12" w:rsidP="003C4106">
      <w:pPr>
        <w:numPr>
          <w:ilvl w:val="0"/>
          <w:numId w:val="4"/>
        </w:numPr>
        <w:pBdr>
          <w:top w:val="nil"/>
          <w:left w:val="nil"/>
          <w:bottom w:val="nil"/>
          <w:right w:val="nil"/>
          <w:between w:val="nil"/>
        </w:pBdr>
        <w:ind w:left="360"/>
        <w:contextualSpacing/>
        <w:rPr>
          <w:sz w:val="20"/>
          <w:szCs w:val="20"/>
        </w:rPr>
      </w:pPr>
      <w:r w:rsidRPr="003C4106">
        <w:rPr>
          <w:sz w:val="20"/>
          <w:szCs w:val="20"/>
        </w:rPr>
        <w:t>The C</w:t>
      </w:r>
      <w:r w:rsidR="001A730C" w:rsidRPr="003C4106">
        <w:rPr>
          <w:sz w:val="20"/>
          <w:szCs w:val="20"/>
        </w:rPr>
        <w:t>ommittee enquired how the patient registration system.</w:t>
      </w:r>
    </w:p>
    <w:p w:rsidR="001A730C" w:rsidRPr="003C4106" w:rsidRDefault="00A53E12" w:rsidP="003C4106">
      <w:pPr>
        <w:pBdr>
          <w:top w:val="nil"/>
          <w:left w:val="nil"/>
          <w:bottom w:val="nil"/>
          <w:right w:val="nil"/>
          <w:between w:val="nil"/>
        </w:pBdr>
        <w:contextualSpacing/>
        <w:rPr>
          <w:i/>
          <w:sz w:val="20"/>
          <w:szCs w:val="20"/>
        </w:rPr>
      </w:pPr>
      <w:r w:rsidRPr="003C4106">
        <w:rPr>
          <w:i/>
          <w:sz w:val="20"/>
          <w:szCs w:val="20"/>
        </w:rPr>
        <w:t>The Department stated that</w:t>
      </w:r>
      <w:r w:rsidR="00CC5C91" w:rsidRPr="003C4106">
        <w:rPr>
          <w:i/>
          <w:sz w:val="20"/>
          <w:szCs w:val="20"/>
        </w:rPr>
        <w:t xml:space="preserve"> individual registrations recorded on the HPRS</w:t>
      </w:r>
      <w:r w:rsidRPr="003C4106">
        <w:rPr>
          <w:i/>
          <w:sz w:val="20"/>
          <w:szCs w:val="20"/>
        </w:rPr>
        <w:t xml:space="preserve"> b</w:t>
      </w:r>
      <w:r w:rsidR="001A730C" w:rsidRPr="003C4106">
        <w:rPr>
          <w:i/>
          <w:sz w:val="20"/>
          <w:szCs w:val="20"/>
        </w:rPr>
        <w:t xml:space="preserve">etween 2014-2023 </w:t>
      </w:r>
      <w:r w:rsidR="00CC5C91" w:rsidRPr="003C4106">
        <w:rPr>
          <w:i/>
          <w:sz w:val="20"/>
          <w:szCs w:val="20"/>
        </w:rPr>
        <w:t xml:space="preserve">is </w:t>
      </w:r>
      <w:r w:rsidR="001A730C" w:rsidRPr="003C4106">
        <w:rPr>
          <w:i/>
          <w:sz w:val="20"/>
          <w:szCs w:val="20"/>
        </w:rPr>
        <w:t>65mil</w:t>
      </w:r>
      <w:r w:rsidR="007F5616" w:rsidRPr="003C4106">
        <w:rPr>
          <w:i/>
          <w:sz w:val="20"/>
          <w:szCs w:val="20"/>
        </w:rPr>
        <w:t>lion</w:t>
      </w:r>
      <w:r w:rsidR="001A730C" w:rsidRPr="003C4106">
        <w:rPr>
          <w:i/>
          <w:sz w:val="20"/>
          <w:szCs w:val="20"/>
        </w:rPr>
        <w:t xml:space="preserve"> across 3 000 health facilities. Patients are given a unique registration </w:t>
      </w:r>
      <w:r w:rsidR="00CC5C91" w:rsidRPr="003C4106">
        <w:rPr>
          <w:i/>
          <w:sz w:val="20"/>
          <w:szCs w:val="20"/>
        </w:rPr>
        <w:t>number</w:t>
      </w:r>
      <w:r w:rsidR="00510768" w:rsidRPr="003C4106">
        <w:rPr>
          <w:i/>
          <w:sz w:val="20"/>
          <w:szCs w:val="20"/>
        </w:rPr>
        <w:t xml:space="preserve"> (master patient index)</w:t>
      </w:r>
      <w:r w:rsidR="00CC5C91" w:rsidRPr="003C4106">
        <w:rPr>
          <w:i/>
          <w:sz w:val="20"/>
          <w:szCs w:val="20"/>
        </w:rPr>
        <w:t>, which</w:t>
      </w:r>
      <w:r w:rsidR="001A730C" w:rsidRPr="003C4106">
        <w:rPr>
          <w:i/>
          <w:sz w:val="20"/>
          <w:szCs w:val="20"/>
        </w:rPr>
        <w:t xml:space="preserve"> enables the health practitioner access to their medical records across facilities. The numbers may be inaccurate due to deaths, undocumented persons as wel</w:t>
      </w:r>
      <w:r w:rsidR="00317BC3" w:rsidRPr="003C4106">
        <w:rPr>
          <w:i/>
          <w:sz w:val="20"/>
          <w:szCs w:val="20"/>
        </w:rPr>
        <w:t xml:space="preserve">l as those immigrating. </w:t>
      </w:r>
      <w:r w:rsidR="001A730C" w:rsidRPr="003C4106">
        <w:rPr>
          <w:i/>
          <w:sz w:val="20"/>
          <w:szCs w:val="20"/>
        </w:rPr>
        <w:t xml:space="preserve">There is continuous consultation with the </w:t>
      </w:r>
      <w:r w:rsidR="00317BC3" w:rsidRPr="003C4106">
        <w:rPr>
          <w:i/>
          <w:sz w:val="20"/>
          <w:szCs w:val="20"/>
        </w:rPr>
        <w:t>D</w:t>
      </w:r>
      <w:r w:rsidR="001A730C" w:rsidRPr="003C4106">
        <w:rPr>
          <w:i/>
          <w:sz w:val="20"/>
          <w:szCs w:val="20"/>
        </w:rPr>
        <w:t>epartment of Home Affairs in this regard</w:t>
      </w:r>
      <w:r w:rsidR="00510768" w:rsidRPr="003C4106">
        <w:rPr>
          <w:i/>
          <w:sz w:val="20"/>
          <w:szCs w:val="20"/>
        </w:rPr>
        <w:t xml:space="preserve"> before scaling it up</w:t>
      </w:r>
      <w:r w:rsidR="001A730C" w:rsidRPr="003C4106">
        <w:rPr>
          <w:i/>
          <w:sz w:val="20"/>
          <w:szCs w:val="20"/>
        </w:rPr>
        <w:t>.</w:t>
      </w:r>
      <w:r w:rsidR="00B70BA0" w:rsidRPr="003C4106">
        <w:rPr>
          <w:i/>
          <w:sz w:val="20"/>
          <w:szCs w:val="20"/>
        </w:rPr>
        <w:t xml:space="preserve"> The Department is still embarking on the journey of having a standardised and shared electronic health record.</w:t>
      </w:r>
      <w:r w:rsidR="001A730C" w:rsidRPr="003C4106">
        <w:rPr>
          <w:i/>
          <w:sz w:val="20"/>
          <w:szCs w:val="20"/>
        </w:rPr>
        <w:t xml:space="preserve"> Equipment </w:t>
      </w:r>
      <w:r w:rsidR="00317BC3" w:rsidRPr="003C4106">
        <w:rPr>
          <w:i/>
          <w:sz w:val="20"/>
          <w:szCs w:val="20"/>
        </w:rPr>
        <w:t>is being purchased and rolled-</w:t>
      </w:r>
      <w:r w:rsidR="001A730C" w:rsidRPr="003C4106">
        <w:rPr>
          <w:i/>
          <w:sz w:val="20"/>
          <w:szCs w:val="20"/>
        </w:rPr>
        <w:t>out. The electronic health record will take approximately</w:t>
      </w:r>
      <w:r w:rsidR="00317BC3" w:rsidRPr="003C4106">
        <w:rPr>
          <w:i/>
          <w:sz w:val="20"/>
          <w:szCs w:val="20"/>
        </w:rPr>
        <w:t xml:space="preserve"> five years to implement. It is </w:t>
      </w:r>
      <w:r w:rsidR="001A730C" w:rsidRPr="003C4106">
        <w:rPr>
          <w:i/>
          <w:sz w:val="20"/>
          <w:szCs w:val="20"/>
        </w:rPr>
        <w:t>very costly</w:t>
      </w:r>
      <w:r w:rsidR="00BE6A0B" w:rsidRPr="003C4106">
        <w:rPr>
          <w:i/>
          <w:sz w:val="20"/>
          <w:szCs w:val="20"/>
        </w:rPr>
        <w:t xml:space="preserve"> to develop and implement. T</w:t>
      </w:r>
      <w:r w:rsidR="001A730C" w:rsidRPr="003C4106">
        <w:rPr>
          <w:i/>
          <w:sz w:val="20"/>
          <w:szCs w:val="20"/>
        </w:rPr>
        <w:t xml:space="preserve">he model will be </w:t>
      </w:r>
      <w:r w:rsidR="001A730C" w:rsidRPr="003C4106">
        <w:rPr>
          <w:i/>
          <w:sz w:val="20"/>
          <w:szCs w:val="20"/>
        </w:rPr>
        <w:lastRenderedPageBreak/>
        <w:t xml:space="preserve">applied to TB and HIV patients first. Currently the </w:t>
      </w:r>
      <w:r w:rsidR="00317BC3" w:rsidRPr="003C4106">
        <w:rPr>
          <w:i/>
          <w:sz w:val="20"/>
          <w:szCs w:val="20"/>
        </w:rPr>
        <w:t xml:space="preserve">Medical Aid Schemes </w:t>
      </w:r>
      <w:r w:rsidR="001A730C" w:rsidRPr="003C4106">
        <w:rPr>
          <w:i/>
          <w:sz w:val="20"/>
          <w:szCs w:val="20"/>
        </w:rPr>
        <w:t xml:space="preserve">Act does not allow for the sharing of information, so those on medical aid </w:t>
      </w:r>
      <w:r w:rsidR="00317BC3" w:rsidRPr="003C4106">
        <w:rPr>
          <w:i/>
          <w:sz w:val="20"/>
          <w:szCs w:val="20"/>
        </w:rPr>
        <w:t>cannot</w:t>
      </w:r>
      <w:r w:rsidR="001A730C" w:rsidRPr="003C4106">
        <w:rPr>
          <w:i/>
          <w:sz w:val="20"/>
          <w:szCs w:val="20"/>
        </w:rPr>
        <w:t xml:space="preserve"> be seen on the public health register.</w:t>
      </w:r>
    </w:p>
    <w:p w:rsidR="001A730C" w:rsidRPr="003C4106" w:rsidRDefault="001A730C" w:rsidP="003C4106">
      <w:pPr>
        <w:pBdr>
          <w:top w:val="nil"/>
          <w:left w:val="nil"/>
          <w:bottom w:val="nil"/>
          <w:right w:val="nil"/>
          <w:between w:val="nil"/>
        </w:pBdr>
        <w:contextualSpacing/>
        <w:rPr>
          <w:sz w:val="20"/>
          <w:szCs w:val="20"/>
        </w:rPr>
      </w:pPr>
    </w:p>
    <w:p w:rsidR="001A730C" w:rsidRPr="003C4106" w:rsidRDefault="00A53E12" w:rsidP="003C4106">
      <w:pPr>
        <w:numPr>
          <w:ilvl w:val="0"/>
          <w:numId w:val="4"/>
        </w:numPr>
        <w:pBdr>
          <w:top w:val="nil"/>
          <w:left w:val="nil"/>
          <w:bottom w:val="nil"/>
          <w:right w:val="nil"/>
          <w:between w:val="nil"/>
        </w:pBdr>
        <w:ind w:left="450" w:hanging="450"/>
        <w:contextualSpacing/>
        <w:rPr>
          <w:color w:val="auto"/>
          <w:sz w:val="20"/>
          <w:szCs w:val="20"/>
        </w:rPr>
      </w:pPr>
      <w:r w:rsidRPr="003C4106">
        <w:rPr>
          <w:color w:val="auto"/>
          <w:sz w:val="20"/>
          <w:szCs w:val="20"/>
        </w:rPr>
        <w:t>The C</w:t>
      </w:r>
      <w:r w:rsidR="001A730C" w:rsidRPr="003C4106">
        <w:rPr>
          <w:color w:val="auto"/>
          <w:sz w:val="20"/>
          <w:szCs w:val="20"/>
        </w:rPr>
        <w:t>om</w:t>
      </w:r>
      <w:r w:rsidR="004210ED" w:rsidRPr="003C4106">
        <w:rPr>
          <w:color w:val="auto"/>
          <w:sz w:val="20"/>
          <w:szCs w:val="20"/>
        </w:rPr>
        <w:t>mittee enquired about what the D</w:t>
      </w:r>
      <w:r w:rsidR="001A730C" w:rsidRPr="003C4106">
        <w:rPr>
          <w:color w:val="auto"/>
          <w:sz w:val="20"/>
          <w:szCs w:val="20"/>
        </w:rPr>
        <w:t xml:space="preserve">epartment will do regarding infants and young children suffering from malnutrition, the backlog in mental assessments and increase in medico-legal claims. </w:t>
      </w:r>
      <w:r w:rsidR="00571C17" w:rsidRPr="003C4106">
        <w:rPr>
          <w:color w:val="auto"/>
          <w:sz w:val="20"/>
          <w:szCs w:val="20"/>
        </w:rPr>
        <w:t>In addition, the</w:t>
      </w:r>
      <w:r w:rsidR="001A730C" w:rsidRPr="003C4106">
        <w:rPr>
          <w:color w:val="auto"/>
          <w:sz w:val="20"/>
          <w:szCs w:val="20"/>
        </w:rPr>
        <w:t xml:space="preserve"> Committee wanted to know the status of surgery backlogs and what plans are put in place to overcome this challenge</w:t>
      </w:r>
      <w:r w:rsidRPr="003C4106">
        <w:rPr>
          <w:color w:val="auto"/>
          <w:sz w:val="20"/>
          <w:szCs w:val="20"/>
        </w:rPr>
        <w:t>.</w:t>
      </w:r>
    </w:p>
    <w:p w:rsidR="006C593D" w:rsidRPr="003C4106" w:rsidRDefault="00CE0489" w:rsidP="003C4106">
      <w:pPr>
        <w:pBdr>
          <w:top w:val="nil"/>
          <w:left w:val="nil"/>
          <w:bottom w:val="nil"/>
          <w:right w:val="nil"/>
          <w:between w:val="nil"/>
        </w:pBdr>
        <w:contextualSpacing/>
        <w:rPr>
          <w:i/>
          <w:sz w:val="20"/>
          <w:szCs w:val="20"/>
        </w:rPr>
      </w:pPr>
      <w:r w:rsidRPr="003C4106">
        <w:rPr>
          <w:i/>
          <w:sz w:val="20"/>
          <w:szCs w:val="20"/>
        </w:rPr>
        <w:t>Forensic observation is the responsibility of the South African Police Service (SAPS) and the Department of Justice and Correctional Services</w:t>
      </w:r>
      <w:r w:rsidR="006C593D" w:rsidRPr="003C4106">
        <w:rPr>
          <w:i/>
          <w:sz w:val="20"/>
          <w:szCs w:val="20"/>
        </w:rPr>
        <w:t>. However, it is unlikely that the mental assessments backlog will end.</w:t>
      </w:r>
    </w:p>
    <w:p w:rsidR="006C593D" w:rsidRPr="003C4106" w:rsidRDefault="006C593D" w:rsidP="003C4106">
      <w:pPr>
        <w:pBdr>
          <w:top w:val="nil"/>
          <w:left w:val="nil"/>
          <w:bottom w:val="nil"/>
          <w:right w:val="nil"/>
          <w:between w:val="nil"/>
        </w:pBdr>
        <w:contextualSpacing/>
        <w:rPr>
          <w:sz w:val="20"/>
          <w:szCs w:val="20"/>
        </w:rPr>
      </w:pPr>
    </w:p>
    <w:p w:rsidR="001A730C" w:rsidRPr="003C4106" w:rsidRDefault="00A53E12" w:rsidP="003C4106">
      <w:pPr>
        <w:numPr>
          <w:ilvl w:val="0"/>
          <w:numId w:val="4"/>
        </w:numPr>
        <w:pBdr>
          <w:top w:val="nil"/>
          <w:left w:val="nil"/>
          <w:bottom w:val="nil"/>
          <w:right w:val="nil"/>
          <w:between w:val="nil"/>
        </w:pBdr>
        <w:ind w:left="450" w:hanging="450"/>
        <w:contextualSpacing/>
        <w:rPr>
          <w:sz w:val="20"/>
          <w:szCs w:val="20"/>
        </w:rPr>
      </w:pPr>
      <w:r w:rsidRPr="003C4106">
        <w:rPr>
          <w:sz w:val="20"/>
          <w:szCs w:val="20"/>
        </w:rPr>
        <w:t>The C</w:t>
      </w:r>
      <w:r w:rsidR="001A730C" w:rsidRPr="003C4106">
        <w:rPr>
          <w:sz w:val="20"/>
          <w:szCs w:val="20"/>
        </w:rPr>
        <w:t xml:space="preserve">ommittee noted with concern the various services lacking at the Robert Mangaliso Sobukwe </w:t>
      </w:r>
      <w:r w:rsidRPr="003C4106">
        <w:rPr>
          <w:sz w:val="20"/>
          <w:szCs w:val="20"/>
        </w:rPr>
        <w:t>H</w:t>
      </w:r>
      <w:r w:rsidR="00CA6B2D" w:rsidRPr="003C4106">
        <w:rPr>
          <w:sz w:val="20"/>
          <w:szCs w:val="20"/>
        </w:rPr>
        <w:t>ospital in the Northern Cape p</w:t>
      </w:r>
      <w:r w:rsidR="001A730C" w:rsidRPr="003C4106">
        <w:rPr>
          <w:sz w:val="20"/>
          <w:szCs w:val="20"/>
        </w:rPr>
        <w:t xml:space="preserve">rovince, </w:t>
      </w:r>
      <w:r w:rsidR="00CA6B2D" w:rsidRPr="003C4106">
        <w:rPr>
          <w:sz w:val="20"/>
          <w:szCs w:val="20"/>
        </w:rPr>
        <w:t xml:space="preserve">which </w:t>
      </w:r>
      <w:r w:rsidR="001A730C" w:rsidRPr="003C4106">
        <w:rPr>
          <w:sz w:val="20"/>
          <w:szCs w:val="20"/>
        </w:rPr>
        <w:t>includ</w:t>
      </w:r>
      <w:r w:rsidR="00CA6B2D" w:rsidRPr="003C4106">
        <w:rPr>
          <w:sz w:val="20"/>
          <w:szCs w:val="20"/>
        </w:rPr>
        <w:t>e the</w:t>
      </w:r>
      <w:r w:rsidR="001A730C" w:rsidRPr="003C4106">
        <w:rPr>
          <w:sz w:val="20"/>
          <w:szCs w:val="20"/>
        </w:rPr>
        <w:t xml:space="preserve"> loss of files, </w:t>
      </w:r>
      <w:r w:rsidR="00CA6B2D" w:rsidRPr="003C4106">
        <w:rPr>
          <w:sz w:val="20"/>
          <w:szCs w:val="20"/>
        </w:rPr>
        <w:t xml:space="preserve">long </w:t>
      </w:r>
      <w:r w:rsidR="001A730C" w:rsidRPr="003C4106">
        <w:rPr>
          <w:sz w:val="20"/>
          <w:szCs w:val="20"/>
        </w:rPr>
        <w:t xml:space="preserve">waiting periods for cancer treatment, backlogs in obstetrics, </w:t>
      </w:r>
      <w:r w:rsidR="00CA6B2D" w:rsidRPr="003C4106">
        <w:rPr>
          <w:sz w:val="20"/>
          <w:szCs w:val="20"/>
        </w:rPr>
        <w:t xml:space="preserve">and </w:t>
      </w:r>
      <w:r w:rsidR="001A730C" w:rsidRPr="003C4106">
        <w:rPr>
          <w:sz w:val="20"/>
          <w:szCs w:val="20"/>
        </w:rPr>
        <w:t xml:space="preserve">lack of materials and </w:t>
      </w:r>
      <w:r w:rsidR="00CA6B2D" w:rsidRPr="003C4106">
        <w:rPr>
          <w:sz w:val="20"/>
          <w:szCs w:val="20"/>
        </w:rPr>
        <w:t>human resources</w:t>
      </w:r>
    </w:p>
    <w:p w:rsidR="001A730C" w:rsidRPr="003C4106" w:rsidRDefault="00CA6B2D" w:rsidP="003C4106">
      <w:pPr>
        <w:pBdr>
          <w:top w:val="nil"/>
          <w:left w:val="nil"/>
          <w:bottom w:val="nil"/>
          <w:right w:val="nil"/>
          <w:between w:val="nil"/>
        </w:pBdr>
        <w:contextualSpacing/>
        <w:rPr>
          <w:i/>
          <w:sz w:val="20"/>
          <w:szCs w:val="20"/>
        </w:rPr>
      </w:pPr>
      <w:r w:rsidRPr="003C4106">
        <w:rPr>
          <w:i/>
          <w:sz w:val="20"/>
          <w:szCs w:val="20"/>
        </w:rPr>
        <w:t>The D</w:t>
      </w:r>
      <w:r w:rsidR="001A730C" w:rsidRPr="003C4106">
        <w:rPr>
          <w:i/>
          <w:sz w:val="20"/>
          <w:szCs w:val="20"/>
        </w:rPr>
        <w:t>epartment noted the many challenges at the hospital and is committed to working with the Northern Cape to address them.</w:t>
      </w:r>
      <w:r w:rsidR="00BE6A0B" w:rsidRPr="003C4106">
        <w:rPr>
          <w:i/>
          <w:sz w:val="20"/>
          <w:szCs w:val="20"/>
        </w:rPr>
        <w:t xml:space="preserve"> In addition, the Department reported that the hospital has an HPRS</w:t>
      </w:r>
      <w:r w:rsidR="00B907F2" w:rsidRPr="003C4106">
        <w:rPr>
          <w:i/>
          <w:sz w:val="20"/>
          <w:szCs w:val="20"/>
        </w:rPr>
        <w:t>.</w:t>
      </w:r>
      <w:r w:rsidR="009111B7" w:rsidRPr="003C4106">
        <w:rPr>
          <w:i/>
          <w:sz w:val="20"/>
          <w:szCs w:val="20"/>
        </w:rPr>
        <w:t xml:space="preserve"> It was highlighted th</w:t>
      </w:r>
      <w:r w:rsidR="00B45606" w:rsidRPr="003C4106">
        <w:rPr>
          <w:i/>
          <w:sz w:val="20"/>
          <w:szCs w:val="20"/>
        </w:rPr>
        <w:t xml:space="preserve">at it is important for health service users to make use of the suggestion boxed in health facilities, and make suggestions of how services should be improved. </w:t>
      </w:r>
    </w:p>
    <w:p w:rsidR="001A730C" w:rsidRPr="003C4106" w:rsidRDefault="001A730C" w:rsidP="003C4106">
      <w:pPr>
        <w:pBdr>
          <w:top w:val="nil"/>
          <w:left w:val="nil"/>
          <w:bottom w:val="nil"/>
          <w:right w:val="nil"/>
          <w:between w:val="nil"/>
        </w:pBdr>
        <w:contextualSpacing/>
        <w:rPr>
          <w:i/>
          <w:sz w:val="20"/>
          <w:szCs w:val="20"/>
        </w:rPr>
      </w:pPr>
    </w:p>
    <w:p w:rsidR="001A730C" w:rsidRPr="003C4106" w:rsidRDefault="00A53E12" w:rsidP="003C4106">
      <w:pPr>
        <w:numPr>
          <w:ilvl w:val="0"/>
          <w:numId w:val="4"/>
        </w:numPr>
        <w:pBdr>
          <w:top w:val="nil"/>
          <w:left w:val="nil"/>
          <w:bottom w:val="nil"/>
          <w:right w:val="nil"/>
          <w:between w:val="nil"/>
        </w:pBdr>
        <w:ind w:left="450" w:hanging="450"/>
        <w:contextualSpacing/>
        <w:rPr>
          <w:sz w:val="20"/>
          <w:szCs w:val="20"/>
        </w:rPr>
      </w:pPr>
      <w:r w:rsidRPr="003C4106">
        <w:rPr>
          <w:sz w:val="20"/>
          <w:szCs w:val="20"/>
        </w:rPr>
        <w:t>The C</w:t>
      </w:r>
      <w:r w:rsidR="001A730C" w:rsidRPr="003C4106">
        <w:rPr>
          <w:sz w:val="20"/>
          <w:szCs w:val="20"/>
        </w:rPr>
        <w:t>ommittee enquired on how much COVID-19 vaccines were lost due to them not being used or expired, and total cost thereof.</w:t>
      </w:r>
    </w:p>
    <w:p w:rsidR="001A730C" w:rsidRPr="003C4106" w:rsidRDefault="00770796" w:rsidP="003C4106">
      <w:pPr>
        <w:pBdr>
          <w:top w:val="nil"/>
          <w:left w:val="nil"/>
          <w:bottom w:val="nil"/>
          <w:right w:val="nil"/>
          <w:between w:val="nil"/>
        </w:pBdr>
        <w:contextualSpacing/>
        <w:rPr>
          <w:i/>
          <w:sz w:val="20"/>
          <w:szCs w:val="20"/>
        </w:rPr>
      </w:pPr>
      <w:r w:rsidRPr="003C4106">
        <w:rPr>
          <w:i/>
          <w:sz w:val="20"/>
          <w:szCs w:val="20"/>
        </w:rPr>
        <w:t xml:space="preserve">It was reported that </w:t>
      </w:r>
      <w:r w:rsidR="001A730C" w:rsidRPr="003C4106">
        <w:rPr>
          <w:i/>
          <w:sz w:val="20"/>
          <w:szCs w:val="20"/>
        </w:rPr>
        <w:t>21</w:t>
      </w:r>
      <w:r w:rsidR="00B907F2" w:rsidRPr="003C4106">
        <w:rPr>
          <w:i/>
          <w:sz w:val="20"/>
          <w:szCs w:val="20"/>
        </w:rPr>
        <w:t xml:space="preserve"> </w:t>
      </w:r>
      <w:r w:rsidR="001A730C" w:rsidRPr="003C4106">
        <w:rPr>
          <w:i/>
          <w:sz w:val="20"/>
          <w:szCs w:val="20"/>
        </w:rPr>
        <w:t xml:space="preserve">million Johnson &amp; Johnson doses were procured. In addition, 7.7 million Pfizer doses were procured. No stock was written off and no new vaccines were procured. </w:t>
      </w:r>
      <w:r w:rsidR="0032535C" w:rsidRPr="003C4106">
        <w:rPr>
          <w:i/>
          <w:sz w:val="20"/>
          <w:szCs w:val="20"/>
        </w:rPr>
        <w:t xml:space="preserve">The total cost is about </w:t>
      </w:r>
      <w:r w:rsidR="001A730C" w:rsidRPr="003C4106">
        <w:rPr>
          <w:i/>
          <w:sz w:val="20"/>
          <w:szCs w:val="20"/>
        </w:rPr>
        <w:t>R1</w:t>
      </w:r>
      <w:r w:rsidR="00742786" w:rsidRPr="003C4106">
        <w:rPr>
          <w:i/>
          <w:sz w:val="20"/>
          <w:szCs w:val="20"/>
        </w:rPr>
        <w:t>.9</w:t>
      </w:r>
      <w:r w:rsidR="001A730C" w:rsidRPr="003C4106">
        <w:rPr>
          <w:i/>
          <w:sz w:val="20"/>
          <w:szCs w:val="20"/>
        </w:rPr>
        <w:t xml:space="preserve"> billion</w:t>
      </w:r>
      <w:r w:rsidRPr="003C4106">
        <w:rPr>
          <w:i/>
          <w:sz w:val="20"/>
          <w:szCs w:val="20"/>
        </w:rPr>
        <w:t>.</w:t>
      </w:r>
      <w:r w:rsidR="0032535C" w:rsidRPr="003C4106">
        <w:rPr>
          <w:i/>
          <w:sz w:val="20"/>
          <w:szCs w:val="20"/>
        </w:rPr>
        <w:t xml:space="preserve"> The Department is still dealing with the initial contracts </w:t>
      </w:r>
      <w:r w:rsidR="00CD7496" w:rsidRPr="003C4106">
        <w:rPr>
          <w:i/>
          <w:sz w:val="20"/>
          <w:szCs w:val="20"/>
        </w:rPr>
        <w:t xml:space="preserve">as it had procured in bulk. Around 33.8 million doses have been issued. </w:t>
      </w:r>
    </w:p>
    <w:p w:rsidR="00770796" w:rsidRPr="003C4106" w:rsidRDefault="00770796" w:rsidP="003C4106">
      <w:pPr>
        <w:pBdr>
          <w:top w:val="nil"/>
          <w:left w:val="nil"/>
          <w:bottom w:val="nil"/>
          <w:right w:val="nil"/>
          <w:between w:val="nil"/>
        </w:pBdr>
        <w:contextualSpacing/>
        <w:rPr>
          <w:i/>
          <w:sz w:val="20"/>
          <w:szCs w:val="20"/>
        </w:rPr>
      </w:pPr>
    </w:p>
    <w:p w:rsidR="001A730C" w:rsidRPr="003C4106" w:rsidRDefault="00770796" w:rsidP="003C4106">
      <w:pPr>
        <w:numPr>
          <w:ilvl w:val="0"/>
          <w:numId w:val="4"/>
        </w:numPr>
        <w:pBdr>
          <w:top w:val="nil"/>
          <w:left w:val="nil"/>
          <w:bottom w:val="nil"/>
          <w:right w:val="nil"/>
          <w:between w:val="nil"/>
        </w:pBdr>
        <w:ind w:left="450" w:hanging="450"/>
        <w:contextualSpacing/>
        <w:rPr>
          <w:sz w:val="20"/>
          <w:szCs w:val="20"/>
        </w:rPr>
      </w:pPr>
      <w:r w:rsidRPr="003C4106">
        <w:rPr>
          <w:sz w:val="20"/>
          <w:szCs w:val="20"/>
        </w:rPr>
        <w:t>The C</w:t>
      </w:r>
      <w:r w:rsidR="001A730C" w:rsidRPr="003C4106">
        <w:rPr>
          <w:sz w:val="20"/>
          <w:szCs w:val="20"/>
        </w:rPr>
        <w:t xml:space="preserve">ommittee noted with concern the lack of available medications at clinics and small hospitals for chronic patients </w:t>
      </w:r>
      <w:r w:rsidR="00742786" w:rsidRPr="003C4106">
        <w:rPr>
          <w:sz w:val="20"/>
          <w:szCs w:val="20"/>
        </w:rPr>
        <w:t>(that is</w:t>
      </w:r>
      <w:r w:rsidR="001A730C" w:rsidRPr="003C4106">
        <w:rPr>
          <w:sz w:val="20"/>
          <w:szCs w:val="20"/>
        </w:rPr>
        <w:t xml:space="preserve">, </w:t>
      </w:r>
      <w:r w:rsidR="00F36F3E" w:rsidRPr="003C4106">
        <w:rPr>
          <w:sz w:val="20"/>
          <w:szCs w:val="20"/>
        </w:rPr>
        <w:t xml:space="preserve">anti-retro viral treatment and </w:t>
      </w:r>
      <w:r w:rsidR="001A730C" w:rsidRPr="003C4106">
        <w:rPr>
          <w:sz w:val="20"/>
          <w:szCs w:val="20"/>
        </w:rPr>
        <w:t xml:space="preserve">hypertension, diabetes </w:t>
      </w:r>
      <w:r w:rsidR="00F36F3E" w:rsidRPr="003C4106">
        <w:rPr>
          <w:sz w:val="20"/>
          <w:szCs w:val="20"/>
        </w:rPr>
        <w:t>medication)</w:t>
      </w:r>
      <w:r w:rsidR="001A730C" w:rsidRPr="003C4106">
        <w:rPr>
          <w:sz w:val="20"/>
          <w:szCs w:val="20"/>
        </w:rPr>
        <w:t>.</w:t>
      </w:r>
    </w:p>
    <w:p w:rsidR="001A730C" w:rsidRPr="003C4106" w:rsidRDefault="00770796" w:rsidP="003C4106">
      <w:pPr>
        <w:pBdr>
          <w:top w:val="nil"/>
          <w:left w:val="nil"/>
          <w:bottom w:val="nil"/>
          <w:right w:val="nil"/>
          <w:between w:val="nil"/>
        </w:pBdr>
        <w:contextualSpacing/>
        <w:rPr>
          <w:i/>
          <w:sz w:val="20"/>
          <w:szCs w:val="20"/>
        </w:rPr>
      </w:pPr>
      <w:r w:rsidRPr="003C4106">
        <w:rPr>
          <w:i/>
          <w:sz w:val="20"/>
          <w:szCs w:val="20"/>
        </w:rPr>
        <w:t>The Department r</w:t>
      </w:r>
      <w:r w:rsidR="001A730C" w:rsidRPr="003C4106">
        <w:rPr>
          <w:i/>
          <w:sz w:val="20"/>
          <w:szCs w:val="20"/>
        </w:rPr>
        <w:t xml:space="preserve">equested names of health facilities where medication (chronic) is not </w:t>
      </w:r>
      <w:r w:rsidR="001A730C" w:rsidRPr="003C4106">
        <w:rPr>
          <w:i/>
          <w:color w:val="auto"/>
          <w:sz w:val="20"/>
          <w:szCs w:val="20"/>
        </w:rPr>
        <w:t xml:space="preserve">available, </w:t>
      </w:r>
      <w:r w:rsidR="00A22F6F" w:rsidRPr="003C4106">
        <w:rPr>
          <w:i/>
          <w:color w:val="auto"/>
          <w:sz w:val="20"/>
          <w:szCs w:val="20"/>
        </w:rPr>
        <w:t>as it is the opinion of the D</w:t>
      </w:r>
      <w:r w:rsidR="001A730C" w:rsidRPr="003C4106">
        <w:rPr>
          <w:i/>
          <w:color w:val="auto"/>
          <w:sz w:val="20"/>
          <w:szCs w:val="20"/>
        </w:rPr>
        <w:t>epartment this is not the case.</w:t>
      </w:r>
      <w:r w:rsidR="00A22F6F" w:rsidRPr="003C4106">
        <w:rPr>
          <w:i/>
          <w:color w:val="auto"/>
          <w:sz w:val="20"/>
          <w:szCs w:val="20"/>
        </w:rPr>
        <w:t xml:space="preserve"> The Department has up-to-date medicine visibility system. At times there are pockets of shortages which are addressed speedily so that pharmacists can cope with the demand.  </w:t>
      </w:r>
    </w:p>
    <w:p w:rsidR="001A730C" w:rsidRPr="003C4106" w:rsidRDefault="001A730C" w:rsidP="003C4106">
      <w:pPr>
        <w:pBdr>
          <w:top w:val="nil"/>
          <w:left w:val="nil"/>
          <w:bottom w:val="nil"/>
          <w:right w:val="nil"/>
          <w:between w:val="nil"/>
        </w:pBdr>
        <w:contextualSpacing/>
        <w:rPr>
          <w:i/>
          <w:sz w:val="20"/>
          <w:szCs w:val="20"/>
        </w:rPr>
      </w:pPr>
    </w:p>
    <w:p w:rsidR="001A730C" w:rsidRPr="003C4106" w:rsidRDefault="00770796" w:rsidP="003C4106">
      <w:pPr>
        <w:numPr>
          <w:ilvl w:val="0"/>
          <w:numId w:val="4"/>
        </w:numPr>
        <w:pBdr>
          <w:top w:val="nil"/>
          <w:left w:val="nil"/>
          <w:bottom w:val="nil"/>
          <w:right w:val="nil"/>
          <w:between w:val="nil"/>
        </w:pBdr>
        <w:ind w:left="450" w:hanging="450"/>
        <w:contextualSpacing/>
        <w:rPr>
          <w:sz w:val="20"/>
          <w:szCs w:val="20"/>
        </w:rPr>
      </w:pPr>
      <w:r w:rsidRPr="003C4106">
        <w:rPr>
          <w:sz w:val="20"/>
          <w:szCs w:val="20"/>
        </w:rPr>
        <w:t>The C</w:t>
      </w:r>
      <w:r w:rsidR="001A730C" w:rsidRPr="003C4106">
        <w:rPr>
          <w:sz w:val="20"/>
          <w:szCs w:val="20"/>
        </w:rPr>
        <w:t>ommittee enquired as to why NHI indicators were reduced and what the impact of COVID-19 was on the NHI and an update on NHI spending.</w:t>
      </w:r>
    </w:p>
    <w:p w:rsidR="008A7AE0" w:rsidRPr="003C4106" w:rsidRDefault="00195F3D" w:rsidP="003C4106">
      <w:pPr>
        <w:pBdr>
          <w:top w:val="nil"/>
          <w:left w:val="nil"/>
          <w:bottom w:val="nil"/>
          <w:right w:val="nil"/>
          <w:between w:val="nil"/>
        </w:pBdr>
        <w:contextualSpacing/>
        <w:rPr>
          <w:i/>
          <w:sz w:val="20"/>
          <w:szCs w:val="20"/>
        </w:rPr>
      </w:pPr>
      <w:r w:rsidRPr="003C4106">
        <w:rPr>
          <w:i/>
          <w:sz w:val="20"/>
          <w:szCs w:val="20"/>
        </w:rPr>
        <w:t xml:space="preserve">The previous </w:t>
      </w:r>
      <w:r w:rsidR="001A730C" w:rsidRPr="003C4106">
        <w:rPr>
          <w:i/>
          <w:sz w:val="20"/>
          <w:szCs w:val="20"/>
        </w:rPr>
        <w:t xml:space="preserve">NHI indicators </w:t>
      </w:r>
      <w:r w:rsidRPr="003C4106">
        <w:rPr>
          <w:i/>
          <w:sz w:val="20"/>
          <w:szCs w:val="20"/>
        </w:rPr>
        <w:t>depended on the</w:t>
      </w:r>
      <w:r w:rsidR="001A730C" w:rsidRPr="003C4106">
        <w:rPr>
          <w:i/>
          <w:sz w:val="20"/>
          <w:szCs w:val="20"/>
        </w:rPr>
        <w:t xml:space="preserve"> NHI Bill</w:t>
      </w:r>
      <w:r w:rsidRPr="003C4106">
        <w:rPr>
          <w:i/>
          <w:sz w:val="20"/>
          <w:szCs w:val="20"/>
        </w:rPr>
        <w:t xml:space="preserve"> being passed</w:t>
      </w:r>
      <w:r w:rsidR="001A730C" w:rsidRPr="003C4106">
        <w:rPr>
          <w:i/>
          <w:sz w:val="20"/>
          <w:szCs w:val="20"/>
        </w:rPr>
        <w:t>. Currently the NHI</w:t>
      </w:r>
      <w:r w:rsidR="00803F2A" w:rsidRPr="003C4106">
        <w:rPr>
          <w:i/>
          <w:sz w:val="20"/>
          <w:szCs w:val="20"/>
        </w:rPr>
        <w:t xml:space="preserve"> Bill</w:t>
      </w:r>
      <w:r w:rsidR="001A730C" w:rsidRPr="003C4106">
        <w:rPr>
          <w:i/>
          <w:sz w:val="20"/>
          <w:szCs w:val="20"/>
        </w:rPr>
        <w:t xml:space="preserve"> is going through the parliamentary process. The office of the A</w:t>
      </w:r>
      <w:r w:rsidR="00803F2A" w:rsidRPr="003C4106">
        <w:rPr>
          <w:i/>
          <w:sz w:val="20"/>
          <w:szCs w:val="20"/>
        </w:rPr>
        <w:t>uditor-</w:t>
      </w:r>
      <w:r w:rsidR="001A730C" w:rsidRPr="003C4106">
        <w:rPr>
          <w:i/>
          <w:sz w:val="20"/>
          <w:szCs w:val="20"/>
        </w:rPr>
        <w:t>G</w:t>
      </w:r>
      <w:r w:rsidR="00803F2A" w:rsidRPr="003C4106">
        <w:rPr>
          <w:i/>
          <w:sz w:val="20"/>
          <w:szCs w:val="20"/>
        </w:rPr>
        <w:t>eneral</w:t>
      </w:r>
      <w:r w:rsidR="001A730C" w:rsidRPr="003C4106">
        <w:rPr>
          <w:i/>
          <w:sz w:val="20"/>
          <w:szCs w:val="20"/>
        </w:rPr>
        <w:t xml:space="preserve"> advised </w:t>
      </w:r>
      <w:r w:rsidR="00803F2A" w:rsidRPr="003C4106">
        <w:rPr>
          <w:i/>
          <w:sz w:val="20"/>
          <w:szCs w:val="20"/>
        </w:rPr>
        <w:t xml:space="preserve">the Department </w:t>
      </w:r>
      <w:r w:rsidR="00C05A33" w:rsidRPr="003C4106">
        <w:rPr>
          <w:i/>
          <w:sz w:val="20"/>
          <w:szCs w:val="20"/>
        </w:rPr>
        <w:t>to focus</w:t>
      </w:r>
      <w:r w:rsidR="001A730C" w:rsidRPr="003C4106">
        <w:rPr>
          <w:i/>
          <w:sz w:val="20"/>
          <w:szCs w:val="20"/>
        </w:rPr>
        <w:t xml:space="preserve"> on two measurable indicators</w:t>
      </w:r>
      <w:r w:rsidRPr="003C4106">
        <w:rPr>
          <w:i/>
          <w:sz w:val="20"/>
          <w:szCs w:val="20"/>
        </w:rPr>
        <w:t xml:space="preserve"> (as the previous ones were unreliable)</w:t>
      </w:r>
      <w:r w:rsidR="001A730C" w:rsidRPr="003C4106">
        <w:rPr>
          <w:i/>
          <w:sz w:val="20"/>
          <w:szCs w:val="20"/>
        </w:rPr>
        <w:t>. The NHI grant will prepare the health system for the new functions.</w:t>
      </w:r>
      <w:r w:rsidR="008A7AE0" w:rsidRPr="003C4106">
        <w:rPr>
          <w:i/>
          <w:sz w:val="20"/>
          <w:szCs w:val="20"/>
        </w:rPr>
        <w:t xml:space="preserve"> </w:t>
      </w:r>
    </w:p>
    <w:p w:rsidR="008A7AE0" w:rsidRPr="003C4106" w:rsidRDefault="008A7AE0" w:rsidP="003C4106">
      <w:pPr>
        <w:pBdr>
          <w:top w:val="nil"/>
          <w:left w:val="nil"/>
          <w:bottom w:val="nil"/>
          <w:right w:val="nil"/>
          <w:between w:val="nil"/>
        </w:pBdr>
        <w:contextualSpacing/>
        <w:rPr>
          <w:i/>
          <w:sz w:val="20"/>
          <w:szCs w:val="20"/>
        </w:rPr>
      </w:pPr>
    </w:p>
    <w:p w:rsidR="008A7AE0" w:rsidRPr="003C4106" w:rsidRDefault="008A7AE0" w:rsidP="003C4106">
      <w:pPr>
        <w:pBdr>
          <w:top w:val="nil"/>
          <w:left w:val="nil"/>
          <w:bottom w:val="nil"/>
          <w:right w:val="nil"/>
          <w:between w:val="nil"/>
        </w:pBdr>
        <w:contextualSpacing/>
        <w:rPr>
          <w:i/>
          <w:sz w:val="20"/>
          <w:szCs w:val="20"/>
        </w:rPr>
      </w:pPr>
      <w:r w:rsidRPr="003C4106">
        <w:rPr>
          <w:i/>
          <w:sz w:val="20"/>
          <w:szCs w:val="20"/>
        </w:rPr>
        <w:t xml:space="preserve">In addition, the Department indicated that the capitation system is going to the backbone </w:t>
      </w:r>
      <w:r w:rsidR="0086531A" w:rsidRPr="003C4106">
        <w:rPr>
          <w:i/>
          <w:sz w:val="20"/>
          <w:szCs w:val="20"/>
        </w:rPr>
        <w:t xml:space="preserve">aimed at testing some of the interventions that will be undertaken to ensure that the NHI is implemented according to plan, and ensure that suitable people are employed. </w:t>
      </w:r>
    </w:p>
    <w:p w:rsidR="001A730C" w:rsidRPr="003C4106" w:rsidRDefault="001A730C" w:rsidP="003C4106">
      <w:pPr>
        <w:pBdr>
          <w:top w:val="nil"/>
          <w:left w:val="nil"/>
          <w:bottom w:val="nil"/>
          <w:right w:val="nil"/>
          <w:between w:val="nil"/>
        </w:pBdr>
        <w:contextualSpacing/>
        <w:rPr>
          <w:i/>
          <w:sz w:val="20"/>
          <w:szCs w:val="20"/>
        </w:rPr>
      </w:pPr>
    </w:p>
    <w:p w:rsidR="001A730C" w:rsidRPr="003C4106" w:rsidRDefault="00770796" w:rsidP="003C4106">
      <w:pPr>
        <w:numPr>
          <w:ilvl w:val="0"/>
          <w:numId w:val="4"/>
        </w:numPr>
        <w:pBdr>
          <w:top w:val="nil"/>
          <w:left w:val="nil"/>
          <w:bottom w:val="nil"/>
          <w:right w:val="nil"/>
          <w:between w:val="nil"/>
        </w:pBdr>
        <w:ind w:left="360"/>
        <w:contextualSpacing/>
        <w:rPr>
          <w:sz w:val="20"/>
          <w:szCs w:val="20"/>
        </w:rPr>
      </w:pPr>
      <w:r w:rsidRPr="003C4106">
        <w:rPr>
          <w:sz w:val="20"/>
          <w:szCs w:val="20"/>
        </w:rPr>
        <w:t>The C</w:t>
      </w:r>
      <w:r w:rsidR="001A730C" w:rsidRPr="003C4106">
        <w:rPr>
          <w:sz w:val="20"/>
          <w:szCs w:val="20"/>
        </w:rPr>
        <w:t>ommittee noted with concern the issue of strikes and the impact of the recent labour unrest on the public health sector.</w:t>
      </w:r>
    </w:p>
    <w:p w:rsidR="001A730C" w:rsidRPr="003C4106" w:rsidRDefault="00770796" w:rsidP="003C4106">
      <w:pPr>
        <w:pBdr>
          <w:top w:val="nil"/>
          <w:left w:val="nil"/>
          <w:bottom w:val="nil"/>
          <w:right w:val="nil"/>
          <w:between w:val="nil"/>
        </w:pBdr>
        <w:contextualSpacing/>
        <w:rPr>
          <w:i/>
          <w:sz w:val="20"/>
          <w:szCs w:val="20"/>
        </w:rPr>
      </w:pPr>
      <w:r w:rsidRPr="003C4106">
        <w:rPr>
          <w:i/>
          <w:sz w:val="20"/>
          <w:szCs w:val="20"/>
        </w:rPr>
        <w:t>The D</w:t>
      </w:r>
      <w:r w:rsidR="001A730C" w:rsidRPr="003C4106">
        <w:rPr>
          <w:i/>
          <w:sz w:val="20"/>
          <w:szCs w:val="20"/>
        </w:rPr>
        <w:t>epartment no</w:t>
      </w:r>
      <w:r w:rsidR="00C05A33" w:rsidRPr="003C4106">
        <w:rPr>
          <w:i/>
          <w:sz w:val="20"/>
          <w:szCs w:val="20"/>
        </w:rPr>
        <w:t xml:space="preserve">ted the constitutional right for workers to </w:t>
      </w:r>
      <w:r w:rsidR="001A730C" w:rsidRPr="003C4106">
        <w:rPr>
          <w:i/>
          <w:sz w:val="20"/>
          <w:szCs w:val="20"/>
        </w:rPr>
        <w:t>strike</w:t>
      </w:r>
      <w:r w:rsidR="00590C88" w:rsidRPr="003C4106">
        <w:rPr>
          <w:i/>
          <w:sz w:val="20"/>
          <w:szCs w:val="20"/>
        </w:rPr>
        <w:t xml:space="preserve"> and thus withdraw labour</w:t>
      </w:r>
      <w:r w:rsidR="001A730C" w:rsidRPr="003C4106">
        <w:rPr>
          <w:i/>
          <w:sz w:val="20"/>
          <w:szCs w:val="20"/>
        </w:rPr>
        <w:t xml:space="preserve">. </w:t>
      </w:r>
      <w:r w:rsidR="00C05A33" w:rsidRPr="003C4106">
        <w:rPr>
          <w:i/>
          <w:sz w:val="20"/>
          <w:szCs w:val="20"/>
        </w:rPr>
        <w:t>However, noted that</w:t>
      </w:r>
      <w:r w:rsidR="00590C88" w:rsidRPr="003C4106">
        <w:rPr>
          <w:i/>
          <w:sz w:val="20"/>
          <w:szCs w:val="20"/>
        </w:rPr>
        <w:t xml:space="preserve"> essential services</w:t>
      </w:r>
      <w:r w:rsidR="001A730C" w:rsidRPr="003C4106">
        <w:rPr>
          <w:i/>
          <w:sz w:val="20"/>
          <w:szCs w:val="20"/>
        </w:rPr>
        <w:t>/frontline workers staff are obliged not to</w:t>
      </w:r>
      <w:r w:rsidR="00C05A33" w:rsidRPr="003C4106">
        <w:rPr>
          <w:i/>
          <w:sz w:val="20"/>
          <w:szCs w:val="20"/>
        </w:rPr>
        <w:t xml:space="preserve">. The Department then emphasised the importance of </w:t>
      </w:r>
      <w:r w:rsidR="00AC307D" w:rsidRPr="003C4106">
        <w:rPr>
          <w:i/>
          <w:sz w:val="20"/>
          <w:szCs w:val="20"/>
        </w:rPr>
        <w:t xml:space="preserve">implementing law for the benefit of the vulnerable public and avoid issues that lead to </w:t>
      </w:r>
      <w:r w:rsidR="001A730C" w:rsidRPr="003C4106">
        <w:rPr>
          <w:i/>
          <w:sz w:val="20"/>
          <w:szCs w:val="20"/>
        </w:rPr>
        <w:t xml:space="preserve">grievances </w:t>
      </w:r>
      <w:r w:rsidR="00AC307D" w:rsidRPr="003C4106">
        <w:rPr>
          <w:i/>
          <w:sz w:val="20"/>
          <w:szCs w:val="20"/>
        </w:rPr>
        <w:t>from the workforce</w:t>
      </w:r>
      <w:r w:rsidR="001A730C" w:rsidRPr="003C4106">
        <w:rPr>
          <w:i/>
          <w:sz w:val="20"/>
          <w:szCs w:val="20"/>
        </w:rPr>
        <w:t>.</w:t>
      </w:r>
    </w:p>
    <w:p w:rsidR="001A730C" w:rsidRPr="003C4106" w:rsidRDefault="001A730C" w:rsidP="003C4106">
      <w:pPr>
        <w:pBdr>
          <w:top w:val="nil"/>
          <w:left w:val="nil"/>
          <w:bottom w:val="nil"/>
          <w:right w:val="nil"/>
          <w:between w:val="nil"/>
        </w:pBdr>
        <w:contextualSpacing/>
        <w:rPr>
          <w:sz w:val="20"/>
          <w:szCs w:val="20"/>
        </w:rPr>
      </w:pPr>
    </w:p>
    <w:p w:rsidR="001A730C" w:rsidRPr="003C4106" w:rsidRDefault="008D727B" w:rsidP="003C4106">
      <w:pPr>
        <w:numPr>
          <w:ilvl w:val="0"/>
          <w:numId w:val="4"/>
        </w:numPr>
        <w:pBdr>
          <w:top w:val="nil"/>
          <w:left w:val="nil"/>
          <w:bottom w:val="nil"/>
          <w:right w:val="nil"/>
          <w:between w:val="nil"/>
        </w:pBdr>
        <w:ind w:left="360"/>
        <w:contextualSpacing/>
        <w:rPr>
          <w:color w:val="auto"/>
          <w:sz w:val="20"/>
          <w:szCs w:val="20"/>
        </w:rPr>
      </w:pPr>
      <w:r w:rsidRPr="003C4106">
        <w:rPr>
          <w:color w:val="auto"/>
          <w:sz w:val="20"/>
          <w:szCs w:val="20"/>
        </w:rPr>
        <w:t>What is the progress in refurbishing Charlotte Maxeke Hospital?</w:t>
      </w:r>
    </w:p>
    <w:p w:rsidR="001A730C" w:rsidRPr="003C4106" w:rsidRDefault="006F2F36" w:rsidP="003C4106">
      <w:pPr>
        <w:pBdr>
          <w:top w:val="nil"/>
          <w:left w:val="nil"/>
          <w:bottom w:val="nil"/>
          <w:right w:val="nil"/>
          <w:between w:val="nil"/>
        </w:pBdr>
        <w:tabs>
          <w:tab w:val="left" w:pos="450"/>
        </w:tabs>
        <w:contextualSpacing/>
        <w:rPr>
          <w:i/>
          <w:sz w:val="20"/>
          <w:szCs w:val="20"/>
        </w:rPr>
      </w:pPr>
      <w:r w:rsidRPr="003C4106">
        <w:rPr>
          <w:i/>
          <w:sz w:val="20"/>
          <w:szCs w:val="20"/>
        </w:rPr>
        <w:t xml:space="preserve">At Charlotte Maxeke Hospital, five work packages were introduced. The dry </w:t>
      </w:r>
      <w:r w:rsidR="008D727B" w:rsidRPr="003C4106">
        <w:rPr>
          <w:i/>
          <w:sz w:val="20"/>
          <w:szCs w:val="20"/>
        </w:rPr>
        <w:t>package</w:t>
      </w:r>
      <w:r w:rsidRPr="003C4106">
        <w:rPr>
          <w:i/>
          <w:sz w:val="20"/>
          <w:szCs w:val="20"/>
        </w:rPr>
        <w:t xml:space="preserve"> was completed last April</w:t>
      </w:r>
      <w:r w:rsidR="00363C72" w:rsidRPr="003C4106">
        <w:rPr>
          <w:i/>
          <w:sz w:val="20"/>
          <w:szCs w:val="20"/>
        </w:rPr>
        <w:t xml:space="preserve">. The second </w:t>
      </w:r>
      <w:r w:rsidR="006A09FC" w:rsidRPr="003C4106">
        <w:rPr>
          <w:i/>
          <w:sz w:val="20"/>
          <w:szCs w:val="20"/>
        </w:rPr>
        <w:t xml:space="preserve">packages, which included detailed structural damages, </w:t>
      </w:r>
      <w:r w:rsidR="00363C72" w:rsidRPr="003C4106">
        <w:rPr>
          <w:i/>
          <w:sz w:val="20"/>
          <w:szCs w:val="20"/>
        </w:rPr>
        <w:t xml:space="preserve">was completed last March, in partnership with Stellenbosch University. </w:t>
      </w:r>
      <w:r w:rsidR="006A09FC" w:rsidRPr="003C4106">
        <w:rPr>
          <w:i/>
          <w:sz w:val="20"/>
          <w:szCs w:val="20"/>
        </w:rPr>
        <w:t>Temporal</w:t>
      </w:r>
      <w:r w:rsidR="00363C72" w:rsidRPr="003C4106">
        <w:rPr>
          <w:i/>
          <w:sz w:val="20"/>
          <w:szCs w:val="20"/>
        </w:rPr>
        <w:t xml:space="preserve"> access to parking was completed last year, and remedial </w:t>
      </w:r>
      <w:r w:rsidR="008D727B" w:rsidRPr="003C4106">
        <w:rPr>
          <w:i/>
          <w:sz w:val="20"/>
          <w:szCs w:val="20"/>
        </w:rPr>
        <w:t xml:space="preserve">works in blocks 4 and 5 will be completed at end of 2023. Facility-wide prevention of fires is additional work that will be completed in 2026. </w:t>
      </w:r>
    </w:p>
    <w:p w:rsidR="008D727B" w:rsidRPr="003C4106" w:rsidRDefault="008D727B" w:rsidP="003C4106">
      <w:pPr>
        <w:pBdr>
          <w:top w:val="nil"/>
          <w:left w:val="nil"/>
          <w:bottom w:val="nil"/>
          <w:right w:val="nil"/>
          <w:between w:val="nil"/>
        </w:pBdr>
        <w:ind w:left="360" w:hanging="360"/>
        <w:contextualSpacing/>
        <w:rPr>
          <w:sz w:val="20"/>
          <w:szCs w:val="20"/>
        </w:rPr>
      </w:pPr>
    </w:p>
    <w:p w:rsidR="001A730C" w:rsidRPr="003C4106" w:rsidRDefault="00770796" w:rsidP="003C4106">
      <w:pPr>
        <w:numPr>
          <w:ilvl w:val="0"/>
          <w:numId w:val="4"/>
        </w:numPr>
        <w:pBdr>
          <w:top w:val="nil"/>
          <w:left w:val="nil"/>
          <w:bottom w:val="nil"/>
          <w:right w:val="nil"/>
          <w:between w:val="nil"/>
        </w:pBdr>
        <w:ind w:left="360"/>
        <w:contextualSpacing/>
        <w:rPr>
          <w:sz w:val="20"/>
          <w:szCs w:val="20"/>
        </w:rPr>
      </w:pPr>
      <w:r w:rsidRPr="003C4106">
        <w:rPr>
          <w:sz w:val="20"/>
          <w:szCs w:val="20"/>
        </w:rPr>
        <w:t>The C</w:t>
      </w:r>
      <w:r w:rsidR="001A730C" w:rsidRPr="003C4106">
        <w:rPr>
          <w:sz w:val="20"/>
          <w:szCs w:val="20"/>
        </w:rPr>
        <w:t>ommittee requested the cost for infrastructure of hospitals and clinics in Kwa</w:t>
      </w:r>
      <w:r w:rsidRPr="003C4106">
        <w:rPr>
          <w:sz w:val="20"/>
          <w:szCs w:val="20"/>
        </w:rPr>
        <w:t>Z</w:t>
      </w:r>
      <w:r w:rsidR="001A730C" w:rsidRPr="003C4106">
        <w:rPr>
          <w:sz w:val="20"/>
          <w:szCs w:val="20"/>
        </w:rPr>
        <w:t>ulu- Natal.</w:t>
      </w:r>
    </w:p>
    <w:p w:rsidR="001A730C" w:rsidRPr="003C4106" w:rsidRDefault="001A730C" w:rsidP="003C4106">
      <w:pPr>
        <w:pBdr>
          <w:top w:val="nil"/>
          <w:left w:val="nil"/>
          <w:bottom w:val="nil"/>
          <w:right w:val="nil"/>
          <w:between w:val="nil"/>
        </w:pBdr>
        <w:contextualSpacing/>
        <w:rPr>
          <w:i/>
          <w:sz w:val="20"/>
          <w:szCs w:val="20"/>
        </w:rPr>
      </w:pPr>
      <w:r w:rsidRPr="003C4106">
        <w:rPr>
          <w:i/>
          <w:sz w:val="20"/>
          <w:szCs w:val="20"/>
        </w:rPr>
        <w:lastRenderedPageBreak/>
        <w:t>The maintenance budget includes infrastructure, the upgrades and refurbishing as well as renovations. 2023/2024 budget of R3.4billion. R22.3billion is budgeted for the next 3 years. Provinces comply by means of DOH inspections. All phases are monitored for performance of contractors and ensuring quality work.</w:t>
      </w:r>
    </w:p>
    <w:p w:rsidR="001A730C" w:rsidRPr="003C4106" w:rsidRDefault="001A730C" w:rsidP="003C4106">
      <w:pPr>
        <w:pBdr>
          <w:top w:val="nil"/>
          <w:left w:val="nil"/>
          <w:bottom w:val="nil"/>
          <w:right w:val="nil"/>
          <w:between w:val="nil"/>
        </w:pBdr>
        <w:contextualSpacing/>
        <w:rPr>
          <w:sz w:val="20"/>
          <w:szCs w:val="20"/>
        </w:rPr>
      </w:pPr>
    </w:p>
    <w:p w:rsidR="001A730C" w:rsidRPr="003C4106" w:rsidRDefault="001577E3" w:rsidP="003C4106">
      <w:pPr>
        <w:numPr>
          <w:ilvl w:val="0"/>
          <w:numId w:val="4"/>
        </w:numPr>
        <w:pBdr>
          <w:top w:val="nil"/>
          <w:left w:val="nil"/>
          <w:bottom w:val="nil"/>
          <w:right w:val="nil"/>
          <w:between w:val="nil"/>
        </w:pBdr>
        <w:ind w:left="450" w:hanging="450"/>
        <w:contextualSpacing/>
        <w:rPr>
          <w:sz w:val="20"/>
          <w:szCs w:val="20"/>
        </w:rPr>
      </w:pPr>
      <w:r w:rsidRPr="003C4106">
        <w:rPr>
          <w:sz w:val="20"/>
          <w:szCs w:val="20"/>
        </w:rPr>
        <w:t>The C</w:t>
      </w:r>
      <w:r w:rsidR="001A730C" w:rsidRPr="003C4106">
        <w:rPr>
          <w:sz w:val="20"/>
          <w:szCs w:val="20"/>
        </w:rPr>
        <w:t xml:space="preserve">ommittee sought an update on the North West health </w:t>
      </w:r>
      <w:r w:rsidR="00571C17" w:rsidRPr="003C4106">
        <w:rPr>
          <w:sz w:val="20"/>
          <w:szCs w:val="20"/>
        </w:rPr>
        <w:t>department, which</w:t>
      </w:r>
      <w:r w:rsidR="001A730C" w:rsidRPr="003C4106">
        <w:rPr>
          <w:sz w:val="20"/>
          <w:szCs w:val="20"/>
        </w:rPr>
        <w:t xml:space="preserve"> was placed under administration.</w:t>
      </w:r>
    </w:p>
    <w:p w:rsidR="001A730C" w:rsidRPr="003C4106" w:rsidRDefault="001A730C" w:rsidP="003C4106">
      <w:pPr>
        <w:pBdr>
          <w:top w:val="nil"/>
          <w:left w:val="nil"/>
          <w:bottom w:val="nil"/>
          <w:right w:val="nil"/>
          <w:between w:val="nil"/>
        </w:pBdr>
        <w:contextualSpacing/>
        <w:rPr>
          <w:i/>
          <w:color w:val="auto"/>
          <w:sz w:val="20"/>
          <w:szCs w:val="20"/>
        </w:rPr>
      </w:pPr>
      <w:r w:rsidRPr="003C4106">
        <w:rPr>
          <w:i/>
          <w:color w:val="auto"/>
          <w:sz w:val="20"/>
          <w:szCs w:val="20"/>
        </w:rPr>
        <w:t xml:space="preserve">A close out report was tabled in </w:t>
      </w:r>
      <w:r w:rsidR="00571C17" w:rsidRPr="003C4106">
        <w:rPr>
          <w:i/>
          <w:color w:val="auto"/>
          <w:sz w:val="20"/>
          <w:szCs w:val="20"/>
        </w:rPr>
        <w:t>P</w:t>
      </w:r>
      <w:r w:rsidRPr="003C4106">
        <w:rPr>
          <w:i/>
          <w:color w:val="auto"/>
          <w:sz w:val="20"/>
          <w:szCs w:val="20"/>
        </w:rPr>
        <w:t>arliament, and guidance is awaited.</w:t>
      </w:r>
    </w:p>
    <w:p w:rsidR="001A730C" w:rsidRPr="003C4106" w:rsidRDefault="001A730C" w:rsidP="003C4106">
      <w:pPr>
        <w:pBdr>
          <w:top w:val="nil"/>
          <w:left w:val="nil"/>
          <w:bottom w:val="nil"/>
          <w:right w:val="nil"/>
          <w:between w:val="nil"/>
        </w:pBdr>
        <w:contextualSpacing/>
        <w:rPr>
          <w:i/>
          <w:sz w:val="20"/>
          <w:szCs w:val="20"/>
        </w:rPr>
      </w:pPr>
    </w:p>
    <w:p w:rsidR="001A730C" w:rsidRPr="003C4106" w:rsidRDefault="001577E3" w:rsidP="003C4106">
      <w:pPr>
        <w:numPr>
          <w:ilvl w:val="0"/>
          <w:numId w:val="4"/>
        </w:numPr>
        <w:pBdr>
          <w:top w:val="nil"/>
          <w:left w:val="nil"/>
          <w:bottom w:val="nil"/>
          <w:right w:val="nil"/>
          <w:between w:val="nil"/>
        </w:pBdr>
        <w:ind w:left="450" w:hanging="450"/>
        <w:contextualSpacing/>
        <w:rPr>
          <w:sz w:val="20"/>
          <w:szCs w:val="20"/>
        </w:rPr>
      </w:pPr>
      <w:r w:rsidRPr="003C4106">
        <w:rPr>
          <w:sz w:val="20"/>
          <w:szCs w:val="20"/>
        </w:rPr>
        <w:t>The C</w:t>
      </w:r>
      <w:r w:rsidR="001A730C" w:rsidRPr="003C4106">
        <w:rPr>
          <w:sz w:val="20"/>
          <w:szCs w:val="20"/>
        </w:rPr>
        <w:t>ommittee noted with concern the issues regarding backlogs in the forensic services</w:t>
      </w:r>
    </w:p>
    <w:p w:rsidR="001A730C" w:rsidRPr="003C4106" w:rsidRDefault="001A730C" w:rsidP="003C4106">
      <w:pPr>
        <w:pBdr>
          <w:top w:val="nil"/>
          <w:left w:val="nil"/>
          <w:bottom w:val="nil"/>
          <w:right w:val="nil"/>
          <w:between w:val="nil"/>
        </w:pBdr>
        <w:contextualSpacing/>
        <w:rPr>
          <w:i/>
          <w:sz w:val="20"/>
          <w:szCs w:val="20"/>
        </w:rPr>
      </w:pPr>
      <w:r w:rsidRPr="003C4106">
        <w:rPr>
          <w:i/>
          <w:sz w:val="20"/>
          <w:szCs w:val="20"/>
        </w:rPr>
        <w:t>The backlog is being reduced. This involves the work of the department of Justice and SAPS. the DOH assists where it can.</w:t>
      </w:r>
    </w:p>
    <w:p w:rsidR="001A730C" w:rsidRPr="003C4106" w:rsidRDefault="001A730C" w:rsidP="003C4106">
      <w:pPr>
        <w:pBdr>
          <w:top w:val="nil"/>
          <w:left w:val="nil"/>
          <w:bottom w:val="nil"/>
          <w:right w:val="nil"/>
          <w:between w:val="nil"/>
        </w:pBdr>
        <w:contextualSpacing/>
        <w:rPr>
          <w:sz w:val="20"/>
          <w:szCs w:val="20"/>
        </w:rPr>
      </w:pPr>
    </w:p>
    <w:p w:rsidR="001A730C" w:rsidRPr="003C4106" w:rsidRDefault="001577E3" w:rsidP="003C4106">
      <w:pPr>
        <w:numPr>
          <w:ilvl w:val="0"/>
          <w:numId w:val="4"/>
        </w:numPr>
        <w:pBdr>
          <w:top w:val="nil"/>
          <w:left w:val="nil"/>
          <w:bottom w:val="nil"/>
          <w:right w:val="nil"/>
          <w:between w:val="nil"/>
        </w:pBdr>
        <w:tabs>
          <w:tab w:val="left" w:pos="360"/>
          <w:tab w:val="left" w:pos="450"/>
        </w:tabs>
        <w:ind w:left="360"/>
        <w:contextualSpacing/>
        <w:rPr>
          <w:sz w:val="20"/>
          <w:szCs w:val="20"/>
        </w:rPr>
      </w:pPr>
      <w:r w:rsidRPr="003C4106">
        <w:rPr>
          <w:sz w:val="20"/>
          <w:szCs w:val="20"/>
        </w:rPr>
        <w:t>The C</w:t>
      </w:r>
      <w:r w:rsidR="001A730C" w:rsidRPr="003C4106">
        <w:rPr>
          <w:sz w:val="20"/>
          <w:szCs w:val="20"/>
        </w:rPr>
        <w:t>ommittee noted with concern the decreased budget of the Department, which would have a negative impact on the delivery of health services.</w:t>
      </w:r>
    </w:p>
    <w:p w:rsidR="001A730C" w:rsidRPr="003C4106" w:rsidRDefault="001A730C" w:rsidP="003C4106">
      <w:pPr>
        <w:pBdr>
          <w:top w:val="nil"/>
          <w:left w:val="nil"/>
          <w:bottom w:val="nil"/>
          <w:right w:val="nil"/>
          <w:between w:val="nil"/>
        </w:pBdr>
        <w:contextualSpacing/>
        <w:rPr>
          <w:sz w:val="20"/>
          <w:szCs w:val="20"/>
        </w:rPr>
      </w:pPr>
      <w:r w:rsidRPr="003C4106">
        <w:rPr>
          <w:i/>
          <w:sz w:val="20"/>
          <w:szCs w:val="20"/>
        </w:rPr>
        <w:t>The DOH is working to address these budget issues</w:t>
      </w:r>
      <w:r w:rsidRPr="003C4106">
        <w:rPr>
          <w:sz w:val="20"/>
          <w:szCs w:val="20"/>
        </w:rPr>
        <w:t>.</w:t>
      </w:r>
    </w:p>
    <w:p w:rsidR="001A730C" w:rsidRPr="003C4106" w:rsidRDefault="001A730C" w:rsidP="003C4106">
      <w:pPr>
        <w:pBdr>
          <w:top w:val="nil"/>
          <w:left w:val="nil"/>
          <w:bottom w:val="nil"/>
          <w:right w:val="nil"/>
          <w:between w:val="nil"/>
        </w:pBdr>
        <w:contextualSpacing/>
        <w:rPr>
          <w:sz w:val="20"/>
          <w:szCs w:val="20"/>
        </w:rPr>
      </w:pPr>
    </w:p>
    <w:p w:rsidR="001A730C" w:rsidRPr="003C4106" w:rsidRDefault="001A730C" w:rsidP="003C4106">
      <w:pPr>
        <w:numPr>
          <w:ilvl w:val="0"/>
          <w:numId w:val="4"/>
        </w:numPr>
        <w:pBdr>
          <w:top w:val="nil"/>
          <w:left w:val="nil"/>
          <w:bottom w:val="nil"/>
          <w:right w:val="nil"/>
          <w:between w:val="nil"/>
        </w:pBdr>
        <w:ind w:left="360"/>
        <w:contextualSpacing/>
        <w:rPr>
          <w:sz w:val="20"/>
          <w:szCs w:val="20"/>
        </w:rPr>
      </w:pPr>
      <w:r w:rsidRPr="003C4106">
        <w:rPr>
          <w:sz w:val="20"/>
          <w:szCs w:val="20"/>
        </w:rPr>
        <w:t xml:space="preserve">The increase on the burden of communicable and </w:t>
      </w:r>
      <w:r w:rsidR="00BE6141" w:rsidRPr="003C4106">
        <w:rPr>
          <w:sz w:val="20"/>
          <w:szCs w:val="20"/>
        </w:rPr>
        <w:t>NCDs</w:t>
      </w:r>
      <w:r w:rsidRPr="003C4106">
        <w:rPr>
          <w:sz w:val="20"/>
          <w:szCs w:val="20"/>
        </w:rPr>
        <w:t xml:space="preserve"> remains a concern to the Committee.</w:t>
      </w:r>
    </w:p>
    <w:p w:rsidR="001A730C" w:rsidRPr="003C4106" w:rsidRDefault="001A730C" w:rsidP="003C4106">
      <w:pPr>
        <w:pBdr>
          <w:top w:val="nil"/>
          <w:left w:val="nil"/>
          <w:bottom w:val="nil"/>
          <w:right w:val="nil"/>
          <w:between w:val="nil"/>
        </w:pBdr>
        <w:contextualSpacing/>
        <w:rPr>
          <w:i/>
          <w:sz w:val="20"/>
          <w:szCs w:val="20"/>
        </w:rPr>
      </w:pPr>
      <w:r w:rsidRPr="003C4106">
        <w:rPr>
          <w:i/>
          <w:sz w:val="20"/>
          <w:szCs w:val="20"/>
        </w:rPr>
        <w:t>Hypertension and diabetes are behavioural diseases. Changes in behaviour are ad</w:t>
      </w:r>
      <w:r w:rsidR="00DF70EF" w:rsidRPr="003C4106">
        <w:rPr>
          <w:i/>
          <w:sz w:val="20"/>
          <w:szCs w:val="20"/>
        </w:rPr>
        <w:t>vised as a starting point. The C</w:t>
      </w:r>
      <w:r w:rsidRPr="003C4106">
        <w:rPr>
          <w:i/>
          <w:sz w:val="20"/>
          <w:szCs w:val="20"/>
        </w:rPr>
        <w:t xml:space="preserve">ommittee can assist communities by encouraging them to walk, exercise, stop smoking and drinking alcohol, lessen their salt </w:t>
      </w:r>
      <w:r w:rsidR="00DF70EF" w:rsidRPr="003C4106">
        <w:rPr>
          <w:i/>
          <w:sz w:val="20"/>
          <w:szCs w:val="20"/>
        </w:rPr>
        <w:t>intake, which</w:t>
      </w:r>
      <w:r w:rsidRPr="003C4106">
        <w:rPr>
          <w:i/>
          <w:sz w:val="20"/>
          <w:szCs w:val="20"/>
        </w:rPr>
        <w:t xml:space="preserve"> can greatly assist. </w:t>
      </w:r>
    </w:p>
    <w:p w:rsidR="001A730C" w:rsidRPr="003C4106" w:rsidRDefault="001A730C" w:rsidP="003C4106">
      <w:pPr>
        <w:pBdr>
          <w:top w:val="nil"/>
          <w:left w:val="nil"/>
          <w:bottom w:val="nil"/>
          <w:right w:val="nil"/>
          <w:between w:val="nil"/>
        </w:pBdr>
        <w:contextualSpacing/>
        <w:rPr>
          <w:sz w:val="20"/>
          <w:szCs w:val="20"/>
        </w:rPr>
      </w:pPr>
    </w:p>
    <w:p w:rsidR="001A730C" w:rsidRPr="003C4106" w:rsidRDefault="001A730C" w:rsidP="003C4106">
      <w:pPr>
        <w:numPr>
          <w:ilvl w:val="0"/>
          <w:numId w:val="4"/>
        </w:numPr>
        <w:pBdr>
          <w:top w:val="nil"/>
          <w:left w:val="nil"/>
          <w:bottom w:val="nil"/>
          <w:right w:val="nil"/>
          <w:between w:val="nil"/>
        </w:pBdr>
        <w:ind w:left="360"/>
        <w:contextualSpacing/>
        <w:rPr>
          <w:sz w:val="20"/>
          <w:szCs w:val="20"/>
        </w:rPr>
      </w:pPr>
      <w:r w:rsidRPr="003C4106">
        <w:rPr>
          <w:sz w:val="20"/>
          <w:szCs w:val="20"/>
        </w:rPr>
        <w:t>The Committee enquired about the steps the Department has undertaken to mitigate the impact of the fire at Charlotte Maxeke Hospital and the restoration of oncology services.</w:t>
      </w:r>
    </w:p>
    <w:p w:rsidR="001A730C" w:rsidRPr="003C4106" w:rsidRDefault="001A730C" w:rsidP="003C4106">
      <w:pPr>
        <w:pBdr>
          <w:top w:val="nil"/>
          <w:left w:val="nil"/>
          <w:bottom w:val="nil"/>
          <w:right w:val="nil"/>
          <w:between w:val="nil"/>
        </w:pBdr>
        <w:contextualSpacing/>
        <w:rPr>
          <w:i/>
          <w:sz w:val="20"/>
          <w:szCs w:val="20"/>
        </w:rPr>
      </w:pPr>
      <w:r w:rsidRPr="003C4106">
        <w:rPr>
          <w:i/>
          <w:sz w:val="20"/>
          <w:szCs w:val="20"/>
        </w:rPr>
        <w:t>Five work packages were created to deal with the hospital.ie, dry store, structural damage, access to parking (block 4 &amp;5), facility compliance and block 1 completed.</w:t>
      </w:r>
    </w:p>
    <w:p w:rsidR="001A730C" w:rsidRPr="003C4106" w:rsidRDefault="001A730C" w:rsidP="003C4106">
      <w:pPr>
        <w:pBdr>
          <w:top w:val="nil"/>
          <w:left w:val="nil"/>
          <w:bottom w:val="nil"/>
          <w:right w:val="nil"/>
          <w:between w:val="nil"/>
        </w:pBdr>
        <w:ind w:left="450"/>
        <w:contextualSpacing/>
        <w:rPr>
          <w:sz w:val="20"/>
          <w:szCs w:val="20"/>
        </w:rPr>
      </w:pPr>
    </w:p>
    <w:p w:rsidR="00837635" w:rsidRPr="003C4106" w:rsidRDefault="002D063D" w:rsidP="003C4106">
      <w:pPr>
        <w:pStyle w:val="Heading1"/>
        <w:numPr>
          <w:ilvl w:val="0"/>
          <w:numId w:val="7"/>
        </w:numPr>
        <w:contextualSpacing/>
        <w:rPr>
          <w:color w:val="auto"/>
        </w:rPr>
      </w:pPr>
      <w:bookmarkStart w:id="28" w:name="_3q5sasy" w:colFirst="0" w:colLast="0"/>
      <w:bookmarkStart w:id="29" w:name="_2w5ecyt" w:colFirst="0" w:colLast="0"/>
      <w:bookmarkStart w:id="30" w:name="_1baon6m" w:colFirst="0" w:colLast="0"/>
      <w:bookmarkStart w:id="31" w:name="_Toc134007211"/>
      <w:bookmarkEnd w:id="28"/>
      <w:bookmarkEnd w:id="29"/>
      <w:bookmarkEnd w:id="30"/>
      <w:r w:rsidRPr="003C4106">
        <w:rPr>
          <w:color w:val="auto"/>
        </w:rPr>
        <w:t>COMMITTEE RECOMMENDATIONS</w:t>
      </w:r>
      <w:bookmarkEnd w:id="31"/>
      <w:r w:rsidRPr="003C4106">
        <w:rPr>
          <w:color w:val="auto"/>
        </w:rPr>
        <w:t xml:space="preserve"> </w:t>
      </w:r>
    </w:p>
    <w:p w:rsidR="00837635" w:rsidRPr="003C4106" w:rsidRDefault="00837635" w:rsidP="003C4106">
      <w:pPr>
        <w:contextualSpacing/>
        <w:rPr>
          <w:color w:val="000000"/>
          <w:sz w:val="20"/>
          <w:szCs w:val="20"/>
        </w:rPr>
      </w:pPr>
    </w:p>
    <w:p w:rsidR="00837635" w:rsidRPr="003C4106" w:rsidRDefault="002D063D" w:rsidP="003C4106">
      <w:pPr>
        <w:contextualSpacing/>
        <w:rPr>
          <w:color w:val="000000"/>
          <w:sz w:val="20"/>
          <w:szCs w:val="20"/>
        </w:rPr>
      </w:pPr>
      <w:r w:rsidRPr="003C4106">
        <w:rPr>
          <w:color w:val="000000"/>
          <w:sz w:val="20"/>
          <w:szCs w:val="20"/>
        </w:rPr>
        <w:t xml:space="preserve">The </w:t>
      </w:r>
      <w:r w:rsidR="00011979" w:rsidRPr="003C4106">
        <w:rPr>
          <w:color w:val="000000"/>
          <w:sz w:val="20"/>
          <w:szCs w:val="20"/>
        </w:rPr>
        <w:t>Select</w:t>
      </w:r>
      <w:r w:rsidRPr="003C4106">
        <w:rPr>
          <w:color w:val="000000"/>
          <w:sz w:val="20"/>
          <w:szCs w:val="20"/>
        </w:rPr>
        <w:t xml:space="preserve"> Committee recommends that the Minister of Health should consider the following: </w:t>
      </w:r>
    </w:p>
    <w:p w:rsidR="00837635" w:rsidRPr="003C4106" w:rsidRDefault="00837635" w:rsidP="003C4106">
      <w:pPr>
        <w:contextualSpacing/>
        <w:rPr>
          <w:color w:val="000000"/>
          <w:sz w:val="20"/>
          <w:szCs w:val="20"/>
        </w:rPr>
      </w:pPr>
    </w:p>
    <w:p w:rsidR="00011979" w:rsidRPr="003C4106" w:rsidRDefault="006E1EA9" w:rsidP="003C4106">
      <w:pPr>
        <w:pStyle w:val="ListParagraph"/>
        <w:numPr>
          <w:ilvl w:val="0"/>
          <w:numId w:val="13"/>
        </w:numPr>
        <w:tabs>
          <w:tab w:val="left" w:pos="360"/>
        </w:tabs>
        <w:spacing w:line="240" w:lineRule="auto"/>
        <w:ind w:left="360"/>
        <w:contextualSpacing/>
        <w:rPr>
          <w:rFonts w:cs="Arial"/>
          <w:sz w:val="20"/>
          <w:szCs w:val="20"/>
        </w:rPr>
      </w:pPr>
      <w:bookmarkStart w:id="32" w:name="_3vac5uf" w:colFirst="0" w:colLast="0"/>
      <w:bookmarkEnd w:id="32"/>
      <w:r w:rsidRPr="003C4106">
        <w:rPr>
          <w:rFonts w:cs="Arial"/>
          <w:i/>
          <w:sz w:val="20"/>
          <w:szCs w:val="20"/>
        </w:rPr>
        <w:t>Consult regarding budget constraints</w:t>
      </w:r>
      <w:r w:rsidR="00873C95" w:rsidRPr="003C4106">
        <w:rPr>
          <w:rFonts w:cs="Arial"/>
          <w:sz w:val="20"/>
          <w:szCs w:val="20"/>
        </w:rPr>
        <w:t xml:space="preserve">: </w:t>
      </w:r>
      <w:r w:rsidR="00011979" w:rsidRPr="003C4106">
        <w:rPr>
          <w:rFonts w:cs="Arial"/>
          <w:sz w:val="20"/>
          <w:szCs w:val="20"/>
        </w:rPr>
        <w:t>The Department should engage the National Treasury in order to address the budget constraints</w:t>
      </w:r>
      <w:r w:rsidR="00873C95" w:rsidRPr="003C4106">
        <w:rPr>
          <w:rFonts w:cs="Arial"/>
          <w:sz w:val="20"/>
          <w:szCs w:val="20"/>
        </w:rPr>
        <w:t>.</w:t>
      </w:r>
    </w:p>
    <w:p w:rsidR="00873C95" w:rsidRPr="003C4106" w:rsidRDefault="00873C95" w:rsidP="003C4106">
      <w:pPr>
        <w:tabs>
          <w:tab w:val="left" w:pos="360"/>
        </w:tabs>
        <w:ind w:left="360" w:hanging="360"/>
        <w:contextualSpacing/>
        <w:rPr>
          <w:sz w:val="20"/>
          <w:szCs w:val="20"/>
        </w:rPr>
      </w:pPr>
    </w:p>
    <w:p w:rsidR="003404A0" w:rsidRPr="003C4106" w:rsidRDefault="006E1EA9" w:rsidP="003C4106">
      <w:pPr>
        <w:pStyle w:val="ListParagraph"/>
        <w:numPr>
          <w:ilvl w:val="0"/>
          <w:numId w:val="13"/>
        </w:numPr>
        <w:tabs>
          <w:tab w:val="left" w:pos="360"/>
        </w:tabs>
        <w:spacing w:line="240" w:lineRule="auto"/>
        <w:ind w:left="360"/>
        <w:contextualSpacing/>
        <w:rPr>
          <w:rFonts w:cs="Arial"/>
          <w:b/>
          <w:sz w:val="20"/>
          <w:szCs w:val="20"/>
        </w:rPr>
      </w:pPr>
      <w:r w:rsidRPr="003C4106">
        <w:rPr>
          <w:rFonts w:cs="Arial"/>
          <w:i/>
          <w:sz w:val="20"/>
          <w:szCs w:val="20"/>
        </w:rPr>
        <w:t>Strengthen h</w:t>
      </w:r>
      <w:r w:rsidR="00E2700F" w:rsidRPr="003C4106">
        <w:rPr>
          <w:rFonts w:cs="Arial"/>
          <w:i/>
          <w:sz w:val="20"/>
          <w:szCs w:val="20"/>
        </w:rPr>
        <w:t xml:space="preserve">uman </w:t>
      </w:r>
      <w:r w:rsidR="00BD602C" w:rsidRPr="003C4106">
        <w:rPr>
          <w:rFonts w:cs="Arial"/>
          <w:i/>
          <w:sz w:val="20"/>
          <w:szCs w:val="20"/>
        </w:rPr>
        <w:t>resources for health</w:t>
      </w:r>
      <w:r w:rsidR="00E2700F" w:rsidRPr="003C4106">
        <w:rPr>
          <w:rFonts w:cs="Arial"/>
          <w:i/>
          <w:sz w:val="20"/>
          <w:szCs w:val="20"/>
        </w:rPr>
        <w:t>:</w:t>
      </w:r>
      <w:r w:rsidR="00E2700F" w:rsidRPr="003C4106">
        <w:rPr>
          <w:rFonts w:cs="Arial"/>
          <w:sz w:val="20"/>
          <w:szCs w:val="20"/>
        </w:rPr>
        <w:t xml:space="preserve"> </w:t>
      </w:r>
      <w:r w:rsidR="00D301BC" w:rsidRPr="003C4106">
        <w:rPr>
          <w:rFonts w:cs="Arial"/>
          <w:sz w:val="20"/>
          <w:szCs w:val="20"/>
        </w:rPr>
        <w:t xml:space="preserve">The Department should provide a report on the placement of interns and community service doctors. </w:t>
      </w:r>
      <w:r w:rsidR="003404A0" w:rsidRPr="003C4106">
        <w:rPr>
          <w:rFonts w:cs="Arial"/>
          <w:sz w:val="20"/>
          <w:szCs w:val="20"/>
        </w:rPr>
        <w:t xml:space="preserve">In addition, the Department should brief the Committee on </w:t>
      </w:r>
      <w:r w:rsidR="002F2D9A" w:rsidRPr="003C4106">
        <w:rPr>
          <w:rFonts w:cs="Arial"/>
          <w:sz w:val="20"/>
          <w:szCs w:val="20"/>
        </w:rPr>
        <w:t xml:space="preserve">its </w:t>
      </w:r>
      <w:r w:rsidR="003404A0" w:rsidRPr="003C4106">
        <w:rPr>
          <w:rFonts w:cs="Arial"/>
          <w:sz w:val="20"/>
          <w:szCs w:val="20"/>
        </w:rPr>
        <w:t xml:space="preserve">strategy </w:t>
      </w:r>
      <w:r w:rsidR="002F2D9A" w:rsidRPr="003C4106">
        <w:rPr>
          <w:rFonts w:cs="Arial"/>
          <w:sz w:val="20"/>
          <w:szCs w:val="20"/>
        </w:rPr>
        <w:t xml:space="preserve">to retain critical human resources. </w:t>
      </w:r>
    </w:p>
    <w:p w:rsidR="00E2700F" w:rsidRPr="003C4106" w:rsidRDefault="00E2700F" w:rsidP="003C4106">
      <w:pPr>
        <w:tabs>
          <w:tab w:val="left" w:pos="360"/>
        </w:tabs>
        <w:ind w:left="360" w:hanging="360"/>
        <w:contextualSpacing/>
        <w:rPr>
          <w:color w:val="000000"/>
          <w:sz w:val="20"/>
          <w:szCs w:val="20"/>
        </w:rPr>
      </w:pPr>
    </w:p>
    <w:p w:rsidR="00E2700F" w:rsidRPr="003C4106" w:rsidRDefault="00901FEE" w:rsidP="003C4106">
      <w:pPr>
        <w:pStyle w:val="ListParagraph"/>
        <w:numPr>
          <w:ilvl w:val="0"/>
          <w:numId w:val="13"/>
        </w:numPr>
        <w:tabs>
          <w:tab w:val="left" w:pos="360"/>
        </w:tabs>
        <w:spacing w:line="240" w:lineRule="auto"/>
        <w:ind w:left="360"/>
        <w:contextualSpacing/>
        <w:rPr>
          <w:rFonts w:cs="Arial"/>
          <w:b/>
          <w:sz w:val="20"/>
          <w:szCs w:val="20"/>
        </w:rPr>
      </w:pPr>
      <w:r w:rsidRPr="003C4106">
        <w:rPr>
          <w:rFonts w:cs="Arial"/>
          <w:i/>
          <w:sz w:val="20"/>
          <w:szCs w:val="20"/>
        </w:rPr>
        <w:t>Strengthen</w:t>
      </w:r>
      <w:r w:rsidR="00693E4C" w:rsidRPr="003C4106">
        <w:rPr>
          <w:rFonts w:cs="Arial"/>
          <w:i/>
          <w:sz w:val="20"/>
          <w:szCs w:val="20"/>
        </w:rPr>
        <w:t xml:space="preserve"> inter-governmental relations </w:t>
      </w:r>
      <w:r w:rsidRPr="003C4106">
        <w:rPr>
          <w:rFonts w:cs="Arial"/>
          <w:i/>
          <w:sz w:val="20"/>
          <w:szCs w:val="20"/>
        </w:rPr>
        <w:t xml:space="preserve">(IGR) </w:t>
      </w:r>
      <w:r w:rsidR="00693E4C" w:rsidRPr="003C4106">
        <w:rPr>
          <w:rFonts w:cs="Arial"/>
          <w:i/>
          <w:sz w:val="20"/>
          <w:szCs w:val="20"/>
        </w:rPr>
        <w:t xml:space="preserve">and </w:t>
      </w:r>
      <w:r w:rsidRPr="003C4106">
        <w:rPr>
          <w:rFonts w:cs="Arial"/>
          <w:i/>
          <w:sz w:val="20"/>
          <w:szCs w:val="20"/>
        </w:rPr>
        <w:t>public-private partnership</w:t>
      </w:r>
      <w:r w:rsidR="00693E4C" w:rsidRPr="003C4106">
        <w:rPr>
          <w:rFonts w:cs="Arial"/>
          <w:i/>
          <w:sz w:val="20"/>
          <w:szCs w:val="20"/>
        </w:rPr>
        <w:t>s</w:t>
      </w:r>
      <w:r w:rsidRPr="003C4106">
        <w:rPr>
          <w:rFonts w:cs="Arial"/>
          <w:i/>
          <w:sz w:val="20"/>
          <w:szCs w:val="20"/>
        </w:rPr>
        <w:t xml:space="preserve"> (PPP)</w:t>
      </w:r>
      <w:r w:rsidR="00E2700F" w:rsidRPr="003C4106">
        <w:rPr>
          <w:rFonts w:cs="Arial"/>
          <w:sz w:val="20"/>
          <w:szCs w:val="20"/>
        </w:rPr>
        <w:t xml:space="preserve">: The Department should collaborate with provincial departments in prioritising the procurement of essential health technology for cancer management and a </w:t>
      </w:r>
    </w:p>
    <w:p w:rsidR="00E2700F" w:rsidRPr="003C4106" w:rsidRDefault="00E2700F" w:rsidP="003C4106">
      <w:pPr>
        <w:tabs>
          <w:tab w:val="left" w:pos="360"/>
        </w:tabs>
        <w:ind w:left="360" w:hanging="360"/>
        <w:contextualSpacing/>
        <w:rPr>
          <w:color w:val="000000"/>
          <w:sz w:val="20"/>
          <w:szCs w:val="20"/>
        </w:rPr>
      </w:pPr>
    </w:p>
    <w:p w:rsidR="00E2700F" w:rsidRPr="003C4106" w:rsidRDefault="00873C95" w:rsidP="003C4106">
      <w:pPr>
        <w:pStyle w:val="ListParagraph"/>
        <w:numPr>
          <w:ilvl w:val="0"/>
          <w:numId w:val="13"/>
        </w:numPr>
        <w:tabs>
          <w:tab w:val="left" w:pos="360"/>
        </w:tabs>
        <w:spacing w:line="240" w:lineRule="auto"/>
        <w:ind w:left="360"/>
        <w:contextualSpacing/>
        <w:rPr>
          <w:rFonts w:cs="Arial"/>
          <w:sz w:val="20"/>
          <w:szCs w:val="20"/>
        </w:rPr>
      </w:pPr>
      <w:r w:rsidRPr="003C4106">
        <w:rPr>
          <w:rFonts w:cs="Arial"/>
          <w:i/>
          <w:sz w:val="20"/>
          <w:szCs w:val="20"/>
        </w:rPr>
        <w:t>Address s</w:t>
      </w:r>
      <w:r w:rsidR="00E2700F" w:rsidRPr="003C4106">
        <w:rPr>
          <w:rFonts w:cs="Arial"/>
          <w:i/>
          <w:sz w:val="20"/>
          <w:szCs w:val="20"/>
        </w:rPr>
        <w:t>ervice</w:t>
      </w:r>
      <w:r w:rsidRPr="003C4106">
        <w:rPr>
          <w:rFonts w:cs="Arial"/>
          <w:i/>
          <w:sz w:val="20"/>
          <w:szCs w:val="20"/>
        </w:rPr>
        <w:t xml:space="preserve"> backlog</w:t>
      </w:r>
      <w:r w:rsidR="00E2700F" w:rsidRPr="003C4106">
        <w:rPr>
          <w:rFonts w:cs="Arial"/>
          <w:i/>
          <w:sz w:val="20"/>
          <w:szCs w:val="20"/>
        </w:rPr>
        <w:t>s</w:t>
      </w:r>
      <w:r w:rsidR="00E2700F" w:rsidRPr="003C4106">
        <w:rPr>
          <w:rFonts w:cs="Arial"/>
          <w:sz w:val="20"/>
          <w:szCs w:val="20"/>
        </w:rPr>
        <w:t xml:space="preserve">:  The Department should </w:t>
      </w:r>
      <w:r w:rsidR="00947A2B" w:rsidRPr="003C4106">
        <w:rPr>
          <w:rFonts w:cs="Arial"/>
          <w:sz w:val="20"/>
          <w:szCs w:val="20"/>
        </w:rPr>
        <w:t>f</w:t>
      </w:r>
      <w:r w:rsidR="00E2700F" w:rsidRPr="003C4106">
        <w:rPr>
          <w:rFonts w:cs="Arial"/>
          <w:sz w:val="20"/>
          <w:szCs w:val="20"/>
        </w:rPr>
        <w:t xml:space="preserve">urnish the Committee with </w:t>
      </w:r>
      <w:r w:rsidR="00947A2B" w:rsidRPr="003C4106">
        <w:rPr>
          <w:rFonts w:cs="Arial"/>
          <w:sz w:val="20"/>
          <w:szCs w:val="20"/>
        </w:rPr>
        <w:t>a</w:t>
      </w:r>
      <w:r w:rsidR="00E2700F" w:rsidRPr="003C4106">
        <w:rPr>
          <w:rFonts w:cs="Arial"/>
          <w:sz w:val="20"/>
          <w:szCs w:val="20"/>
        </w:rPr>
        <w:t xml:space="preserve"> report</w:t>
      </w:r>
      <w:r w:rsidR="0043484F" w:rsidRPr="003C4106">
        <w:rPr>
          <w:rFonts w:cs="Arial"/>
          <w:sz w:val="20"/>
          <w:szCs w:val="20"/>
        </w:rPr>
        <w:t xml:space="preserve"> from the National Health Laboratory Service (NHLS) on the forensic chemistry test backlog</w:t>
      </w:r>
      <w:r w:rsidR="00E2700F" w:rsidRPr="003C4106">
        <w:rPr>
          <w:rFonts w:cs="Arial"/>
          <w:sz w:val="20"/>
          <w:szCs w:val="20"/>
        </w:rPr>
        <w:t>.</w:t>
      </w:r>
      <w:r w:rsidR="00947A2B" w:rsidRPr="003C4106">
        <w:rPr>
          <w:rFonts w:cs="Arial"/>
          <w:sz w:val="20"/>
          <w:szCs w:val="20"/>
        </w:rPr>
        <w:t xml:space="preserve"> In addition, the Department should submit </w:t>
      </w:r>
      <w:r w:rsidR="00E2700F" w:rsidRPr="003C4106">
        <w:rPr>
          <w:rFonts w:cs="Arial"/>
          <w:sz w:val="20"/>
          <w:szCs w:val="20"/>
        </w:rPr>
        <w:t>a progress report on Charlotte Maxeke Hospital following the fire and the restoration of oncology services.</w:t>
      </w:r>
      <w:r w:rsidR="000D023E" w:rsidRPr="003C4106">
        <w:rPr>
          <w:rFonts w:cs="Arial"/>
          <w:sz w:val="20"/>
          <w:szCs w:val="20"/>
        </w:rPr>
        <w:t xml:space="preserve"> In addition, the Department should provide a detailed report on the obstetric and oncology backlogs at Robert Mangaliso Sobukwe Hospital.</w:t>
      </w:r>
    </w:p>
    <w:p w:rsidR="00E2700F" w:rsidRPr="003C4106" w:rsidRDefault="00E2700F" w:rsidP="003C4106">
      <w:pPr>
        <w:tabs>
          <w:tab w:val="left" w:pos="360"/>
        </w:tabs>
        <w:ind w:left="360" w:hanging="360"/>
        <w:contextualSpacing/>
        <w:rPr>
          <w:color w:val="000000"/>
          <w:sz w:val="20"/>
          <w:szCs w:val="20"/>
        </w:rPr>
      </w:pPr>
    </w:p>
    <w:p w:rsidR="00E2700F" w:rsidRPr="003C4106" w:rsidRDefault="006A16A1" w:rsidP="003C4106">
      <w:pPr>
        <w:pStyle w:val="ListParagraph"/>
        <w:numPr>
          <w:ilvl w:val="0"/>
          <w:numId w:val="13"/>
        </w:numPr>
        <w:tabs>
          <w:tab w:val="left" w:pos="360"/>
        </w:tabs>
        <w:spacing w:line="240" w:lineRule="auto"/>
        <w:ind w:left="360"/>
        <w:contextualSpacing/>
        <w:rPr>
          <w:rFonts w:cs="Arial"/>
          <w:sz w:val="20"/>
          <w:szCs w:val="20"/>
        </w:rPr>
      </w:pPr>
      <w:r w:rsidRPr="003C4106">
        <w:rPr>
          <w:rFonts w:cs="Arial"/>
          <w:i/>
          <w:sz w:val="20"/>
          <w:szCs w:val="20"/>
        </w:rPr>
        <w:t>Reduce m</w:t>
      </w:r>
      <w:r w:rsidR="00E2700F" w:rsidRPr="003C4106">
        <w:rPr>
          <w:rFonts w:cs="Arial"/>
          <w:i/>
          <w:sz w:val="20"/>
          <w:szCs w:val="20"/>
        </w:rPr>
        <w:t>edico-legal claims</w:t>
      </w:r>
      <w:r w:rsidR="00E2700F" w:rsidRPr="003C4106">
        <w:rPr>
          <w:rFonts w:cs="Arial"/>
          <w:sz w:val="20"/>
          <w:szCs w:val="20"/>
        </w:rPr>
        <w:t>: The Department should provide the Committee with a detailed report on its efforts to strengthen the management of medico-legal claims</w:t>
      </w:r>
      <w:r w:rsidR="00A96DCB" w:rsidRPr="003C4106">
        <w:rPr>
          <w:rFonts w:cs="Arial"/>
          <w:sz w:val="20"/>
          <w:szCs w:val="20"/>
        </w:rPr>
        <w:t xml:space="preserve">. In addition, the Department should provide a report on </w:t>
      </w:r>
      <w:r w:rsidR="00E2700F" w:rsidRPr="003C4106">
        <w:rPr>
          <w:rFonts w:cs="Arial"/>
          <w:sz w:val="20"/>
          <w:szCs w:val="20"/>
        </w:rPr>
        <w:t>how it is assisting provincial departments in this regard.</w:t>
      </w:r>
    </w:p>
    <w:p w:rsidR="00E2700F" w:rsidRPr="003C4106" w:rsidRDefault="00E2700F" w:rsidP="003C4106">
      <w:pPr>
        <w:tabs>
          <w:tab w:val="left" w:pos="360"/>
        </w:tabs>
        <w:ind w:left="360" w:hanging="360"/>
        <w:contextualSpacing/>
        <w:rPr>
          <w:color w:val="000000"/>
          <w:sz w:val="20"/>
          <w:szCs w:val="20"/>
        </w:rPr>
      </w:pPr>
    </w:p>
    <w:p w:rsidR="00E2700F" w:rsidRPr="003C4106" w:rsidRDefault="003E55E2" w:rsidP="003C4106">
      <w:pPr>
        <w:pStyle w:val="ListParagraph"/>
        <w:numPr>
          <w:ilvl w:val="0"/>
          <w:numId w:val="13"/>
        </w:numPr>
        <w:tabs>
          <w:tab w:val="left" w:pos="360"/>
        </w:tabs>
        <w:spacing w:line="240" w:lineRule="auto"/>
        <w:ind w:left="360"/>
        <w:contextualSpacing/>
        <w:rPr>
          <w:rFonts w:cs="Arial"/>
          <w:b/>
          <w:sz w:val="20"/>
          <w:szCs w:val="20"/>
        </w:rPr>
      </w:pPr>
      <w:r w:rsidRPr="003C4106">
        <w:rPr>
          <w:rFonts w:cs="Arial"/>
          <w:i/>
          <w:sz w:val="20"/>
          <w:szCs w:val="20"/>
        </w:rPr>
        <w:t>Address i</w:t>
      </w:r>
      <w:r w:rsidR="00E2700F" w:rsidRPr="003C4106">
        <w:rPr>
          <w:rFonts w:cs="Arial"/>
          <w:i/>
          <w:sz w:val="20"/>
          <w:szCs w:val="20"/>
        </w:rPr>
        <w:t>nfrastructure challenges</w:t>
      </w:r>
      <w:r w:rsidR="00E2700F" w:rsidRPr="003C4106">
        <w:rPr>
          <w:rFonts w:cs="Arial"/>
          <w:sz w:val="20"/>
          <w:szCs w:val="20"/>
        </w:rPr>
        <w:t>: The Department should provide infrastructure technical support to provincial departments in order to develop their capacity to plan and manage health infrastructure delivery.</w:t>
      </w:r>
      <w:r w:rsidR="0028251D" w:rsidRPr="003C4106">
        <w:rPr>
          <w:rFonts w:cs="Arial"/>
          <w:sz w:val="20"/>
          <w:szCs w:val="20"/>
        </w:rPr>
        <w:t xml:space="preserve"> The Department should furnish the Committee with an action plan aimed at addressing infrastructure backlogs and existing gaps.</w:t>
      </w:r>
      <w:r w:rsidR="0043484F" w:rsidRPr="003C4106">
        <w:rPr>
          <w:rFonts w:cs="Arial"/>
          <w:sz w:val="20"/>
          <w:szCs w:val="20"/>
        </w:rPr>
        <w:t xml:space="preserve"> In addition, the Department should provide </w:t>
      </w:r>
      <w:r w:rsidR="00E2700F" w:rsidRPr="003C4106">
        <w:rPr>
          <w:rFonts w:cs="Arial"/>
          <w:sz w:val="20"/>
          <w:szCs w:val="20"/>
        </w:rPr>
        <w:t>a detailed report, including the cost thereof, of all planned infrastructure projects.</w:t>
      </w:r>
    </w:p>
    <w:p w:rsidR="00E74406" w:rsidRPr="003C4106" w:rsidRDefault="00E74406" w:rsidP="003C4106">
      <w:pPr>
        <w:tabs>
          <w:tab w:val="left" w:pos="360"/>
        </w:tabs>
        <w:ind w:left="360" w:hanging="360"/>
        <w:contextualSpacing/>
        <w:rPr>
          <w:color w:val="000000"/>
          <w:sz w:val="20"/>
          <w:szCs w:val="20"/>
        </w:rPr>
      </w:pPr>
    </w:p>
    <w:p w:rsidR="00E2700F" w:rsidRPr="003C4106" w:rsidRDefault="00E74406" w:rsidP="003C4106">
      <w:pPr>
        <w:pStyle w:val="ListParagraph"/>
        <w:numPr>
          <w:ilvl w:val="0"/>
          <w:numId w:val="13"/>
        </w:numPr>
        <w:tabs>
          <w:tab w:val="left" w:pos="360"/>
        </w:tabs>
        <w:spacing w:line="240" w:lineRule="auto"/>
        <w:ind w:left="360"/>
        <w:contextualSpacing/>
        <w:rPr>
          <w:rFonts w:cs="Arial"/>
          <w:sz w:val="20"/>
          <w:szCs w:val="20"/>
        </w:rPr>
      </w:pPr>
      <w:r w:rsidRPr="003C4106">
        <w:rPr>
          <w:rFonts w:cs="Arial"/>
          <w:i/>
          <w:sz w:val="20"/>
          <w:szCs w:val="20"/>
        </w:rPr>
        <w:t>Ensure quality rural health services</w:t>
      </w:r>
      <w:r w:rsidRPr="003C4106">
        <w:rPr>
          <w:rFonts w:cs="Arial"/>
          <w:sz w:val="20"/>
          <w:szCs w:val="20"/>
        </w:rPr>
        <w:t xml:space="preserve">: </w:t>
      </w:r>
      <w:r w:rsidR="00E2700F" w:rsidRPr="003C4106">
        <w:rPr>
          <w:rFonts w:cs="Arial"/>
          <w:sz w:val="20"/>
          <w:szCs w:val="20"/>
        </w:rPr>
        <w:t>The Department should ensure the implementation and investment on strategies aimed to mitigate the impact of load shedding on the delivery of health services and report to the Committee quarterly.</w:t>
      </w:r>
    </w:p>
    <w:p w:rsidR="008546B3" w:rsidRPr="003C4106" w:rsidRDefault="008546B3" w:rsidP="003C4106">
      <w:pPr>
        <w:contextualSpacing/>
        <w:rPr>
          <w:color w:val="000000"/>
          <w:sz w:val="20"/>
          <w:szCs w:val="20"/>
        </w:rPr>
      </w:pPr>
    </w:p>
    <w:p w:rsidR="001D05AF" w:rsidRPr="003C4106" w:rsidRDefault="008D4AC0" w:rsidP="003C4106">
      <w:pPr>
        <w:pStyle w:val="ListParagraph"/>
        <w:numPr>
          <w:ilvl w:val="0"/>
          <w:numId w:val="13"/>
        </w:numPr>
        <w:spacing w:line="240" w:lineRule="auto"/>
        <w:ind w:left="360"/>
        <w:contextualSpacing/>
        <w:rPr>
          <w:rFonts w:cs="Arial"/>
          <w:sz w:val="20"/>
          <w:szCs w:val="20"/>
        </w:rPr>
      </w:pPr>
      <w:r w:rsidRPr="003C4106">
        <w:rPr>
          <w:rFonts w:cs="Arial"/>
          <w:i/>
          <w:sz w:val="20"/>
          <w:szCs w:val="20"/>
        </w:rPr>
        <w:t>Provide support to provincial departments</w:t>
      </w:r>
      <w:r w:rsidRPr="003C4106">
        <w:rPr>
          <w:rFonts w:cs="Arial"/>
          <w:sz w:val="20"/>
          <w:szCs w:val="20"/>
        </w:rPr>
        <w:t>: The Department should furnish the Committee w</w:t>
      </w:r>
      <w:r w:rsidR="003A1732" w:rsidRPr="003C4106">
        <w:rPr>
          <w:rFonts w:cs="Arial"/>
          <w:sz w:val="20"/>
          <w:szCs w:val="20"/>
        </w:rPr>
        <w:t xml:space="preserve">ith a report of the support it has been providing to provincial departments in relation to financial management. </w:t>
      </w:r>
      <w:r w:rsidR="001D05AF" w:rsidRPr="003C4106">
        <w:rPr>
          <w:rFonts w:cs="Arial"/>
          <w:sz w:val="20"/>
          <w:szCs w:val="20"/>
        </w:rPr>
        <w:t xml:space="preserve">In addition, the Department should facilitate a </w:t>
      </w:r>
      <w:r w:rsidR="00237AAC" w:rsidRPr="003C4106">
        <w:rPr>
          <w:rFonts w:cs="Arial"/>
          <w:sz w:val="20"/>
          <w:szCs w:val="20"/>
        </w:rPr>
        <w:t xml:space="preserve">two to three day </w:t>
      </w:r>
      <w:r w:rsidR="001D05AF" w:rsidRPr="003C4106">
        <w:rPr>
          <w:rFonts w:cs="Arial"/>
          <w:sz w:val="20"/>
          <w:szCs w:val="20"/>
        </w:rPr>
        <w:t xml:space="preserve">session </w:t>
      </w:r>
      <w:r w:rsidR="00620E62" w:rsidRPr="003C4106">
        <w:rPr>
          <w:rFonts w:cs="Arial"/>
          <w:sz w:val="20"/>
          <w:szCs w:val="20"/>
        </w:rPr>
        <w:t xml:space="preserve">with affected provincial departments </w:t>
      </w:r>
      <w:r w:rsidR="001D05AF" w:rsidRPr="003C4106">
        <w:rPr>
          <w:rFonts w:cs="Arial"/>
          <w:sz w:val="20"/>
          <w:szCs w:val="20"/>
        </w:rPr>
        <w:t xml:space="preserve">to review </w:t>
      </w:r>
      <w:r w:rsidR="00620E62" w:rsidRPr="003C4106">
        <w:rPr>
          <w:rFonts w:cs="Arial"/>
          <w:sz w:val="20"/>
          <w:szCs w:val="20"/>
        </w:rPr>
        <w:t xml:space="preserve">the progress and challenges faced in implementing </w:t>
      </w:r>
      <w:r w:rsidR="00237AAC" w:rsidRPr="003C4106">
        <w:rPr>
          <w:rFonts w:cs="Arial"/>
          <w:sz w:val="20"/>
          <w:szCs w:val="20"/>
        </w:rPr>
        <w:t xml:space="preserve">quality health systems and good financial management. </w:t>
      </w:r>
    </w:p>
    <w:p w:rsidR="001D05AF" w:rsidRPr="003C4106" w:rsidRDefault="001D05AF" w:rsidP="003C4106">
      <w:pPr>
        <w:ind w:left="360" w:hanging="360"/>
        <w:contextualSpacing/>
        <w:rPr>
          <w:color w:val="000000"/>
          <w:sz w:val="20"/>
          <w:szCs w:val="20"/>
          <w:highlight w:val="yellow"/>
        </w:rPr>
      </w:pPr>
    </w:p>
    <w:p w:rsidR="008546B3" w:rsidRPr="003C4106" w:rsidRDefault="004D6A40" w:rsidP="003C4106">
      <w:pPr>
        <w:pStyle w:val="ListParagraph"/>
        <w:numPr>
          <w:ilvl w:val="0"/>
          <w:numId w:val="13"/>
        </w:numPr>
        <w:spacing w:line="240" w:lineRule="auto"/>
        <w:ind w:left="360"/>
        <w:contextualSpacing/>
        <w:rPr>
          <w:rFonts w:cs="Arial"/>
          <w:sz w:val="20"/>
          <w:szCs w:val="20"/>
        </w:rPr>
      </w:pPr>
      <w:r w:rsidRPr="003C4106">
        <w:rPr>
          <w:rFonts w:cs="Arial"/>
          <w:i/>
          <w:sz w:val="20"/>
          <w:szCs w:val="20"/>
        </w:rPr>
        <w:t>Strengthen monitoring</w:t>
      </w:r>
      <w:r w:rsidRPr="003C4106">
        <w:rPr>
          <w:rFonts w:cs="Arial"/>
          <w:sz w:val="20"/>
          <w:szCs w:val="20"/>
        </w:rPr>
        <w:t xml:space="preserve">: The Department should strengthen its monitoring of the implementation of the Auditor-General’s findings on key areas of internal controls and financial management, </w:t>
      </w:r>
      <w:r w:rsidR="000F051B" w:rsidRPr="003C4106">
        <w:rPr>
          <w:rFonts w:cs="Arial"/>
          <w:sz w:val="20"/>
          <w:szCs w:val="20"/>
        </w:rPr>
        <w:t xml:space="preserve">target-setting, implementation of plans </w:t>
      </w:r>
      <w:r w:rsidRPr="003C4106">
        <w:rPr>
          <w:rFonts w:cs="Arial"/>
          <w:sz w:val="20"/>
          <w:szCs w:val="20"/>
        </w:rPr>
        <w:t xml:space="preserve">and reporting thereof. </w:t>
      </w:r>
    </w:p>
    <w:p w:rsidR="00837635" w:rsidRPr="003C4106" w:rsidRDefault="00837635" w:rsidP="003C4106">
      <w:pPr>
        <w:contextualSpacing/>
        <w:rPr>
          <w:color w:val="000000"/>
          <w:sz w:val="20"/>
          <w:szCs w:val="20"/>
        </w:rPr>
      </w:pPr>
    </w:p>
    <w:p w:rsidR="00837635" w:rsidRPr="003C4106" w:rsidRDefault="002D063D" w:rsidP="003C4106">
      <w:pPr>
        <w:pStyle w:val="Heading1"/>
        <w:numPr>
          <w:ilvl w:val="0"/>
          <w:numId w:val="7"/>
        </w:numPr>
        <w:contextualSpacing/>
      </w:pPr>
      <w:bookmarkStart w:id="33" w:name="_pkwqa1" w:colFirst="0" w:colLast="0"/>
      <w:bookmarkStart w:id="34" w:name="_Toc134007214"/>
      <w:bookmarkEnd w:id="33"/>
      <w:r w:rsidRPr="003C4106">
        <w:rPr>
          <w:color w:val="000000"/>
        </w:rPr>
        <w:t>CONCLUSION</w:t>
      </w:r>
      <w:bookmarkEnd w:id="34"/>
    </w:p>
    <w:p w:rsidR="00DF70EF" w:rsidRPr="003C4106" w:rsidRDefault="00DF70EF" w:rsidP="003C4106">
      <w:pPr>
        <w:contextualSpacing/>
        <w:rPr>
          <w:color w:val="000000"/>
          <w:sz w:val="20"/>
          <w:szCs w:val="20"/>
        </w:rPr>
      </w:pPr>
    </w:p>
    <w:p w:rsidR="00837635" w:rsidRPr="003C4106" w:rsidRDefault="00DF70EF" w:rsidP="003C4106">
      <w:pPr>
        <w:contextualSpacing/>
        <w:rPr>
          <w:color w:val="000000"/>
          <w:sz w:val="20"/>
          <w:szCs w:val="20"/>
        </w:rPr>
      </w:pPr>
      <w:r w:rsidRPr="003C4106">
        <w:rPr>
          <w:color w:val="000000"/>
          <w:sz w:val="20"/>
          <w:szCs w:val="20"/>
        </w:rPr>
        <w:t xml:space="preserve">The Committee </w:t>
      </w:r>
      <w:r w:rsidR="00EA4796" w:rsidRPr="003C4106">
        <w:rPr>
          <w:color w:val="000000"/>
          <w:sz w:val="20"/>
          <w:szCs w:val="20"/>
        </w:rPr>
        <w:t>commended the work of the D</w:t>
      </w:r>
      <w:r w:rsidR="006326A3" w:rsidRPr="003C4106">
        <w:rPr>
          <w:color w:val="000000"/>
          <w:sz w:val="20"/>
          <w:szCs w:val="20"/>
        </w:rPr>
        <w:t>epartment whilst cautioning it to put systems in place at health facilities</w:t>
      </w:r>
      <w:r w:rsidR="00565C00" w:rsidRPr="003C4106">
        <w:rPr>
          <w:color w:val="000000"/>
          <w:sz w:val="20"/>
          <w:szCs w:val="20"/>
        </w:rPr>
        <w:t>,</w:t>
      </w:r>
      <w:r w:rsidR="006326A3" w:rsidRPr="003C4106">
        <w:rPr>
          <w:color w:val="000000"/>
          <w:sz w:val="20"/>
          <w:szCs w:val="20"/>
        </w:rPr>
        <w:t xml:space="preserve"> in </w:t>
      </w:r>
      <w:r w:rsidR="00565C00" w:rsidRPr="003C4106">
        <w:rPr>
          <w:color w:val="000000"/>
          <w:sz w:val="20"/>
          <w:szCs w:val="20"/>
        </w:rPr>
        <w:t>response</w:t>
      </w:r>
      <w:r w:rsidR="006326A3" w:rsidRPr="003C4106">
        <w:rPr>
          <w:color w:val="000000"/>
          <w:sz w:val="20"/>
          <w:szCs w:val="20"/>
        </w:rPr>
        <w:t xml:space="preserve"> to the </w:t>
      </w:r>
      <w:r w:rsidR="00565C00" w:rsidRPr="003C4106">
        <w:rPr>
          <w:color w:val="000000"/>
          <w:sz w:val="20"/>
          <w:szCs w:val="20"/>
        </w:rPr>
        <w:t>nation-wide blackouts</w:t>
      </w:r>
      <w:r w:rsidR="006326A3" w:rsidRPr="003C4106">
        <w:rPr>
          <w:color w:val="000000"/>
          <w:sz w:val="20"/>
          <w:szCs w:val="20"/>
        </w:rPr>
        <w:t xml:space="preserve">. The Committee </w:t>
      </w:r>
      <w:r w:rsidR="00565C00" w:rsidRPr="003C4106">
        <w:rPr>
          <w:color w:val="000000"/>
          <w:sz w:val="20"/>
          <w:szCs w:val="20"/>
        </w:rPr>
        <w:t xml:space="preserve">encouraged the Department to strengthen </w:t>
      </w:r>
      <w:r w:rsidR="00883519" w:rsidRPr="003C4106">
        <w:rPr>
          <w:color w:val="000000"/>
          <w:sz w:val="20"/>
          <w:szCs w:val="20"/>
        </w:rPr>
        <w:t xml:space="preserve">inefficiencies </w:t>
      </w:r>
      <w:r w:rsidR="00B3299E" w:rsidRPr="003C4106">
        <w:rPr>
          <w:color w:val="000000"/>
          <w:sz w:val="20"/>
          <w:szCs w:val="20"/>
        </w:rPr>
        <w:t xml:space="preserve">that can negatively </w:t>
      </w:r>
      <w:r w:rsidR="00D20595" w:rsidRPr="003C4106">
        <w:rPr>
          <w:color w:val="000000"/>
          <w:sz w:val="20"/>
          <w:szCs w:val="20"/>
        </w:rPr>
        <w:t>affect</w:t>
      </w:r>
      <w:r w:rsidR="00B3299E" w:rsidRPr="003C4106">
        <w:rPr>
          <w:color w:val="000000"/>
          <w:sz w:val="20"/>
          <w:szCs w:val="20"/>
        </w:rPr>
        <w:t xml:space="preserve"> the implementation of the NHI</w:t>
      </w:r>
      <w:r w:rsidR="00D20595" w:rsidRPr="003C4106">
        <w:rPr>
          <w:color w:val="000000"/>
          <w:sz w:val="20"/>
          <w:szCs w:val="20"/>
        </w:rPr>
        <w:t xml:space="preserve">, and improve </w:t>
      </w:r>
      <w:r w:rsidRPr="003C4106">
        <w:rPr>
          <w:color w:val="000000"/>
          <w:sz w:val="20"/>
          <w:szCs w:val="20"/>
        </w:rPr>
        <w:t xml:space="preserve">oncology </w:t>
      </w:r>
      <w:r w:rsidR="00D20595" w:rsidRPr="003C4106">
        <w:rPr>
          <w:color w:val="000000"/>
          <w:sz w:val="20"/>
          <w:szCs w:val="20"/>
        </w:rPr>
        <w:t>services</w:t>
      </w:r>
      <w:r w:rsidRPr="003C4106">
        <w:rPr>
          <w:color w:val="000000"/>
          <w:sz w:val="20"/>
          <w:szCs w:val="20"/>
        </w:rPr>
        <w:t xml:space="preserve"> in the country</w:t>
      </w:r>
      <w:r w:rsidR="00D20595" w:rsidRPr="003C4106">
        <w:rPr>
          <w:color w:val="000000"/>
          <w:sz w:val="20"/>
          <w:szCs w:val="20"/>
        </w:rPr>
        <w:t xml:space="preserve">. </w:t>
      </w:r>
    </w:p>
    <w:p w:rsidR="00DF70EF" w:rsidRPr="003C4106" w:rsidRDefault="00DF70EF" w:rsidP="003C4106">
      <w:pPr>
        <w:contextualSpacing/>
        <w:rPr>
          <w:color w:val="000000"/>
          <w:sz w:val="20"/>
          <w:szCs w:val="20"/>
        </w:rPr>
      </w:pPr>
    </w:p>
    <w:p w:rsidR="00837635" w:rsidRPr="003C4106" w:rsidRDefault="002D063D" w:rsidP="003C4106">
      <w:pPr>
        <w:contextualSpacing/>
        <w:rPr>
          <w:color w:val="000000"/>
          <w:sz w:val="20"/>
          <w:szCs w:val="20"/>
        </w:rPr>
      </w:pPr>
      <w:r w:rsidRPr="003C4106">
        <w:rPr>
          <w:color w:val="000000"/>
          <w:sz w:val="20"/>
          <w:szCs w:val="20"/>
        </w:rPr>
        <w:t>Unless otherwise indicated, the Department of Health should respond to the Committee recommendations in three months from the day the report is adopted by the House.</w:t>
      </w:r>
    </w:p>
    <w:p w:rsidR="00837635" w:rsidRPr="003C4106" w:rsidRDefault="00837635" w:rsidP="003C4106">
      <w:pPr>
        <w:contextualSpacing/>
        <w:rPr>
          <w:color w:val="000000"/>
          <w:sz w:val="20"/>
          <w:szCs w:val="20"/>
        </w:rPr>
      </w:pPr>
    </w:p>
    <w:p w:rsidR="00837635" w:rsidRPr="003C4106" w:rsidRDefault="002D063D" w:rsidP="003C4106">
      <w:pPr>
        <w:contextualSpacing/>
        <w:rPr>
          <w:color w:val="000000"/>
          <w:sz w:val="20"/>
          <w:szCs w:val="20"/>
        </w:rPr>
      </w:pPr>
      <w:r w:rsidRPr="003C4106">
        <w:rPr>
          <w:b/>
          <w:color w:val="000000"/>
          <w:sz w:val="20"/>
          <w:szCs w:val="20"/>
        </w:rPr>
        <w:t xml:space="preserve">Report to be considered.   </w:t>
      </w:r>
    </w:p>
    <w:p w:rsidR="00837635" w:rsidRPr="003C4106" w:rsidRDefault="00837635" w:rsidP="003C4106">
      <w:pPr>
        <w:contextualSpacing/>
        <w:rPr>
          <w:color w:val="000000"/>
          <w:sz w:val="20"/>
          <w:szCs w:val="20"/>
        </w:rPr>
      </w:pPr>
    </w:p>
    <w:sectPr w:rsidR="00837635" w:rsidRPr="003C4106" w:rsidSect="00D95EDE">
      <w:footerReference w:type="even" r:id="rId13"/>
      <w:footerReference w:type="default" r:id="rId14"/>
      <w:pgSz w:w="11906" w:h="16838"/>
      <w:pgMar w:top="1440" w:right="1440" w:bottom="1440" w:left="1440" w:header="113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2E" w:rsidRDefault="005E4B2E">
      <w:r>
        <w:separator/>
      </w:r>
    </w:p>
  </w:endnote>
  <w:endnote w:type="continuationSeparator" w:id="0">
    <w:p w:rsidR="005E4B2E" w:rsidRDefault="005E4B2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7" w:rsidRDefault="00571C17">
    <w:pPr>
      <w:pBdr>
        <w:top w:val="nil"/>
        <w:left w:val="nil"/>
        <w:bottom w:val="nil"/>
        <w:right w:val="nil"/>
        <w:between w:val="nil"/>
      </w:pBdr>
      <w:jc w:val="right"/>
      <w:rPr>
        <w:color w:val="000000"/>
        <w:sz w:val="14"/>
        <w:szCs w:val="14"/>
      </w:rPr>
    </w:pPr>
  </w:p>
  <w:p w:rsidR="00571C17" w:rsidRDefault="00571C17">
    <w:pPr>
      <w:pBdr>
        <w:top w:val="nil"/>
        <w:left w:val="nil"/>
        <w:bottom w:val="nil"/>
        <w:right w:val="nil"/>
        <w:between w:val="nil"/>
      </w:pBdr>
      <w:ind w:right="360"/>
      <w:rPr>
        <w:color w:val="000000"/>
        <w:sz w:val="14"/>
        <w:szCs w:val="14"/>
      </w:rPr>
    </w:pPr>
  </w:p>
  <w:p w:rsidR="00571C17" w:rsidRDefault="00D95EDE">
    <w:pPr>
      <w:widowControl w:val="0"/>
      <w:pBdr>
        <w:top w:val="nil"/>
        <w:left w:val="nil"/>
        <w:bottom w:val="nil"/>
        <w:right w:val="nil"/>
        <w:between w:val="nil"/>
      </w:pBdr>
      <w:spacing w:line="276" w:lineRule="auto"/>
      <w:rPr>
        <w:color w:val="000000"/>
        <w:sz w:val="14"/>
        <w:szCs w:val="14"/>
      </w:rPr>
    </w:pPr>
    <w:r>
      <w:rPr>
        <w:color w:val="000000"/>
        <w:sz w:val="14"/>
        <w:szCs w:val="14"/>
      </w:rPr>
      <w:fldChar w:fldCharType="begin"/>
    </w:r>
    <w:r w:rsidR="00571C17">
      <w:rPr>
        <w:color w:val="000000"/>
        <w:sz w:val="14"/>
        <w:szCs w:val="14"/>
      </w:rPr>
      <w:instrText>PAGE</w:instrText>
    </w:r>
    <w:r>
      <w:rPr>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17" w:rsidRDefault="00D95EDE">
    <w:pPr>
      <w:pBdr>
        <w:top w:val="nil"/>
        <w:left w:val="nil"/>
        <w:bottom w:val="nil"/>
        <w:right w:val="nil"/>
        <w:between w:val="nil"/>
      </w:pBdr>
      <w:jc w:val="right"/>
      <w:rPr>
        <w:color w:val="000000"/>
        <w:sz w:val="14"/>
        <w:szCs w:val="14"/>
      </w:rPr>
    </w:pPr>
    <w:r>
      <w:rPr>
        <w:color w:val="000000"/>
        <w:sz w:val="14"/>
        <w:szCs w:val="14"/>
      </w:rPr>
      <w:fldChar w:fldCharType="begin"/>
    </w:r>
    <w:r w:rsidR="00571C17">
      <w:rPr>
        <w:color w:val="000000"/>
        <w:sz w:val="14"/>
        <w:szCs w:val="14"/>
      </w:rPr>
      <w:instrText>PAGE</w:instrText>
    </w:r>
    <w:r>
      <w:rPr>
        <w:color w:val="000000"/>
        <w:sz w:val="14"/>
        <w:szCs w:val="14"/>
      </w:rPr>
      <w:fldChar w:fldCharType="separate"/>
    </w:r>
    <w:r w:rsidR="003C4106">
      <w:rPr>
        <w:noProof/>
        <w:color w:val="000000"/>
        <w:sz w:val="14"/>
        <w:szCs w:val="14"/>
      </w:rPr>
      <w:t>2</w:t>
    </w:r>
    <w:r>
      <w:rPr>
        <w:color w:val="000000"/>
        <w:sz w:val="14"/>
        <w:szCs w:val="14"/>
      </w:rPr>
      <w:fldChar w:fldCharType="end"/>
    </w:r>
  </w:p>
  <w:p w:rsidR="00571C17" w:rsidRDefault="00571C17">
    <w:pPr>
      <w:pBdr>
        <w:top w:val="nil"/>
        <w:left w:val="nil"/>
        <w:bottom w:val="nil"/>
        <w:right w:val="nil"/>
        <w:between w:val="nil"/>
      </w:pBdr>
      <w:ind w:right="360"/>
      <w:rPr>
        <w:color w:val="00000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2E" w:rsidRDefault="005E4B2E">
      <w:r>
        <w:separator/>
      </w:r>
    </w:p>
  </w:footnote>
  <w:footnote w:type="continuationSeparator" w:id="0">
    <w:p w:rsidR="005E4B2E" w:rsidRDefault="005E4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34F"/>
    <w:multiLevelType w:val="hybridMultilevel"/>
    <w:tmpl w:val="D35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910EA"/>
    <w:multiLevelType w:val="multilevel"/>
    <w:tmpl w:val="03486434"/>
    <w:lvl w:ilvl="0">
      <w:start w:val="1"/>
      <w:numFmt w:val="bullet"/>
      <w:lvlText w:val="●"/>
      <w:lvlJc w:val="left"/>
      <w:pPr>
        <w:ind w:left="1440" w:hanging="360"/>
      </w:pPr>
      <w:rPr>
        <w:rFonts w:ascii="Noto Sans Symbols" w:eastAsia="Noto Sans Symbols" w:hAnsi="Noto Sans Symbols" w:cs="Noto Sans Symbol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2B3419EF"/>
    <w:multiLevelType w:val="multilevel"/>
    <w:tmpl w:val="1408F6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7E2242"/>
    <w:multiLevelType w:val="multilevel"/>
    <w:tmpl w:val="D54A0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B7273F"/>
    <w:multiLevelType w:val="hybridMultilevel"/>
    <w:tmpl w:val="8132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914FB"/>
    <w:multiLevelType w:val="multilevel"/>
    <w:tmpl w:val="0EB6A6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D76EFA"/>
    <w:multiLevelType w:val="multilevel"/>
    <w:tmpl w:val="91D64E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EC1DF3"/>
    <w:multiLevelType w:val="multilevel"/>
    <w:tmpl w:val="5E242570"/>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DBD6E54"/>
    <w:multiLevelType w:val="multilevel"/>
    <w:tmpl w:val="BB24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1221DF3"/>
    <w:multiLevelType w:val="multilevel"/>
    <w:tmpl w:val="49C20692"/>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F026649"/>
    <w:multiLevelType w:val="multilevel"/>
    <w:tmpl w:val="8B6EA3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0EF4706"/>
    <w:multiLevelType w:val="multilevel"/>
    <w:tmpl w:val="0F70A8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728A55DF"/>
    <w:multiLevelType w:val="multilevel"/>
    <w:tmpl w:val="02C0E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FC32D32"/>
    <w:multiLevelType w:val="multilevel"/>
    <w:tmpl w:val="0108CA6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8"/>
  </w:num>
  <w:num w:numId="2">
    <w:abstractNumId w:val="13"/>
  </w:num>
  <w:num w:numId="3">
    <w:abstractNumId w:val="1"/>
  </w:num>
  <w:num w:numId="4">
    <w:abstractNumId w:val="10"/>
  </w:num>
  <w:num w:numId="5">
    <w:abstractNumId w:val="12"/>
  </w:num>
  <w:num w:numId="6">
    <w:abstractNumId w:val="5"/>
  </w:num>
  <w:num w:numId="7">
    <w:abstractNumId w:val="11"/>
  </w:num>
  <w:num w:numId="8">
    <w:abstractNumId w:val="3"/>
  </w:num>
  <w:num w:numId="9">
    <w:abstractNumId w:val="2"/>
  </w:num>
  <w:num w:numId="10">
    <w:abstractNumId w:val="6"/>
  </w:num>
  <w:num w:numId="11">
    <w:abstractNumId w:val="9"/>
  </w:num>
  <w:num w:numId="12">
    <w:abstractNumId w:val="7"/>
  </w:num>
  <w:num w:numId="13">
    <w:abstractNumId w:val="4"/>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7635"/>
    <w:rsid w:val="00000C87"/>
    <w:rsid w:val="000112E6"/>
    <w:rsid w:val="00011979"/>
    <w:rsid w:val="00015AF2"/>
    <w:rsid w:val="00015C79"/>
    <w:rsid w:val="00021F7D"/>
    <w:rsid w:val="00023F7B"/>
    <w:rsid w:val="00030C67"/>
    <w:rsid w:val="00030F7B"/>
    <w:rsid w:val="0003430C"/>
    <w:rsid w:val="000345AB"/>
    <w:rsid w:val="000676DF"/>
    <w:rsid w:val="00070657"/>
    <w:rsid w:val="00071BEC"/>
    <w:rsid w:val="000955B9"/>
    <w:rsid w:val="000B2395"/>
    <w:rsid w:val="000B3165"/>
    <w:rsid w:val="000B4B22"/>
    <w:rsid w:val="000D023E"/>
    <w:rsid w:val="000F051B"/>
    <w:rsid w:val="000F583C"/>
    <w:rsid w:val="00105200"/>
    <w:rsid w:val="001314EF"/>
    <w:rsid w:val="00135084"/>
    <w:rsid w:val="001366A6"/>
    <w:rsid w:val="00137B63"/>
    <w:rsid w:val="00143BDE"/>
    <w:rsid w:val="001577E3"/>
    <w:rsid w:val="00161CE2"/>
    <w:rsid w:val="00162B2D"/>
    <w:rsid w:val="00162F63"/>
    <w:rsid w:val="00167578"/>
    <w:rsid w:val="001736D7"/>
    <w:rsid w:val="00183E4C"/>
    <w:rsid w:val="001861DC"/>
    <w:rsid w:val="00194409"/>
    <w:rsid w:val="00195F3D"/>
    <w:rsid w:val="001A730C"/>
    <w:rsid w:val="001B48E5"/>
    <w:rsid w:val="001C3778"/>
    <w:rsid w:val="001C42DF"/>
    <w:rsid w:val="001C59D3"/>
    <w:rsid w:val="001C79B8"/>
    <w:rsid w:val="001D05AF"/>
    <w:rsid w:val="001E56DB"/>
    <w:rsid w:val="001F051E"/>
    <w:rsid w:val="001F68B5"/>
    <w:rsid w:val="00205AF7"/>
    <w:rsid w:val="0020617C"/>
    <w:rsid w:val="002119F8"/>
    <w:rsid w:val="002152D7"/>
    <w:rsid w:val="00215D68"/>
    <w:rsid w:val="00221D51"/>
    <w:rsid w:val="00231683"/>
    <w:rsid w:val="00235B79"/>
    <w:rsid w:val="00237AAC"/>
    <w:rsid w:val="002503AA"/>
    <w:rsid w:val="002511B5"/>
    <w:rsid w:val="002611BD"/>
    <w:rsid w:val="00267613"/>
    <w:rsid w:val="00271383"/>
    <w:rsid w:val="00274680"/>
    <w:rsid w:val="0028251D"/>
    <w:rsid w:val="00284EFD"/>
    <w:rsid w:val="0029725F"/>
    <w:rsid w:val="002A6E07"/>
    <w:rsid w:val="002D063D"/>
    <w:rsid w:val="002D10F3"/>
    <w:rsid w:val="002E49E5"/>
    <w:rsid w:val="002F0762"/>
    <w:rsid w:val="002F0B70"/>
    <w:rsid w:val="002F2D9A"/>
    <w:rsid w:val="002F4371"/>
    <w:rsid w:val="00301F11"/>
    <w:rsid w:val="003070BF"/>
    <w:rsid w:val="00317BC3"/>
    <w:rsid w:val="0032535C"/>
    <w:rsid w:val="003404A0"/>
    <w:rsid w:val="003506AD"/>
    <w:rsid w:val="0035692D"/>
    <w:rsid w:val="00363C72"/>
    <w:rsid w:val="00365883"/>
    <w:rsid w:val="00370DC6"/>
    <w:rsid w:val="0037177D"/>
    <w:rsid w:val="0037379D"/>
    <w:rsid w:val="00384893"/>
    <w:rsid w:val="003851D5"/>
    <w:rsid w:val="003A1732"/>
    <w:rsid w:val="003B2B48"/>
    <w:rsid w:val="003C2ED6"/>
    <w:rsid w:val="003C2F47"/>
    <w:rsid w:val="003C4106"/>
    <w:rsid w:val="003E3B10"/>
    <w:rsid w:val="003E4CD3"/>
    <w:rsid w:val="003E55E2"/>
    <w:rsid w:val="003F1721"/>
    <w:rsid w:val="003F79CE"/>
    <w:rsid w:val="00400EFA"/>
    <w:rsid w:val="00405A38"/>
    <w:rsid w:val="00405D92"/>
    <w:rsid w:val="00413EE4"/>
    <w:rsid w:val="00415F11"/>
    <w:rsid w:val="004210ED"/>
    <w:rsid w:val="004271ED"/>
    <w:rsid w:val="004301B6"/>
    <w:rsid w:val="004341B0"/>
    <w:rsid w:val="0043484F"/>
    <w:rsid w:val="00446DEE"/>
    <w:rsid w:val="0046570A"/>
    <w:rsid w:val="004839CD"/>
    <w:rsid w:val="00483C91"/>
    <w:rsid w:val="0048410B"/>
    <w:rsid w:val="00486551"/>
    <w:rsid w:val="00496B87"/>
    <w:rsid w:val="004A433D"/>
    <w:rsid w:val="004B179F"/>
    <w:rsid w:val="004C0928"/>
    <w:rsid w:val="004D6A40"/>
    <w:rsid w:val="004E6BA9"/>
    <w:rsid w:val="004F2CE4"/>
    <w:rsid w:val="004F3DA5"/>
    <w:rsid w:val="004F78EB"/>
    <w:rsid w:val="0050159B"/>
    <w:rsid w:val="0050357A"/>
    <w:rsid w:val="00510768"/>
    <w:rsid w:val="0052012B"/>
    <w:rsid w:val="00524715"/>
    <w:rsid w:val="005266AE"/>
    <w:rsid w:val="00531559"/>
    <w:rsid w:val="00534FE8"/>
    <w:rsid w:val="0054255F"/>
    <w:rsid w:val="00554206"/>
    <w:rsid w:val="0055448E"/>
    <w:rsid w:val="0056034D"/>
    <w:rsid w:val="00562973"/>
    <w:rsid w:val="00565C00"/>
    <w:rsid w:val="00571973"/>
    <w:rsid w:val="00571C17"/>
    <w:rsid w:val="00576AA7"/>
    <w:rsid w:val="00590C88"/>
    <w:rsid w:val="00596550"/>
    <w:rsid w:val="005A022C"/>
    <w:rsid w:val="005A26C3"/>
    <w:rsid w:val="005A2BE5"/>
    <w:rsid w:val="005A3DFD"/>
    <w:rsid w:val="005B51A7"/>
    <w:rsid w:val="005B5D52"/>
    <w:rsid w:val="005C1295"/>
    <w:rsid w:val="005C23EF"/>
    <w:rsid w:val="005D10EA"/>
    <w:rsid w:val="005D57B6"/>
    <w:rsid w:val="005E4B2E"/>
    <w:rsid w:val="00601A23"/>
    <w:rsid w:val="006020E9"/>
    <w:rsid w:val="00607873"/>
    <w:rsid w:val="0061342B"/>
    <w:rsid w:val="006169B9"/>
    <w:rsid w:val="00620E62"/>
    <w:rsid w:val="006326A3"/>
    <w:rsid w:val="006718A2"/>
    <w:rsid w:val="00671B8D"/>
    <w:rsid w:val="00673911"/>
    <w:rsid w:val="00673B03"/>
    <w:rsid w:val="00675A45"/>
    <w:rsid w:val="00693E4C"/>
    <w:rsid w:val="006A09FC"/>
    <w:rsid w:val="006A16A1"/>
    <w:rsid w:val="006A3D00"/>
    <w:rsid w:val="006B187C"/>
    <w:rsid w:val="006B1F26"/>
    <w:rsid w:val="006C593D"/>
    <w:rsid w:val="006C669B"/>
    <w:rsid w:val="006D2506"/>
    <w:rsid w:val="006D456D"/>
    <w:rsid w:val="006E1EA9"/>
    <w:rsid w:val="006E597A"/>
    <w:rsid w:val="006E5DD0"/>
    <w:rsid w:val="006F2F36"/>
    <w:rsid w:val="006F70FB"/>
    <w:rsid w:val="007154A0"/>
    <w:rsid w:val="007329B7"/>
    <w:rsid w:val="00733AFB"/>
    <w:rsid w:val="007353D2"/>
    <w:rsid w:val="00737013"/>
    <w:rsid w:val="007376B7"/>
    <w:rsid w:val="00742786"/>
    <w:rsid w:val="00752AFC"/>
    <w:rsid w:val="007535D2"/>
    <w:rsid w:val="00757B4D"/>
    <w:rsid w:val="00764A56"/>
    <w:rsid w:val="00770796"/>
    <w:rsid w:val="00774176"/>
    <w:rsid w:val="007807ED"/>
    <w:rsid w:val="007E3FE7"/>
    <w:rsid w:val="007E6C5A"/>
    <w:rsid w:val="007F5616"/>
    <w:rsid w:val="00803F2A"/>
    <w:rsid w:val="00806C4A"/>
    <w:rsid w:val="00823A59"/>
    <w:rsid w:val="008347EE"/>
    <w:rsid w:val="008370E4"/>
    <w:rsid w:val="00837635"/>
    <w:rsid w:val="00840C39"/>
    <w:rsid w:val="0084468A"/>
    <w:rsid w:val="00844A20"/>
    <w:rsid w:val="00846B63"/>
    <w:rsid w:val="0084756B"/>
    <w:rsid w:val="00852E41"/>
    <w:rsid w:val="008546B3"/>
    <w:rsid w:val="00862006"/>
    <w:rsid w:val="0086531A"/>
    <w:rsid w:val="00873C95"/>
    <w:rsid w:val="00883519"/>
    <w:rsid w:val="0088752D"/>
    <w:rsid w:val="0089497D"/>
    <w:rsid w:val="008A7AE0"/>
    <w:rsid w:val="008B6574"/>
    <w:rsid w:val="008D4AC0"/>
    <w:rsid w:val="008D727B"/>
    <w:rsid w:val="008E539F"/>
    <w:rsid w:val="00901F1E"/>
    <w:rsid w:val="00901FEE"/>
    <w:rsid w:val="0090701D"/>
    <w:rsid w:val="009111B7"/>
    <w:rsid w:val="00915ECF"/>
    <w:rsid w:val="00917632"/>
    <w:rsid w:val="00920AE2"/>
    <w:rsid w:val="009252F3"/>
    <w:rsid w:val="00936DC7"/>
    <w:rsid w:val="0093735F"/>
    <w:rsid w:val="009421B3"/>
    <w:rsid w:val="009428BB"/>
    <w:rsid w:val="00947A2B"/>
    <w:rsid w:val="00951158"/>
    <w:rsid w:val="009559D6"/>
    <w:rsid w:val="00965D9E"/>
    <w:rsid w:val="009676D3"/>
    <w:rsid w:val="009757D6"/>
    <w:rsid w:val="0098528B"/>
    <w:rsid w:val="009B00BE"/>
    <w:rsid w:val="009B45C4"/>
    <w:rsid w:val="009D2041"/>
    <w:rsid w:val="009D7E71"/>
    <w:rsid w:val="009E04E6"/>
    <w:rsid w:val="009F059D"/>
    <w:rsid w:val="00A04EE6"/>
    <w:rsid w:val="00A115EF"/>
    <w:rsid w:val="00A11E7A"/>
    <w:rsid w:val="00A22F6F"/>
    <w:rsid w:val="00A3236D"/>
    <w:rsid w:val="00A3536B"/>
    <w:rsid w:val="00A36002"/>
    <w:rsid w:val="00A37C29"/>
    <w:rsid w:val="00A4016E"/>
    <w:rsid w:val="00A5317A"/>
    <w:rsid w:val="00A53E12"/>
    <w:rsid w:val="00A57511"/>
    <w:rsid w:val="00A6068E"/>
    <w:rsid w:val="00A62462"/>
    <w:rsid w:val="00A73983"/>
    <w:rsid w:val="00A75E33"/>
    <w:rsid w:val="00A907CB"/>
    <w:rsid w:val="00A94847"/>
    <w:rsid w:val="00A96DCB"/>
    <w:rsid w:val="00AA521F"/>
    <w:rsid w:val="00AA5DC7"/>
    <w:rsid w:val="00AA6B6D"/>
    <w:rsid w:val="00AB2065"/>
    <w:rsid w:val="00AC307D"/>
    <w:rsid w:val="00AC7B6A"/>
    <w:rsid w:val="00AC7FCE"/>
    <w:rsid w:val="00AE036C"/>
    <w:rsid w:val="00AF04D0"/>
    <w:rsid w:val="00AF06BB"/>
    <w:rsid w:val="00AF07E5"/>
    <w:rsid w:val="00B0065C"/>
    <w:rsid w:val="00B01BFC"/>
    <w:rsid w:val="00B05800"/>
    <w:rsid w:val="00B15C02"/>
    <w:rsid w:val="00B21805"/>
    <w:rsid w:val="00B3299E"/>
    <w:rsid w:val="00B32D57"/>
    <w:rsid w:val="00B371B0"/>
    <w:rsid w:val="00B37537"/>
    <w:rsid w:val="00B45606"/>
    <w:rsid w:val="00B5203D"/>
    <w:rsid w:val="00B70BA0"/>
    <w:rsid w:val="00B72935"/>
    <w:rsid w:val="00B730B5"/>
    <w:rsid w:val="00B907F2"/>
    <w:rsid w:val="00BA16FD"/>
    <w:rsid w:val="00BA5291"/>
    <w:rsid w:val="00BB0921"/>
    <w:rsid w:val="00BD53B8"/>
    <w:rsid w:val="00BD602C"/>
    <w:rsid w:val="00BE6141"/>
    <w:rsid w:val="00BE6A0B"/>
    <w:rsid w:val="00C0368B"/>
    <w:rsid w:val="00C05A33"/>
    <w:rsid w:val="00C07A9F"/>
    <w:rsid w:val="00C1354E"/>
    <w:rsid w:val="00C159EF"/>
    <w:rsid w:val="00C2618B"/>
    <w:rsid w:val="00C26A80"/>
    <w:rsid w:val="00C30020"/>
    <w:rsid w:val="00C4462E"/>
    <w:rsid w:val="00C5028E"/>
    <w:rsid w:val="00C61E87"/>
    <w:rsid w:val="00C7663F"/>
    <w:rsid w:val="00C805A7"/>
    <w:rsid w:val="00C812A1"/>
    <w:rsid w:val="00C82432"/>
    <w:rsid w:val="00C83765"/>
    <w:rsid w:val="00CA3308"/>
    <w:rsid w:val="00CA4827"/>
    <w:rsid w:val="00CA69EE"/>
    <w:rsid w:val="00CA6B2D"/>
    <w:rsid w:val="00CB1238"/>
    <w:rsid w:val="00CB1474"/>
    <w:rsid w:val="00CB6945"/>
    <w:rsid w:val="00CC1588"/>
    <w:rsid w:val="00CC5C91"/>
    <w:rsid w:val="00CD7496"/>
    <w:rsid w:val="00CE0489"/>
    <w:rsid w:val="00CE192D"/>
    <w:rsid w:val="00CE4537"/>
    <w:rsid w:val="00CE5183"/>
    <w:rsid w:val="00D06C78"/>
    <w:rsid w:val="00D17017"/>
    <w:rsid w:val="00D20595"/>
    <w:rsid w:val="00D20675"/>
    <w:rsid w:val="00D2766D"/>
    <w:rsid w:val="00D301BC"/>
    <w:rsid w:val="00D42CE9"/>
    <w:rsid w:val="00D62937"/>
    <w:rsid w:val="00D66D97"/>
    <w:rsid w:val="00D76084"/>
    <w:rsid w:val="00D7650E"/>
    <w:rsid w:val="00D8643B"/>
    <w:rsid w:val="00D9169F"/>
    <w:rsid w:val="00D95EDE"/>
    <w:rsid w:val="00DA3BE8"/>
    <w:rsid w:val="00DB5412"/>
    <w:rsid w:val="00DB6F49"/>
    <w:rsid w:val="00DC1F09"/>
    <w:rsid w:val="00DC42B9"/>
    <w:rsid w:val="00DC7361"/>
    <w:rsid w:val="00DD3CFE"/>
    <w:rsid w:val="00DE211A"/>
    <w:rsid w:val="00DF2F8C"/>
    <w:rsid w:val="00DF70EF"/>
    <w:rsid w:val="00E007D3"/>
    <w:rsid w:val="00E15C7F"/>
    <w:rsid w:val="00E2700F"/>
    <w:rsid w:val="00E32993"/>
    <w:rsid w:val="00E371E8"/>
    <w:rsid w:val="00E40B54"/>
    <w:rsid w:val="00E45118"/>
    <w:rsid w:val="00E45978"/>
    <w:rsid w:val="00E574D9"/>
    <w:rsid w:val="00E72ADC"/>
    <w:rsid w:val="00E74406"/>
    <w:rsid w:val="00E74E9E"/>
    <w:rsid w:val="00E777CA"/>
    <w:rsid w:val="00E878C5"/>
    <w:rsid w:val="00E906F5"/>
    <w:rsid w:val="00EA4796"/>
    <w:rsid w:val="00EA4EFA"/>
    <w:rsid w:val="00EA6D0E"/>
    <w:rsid w:val="00EB7D7D"/>
    <w:rsid w:val="00EC2BA3"/>
    <w:rsid w:val="00ED1CAE"/>
    <w:rsid w:val="00EE260D"/>
    <w:rsid w:val="00EF0691"/>
    <w:rsid w:val="00F00305"/>
    <w:rsid w:val="00F00338"/>
    <w:rsid w:val="00F01A10"/>
    <w:rsid w:val="00F10E2D"/>
    <w:rsid w:val="00F23B57"/>
    <w:rsid w:val="00F24B23"/>
    <w:rsid w:val="00F27DB1"/>
    <w:rsid w:val="00F32E41"/>
    <w:rsid w:val="00F36F3E"/>
    <w:rsid w:val="00F4240F"/>
    <w:rsid w:val="00F46394"/>
    <w:rsid w:val="00F61E7F"/>
    <w:rsid w:val="00F6423B"/>
    <w:rsid w:val="00F91695"/>
    <w:rsid w:val="00F93215"/>
    <w:rsid w:val="00F96663"/>
    <w:rsid w:val="00FB5CDB"/>
    <w:rsid w:val="00FC0034"/>
    <w:rsid w:val="00FD0698"/>
    <w:rsid w:val="00FD0D8A"/>
    <w:rsid w:val="00FE3E39"/>
    <w:rsid w:val="00FF6125"/>
    <w:rsid w:val="00FF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1F00"/>
        <w:sz w:val="18"/>
        <w:szCs w:val="18"/>
        <w:lang w:val="en-GB"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E2"/>
  </w:style>
  <w:style w:type="paragraph" w:styleId="Heading1">
    <w:name w:val="heading 1"/>
    <w:basedOn w:val="Normal"/>
    <w:next w:val="Normal"/>
    <w:uiPriority w:val="9"/>
    <w:qFormat/>
    <w:rsid w:val="00D95EDE"/>
    <w:pPr>
      <w:keepNext/>
      <w:ind w:left="432" w:hanging="432"/>
      <w:outlineLvl w:val="0"/>
    </w:pPr>
    <w:rPr>
      <w:b/>
      <w:sz w:val="20"/>
      <w:szCs w:val="20"/>
    </w:rPr>
  </w:style>
  <w:style w:type="paragraph" w:styleId="Heading2">
    <w:name w:val="heading 2"/>
    <w:basedOn w:val="Normal"/>
    <w:next w:val="Normal"/>
    <w:uiPriority w:val="9"/>
    <w:unhideWhenUsed/>
    <w:qFormat/>
    <w:rsid w:val="00D95EDE"/>
    <w:pPr>
      <w:keepNext/>
      <w:ind w:left="576" w:hanging="576"/>
      <w:outlineLvl w:val="1"/>
    </w:pPr>
    <w:rPr>
      <w:b/>
    </w:rPr>
  </w:style>
  <w:style w:type="paragraph" w:styleId="Heading3">
    <w:name w:val="heading 3"/>
    <w:basedOn w:val="Normal"/>
    <w:next w:val="Normal"/>
    <w:link w:val="Heading3Char"/>
    <w:uiPriority w:val="9"/>
    <w:unhideWhenUsed/>
    <w:qFormat/>
    <w:rsid w:val="00D95EDE"/>
    <w:pPr>
      <w:keepNext/>
      <w:spacing w:before="240" w:after="60"/>
      <w:ind w:left="720" w:hanging="720"/>
      <w:outlineLvl w:val="2"/>
    </w:pPr>
    <w:rPr>
      <w:b/>
      <w:sz w:val="26"/>
      <w:szCs w:val="26"/>
    </w:rPr>
  </w:style>
  <w:style w:type="paragraph" w:styleId="Heading4">
    <w:name w:val="heading 4"/>
    <w:basedOn w:val="Normal"/>
    <w:next w:val="Normal"/>
    <w:uiPriority w:val="9"/>
    <w:semiHidden/>
    <w:unhideWhenUsed/>
    <w:qFormat/>
    <w:rsid w:val="00D95EDE"/>
    <w:pPr>
      <w:keepNext/>
      <w:keepLines/>
      <w:spacing w:before="40"/>
      <w:ind w:left="864" w:hanging="864"/>
      <w:outlineLvl w:val="3"/>
    </w:pPr>
    <w:rPr>
      <w:rFonts w:ascii="Cambria" w:eastAsia="Cambria" w:hAnsi="Cambria" w:cs="Cambria"/>
      <w:i/>
      <w:color w:val="366091"/>
    </w:rPr>
  </w:style>
  <w:style w:type="paragraph" w:styleId="Heading5">
    <w:name w:val="heading 5"/>
    <w:basedOn w:val="Normal"/>
    <w:next w:val="Normal"/>
    <w:uiPriority w:val="9"/>
    <w:semiHidden/>
    <w:unhideWhenUsed/>
    <w:qFormat/>
    <w:rsid w:val="00D95EDE"/>
    <w:pPr>
      <w:keepNext/>
      <w:keepLines/>
      <w:spacing w:before="40"/>
      <w:ind w:left="1008" w:hanging="1008"/>
      <w:outlineLvl w:val="4"/>
    </w:pPr>
    <w:rPr>
      <w:rFonts w:ascii="Cambria" w:eastAsia="Cambria" w:hAnsi="Cambria" w:cs="Cambria"/>
      <w:color w:val="366091"/>
    </w:rPr>
  </w:style>
  <w:style w:type="paragraph" w:styleId="Heading6">
    <w:name w:val="heading 6"/>
    <w:basedOn w:val="Normal"/>
    <w:next w:val="Normal"/>
    <w:uiPriority w:val="9"/>
    <w:semiHidden/>
    <w:unhideWhenUsed/>
    <w:qFormat/>
    <w:rsid w:val="00D95EDE"/>
    <w:pPr>
      <w:spacing w:before="240" w:after="60"/>
      <w:ind w:left="1152" w:hanging="1152"/>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
    <w:unhideWhenUsed/>
    <w:qFormat/>
    <w:rsid w:val="00E45118"/>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95EDE"/>
    <w:pPr>
      <w:jc w:val="center"/>
    </w:pPr>
    <w:rPr>
      <w:rFonts w:ascii="Times New Roman" w:eastAsia="Times New Roman" w:hAnsi="Times New Roman" w:cs="Times New Roman"/>
      <w:b/>
      <w:color w:val="000000"/>
      <w:sz w:val="24"/>
      <w:szCs w:val="24"/>
    </w:rPr>
  </w:style>
  <w:style w:type="paragraph" w:styleId="Subtitle">
    <w:name w:val="Subtitle"/>
    <w:basedOn w:val="Normal"/>
    <w:next w:val="Normal"/>
    <w:uiPriority w:val="11"/>
    <w:qFormat/>
    <w:rsid w:val="00D95EDE"/>
    <w:pPr>
      <w:spacing w:line="280" w:lineRule="auto"/>
      <w:jc w:val="both"/>
    </w:pPr>
    <w:rPr>
      <w:color w:val="5A5A5A"/>
      <w:sz w:val="22"/>
      <w:szCs w:val="22"/>
    </w:rPr>
  </w:style>
  <w:style w:type="table" w:customStyle="1" w:styleId="a">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0">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1">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4">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5">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6">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7">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8">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9">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a">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table" w:customStyle="1" w:styleId="ab">
    <w:basedOn w:val="TableNormal"/>
    <w:rsid w:val="00D95EDE"/>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D063D"/>
    <w:rPr>
      <w:rFonts w:ascii="Segoe UI" w:hAnsi="Segoe UI" w:cs="Segoe UI"/>
    </w:rPr>
  </w:style>
  <w:style w:type="character" w:customStyle="1" w:styleId="BalloonTextChar">
    <w:name w:val="Balloon Text Char"/>
    <w:basedOn w:val="DefaultParagraphFont"/>
    <w:link w:val="BalloonText"/>
    <w:uiPriority w:val="99"/>
    <w:semiHidden/>
    <w:rsid w:val="002D063D"/>
    <w:rPr>
      <w:rFonts w:ascii="Segoe UI" w:hAnsi="Segoe UI" w:cs="Segoe UI"/>
    </w:rPr>
  </w:style>
  <w:style w:type="character" w:customStyle="1" w:styleId="Heading7Char">
    <w:name w:val="Heading 7 Char"/>
    <w:basedOn w:val="DefaultParagraphFont"/>
    <w:link w:val="Heading7"/>
    <w:uiPriority w:val="9"/>
    <w:rsid w:val="00E45118"/>
    <w:rPr>
      <w:b/>
    </w:rPr>
  </w:style>
  <w:style w:type="paragraph" w:styleId="BodyText">
    <w:name w:val="Body Text"/>
    <w:basedOn w:val="Normal"/>
    <w:link w:val="BodyTextChar"/>
    <w:uiPriority w:val="99"/>
    <w:unhideWhenUsed/>
    <w:rsid w:val="00E45118"/>
    <w:pPr>
      <w:pBdr>
        <w:top w:val="nil"/>
        <w:left w:val="nil"/>
        <w:bottom w:val="nil"/>
        <w:right w:val="nil"/>
        <w:between w:val="nil"/>
      </w:pBdr>
      <w:spacing w:line="280" w:lineRule="auto"/>
      <w:jc w:val="both"/>
    </w:pPr>
    <w:rPr>
      <w:b/>
      <w:color w:val="000000"/>
      <w:sz w:val="28"/>
      <w:szCs w:val="28"/>
    </w:rPr>
  </w:style>
  <w:style w:type="character" w:customStyle="1" w:styleId="BodyTextChar">
    <w:name w:val="Body Text Char"/>
    <w:basedOn w:val="DefaultParagraphFont"/>
    <w:link w:val="BodyText"/>
    <w:uiPriority w:val="99"/>
    <w:rsid w:val="00E45118"/>
    <w:rPr>
      <w:b/>
      <w:color w:val="000000"/>
      <w:sz w:val="28"/>
      <w:szCs w:val="28"/>
    </w:rPr>
  </w:style>
  <w:style w:type="paragraph" w:styleId="Header">
    <w:name w:val="header"/>
    <w:basedOn w:val="Normal"/>
    <w:link w:val="HeaderChar"/>
    <w:uiPriority w:val="99"/>
    <w:unhideWhenUsed/>
    <w:rsid w:val="005A022C"/>
    <w:pPr>
      <w:tabs>
        <w:tab w:val="center" w:pos="4680"/>
        <w:tab w:val="right" w:pos="9360"/>
      </w:tabs>
    </w:pPr>
  </w:style>
  <w:style w:type="character" w:customStyle="1" w:styleId="HeaderChar">
    <w:name w:val="Header Char"/>
    <w:basedOn w:val="DefaultParagraphFont"/>
    <w:link w:val="Header"/>
    <w:uiPriority w:val="99"/>
    <w:rsid w:val="005A022C"/>
  </w:style>
  <w:style w:type="paragraph" w:styleId="Footer">
    <w:name w:val="footer"/>
    <w:basedOn w:val="Normal"/>
    <w:link w:val="FooterChar"/>
    <w:uiPriority w:val="99"/>
    <w:unhideWhenUsed/>
    <w:rsid w:val="005A022C"/>
    <w:pPr>
      <w:tabs>
        <w:tab w:val="center" w:pos="4680"/>
        <w:tab w:val="right" w:pos="9360"/>
      </w:tabs>
    </w:pPr>
  </w:style>
  <w:style w:type="character" w:customStyle="1" w:styleId="FooterChar">
    <w:name w:val="Footer Char"/>
    <w:basedOn w:val="DefaultParagraphFont"/>
    <w:link w:val="Footer"/>
    <w:uiPriority w:val="99"/>
    <w:rsid w:val="005A022C"/>
  </w:style>
  <w:style w:type="paragraph" w:styleId="BodyText2">
    <w:name w:val="Body Text 2"/>
    <w:basedOn w:val="Normal"/>
    <w:link w:val="BodyText2Char"/>
    <w:uiPriority w:val="99"/>
    <w:unhideWhenUsed/>
    <w:rsid w:val="00A11E7A"/>
    <w:pPr>
      <w:spacing w:line="276" w:lineRule="auto"/>
      <w:jc w:val="both"/>
    </w:pPr>
    <w:rPr>
      <w:color w:val="000000"/>
      <w:sz w:val="22"/>
      <w:szCs w:val="22"/>
    </w:rPr>
  </w:style>
  <w:style w:type="character" w:customStyle="1" w:styleId="BodyText2Char">
    <w:name w:val="Body Text 2 Char"/>
    <w:basedOn w:val="DefaultParagraphFont"/>
    <w:link w:val="BodyText2"/>
    <w:uiPriority w:val="99"/>
    <w:rsid w:val="00A11E7A"/>
    <w:rPr>
      <w:color w:val="000000"/>
      <w:sz w:val="22"/>
      <w:szCs w:val="22"/>
    </w:rPr>
  </w:style>
  <w:style w:type="paragraph" w:styleId="TOC1">
    <w:name w:val="toc 1"/>
    <w:basedOn w:val="Normal"/>
    <w:next w:val="Normal"/>
    <w:autoRedefine/>
    <w:uiPriority w:val="39"/>
    <w:unhideWhenUsed/>
    <w:rsid w:val="004B179F"/>
    <w:pPr>
      <w:spacing w:after="100"/>
    </w:pPr>
  </w:style>
  <w:style w:type="paragraph" w:styleId="TOC2">
    <w:name w:val="toc 2"/>
    <w:basedOn w:val="Normal"/>
    <w:next w:val="Normal"/>
    <w:autoRedefine/>
    <w:uiPriority w:val="39"/>
    <w:unhideWhenUsed/>
    <w:rsid w:val="004B179F"/>
    <w:pPr>
      <w:spacing w:after="100"/>
      <w:ind w:left="180"/>
    </w:pPr>
  </w:style>
  <w:style w:type="paragraph" w:styleId="TOC3">
    <w:name w:val="toc 3"/>
    <w:basedOn w:val="Normal"/>
    <w:next w:val="Normal"/>
    <w:autoRedefine/>
    <w:uiPriority w:val="39"/>
    <w:unhideWhenUsed/>
    <w:rsid w:val="004B179F"/>
    <w:pPr>
      <w:spacing w:after="100"/>
      <w:ind w:left="360"/>
    </w:pPr>
  </w:style>
  <w:style w:type="character" w:styleId="Hyperlink">
    <w:name w:val="Hyperlink"/>
    <w:basedOn w:val="DefaultParagraphFont"/>
    <w:uiPriority w:val="99"/>
    <w:unhideWhenUsed/>
    <w:rsid w:val="004B179F"/>
    <w:rPr>
      <w:color w:val="0000FF" w:themeColor="hyperlink"/>
      <w:u w:val="single"/>
    </w:rPr>
  </w:style>
  <w:style w:type="paragraph" w:styleId="ListParagraph">
    <w:name w:val="List Paragraph"/>
    <w:basedOn w:val="Normal"/>
    <w:link w:val="ListParagraphChar"/>
    <w:uiPriority w:val="34"/>
    <w:qFormat/>
    <w:rsid w:val="00011979"/>
    <w:pPr>
      <w:suppressAutoHyphens/>
      <w:autoSpaceDN w:val="0"/>
      <w:spacing w:line="280" w:lineRule="exact"/>
      <w:ind w:left="720"/>
      <w:textAlignment w:val="baseline"/>
    </w:pPr>
    <w:rPr>
      <w:rFonts w:eastAsia="Times New Roman" w:cs="Times New Roman"/>
      <w:color w:val="000000"/>
      <w:spacing w:val="6"/>
      <w:lang w:eastAsia="en-GB"/>
    </w:rPr>
  </w:style>
  <w:style w:type="character" w:customStyle="1" w:styleId="ListParagraphChar">
    <w:name w:val="List Paragraph Char"/>
    <w:link w:val="ListParagraph"/>
    <w:uiPriority w:val="34"/>
    <w:locked/>
    <w:rsid w:val="00011979"/>
    <w:rPr>
      <w:rFonts w:eastAsia="Times New Roman" w:cs="Times New Roman"/>
      <w:color w:val="000000"/>
      <w:spacing w:val="6"/>
      <w:lang w:eastAsia="en-GB"/>
    </w:rPr>
  </w:style>
  <w:style w:type="character" w:customStyle="1" w:styleId="Heading3Char">
    <w:name w:val="Heading 3 Char"/>
    <w:basedOn w:val="DefaultParagraphFont"/>
    <w:link w:val="Heading3"/>
    <w:uiPriority w:val="9"/>
    <w:rsid w:val="00B0065C"/>
    <w:rPr>
      <w:b/>
      <w:sz w:val="26"/>
      <w:szCs w:val="26"/>
    </w:rPr>
  </w:style>
  <w:style w:type="paragraph" w:styleId="Caption">
    <w:name w:val="caption"/>
    <w:basedOn w:val="Normal"/>
    <w:next w:val="Normal"/>
    <w:uiPriority w:val="35"/>
    <w:unhideWhenUsed/>
    <w:qFormat/>
    <w:rsid w:val="007535D2"/>
    <w:pPr>
      <w:spacing w:after="200"/>
    </w:pPr>
    <w:rPr>
      <w:i/>
      <w:iCs/>
      <w:color w:val="1F497D" w:themeColor="text2"/>
    </w:rPr>
  </w:style>
  <w:style w:type="table" w:customStyle="1" w:styleId="GridTable7Colorful">
    <w:name w:val="Grid Table 7 Colorful"/>
    <w:basedOn w:val="TableNormal"/>
    <w:uiPriority w:val="52"/>
    <w:rsid w:val="00DC7361"/>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next w:val="GridTable6Colorful"/>
    <w:uiPriority w:val="51"/>
    <w:rsid w:val="00733AFB"/>
    <w:rPr>
      <w:rFonts w:ascii="Times New Roman" w:eastAsia="Times New Roman" w:hAnsi="Times New Roman" w:cs="Times New Roman"/>
      <w:color w:val="000000"/>
      <w:sz w:val="20"/>
      <w:szCs w:val="20"/>
      <w:lang w:val="en-Z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
    <w:name w:val="Grid Table 6 Colorful"/>
    <w:basedOn w:val="TableNormal"/>
    <w:uiPriority w:val="51"/>
    <w:rsid w:val="00733AFB"/>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2">
    <w:name w:val="Grid Table 6 Colorful2"/>
    <w:basedOn w:val="TableNormal"/>
    <w:next w:val="GridTable6Colorful"/>
    <w:uiPriority w:val="51"/>
    <w:rsid w:val="005B51A7"/>
    <w:rPr>
      <w:rFonts w:ascii="Times New Roman" w:eastAsia="Times New Roman" w:hAnsi="Times New Roman" w:cs="Times New Roman"/>
      <w:color w:val="000000"/>
      <w:sz w:val="20"/>
      <w:szCs w:val="20"/>
      <w:lang w:val="en-Z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00D2BD-6BFA-47B8-829B-8BA98FDA8676}" type="doc">
      <dgm:prSet loTypeId="urn:microsoft.com/office/officeart/2005/8/layout/hList3" loCatId="list" qsTypeId="urn:microsoft.com/office/officeart/2005/8/quickstyle/simple1" qsCatId="simple" csTypeId="urn:microsoft.com/office/officeart/2005/8/colors/accent3_1" csCatId="accent3" phldr="1"/>
      <dgm:spPr/>
    </dgm:pt>
    <dgm:pt modelId="{3E878BD1-5B04-4A64-9ED3-2220F16BAAF0}">
      <dgm:prSet custT="1"/>
      <dgm:spPr/>
      <dgm:t>
        <a:bodyPr/>
        <a:lstStyle/>
        <a:p>
          <a:pPr algn="just"/>
          <a:r>
            <a:rPr lang="en-US" sz="1200">
              <a:latin typeface="Times New Roman" panose="02020603050405020304" pitchFamily="18" charset="0"/>
              <a:cs typeface="Times New Roman" panose="02020603050405020304" pitchFamily="18" charset="0"/>
            </a:rPr>
            <a:t>A. Life expectancy of South Africans improved to 66.6 years by 2024 and 70 years by 2030.</a:t>
          </a:r>
          <a:endParaRPr lang="en-US" sz="1300"/>
        </a:p>
        <a:p>
          <a:pPr algn="ctr"/>
          <a:endParaRPr lang="en-US" sz="1300"/>
        </a:p>
      </dgm:t>
    </dgm:pt>
    <dgm:pt modelId="{49E0361B-5E48-4A50-AF7C-1A35EC4F9C21}" type="parTrans" cxnId="{9ED17DAE-0639-41D4-9CE5-8E0C83A9D676}">
      <dgm:prSet/>
      <dgm:spPr/>
      <dgm:t>
        <a:bodyPr/>
        <a:lstStyle/>
        <a:p>
          <a:endParaRPr lang="en-US"/>
        </a:p>
      </dgm:t>
    </dgm:pt>
    <dgm:pt modelId="{811D942D-F68A-4FB3-A76E-9E2F69443E4A}" type="sibTrans" cxnId="{9ED17DAE-0639-41D4-9CE5-8E0C83A9D676}">
      <dgm:prSet/>
      <dgm:spPr/>
      <dgm:t>
        <a:bodyPr/>
        <a:lstStyle/>
        <a:p>
          <a:endParaRPr lang="en-US"/>
        </a:p>
      </dgm:t>
    </dgm:pt>
    <dgm:pt modelId="{E01A68E5-9CC0-426B-BB3E-627B20DC0E63}">
      <dgm:prSet phldrT="[Text]" custT="1"/>
      <dgm:spPr>
        <a:solidFill>
          <a:schemeClr val="bg1">
            <a:lumMod val="65000"/>
          </a:schemeClr>
        </a:solidFill>
      </dgm:spPr>
      <dgm:t>
        <a:bodyPr/>
        <a:lstStyle/>
        <a:p>
          <a:r>
            <a:rPr lang="en-GB" sz="1200" b="1">
              <a:solidFill>
                <a:schemeClr val="tx1"/>
              </a:solidFill>
              <a:latin typeface="Times New Roman" panose="02020603050405020304" pitchFamily="18" charset="0"/>
              <a:cs typeface="Times New Roman" panose="02020603050405020304" pitchFamily="18" charset="0"/>
            </a:rPr>
            <a:t>MTSF Priority 3 (Education, Skills and Health) - Impact Statements</a:t>
          </a:r>
          <a:endParaRPr lang="en-US" sz="1200" b="1">
            <a:solidFill>
              <a:schemeClr val="tx1"/>
            </a:solidFill>
            <a:latin typeface="Times New Roman" panose="02020603050405020304" pitchFamily="18" charset="0"/>
            <a:cs typeface="Times New Roman" panose="02020603050405020304" pitchFamily="18" charset="0"/>
          </a:endParaRPr>
        </a:p>
      </dgm:t>
    </dgm:pt>
    <dgm:pt modelId="{33E172E2-60FA-44E2-B0F8-DBCBAB126CEF}" type="sibTrans" cxnId="{969AB704-9FA3-4842-B5D7-E83429D8A336}">
      <dgm:prSet/>
      <dgm:spPr/>
      <dgm:t>
        <a:bodyPr/>
        <a:lstStyle/>
        <a:p>
          <a:endParaRPr lang="en-US"/>
        </a:p>
      </dgm:t>
    </dgm:pt>
    <dgm:pt modelId="{FBC5434F-3C45-4BF0-8317-896A4F4947E6}" type="parTrans" cxnId="{969AB704-9FA3-4842-B5D7-E83429D8A336}">
      <dgm:prSet/>
      <dgm:spPr/>
      <dgm:t>
        <a:bodyPr/>
        <a:lstStyle/>
        <a:p>
          <a:endParaRPr lang="en-US"/>
        </a:p>
      </dgm:t>
    </dgm:pt>
    <dgm:pt modelId="{04B7BE41-59C4-44FE-B7E9-9FA1E8011483}">
      <dgm:prSet phldrT="[Text]"/>
      <dgm:spPr/>
      <dgm:t>
        <a:bodyPr/>
        <a:lstStyle/>
        <a:p>
          <a:endParaRPr lang="en-US"/>
        </a:p>
      </dgm:t>
    </dgm:pt>
    <dgm:pt modelId="{8A0C41B1-67B0-46EE-91A0-9CC6C4244F9E}" type="sibTrans" cxnId="{F4DD4463-F29B-494C-B160-BA2389C59B17}">
      <dgm:prSet/>
      <dgm:spPr/>
      <dgm:t>
        <a:bodyPr/>
        <a:lstStyle/>
        <a:p>
          <a:endParaRPr lang="en-US"/>
        </a:p>
      </dgm:t>
    </dgm:pt>
    <dgm:pt modelId="{D70E0B11-3A08-4627-8437-C36E581BFF69}" type="parTrans" cxnId="{F4DD4463-F29B-494C-B160-BA2389C59B17}">
      <dgm:prSet/>
      <dgm:spPr/>
      <dgm:t>
        <a:bodyPr/>
        <a:lstStyle/>
        <a:p>
          <a:endParaRPr lang="en-US"/>
        </a:p>
      </dgm:t>
    </dgm:pt>
    <dgm:pt modelId="{21A84A89-6276-4714-8DA0-2A018F70F1F9}">
      <dgm:prSet phldrT="[Text]" custT="1"/>
      <dgm:spPr/>
      <dgm:t>
        <a:bodyPr/>
        <a:lstStyle/>
        <a:p>
          <a:pPr algn="just"/>
          <a:r>
            <a:rPr lang="en-US" sz="1200">
              <a:latin typeface="Times New Roman" panose="02020603050405020304" pitchFamily="18" charset="0"/>
              <a:cs typeface="Times New Roman" panose="02020603050405020304" pitchFamily="18" charset="0"/>
            </a:rPr>
            <a:t>B. Progressively achieved universal hea;th coverage for all South Africans. All citizens protected from the catastrophic financial impact of seeking health care.</a:t>
          </a:r>
        </a:p>
      </dgm:t>
    </dgm:pt>
    <dgm:pt modelId="{ABC26BF4-B0F4-4D03-A141-4839BB7AF45D}" type="sibTrans" cxnId="{7516823C-095E-4158-A54C-0C60A3314CE0}">
      <dgm:prSet/>
      <dgm:spPr/>
      <dgm:t>
        <a:bodyPr/>
        <a:lstStyle/>
        <a:p>
          <a:endParaRPr lang="en-US"/>
        </a:p>
      </dgm:t>
    </dgm:pt>
    <dgm:pt modelId="{EADEB25A-F4A6-4754-9721-E31B5E6F90EF}" type="parTrans" cxnId="{7516823C-095E-4158-A54C-0C60A3314CE0}">
      <dgm:prSet/>
      <dgm:spPr/>
      <dgm:t>
        <a:bodyPr/>
        <a:lstStyle/>
        <a:p>
          <a:endParaRPr lang="en-US"/>
        </a:p>
      </dgm:t>
    </dgm:pt>
    <dgm:pt modelId="{EAF465F3-BE5E-44C0-AC3C-E43BAFFD10F1}" type="pres">
      <dgm:prSet presAssocID="{9F00D2BD-6BFA-47B8-829B-8BA98FDA8676}" presName="composite" presStyleCnt="0">
        <dgm:presLayoutVars>
          <dgm:chMax val="1"/>
          <dgm:dir/>
          <dgm:resizeHandles val="exact"/>
        </dgm:presLayoutVars>
      </dgm:prSet>
      <dgm:spPr/>
    </dgm:pt>
    <dgm:pt modelId="{E37DFF3F-77A1-4421-8F62-CEC5969A16A5}" type="pres">
      <dgm:prSet presAssocID="{E01A68E5-9CC0-426B-BB3E-627B20DC0E63}" presName="roof" presStyleLbl="dkBgShp" presStyleIdx="0" presStyleCnt="2"/>
      <dgm:spPr/>
      <dgm:t>
        <a:bodyPr/>
        <a:lstStyle/>
        <a:p>
          <a:endParaRPr lang="en-US"/>
        </a:p>
      </dgm:t>
    </dgm:pt>
    <dgm:pt modelId="{0373A288-AF3F-4BB5-9E63-2E1AFF334FF6}" type="pres">
      <dgm:prSet presAssocID="{E01A68E5-9CC0-426B-BB3E-627B20DC0E63}" presName="pillars" presStyleCnt="0"/>
      <dgm:spPr/>
    </dgm:pt>
    <dgm:pt modelId="{C0F8B152-7A49-4F98-8CE7-82571B7BDD1B}" type="pres">
      <dgm:prSet presAssocID="{E01A68E5-9CC0-426B-BB3E-627B20DC0E63}" presName="pillar1" presStyleLbl="node1" presStyleIdx="0" presStyleCnt="2" custScaleY="100756">
        <dgm:presLayoutVars>
          <dgm:bulletEnabled val="1"/>
        </dgm:presLayoutVars>
      </dgm:prSet>
      <dgm:spPr/>
      <dgm:t>
        <a:bodyPr/>
        <a:lstStyle/>
        <a:p>
          <a:endParaRPr lang="en-US"/>
        </a:p>
      </dgm:t>
    </dgm:pt>
    <dgm:pt modelId="{2A8B85EF-7B67-4123-815D-3D0341B0750B}" type="pres">
      <dgm:prSet presAssocID="{21A84A89-6276-4714-8DA0-2A018F70F1F9}" presName="pillarX" presStyleLbl="node1" presStyleIdx="1" presStyleCnt="2">
        <dgm:presLayoutVars>
          <dgm:bulletEnabled val="1"/>
        </dgm:presLayoutVars>
      </dgm:prSet>
      <dgm:spPr/>
      <dgm:t>
        <a:bodyPr/>
        <a:lstStyle/>
        <a:p>
          <a:endParaRPr lang="en-US"/>
        </a:p>
      </dgm:t>
    </dgm:pt>
    <dgm:pt modelId="{2522DB60-D0AD-4A53-8464-D3E5E07581A8}" type="pres">
      <dgm:prSet presAssocID="{E01A68E5-9CC0-426B-BB3E-627B20DC0E63}" presName="base" presStyleLbl="dkBgShp" presStyleIdx="1" presStyleCnt="2"/>
      <dgm:spPr>
        <a:solidFill>
          <a:schemeClr val="bg1">
            <a:lumMod val="65000"/>
          </a:schemeClr>
        </a:solidFill>
      </dgm:spPr>
    </dgm:pt>
  </dgm:ptLst>
  <dgm:cxnLst>
    <dgm:cxn modelId="{F4DD4463-F29B-494C-B160-BA2389C59B17}" srcId="{9F00D2BD-6BFA-47B8-829B-8BA98FDA8676}" destId="{04B7BE41-59C4-44FE-B7E9-9FA1E8011483}" srcOrd="1" destOrd="0" parTransId="{D70E0B11-3A08-4627-8437-C36E581BFF69}" sibTransId="{8A0C41B1-67B0-46EE-91A0-9CC6C4244F9E}"/>
    <dgm:cxn modelId="{98B2E62E-87AC-404B-A3A0-9B2A81073BD3}" type="presOf" srcId="{3E878BD1-5B04-4A64-9ED3-2220F16BAAF0}" destId="{C0F8B152-7A49-4F98-8CE7-82571B7BDD1B}" srcOrd="0" destOrd="0" presId="urn:microsoft.com/office/officeart/2005/8/layout/hList3"/>
    <dgm:cxn modelId="{9ED17DAE-0639-41D4-9CE5-8E0C83A9D676}" srcId="{E01A68E5-9CC0-426B-BB3E-627B20DC0E63}" destId="{3E878BD1-5B04-4A64-9ED3-2220F16BAAF0}" srcOrd="0" destOrd="0" parTransId="{49E0361B-5E48-4A50-AF7C-1A35EC4F9C21}" sibTransId="{811D942D-F68A-4FB3-A76E-9E2F69443E4A}"/>
    <dgm:cxn modelId="{3846683C-4E08-4AB8-A68E-416619B03A90}" type="presOf" srcId="{E01A68E5-9CC0-426B-BB3E-627B20DC0E63}" destId="{E37DFF3F-77A1-4421-8F62-CEC5969A16A5}" srcOrd="0" destOrd="0" presId="urn:microsoft.com/office/officeart/2005/8/layout/hList3"/>
    <dgm:cxn modelId="{969AB704-9FA3-4842-B5D7-E83429D8A336}" srcId="{9F00D2BD-6BFA-47B8-829B-8BA98FDA8676}" destId="{E01A68E5-9CC0-426B-BB3E-627B20DC0E63}" srcOrd="0" destOrd="0" parTransId="{FBC5434F-3C45-4BF0-8317-896A4F4947E6}" sibTransId="{33E172E2-60FA-44E2-B0F8-DBCBAB126CEF}"/>
    <dgm:cxn modelId="{47962426-3CB4-43A5-8414-41021CB1D884}" type="presOf" srcId="{21A84A89-6276-4714-8DA0-2A018F70F1F9}" destId="{2A8B85EF-7B67-4123-815D-3D0341B0750B}" srcOrd="0" destOrd="0" presId="urn:microsoft.com/office/officeart/2005/8/layout/hList3"/>
    <dgm:cxn modelId="{7516823C-095E-4158-A54C-0C60A3314CE0}" srcId="{E01A68E5-9CC0-426B-BB3E-627B20DC0E63}" destId="{21A84A89-6276-4714-8DA0-2A018F70F1F9}" srcOrd="1" destOrd="0" parTransId="{EADEB25A-F4A6-4754-9721-E31B5E6F90EF}" sibTransId="{ABC26BF4-B0F4-4D03-A141-4839BB7AF45D}"/>
    <dgm:cxn modelId="{C8F338C1-B21F-4847-A098-DACED2B20B27}" type="presOf" srcId="{9F00D2BD-6BFA-47B8-829B-8BA98FDA8676}" destId="{EAF465F3-BE5E-44C0-AC3C-E43BAFFD10F1}" srcOrd="0" destOrd="0" presId="urn:microsoft.com/office/officeart/2005/8/layout/hList3"/>
    <dgm:cxn modelId="{94A58B04-E68B-4809-BBC3-6291076461EB}" type="presParOf" srcId="{EAF465F3-BE5E-44C0-AC3C-E43BAFFD10F1}" destId="{E37DFF3F-77A1-4421-8F62-CEC5969A16A5}" srcOrd="0" destOrd="0" presId="urn:microsoft.com/office/officeart/2005/8/layout/hList3"/>
    <dgm:cxn modelId="{D190190C-0B5A-4C7F-87C4-32F7B3D20CA1}" type="presParOf" srcId="{EAF465F3-BE5E-44C0-AC3C-E43BAFFD10F1}" destId="{0373A288-AF3F-4BB5-9E63-2E1AFF334FF6}" srcOrd="1" destOrd="0" presId="urn:microsoft.com/office/officeart/2005/8/layout/hList3"/>
    <dgm:cxn modelId="{E316294E-1A31-4946-91A4-46C244A58190}" type="presParOf" srcId="{0373A288-AF3F-4BB5-9E63-2E1AFF334FF6}" destId="{C0F8B152-7A49-4F98-8CE7-82571B7BDD1B}" srcOrd="0" destOrd="0" presId="urn:microsoft.com/office/officeart/2005/8/layout/hList3"/>
    <dgm:cxn modelId="{020F3C8E-F06D-4702-BBAC-BA4B3A20E66E}" type="presParOf" srcId="{0373A288-AF3F-4BB5-9E63-2E1AFF334FF6}" destId="{2A8B85EF-7B67-4123-815D-3D0341B0750B}" srcOrd="1" destOrd="0" presId="urn:microsoft.com/office/officeart/2005/8/layout/hList3"/>
    <dgm:cxn modelId="{00D26D39-C16C-4981-843A-20F473F61892}" type="presParOf" srcId="{EAF465F3-BE5E-44C0-AC3C-E43BAFFD10F1}" destId="{2522DB60-D0AD-4A53-8464-D3E5E07581A8}" srcOrd="2" destOrd="0" presId="urn:microsoft.com/office/officeart/2005/8/layout/hList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7DFF3F-77A1-4421-8F62-CEC5969A16A5}">
      <dsp:nvSpPr>
        <dsp:cNvPr id="0" name=""/>
        <dsp:cNvSpPr/>
      </dsp:nvSpPr>
      <dsp:spPr>
        <a:xfrm>
          <a:off x="0" y="0"/>
          <a:ext cx="5486400" cy="522922"/>
        </a:xfrm>
        <a:prstGeom prst="rect">
          <a:avLst/>
        </a:prstGeom>
        <a:solidFill>
          <a:schemeClr val="bg1">
            <a:lumMod val="6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latin typeface="Times New Roman" panose="02020603050405020304" pitchFamily="18" charset="0"/>
              <a:cs typeface="Times New Roman" panose="02020603050405020304" pitchFamily="18" charset="0"/>
            </a:rPr>
            <a:t>MTSF Priority 3 (Education, Skills and Health) - Impact Statements</a:t>
          </a:r>
          <a:endParaRPr lang="en-US" sz="1200" b="1" kern="1200">
            <a:solidFill>
              <a:schemeClr val="tx1"/>
            </a:solidFill>
            <a:latin typeface="Times New Roman" panose="02020603050405020304" pitchFamily="18" charset="0"/>
            <a:cs typeface="Times New Roman" panose="02020603050405020304" pitchFamily="18" charset="0"/>
          </a:endParaRPr>
        </a:p>
      </dsp:txBody>
      <dsp:txXfrm>
        <a:off x="0" y="0"/>
        <a:ext cx="5486400" cy="522922"/>
      </dsp:txXfrm>
    </dsp:sp>
    <dsp:sp modelId="{C0F8B152-7A49-4F98-8CE7-82571B7BDD1B}">
      <dsp:nvSpPr>
        <dsp:cNvPr id="0" name=""/>
        <dsp:cNvSpPr/>
      </dsp:nvSpPr>
      <dsp:spPr>
        <a:xfrm>
          <a:off x="0" y="518771"/>
          <a:ext cx="2743199" cy="1106439"/>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A. Life expectancy of South Africans improved to 66.6 years by 2024 and 70 years by 2030.</a:t>
          </a:r>
          <a:endParaRPr lang="en-US" sz="1300" kern="1200"/>
        </a:p>
        <a:p>
          <a:pPr lvl="0" algn="ctr" defTabSz="533400">
            <a:lnSpc>
              <a:spcPct val="90000"/>
            </a:lnSpc>
            <a:spcBef>
              <a:spcPct val="0"/>
            </a:spcBef>
            <a:spcAft>
              <a:spcPct val="35000"/>
            </a:spcAft>
          </a:pPr>
          <a:endParaRPr lang="en-US" sz="1300" kern="1200"/>
        </a:p>
      </dsp:txBody>
      <dsp:txXfrm>
        <a:off x="0" y="518771"/>
        <a:ext cx="2743199" cy="1106439"/>
      </dsp:txXfrm>
    </dsp:sp>
    <dsp:sp modelId="{2A8B85EF-7B67-4123-815D-3D0341B0750B}">
      <dsp:nvSpPr>
        <dsp:cNvPr id="0" name=""/>
        <dsp:cNvSpPr/>
      </dsp:nvSpPr>
      <dsp:spPr>
        <a:xfrm>
          <a:off x="2743200" y="522922"/>
          <a:ext cx="2743199" cy="1098137"/>
        </a:xfrm>
        <a:prstGeom prst="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 Progressively achieved universal hea;th coverage for all South Africans. All citizens protected from the catastrophic financial impact of seeking health care.</a:t>
          </a:r>
        </a:p>
      </dsp:txBody>
      <dsp:txXfrm>
        <a:off x="2743200" y="522922"/>
        <a:ext cx="2743199" cy="1098137"/>
      </dsp:txXfrm>
    </dsp:sp>
    <dsp:sp modelId="{2522DB60-D0AD-4A53-8464-D3E5E07581A8}">
      <dsp:nvSpPr>
        <dsp:cNvPr id="0" name=""/>
        <dsp:cNvSpPr/>
      </dsp:nvSpPr>
      <dsp:spPr>
        <a:xfrm>
          <a:off x="0" y="1621059"/>
          <a:ext cx="5486400" cy="122015"/>
        </a:xfrm>
        <a:prstGeom prst="rect">
          <a:avLst/>
        </a:prstGeom>
        <a:solidFill>
          <a:schemeClr val="bg1">
            <a:lumMod val="6500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4CD6-C4F3-4016-A639-7E7E2EE4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5534</Words>
  <Characters>31547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Health and Social Services</dc:creator>
  <cp:lastModifiedBy>User</cp:lastModifiedBy>
  <cp:revision>2</cp:revision>
  <dcterms:created xsi:type="dcterms:W3CDTF">2023-05-17T06:49:00Z</dcterms:created>
  <dcterms:modified xsi:type="dcterms:W3CDTF">2023-05-17T06:49:00Z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