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D73" w:rsidRPr="00921120" w:rsidRDefault="00F51D73" w:rsidP="00921120">
      <w:pPr>
        <w:spacing w:line="240" w:lineRule="auto"/>
        <w:jc w:val="left"/>
        <w:rPr>
          <w:rFonts w:ascii="Arial" w:hAnsi="Arial" w:cs="Arial"/>
          <w:sz w:val="20"/>
          <w:szCs w:val="20"/>
        </w:rPr>
      </w:pPr>
      <w:r w:rsidRPr="00921120">
        <w:rPr>
          <w:rFonts w:ascii="Arial" w:hAnsi="Arial" w:cs="Arial"/>
          <w:b/>
          <w:sz w:val="20"/>
          <w:szCs w:val="20"/>
        </w:rPr>
        <w:t>Report of the Portfolio Committee on Trade</w:t>
      </w:r>
      <w:r w:rsidR="00B92857" w:rsidRPr="00921120">
        <w:rPr>
          <w:rFonts w:ascii="Arial" w:hAnsi="Arial" w:cs="Arial"/>
          <w:b/>
          <w:sz w:val="20"/>
          <w:szCs w:val="20"/>
        </w:rPr>
        <w:t>,</w:t>
      </w:r>
      <w:r w:rsidRPr="00921120">
        <w:rPr>
          <w:rFonts w:ascii="Arial" w:hAnsi="Arial" w:cs="Arial"/>
          <w:b/>
          <w:sz w:val="20"/>
          <w:szCs w:val="20"/>
        </w:rPr>
        <w:t xml:space="preserve"> Industry </w:t>
      </w:r>
      <w:r w:rsidR="00B92857" w:rsidRPr="00921120">
        <w:rPr>
          <w:rFonts w:ascii="Arial" w:hAnsi="Arial" w:cs="Arial"/>
          <w:b/>
          <w:sz w:val="20"/>
          <w:szCs w:val="20"/>
        </w:rPr>
        <w:t xml:space="preserve">and Competition </w:t>
      </w:r>
      <w:r w:rsidRPr="00921120">
        <w:rPr>
          <w:rFonts w:ascii="Arial" w:hAnsi="Arial" w:cs="Arial"/>
          <w:b/>
          <w:sz w:val="20"/>
          <w:szCs w:val="20"/>
        </w:rPr>
        <w:t xml:space="preserve">on </w:t>
      </w:r>
      <w:r w:rsidR="005F7748" w:rsidRPr="00921120">
        <w:rPr>
          <w:rFonts w:ascii="Arial" w:hAnsi="Arial" w:cs="Arial"/>
          <w:b/>
          <w:sz w:val="20"/>
          <w:szCs w:val="20"/>
        </w:rPr>
        <w:t xml:space="preserve">its </w:t>
      </w:r>
      <w:r w:rsidRPr="00921120">
        <w:rPr>
          <w:rFonts w:ascii="Arial" w:hAnsi="Arial" w:cs="Arial"/>
          <w:b/>
          <w:sz w:val="20"/>
          <w:szCs w:val="20"/>
        </w:rPr>
        <w:t xml:space="preserve">oversight visit to Gauteng </w:t>
      </w:r>
      <w:r w:rsidR="008E590F" w:rsidRPr="00921120">
        <w:rPr>
          <w:rFonts w:ascii="Arial" w:hAnsi="Arial" w:cs="Arial"/>
          <w:b/>
          <w:sz w:val="20"/>
          <w:szCs w:val="20"/>
        </w:rPr>
        <w:t xml:space="preserve">and </w:t>
      </w:r>
      <w:r w:rsidR="00AE246F" w:rsidRPr="00921120">
        <w:rPr>
          <w:rFonts w:ascii="Arial" w:hAnsi="Arial" w:cs="Arial"/>
          <w:b/>
          <w:sz w:val="20"/>
          <w:szCs w:val="20"/>
        </w:rPr>
        <w:t xml:space="preserve">Limpopo from 31 January to 3 February </w:t>
      </w:r>
      <w:r w:rsidR="008E590F" w:rsidRPr="00921120">
        <w:rPr>
          <w:rFonts w:ascii="Arial" w:hAnsi="Arial" w:cs="Arial"/>
          <w:b/>
          <w:sz w:val="20"/>
          <w:szCs w:val="20"/>
        </w:rPr>
        <w:t>202</w:t>
      </w:r>
      <w:r w:rsidR="00AE246F" w:rsidRPr="00921120">
        <w:rPr>
          <w:rFonts w:ascii="Arial" w:hAnsi="Arial" w:cs="Arial"/>
          <w:b/>
          <w:sz w:val="20"/>
          <w:szCs w:val="20"/>
        </w:rPr>
        <w:t>3</w:t>
      </w:r>
      <w:r w:rsidR="00AF3E18" w:rsidRPr="00921120">
        <w:rPr>
          <w:rFonts w:ascii="Arial" w:hAnsi="Arial" w:cs="Arial"/>
          <w:b/>
          <w:sz w:val="20"/>
          <w:szCs w:val="20"/>
        </w:rPr>
        <w:t xml:space="preserve">, dated </w:t>
      </w:r>
      <w:r w:rsidR="005F7748" w:rsidRPr="00921120">
        <w:rPr>
          <w:rFonts w:ascii="Arial" w:hAnsi="Arial" w:cs="Arial"/>
          <w:b/>
          <w:sz w:val="20"/>
          <w:szCs w:val="20"/>
        </w:rPr>
        <w:t>3 May 2023</w:t>
      </w:r>
      <w:r w:rsidR="00921120">
        <w:rPr>
          <w:rFonts w:ascii="Arial" w:hAnsi="Arial" w:cs="Arial"/>
          <w:b/>
          <w:sz w:val="20"/>
          <w:szCs w:val="20"/>
        </w:rPr>
        <w:br/>
      </w:r>
    </w:p>
    <w:p w:rsidR="00F219C3" w:rsidRPr="00921120" w:rsidRDefault="00F51D73" w:rsidP="00921120">
      <w:pPr>
        <w:spacing w:line="240" w:lineRule="auto"/>
        <w:jc w:val="left"/>
        <w:rPr>
          <w:rFonts w:ascii="Arial" w:hAnsi="Arial" w:cs="Arial"/>
          <w:sz w:val="20"/>
          <w:szCs w:val="20"/>
        </w:rPr>
      </w:pPr>
      <w:r w:rsidRPr="00921120">
        <w:rPr>
          <w:rFonts w:ascii="Arial" w:hAnsi="Arial" w:cs="Arial"/>
          <w:sz w:val="20"/>
          <w:szCs w:val="20"/>
        </w:rPr>
        <w:t xml:space="preserve">The Portfolio Committee on </w:t>
      </w:r>
      <w:bookmarkStart w:id="0" w:name="_GoBack"/>
      <w:r w:rsidRPr="00921120">
        <w:rPr>
          <w:rFonts w:ascii="Arial" w:hAnsi="Arial" w:cs="Arial"/>
          <w:sz w:val="20"/>
          <w:szCs w:val="20"/>
        </w:rPr>
        <w:t>Trade</w:t>
      </w:r>
      <w:r w:rsidR="00B92857" w:rsidRPr="00921120">
        <w:rPr>
          <w:rFonts w:ascii="Arial" w:hAnsi="Arial" w:cs="Arial"/>
          <w:sz w:val="20"/>
          <w:szCs w:val="20"/>
        </w:rPr>
        <w:t>,</w:t>
      </w:r>
      <w:r w:rsidRPr="00921120">
        <w:rPr>
          <w:rFonts w:ascii="Arial" w:hAnsi="Arial" w:cs="Arial"/>
          <w:sz w:val="20"/>
          <w:szCs w:val="20"/>
        </w:rPr>
        <w:t xml:space="preserve"> Industry </w:t>
      </w:r>
      <w:r w:rsidR="00B92857" w:rsidRPr="00921120">
        <w:rPr>
          <w:rFonts w:ascii="Arial" w:hAnsi="Arial" w:cs="Arial"/>
          <w:sz w:val="20"/>
          <w:szCs w:val="20"/>
        </w:rPr>
        <w:t>and Competition</w:t>
      </w:r>
      <w:bookmarkEnd w:id="0"/>
      <w:r w:rsidR="00B92857" w:rsidRPr="00921120">
        <w:rPr>
          <w:rFonts w:ascii="Arial" w:hAnsi="Arial" w:cs="Arial"/>
          <w:sz w:val="20"/>
          <w:szCs w:val="20"/>
        </w:rPr>
        <w:t xml:space="preserve"> </w:t>
      </w:r>
      <w:r w:rsidRPr="00921120">
        <w:rPr>
          <w:rFonts w:ascii="Arial" w:hAnsi="Arial" w:cs="Arial"/>
          <w:sz w:val="20"/>
          <w:szCs w:val="20"/>
        </w:rPr>
        <w:t xml:space="preserve">having visited the </w:t>
      </w:r>
      <w:r w:rsidR="00FC2D13" w:rsidRPr="00921120">
        <w:rPr>
          <w:rFonts w:ascii="Arial" w:hAnsi="Arial" w:cs="Arial"/>
          <w:sz w:val="20"/>
          <w:szCs w:val="20"/>
        </w:rPr>
        <w:t>South African Revenue Service (SARS)</w:t>
      </w:r>
      <w:r w:rsidR="00AE246F" w:rsidRPr="00921120">
        <w:rPr>
          <w:rFonts w:ascii="Arial" w:hAnsi="Arial" w:cs="Arial"/>
          <w:sz w:val="20"/>
          <w:szCs w:val="20"/>
        </w:rPr>
        <w:t xml:space="preserve"> and </w:t>
      </w:r>
      <w:r w:rsidR="00FC2D13" w:rsidRPr="00921120">
        <w:rPr>
          <w:rFonts w:ascii="Arial" w:hAnsi="Arial" w:cs="Arial"/>
          <w:sz w:val="20"/>
          <w:szCs w:val="20"/>
        </w:rPr>
        <w:t xml:space="preserve">the </w:t>
      </w:r>
      <w:r w:rsidRPr="00921120">
        <w:rPr>
          <w:rFonts w:ascii="Arial" w:hAnsi="Arial" w:cs="Arial"/>
          <w:sz w:val="20"/>
          <w:szCs w:val="20"/>
        </w:rPr>
        <w:t xml:space="preserve">National Regulator for Compulsory Specifications (NRCS) </w:t>
      </w:r>
      <w:r w:rsidR="00AE246F" w:rsidRPr="00921120">
        <w:rPr>
          <w:rFonts w:ascii="Arial" w:hAnsi="Arial" w:cs="Arial"/>
          <w:sz w:val="20"/>
          <w:szCs w:val="20"/>
        </w:rPr>
        <w:t xml:space="preserve">to engage on trade facilitation and on efforts to combat illicit trade; the Limpopo </w:t>
      </w:r>
      <w:r w:rsidR="00FC2D13" w:rsidRPr="00921120">
        <w:rPr>
          <w:rFonts w:ascii="Arial" w:hAnsi="Arial" w:cs="Arial"/>
          <w:sz w:val="20"/>
          <w:szCs w:val="20"/>
        </w:rPr>
        <w:t xml:space="preserve">Department of </w:t>
      </w:r>
      <w:r w:rsidR="00AE246F" w:rsidRPr="00921120">
        <w:rPr>
          <w:rFonts w:ascii="Arial" w:hAnsi="Arial" w:cs="Arial"/>
          <w:sz w:val="20"/>
          <w:szCs w:val="20"/>
        </w:rPr>
        <w:t>Economic</w:t>
      </w:r>
      <w:r w:rsidR="00FC2D13" w:rsidRPr="00921120">
        <w:rPr>
          <w:rFonts w:ascii="Arial" w:hAnsi="Arial" w:cs="Arial"/>
          <w:sz w:val="20"/>
          <w:szCs w:val="20"/>
        </w:rPr>
        <w:t xml:space="preserve"> Development</w:t>
      </w:r>
      <w:r w:rsidR="00F219C3" w:rsidRPr="00921120">
        <w:rPr>
          <w:rFonts w:ascii="Arial" w:hAnsi="Arial" w:cs="Arial"/>
          <w:sz w:val="20"/>
          <w:szCs w:val="20"/>
        </w:rPr>
        <w:t xml:space="preserve">, </w:t>
      </w:r>
      <w:r w:rsidR="00AE246F" w:rsidRPr="00921120">
        <w:rPr>
          <w:rFonts w:ascii="Arial" w:hAnsi="Arial" w:cs="Arial"/>
          <w:sz w:val="20"/>
          <w:szCs w:val="20"/>
        </w:rPr>
        <w:t xml:space="preserve">Environment and Tourism </w:t>
      </w:r>
      <w:r w:rsidR="00F219C3" w:rsidRPr="00921120">
        <w:rPr>
          <w:rFonts w:ascii="Arial" w:hAnsi="Arial" w:cs="Arial"/>
          <w:sz w:val="20"/>
          <w:szCs w:val="20"/>
        </w:rPr>
        <w:t>(LEDET)</w:t>
      </w:r>
      <w:r w:rsidR="00570901" w:rsidRPr="00921120">
        <w:rPr>
          <w:rFonts w:ascii="Arial" w:hAnsi="Arial" w:cs="Arial"/>
          <w:sz w:val="20"/>
          <w:szCs w:val="20"/>
        </w:rPr>
        <w:t xml:space="preserve"> and the Limpopo Economic Development Agency (LEDA)</w:t>
      </w:r>
      <w:r w:rsidR="00F219C3" w:rsidRPr="00921120">
        <w:rPr>
          <w:rFonts w:ascii="Arial" w:hAnsi="Arial" w:cs="Arial"/>
          <w:sz w:val="20"/>
          <w:szCs w:val="20"/>
        </w:rPr>
        <w:t xml:space="preserve"> t</w:t>
      </w:r>
      <w:r w:rsidR="00F219C3" w:rsidRPr="00921120">
        <w:rPr>
          <w:rFonts w:ascii="Arial" w:hAnsi="Arial" w:cs="Arial"/>
          <w:sz w:val="20"/>
          <w:szCs w:val="20"/>
          <w:lang w:eastAsia="en-ZA"/>
        </w:rPr>
        <w:t>o oversee how funding granted by the Department of Trade,</w:t>
      </w:r>
      <w:r w:rsidR="00F219C3" w:rsidRPr="00921120">
        <w:rPr>
          <w:rFonts w:ascii="Arial" w:hAnsi="Arial" w:cs="Arial"/>
          <w:sz w:val="20"/>
          <w:szCs w:val="20"/>
        </w:rPr>
        <w:t xml:space="preserve"> </w:t>
      </w:r>
      <w:r w:rsidR="00F219C3" w:rsidRPr="00921120">
        <w:rPr>
          <w:rFonts w:ascii="Arial" w:hAnsi="Arial" w:cs="Arial"/>
          <w:sz w:val="20"/>
          <w:szCs w:val="20"/>
          <w:lang w:eastAsia="en-ZA"/>
        </w:rPr>
        <w:t>Industry and Competition (DTIC)</w:t>
      </w:r>
      <w:r w:rsidR="00FC2D13" w:rsidRPr="00921120">
        <w:rPr>
          <w:rFonts w:ascii="Arial" w:hAnsi="Arial" w:cs="Arial"/>
          <w:sz w:val="20"/>
          <w:szCs w:val="20"/>
          <w:lang w:eastAsia="en-ZA"/>
        </w:rPr>
        <w:t xml:space="preserve"> under</w:t>
      </w:r>
      <w:r w:rsidR="003374C4" w:rsidRPr="00921120">
        <w:rPr>
          <w:rFonts w:ascii="Arial" w:hAnsi="Arial" w:cs="Arial"/>
          <w:sz w:val="20"/>
          <w:szCs w:val="20"/>
          <w:lang w:eastAsia="en-ZA"/>
        </w:rPr>
        <w:t xml:space="preserve"> the</w:t>
      </w:r>
      <w:r w:rsidR="00F219C3" w:rsidRPr="00921120">
        <w:rPr>
          <w:rFonts w:ascii="Arial" w:hAnsi="Arial" w:cs="Arial"/>
          <w:sz w:val="20"/>
          <w:szCs w:val="20"/>
          <w:lang w:eastAsia="en-ZA"/>
        </w:rPr>
        <w:t xml:space="preserve"> Industrial Parks </w:t>
      </w:r>
      <w:r w:rsidR="003374C4" w:rsidRPr="00921120">
        <w:rPr>
          <w:rFonts w:ascii="Arial" w:hAnsi="Arial" w:cs="Arial"/>
          <w:sz w:val="20"/>
          <w:szCs w:val="20"/>
          <w:lang w:eastAsia="en-ZA"/>
        </w:rPr>
        <w:t xml:space="preserve">Revitalisation </w:t>
      </w:r>
      <w:r w:rsidR="00F219C3" w:rsidRPr="00921120">
        <w:rPr>
          <w:rFonts w:ascii="Arial" w:hAnsi="Arial" w:cs="Arial"/>
          <w:sz w:val="20"/>
          <w:szCs w:val="20"/>
          <w:lang w:eastAsia="en-ZA"/>
        </w:rPr>
        <w:t>Programme</w:t>
      </w:r>
      <w:r w:rsidR="003374C4" w:rsidRPr="00921120">
        <w:rPr>
          <w:rFonts w:ascii="Arial" w:hAnsi="Arial" w:cs="Arial"/>
          <w:sz w:val="20"/>
          <w:szCs w:val="20"/>
          <w:lang w:eastAsia="en-ZA"/>
        </w:rPr>
        <w:t xml:space="preserve"> (IPRP)</w:t>
      </w:r>
      <w:r w:rsidR="00F219C3" w:rsidRPr="00921120">
        <w:rPr>
          <w:rFonts w:ascii="Arial" w:hAnsi="Arial" w:cs="Arial"/>
          <w:sz w:val="20"/>
          <w:szCs w:val="20"/>
          <w:lang w:eastAsia="en-ZA"/>
        </w:rPr>
        <w:t xml:space="preserve"> has been spent, as well as on progress in the development of</w:t>
      </w:r>
      <w:r w:rsidR="00F219C3" w:rsidRPr="00921120">
        <w:rPr>
          <w:rFonts w:ascii="Arial" w:hAnsi="Arial" w:cs="Arial"/>
          <w:sz w:val="20"/>
          <w:szCs w:val="20"/>
        </w:rPr>
        <w:t xml:space="preserve"> </w:t>
      </w:r>
      <w:r w:rsidR="00F219C3" w:rsidRPr="00921120">
        <w:rPr>
          <w:rFonts w:ascii="Arial" w:hAnsi="Arial" w:cs="Arial"/>
          <w:sz w:val="20"/>
          <w:szCs w:val="20"/>
          <w:lang w:eastAsia="en-ZA"/>
        </w:rPr>
        <w:t xml:space="preserve">the </w:t>
      </w:r>
      <w:r w:rsidR="00F219C3" w:rsidRPr="00921120">
        <w:rPr>
          <w:rFonts w:ascii="Arial" w:hAnsi="Arial" w:cs="Arial"/>
          <w:sz w:val="20"/>
          <w:szCs w:val="20"/>
        </w:rPr>
        <w:t>Seshego and Nkowankowa Industrial Parks</w:t>
      </w:r>
      <w:r w:rsidR="00F219C3" w:rsidRPr="00921120">
        <w:rPr>
          <w:rFonts w:ascii="Arial" w:hAnsi="Arial" w:cs="Arial"/>
          <w:sz w:val="20"/>
          <w:szCs w:val="20"/>
          <w:lang w:eastAsia="en-ZA"/>
        </w:rPr>
        <w:t xml:space="preserve">; </w:t>
      </w:r>
      <w:r w:rsidR="00FC2D13" w:rsidRPr="00921120">
        <w:rPr>
          <w:rFonts w:ascii="Arial" w:hAnsi="Arial" w:cs="Arial"/>
          <w:sz w:val="20"/>
          <w:szCs w:val="20"/>
          <w:lang w:eastAsia="en-ZA"/>
        </w:rPr>
        <w:t xml:space="preserve">and </w:t>
      </w:r>
      <w:r w:rsidR="00F219C3" w:rsidRPr="00921120">
        <w:rPr>
          <w:rFonts w:ascii="Arial" w:hAnsi="Arial" w:cs="Arial"/>
          <w:sz w:val="20"/>
          <w:szCs w:val="20"/>
          <w:lang w:eastAsia="en-ZA"/>
        </w:rPr>
        <w:t>the National Lotteries Commission (NLC) to oversee the progress made by the NLC with regard to the challenges facing the institution, reports as follows:</w:t>
      </w:r>
    </w:p>
    <w:p w:rsidR="00F51D73" w:rsidRPr="00921120" w:rsidRDefault="00F51D73" w:rsidP="00921120">
      <w:pPr>
        <w:spacing w:line="240" w:lineRule="auto"/>
        <w:jc w:val="left"/>
        <w:rPr>
          <w:rFonts w:ascii="Arial" w:hAnsi="Arial" w:cs="Arial"/>
          <w:sz w:val="20"/>
          <w:szCs w:val="20"/>
        </w:rPr>
      </w:pPr>
    </w:p>
    <w:p w:rsidR="00F51D73" w:rsidRPr="00921120" w:rsidRDefault="00F51D73" w:rsidP="00921120">
      <w:pPr>
        <w:pStyle w:val="Heading1"/>
        <w:spacing w:line="240" w:lineRule="auto"/>
        <w:jc w:val="left"/>
        <w:rPr>
          <w:rFonts w:ascii="Arial" w:hAnsi="Arial" w:cs="Arial"/>
          <w:sz w:val="20"/>
          <w:szCs w:val="20"/>
        </w:rPr>
      </w:pPr>
      <w:r w:rsidRPr="00921120">
        <w:rPr>
          <w:rFonts w:ascii="Arial" w:hAnsi="Arial" w:cs="Arial"/>
          <w:sz w:val="20"/>
          <w:szCs w:val="20"/>
        </w:rPr>
        <w:t>Introduction</w:t>
      </w:r>
    </w:p>
    <w:p w:rsidR="00AF3E18" w:rsidRPr="00921120" w:rsidRDefault="00AF3E18" w:rsidP="00921120">
      <w:pPr>
        <w:spacing w:line="240" w:lineRule="auto"/>
        <w:jc w:val="left"/>
        <w:rPr>
          <w:rFonts w:ascii="Arial" w:hAnsi="Arial" w:cs="Arial"/>
          <w:sz w:val="20"/>
          <w:szCs w:val="20"/>
        </w:rPr>
      </w:pPr>
    </w:p>
    <w:p w:rsidR="00F219C3" w:rsidRPr="00921120" w:rsidRDefault="00F51D73" w:rsidP="00921120">
      <w:pPr>
        <w:spacing w:line="240" w:lineRule="auto"/>
        <w:jc w:val="left"/>
        <w:rPr>
          <w:rFonts w:ascii="Arial" w:hAnsi="Arial" w:cs="Arial"/>
          <w:color w:val="000000"/>
          <w:sz w:val="20"/>
          <w:szCs w:val="20"/>
        </w:rPr>
      </w:pPr>
      <w:r w:rsidRPr="00921120">
        <w:rPr>
          <w:rFonts w:ascii="Arial" w:hAnsi="Arial" w:cs="Arial"/>
          <w:sz w:val="20"/>
          <w:szCs w:val="20"/>
        </w:rPr>
        <w:t xml:space="preserve">In terms of section 42(3) of the Constitution of the Republic of South Africa, </w:t>
      </w:r>
      <w:r w:rsidR="00C846A0" w:rsidRPr="00921120">
        <w:rPr>
          <w:rFonts w:ascii="Arial" w:hAnsi="Arial" w:cs="Arial"/>
          <w:sz w:val="20"/>
          <w:szCs w:val="20"/>
        </w:rPr>
        <w:t xml:space="preserve">1996, </w:t>
      </w:r>
      <w:r w:rsidRPr="00921120">
        <w:rPr>
          <w:rFonts w:ascii="Arial" w:hAnsi="Arial" w:cs="Arial"/>
          <w:sz w:val="20"/>
          <w:szCs w:val="20"/>
        </w:rPr>
        <w:t>the National Assembly must scrutinise and oversee Executive action. The National Assembly through the Portfolio Committee on Trade</w:t>
      </w:r>
      <w:r w:rsidR="00B92857" w:rsidRPr="00921120">
        <w:rPr>
          <w:rFonts w:ascii="Arial" w:hAnsi="Arial" w:cs="Arial"/>
          <w:sz w:val="20"/>
          <w:szCs w:val="20"/>
        </w:rPr>
        <w:t>,</w:t>
      </w:r>
      <w:r w:rsidRPr="00921120">
        <w:rPr>
          <w:rFonts w:ascii="Arial" w:hAnsi="Arial" w:cs="Arial"/>
          <w:sz w:val="20"/>
          <w:szCs w:val="20"/>
        </w:rPr>
        <w:t xml:space="preserve"> Industry </w:t>
      </w:r>
      <w:r w:rsidR="00B92857" w:rsidRPr="00921120">
        <w:rPr>
          <w:rFonts w:ascii="Arial" w:hAnsi="Arial" w:cs="Arial"/>
          <w:sz w:val="20"/>
          <w:szCs w:val="20"/>
        </w:rPr>
        <w:t xml:space="preserve">and Competition </w:t>
      </w:r>
      <w:r w:rsidRPr="00921120">
        <w:rPr>
          <w:rFonts w:ascii="Arial" w:hAnsi="Arial" w:cs="Arial"/>
          <w:sz w:val="20"/>
          <w:szCs w:val="20"/>
        </w:rPr>
        <w:t>oversees the work of the DTI</w:t>
      </w:r>
      <w:r w:rsidR="008E590F" w:rsidRPr="00921120">
        <w:rPr>
          <w:rFonts w:ascii="Arial" w:hAnsi="Arial" w:cs="Arial"/>
          <w:sz w:val="20"/>
          <w:szCs w:val="20"/>
        </w:rPr>
        <w:t>C</w:t>
      </w:r>
      <w:r w:rsidRPr="00921120">
        <w:rPr>
          <w:rFonts w:ascii="Arial" w:hAnsi="Arial" w:cs="Arial"/>
          <w:sz w:val="20"/>
          <w:szCs w:val="20"/>
        </w:rPr>
        <w:t xml:space="preserve"> and its entities to ensure that national priorities such as </w:t>
      </w:r>
      <w:r w:rsidR="00C846A0" w:rsidRPr="00921120">
        <w:rPr>
          <w:rFonts w:ascii="Arial" w:hAnsi="Arial" w:cs="Arial"/>
          <w:sz w:val="20"/>
          <w:szCs w:val="20"/>
        </w:rPr>
        <w:t>economic transformation, spatial integration</w:t>
      </w:r>
      <w:r w:rsidR="00B92857" w:rsidRPr="00921120">
        <w:rPr>
          <w:rFonts w:ascii="Arial" w:hAnsi="Arial" w:cs="Arial"/>
          <w:sz w:val="20"/>
          <w:szCs w:val="20"/>
        </w:rPr>
        <w:t>,</w:t>
      </w:r>
      <w:r w:rsidR="00C846A0" w:rsidRPr="00921120">
        <w:rPr>
          <w:rFonts w:ascii="Arial" w:hAnsi="Arial" w:cs="Arial"/>
          <w:sz w:val="20"/>
          <w:szCs w:val="20"/>
        </w:rPr>
        <w:t xml:space="preserve"> the development of rural economies, and </w:t>
      </w:r>
      <w:r w:rsidRPr="00921120">
        <w:rPr>
          <w:rFonts w:ascii="Arial" w:hAnsi="Arial" w:cs="Arial"/>
          <w:sz w:val="20"/>
          <w:szCs w:val="20"/>
        </w:rPr>
        <w:t>the creation of decent employment are met. The DTI</w:t>
      </w:r>
      <w:r w:rsidR="008E590F" w:rsidRPr="00921120">
        <w:rPr>
          <w:rFonts w:ascii="Arial" w:hAnsi="Arial" w:cs="Arial"/>
          <w:sz w:val="20"/>
          <w:szCs w:val="20"/>
        </w:rPr>
        <w:t>C</w:t>
      </w:r>
      <w:r w:rsidRPr="00921120">
        <w:rPr>
          <w:rFonts w:ascii="Arial" w:hAnsi="Arial" w:cs="Arial"/>
          <w:sz w:val="20"/>
          <w:szCs w:val="20"/>
        </w:rPr>
        <w:t xml:space="preserve">’s main mandate is to facilitate the creation of an environment conducive to industrialisation and regional economic development that facilitates economic transformation. </w:t>
      </w:r>
      <w:r w:rsidR="009016A1" w:rsidRPr="00921120">
        <w:rPr>
          <w:rFonts w:ascii="Arial" w:hAnsi="Arial" w:cs="Arial"/>
          <w:sz w:val="20"/>
          <w:szCs w:val="20"/>
        </w:rPr>
        <w:t xml:space="preserve">Furthermore, it facilitates regional and international trade and investment, promotes exports, regulates companies and ensures consumer protection. </w:t>
      </w:r>
      <w:r w:rsidRPr="00921120">
        <w:rPr>
          <w:rFonts w:ascii="Arial" w:hAnsi="Arial" w:cs="Arial"/>
          <w:sz w:val="20"/>
          <w:szCs w:val="20"/>
        </w:rPr>
        <w:t>In</w:t>
      </w:r>
      <w:r w:rsidR="00B92857" w:rsidRPr="00921120">
        <w:rPr>
          <w:rFonts w:ascii="Arial" w:hAnsi="Arial" w:cs="Arial"/>
          <w:sz w:val="20"/>
          <w:szCs w:val="20"/>
        </w:rPr>
        <w:t xml:space="preserve"> terms of the latter</w:t>
      </w:r>
      <w:r w:rsidRPr="00921120">
        <w:rPr>
          <w:rFonts w:ascii="Arial" w:hAnsi="Arial" w:cs="Arial"/>
          <w:sz w:val="20"/>
          <w:szCs w:val="20"/>
        </w:rPr>
        <w:t xml:space="preserve">, it </w:t>
      </w:r>
      <w:r w:rsidR="00B92857" w:rsidRPr="00921120">
        <w:rPr>
          <w:rFonts w:ascii="Arial" w:hAnsi="Arial" w:cs="Arial"/>
          <w:sz w:val="20"/>
          <w:szCs w:val="20"/>
        </w:rPr>
        <w:t xml:space="preserve">regulates lotteries </w:t>
      </w:r>
      <w:r w:rsidR="00A55BE2" w:rsidRPr="00921120">
        <w:rPr>
          <w:rFonts w:ascii="Arial" w:hAnsi="Arial" w:cs="Arial"/>
          <w:sz w:val="20"/>
          <w:szCs w:val="20"/>
        </w:rPr>
        <w:t xml:space="preserve">and sports pools </w:t>
      </w:r>
      <w:r w:rsidR="00B92857" w:rsidRPr="00921120">
        <w:rPr>
          <w:rFonts w:ascii="Arial" w:hAnsi="Arial" w:cs="Arial"/>
          <w:sz w:val="20"/>
          <w:szCs w:val="20"/>
        </w:rPr>
        <w:t>through the NLC, which also administers the investment and distribution of funds in the National Lotteries Distribution Trust Fund to support good causes</w:t>
      </w:r>
      <w:r w:rsidRPr="00921120">
        <w:rPr>
          <w:rFonts w:ascii="Arial" w:hAnsi="Arial" w:cs="Arial"/>
          <w:sz w:val="20"/>
          <w:szCs w:val="20"/>
        </w:rPr>
        <w:t>.</w:t>
      </w:r>
    </w:p>
    <w:p w:rsidR="00AF3E18" w:rsidRPr="00921120" w:rsidRDefault="00F219C3" w:rsidP="00921120">
      <w:pPr>
        <w:spacing w:line="240" w:lineRule="auto"/>
        <w:jc w:val="left"/>
        <w:rPr>
          <w:rFonts w:ascii="Arial" w:hAnsi="Arial" w:cs="Arial"/>
          <w:sz w:val="20"/>
          <w:szCs w:val="20"/>
        </w:rPr>
      </w:pPr>
      <w:r w:rsidRPr="00921120">
        <w:rPr>
          <w:rFonts w:ascii="Arial" w:hAnsi="Arial" w:cs="Arial"/>
          <w:color w:val="000000"/>
          <w:sz w:val="20"/>
          <w:szCs w:val="20"/>
        </w:rPr>
        <w:t xml:space="preserve"> </w:t>
      </w:r>
    </w:p>
    <w:p w:rsidR="00F51D73" w:rsidRPr="00921120" w:rsidRDefault="00F51D73" w:rsidP="00921120">
      <w:pPr>
        <w:pStyle w:val="Heading2"/>
        <w:spacing w:line="240" w:lineRule="auto"/>
        <w:jc w:val="left"/>
        <w:rPr>
          <w:rFonts w:ascii="Arial" w:hAnsi="Arial" w:cs="Arial"/>
          <w:sz w:val="20"/>
          <w:szCs w:val="20"/>
        </w:rPr>
      </w:pPr>
      <w:r w:rsidRPr="00921120">
        <w:rPr>
          <w:rFonts w:ascii="Arial" w:hAnsi="Arial" w:cs="Arial"/>
          <w:sz w:val="20"/>
          <w:szCs w:val="20"/>
        </w:rPr>
        <w:t>Purpose of the visit</w:t>
      </w:r>
    </w:p>
    <w:p w:rsidR="00A07D08" w:rsidRPr="00921120" w:rsidRDefault="00675526" w:rsidP="00921120">
      <w:pPr>
        <w:spacing w:line="240" w:lineRule="auto"/>
        <w:jc w:val="left"/>
        <w:rPr>
          <w:rFonts w:ascii="Arial" w:hAnsi="Arial" w:cs="Arial"/>
          <w:color w:val="0D0D0D"/>
          <w:sz w:val="20"/>
          <w:szCs w:val="20"/>
        </w:rPr>
      </w:pPr>
      <w:r w:rsidRPr="00921120">
        <w:rPr>
          <w:rFonts w:ascii="Arial" w:hAnsi="Arial" w:cs="Arial"/>
          <w:sz w:val="20"/>
          <w:szCs w:val="20"/>
        </w:rPr>
        <w:t xml:space="preserve">There </w:t>
      </w:r>
      <w:r w:rsidR="009D7D15" w:rsidRPr="00921120">
        <w:rPr>
          <w:rFonts w:ascii="Arial" w:hAnsi="Arial" w:cs="Arial"/>
          <w:sz w:val="20"/>
          <w:szCs w:val="20"/>
        </w:rPr>
        <w:t xml:space="preserve">had been </w:t>
      </w:r>
      <w:r w:rsidR="00B92857" w:rsidRPr="00921120">
        <w:rPr>
          <w:rFonts w:ascii="Arial" w:hAnsi="Arial" w:cs="Arial"/>
          <w:sz w:val="20"/>
          <w:szCs w:val="20"/>
        </w:rPr>
        <w:t xml:space="preserve">three </w:t>
      </w:r>
      <w:r w:rsidRPr="00921120">
        <w:rPr>
          <w:rFonts w:ascii="Arial" w:hAnsi="Arial" w:cs="Arial"/>
          <w:sz w:val="20"/>
          <w:szCs w:val="20"/>
        </w:rPr>
        <w:t>purpose</w:t>
      </w:r>
      <w:r w:rsidR="00B92857" w:rsidRPr="00921120">
        <w:rPr>
          <w:rFonts w:ascii="Arial" w:hAnsi="Arial" w:cs="Arial"/>
          <w:sz w:val="20"/>
          <w:szCs w:val="20"/>
        </w:rPr>
        <w:t>s</w:t>
      </w:r>
      <w:r w:rsidRPr="00921120">
        <w:rPr>
          <w:rFonts w:ascii="Arial" w:hAnsi="Arial" w:cs="Arial"/>
          <w:sz w:val="20"/>
          <w:szCs w:val="20"/>
        </w:rPr>
        <w:t xml:space="preserve"> </w:t>
      </w:r>
      <w:r w:rsidR="009D7D15" w:rsidRPr="00921120">
        <w:rPr>
          <w:rFonts w:ascii="Arial" w:hAnsi="Arial" w:cs="Arial"/>
          <w:sz w:val="20"/>
          <w:szCs w:val="20"/>
        </w:rPr>
        <w:t>for</w:t>
      </w:r>
      <w:r w:rsidRPr="00921120">
        <w:rPr>
          <w:rFonts w:ascii="Arial" w:hAnsi="Arial" w:cs="Arial"/>
          <w:sz w:val="20"/>
          <w:szCs w:val="20"/>
        </w:rPr>
        <w:t xml:space="preserve"> the </w:t>
      </w:r>
      <w:r w:rsidR="00B92857" w:rsidRPr="00921120">
        <w:rPr>
          <w:rFonts w:ascii="Arial" w:hAnsi="Arial" w:cs="Arial"/>
          <w:sz w:val="20"/>
          <w:szCs w:val="20"/>
        </w:rPr>
        <w:t xml:space="preserve">oversight </w:t>
      </w:r>
      <w:r w:rsidRPr="00921120">
        <w:rPr>
          <w:rFonts w:ascii="Arial" w:hAnsi="Arial" w:cs="Arial"/>
          <w:sz w:val="20"/>
          <w:szCs w:val="20"/>
        </w:rPr>
        <w:t>visit. Fir</w:t>
      </w:r>
      <w:r w:rsidR="00F219C3" w:rsidRPr="00921120">
        <w:rPr>
          <w:rFonts w:ascii="Arial" w:hAnsi="Arial" w:cs="Arial"/>
          <w:sz w:val="20"/>
          <w:szCs w:val="20"/>
        </w:rPr>
        <w:t xml:space="preserve">stly, the Committee visited </w:t>
      </w:r>
      <w:r w:rsidR="00B92857" w:rsidRPr="00921120">
        <w:rPr>
          <w:rFonts w:ascii="Arial" w:hAnsi="Arial" w:cs="Arial"/>
          <w:sz w:val="20"/>
          <w:szCs w:val="20"/>
        </w:rPr>
        <w:t xml:space="preserve">Beitbridge Border Post </w:t>
      </w:r>
      <w:r w:rsidR="00F219C3" w:rsidRPr="00921120">
        <w:rPr>
          <w:rFonts w:ascii="Arial" w:hAnsi="Arial" w:cs="Arial"/>
          <w:sz w:val="20"/>
          <w:szCs w:val="20"/>
        </w:rPr>
        <w:t xml:space="preserve">to engage the NRCS </w:t>
      </w:r>
      <w:r w:rsidR="00FC2D13" w:rsidRPr="00921120">
        <w:rPr>
          <w:rFonts w:ascii="Arial" w:hAnsi="Arial" w:cs="Arial"/>
          <w:sz w:val="20"/>
          <w:szCs w:val="20"/>
        </w:rPr>
        <w:t xml:space="preserve">and </w:t>
      </w:r>
      <w:r w:rsidR="00F219C3" w:rsidRPr="00921120">
        <w:rPr>
          <w:rFonts w:ascii="Arial" w:hAnsi="Arial" w:cs="Arial"/>
          <w:sz w:val="20"/>
          <w:szCs w:val="20"/>
        </w:rPr>
        <w:t xml:space="preserve">the SARS </w:t>
      </w:r>
      <w:r w:rsidR="00F219C3" w:rsidRPr="00921120">
        <w:rPr>
          <w:rFonts w:ascii="Arial" w:hAnsi="Arial" w:cs="Arial"/>
          <w:color w:val="0D0D0D"/>
          <w:sz w:val="20"/>
          <w:szCs w:val="20"/>
        </w:rPr>
        <w:t xml:space="preserve">on matters relating to </w:t>
      </w:r>
      <w:r w:rsidR="00B92857" w:rsidRPr="00921120">
        <w:rPr>
          <w:rFonts w:ascii="Arial" w:hAnsi="Arial" w:cs="Arial"/>
          <w:color w:val="0D0D0D"/>
          <w:sz w:val="20"/>
          <w:szCs w:val="20"/>
        </w:rPr>
        <w:t xml:space="preserve">the </w:t>
      </w:r>
      <w:r w:rsidR="00F219C3" w:rsidRPr="00921120">
        <w:rPr>
          <w:rFonts w:ascii="Arial" w:hAnsi="Arial" w:cs="Arial"/>
          <w:color w:val="0D0D0D"/>
          <w:sz w:val="20"/>
          <w:szCs w:val="20"/>
        </w:rPr>
        <w:t>facilitati</w:t>
      </w:r>
      <w:r w:rsidR="00B92857" w:rsidRPr="00921120">
        <w:rPr>
          <w:rFonts w:ascii="Arial" w:hAnsi="Arial" w:cs="Arial"/>
          <w:color w:val="0D0D0D"/>
          <w:sz w:val="20"/>
          <w:szCs w:val="20"/>
        </w:rPr>
        <w:t>o</w:t>
      </w:r>
      <w:r w:rsidR="00F219C3" w:rsidRPr="00921120">
        <w:rPr>
          <w:rFonts w:ascii="Arial" w:hAnsi="Arial" w:cs="Arial"/>
          <w:color w:val="0D0D0D"/>
          <w:sz w:val="20"/>
          <w:szCs w:val="20"/>
        </w:rPr>
        <w:t xml:space="preserve">n </w:t>
      </w:r>
      <w:r w:rsidR="00B92857" w:rsidRPr="00921120">
        <w:rPr>
          <w:rFonts w:ascii="Arial" w:hAnsi="Arial" w:cs="Arial"/>
          <w:color w:val="0D0D0D"/>
          <w:sz w:val="20"/>
          <w:szCs w:val="20"/>
        </w:rPr>
        <w:t xml:space="preserve">of </w:t>
      </w:r>
      <w:r w:rsidR="00F219C3" w:rsidRPr="00921120">
        <w:rPr>
          <w:rFonts w:ascii="Arial" w:hAnsi="Arial" w:cs="Arial"/>
          <w:color w:val="0D0D0D"/>
          <w:sz w:val="20"/>
          <w:szCs w:val="20"/>
        </w:rPr>
        <w:t xml:space="preserve">trade across borders, </w:t>
      </w:r>
      <w:r w:rsidR="00A07D08" w:rsidRPr="00921120">
        <w:rPr>
          <w:rFonts w:ascii="Arial" w:hAnsi="Arial" w:cs="Arial"/>
          <w:color w:val="0D0D0D"/>
          <w:sz w:val="20"/>
          <w:szCs w:val="20"/>
        </w:rPr>
        <w:t xml:space="preserve">with </w:t>
      </w:r>
      <w:r w:rsidR="00FC2D13" w:rsidRPr="00921120">
        <w:rPr>
          <w:rFonts w:ascii="Arial" w:hAnsi="Arial" w:cs="Arial"/>
          <w:color w:val="0D0D0D"/>
          <w:sz w:val="20"/>
          <w:szCs w:val="20"/>
        </w:rPr>
        <w:t xml:space="preserve">a </w:t>
      </w:r>
      <w:r w:rsidR="00A07D08" w:rsidRPr="00921120">
        <w:rPr>
          <w:rFonts w:ascii="Arial" w:hAnsi="Arial" w:cs="Arial"/>
          <w:color w:val="0D0D0D"/>
          <w:sz w:val="20"/>
          <w:szCs w:val="20"/>
        </w:rPr>
        <w:t xml:space="preserve">specific focus on the </w:t>
      </w:r>
      <w:r w:rsidR="00CD6A4F" w:rsidRPr="00921120">
        <w:rPr>
          <w:rFonts w:ascii="Arial" w:hAnsi="Arial" w:cs="Arial"/>
          <w:color w:val="0D0D0D"/>
          <w:sz w:val="20"/>
          <w:szCs w:val="20"/>
        </w:rPr>
        <w:t>Beitbridge</w:t>
      </w:r>
      <w:r w:rsidR="00F219C3" w:rsidRPr="00921120">
        <w:rPr>
          <w:rFonts w:ascii="Arial" w:hAnsi="Arial" w:cs="Arial"/>
          <w:color w:val="0D0D0D"/>
          <w:sz w:val="20"/>
          <w:szCs w:val="20"/>
        </w:rPr>
        <w:t xml:space="preserve"> Border Post</w:t>
      </w:r>
      <w:r w:rsidR="00A07D08" w:rsidRPr="00921120">
        <w:rPr>
          <w:rFonts w:ascii="Arial" w:hAnsi="Arial" w:cs="Arial"/>
          <w:color w:val="0D0D0D"/>
          <w:sz w:val="20"/>
          <w:szCs w:val="20"/>
        </w:rPr>
        <w:t>. The key focus areas included the facilitation of the movement, release and clearance of goods</w:t>
      </w:r>
      <w:r w:rsidR="00FC2D13" w:rsidRPr="00921120">
        <w:rPr>
          <w:rFonts w:ascii="Arial" w:hAnsi="Arial" w:cs="Arial"/>
          <w:color w:val="0D0D0D"/>
          <w:sz w:val="20"/>
          <w:szCs w:val="20"/>
        </w:rPr>
        <w:t>,</w:t>
      </w:r>
      <w:r w:rsidR="00A07D08" w:rsidRPr="00921120">
        <w:rPr>
          <w:rFonts w:ascii="Arial" w:hAnsi="Arial" w:cs="Arial"/>
          <w:color w:val="0D0D0D"/>
          <w:sz w:val="20"/>
          <w:szCs w:val="20"/>
        </w:rPr>
        <w:t xml:space="preserve"> and the removal of non-tariff barriers (NTBs) to ease the movement of goods </w:t>
      </w:r>
      <w:r w:rsidR="00B92857" w:rsidRPr="00921120">
        <w:rPr>
          <w:rFonts w:ascii="Arial" w:hAnsi="Arial" w:cs="Arial"/>
          <w:color w:val="0D0D0D"/>
          <w:sz w:val="20"/>
          <w:szCs w:val="20"/>
        </w:rPr>
        <w:t>to</w:t>
      </w:r>
      <w:r w:rsidR="00B92857" w:rsidRPr="00921120" w:rsidDel="00B92857">
        <w:rPr>
          <w:rFonts w:ascii="Arial" w:hAnsi="Arial" w:cs="Arial"/>
          <w:color w:val="0D0D0D"/>
          <w:sz w:val="20"/>
          <w:szCs w:val="20"/>
        </w:rPr>
        <w:t xml:space="preserve"> </w:t>
      </w:r>
      <w:r w:rsidR="00A07D08" w:rsidRPr="00921120">
        <w:rPr>
          <w:rFonts w:ascii="Arial" w:hAnsi="Arial" w:cs="Arial"/>
          <w:color w:val="0D0D0D"/>
          <w:sz w:val="20"/>
          <w:szCs w:val="20"/>
        </w:rPr>
        <w:t xml:space="preserve">and </w:t>
      </w:r>
      <w:r w:rsidR="00B92857" w:rsidRPr="00921120">
        <w:rPr>
          <w:rFonts w:ascii="Arial" w:hAnsi="Arial" w:cs="Arial"/>
          <w:color w:val="0D0D0D"/>
          <w:sz w:val="20"/>
          <w:szCs w:val="20"/>
        </w:rPr>
        <w:t xml:space="preserve">from </w:t>
      </w:r>
      <w:r w:rsidR="00A07D08" w:rsidRPr="00921120">
        <w:rPr>
          <w:rFonts w:ascii="Arial" w:hAnsi="Arial" w:cs="Arial"/>
          <w:color w:val="0D0D0D"/>
          <w:sz w:val="20"/>
          <w:szCs w:val="20"/>
        </w:rPr>
        <w:t>other African countries. These are critical to</w:t>
      </w:r>
      <w:r w:rsidR="00B92857" w:rsidRPr="00921120">
        <w:rPr>
          <w:rFonts w:ascii="Arial" w:hAnsi="Arial" w:cs="Arial"/>
          <w:color w:val="0D0D0D"/>
          <w:sz w:val="20"/>
          <w:szCs w:val="20"/>
        </w:rPr>
        <w:t xml:space="preserve"> achieve</w:t>
      </w:r>
      <w:r w:rsidR="00A07D08" w:rsidRPr="00921120">
        <w:rPr>
          <w:rFonts w:ascii="Arial" w:hAnsi="Arial" w:cs="Arial"/>
          <w:color w:val="0D0D0D"/>
          <w:sz w:val="20"/>
          <w:szCs w:val="20"/>
        </w:rPr>
        <w:t xml:space="preserve"> South Africa’s objective of increasing its </w:t>
      </w:r>
      <w:r w:rsidR="00B92857" w:rsidRPr="00921120">
        <w:rPr>
          <w:rFonts w:ascii="Arial" w:hAnsi="Arial" w:cs="Arial"/>
          <w:color w:val="0D0D0D"/>
          <w:sz w:val="20"/>
          <w:szCs w:val="20"/>
        </w:rPr>
        <w:t xml:space="preserve">continental </w:t>
      </w:r>
      <w:r w:rsidR="00A07D08" w:rsidRPr="00921120">
        <w:rPr>
          <w:rFonts w:ascii="Arial" w:hAnsi="Arial" w:cs="Arial"/>
          <w:color w:val="0D0D0D"/>
          <w:sz w:val="20"/>
          <w:szCs w:val="20"/>
        </w:rPr>
        <w:t xml:space="preserve">exports to </w:t>
      </w:r>
      <w:r w:rsidR="00B92857" w:rsidRPr="00921120">
        <w:rPr>
          <w:rFonts w:ascii="Arial" w:hAnsi="Arial" w:cs="Arial"/>
          <w:color w:val="0D0D0D"/>
          <w:sz w:val="20"/>
          <w:szCs w:val="20"/>
        </w:rPr>
        <w:t xml:space="preserve">advance regional development and integration under the African Continental Free Trade Area (AfCFTA), </w:t>
      </w:r>
      <w:r w:rsidR="00A07D08" w:rsidRPr="00921120">
        <w:rPr>
          <w:rFonts w:ascii="Arial" w:hAnsi="Arial" w:cs="Arial"/>
          <w:color w:val="0D0D0D"/>
          <w:sz w:val="20"/>
          <w:szCs w:val="20"/>
        </w:rPr>
        <w:t xml:space="preserve">and </w:t>
      </w:r>
      <w:r w:rsidR="00B92857" w:rsidRPr="00921120">
        <w:rPr>
          <w:rFonts w:ascii="Arial" w:hAnsi="Arial" w:cs="Arial"/>
          <w:color w:val="0D0D0D"/>
          <w:sz w:val="20"/>
          <w:szCs w:val="20"/>
        </w:rPr>
        <w:t xml:space="preserve">to meet its international obligations as </w:t>
      </w:r>
      <w:r w:rsidR="00A07D08" w:rsidRPr="00921120">
        <w:rPr>
          <w:rFonts w:ascii="Arial" w:hAnsi="Arial" w:cs="Arial"/>
          <w:color w:val="0D0D0D"/>
          <w:sz w:val="20"/>
          <w:szCs w:val="20"/>
        </w:rPr>
        <w:t xml:space="preserve">a signatory to </w:t>
      </w:r>
      <w:r w:rsidR="00B92857" w:rsidRPr="00921120">
        <w:rPr>
          <w:rFonts w:ascii="Arial" w:hAnsi="Arial" w:cs="Arial"/>
          <w:color w:val="0D0D0D"/>
          <w:sz w:val="20"/>
          <w:szCs w:val="20"/>
        </w:rPr>
        <w:t xml:space="preserve">the World Trade Organization’s (WTO) Trade Facilitation Agreement (TFA), </w:t>
      </w:r>
      <w:r w:rsidR="00A07D08" w:rsidRPr="00921120">
        <w:rPr>
          <w:rFonts w:ascii="Arial" w:hAnsi="Arial" w:cs="Arial"/>
          <w:color w:val="0D0D0D"/>
          <w:sz w:val="20"/>
          <w:szCs w:val="20"/>
        </w:rPr>
        <w:t>which aim</w:t>
      </w:r>
      <w:r w:rsidR="00B92857" w:rsidRPr="00921120">
        <w:rPr>
          <w:rFonts w:ascii="Arial" w:hAnsi="Arial" w:cs="Arial"/>
          <w:color w:val="0D0D0D"/>
          <w:sz w:val="20"/>
          <w:szCs w:val="20"/>
        </w:rPr>
        <w:t>s</w:t>
      </w:r>
      <w:r w:rsidR="00A07D08" w:rsidRPr="00921120">
        <w:rPr>
          <w:rFonts w:ascii="Arial" w:hAnsi="Arial" w:cs="Arial"/>
          <w:color w:val="0D0D0D"/>
          <w:sz w:val="20"/>
          <w:szCs w:val="20"/>
        </w:rPr>
        <w:t xml:space="preserve"> to facilitate trade globally.</w:t>
      </w:r>
    </w:p>
    <w:p w:rsidR="0097077E" w:rsidRPr="00921120" w:rsidRDefault="0097077E" w:rsidP="00921120">
      <w:pPr>
        <w:spacing w:line="240" w:lineRule="auto"/>
        <w:jc w:val="left"/>
        <w:rPr>
          <w:rFonts w:ascii="Arial" w:hAnsi="Arial" w:cs="Arial"/>
          <w:sz w:val="20"/>
          <w:szCs w:val="20"/>
        </w:rPr>
      </w:pPr>
    </w:p>
    <w:p w:rsidR="008355B8" w:rsidRPr="00921120" w:rsidRDefault="00DE52B9" w:rsidP="00921120">
      <w:pPr>
        <w:spacing w:line="240" w:lineRule="auto"/>
        <w:jc w:val="left"/>
        <w:rPr>
          <w:rFonts w:ascii="Arial" w:hAnsi="Arial" w:cs="Arial"/>
          <w:sz w:val="20"/>
          <w:szCs w:val="20"/>
        </w:rPr>
      </w:pPr>
      <w:r w:rsidRPr="00921120">
        <w:rPr>
          <w:rFonts w:ascii="Arial" w:hAnsi="Arial" w:cs="Arial"/>
          <w:sz w:val="20"/>
          <w:szCs w:val="20"/>
        </w:rPr>
        <w:t xml:space="preserve">Secondly, the Committee focused on industrialisation and the expansion of the manufacturing base to ensure economic development, transformation opportunities, and job creation in </w:t>
      </w:r>
      <w:r w:rsidR="00B92857" w:rsidRPr="00921120">
        <w:rPr>
          <w:rFonts w:ascii="Arial" w:hAnsi="Arial" w:cs="Arial"/>
          <w:sz w:val="20"/>
          <w:szCs w:val="20"/>
        </w:rPr>
        <w:t xml:space="preserve">the </w:t>
      </w:r>
      <w:r w:rsidR="00A07D08" w:rsidRPr="00921120">
        <w:rPr>
          <w:rFonts w:ascii="Arial" w:hAnsi="Arial" w:cs="Arial"/>
          <w:sz w:val="20"/>
          <w:szCs w:val="20"/>
        </w:rPr>
        <w:t>Limpopo</w:t>
      </w:r>
      <w:r w:rsidR="00B92857" w:rsidRPr="00921120">
        <w:rPr>
          <w:rFonts w:ascii="Arial" w:hAnsi="Arial" w:cs="Arial"/>
          <w:sz w:val="20"/>
          <w:szCs w:val="20"/>
        </w:rPr>
        <w:t xml:space="preserve"> province</w:t>
      </w:r>
      <w:r w:rsidR="0097077E" w:rsidRPr="00921120">
        <w:rPr>
          <w:rFonts w:ascii="Arial" w:hAnsi="Arial" w:cs="Arial"/>
          <w:sz w:val="20"/>
          <w:szCs w:val="20"/>
        </w:rPr>
        <w:t xml:space="preserve">. In this regard, </w:t>
      </w:r>
      <w:r w:rsidRPr="00921120">
        <w:rPr>
          <w:rFonts w:ascii="Arial" w:hAnsi="Arial" w:cs="Arial"/>
          <w:sz w:val="20"/>
          <w:szCs w:val="20"/>
        </w:rPr>
        <w:t xml:space="preserve">it visited the </w:t>
      </w:r>
      <w:r w:rsidR="008355B8" w:rsidRPr="00921120">
        <w:rPr>
          <w:rFonts w:ascii="Arial" w:hAnsi="Arial" w:cs="Arial"/>
          <w:sz w:val="20"/>
          <w:szCs w:val="20"/>
        </w:rPr>
        <w:t xml:space="preserve">Nkowankowa and Seshego Industrial Parks, </w:t>
      </w:r>
      <w:r w:rsidR="00B92857" w:rsidRPr="00921120">
        <w:rPr>
          <w:rFonts w:ascii="Arial" w:hAnsi="Arial" w:cs="Arial"/>
          <w:sz w:val="20"/>
          <w:szCs w:val="20"/>
        </w:rPr>
        <w:t xml:space="preserve">which are </w:t>
      </w:r>
      <w:r w:rsidRPr="00921120">
        <w:rPr>
          <w:rFonts w:ascii="Arial" w:hAnsi="Arial" w:cs="Arial"/>
          <w:sz w:val="20"/>
          <w:szCs w:val="20"/>
        </w:rPr>
        <w:t>owne</w:t>
      </w:r>
      <w:r w:rsidR="008355B8" w:rsidRPr="00921120">
        <w:rPr>
          <w:rFonts w:ascii="Arial" w:hAnsi="Arial" w:cs="Arial"/>
          <w:sz w:val="20"/>
          <w:szCs w:val="20"/>
        </w:rPr>
        <w:t>d and managed by the LED</w:t>
      </w:r>
      <w:r w:rsidR="00C846A0" w:rsidRPr="00921120">
        <w:rPr>
          <w:rFonts w:ascii="Arial" w:hAnsi="Arial" w:cs="Arial"/>
          <w:sz w:val="20"/>
          <w:szCs w:val="20"/>
        </w:rPr>
        <w:t>A</w:t>
      </w:r>
      <w:r w:rsidR="00FC2D13" w:rsidRPr="00921120">
        <w:rPr>
          <w:rFonts w:ascii="Arial" w:hAnsi="Arial" w:cs="Arial"/>
          <w:sz w:val="20"/>
          <w:szCs w:val="20"/>
        </w:rPr>
        <w:t xml:space="preserve">. These Parks had received </w:t>
      </w:r>
      <w:r w:rsidR="008355B8" w:rsidRPr="00921120">
        <w:rPr>
          <w:rFonts w:ascii="Arial" w:hAnsi="Arial" w:cs="Arial"/>
          <w:sz w:val="20"/>
          <w:szCs w:val="20"/>
        </w:rPr>
        <w:t xml:space="preserve">support </w:t>
      </w:r>
      <w:r w:rsidR="00FC2D13" w:rsidRPr="00921120">
        <w:rPr>
          <w:rFonts w:ascii="Arial" w:hAnsi="Arial" w:cs="Arial"/>
          <w:sz w:val="20"/>
          <w:szCs w:val="20"/>
        </w:rPr>
        <w:t xml:space="preserve">through </w:t>
      </w:r>
      <w:r w:rsidR="008355B8" w:rsidRPr="00921120">
        <w:rPr>
          <w:rFonts w:ascii="Arial" w:hAnsi="Arial" w:cs="Arial"/>
          <w:sz w:val="20"/>
          <w:szCs w:val="20"/>
        </w:rPr>
        <w:t>the DTIC’s IP</w:t>
      </w:r>
      <w:r w:rsidR="003374C4" w:rsidRPr="00921120">
        <w:rPr>
          <w:rFonts w:ascii="Arial" w:hAnsi="Arial" w:cs="Arial"/>
          <w:sz w:val="20"/>
          <w:szCs w:val="20"/>
        </w:rPr>
        <w:t>R</w:t>
      </w:r>
      <w:r w:rsidR="008355B8" w:rsidRPr="00921120">
        <w:rPr>
          <w:rFonts w:ascii="Arial" w:hAnsi="Arial" w:cs="Arial"/>
          <w:sz w:val="20"/>
          <w:szCs w:val="20"/>
        </w:rPr>
        <w:t>P</w:t>
      </w:r>
      <w:r w:rsidR="00FC2D13" w:rsidRPr="00921120">
        <w:rPr>
          <w:rFonts w:ascii="Arial" w:hAnsi="Arial" w:cs="Arial"/>
          <w:sz w:val="20"/>
          <w:szCs w:val="20"/>
        </w:rPr>
        <w:t xml:space="preserve">. </w:t>
      </w:r>
      <w:r w:rsidR="009D7D15" w:rsidRPr="00921120">
        <w:rPr>
          <w:rFonts w:ascii="Arial" w:hAnsi="Arial" w:cs="Arial"/>
          <w:sz w:val="20"/>
          <w:szCs w:val="20"/>
        </w:rPr>
        <w:t>Furthermore, t</w:t>
      </w:r>
      <w:r w:rsidR="00FC2D13" w:rsidRPr="00921120">
        <w:rPr>
          <w:rFonts w:ascii="Arial" w:hAnsi="Arial" w:cs="Arial"/>
          <w:sz w:val="20"/>
          <w:szCs w:val="20"/>
        </w:rPr>
        <w:t xml:space="preserve">he </w:t>
      </w:r>
      <w:r w:rsidR="009D7D15" w:rsidRPr="00921120">
        <w:rPr>
          <w:rFonts w:ascii="Arial" w:hAnsi="Arial" w:cs="Arial"/>
          <w:sz w:val="20"/>
          <w:szCs w:val="20"/>
        </w:rPr>
        <w:t xml:space="preserve">Committee engaged on </w:t>
      </w:r>
      <w:r w:rsidR="00FC2D13" w:rsidRPr="00921120">
        <w:rPr>
          <w:rFonts w:ascii="Arial" w:hAnsi="Arial" w:cs="Arial"/>
          <w:sz w:val="20"/>
          <w:szCs w:val="20"/>
        </w:rPr>
        <w:t xml:space="preserve">the </w:t>
      </w:r>
      <w:r w:rsidR="008355B8" w:rsidRPr="00921120">
        <w:rPr>
          <w:rFonts w:ascii="Arial" w:hAnsi="Arial" w:cs="Arial"/>
          <w:sz w:val="20"/>
          <w:szCs w:val="20"/>
        </w:rPr>
        <w:t>development</w:t>
      </w:r>
      <w:r w:rsidR="00FC2D13" w:rsidRPr="00921120">
        <w:rPr>
          <w:rFonts w:ascii="Arial" w:hAnsi="Arial" w:cs="Arial"/>
          <w:sz w:val="20"/>
          <w:szCs w:val="20"/>
        </w:rPr>
        <w:t>s</w:t>
      </w:r>
      <w:r w:rsidR="008355B8" w:rsidRPr="00921120">
        <w:rPr>
          <w:rFonts w:ascii="Arial" w:hAnsi="Arial" w:cs="Arial"/>
          <w:sz w:val="20"/>
          <w:szCs w:val="20"/>
        </w:rPr>
        <w:t xml:space="preserve"> and plans</w:t>
      </w:r>
      <w:r w:rsidR="00FC2D13" w:rsidRPr="00921120">
        <w:rPr>
          <w:rFonts w:ascii="Arial" w:hAnsi="Arial" w:cs="Arial"/>
          <w:sz w:val="20"/>
          <w:szCs w:val="20"/>
        </w:rPr>
        <w:t xml:space="preserve"> for these two Parks</w:t>
      </w:r>
      <w:r w:rsidR="008355B8" w:rsidRPr="00921120">
        <w:rPr>
          <w:rFonts w:ascii="Arial" w:hAnsi="Arial" w:cs="Arial"/>
          <w:sz w:val="20"/>
          <w:szCs w:val="20"/>
        </w:rPr>
        <w:t xml:space="preserve">, and </w:t>
      </w:r>
      <w:r w:rsidR="00FC2D13" w:rsidRPr="00921120">
        <w:rPr>
          <w:rFonts w:ascii="Arial" w:hAnsi="Arial" w:cs="Arial"/>
          <w:sz w:val="20"/>
          <w:szCs w:val="20"/>
        </w:rPr>
        <w:t xml:space="preserve">the </w:t>
      </w:r>
      <w:r w:rsidR="008355B8" w:rsidRPr="00921120">
        <w:rPr>
          <w:rFonts w:ascii="Arial" w:hAnsi="Arial" w:cs="Arial"/>
          <w:sz w:val="20"/>
          <w:szCs w:val="20"/>
        </w:rPr>
        <w:t>progress made since the Committee’s last engagement</w:t>
      </w:r>
      <w:r w:rsidR="00FC2D13" w:rsidRPr="00921120">
        <w:rPr>
          <w:rFonts w:ascii="Arial" w:hAnsi="Arial" w:cs="Arial"/>
          <w:sz w:val="20"/>
          <w:szCs w:val="20"/>
        </w:rPr>
        <w:t xml:space="preserve"> with LEDET and LEDA in September 2022</w:t>
      </w:r>
      <w:r w:rsidR="008355B8" w:rsidRPr="00921120">
        <w:rPr>
          <w:rFonts w:ascii="Arial" w:hAnsi="Arial" w:cs="Arial"/>
          <w:sz w:val="20"/>
          <w:szCs w:val="20"/>
        </w:rPr>
        <w:t xml:space="preserve">. The </w:t>
      </w:r>
      <w:r w:rsidR="00FC2D13" w:rsidRPr="00921120">
        <w:rPr>
          <w:rFonts w:ascii="Arial" w:hAnsi="Arial" w:cs="Arial"/>
          <w:sz w:val="20"/>
          <w:szCs w:val="20"/>
        </w:rPr>
        <w:t xml:space="preserve">visit included walkabouts </w:t>
      </w:r>
      <w:r w:rsidR="00A63CA6" w:rsidRPr="00921120">
        <w:rPr>
          <w:rFonts w:ascii="Arial" w:hAnsi="Arial" w:cs="Arial"/>
          <w:sz w:val="20"/>
          <w:szCs w:val="20"/>
        </w:rPr>
        <w:t>to</w:t>
      </w:r>
      <w:r w:rsidR="00FC2D13" w:rsidRPr="00921120">
        <w:rPr>
          <w:rFonts w:ascii="Arial" w:hAnsi="Arial" w:cs="Arial"/>
          <w:sz w:val="20"/>
          <w:szCs w:val="20"/>
        </w:rPr>
        <w:t xml:space="preserve"> a few </w:t>
      </w:r>
      <w:r w:rsidR="008355B8" w:rsidRPr="00921120">
        <w:rPr>
          <w:rFonts w:ascii="Arial" w:hAnsi="Arial" w:cs="Arial"/>
          <w:sz w:val="20"/>
          <w:szCs w:val="20"/>
        </w:rPr>
        <w:t xml:space="preserve">tenants located within </w:t>
      </w:r>
      <w:r w:rsidR="00A63CA6" w:rsidRPr="00921120">
        <w:rPr>
          <w:rFonts w:ascii="Arial" w:hAnsi="Arial" w:cs="Arial"/>
          <w:sz w:val="20"/>
          <w:szCs w:val="20"/>
        </w:rPr>
        <w:t xml:space="preserve">the </w:t>
      </w:r>
      <w:r w:rsidR="00FC2D13" w:rsidRPr="00921120">
        <w:rPr>
          <w:rFonts w:ascii="Arial" w:hAnsi="Arial" w:cs="Arial"/>
          <w:sz w:val="20"/>
          <w:szCs w:val="20"/>
        </w:rPr>
        <w:t>P</w:t>
      </w:r>
      <w:r w:rsidR="008355B8" w:rsidRPr="00921120">
        <w:rPr>
          <w:rFonts w:ascii="Arial" w:hAnsi="Arial" w:cs="Arial"/>
          <w:sz w:val="20"/>
          <w:szCs w:val="20"/>
        </w:rPr>
        <w:t xml:space="preserve">arks to ascertain the level of support provided by LEDA and challenges facing tenants regarding infrastructure among others. </w:t>
      </w:r>
      <w:r w:rsidR="004B0143" w:rsidRPr="00921120">
        <w:rPr>
          <w:rFonts w:ascii="Arial" w:hAnsi="Arial" w:cs="Arial"/>
          <w:sz w:val="20"/>
          <w:szCs w:val="20"/>
          <w:lang w:val="en-US"/>
        </w:rPr>
        <w:t>In addition</w:t>
      </w:r>
      <w:r w:rsidR="008355B8" w:rsidRPr="00921120">
        <w:rPr>
          <w:rFonts w:ascii="Arial" w:hAnsi="Arial" w:cs="Arial"/>
          <w:sz w:val="20"/>
          <w:szCs w:val="20"/>
          <w:lang w:val="en-US"/>
        </w:rPr>
        <w:t xml:space="preserve">, the Committee had an </w:t>
      </w:r>
      <w:r w:rsidR="004B0143" w:rsidRPr="00921120">
        <w:rPr>
          <w:rFonts w:ascii="Arial" w:hAnsi="Arial" w:cs="Arial"/>
          <w:sz w:val="20"/>
          <w:szCs w:val="20"/>
          <w:lang w:val="en-US"/>
        </w:rPr>
        <w:t>un</w:t>
      </w:r>
      <w:r w:rsidR="008355B8" w:rsidRPr="00921120">
        <w:rPr>
          <w:rFonts w:ascii="Arial" w:hAnsi="Arial" w:cs="Arial"/>
          <w:sz w:val="20"/>
          <w:szCs w:val="20"/>
          <w:lang w:val="en-US"/>
        </w:rPr>
        <w:t>announce</w:t>
      </w:r>
      <w:r w:rsidR="004B0143" w:rsidRPr="00921120">
        <w:rPr>
          <w:rFonts w:ascii="Arial" w:hAnsi="Arial" w:cs="Arial"/>
          <w:sz w:val="20"/>
          <w:szCs w:val="20"/>
          <w:lang w:val="en-US"/>
        </w:rPr>
        <w:t>d</w:t>
      </w:r>
      <w:r w:rsidR="008355B8" w:rsidRPr="00921120">
        <w:rPr>
          <w:rFonts w:ascii="Arial" w:hAnsi="Arial" w:cs="Arial"/>
          <w:sz w:val="20"/>
          <w:szCs w:val="20"/>
          <w:lang w:val="en-US"/>
        </w:rPr>
        <w:t xml:space="preserve"> visit to </w:t>
      </w:r>
      <w:r w:rsidR="004B0143" w:rsidRPr="00921120">
        <w:rPr>
          <w:rFonts w:ascii="Arial" w:hAnsi="Arial" w:cs="Arial"/>
          <w:sz w:val="20"/>
          <w:szCs w:val="20"/>
          <w:lang w:val="en-US"/>
        </w:rPr>
        <w:t xml:space="preserve">the northern </w:t>
      </w:r>
      <w:r w:rsidR="008355B8" w:rsidRPr="00921120">
        <w:rPr>
          <w:rFonts w:ascii="Arial" w:hAnsi="Arial" w:cs="Arial"/>
          <w:sz w:val="20"/>
          <w:szCs w:val="20"/>
          <w:lang w:val="en-US"/>
        </w:rPr>
        <w:t xml:space="preserve">site of the Musina-Makhado Special Economic Zone (MMSEZ) and engaged the </w:t>
      </w:r>
      <w:r w:rsidR="004B0143" w:rsidRPr="00921120">
        <w:rPr>
          <w:rFonts w:ascii="Arial" w:hAnsi="Arial" w:cs="Arial"/>
          <w:sz w:val="20"/>
          <w:szCs w:val="20"/>
          <w:lang w:val="en-US"/>
        </w:rPr>
        <w:t>LEDET</w:t>
      </w:r>
      <w:r w:rsidR="008355B8" w:rsidRPr="00921120">
        <w:rPr>
          <w:rFonts w:ascii="Arial" w:hAnsi="Arial" w:cs="Arial"/>
          <w:sz w:val="20"/>
          <w:szCs w:val="20"/>
          <w:lang w:val="en-US"/>
        </w:rPr>
        <w:t xml:space="preserve"> on </w:t>
      </w:r>
      <w:r w:rsidR="004B0143" w:rsidRPr="00921120">
        <w:rPr>
          <w:rFonts w:ascii="Arial" w:hAnsi="Arial" w:cs="Arial"/>
          <w:sz w:val="20"/>
          <w:szCs w:val="20"/>
          <w:lang w:val="en-US"/>
        </w:rPr>
        <w:t xml:space="preserve">the </w:t>
      </w:r>
      <w:r w:rsidR="008355B8" w:rsidRPr="00921120">
        <w:rPr>
          <w:rFonts w:ascii="Arial" w:hAnsi="Arial" w:cs="Arial"/>
          <w:sz w:val="20"/>
          <w:szCs w:val="20"/>
          <w:lang w:val="en-US"/>
        </w:rPr>
        <w:t>status of the court case related to the Environmental Impact Assessment for the M</w:t>
      </w:r>
      <w:r w:rsidR="00AF3671" w:rsidRPr="00921120">
        <w:rPr>
          <w:rFonts w:ascii="Arial" w:hAnsi="Arial" w:cs="Arial"/>
          <w:sz w:val="20"/>
          <w:szCs w:val="20"/>
          <w:lang w:val="en-US"/>
        </w:rPr>
        <w:t>MSEZ</w:t>
      </w:r>
      <w:r w:rsidR="008355B8" w:rsidRPr="00921120">
        <w:rPr>
          <w:rFonts w:ascii="Arial" w:hAnsi="Arial" w:cs="Arial"/>
          <w:sz w:val="20"/>
          <w:szCs w:val="20"/>
          <w:lang w:val="en-US"/>
        </w:rPr>
        <w:t xml:space="preserve"> and their subsequent engagements with various relevant stakeholders in this regard.</w:t>
      </w:r>
    </w:p>
    <w:p w:rsidR="00DE52B9" w:rsidRPr="00921120" w:rsidRDefault="00DE52B9" w:rsidP="00921120">
      <w:pPr>
        <w:spacing w:line="240" w:lineRule="auto"/>
        <w:jc w:val="left"/>
        <w:rPr>
          <w:rFonts w:ascii="Arial" w:hAnsi="Arial" w:cs="Arial"/>
          <w:sz w:val="20"/>
          <w:szCs w:val="20"/>
          <w:highlight w:val="yellow"/>
        </w:rPr>
      </w:pPr>
    </w:p>
    <w:p w:rsidR="0097077E" w:rsidRPr="00921120" w:rsidRDefault="009D7D15" w:rsidP="00921120">
      <w:pPr>
        <w:spacing w:line="240" w:lineRule="auto"/>
        <w:jc w:val="left"/>
        <w:rPr>
          <w:rFonts w:ascii="Arial" w:hAnsi="Arial" w:cs="Arial"/>
          <w:sz w:val="20"/>
          <w:szCs w:val="20"/>
        </w:rPr>
      </w:pPr>
      <w:r w:rsidRPr="00921120">
        <w:rPr>
          <w:rFonts w:ascii="Arial" w:hAnsi="Arial" w:cs="Arial"/>
          <w:sz w:val="20"/>
          <w:szCs w:val="20"/>
        </w:rPr>
        <w:t>Thirdly</w:t>
      </w:r>
      <w:r w:rsidR="00DE52B9" w:rsidRPr="00921120">
        <w:rPr>
          <w:rFonts w:ascii="Arial" w:hAnsi="Arial" w:cs="Arial"/>
          <w:sz w:val="20"/>
          <w:szCs w:val="20"/>
        </w:rPr>
        <w:t xml:space="preserve">, it visited </w:t>
      </w:r>
      <w:r w:rsidR="00FC2D13" w:rsidRPr="00921120">
        <w:rPr>
          <w:rFonts w:ascii="Arial" w:hAnsi="Arial" w:cs="Arial"/>
          <w:sz w:val="20"/>
          <w:szCs w:val="20"/>
        </w:rPr>
        <w:t xml:space="preserve">the </w:t>
      </w:r>
      <w:r w:rsidR="008355B8" w:rsidRPr="00921120">
        <w:rPr>
          <w:rFonts w:ascii="Arial" w:hAnsi="Arial" w:cs="Arial"/>
          <w:sz w:val="20"/>
          <w:szCs w:val="20"/>
        </w:rPr>
        <w:t xml:space="preserve">NLC and </w:t>
      </w:r>
      <w:r w:rsidR="00AF3671" w:rsidRPr="00921120">
        <w:rPr>
          <w:rFonts w:ascii="Arial" w:hAnsi="Arial" w:cs="Arial"/>
          <w:sz w:val="20"/>
          <w:szCs w:val="20"/>
        </w:rPr>
        <w:t xml:space="preserve">focused on progress made by the NLC in addressing the challenges facing it. The Committee also </w:t>
      </w:r>
      <w:r w:rsidR="008355B8" w:rsidRPr="00921120">
        <w:rPr>
          <w:rFonts w:ascii="Arial" w:hAnsi="Arial" w:cs="Arial"/>
          <w:sz w:val="20"/>
          <w:szCs w:val="20"/>
        </w:rPr>
        <w:t xml:space="preserve">made </w:t>
      </w:r>
      <w:r w:rsidR="0097077E" w:rsidRPr="00921120">
        <w:rPr>
          <w:rFonts w:ascii="Arial" w:hAnsi="Arial" w:cs="Arial"/>
          <w:sz w:val="20"/>
          <w:szCs w:val="20"/>
        </w:rPr>
        <w:t>a number of</w:t>
      </w:r>
      <w:r w:rsidR="008355B8" w:rsidRPr="00921120">
        <w:rPr>
          <w:rFonts w:ascii="Arial" w:hAnsi="Arial" w:cs="Arial"/>
          <w:sz w:val="20"/>
          <w:szCs w:val="20"/>
        </w:rPr>
        <w:t xml:space="preserve"> unannounced visits to</w:t>
      </w:r>
      <w:r w:rsidR="0097077E" w:rsidRPr="00921120">
        <w:rPr>
          <w:rFonts w:ascii="Arial" w:hAnsi="Arial" w:cs="Arial"/>
          <w:sz w:val="20"/>
          <w:szCs w:val="20"/>
        </w:rPr>
        <w:t xml:space="preserve"> </w:t>
      </w:r>
      <w:r w:rsidRPr="00921120">
        <w:rPr>
          <w:rFonts w:ascii="Arial" w:hAnsi="Arial" w:cs="Arial"/>
          <w:sz w:val="20"/>
          <w:szCs w:val="20"/>
        </w:rPr>
        <w:t xml:space="preserve">past </w:t>
      </w:r>
      <w:r w:rsidR="0097077E" w:rsidRPr="00921120">
        <w:rPr>
          <w:rFonts w:ascii="Arial" w:hAnsi="Arial" w:cs="Arial"/>
          <w:sz w:val="20"/>
          <w:szCs w:val="20"/>
        </w:rPr>
        <w:t xml:space="preserve">projects funded by the </w:t>
      </w:r>
      <w:r w:rsidR="008355B8" w:rsidRPr="00921120">
        <w:rPr>
          <w:rFonts w:ascii="Arial" w:hAnsi="Arial" w:cs="Arial"/>
          <w:sz w:val="20"/>
          <w:szCs w:val="20"/>
        </w:rPr>
        <w:t xml:space="preserve">NLC. </w:t>
      </w:r>
    </w:p>
    <w:p w:rsidR="009E5F99" w:rsidRPr="00921120" w:rsidRDefault="009E5F99" w:rsidP="00921120">
      <w:pPr>
        <w:spacing w:line="240" w:lineRule="auto"/>
        <w:jc w:val="left"/>
        <w:rPr>
          <w:rFonts w:ascii="Arial" w:hAnsi="Arial" w:cs="Arial"/>
          <w:sz w:val="20"/>
          <w:szCs w:val="20"/>
        </w:rPr>
      </w:pPr>
    </w:p>
    <w:p w:rsidR="00F51D73" w:rsidRPr="00921120" w:rsidRDefault="00F51D73" w:rsidP="00921120">
      <w:pPr>
        <w:pStyle w:val="Heading2"/>
        <w:spacing w:line="240" w:lineRule="auto"/>
        <w:jc w:val="left"/>
        <w:rPr>
          <w:rFonts w:ascii="Arial" w:hAnsi="Arial" w:cs="Arial"/>
          <w:sz w:val="20"/>
          <w:szCs w:val="20"/>
        </w:rPr>
      </w:pPr>
      <w:r w:rsidRPr="00921120">
        <w:rPr>
          <w:rFonts w:ascii="Arial" w:hAnsi="Arial" w:cs="Arial"/>
          <w:sz w:val="20"/>
          <w:szCs w:val="20"/>
        </w:rPr>
        <w:t xml:space="preserve">Delegation </w:t>
      </w:r>
    </w:p>
    <w:p w:rsidR="00F51D73" w:rsidRPr="00921120" w:rsidRDefault="00F51D73" w:rsidP="00921120">
      <w:pPr>
        <w:spacing w:line="240" w:lineRule="auto"/>
        <w:jc w:val="left"/>
        <w:rPr>
          <w:rFonts w:ascii="Arial" w:hAnsi="Arial" w:cs="Arial"/>
          <w:sz w:val="20"/>
          <w:szCs w:val="20"/>
        </w:rPr>
      </w:pPr>
      <w:r w:rsidRPr="00921120">
        <w:rPr>
          <w:rFonts w:ascii="Arial" w:hAnsi="Arial" w:cs="Arial"/>
          <w:sz w:val="20"/>
          <w:szCs w:val="20"/>
        </w:rPr>
        <w:t>The following Members of Parliament participated in the oversight</w:t>
      </w:r>
      <w:r w:rsidR="009D7D15" w:rsidRPr="00921120">
        <w:rPr>
          <w:rFonts w:ascii="Arial" w:hAnsi="Arial" w:cs="Arial"/>
          <w:sz w:val="20"/>
          <w:szCs w:val="20"/>
        </w:rPr>
        <w:t xml:space="preserve"> visit</w:t>
      </w:r>
      <w:r w:rsidRPr="00921120">
        <w:rPr>
          <w:rFonts w:ascii="Arial" w:hAnsi="Arial" w:cs="Arial"/>
          <w:sz w:val="20"/>
          <w:szCs w:val="20"/>
        </w:rPr>
        <w:t xml:space="preserve">: </w:t>
      </w:r>
    </w:p>
    <w:p w:rsidR="008E590F" w:rsidRPr="00921120" w:rsidRDefault="008E590F" w:rsidP="00921120">
      <w:pPr>
        <w:pStyle w:val="ListParagraph"/>
        <w:numPr>
          <w:ilvl w:val="0"/>
          <w:numId w:val="1"/>
        </w:numPr>
        <w:spacing w:line="240" w:lineRule="auto"/>
        <w:jc w:val="left"/>
        <w:rPr>
          <w:rFonts w:ascii="Arial" w:hAnsi="Arial" w:cs="Arial"/>
          <w:sz w:val="20"/>
          <w:szCs w:val="20"/>
        </w:rPr>
      </w:pPr>
      <w:r w:rsidRPr="00921120">
        <w:rPr>
          <w:rFonts w:ascii="Arial" w:hAnsi="Arial" w:cs="Arial"/>
          <w:sz w:val="20"/>
          <w:szCs w:val="20"/>
        </w:rPr>
        <w:t>Mr Z Burns-Ncamashe (African National Congress (ANC))</w:t>
      </w:r>
      <w:r w:rsidR="00587287" w:rsidRPr="00921120">
        <w:rPr>
          <w:rFonts w:ascii="Arial" w:hAnsi="Arial" w:cs="Arial"/>
          <w:sz w:val="20"/>
          <w:szCs w:val="20"/>
        </w:rPr>
        <w:t>,</w:t>
      </w:r>
    </w:p>
    <w:p w:rsidR="00F51D73" w:rsidRPr="00921120" w:rsidRDefault="00F51D73" w:rsidP="00921120">
      <w:pPr>
        <w:pStyle w:val="ListParagraph"/>
        <w:numPr>
          <w:ilvl w:val="0"/>
          <w:numId w:val="1"/>
        </w:numPr>
        <w:spacing w:line="240" w:lineRule="auto"/>
        <w:jc w:val="left"/>
        <w:rPr>
          <w:rFonts w:ascii="Arial" w:hAnsi="Arial" w:cs="Arial"/>
          <w:sz w:val="20"/>
          <w:szCs w:val="20"/>
        </w:rPr>
      </w:pPr>
      <w:r w:rsidRPr="00921120">
        <w:rPr>
          <w:rFonts w:ascii="Arial" w:hAnsi="Arial" w:cs="Arial"/>
          <w:sz w:val="20"/>
          <w:szCs w:val="20"/>
        </w:rPr>
        <w:t>Mr M Cuthbert (Democratic Alliance),</w:t>
      </w:r>
    </w:p>
    <w:p w:rsidR="00F51D73" w:rsidRPr="00921120" w:rsidRDefault="00F51D73" w:rsidP="00921120">
      <w:pPr>
        <w:pStyle w:val="ListParagraph"/>
        <w:numPr>
          <w:ilvl w:val="0"/>
          <w:numId w:val="1"/>
        </w:numPr>
        <w:spacing w:line="240" w:lineRule="auto"/>
        <w:jc w:val="left"/>
        <w:rPr>
          <w:rFonts w:ascii="Arial" w:hAnsi="Arial" w:cs="Arial"/>
          <w:sz w:val="20"/>
          <w:szCs w:val="20"/>
        </w:rPr>
      </w:pPr>
      <w:r w:rsidRPr="00921120">
        <w:rPr>
          <w:rFonts w:ascii="Arial" w:hAnsi="Arial" w:cs="Arial"/>
          <w:sz w:val="20"/>
          <w:szCs w:val="20"/>
        </w:rPr>
        <w:t xml:space="preserve">Ms J Hermans </w:t>
      </w:r>
      <w:r w:rsidR="008E590F" w:rsidRPr="00921120">
        <w:rPr>
          <w:rFonts w:ascii="Arial" w:hAnsi="Arial" w:cs="Arial"/>
          <w:sz w:val="20"/>
          <w:szCs w:val="20"/>
        </w:rPr>
        <w:t>(ANC) (Chairperson)</w:t>
      </w:r>
      <w:r w:rsidRPr="00921120">
        <w:rPr>
          <w:rFonts w:ascii="Arial" w:hAnsi="Arial" w:cs="Arial"/>
          <w:sz w:val="20"/>
          <w:szCs w:val="20"/>
        </w:rPr>
        <w:t>,</w:t>
      </w:r>
    </w:p>
    <w:p w:rsidR="00587287" w:rsidRPr="00921120" w:rsidRDefault="00587287" w:rsidP="00921120">
      <w:pPr>
        <w:pStyle w:val="ListParagraph"/>
        <w:numPr>
          <w:ilvl w:val="0"/>
          <w:numId w:val="1"/>
        </w:numPr>
        <w:spacing w:line="240" w:lineRule="auto"/>
        <w:jc w:val="left"/>
        <w:rPr>
          <w:rFonts w:ascii="Arial" w:hAnsi="Arial" w:cs="Arial"/>
          <w:sz w:val="20"/>
          <w:szCs w:val="20"/>
        </w:rPr>
      </w:pPr>
      <w:r w:rsidRPr="00921120">
        <w:rPr>
          <w:rFonts w:ascii="Arial" w:hAnsi="Arial" w:cs="Arial"/>
          <w:sz w:val="20"/>
          <w:szCs w:val="20"/>
        </w:rPr>
        <w:lastRenderedPageBreak/>
        <w:t>Mr C Malematja (ANC),</w:t>
      </w:r>
    </w:p>
    <w:p w:rsidR="00F51D73" w:rsidRPr="00921120" w:rsidRDefault="00F51D73" w:rsidP="00921120">
      <w:pPr>
        <w:pStyle w:val="ListParagraph"/>
        <w:numPr>
          <w:ilvl w:val="0"/>
          <w:numId w:val="1"/>
        </w:numPr>
        <w:spacing w:line="240" w:lineRule="auto"/>
        <w:jc w:val="left"/>
        <w:rPr>
          <w:rFonts w:ascii="Arial" w:hAnsi="Arial" w:cs="Arial"/>
          <w:sz w:val="20"/>
          <w:szCs w:val="20"/>
        </w:rPr>
      </w:pPr>
      <w:r w:rsidRPr="00921120">
        <w:rPr>
          <w:rFonts w:ascii="Arial" w:hAnsi="Arial" w:cs="Arial"/>
          <w:sz w:val="20"/>
          <w:szCs w:val="20"/>
        </w:rPr>
        <w:t>Mr S Mbuyane (ANC),</w:t>
      </w:r>
    </w:p>
    <w:p w:rsidR="00F51D73" w:rsidRPr="00921120" w:rsidRDefault="00F51D73" w:rsidP="00921120">
      <w:pPr>
        <w:pStyle w:val="ListParagraph"/>
        <w:numPr>
          <w:ilvl w:val="0"/>
          <w:numId w:val="1"/>
        </w:numPr>
        <w:spacing w:line="240" w:lineRule="auto"/>
        <w:jc w:val="left"/>
        <w:rPr>
          <w:rFonts w:ascii="Arial" w:hAnsi="Arial" w:cs="Arial"/>
          <w:sz w:val="20"/>
          <w:szCs w:val="20"/>
        </w:rPr>
      </w:pPr>
      <w:r w:rsidRPr="00921120">
        <w:rPr>
          <w:rFonts w:ascii="Arial" w:hAnsi="Arial" w:cs="Arial"/>
          <w:sz w:val="20"/>
          <w:szCs w:val="20"/>
        </w:rPr>
        <w:t>Ms R Moatshe (ANC),</w:t>
      </w:r>
    </w:p>
    <w:p w:rsidR="004B0143" w:rsidRPr="00921120" w:rsidRDefault="00F51D73" w:rsidP="00921120">
      <w:pPr>
        <w:pStyle w:val="ListParagraph"/>
        <w:numPr>
          <w:ilvl w:val="0"/>
          <w:numId w:val="1"/>
        </w:numPr>
        <w:spacing w:line="240" w:lineRule="auto"/>
        <w:jc w:val="left"/>
        <w:rPr>
          <w:rFonts w:ascii="Arial" w:hAnsi="Arial" w:cs="Arial"/>
          <w:sz w:val="20"/>
          <w:szCs w:val="20"/>
        </w:rPr>
      </w:pPr>
      <w:r w:rsidRPr="00921120">
        <w:rPr>
          <w:rFonts w:ascii="Arial" w:hAnsi="Arial" w:cs="Arial"/>
          <w:sz w:val="20"/>
          <w:szCs w:val="20"/>
        </w:rPr>
        <w:t>Ms N Motaung (ANC),</w:t>
      </w:r>
      <w:r w:rsidR="00AF3671" w:rsidRPr="00921120">
        <w:rPr>
          <w:rFonts w:ascii="Arial" w:hAnsi="Arial" w:cs="Arial"/>
          <w:sz w:val="20"/>
          <w:szCs w:val="20"/>
        </w:rPr>
        <w:t xml:space="preserve"> </w:t>
      </w:r>
    </w:p>
    <w:p w:rsidR="00F51D73" w:rsidRPr="00921120" w:rsidRDefault="004B0143" w:rsidP="00921120">
      <w:pPr>
        <w:pStyle w:val="ListParagraph"/>
        <w:numPr>
          <w:ilvl w:val="0"/>
          <w:numId w:val="1"/>
        </w:numPr>
        <w:spacing w:line="240" w:lineRule="auto"/>
        <w:jc w:val="left"/>
        <w:rPr>
          <w:rFonts w:ascii="Arial" w:hAnsi="Arial" w:cs="Arial"/>
          <w:sz w:val="20"/>
          <w:szCs w:val="20"/>
        </w:rPr>
      </w:pPr>
      <w:r w:rsidRPr="00921120">
        <w:rPr>
          <w:rFonts w:ascii="Arial" w:hAnsi="Arial" w:cs="Arial"/>
          <w:sz w:val="20"/>
          <w:szCs w:val="20"/>
        </w:rPr>
        <w:t xml:space="preserve">Mr J Mulder (Freedom Front Plus), </w:t>
      </w:r>
      <w:r w:rsidR="00F51D73" w:rsidRPr="00921120">
        <w:rPr>
          <w:rFonts w:ascii="Arial" w:hAnsi="Arial" w:cs="Arial"/>
          <w:sz w:val="20"/>
          <w:szCs w:val="20"/>
        </w:rPr>
        <w:t>and</w:t>
      </w:r>
    </w:p>
    <w:p w:rsidR="008E590F" w:rsidRPr="00921120" w:rsidRDefault="004B0143" w:rsidP="00921120">
      <w:pPr>
        <w:pStyle w:val="ListParagraph"/>
        <w:numPr>
          <w:ilvl w:val="0"/>
          <w:numId w:val="1"/>
        </w:numPr>
        <w:spacing w:line="240" w:lineRule="auto"/>
        <w:jc w:val="left"/>
        <w:rPr>
          <w:rFonts w:ascii="Arial" w:hAnsi="Arial" w:cs="Arial"/>
          <w:sz w:val="20"/>
          <w:szCs w:val="20"/>
        </w:rPr>
      </w:pPr>
      <w:r w:rsidRPr="00921120">
        <w:rPr>
          <w:rFonts w:ascii="Arial" w:hAnsi="Arial" w:cs="Arial"/>
          <w:sz w:val="20"/>
          <w:szCs w:val="20"/>
        </w:rPr>
        <w:t>D</w:t>
      </w:r>
      <w:r w:rsidR="008E590F" w:rsidRPr="00921120">
        <w:rPr>
          <w:rFonts w:ascii="Arial" w:hAnsi="Arial" w:cs="Arial"/>
          <w:sz w:val="20"/>
          <w:szCs w:val="20"/>
        </w:rPr>
        <w:t>r M Tshwaku (Economic Freedom Fighters)</w:t>
      </w:r>
      <w:r w:rsidR="00587287" w:rsidRPr="00921120">
        <w:rPr>
          <w:rFonts w:ascii="Arial" w:hAnsi="Arial" w:cs="Arial"/>
          <w:sz w:val="20"/>
          <w:szCs w:val="20"/>
        </w:rPr>
        <w:t>.</w:t>
      </w:r>
    </w:p>
    <w:p w:rsidR="00F51D73" w:rsidRPr="00921120" w:rsidRDefault="00F51D73" w:rsidP="00921120">
      <w:pPr>
        <w:spacing w:line="240" w:lineRule="auto"/>
        <w:jc w:val="left"/>
        <w:rPr>
          <w:rFonts w:ascii="Arial" w:hAnsi="Arial" w:cs="Arial"/>
          <w:sz w:val="20"/>
          <w:szCs w:val="20"/>
        </w:rPr>
      </w:pPr>
    </w:p>
    <w:p w:rsidR="00F51D73" w:rsidRPr="00921120" w:rsidRDefault="00F51D73" w:rsidP="00921120">
      <w:pPr>
        <w:spacing w:line="240" w:lineRule="auto"/>
        <w:jc w:val="left"/>
        <w:rPr>
          <w:rFonts w:ascii="Arial" w:hAnsi="Arial" w:cs="Arial"/>
          <w:sz w:val="20"/>
          <w:szCs w:val="20"/>
        </w:rPr>
      </w:pPr>
      <w:r w:rsidRPr="00921120">
        <w:rPr>
          <w:rFonts w:ascii="Arial" w:hAnsi="Arial" w:cs="Arial"/>
          <w:sz w:val="20"/>
          <w:szCs w:val="20"/>
        </w:rPr>
        <w:t>The Committee was supported by the following members of staff:</w:t>
      </w:r>
    </w:p>
    <w:p w:rsidR="00587287" w:rsidRPr="00921120" w:rsidRDefault="00587287" w:rsidP="00921120">
      <w:pPr>
        <w:pStyle w:val="ListParagraph"/>
        <w:numPr>
          <w:ilvl w:val="0"/>
          <w:numId w:val="2"/>
        </w:numPr>
        <w:spacing w:line="240" w:lineRule="auto"/>
        <w:jc w:val="left"/>
        <w:rPr>
          <w:rFonts w:ascii="Arial" w:hAnsi="Arial" w:cs="Arial"/>
          <w:sz w:val="20"/>
          <w:szCs w:val="20"/>
        </w:rPr>
      </w:pPr>
      <w:r w:rsidRPr="00921120">
        <w:rPr>
          <w:rFonts w:ascii="Arial" w:hAnsi="Arial" w:cs="Arial"/>
          <w:sz w:val="20"/>
          <w:szCs w:val="20"/>
        </w:rPr>
        <w:t>Mr A Hermans, Committee Secretary;</w:t>
      </w:r>
    </w:p>
    <w:p w:rsidR="00F51D73" w:rsidRPr="00921120" w:rsidRDefault="00F51D73" w:rsidP="00921120">
      <w:pPr>
        <w:pStyle w:val="ListParagraph"/>
        <w:numPr>
          <w:ilvl w:val="0"/>
          <w:numId w:val="2"/>
        </w:numPr>
        <w:spacing w:line="240" w:lineRule="auto"/>
        <w:jc w:val="left"/>
        <w:rPr>
          <w:rFonts w:ascii="Arial" w:hAnsi="Arial" w:cs="Arial"/>
          <w:sz w:val="20"/>
          <w:szCs w:val="20"/>
        </w:rPr>
      </w:pPr>
      <w:r w:rsidRPr="00921120">
        <w:rPr>
          <w:rFonts w:ascii="Arial" w:hAnsi="Arial" w:cs="Arial"/>
          <w:sz w:val="20"/>
          <w:szCs w:val="20"/>
        </w:rPr>
        <w:t>Ms Y Manakaza, Committee Assistant</w:t>
      </w:r>
      <w:r w:rsidR="00544D88" w:rsidRPr="00921120">
        <w:rPr>
          <w:rFonts w:ascii="Arial" w:hAnsi="Arial" w:cs="Arial"/>
          <w:sz w:val="20"/>
          <w:szCs w:val="20"/>
        </w:rPr>
        <w:t>;</w:t>
      </w:r>
      <w:r w:rsidR="00A955F8" w:rsidRPr="00921120">
        <w:rPr>
          <w:rFonts w:ascii="Arial" w:hAnsi="Arial" w:cs="Arial"/>
          <w:sz w:val="20"/>
          <w:szCs w:val="20"/>
        </w:rPr>
        <w:t xml:space="preserve"> and</w:t>
      </w:r>
    </w:p>
    <w:p w:rsidR="00F51D73" w:rsidRPr="00921120" w:rsidRDefault="00F51D73" w:rsidP="00921120">
      <w:pPr>
        <w:pStyle w:val="ListParagraph"/>
        <w:numPr>
          <w:ilvl w:val="0"/>
          <w:numId w:val="2"/>
        </w:numPr>
        <w:spacing w:line="240" w:lineRule="auto"/>
        <w:jc w:val="left"/>
        <w:rPr>
          <w:rFonts w:ascii="Arial" w:hAnsi="Arial" w:cs="Arial"/>
          <w:sz w:val="20"/>
          <w:szCs w:val="20"/>
        </w:rPr>
      </w:pPr>
      <w:r w:rsidRPr="00921120">
        <w:rPr>
          <w:rFonts w:ascii="Arial" w:hAnsi="Arial" w:cs="Arial"/>
          <w:sz w:val="20"/>
          <w:szCs w:val="20"/>
        </w:rPr>
        <w:t>Ms M Sheldon, Content Advisor.</w:t>
      </w:r>
    </w:p>
    <w:p w:rsidR="00F51D73" w:rsidRPr="00921120" w:rsidRDefault="00F51D73" w:rsidP="00921120">
      <w:pPr>
        <w:spacing w:line="240" w:lineRule="auto"/>
        <w:jc w:val="left"/>
        <w:rPr>
          <w:rFonts w:ascii="Arial" w:hAnsi="Arial" w:cs="Arial"/>
          <w:sz w:val="20"/>
          <w:szCs w:val="20"/>
        </w:rPr>
      </w:pPr>
    </w:p>
    <w:p w:rsidR="00F51D73" w:rsidRPr="00921120" w:rsidRDefault="00F51D73" w:rsidP="00921120">
      <w:pPr>
        <w:pStyle w:val="Heading2"/>
        <w:spacing w:line="240" w:lineRule="auto"/>
        <w:jc w:val="left"/>
        <w:rPr>
          <w:rFonts w:ascii="Arial" w:hAnsi="Arial" w:cs="Arial"/>
          <w:sz w:val="20"/>
          <w:szCs w:val="20"/>
        </w:rPr>
      </w:pPr>
      <w:r w:rsidRPr="00921120">
        <w:rPr>
          <w:rFonts w:ascii="Arial" w:hAnsi="Arial" w:cs="Arial"/>
          <w:sz w:val="20"/>
          <w:szCs w:val="20"/>
        </w:rPr>
        <w:t>Purpose of the report</w:t>
      </w:r>
    </w:p>
    <w:p w:rsidR="00F51D73" w:rsidRPr="00921120" w:rsidRDefault="00F51D73" w:rsidP="00921120">
      <w:pPr>
        <w:spacing w:line="240" w:lineRule="auto"/>
        <w:jc w:val="left"/>
        <w:rPr>
          <w:rFonts w:ascii="Arial" w:hAnsi="Arial" w:cs="Arial"/>
          <w:sz w:val="20"/>
          <w:szCs w:val="20"/>
        </w:rPr>
      </w:pPr>
      <w:r w:rsidRPr="00921120">
        <w:rPr>
          <w:rFonts w:ascii="Arial" w:hAnsi="Arial" w:cs="Arial"/>
          <w:sz w:val="20"/>
          <w:szCs w:val="20"/>
        </w:rPr>
        <w:t xml:space="preserve">This report captures the substantive discussions the </w:t>
      </w:r>
      <w:r w:rsidR="003C6DA4" w:rsidRPr="00921120">
        <w:rPr>
          <w:rFonts w:ascii="Arial" w:hAnsi="Arial" w:cs="Arial"/>
          <w:sz w:val="20"/>
          <w:szCs w:val="20"/>
        </w:rPr>
        <w:t xml:space="preserve">Committee </w:t>
      </w:r>
      <w:r w:rsidRPr="00921120">
        <w:rPr>
          <w:rFonts w:ascii="Arial" w:hAnsi="Arial" w:cs="Arial"/>
          <w:sz w:val="20"/>
          <w:szCs w:val="20"/>
        </w:rPr>
        <w:t>had during the oversight visit. The Committee Secretar</w:t>
      </w:r>
      <w:r w:rsidR="004B0143" w:rsidRPr="00921120">
        <w:rPr>
          <w:rFonts w:ascii="Arial" w:hAnsi="Arial" w:cs="Arial"/>
          <w:sz w:val="20"/>
          <w:szCs w:val="20"/>
        </w:rPr>
        <w:t>y</w:t>
      </w:r>
      <w:r w:rsidRPr="00921120">
        <w:rPr>
          <w:rFonts w:ascii="Arial" w:hAnsi="Arial" w:cs="Arial"/>
          <w:sz w:val="20"/>
          <w:szCs w:val="20"/>
        </w:rPr>
        <w:t xml:space="preserve"> can be contacted for access to the detailed presentations from </w:t>
      </w:r>
      <w:r w:rsidR="00AF3671" w:rsidRPr="00921120">
        <w:rPr>
          <w:rFonts w:ascii="Arial" w:hAnsi="Arial" w:cs="Arial"/>
          <w:sz w:val="20"/>
          <w:szCs w:val="20"/>
        </w:rPr>
        <w:t>the SARS, the NRCS</w:t>
      </w:r>
      <w:r w:rsidR="00587287" w:rsidRPr="00921120">
        <w:rPr>
          <w:rFonts w:ascii="Arial" w:hAnsi="Arial" w:cs="Arial"/>
          <w:sz w:val="20"/>
          <w:szCs w:val="20"/>
        </w:rPr>
        <w:t>,</w:t>
      </w:r>
      <w:r w:rsidR="00F26EB2" w:rsidRPr="00921120">
        <w:rPr>
          <w:rFonts w:ascii="Arial" w:hAnsi="Arial" w:cs="Arial"/>
          <w:sz w:val="20"/>
          <w:szCs w:val="20"/>
        </w:rPr>
        <w:t xml:space="preserve"> the </w:t>
      </w:r>
      <w:r w:rsidR="00AF3671" w:rsidRPr="00921120">
        <w:rPr>
          <w:rFonts w:ascii="Arial" w:hAnsi="Arial" w:cs="Arial"/>
          <w:sz w:val="20"/>
          <w:szCs w:val="20"/>
        </w:rPr>
        <w:t xml:space="preserve">LEDET, </w:t>
      </w:r>
      <w:r w:rsidR="004B0143" w:rsidRPr="00921120">
        <w:rPr>
          <w:rFonts w:ascii="Arial" w:hAnsi="Arial" w:cs="Arial"/>
          <w:sz w:val="20"/>
          <w:szCs w:val="20"/>
        </w:rPr>
        <w:t>and</w:t>
      </w:r>
      <w:r w:rsidR="00AF3671" w:rsidRPr="00921120">
        <w:rPr>
          <w:rFonts w:ascii="Arial" w:hAnsi="Arial" w:cs="Arial"/>
          <w:sz w:val="20"/>
          <w:szCs w:val="20"/>
        </w:rPr>
        <w:t xml:space="preserve"> the NLC.</w:t>
      </w:r>
    </w:p>
    <w:p w:rsidR="00A84F62" w:rsidRPr="00921120" w:rsidRDefault="00A84F62" w:rsidP="00921120">
      <w:pPr>
        <w:spacing w:line="240" w:lineRule="auto"/>
        <w:jc w:val="left"/>
        <w:rPr>
          <w:rFonts w:ascii="Arial" w:hAnsi="Arial" w:cs="Arial"/>
          <w:sz w:val="20"/>
          <w:szCs w:val="20"/>
        </w:rPr>
      </w:pPr>
    </w:p>
    <w:p w:rsidR="00FE28B8" w:rsidRPr="00921120" w:rsidRDefault="00FE28B8" w:rsidP="00921120">
      <w:pPr>
        <w:spacing w:line="240" w:lineRule="auto"/>
        <w:jc w:val="left"/>
        <w:rPr>
          <w:rFonts w:ascii="Arial" w:hAnsi="Arial" w:cs="Arial"/>
          <w:sz w:val="20"/>
          <w:szCs w:val="20"/>
        </w:rPr>
      </w:pPr>
    </w:p>
    <w:p w:rsidR="00AB4126" w:rsidRPr="00921120" w:rsidRDefault="00AF3671" w:rsidP="00921120">
      <w:pPr>
        <w:pStyle w:val="Heading1"/>
        <w:spacing w:line="240" w:lineRule="auto"/>
        <w:jc w:val="left"/>
        <w:rPr>
          <w:rFonts w:ascii="Arial" w:hAnsi="Arial" w:cs="Arial"/>
          <w:sz w:val="20"/>
          <w:szCs w:val="20"/>
        </w:rPr>
      </w:pPr>
      <w:r w:rsidRPr="00921120">
        <w:rPr>
          <w:rFonts w:ascii="Arial" w:hAnsi="Arial" w:cs="Arial"/>
          <w:sz w:val="20"/>
          <w:szCs w:val="20"/>
        </w:rPr>
        <w:t xml:space="preserve">Engagement with the South African Revenue Service with regard to trade facilitation and </w:t>
      </w:r>
      <w:r w:rsidR="004B0143" w:rsidRPr="00921120">
        <w:rPr>
          <w:rFonts w:ascii="Arial" w:hAnsi="Arial" w:cs="Arial"/>
          <w:sz w:val="20"/>
          <w:szCs w:val="20"/>
        </w:rPr>
        <w:t xml:space="preserve">the </w:t>
      </w:r>
      <w:r w:rsidRPr="00921120">
        <w:rPr>
          <w:rFonts w:ascii="Arial" w:hAnsi="Arial" w:cs="Arial"/>
          <w:sz w:val="20"/>
          <w:szCs w:val="20"/>
        </w:rPr>
        <w:t>combat of illicit trade</w:t>
      </w:r>
    </w:p>
    <w:p w:rsidR="004B0143" w:rsidRPr="00921120" w:rsidRDefault="004B0143" w:rsidP="00921120">
      <w:pPr>
        <w:pStyle w:val="Heading1"/>
        <w:numPr>
          <w:ilvl w:val="0"/>
          <w:numId w:val="0"/>
        </w:numPr>
        <w:spacing w:line="240" w:lineRule="auto"/>
        <w:jc w:val="left"/>
        <w:rPr>
          <w:rFonts w:ascii="Arial" w:hAnsi="Arial" w:cs="Arial"/>
          <w:b w:val="0"/>
          <w:sz w:val="20"/>
          <w:szCs w:val="20"/>
        </w:rPr>
      </w:pPr>
    </w:p>
    <w:p w:rsidR="00A4421A" w:rsidRPr="00921120" w:rsidRDefault="00A4421A" w:rsidP="00921120">
      <w:pPr>
        <w:pStyle w:val="Heading2"/>
        <w:spacing w:line="240" w:lineRule="auto"/>
        <w:jc w:val="left"/>
        <w:rPr>
          <w:rFonts w:ascii="Arial" w:hAnsi="Arial" w:cs="Arial"/>
          <w:sz w:val="20"/>
          <w:szCs w:val="20"/>
        </w:rPr>
      </w:pPr>
      <w:r w:rsidRPr="00921120">
        <w:rPr>
          <w:rFonts w:ascii="Arial" w:hAnsi="Arial" w:cs="Arial"/>
          <w:sz w:val="20"/>
          <w:szCs w:val="20"/>
        </w:rPr>
        <w:t>Background</w:t>
      </w:r>
    </w:p>
    <w:p w:rsidR="00A4421A" w:rsidRPr="00921120" w:rsidRDefault="00A4421A" w:rsidP="00921120">
      <w:pPr>
        <w:spacing w:line="240" w:lineRule="auto"/>
        <w:jc w:val="left"/>
        <w:rPr>
          <w:rFonts w:ascii="Arial" w:hAnsi="Arial" w:cs="Arial"/>
          <w:color w:val="0D0D0D"/>
          <w:sz w:val="20"/>
          <w:szCs w:val="20"/>
        </w:rPr>
      </w:pPr>
      <w:r w:rsidRPr="00921120">
        <w:rPr>
          <w:rFonts w:ascii="Arial" w:hAnsi="Arial" w:cs="Arial"/>
          <w:color w:val="0D0D0D"/>
          <w:sz w:val="20"/>
          <w:szCs w:val="20"/>
        </w:rPr>
        <w:t>South Africa has 19 commercial border posts (used for the movement of goods between South Africa and other African countries).</w:t>
      </w:r>
      <w:r w:rsidRPr="00921120">
        <w:rPr>
          <w:rStyle w:val="FootnoteReference"/>
          <w:rFonts w:ascii="Arial" w:hAnsi="Arial" w:cs="Arial"/>
          <w:color w:val="0D0D0D"/>
          <w:sz w:val="20"/>
          <w:szCs w:val="20"/>
        </w:rPr>
        <w:footnoteReference w:id="1"/>
      </w:r>
      <w:r w:rsidRPr="00921120">
        <w:rPr>
          <w:rFonts w:ascii="Arial" w:hAnsi="Arial" w:cs="Arial"/>
          <w:color w:val="0D0D0D"/>
          <w:sz w:val="20"/>
          <w:szCs w:val="20"/>
        </w:rPr>
        <w:t xml:space="preserve"> According to the Cross Border Road Transport Agency (C-BRTA), most of the trade between South Africa and its neighbouring countries (Botswana, Eswatini, Lesotho, Mozambique, Namibia, and Zimbabwe), as well as among the Southern African Development Community (SADC) member states, takes place across these border posts. In 2021, these border posts facilitated South Africa’s exports of approximately 27,2 billion units of goods to its neighbouring countries.</w:t>
      </w:r>
      <w:r w:rsidRPr="00921120">
        <w:rPr>
          <w:rStyle w:val="FootnoteReference"/>
          <w:rFonts w:ascii="Arial" w:hAnsi="Arial" w:cs="Arial"/>
          <w:color w:val="0D0D0D"/>
          <w:sz w:val="20"/>
          <w:szCs w:val="20"/>
        </w:rPr>
        <w:footnoteReference w:id="2"/>
      </w:r>
      <w:r w:rsidRPr="00921120">
        <w:rPr>
          <w:rFonts w:ascii="Arial" w:hAnsi="Arial" w:cs="Arial"/>
          <w:color w:val="0D0D0D"/>
          <w:sz w:val="20"/>
          <w:szCs w:val="20"/>
        </w:rPr>
        <w:t xml:space="preserve"> </w:t>
      </w:r>
    </w:p>
    <w:p w:rsidR="00A4421A" w:rsidRPr="00921120" w:rsidRDefault="00A4421A" w:rsidP="00921120">
      <w:pPr>
        <w:spacing w:line="240" w:lineRule="auto"/>
        <w:jc w:val="left"/>
        <w:rPr>
          <w:rFonts w:ascii="Arial" w:hAnsi="Arial" w:cs="Arial"/>
          <w:color w:val="0D0D0D"/>
          <w:sz w:val="20"/>
          <w:szCs w:val="20"/>
        </w:rPr>
      </w:pPr>
    </w:p>
    <w:p w:rsidR="00A4421A" w:rsidRPr="00921120" w:rsidRDefault="00A4421A" w:rsidP="00921120">
      <w:pPr>
        <w:spacing w:line="240" w:lineRule="auto"/>
        <w:jc w:val="left"/>
        <w:rPr>
          <w:rFonts w:ascii="Arial" w:hAnsi="Arial" w:cs="Arial"/>
          <w:sz w:val="20"/>
          <w:szCs w:val="20"/>
        </w:rPr>
      </w:pPr>
      <w:r w:rsidRPr="00921120">
        <w:rPr>
          <w:rFonts w:ascii="Arial" w:hAnsi="Arial" w:cs="Arial"/>
          <w:sz w:val="20"/>
          <w:szCs w:val="20"/>
        </w:rPr>
        <w:t>In 2021, South Africa exported goods to the value of approximately R272,3 billion via border posts of which R98,1 billion (36</w:t>
      </w:r>
      <w:r w:rsidR="00AC0EDA" w:rsidRPr="00921120">
        <w:rPr>
          <w:rFonts w:ascii="Arial" w:hAnsi="Arial" w:cs="Arial"/>
          <w:sz w:val="20"/>
          <w:szCs w:val="20"/>
        </w:rPr>
        <w:t>%</w:t>
      </w:r>
      <w:r w:rsidRPr="00921120">
        <w:rPr>
          <w:rFonts w:ascii="Arial" w:hAnsi="Arial" w:cs="Arial"/>
          <w:sz w:val="20"/>
          <w:szCs w:val="20"/>
        </w:rPr>
        <w:t>) was exported to Botswana, R73,1 billion (26,8</w:t>
      </w:r>
      <w:r w:rsidR="00AC0EDA" w:rsidRPr="00921120">
        <w:rPr>
          <w:rFonts w:ascii="Arial" w:hAnsi="Arial" w:cs="Arial"/>
          <w:sz w:val="20"/>
          <w:szCs w:val="20"/>
        </w:rPr>
        <w:t>%</w:t>
      </w:r>
      <w:r w:rsidRPr="00921120">
        <w:rPr>
          <w:rFonts w:ascii="Arial" w:hAnsi="Arial" w:cs="Arial"/>
          <w:sz w:val="20"/>
          <w:szCs w:val="20"/>
        </w:rPr>
        <w:t>) to Mozambique, and R70,2 billion (25,8</w:t>
      </w:r>
      <w:r w:rsidR="00AC0EDA" w:rsidRPr="00921120">
        <w:rPr>
          <w:rFonts w:ascii="Arial" w:hAnsi="Arial" w:cs="Arial"/>
          <w:sz w:val="20"/>
          <w:szCs w:val="20"/>
        </w:rPr>
        <w:t>%</w:t>
      </w:r>
      <w:r w:rsidRPr="00921120">
        <w:rPr>
          <w:rFonts w:ascii="Arial" w:hAnsi="Arial" w:cs="Arial"/>
          <w:sz w:val="20"/>
          <w:szCs w:val="20"/>
        </w:rPr>
        <w:t>) to Zimbabwe.</w:t>
      </w:r>
      <w:r w:rsidRPr="00921120">
        <w:rPr>
          <w:rStyle w:val="FootnoteReference"/>
          <w:rFonts w:ascii="Arial" w:hAnsi="Arial" w:cs="Arial"/>
          <w:sz w:val="20"/>
          <w:szCs w:val="20"/>
        </w:rPr>
        <w:footnoteReference w:id="3"/>
      </w:r>
      <w:r w:rsidRPr="00921120">
        <w:rPr>
          <w:rFonts w:ascii="Arial" w:hAnsi="Arial" w:cs="Arial"/>
          <w:sz w:val="20"/>
          <w:szCs w:val="20"/>
        </w:rPr>
        <w:t xml:space="preserve"> The Beitbridge Border Post in Musina, Limpopo</w:t>
      </w:r>
      <w:r w:rsidR="009E2674" w:rsidRPr="00921120">
        <w:rPr>
          <w:rFonts w:ascii="Arial" w:hAnsi="Arial" w:cs="Arial"/>
          <w:sz w:val="20"/>
          <w:szCs w:val="20"/>
        </w:rPr>
        <w:t>,</w:t>
      </w:r>
      <w:r w:rsidRPr="00921120">
        <w:rPr>
          <w:rFonts w:ascii="Arial" w:hAnsi="Arial" w:cs="Arial"/>
          <w:sz w:val="20"/>
          <w:szCs w:val="20"/>
        </w:rPr>
        <w:t xml:space="preserve"> connects South Africa to Zimbabwe. In terms of export volumes, the Beitbridge Border Post handled 12</w:t>
      </w:r>
      <w:r w:rsidR="00AC0EDA" w:rsidRPr="00921120">
        <w:rPr>
          <w:rFonts w:ascii="Arial" w:hAnsi="Arial" w:cs="Arial"/>
          <w:sz w:val="20"/>
          <w:szCs w:val="20"/>
        </w:rPr>
        <w:t>%</w:t>
      </w:r>
      <w:r w:rsidRPr="00921120">
        <w:rPr>
          <w:rFonts w:ascii="Arial" w:hAnsi="Arial" w:cs="Arial"/>
          <w:sz w:val="20"/>
          <w:szCs w:val="20"/>
        </w:rPr>
        <w:t xml:space="preserve"> of South Africa</w:t>
      </w:r>
      <w:r w:rsidR="009E2674" w:rsidRPr="00921120">
        <w:rPr>
          <w:rFonts w:ascii="Arial" w:hAnsi="Arial" w:cs="Arial"/>
          <w:sz w:val="20"/>
          <w:szCs w:val="20"/>
        </w:rPr>
        <w:t>n</w:t>
      </w:r>
      <w:r w:rsidRPr="00921120">
        <w:rPr>
          <w:rFonts w:ascii="Arial" w:hAnsi="Arial" w:cs="Arial"/>
          <w:sz w:val="20"/>
          <w:szCs w:val="20"/>
        </w:rPr>
        <w:t xml:space="preserve"> goods exported by road, making it the second largest commercial border post after Lebombo Border Post (Mozambique) (which handled 50</w:t>
      </w:r>
      <w:r w:rsidR="00AC0EDA" w:rsidRPr="00921120">
        <w:rPr>
          <w:rFonts w:ascii="Arial" w:hAnsi="Arial" w:cs="Arial"/>
          <w:sz w:val="20"/>
          <w:szCs w:val="20"/>
        </w:rPr>
        <w:t>%</w:t>
      </w:r>
      <w:r w:rsidR="009E2674" w:rsidRPr="00921120">
        <w:rPr>
          <w:rFonts w:ascii="Arial" w:hAnsi="Arial" w:cs="Arial"/>
          <w:sz w:val="20"/>
          <w:szCs w:val="20"/>
        </w:rPr>
        <w:t xml:space="preserve"> of exports</w:t>
      </w:r>
      <w:r w:rsidRPr="00921120">
        <w:rPr>
          <w:rFonts w:ascii="Arial" w:hAnsi="Arial" w:cs="Arial"/>
          <w:sz w:val="20"/>
          <w:szCs w:val="20"/>
        </w:rPr>
        <w:t>).</w:t>
      </w:r>
      <w:r w:rsidRPr="00921120">
        <w:rPr>
          <w:rStyle w:val="FootnoteReference"/>
          <w:rFonts w:ascii="Arial" w:hAnsi="Arial" w:cs="Arial"/>
          <w:sz w:val="20"/>
          <w:szCs w:val="20"/>
        </w:rPr>
        <w:footnoteReference w:id="4"/>
      </w:r>
    </w:p>
    <w:p w:rsidR="00A4421A" w:rsidRPr="00921120" w:rsidRDefault="00A4421A" w:rsidP="00921120">
      <w:pPr>
        <w:spacing w:line="240" w:lineRule="auto"/>
        <w:jc w:val="left"/>
        <w:rPr>
          <w:rFonts w:ascii="Arial" w:hAnsi="Arial" w:cs="Arial"/>
          <w:sz w:val="20"/>
          <w:szCs w:val="20"/>
        </w:rPr>
      </w:pPr>
    </w:p>
    <w:p w:rsidR="00A4421A" w:rsidRPr="00921120" w:rsidRDefault="00A4421A" w:rsidP="00921120">
      <w:pPr>
        <w:spacing w:line="240" w:lineRule="auto"/>
        <w:jc w:val="left"/>
        <w:rPr>
          <w:rFonts w:ascii="Arial" w:hAnsi="Arial" w:cs="Arial"/>
          <w:sz w:val="20"/>
          <w:szCs w:val="20"/>
        </w:rPr>
      </w:pPr>
      <w:r w:rsidRPr="00921120">
        <w:rPr>
          <w:rFonts w:ascii="Arial" w:hAnsi="Arial" w:cs="Arial"/>
          <w:sz w:val="20"/>
          <w:szCs w:val="20"/>
        </w:rPr>
        <w:t>In terms of South Africa</w:t>
      </w:r>
      <w:r w:rsidR="009E2674" w:rsidRPr="00921120">
        <w:rPr>
          <w:rFonts w:ascii="Arial" w:hAnsi="Arial" w:cs="Arial"/>
          <w:sz w:val="20"/>
          <w:szCs w:val="20"/>
        </w:rPr>
        <w:t>n</w:t>
      </w:r>
      <w:r w:rsidRPr="00921120">
        <w:rPr>
          <w:rFonts w:ascii="Arial" w:hAnsi="Arial" w:cs="Arial"/>
          <w:sz w:val="20"/>
          <w:szCs w:val="20"/>
        </w:rPr>
        <w:t xml:space="preserve"> imports from other African countries by road, the Beitbridge Border Post handled the third largest </w:t>
      </w:r>
      <w:r w:rsidR="009E2674" w:rsidRPr="00921120">
        <w:rPr>
          <w:rFonts w:ascii="Arial" w:hAnsi="Arial" w:cs="Arial"/>
          <w:sz w:val="20"/>
          <w:szCs w:val="20"/>
        </w:rPr>
        <w:t xml:space="preserve">share of </w:t>
      </w:r>
      <w:r w:rsidRPr="00921120">
        <w:rPr>
          <w:rFonts w:ascii="Arial" w:hAnsi="Arial" w:cs="Arial"/>
          <w:sz w:val="20"/>
          <w:szCs w:val="20"/>
        </w:rPr>
        <w:t>volumes at 12</w:t>
      </w:r>
      <w:r w:rsidR="00AC0EDA" w:rsidRPr="00921120">
        <w:rPr>
          <w:rFonts w:ascii="Arial" w:hAnsi="Arial" w:cs="Arial"/>
          <w:sz w:val="20"/>
          <w:szCs w:val="20"/>
        </w:rPr>
        <w:t>%</w:t>
      </w:r>
      <w:r w:rsidRPr="00921120">
        <w:rPr>
          <w:rFonts w:ascii="Arial" w:hAnsi="Arial" w:cs="Arial"/>
          <w:sz w:val="20"/>
          <w:szCs w:val="20"/>
        </w:rPr>
        <w:t>. The largest import volumes were handled by Oshoek Border Post – Eswatini (18</w:t>
      </w:r>
      <w:r w:rsidR="00AC0EDA" w:rsidRPr="00921120">
        <w:rPr>
          <w:rFonts w:ascii="Arial" w:hAnsi="Arial" w:cs="Arial"/>
          <w:sz w:val="20"/>
          <w:szCs w:val="20"/>
        </w:rPr>
        <w:t>%</w:t>
      </w:r>
      <w:r w:rsidRPr="00921120">
        <w:rPr>
          <w:rFonts w:ascii="Arial" w:hAnsi="Arial" w:cs="Arial"/>
          <w:sz w:val="20"/>
          <w:szCs w:val="20"/>
        </w:rPr>
        <w:t>) followed by Lebombo Border Post – Mozambique (15</w:t>
      </w:r>
      <w:r w:rsidR="00AC0EDA" w:rsidRPr="00921120">
        <w:rPr>
          <w:rFonts w:ascii="Arial" w:hAnsi="Arial" w:cs="Arial"/>
          <w:sz w:val="20"/>
          <w:szCs w:val="20"/>
        </w:rPr>
        <w:t>%</w:t>
      </w:r>
      <w:r w:rsidRPr="00921120">
        <w:rPr>
          <w:rFonts w:ascii="Arial" w:hAnsi="Arial" w:cs="Arial"/>
          <w:sz w:val="20"/>
          <w:szCs w:val="20"/>
        </w:rPr>
        <w:t>).</w:t>
      </w:r>
      <w:r w:rsidRPr="00921120">
        <w:rPr>
          <w:rStyle w:val="FootnoteReference"/>
          <w:rFonts w:ascii="Arial" w:hAnsi="Arial" w:cs="Arial"/>
          <w:sz w:val="20"/>
          <w:szCs w:val="20"/>
        </w:rPr>
        <w:footnoteReference w:id="5"/>
      </w:r>
      <w:r w:rsidRPr="00921120">
        <w:rPr>
          <w:rFonts w:ascii="Arial" w:hAnsi="Arial" w:cs="Arial"/>
          <w:sz w:val="20"/>
          <w:szCs w:val="20"/>
        </w:rPr>
        <w:t xml:space="preserve"> The volumes of goods handled by the Beitbridge and Lebombo </w:t>
      </w:r>
      <w:r w:rsidR="009E2674" w:rsidRPr="00921120">
        <w:rPr>
          <w:rFonts w:ascii="Arial" w:hAnsi="Arial" w:cs="Arial"/>
          <w:sz w:val="20"/>
          <w:szCs w:val="20"/>
        </w:rPr>
        <w:t xml:space="preserve">Border Posts </w:t>
      </w:r>
      <w:r w:rsidRPr="00921120">
        <w:rPr>
          <w:rFonts w:ascii="Arial" w:hAnsi="Arial" w:cs="Arial"/>
          <w:sz w:val="20"/>
          <w:szCs w:val="20"/>
        </w:rPr>
        <w:t>shows that there are large traffic volumes, as a result there may be delays in the processing of goods across these borders.</w:t>
      </w:r>
    </w:p>
    <w:p w:rsidR="00A4421A" w:rsidRPr="00921120" w:rsidRDefault="00A4421A" w:rsidP="00921120">
      <w:pPr>
        <w:spacing w:line="240" w:lineRule="auto"/>
        <w:jc w:val="left"/>
        <w:rPr>
          <w:rFonts w:ascii="Arial" w:hAnsi="Arial" w:cs="Arial"/>
          <w:sz w:val="20"/>
          <w:szCs w:val="20"/>
        </w:rPr>
      </w:pPr>
    </w:p>
    <w:p w:rsidR="00A4421A" w:rsidRPr="00921120" w:rsidRDefault="00A4421A" w:rsidP="00921120">
      <w:pPr>
        <w:spacing w:line="240" w:lineRule="auto"/>
        <w:jc w:val="left"/>
        <w:rPr>
          <w:rFonts w:ascii="Arial" w:hAnsi="Arial" w:cs="Arial"/>
          <w:color w:val="0D0D0D"/>
          <w:sz w:val="20"/>
          <w:szCs w:val="20"/>
        </w:rPr>
      </w:pPr>
      <w:r w:rsidRPr="00921120">
        <w:rPr>
          <w:rFonts w:ascii="Arial" w:hAnsi="Arial" w:cs="Arial"/>
          <w:color w:val="0D0D0D"/>
          <w:sz w:val="20"/>
          <w:szCs w:val="20"/>
        </w:rPr>
        <w:t xml:space="preserve">The C-BRTA stated that the </w:t>
      </w:r>
      <w:r w:rsidRPr="00921120">
        <w:rPr>
          <w:rFonts w:ascii="Arial" w:hAnsi="Arial" w:cs="Arial"/>
          <w:iCs/>
          <w:color w:val="0D0D0D"/>
          <w:sz w:val="20"/>
          <w:szCs w:val="20"/>
        </w:rPr>
        <w:t xml:space="preserve">“Beitbridge is the only land crossing from South Africa to Zimbabwe that operates 24 hours a day. It is one of the heaviest trafficked border crossings in the SADC. Because of heavy traffic movements, delays at this border are a common phenomenon. Approximately 75% of the northbound traffic through Beitbridge is transit traffic </w:t>
      </w:r>
      <w:r w:rsidR="009E2674" w:rsidRPr="00921120">
        <w:rPr>
          <w:rFonts w:ascii="Arial" w:hAnsi="Arial" w:cs="Arial"/>
          <w:iCs/>
          <w:color w:val="0D0D0D"/>
          <w:sz w:val="20"/>
          <w:szCs w:val="20"/>
        </w:rPr>
        <w:t>e</w:t>
      </w:r>
      <w:r w:rsidRPr="00921120">
        <w:rPr>
          <w:rFonts w:ascii="Arial" w:hAnsi="Arial" w:cs="Arial"/>
          <w:iCs/>
          <w:color w:val="0D0D0D"/>
          <w:sz w:val="20"/>
          <w:szCs w:val="20"/>
        </w:rPr>
        <w:t xml:space="preserve">n route to Zambia, the </w:t>
      </w:r>
      <w:r w:rsidR="00AC0EDA" w:rsidRPr="00921120">
        <w:rPr>
          <w:rFonts w:ascii="Arial" w:hAnsi="Arial" w:cs="Arial"/>
          <w:iCs/>
          <w:color w:val="0D0D0D"/>
          <w:sz w:val="20"/>
          <w:szCs w:val="20"/>
        </w:rPr>
        <w:t>Democratic Republic of Congo</w:t>
      </w:r>
      <w:r w:rsidRPr="00921120">
        <w:rPr>
          <w:rFonts w:ascii="Arial" w:hAnsi="Arial" w:cs="Arial"/>
          <w:iCs/>
          <w:color w:val="0D0D0D"/>
          <w:sz w:val="20"/>
          <w:szCs w:val="20"/>
        </w:rPr>
        <w:t xml:space="preserve"> and Malawi”</w:t>
      </w:r>
      <w:r w:rsidRPr="00921120">
        <w:rPr>
          <w:rStyle w:val="FootnoteReference"/>
          <w:rFonts w:ascii="Arial" w:hAnsi="Arial" w:cs="Arial"/>
          <w:iCs/>
          <w:color w:val="0D0D0D"/>
          <w:sz w:val="20"/>
          <w:szCs w:val="20"/>
        </w:rPr>
        <w:footnoteReference w:id="6"/>
      </w:r>
      <w:r w:rsidRPr="00921120">
        <w:rPr>
          <w:rFonts w:ascii="Arial" w:hAnsi="Arial" w:cs="Arial"/>
          <w:color w:val="0D0D0D"/>
          <w:sz w:val="20"/>
          <w:szCs w:val="20"/>
        </w:rPr>
        <w:t>. This could negatively impact South Africa’s efforts of facilitating trade to the African continent and of regional integration.</w:t>
      </w:r>
    </w:p>
    <w:p w:rsidR="00A4421A" w:rsidRPr="00921120" w:rsidRDefault="00A4421A" w:rsidP="00921120">
      <w:pPr>
        <w:spacing w:line="240" w:lineRule="auto"/>
        <w:jc w:val="left"/>
        <w:rPr>
          <w:rFonts w:ascii="Arial" w:hAnsi="Arial" w:cs="Arial"/>
          <w:sz w:val="20"/>
          <w:szCs w:val="20"/>
        </w:rPr>
      </w:pPr>
    </w:p>
    <w:p w:rsidR="00A4421A" w:rsidRPr="00921120" w:rsidRDefault="00A4421A" w:rsidP="00921120">
      <w:pPr>
        <w:pStyle w:val="Heading3"/>
        <w:spacing w:line="240" w:lineRule="auto"/>
        <w:jc w:val="left"/>
        <w:rPr>
          <w:rFonts w:ascii="Arial" w:hAnsi="Arial" w:cs="Arial"/>
          <w:sz w:val="20"/>
          <w:szCs w:val="20"/>
        </w:rPr>
      </w:pPr>
      <w:r w:rsidRPr="00921120">
        <w:rPr>
          <w:rFonts w:ascii="Arial" w:hAnsi="Arial" w:cs="Arial"/>
          <w:sz w:val="20"/>
          <w:szCs w:val="20"/>
        </w:rPr>
        <w:t>SARS’ mandate in relation to customs administration</w:t>
      </w:r>
    </w:p>
    <w:p w:rsidR="00A4421A" w:rsidRPr="00921120" w:rsidRDefault="00A4421A" w:rsidP="00921120">
      <w:pPr>
        <w:spacing w:line="240" w:lineRule="auto"/>
        <w:jc w:val="left"/>
        <w:rPr>
          <w:rFonts w:ascii="Arial" w:eastAsia="Times New Roman" w:hAnsi="Arial" w:cs="Arial"/>
          <w:sz w:val="20"/>
          <w:szCs w:val="20"/>
          <w:lang w:eastAsia="en-ZA"/>
        </w:rPr>
      </w:pPr>
      <w:r w:rsidRPr="00921120">
        <w:rPr>
          <w:rFonts w:ascii="Arial" w:eastAsia="Times New Roman" w:hAnsi="Arial" w:cs="Arial"/>
          <w:sz w:val="20"/>
          <w:szCs w:val="20"/>
          <w:lang w:eastAsia="en-ZA"/>
        </w:rPr>
        <w:lastRenderedPageBreak/>
        <w:t>In support of its strategic intent, the SARS has nine strategic objectives, which are to</w:t>
      </w:r>
      <w:r w:rsidR="00E3042E" w:rsidRPr="00921120">
        <w:rPr>
          <w:rStyle w:val="FootnoteReference"/>
          <w:rFonts w:ascii="Arial" w:eastAsia="Times New Roman" w:hAnsi="Arial" w:cs="Arial"/>
          <w:sz w:val="20"/>
          <w:szCs w:val="20"/>
          <w:lang w:eastAsia="en-ZA"/>
        </w:rPr>
        <w:footnoteReference w:id="7"/>
      </w:r>
      <w:r w:rsidRPr="00921120">
        <w:rPr>
          <w:rFonts w:ascii="Arial" w:eastAsia="Times New Roman" w:hAnsi="Arial" w:cs="Arial"/>
          <w:sz w:val="20"/>
          <w:szCs w:val="20"/>
          <w:lang w:eastAsia="en-ZA"/>
        </w:rPr>
        <w:t xml:space="preserve">: </w:t>
      </w:r>
    </w:p>
    <w:p w:rsidR="00A4421A" w:rsidRPr="00921120" w:rsidRDefault="00A4421A" w:rsidP="00921120">
      <w:pPr>
        <w:pStyle w:val="ListParagraph"/>
        <w:numPr>
          <w:ilvl w:val="0"/>
          <w:numId w:val="12"/>
        </w:numPr>
        <w:autoSpaceDE w:val="0"/>
        <w:autoSpaceDN w:val="0"/>
        <w:adjustRightInd w:val="0"/>
        <w:spacing w:line="240" w:lineRule="auto"/>
        <w:jc w:val="left"/>
        <w:rPr>
          <w:rFonts w:ascii="Arial" w:hAnsi="Arial" w:cs="Arial"/>
          <w:color w:val="000000"/>
          <w:sz w:val="20"/>
          <w:szCs w:val="20"/>
        </w:rPr>
      </w:pPr>
      <w:r w:rsidRPr="00921120">
        <w:rPr>
          <w:rFonts w:ascii="Arial" w:hAnsi="Arial" w:cs="Arial"/>
          <w:color w:val="000000"/>
          <w:sz w:val="20"/>
          <w:szCs w:val="20"/>
        </w:rPr>
        <w:t xml:space="preserve">Provide </w:t>
      </w:r>
      <w:r w:rsidRPr="00921120">
        <w:rPr>
          <w:rFonts w:ascii="Arial" w:hAnsi="Arial" w:cs="Arial"/>
          <w:bCs/>
          <w:color w:val="000000"/>
          <w:sz w:val="20"/>
          <w:szCs w:val="20"/>
        </w:rPr>
        <w:t xml:space="preserve">clarity and certainty </w:t>
      </w:r>
      <w:r w:rsidR="00AC0EDA" w:rsidRPr="00921120">
        <w:rPr>
          <w:rFonts w:ascii="Arial" w:hAnsi="Arial" w:cs="Arial"/>
          <w:color w:val="000000"/>
          <w:sz w:val="20"/>
          <w:szCs w:val="20"/>
        </w:rPr>
        <w:t xml:space="preserve">to </w:t>
      </w:r>
      <w:r w:rsidRPr="00921120">
        <w:rPr>
          <w:rFonts w:ascii="Arial" w:hAnsi="Arial" w:cs="Arial"/>
          <w:color w:val="000000"/>
          <w:sz w:val="20"/>
          <w:szCs w:val="20"/>
        </w:rPr>
        <w:t>taxpayers and traders of their obligations,</w:t>
      </w:r>
    </w:p>
    <w:p w:rsidR="00A4421A" w:rsidRPr="00921120" w:rsidRDefault="00A4421A" w:rsidP="00921120">
      <w:pPr>
        <w:pStyle w:val="ListParagraph"/>
        <w:numPr>
          <w:ilvl w:val="0"/>
          <w:numId w:val="12"/>
        </w:numPr>
        <w:autoSpaceDE w:val="0"/>
        <w:autoSpaceDN w:val="0"/>
        <w:adjustRightInd w:val="0"/>
        <w:spacing w:line="240" w:lineRule="auto"/>
        <w:jc w:val="left"/>
        <w:rPr>
          <w:rFonts w:ascii="Arial" w:hAnsi="Arial" w:cs="Arial"/>
          <w:color w:val="000000"/>
          <w:sz w:val="20"/>
          <w:szCs w:val="20"/>
        </w:rPr>
      </w:pPr>
      <w:r w:rsidRPr="00921120">
        <w:rPr>
          <w:rFonts w:ascii="Arial" w:hAnsi="Arial" w:cs="Arial"/>
          <w:color w:val="000000"/>
          <w:sz w:val="20"/>
          <w:szCs w:val="20"/>
        </w:rPr>
        <w:t xml:space="preserve">Make it </w:t>
      </w:r>
      <w:r w:rsidRPr="00921120">
        <w:rPr>
          <w:rFonts w:ascii="Arial" w:hAnsi="Arial" w:cs="Arial"/>
          <w:bCs/>
          <w:color w:val="000000"/>
          <w:sz w:val="20"/>
          <w:szCs w:val="20"/>
        </w:rPr>
        <w:t xml:space="preserve">easy </w:t>
      </w:r>
      <w:r w:rsidRPr="00921120">
        <w:rPr>
          <w:rFonts w:ascii="Arial" w:hAnsi="Arial" w:cs="Arial"/>
          <w:color w:val="000000"/>
          <w:sz w:val="20"/>
          <w:szCs w:val="20"/>
        </w:rPr>
        <w:t>for taxpayers and traders to comply with their obligations (trade facilitation),</w:t>
      </w:r>
    </w:p>
    <w:p w:rsidR="00A4421A" w:rsidRPr="00921120" w:rsidRDefault="00A4421A" w:rsidP="00921120">
      <w:pPr>
        <w:pStyle w:val="ListParagraph"/>
        <w:numPr>
          <w:ilvl w:val="0"/>
          <w:numId w:val="12"/>
        </w:numPr>
        <w:autoSpaceDE w:val="0"/>
        <w:autoSpaceDN w:val="0"/>
        <w:adjustRightInd w:val="0"/>
        <w:spacing w:line="240" w:lineRule="auto"/>
        <w:jc w:val="left"/>
        <w:rPr>
          <w:rFonts w:ascii="Arial" w:hAnsi="Arial" w:cs="Arial"/>
          <w:color w:val="000000"/>
          <w:sz w:val="20"/>
          <w:szCs w:val="20"/>
        </w:rPr>
      </w:pPr>
      <w:r w:rsidRPr="00921120">
        <w:rPr>
          <w:rFonts w:ascii="Arial" w:hAnsi="Arial" w:cs="Arial"/>
          <w:color w:val="000000"/>
          <w:sz w:val="20"/>
          <w:szCs w:val="20"/>
        </w:rPr>
        <w:t>Detect taxpayers and traders who do not comply, and make non-compliance hard and costly (dealing with illicit trade),</w:t>
      </w:r>
    </w:p>
    <w:p w:rsidR="00A4421A" w:rsidRPr="00921120" w:rsidRDefault="00A4421A" w:rsidP="00921120">
      <w:pPr>
        <w:pStyle w:val="ListParagraph"/>
        <w:numPr>
          <w:ilvl w:val="0"/>
          <w:numId w:val="12"/>
        </w:numPr>
        <w:autoSpaceDE w:val="0"/>
        <w:autoSpaceDN w:val="0"/>
        <w:adjustRightInd w:val="0"/>
        <w:spacing w:line="240" w:lineRule="auto"/>
        <w:jc w:val="left"/>
        <w:rPr>
          <w:rFonts w:ascii="Arial" w:hAnsi="Arial" w:cs="Arial"/>
          <w:color w:val="000000"/>
          <w:sz w:val="20"/>
          <w:szCs w:val="20"/>
        </w:rPr>
      </w:pPr>
      <w:r w:rsidRPr="00921120">
        <w:rPr>
          <w:rFonts w:ascii="Arial" w:hAnsi="Arial" w:cs="Arial"/>
          <w:color w:val="000000"/>
          <w:sz w:val="20"/>
          <w:szCs w:val="20"/>
        </w:rPr>
        <w:t xml:space="preserve">Develop a </w:t>
      </w:r>
      <w:r w:rsidRPr="00921120">
        <w:rPr>
          <w:rFonts w:ascii="Arial" w:hAnsi="Arial" w:cs="Arial"/>
          <w:bCs/>
          <w:color w:val="000000"/>
          <w:sz w:val="20"/>
          <w:szCs w:val="20"/>
        </w:rPr>
        <w:t xml:space="preserve">high performing, diverse, agile, engaged </w:t>
      </w:r>
      <w:r w:rsidRPr="00921120">
        <w:rPr>
          <w:rFonts w:ascii="Arial" w:hAnsi="Arial" w:cs="Arial"/>
          <w:color w:val="000000"/>
          <w:sz w:val="20"/>
          <w:szCs w:val="20"/>
        </w:rPr>
        <w:t xml:space="preserve">and </w:t>
      </w:r>
      <w:r w:rsidRPr="00921120">
        <w:rPr>
          <w:rFonts w:ascii="Arial" w:hAnsi="Arial" w:cs="Arial"/>
          <w:bCs/>
          <w:color w:val="000000"/>
          <w:sz w:val="20"/>
          <w:szCs w:val="20"/>
        </w:rPr>
        <w:t xml:space="preserve">evolved </w:t>
      </w:r>
      <w:r w:rsidRPr="00921120">
        <w:rPr>
          <w:rFonts w:ascii="Arial" w:hAnsi="Arial" w:cs="Arial"/>
          <w:color w:val="000000"/>
          <w:sz w:val="20"/>
          <w:szCs w:val="20"/>
        </w:rPr>
        <w:t>workforce (enablement),</w:t>
      </w:r>
    </w:p>
    <w:p w:rsidR="00A4421A" w:rsidRPr="00921120" w:rsidRDefault="00A4421A" w:rsidP="00921120">
      <w:pPr>
        <w:pStyle w:val="ListParagraph"/>
        <w:numPr>
          <w:ilvl w:val="0"/>
          <w:numId w:val="12"/>
        </w:numPr>
        <w:autoSpaceDE w:val="0"/>
        <w:autoSpaceDN w:val="0"/>
        <w:adjustRightInd w:val="0"/>
        <w:spacing w:line="240" w:lineRule="auto"/>
        <w:jc w:val="left"/>
        <w:rPr>
          <w:rFonts w:ascii="Arial" w:hAnsi="Arial" w:cs="Arial"/>
          <w:color w:val="000000"/>
          <w:sz w:val="20"/>
          <w:szCs w:val="20"/>
        </w:rPr>
      </w:pPr>
      <w:r w:rsidRPr="00921120">
        <w:rPr>
          <w:rFonts w:ascii="Arial" w:hAnsi="Arial" w:cs="Arial"/>
          <w:color w:val="000000"/>
          <w:sz w:val="20"/>
          <w:szCs w:val="20"/>
        </w:rPr>
        <w:t xml:space="preserve">Increase and expand the use of </w:t>
      </w:r>
      <w:r w:rsidRPr="00921120">
        <w:rPr>
          <w:rFonts w:ascii="Arial" w:hAnsi="Arial" w:cs="Arial"/>
          <w:bCs/>
          <w:color w:val="000000"/>
          <w:sz w:val="20"/>
          <w:szCs w:val="20"/>
        </w:rPr>
        <w:t xml:space="preserve">data </w:t>
      </w:r>
      <w:r w:rsidRPr="00921120">
        <w:rPr>
          <w:rFonts w:ascii="Arial" w:hAnsi="Arial" w:cs="Arial"/>
          <w:color w:val="000000"/>
          <w:sz w:val="20"/>
          <w:szCs w:val="20"/>
        </w:rPr>
        <w:t>within a comprehensive knowledge management framework to ensure integrity, drive insight and improve outcomes,</w:t>
      </w:r>
    </w:p>
    <w:p w:rsidR="00A4421A" w:rsidRPr="00921120" w:rsidRDefault="00A4421A" w:rsidP="00921120">
      <w:pPr>
        <w:pStyle w:val="ListParagraph"/>
        <w:numPr>
          <w:ilvl w:val="0"/>
          <w:numId w:val="12"/>
        </w:numPr>
        <w:autoSpaceDE w:val="0"/>
        <w:autoSpaceDN w:val="0"/>
        <w:adjustRightInd w:val="0"/>
        <w:spacing w:line="240" w:lineRule="auto"/>
        <w:jc w:val="left"/>
        <w:rPr>
          <w:rFonts w:ascii="Arial" w:hAnsi="Arial" w:cs="Arial"/>
          <w:color w:val="000000"/>
          <w:sz w:val="20"/>
          <w:szCs w:val="20"/>
        </w:rPr>
      </w:pPr>
      <w:r w:rsidRPr="00921120">
        <w:rPr>
          <w:rFonts w:ascii="Arial" w:hAnsi="Arial" w:cs="Arial"/>
          <w:color w:val="000000"/>
          <w:sz w:val="20"/>
          <w:szCs w:val="20"/>
        </w:rPr>
        <w:t xml:space="preserve">Modernise its systems to provide </w:t>
      </w:r>
      <w:r w:rsidRPr="00921120">
        <w:rPr>
          <w:rFonts w:ascii="Arial" w:hAnsi="Arial" w:cs="Arial"/>
          <w:bCs/>
          <w:color w:val="000000"/>
          <w:sz w:val="20"/>
          <w:szCs w:val="20"/>
        </w:rPr>
        <w:t xml:space="preserve">digital and streamlined </w:t>
      </w:r>
      <w:r w:rsidRPr="00921120">
        <w:rPr>
          <w:rFonts w:ascii="Arial" w:hAnsi="Arial" w:cs="Arial"/>
          <w:color w:val="000000"/>
          <w:sz w:val="20"/>
          <w:szCs w:val="20"/>
        </w:rPr>
        <w:t xml:space="preserve">online services, </w:t>
      </w:r>
    </w:p>
    <w:p w:rsidR="00A4421A" w:rsidRPr="00921120" w:rsidRDefault="00A4421A" w:rsidP="00921120">
      <w:pPr>
        <w:pStyle w:val="ListParagraph"/>
        <w:numPr>
          <w:ilvl w:val="0"/>
          <w:numId w:val="12"/>
        </w:numPr>
        <w:autoSpaceDE w:val="0"/>
        <w:autoSpaceDN w:val="0"/>
        <w:adjustRightInd w:val="0"/>
        <w:spacing w:line="240" w:lineRule="auto"/>
        <w:jc w:val="left"/>
        <w:rPr>
          <w:rFonts w:ascii="Arial" w:hAnsi="Arial" w:cs="Arial"/>
          <w:color w:val="000000"/>
          <w:sz w:val="20"/>
          <w:szCs w:val="20"/>
        </w:rPr>
      </w:pPr>
      <w:r w:rsidRPr="00921120">
        <w:rPr>
          <w:rFonts w:ascii="Arial" w:hAnsi="Arial" w:cs="Arial"/>
          <w:color w:val="000000"/>
          <w:sz w:val="20"/>
          <w:szCs w:val="20"/>
        </w:rPr>
        <w:t xml:space="preserve">Demonstrate effective </w:t>
      </w:r>
      <w:r w:rsidRPr="00921120">
        <w:rPr>
          <w:rFonts w:ascii="Arial" w:hAnsi="Arial" w:cs="Arial"/>
          <w:bCs/>
          <w:color w:val="000000"/>
          <w:sz w:val="20"/>
          <w:szCs w:val="20"/>
        </w:rPr>
        <w:t xml:space="preserve">resource stewardship </w:t>
      </w:r>
      <w:r w:rsidRPr="00921120">
        <w:rPr>
          <w:rFonts w:ascii="Arial" w:hAnsi="Arial" w:cs="Arial"/>
          <w:color w:val="000000"/>
          <w:sz w:val="20"/>
          <w:szCs w:val="20"/>
        </w:rPr>
        <w:t>to ensure efficiency and effectiveness in the delivery of quality outcomes and performance excellence,</w:t>
      </w:r>
    </w:p>
    <w:p w:rsidR="00A4421A" w:rsidRPr="00921120" w:rsidRDefault="00A4421A" w:rsidP="00921120">
      <w:pPr>
        <w:pStyle w:val="ListParagraph"/>
        <w:numPr>
          <w:ilvl w:val="0"/>
          <w:numId w:val="12"/>
        </w:numPr>
        <w:autoSpaceDE w:val="0"/>
        <w:autoSpaceDN w:val="0"/>
        <w:adjustRightInd w:val="0"/>
        <w:spacing w:line="240" w:lineRule="auto"/>
        <w:jc w:val="left"/>
        <w:rPr>
          <w:rFonts w:ascii="Arial" w:hAnsi="Arial" w:cs="Arial"/>
          <w:color w:val="000000"/>
          <w:sz w:val="20"/>
          <w:szCs w:val="20"/>
        </w:rPr>
      </w:pPr>
      <w:r w:rsidRPr="00921120">
        <w:rPr>
          <w:rFonts w:ascii="Arial" w:hAnsi="Arial" w:cs="Arial"/>
          <w:color w:val="000000"/>
          <w:sz w:val="20"/>
          <w:szCs w:val="20"/>
        </w:rPr>
        <w:t xml:space="preserve">Work with and through </w:t>
      </w:r>
      <w:r w:rsidRPr="00921120">
        <w:rPr>
          <w:rFonts w:ascii="Arial" w:hAnsi="Arial" w:cs="Arial"/>
          <w:bCs/>
          <w:color w:val="000000"/>
          <w:sz w:val="20"/>
          <w:szCs w:val="20"/>
        </w:rPr>
        <w:t xml:space="preserve">stakeholders </w:t>
      </w:r>
      <w:r w:rsidRPr="00921120">
        <w:rPr>
          <w:rFonts w:ascii="Arial" w:hAnsi="Arial" w:cs="Arial"/>
          <w:color w:val="000000"/>
          <w:sz w:val="20"/>
          <w:szCs w:val="20"/>
        </w:rPr>
        <w:t>to improve the tax ecosystem, and</w:t>
      </w:r>
    </w:p>
    <w:p w:rsidR="00A4421A" w:rsidRPr="00921120" w:rsidRDefault="00A4421A" w:rsidP="00921120">
      <w:pPr>
        <w:pStyle w:val="ListParagraph"/>
        <w:numPr>
          <w:ilvl w:val="0"/>
          <w:numId w:val="12"/>
        </w:numPr>
        <w:autoSpaceDE w:val="0"/>
        <w:autoSpaceDN w:val="0"/>
        <w:adjustRightInd w:val="0"/>
        <w:spacing w:line="240" w:lineRule="auto"/>
        <w:jc w:val="left"/>
        <w:rPr>
          <w:rFonts w:ascii="Arial" w:hAnsi="Arial" w:cs="Arial"/>
          <w:color w:val="000000"/>
          <w:sz w:val="20"/>
          <w:szCs w:val="20"/>
        </w:rPr>
      </w:pPr>
      <w:r w:rsidRPr="00921120">
        <w:rPr>
          <w:rFonts w:ascii="Arial" w:hAnsi="Arial" w:cs="Arial"/>
          <w:color w:val="000000"/>
          <w:sz w:val="20"/>
          <w:szCs w:val="20"/>
        </w:rPr>
        <w:t xml:space="preserve">Build </w:t>
      </w:r>
      <w:r w:rsidRPr="00921120">
        <w:rPr>
          <w:rFonts w:ascii="Arial" w:hAnsi="Arial" w:cs="Arial"/>
          <w:bCs/>
          <w:color w:val="000000"/>
          <w:sz w:val="20"/>
          <w:szCs w:val="20"/>
        </w:rPr>
        <w:t xml:space="preserve">public trust and confidence </w:t>
      </w:r>
      <w:r w:rsidRPr="00921120">
        <w:rPr>
          <w:rFonts w:ascii="Arial" w:hAnsi="Arial" w:cs="Arial"/>
          <w:color w:val="000000"/>
          <w:sz w:val="20"/>
          <w:szCs w:val="20"/>
        </w:rPr>
        <w:t>in the tax administration system.</w:t>
      </w:r>
    </w:p>
    <w:p w:rsidR="00A4421A" w:rsidRPr="00921120" w:rsidRDefault="00A4421A" w:rsidP="00921120">
      <w:pPr>
        <w:spacing w:line="240" w:lineRule="auto"/>
        <w:jc w:val="left"/>
        <w:rPr>
          <w:rFonts w:ascii="Arial" w:eastAsia="Times New Roman" w:hAnsi="Arial" w:cs="Arial"/>
          <w:sz w:val="20"/>
          <w:szCs w:val="20"/>
          <w:lang w:eastAsia="en-ZA"/>
        </w:rPr>
      </w:pPr>
    </w:p>
    <w:p w:rsidR="009C1EC2" w:rsidRPr="00921120" w:rsidRDefault="009C1EC2" w:rsidP="00921120">
      <w:pPr>
        <w:spacing w:line="240" w:lineRule="auto"/>
        <w:contextualSpacing/>
        <w:jc w:val="left"/>
        <w:outlineLvl w:val="0"/>
        <w:rPr>
          <w:rFonts w:ascii="Arial" w:eastAsia="Times New Roman" w:hAnsi="Arial" w:cs="Arial"/>
          <w:sz w:val="20"/>
          <w:szCs w:val="20"/>
          <w:lang w:eastAsia="en-ZA"/>
        </w:rPr>
      </w:pPr>
      <w:r w:rsidRPr="00921120">
        <w:rPr>
          <w:rFonts w:ascii="Arial" w:hAnsi="Arial" w:cs="Arial"/>
          <w:sz w:val="20"/>
          <w:szCs w:val="20"/>
        </w:rPr>
        <w:t xml:space="preserve">A key objective of the Customs Administration, a division of SARS, is the facilitation of movement of goods and people entering or exiting the borders of South Africa. Its </w:t>
      </w:r>
      <w:r w:rsidRPr="00921120">
        <w:rPr>
          <w:rFonts w:ascii="Arial" w:eastAsia="Times New Roman" w:hAnsi="Arial" w:cs="Arial"/>
          <w:sz w:val="20"/>
          <w:szCs w:val="20"/>
          <w:lang w:eastAsia="en-ZA"/>
        </w:rPr>
        <w:t>mandate and priorities are to:</w:t>
      </w:r>
    </w:p>
    <w:p w:rsidR="009C1EC2" w:rsidRPr="00921120" w:rsidRDefault="009C1EC2" w:rsidP="00921120">
      <w:pPr>
        <w:numPr>
          <w:ilvl w:val="0"/>
          <w:numId w:val="3"/>
        </w:numPr>
        <w:spacing w:line="240" w:lineRule="auto"/>
        <w:jc w:val="left"/>
        <w:rPr>
          <w:rFonts w:ascii="Arial" w:eastAsia="Times New Roman" w:hAnsi="Arial" w:cs="Arial"/>
          <w:sz w:val="20"/>
          <w:szCs w:val="20"/>
          <w:lang w:eastAsia="en-ZA"/>
        </w:rPr>
      </w:pPr>
      <w:r w:rsidRPr="00921120">
        <w:rPr>
          <w:rFonts w:ascii="Arial" w:eastAsia="Times New Roman" w:hAnsi="Arial" w:cs="Arial"/>
          <w:sz w:val="20"/>
          <w:szCs w:val="20"/>
          <w:lang w:eastAsia="en-ZA"/>
        </w:rPr>
        <w:t>Provide border control management, community protection and industry protection;</w:t>
      </w:r>
    </w:p>
    <w:p w:rsidR="009C1EC2" w:rsidRPr="00921120" w:rsidRDefault="009C1EC2" w:rsidP="00921120">
      <w:pPr>
        <w:numPr>
          <w:ilvl w:val="0"/>
          <w:numId w:val="3"/>
        </w:numPr>
        <w:spacing w:line="240" w:lineRule="auto"/>
        <w:jc w:val="left"/>
        <w:rPr>
          <w:rFonts w:ascii="Arial" w:eastAsia="Times New Roman" w:hAnsi="Arial" w:cs="Arial"/>
          <w:sz w:val="20"/>
          <w:szCs w:val="20"/>
          <w:lang w:eastAsia="en-ZA"/>
        </w:rPr>
      </w:pPr>
      <w:r w:rsidRPr="00921120">
        <w:rPr>
          <w:rFonts w:ascii="Arial" w:eastAsia="Times New Roman" w:hAnsi="Arial" w:cs="Arial"/>
          <w:sz w:val="20"/>
          <w:szCs w:val="20"/>
          <w:lang w:eastAsia="en-ZA"/>
        </w:rPr>
        <w:t>Administer trade policy measures and industry schemes; and</w:t>
      </w:r>
    </w:p>
    <w:p w:rsidR="009C1EC2" w:rsidRPr="00921120" w:rsidRDefault="009C1EC2" w:rsidP="00921120">
      <w:pPr>
        <w:numPr>
          <w:ilvl w:val="0"/>
          <w:numId w:val="3"/>
        </w:numPr>
        <w:spacing w:line="240" w:lineRule="auto"/>
        <w:jc w:val="left"/>
        <w:rPr>
          <w:rFonts w:ascii="Arial" w:eastAsia="Times New Roman" w:hAnsi="Arial" w:cs="Arial"/>
          <w:sz w:val="20"/>
          <w:szCs w:val="20"/>
          <w:lang w:eastAsia="en-ZA"/>
        </w:rPr>
      </w:pPr>
      <w:r w:rsidRPr="00921120">
        <w:rPr>
          <w:rFonts w:ascii="Arial" w:eastAsia="Times New Roman" w:hAnsi="Arial" w:cs="Arial"/>
          <w:sz w:val="20"/>
          <w:szCs w:val="20"/>
          <w:lang w:eastAsia="en-ZA"/>
        </w:rPr>
        <w:t>Collect revenue from the import of goods.</w:t>
      </w:r>
      <w:r w:rsidR="00E3042E" w:rsidRPr="00921120">
        <w:rPr>
          <w:rStyle w:val="FootnoteReference"/>
          <w:rFonts w:ascii="Arial" w:eastAsia="Times New Roman" w:hAnsi="Arial" w:cs="Arial"/>
          <w:sz w:val="20"/>
          <w:szCs w:val="20"/>
          <w:lang w:eastAsia="en-ZA"/>
        </w:rPr>
        <w:footnoteReference w:id="8"/>
      </w:r>
    </w:p>
    <w:p w:rsidR="009C1EC2" w:rsidRPr="00921120" w:rsidRDefault="009C1EC2" w:rsidP="00921120">
      <w:pPr>
        <w:spacing w:line="240" w:lineRule="auto"/>
        <w:jc w:val="left"/>
        <w:rPr>
          <w:rFonts w:ascii="Arial" w:eastAsia="Times New Roman" w:hAnsi="Arial" w:cs="Arial"/>
          <w:sz w:val="20"/>
          <w:szCs w:val="20"/>
          <w:lang w:eastAsia="en-ZA"/>
        </w:rPr>
      </w:pPr>
    </w:p>
    <w:p w:rsidR="00A4421A" w:rsidRPr="00921120" w:rsidRDefault="00A4421A" w:rsidP="00921120">
      <w:pPr>
        <w:pStyle w:val="Heading2"/>
        <w:spacing w:line="240" w:lineRule="auto"/>
        <w:jc w:val="left"/>
        <w:rPr>
          <w:rFonts w:ascii="Arial" w:hAnsi="Arial" w:cs="Arial"/>
          <w:sz w:val="20"/>
          <w:szCs w:val="20"/>
        </w:rPr>
      </w:pPr>
      <w:r w:rsidRPr="00921120">
        <w:rPr>
          <w:rFonts w:ascii="Arial" w:hAnsi="Arial" w:cs="Arial"/>
          <w:sz w:val="20"/>
          <w:szCs w:val="20"/>
        </w:rPr>
        <w:t xml:space="preserve">Trade Facilitation </w:t>
      </w:r>
    </w:p>
    <w:p w:rsidR="007B0AE0" w:rsidRPr="00921120" w:rsidRDefault="007B0AE0" w:rsidP="00921120">
      <w:pPr>
        <w:spacing w:line="240" w:lineRule="auto"/>
        <w:jc w:val="left"/>
        <w:rPr>
          <w:rFonts w:ascii="Arial" w:hAnsi="Arial" w:cs="Arial"/>
          <w:sz w:val="20"/>
          <w:szCs w:val="20"/>
        </w:rPr>
      </w:pPr>
    </w:p>
    <w:p w:rsidR="00A4421A" w:rsidRPr="00921120" w:rsidRDefault="00A4421A" w:rsidP="00921120">
      <w:pPr>
        <w:pStyle w:val="Heading3"/>
        <w:spacing w:line="240" w:lineRule="auto"/>
        <w:jc w:val="left"/>
        <w:rPr>
          <w:rFonts w:ascii="Arial" w:hAnsi="Arial" w:cs="Arial"/>
          <w:sz w:val="20"/>
          <w:szCs w:val="20"/>
        </w:rPr>
      </w:pPr>
      <w:r w:rsidRPr="00921120">
        <w:rPr>
          <w:rFonts w:ascii="Arial" w:hAnsi="Arial" w:cs="Arial"/>
          <w:sz w:val="20"/>
          <w:szCs w:val="20"/>
        </w:rPr>
        <w:t>Trade Facilitation Agreement</w:t>
      </w:r>
    </w:p>
    <w:p w:rsidR="00A4421A" w:rsidRPr="00921120" w:rsidRDefault="00A4421A" w:rsidP="00921120">
      <w:pPr>
        <w:spacing w:line="240" w:lineRule="auto"/>
        <w:jc w:val="left"/>
        <w:rPr>
          <w:rFonts w:ascii="Arial" w:hAnsi="Arial" w:cs="Arial"/>
          <w:sz w:val="20"/>
          <w:szCs w:val="20"/>
        </w:rPr>
      </w:pPr>
      <w:r w:rsidRPr="00921120">
        <w:rPr>
          <w:rFonts w:ascii="Arial" w:hAnsi="Arial" w:cs="Arial"/>
          <w:sz w:val="20"/>
          <w:szCs w:val="20"/>
        </w:rPr>
        <w:t>Trade facilitation is defined as “the simplification, modernisation and harmonisation of import and export procedures”</w:t>
      </w:r>
      <w:r w:rsidRPr="00921120">
        <w:rPr>
          <w:rStyle w:val="FootnoteReference"/>
          <w:rFonts w:ascii="Arial" w:hAnsi="Arial" w:cs="Arial"/>
          <w:sz w:val="20"/>
          <w:szCs w:val="20"/>
        </w:rPr>
        <w:footnoteReference w:id="9"/>
      </w:r>
      <w:r w:rsidRPr="00921120">
        <w:rPr>
          <w:rFonts w:ascii="Arial" w:hAnsi="Arial" w:cs="Arial"/>
          <w:sz w:val="20"/>
          <w:szCs w:val="20"/>
        </w:rPr>
        <w:t>. In a recent report on Trade Facilitation in Africa, the United Nations noted that addressing the high trade costs of African countries is critical to achieve their greater integration into global trade and global value chains and increasing competitiveness. Consequently, ensuring economic development in Africa. Furthermore, it stated that trade facilitation is the best tool for reducing trade costs for African countries, particularly for the many landlocked, developing countries in sub-Saharan Africa.</w:t>
      </w:r>
      <w:r w:rsidRPr="00921120">
        <w:rPr>
          <w:rStyle w:val="FootnoteReference"/>
          <w:rFonts w:ascii="Arial" w:hAnsi="Arial" w:cs="Arial"/>
          <w:sz w:val="20"/>
          <w:szCs w:val="20"/>
        </w:rPr>
        <w:footnoteReference w:id="10"/>
      </w:r>
    </w:p>
    <w:p w:rsidR="00A4421A" w:rsidRPr="00921120" w:rsidRDefault="00A4421A" w:rsidP="00921120">
      <w:pPr>
        <w:spacing w:line="240" w:lineRule="auto"/>
        <w:jc w:val="left"/>
        <w:rPr>
          <w:rFonts w:ascii="Arial" w:hAnsi="Arial" w:cs="Arial"/>
          <w:sz w:val="20"/>
          <w:szCs w:val="20"/>
        </w:rPr>
      </w:pPr>
    </w:p>
    <w:p w:rsidR="00A4421A" w:rsidRPr="00921120" w:rsidRDefault="00A4421A" w:rsidP="00921120">
      <w:pPr>
        <w:spacing w:line="240" w:lineRule="auto"/>
        <w:jc w:val="left"/>
        <w:rPr>
          <w:rFonts w:ascii="Arial" w:hAnsi="Arial" w:cs="Arial"/>
          <w:sz w:val="20"/>
          <w:szCs w:val="20"/>
        </w:rPr>
      </w:pPr>
      <w:r w:rsidRPr="00921120">
        <w:rPr>
          <w:rFonts w:ascii="Arial" w:hAnsi="Arial" w:cs="Arial"/>
          <w:sz w:val="20"/>
          <w:szCs w:val="20"/>
        </w:rPr>
        <w:t>At a global level, South Africa is party to the WTO’s TFA. This Agreement came into force on 22 February 2017 when more than two-thirds of the WTO members, including South Africa, ratified the Agreement.</w:t>
      </w:r>
      <w:r w:rsidRPr="00921120">
        <w:rPr>
          <w:rStyle w:val="FootnoteReference"/>
          <w:rFonts w:ascii="Arial" w:hAnsi="Arial" w:cs="Arial"/>
          <w:sz w:val="20"/>
          <w:szCs w:val="20"/>
        </w:rPr>
        <w:footnoteReference w:id="11"/>
      </w:r>
      <w:r w:rsidRPr="00921120">
        <w:rPr>
          <w:rFonts w:ascii="Arial" w:hAnsi="Arial" w:cs="Arial"/>
          <w:sz w:val="20"/>
          <w:szCs w:val="20"/>
        </w:rPr>
        <w:t xml:space="preserve"> Its purpose is to facilitate the ease of movement, the release and clearance of goods across borders, and, provides for measures to promote effective cooperation among customs and other relevant authorities on customs compliance issues.</w:t>
      </w:r>
      <w:r w:rsidRPr="00921120">
        <w:rPr>
          <w:rStyle w:val="FootnoteReference"/>
          <w:rFonts w:ascii="Arial" w:hAnsi="Arial" w:cs="Arial"/>
          <w:sz w:val="20"/>
          <w:szCs w:val="20"/>
        </w:rPr>
        <w:footnoteReference w:id="12"/>
      </w:r>
      <w:r w:rsidRPr="00921120">
        <w:rPr>
          <w:rFonts w:ascii="Arial" w:hAnsi="Arial" w:cs="Arial"/>
          <w:sz w:val="20"/>
          <w:szCs w:val="20"/>
        </w:rPr>
        <w:t xml:space="preserve"> As a signatory to this Agreement, South Africa committed itself to facilitate trade as required in Article 1 to Article 12 of the TFA.</w:t>
      </w:r>
      <w:r w:rsidRPr="00921120">
        <w:rPr>
          <w:rStyle w:val="FootnoteReference"/>
          <w:rFonts w:ascii="Arial" w:hAnsi="Arial" w:cs="Arial"/>
          <w:sz w:val="20"/>
          <w:szCs w:val="20"/>
        </w:rPr>
        <w:footnoteReference w:id="13"/>
      </w:r>
      <w:r w:rsidRPr="00921120">
        <w:rPr>
          <w:rFonts w:ascii="Arial" w:hAnsi="Arial" w:cs="Arial"/>
          <w:sz w:val="20"/>
          <w:szCs w:val="20"/>
        </w:rPr>
        <w:t xml:space="preserve"> </w:t>
      </w:r>
    </w:p>
    <w:p w:rsidR="00A4421A" w:rsidRPr="00921120" w:rsidRDefault="00A4421A" w:rsidP="00921120">
      <w:pPr>
        <w:spacing w:line="240" w:lineRule="auto"/>
        <w:jc w:val="left"/>
        <w:rPr>
          <w:rFonts w:ascii="Arial" w:hAnsi="Arial" w:cs="Arial"/>
          <w:sz w:val="20"/>
          <w:szCs w:val="20"/>
        </w:rPr>
      </w:pPr>
    </w:p>
    <w:p w:rsidR="00A4421A" w:rsidRPr="00921120" w:rsidRDefault="00A4421A" w:rsidP="00921120">
      <w:pPr>
        <w:pStyle w:val="Heading3"/>
        <w:spacing w:line="240" w:lineRule="auto"/>
        <w:jc w:val="left"/>
        <w:rPr>
          <w:rFonts w:ascii="Arial" w:hAnsi="Arial" w:cs="Arial"/>
          <w:sz w:val="20"/>
          <w:szCs w:val="20"/>
        </w:rPr>
      </w:pPr>
      <w:r w:rsidRPr="00921120">
        <w:rPr>
          <w:rFonts w:ascii="Arial" w:hAnsi="Arial" w:cs="Arial"/>
          <w:sz w:val="20"/>
          <w:szCs w:val="20"/>
        </w:rPr>
        <w:t>Role of SARS</w:t>
      </w:r>
      <w:r w:rsidR="005E6F50" w:rsidRPr="00921120">
        <w:rPr>
          <w:rFonts w:ascii="Arial" w:hAnsi="Arial" w:cs="Arial"/>
          <w:sz w:val="20"/>
          <w:szCs w:val="20"/>
        </w:rPr>
        <w:t xml:space="preserve"> in Facilitating Trade</w:t>
      </w:r>
    </w:p>
    <w:p w:rsidR="00A4421A" w:rsidRPr="00921120" w:rsidRDefault="00A4421A" w:rsidP="00921120">
      <w:pPr>
        <w:autoSpaceDE w:val="0"/>
        <w:autoSpaceDN w:val="0"/>
        <w:adjustRightInd w:val="0"/>
        <w:spacing w:line="240" w:lineRule="auto"/>
        <w:jc w:val="left"/>
        <w:rPr>
          <w:rFonts w:ascii="Arial" w:hAnsi="Arial" w:cs="Arial"/>
          <w:color w:val="000000"/>
          <w:sz w:val="20"/>
          <w:szCs w:val="20"/>
        </w:rPr>
      </w:pPr>
      <w:r w:rsidRPr="00921120">
        <w:rPr>
          <w:rFonts w:ascii="Arial" w:hAnsi="Arial" w:cs="Arial"/>
          <w:color w:val="000000"/>
          <w:sz w:val="20"/>
          <w:szCs w:val="20"/>
        </w:rPr>
        <w:t xml:space="preserve">The import, export and transit of goods are governed by national and international regulations. Compliance with these regulations are checked and enforced at ports of entry, such as cross-border crossing, among others. This can be a lengthy or speedy process depending on management and the procedures in place. The process at the border involves multiple agencies, therefore coordination is key in reducing waiting times at border crossings. </w:t>
      </w:r>
      <w:r w:rsidR="005E6F50" w:rsidRPr="00921120">
        <w:rPr>
          <w:rFonts w:ascii="Arial" w:hAnsi="Arial" w:cs="Arial"/>
          <w:color w:val="000000"/>
          <w:sz w:val="20"/>
          <w:szCs w:val="20"/>
        </w:rPr>
        <w:t>SARS through its Customs Administration Division</w:t>
      </w:r>
      <w:r w:rsidRPr="00921120">
        <w:rPr>
          <w:rFonts w:ascii="Arial" w:hAnsi="Arial" w:cs="Arial"/>
          <w:color w:val="000000"/>
          <w:sz w:val="20"/>
          <w:szCs w:val="20"/>
        </w:rPr>
        <w:t xml:space="preserve">, as one of the agencies, plays a critical role in the facilitation of trade. </w:t>
      </w:r>
    </w:p>
    <w:p w:rsidR="00A4421A" w:rsidRPr="00921120" w:rsidRDefault="00A4421A" w:rsidP="00921120">
      <w:pPr>
        <w:autoSpaceDE w:val="0"/>
        <w:autoSpaceDN w:val="0"/>
        <w:adjustRightInd w:val="0"/>
        <w:spacing w:line="240" w:lineRule="auto"/>
        <w:jc w:val="left"/>
        <w:rPr>
          <w:rFonts w:ascii="Arial" w:hAnsi="Arial" w:cs="Arial"/>
          <w:color w:val="000000"/>
          <w:sz w:val="20"/>
          <w:szCs w:val="20"/>
        </w:rPr>
      </w:pPr>
    </w:p>
    <w:p w:rsidR="00A4421A" w:rsidRPr="00921120" w:rsidRDefault="005E6F50" w:rsidP="00921120">
      <w:pPr>
        <w:autoSpaceDE w:val="0"/>
        <w:autoSpaceDN w:val="0"/>
        <w:adjustRightInd w:val="0"/>
        <w:spacing w:line="240" w:lineRule="auto"/>
        <w:jc w:val="left"/>
        <w:rPr>
          <w:rFonts w:ascii="Arial" w:hAnsi="Arial" w:cs="Arial"/>
          <w:color w:val="201D1E"/>
          <w:sz w:val="20"/>
          <w:szCs w:val="20"/>
        </w:rPr>
      </w:pPr>
      <w:r w:rsidRPr="00921120">
        <w:rPr>
          <w:rFonts w:ascii="Arial" w:hAnsi="Arial" w:cs="Arial"/>
          <w:color w:val="000000"/>
          <w:sz w:val="20"/>
          <w:szCs w:val="20"/>
        </w:rPr>
        <w:t xml:space="preserve">Time taken to process trade </w:t>
      </w:r>
      <w:r w:rsidR="00A4421A" w:rsidRPr="00921120">
        <w:rPr>
          <w:rFonts w:ascii="Arial" w:hAnsi="Arial" w:cs="Arial"/>
          <w:color w:val="000000"/>
          <w:sz w:val="20"/>
          <w:szCs w:val="20"/>
        </w:rPr>
        <w:t xml:space="preserve">at border crossings </w:t>
      </w:r>
      <w:r w:rsidRPr="00921120">
        <w:rPr>
          <w:rFonts w:ascii="Arial" w:hAnsi="Arial" w:cs="Arial"/>
          <w:color w:val="000000"/>
          <w:sz w:val="20"/>
          <w:szCs w:val="20"/>
        </w:rPr>
        <w:t>is</w:t>
      </w:r>
      <w:r w:rsidR="00A4421A" w:rsidRPr="00921120">
        <w:rPr>
          <w:rFonts w:ascii="Arial" w:hAnsi="Arial" w:cs="Arial"/>
          <w:color w:val="000000"/>
          <w:sz w:val="20"/>
          <w:szCs w:val="20"/>
        </w:rPr>
        <w:t xml:space="preserve"> used as an indicator of trade facilitation performance</w:t>
      </w:r>
      <w:r w:rsidRPr="00921120">
        <w:rPr>
          <w:rFonts w:ascii="Arial" w:hAnsi="Arial" w:cs="Arial"/>
          <w:color w:val="000000"/>
          <w:sz w:val="20"/>
          <w:szCs w:val="20"/>
        </w:rPr>
        <w:t xml:space="preserve"> and </w:t>
      </w:r>
      <w:r w:rsidR="009C1EC2" w:rsidRPr="00921120">
        <w:rPr>
          <w:rFonts w:ascii="Arial" w:hAnsi="Arial" w:cs="Arial"/>
          <w:color w:val="000000"/>
          <w:sz w:val="20"/>
          <w:szCs w:val="20"/>
        </w:rPr>
        <w:t xml:space="preserve">regular </w:t>
      </w:r>
      <w:r w:rsidRPr="00921120">
        <w:rPr>
          <w:rFonts w:ascii="Arial" w:hAnsi="Arial" w:cs="Arial"/>
          <w:color w:val="000000"/>
          <w:sz w:val="20"/>
          <w:szCs w:val="20"/>
        </w:rPr>
        <w:t>delays are hence an i</w:t>
      </w:r>
      <w:r w:rsidR="00F453AE" w:rsidRPr="00921120">
        <w:rPr>
          <w:rFonts w:ascii="Arial" w:hAnsi="Arial" w:cs="Arial"/>
          <w:color w:val="000000"/>
          <w:sz w:val="20"/>
          <w:szCs w:val="20"/>
        </w:rPr>
        <w:t>ndicator of poor/inefficient</w:t>
      </w:r>
      <w:r w:rsidRPr="00921120">
        <w:rPr>
          <w:rFonts w:ascii="Arial" w:hAnsi="Arial" w:cs="Arial"/>
          <w:color w:val="000000"/>
          <w:sz w:val="20"/>
          <w:szCs w:val="20"/>
        </w:rPr>
        <w:t xml:space="preserve"> trade facilitation</w:t>
      </w:r>
      <w:r w:rsidR="00A4421A" w:rsidRPr="00921120">
        <w:rPr>
          <w:rFonts w:ascii="Arial" w:hAnsi="Arial" w:cs="Arial"/>
          <w:color w:val="000000"/>
          <w:sz w:val="20"/>
          <w:szCs w:val="20"/>
        </w:rPr>
        <w:t xml:space="preserve">. Therefore, the measures implemented by SARS are critical to reduce time to process trade at the borders. SARS informed the Committee that its legislative mandate is </w:t>
      </w:r>
      <w:r w:rsidR="00A4421A" w:rsidRPr="00921120">
        <w:rPr>
          <w:rFonts w:ascii="Arial" w:hAnsi="Arial" w:cs="Arial"/>
          <w:color w:val="201D1E"/>
          <w:sz w:val="20"/>
          <w:szCs w:val="20"/>
        </w:rPr>
        <w:t xml:space="preserve">to collect all revenues due, ensure optimal compliance with tax and customs legislation, and to provide a customs service to optimise revenue, </w:t>
      </w:r>
      <w:r w:rsidR="00A4421A" w:rsidRPr="00921120">
        <w:rPr>
          <w:rFonts w:ascii="Arial" w:hAnsi="Arial" w:cs="Arial"/>
          <w:color w:val="201D1E"/>
          <w:sz w:val="20"/>
          <w:szCs w:val="20"/>
        </w:rPr>
        <w:lastRenderedPageBreak/>
        <w:t xml:space="preserve">border protection and facilitate legitimate trade. </w:t>
      </w:r>
      <w:r w:rsidR="00A4421A" w:rsidRPr="00921120">
        <w:rPr>
          <w:rFonts w:ascii="Arial" w:hAnsi="Arial" w:cs="Arial"/>
          <w:sz w:val="20"/>
          <w:szCs w:val="20"/>
        </w:rPr>
        <w:t>In this regard, the SARS Customs Authority acknowledged its critical role to ensure that through its processes and actions, it contributes to the promotion and development of the South African economy.</w:t>
      </w:r>
    </w:p>
    <w:p w:rsidR="00A4421A" w:rsidRPr="00921120" w:rsidRDefault="00A4421A" w:rsidP="00921120">
      <w:pPr>
        <w:pStyle w:val="Heading1"/>
        <w:numPr>
          <w:ilvl w:val="0"/>
          <w:numId w:val="0"/>
        </w:numPr>
        <w:spacing w:line="240" w:lineRule="auto"/>
        <w:jc w:val="left"/>
        <w:rPr>
          <w:rFonts w:ascii="Arial" w:hAnsi="Arial" w:cs="Arial"/>
          <w:b w:val="0"/>
          <w:sz w:val="20"/>
          <w:szCs w:val="20"/>
        </w:rPr>
      </w:pPr>
    </w:p>
    <w:p w:rsidR="00A4421A" w:rsidRPr="00921120" w:rsidRDefault="00A4421A" w:rsidP="00921120">
      <w:pPr>
        <w:pStyle w:val="Heading3"/>
        <w:spacing w:line="240" w:lineRule="auto"/>
        <w:jc w:val="left"/>
        <w:rPr>
          <w:rFonts w:ascii="Arial" w:hAnsi="Arial" w:cs="Arial"/>
          <w:sz w:val="20"/>
          <w:szCs w:val="20"/>
        </w:rPr>
      </w:pPr>
      <w:r w:rsidRPr="00921120">
        <w:rPr>
          <w:rFonts w:ascii="Arial" w:hAnsi="Arial" w:cs="Arial"/>
          <w:sz w:val="20"/>
          <w:szCs w:val="20"/>
        </w:rPr>
        <w:t xml:space="preserve">Measures to </w:t>
      </w:r>
      <w:r w:rsidR="005E6F50" w:rsidRPr="00921120">
        <w:rPr>
          <w:rFonts w:ascii="Arial" w:hAnsi="Arial" w:cs="Arial"/>
          <w:sz w:val="20"/>
          <w:szCs w:val="20"/>
        </w:rPr>
        <w:t>F</w:t>
      </w:r>
      <w:r w:rsidRPr="00921120">
        <w:rPr>
          <w:rFonts w:ascii="Arial" w:hAnsi="Arial" w:cs="Arial"/>
          <w:sz w:val="20"/>
          <w:szCs w:val="20"/>
        </w:rPr>
        <w:t xml:space="preserve">acilitate </w:t>
      </w:r>
      <w:r w:rsidR="005E6F50" w:rsidRPr="00921120">
        <w:rPr>
          <w:rFonts w:ascii="Arial" w:hAnsi="Arial" w:cs="Arial"/>
          <w:sz w:val="20"/>
          <w:szCs w:val="20"/>
        </w:rPr>
        <w:t>T</w:t>
      </w:r>
      <w:r w:rsidRPr="00921120">
        <w:rPr>
          <w:rFonts w:ascii="Arial" w:hAnsi="Arial" w:cs="Arial"/>
          <w:sz w:val="20"/>
          <w:szCs w:val="20"/>
        </w:rPr>
        <w:t>rade</w:t>
      </w:r>
    </w:p>
    <w:p w:rsidR="00A4421A" w:rsidRPr="00921120" w:rsidRDefault="00A4421A" w:rsidP="00921120">
      <w:pPr>
        <w:autoSpaceDE w:val="0"/>
        <w:autoSpaceDN w:val="0"/>
        <w:adjustRightInd w:val="0"/>
        <w:spacing w:line="240" w:lineRule="auto"/>
        <w:jc w:val="left"/>
        <w:rPr>
          <w:rFonts w:ascii="Arial" w:hAnsi="Arial" w:cs="Arial"/>
          <w:color w:val="000000"/>
          <w:sz w:val="20"/>
          <w:szCs w:val="20"/>
        </w:rPr>
      </w:pPr>
      <w:r w:rsidRPr="00921120">
        <w:rPr>
          <w:rFonts w:ascii="Arial" w:hAnsi="Arial" w:cs="Arial"/>
          <w:color w:val="000000"/>
          <w:sz w:val="20"/>
          <w:szCs w:val="20"/>
        </w:rPr>
        <w:t>Over the past 25 years</w:t>
      </w:r>
      <w:r w:rsidRPr="00921120">
        <w:rPr>
          <w:rFonts w:ascii="Arial" w:hAnsi="Arial" w:cs="Arial"/>
          <w:color w:val="201D1E"/>
          <w:sz w:val="20"/>
          <w:szCs w:val="20"/>
        </w:rPr>
        <w:t xml:space="preserve">, </w:t>
      </w:r>
      <w:r w:rsidRPr="00921120">
        <w:rPr>
          <w:rFonts w:ascii="Arial" w:hAnsi="Arial" w:cs="Arial"/>
          <w:color w:val="000000"/>
          <w:sz w:val="20"/>
          <w:szCs w:val="20"/>
        </w:rPr>
        <w:t xml:space="preserve">SARS has re-orientated itself from the practice of gatekeeper to </w:t>
      </w:r>
      <w:r w:rsidR="00E3042E" w:rsidRPr="00921120">
        <w:rPr>
          <w:rFonts w:ascii="Arial" w:hAnsi="Arial" w:cs="Arial"/>
          <w:color w:val="000000"/>
          <w:sz w:val="20"/>
          <w:szCs w:val="20"/>
        </w:rPr>
        <w:t xml:space="preserve">a </w:t>
      </w:r>
      <w:r w:rsidRPr="00921120">
        <w:rPr>
          <w:rFonts w:ascii="Arial" w:hAnsi="Arial" w:cs="Arial"/>
          <w:color w:val="000000"/>
          <w:sz w:val="20"/>
          <w:szCs w:val="20"/>
        </w:rPr>
        <w:t>data-driven risk management approach to improve the balance between facilitation of legitimate trade and ensuring compliance. In this regard, the Customs declaration and inspection process</w:t>
      </w:r>
      <w:r w:rsidR="00C82E30" w:rsidRPr="00921120">
        <w:rPr>
          <w:rFonts w:ascii="Arial" w:hAnsi="Arial" w:cs="Arial"/>
          <w:color w:val="000000"/>
          <w:sz w:val="20"/>
          <w:szCs w:val="20"/>
        </w:rPr>
        <w:t>es</w:t>
      </w:r>
      <w:r w:rsidRPr="00921120">
        <w:rPr>
          <w:rFonts w:ascii="Arial" w:hAnsi="Arial" w:cs="Arial"/>
          <w:color w:val="000000"/>
          <w:sz w:val="20"/>
          <w:szCs w:val="20"/>
        </w:rPr>
        <w:t xml:space="preserve"> have been reengineered to be fully automated</w:t>
      </w:r>
      <w:r w:rsidR="009C1EC2" w:rsidRPr="00921120">
        <w:rPr>
          <w:rFonts w:ascii="Arial" w:hAnsi="Arial" w:cs="Arial"/>
          <w:color w:val="000000"/>
          <w:sz w:val="20"/>
          <w:szCs w:val="20"/>
        </w:rPr>
        <w:t>,</w:t>
      </w:r>
      <w:r w:rsidRPr="00921120">
        <w:rPr>
          <w:rFonts w:ascii="Arial" w:hAnsi="Arial" w:cs="Arial"/>
          <w:color w:val="000000"/>
          <w:sz w:val="20"/>
          <w:szCs w:val="20"/>
        </w:rPr>
        <w:t xml:space="preserve"> as a result</w:t>
      </w:r>
      <w:r w:rsidR="009C1EC2" w:rsidRPr="00921120">
        <w:rPr>
          <w:rFonts w:ascii="Arial" w:hAnsi="Arial" w:cs="Arial"/>
          <w:color w:val="000000"/>
          <w:sz w:val="20"/>
          <w:szCs w:val="20"/>
        </w:rPr>
        <w:t>,</w:t>
      </w:r>
      <w:r w:rsidRPr="00921120">
        <w:rPr>
          <w:rFonts w:ascii="Arial" w:hAnsi="Arial" w:cs="Arial"/>
          <w:color w:val="000000"/>
          <w:sz w:val="20"/>
          <w:szCs w:val="20"/>
        </w:rPr>
        <w:t xml:space="preserve"> improv</w:t>
      </w:r>
      <w:r w:rsidR="00C82E30" w:rsidRPr="00921120">
        <w:rPr>
          <w:rFonts w:ascii="Arial" w:hAnsi="Arial" w:cs="Arial"/>
          <w:color w:val="000000"/>
          <w:sz w:val="20"/>
          <w:szCs w:val="20"/>
        </w:rPr>
        <w:t>ing</w:t>
      </w:r>
      <w:r w:rsidRPr="00921120">
        <w:rPr>
          <w:rFonts w:ascii="Arial" w:hAnsi="Arial" w:cs="Arial"/>
          <w:color w:val="000000"/>
          <w:sz w:val="20"/>
          <w:szCs w:val="20"/>
        </w:rPr>
        <w:t xml:space="preserve"> its risk detection capability through its sophisticated case selection methodology. It draws on available data from statutory declarations by traders, and data from third party providers, as well as other sources. </w:t>
      </w:r>
    </w:p>
    <w:p w:rsidR="00A4421A" w:rsidRPr="00921120" w:rsidRDefault="00A4421A" w:rsidP="00921120">
      <w:pPr>
        <w:autoSpaceDE w:val="0"/>
        <w:autoSpaceDN w:val="0"/>
        <w:adjustRightInd w:val="0"/>
        <w:spacing w:line="240" w:lineRule="auto"/>
        <w:jc w:val="left"/>
        <w:rPr>
          <w:rFonts w:ascii="Arial" w:hAnsi="Arial" w:cs="Arial"/>
          <w:color w:val="000000"/>
          <w:sz w:val="20"/>
          <w:szCs w:val="20"/>
        </w:rPr>
      </w:pPr>
    </w:p>
    <w:p w:rsidR="00A4421A" w:rsidRPr="00921120" w:rsidRDefault="00A4421A" w:rsidP="00921120">
      <w:pPr>
        <w:autoSpaceDE w:val="0"/>
        <w:autoSpaceDN w:val="0"/>
        <w:adjustRightInd w:val="0"/>
        <w:spacing w:line="240" w:lineRule="auto"/>
        <w:jc w:val="left"/>
        <w:rPr>
          <w:rFonts w:ascii="Arial" w:hAnsi="Arial" w:cs="Arial"/>
          <w:color w:val="000000"/>
          <w:sz w:val="20"/>
          <w:szCs w:val="20"/>
        </w:rPr>
      </w:pPr>
      <w:r w:rsidRPr="00921120">
        <w:rPr>
          <w:rFonts w:ascii="Arial" w:hAnsi="Arial" w:cs="Arial"/>
          <w:color w:val="000000"/>
          <w:sz w:val="20"/>
          <w:szCs w:val="20"/>
        </w:rPr>
        <w:t xml:space="preserve">In the context of Beitbridge or any land border, all clearance and risk processes are completed prior to the </w:t>
      </w:r>
      <w:r w:rsidR="00E3042E" w:rsidRPr="00921120">
        <w:rPr>
          <w:rFonts w:ascii="Arial" w:hAnsi="Arial" w:cs="Arial"/>
          <w:color w:val="000000"/>
          <w:sz w:val="20"/>
          <w:szCs w:val="20"/>
        </w:rPr>
        <w:t xml:space="preserve">goods arriving at the </w:t>
      </w:r>
      <w:r w:rsidRPr="00921120">
        <w:rPr>
          <w:rFonts w:ascii="Arial" w:hAnsi="Arial" w:cs="Arial"/>
          <w:color w:val="000000"/>
          <w:sz w:val="20"/>
          <w:szCs w:val="20"/>
        </w:rPr>
        <w:t>border, and the control at borders are restricted to high-risk intervention or the management of exceptions, and are aligned with the availability of capacity and resources. This technically means that approximately 95</w:t>
      </w:r>
      <w:r w:rsidR="00AC0EDA" w:rsidRPr="00921120">
        <w:rPr>
          <w:rFonts w:ascii="Arial" w:hAnsi="Arial" w:cs="Arial"/>
          <w:color w:val="000000"/>
          <w:sz w:val="20"/>
          <w:szCs w:val="20"/>
        </w:rPr>
        <w:t>%</w:t>
      </w:r>
      <w:r w:rsidRPr="00921120">
        <w:rPr>
          <w:rFonts w:ascii="Arial" w:hAnsi="Arial" w:cs="Arial"/>
          <w:color w:val="000000"/>
          <w:sz w:val="20"/>
          <w:szCs w:val="20"/>
        </w:rPr>
        <w:t xml:space="preserve"> of all trade crosses the border without any further Customs intervention, other than for a “mark for arrival and exit” process that takes a few seconds to complete by Customs. </w:t>
      </w:r>
    </w:p>
    <w:p w:rsidR="00A4421A" w:rsidRPr="00921120" w:rsidRDefault="00A4421A" w:rsidP="00921120">
      <w:pPr>
        <w:autoSpaceDE w:val="0"/>
        <w:autoSpaceDN w:val="0"/>
        <w:adjustRightInd w:val="0"/>
        <w:spacing w:line="240" w:lineRule="auto"/>
        <w:jc w:val="left"/>
        <w:rPr>
          <w:rFonts w:ascii="Arial" w:hAnsi="Arial" w:cs="Arial"/>
          <w:color w:val="000000"/>
          <w:sz w:val="20"/>
          <w:szCs w:val="20"/>
        </w:rPr>
      </w:pPr>
    </w:p>
    <w:p w:rsidR="00A4421A" w:rsidRPr="00921120" w:rsidRDefault="00A4421A" w:rsidP="00921120">
      <w:pPr>
        <w:autoSpaceDE w:val="0"/>
        <w:autoSpaceDN w:val="0"/>
        <w:adjustRightInd w:val="0"/>
        <w:spacing w:line="240" w:lineRule="auto"/>
        <w:jc w:val="left"/>
        <w:rPr>
          <w:rFonts w:ascii="Arial" w:hAnsi="Arial" w:cs="Arial"/>
          <w:color w:val="000000"/>
          <w:sz w:val="20"/>
          <w:szCs w:val="20"/>
        </w:rPr>
      </w:pPr>
      <w:r w:rsidRPr="00921120">
        <w:rPr>
          <w:rFonts w:ascii="Arial" w:hAnsi="Arial" w:cs="Arial"/>
          <w:color w:val="000000"/>
          <w:sz w:val="20"/>
          <w:szCs w:val="20"/>
        </w:rPr>
        <w:t xml:space="preserve">SARS </w:t>
      </w:r>
      <w:r w:rsidR="00E3042E" w:rsidRPr="00921120">
        <w:rPr>
          <w:rFonts w:ascii="Arial" w:hAnsi="Arial" w:cs="Arial"/>
          <w:color w:val="000000"/>
          <w:sz w:val="20"/>
          <w:szCs w:val="20"/>
        </w:rPr>
        <w:t xml:space="preserve">recognised </w:t>
      </w:r>
      <w:r w:rsidRPr="00921120">
        <w:rPr>
          <w:rFonts w:ascii="Arial" w:hAnsi="Arial" w:cs="Arial"/>
          <w:color w:val="000000"/>
          <w:sz w:val="20"/>
          <w:szCs w:val="20"/>
        </w:rPr>
        <w:t xml:space="preserve">that the level of automation and risk management capabilities of </w:t>
      </w:r>
      <w:r w:rsidR="00E3042E" w:rsidRPr="00921120">
        <w:rPr>
          <w:rFonts w:ascii="Arial" w:hAnsi="Arial" w:cs="Arial"/>
          <w:color w:val="000000"/>
          <w:sz w:val="20"/>
          <w:szCs w:val="20"/>
        </w:rPr>
        <w:t xml:space="preserve">neighbouring </w:t>
      </w:r>
      <w:r w:rsidRPr="00921120">
        <w:rPr>
          <w:rFonts w:ascii="Arial" w:hAnsi="Arial" w:cs="Arial"/>
          <w:color w:val="000000"/>
          <w:sz w:val="20"/>
          <w:szCs w:val="20"/>
        </w:rPr>
        <w:t xml:space="preserve">local border entities and government agencies are limited. Neighbouring countries often still deploy manual control processes that impacts on traders and transporters being delayed on the South African side of the border </w:t>
      </w:r>
      <w:r w:rsidR="00E3042E" w:rsidRPr="00921120">
        <w:rPr>
          <w:rFonts w:ascii="Arial" w:hAnsi="Arial" w:cs="Arial"/>
          <w:color w:val="000000"/>
          <w:sz w:val="20"/>
          <w:szCs w:val="20"/>
        </w:rPr>
        <w:t xml:space="preserve">while </w:t>
      </w:r>
      <w:r w:rsidRPr="00921120">
        <w:rPr>
          <w:rFonts w:ascii="Arial" w:hAnsi="Arial" w:cs="Arial"/>
          <w:color w:val="000000"/>
          <w:sz w:val="20"/>
          <w:szCs w:val="20"/>
        </w:rPr>
        <w:t xml:space="preserve">waiting to cross the border. </w:t>
      </w:r>
    </w:p>
    <w:p w:rsidR="00A4421A" w:rsidRPr="00921120" w:rsidRDefault="00A4421A" w:rsidP="00921120">
      <w:pPr>
        <w:autoSpaceDE w:val="0"/>
        <w:autoSpaceDN w:val="0"/>
        <w:adjustRightInd w:val="0"/>
        <w:spacing w:line="240" w:lineRule="auto"/>
        <w:jc w:val="left"/>
        <w:rPr>
          <w:rFonts w:ascii="Arial" w:hAnsi="Arial" w:cs="Arial"/>
          <w:color w:val="000000"/>
          <w:sz w:val="20"/>
          <w:szCs w:val="20"/>
        </w:rPr>
      </w:pPr>
    </w:p>
    <w:p w:rsidR="00A4421A" w:rsidRPr="00921120" w:rsidRDefault="00A4421A" w:rsidP="00921120">
      <w:pPr>
        <w:autoSpaceDE w:val="0"/>
        <w:autoSpaceDN w:val="0"/>
        <w:adjustRightInd w:val="0"/>
        <w:spacing w:line="240" w:lineRule="auto"/>
        <w:jc w:val="left"/>
        <w:rPr>
          <w:rFonts w:ascii="Arial" w:hAnsi="Arial" w:cs="Arial"/>
          <w:color w:val="000000"/>
          <w:sz w:val="20"/>
          <w:szCs w:val="20"/>
        </w:rPr>
      </w:pPr>
      <w:r w:rsidRPr="00921120">
        <w:rPr>
          <w:rFonts w:ascii="Arial" w:hAnsi="Arial" w:cs="Arial"/>
          <w:color w:val="000000"/>
          <w:sz w:val="20"/>
          <w:szCs w:val="20"/>
        </w:rPr>
        <w:t xml:space="preserve">It is for this reason, in line with SARS Vision 2024, that </w:t>
      </w:r>
      <w:r w:rsidR="00D6509D" w:rsidRPr="00921120">
        <w:rPr>
          <w:rFonts w:ascii="Arial" w:hAnsi="Arial" w:cs="Arial"/>
          <w:color w:val="000000"/>
          <w:sz w:val="20"/>
          <w:szCs w:val="20"/>
        </w:rPr>
        <w:t xml:space="preserve">the </w:t>
      </w:r>
      <w:r w:rsidRPr="00921120">
        <w:rPr>
          <w:rFonts w:ascii="Arial" w:hAnsi="Arial" w:cs="Arial"/>
          <w:color w:val="000000"/>
          <w:sz w:val="20"/>
          <w:szCs w:val="20"/>
        </w:rPr>
        <w:t xml:space="preserve">SARS’ Customs </w:t>
      </w:r>
      <w:r w:rsidR="00B575B6" w:rsidRPr="00921120">
        <w:rPr>
          <w:rFonts w:ascii="Arial" w:hAnsi="Arial" w:cs="Arial"/>
          <w:color w:val="000000"/>
          <w:sz w:val="20"/>
          <w:szCs w:val="20"/>
        </w:rPr>
        <w:t>M</w:t>
      </w:r>
      <w:r w:rsidRPr="00921120">
        <w:rPr>
          <w:rFonts w:ascii="Arial" w:hAnsi="Arial" w:cs="Arial"/>
          <w:color w:val="000000"/>
          <w:sz w:val="20"/>
          <w:szCs w:val="20"/>
        </w:rPr>
        <w:t xml:space="preserve">odernisation </w:t>
      </w:r>
      <w:r w:rsidR="00B575B6" w:rsidRPr="00921120">
        <w:rPr>
          <w:rFonts w:ascii="Arial" w:hAnsi="Arial" w:cs="Arial"/>
          <w:color w:val="000000"/>
          <w:sz w:val="20"/>
          <w:szCs w:val="20"/>
        </w:rPr>
        <w:t>P</w:t>
      </w:r>
      <w:r w:rsidRPr="00921120">
        <w:rPr>
          <w:rFonts w:ascii="Arial" w:hAnsi="Arial" w:cs="Arial"/>
          <w:color w:val="000000"/>
          <w:sz w:val="20"/>
          <w:szCs w:val="20"/>
        </w:rPr>
        <w:t xml:space="preserve">rogramme </w:t>
      </w:r>
      <w:r w:rsidR="00B575B6" w:rsidRPr="00921120">
        <w:rPr>
          <w:rFonts w:ascii="Arial" w:hAnsi="Arial" w:cs="Arial"/>
          <w:color w:val="000000"/>
          <w:sz w:val="20"/>
          <w:szCs w:val="20"/>
        </w:rPr>
        <w:t xml:space="preserve">(CMP) </w:t>
      </w:r>
      <w:r w:rsidRPr="00921120">
        <w:rPr>
          <w:rFonts w:ascii="Arial" w:hAnsi="Arial" w:cs="Arial"/>
          <w:color w:val="000000"/>
          <w:sz w:val="20"/>
          <w:szCs w:val="20"/>
        </w:rPr>
        <w:t xml:space="preserve">focuses on: </w:t>
      </w:r>
    </w:p>
    <w:p w:rsidR="00A4421A" w:rsidRPr="00921120" w:rsidRDefault="00A4421A" w:rsidP="00921120">
      <w:pPr>
        <w:pStyle w:val="ListParagraph"/>
        <w:numPr>
          <w:ilvl w:val="0"/>
          <w:numId w:val="14"/>
        </w:numPr>
        <w:autoSpaceDE w:val="0"/>
        <w:autoSpaceDN w:val="0"/>
        <w:adjustRightInd w:val="0"/>
        <w:spacing w:line="240" w:lineRule="auto"/>
        <w:jc w:val="left"/>
        <w:rPr>
          <w:rFonts w:ascii="Arial" w:hAnsi="Arial" w:cs="Arial"/>
          <w:color w:val="000000"/>
          <w:sz w:val="20"/>
          <w:szCs w:val="20"/>
        </w:rPr>
      </w:pPr>
      <w:r w:rsidRPr="00921120">
        <w:rPr>
          <w:rFonts w:ascii="Arial" w:hAnsi="Arial" w:cs="Arial"/>
          <w:color w:val="000000"/>
          <w:sz w:val="20"/>
          <w:szCs w:val="20"/>
        </w:rPr>
        <w:t xml:space="preserve">Implementing the concept of a Single Window to provide local entities with automated data exchange and workflow capability, and similarly engaging with neighbouring Customs administrations to integrate declaration data. </w:t>
      </w:r>
    </w:p>
    <w:p w:rsidR="00A4421A" w:rsidRPr="00921120" w:rsidRDefault="00A4421A" w:rsidP="00921120">
      <w:pPr>
        <w:pStyle w:val="ListParagraph"/>
        <w:numPr>
          <w:ilvl w:val="0"/>
          <w:numId w:val="14"/>
        </w:numPr>
        <w:autoSpaceDE w:val="0"/>
        <w:autoSpaceDN w:val="0"/>
        <w:adjustRightInd w:val="0"/>
        <w:spacing w:line="240" w:lineRule="auto"/>
        <w:jc w:val="left"/>
        <w:rPr>
          <w:rFonts w:ascii="Arial" w:hAnsi="Arial" w:cs="Arial"/>
          <w:color w:val="000000"/>
          <w:sz w:val="20"/>
          <w:szCs w:val="20"/>
        </w:rPr>
      </w:pPr>
      <w:r w:rsidRPr="00921120">
        <w:rPr>
          <w:rFonts w:ascii="Arial" w:hAnsi="Arial" w:cs="Arial"/>
          <w:color w:val="000000"/>
          <w:sz w:val="20"/>
          <w:szCs w:val="20"/>
        </w:rPr>
        <w:t xml:space="preserve">Curbing the scourge of illicit trade by leveraging the </w:t>
      </w:r>
      <w:r w:rsidR="00473015" w:rsidRPr="00921120">
        <w:rPr>
          <w:rFonts w:ascii="Arial" w:hAnsi="Arial" w:cs="Arial"/>
          <w:color w:val="000000"/>
          <w:sz w:val="20"/>
          <w:szCs w:val="20"/>
        </w:rPr>
        <w:t>Secure, Measurable, Automated, Risk Management-based, and Technology-driven (</w:t>
      </w:r>
      <w:r w:rsidRPr="00921120">
        <w:rPr>
          <w:rFonts w:ascii="Arial" w:hAnsi="Arial" w:cs="Arial"/>
          <w:color w:val="000000"/>
          <w:sz w:val="20"/>
          <w:szCs w:val="20"/>
        </w:rPr>
        <w:t>SMART</w:t>
      </w:r>
      <w:r w:rsidR="00362DDC" w:rsidRPr="00921120">
        <w:rPr>
          <w:rFonts w:ascii="Arial" w:hAnsi="Arial" w:cs="Arial"/>
          <w:color w:val="000000"/>
          <w:sz w:val="20"/>
          <w:szCs w:val="20"/>
        </w:rPr>
        <w:t>)</w:t>
      </w:r>
      <w:r w:rsidRPr="00921120">
        <w:rPr>
          <w:rFonts w:ascii="Arial" w:hAnsi="Arial" w:cs="Arial"/>
          <w:color w:val="000000"/>
          <w:sz w:val="20"/>
          <w:szCs w:val="20"/>
        </w:rPr>
        <w:t xml:space="preserve"> border programme that introduces technology solutions such as SMART track and trace solutions, in-line scanning technology, automated in-border flow control, etc., powered by big data and enabling technologies such as artificial intelligence that would fundamentally increase the opportunity for detectin</w:t>
      </w:r>
      <w:r w:rsidR="00AA7E6B" w:rsidRPr="00921120">
        <w:rPr>
          <w:rFonts w:ascii="Arial" w:hAnsi="Arial" w:cs="Arial"/>
          <w:color w:val="000000"/>
          <w:sz w:val="20"/>
          <w:szCs w:val="20"/>
        </w:rPr>
        <w:t>g</w:t>
      </w:r>
      <w:r w:rsidRPr="00921120">
        <w:rPr>
          <w:rFonts w:ascii="Arial" w:hAnsi="Arial" w:cs="Arial"/>
          <w:color w:val="000000"/>
          <w:sz w:val="20"/>
          <w:szCs w:val="20"/>
        </w:rPr>
        <w:t xml:space="preserve"> illicit trade. </w:t>
      </w:r>
    </w:p>
    <w:p w:rsidR="00A4421A" w:rsidRPr="00921120" w:rsidRDefault="00A4421A" w:rsidP="00921120">
      <w:pPr>
        <w:autoSpaceDE w:val="0"/>
        <w:autoSpaceDN w:val="0"/>
        <w:adjustRightInd w:val="0"/>
        <w:spacing w:line="240" w:lineRule="auto"/>
        <w:jc w:val="left"/>
        <w:rPr>
          <w:rFonts w:ascii="Arial" w:hAnsi="Arial" w:cs="Arial"/>
          <w:color w:val="000000"/>
          <w:sz w:val="20"/>
          <w:szCs w:val="20"/>
        </w:rPr>
      </w:pPr>
    </w:p>
    <w:p w:rsidR="00A4421A" w:rsidRPr="00921120" w:rsidRDefault="00A4421A" w:rsidP="00921120">
      <w:pPr>
        <w:spacing w:line="240" w:lineRule="auto"/>
        <w:jc w:val="left"/>
        <w:rPr>
          <w:rFonts w:ascii="Arial" w:hAnsi="Arial" w:cs="Arial"/>
          <w:sz w:val="20"/>
          <w:szCs w:val="20"/>
        </w:rPr>
      </w:pPr>
      <w:r w:rsidRPr="00921120">
        <w:rPr>
          <w:rFonts w:ascii="Arial" w:hAnsi="Arial" w:cs="Arial"/>
          <w:sz w:val="20"/>
          <w:szCs w:val="20"/>
        </w:rPr>
        <w:t xml:space="preserve">SARS informed the Committee that the CMP </w:t>
      </w:r>
      <w:r w:rsidR="00B575B6" w:rsidRPr="00921120">
        <w:rPr>
          <w:rFonts w:ascii="Arial" w:hAnsi="Arial" w:cs="Arial"/>
          <w:sz w:val="20"/>
          <w:szCs w:val="20"/>
        </w:rPr>
        <w:t>wa</w:t>
      </w:r>
      <w:r w:rsidRPr="00921120">
        <w:rPr>
          <w:rFonts w:ascii="Arial" w:hAnsi="Arial" w:cs="Arial"/>
          <w:sz w:val="20"/>
          <w:szCs w:val="20"/>
        </w:rPr>
        <w:t xml:space="preserve">s intended to drive the SARS Compliance Philosophy, Strategic Objectives, and to achieve the SARS 2024 Vision in respect of Customs Border Operations, Ports </w:t>
      </w:r>
      <w:r w:rsidR="00B575B6" w:rsidRPr="00921120">
        <w:rPr>
          <w:rFonts w:ascii="Arial" w:hAnsi="Arial" w:cs="Arial"/>
          <w:sz w:val="20"/>
          <w:szCs w:val="20"/>
        </w:rPr>
        <w:t>o</w:t>
      </w:r>
      <w:r w:rsidRPr="00921120">
        <w:rPr>
          <w:rFonts w:ascii="Arial" w:hAnsi="Arial" w:cs="Arial"/>
          <w:sz w:val="20"/>
          <w:szCs w:val="20"/>
        </w:rPr>
        <w:t>f Entry</w:t>
      </w:r>
      <w:r w:rsidR="00AA7E6B" w:rsidRPr="00921120">
        <w:rPr>
          <w:rFonts w:ascii="Arial" w:hAnsi="Arial" w:cs="Arial"/>
          <w:sz w:val="20"/>
          <w:szCs w:val="20"/>
        </w:rPr>
        <w:t>,</w:t>
      </w:r>
      <w:r w:rsidRPr="00921120">
        <w:rPr>
          <w:rFonts w:ascii="Arial" w:hAnsi="Arial" w:cs="Arial"/>
          <w:sz w:val="20"/>
          <w:szCs w:val="20"/>
        </w:rPr>
        <w:t xml:space="preserve"> and Customs Compliance. It further aim</w:t>
      </w:r>
      <w:r w:rsidR="00AA7E6B" w:rsidRPr="00921120">
        <w:rPr>
          <w:rFonts w:ascii="Arial" w:hAnsi="Arial" w:cs="Arial"/>
          <w:sz w:val="20"/>
          <w:szCs w:val="20"/>
        </w:rPr>
        <w:t>ed</w:t>
      </w:r>
      <w:r w:rsidRPr="00921120">
        <w:rPr>
          <w:rFonts w:ascii="Arial" w:hAnsi="Arial" w:cs="Arial"/>
          <w:sz w:val="20"/>
          <w:szCs w:val="20"/>
        </w:rPr>
        <w:t xml:space="preserve"> to improve SARS’s capabilities in relation to revenue collection, tax leakage, trade facilitation, supply chain security, risk management, and client segmentation through the following specific initiatives (projects)</w:t>
      </w:r>
      <w:r w:rsidR="00AA7E6B" w:rsidRPr="00921120">
        <w:rPr>
          <w:rStyle w:val="FootnoteReference"/>
          <w:rFonts w:ascii="Arial" w:hAnsi="Arial" w:cs="Arial"/>
          <w:sz w:val="20"/>
          <w:szCs w:val="20"/>
        </w:rPr>
        <w:footnoteReference w:id="14"/>
      </w:r>
      <w:r w:rsidRPr="00921120">
        <w:rPr>
          <w:rFonts w:ascii="Arial" w:hAnsi="Arial" w:cs="Arial"/>
          <w:sz w:val="20"/>
          <w:szCs w:val="20"/>
        </w:rPr>
        <w:t>:</w:t>
      </w:r>
    </w:p>
    <w:p w:rsidR="00A4421A" w:rsidRPr="00921120" w:rsidRDefault="00A4421A" w:rsidP="00921120">
      <w:pPr>
        <w:numPr>
          <w:ilvl w:val="0"/>
          <w:numId w:val="15"/>
        </w:numPr>
        <w:spacing w:line="240" w:lineRule="auto"/>
        <w:contextualSpacing/>
        <w:jc w:val="left"/>
        <w:rPr>
          <w:rFonts w:ascii="Arial" w:hAnsi="Arial" w:cs="Arial"/>
          <w:sz w:val="20"/>
          <w:szCs w:val="20"/>
        </w:rPr>
      </w:pPr>
      <w:r w:rsidRPr="00921120">
        <w:rPr>
          <w:rFonts w:ascii="Arial" w:hAnsi="Arial" w:cs="Arial"/>
          <w:i/>
          <w:sz w:val="20"/>
          <w:szCs w:val="20"/>
        </w:rPr>
        <w:t>Advance Import Payments</w:t>
      </w:r>
      <w:r w:rsidR="00B575B6" w:rsidRPr="00921120">
        <w:rPr>
          <w:rFonts w:ascii="Arial" w:hAnsi="Arial" w:cs="Arial"/>
          <w:sz w:val="20"/>
          <w:szCs w:val="20"/>
        </w:rPr>
        <w:t xml:space="preserve">: Preventing the underpayment of customs duties and taxes, as well as illicit financial flows in respect of the importation, or non-importation, of goods following advance foreign exchange payments, in cooperation with the South African Reserve Bank and the Banking Association of South Africa representing </w:t>
      </w:r>
      <w:r w:rsidR="007B3832" w:rsidRPr="00921120">
        <w:rPr>
          <w:rFonts w:ascii="Arial" w:hAnsi="Arial" w:cs="Arial"/>
          <w:sz w:val="20"/>
          <w:szCs w:val="20"/>
        </w:rPr>
        <w:t>authorised dealers</w:t>
      </w:r>
      <w:r w:rsidR="00B575B6" w:rsidRPr="00921120">
        <w:rPr>
          <w:rFonts w:ascii="Arial" w:hAnsi="Arial" w:cs="Arial"/>
          <w:sz w:val="20"/>
          <w:szCs w:val="20"/>
        </w:rPr>
        <w:t xml:space="preserve"> in foreign currency and exchange.</w:t>
      </w:r>
      <w:r w:rsidRPr="00921120">
        <w:rPr>
          <w:rFonts w:ascii="Arial" w:hAnsi="Arial" w:cs="Arial"/>
          <w:sz w:val="20"/>
          <w:szCs w:val="20"/>
        </w:rPr>
        <w:t xml:space="preserve"> </w:t>
      </w:r>
    </w:p>
    <w:p w:rsidR="00A4421A" w:rsidRPr="00921120" w:rsidRDefault="00A4421A" w:rsidP="00921120">
      <w:pPr>
        <w:numPr>
          <w:ilvl w:val="0"/>
          <w:numId w:val="15"/>
        </w:numPr>
        <w:spacing w:line="240" w:lineRule="auto"/>
        <w:contextualSpacing/>
        <w:jc w:val="left"/>
        <w:rPr>
          <w:rFonts w:ascii="Arial" w:hAnsi="Arial" w:cs="Arial"/>
          <w:sz w:val="20"/>
          <w:szCs w:val="20"/>
        </w:rPr>
      </w:pPr>
      <w:r w:rsidRPr="00921120">
        <w:rPr>
          <w:rFonts w:ascii="Arial" w:hAnsi="Arial" w:cs="Arial"/>
          <w:i/>
          <w:sz w:val="20"/>
          <w:szCs w:val="20"/>
        </w:rPr>
        <w:t>Data Analytics for Valuation, Origin and Tariff</w:t>
      </w:r>
      <w:r w:rsidR="00441A53" w:rsidRPr="00921120">
        <w:rPr>
          <w:rFonts w:ascii="Arial" w:hAnsi="Arial" w:cs="Arial"/>
          <w:sz w:val="20"/>
          <w:szCs w:val="20"/>
        </w:rPr>
        <w:t xml:space="preserve">: Detecting </w:t>
      </w:r>
      <w:r w:rsidR="007B3832" w:rsidRPr="00921120">
        <w:rPr>
          <w:rFonts w:ascii="Arial" w:hAnsi="Arial" w:cs="Arial"/>
          <w:sz w:val="20"/>
          <w:szCs w:val="20"/>
        </w:rPr>
        <w:t>customs under-valuation, tariff, and origin mis-declaration</w:t>
      </w:r>
      <w:r w:rsidR="00441A53" w:rsidRPr="00921120">
        <w:rPr>
          <w:rFonts w:ascii="Arial" w:hAnsi="Arial" w:cs="Arial"/>
          <w:sz w:val="20"/>
          <w:szCs w:val="20"/>
        </w:rPr>
        <w:t xml:space="preserve"> using </w:t>
      </w:r>
      <w:r w:rsidR="007B3832" w:rsidRPr="00921120">
        <w:rPr>
          <w:rFonts w:ascii="Arial" w:hAnsi="Arial" w:cs="Arial"/>
          <w:sz w:val="20"/>
          <w:szCs w:val="20"/>
        </w:rPr>
        <w:t xml:space="preserve">predicative data analytical </w:t>
      </w:r>
      <w:r w:rsidR="00441A53" w:rsidRPr="00921120">
        <w:rPr>
          <w:rFonts w:ascii="Arial" w:hAnsi="Arial" w:cs="Arial"/>
          <w:sz w:val="20"/>
          <w:szCs w:val="20"/>
        </w:rPr>
        <w:t xml:space="preserve">tools, aided by </w:t>
      </w:r>
      <w:r w:rsidR="007B3832" w:rsidRPr="00921120">
        <w:rPr>
          <w:rFonts w:ascii="Arial" w:hAnsi="Arial" w:cs="Arial"/>
          <w:sz w:val="20"/>
          <w:szCs w:val="20"/>
        </w:rPr>
        <w:t>artificial intelligence</w:t>
      </w:r>
      <w:r w:rsidR="00441A53" w:rsidRPr="00921120">
        <w:rPr>
          <w:rFonts w:ascii="Arial" w:hAnsi="Arial" w:cs="Arial"/>
          <w:sz w:val="20"/>
          <w:szCs w:val="20"/>
        </w:rPr>
        <w:t>.</w:t>
      </w:r>
    </w:p>
    <w:p w:rsidR="00B575B6" w:rsidRPr="00921120" w:rsidRDefault="00A4421A" w:rsidP="00921120">
      <w:pPr>
        <w:numPr>
          <w:ilvl w:val="0"/>
          <w:numId w:val="15"/>
        </w:numPr>
        <w:spacing w:line="240" w:lineRule="auto"/>
        <w:contextualSpacing/>
        <w:jc w:val="left"/>
        <w:rPr>
          <w:rFonts w:ascii="Arial" w:hAnsi="Arial" w:cs="Arial"/>
          <w:sz w:val="20"/>
          <w:szCs w:val="20"/>
        </w:rPr>
      </w:pPr>
      <w:r w:rsidRPr="00921120">
        <w:rPr>
          <w:rFonts w:ascii="Arial" w:hAnsi="Arial" w:cs="Arial"/>
          <w:i/>
          <w:sz w:val="20"/>
          <w:szCs w:val="20"/>
        </w:rPr>
        <w:t>SMART Borders (Non-stop borders)</w:t>
      </w:r>
      <w:r w:rsidR="00B575B6" w:rsidRPr="00921120">
        <w:rPr>
          <w:rFonts w:ascii="Arial" w:hAnsi="Arial" w:cs="Arial"/>
          <w:sz w:val="20"/>
          <w:szCs w:val="20"/>
        </w:rPr>
        <w:t xml:space="preserve">: SMART Borders is a 2019 World Customs Organisation (WCO) concept for transforming traditional borders by encouraging WCO members to use technology to find solutions to facilitate the flow of people, goods and conveyances at borders while following the guiding principles for SMART borders. In the South African context, it means simplified, centrally managed and automated port of entry and exit processes that will increase </w:t>
      </w:r>
      <w:r w:rsidR="007B3832" w:rsidRPr="00921120">
        <w:rPr>
          <w:rFonts w:ascii="Arial" w:hAnsi="Arial" w:cs="Arial"/>
          <w:sz w:val="20"/>
          <w:szCs w:val="20"/>
        </w:rPr>
        <w:t xml:space="preserve">the </w:t>
      </w:r>
      <w:r w:rsidR="00B575B6" w:rsidRPr="00921120">
        <w:rPr>
          <w:rFonts w:ascii="Arial" w:hAnsi="Arial" w:cs="Arial"/>
          <w:sz w:val="20"/>
          <w:szCs w:val="20"/>
        </w:rPr>
        <w:t xml:space="preserve">speed </w:t>
      </w:r>
      <w:r w:rsidR="007B3832" w:rsidRPr="00921120">
        <w:rPr>
          <w:rFonts w:ascii="Arial" w:hAnsi="Arial" w:cs="Arial"/>
          <w:sz w:val="20"/>
          <w:szCs w:val="20"/>
        </w:rPr>
        <w:t>of</w:t>
      </w:r>
      <w:r w:rsidR="00B575B6" w:rsidRPr="00921120">
        <w:rPr>
          <w:rFonts w:ascii="Arial" w:hAnsi="Arial" w:cs="Arial"/>
          <w:sz w:val="20"/>
          <w:szCs w:val="20"/>
        </w:rPr>
        <w:t xml:space="preserve"> border crossing through the use of technology, to reduce turnaround time, enable joint agency inspections, and make the best use of resources. </w:t>
      </w:r>
    </w:p>
    <w:p w:rsidR="00A4421A" w:rsidRPr="00921120" w:rsidRDefault="00A4421A" w:rsidP="00921120">
      <w:pPr>
        <w:numPr>
          <w:ilvl w:val="0"/>
          <w:numId w:val="15"/>
        </w:numPr>
        <w:spacing w:line="240" w:lineRule="auto"/>
        <w:contextualSpacing/>
        <w:jc w:val="left"/>
        <w:rPr>
          <w:rFonts w:ascii="Arial" w:hAnsi="Arial" w:cs="Arial"/>
          <w:sz w:val="20"/>
          <w:szCs w:val="20"/>
        </w:rPr>
      </w:pPr>
      <w:r w:rsidRPr="00921120">
        <w:rPr>
          <w:rFonts w:ascii="Arial" w:hAnsi="Arial" w:cs="Arial"/>
          <w:sz w:val="20"/>
          <w:szCs w:val="20"/>
        </w:rPr>
        <w:t>Single Window.</w:t>
      </w:r>
    </w:p>
    <w:p w:rsidR="00A4421A" w:rsidRPr="00921120" w:rsidRDefault="00A4421A" w:rsidP="00921120">
      <w:pPr>
        <w:numPr>
          <w:ilvl w:val="0"/>
          <w:numId w:val="15"/>
        </w:numPr>
        <w:spacing w:line="240" w:lineRule="auto"/>
        <w:contextualSpacing/>
        <w:jc w:val="left"/>
        <w:rPr>
          <w:rFonts w:ascii="Arial" w:hAnsi="Arial" w:cs="Arial"/>
          <w:sz w:val="20"/>
          <w:szCs w:val="20"/>
        </w:rPr>
      </w:pPr>
      <w:r w:rsidRPr="00921120">
        <w:rPr>
          <w:rFonts w:ascii="Arial" w:hAnsi="Arial" w:cs="Arial"/>
          <w:i/>
          <w:sz w:val="20"/>
          <w:szCs w:val="20"/>
        </w:rPr>
        <w:t xml:space="preserve">Customs Connectivity with </w:t>
      </w:r>
      <w:r w:rsidR="00B575B6" w:rsidRPr="00921120">
        <w:rPr>
          <w:rFonts w:ascii="Arial" w:hAnsi="Arial" w:cs="Arial"/>
          <w:i/>
          <w:sz w:val="20"/>
          <w:szCs w:val="20"/>
        </w:rPr>
        <w:t>Botswana, Eswatini, Lesotho, and Mozambique</w:t>
      </w:r>
      <w:r w:rsidR="00B575B6" w:rsidRPr="00921120">
        <w:rPr>
          <w:rFonts w:ascii="Arial" w:hAnsi="Arial" w:cs="Arial"/>
          <w:sz w:val="20"/>
          <w:szCs w:val="20"/>
        </w:rPr>
        <w:t xml:space="preserve">: Connectivity requires the exchange of real-time customs clearance data sharing which SARS has already implemented with all of </w:t>
      </w:r>
      <w:r w:rsidR="007B3832" w:rsidRPr="00921120">
        <w:rPr>
          <w:rFonts w:ascii="Arial" w:hAnsi="Arial" w:cs="Arial"/>
          <w:sz w:val="20"/>
          <w:szCs w:val="20"/>
        </w:rPr>
        <w:t xml:space="preserve">its </w:t>
      </w:r>
      <w:r w:rsidR="00AB2BCA" w:rsidRPr="00921120">
        <w:rPr>
          <w:rFonts w:ascii="Arial" w:hAnsi="Arial" w:cs="Arial"/>
          <w:sz w:val="20"/>
          <w:szCs w:val="20"/>
        </w:rPr>
        <w:t>Southern African Customs Union (</w:t>
      </w:r>
      <w:r w:rsidR="00B575B6" w:rsidRPr="00921120">
        <w:rPr>
          <w:rFonts w:ascii="Arial" w:hAnsi="Arial" w:cs="Arial"/>
          <w:sz w:val="20"/>
          <w:szCs w:val="20"/>
        </w:rPr>
        <w:t>SACU</w:t>
      </w:r>
      <w:r w:rsidR="00AB2BCA" w:rsidRPr="00921120">
        <w:rPr>
          <w:rFonts w:ascii="Arial" w:hAnsi="Arial" w:cs="Arial"/>
          <w:sz w:val="20"/>
          <w:szCs w:val="20"/>
        </w:rPr>
        <w:t>)</w:t>
      </w:r>
      <w:r w:rsidR="00B575B6" w:rsidRPr="00921120">
        <w:rPr>
          <w:rFonts w:ascii="Arial" w:hAnsi="Arial" w:cs="Arial"/>
          <w:sz w:val="20"/>
          <w:szCs w:val="20"/>
        </w:rPr>
        <w:t xml:space="preserve"> partners, starting with the Swaziland </w:t>
      </w:r>
      <w:r w:rsidR="00B575B6" w:rsidRPr="00921120">
        <w:rPr>
          <w:rFonts w:ascii="Arial" w:hAnsi="Arial" w:cs="Arial"/>
          <w:sz w:val="20"/>
          <w:szCs w:val="20"/>
        </w:rPr>
        <w:lastRenderedPageBreak/>
        <w:t>(Eswatini) Revenue Authority on 14 June 2018. For the full trade benefits to accrue as envisaged under the AfCFTA, legitimate cross-border trade must be facilitated to the greatest extent possible. The exchange of customs transactional clearance data plays an important role in this regard.</w:t>
      </w:r>
    </w:p>
    <w:p w:rsidR="00A4421A" w:rsidRPr="00921120" w:rsidRDefault="00A4421A" w:rsidP="00921120">
      <w:pPr>
        <w:numPr>
          <w:ilvl w:val="0"/>
          <w:numId w:val="15"/>
        </w:numPr>
        <w:spacing w:line="240" w:lineRule="auto"/>
        <w:contextualSpacing/>
        <w:jc w:val="left"/>
        <w:rPr>
          <w:rFonts w:ascii="Arial" w:hAnsi="Arial" w:cs="Arial"/>
          <w:sz w:val="20"/>
          <w:szCs w:val="20"/>
        </w:rPr>
      </w:pPr>
      <w:r w:rsidRPr="00921120">
        <w:rPr>
          <w:rFonts w:ascii="Arial" w:hAnsi="Arial" w:cs="Arial"/>
          <w:i/>
          <w:sz w:val="20"/>
          <w:szCs w:val="20"/>
        </w:rPr>
        <w:t xml:space="preserve">Cross-Border </w:t>
      </w:r>
      <w:r w:rsidR="00B16149" w:rsidRPr="00921120">
        <w:rPr>
          <w:rFonts w:ascii="Arial" w:hAnsi="Arial" w:cs="Arial"/>
          <w:i/>
          <w:sz w:val="20"/>
          <w:szCs w:val="20"/>
        </w:rPr>
        <w:t>E</w:t>
      </w:r>
      <w:r w:rsidRPr="00921120">
        <w:rPr>
          <w:rFonts w:ascii="Arial" w:hAnsi="Arial" w:cs="Arial"/>
          <w:i/>
          <w:sz w:val="20"/>
          <w:szCs w:val="20"/>
        </w:rPr>
        <w:t>-commerce</w:t>
      </w:r>
      <w:r w:rsidR="00B575B6" w:rsidRPr="00921120">
        <w:rPr>
          <w:rFonts w:ascii="Arial" w:hAnsi="Arial" w:cs="Arial"/>
          <w:sz w:val="20"/>
          <w:szCs w:val="20"/>
        </w:rPr>
        <w:t>: The project aims to implement the provisions of the WCO “Cross-Border E-commerce Framework of Standards” and the “Guidelines for the Immediate Release of Consignments by Customs” which provides member customs administrations with the global standards and best practices to manage cross-border E-commerce goods.</w:t>
      </w:r>
    </w:p>
    <w:p w:rsidR="00A4421A" w:rsidRPr="00921120" w:rsidRDefault="00A4421A" w:rsidP="00921120">
      <w:pPr>
        <w:numPr>
          <w:ilvl w:val="0"/>
          <w:numId w:val="15"/>
        </w:numPr>
        <w:spacing w:line="240" w:lineRule="auto"/>
        <w:contextualSpacing/>
        <w:jc w:val="left"/>
        <w:rPr>
          <w:rFonts w:ascii="Arial" w:hAnsi="Arial" w:cs="Arial"/>
          <w:sz w:val="20"/>
          <w:szCs w:val="20"/>
        </w:rPr>
      </w:pPr>
      <w:r w:rsidRPr="00921120">
        <w:rPr>
          <w:rFonts w:ascii="Arial" w:hAnsi="Arial" w:cs="Arial"/>
          <w:sz w:val="20"/>
          <w:szCs w:val="20"/>
        </w:rPr>
        <w:t>Single Government Authorised Economic Operator</w:t>
      </w:r>
      <w:r w:rsidR="00FD325A" w:rsidRPr="00921120">
        <w:rPr>
          <w:rFonts w:ascii="Arial" w:hAnsi="Arial" w:cs="Arial"/>
          <w:sz w:val="20"/>
          <w:szCs w:val="20"/>
        </w:rPr>
        <w:t xml:space="preserve"> (AEO)</w:t>
      </w:r>
      <w:r w:rsidRPr="00921120">
        <w:rPr>
          <w:rFonts w:ascii="Arial" w:hAnsi="Arial" w:cs="Arial"/>
          <w:sz w:val="20"/>
          <w:szCs w:val="20"/>
        </w:rPr>
        <w:t>.</w:t>
      </w:r>
    </w:p>
    <w:p w:rsidR="00A4421A" w:rsidRPr="00921120" w:rsidRDefault="00A4421A" w:rsidP="00921120">
      <w:pPr>
        <w:numPr>
          <w:ilvl w:val="0"/>
          <w:numId w:val="15"/>
        </w:numPr>
        <w:spacing w:line="240" w:lineRule="auto"/>
        <w:contextualSpacing/>
        <w:jc w:val="left"/>
        <w:rPr>
          <w:rFonts w:ascii="Arial" w:hAnsi="Arial" w:cs="Arial"/>
          <w:sz w:val="20"/>
          <w:szCs w:val="20"/>
        </w:rPr>
      </w:pPr>
      <w:r w:rsidRPr="00921120">
        <w:rPr>
          <w:rFonts w:ascii="Arial" w:hAnsi="Arial" w:cs="Arial"/>
          <w:sz w:val="20"/>
          <w:szCs w:val="20"/>
        </w:rPr>
        <w:t>Registration, Licensing and Accreditation.</w:t>
      </w:r>
    </w:p>
    <w:p w:rsidR="00A4421A" w:rsidRPr="00921120" w:rsidRDefault="00A4421A" w:rsidP="00921120">
      <w:pPr>
        <w:numPr>
          <w:ilvl w:val="0"/>
          <w:numId w:val="15"/>
        </w:numPr>
        <w:spacing w:line="240" w:lineRule="auto"/>
        <w:contextualSpacing/>
        <w:jc w:val="left"/>
        <w:rPr>
          <w:rFonts w:ascii="Arial" w:hAnsi="Arial" w:cs="Arial"/>
          <w:sz w:val="20"/>
          <w:szCs w:val="20"/>
        </w:rPr>
      </w:pPr>
      <w:r w:rsidRPr="00921120">
        <w:rPr>
          <w:rFonts w:ascii="Arial" w:hAnsi="Arial" w:cs="Arial"/>
          <w:sz w:val="20"/>
          <w:szCs w:val="20"/>
        </w:rPr>
        <w:t>Automated Refunds and Drawbacks.</w:t>
      </w:r>
    </w:p>
    <w:p w:rsidR="00A4421A" w:rsidRPr="00921120" w:rsidRDefault="00A4421A" w:rsidP="00921120">
      <w:pPr>
        <w:numPr>
          <w:ilvl w:val="0"/>
          <w:numId w:val="15"/>
        </w:numPr>
        <w:spacing w:line="240" w:lineRule="auto"/>
        <w:contextualSpacing/>
        <w:jc w:val="left"/>
        <w:rPr>
          <w:rFonts w:ascii="Arial" w:hAnsi="Arial" w:cs="Arial"/>
          <w:sz w:val="20"/>
          <w:szCs w:val="20"/>
        </w:rPr>
      </w:pPr>
      <w:r w:rsidRPr="00921120">
        <w:rPr>
          <w:rFonts w:ascii="Arial" w:hAnsi="Arial" w:cs="Arial"/>
          <w:sz w:val="20"/>
          <w:szCs w:val="20"/>
        </w:rPr>
        <w:t>Automated Bonds.</w:t>
      </w:r>
    </w:p>
    <w:p w:rsidR="00A4421A" w:rsidRPr="00921120" w:rsidRDefault="00A4421A" w:rsidP="00921120">
      <w:pPr>
        <w:numPr>
          <w:ilvl w:val="0"/>
          <w:numId w:val="15"/>
        </w:numPr>
        <w:spacing w:line="240" w:lineRule="auto"/>
        <w:contextualSpacing/>
        <w:jc w:val="left"/>
        <w:rPr>
          <w:rFonts w:ascii="Arial" w:hAnsi="Arial" w:cs="Arial"/>
          <w:sz w:val="20"/>
          <w:szCs w:val="20"/>
        </w:rPr>
      </w:pPr>
      <w:r w:rsidRPr="00921120">
        <w:rPr>
          <w:rFonts w:ascii="Arial" w:hAnsi="Arial" w:cs="Arial"/>
          <w:sz w:val="20"/>
          <w:szCs w:val="20"/>
        </w:rPr>
        <w:t>Air Passenger Tax.</w:t>
      </w:r>
    </w:p>
    <w:p w:rsidR="00A4421A" w:rsidRPr="00921120" w:rsidRDefault="00A4421A" w:rsidP="00921120">
      <w:pPr>
        <w:numPr>
          <w:ilvl w:val="0"/>
          <w:numId w:val="15"/>
        </w:numPr>
        <w:spacing w:line="240" w:lineRule="auto"/>
        <w:contextualSpacing/>
        <w:jc w:val="left"/>
        <w:rPr>
          <w:rFonts w:ascii="Arial" w:hAnsi="Arial" w:cs="Arial"/>
          <w:sz w:val="20"/>
          <w:szCs w:val="20"/>
        </w:rPr>
      </w:pPr>
      <w:r w:rsidRPr="00921120">
        <w:rPr>
          <w:rFonts w:ascii="Arial" w:hAnsi="Arial" w:cs="Arial"/>
          <w:sz w:val="20"/>
          <w:szCs w:val="20"/>
        </w:rPr>
        <w:t>Customs Cadet Programme.</w:t>
      </w:r>
    </w:p>
    <w:p w:rsidR="00A4421A" w:rsidRPr="00921120" w:rsidRDefault="00A4421A" w:rsidP="00921120">
      <w:pPr>
        <w:numPr>
          <w:ilvl w:val="0"/>
          <w:numId w:val="15"/>
        </w:numPr>
        <w:spacing w:line="240" w:lineRule="auto"/>
        <w:contextualSpacing/>
        <w:jc w:val="left"/>
        <w:rPr>
          <w:rFonts w:ascii="Arial" w:hAnsi="Arial" w:cs="Arial"/>
          <w:sz w:val="20"/>
          <w:szCs w:val="20"/>
        </w:rPr>
      </w:pPr>
      <w:r w:rsidRPr="00921120">
        <w:rPr>
          <w:rFonts w:ascii="Arial" w:hAnsi="Arial" w:cs="Arial"/>
          <w:sz w:val="20"/>
          <w:szCs w:val="20"/>
        </w:rPr>
        <w:t>Business as Usual Improvements</w:t>
      </w:r>
      <w:r w:rsidR="00B16149" w:rsidRPr="00921120">
        <w:rPr>
          <w:rFonts w:ascii="Arial" w:hAnsi="Arial" w:cs="Arial"/>
          <w:sz w:val="20"/>
          <w:szCs w:val="20"/>
        </w:rPr>
        <w:t>,</w:t>
      </w:r>
      <w:r w:rsidRPr="00921120">
        <w:rPr>
          <w:rFonts w:ascii="Arial" w:hAnsi="Arial" w:cs="Arial"/>
          <w:sz w:val="20"/>
          <w:szCs w:val="20"/>
        </w:rPr>
        <w:t xml:space="preserve"> </w:t>
      </w:r>
      <w:r w:rsidR="00B16149" w:rsidRPr="00921120">
        <w:rPr>
          <w:rFonts w:ascii="Arial" w:hAnsi="Arial" w:cs="Arial"/>
          <w:sz w:val="20"/>
          <w:szCs w:val="20"/>
        </w:rPr>
        <w:t>such as</w:t>
      </w:r>
      <w:r w:rsidRPr="00921120">
        <w:rPr>
          <w:rFonts w:ascii="Arial" w:hAnsi="Arial" w:cs="Arial"/>
          <w:sz w:val="20"/>
          <w:szCs w:val="20"/>
        </w:rPr>
        <w:t xml:space="preserve"> Acquittals, ePenalty, etc.</w:t>
      </w:r>
    </w:p>
    <w:p w:rsidR="005423DB" w:rsidRPr="00921120" w:rsidRDefault="005423DB" w:rsidP="00921120">
      <w:pPr>
        <w:spacing w:line="240" w:lineRule="auto"/>
        <w:jc w:val="left"/>
        <w:rPr>
          <w:rFonts w:ascii="Arial" w:hAnsi="Arial" w:cs="Arial"/>
          <w:sz w:val="20"/>
          <w:szCs w:val="20"/>
        </w:rPr>
      </w:pPr>
    </w:p>
    <w:p w:rsidR="00022BEB" w:rsidRPr="00921120" w:rsidRDefault="00022BEB" w:rsidP="00921120">
      <w:pPr>
        <w:autoSpaceDE w:val="0"/>
        <w:autoSpaceDN w:val="0"/>
        <w:adjustRightInd w:val="0"/>
        <w:spacing w:line="240" w:lineRule="auto"/>
        <w:jc w:val="left"/>
        <w:rPr>
          <w:rFonts w:ascii="Arial" w:hAnsi="Arial" w:cs="Arial"/>
          <w:color w:val="000000"/>
          <w:sz w:val="20"/>
          <w:szCs w:val="20"/>
        </w:rPr>
      </w:pPr>
      <w:r w:rsidRPr="00921120">
        <w:rPr>
          <w:rFonts w:ascii="Arial" w:hAnsi="Arial" w:cs="Arial"/>
          <w:color w:val="000000"/>
          <w:sz w:val="20"/>
          <w:szCs w:val="20"/>
        </w:rPr>
        <w:t xml:space="preserve">To date, SARS has fully established connectivity and near real-time data exchange with all SACU partners, SARS electronically communicates a status on a pre-clearance submission of customs declaration within </w:t>
      </w:r>
      <w:r w:rsidR="004514A7" w:rsidRPr="00921120">
        <w:rPr>
          <w:rFonts w:ascii="Arial" w:hAnsi="Arial" w:cs="Arial"/>
          <w:color w:val="000000"/>
          <w:sz w:val="20"/>
          <w:szCs w:val="20"/>
        </w:rPr>
        <w:t>seven</w:t>
      </w:r>
      <w:r w:rsidRPr="00921120">
        <w:rPr>
          <w:rFonts w:ascii="Arial" w:hAnsi="Arial" w:cs="Arial"/>
          <w:color w:val="000000"/>
          <w:sz w:val="20"/>
          <w:szCs w:val="20"/>
        </w:rPr>
        <w:t xml:space="preserve"> seconds, and border crossing times, despite the challenges illustrated above, is within hours (at the end of February 2023 for Beitbridge this was less than two and a half hours).</w:t>
      </w:r>
    </w:p>
    <w:p w:rsidR="00022BEB" w:rsidRPr="00921120" w:rsidRDefault="00022BEB" w:rsidP="00921120">
      <w:pPr>
        <w:spacing w:line="240" w:lineRule="auto"/>
        <w:jc w:val="left"/>
        <w:rPr>
          <w:rFonts w:ascii="Arial" w:hAnsi="Arial" w:cs="Arial"/>
          <w:sz w:val="20"/>
          <w:szCs w:val="20"/>
        </w:rPr>
      </w:pPr>
    </w:p>
    <w:p w:rsidR="00022BEB" w:rsidRPr="00921120" w:rsidRDefault="00022BEB" w:rsidP="00921120">
      <w:pPr>
        <w:spacing w:line="240" w:lineRule="auto"/>
        <w:jc w:val="left"/>
        <w:rPr>
          <w:rFonts w:ascii="Arial" w:hAnsi="Arial" w:cs="Arial"/>
          <w:iCs/>
          <w:sz w:val="20"/>
          <w:szCs w:val="20"/>
        </w:rPr>
      </w:pPr>
      <w:r w:rsidRPr="00921120">
        <w:rPr>
          <w:rFonts w:ascii="Arial" w:hAnsi="Arial" w:cs="Arial"/>
          <w:sz w:val="20"/>
          <w:szCs w:val="20"/>
        </w:rPr>
        <w:t xml:space="preserve">SARS has introduced a formal Trade Facilitation Indicators </w:t>
      </w:r>
      <w:r w:rsidR="004514A7" w:rsidRPr="00921120">
        <w:rPr>
          <w:rFonts w:ascii="Arial" w:hAnsi="Arial" w:cs="Arial"/>
          <w:sz w:val="20"/>
          <w:szCs w:val="20"/>
        </w:rPr>
        <w:t xml:space="preserve">(TFIs) </w:t>
      </w:r>
      <w:r w:rsidRPr="00921120">
        <w:rPr>
          <w:rFonts w:ascii="Arial" w:hAnsi="Arial" w:cs="Arial"/>
          <w:sz w:val="20"/>
          <w:szCs w:val="20"/>
        </w:rPr>
        <w:t xml:space="preserve">Survey that will be distributed to a select group of traders. This survey seeks to </w:t>
      </w:r>
      <w:r w:rsidRPr="00921120">
        <w:rPr>
          <w:rFonts w:ascii="Arial" w:hAnsi="Arial" w:cs="Arial"/>
          <w:iCs/>
          <w:sz w:val="20"/>
          <w:szCs w:val="20"/>
        </w:rPr>
        <w:t xml:space="preserve">measure the traders’ experience with TFIs that are administered by the Customs and Excise Division. It also seeks to measure the extent to which the Division is effective and efficient towards trade facilitation across the following areas: Information availability, Involvement of the Trade Community (Consultations), Advanced rulings, Appeal procedures, Fees and charges, Formalities (documents, automation and procedures), Internal and External co-operation, Governance, and Impartiality to provide enhanced Trade Facilitation. </w:t>
      </w:r>
    </w:p>
    <w:p w:rsidR="00022BEB" w:rsidRPr="00921120" w:rsidRDefault="00022BEB" w:rsidP="00921120">
      <w:pPr>
        <w:spacing w:line="240" w:lineRule="auto"/>
        <w:jc w:val="left"/>
        <w:rPr>
          <w:rFonts w:ascii="Arial" w:hAnsi="Arial" w:cs="Arial"/>
          <w:sz w:val="20"/>
          <w:szCs w:val="20"/>
        </w:rPr>
      </w:pPr>
    </w:p>
    <w:p w:rsidR="00022BEB" w:rsidRPr="00921120" w:rsidRDefault="00022BEB" w:rsidP="00921120">
      <w:pPr>
        <w:pStyle w:val="Heading4"/>
        <w:spacing w:line="240" w:lineRule="auto"/>
        <w:jc w:val="left"/>
        <w:rPr>
          <w:rFonts w:ascii="Arial" w:hAnsi="Arial" w:cs="Arial"/>
          <w:sz w:val="20"/>
          <w:szCs w:val="20"/>
        </w:rPr>
      </w:pPr>
      <w:r w:rsidRPr="00921120">
        <w:rPr>
          <w:rFonts w:ascii="Arial" w:hAnsi="Arial" w:cs="Arial"/>
          <w:sz w:val="20"/>
          <w:szCs w:val="20"/>
        </w:rPr>
        <w:t xml:space="preserve">Financial </w:t>
      </w:r>
      <w:r w:rsidR="00F453AE" w:rsidRPr="00921120">
        <w:rPr>
          <w:rFonts w:ascii="Arial" w:hAnsi="Arial" w:cs="Arial"/>
          <w:sz w:val="20"/>
          <w:szCs w:val="20"/>
        </w:rPr>
        <w:t>R</w:t>
      </w:r>
      <w:r w:rsidRPr="00921120">
        <w:rPr>
          <w:rFonts w:ascii="Arial" w:hAnsi="Arial" w:cs="Arial"/>
          <w:sz w:val="20"/>
          <w:szCs w:val="20"/>
        </w:rPr>
        <w:t xml:space="preserve">equirements </w:t>
      </w:r>
    </w:p>
    <w:p w:rsidR="00022BEB" w:rsidRPr="00921120" w:rsidRDefault="00022BEB" w:rsidP="00921120">
      <w:pPr>
        <w:spacing w:line="240" w:lineRule="auto"/>
        <w:jc w:val="left"/>
        <w:rPr>
          <w:rFonts w:ascii="Arial" w:hAnsi="Arial" w:cs="Arial"/>
          <w:sz w:val="20"/>
          <w:szCs w:val="20"/>
          <w:highlight w:val="yellow"/>
        </w:rPr>
      </w:pPr>
      <w:r w:rsidRPr="00921120">
        <w:rPr>
          <w:rFonts w:ascii="Arial" w:hAnsi="Arial" w:cs="Arial"/>
          <w:sz w:val="20"/>
          <w:szCs w:val="20"/>
        </w:rPr>
        <w:t xml:space="preserve">The </w:t>
      </w:r>
      <w:r w:rsidR="008C0BFA" w:rsidRPr="00921120">
        <w:rPr>
          <w:rFonts w:ascii="Arial" w:hAnsi="Arial" w:cs="Arial"/>
          <w:sz w:val="20"/>
          <w:szCs w:val="20"/>
        </w:rPr>
        <w:t>basic</w:t>
      </w:r>
      <w:r w:rsidRPr="00921120">
        <w:rPr>
          <w:rFonts w:ascii="Arial" w:hAnsi="Arial" w:cs="Arial"/>
          <w:sz w:val="20"/>
          <w:szCs w:val="20"/>
        </w:rPr>
        <w:t xml:space="preserve"> cost to develop SMART Borders is estimated at between R1,5</w:t>
      </w:r>
      <w:r w:rsidR="00F453AE" w:rsidRPr="00921120">
        <w:rPr>
          <w:rFonts w:ascii="Arial" w:hAnsi="Arial" w:cs="Arial"/>
          <w:sz w:val="20"/>
          <w:szCs w:val="20"/>
        </w:rPr>
        <w:t xml:space="preserve"> billion</w:t>
      </w:r>
      <w:r w:rsidRPr="00921120">
        <w:rPr>
          <w:rFonts w:ascii="Arial" w:hAnsi="Arial" w:cs="Arial"/>
          <w:sz w:val="20"/>
          <w:szCs w:val="20"/>
        </w:rPr>
        <w:t xml:space="preserve"> and R2 billio</w:t>
      </w:r>
      <w:r w:rsidR="008C0BFA" w:rsidRPr="00921120">
        <w:rPr>
          <w:rFonts w:ascii="Arial" w:hAnsi="Arial" w:cs="Arial"/>
          <w:sz w:val="20"/>
          <w:szCs w:val="20"/>
        </w:rPr>
        <w:t xml:space="preserve">n, as the required equipment is relatively expensive and all border posts should be covered for the SMART border concept to be implemented effectively. </w:t>
      </w:r>
      <w:r w:rsidR="008C0BFA" w:rsidRPr="00921120">
        <w:rPr>
          <w:rFonts w:ascii="Arial" w:hAnsi="Arial" w:cs="Arial"/>
          <w:sz w:val="20"/>
          <w:szCs w:val="20"/>
          <w:highlight w:val="yellow"/>
        </w:rPr>
        <w:t xml:space="preserve"> </w:t>
      </w:r>
    </w:p>
    <w:p w:rsidR="008C0BFA" w:rsidRPr="00921120" w:rsidRDefault="008C0BFA" w:rsidP="00921120">
      <w:pPr>
        <w:spacing w:line="240" w:lineRule="auto"/>
        <w:jc w:val="left"/>
        <w:rPr>
          <w:rFonts w:ascii="Arial" w:hAnsi="Arial" w:cs="Arial"/>
          <w:sz w:val="20"/>
          <w:szCs w:val="20"/>
          <w:highlight w:val="yellow"/>
        </w:rPr>
      </w:pPr>
    </w:p>
    <w:p w:rsidR="00022BEB" w:rsidRPr="00921120" w:rsidRDefault="00022BEB" w:rsidP="00921120">
      <w:pPr>
        <w:spacing w:line="240" w:lineRule="auto"/>
        <w:jc w:val="left"/>
        <w:rPr>
          <w:rFonts w:ascii="Arial" w:hAnsi="Arial" w:cs="Arial"/>
          <w:sz w:val="20"/>
          <w:szCs w:val="20"/>
        </w:rPr>
      </w:pPr>
      <w:r w:rsidRPr="00921120">
        <w:rPr>
          <w:rFonts w:ascii="Arial" w:hAnsi="Arial" w:cs="Arial"/>
          <w:sz w:val="20"/>
          <w:szCs w:val="20"/>
        </w:rPr>
        <w:t xml:space="preserve">SARS </w:t>
      </w:r>
      <w:r w:rsidR="008C0BFA" w:rsidRPr="00921120">
        <w:rPr>
          <w:rFonts w:ascii="Arial" w:hAnsi="Arial" w:cs="Arial"/>
          <w:sz w:val="20"/>
          <w:szCs w:val="20"/>
        </w:rPr>
        <w:t>r</w:t>
      </w:r>
      <w:r w:rsidR="002914E2" w:rsidRPr="00921120">
        <w:rPr>
          <w:rFonts w:ascii="Arial" w:hAnsi="Arial" w:cs="Arial"/>
          <w:sz w:val="20"/>
          <w:szCs w:val="20"/>
        </w:rPr>
        <w:t xml:space="preserve">eported that the </w:t>
      </w:r>
      <w:r w:rsidRPr="00921120">
        <w:rPr>
          <w:rFonts w:ascii="Arial" w:hAnsi="Arial" w:cs="Arial"/>
          <w:sz w:val="20"/>
          <w:szCs w:val="20"/>
        </w:rPr>
        <w:t xml:space="preserve">infrastructure </w:t>
      </w:r>
      <w:r w:rsidR="002914E2" w:rsidRPr="00921120">
        <w:rPr>
          <w:rFonts w:ascii="Arial" w:hAnsi="Arial" w:cs="Arial"/>
          <w:sz w:val="20"/>
          <w:szCs w:val="20"/>
        </w:rPr>
        <w:t xml:space="preserve">can be </w:t>
      </w:r>
      <w:r w:rsidRPr="00921120">
        <w:rPr>
          <w:rFonts w:ascii="Arial" w:hAnsi="Arial" w:cs="Arial"/>
          <w:sz w:val="20"/>
          <w:szCs w:val="20"/>
        </w:rPr>
        <w:t>implement</w:t>
      </w:r>
      <w:r w:rsidR="002914E2" w:rsidRPr="00921120">
        <w:rPr>
          <w:rFonts w:ascii="Arial" w:hAnsi="Arial" w:cs="Arial"/>
          <w:sz w:val="20"/>
          <w:szCs w:val="20"/>
        </w:rPr>
        <w:t xml:space="preserve">ed in a phased approach with an initial investment of </w:t>
      </w:r>
      <w:r w:rsidRPr="00921120">
        <w:rPr>
          <w:rFonts w:ascii="Arial" w:hAnsi="Arial" w:cs="Arial"/>
          <w:sz w:val="20"/>
          <w:szCs w:val="20"/>
        </w:rPr>
        <w:t>R462</w:t>
      </w:r>
      <w:r w:rsidR="002914E2" w:rsidRPr="00921120">
        <w:rPr>
          <w:rFonts w:ascii="Arial" w:hAnsi="Arial" w:cs="Arial"/>
          <w:sz w:val="20"/>
          <w:szCs w:val="20"/>
        </w:rPr>
        <w:t xml:space="preserve"> </w:t>
      </w:r>
      <w:r w:rsidRPr="00921120">
        <w:rPr>
          <w:rFonts w:ascii="Arial" w:hAnsi="Arial" w:cs="Arial"/>
          <w:sz w:val="20"/>
          <w:szCs w:val="20"/>
        </w:rPr>
        <w:t>m</w:t>
      </w:r>
      <w:r w:rsidR="002914E2" w:rsidRPr="00921120">
        <w:rPr>
          <w:rFonts w:ascii="Arial" w:hAnsi="Arial" w:cs="Arial"/>
          <w:sz w:val="20"/>
          <w:szCs w:val="20"/>
        </w:rPr>
        <w:t>illion to procure the following:</w:t>
      </w:r>
    </w:p>
    <w:p w:rsidR="00022BEB" w:rsidRPr="00921120" w:rsidRDefault="00022BEB" w:rsidP="00921120">
      <w:pPr>
        <w:numPr>
          <w:ilvl w:val="0"/>
          <w:numId w:val="16"/>
        </w:numPr>
        <w:spacing w:line="240" w:lineRule="auto"/>
        <w:contextualSpacing/>
        <w:jc w:val="left"/>
        <w:rPr>
          <w:rFonts w:ascii="Arial" w:hAnsi="Arial" w:cs="Arial"/>
          <w:sz w:val="20"/>
          <w:szCs w:val="20"/>
        </w:rPr>
      </w:pPr>
      <w:r w:rsidRPr="00921120">
        <w:rPr>
          <w:rFonts w:ascii="Arial" w:hAnsi="Arial" w:cs="Arial"/>
          <w:sz w:val="20"/>
          <w:szCs w:val="20"/>
        </w:rPr>
        <w:t>Scanner image analysis centre for all scanners (R5</w:t>
      </w:r>
      <w:r w:rsidR="002914E2" w:rsidRPr="00921120">
        <w:rPr>
          <w:rFonts w:ascii="Arial" w:hAnsi="Arial" w:cs="Arial"/>
          <w:sz w:val="20"/>
          <w:szCs w:val="20"/>
        </w:rPr>
        <w:t xml:space="preserve"> </w:t>
      </w:r>
      <w:r w:rsidRPr="00921120">
        <w:rPr>
          <w:rFonts w:ascii="Arial" w:hAnsi="Arial" w:cs="Arial"/>
          <w:sz w:val="20"/>
          <w:szCs w:val="20"/>
        </w:rPr>
        <w:t>m</w:t>
      </w:r>
      <w:r w:rsidR="002914E2" w:rsidRPr="00921120">
        <w:rPr>
          <w:rFonts w:ascii="Arial" w:hAnsi="Arial" w:cs="Arial"/>
          <w:sz w:val="20"/>
          <w:szCs w:val="20"/>
        </w:rPr>
        <w:t>illion</w:t>
      </w:r>
      <w:r w:rsidRPr="00921120">
        <w:rPr>
          <w:rFonts w:ascii="Arial" w:hAnsi="Arial" w:cs="Arial"/>
          <w:sz w:val="20"/>
          <w:szCs w:val="20"/>
        </w:rPr>
        <w:t>)</w:t>
      </w:r>
      <w:r w:rsidR="002914E2" w:rsidRPr="00921120">
        <w:rPr>
          <w:rFonts w:ascii="Arial" w:hAnsi="Arial" w:cs="Arial"/>
          <w:sz w:val="20"/>
          <w:szCs w:val="20"/>
        </w:rPr>
        <w:t>;</w:t>
      </w:r>
    </w:p>
    <w:p w:rsidR="00022BEB" w:rsidRPr="00921120" w:rsidRDefault="00E14532" w:rsidP="00921120">
      <w:pPr>
        <w:numPr>
          <w:ilvl w:val="0"/>
          <w:numId w:val="16"/>
        </w:numPr>
        <w:spacing w:line="240" w:lineRule="auto"/>
        <w:contextualSpacing/>
        <w:jc w:val="left"/>
        <w:rPr>
          <w:rFonts w:ascii="Arial" w:hAnsi="Arial" w:cs="Arial"/>
          <w:sz w:val="20"/>
          <w:szCs w:val="20"/>
        </w:rPr>
      </w:pPr>
      <w:r w:rsidRPr="00921120">
        <w:rPr>
          <w:rFonts w:ascii="Arial" w:hAnsi="Arial" w:cs="Arial"/>
          <w:sz w:val="20"/>
          <w:szCs w:val="20"/>
        </w:rPr>
        <w:t>National T</w:t>
      </w:r>
      <w:r w:rsidR="00022BEB" w:rsidRPr="00921120">
        <w:rPr>
          <w:rFonts w:ascii="Arial" w:hAnsi="Arial" w:cs="Arial"/>
          <w:sz w:val="20"/>
          <w:szCs w:val="20"/>
        </w:rPr>
        <w:t>argeting and Operations Centre (NTOC) infrastructure and network capacity (R5</w:t>
      </w:r>
      <w:r w:rsidR="002914E2" w:rsidRPr="00921120">
        <w:rPr>
          <w:rFonts w:ascii="Arial" w:hAnsi="Arial" w:cs="Arial"/>
          <w:sz w:val="20"/>
          <w:szCs w:val="20"/>
        </w:rPr>
        <w:t> </w:t>
      </w:r>
      <w:r w:rsidR="00022BEB" w:rsidRPr="00921120">
        <w:rPr>
          <w:rFonts w:ascii="Arial" w:hAnsi="Arial" w:cs="Arial"/>
          <w:sz w:val="20"/>
          <w:szCs w:val="20"/>
        </w:rPr>
        <w:t>m</w:t>
      </w:r>
      <w:r w:rsidR="002914E2" w:rsidRPr="00921120">
        <w:rPr>
          <w:rFonts w:ascii="Arial" w:hAnsi="Arial" w:cs="Arial"/>
          <w:sz w:val="20"/>
          <w:szCs w:val="20"/>
        </w:rPr>
        <w:t>illion</w:t>
      </w:r>
      <w:r w:rsidR="00022BEB" w:rsidRPr="00921120">
        <w:rPr>
          <w:rFonts w:ascii="Arial" w:hAnsi="Arial" w:cs="Arial"/>
          <w:sz w:val="20"/>
          <w:szCs w:val="20"/>
        </w:rPr>
        <w:t>)</w:t>
      </w:r>
      <w:r w:rsidR="002914E2" w:rsidRPr="00921120">
        <w:rPr>
          <w:rFonts w:ascii="Arial" w:hAnsi="Arial" w:cs="Arial"/>
          <w:sz w:val="20"/>
          <w:szCs w:val="20"/>
        </w:rPr>
        <w:t>;</w:t>
      </w:r>
    </w:p>
    <w:p w:rsidR="00022BEB" w:rsidRPr="00921120" w:rsidRDefault="00022BEB" w:rsidP="00921120">
      <w:pPr>
        <w:numPr>
          <w:ilvl w:val="0"/>
          <w:numId w:val="16"/>
        </w:numPr>
        <w:spacing w:line="240" w:lineRule="auto"/>
        <w:contextualSpacing/>
        <w:jc w:val="left"/>
        <w:rPr>
          <w:rFonts w:ascii="Arial" w:hAnsi="Arial" w:cs="Arial"/>
          <w:sz w:val="20"/>
          <w:szCs w:val="20"/>
        </w:rPr>
      </w:pPr>
      <w:r w:rsidRPr="00921120">
        <w:rPr>
          <w:rFonts w:ascii="Arial" w:hAnsi="Arial" w:cs="Arial"/>
          <w:sz w:val="20"/>
          <w:szCs w:val="20"/>
        </w:rPr>
        <w:t>Inland main corridor inspection facilities (incl</w:t>
      </w:r>
      <w:r w:rsidR="004514A7" w:rsidRPr="00921120">
        <w:rPr>
          <w:rFonts w:ascii="Arial" w:hAnsi="Arial" w:cs="Arial"/>
          <w:sz w:val="20"/>
          <w:szCs w:val="20"/>
        </w:rPr>
        <w:t>uding</w:t>
      </w:r>
      <w:r w:rsidRPr="00921120">
        <w:rPr>
          <w:rFonts w:ascii="Arial" w:hAnsi="Arial" w:cs="Arial"/>
          <w:sz w:val="20"/>
          <w:szCs w:val="20"/>
        </w:rPr>
        <w:t xml:space="preserve"> </w:t>
      </w:r>
      <w:r w:rsidR="00D63D0F" w:rsidRPr="00921120">
        <w:rPr>
          <w:rFonts w:ascii="Arial" w:hAnsi="Arial" w:cs="Arial"/>
          <w:sz w:val="20"/>
          <w:szCs w:val="20"/>
        </w:rPr>
        <w:t>number plate recognition (</w:t>
      </w:r>
      <w:r w:rsidRPr="00921120">
        <w:rPr>
          <w:rFonts w:ascii="Arial" w:hAnsi="Arial" w:cs="Arial"/>
          <w:sz w:val="20"/>
          <w:szCs w:val="20"/>
        </w:rPr>
        <w:t>NPR</w:t>
      </w:r>
      <w:r w:rsidR="00D63D0F" w:rsidRPr="00921120">
        <w:rPr>
          <w:rFonts w:ascii="Arial" w:hAnsi="Arial" w:cs="Arial"/>
          <w:sz w:val="20"/>
          <w:szCs w:val="20"/>
        </w:rPr>
        <w:t>)</w:t>
      </w:r>
      <w:r w:rsidRPr="00921120">
        <w:rPr>
          <w:rFonts w:ascii="Arial" w:hAnsi="Arial" w:cs="Arial"/>
          <w:sz w:val="20"/>
          <w:szCs w:val="20"/>
        </w:rPr>
        <w:t xml:space="preserve">, SMART Seals and Seal Readers, traffic management tools, high resolution </w:t>
      </w:r>
      <w:r w:rsidR="004514A7" w:rsidRPr="00921120">
        <w:rPr>
          <w:rFonts w:ascii="Arial" w:hAnsi="Arial" w:cs="Arial"/>
          <w:sz w:val="20"/>
          <w:szCs w:val="20"/>
        </w:rPr>
        <w:t>closed circuit television</w:t>
      </w:r>
      <w:r w:rsidRPr="00921120">
        <w:rPr>
          <w:rFonts w:ascii="Arial" w:hAnsi="Arial" w:cs="Arial"/>
          <w:sz w:val="20"/>
          <w:szCs w:val="20"/>
        </w:rPr>
        <w:t>, inspector assist on-line cameras and other mobile tools) (R26</w:t>
      </w:r>
      <w:r w:rsidR="002914E2" w:rsidRPr="00921120">
        <w:rPr>
          <w:rFonts w:ascii="Arial" w:hAnsi="Arial" w:cs="Arial"/>
          <w:sz w:val="20"/>
          <w:szCs w:val="20"/>
        </w:rPr>
        <w:t xml:space="preserve"> </w:t>
      </w:r>
      <w:r w:rsidRPr="00921120">
        <w:rPr>
          <w:rFonts w:ascii="Arial" w:hAnsi="Arial" w:cs="Arial"/>
          <w:sz w:val="20"/>
          <w:szCs w:val="20"/>
        </w:rPr>
        <w:t>m</w:t>
      </w:r>
      <w:r w:rsidR="002914E2" w:rsidRPr="00921120">
        <w:rPr>
          <w:rFonts w:ascii="Arial" w:hAnsi="Arial" w:cs="Arial"/>
          <w:sz w:val="20"/>
          <w:szCs w:val="20"/>
        </w:rPr>
        <w:t>illion</w:t>
      </w:r>
      <w:r w:rsidRPr="00921120">
        <w:rPr>
          <w:rFonts w:ascii="Arial" w:hAnsi="Arial" w:cs="Arial"/>
          <w:sz w:val="20"/>
          <w:szCs w:val="20"/>
        </w:rPr>
        <w:t>)</w:t>
      </w:r>
      <w:r w:rsidR="002914E2" w:rsidRPr="00921120">
        <w:rPr>
          <w:rFonts w:ascii="Arial" w:hAnsi="Arial" w:cs="Arial"/>
          <w:sz w:val="20"/>
          <w:szCs w:val="20"/>
        </w:rPr>
        <w:t>;</w:t>
      </w:r>
    </w:p>
    <w:p w:rsidR="00022BEB" w:rsidRPr="00921120" w:rsidRDefault="00D63D0F" w:rsidP="00921120">
      <w:pPr>
        <w:numPr>
          <w:ilvl w:val="0"/>
          <w:numId w:val="16"/>
        </w:numPr>
        <w:spacing w:line="240" w:lineRule="auto"/>
        <w:contextualSpacing/>
        <w:jc w:val="left"/>
        <w:rPr>
          <w:rFonts w:ascii="Arial" w:hAnsi="Arial" w:cs="Arial"/>
          <w:sz w:val="20"/>
          <w:szCs w:val="20"/>
        </w:rPr>
      </w:pPr>
      <w:r w:rsidRPr="00921120">
        <w:rPr>
          <w:rFonts w:ascii="Arial" w:hAnsi="Arial" w:cs="Arial"/>
          <w:sz w:val="20"/>
          <w:szCs w:val="20"/>
        </w:rPr>
        <w:t>Three</w:t>
      </w:r>
      <w:r w:rsidR="00022BEB" w:rsidRPr="00921120">
        <w:rPr>
          <w:rFonts w:ascii="Arial" w:hAnsi="Arial" w:cs="Arial"/>
          <w:sz w:val="20"/>
          <w:szCs w:val="20"/>
        </w:rPr>
        <w:t xml:space="preserve"> </w:t>
      </w:r>
      <w:r w:rsidRPr="00921120">
        <w:rPr>
          <w:rFonts w:ascii="Arial" w:hAnsi="Arial" w:cs="Arial"/>
          <w:sz w:val="20"/>
          <w:szCs w:val="20"/>
        </w:rPr>
        <w:t>s</w:t>
      </w:r>
      <w:r w:rsidR="00022BEB" w:rsidRPr="00921120">
        <w:rPr>
          <w:rFonts w:ascii="Arial" w:hAnsi="Arial" w:cs="Arial"/>
          <w:sz w:val="20"/>
          <w:szCs w:val="20"/>
        </w:rPr>
        <w:t>pec</w:t>
      </w:r>
      <w:r w:rsidR="002914E2" w:rsidRPr="00921120">
        <w:rPr>
          <w:rFonts w:ascii="Arial" w:hAnsi="Arial" w:cs="Arial"/>
          <w:sz w:val="20"/>
          <w:szCs w:val="20"/>
        </w:rPr>
        <w:t>ialised 1000mm cargo scanners (</w:t>
      </w:r>
      <w:r w:rsidR="00022BEB" w:rsidRPr="00921120">
        <w:rPr>
          <w:rFonts w:ascii="Arial" w:hAnsi="Arial" w:cs="Arial"/>
          <w:sz w:val="20"/>
          <w:szCs w:val="20"/>
        </w:rPr>
        <w:t>R100</w:t>
      </w:r>
      <w:r w:rsidR="002914E2" w:rsidRPr="00921120">
        <w:rPr>
          <w:rFonts w:ascii="Arial" w:hAnsi="Arial" w:cs="Arial"/>
          <w:sz w:val="20"/>
          <w:szCs w:val="20"/>
        </w:rPr>
        <w:t xml:space="preserve"> </w:t>
      </w:r>
      <w:r w:rsidR="00022BEB" w:rsidRPr="00921120">
        <w:rPr>
          <w:rFonts w:ascii="Arial" w:hAnsi="Arial" w:cs="Arial"/>
          <w:sz w:val="20"/>
          <w:szCs w:val="20"/>
        </w:rPr>
        <w:t>m</w:t>
      </w:r>
      <w:r w:rsidR="002914E2" w:rsidRPr="00921120">
        <w:rPr>
          <w:rFonts w:ascii="Arial" w:hAnsi="Arial" w:cs="Arial"/>
          <w:sz w:val="20"/>
          <w:szCs w:val="20"/>
        </w:rPr>
        <w:t xml:space="preserve">illion per </w:t>
      </w:r>
      <w:r w:rsidR="00022BEB" w:rsidRPr="00921120">
        <w:rPr>
          <w:rFonts w:ascii="Arial" w:hAnsi="Arial" w:cs="Arial"/>
          <w:sz w:val="20"/>
          <w:szCs w:val="20"/>
        </w:rPr>
        <w:t>u</w:t>
      </w:r>
      <w:r w:rsidR="002914E2" w:rsidRPr="00921120">
        <w:rPr>
          <w:rFonts w:ascii="Arial" w:hAnsi="Arial" w:cs="Arial"/>
          <w:sz w:val="20"/>
          <w:szCs w:val="20"/>
        </w:rPr>
        <w:t>nit</w:t>
      </w:r>
      <w:r w:rsidR="00022BEB" w:rsidRPr="00921120">
        <w:rPr>
          <w:rFonts w:ascii="Arial" w:hAnsi="Arial" w:cs="Arial"/>
          <w:sz w:val="20"/>
          <w:szCs w:val="20"/>
        </w:rPr>
        <w:t xml:space="preserve">) and </w:t>
      </w:r>
      <w:r w:rsidRPr="00921120">
        <w:rPr>
          <w:rFonts w:ascii="Arial" w:hAnsi="Arial" w:cs="Arial"/>
          <w:sz w:val="20"/>
          <w:szCs w:val="20"/>
        </w:rPr>
        <w:t xml:space="preserve">two </w:t>
      </w:r>
      <w:r w:rsidR="00022BEB" w:rsidRPr="00921120">
        <w:rPr>
          <w:rFonts w:ascii="Arial" w:hAnsi="Arial" w:cs="Arial"/>
          <w:sz w:val="20"/>
          <w:szCs w:val="20"/>
        </w:rPr>
        <w:t>mob</w:t>
      </w:r>
      <w:r w:rsidR="002914E2" w:rsidRPr="00921120">
        <w:rPr>
          <w:rFonts w:ascii="Arial" w:hAnsi="Arial" w:cs="Arial"/>
          <w:sz w:val="20"/>
          <w:szCs w:val="20"/>
        </w:rPr>
        <w:t>ile high speed X-Ray scanners (</w:t>
      </w:r>
      <w:r w:rsidR="00022BEB" w:rsidRPr="00921120">
        <w:rPr>
          <w:rFonts w:ascii="Arial" w:hAnsi="Arial" w:cs="Arial"/>
          <w:sz w:val="20"/>
          <w:szCs w:val="20"/>
        </w:rPr>
        <w:t>R60</w:t>
      </w:r>
      <w:r w:rsidR="002914E2" w:rsidRPr="00921120">
        <w:rPr>
          <w:rFonts w:ascii="Arial" w:hAnsi="Arial" w:cs="Arial"/>
          <w:sz w:val="20"/>
          <w:szCs w:val="20"/>
        </w:rPr>
        <w:t xml:space="preserve"> </w:t>
      </w:r>
      <w:r w:rsidR="00022BEB" w:rsidRPr="00921120">
        <w:rPr>
          <w:rFonts w:ascii="Arial" w:hAnsi="Arial" w:cs="Arial"/>
          <w:sz w:val="20"/>
          <w:szCs w:val="20"/>
        </w:rPr>
        <w:t>m</w:t>
      </w:r>
      <w:r w:rsidR="002914E2" w:rsidRPr="00921120">
        <w:rPr>
          <w:rFonts w:ascii="Arial" w:hAnsi="Arial" w:cs="Arial"/>
          <w:sz w:val="20"/>
          <w:szCs w:val="20"/>
        </w:rPr>
        <w:t xml:space="preserve">illion per </w:t>
      </w:r>
      <w:r w:rsidR="00022BEB" w:rsidRPr="00921120">
        <w:rPr>
          <w:rFonts w:ascii="Arial" w:hAnsi="Arial" w:cs="Arial"/>
          <w:sz w:val="20"/>
          <w:szCs w:val="20"/>
        </w:rPr>
        <w:t>u</w:t>
      </w:r>
      <w:r w:rsidR="002914E2" w:rsidRPr="00921120">
        <w:rPr>
          <w:rFonts w:ascii="Arial" w:hAnsi="Arial" w:cs="Arial"/>
          <w:sz w:val="20"/>
          <w:szCs w:val="20"/>
        </w:rPr>
        <w:t>nit</w:t>
      </w:r>
      <w:r w:rsidR="00022BEB" w:rsidRPr="00921120">
        <w:rPr>
          <w:rFonts w:ascii="Arial" w:hAnsi="Arial" w:cs="Arial"/>
          <w:sz w:val="20"/>
          <w:szCs w:val="20"/>
        </w:rPr>
        <w:t>) on targeted cargo (R420</w:t>
      </w:r>
      <w:r w:rsidR="002914E2" w:rsidRPr="00921120">
        <w:rPr>
          <w:rFonts w:ascii="Arial" w:hAnsi="Arial" w:cs="Arial"/>
          <w:sz w:val="20"/>
          <w:szCs w:val="20"/>
        </w:rPr>
        <w:t xml:space="preserve"> </w:t>
      </w:r>
      <w:r w:rsidR="00022BEB" w:rsidRPr="00921120">
        <w:rPr>
          <w:rFonts w:ascii="Arial" w:hAnsi="Arial" w:cs="Arial"/>
          <w:sz w:val="20"/>
          <w:szCs w:val="20"/>
        </w:rPr>
        <w:t>m</w:t>
      </w:r>
      <w:r w:rsidR="002914E2" w:rsidRPr="00921120">
        <w:rPr>
          <w:rFonts w:ascii="Arial" w:hAnsi="Arial" w:cs="Arial"/>
          <w:sz w:val="20"/>
          <w:szCs w:val="20"/>
        </w:rPr>
        <w:t>illion</w:t>
      </w:r>
      <w:r w:rsidR="00022BEB" w:rsidRPr="00921120">
        <w:rPr>
          <w:rFonts w:ascii="Arial" w:hAnsi="Arial" w:cs="Arial"/>
          <w:sz w:val="20"/>
          <w:szCs w:val="20"/>
        </w:rPr>
        <w:t>)</w:t>
      </w:r>
      <w:r w:rsidR="002914E2" w:rsidRPr="00921120">
        <w:rPr>
          <w:rFonts w:ascii="Arial" w:hAnsi="Arial" w:cs="Arial"/>
          <w:sz w:val="20"/>
          <w:szCs w:val="20"/>
        </w:rPr>
        <w:t>; and</w:t>
      </w:r>
    </w:p>
    <w:p w:rsidR="00022BEB" w:rsidRPr="00921120" w:rsidRDefault="00022BEB" w:rsidP="00921120">
      <w:pPr>
        <w:numPr>
          <w:ilvl w:val="0"/>
          <w:numId w:val="16"/>
        </w:numPr>
        <w:spacing w:line="240" w:lineRule="auto"/>
        <w:contextualSpacing/>
        <w:jc w:val="left"/>
        <w:rPr>
          <w:rFonts w:ascii="Arial" w:hAnsi="Arial" w:cs="Arial"/>
          <w:sz w:val="20"/>
          <w:szCs w:val="20"/>
        </w:rPr>
      </w:pPr>
      <w:r w:rsidRPr="00921120">
        <w:rPr>
          <w:rFonts w:ascii="Arial" w:hAnsi="Arial" w:cs="Arial"/>
          <w:sz w:val="20"/>
          <w:szCs w:val="20"/>
        </w:rPr>
        <w:t>System integration and other development costs to automate existing systems further (R5</w:t>
      </w:r>
      <w:r w:rsidR="002914E2" w:rsidRPr="00921120">
        <w:rPr>
          <w:rFonts w:ascii="Arial" w:hAnsi="Arial" w:cs="Arial"/>
          <w:sz w:val="20"/>
          <w:szCs w:val="20"/>
        </w:rPr>
        <w:t> </w:t>
      </w:r>
      <w:r w:rsidRPr="00921120">
        <w:rPr>
          <w:rFonts w:ascii="Arial" w:hAnsi="Arial" w:cs="Arial"/>
          <w:sz w:val="20"/>
          <w:szCs w:val="20"/>
        </w:rPr>
        <w:t>m</w:t>
      </w:r>
      <w:r w:rsidR="002914E2" w:rsidRPr="00921120">
        <w:rPr>
          <w:rFonts w:ascii="Arial" w:hAnsi="Arial" w:cs="Arial"/>
          <w:sz w:val="20"/>
          <w:szCs w:val="20"/>
        </w:rPr>
        <w:t>illion</w:t>
      </w:r>
      <w:r w:rsidRPr="00921120">
        <w:rPr>
          <w:rFonts w:ascii="Arial" w:hAnsi="Arial" w:cs="Arial"/>
          <w:sz w:val="20"/>
          <w:szCs w:val="20"/>
        </w:rPr>
        <w:t>)</w:t>
      </w:r>
      <w:r w:rsidR="002914E2" w:rsidRPr="00921120">
        <w:rPr>
          <w:rFonts w:ascii="Arial" w:hAnsi="Arial" w:cs="Arial"/>
          <w:sz w:val="20"/>
          <w:szCs w:val="20"/>
        </w:rPr>
        <w:t>.</w:t>
      </w:r>
    </w:p>
    <w:p w:rsidR="002914E2" w:rsidRPr="00921120" w:rsidRDefault="002914E2" w:rsidP="00921120">
      <w:pPr>
        <w:spacing w:line="240" w:lineRule="auto"/>
        <w:contextualSpacing/>
        <w:jc w:val="left"/>
        <w:rPr>
          <w:rFonts w:ascii="Arial" w:hAnsi="Arial" w:cs="Arial"/>
          <w:sz w:val="20"/>
          <w:szCs w:val="20"/>
          <w:highlight w:val="yellow"/>
        </w:rPr>
      </w:pPr>
    </w:p>
    <w:p w:rsidR="00D63D0F" w:rsidRPr="00921120" w:rsidRDefault="002914E2" w:rsidP="00921120">
      <w:pPr>
        <w:spacing w:line="240" w:lineRule="auto"/>
        <w:contextualSpacing/>
        <w:jc w:val="left"/>
        <w:rPr>
          <w:rFonts w:ascii="Arial" w:hAnsi="Arial" w:cs="Arial"/>
          <w:sz w:val="20"/>
          <w:szCs w:val="20"/>
        </w:rPr>
      </w:pPr>
      <w:r w:rsidRPr="00921120">
        <w:rPr>
          <w:rFonts w:ascii="Arial" w:hAnsi="Arial" w:cs="Arial"/>
          <w:sz w:val="20"/>
          <w:szCs w:val="20"/>
        </w:rPr>
        <w:t xml:space="preserve">To effectively utilise the technology, </w:t>
      </w:r>
      <w:r w:rsidR="00022BEB" w:rsidRPr="00921120">
        <w:rPr>
          <w:rFonts w:ascii="Arial" w:hAnsi="Arial" w:cs="Arial"/>
          <w:sz w:val="20"/>
          <w:szCs w:val="20"/>
        </w:rPr>
        <w:t>Customs Specific Skills</w:t>
      </w:r>
      <w:r w:rsidRPr="00921120">
        <w:rPr>
          <w:rFonts w:ascii="Arial" w:hAnsi="Arial" w:cs="Arial"/>
          <w:sz w:val="20"/>
          <w:szCs w:val="20"/>
        </w:rPr>
        <w:t>,</w:t>
      </w:r>
      <w:r w:rsidR="00022BEB" w:rsidRPr="00921120">
        <w:rPr>
          <w:rFonts w:ascii="Arial" w:hAnsi="Arial" w:cs="Arial"/>
          <w:sz w:val="20"/>
          <w:szCs w:val="20"/>
        </w:rPr>
        <w:t xml:space="preserve"> </w:t>
      </w:r>
      <w:r w:rsidRPr="00921120">
        <w:rPr>
          <w:rFonts w:ascii="Arial" w:hAnsi="Arial" w:cs="Arial"/>
          <w:sz w:val="20"/>
          <w:szCs w:val="20"/>
        </w:rPr>
        <w:t xml:space="preserve">namely </w:t>
      </w:r>
      <w:r w:rsidR="00022BEB" w:rsidRPr="00921120">
        <w:rPr>
          <w:rFonts w:ascii="Arial" w:hAnsi="Arial" w:cs="Arial"/>
          <w:sz w:val="20"/>
          <w:szCs w:val="20"/>
        </w:rPr>
        <w:t>Audit, Risk and Data Analytics, etc</w:t>
      </w:r>
      <w:r w:rsidRPr="00921120">
        <w:rPr>
          <w:rFonts w:ascii="Arial" w:hAnsi="Arial" w:cs="Arial"/>
          <w:sz w:val="20"/>
          <w:szCs w:val="20"/>
        </w:rPr>
        <w:t xml:space="preserve">., is being invested in through the Cadet Programme. Currently, </w:t>
      </w:r>
      <w:r w:rsidR="00D63D0F" w:rsidRPr="00921120">
        <w:rPr>
          <w:rFonts w:ascii="Arial" w:hAnsi="Arial" w:cs="Arial"/>
          <w:sz w:val="20"/>
          <w:szCs w:val="20"/>
        </w:rPr>
        <w:t>11</w:t>
      </w:r>
      <w:r w:rsidR="00022BEB" w:rsidRPr="00921120">
        <w:rPr>
          <w:rFonts w:ascii="Arial" w:hAnsi="Arial" w:cs="Arial"/>
          <w:sz w:val="20"/>
          <w:szCs w:val="20"/>
        </w:rPr>
        <w:t>0</w:t>
      </w:r>
      <w:r w:rsidR="00D63D0F" w:rsidRPr="00921120">
        <w:rPr>
          <w:rFonts w:ascii="Arial" w:hAnsi="Arial" w:cs="Arial"/>
          <w:sz w:val="20"/>
          <w:szCs w:val="20"/>
        </w:rPr>
        <w:t xml:space="preserve"> cadets</w:t>
      </w:r>
      <w:r w:rsidR="00022BEB" w:rsidRPr="00921120">
        <w:rPr>
          <w:rFonts w:ascii="Arial" w:hAnsi="Arial" w:cs="Arial"/>
          <w:sz w:val="20"/>
          <w:szCs w:val="20"/>
        </w:rPr>
        <w:t xml:space="preserve"> </w:t>
      </w:r>
      <w:r w:rsidRPr="00921120">
        <w:rPr>
          <w:rFonts w:ascii="Arial" w:hAnsi="Arial" w:cs="Arial"/>
          <w:sz w:val="20"/>
          <w:szCs w:val="20"/>
        </w:rPr>
        <w:t xml:space="preserve">are engaged in the </w:t>
      </w:r>
      <w:r w:rsidR="00022BEB" w:rsidRPr="00921120">
        <w:rPr>
          <w:rFonts w:ascii="Arial" w:hAnsi="Arial" w:cs="Arial"/>
          <w:sz w:val="20"/>
          <w:szCs w:val="20"/>
        </w:rPr>
        <w:t xml:space="preserve">Programme </w:t>
      </w:r>
      <w:r w:rsidRPr="00921120">
        <w:rPr>
          <w:rFonts w:ascii="Arial" w:hAnsi="Arial" w:cs="Arial"/>
          <w:sz w:val="20"/>
          <w:szCs w:val="20"/>
        </w:rPr>
        <w:t xml:space="preserve">at a cost of </w:t>
      </w:r>
      <w:r w:rsidR="00D63D0F" w:rsidRPr="00921120">
        <w:rPr>
          <w:rFonts w:ascii="Arial" w:hAnsi="Arial" w:cs="Arial"/>
          <w:sz w:val="20"/>
          <w:szCs w:val="20"/>
        </w:rPr>
        <w:t>R52</w:t>
      </w:r>
      <w:r w:rsidRPr="00921120">
        <w:rPr>
          <w:rFonts w:ascii="Arial" w:hAnsi="Arial" w:cs="Arial"/>
          <w:sz w:val="20"/>
          <w:szCs w:val="20"/>
        </w:rPr>
        <w:t xml:space="preserve"> </w:t>
      </w:r>
      <w:r w:rsidR="00022BEB" w:rsidRPr="00921120">
        <w:rPr>
          <w:rFonts w:ascii="Arial" w:hAnsi="Arial" w:cs="Arial"/>
          <w:sz w:val="20"/>
          <w:szCs w:val="20"/>
        </w:rPr>
        <w:t>m</w:t>
      </w:r>
      <w:r w:rsidRPr="00921120">
        <w:rPr>
          <w:rFonts w:ascii="Arial" w:hAnsi="Arial" w:cs="Arial"/>
          <w:sz w:val="20"/>
          <w:szCs w:val="20"/>
        </w:rPr>
        <w:t>illion</w:t>
      </w:r>
      <w:r w:rsidR="00D63D0F" w:rsidRPr="00921120">
        <w:rPr>
          <w:rFonts w:ascii="Arial" w:hAnsi="Arial" w:cs="Arial"/>
          <w:sz w:val="20"/>
          <w:szCs w:val="20"/>
        </w:rPr>
        <w:t>.</w:t>
      </w:r>
      <w:r w:rsidR="00022BEB" w:rsidRPr="00921120">
        <w:rPr>
          <w:rFonts w:ascii="Arial" w:hAnsi="Arial" w:cs="Arial"/>
          <w:sz w:val="20"/>
          <w:szCs w:val="20"/>
        </w:rPr>
        <w:t xml:space="preserve"> </w:t>
      </w:r>
      <w:r w:rsidR="00D63D0F" w:rsidRPr="00921120">
        <w:rPr>
          <w:rFonts w:ascii="Arial" w:hAnsi="Arial" w:cs="Arial"/>
          <w:sz w:val="20"/>
          <w:szCs w:val="20"/>
        </w:rPr>
        <w:t xml:space="preserve">An additional 190 cadets over a </w:t>
      </w:r>
      <w:r w:rsidR="004514A7" w:rsidRPr="00921120">
        <w:rPr>
          <w:rFonts w:ascii="Arial" w:hAnsi="Arial" w:cs="Arial"/>
          <w:sz w:val="20"/>
          <w:szCs w:val="20"/>
        </w:rPr>
        <w:t xml:space="preserve">four year </w:t>
      </w:r>
      <w:r w:rsidR="00D63D0F" w:rsidRPr="00921120">
        <w:rPr>
          <w:rFonts w:ascii="Arial" w:hAnsi="Arial" w:cs="Arial"/>
          <w:sz w:val="20"/>
          <w:szCs w:val="20"/>
        </w:rPr>
        <w:t>intake period (50 per intake) is planned and would cost approximately R114 million including funding the salary difference between the Graduate and 4A level salar</w:t>
      </w:r>
      <w:r w:rsidR="004514A7" w:rsidRPr="00921120">
        <w:rPr>
          <w:rFonts w:ascii="Arial" w:hAnsi="Arial" w:cs="Arial"/>
          <w:sz w:val="20"/>
          <w:szCs w:val="20"/>
        </w:rPr>
        <w:t>ies</w:t>
      </w:r>
      <w:r w:rsidR="00D63D0F" w:rsidRPr="00921120">
        <w:rPr>
          <w:rFonts w:ascii="Arial" w:hAnsi="Arial" w:cs="Arial"/>
          <w:sz w:val="20"/>
          <w:szCs w:val="20"/>
        </w:rPr>
        <w:t>.</w:t>
      </w:r>
    </w:p>
    <w:p w:rsidR="00BC6B08" w:rsidRPr="00921120" w:rsidRDefault="00BC6B08" w:rsidP="00921120">
      <w:pPr>
        <w:spacing w:line="240" w:lineRule="auto"/>
        <w:contextualSpacing/>
        <w:jc w:val="left"/>
        <w:rPr>
          <w:rFonts w:ascii="Arial" w:hAnsi="Arial" w:cs="Arial"/>
          <w:sz w:val="20"/>
          <w:szCs w:val="20"/>
          <w:highlight w:val="yellow"/>
        </w:rPr>
      </w:pPr>
    </w:p>
    <w:p w:rsidR="00022BEB" w:rsidRPr="00921120" w:rsidRDefault="00BC6B08" w:rsidP="00921120">
      <w:pPr>
        <w:spacing w:line="240" w:lineRule="auto"/>
        <w:contextualSpacing/>
        <w:jc w:val="left"/>
        <w:rPr>
          <w:rFonts w:ascii="Arial" w:hAnsi="Arial" w:cs="Arial"/>
          <w:sz w:val="20"/>
          <w:szCs w:val="20"/>
        </w:rPr>
      </w:pPr>
      <w:r w:rsidRPr="00921120">
        <w:rPr>
          <w:rFonts w:ascii="Arial" w:hAnsi="Arial" w:cs="Arial"/>
          <w:sz w:val="20"/>
          <w:szCs w:val="20"/>
        </w:rPr>
        <w:t xml:space="preserve">In terms of the </w:t>
      </w:r>
      <w:r w:rsidR="002914E2" w:rsidRPr="00921120">
        <w:rPr>
          <w:rFonts w:ascii="Arial" w:hAnsi="Arial" w:cs="Arial"/>
          <w:sz w:val="20"/>
          <w:szCs w:val="20"/>
        </w:rPr>
        <w:t>S</w:t>
      </w:r>
      <w:r w:rsidR="008C0BFA" w:rsidRPr="00921120">
        <w:rPr>
          <w:rFonts w:ascii="Arial" w:hAnsi="Arial" w:cs="Arial"/>
          <w:sz w:val="20"/>
          <w:szCs w:val="20"/>
        </w:rPr>
        <w:t xml:space="preserve">ingle Window systems </w:t>
      </w:r>
      <w:r w:rsidRPr="00921120">
        <w:rPr>
          <w:rFonts w:ascii="Arial" w:hAnsi="Arial" w:cs="Arial"/>
          <w:sz w:val="20"/>
          <w:szCs w:val="20"/>
        </w:rPr>
        <w:t xml:space="preserve">to </w:t>
      </w:r>
      <w:r w:rsidR="00F453AE" w:rsidRPr="00921120">
        <w:rPr>
          <w:rFonts w:ascii="Arial" w:hAnsi="Arial" w:cs="Arial"/>
          <w:sz w:val="20"/>
          <w:szCs w:val="20"/>
        </w:rPr>
        <w:t>implement</w:t>
      </w:r>
      <w:r w:rsidRPr="00921120">
        <w:rPr>
          <w:rFonts w:ascii="Arial" w:hAnsi="Arial" w:cs="Arial"/>
          <w:sz w:val="20"/>
          <w:szCs w:val="20"/>
        </w:rPr>
        <w:t xml:space="preserve"> South Africa’s international obligations in relation to the FTA, the cost is approximately </w:t>
      </w:r>
      <w:r w:rsidR="008C0BFA" w:rsidRPr="00921120">
        <w:rPr>
          <w:rFonts w:ascii="Arial" w:hAnsi="Arial" w:cs="Arial"/>
          <w:sz w:val="20"/>
          <w:szCs w:val="20"/>
        </w:rPr>
        <w:t>R</w:t>
      </w:r>
      <w:r w:rsidR="00022BEB" w:rsidRPr="00921120">
        <w:rPr>
          <w:rFonts w:ascii="Arial" w:hAnsi="Arial" w:cs="Arial"/>
          <w:sz w:val="20"/>
          <w:szCs w:val="20"/>
        </w:rPr>
        <w:t>185</w:t>
      </w:r>
      <w:r w:rsidR="008C0BFA" w:rsidRPr="00921120">
        <w:rPr>
          <w:rFonts w:ascii="Arial" w:hAnsi="Arial" w:cs="Arial"/>
          <w:sz w:val="20"/>
          <w:szCs w:val="20"/>
        </w:rPr>
        <w:t xml:space="preserve"> </w:t>
      </w:r>
      <w:r w:rsidR="00022BEB" w:rsidRPr="00921120">
        <w:rPr>
          <w:rFonts w:ascii="Arial" w:hAnsi="Arial" w:cs="Arial"/>
          <w:sz w:val="20"/>
          <w:szCs w:val="20"/>
        </w:rPr>
        <w:t>m</w:t>
      </w:r>
      <w:r w:rsidRPr="00921120">
        <w:rPr>
          <w:rFonts w:ascii="Arial" w:hAnsi="Arial" w:cs="Arial"/>
          <w:sz w:val="20"/>
          <w:szCs w:val="20"/>
        </w:rPr>
        <w:t>illion</w:t>
      </w:r>
      <w:r w:rsidR="00022BEB" w:rsidRPr="00921120">
        <w:rPr>
          <w:rFonts w:ascii="Arial" w:hAnsi="Arial" w:cs="Arial"/>
          <w:sz w:val="20"/>
          <w:szCs w:val="20"/>
        </w:rPr>
        <w:t xml:space="preserve"> for the full </w:t>
      </w:r>
      <w:r w:rsidRPr="00921120">
        <w:rPr>
          <w:rFonts w:ascii="Arial" w:hAnsi="Arial" w:cs="Arial"/>
          <w:sz w:val="20"/>
          <w:szCs w:val="20"/>
        </w:rPr>
        <w:t>s</w:t>
      </w:r>
      <w:r w:rsidR="00022BEB" w:rsidRPr="00921120">
        <w:rPr>
          <w:rFonts w:ascii="Arial" w:hAnsi="Arial" w:cs="Arial"/>
          <w:sz w:val="20"/>
          <w:szCs w:val="20"/>
        </w:rPr>
        <w:t>olution</w:t>
      </w:r>
      <w:r w:rsidRPr="00921120">
        <w:rPr>
          <w:rFonts w:ascii="Arial" w:hAnsi="Arial" w:cs="Arial"/>
          <w:sz w:val="20"/>
          <w:szCs w:val="20"/>
        </w:rPr>
        <w:t>. It ha</w:t>
      </w:r>
      <w:r w:rsidR="004514A7" w:rsidRPr="00921120">
        <w:rPr>
          <w:rFonts w:ascii="Arial" w:hAnsi="Arial" w:cs="Arial"/>
          <w:sz w:val="20"/>
          <w:szCs w:val="20"/>
        </w:rPr>
        <w:t>d</w:t>
      </w:r>
      <w:r w:rsidRPr="00921120">
        <w:rPr>
          <w:rFonts w:ascii="Arial" w:hAnsi="Arial" w:cs="Arial"/>
          <w:sz w:val="20"/>
          <w:szCs w:val="20"/>
        </w:rPr>
        <w:t xml:space="preserve"> a budget of </w:t>
      </w:r>
      <w:r w:rsidR="00022BEB" w:rsidRPr="00921120">
        <w:rPr>
          <w:rFonts w:ascii="Arial" w:hAnsi="Arial" w:cs="Arial"/>
          <w:sz w:val="20"/>
          <w:szCs w:val="20"/>
        </w:rPr>
        <w:t>R10</w:t>
      </w:r>
      <w:r w:rsidR="002914E2" w:rsidRPr="00921120">
        <w:rPr>
          <w:rFonts w:ascii="Arial" w:hAnsi="Arial" w:cs="Arial"/>
          <w:sz w:val="20"/>
          <w:szCs w:val="20"/>
        </w:rPr>
        <w:t xml:space="preserve"> </w:t>
      </w:r>
      <w:r w:rsidR="00022BEB" w:rsidRPr="00921120">
        <w:rPr>
          <w:rFonts w:ascii="Arial" w:hAnsi="Arial" w:cs="Arial"/>
          <w:sz w:val="20"/>
          <w:szCs w:val="20"/>
        </w:rPr>
        <w:t>m</w:t>
      </w:r>
      <w:r w:rsidR="002914E2" w:rsidRPr="00921120">
        <w:rPr>
          <w:rFonts w:ascii="Arial" w:hAnsi="Arial" w:cs="Arial"/>
          <w:sz w:val="20"/>
          <w:szCs w:val="20"/>
        </w:rPr>
        <w:t>illion</w:t>
      </w:r>
      <w:r w:rsidRPr="00921120">
        <w:rPr>
          <w:rFonts w:ascii="Arial" w:hAnsi="Arial" w:cs="Arial"/>
          <w:sz w:val="20"/>
          <w:szCs w:val="20"/>
        </w:rPr>
        <w:t xml:space="preserve"> for the </w:t>
      </w:r>
      <w:r w:rsidR="00B07A44" w:rsidRPr="00921120">
        <w:rPr>
          <w:rFonts w:ascii="Arial" w:hAnsi="Arial" w:cs="Arial"/>
          <w:sz w:val="20"/>
          <w:szCs w:val="20"/>
        </w:rPr>
        <w:t>2022/23</w:t>
      </w:r>
      <w:r w:rsidRPr="00921120">
        <w:rPr>
          <w:rFonts w:ascii="Arial" w:hAnsi="Arial" w:cs="Arial"/>
          <w:sz w:val="20"/>
          <w:szCs w:val="20"/>
        </w:rPr>
        <w:t xml:space="preserve"> financial year.</w:t>
      </w:r>
    </w:p>
    <w:p w:rsidR="00022BEB" w:rsidRPr="00921120" w:rsidRDefault="00022BEB" w:rsidP="00921120">
      <w:pPr>
        <w:spacing w:line="240" w:lineRule="auto"/>
        <w:jc w:val="left"/>
        <w:rPr>
          <w:rFonts w:ascii="Arial" w:hAnsi="Arial" w:cs="Arial"/>
          <w:sz w:val="20"/>
          <w:szCs w:val="20"/>
          <w:highlight w:val="yellow"/>
        </w:rPr>
      </w:pPr>
    </w:p>
    <w:p w:rsidR="00022BEB" w:rsidRPr="00921120" w:rsidRDefault="00E14532" w:rsidP="00921120">
      <w:pPr>
        <w:spacing w:line="240" w:lineRule="auto"/>
        <w:jc w:val="left"/>
        <w:rPr>
          <w:rFonts w:ascii="Arial" w:hAnsi="Arial" w:cs="Arial"/>
          <w:sz w:val="20"/>
          <w:szCs w:val="20"/>
        </w:rPr>
      </w:pPr>
      <w:r w:rsidRPr="00921120">
        <w:rPr>
          <w:rFonts w:ascii="Arial" w:hAnsi="Arial" w:cs="Arial"/>
          <w:sz w:val="20"/>
          <w:szCs w:val="20"/>
        </w:rPr>
        <w:t xml:space="preserve">For the full </w:t>
      </w:r>
      <w:r w:rsidR="00022BEB" w:rsidRPr="00921120">
        <w:rPr>
          <w:rFonts w:ascii="Arial" w:hAnsi="Arial" w:cs="Arial"/>
          <w:sz w:val="20"/>
          <w:szCs w:val="20"/>
        </w:rPr>
        <w:t>SMART Border Requirements</w:t>
      </w:r>
      <w:r w:rsidRPr="00921120">
        <w:rPr>
          <w:rFonts w:ascii="Arial" w:hAnsi="Arial" w:cs="Arial"/>
          <w:sz w:val="20"/>
          <w:szCs w:val="20"/>
        </w:rPr>
        <w:t xml:space="preserve">, </w:t>
      </w:r>
      <w:r w:rsidR="004514A7" w:rsidRPr="00921120">
        <w:rPr>
          <w:rFonts w:ascii="Arial" w:hAnsi="Arial" w:cs="Arial"/>
          <w:sz w:val="20"/>
          <w:szCs w:val="20"/>
        </w:rPr>
        <w:t>SARS</w:t>
      </w:r>
      <w:r w:rsidRPr="00921120">
        <w:rPr>
          <w:rFonts w:ascii="Arial" w:hAnsi="Arial" w:cs="Arial"/>
          <w:sz w:val="20"/>
          <w:szCs w:val="20"/>
        </w:rPr>
        <w:t xml:space="preserve"> estimate</w:t>
      </w:r>
      <w:r w:rsidR="004514A7" w:rsidRPr="00921120">
        <w:rPr>
          <w:rFonts w:ascii="Arial" w:hAnsi="Arial" w:cs="Arial"/>
          <w:sz w:val="20"/>
          <w:szCs w:val="20"/>
        </w:rPr>
        <w:t>d</w:t>
      </w:r>
      <w:r w:rsidRPr="00921120">
        <w:rPr>
          <w:rFonts w:ascii="Arial" w:hAnsi="Arial" w:cs="Arial"/>
          <w:sz w:val="20"/>
          <w:szCs w:val="20"/>
        </w:rPr>
        <w:t xml:space="preserve"> that the full cost would be </w:t>
      </w:r>
      <w:r w:rsidR="00022BEB" w:rsidRPr="00921120">
        <w:rPr>
          <w:rFonts w:ascii="Arial" w:hAnsi="Arial" w:cs="Arial"/>
          <w:sz w:val="20"/>
          <w:szCs w:val="20"/>
        </w:rPr>
        <w:t>R7,5</w:t>
      </w:r>
      <w:r w:rsidR="004514A7" w:rsidRPr="00921120">
        <w:rPr>
          <w:rFonts w:ascii="Arial" w:hAnsi="Arial" w:cs="Arial"/>
          <w:sz w:val="20"/>
          <w:szCs w:val="20"/>
        </w:rPr>
        <w:t> </w:t>
      </w:r>
      <w:r w:rsidR="00022BEB" w:rsidRPr="00921120">
        <w:rPr>
          <w:rFonts w:ascii="Arial" w:hAnsi="Arial" w:cs="Arial"/>
          <w:sz w:val="20"/>
          <w:szCs w:val="20"/>
        </w:rPr>
        <w:t>b</w:t>
      </w:r>
      <w:r w:rsidRPr="00921120">
        <w:rPr>
          <w:rFonts w:ascii="Arial" w:hAnsi="Arial" w:cs="Arial"/>
          <w:sz w:val="20"/>
          <w:szCs w:val="20"/>
        </w:rPr>
        <w:t>illio</w:t>
      </w:r>
      <w:r w:rsidR="00022BEB" w:rsidRPr="00921120">
        <w:rPr>
          <w:rFonts w:ascii="Arial" w:hAnsi="Arial" w:cs="Arial"/>
          <w:sz w:val="20"/>
          <w:szCs w:val="20"/>
        </w:rPr>
        <w:t>n</w:t>
      </w:r>
      <w:r w:rsidRPr="00921120">
        <w:rPr>
          <w:rFonts w:ascii="Arial" w:hAnsi="Arial" w:cs="Arial"/>
          <w:sz w:val="20"/>
          <w:szCs w:val="20"/>
        </w:rPr>
        <w:t xml:space="preserve">, as part of the </w:t>
      </w:r>
      <w:r w:rsidR="00022BEB" w:rsidRPr="00921120">
        <w:rPr>
          <w:rFonts w:ascii="Arial" w:hAnsi="Arial" w:cs="Arial"/>
          <w:sz w:val="20"/>
          <w:szCs w:val="20"/>
        </w:rPr>
        <w:t>B</w:t>
      </w:r>
      <w:r w:rsidRPr="00921120">
        <w:rPr>
          <w:rFonts w:ascii="Arial" w:hAnsi="Arial" w:cs="Arial"/>
          <w:sz w:val="20"/>
          <w:szCs w:val="20"/>
        </w:rPr>
        <w:t xml:space="preserve">order </w:t>
      </w:r>
      <w:r w:rsidR="00022BEB" w:rsidRPr="00921120">
        <w:rPr>
          <w:rFonts w:ascii="Arial" w:hAnsi="Arial" w:cs="Arial"/>
          <w:sz w:val="20"/>
          <w:szCs w:val="20"/>
        </w:rPr>
        <w:t>M</w:t>
      </w:r>
      <w:r w:rsidRPr="00921120">
        <w:rPr>
          <w:rFonts w:ascii="Arial" w:hAnsi="Arial" w:cs="Arial"/>
          <w:sz w:val="20"/>
          <w:szCs w:val="20"/>
        </w:rPr>
        <w:t xml:space="preserve">anagement </w:t>
      </w:r>
      <w:r w:rsidR="00022BEB" w:rsidRPr="00921120">
        <w:rPr>
          <w:rFonts w:ascii="Arial" w:hAnsi="Arial" w:cs="Arial"/>
          <w:sz w:val="20"/>
          <w:szCs w:val="20"/>
        </w:rPr>
        <w:t>A</w:t>
      </w:r>
      <w:r w:rsidRPr="00921120">
        <w:rPr>
          <w:rFonts w:ascii="Arial" w:hAnsi="Arial" w:cs="Arial"/>
          <w:sz w:val="20"/>
          <w:szCs w:val="20"/>
        </w:rPr>
        <w:t>gency’s</w:t>
      </w:r>
      <w:r w:rsidR="00022BEB" w:rsidRPr="00921120">
        <w:rPr>
          <w:rFonts w:ascii="Arial" w:hAnsi="Arial" w:cs="Arial"/>
          <w:sz w:val="20"/>
          <w:szCs w:val="20"/>
        </w:rPr>
        <w:t xml:space="preserve"> infrastructure for </w:t>
      </w:r>
      <w:r w:rsidRPr="00921120">
        <w:rPr>
          <w:rFonts w:ascii="Arial" w:hAnsi="Arial" w:cs="Arial"/>
          <w:sz w:val="20"/>
          <w:szCs w:val="20"/>
        </w:rPr>
        <w:t>six</w:t>
      </w:r>
      <w:r w:rsidR="00022BEB" w:rsidRPr="00921120">
        <w:rPr>
          <w:rFonts w:ascii="Arial" w:hAnsi="Arial" w:cs="Arial"/>
          <w:sz w:val="20"/>
          <w:szCs w:val="20"/>
        </w:rPr>
        <w:t xml:space="preserve"> primary border posts</w:t>
      </w:r>
      <w:r w:rsidRPr="00921120">
        <w:rPr>
          <w:rFonts w:ascii="Arial" w:hAnsi="Arial" w:cs="Arial"/>
          <w:sz w:val="20"/>
          <w:szCs w:val="20"/>
        </w:rPr>
        <w:t xml:space="preserve">, namely </w:t>
      </w:r>
      <w:r w:rsidRPr="00921120">
        <w:rPr>
          <w:rFonts w:ascii="Arial" w:hAnsi="Arial" w:cs="Arial"/>
          <w:sz w:val="20"/>
          <w:szCs w:val="20"/>
        </w:rPr>
        <w:lastRenderedPageBreak/>
        <w:t>Beitbridge, Kopfontein, Oshoek, Lebombo, Maseru Bridge, Ficksburg, Grobler’s Bridge. These would include the procurement of</w:t>
      </w:r>
      <w:r w:rsidR="00022BEB" w:rsidRPr="00921120">
        <w:rPr>
          <w:rFonts w:ascii="Arial" w:hAnsi="Arial" w:cs="Arial"/>
          <w:sz w:val="20"/>
          <w:szCs w:val="20"/>
        </w:rPr>
        <w:t>:</w:t>
      </w:r>
    </w:p>
    <w:p w:rsidR="00022BEB" w:rsidRPr="00921120" w:rsidRDefault="00E14532" w:rsidP="00921120">
      <w:pPr>
        <w:numPr>
          <w:ilvl w:val="0"/>
          <w:numId w:val="17"/>
        </w:numPr>
        <w:spacing w:line="240" w:lineRule="auto"/>
        <w:contextualSpacing/>
        <w:jc w:val="left"/>
        <w:rPr>
          <w:rFonts w:ascii="Arial" w:hAnsi="Arial" w:cs="Arial"/>
          <w:sz w:val="20"/>
          <w:szCs w:val="20"/>
        </w:rPr>
      </w:pPr>
      <w:r w:rsidRPr="00921120">
        <w:rPr>
          <w:rFonts w:ascii="Arial" w:hAnsi="Arial" w:cs="Arial"/>
          <w:sz w:val="20"/>
          <w:szCs w:val="20"/>
        </w:rPr>
        <w:t>Eleven</w:t>
      </w:r>
      <w:r w:rsidR="00022BEB" w:rsidRPr="00921120">
        <w:rPr>
          <w:rFonts w:ascii="Arial" w:hAnsi="Arial" w:cs="Arial"/>
          <w:sz w:val="20"/>
          <w:szCs w:val="20"/>
        </w:rPr>
        <w:t xml:space="preserve"> in-line high speed Scanners </w:t>
      </w:r>
      <w:r w:rsidRPr="00921120">
        <w:rPr>
          <w:rFonts w:ascii="Arial" w:hAnsi="Arial" w:cs="Arial"/>
          <w:sz w:val="20"/>
          <w:szCs w:val="20"/>
        </w:rPr>
        <w:t>(R1,</w:t>
      </w:r>
      <w:r w:rsidR="00022BEB" w:rsidRPr="00921120">
        <w:rPr>
          <w:rFonts w:ascii="Arial" w:hAnsi="Arial" w:cs="Arial"/>
          <w:sz w:val="20"/>
          <w:szCs w:val="20"/>
        </w:rPr>
        <w:t>5</w:t>
      </w:r>
      <w:r w:rsidRPr="00921120">
        <w:rPr>
          <w:rFonts w:ascii="Arial" w:hAnsi="Arial" w:cs="Arial"/>
          <w:sz w:val="20"/>
          <w:szCs w:val="20"/>
        </w:rPr>
        <w:t xml:space="preserve"> </w:t>
      </w:r>
      <w:r w:rsidR="00022BEB" w:rsidRPr="00921120">
        <w:rPr>
          <w:rFonts w:ascii="Arial" w:hAnsi="Arial" w:cs="Arial"/>
          <w:sz w:val="20"/>
          <w:szCs w:val="20"/>
        </w:rPr>
        <w:t>b</w:t>
      </w:r>
      <w:r w:rsidRPr="00921120">
        <w:rPr>
          <w:rFonts w:ascii="Arial" w:hAnsi="Arial" w:cs="Arial"/>
          <w:sz w:val="20"/>
          <w:szCs w:val="20"/>
        </w:rPr>
        <w:t>illion</w:t>
      </w:r>
      <w:r w:rsidR="00022BEB" w:rsidRPr="00921120">
        <w:rPr>
          <w:rFonts w:ascii="Arial" w:hAnsi="Arial" w:cs="Arial"/>
          <w:sz w:val="20"/>
          <w:szCs w:val="20"/>
        </w:rPr>
        <w:t>)</w:t>
      </w:r>
      <w:r w:rsidRPr="00921120">
        <w:rPr>
          <w:rFonts w:ascii="Arial" w:hAnsi="Arial" w:cs="Arial"/>
          <w:sz w:val="20"/>
          <w:szCs w:val="20"/>
        </w:rPr>
        <w:t>;</w:t>
      </w:r>
    </w:p>
    <w:p w:rsidR="00022BEB" w:rsidRPr="00921120" w:rsidRDefault="00022BEB" w:rsidP="00921120">
      <w:pPr>
        <w:numPr>
          <w:ilvl w:val="0"/>
          <w:numId w:val="17"/>
        </w:numPr>
        <w:spacing w:line="240" w:lineRule="auto"/>
        <w:contextualSpacing/>
        <w:jc w:val="left"/>
        <w:rPr>
          <w:rFonts w:ascii="Arial" w:hAnsi="Arial" w:cs="Arial"/>
          <w:sz w:val="20"/>
          <w:szCs w:val="20"/>
        </w:rPr>
      </w:pPr>
      <w:r w:rsidRPr="00921120">
        <w:rPr>
          <w:rFonts w:ascii="Arial" w:hAnsi="Arial" w:cs="Arial"/>
          <w:sz w:val="20"/>
          <w:szCs w:val="20"/>
        </w:rPr>
        <w:t>Traffic Infrastructure and technology to conduct non-stop electronic border processing (NPR, R</w:t>
      </w:r>
      <w:r w:rsidR="00E14532" w:rsidRPr="00921120">
        <w:rPr>
          <w:rFonts w:ascii="Arial" w:hAnsi="Arial" w:cs="Arial"/>
          <w:sz w:val="20"/>
          <w:szCs w:val="20"/>
        </w:rPr>
        <w:t xml:space="preserve">adio </w:t>
      </w:r>
      <w:r w:rsidRPr="00921120">
        <w:rPr>
          <w:rFonts w:ascii="Arial" w:hAnsi="Arial" w:cs="Arial"/>
          <w:sz w:val="20"/>
          <w:szCs w:val="20"/>
        </w:rPr>
        <w:t>F</w:t>
      </w:r>
      <w:r w:rsidR="00E14532" w:rsidRPr="00921120">
        <w:rPr>
          <w:rFonts w:ascii="Arial" w:hAnsi="Arial" w:cs="Arial"/>
          <w:sz w:val="20"/>
          <w:szCs w:val="20"/>
        </w:rPr>
        <w:t xml:space="preserve">requency </w:t>
      </w:r>
      <w:r w:rsidRPr="00921120">
        <w:rPr>
          <w:rFonts w:ascii="Arial" w:hAnsi="Arial" w:cs="Arial"/>
          <w:sz w:val="20"/>
          <w:szCs w:val="20"/>
        </w:rPr>
        <w:t>I</w:t>
      </w:r>
      <w:r w:rsidR="00E14532" w:rsidRPr="00921120">
        <w:rPr>
          <w:rFonts w:ascii="Arial" w:hAnsi="Arial" w:cs="Arial"/>
          <w:sz w:val="20"/>
          <w:szCs w:val="20"/>
        </w:rPr>
        <w:t>dentification readers, booms and</w:t>
      </w:r>
      <w:r w:rsidRPr="00921120">
        <w:rPr>
          <w:rFonts w:ascii="Arial" w:hAnsi="Arial" w:cs="Arial"/>
          <w:sz w:val="20"/>
          <w:szCs w:val="20"/>
        </w:rPr>
        <w:t xml:space="preserve"> communication systems, high-definition cameras) (R5</w:t>
      </w:r>
      <w:r w:rsidR="00E14532" w:rsidRPr="00921120">
        <w:rPr>
          <w:rFonts w:ascii="Arial" w:hAnsi="Arial" w:cs="Arial"/>
          <w:sz w:val="20"/>
          <w:szCs w:val="20"/>
        </w:rPr>
        <w:t xml:space="preserve"> </w:t>
      </w:r>
      <w:r w:rsidRPr="00921120">
        <w:rPr>
          <w:rFonts w:ascii="Arial" w:hAnsi="Arial" w:cs="Arial"/>
          <w:sz w:val="20"/>
          <w:szCs w:val="20"/>
        </w:rPr>
        <w:t>b</w:t>
      </w:r>
      <w:r w:rsidR="00E14532" w:rsidRPr="00921120">
        <w:rPr>
          <w:rFonts w:ascii="Arial" w:hAnsi="Arial" w:cs="Arial"/>
          <w:sz w:val="20"/>
          <w:szCs w:val="20"/>
        </w:rPr>
        <w:t>illion</w:t>
      </w:r>
      <w:r w:rsidRPr="00921120">
        <w:rPr>
          <w:rFonts w:ascii="Arial" w:hAnsi="Arial" w:cs="Arial"/>
          <w:sz w:val="20"/>
          <w:szCs w:val="20"/>
        </w:rPr>
        <w:t>)</w:t>
      </w:r>
      <w:r w:rsidR="00E14532" w:rsidRPr="00921120">
        <w:rPr>
          <w:rFonts w:ascii="Arial" w:hAnsi="Arial" w:cs="Arial"/>
          <w:sz w:val="20"/>
          <w:szCs w:val="20"/>
        </w:rPr>
        <w:t>;</w:t>
      </w:r>
      <w:r w:rsidR="00EF19FA" w:rsidRPr="00921120">
        <w:rPr>
          <w:rFonts w:ascii="Arial" w:hAnsi="Arial" w:cs="Arial"/>
          <w:sz w:val="20"/>
          <w:szCs w:val="20"/>
        </w:rPr>
        <w:t xml:space="preserve"> and</w:t>
      </w:r>
    </w:p>
    <w:p w:rsidR="00022BEB" w:rsidRPr="00921120" w:rsidRDefault="00022BEB" w:rsidP="00921120">
      <w:pPr>
        <w:numPr>
          <w:ilvl w:val="0"/>
          <w:numId w:val="17"/>
        </w:numPr>
        <w:spacing w:line="240" w:lineRule="auto"/>
        <w:contextualSpacing/>
        <w:jc w:val="left"/>
        <w:rPr>
          <w:rFonts w:ascii="Arial" w:hAnsi="Arial" w:cs="Arial"/>
          <w:sz w:val="20"/>
          <w:szCs w:val="20"/>
        </w:rPr>
      </w:pPr>
      <w:r w:rsidRPr="00921120">
        <w:rPr>
          <w:rFonts w:ascii="Arial" w:hAnsi="Arial" w:cs="Arial"/>
          <w:sz w:val="20"/>
          <w:szCs w:val="20"/>
        </w:rPr>
        <w:t>High risk inspection areas, including observation p</w:t>
      </w:r>
      <w:r w:rsidR="00E14532" w:rsidRPr="00921120">
        <w:rPr>
          <w:rFonts w:ascii="Arial" w:hAnsi="Arial" w:cs="Arial"/>
          <w:sz w:val="20"/>
          <w:szCs w:val="20"/>
        </w:rPr>
        <w:t>latform for NT</w:t>
      </w:r>
      <w:r w:rsidRPr="00921120">
        <w:rPr>
          <w:rFonts w:ascii="Arial" w:hAnsi="Arial" w:cs="Arial"/>
          <w:sz w:val="20"/>
          <w:szCs w:val="20"/>
        </w:rPr>
        <w:t>OC</w:t>
      </w:r>
      <w:r w:rsidR="00E14532" w:rsidRPr="00921120">
        <w:rPr>
          <w:rFonts w:ascii="Arial" w:hAnsi="Arial" w:cs="Arial"/>
          <w:sz w:val="20"/>
          <w:szCs w:val="20"/>
        </w:rPr>
        <w:t xml:space="preserve"> (including</w:t>
      </w:r>
      <w:r w:rsidRPr="00921120">
        <w:rPr>
          <w:rFonts w:ascii="Arial" w:hAnsi="Arial" w:cs="Arial"/>
          <w:sz w:val="20"/>
          <w:szCs w:val="20"/>
        </w:rPr>
        <w:t xml:space="preserve"> inspector assist on-line cameras and other mobile tools) (R1</w:t>
      </w:r>
      <w:r w:rsidR="00E14532" w:rsidRPr="00921120">
        <w:rPr>
          <w:rFonts w:ascii="Arial" w:hAnsi="Arial" w:cs="Arial"/>
          <w:sz w:val="20"/>
          <w:szCs w:val="20"/>
        </w:rPr>
        <w:t xml:space="preserve"> </w:t>
      </w:r>
      <w:r w:rsidRPr="00921120">
        <w:rPr>
          <w:rFonts w:ascii="Arial" w:hAnsi="Arial" w:cs="Arial"/>
          <w:sz w:val="20"/>
          <w:szCs w:val="20"/>
        </w:rPr>
        <w:t>b</w:t>
      </w:r>
      <w:r w:rsidR="00E14532" w:rsidRPr="00921120">
        <w:rPr>
          <w:rFonts w:ascii="Arial" w:hAnsi="Arial" w:cs="Arial"/>
          <w:sz w:val="20"/>
          <w:szCs w:val="20"/>
        </w:rPr>
        <w:t>illion</w:t>
      </w:r>
      <w:r w:rsidRPr="00921120">
        <w:rPr>
          <w:rFonts w:ascii="Arial" w:hAnsi="Arial" w:cs="Arial"/>
          <w:sz w:val="20"/>
          <w:szCs w:val="20"/>
        </w:rPr>
        <w:t>)</w:t>
      </w:r>
      <w:r w:rsidR="00EF19FA" w:rsidRPr="00921120">
        <w:rPr>
          <w:rFonts w:ascii="Arial" w:hAnsi="Arial" w:cs="Arial"/>
          <w:sz w:val="20"/>
          <w:szCs w:val="20"/>
        </w:rPr>
        <w:t>.</w:t>
      </w:r>
    </w:p>
    <w:p w:rsidR="00E14532" w:rsidRPr="00921120" w:rsidRDefault="00E14532" w:rsidP="00921120">
      <w:pPr>
        <w:spacing w:line="240" w:lineRule="auto"/>
        <w:contextualSpacing/>
        <w:jc w:val="left"/>
        <w:rPr>
          <w:rFonts w:ascii="Arial" w:hAnsi="Arial" w:cs="Arial"/>
          <w:sz w:val="20"/>
          <w:szCs w:val="20"/>
        </w:rPr>
      </w:pPr>
    </w:p>
    <w:p w:rsidR="00022BEB" w:rsidRPr="00921120" w:rsidRDefault="00022BEB" w:rsidP="00921120">
      <w:pPr>
        <w:spacing w:line="240" w:lineRule="auto"/>
        <w:contextualSpacing/>
        <w:jc w:val="left"/>
        <w:rPr>
          <w:rFonts w:ascii="Arial" w:hAnsi="Arial" w:cs="Arial"/>
          <w:sz w:val="20"/>
          <w:szCs w:val="20"/>
        </w:rPr>
      </w:pPr>
      <w:r w:rsidRPr="00921120">
        <w:rPr>
          <w:rFonts w:ascii="Arial" w:hAnsi="Arial" w:cs="Arial"/>
          <w:sz w:val="20"/>
          <w:szCs w:val="20"/>
        </w:rPr>
        <w:t>Beitbridge</w:t>
      </w:r>
      <w:r w:rsidR="00E14532" w:rsidRPr="00921120">
        <w:rPr>
          <w:rFonts w:ascii="Arial" w:hAnsi="Arial" w:cs="Arial"/>
          <w:sz w:val="20"/>
          <w:szCs w:val="20"/>
        </w:rPr>
        <w:t>, specifically,</w:t>
      </w:r>
      <w:r w:rsidRPr="00921120">
        <w:rPr>
          <w:rFonts w:ascii="Arial" w:hAnsi="Arial" w:cs="Arial"/>
          <w:sz w:val="20"/>
          <w:szCs w:val="20"/>
        </w:rPr>
        <w:t xml:space="preserve"> require</w:t>
      </w:r>
      <w:r w:rsidR="004514A7" w:rsidRPr="00921120">
        <w:rPr>
          <w:rFonts w:ascii="Arial" w:hAnsi="Arial" w:cs="Arial"/>
          <w:sz w:val="20"/>
          <w:szCs w:val="20"/>
        </w:rPr>
        <w:t>d</w:t>
      </w:r>
      <w:r w:rsidRPr="00921120">
        <w:rPr>
          <w:rFonts w:ascii="Arial" w:hAnsi="Arial" w:cs="Arial"/>
          <w:sz w:val="20"/>
          <w:szCs w:val="20"/>
        </w:rPr>
        <w:t xml:space="preserve"> a minimum of </w:t>
      </w:r>
      <w:r w:rsidR="00E14532" w:rsidRPr="00921120">
        <w:rPr>
          <w:rFonts w:ascii="Arial" w:hAnsi="Arial" w:cs="Arial"/>
          <w:sz w:val="20"/>
          <w:szCs w:val="20"/>
        </w:rPr>
        <w:t xml:space="preserve">four scanners. This </w:t>
      </w:r>
      <w:r w:rsidR="004514A7" w:rsidRPr="00921120">
        <w:rPr>
          <w:rFonts w:ascii="Arial" w:hAnsi="Arial" w:cs="Arial"/>
          <w:sz w:val="20"/>
          <w:szCs w:val="20"/>
        </w:rPr>
        <w:t>wa</w:t>
      </w:r>
      <w:r w:rsidR="00E14532" w:rsidRPr="00921120">
        <w:rPr>
          <w:rFonts w:ascii="Arial" w:hAnsi="Arial" w:cs="Arial"/>
          <w:sz w:val="20"/>
          <w:szCs w:val="20"/>
        </w:rPr>
        <w:t>s expected to reduce</w:t>
      </w:r>
      <w:r w:rsidRPr="00921120">
        <w:rPr>
          <w:rFonts w:ascii="Arial" w:hAnsi="Arial" w:cs="Arial"/>
          <w:sz w:val="20"/>
          <w:szCs w:val="20"/>
        </w:rPr>
        <w:t xml:space="preserve"> </w:t>
      </w:r>
      <w:r w:rsidR="00E14532" w:rsidRPr="00921120">
        <w:rPr>
          <w:rFonts w:ascii="Arial" w:hAnsi="Arial" w:cs="Arial"/>
          <w:sz w:val="20"/>
          <w:szCs w:val="20"/>
        </w:rPr>
        <w:t>the number of manual physical inspections per day by</w:t>
      </w:r>
      <w:r w:rsidRPr="00921120">
        <w:rPr>
          <w:rFonts w:ascii="Arial" w:hAnsi="Arial" w:cs="Arial"/>
          <w:sz w:val="20"/>
          <w:szCs w:val="20"/>
        </w:rPr>
        <w:t xml:space="preserve"> 25</w:t>
      </w:r>
      <w:r w:rsidR="00E14532" w:rsidRPr="00921120">
        <w:rPr>
          <w:rFonts w:ascii="Arial" w:hAnsi="Arial" w:cs="Arial"/>
          <w:sz w:val="20"/>
          <w:szCs w:val="20"/>
        </w:rPr>
        <w:t>.</w:t>
      </w:r>
      <w:r w:rsidRPr="00921120">
        <w:rPr>
          <w:rFonts w:ascii="Arial" w:hAnsi="Arial" w:cs="Arial"/>
          <w:sz w:val="20"/>
          <w:szCs w:val="20"/>
        </w:rPr>
        <w:t xml:space="preserve"> </w:t>
      </w:r>
      <w:r w:rsidR="00E14532" w:rsidRPr="00921120">
        <w:rPr>
          <w:rFonts w:ascii="Arial" w:hAnsi="Arial" w:cs="Arial"/>
          <w:sz w:val="20"/>
          <w:szCs w:val="20"/>
        </w:rPr>
        <w:t xml:space="preserve">The </w:t>
      </w:r>
      <w:r w:rsidRPr="00921120">
        <w:rPr>
          <w:rFonts w:ascii="Arial" w:hAnsi="Arial" w:cs="Arial"/>
          <w:sz w:val="20"/>
          <w:szCs w:val="20"/>
        </w:rPr>
        <w:t xml:space="preserve">cost of </w:t>
      </w:r>
      <w:r w:rsidR="00B07A44" w:rsidRPr="00921120">
        <w:rPr>
          <w:rFonts w:ascii="Arial" w:hAnsi="Arial" w:cs="Arial"/>
          <w:sz w:val="20"/>
          <w:szCs w:val="20"/>
        </w:rPr>
        <w:t>the manual inspections w</w:t>
      </w:r>
      <w:r w:rsidR="00EF19FA" w:rsidRPr="00921120">
        <w:rPr>
          <w:rFonts w:ascii="Arial" w:hAnsi="Arial" w:cs="Arial"/>
          <w:sz w:val="20"/>
          <w:szCs w:val="20"/>
        </w:rPr>
        <w:t>as</w:t>
      </w:r>
      <w:r w:rsidR="00E14532" w:rsidRPr="00921120">
        <w:rPr>
          <w:rFonts w:ascii="Arial" w:hAnsi="Arial" w:cs="Arial"/>
          <w:sz w:val="20"/>
          <w:szCs w:val="20"/>
        </w:rPr>
        <w:t xml:space="preserve"> </w:t>
      </w:r>
      <w:r w:rsidRPr="00921120">
        <w:rPr>
          <w:rFonts w:ascii="Arial" w:hAnsi="Arial" w:cs="Arial"/>
          <w:sz w:val="20"/>
          <w:szCs w:val="20"/>
        </w:rPr>
        <w:t>R500</w:t>
      </w:r>
      <w:r w:rsidR="00E14532" w:rsidRPr="00921120">
        <w:rPr>
          <w:rFonts w:ascii="Arial" w:hAnsi="Arial" w:cs="Arial"/>
          <w:sz w:val="20"/>
          <w:szCs w:val="20"/>
        </w:rPr>
        <w:t> 000 per day</w:t>
      </w:r>
      <w:r w:rsidRPr="00921120">
        <w:rPr>
          <w:rFonts w:ascii="Arial" w:hAnsi="Arial" w:cs="Arial"/>
          <w:sz w:val="20"/>
          <w:szCs w:val="20"/>
        </w:rPr>
        <w:t xml:space="preserve"> vs </w:t>
      </w:r>
      <w:r w:rsidR="00E14532" w:rsidRPr="00921120">
        <w:rPr>
          <w:rFonts w:ascii="Arial" w:hAnsi="Arial" w:cs="Arial"/>
          <w:sz w:val="20"/>
          <w:szCs w:val="20"/>
        </w:rPr>
        <w:t xml:space="preserve">scan costs of </w:t>
      </w:r>
      <w:r w:rsidRPr="00921120">
        <w:rPr>
          <w:rFonts w:ascii="Arial" w:hAnsi="Arial" w:cs="Arial"/>
          <w:sz w:val="20"/>
          <w:szCs w:val="20"/>
        </w:rPr>
        <w:t>R80</w:t>
      </w:r>
      <w:r w:rsidR="00E14532" w:rsidRPr="00921120">
        <w:rPr>
          <w:rFonts w:ascii="Arial" w:hAnsi="Arial" w:cs="Arial"/>
          <w:sz w:val="20"/>
          <w:szCs w:val="20"/>
        </w:rPr>
        <w:t xml:space="preserve"> 000</w:t>
      </w:r>
      <w:r w:rsidRPr="00921120">
        <w:rPr>
          <w:rFonts w:ascii="Arial" w:hAnsi="Arial" w:cs="Arial"/>
          <w:sz w:val="20"/>
          <w:szCs w:val="20"/>
        </w:rPr>
        <w:t xml:space="preserve"> </w:t>
      </w:r>
      <w:r w:rsidR="00E14532" w:rsidRPr="00921120">
        <w:rPr>
          <w:rFonts w:ascii="Arial" w:hAnsi="Arial" w:cs="Arial"/>
          <w:sz w:val="20"/>
          <w:szCs w:val="20"/>
        </w:rPr>
        <w:t>per day.</w:t>
      </w:r>
    </w:p>
    <w:p w:rsidR="00022BEB" w:rsidRPr="00921120" w:rsidRDefault="00022BEB" w:rsidP="00921120">
      <w:pPr>
        <w:spacing w:line="240" w:lineRule="auto"/>
        <w:jc w:val="left"/>
        <w:rPr>
          <w:rFonts w:ascii="Arial" w:hAnsi="Arial" w:cs="Arial"/>
          <w:sz w:val="20"/>
          <w:szCs w:val="20"/>
          <w:highlight w:val="yellow"/>
        </w:rPr>
      </w:pPr>
    </w:p>
    <w:p w:rsidR="005423DB" w:rsidRPr="00921120" w:rsidRDefault="005423DB" w:rsidP="00921120">
      <w:pPr>
        <w:autoSpaceDE w:val="0"/>
        <w:autoSpaceDN w:val="0"/>
        <w:adjustRightInd w:val="0"/>
        <w:spacing w:line="240" w:lineRule="auto"/>
        <w:jc w:val="left"/>
        <w:rPr>
          <w:rFonts w:ascii="Arial" w:hAnsi="Arial" w:cs="Arial"/>
          <w:color w:val="000000"/>
          <w:sz w:val="20"/>
          <w:szCs w:val="20"/>
        </w:rPr>
      </w:pPr>
      <w:r w:rsidRPr="00921120">
        <w:rPr>
          <w:rFonts w:ascii="Arial" w:hAnsi="Arial" w:cs="Arial"/>
          <w:bCs/>
          <w:color w:val="000000"/>
          <w:sz w:val="20"/>
          <w:szCs w:val="20"/>
          <w:lang/>
        </w:rPr>
        <w:t>SARS administers a number of tax Acts, in terms of which taxes, duties and levies are collected and paid into the National Revenue Fund</w:t>
      </w:r>
      <w:r w:rsidRPr="00921120">
        <w:rPr>
          <w:rFonts w:ascii="Arial" w:hAnsi="Arial" w:cs="Arial"/>
          <w:color w:val="000000"/>
          <w:sz w:val="20"/>
          <w:szCs w:val="20"/>
          <w:lang/>
        </w:rPr>
        <w:t>.</w:t>
      </w:r>
      <w:r w:rsidRPr="00921120">
        <w:rPr>
          <w:rFonts w:ascii="Arial" w:hAnsi="Arial" w:cs="Arial"/>
          <w:color w:val="000000"/>
          <w:sz w:val="20"/>
          <w:szCs w:val="20"/>
        </w:rPr>
        <w:t xml:space="preserve"> SARS is the central revenue collecting agency that collects the majority of government’s revenue. Revenue collected over the last two years has increased significantly, underpinned by the rebuilding of SARS</w:t>
      </w:r>
      <w:r w:rsidR="004514A7" w:rsidRPr="00921120">
        <w:rPr>
          <w:rFonts w:ascii="Arial" w:hAnsi="Arial" w:cs="Arial"/>
          <w:color w:val="000000"/>
          <w:sz w:val="20"/>
          <w:szCs w:val="20"/>
        </w:rPr>
        <w:t>’ capabilities</w:t>
      </w:r>
      <w:r w:rsidRPr="00921120">
        <w:rPr>
          <w:rFonts w:ascii="Arial" w:hAnsi="Arial" w:cs="Arial"/>
          <w:color w:val="000000"/>
          <w:sz w:val="20"/>
          <w:szCs w:val="20"/>
        </w:rPr>
        <w:t xml:space="preserve">. Notwithstanding its revenue collection capabilities, the Committee noted that </w:t>
      </w:r>
      <w:r w:rsidRPr="00921120">
        <w:rPr>
          <w:rFonts w:ascii="Arial" w:hAnsi="Arial" w:cs="Arial"/>
          <w:iCs/>
          <w:color w:val="000000"/>
          <w:sz w:val="20"/>
          <w:szCs w:val="20"/>
        </w:rPr>
        <w:t xml:space="preserve">SARS, as a revenue collection agency, remained underfunded and required additional funding to improve its capabilities in relation to revenue collection, tax leakage, and trade facilitation, among others. </w:t>
      </w:r>
      <w:r w:rsidRPr="00921120">
        <w:rPr>
          <w:rFonts w:ascii="Arial" w:hAnsi="Arial" w:cs="Arial"/>
          <w:color w:val="000000"/>
          <w:sz w:val="20"/>
          <w:szCs w:val="20"/>
        </w:rPr>
        <w:t>The Commissioner of SARS is charged with building an efficient and effective administration of the revenue collecting system of South Africa</w:t>
      </w:r>
      <w:r w:rsidRPr="00921120">
        <w:rPr>
          <w:rStyle w:val="FootnoteReference"/>
          <w:rFonts w:ascii="Arial" w:hAnsi="Arial" w:cs="Arial"/>
          <w:color w:val="000000"/>
          <w:sz w:val="20"/>
          <w:szCs w:val="20"/>
        </w:rPr>
        <w:footnoteReference w:id="15"/>
      </w:r>
      <w:r w:rsidRPr="00921120">
        <w:rPr>
          <w:rFonts w:ascii="Arial" w:hAnsi="Arial" w:cs="Arial"/>
          <w:color w:val="000000"/>
          <w:sz w:val="20"/>
          <w:szCs w:val="20"/>
        </w:rPr>
        <w:t xml:space="preserve">. The continued trend of underfunding SARS, now for eight consecutive years, </w:t>
      </w:r>
      <w:r w:rsidR="004514A7" w:rsidRPr="00921120">
        <w:rPr>
          <w:rFonts w:ascii="Arial" w:hAnsi="Arial" w:cs="Arial"/>
          <w:color w:val="000000"/>
          <w:sz w:val="20"/>
          <w:szCs w:val="20"/>
        </w:rPr>
        <w:t>wa</w:t>
      </w:r>
      <w:r w:rsidRPr="00921120">
        <w:rPr>
          <w:rFonts w:ascii="Arial" w:hAnsi="Arial" w:cs="Arial"/>
          <w:color w:val="000000"/>
          <w:sz w:val="20"/>
          <w:szCs w:val="20"/>
        </w:rPr>
        <w:t>s</w:t>
      </w:r>
      <w:r w:rsidR="004514A7" w:rsidRPr="00921120">
        <w:rPr>
          <w:rFonts w:ascii="Arial" w:hAnsi="Arial" w:cs="Arial"/>
          <w:color w:val="000000"/>
          <w:sz w:val="20"/>
          <w:szCs w:val="20"/>
        </w:rPr>
        <w:t xml:space="preserve"> considered to be</w:t>
      </w:r>
      <w:r w:rsidRPr="00921120">
        <w:rPr>
          <w:rFonts w:ascii="Arial" w:hAnsi="Arial" w:cs="Arial"/>
          <w:color w:val="000000"/>
          <w:sz w:val="20"/>
          <w:szCs w:val="20"/>
        </w:rPr>
        <w:t xml:space="preserve"> materially undermining this legal mandate. </w:t>
      </w:r>
    </w:p>
    <w:p w:rsidR="005423DB" w:rsidRPr="00921120" w:rsidRDefault="005423DB" w:rsidP="00921120">
      <w:pPr>
        <w:autoSpaceDE w:val="0"/>
        <w:autoSpaceDN w:val="0"/>
        <w:adjustRightInd w:val="0"/>
        <w:spacing w:line="240" w:lineRule="auto"/>
        <w:jc w:val="left"/>
        <w:rPr>
          <w:rFonts w:ascii="Arial" w:hAnsi="Arial" w:cs="Arial"/>
          <w:color w:val="000000"/>
          <w:sz w:val="20"/>
          <w:szCs w:val="20"/>
        </w:rPr>
      </w:pPr>
    </w:p>
    <w:p w:rsidR="005423DB" w:rsidRPr="00921120" w:rsidRDefault="005423DB" w:rsidP="00921120">
      <w:pPr>
        <w:autoSpaceDE w:val="0"/>
        <w:autoSpaceDN w:val="0"/>
        <w:adjustRightInd w:val="0"/>
        <w:spacing w:line="240" w:lineRule="auto"/>
        <w:jc w:val="left"/>
        <w:rPr>
          <w:rFonts w:ascii="Arial" w:hAnsi="Arial" w:cs="Arial"/>
          <w:color w:val="000000"/>
          <w:sz w:val="20"/>
          <w:szCs w:val="20"/>
        </w:rPr>
      </w:pPr>
      <w:r w:rsidRPr="00921120">
        <w:rPr>
          <w:rFonts w:ascii="Arial" w:hAnsi="Arial" w:cs="Arial"/>
          <w:color w:val="000000"/>
          <w:sz w:val="20"/>
          <w:szCs w:val="20"/>
        </w:rPr>
        <w:t xml:space="preserve">SARS informed the Committee that despite making an appeal since 2019 (initiating the rebuilding of SARS journey), through the annual </w:t>
      </w:r>
      <w:r w:rsidR="004514A7" w:rsidRPr="00921120">
        <w:rPr>
          <w:rFonts w:ascii="Arial" w:hAnsi="Arial" w:cs="Arial"/>
          <w:color w:val="000000"/>
          <w:sz w:val="20"/>
          <w:szCs w:val="20"/>
        </w:rPr>
        <w:t>Medium-Term Expenditure Framework (</w:t>
      </w:r>
      <w:r w:rsidRPr="00921120">
        <w:rPr>
          <w:rFonts w:ascii="Arial" w:hAnsi="Arial" w:cs="Arial"/>
          <w:color w:val="000000"/>
          <w:sz w:val="20"/>
          <w:szCs w:val="20"/>
        </w:rPr>
        <w:t>MTEF</w:t>
      </w:r>
      <w:r w:rsidR="004514A7" w:rsidRPr="00921120">
        <w:rPr>
          <w:rFonts w:ascii="Arial" w:hAnsi="Arial" w:cs="Arial"/>
          <w:color w:val="000000"/>
          <w:sz w:val="20"/>
          <w:szCs w:val="20"/>
        </w:rPr>
        <w:t>)</w:t>
      </w:r>
      <w:r w:rsidRPr="00921120">
        <w:rPr>
          <w:rFonts w:ascii="Arial" w:hAnsi="Arial" w:cs="Arial"/>
          <w:color w:val="000000"/>
          <w:sz w:val="20"/>
          <w:szCs w:val="20"/>
        </w:rPr>
        <w:t xml:space="preserve"> and Estimates of National Expenditure processes, engagements with National Treasury, Minister of Finance and the Parliamentary Oversight Committees, the funding situation had not been addressed. In fact, according to SARS th</w:t>
      </w:r>
      <w:r w:rsidR="00967AFB" w:rsidRPr="00921120">
        <w:rPr>
          <w:rFonts w:ascii="Arial" w:hAnsi="Arial" w:cs="Arial"/>
          <w:color w:val="000000"/>
          <w:sz w:val="20"/>
          <w:szCs w:val="20"/>
        </w:rPr>
        <w:t>e situation</w:t>
      </w:r>
      <w:r w:rsidRPr="00921120">
        <w:rPr>
          <w:rFonts w:ascii="Arial" w:hAnsi="Arial" w:cs="Arial"/>
          <w:color w:val="000000"/>
          <w:sz w:val="20"/>
          <w:szCs w:val="20"/>
        </w:rPr>
        <w:t xml:space="preserve"> ha</w:t>
      </w:r>
      <w:r w:rsidR="00967AFB" w:rsidRPr="00921120">
        <w:rPr>
          <w:rFonts w:ascii="Arial" w:hAnsi="Arial" w:cs="Arial"/>
          <w:color w:val="000000"/>
          <w:sz w:val="20"/>
          <w:szCs w:val="20"/>
        </w:rPr>
        <w:t>d</w:t>
      </w:r>
      <w:r w:rsidRPr="00921120">
        <w:rPr>
          <w:rFonts w:ascii="Arial" w:hAnsi="Arial" w:cs="Arial"/>
          <w:color w:val="000000"/>
          <w:sz w:val="20"/>
          <w:szCs w:val="20"/>
        </w:rPr>
        <w:t xml:space="preserve"> worsened. This has meant a continued decline in the employee value proposition, rendering the organisation unable to retain and attract the requisite specialist skills needed. This </w:t>
      </w:r>
      <w:r w:rsidR="00967AFB" w:rsidRPr="00921120">
        <w:rPr>
          <w:rFonts w:ascii="Arial" w:hAnsi="Arial" w:cs="Arial"/>
          <w:color w:val="000000"/>
          <w:sz w:val="20"/>
          <w:szCs w:val="20"/>
        </w:rPr>
        <w:t xml:space="preserve">also </w:t>
      </w:r>
      <w:r w:rsidRPr="00921120">
        <w:rPr>
          <w:rFonts w:ascii="Arial" w:hAnsi="Arial" w:cs="Arial"/>
          <w:color w:val="000000"/>
          <w:sz w:val="20"/>
          <w:szCs w:val="20"/>
        </w:rPr>
        <w:t xml:space="preserve">placed the modernisation programme at risk, at a time when a modern platform drawing on big data, artificial intelligence, and advanced technology, </w:t>
      </w:r>
      <w:r w:rsidR="00967AFB" w:rsidRPr="00921120">
        <w:rPr>
          <w:rFonts w:ascii="Arial" w:hAnsi="Arial" w:cs="Arial"/>
          <w:color w:val="000000"/>
          <w:sz w:val="20"/>
          <w:szCs w:val="20"/>
        </w:rPr>
        <w:t>wa</w:t>
      </w:r>
      <w:r w:rsidRPr="00921120">
        <w:rPr>
          <w:rFonts w:ascii="Arial" w:hAnsi="Arial" w:cs="Arial"/>
          <w:color w:val="000000"/>
          <w:sz w:val="20"/>
          <w:szCs w:val="20"/>
        </w:rPr>
        <w:t xml:space="preserve">s indispensable to give effect to the intention of the SARS Act. The impact of the historic underfunding resulted in a delay in the modernization programme, minimum investment in </w:t>
      </w:r>
      <w:r w:rsidR="00967AFB" w:rsidRPr="00921120">
        <w:rPr>
          <w:rFonts w:ascii="Arial" w:hAnsi="Arial" w:cs="Arial"/>
          <w:color w:val="000000"/>
          <w:sz w:val="20"/>
          <w:szCs w:val="20"/>
        </w:rPr>
        <w:t>information and communication technology</w:t>
      </w:r>
      <w:r w:rsidRPr="00921120">
        <w:rPr>
          <w:rFonts w:ascii="Arial" w:hAnsi="Arial" w:cs="Arial"/>
          <w:color w:val="000000"/>
          <w:sz w:val="20"/>
          <w:szCs w:val="20"/>
        </w:rPr>
        <w:t xml:space="preserve"> and other infrastructure, resulting in an ageing infrastructure and a significant loss of both capacity and critical skills that could not be augmented to date. </w:t>
      </w:r>
    </w:p>
    <w:p w:rsidR="005423DB" w:rsidRPr="00921120" w:rsidRDefault="005423DB" w:rsidP="00921120">
      <w:pPr>
        <w:autoSpaceDE w:val="0"/>
        <w:autoSpaceDN w:val="0"/>
        <w:adjustRightInd w:val="0"/>
        <w:spacing w:line="240" w:lineRule="auto"/>
        <w:jc w:val="left"/>
        <w:rPr>
          <w:rFonts w:ascii="Arial" w:hAnsi="Arial" w:cs="Arial"/>
          <w:color w:val="000000"/>
          <w:sz w:val="20"/>
          <w:szCs w:val="20"/>
        </w:rPr>
      </w:pPr>
    </w:p>
    <w:p w:rsidR="005423DB" w:rsidRPr="00921120" w:rsidRDefault="005423DB" w:rsidP="00921120">
      <w:pPr>
        <w:autoSpaceDE w:val="0"/>
        <w:autoSpaceDN w:val="0"/>
        <w:adjustRightInd w:val="0"/>
        <w:spacing w:line="240" w:lineRule="auto"/>
        <w:jc w:val="left"/>
        <w:rPr>
          <w:rFonts w:ascii="Arial" w:hAnsi="Arial" w:cs="Arial"/>
          <w:color w:val="000000"/>
          <w:sz w:val="20"/>
          <w:szCs w:val="20"/>
        </w:rPr>
      </w:pPr>
      <w:r w:rsidRPr="00921120">
        <w:rPr>
          <w:rFonts w:ascii="Arial" w:hAnsi="Arial" w:cs="Arial"/>
          <w:color w:val="000000"/>
          <w:sz w:val="20"/>
          <w:szCs w:val="20"/>
        </w:rPr>
        <w:t>The underfunding experienced over the past years and that has continued to occur has impeded SARS’ ability to effectively perform its compliance related work that gives effect to its legal mandate, and in turn severely impacts the fiscal integrity. The funding trend for SARS since the 2014/15 financial year has declined by 28,6</w:t>
      </w:r>
      <w:r w:rsidR="00AC0EDA" w:rsidRPr="00921120">
        <w:rPr>
          <w:rFonts w:ascii="Arial" w:hAnsi="Arial" w:cs="Arial"/>
          <w:color w:val="000000"/>
          <w:sz w:val="20"/>
          <w:szCs w:val="20"/>
        </w:rPr>
        <w:t>%</w:t>
      </w:r>
      <w:r w:rsidRPr="00921120">
        <w:rPr>
          <w:rFonts w:ascii="Arial" w:hAnsi="Arial" w:cs="Arial"/>
          <w:color w:val="000000"/>
          <w:sz w:val="20"/>
          <w:szCs w:val="20"/>
        </w:rPr>
        <w:t xml:space="preserve"> cumulatively. With regard to SARS’ requested MTEF allocation over the 2023/24 to 2025/26 financial years, the cumulative decline was projected to be 36,9</w:t>
      </w:r>
      <w:r w:rsidR="00AC0EDA" w:rsidRPr="00921120">
        <w:rPr>
          <w:rFonts w:ascii="Arial" w:hAnsi="Arial" w:cs="Arial"/>
          <w:color w:val="000000"/>
          <w:sz w:val="20"/>
          <w:szCs w:val="20"/>
        </w:rPr>
        <w:t>%</w:t>
      </w:r>
      <w:r w:rsidRPr="00921120">
        <w:rPr>
          <w:rFonts w:ascii="Arial" w:hAnsi="Arial" w:cs="Arial"/>
          <w:color w:val="000000"/>
          <w:sz w:val="20"/>
          <w:szCs w:val="20"/>
        </w:rPr>
        <w:t>. This implied that SARS at present received barely more than 70</w:t>
      </w:r>
      <w:r w:rsidR="00AC0EDA" w:rsidRPr="00921120">
        <w:rPr>
          <w:rFonts w:ascii="Arial" w:hAnsi="Arial" w:cs="Arial"/>
          <w:color w:val="000000"/>
          <w:sz w:val="20"/>
          <w:szCs w:val="20"/>
        </w:rPr>
        <w:t>%</w:t>
      </w:r>
      <w:r w:rsidRPr="00921120">
        <w:rPr>
          <w:rFonts w:ascii="Arial" w:hAnsi="Arial" w:cs="Arial"/>
          <w:color w:val="000000"/>
          <w:sz w:val="20"/>
          <w:szCs w:val="20"/>
        </w:rPr>
        <w:t xml:space="preserve"> of its 2014/15 funding and projected that this would be less than two-thirds by the 2025/26 financial year. If the year-on-year cost of inflation since the 2013/14 allocation had been incorporated, the 2022/23 financial year allocation should have been above R15,98 billion compared to the actual allocation of R11,5 billion. The </w:t>
      </w:r>
      <w:r w:rsidR="00B73CE1" w:rsidRPr="00921120">
        <w:rPr>
          <w:rFonts w:ascii="Arial" w:hAnsi="Arial" w:cs="Arial"/>
          <w:sz w:val="20"/>
          <w:szCs w:val="20"/>
        </w:rPr>
        <w:t xml:space="preserve">Organisation for Economic Co-operation Development (OECD) </w:t>
      </w:r>
      <w:r w:rsidRPr="00921120">
        <w:rPr>
          <w:rFonts w:ascii="Arial" w:hAnsi="Arial" w:cs="Arial"/>
          <w:color w:val="000000"/>
          <w:sz w:val="20"/>
          <w:szCs w:val="20"/>
        </w:rPr>
        <w:t xml:space="preserve"> recommend that the cost to revenue collection for developing countries should be one percent. Therefore, the inflation-adjusted R15,98 billion would have compared well against a printed revenue collection estimate for the 2022/23 financial year of R1,598 trillion. </w:t>
      </w:r>
    </w:p>
    <w:p w:rsidR="005423DB" w:rsidRPr="00921120" w:rsidRDefault="005423DB" w:rsidP="00921120">
      <w:pPr>
        <w:autoSpaceDE w:val="0"/>
        <w:autoSpaceDN w:val="0"/>
        <w:adjustRightInd w:val="0"/>
        <w:spacing w:line="240" w:lineRule="auto"/>
        <w:jc w:val="left"/>
        <w:rPr>
          <w:rFonts w:ascii="Arial" w:hAnsi="Arial" w:cs="Arial"/>
          <w:color w:val="000000"/>
          <w:sz w:val="20"/>
          <w:szCs w:val="20"/>
        </w:rPr>
      </w:pPr>
    </w:p>
    <w:p w:rsidR="005423DB" w:rsidRPr="00921120" w:rsidRDefault="005423DB" w:rsidP="00921120">
      <w:pPr>
        <w:autoSpaceDE w:val="0"/>
        <w:autoSpaceDN w:val="0"/>
        <w:adjustRightInd w:val="0"/>
        <w:spacing w:line="240" w:lineRule="auto"/>
        <w:jc w:val="left"/>
        <w:rPr>
          <w:rFonts w:ascii="Arial" w:hAnsi="Arial" w:cs="Arial"/>
          <w:color w:val="000000"/>
          <w:sz w:val="20"/>
          <w:szCs w:val="20"/>
        </w:rPr>
      </w:pPr>
      <w:r w:rsidRPr="00921120">
        <w:rPr>
          <w:rFonts w:ascii="Arial" w:hAnsi="Arial" w:cs="Arial"/>
          <w:color w:val="000000"/>
          <w:sz w:val="20"/>
          <w:szCs w:val="20"/>
        </w:rPr>
        <w:t>The unpredictability of the funding cycle preclude</w:t>
      </w:r>
      <w:r w:rsidR="00B73CE1" w:rsidRPr="00921120">
        <w:rPr>
          <w:rFonts w:ascii="Arial" w:hAnsi="Arial" w:cs="Arial"/>
          <w:color w:val="000000"/>
          <w:sz w:val="20"/>
          <w:szCs w:val="20"/>
        </w:rPr>
        <w:t>d</w:t>
      </w:r>
      <w:r w:rsidRPr="00921120">
        <w:rPr>
          <w:rFonts w:ascii="Arial" w:hAnsi="Arial" w:cs="Arial"/>
          <w:color w:val="000000"/>
          <w:sz w:val="20"/>
          <w:szCs w:val="20"/>
        </w:rPr>
        <w:t xml:space="preserve"> SARS from adequately doing any forward planning, in terms of medium to long term recruitment, capital investments, and modernisation, as these </w:t>
      </w:r>
      <w:r w:rsidR="00B73CE1" w:rsidRPr="00921120">
        <w:rPr>
          <w:rFonts w:ascii="Arial" w:hAnsi="Arial" w:cs="Arial"/>
          <w:color w:val="000000"/>
          <w:sz w:val="20"/>
          <w:szCs w:val="20"/>
        </w:rPr>
        <w:t>we</w:t>
      </w:r>
      <w:r w:rsidRPr="00921120">
        <w:rPr>
          <w:rFonts w:ascii="Arial" w:hAnsi="Arial" w:cs="Arial"/>
          <w:color w:val="000000"/>
          <w:sz w:val="20"/>
          <w:szCs w:val="20"/>
        </w:rPr>
        <w:t xml:space="preserve">re all multi-year programmes. This </w:t>
      </w:r>
      <w:r w:rsidR="00B73CE1" w:rsidRPr="00921120">
        <w:rPr>
          <w:rFonts w:ascii="Arial" w:hAnsi="Arial" w:cs="Arial"/>
          <w:color w:val="000000"/>
          <w:sz w:val="20"/>
          <w:szCs w:val="20"/>
        </w:rPr>
        <w:t>wa</w:t>
      </w:r>
      <w:r w:rsidRPr="00921120">
        <w:rPr>
          <w:rFonts w:ascii="Arial" w:hAnsi="Arial" w:cs="Arial"/>
          <w:color w:val="000000"/>
          <w:sz w:val="20"/>
          <w:szCs w:val="20"/>
        </w:rPr>
        <w:t xml:space="preserve">s despite the financial return on any investment in SARS being significantly higher than in any other area in Government and also being the lowest opportunity cost for sustainable fiscal stability. This has been demonstrated over the past two financial </w:t>
      </w:r>
      <w:r w:rsidRPr="00921120">
        <w:rPr>
          <w:rFonts w:ascii="Arial" w:hAnsi="Arial" w:cs="Arial"/>
          <w:color w:val="000000"/>
          <w:sz w:val="20"/>
          <w:szCs w:val="20"/>
        </w:rPr>
        <w:lastRenderedPageBreak/>
        <w:t>years whereby SARS collected more than the projected estimates set by the Minister of Finance, R182 billion more for the 2021/22 financial year and R38 billion more for the 2020/21 financial year.</w:t>
      </w:r>
    </w:p>
    <w:p w:rsidR="005423DB" w:rsidRPr="00921120" w:rsidRDefault="005423DB" w:rsidP="00921120">
      <w:pPr>
        <w:spacing w:line="240" w:lineRule="auto"/>
        <w:jc w:val="left"/>
        <w:rPr>
          <w:rFonts w:ascii="Arial" w:hAnsi="Arial" w:cs="Arial"/>
          <w:sz w:val="20"/>
          <w:szCs w:val="20"/>
        </w:rPr>
      </w:pPr>
    </w:p>
    <w:p w:rsidR="007B0AE0" w:rsidRPr="00921120" w:rsidRDefault="007B0AE0" w:rsidP="00921120">
      <w:pPr>
        <w:pStyle w:val="Heading4"/>
        <w:spacing w:line="240" w:lineRule="auto"/>
        <w:jc w:val="left"/>
        <w:rPr>
          <w:rFonts w:ascii="Arial" w:hAnsi="Arial" w:cs="Arial"/>
          <w:sz w:val="20"/>
          <w:szCs w:val="20"/>
        </w:rPr>
      </w:pPr>
      <w:r w:rsidRPr="00921120">
        <w:rPr>
          <w:rFonts w:ascii="Arial" w:hAnsi="Arial" w:cs="Arial"/>
          <w:sz w:val="20"/>
          <w:szCs w:val="20"/>
        </w:rPr>
        <w:t>Impact of load-shedding on the implementation of SMART Borders</w:t>
      </w:r>
    </w:p>
    <w:p w:rsidR="007B0AE0" w:rsidRPr="00921120" w:rsidRDefault="007B0AE0" w:rsidP="00921120">
      <w:pPr>
        <w:autoSpaceDE w:val="0"/>
        <w:autoSpaceDN w:val="0"/>
        <w:adjustRightInd w:val="0"/>
        <w:spacing w:line="240" w:lineRule="auto"/>
        <w:jc w:val="left"/>
        <w:rPr>
          <w:rFonts w:ascii="Arial" w:hAnsi="Arial" w:cs="Arial"/>
          <w:color w:val="000000"/>
          <w:sz w:val="20"/>
          <w:szCs w:val="20"/>
        </w:rPr>
      </w:pPr>
      <w:r w:rsidRPr="00921120">
        <w:rPr>
          <w:rFonts w:ascii="Arial" w:hAnsi="Arial" w:cs="Arial"/>
          <w:iCs/>
          <w:color w:val="000000"/>
          <w:sz w:val="20"/>
          <w:szCs w:val="20"/>
        </w:rPr>
        <w:t>The SARS indicated that it was implementing SMART Borders to improve efficienc</w:t>
      </w:r>
      <w:r w:rsidR="00794890" w:rsidRPr="00921120">
        <w:rPr>
          <w:rFonts w:ascii="Arial" w:hAnsi="Arial" w:cs="Arial"/>
          <w:iCs/>
          <w:color w:val="000000"/>
          <w:sz w:val="20"/>
          <w:szCs w:val="20"/>
        </w:rPr>
        <w:t>ies</w:t>
      </w:r>
      <w:r w:rsidRPr="00921120">
        <w:rPr>
          <w:rFonts w:ascii="Arial" w:hAnsi="Arial" w:cs="Arial"/>
          <w:iCs/>
          <w:color w:val="000000"/>
          <w:sz w:val="20"/>
          <w:szCs w:val="20"/>
        </w:rPr>
        <w:t xml:space="preserve"> at the border by improving monitoring of goods passing through the borders while minimising the inciden</w:t>
      </w:r>
      <w:r w:rsidR="00362DDC" w:rsidRPr="00921120">
        <w:rPr>
          <w:rFonts w:ascii="Arial" w:hAnsi="Arial" w:cs="Arial"/>
          <w:iCs/>
          <w:color w:val="000000"/>
          <w:sz w:val="20"/>
          <w:szCs w:val="20"/>
        </w:rPr>
        <w:t>ts</w:t>
      </w:r>
      <w:r w:rsidRPr="00921120">
        <w:rPr>
          <w:rFonts w:ascii="Arial" w:hAnsi="Arial" w:cs="Arial"/>
          <w:iCs/>
          <w:color w:val="000000"/>
          <w:sz w:val="20"/>
          <w:szCs w:val="20"/>
        </w:rPr>
        <w:t xml:space="preserve"> of corruption. In this regard, technology would be deployed at the border including scanners and body cameras to relay real-time information from the border to the SARS head office or other off-site facility. Given the ongoing risk of load-shedding and its possible impact on connectivity, the </w:t>
      </w:r>
      <w:r w:rsidR="00794890" w:rsidRPr="00921120">
        <w:rPr>
          <w:rFonts w:ascii="Arial" w:hAnsi="Arial" w:cs="Arial"/>
          <w:iCs/>
          <w:color w:val="000000"/>
          <w:sz w:val="20"/>
          <w:szCs w:val="20"/>
        </w:rPr>
        <w:t xml:space="preserve">Committee enquired about </w:t>
      </w:r>
      <w:r w:rsidR="00B07A44" w:rsidRPr="00921120">
        <w:rPr>
          <w:rFonts w:ascii="Arial" w:hAnsi="Arial" w:cs="Arial"/>
          <w:iCs/>
          <w:color w:val="000000"/>
          <w:sz w:val="20"/>
          <w:szCs w:val="20"/>
        </w:rPr>
        <w:t xml:space="preserve">the </w:t>
      </w:r>
      <w:r w:rsidRPr="00921120">
        <w:rPr>
          <w:rFonts w:ascii="Arial" w:hAnsi="Arial" w:cs="Arial"/>
          <w:iCs/>
          <w:color w:val="000000"/>
          <w:sz w:val="20"/>
          <w:szCs w:val="20"/>
        </w:rPr>
        <w:t xml:space="preserve">ability of SARS to </w:t>
      </w:r>
      <w:r w:rsidR="00794890" w:rsidRPr="00921120">
        <w:rPr>
          <w:rFonts w:ascii="Arial" w:hAnsi="Arial" w:cs="Arial"/>
          <w:iCs/>
          <w:color w:val="000000"/>
          <w:sz w:val="20"/>
          <w:szCs w:val="20"/>
        </w:rPr>
        <w:t xml:space="preserve">mitigate </w:t>
      </w:r>
      <w:r w:rsidRPr="00921120">
        <w:rPr>
          <w:rFonts w:ascii="Arial" w:hAnsi="Arial" w:cs="Arial"/>
          <w:iCs/>
          <w:color w:val="000000"/>
          <w:sz w:val="20"/>
          <w:szCs w:val="20"/>
        </w:rPr>
        <w:t xml:space="preserve">this to maintain the integrity of a SMART Border. </w:t>
      </w:r>
      <w:r w:rsidRPr="00921120">
        <w:rPr>
          <w:rFonts w:ascii="Arial" w:hAnsi="Arial" w:cs="Arial"/>
          <w:i/>
          <w:iCs/>
          <w:color w:val="000000"/>
          <w:sz w:val="20"/>
          <w:szCs w:val="20"/>
        </w:rPr>
        <w:t xml:space="preserve"> </w:t>
      </w:r>
      <w:r w:rsidRPr="00921120">
        <w:rPr>
          <w:rFonts w:ascii="Arial" w:hAnsi="Arial" w:cs="Arial"/>
          <w:color w:val="000000"/>
          <w:sz w:val="20"/>
          <w:szCs w:val="20"/>
        </w:rPr>
        <w:t xml:space="preserve">SARS informed the Committee that as per its business continuity procedures, auxiliary power supplies </w:t>
      </w:r>
      <w:r w:rsidR="00B73CE1" w:rsidRPr="00921120">
        <w:rPr>
          <w:rFonts w:ascii="Arial" w:hAnsi="Arial" w:cs="Arial"/>
          <w:color w:val="000000"/>
          <w:sz w:val="20"/>
          <w:szCs w:val="20"/>
        </w:rPr>
        <w:t>we</w:t>
      </w:r>
      <w:r w:rsidRPr="00921120">
        <w:rPr>
          <w:rFonts w:ascii="Arial" w:hAnsi="Arial" w:cs="Arial"/>
          <w:color w:val="000000"/>
          <w:sz w:val="20"/>
          <w:szCs w:val="20"/>
        </w:rPr>
        <w:t>re in place (</w:t>
      </w:r>
      <w:r w:rsidR="00B73CE1" w:rsidRPr="00921120">
        <w:rPr>
          <w:rFonts w:ascii="Arial" w:hAnsi="Arial" w:cs="Arial"/>
          <w:color w:val="000000"/>
          <w:sz w:val="20"/>
          <w:szCs w:val="20"/>
        </w:rPr>
        <w:t>namely</w:t>
      </w:r>
      <w:r w:rsidRPr="00921120">
        <w:rPr>
          <w:rFonts w:ascii="Arial" w:hAnsi="Arial" w:cs="Arial"/>
          <w:color w:val="000000"/>
          <w:sz w:val="20"/>
          <w:szCs w:val="20"/>
        </w:rPr>
        <w:t xml:space="preserve"> generators and inve</w:t>
      </w:r>
      <w:r w:rsidR="00794890" w:rsidRPr="00921120">
        <w:rPr>
          <w:rFonts w:ascii="Arial" w:hAnsi="Arial" w:cs="Arial"/>
          <w:color w:val="000000"/>
          <w:sz w:val="20"/>
          <w:szCs w:val="20"/>
        </w:rPr>
        <w:t>r</w:t>
      </w:r>
      <w:r w:rsidRPr="00921120">
        <w:rPr>
          <w:rFonts w:ascii="Arial" w:hAnsi="Arial" w:cs="Arial"/>
          <w:color w:val="000000"/>
          <w:sz w:val="20"/>
          <w:szCs w:val="20"/>
        </w:rPr>
        <w:t>t</w:t>
      </w:r>
      <w:r w:rsidR="00794890" w:rsidRPr="00921120">
        <w:rPr>
          <w:rFonts w:ascii="Arial" w:hAnsi="Arial" w:cs="Arial"/>
          <w:color w:val="000000"/>
          <w:sz w:val="20"/>
          <w:szCs w:val="20"/>
        </w:rPr>
        <w:t>e</w:t>
      </w:r>
      <w:r w:rsidRPr="00921120">
        <w:rPr>
          <w:rFonts w:ascii="Arial" w:hAnsi="Arial" w:cs="Arial"/>
          <w:color w:val="000000"/>
          <w:sz w:val="20"/>
          <w:szCs w:val="20"/>
        </w:rPr>
        <w:t>r/</w:t>
      </w:r>
      <w:r w:rsidR="00B73CE1" w:rsidRPr="00921120">
        <w:rPr>
          <w:rFonts w:ascii="Arial" w:hAnsi="Arial" w:cs="Arial"/>
          <w:color w:val="000000"/>
          <w:sz w:val="20"/>
          <w:szCs w:val="20"/>
        </w:rPr>
        <w:t>uninterrupted power supply</w:t>
      </w:r>
      <w:r w:rsidRPr="00921120">
        <w:rPr>
          <w:rFonts w:ascii="Arial" w:hAnsi="Arial" w:cs="Arial"/>
          <w:color w:val="000000"/>
          <w:sz w:val="20"/>
          <w:szCs w:val="20"/>
        </w:rPr>
        <w:t xml:space="preserve"> solutions) to ensure </w:t>
      </w:r>
      <w:r w:rsidR="00B73CE1" w:rsidRPr="00921120">
        <w:rPr>
          <w:rFonts w:ascii="Arial" w:hAnsi="Arial" w:cs="Arial"/>
          <w:color w:val="000000"/>
          <w:sz w:val="20"/>
          <w:szCs w:val="20"/>
        </w:rPr>
        <w:t xml:space="preserve">the continuity of its </w:t>
      </w:r>
      <w:r w:rsidRPr="00921120">
        <w:rPr>
          <w:rFonts w:ascii="Arial" w:hAnsi="Arial" w:cs="Arial"/>
          <w:color w:val="000000"/>
          <w:sz w:val="20"/>
          <w:szCs w:val="20"/>
        </w:rPr>
        <w:t>operations. Through the SARS National Command Centre, it ha</w:t>
      </w:r>
      <w:r w:rsidR="00794890" w:rsidRPr="00921120">
        <w:rPr>
          <w:rFonts w:ascii="Arial" w:hAnsi="Arial" w:cs="Arial"/>
          <w:color w:val="000000"/>
          <w:sz w:val="20"/>
          <w:szCs w:val="20"/>
        </w:rPr>
        <w:t>s</w:t>
      </w:r>
      <w:r w:rsidRPr="00921120">
        <w:rPr>
          <w:rFonts w:ascii="Arial" w:hAnsi="Arial" w:cs="Arial"/>
          <w:color w:val="000000"/>
          <w:sz w:val="20"/>
          <w:szCs w:val="20"/>
        </w:rPr>
        <w:t xml:space="preserve"> 24-hour monitoring and management of </w:t>
      </w:r>
      <w:r w:rsidR="00794890" w:rsidRPr="00921120">
        <w:rPr>
          <w:rFonts w:ascii="Arial" w:hAnsi="Arial" w:cs="Arial"/>
          <w:color w:val="000000"/>
          <w:sz w:val="20"/>
          <w:szCs w:val="20"/>
        </w:rPr>
        <w:t xml:space="preserve">its </w:t>
      </w:r>
      <w:r w:rsidRPr="00921120">
        <w:rPr>
          <w:rFonts w:ascii="Arial" w:hAnsi="Arial" w:cs="Arial"/>
          <w:color w:val="000000"/>
          <w:sz w:val="20"/>
          <w:szCs w:val="20"/>
        </w:rPr>
        <w:t>country-wide infrastructure ensuring that SARS systems and infrastructure are functional and where required, it appropriately respond</w:t>
      </w:r>
      <w:r w:rsidR="00794890" w:rsidRPr="00921120">
        <w:rPr>
          <w:rFonts w:ascii="Arial" w:hAnsi="Arial" w:cs="Arial"/>
          <w:color w:val="000000"/>
          <w:sz w:val="20"/>
          <w:szCs w:val="20"/>
        </w:rPr>
        <w:t>s</w:t>
      </w:r>
      <w:r w:rsidRPr="00921120">
        <w:rPr>
          <w:rFonts w:ascii="Arial" w:hAnsi="Arial" w:cs="Arial"/>
          <w:color w:val="000000"/>
          <w:sz w:val="20"/>
          <w:szCs w:val="20"/>
        </w:rPr>
        <w:t xml:space="preserve"> to expeditiously resolve any outages. In addition, SARS is also planning to install solar</w:t>
      </w:r>
      <w:r w:rsidR="00794890" w:rsidRPr="00921120">
        <w:rPr>
          <w:rFonts w:ascii="Arial" w:hAnsi="Arial" w:cs="Arial"/>
          <w:color w:val="000000"/>
          <w:sz w:val="20"/>
          <w:szCs w:val="20"/>
        </w:rPr>
        <w:t>-</w:t>
      </w:r>
      <w:r w:rsidRPr="00921120">
        <w:rPr>
          <w:rFonts w:ascii="Arial" w:hAnsi="Arial" w:cs="Arial"/>
          <w:color w:val="000000"/>
          <w:sz w:val="20"/>
          <w:szCs w:val="20"/>
        </w:rPr>
        <w:t xml:space="preserve">powered systems in a phased approach aligned to the roll out plan of SMART borders and </w:t>
      </w:r>
      <w:r w:rsidR="00794890" w:rsidRPr="00921120">
        <w:rPr>
          <w:rFonts w:ascii="Arial" w:hAnsi="Arial" w:cs="Arial"/>
          <w:color w:val="000000"/>
          <w:sz w:val="20"/>
          <w:szCs w:val="20"/>
        </w:rPr>
        <w:t xml:space="preserve">its </w:t>
      </w:r>
      <w:r w:rsidRPr="00921120">
        <w:rPr>
          <w:rFonts w:ascii="Arial" w:hAnsi="Arial" w:cs="Arial"/>
          <w:color w:val="000000"/>
          <w:sz w:val="20"/>
          <w:szCs w:val="20"/>
        </w:rPr>
        <w:t>vision of a Smart Modern SARS.</w:t>
      </w:r>
    </w:p>
    <w:p w:rsidR="007B0AE0" w:rsidRPr="00921120" w:rsidRDefault="007B0AE0" w:rsidP="00921120">
      <w:pPr>
        <w:autoSpaceDE w:val="0"/>
        <w:autoSpaceDN w:val="0"/>
        <w:adjustRightInd w:val="0"/>
        <w:spacing w:line="240" w:lineRule="auto"/>
        <w:jc w:val="left"/>
        <w:rPr>
          <w:rFonts w:ascii="Arial" w:hAnsi="Arial" w:cs="Arial"/>
          <w:color w:val="000000"/>
          <w:sz w:val="20"/>
          <w:szCs w:val="20"/>
        </w:rPr>
      </w:pPr>
    </w:p>
    <w:p w:rsidR="007B0AE0" w:rsidRPr="00921120" w:rsidRDefault="007B0AE0" w:rsidP="00921120">
      <w:pPr>
        <w:pStyle w:val="Heading4"/>
        <w:spacing w:line="240" w:lineRule="auto"/>
        <w:jc w:val="left"/>
        <w:rPr>
          <w:rFonts w:ascii="Arial" w:hAnsi="Arial" w:cs="Arial"/>
          <w:sz w:val="20"/>
          <w:szCs w:val="20"/>
        </w:rPr>
      </w:pPr>
      <w:r w:rsidRPr="00921120">
        <w:rPr>
          <w:rFonts w:ascii="Arial" w:hAnsi="Arial" w:cs="Arial"/>
          <w:sz w:val="20"/>
          <w:szCs w:val="20"/>
        </w:rPr>
        <w:t>Skilled Customs workforce</w:t>
      </w:r>
    </w:p>
    <w:p w:rsidR="0060719B" w:rsidRPr="00921120" w:rsidRDefault="00EB314B" w:rsidP="00921120">
      <w:pPr>
        <w:autoSpaceDE w:val="0"/>
        <w:autoSpaceDN w:val="0"/>
        <w:adjustRightInd w:val="0"/>
        <w:spacing w:line="240" w:lineRule="auto"/>
        <w:jc w:val="left"/>
        <w:rPr>
          <w:rFonts w:ascii="Arial" w:hAnsi="Arial" w:cs="Arial"/>
          <w:color w:val="000000"/>
          <w:sz w:val="20"/>
          <w:szCs w:val="20"/>
        </w:rPr>
      </w:pPr>
      <w:r w:rsidRPr="00921120">
        <w:rPr>
          <w:rFonts w:ascii="Arial" w:hAnsi="Arial" w:cs="Arial"/>
          <w:iCs/>
          <w:color w:val="000000"/>
          <w:sz w:val="20"/>
          <w:szCs w:val="20"/>
        </w:rPr>
        <w:t>I</w:t>
      </w:r>
      <w:r w:rsidR="007B0AE0" w:rsidRPr="00921120">
        <w:rPr>
          <w:rFonts w:ascii="Arial" w:hAnsi="Arial" w:cs="Arial"/>
          <w:iCs/>
          <w:color w:val="000000"/>
          <w:sz w:val="20"/>
          <w:szCs w:val="20"/>
        </w:rPr>
        <w:t xml:space="preserve">n </w:t>
      </w:r>
      <w:r w:rsidRPr="00921120">
        <w:rPr>
          <w:rFonts w:ascii="Arial" w:hAnsi="Arial" w:cs="Arial"/>
          <w:iCs/>
          <w:color w:val="000000"/>
          <w:sz w:val="20"/>
          <w:szCs w:val="20"/>
        </w:rPr>
        <w:t xml:space="preserve">terms of </w:t>
      </w:r>
      <w:r w:rsidR="007B0AE0" w:rsidRPr="00921120">
        <w:rPr>
          <w:rFonts w:ascii="Arial" w:hAnsi="Arial" w:cs="Arial"/>
          <w:iCs/>
          <w:color w:val="000000"/>
          <w:sz w:val="20"/>
          <w:szCs w:val="20"/>
        </w:rPr>
        <w:t>facili</w:t>
      </w:r>
      <w:r w:rsidRPr="00921120">
        <w:rPr>
          <w:rFonts w:ascii="Arial" w:hAnsi="Arial" w:cs="Arial"/>
          <w:iCs/>
          <w:color w:val="000000"/>
          <w:sz w:val="20"/>
          <w:szCs w:val="20"/>
        </w:rPr>
        <w:t>tating</w:t>
      </w:r>
      <w:r w:rsidR="007B0AE0" w:rsidRPr="00921120">
        <w:rPr>
          <w:rFonts w:ascii="Arial" w:hAnsi="Arial" w:cs="Arial"/>
          <w:iCs/>
          <w:color w:val="000000"/>
          <w:sz w:val="20"/>
          <w:szCs w:val="20"/>
        </w:rPr>
        <w:t xml:space="preserve"> the movement of goods and people entering and exiting South Africa</w:t>
      </w:r>
      <w:r w:rsidRPr="00921120">
        <w:rPr>
          <w:rFonts w:ascii="Arial" w:hAnsi="Arial" w:cs="Arial"/>
          <w:iCs/>
          <w:color w:val="000000"/>
          <w:sz w:val="20"/>
          <w:szCs w:val="20"/>
        </w:rPr>
        <w:t xml:space="preserve">, </w:t>
      </w:r>
      <w:r w:rsidR="007B0AE0" w:rsidRPr="00921120">
        <w:rPr>
          <w:rFonts w:ascii="Arial" w:hAnsi="Arial" w:cs="Arial"/>
          <w:iCs/>
          <w:color w:val="000000"/>
          <w:sz w:val="20"/>
          <w:szCs w:val="20"/>
        </w:rPr>
        <w:t>Customs officials are either involved in trade facilitation activities, processing and auditing or border control an</w:t>
      </w:r>
      <w:r w:rsidRPr="00921120">
        <w:rPr>
          <w:rFonts w:ascii="Arial" w:hAnsi="Arial" w:cs="Arial"/>
          <w:iCs/>
          <w:color w:val="000000"/>
          <w:sz w:val="20"/>
          <w:szCs w:val="20"/>
        </w:rPr>
        <w:t>d</w:t>
      </w:r>
      <w:r w:rsidR="007B0AE0" w:rsidRPr="00921120">
        <w:rPr>
          <w:rFonts w:ascii="Arial" w:hAnsi="Arial" w:cs="Arial"/>
          <w:iCs/>
          <w:color w:val="000000"/>
          <w:sz w:val="20"/>
          <w:szCs w:val="20"/>
        </w:rPr>
        <w:t xml:space="preserve"> enforcement. </w:t>
      </w:r>
      <w:r w:rsidR="0060719B" w:rsidRPr="00921120">
        <w:rPr>
          <w:rFonts w:ascii="Arial" w:hAnsi="Arial" w:cs="Arial"/>
          <w:iCs/>
          <w:color w:val="000000"/>
          <w:sz w:val="20"/>
          <w:szCs w:val="20"/>
        </w:rPr>
        <w:t xml:space="preserve">Currently, </w:t>
      </w:r>
      <w:r w:rsidR="0060719B" w:rsidRPr="00921120">
        <w:rPr>
          <w:rFonts w:ascii="Arial" w:hAnsi="Arial" w:cs="Arial"/>
          <w:color w:val="000000"/>
          <w:sz w:val="20"/>
          <w:szCs w:val="20"/>
        </w:rPr>
        <w:t xml:space="preserve">SARS Customs has only 2 200 employees to do this work, compared to the Australian Border Force which has approximately 5 800 employees without any inland borders. </w:t>
      </w:r>
    </w:p>
    <w:p w:rsidR="0060719B" w:rsidRPr="00921120" w:rsidRDefault="0060719B" w:rsidP="00921120">
      <w:pPr>
        <w:autoSpaceDE w:val="0"/>
        <w:autoSpaceDN w:val="0"/>
        <w:adjustRightInd w:val="0"/>
        <w:spacing w:line="240" w:lineRule="auto"/>
        <w:jc w:val="left"/>
        <w:rPr>
          <w:rFonts w:ascii="Arial" w:hAnsi="Arial" w:cs="Arial"/>
          <w:color w:val="000000"/>
          <w:sz w:val="20"/>
          <w:szCs w:val="20"/>
        </w:rPr>
      </w:pPr>
    </w:p>
    <w:p w:rsidR="0060719B" w:rsidRPr="00921120" w:rsidRDefault="00362DDC" w:rsidP="00921120">
      <w:pPr>
        <w:autoSpaceDE w:val="0"/>
        <w:autoSpaceDN w:val="0"/>
        <w:adjustRightInd w:val="0"/>
        <w:spacing w:line="240" w:lineRule="auto"/>
        <w:jc w:val="left"/>
        <w:rPr>
          <w:rFonts w:ascii="Arial" w:hAnsi="Arial" w:cs="Arial"/>
          <w:color w:val="000000"/>
          <w:sz w:val="20"/>
          <w:szCs w:val="20"/>
        </w:rPr>
      </w:pPr>
      <w:r w:rsidRPr="00921120">
        <w:rPr>
          <w:rFonts w:ascii="Arial" w:hAnsi="Arial" w:cs="Arial"/>
          <w:color w:val="000000"/>
          <w:sz w:val="20"/>
          <w:szCs w:val="20"/>
        </w:rPr>
        <w:t>T</w:t>
      </w:r>
      <w:r w:rsidR="0060719B" w:rsidRPr="00921120">
        <w:rPr>
          <w:rFonts w:ascii="Arial" w:hAnsi="Arial" w:cs="Arial"/>
          <w:color w:val="000000"/>
          <w:sz w:val="20"/>
          <w:szCs w:val="20"/>
        </w:rPr>
        <w:t>his capacity must be augmented in line with SARS Vision 2024, which necessitates an increase in data, risk detection systems, enabling tools and capabilities that would require a highly skilled workforce to operate and implement these capabilities.  Although costly, this would have</w:t>
      </w:r>
      <w:r w:rsidR="00B73CE1" w:rsidRPr="00921120">
        <w:rPr>
          <w:rFonts w:ascii="Arial" w:hAnsi="Arial" w:cs="Arial"/>
          <w:color w:val="000000"/>
          <w:sz w:val="20"/>
          <w:szCs w:val="20"/>
        </w:rPr>
        <w:t xml:space="preserve"> a</w:t>
      </w:r>
      <w:r w:rsidR="0060719B" w:rsidRPr="00921120">
        <w:rPr>
          <w:rFonts w:ascii="Arial" w:hAnsi="Arial" w:cs="Arial"/>
          <w:color w:val="000000"/>
          <w:sz w:val="20"/>
          <w:szCs w:val="20"/>
        </w:rPr>
        <w:t xml:space="preserve"> significant return on investment for both trade facilitation and combatting illicit trade, and would greatly reduce the opportunity for bribery and corruption. </w:t>
      </w:r>
      <w:r w:rsidR="00EB314B" w:rsidRPr="00921120">
        <w:rPr>
          <w:rFonts w:ascii="Arial" w:hAnsi="Arial" w:cs="Arial"/>
          <w:color w:val="000000"/>
          <w:sz w:val="20"/>
          <w:szCs w:val="20"/>
        </w:rPr>
        <w:t>Th</w:t>
      </w:r>
      <w:r w:rsidR="0060719B" w:rsidRPr="00921120">
        <w:rPr>
          <w:rFonts w:ascii="Arial" w:hAnsi="Arial" w:cs="Arial"/>
          <w:color w:val="000000"/>
          <w:sz w:val="20"/>
          <w:szCs w:val="20"/>
        </w:rPr>
        <w:t>is would</w:t>
      </w:r>
      <w:r w:rsidR="00EB314B" w:rsidRPr="00921120">
        <w:rPr>
          <w:rFonts w:ascii="Arial" w:hAnsi="Arial" w:cs="Arial"/>
          <w:color w:val="000000"/>
          <w:sz w:val="20"/>
          <w:szCs w:val="20"/>
        </w:rPr>
        <w:t xml:space="preserve"> </w:t>
      </w:r>
      <w:r w:rsidR="0060719B" w:rsidRPr="00921120">
        <w:rPr>
          <w:rFonts w:ascii="Arial" w:hAnsi="Arial" w:cs="Arial"/>
          <w:color w:val="000000"/>
          <w:sz w:val="20"/>
          <w:szCs w:val="20"/>
        </w:rPr>
        <w:t>exploit</w:t>
      </w:r>
      <w:r w:rsidR="00EB314B" w:rsidRPr="00921120">
        <w:rPr>
          <w:rFonts w:ascii="Arial" w:hAnsi="Arial" w:cs="Arial"/>
          <w:color w:val="000000"/>
          <w:sz w:val="20"/>
          <w:szCs w:val="20"/>
        </w:rPr>
        <w:t xml:space="preserve"> the exponential and innovative opportunities provided by increased access to data (big data), machine learning algorithms, artificial intelligence</w:t>
      </w:r>
      <w:r w:rsidR="00B73CE1" w:rsidRPr="00921120">
        <w:rPr>
          <w:rFonts w:ascii="Arial" w:hAnsi="Arial" w:cs="Arial"/>
          <w:color w:val="000000"/>
          <w:sz w:val="20"/>
          <w:szCs w:val="20"/>
        </w:rPr>
        <w:t>,</w:t>
      </w:r>
      <w:r w:rsidR="00EB314B" w:rsidRPr="00921120">
        <w:rPr>
          <w:rFonts w:ascii="Arial" w:hAnsi="Arial" w:cs="Arial"/>
          <w:color w:val="000000"/>
          <w:sz w:val="20"/>
          <w:szCs w:val="20"/>
        </w:rPr>
        <w:t xml:space="preserve"> as well as augmenting human effort with insights from data, whilst automating repetitive and routine activities. </w:t>
      </w:r>
    </w:p>
    <w:p w:rsidR="0060719B" w:rsidRPr="00921120" w:rsidRDefault="0060719B" w:rsidP="00921120">
      <w:pPr>
        <w:autoSpaceDE w:val="0"/>
        <w:autoSpaceDN w:val="0"/>
        <w:adjustRightInd w:val="0"/>
        <w:spacing w:line="240" w:lineRule="auto"/>
        <w:jc w:val="left"/>
        <w:rPr>
          <w:rFonts w:ascii="Arial" w:hAnsi="Arial" w:cs="Arial"/>
          <w:color w:val="000000"/>
          <w:sz w:val="20"/>
          <w:szCs w:val="20"/>
        </w:rPr>
      </w:pPr>
    </w:p>
    <w:p w:rsidR="00EB314B" w:rsidRPr="00921120" w:rsidRDefault="00EB314B" w:rsidP="00921120">
      <w:pPr>
        <w:autoSpaceDE w:val="0"/>
        <w:autoSpaceDN w:val="0"/>
        <w:adjustRightInd w:val="0"/>
        <w:spacing w:line="240" w:lineRule="auto"/>
        <w:jc w:val="left"/>
        <w:rPr>
          <w:rFonts w:ascii="Arial" w:hAnsi="Arial" w:cs="Arial"/>
          <w:iCs/>
          <w:color w:val="000000"/>
          <w:sz w:val="20"/>
          <w:szCs w:val="20"/>
        </w:rPr>
      </w:pPr>
      <w:r w:rsidRPr="00921120">
        <w:rPr>
          <w:rFonts w:ascii="Arial" w:hAnsi="Arial" w:cs="Arial"/>
          <w:color w:val="000000"/>
          <w:sz w:val="20"/>
          <w:szCs w:val="20"/>
        </w:rPr>
        <w:t>In this regard, t</w:t>
      </w:r>
      <w:r w:rsidRPr="00921120">
        <w:rPr>
          <w:rFonts w:ascii="Arial" w:hAnsi="Arial" w:cs="Arial"/>
          <w:iCs/>
          <w:color w:val="000000"/>
          <w:sz w:val="20"/>
          <w:szCs w:val="20"/>
        </w:rPr>
        <w:t xml:space="preserve">he effective implementation of Vision 2024 requires a breed of Customs officials with auditing and data analysis skills to identify trends from the analysis of data sets received to effectively detect non-compliance. Therefore, it must develop </w:t>
      </w:r>
      <w:r w:rsidRPr="00921120">
        <w:rPr>
          <w:rFonts w:ascii="Arial" w:hAnsi="Arial" w:cs="Arial"/>
          <w:color w:val="000000"/>
          <w:sz w:val="20"/>
          <w:szCs w:val="20"/>
        </w:rPr>
        <w:t>a high performing, diverse, agile and engaged workforce, and not merely expand its staff complement.</w:t>
      </w:r>
      <w:r w:rsidR="00F55A8D" w:rsidRPr="00921120">
        <w:rPr>
          <w:rFonts w:ascii="Arial" w:hAnsi="Arial" w:cs="Arial"/>
          <w:color w:val="000000"/>
          <w:sz w:val="20"/>
          <w:szCs w:val="20"/>
        </w:rPr>
        <w:t xml:space="preserve"> Furthermore, it must expand its post-clearance audit capacity to apply assurance on the 95</w:t>
      </w:r>
      <w:r w:rsidR="00AC0EDA" w:rsidRPr="00921120">
        <w:rPr>
          <w:rFonts w:ascii="Arial" w:hAnsi="Arial" w:cs="Arial"/>
          <w:color w:val="000000"/>
          <w:sz w:val="20"/>
          <w:szCs w:val="20"/>
        </w:rPr>
        <w:t>%</w:t>
      </w:r>
      <w:r w:rsidR="00F55A8D" w:rsidRPr="00921120">
        <w:rPr>
          <w:rFonts w:ascii="Arial" w:hAnsi="Arial" w:cs="Arial"/>
          <w:color w:val="000000"/>
          <w:sz w:val="20"/>
          <w:szCs w:val="20"/>
        </w:rPr>
        <w:t xml:space="preserve"> of cross-border trade that is facilitated within seconds and cleared prior to the border.</w:t>
      </w:r>
    </w:p>
    <w:p w:rsidR="007B0AE0" w:rsidRPr="00921120" w:rsidRDefault="007B0AE0" w:rsidP="00921120">
      <w:pPr>
        <w:autoSpaceDE w:val="0"/>
        <w:autoSpaceDN w:val="0"/>
        <w:adjustRightInd w:val="0"/>
        <w:spacing w:line="240" w:lineRule="auto"/>
        <w:jc w:val="left"/>
        <w:rPr>
          <w:rFonts w:ascii="Arial" w:hAnsi="Arial" w:cs="Arial"/>
          <w:color w:val="000000"/>
          <w:sz w:val="20"/>
          <w:szCs w:val="20"/>
        </w:rPr>
      </w:pPr>
    </w:p>
    <w:p w:rsidR="007B0AE0" w:rsidRPr="00921120" w:rsidRDefault="007B0AE0" w:rsidP="00921120">
      <w:pPr>
        <w:autoSpaceDE w:val="0"/>
        <w:autoSpaceDN w:val="0"/>
        <w:adjustRightInd w:val="0"/>
        <w:spacing w:line="240" w:lineRule="auto"/>
        <w:jc w:val="left"/>
        <w:rPr>
          <w:rFonts w:ascii="Arial" w:hAnsi="Arial" w:cs="Arial"/>
          <w:color w:val="000000"/>
          <w:sz w:val="20"/>
          <w:szCs w:val="20"/>
        </w:rPr>
      </w:pPr>
      <w:r w:rsidRPr="00921120">
        <w:rPr>
          <w:rFonts w:ascii="Arial" w:hAnsi="Arial" w:cs="Arial"/>
          <w:color w:val="000000"/>
          <w:sz w:val="20"/>
          <w:szCs w:val="20"/>
        </w:rPr>
        <w:t xml:space="preserve">The </w:t>
      </w:r>
      <w:r w:rsidR="000C2545" w:rsidRPr="00921120">
        <w:rPr>
          <w:rFonts w:ascii="Arial" w:hAnsi="Arial" w:cs="Arial"/>
          <w:color w:val="000000"/>
          <w:sz w:val="20"/>
          <w:szCs w:val="20"/>
        </w:rPr>
        <w:t xml:space="preserve">total </w:t>
      </w:r>
      <w:r w:rsidRPr="00921120">
        <w:rPr>
          <w:rFonts w:ascii="Arial" w:hAnsi="Arial" w:cs="Arial"/>
          <w:color w:val="000000"/>
          <w:sz w:val="20"/>
          <w:szCs w:val="20"/>
        </w:rPr>
        <w:t>SARS headcount has been on a declining trajectory over recent years</w:t>
      </w:r>
      <w:r w:rsidR="00EB314B" w:rsidRPr="00921120">
        <w:rPr>
          <w:rFonts w:ascii="Arial" w:hAnsi="Arial" w:cs="Arial"/>
          <w:color w:val="000000"/>
          <w:sz w:val="20"/>
          <w:szCs w:val="20"/>
        </w:rPr>
        <w:t>.</w:t>
      </w:r>
      <w:r w:rsidRPr="00921120">
        <w:rPr>
          <w:rFonts w:ascii="Arial" w:hAnsi="Arial" w:cs="Arial"/>
          <w:color w:val="000000"/>
          <w:sz w:val="20"/>
          <w:szCs w:val="20"/>
        </w:rPr>
        <w:t xml:space="preserve"> </w:t>
      </w:r>
      <w:r w:rsidR="00EB314B" w:rsidRPr="00921120">
        <w:rPr>
          <w:rFonts w:ascii="Arial" w:hAnsi="Arial" w:cs="Arial"/>
          <w:color w:val="000000"/>
          <w:sz w:val="20"/>
          <w:szCs w:val="20"/>
        </w:rPr>
        <w:t>S</w:t>
      </w:r>
      <w:r w:rsidRPr="00921120">
        <w:rPr>
          <w:rFonts w:ascii="Arial" w:hAnsi="Arial" w:cs="Arial"/>
          <w:color w:val="000000"/>
          <w:sz w:val="20"/>
          <w:szCs w:val="20"/>
        </w:rPr>
        <w:t>ince 2014</w:t>
      </w:r>
      <w:r w:rsidR="00B73CE1" w:rsidRPr="00921120">
        <w:rPr>
          <w:rFonts w:ascii="Arial" w:hAnsi="Arial" w:cs="Arial"/>
          <w:color w:val="000000"/>
          <w:sz w:val="20"/>
          <w:szCs w:val="20"/>
        </w:rPr>
        <w:t>,</w:t>
      </w:r>
      <w:r w:rsidRPr="00921120">
        <w:rPr>
          <w:rFonts w:ascii="Arial" w:hAnsi="Arial" w:cs="Arial"/>
          <w:color w:val="000000"/>
          <w:sz w:val="20"/>
          <w:szCs w:val="20"/>
        </w:rPr>
        <w:t xml:space="preserve"> </w:t>
      </w:r>
      <w:r w:rsidR="00EB314B" w:rsidRPr="00921120">
        <w:rPr>
          <w:rFonts w:ascii="Arial" w:hAnsi="Arial" w:cs="Arial"/>
          <w:color w:val="000000"/>
          <w:sz w:val="20"/>
          <w:szCs w:val="20"/>
        </w:rPr>
        <w:t xml:space="preserve">it has decreased </w:t>
      </w:r>
      <w:r w:rsidRPr="00921120">
        <w:rPr>
          <w:rFonts w:ascii="Arial" w:hAnsi="Arial" w:cs="Arial"/>
          <w:color w:val="000000"/>
          <w:sz w:val="20"/>
          <w:szCs w:val="20"/>
        </w:rPr>
        <w:t xml:space="preserve">by </w:t>
      </w:r>
      <w:r w:rsidR="00EB314B" w:rsidRPr="00921120">
        <w:rPr>
          <w:rFonts w:ascii="Arial" w:hAnsi="Arial" w:cs="Arial"/>
          <w:color w:val="000000"/>
          <w:sz w:val="20"/>
          <w:szCs w:val="20"/>
        </w:rPr>
        <w:t xml:space="preserve">about </w:t>
      </w:r>
      <w:r w:rsidRPr="00921120">
        <w:rPr>
          <w:rFonts w:ascii="Arial" w:hAnsi="Arial" w:cs="Arial"/>
          <w:color w:val="000000"/>
          <w:sz w:val="20"/>
          <w:szCs w:val="20"/>
        </w:rPr>
        <w:t>16</w:t>
      </w:r>
      <w:r w:rsidR="00AC0EDA" w:rsidRPr="00921120">
        <w:rPr>
          <w:rFonts w:ascii="Arial" w:hAnsi="Arial" w:cs="Arial"/>
          <w:color w:val="000000"/>
          <w:sz w:val="20"/>
          <w:szCs w:val="20"/>
        </w:rPr>
        <w:t>%</w:t>
      </w:r>
      <w:r w:rsidR="00EB314B" w:rsidRPr="00921120">
        <w:rPr>
          <w:rFonts w:ascii="Arial" w:hAnsi="Arial" w:cs="Arial"/>
          <w:color w:val="000000"/>
          <w:sz w:val="20"/>
          <w:szCs w:val="20"/>
        </w:rPr>
        <w:t xml:space="preserve"> or </w:t>
      </w:r>
      <w:r w:rsidRPr="00921120">
        <w:rPr>
          <w:rFonts w:ascii="Arial" w:hAnsi="Arial" w:cs="Arial"/>
          <w:color w:val="000000"/>
          <w:sz w:val="20"/>
          <w:szCs w:val="20"/>
        </w:rPr>
        <w:t>2</w:t>
      </w:r>
      <w:r w:rsidR="00EB314B" w:rsidRPr="00921120">
        <w:rPr>
          <w:rFonts w:ascii="Arial" w:hAnsi="Arial" w:cs="Arial"/>
          <w:color w:val="000000"/>
          <w:sz w:val="20"/>
          <w:szCs w:val="20"/>
        </w:rPr>
        <w:t> </w:t>
      </w:r>
      <w:r w:rsidRPr="00921120">
        <w:rPr>
          <w:rFonts w:ascii="Arial" w:hAnsi="Arial" w:cs="Arial"/>
          <w:color w:val="000000"/>
          <w:sz w:val="20"/>
          <w:szCs w:val="20"/>
        </w:rPr>
        <w:t xml:space="preserve">500 </w:t>
      </w:r>
      <w:r w:rsidR="00EB314B" w:rsidRPr="00921120">
        <w:rPr>
          <w:rFonts w:ascii="Arial" w:hAnsi="Arial" w:cs="Arial"/>
          <w:color w:val="000000"/>
          <w:sz w:val="20"/>
          <w:szCs w:val="20"/>
        </w:rPr>
        <w:t>positions</w:t>
      </w:r>
      <w:r w:rsidRPr="00921120">
        <w:rPr>
          <w:rFonts w:ascii="Arial" w:hAnsi="Arial" w:cs="Arial"/>
          <w:color w:val="000000"/>
          <w:sz w:val="20"/>
          <w:szCs w:val="20"/>
        </w:rPr>
        <w:t xml:space="preserve">. The main job functions </w:t>
      </w:r>
      <w:r w:rsidR="00EB314B" w:rsidRPr="00921120">
        <w:rPr>
          <w:rFonts w:ascii="Arial" w:hAnsi="Arial" w:cs="Arial"/>
          <w:color w:val="000000"/>
          <w:sz w:val="20"/>
          <w:szCs w:val="20"/>
        </w:rPr>
        <w:t xml:space="preserve">that have been </w:t>
      </w:r>
      <w:r w:rsidRPr="00921120">
        <w:rPr>
          <w:rFonts w:ascii="Arial" w:hAnsi="Arial" w:cs="Arial"/>
          <w:color w:val="000000"/>
          <w:sz w:val="20"/>
          <w:szCs w:val="20"/>
        </w:rPr>
        <w:t xml:space="preserve">impacted </w:t>
      </w:r>
      <w:r w:rsidR="000C2545" w:rsidRPr="00921120">
        <w:rPr>
          <w:rFonts w:ascii="Arial" w:hAnsi="Arial" w:cs="Arial"/>
          <w:color w:val="000000"/>
          <w:sz w:val="20"/>
          <w:szCs w:val="20"/>
        </w:rPr>
        <w:t xml:space="preserve">within the Customs Administration Division </w:t>
      </w:r>
      <w:r w:rsidRPr="00921120">
        <w:rPr>
          <w:rFonts w:ascii="Arial" w:hAnsi="Arial" w:cs="Arial"/>
          <w:color w:val="000000"/>
          <w:sz w:val="20"/>
          <w:szCs w:val="20"/>
        </w:rPr>
        <w:t xml:space="preserve">are the specialist skilled areas such as: Audit </w:t>
      </w:r>
      <w:r w:rsidR="00EB314B" w:rsidRPr="00921120">
        <w:rPr>
          <w:rFonts w:ascii="Arial" w:hAnsi="Arial" w:cs="Arial"/>
          <w:color w:val="000000"/>
          <w:sz w:val="20"/>
          <w:szCs w:val="20"/>
        </w:rPr>
        <w:t>and</w:t>
      </w:r>
      <w:r w:rsidRPr="00921120">
        <w:rPr>
          <w:rFonts w:ascii="Arial" w:hAnsi="Arial" w:cs="Arial"/>
          <w:color w:val="000000"/>
          <w:sz w:val="20"/>
          <w:szCs w:val="20"/>
        </w:rPr>
        <w:t xml:space="preserve"> Risk</w:t>
      </w:r>
      <w:r w:rsidR="00B73CE1" w:rsidRPr="00921120">
        <w:rPr>
          <w:rFonts w:ascii="Arial" w:hAnsi="Arial" w:cs="Arial"/>
          <w:color w:val="000000"/>
          <w:sz w:val="20"/>
          <w:szCs w:val="20"/>
        </w:rPr>
        <w:t>;</w:t>
      </w:r>
      <w:r w:rsidRPr="00921120">
        <w:rPr>
          <w:rFonts w:ascii="Arial" w:hAnsi="Arial" w:cs="Arial"/>
          <w:color w:val="000000"/>
          <w:sz w:val="20"/>
          <w:szCs w:val="20"/>
        </w:rPr>
        <w:t xml:space="preserve"> Investigations; Debt Collection; Legal; Customs </w:t>
      </w:r>
      <w:r w:rsidR="00EB314B" w:rsidRPr="00921120">
        <w:rPr>
          <w:rFonts w:ascii="Arial" w:hAnsi="Arial" w:cs="Arial"/>
          <w:color w:val="000000"/>
          <w:sz w:val="20"/>
          <w:szCs w:val="20"/>
        </w:rPr>
        <w:t>and</w:t>
      </w:r>
      <w:r w:rsidRPr="00921120">
        <w:rPr>
          <w:rFonts w:ascii="Arial" w:hAnsi="Arial" w:cs="Arial"/>
          <w:color w:val="000000"/>
          <w:sz w:val="20"/>
          <w:szCs w:val="20"/>
        </w:rPr>
        <w:t xml:space="preserve"> Excise; Data Analytics/Science and Information Technology jobs. The primary reason for the reduction </w:t>
      </w:r>
      <w:r w:rsidR="00EB314B" w:rsidRPr="00921120">
        <w:rPr>
          <w:rFonts w:ascii="Arial" w:hAnsi="Arial" w:cs="Arial"/>
          <w:color w:val="000000"/>
          <w:sz w:val="20"/>
          <w:szCs w:val="20"/>
        </w:rPr>
        <w:t>wa</w:t>
      </w:r>
      <w:r w:rsidRPr="00921120">
        <w:rPr>
          <w:rFonts w:ascii="Arial" w:hAnsi="Arial" w:cs="Arial"/>
          <w:color w:val="000000"/>
          <w:sz w:val="20"/>
          <w:szCs w:val="20"/>
        </w:rPr>
        <w:t>s attributed to the funding constraints experienced due to grant allocation reduction and SARS</w:t>
      </w:r>
      <w:r w:rsidR="00EB314B" w:rsidRPr="00921120">
        <w:rPr>
          <w:rFonts w:ascii="Arial" w:hAnsi="Arial" w:cs="Arial"/>
          <w:color w:val="000000"/>
          <w:sz w:val="20"/>
          <w:szCs w:val="20"/>
        </w:rPr>
        <w:t>’</w:t>
      </w:r>
      <w:r w:rsidRPr="00921120">
        <w:rPr>
          <w:rFonts w:ascii="Arial" w:hAnsi="Arial" w:cs="Arial"/>
          <w:color w:val="000000"/>
          <w:sz w:val="20"/>
          <w:szCs w:val="20"/>
        </w:rPr>
        <w:t xml:space="preserve"> ability to attract the required specialist skill</w:t>
      </w:r>
      <w:r w:rsidR="00EB314B" w:rsidRPr="00921120">
        <w:rPr>
          <w:rFonts w:ascii="Arial" w:hAnsi="Arial" w:cs="Arial"/>
          <w:color w:val="000000"/>
          <w:sz w:val="20"/>
          <w:szCs w:val="20"/>
        </w:rPr>
        <w:t>s</w:t>
      </w:r>
      <w:r w:rsidRPr="00921120">
        <w:rPr>
          <w:rFonts w:ascii="Arial" w:hAnsi="Arial" w:cs="Arial"/>
          <w:color w:val="000000"/>
          <w:sz w:val="20"/>
          <w:szCs w:val="20"/>
        </w:rPr>
        <w:t xml:space="preserve">. Over the </w:t>
      </w:r>
      <w:r w:rsidR="00381061" w:rsidRPr="00921120">
        <w:rPr>
          <w:rFonts w:ascii="Arial" w:hAnsi="Arial" w:cs="Arial"/>
          <w:color w:val="000000"/>
          <w:sz w:val="20"/>
          <w:szCs w:val="20"/>
        </w:rPr>
        <w:t>MTEF</w:t>
      </w:r>
      <w:r w:rsidRPr="00921120">
        <w:rPr>
          <w:rFonts w:ascii="Arial" w:hAnsi="Arial" w:cs="Arial"/>
          <w:color w:val="000000"/>
          <w:sz w:val="20"/>
          <w:szCs w:val="20"/>
        </w:rPr>
        <w:t xml:space="preserve"> period</w:t>
      </w:r>
      <w:r w:rsidR="00B73CE1" w:rsidRPr="00921120">
        <w:rPr>
          <w:rFonts w:ascii="Arial" w:hAnsi="Arial" w:cs="Arial"/>
          <w:color w:val="000000"/>
          <w:sz w:val="20"/>
          <w:szCs w:val="20"/>
        </w:rPr>
        <w:t xml:space="preserve"> (2023/24 to 2025/26)</w:t>
      </w:r>
      <w:r w:rsidR="00EB314B" w:rsidRPr="00921120">
        <w:rPr>
          <w:rFonts w:ascii="Arial" w:hAnsi="Arial" w:cs="Arial"/>
          <w:color w:val="000000"/>
          <w:sz w:val="20"/>
          <w:szCs w:val="20"/>
        </w:rPr>
        <w:t>,</w:t>
      </w:r>
      <w:r w:rsidRPr="00921120">
        <w:rPr>
          <w:rFonts w:ascii="Arial" w:hAnsi="Arial" w:cs="Arial"/>
          <w:color w:val="000000"/>
          <w:sz w:val="20"/>
          <w:szCs w:val="20"/>
        </w:rPr>
        <w:t xml:space="preserve"> SARS </w:t>
      </w:r>
      <w:r w:rsidR="00B73CE1" w:rsidRPr="00921120">
        <w:rPr>
          <w:rFonts w:ascii="Arial" w:hAnsi="Arial" w:cs="Arial"/>
          <w:color w:val="000000"/>
          <w:sz w:val="20"/>
          <w:szCs w:val="20"/>
        </w:rPr>
        <w:t xml:space="preserve">would </w:t>
      </w:r>
      <w:r w:rsidRPr="00921120">
        <w:rPr>
          <w:rFonts w:ascii="Arial" w:hAnsi="Arial" w:cs="Arial"/>
          <w:color w:val="000000"/>
          <w:sz w:val="20"/>
          <w:szCs w:val="20"/>
        </w:rPr>
        <w:t>require a</w:t>
      </w:r>
      <w:r w:rsidR="00EB314B" w:rsidRPr="00921120">
        <w:rPr>
          <w:rFonts w:ascii="Arial" w:hAnsi="Arial" w:cs="Arial"/>
          <w:color w:val="000000"/>
          <w:sz w:val="20"/>
          <w:szCs w:val="20"/>
        </w:rPr>
        <w:t xml:space="preserve"> minimum of 3 000</w:t>
      </w:r>
      <w:r w:rsidRPr="00921120">
        <w:rPr>
          <w:rFonts w:ascii="Arial" w:hAnsi="Arial" w:cs="Arial"/>
          <w:color w:val="000000"/>
          <w:sz w:val="20"/>
          <w:szCs w:val="20"/>
        </w:rPr>
        <w:t xml:space="preserve"> additional customs officials. </w:t>
      </w:r>
    </w:p>
    <w:p w:rsidR="007B0AE0" w:rsidRPr="00921120" w:rsidRDefault="007B0AE0" w:rsidP="00921120">
      <w:pPr>
        <w:autoSpaceDE w:val="0"/>
        <w:autoSpaceDN w:val="0"/>
        <w:adjustRightInd w:val="0"/>
        <w:spacing w:line="240" w:lineRule="auto"/>
        <w:jc w:val="left"/>
        <w:rPr>
          <w:rFonts w:ascii="Arial" w:hAnsi="Arial" w:cs="Arial"/>
          <w:color w:val="000000"/>
          <w:sz w:val="20"/>
          <w:szCs w:val="20"/>
        </w:rPr>
      </w:pPr>
    </w:p>
    <w:p w:rsidR="00A4421A" w:rsidRPr="00921120" w:rsidRDefault="00A4421A" w:rsidP="00921120">
      <w:pPr>
        <w:pStyle w:val="Heading3"/>
        <w:spacing w:line="240" w:lineRule="auto"/>
        <w:jc w:val="left"/>
        <w:rPr>
          <w:rFonts w:ascii="Arial" w:hAnsi="Arial" w:cs="Arial"/>
          <w:sz w:val="20"/>
          <w:szCs w:val="20"/>
        </w:rPr>
      </w:pPr>
      <w:r w:rsidRPr="00921120">
        <w:rPr>
          <w:rFonts w:ascii="Arial" w:hAnsi="Arial" w:cs="Arial"/>
          <w:sz w:val="20"/>
          <w:szCs w:val="20"/>
        </w:rPr>
        <w:t xml:space="preserve">Implementation of </w:t>
      </w:r>
      <w:r w:rsidR="00362DDC" w:rsidRPr="00921120">
        <w:rPr>
          <w:rFonts w:ascii="Arial" w:hAnsi="Arial" w:cs="Arial"/>
          <w:sz w:val="20"/>
          <w:szCs w:val="20"/>
        </w:rPr>
        <w:t>the</w:t>
      </w:r>
      <w:r w:rsidR="00AB2BCA" w:rsidRPr="00921120">
        <w:rPr>
          <w:rFonts w:ascii="Arial" w:hAnsi="Arial" w:cs="Arial"/>
          <w:sz w:val="20"/>
          <w:szCs w:val="20"/>
        </w:rPr>
        <w:t xml:space="preserve"> </w:t>
      </w:r>
      <w:r w:rsidRPr="00921120">
        <w:rPr>
          <w:rFonts w:ascii="Arial" w:hAnsi="Arial" w:cs="Arial"/>
          <w:sz w:val="20"/>
          <w:szCs w:val="20"/>
        </w:rPr>
        <w:t>AfCFTA</w:t>
      </w:r>
    </w:p>
    <w:p w:rsidR="0070309D" w:rsidRPr="00921120" w:rsidRDefault="00A4421A" w:rsidP="00921120">
      <w:pPr>
        <w:autoSpaceDE w:val="0"/>
        <w:autoSpaceDN w:val="0"/>
        <w:adjustRightInd w:val="0"/>
        <w:spacing w:line="240" w:lineRule="auto"/>
        <w:jc w:val="left"/>
        <w:rPr>
          <w:rFonts w:ascii="Arial" w:hAnsi="Arial" w:cs="Arial"/>
          <w:iCs/>
          <w:color w:val="000000"/>
          <w:sz w:val="20"/>
          <w:szCs w:val="20"/>
        </w:rPr>
      </w:pPr>
      <w:r w:rsidRPr="00921120">
        <w:rPr>
          <w:rFonts w:ascii="Arial" w:hAnsi="Arial" w:cs="Arial"/>
          <w:color w:val="000000"/>
          <w:sz w:val="20"/>
          <w:szCs w:val="20"/>
        </w:rPr>
        <w:t>The AfCFTA is the world’s largest free trade area bringing together the 55 countries of the African Union (AU) and eight Regional Economic Communities to create a single market for the continent. The aim is to enable the free flow of goods and services across the continent and boost the trading position of Africa in the global market. </w:t>
      </w:r>
      <w:r w:rsidR="00F35C25" w:rsidRPr="00921120">
        <w:rPr>
          <w:rFonts w:ascii="Arial" w:hAnsi="Arial" w:cs="Arial"/>
          <w:sz w:val="20"/>
          <w:szCs w:val="20"/>
        </w:rPr>
        <w:t>T</w:t>
      </w:r>
      <w:r w:rsidR="0070309D" w:rsidRPr="00921120">
        <w:rPr>
          <w:rFonts w:ascii="Arial" w:hAnsi="Arial" w:cs="Arial"/>
          <w:sz w:val="20"/>
          <w:szCs w:val="20"/>
        </w:rPr>
        <w:t xml:space="preserve">he </w:t>
      </w:r>
      <w:r w:rsidRPr="00921120">
        <w:rPr>
          <w:rFonts w:ascii="Arial" w:hAnsi="Arial" w:cs="Arial"/>
          <w:color w:val="000000"/>
          <w:sz w:val="20"/>
          <w:szCs w:val="20"/>
        </w:rPr>
        <w:t xml:space="preserve">AfCFTA also has the potential to </w:t>
      </w:r>
      <w:r w:rsidR="00F35C25" w:rsidRPr="00921120">
        <w:rPr>
          <w:rFonts w:ascii="Arial" w:hAnsi="Arial" w:cs="Arial"/>
          <w:color w:val="000000"/>
          <w:sz w:val="20"/>
          <w:szCs w:val="20"/>
        </w:rPr>
        <w:t xml:space="preserve">both </w:t>
      </w:r>
      <w:r w:rsidRPr="00921120">
        <w:rPr>
          <w:rFonts w:ascii="Arial" w:hAnsi="Arial" w:cs="Arial"/>
          <w:color w:val="000000"/>
          <w:sz w:val="20"/>
          <w:szCs w:val="20"/>
        </w:rPr>
        <w:t>boost intra-Africa</w:t>
      </w:r>
      <w:r w:rsidR="0070309D" w:rsidRPr="00921120">
        <w:rPr>
          <w:rFonts w:ascii="Arial" w:hAnsi="Arial" w:cs="Arial"/>
          <w:color w:val="000000"/>
          <w:sz w:val="20"/>
          <w:szCs w:val="20"/>
        </w:rPr>
        <w:t>n</w:t>
      </w:r>
      <w:r w:rsidRPr="00921120">
        <w:rPr>
          <w:rFonts w:ascii="Arial" w:hAnsi="Arial" w:cs="Arial"/>
          <w:color w:val="000000"/>
          <w:sz w:val="20"/>
          <w:szCs w:val="20"/>
        </w:rPr>
        <w:t xml:space="preserve"> trade by 52</w:t>
      </w:r>
      <w:r w:rsidR="0070309D" w:rsidRPr="00921120">
        <w:rPr>
          <w:rFonts w:ascii="Arial" w:hAnsi="Arial" w:cs="Arial"/>
          <w:color w:val="000000"/>
          <w:sz w:val="20"/>
          <w:szCs w:val="20"/>
        </w:rPr>
        <w:t>,</w:t>
      </w:r>
      <w:r w:rsidRPr="00921120">
        <w:rPr>
          <w:rFonts w:ascii="Arial" w:hAnsi="Arial" w:cs="Arial"/>
          <w:color w:val="000000"/>
          <w:sz w:val="20"/>
          <w:szCs w:val="20"/>
        </w:rPr>
        <w:t>3</w:t>
      </w:r>
      <w:r w:rsidR="00AC0EDA" w:rsidRPr="00921120">
        <w:rPr>
          <w:rFonts w:ascii="Arial" w:hAnsi="Arial" w:cs="Arial"/>
          <w:color w:val="000000"/>
          <w:sz w:val="20"/>
          <w:szCs w:val="20"/>
        </w:rPr>
        <w:t>%</w:t>
      </w:r>
      <w:r w:rsidRPr="00921120">
        <w:rPr>
          <w:rFonts w:ascii="Arial" w:hAnsi="Arial" w:cs="Arial"/>
          <w:color w:val="000000"/>
          <w:sz w:val="20"/>
          <w:szCs w:val="20"/>
        </w:rPr>
        <w:t xml:space="preserve"> by eliminating import duties and </w:t>
      </w:r>
      <w:r w:rsidR="0070309D" w:rsidRPr="00921120">
        <w:rPr>
          <w:rFonts w:ascii="Arial" w:hAnsi="Arial" w:cs="Arial"/>
          <w:color w:val="000000"/>
          <w:sz w:val="20"/>
          <w:szCs w:val="20"/>
        </w:rPr>
        <w:t>could</w:t>
      </w:r>
      <w:r w:rsidRPr="00921120">
        <w:rPr>
          <w:rFonts w:ascii="Arial" w:hAnsi="Arial" w:cs="Arial"/>
          <w:color w:val="000000"/>
          <w:sz w:val="20"/>
          <w:szCs w:val="20"/>
        </w:rPr>
        <w:t xml:space="preserve"> double this trade if </w:t>
      </w:r>
      <w:r w:rsidR="00D37BD6" w:rsidRPr="00921120">
        <w:rPr>
          <w:rFonts w:ascii="Arial" w:hAnsi="Arial" w:cs="Arial"/>
          <w:color w:val="000000"/>
          <w:sz w:val="20"/>
          <w:szCs w:val="20"/>
        </w:rPr>
        <w:t>NTBs</w:t>
      </w:r>
      <w:r w:rsidRPr="00921120">
        <w:rPr>
          <w:rFonts w:ascii="Arial" w:hAnsi="Arial" w:cs="Arial"/>
          <w:color w:val="000000"/>
          <w:sz w:val="20"/>
          <w:szCs w:val="20"/>
        </w:rPr>
        <w:t xml:space="preserve"> are also reduced. Therefore, </w:t>
      </w:r>
      <w:r w:rsidRPr="00921120">
        <w:rPr>
          <w:rFonts w:ascii="Arial" w:hAnsi="Arial" w:cs="Arial"/>
          <w:iCs/>
          <w:color w:val="000000"/>
          <w:sz w:val="20"/>
          <w:szCs w:val="20"/>
        </w:rPr>
        <w:t xml:space="preserve">collaboration among member states </w:t>
      </w:r>
      <w:r w:rsidR="0070309D" w:rsidRPr="00921120">
        <w:rPr>
          <w:rFonts w:ascii="Arial" w:hAnsi="Arial" w:cs="Arial"/>
          <w:iCs/>
          <w:color w:val="000000"/>
          <w:sz w:val="20"/>
          <w:szCs w:val="20"/>
        </w:rPr>
        <w:t xml:space="preserve">is essential </w:t>
      </w:r>
      <w:r w:rsidRPr="00921120">
        <w:rPr>
          <w:rFonts w:ascii="Arial" w:hAnsi="Arial" w:cs="Arial"/>
          <w:iCs/>
          <w:color w:val="000000"/>
          <w:sz w:val="20"/>
          <w:szCs w:val="20"/>
        </w:rPr>
        <w:t>to develop the necessary customs systems to enable harmonisation and the real-time exchange of information</w:t>
      </w:r>
      <w:r w:rsidR="0070309D" w:rsidRPr="00921120">
        <w:rPr>
          <w:rFonts w:ascii="Arial" w:hAnsi="Arial" w:cs="Arial"/>
          <w:iCs/>
          <w:color w:val="000000"/>
          <w:sz w:val="20"/>
          <w:szCs w:val="20"/>
        </w:rPr>
        <w:t>,</w:t>
      </w:r>
      <w:r w:rsidRPr="00921120">
        <w:rPr>
          <w:rFonts w:ascii="Arial" w:hAnsi="Arial" w:cs="Arial"/>
          <w:iCs/>
          <w:color w:val="000000"/>
          <w:sz w:val="20"/>
          <w:szCs w:val="20"/>
        </w:rPr>
        <w:t xml:space="preserve"> and </w:t>
      </w:r>
      <w:r w:rsidR="00F35C25" w:rsidRPr="00921120">
        <w:rPr>
          <w:rFonts w:ascii="Arial" w:hAnsi="Arial" w:cs="Arial"/>
          <w:iCs/>
          <w:color w:val="000000"/>
          <w:sz w:val="20"/>
          <w:szCs w:val="20"/>
        </w:rPr>
        <w:t xml:space="preserve">to </w:t>
      </w:r>
      <w:r w:rsidRPr="00921120">
        <w:rPr>
          <w:rFonts w:ascii="Arial" w:hAnsi="Arial" w:cs="Arial"/>
          <w:iCs/>
          <w:color w:val="000000"/>
          <w:sz w:val="20"/>
          <w:szCs w:val="20"/>
        </w:rPr>
        <w:t>ensure that the necessary systems are in place to give effect to the</w:t>
      </w:r>
      <w:r w:rsidR="0070309D" w:rsidRPr="00921120">
        <w:rPr>
          <w:rFonts w:ascii="Arial" w:hAnsi="Arial" w:cs="Arial"/>
          <w:iCs/>
          <w:color w:val="000000"/>
          <w:sz w:val="20"/>
          <w:szCs w:val="20"/>
        </w:rPr>
        <w:t xml:space="preserve"> </w:t>
      </w:r>
      <w:r w:rsidRPr="00921120">
        <w:rPr>
          <w:rFonts w:ascii="Arial" w:hAnsi="Arial" w:cs="Arial"/>
          <w:iCs/>
          <w:color w:val="000000"/>
          <w:sz w:val="20"/>
          <w:szCs w:val="20"/>
        </w:rPr>
        <w:t xml:space="preserve">Agreement. </w:t>
      </w:r>
    </w:p>
    <w:p w:rsidR="0070309D" w:rsidRPr="00921120" w:rsidRDefault="0070309D" w:rsidP="00921120">
      <w:pPr>
        <w:autoSpaceDE w:val="0"/>
        <w:autoSpaceDN w:val="0"/>
        <w:adjustRightInd w:val="0"/>
        <w:spacing w:line="240" w:lineRule="auto"/>
        <w:jc w:val="left"/>
        <w:rPr>
          <w:rFonts w:ascii="Arial" w:hAnsi="Arial" w:cs="Arial"/>
          <w:iCs/>
          <w:color w:val="000000"/>
          <w:sz w:val="20"/>
          <w:szCs w:val="20"/>
        </w:rPr>
      </w:pPr>
    </w:p>
    <w:p w:rsidR="00A4421A" w:rsidRPr="00921120" w:rsidRDefault="00A4421A" w:rsidP="00921120">
      <w:pPr>
        <w:autoSpaceDE w:val="0"/>
        <w:autoSpaceDN w:val="0"/>
        <w:adjustRightInd w:val="0"/>
        <w:spacing w:line="240" w:lineRule="auto"/>
        <w:jc w:val="left"/>
        <w:rPr>
          <w:rFonts w:ascii="Arial" w:hAnsi="Arial" w:cs="Arial"/>
          <w:color w:val="000000"/>
          <w:sz w:val="20"/>
          <w:szCs w:val="20"/>
        </w:rPr>
      </w:pPr>
      <w:r w:rsidRPr="00921120">
        <w:rPr>
          <w:rFonts w:ascii="Arial" w:hAnsi="Arial" w:cs="Arial"/>
          <w:iCs/>
          <w:color w:val="000000"/>
          <w:sz w:val="20"/>
          <w:szCs w:val="20"/>
        </w:rPr>
        <w:lastRenderedPageBreak/>
        <w:t xml:space="preserve">According to SARS, </w:t>
      </w:r>
      <w:r w:rsidRPr="00921120">
        <w:rPr>
          <w:rFonts w:ascii="Arial" w:hAnsi="Arial" w:cs="Arial"/>
          <w:color w:val="000000"/>
          <w:sz w:val="20"/>
          <w:szCs w:val="20"/>
        </w:rPr>
        <w:t xml:space="preserve">the implementation of </w:t>
      </w:r>
      <w:r w:rsidR="0070309D" w:rsidRPr="00921120">
        <w:rPr>
          <w:rFonts w:ascii="Arial" w:hAnsi="Arial" w:cs="Arial"/>
          <w:color w:val="000000"/>
          <w:sz w:val="20"/>
          <w:szCs w:val="20"/>
        </w:rPr>
        <w:t xml:space="preserve">the </w:t>
      </w:r>
      <w:r w:rsidRPr="00921120">
        <w:rPr>
          <w:rFonts w:ascii="Arial" w:hAnsi="Arial" w:cs="Arial"/>
          <w:color w:val="000000"/>
          <w:sz w:val="20"/>
          <w:szCs w:val="20"/>
        </w:rPr>
        <w:t>AfCFTA certainly enhances the existing collaboration among member states in the Region when it comes to real-time information exchange. The International Customs community, as members of the WCO, is well advanced in the development of instruments, tools and standards that drive standard processes, a uniformed data model and tools for data integration</w:t>
      </w:r>
      <w:r w:rsidR="00E815DA" w:rsidRPr="00921120">
        <w:rPr>
          <w:rFonts w:ascii="Arial" w:hAnsi="Arial" w:cs="Arial"/>
          <w:color w:val="000000"/>
          <w:sz w:val="20"/>
          <w:szCs w:val="20"/>
        </w:rPr>
        <w:t>,</w:t>
      </w:r>
      <w:r w:rsidRPr="00921120">
        <w:rPr>
          <w:rFonts w:ascii="Arial" w:hAnsi="Arial" w:cs="Arial"/>
          <w:color w:val="000000"/>
          <w:sz w:val="20"/>
          <w:szCs w:val="20"/>
        </w:rPr>
        <w:t xml:space="preserve"> such as the Globally Networked Customs (GNC) concept. </w:t>
      </w:r>
    </w:p>
    <w:p w:rsidR="00E815DA" w:rsidRPr="00921120" w:rsidRDefault="00E815DA" w:rsidP="00921120">
      <w:pPr>
        <w:autoSpaceDE w:val="0"/>
        <w:autoSpaceDN w:val="0"/>
        <w:adjustRightInd w:val="0"/>
        <w:spacing w:line="240" w:lineRule="auto"/>
        <w:jc w:val="left"/>
        <w:rPr>
          <w:rFonts w:ascii="Arial" w:hAnsi="Arial" w:cs="Arial"/>
          <w:color w:val="000000"/>
          <w:sz w:val="20"/>
          <w:szCs w:val="20"/>
        </w:rPr>
      </w:pPr>
    </w:p>
    <w:p w:rsidR="00A4421A" w:rsidRPr="00921120" w:rsidRDefault="00A4421A" w:rsidP="00921120">
      <w:pPr>
        <w:autoSpaceDE w:val="0"/>
        <w:autoSpaceDN w:val="0"/>
        <w:adjustRightInd w:val="0"/>
        <w:spacing w:line="240" w:lineRule="auto"/>
        <w:jc w:val="left"/>
        <w:rPr>
          <w:rFonts w:ascii="Arial" w:hAnsi="Arial" w:cs="Arial"/>
          <w:color w:val="000000"/>
          <w:sz w:val="20"/>
          <w:szCs w:val="20"/>
        </w:rPr>
      </w:pPr>
      <w:r w:rsidRPr="00921120">
        <w:rPr>
          <w:rFonts w:ascii="Arial" w:hAnsi="Arial" w:cs="Arial"/>
          <w:color w:val="000000"/>
          <w:sz w:val="20"/>
          <w:szCs w:val="20"/>
        </w:rPr>
        <w:t>In this regard</w:t>
      </w:r>
      <w:r w:rsidR="00E815DA" w:rsidRPr="00921120">
        <w:rPr>
          <w:rFonts w:ascii="Arial" w:hAnsi="Arial" w:cs="Arial"/>
          <w:color w:val="000000"/>
          <w:sz w:val="20"/>
          <w:szCs w:val="20"/>
        </w:rPr>
        <w:t>,</w:t>
      </w:r>
      <w:r w:rsidRPr="00921120">
        <w:rPr>
          <w:rFonts w:ascii="Arial" w:hAnsi="Arial" w:cs="Arial"/>
          <w:color w:val="000000"/>
          <w:sz w:val="20"/>
          <w:szCs w:val="20"/>
        </w:rPr>
        <w:t xml:space="preserve"> SARS has implemented a data exchange capability with </w:t>
      </w:r>
      <w:r w:rsidR="00C27B3E" w:rsidRPr="00921120">
        <w:rPr>
          <w:rFonts w:ascii="Arial" w:hAnsi="Arial" w:cs="Arial"/>
          <w:color w:val="000000"/>
          <w:sz w:val="20"/>
          <w:szCs w:val="20"/>
        </w:rPr>
        <w:t xml:space="preserve">its </w:t>
      </w:r>
      <w:r w:rsidRPr="00921120">
        <w:rPr>
          <w:rFonts w:ascii="Arial" w:hAnsi="Arial" w:cs="Arial"/>
          <w:color w:val="000000"/>
          <w:sz w:val="20"/>
          <w:szCs w:val="20"/>
        </w:rPr>
        <w:t xml:space="preserve">SACU partners, steering one of the GNC building blocks named “Your Export becomes my Import”. </w:t>
      </w:r>
      <w:r w:rsidR="00E815DA" w:rsidRPr="00921120">
        <w:rPr>
          <w:rFonts w:ascii="Arial" w:hAnsi="Arial" w:cs="Arial"/>
          <w:color w:val="000000"/>
          <w:sz w:val="20"/>
          <w:szCs w:val="20"/>
        </w:rPr>
        <w:t xml:space="preserve">In SACU, there are three technology systems amongst member states that includes </w:t>
      </w:r>
      <w:r w:rsidR="000C2545" w:rsidRPr="00921120">
        <w:rPr>
          <w:rFonts w:ascii="Arial" w:hAnsi="Arial" w:cs="Arial"/>
          <w:color w:val="000000"/>
          <w:sz w:val="20"/>
          <w:szCs w:val="20"/>
        </w:rPr>
        <w:t xml:space="preserve">the </w:t>
      </w:r>
      <w:r w:rsidR="00AB2BCA" w:rsidRPr="00921120">
        <w:rPr>
          <w:rFonts w:ascii="Arial" w:hAnsi="Arial" w:cs="Arial"/>
          <w:color w:val="000000"/>
          <w:sz w:val="20"/>
          <w:szCs w:val="20"/>
        </w:rPr>
        <w:t>Automated System for Customs Data</w:t>
      </w:r>
      <w:r w:rsidR="00E815DA" w:rsidRPr="00921120">
        <w:rPr>
          <w:rFonts w:ascii="Arial" w:hAnsi="Arial" w:cs="Arial"/>
          <w:color w:val="000000"/>
          <w:sz w:val="20"/>
          <w:szCs w:val="20"/>
        </w:rPr>
        <w:t xml:space="preserve">, Crimson Logic and the SARS InterFront system. </w:t>
      </w:r>
      <w:r w:rsidRPr="00921120">
        <w:rPr>
          <w:rFonts w:ascii="Arial" w:hAnsi="Arial" w:cs="Arial"/>
          <w:color w:val="000000"/>
          <w:sz w:val="20"/>
          <w:szCs w:val="20"/>
        </w:rPr>
        <w:t xml:space="preserve">Through this </w:t>
      </w:r>
      <w:r w:rsidR="00E815DA" w:rsidRPr="00921120">
        <w:rPr>
          <w:rFonts w:ascii="Arial" w:hAnsi="Arial" w:cs="Arial"/>
          <w:color w:val="000000"/>
          <w:sz w:val="20"/>
          <w:szCs w:val="20"/>
        </w:rPr>
        <w:t xml:space="preserve">initiative, </w:t>
      </w:r>
      <w:r w:rsidRPr="00921120">
        <w:rPr>
          <w:rFonts w:ascii="Arial" w:hAnsi="Arial" w:cs="Arial"/>
          <w:color w:val="000000"/>
          <w:sz w:val="20"/>
          <w:szCs w:val="20"/>
        </w:rPr>
        <w:t xml:space="preserve">SACU Customs administrations demonstrated that data can be exchanged through these tools and without all parties needing to be on a common system. SARS takes this experience into account and plays a leading role at the </w:t>
      </w:r>
      <w:r w:rsidR="00E815DA" w:rsidRPr="00921120">
        <w:rPr>
          <w:rFonts w:ascii="Arial" w:hAnsi="Arial" w:cs="Arial"/>
          <w:color w:val="000000"/>
          <w:sz w:val="20"/>
          <w:szCs w:val="20"/>
        </w:rPr>
        <w:t xml:space="preserve">AU </w:t>
      </w:r>
      <w:r w:rsidRPr="00921120">
        <w:rPr>
          <w:rFonts w:ascii="Arial" w:hAnsi="Arial" w:cs="Arial"/>
          <w:color w:val="000000"/>
          <w:sz w:val="20"/>
          <w:szCs w:val="20"/>
        </w:rPr>
        <w:t>and specifically on program</w:t>
      </w:r>
      <w:r w:rsidR="00E815DA" w:rsidRPr="00921120">
        <w:rPr>
          <w:rFonts w:ascii="Arial" w:hAnsi="Arial" w:cs="Arial"/>
          <w:color w:val="000000"/>
          <w:sz w:val="20"/>
          <w:szCs w:val="20"/>
        </w:rPr>
        <w:t>me</w:t>
      </w:r>
      <w:r w:rsidRPr="00921120">
        <w:rPr>
          <w:rFonts w:ascii="Arial" w:hAnsi="Arial" w:cs="Arial"/>
          <w:color w:val="000000"/>
          <w:sz w:val="20"/>
          <w:szCs w:val="20"/>
        </w:rPr>
        <w:t xml:space="preserve">s such as data exchange and AEO that supports the implementation of </w:t>
      </w:r>
      <w:r w:rsidR="00E815DA" w:rsidRPr="00921120">
        <w:rPr>
          <w:rFonts w:ascii="Arial" w:hAnsi="Arial" w:cs="Arial"/>
          <w:color w:val="000000"/>
          <w:sz w:val="20"/>
          <w:szCs w:val="20"/>
        </w:rPr>
        <w:t xml:space="preserve">the </w:t>
      </w:r>
      <w:r w:rsidRPr="00921120">
        <w:rPr>
          <w:rFonts w:ascii="Arial" w:hAnsi="Arial" w:cs="Arial"/>
          <w:color w:val="000000"/>
          <w:sz w:val="20"/>
          <w:szCs w:val="20"/>
        </w:rPr>
        <w:t xml:space="preserve">AfCFTA. </w:t>
      </w:r>
    </w:p>
    <w:p w:rsidR="00A4421A" w:rsidRPr="00921120" w:rsidRDefault="00A4421A" w:rsidP="00921120">
      <w:pPr>
        <w:spacing w:line="240" w:lineRule="auto"/>
        <w:jc w:val="left"/>
        <w:rPr>
          <w:rFonts w:ascii="Arial" w:hAnsi="Arial" w:cs="Arial"/>
          <w:sz w:val="20"/>
          <w:szCs w:val="20"/>
        </w:rPr>
      </w:pPr>
    </w:p>
    <w:p w:rsidR="00A4421A" w:rsidRPr="00921120" w:rsidRDefault="00A4421A" w:rsidP="00921120">
      <w:pPr>
        <w:pStyle w:val="Heading2"/>
        <w:spacing w:line="240" w:lineRule="auto"/>
        <w:jc w:val="left"/>
        <w:rPr>
          <w:rFonts w:ascii="Arial" w:hAnsi="Arial" w:cs="Arial"/>
          <w:sz w:val="20"/>
          <w:szCs w:val="20"/>
        </w:rPr>
      </w:pPr>
      <w:r w:rsidRPr="00921120">
        <w:rPr>
          <w:rFonts w:ascii="Arial" w:hAnsi="Arial" w:cs="Arial"/>
          <w:sz w:val="20"/>
          <w:szCs w:val="20"/>
        </w:rPr>
        <w:t>Illicit Trade</w:t>
      </w:r>
    </w:p>
    <w:p w:rsidR="00A4421A" w:rsidRPr="00921120" w:rsidRDefault="00A4421A" w:rsidP="00921120">
      <w:pPr>
        <w:spacing w:line="240" w:lineRule="auto"/>
        <w:jc w:val="left"/>
        <w:rPr>
          <w:rFonts w:ascii="Arial" w:hAnsi="Arial" w:cs="Arial"/>
          <w:sz w:val="20"/>
          <w:szCs w:val="20"/>
        </w:rPr>
      </w:pPr>
      <w:r w:rsidRPr="00921120">
        <w:rPr>
          <w:rFonts w:ascii="Arial" w:hAnsi="Arial" w:cs="Arial"/>
          <w:sz w:val="20"/>
          <w:szCs w:val="20"/>
        </w:rPr>
        <w:t>Preliminarily, illicit trade has been defined by the OECD as an exchange in the control</w:t>
      </w:r>
      <w:r w:rsidR="00E815DA" w:rsidRPr="00921120">
        <w:rPr>
          <w:rFonts w:ascii="Arial" w:hAnsi="Arial" w:cs="Arial"/>
          <w:sz w:val="20"/>
          <w:szCs w:val="20"/>
        </w:rPr>
        <w:t xml:space="preserve"> or </w:t>
      </w:r>
      <w:r w:rsidRPr="00921120">
        <w:rPr>
          <w:rFonts w:ascii="Arial" w:hAnsi="Arial" w:cs="Arial"/>
          <w:sz w:val="20"/>
          <w:szCs w:val="20"/>
        </w:rPr>
        <w:t>possession of a good or service that a lawmaker (national or international) deems illegal, because the object of the exchange is dangerous or morally repugnant</w:t>
      </w:r>
      <w:r w:rsidR="00A877F2" w:rsidRPr="00921120">
        <w:rPr>
          <w:rStyle w:val="FootnoteReference"/>
          <w:rFonts w:ascii="Arial" w:hAnsi="Arial" w:cs="Arial"/>
          <w:sz w:val="20"/>
          <w:szCs w:val="20"/>
        </w:rPr>
        <w:footnoteReference w:id="16"/>
      </w:r>
      <w:r w:rsidRPr="00921120">
        <w:rPr>
          <w:rFonts w:ascii="Arial" w:hAnsi="Arial" w:cs="Arial"/>
          <w:sz w:val="20"/>
          <w:szCs w:val="20"/>
        </w:rPr>
        <w:t>.</w:t>
      </w:r>
    </w:p>
    <w:p w:rsidR="00E815DA" w:rsidRPr="00921120" w:rsidRDefault="00E815DA" w:rsidP="00921120">
      <w:pPr>
        <w:spacing w:line="240" w:lineRule="auto"/>
        <w:jc w:val="left"/>
        <w:rPr>
          <w:rFonts w:ascii="Arial" w:hAnsi="Arial" w:cs="Arial"/>
          <w:sz w:val="20"/>
          <w:szCs w:val="20"/>
        </w:rPr>
      </w:pPr>
    </w:p>
    <w:p w:rsidR="00A4421A" w:rsidRPr="00921120" w:rsidRDefault="00A4421A" w:rsidP="00921120">
      <w:pPr>
        <w:spacing w:line="240" w:lineRule="auto"/>
        <w:jc w:val="left"/>
        <w:rPr>
          <w:rFonts w:ascii="Arial" w:hAnsi="Arial" w:cs="Arial"/>
          <w:sz w:val="20"/>
          <w:szCs w:val="20"/>
        </w:rPr>
      </w:pPr>
      <w:r w:rsidRPr="00921120">
        <w:rPr>
          <w:rFonts w:ascii="Arial" w:hAnsi="Arial" w:cs="Arial"/>
          <w:sz w:val="20"/>
          <w:szCs w:val="20"/>
        </w:rPr>
        <w:t xml:space="preserve">The WCO defines </w:t>
      </w:r>
      <w:r w:rsidR="00070AA2" w:rsidRPr="00921120">
        <w:rPr>
          <w:rFonts w:ascii="Arial" w:hAnsi="Arial" w:cs="Arial"/>
          <w:sz w:val="20"/>
          <w:szCs w:val="20"/>
        </w:rPr>
        <w:t>i</w:t>
      </w:r>
      <w:r w:rsidRPr="00921120">
        <w:rPr>
          <w:rFonts w:ascii="Arial" w:hAnsi="Arial" w:cs="Arial"/>
          <w:sz w:val="20"/>
          <w:szCs w:val="20"/>
        </w:rPr>
        <w:t>llicit trade as any commercial practice or transaction related to the production, acquisition, sale, purchase, shipment, movement, transfer, receipt, possession or distribution of any illicit product defined as such by international law, or any licit product for non-licit purposes as defined by international law, as well as any conduct intended to facilitate such activities.</w:t>
      </w:r>
      <w:r w:rsidR="00347883" w:rsidRPr="00921120">
        <w:rPr>
          <w:rStyle w:val="FootnoteReference"/>
          <w:rFonts w:ascii="Arial" w:hAnsi="Arial" w:cs="Arial"/>
          <w:sz w:val="20"/>
          <w:szCs w:val="20"/>
        </w:rPr>
        <w:t xml:space="preserve"> </w:t>
      </w:r>
      <w:r w:rsidR="00347883" w:rsidRPr="00921120">
        <w:rPr>
          <w:rStyle w:val="FootnoteReference"/>
          <w:rFonts w:ascii="Arial" w:hAnsi="Arial" w:cs="Arial"/>
          <w:sz w:val="20"/>
          <w:szCs w:val="20"/>
        </w:rPr>
        <w:footnoteReference w:id="17"/>
      </w:r>
    </w:p>
    <w:p w:rsidR="00A4421A" w:rsidRPr="00921120" w:rsidRDefault="00A4421A" w:rsidP="00921120">
      <w:pPr>
        <w:spacing w:line="240" w:lineRule="auto"/>
        <w:jc w:val="left"/>
        <w:rPr>
          <w:rFonts w:ascii="Arial" w:hAnsi="Arial" w:cs="Arial"/>
          <w:b/>
          <w:sz w:val="20"/>
          <w:szCs w:val="20"/>
        </w:rPr>
      </w:pPr>
    </w:p>
    <w:p w:rsidR="00A4421A" w:rsidRPr="00921120" w:rsidRDefault="00A4421A" w:rsidP="00921120">
      <w:pPr>
        <w:pStyle w:val="Heading3"/>
        <w:spacing w:line="240" w:lineRule="auto"/>
        <w:jc w:val="left"/>
        <w:rPr>
          <w:rFonts w:ascii="Arial" w:hAnsi="Arial" w:cs="Arial"/>
          <w:sz w:val="20"/>
          <w:szCs w:val="20"/>
        </w:rPr>
      </w:pPr>
      <w:r w:rsidRPr="00921120">
        <w:rPr>
          <w:rFonts w:ascii="Arial" w:hAnsi="Arial" w:cs="Arial"/>
          <w:sz w:val="20"/>
          <w:szCs w:val="20"/>
        </w:rPr>
        <w:t xml:space="preserve">Estimates of illicit trade within South Africa </w:t>
      </w:r>
    </w:p>
    <w:p w:rsidR="00A4421A" w:rsidRPr="00921120" w:rsidRDefault="002C780B" w:rsidP="00921120">
      <w:pPr>
        <w:spacing w:line="240" w:lineRule="auto"/>
        <w:jc w:val="left"/>
        <w:rPr>
          <w:rFonts w:ascii="Arial" w:hAnsi="Arial" w:cs="Arial"/>
          <w:sz w:val="20"/>
          <w:szCs w:val="20"/>
        </w:rPr>
      </w:pPr>
      <w:r w:rsidRPr="00921120">
        <w:rPr>
          <w:rFonts w:ascii="Arial" w:hAnsi="Arial" w:cs="Arial"/>
          <w:sz w:val="20"/>
          <w:szCs w:val="20"/>
        </w:rPr>
        <w:t>T</w:t>
      </w:r>
      <w:r w:rsidR="00A4421A" w:rsidRPr="00921120">
        <w:rPr>
          <w:rFonts w:ascii="Arial" w:hAnsi="Arial" w:cs="Arial"/>
          <w:sz w:val="20"/>
          <w:szCs w:val="20"/>
        </w:rPr>
        <w:t>he following sectors have contributed to illicit trade</w:t>
      </w:r>
      <w:r w:rsidR="003765BE" w:rsidRPr="00921120">
        <w:rPr>
          <w:rFonts w:ascii="Arial" w:hAnsi="Arial" w:cs="Arial"/>
          <w:sz w:val="20"/>
          <w:szCs w:val="20"/>
        </w:rPr>
        <w:t>,</w:t>
      </w:r>
      <w:r w:rsidR="00A4421A" w:rsidRPr="00921120">
        <w:rPr>
          <w:rFonts w:ascii="Arial" w:hAnsi="Arial" w:cs="Arial"/>
          <w:sz w:val="20"/>
          <w:szCs w:val="20"/>
        </w:rPr>
        <w:t xml:space="preserve"> as follows</w:t>
      </w:r>
      <w:r w:rsidRPr="00921120">
        <w:rPr>
          <w:rStyle w:val="FootnoteReference"/>
          <w:rFonts w:ascii="Arial" w:hAnsi="Arial" w:cs="Arial"/>
          <w:sz w:val="20"/>
          <w:szCs w:val="20"/>
        </w:rPr>
        <w:footnoteReference w:id="18"/>
      </w:r>
      <w:r w:rsidR="00A4421A" w:rsidRPr="00921120">
        <w:rPr>
          <w:rFonts w:ascii="Arial" w:hAnsi="Arial" w:cs="Arial"/>
          <w:sz w:val="20"/>
          <w:szCs w:val="20"/>
        </w:rPr>
        <w:t>:</w:t>
      </w:r>
    </w:p>
    <w:p w:rsidR="00A4421A" w:rsidRPr="00921120" w:rsidRDefault="00A4421A" w:rsidP="00921120">
      <w:pPr>
        <w:numPr>
          <w:ilvl w:val="0"/>
          <w:numId w:val="13"/>
        </w:numPr>
        <w:spacing w:line="240" w:lineRule="auto"/>
        <w:contextualSpacing/>
        <w:jc w:val="left"/>
        <w:rPr>
          <w:rFonts w:ascii="Arial" w:hAnsi="Arial" w:cs="Arial"/>
          <w:sz w:val="20"/>
          <w:szCs w:val="20"/>
        </w:rPr>
      </w:pPr>
      <w:r w:rsidRPr="00921120">
        <w:rPr>
          <w:rFonts w:ascii="Arial" w:hAnsi="Arial" w:cs="Arial"/>
          <w:sz w:val="20"/>
          <w:szCs w:val="20"/>
        </w:rPr>
        <w:t>Pharmaceuticals, Trade Misinvoicing estimates: $61</w:t>
      </w:r>
      <w:r w:rsidR="00E815DA" w:rsidRPr="00921120">
        <w:rPr>
          <w:rFonts w:ascii="Arial" w:hAnsi="Arial" w:cs="Arial"/>
          <w:sz w:val="20"/>
          <w:szCs w:val="20"/>
        </w:rPr>
        <w:t>,</w:t>
      </w:r>
      <w:r w:rsidRPr="00921120">
        <w:rPr>
          <w:rFonts w:ascii="Arial" w:hAnsi="Arial" w:cs="Arial"/>
          <w:sz w:val="20"/>
          <w:szCs w:val="20"/>
        </w:rPr>
        <w:t>2 million outflows</w:t>
      </w:r>
    </w:p>
    <w:p w:rsidR="00A4421A" w:rsidRPr="00921120" w:rsidRDefault="00A4421A" w:rsidP="00921120">
      <w:pPr>
        <w:numPr>
          <w:ilvl w:val="0"/>
          <w:numId w:val="13"/>
        </w:numPr>
        <w:spacing w:line="240" w:lineRule="auto"/>
        <w:contextualSpacing/>
        <w:jc w:val="left"/>
        <w:rPr>
          <w:rFonts w:ascii="Arial" w:hAnsi="Arial" w:cs="Arial"/>
          <w:sz w:val="20"/>
          <w:szCs w:val="20"/>
        </w:rPr>
      </w:pPr>
      <w:r w:rsidRPr="00921120">
        <w:rPr>
          <w:rFonts w:ascii="Arial" w:hAnsi="Arial" w:cs="Arial"/>
          <w:sz w:val="20"/>
          <w:szCs w:val="20"/>
        </w:rPr>
        <w:t>Petroleum, Trade Misinvoicing estimates: $7</w:t>
      </w:r>
      <w:r w:rsidR="00E815DA" w:rsidRPr="00921120">
        <w:rPr>
          <w:rFonts w:ascii="Arial" w:hAnsi="Arial" w:cs="Arial"/>
          <w:sz w:val="20"/>
          <w:szCs w:val="20"/>
        </w:rPr>
        <w:t>,</w:t>
      </w:r>
      <w:r w:rsidRPr="00921120">
        <w:rPr>
          <w:rFonts w:ascii="Arial" w:hAnsi="Arial" w:cs="Arial"/>
          <w:sz w:val="20"/>
          <w:szCs w:val="20"/>
        </w:rPr>
        <w:t>7 billion outflows</w:t>
      </w:r>
    </w:p>
    <w:p w:rsidR="00A4421A" w:rsidRPr="00921120" w:rsidRDefault="00A4421A" w:rsidP="00921120">
      <w:pPr>
        <w:numPr>
          <w:ilvl w:val="0"/>
          <w:numId w:val="13"/>
        </w:numPr>
        <w:spacing w:line="240" w:lineRule="auto"/>
        <w:contextualSpacing/>
        <w:jc w:val="left"/>
        <w:rPr>
          <w:rFonts w:ascii="Arial" w:hAnsi="Arial" w:cs="Arial"/>
          <w:sz w:val="20"/>
          <w:szCs w:val="20"/>
        </w:rPr>
      </w:pPr>
      <w:r w:rsidRPr="00921120">
        <w:rPr>
          <w:rFonts w:ascii="Arial" w:hAnsi="Arial" w:cs="Arial"/>
          <w:sz w:val="20"/>
          <w:szCs w:val="20"/>
        </w:rPr>
        <w:t>Pesticides, Trade Misinvoicing estimates: $300 million outflows</w:t>
      </w:r>
    </w:p>
    <w:p w:rsidR="00A4421A" w:rsidRPr="00921120" w:rsidRDefault="00A4421A" w:rsidP="00921120">
      <w:pPr>
        <w:numPr>
          <w:ilvl w:val="0"/>
          <w:numId w:val="13"/>
        </w:numPr>
        <w:spacing w:line="240" w:lineRule="auto"/>
        <w:contextualSpacing/>
        <w:jc w:val="left"/>
        <w:rPr>
          <w:rFonts w:ascii="Arial" w:hAnsi="Arial" w:cs="Arial"/>
          <w:sz w:val="20"/>
          <w:szCs w:val="20"/>
        </w:rPr>
      </w:pPr>
      <w:r w:rsidRPr="00921120">
        <w:rPr>
          <w:rFonts w:ascii="Arial" w:hAnsi="Arial" w:cs="Arial"/>
          <w:sz w:val="20"/>
          <w:szCs w:val="20"/>
        </w:rPr>
        <w:t>Precious metal and gems, Trade Misinvoicing: $5</w:t>
      </w:r>
      <w:r w:rsidR="00E815DA" w:rsidRPr="00921120">
        <w:rPr>
          <w:rFonts w:ascii="Arial" w:hAnsi="Arial" w:cs="Arial"/>
          <w:sz w:val="20"/>
          <w:szCs w:val="20"/>
        </w:rPr>
        <w:t>,</w:t>
      </w:r>
      <w:r w:rsidRPr="00921120">
        <w:rPr>
          <w:rFonts w:ascii="Arial" w:hAnsi="Arial" w:cs="Arial"/>
          <w:sz w:val="20"/>
          <w:szCs w:val="20"/>
        </w:rPr>
        <w:t>2 billion outflows</w:t>
      </w:r>
    </w:p>
    <w:p w:rsidR="00A4421A" w:rsidRPr="00921120" w:rsidRDefault="00A4421A" w:rsidP="00921120">
      <w:pPr>
        <w:numPr>
          <w:ilvl w:val="0"/>
          <w:numId w:val="13"/>
        </w:numPr>
        <w:spacing w:line="240" w:lineRule="auto"/>
        <w:contextualSpacing/>
        <w:jc w:val="left"/>
        <w:rPr>
          <w:rFonts w:ascii="Arial" w:hAnsi="Arial" w:cs="Arial"/>
          <w:sz w:val="20"/>
          <w:szCs w:val="20"/>
        </w:rPr>
      </w:pPr>
      <w:r w:rsidRPr="00921120">
        <w:rPr>
          <w:rFonts w:ascii="Arial" w:hAnsi="Arial" w:cs="Arial"/>
          <w:sz w:val="20"/>
          <w:szCs w:val="20"/>
        </w:rPr>
        <w:t>Tobacco, Trade Misinvoicing: $760 inflows</w:t>
      </w:r>
    </w:p>
    <w:p w:rsidR="00A4421A" w:rsidRPr="00921120" w:rsidRDefault="00A4421A" w:rsidP="00921120">
      <w:pPr>
        <w:numPr>
          <w:ilvl w:val="0"/>
          <w:numId w:val="13"/>
        </w:numPr>
        <w:spacing w:line="240" w:lineRule="auto"/>
        <w:contextualSpacing/>
        <w:jc w:val="left"/>
        <w:rPr>
          <w:rFonts w:ascii="Arial" w:hAnsi="Arial" w:cs="Arial"/>
          <w:sz w:val="20"/>
          <w:szCs w:val="20"/>
        </w:rPr>
      </w:pPr>
      <w:r w:rsidRPr="00921120">
        <w:rPr>
          <w:rFonts w:ascii="Arial" w:hAnsi="Arial" w:cs="Arial"/>
          <w:sz w:val="20"/>
          <w:szCs w:val="20"/>
        </w:rPr>
        <w:t>Seizures estimated at $190 million</w:t>
      </w:r>
      <w:r w:rsidR="005E5EB0" w:rsidRPr="00921120">
        <w:rPr>
          <w:rFonts w:ascii="Arial" w:hAnsi="Arial" w:cs="Arial"/>
          <w:sz w:val="20"/>
          <w:szCs w:val="20"/>
        </w:rPr>
        <w:t xml:space="preserve"> (2019)</w:t>
      </w:r>
    </w:p>
    <w:p w:rsidR="00A4421A" w:rsidRPr="00921120" w:rsidRDefault="00A4421A" w:rsidP="00921120">
      <w:pPr>
        <w:numPr>
          <w:ilvl w:val="0"/>
          <w:numId w:val="13"/>
        </w:numPr>
        <w:spacing w:line="240" w:lineRule="auto"/>
        <w:contextualSpacing/>
        <w:jc w:val="left"/>
        <w:rPr>
          <w:rFonts w:ascii="Arial" w:hAnsi="Arial" w:cs="Arial"/>
          <w:sz w:val="20"/>
          <w:szCs w:val="20"/>
        </w:rPr>
      </w:pPr>
      <w:r w:rsidRPr="00921120">
        <w:rPr>
          <w:rFonts w:ascii="Arial" w:hAnsi="Arial" w:cs="Arial"/>
          <w:sz w:val="20"/>
          <w:szCs w:val="20"/>
        </w:rPr>
        <w:t>Miscellaneous, Trade Misinvoicing: $33 billion</w:t>
      </w:r>
      <w:r w:rsidR="005E5EB0" w:rsidRPr="00921120">
        <w:rPr>
          <w:rFonts w:ascii="Arial" w:hAnsi="Arial" w:cs="Arial"/>
          <w:sz w:val="20"/>
          <w:szCs w:val="20"/>
        </w:rPr>
        <w:t xml:space="preserve"> (2013)</w:t>
      </w:r>
    </w:p>
    <w:p w:rsidR="00A4421A" w:rsidRPr="00921120" w:rsidRDefault="00A4421A" w:rsidP="00921120">
      <w:pPr>
        <w:numPr>
          <w:ilvl w:val="0"/>
          <w:numId w:val="13"/>
        </w:numPr>
        <w:spacing w:line="240" w:lineRule="auto"/>
        <w:contextualSpacing/>
        <w:jc w:val="left"/>
        <w:rPr>
          <w:rFonts w:ascii="Arial" w:hAnsi="Arial" w:cs="Arial"/>
          <w:sz w:val="20"/>
          <w:szCs w:val="20"/>
        </w:rPr>
      </w:pPr>
      <w:r w:rsidRPr="00921120">
        <w:rPr>
          <w:rFonts w:ascii="Arial" w:hAnsi="Arial" w:cs="Arial"/>
          <w:sz w:val="20"/>
          <w:szCs w:val="20"/>
        </w:rPr>
        <w:t>Illicit rhino horn estimated at $785 million.</w:t>
      </w:r>
    </w:p>
    <w:p w:rsidR="00E815DA" w:rsidRPr="00921120" w:rsidRDefault="00E815DA" w:rsidP="00921120">
      <w:pPr>
        <w:spacing w:line="240" w:lineRule="auto"/>
        <w:contextualSpacing/>
        <w:jc w:val="left"/>
        <w:rPr>
          <w:rFonts w:ascii="Arial" w:hAnsi="Arial" w:cs="Arial"/>
          <w:sz w:val="20"/>
          <w:szCs w:val="20"/>
        </w:rPr>
      </w:pPr>
    </w:p>
    <w:p w:rsidR="007B0AE0" w:rsidRPr="00921120" w:rsidRDefault="007B0AE0" w:rsidP="00921120">
      <w:pPr>
        <w:pStyle w:val="Heading3"/>
        <w:spacing w:line="240" w:lineRule="auto"/>
        <w:jc w:val="left"/>
        <w:rPr>
          <w:rFonts w:ascii="Arial" w:hAnsi="Arial" w:cs="Arial"/>
          <w:sz w:val="20"/>
          <w:szCs w:val="20"/>
        </w:rPr>
      </w:pPr>
      <w:r w:rsidRPr="00921120">
        <w:rPr>
          <w:rFonts w:ascii="Arial" w:hAnsi="Arial" w:cs="Arial"/>
          <w:sz w:val="20"/>
          <w:szCs w:val="20"/>
        </w:rPr>
        <w:t xml:space="preserve">Illicit </w:t>
      </w:r>
      <w:r w:rsidR="000C2545" w:rsidRPr="00921120">
        <w:rPr>
          <w:rFonts w:ascii="Arial" w:hAnsi="Arial" w:cs="Arial"/>
          <w:sz w:val="20"/>
          <w:szCs w:val="20"/>
        </w:rPr>
        <w:t>T</w:t>
      </w:r>
      <w:r w:rsidRPr="00921120">
        <w:rPr>
          <w:rFonts w:ascii="Arial" w:hAnsi="Arial" w:cs="Arial"/>
          <w:sz w:val="20"/>
          <w:szCs w:val="20"/>
        </w:rPr>
        <w:t xml:space="preserve">rade of </w:t>
      </w:r>
      <w:r w:rsidR="00AB2BCA" w:rsidRPr="00921120">
        <w:rPr>
          <w:rFonts w:ascii="Arial" w:hAnsi="Arial" w:cs="Arial"/>
          <w:sz w:val="20"/>
          <w:szCs w:val="20"/>
        </w:rPr>
        <w:t>S</w:t>
      </w:r>
      <w:r w:rsidRPr="00921120">
        <w:rPr>
          <w:rFonts w:ascii="Arial" w:hAnsi="Arial" w:cs="Arial"/>
          <w:sz w:val="20"/>
          <w:szCs w:val="20"/>
        </w:rPr>
        <w:t xml:space="preserve">crap </w:t>
      </w:r>
      <w:r w:rsidR="00AB2BCA" w:rsidRPr="00921120">
        <w:rPr>
          <w:rFonts w:ascii="Arial" w:hAnsi="Arial" w:cs="Arial"/>
          <w:sz w:val="20"/>
          <w:szCs w:val="20"/>
        </w:rPr>
        <w:t>M</w:t>
      </w:r>
      <w:r w:rsidRPr="00921120">
        <w:rPr>
          <w:rFonts w:ascii="Arial" w:hAnsi="Arial" w:cs="Arial"/>
          <w:sz w:val="20"/>
          <w:szCs w:val="20"/>
        </w:rPr>
        <w:t>etal</w:t>
      </w:r>
    </w:p>
    <w:p w:rsidR="001E5E92" w:rsidRPr="00921120" w:rsidRDefault="007B0AE0" w:rsidP="00921120">
      <w:pPr>
        <w:pStyle w:val="Default"/>
        <w:rPr>
          <w:rFonts w:ascii="Arial" w:hAnsi="Arial" w:cs="Arial"/>
          <w:sz w:val="20"/>
          <w:szCs w:val="20"/>
        </w:rPr>
      </w:pPr>
      <w:r w:rsidRPr="00921120">
        <w:rPr>
          <w:rStyle w:val="markedcontent"/>
          <w:rFonts w:ascii="Arial" w:hAnsi="Arial" w:cs="Arial"/>
          <w:sz w:val="20"/>
          <w:szCs w:val="20"/>
        </w:rPr>
        <w:t xml:space="preserve">The </w:t>
      </w:r>
      <w:r w:rsidR="001E5E92" w:rsidRPr="00921120">
        <w:rPr>
          <w:rStyle w:val="markedcontent"/>
          <w:rFonts w:ascii="Arial" w:hAnsi="Arial" w:cs="Arial"/>
          <w:sz w:val="20"/>
          <w:szCs w:val="20"/>
        </w:rPr>
        <w:t xml:space="preserve">broader economic </w:t>
      </w:r>
      <w:r w:rsidRPr="00921120">
        <w:rPr>
          <w:rStyle w:val="markedcontent"/>
          <w:rFonts w:ascii="Arial" w:hAnsi="Arial" w:cs="Arial"/>
          <w:sz w:val="20"/>
          <w:szCs w:val="20"/>
        </w:rPr>
        <w:t xml:space="preserve">impact </w:t>
      </w:r>
      <w:r w:rsidR="001E5E92" w:rsidRPr="00921120">
        <w:rPr>
          <w:rStyle w:val="markedcontent"/>
          <w:rFonts w:ascii="Arial" w:hAnsi="Arial" w:cs="Arial"/>
          <w:sz w:val="20"/>
          <w:szCs w:val="20"/>
        </w:rPr>
        <w:t>due to the loss of</w:t>
      </w:r>
      <w:r w:rsidRPr="00921120">
        <w:rPr>
          <w:rStyle w:val="markedcontent"/>
          <w:rFonts w:ascii="Arial" w:hAnsi="Arial" w:cs="Arial"/>
          <w:sz w:val="20"/>
          <w:szCs w:val="20"/>
        </w:rPr>
        <w:t xml:space="preserve"> public infrastructure </w:t>
      </w:r>
      <w:r w:rsidR="001E5E92" w:rsidRPr="00921120">
        <w:rPr>
          <w:rStyle w:val="markedcontent"/>
          <w:rFonts w:ascii="Arial" w:hAnsi="Arial" w:cs="Arial"/>
          <w:sz w:val="20"/>
          <w:szCs w:val="20"/>
        </w:rPr>
        <w:t xml:space="preserve">through theft </w:t>
      </w:r>
      <w:r w:rsidRPr="00921120">
        <w:rPr>
          <w:rStyle w:val="markedcontent"/>
          <w:rFonts w:ascii="Arial" w:hAnsi="Arial" w:cs="Arial"/>
          <w:sz w:val="20"/>
          <w:szCs w:val="20"/>
        </w:rPr>
        <w:t xml:space="preserve">cannot be underestimated. </w:t>
      </w:r>
      <w:r w:rsidR="001E5E92" w:rsidRPr="00921120">
        <w:rPr>
          <w:rStyle w:val="markedcontent"/>
          <w:rFonts w:ascii="Arial" w:hAnsi="Arial" w:cs="Arial"/>
          <w:sz w:val="20"/>
          <w:szCs w:val="20"/>
        </w:rPr>
        <w:t>There has been an i</w:t>
      </w:r>
      <w:r w:rsidRPr="00921120">
        <w:rPr>
          <w:rStyle w:val="markedcontent"/>
          <w:rFonts w:ascii="Arial" w:hAnsi="Arial" w:cs="Arial"/>
          <w:sz w:val="20"/>
          <w:szCs w:val="20"/>
        </w:rPr>
        <w:t>ncrease in theft of non-ferrous metals, which is then melted down into billets, and exported undetected</w:t>
      </w:r>
      <w:r w:rsidR="005C57A1" w:rsidRPr="00921120">
        <w:rPr>
          <w:rStyle w:val="markedcontent"/>
          <w:rFonts w:ascii="Arial" w:hAnsi="Arial" w:cs="Arial"/>
          <w:sz w:val="20"/>
          <w:szCs w:val="20"/>
        </w:rPr>
        <w:t>.</w:t>
      </w:r>
      <w:r w:rsidRPr="00921120">
        <w:rPr>
          <w:rStyle w:val="markedcontent"/>
          <w:rFonts w:ascii="Arial" w:hAnsi="Arial" w:cs="Arial"/>
          <w:sz w:val="20"/>
          <w:szCs w:val="20"/>
        </w:rPr>
        <w:t xml:space="preserve"> </w:t>
      </w:r>
      <w:r w:rsidR="005C57A1" w:rsidRPr="00921120">
        <w:rPr>
          <w:rStyle w:val="markedcontent"/>
          <w:rFonts w:ascii="Arial" w:hAnsi="Arial" w:cs="Arial"/>
          <w:sz w:val="20"/>
          <w:szCs w:val="20"/>
        </w:rPr>
        <w:t xml:space="preserve">This </w:t>
      </w:r>
      <w:r w:rsidRPr="00921120">
        <w:rPr>
          <w:rStyle w:val="markedcontent"/>
          <w:rFonts w:ascii="Arial" w:hAnsi="Arial" w:cs="Arial"/>
          <w:sz w:val="20"/>
          <w:szCs w:val="20"/>
        </w:rPr>
        <w:t>has become a serious problem in South Africa.  This sharp increase in theft can be attributed to the high international demand for copper and</w:t>
      </w:r>
      <w:r w:rsidRPr="00921120">
        <w:rPr>
          <w:rFonts w:ascii="Arial" w:hAnsi="Arial" w:cs="Arial"/>
          <w:sz w:val="20"/>
          <w:szCs w:val="20"/>
        </w:rPr>
        <w:t xml:space="preserve"> </w:t>
      </w:r>
      <w:r w:rsidRPr="00921120">
        <w:rPr>
          <w:rStyle w:val="markedcontent"/>
          <w:rFonts w:ascii="Arial" w:hAnsi="Arial" w:cs="Arial"/>
          <w:sz w:val="20"/>
          <w:szCs w:val="20"/>
        </w:rPr>
        <w:t xml:space="preserve">aluminium, as well </w:t>
      </w:r>
      <w:r w:rsidR="001E5E92" w:rsidRPr="00921120">
        <w:rPr>
          <w:rStyle w:val="markedcontent"/>
          <w:rFonts w:ascii="Arial" w:hAnsi="Arial" w:cs="Arial"/>
          <w:sz w:val="20"/>
          <w:szCs w:val="20"/>
        </w:rPr>
        <w:t xml:space="preserve">as </w:t>
      </w:r>
      <w:r w:rsidRPr="00921120">
        <w:rPr>
          <w:rStyle w:val="markedcontent"/>
          <w:rFonts w:ascii="Arial" w:hAnsi="Arial" w:cs="Arial"/>
          <w:sz w:val="20"/>
          <w:szCs w:val="20"/>
        </w:rPr>
        <w:t>a sharp increase in prices for</w:t>
      </w:r>
      <w:r w:rsidRPr="00921120">
        <w:rPr>
          <w:rFonts w:ascii="Arial" w:hAnsi="Arial" w:cs="Arial"/>
          <w:sz w:val="20"/>
          <w:szCs w:val="20"/>
        </w:rPr>
        <w:t xml:space="preserve"> </w:t>
      </w:r>
      <w:r w:rsidRPr="00921120">
        <w:rPr>
          <w:rStyle w:val="markedcontent"/>
          <w:rFonts w:ascii="Arial" w:hAnsi="Arial" w:cs="Arial"/>
          <w:sz w:val="20"/>
          <w:szCs w:val="20"/>
        </w:rPr>
        <w:t>the materials, amongst other factors.</w:t>
      </w:r>
      <w:r w:rsidRPr="00921120">
        <w:rPr>
          <w:rFonts w:ascii="Arial" w:hAnsi="Arial" w:cs="Arial"/>
          <w:sz w:val="20"/>
          <w:szCs w:val="20"/>
        </w:rPr>
        <w:t xml:space="preserve"> </w:t>
      </w:r>
    </w:p>
    <w:p w:rsidR="001E5E92" w:rsidRPr="00921120" w:rsidRDefault="001E5E92" w:rsidP="00921120">
      <w:pPr>
        <w:pStyle w:val="Default"/>
        <w:rPr>
          <w:rFonts w:ascii="Arial" w:hAnsi="Arial" w:cs="Arial"/>
          <w:sz w:val="20"/>
          <w:szCs w:val="20"/>
        </w:rPr>
      </w:pPr>
    </w:p>
    <w:p w:rsidR="007B0AE0" w:rsidRPr="00921120" w:rsidRDefault="007B0AE0" w:rsidP="00921120">
      <w:pPr>
        <w:pStyle w:val="Default"/>
        <w:rPr>
          <w:rFonts w:ascii="Arial" w:hAnsi="Arial" w:cs="Arial"/>
          <w:sz w:val="20"/>
          <w:szCs w:val="20"/>
        </w:rPr>
      </w:pPr>
      <w:r w:rsidRPr="00921120">
        <w:rPr>
          <w:rStyle w:val="markedcontent"/>
          <w:rFonts w:ascii="Arial" w:hAnsi="Arial" w:cs="Arial"/>
          <w:sz w:val="20"/>
          <w:szCs w:val="20"/>
        </w:rPr>
        <w:t>The sectors mostly affected by theft of non-ferrous metals are</w:t>
      </w:r>
      <w:r w:rsidRPr="00921120">
        <w:rPr>
          <w:rFonts w:ascii="Arial" w:hAnsi="Arial" w:cs="Arial"/>
          <w:sz w:val="20"/>
          <w:szCs w:val="20"/>
        </w:rPr>
        <w:t xml:space="preserve"> </w:t>
      </w:r>
      <w:r w:rsidRPr="00921120">
        <w:rPr>
          <w:rStyle w:val="markedcontent"/>
          <w:rFonts w:ascii="Arial" w:hAnsi="Arial" w:cs="Arial"/>
          <w:sz w:val="20"/>
          <w:szCs w:val="20"/>
        </w:rPr>
        <w:t xml:space="preserve">Communication, Rail Transport, </w:t>
      </w:r>
      <w:r w:rsidR="00AB2BCA" w:rsidRPr="00921120">
        <w:rPr>
          <w:rStyle w:val="markedcontent"/>
          <w:rFonts w:ascii="Arial" w:hAnsi="Arial" w:cs="Arial"/>
          <w:sz w:val="20"/>
          <w:szCs w:val="20"/>
        </w:rPr>
        <w:t>Energy (</w:t>
      </w:r>
      <w:r w:rsidRPr="00921120">
        <w:rPr>
          <w:rStyle w:val="markedcontent"/>
          <w:rFonts w:ascii="Arial" w:hAnsi="Arial" w:cs="Arial"/>
          <w:sz w:val="20"/>
          <w:szCs w:val="20"/>
        </w:rPr>
        <w:t>Eskom</w:t>
      </w:r>
      <w:r w:rsidR="00AB2BCA" w:rsidRPr="00921120">
        <w:rPr>
          <w:rStyle w:val="markedcontent"/>
          <w:rFonts w:ascii="Arial" w:hAnsi="Arial" w:cs="Arial"/>
          <w:sz w:val="20"/>
          <w:szCs w:val="20"/>
        </w:rPr>
        <w:t>)</w:t>
      </w:r>
      <w:r w:rsidRPr="00921120">
        <w:rPr>
          <w:rStyle w:val="markedcontent"/>
          <w:rFonts w:ascii="Arial" w:hAnsi="Arial" w:cs="Arial"/>
          <w:sz w:val="20"/>
          <w:szCs w:val="20"/>
        </w:rPr>
        <w:t xml:space="preserve"> and other </w:t>
      </w:r>
      <w:r w:rsidR="00B97596" w:rsidRPr="00921120">
        <w:rPr>
          <w:rStyle w:val="markedcontent"/>
          <w:rFonts w:ascii="Arial" w:hAnsi="Arial" w:cs="Arial"/>
          <w:sz w:val="20"/>
          <w:szCs w:val="20"/>
        </w:rPr>
        <w:t>u</w:t>
      </w:r>
      <w:r w:rsidRPr="00921120">
        <w:rPr>
          <w:rStyle w:val="markedcontent"/>
          <w:rFonts w:ascii="Arial" w:hAnsi="Arial" w:cs="Arial"/>
          <w:sz w:val="20"/>
          <w:szCs w:val="20"/>
        </w:rPr>
        <w:t xml:space="preserve">tilities. </w:t>
      </w:r>
      <w:r w:rsidR="001E5E92" w:rsidRPr="00921120">
        <w:rPr>
          <w:rStyle w:val="markedcontent"/>
          <w:rFonts w:ascii="Arial" w:hAnsi="Arial" w:cs="Arial"/>
          <w:sz w:val="20"/>
          <w:szCs w:val="20"/>
        </w:rPr>
        <w:t>T</w:t>
      </w:r>
      <w:r w:rsidRPr="00921120">
        <w:rPr>
          <w:rStyle w:val="markedcontent"/>
          <w:rFonts w:ascii="Arial" w:hAnsi="Arial" w:cs="Arial"/>
          <w:sz w:val="20"/>
          <w:szCs w:val="20"/>
        </w:rPr>
        <w:t xml:space="preserve">he Committee </w:t>
      </w:r>
      <w:r w:rsidR="001E5E92" w:rsidRPr="00921120">
        <w:rPr>
          <w:rStyle w:val="markedcontent"/>
          <w:rFonts w:ascii="Arial" w:hAnsi="Arial" w:cs="Arial"/>
          <w:sz w:val="20"/>
          <w:szCs w:val="20"/>
        </w:rPr>
        <w:t xml:space="preserve">enquired what </w:t>
      </w:r>
      <w:r w:rsidRPr="00921120">
        <w:rPr>
          <w:rStyle w:val="markedcontent"/>
          <w:rFonts w:ascii="Arial" w:hAnsi="Arial" w:cs="Arial"/>
          <w:sz w:val="20"/>
          <w:szCs w:val="20"/>
        </w:rPr>
        <w:t xml:space="preserve">measures </w:t>
      </w:r>
      <w:r w:rsidR="001E5E92" w:rsidRPr="00921120">
        <w:rPr>
          <w:rStyle w:val="markedcontent"/>
          <w:rFonts w:ascii="Arial" w:hAnsi="Arial" w:cs="Arial"/>
          <w:sz w:val="20"/>
          <w:szCs w:val="20"/>
        </w:rPr>
        <w:t xml:space="preserve">had been </w:t>
      </w:r>
      <w:r w:rsidRPr="00921120">
        <w:rPr>
          <w:rStyle w:val="markedcontent"/>
          <w:rFonts w:ascii="Arial" w:hAnsi="Arial" w:cs="Arial"/>
          <w:sz w:val="20"/>
          <w:szCs w:val="20"/>
        </w:rPr>
        <w:t>introduced or implemented by SARS to combat the illicit export of scrap metal. SARS informed the Committee that</w:t>
      </w:r>
      <w:r w:rsidR="001E5E92" w:rsidRPr="00921120">
        <w:rPr>
          <w:rStyle w:val="markedcontent"/>
          <w:rFonts w:ascii="Arial" w:hAnsi="Arial" w:cs="Arial"/>
          <w:sz w:val="20"/>
          <w:szCs w:val="20"/>
        </w:rPr>
        <w:t>,</w:t>
      </w:r>
      <w:r w:rsidRPr="00921120">
        <w:rPr>
          <w:rStyle w:val="markedcontent"/>
          <w:rFonts w:ascii="Arial" w:hAnsi="Arial" w:cs="Arial"/>
          <w:sz w:val="20"/>
          <w:szCs w:val="20"/>
        </w:rPr>
        <w:t xml:space="preserve"> in keeping with its strategic objective 3</w:t>
      </w:r>
      <w:r w:rsidR="001E5E92" w:rsidRPr="00921120">
        <w:rPr>
          <w:rStyle w:val="markedcontent"/>
          <w:rFonts w:ascii="Arial" w:hAnsi="Arial" w:cs="Arial"/>
          <w:sz w:val="20"/>
          <w:szCs w:val="20"/>
        </w:rPr>
        <w:t>,</w:t>
      </w:r>
      <w:r w:rsidRPr="00921120">
        <w:rPr>
          <w:rStyle w:val="markedcontent"/>
          <w:rFonts w:ascii="Arial" w:hAnsi="Arial" w:cs="Arial"/>
          <w:sz w:val="20"/>
          <w:szCs w:val="20"/>
        </w:rPr>
        <w:t xml:space="preserve"> it endeavours to detect taxpayers and traders who do not comply</w:t>
      </w:r>
      <w:r w:rsidR="001E5E92" w:rsidRPr="00921120">
        <w:rPr>
          <w:rStyle w:val="markedcontent"/>
          <w:rFonts w:ascii="Arial" w:hAnsi="Arial" w:cs="Arial"/>
          <w:sz w:val="20"/>
          <w:szCs w:val="20"/>
        </w:rPr>
        <w:t>,</w:t>
      </w:r>
      <w:r w:rsidRPr="00921120">
        <w:rPr>
          <w:rStyle w:val="markedcontent"/>
          <w:rFonts w:ascii="Arial" w:hAnsi="Arial" w:cs="Arial"/>
          <w:sz w:val="20"/>
          <w:szCs w:val="20"/>
        </w:rPr>
        <w:t xml:space="preserve"> and </w:t>
      </w:r>
      <w:r w:rsidR="001E5E92" w:rsidRPr="00921120">
        <w:rPr>
          <w:rStyle w:val="markedcontent"/>
          <w:rFonts w:ascii="Arial" w:hAnsi="Arial" w:cs="Arial"/>
          <w:sz w:val="20"/>
          <w:szCs w:val="20"/>
        </w:rPr>
        <w:t xml:space="preserve">to </w:t>
      </w:r>
      <w:r w:rsidRPr="00921120">
        <w:rPr>
          <w:rStyle w:val="markedcontent"/>
          <w:rFonts w:ascii="Arial" w:hAnsi="Arial" w:cs="Arial"/>
          <w:sz w:val="20"/>
          <w:szCs w:val="20"/>
        </w:rPr>
        <w:t>make non-compliance hard and costly. Therefore, SARS conti</w:t>
      </w:r>
      <w:r w:rsidRPr="00921120">
        <w:rPr>
          <w:rFonts w:ascii="Arial" w:hAnsi="Arial" w:cs="Arial"/>
          <w:sz w:val="20"/>
          <w:szCs w:val="20"/>
        </w:rPr>
        <w:t>nue</w:t>
      </w:r>
      <w:r w:rsidR="00743854" w:rsidRPr="00921120">
        <w:rPr>
          <w:rFonts w:ascii="Arial" w:hAnsi="Arial" w:cs="Arial"/>
          <w:sz w:val="20"/>
          <w:szCs w:val="20"/>
        </w:rPr>
        <w:t>s</w:t>
      </w:r>
      <w:r w:rsidRPr="00921120">
        <w:rPr>
          <w:rFonts w:ascii="Arial" w:hAnsi="Arial" w:cs="Arial"/>
          <w:sz w:val="20"/>
          <w:szCs w:val="20"/>
        </w:rPr>
        <w:t xml:space="preserve"> to</w:t>
      </w:r>
      <w:r w:rsidRPr="00921120">
        <w:rPr>
          <w:rFonts w:ascii="Arial" w:hAnsi="Arial" w:cs="Arial"/>
          <w:b/>
          <w:sz w:val="20"/>
          <w:szCs w:val="20"/>
        </w:rPr>
        <w:t xml:space="preserve"> </w:t>
      </w:r>
      <w:r w:rsidRPr="00921120">
        <w:rPr>
          <w:rFonts w:ascii="Arial" w:hAnsi="Arial" w:cs="Arial"/>
          <w:sz w:val="20"/>
          <w:szCs w:val="20"/>
        </w:rPr>
        <w:t>work with the steel industry and other government departments through the Metal Trade Task Force, chaired by the DTIC, as well as the Inter</w:t>
      </w:r>
      <w:r w:rsidR="006B6C11" w:rsidRPr="00921120">
        <w:rPr>
          <w:rFonts w:ascii="Arial" w:hAnsi="Arial" w:cs="Arial"/>
          <w:sz w:val="20"/>
          <w:szCs w:val="20"/>
        </w:rPr>
        <w:t>-</w:t>
      </w:r>
      <w:r w:rsidRPr="00921120">
        <w:rPr>
          <w:rFonts w:ascii="Arial" w:hAnsi="Arial" w:cs="Arial"/>
          <w:sz w:val="20"/>
          <w:szCs w:val="20"/>
        </w:rPr>
        <w:t xml:space="preserve">Agency Working Group </w:t>
      </w:r>
      <w:r w:rsidR="006B6C11" w:rsidRPr="00921120">
        <w:rPr>
          <w:rFonts w:ascii="Arial" w:hAnsi="Arial" w:cs="Arial"/>
          <w:sz w:val="20"/>
          <w:szCs w:val="20"/>
        </w:rPr>
        <w:t xml:space="preserve">(IAWG) </w:t>
      </w:r>
      <w:r w:rsidRPr="00921120">
        <w:rPr>
          <w:rFonts w:ascii="Arial" w:hAnsi="Arial" w:cs="Arial"/>
          <w:sz w:val="20"/>
          <w:szCs w:val="20"/>
        </w:rPr>
        <w:t>on Illicit Trade, chaired by SARS, maintaining effective collaboration in addressing developing areas of non-compliance. SARS informed the Committee that it uses a data</w:t>
      </w:r>
      <w:r w:rsidR="00743854" w:rsidRPr="00921120">
        <w:rPr>
          <w:rFonts w:ascii="Arial" w:hAnsi="Arial" w:cs="Arial"/>
          <w:sz w:val="20"/>
          <w:szCs w:val="20"/>
        </w:rPr>
        <w:t>-</w:t>
      </w:r>
      <w:r w:rsidRPr="00921120">
        <w:rPr>
          <w:rFonts w:ascii="Arial" w:hAnsi="Arial" w:cs="Arial"/>
          <w:sz w:val="20"/>
          <w:szCs w:val="20"/>
        </w:rPr>
        <w:t>driven risk management approach, and</w:t>
      </w:r>
      <w:r w:rsidR="006B6C11" w:rsidRPr="00921120">
        <w:rPr>
          <w:rFonts w:ascii="Arial" w:hAnsi="Arial" w:cs="Arial"/>
          <w:sz w:val="20"/>
          <w:szCs w:val="20"/>
        </w:rPr>
        <w:t>,</w:t>
      </w:r>
      <w:r w:rsidRPr="00921120">
        <w:rPr>
          <w:rFonts w:ascii="Arial" w:hAnsi="Arial" w:cs="Arial"/>
          <w:sz w:val="20"/>
          <w:szCs w:val="20"/>
        </w:rPr>
        <w:t xml:space="preserve"> at a transactional level</w:t>
      </w:r>
      <w:r w:rsidR="006B6C11" w:rsidRPr="00921120">
        <w:rPr>
          <w:rFonts w:ascii="Arial" w:hAnsi="Arial" w:cs="Arial"/>
          <w:sz w:val="20"/>
          <w:szCs w:val="20"/>
        </w:rPr>
        <w:t>,</w:t>
      </w:r>
      <w:r w:rsidRPr="00921120">
        <w:rPr>
          <w:rFonts w:ascii="Arial" w:hAnsi="Arial" w:cs="Arial"/>
          <w:sz w:val="20"/>
          <w:szCs w:val="20"/>
        </w:rPr>
        <w:t xml:space="preserve"> the outcomes of the inter</w:t>
      </w:r>
      <w:r w:rsidR="00743854" w:rsidRPr="00921120">
        <w:rPr>
          <w:rFonts w:ascii="Arial" w:hAnsi="Arial" w:cs="Arial"/>
          <w:sz w:val="20"/>
          <w:szCs w:val="20"/>
        </w:rPr>
        <w:t>-</w:t>
      </w:r>
      <w:r w:rsidRPr="00921120">
        <w:rPr>
          <w:rFonts w:ascii="Arial" w:hAnsi="Arial" w:cs="Arial"/>
          <w:sz w:val="20"/>
          <w:szCs w:val="20"/>
        </w:rPr>
        <w:t>agency engagements contribute to the development of risk rules</w:t>
      </w:r>
      <w:r w:rsidR="006B6C11" w:rsidRPr="00921120">
        <w:rPr>
          <w:rFonts w:ascii="Arial" w:hAnsi="Arial" w:cs="Arial"/>
          <w:sz w:val="20"/>
          <w:szCs w:val="20"/>
        </w:rPr>
        <w:t>,</w:t>
      </w:r>
      <w:r w:rsidRPr="00921120">
        <w:rPr>
          <w:rFonts w:ascii="Arial" w:hAnsi="Arial" w:cs="Arial"/>
          <w:sz w:val="20"/>
          <w:szCs w:val="20"/>
        </w:rPr>
        <w:t xml:space="preserve"> and documentary and physical intervention responses to address prevalent risks.</w:t>
      </w:r>
    </w:p>
    <w:p w:rsidR="007B0AE0" w:rsidRPr="00921120" w:rsidRDefault="007B0AE0" w:rsidP="00921120">
      <w:pPr>
        <w:pStyle w:val="Default"/>
        <w:rPr>
          <w:rFonts w:ascii="Arial" w:hAnsi="Arial" w:cs="Arial"/>
          <w:sz w:val="20"/>
          <w:szCs w:val="20"/>
        </w:rPr>
      </w:pPr>
    </w:p>
    <w:p w:rsidR="007B0AE0" w:rsidRPr="00921120" w:rsidRDefault="007B0AE0" w:rsidP="00921120">
      <w:pPr>
        <w:pStyle w:val="Default"/>
        <w:rPr>
          <w:rFonts w:ascii="Arial" w:hAnsi="Arial" w:cs="Arial"/>
          <w:b/>
          <w:sz w:val="20"/>
          <w:szCs w:val="20"/>
        </w:rPr>
      </w:pPr>
      <w:r w:rsidRPr="00921120">
        <w:rPr>
          <w:rFonts w:ascii="Arial" w:hAnsi="Arial" w:cs="Arial"/>
          <w:sz w:val="20"/>
          <w:szCs w:val="20"/>
        </w:rPr>
        <w:lastRenderedPageBreak/>
        <w:t>According to SARS, through its risk and inspection efforts, such collaborations and partnership resulted in the inclusion of specific tariff headings in the interim control of export of scrap metal. In response to the identified risks, it activated automated risk rules to detect and respond to suspected non-compliance, and in addition, at entity levels,</w:t>
      </w:r>
      <w:r w:rsidRPr="00921120">
        <w:rPr>
          <w:rFonts w:ascii="Arial" w:hAnsi="Arial" w:cs="Arial"/>
          <w:b/>
          <w:sz w:val="20"/>
          <w:szCs w:val="20"/>
        </w:rPr>
        <w:t xml:space="preserve"> </w:t>
      </w:r>
      <w:r w:rsidRPr="00921120">
        <w:rPr>
          <w:rFonts w:ascii="Arial" w:hAnsi="Arial" w:cs="Arial"/>
          <w:sz w:val="20"/>
          <w:szCs w:val="20"/>
        </w:rPr>
        <w:t xml:space="preserve">SARS deploys audit-based controls. </w:t>
      </w:r>
    </w:p>
    <w:p w:rsidR="007B0AE0" w:rsidRPr="00921120" w:rsidRDefault="007B0AE0" w:rsidP="00921120">
      <w:pPr>
        <w:spacing w:line="240" w:lineRule="auto"/>
        <w:jc w:val="left"/>
        <w:rPr>
          <w:rFonts w:ascii="Arial" w:hAnsi="Arial" w:cs="Arial"/>
          <w:b/>
          <w:sz w:val="20"/>
          <w:szCs w:val="20"/>
        </w:rPr>
      </w:pPr>
    </w:p>
    <w:p w:rsidR="007B0AE0" w:rsidRPr="00921120" w:rsidRDefault="007B0AE0" w:rsidP="00921120">
      <w:pPr>
        <w:pStyle w:val="Heading3"/>
        <w:spacing w:line="240" w:lineRule="auto"/>
        <w:jc w:val="left"/>
        <w:rPr>
          <w:rFonts w:ascii="Arial" w:hAnsi="Arial" w:cs="Arial"/>
          <w:sz w:val="20"/>
          <w:szCs w:val="20"/>
        </w:rPr>
      </w:pPr>
      <w:r w:rsidRPr="00921120">
        <w:rPr>
          <w:rFonts w:ascii="Arial" w:hAnsi="Arial" w:cs="Arial"/>
          <w:sz w:val="20"/>
          <w:szCs w:val="20"/>
        </w:rPr>
        <w:t xml:space="preserve">Progress </w:t>
      </w:r>
      <w:r w:rsidR="00992044" w:rsidRPr="00921120">
        <w:rPr>
          <w:rFonts w:ascii="Arial" w:hAnsi="Arial" w:cs="Arial"/>
          <w:sz w:val="20"/>
          <w:szCs w:val="20"/>
        </w:rPr>
        <w:t>M</w:t>
      </w:r>
      <w:r w:rsidRPr="00921120">
        <w:rPr>
          <w:rFonts w:ascii="Arial" w:hAnsi="Arial" w:cs="Arial"/>
          <w:sz w:val="20"/>
          <w:szCs w:val="20"/>
        </w:rPr>
        <w:t xml:space="preserve">ade in </w:t>
      </w:r>
      <w:r w:rsidR="00992044" w:rsidRPr="00921120">
        <w:rPr>
          <w:rFonts w:ascii="Arial" w:hAnsi="Arial" w:cs="Arial"/>
          <w:sz w:val="20"/>
          <w:szCs w:val="20"/>
        </w:rPr>
        <w:t>C</w:t>
      </w:r>
      <w:r w:rsidRPr="00921120">
        <w:rPr>
          <w:rFonts w:ascii="Arial" w:hAnsi="Arial" w:cs="Arial"/>
          <w:sz w:val="20"/>
          <w:szCs w:val="20"/>
        </w:rPr>
        <w:t xml:space="preserve">ombatting </w:t>
      </w:r>
      <w:r w:rsidR="00992044" w:rsidRPr="00921120">
        <w:rPr>
          <w:rFonts w:ascii="Arial" w:hAnsi="Arial" w:cs="Arial"/>
          <w:sz w:val="20"/>
          <w:szCs w:val="20"/>
        </w:rPr>
        <w:t>I</w:t>
      </w:r>
      <w:r w:rsidRPr="00921120">
        <w:rPr>
          <w:rFonts w:ascii="Arial" w:hAnsi="Arial" w:cs="Arial"/>
          <w:sz w:val="20"/>
          <w:szCs w:val="20"/>
        </w:rPr>
        <w:t xml:space="preserve">llicit </w:t>
      </w:r>
      <w:r w:rsidR="00992044" w:rsidRPr="00921120">
        <w:rPr>
          <w:rFonts w:ascii="Arial" w:hAnsi="Arial" w:cs="Arial"/>
          <w:sz w:val="20"/>
          <w:szCs w:val="20"/>
        </w:rPr>
        <w:t>T</w:t>
      </w:r>
      <w:r w:rsidRPr="00921120">
        <w:rPr>
          <w:rFonts w:ascii="Arial" w:hAnsi="Arial" w:cs="Arial"/>
          <w:sz w:val="20"/>
          <w:szCs w:val="20"/>
        </w:rPr>
        <w:t xml:space="preserve">rade </w:t>
      </w:r>
    </w:p>
    <w:p w:rsidR="007B0AE0" w:rsidRPr="00921120" w:rsidRDefault="007B0AE0" w:rsidP="00921120">
      <w:pPr>
        <w:spacing w:line="240" w:lineRule="auto"/>
        <w:jc w:val="left"/>
        <w:rPr>
          <w:rFonts w:ascii="Arial" w:hAnsi="Arial" w:cs="Arial"/>
          <w:sz w:val="20"/>
          <w:szCs w:val="20"/>
        </w:rPr>
      </w:pPr>
      <w:r w:rsidRPr="00921120">
        <w:rPr>
          <w:rFonts w:ascii="Arial" w:hAnsi="Arial" w:cs="Arial"/>
          <w:sz w:val="20"/>
          <w:szCs w:val="20"/>
        </w:rPr>
        <w:t>According to SARS, the customs frontline teams recorded 33</w:t>
      </w:r>
      <w:r w:rsidR="006B6C11" w:rsidRPr="00921120">
        <w:rPr>
          <w:rFonts w:ascii="Arial" w:hAnsi="Arial" w:cs="Arial"/>
          <w:sz w:val="20"/>
          <w:szCs w:val="20"/>
        </w:rPr>
        <w:t> </w:t>
      </w:r>
      <w:r w:rsidRPr="00921120">
        <w:rPr>
          <w:rFonts w:ascii="Arial" w:hAnsi="Arial" w:cs="Arial"/>
          <w:sz w:val="20"/>
          <w:szCs w:val="20"/>
        </w:rPr>
        <w:t xml:space="preserve">190 seizures </w:t>
      </w:r>
      <w:r w:rsidR="00607C68" w:rsidRPr="00921120">
        <w:rPr>
          <w:rFonts w:ascii="Arial" w:hAnsi="Arial" w:cs="Arial"/>
          <w:sz w:val="20"/>
          <w:szCs w:val="20"/>
        </w:rPr>
        <w:t xml:space="preserve">cumulatively </w:t>
      </w:r>
      <w:r w:rsidRPr="00921120">
        <w:rPr>
          <w:rFonts w:ascii="Arial" w:hAnsi="Arial" w:cs="Arial"/>
          <w:sz w:val="20"/>
          <w:szCs w:val="20"/>
        </w:rPr>
        <w:t xml:space="preserve">with a total estimated value of R17,9 </w:t>
      </w:r>
      <w:r w:rsidR="006B6C11" w:rsidRPr="00921120">
        <w:rPr>
          <w:rFonts w:ascii="Arial" w:hAnsi="Arial" w:cs="Arial"/>
          <w:sz w:val="20"/>
          <w:szCs w:val="20"/>
        </w:rPr>
        <w:t>b</w:t>
      </w:r>
      <w:r w:rsidRPr="00921120">
        <w:rPr>
          <w:rFonts w:ascii="Arial" w:hAnsi="Arial" w:cs="Arial"/>
          <w:sz w:val="20"/>
          <w:szCs w:val="20"/>
        </w:rPr>
        <w:t xml:space="preserve">illion </w:t>
      </w:r>
      <w:r w:rsidR="006B6C11" w:rsidRPr="00921120">
        <w:rPr>
          <w:rFonts w:ascii="Arial" w:hAnsi="Arial" w:cs="Arial"/>
          <w:sz w:val="20"/>
          <w:szCs w:val="20"/>
        </w:rPr>
        <w:t xml:space="preserve">over the </w:t>
      </w:r>
      <w:r w:rsidRPr="00921120">
        <w:rPr>
          <w:rFonts w:ascii="Arial" w:hAnsi="Arial" w:cs="Arial"/>
          <w:sz w:val="20"/>
          <w:szCs w:val="20"/>
        </w:rPr>
        <w:t>2016/17 to 2021/22</w:t>
      </w:r>
      <w:r w:rsidR="006B6C11" w:rsidRPr="00921120">
        <w:rPr>
          <w:rFonts w:ascii="Arial" w:hAnsi="Arial" w:cs="Arial"/>
          <w:sz w:val="20"/>
          <w:szCs w:val="20"/>
        </w:rPr>
        <w:t xml:space="preserve"> financial years</w:t>
      </w:r>
      <w:r w:rsidRPr="00921120">
        <w:rPr>
          <w:rFonts w:ascii="Arial" w:hAnsi="Arial" w:cs="Arial"/>
          <w:sz w:val="20"/>
          <w:szCs w:val="20"/>
        </w:rPr>
        <w:t>. Most of the seizures involved miscellaneous goods</w:t>
      </w:r>
      <w:r w:rsidR="00607C68" w:rsidRPr="00921120">
        <w:rPr>
          <w:rFonts w:ascii="Arial" w:hAnsi="Arial" w:cs="Arial"/>
          <w:sz w:val="20"/>
          <w:szCs w:val="20"/>
        </w:rPr>
        <w:t>,</w:t>
      </w:r>
      <w:r w:rsidRPr="00921120">
        <w:rPr>
          <w:rFonts w:ascii="Arial" w:hAnsi="Arial" w:cs="Arial"/>
          <w:sz w:val="20"/>
          <w:szCs w:val="20"/>
        </w:rPr>
        <w:t xml:space="preserve"> followed by cigarettes, narcotics, alcohol, medicaments, and clothing and textiles</w:t>
      </w:r>
      <w:r w:rsidR="006B6C11" w:rsidRPr="00921120">
        <w:rPr>
          <w:rFonts w:ascii="Arial" w:hAnsi="Arial" w:cs="Arial"/>
          <w:sz w:val="20"/>
          <w:szCs w:val="20"/>
        </w:rPr>
        <w:t>.</w:t>
      </w:r>
      <w:r w:rsidRPr="00921120">
        <w:rPr>
          <w:rFonts w:ascii="Arial" w:hAnsi="Arial" w:cs="Arial"/>
          <w:sz w:val="20"/>
          <w:szCs w:val="20"/>
        </w:rPr>
        <w:t xml:space="preserve"> </w:t>
      </w:r>
      <w:r w:rsidR="006B6C11" w:rsidRPr="00921120">
        <w:rPr>
          <w:rFonts w:ascii="Arial" w:hAnsi="Arial" w:cs="Arial"/>
          <w:sz w:val="20"/>
          <w:szCs w:val="20"/>
        </w:rPr>
        <w:t>These goods</w:t>
      </w:r>
      <w:r w:rsidRPr="00921120">
        <w:rPr>
          <w:rFonts w:ascii="Arial" w:hAnsi="Arial" w:cs="Arial"/>
          <w:sz w:val="20"/>
          <w:szCs w:val="20"/>
        </w:rPr>
        <w:t xml:space="preserve"> accounted for 90</w:t>
      </w:r>
      <w:r w:rsidR="00AC0EDA" w:rsidRPr="00921120">
        <w:rPr>
          <w:rFonts w:ascii="Arial" w:hAnsi="Arial" w:cs="Arial"/>
          <w:sz w:val="20"/>
          <w:szCs w:val="20"/>
        </w:rPr>
        <w:t>%</w:t>
      </w:r>
      <w:r w:rsidRPr="00921120">
        <w:rPr>
          <w:rFonts w:ascii="Arial" w:hAnsi="Arial" w:cs="Arial"/>
          <w:sz w:val="20"/>
          <w:szCs w:val="20"/>
        </w:rPr>
        <w:t xml:space="preserve"> of all the goods seized.</w:t>
      </w:r>
    </w:p>
    <w:p w:rsidR="006B6C11" w:rsidRPr="00921120" w:rsidRDefault="006B6C11" w:rsidP="00921120">
      <w:pPr>
        <w:spacing w:line="240" w:lineRule="auto"/>
        <w:jc w:val="left"/>
        <w:rPr>
          <w:rFonts w:ascii="Arial" w:hAnsi="Arial" w:cs="Arial"/>
          <w:sz w:val="20"/>
          <w:szCs w:val="20"/>
        </w:rPr>
      </w:pPr>
    </w:p>
    <w:p w:rsidR="005624EC" w:rsidRPr="00921120" w:rsidRDefault="007B0AE0" w:rsidP="00921120">
      <w:pPr>
        <w:spacing w:line="240" w:lineRule="auto"/>
        <w:jc w:val="left"/>
        <w:rPr>
          <w:rFonts w:ascii="Arial" w:hAnsi="Arial" w:cs="Arial"/>
          <w:sz w:val="20"/>
          <w:szCs w:val="20"/>
        </w:rPr>
      </w:pPr>
      <w:r w:rsidRPr="00921120">
        <w:rPr>
          <w:rFonts w:ascii="Arial" w:hAnsi="Arial" w:cs="Arial"/>
          <w:sz w:val="20"/>
          <w:szCs w:val="20"/>
        </w:rPr>
        <w:t>For April – December 2022, 4</w:t>
      </w:r>
      <w:r w:rsidR="006B6C11" w:rsidRPr="00921120">
        <w:rPr>
          <w:rFonts w:ascii="Arial" w:hAnsi="Arial" w:cs="Arial"/>
          <w:sz w:val="20"/>
          <w:szCs w:val="20"/>
        </w:rPr>
        <w:t> </w:t>
      </w:r>
      <w:r w:rsidRPr="00921120">
        <w:rPr>
          <w:rFonts w:ascii="Arial" w:hAnsi="Arial" w:cs="Arial"/>
          <w:sz w:val="20"/>
          <w:szCs w:val="20"/>
        </w:rPr>
        <w:t xml:space="preserve">285 seizures </w:t>
      </w:r>
      <w:r w:rsidR="006B6C11" w:rsidRPr="00921120">
        <w:rPr>
          <w:rFonts w:ascii="Arial" w:hAnsi="Arial" w:cs="Arial"/>
          <w:sz w:val="20"/>
          <w:szCs w:val="20"/>
        </w:rPr>
        <w:t xml:space="preserve">had been </w:t>
      </w:r>
      <w:r w:rsidRPr="00921120">
        <w:rPr>
          <w:rFonts w:ascii="Arial" w:hAnsi="Arial" w:cs="Arial"/>
          <w:sz w:val="20"/>
          <w:szCs w:val="20"/>
        </w:rPr>
        <w:t>recorded for various commodities with an estimated value of R2</w:t>
      </w:r>
      <w:r w:rsidR="006B6C11" w:rsidRPr="00921120">
        <w:rPr>
          <w:rFonts w:ascii="Arial" w:hAnsi="Arial" w:cs="Arial"/>
          <w:sz w:val="20"/>
          <w:szCs w:val="20"/>
        </w:rPr>
        <w:t>,</w:t>
      </w:r>
      <w:r w:rsidRPr="00921120">
        <w:rPr>
          <w:rFonts w:ascii="Arial" w:hAnsi="Arial" w:cs="Arial"/>
          <w:sz w:val="20"/>
          <w:szCs w:val="20"/>
        </w:rPr>
        <w:t xml:space="preserve">4 </w:t>
      </w:r>
      <w:r w:rsidR="006B6C11" w:rsidRPr="00921120">
        <w:rPr>
          <w:rFonts w:ascii="Arial" w:hAnsi="Arial" w:cs="Arial"/>
          <w:sz w:val="20"/>
          <w:szCs w:val="20"/>
        </w:rPr>
        <w:t>b</w:t>
      </w:r>
      <w:r w:rsidRPr="00921120">
        <w:rPr>
          <w:rFonts w:ascii="Arial" w:hAnsi="Arial" w:cs="Arial"/>
          <w:sz w:val="20"/>
          <w:szCs w:val="20"/>
        </w:rPr>
        <w:t xml:space="preserve">illion. </w:t>
      </w:r>
      <w:r w:rsidR="006B6C11" w:rsidRPr="00921120">
        <w:rPr>
          <w:rFonts w:ascii="Arial" w:hAnsi="Arial" w:cs="Arial"/>
          <w:sz w:val="20"/>
          <w:szCs w:val="20"/>
        </w:rPr>
        <w:t xml:space="preserve">The majority of </w:t>
      </w:r>
      <w:r w:rsidRPr="00921120">
        <w:rPr>
          <w:rFonts w:ascii="Arial" w:hAnsi="Arial" w:cs="Arial"/>
          <w:sz w:val="20"/>
          <w:szCs w:val="20"/>
        </w:rPr>
        <w:t xml:space="preserve">narcotics seizures </w:t>
      </w:r>
      <w:r w:rsidR="006B6C11" w:rsidRPr="00921120">
        <w:rPr>
          <w:rFonts w:ascii="Arial" w:hAnsi="Arial" w:cs="Arial"/>
          <w:sz w:val="20"/>
          <w:szCs w:val="20"/>
        </w:rPr>
        <w:t>(74</w:t>
      </w:r>
      <w:r w:rsidR="00AC0EDA" w:rsidRPr="00921120">
        <w:rPr>
          <w:rFonts w:ascii="Arial" w:hAnsi="Arial" w:cs="Arial"/>
          <w:sz w:val="20"/>
          <w:szCs w:val="20"/>
        </w:rPr>
        <w:t>%</w:t>
      </w:r>
      <w:r w:rsidR="006B6C11" w:rsidRPr="00921120">
        <w:rPr>
          <w:rFonts w:ascii="Arial" w:hAnsi="Arial" w:cs="Arial"/>
          <w:sz w:val="20"/>
          <w:szCs w:val="20"/>
        </w:rPr>
        <w:t xml:space="preserve">) had been </w:t>
      </w:r>
      <w:r w:rsidRPr="00921120">
        <w:rPr>
          <w:rFonts w:ascii="Arial" w:hAnsi="Arial" w:cs="Arial"/>
          <w:sz w:val="20"/>
          <w:szCs w:val="20"/>
        </w:rPr>
        <w:t xml:space="preserve">reported by </w:t>
      </w:r>
      <w:r w:rsidR="006B6C11" w:rsidRPr="00921120">
        <w:rPr>
          <w:rFonts w:ascii="Arial" w:hAnsi="Arial" w:cs="Arial"/>
          <w:sz w:val="20"/>
          <w:szCs w:val="20"/>
        </w:rPr>
        <w:t xml:space="preserve">the </w:t>
      </w:r>
      <w:r w:rsidRPr="00921120">
        <w:rPr>
          <w:rFonts w:ascii="Arial" w:hAnsi="Arial" w:cs="Arial"/>
          <w:sz w:val="20"/>
          <w:szCs w:val="20"/>
        </w:rPr>
        <w:t>OR</w:t>
      </w:r>
      <w:r w:rsidR="006B6C11" w:rsidRPr="00921120">
        <w:rPr>
          <w:rFonts w:ascii="Arial" w:hAnsi="Arial" w:cs="Arial"/>
          <w:sz w:val="20"/>
          <w:szCs w:val="20"/>
        </w:rPr>
        <w:t xml:space="preserve"> </w:t>
      </w:r>
      <w:r w:rsidRPr="00921120">
        <w:rPr>
          <w:rFonts w:ascii="Arial" w:hAnsi="Arial" w:cs="Arial"/>
          <w:sz w:val="20"/>
          <w:szCs w:val="20"/>
        </w:rPr>
        <w:t>T</w:t>
      </w:r>
      <w:r w:rsidR="006B6C11" w:rsidRPr="00921120">
        <w:rPr>
          <w:rFonts w:ascii="Arial" w:hAnsi="Arial" w:cs="Arial"/>
          <w:sz w:val="20"/>
          <w:szCs w:val="20"/>
        </w:rPr>
        <w:t xml:space="preserve">ambo </w:t>
      </w:r>
      <w:r w:rsidRPr="00921120">
        <w:rPr>
          <w:rFonts w:ascii="Arial" w:hAnsi="Arial" w:cs="Arial"/>
          <w:sz w:val="20"/>
          <w:szCs w:val="20"/>
        </w:rPr>
        <w:t>I</w:t>
      </w:r>
      <w:r w:rsidR="006B6C11" w:rsidRPr="00921120">
        <w:rPr>
          <w:rFonts w:ascii="Arial" w:hAnsi="Arial" w:cs="Arial"/>
          <w:sz w:val="20"/>
          <w:szCs w:val="20"/>
        </w:rPr>
        <w:t xml:space="preserve">nternational </w:t>
      </w:r>
      <w:r w:rsidRPr="00921120">
        <w:rPr>
          <w:rFonts w:ascii="Arial" w:hAnsi="Arial" w:cs="Arial"/>
          <w:sz w:val="20"/>
          <w:szCs w:val="20"/>
        </w:rPr>
        <w:t>A</w:t>
      </w:r>
      <w:r w:rsidR="006B6C11" w:rsidRPr="00921120">
        <w:rPr>
          <w:rFonts w:ascii="Arial" w:hAnsi="Arial" w:cs="Arial"/>
          <w:sz w:val="20"/>
          <w:szCs w:val="20"/>
        </w:rPr>
        <w:t>irport</w:t>
      </w:r>
      <w:r w:rsidRPr="00921120">
        <w:rPr>
          <w:rFonts w:ascii="Arial" w:hAnsi="Arial" w:cs="Arial"/>
          <w:sz w:val="20"/>
          <w:szCs w:val="20"/>
        </w:rPr>
        <w:t xml:space="preserve"> to the amount of R445</w:t>
      </w:r>
      <w:r w:rsidR="006B6C11" w:rsidRPr="00921120">
        <w:rPr>
          <w:rFonts w:ascii="Arial" w:hAnsi="Arial" w:cs="Arial"/>
          <w:sz w:val="20"/>
          <w:szCs w:val="20"/>
        </w:rPr>
        <w:t>,</w:t>
      </w:r>
      <w:r w:rsidRPr="00921120">
        <w:rPr>
          <w:rFonts w:ascii="Arial" w:hAnsi="Arial" w:cs="Arial"/>
          <w:sz w:val="20"/>
          <w:szCs w:val="20"/>
        </w:rPr>
        <w:t>4</w:t>
      </w:r>
      <w:r w:rsidR="006B6C11" w:rsidRPr="00921120">
        <w:rPr>
          <w:rFonts w:ascii="Arial" w:hAnsi="Arial" w:cs="Arial"/>
          <w:sz w:val="20"/>
          <w:szCs w:val="20"/>
        </w:rPr>
        <w:t xml:space="preserve"> </w:t>
      </w:r>
      <w:r w:rsidRPr="00921120">
        <w:rPr>
          <w:rFonts w:ascii="Arial" w:hAnsi="Arial" w:cs="Arial"/>
          <w:sz w:val="20"/>
          <w:szCs w:val="20"/>
        </w:rPr>
        <w:t>mil</w:t>
      </w:r>
      <w:r w:rsidR="006B6C11" w:rsidRPr="00921120">
        <w:rPr>
          <w:rFonts w:ascii="Arial" w:hAnsi="Arial" w:cs="Arial"/>
          <w:sz w:val="20"/>
          <w:szCs w:val="20"/>
        </w:rPr>
        <w:t>lion</w:t>
      </w:r>
      <w:r w:rsidRPr="00921120">
        <w:rPr>
          <w:rFonts w:ascii="Arial" w:hAnsi="Arial" w:cs="Arial"/>
          <w:sz w:val="20"/>
          <w:szCs w:val="20"/>
        </w:rPr>
        <w:t xml:space="preserve">. Some of the concealment methods included books, bottles, boxes, clothing, computer equipment, envelopes, folders, footwear, frames, jewellery, luggage, and makeup. There </w:t>
      </w:r>
      <w:r w:rsidR="006B6C11" w:rsidRPr="00921120">
        <w:rPr>
          <w:rFonts w:ascii="Arial" w:hAnsi="Arial" w:cs="Arial"/>
          <w:sz w:val="20"/>
          <w:szCs w:val="20"/>
        </w:rPr>
        <w:t xml:space="preserve">had been </w:t>
      </w:r>
      <w:r w:rsidRPr="00921120">
        <w:rPr>
          <w:rFonts w:ascii="Arial" w:hAnsi="Arial" w:cs="Arial"/>
          <w:sz w:val="20"/>
          <w:szCs w:val="20"/>
        </w:rPr>
        <w:t>21</w:t>
      </w:r>
      <w:r w:rsidR="00AC0EDA" w:rsidRPr="00921120">
        <w:rPr>
          <w:rFonts w:ascii="Arial" w:hAnsi="Arial" w:cs="Arial"/>
          <w:sz w:val="20"/>
          <w:szCs w:val="20"/>
        </w:rPr>
        <w:t>%</w:t>
      </w:r>
      <w:r w:rsidRPr="00921120">
        <w:rPr>
          <w:rFonts w:ascii="Arial" w:hAnsi="Arial" w:cs="Arial"/>
          <w:sz w:val="20"/>
          <w:szCs w:val="20"/>
        </w:rPr>
        <w:t xml:space="preserve"> more seizures conducted as compared to the </w:t>
      </w:r>
      <w:r w:rsidR="006B6C11" w:rsidRPr="00921120">
        <w:rPr>
          <w:rFonts w:ascii="Arial" w:hAnsi="Arial" w:cs="Arial"/>
          <w:sz w:val="20"/>
          <w:szCs w:val="20"/>
        </w:rPr>
        <w:t xml:space="preserve">first three quarters in the </w:t>
      </w:r>
      <w:r w:rsidRPr="00921120">
        <w:rPr>
          <w:rFonts w:ascii="Arial" w:hAnsi="Arial" w:cs="Arial"/>
          <w:sz w:val="20"/>
          <w:szCs w:val="20"/>
        </w:rPr>
        <w:t xml:space="preserve">previous </w:t>
      </w:r>
      <w:r w:rsidR="006B6C11" w:rsidRPr="00921120">
        <w:rPr>
          <w:rFonts w:ascii="Arial" w:hAnsi="Arial" w:cs="Arial"/>
          <w:sz w:val="20"/>
          <w:szCs w:val="20"/>
        </w:rPr>
        <w:t xml:space="preserve">financial </w:t>
      </w:r>
      <w:r w:rsidRPr="00921120">
        <w:rPr>
          <w:rFonts w:ascii="Arial" w:hAnsi="Arial" w:cs="Arial"/>
          <w:sz w:val="20"/>
          <w:szCs w:val="20"/>
        </w:rPr>
        <w:t xml:space="preserve">year. </w:t>
      </w:r>
    </w:p>
    <w:p w:rsidR="005624EC" w:rsidRPr="00921120" w:rsidRDefault="005624EC" w:rsidP="00921120">
      <w:pPr>
        <w:spacing w:line="240" w:lineRule="auto"/>
        <w:jc w:val="left"/>
        <w:rPr>
          <w:rFonts w:ascii="Arial" w:hAnsi="Arial" w:cs="Arial"/>
          <w:sz w:val="20"/>
          <w:szCs w:val="20"/>
        </w:rPr>
      </w:pPr>
    </w:p>
    <w:p w:rsidR="005624EC" w:rsidRPr="00921120" w:rsidRDefault="005624EC" w:rsidP="00921120">
      <w:pPr>
        <w:spacing w:line="240" w:lineRule="auto"/>
        <w:jc w:val="left"/>
        <w:rPr>
          <w:rFonts w:ascii="Arial" w:hAnsi="Arial" w:cs="Arial"/>
          <w:sz w:val="20"/>
          <w:szCs w:val="20"/>
        </w:rPr>
      </w:pPr>
      <w:r w:rsidRPr="00921120">
        <w:rPr>
          <w:rFonts w:ascii="Arial" w:hAnsi="Arial" w:cs="Arial"/>
          <w:sz w:val="20"/>
          <w:szCs w:val="20"/>
        </w:rPr>
        <w:t xml:space="preserve">In terms of cigarette seizures, </w:t>
      </w:r>
      <w:r w:rsidR="006B6C11" w:rsidRPr="00921120">
        <w:rPr>
          <w:rFonts w:ascii="Arial" w:hAnsi="Arial" w:cs="Arial"/>
          <w:sz w:val="20"/>
          <w:szCs w:val="20"/>
        </w:rPr>
        <w:t xml:space="preserve">Beitbridge had reported </w:t>
      </w:r>
      <w:r w:rsidR="007B0AE0" w:rsidRPr="00921120">
        <w:rPr>
          <w:rFonts w:ascii="Arial" w:hAnsi="Arial" w:cs="Arial"/>
          <w:sz w:val="20"/>
          <w:szCs w:val="20"/>
        </w:rPr>
        <w:t>62</w:t>
      </w:r>
      <w:r w:rsidR="00AC0EDA" w:rsidRPr="00921120">
        <w:rPr>
          <w:rFonts w:ascii="Arial" w:hAnsi="Arial" w:cs="Arial"/>
          <w:sz w:val="20"/>
          <w:szCs w:val="20"/>
        </w:rPr>
        <w:t>%</w:t>
      </w:r>
      <w:r w:rsidR="007B0AE0" w:rsidRPr="00921120">
        <w:rPr>
          <w:rFonts w:ascii="Arial" w:hAnsi="Arial" w:cs="Arial"/>
          <w:sz w:val="20"/>
          <w:szCs w:val="20"/>
        </w:rPr>
        <w:t xml:space="preserve"> of cigarette seizures </w:t>
      </w:r>
      <w:r w:rsidR="006B6C11" w:rsidRPr="00921120">
        <w:rPr>
          <w:rFonts w:ascii="Arial" w:hAnsi="Arial" w:cs="Arial"/>
          <w:sz w:val="20"/>
          <w:szCs w:val="20"/>
        </w:rPr>
        <w:t xml:space="preserve">to the value of </w:t>
      </w:r>
      <w:r w:rsidR="007B0AE0" w:rsidRPr="00921120">
        <w:rPr>
          <w:rFonts w:ascii="Arial" w:hAnsi="Arial" w:cs="Arial"/>
          <w:sz w:val="20"/>
          <w:szCs w:val="20"/>
        </w:rPr>
        <w:t>R28</w:t>
      </w:r>
      <w:r w:rsidR="006B6C11" w:rsidRPr="00921120">
        <w:rPr>
          <w:rFonts w:ascii="Arial" w:hAnsi="Arial" w:cs="Arial"/>
          <w:sz w:val="20"/>
          <w:szCs w:val="20"/>
        </w:rPr>
        <w:t>,</w:t>
      </w:r>
      <w:r w:rsidR="007B0AE0" w:rsidRPr="00921120">
        <w:rPr>
          <w:rFonts w:ascii="Arial" w:hAnsi="Arial" w:cs="Arial"/>
          <w:sz w:val="20"/>
          <w:szCs w:val="20"/>
        </w:rPr>
        <w:t>2</w:t>
      </w:r>
      <w:r w:rsidR="006B6C11" w:rsidRPr="00921120">
        <w:rPr>
          <w:rFonts w:ascii="Arial" w:hAnsi="Arial" w:cs="Arial"/>
          <w:sz w:val="20"/>
          <w:szCs w:val="20"/>
        </w:rPr>
        <w:t xml:space="preserve"> </w:t>
      </w:r>
      <w:r w:rsidR="007B0AE0" w:rsidRPr="00921120">
        <w:rPr>
          <w:rFonts w:ascii="Arial" w:hAnsi="Arial" w:cs="Arial"/>
          <w:sz w:val="20"/>
          <w:szCs w:val="20"/>
        </w:rPr>
        <w:t>m</w:t>
      </w:r>
      <w:r w:rsidR="006B6C11" w:rsidRPr="00921120">
        <w:rPr>
          <w:rFonts w:ascii="Arial" w:hAnsi="Arial" w:cs="Arial"/>
          <w:sz w:val="20"/>
          <w:szCs w:val="20"/>
        </w:rPr>
        <w:t>illion</w:t>
      </w:r>
      <w:r w:rsidRPr="00921120">
        <w:rPr>
          <w:rFonts w:ascii="Arial" w:hAnsi="Arial" w:cs="Arial"/>
          <w:sz w:val="20"/>
          <w:szCs w:val="20"/>
        </w:rPr>
        <w:t>.</w:t>
      </w:r>
      <w:r w:rsidR="007B0AE0" w:rsidRPr="00921120">
        <w:rPr>
          <w:rFonts w:ascii="Arial" w:hAnsi="Arial" w:cs="Arial"/>
          <w:sz w:val="20"/>
          <w:szCs w:val="20"/>
        </w:rPr>
        <w:t xml:space="preserve"> </w:t>
      </w:r>
      <w:r w:rsidRPr="00921120">
        <w:rPr>
          <w:rFonts w:ascii="Arial" w:hAnsi="Arial" w:cs="Arial"/>
          <w:sz w:val="20"/>
          <w:szCs w:val="20"/>
        </w:rPr>
        <w:t>C</w:t>
      </w:r>
      <w:r w:rsidR="006B6C11" w:rsidRPr="00921120">
        <w:rPr>
          <w:rFonts w:ascii="Arial" w:hAnsi="Arial" w:cs="Arial"/>
          <w:sz w:val="20"/>
          <w:szCs w:val="20"/>
        </w:rPr>
        <w:t>igarette seizures to the estimated value of R431 </w:t>
      </w:r>
      <w:r w:rsidRPr="00921120">
        <w:rPr>
          <w:rFonts w:ascii="Arial" w:hAnsi="Arial" w:cs="Arial"/>
          <w:sz w:val="20"/>
          <w:szCs w:val="20"/>
        </w:rPr>
        <w:t>1</w:t>
      </w:r>
      <w:r w:rsidR="006B6C11" w:rsidRPr="00921120">
        <w:rPr>
          <w:rFonts w:ascii="Arial" w:hAnsi="Arial" w:cs="Arial"/>
          <w:sz w:val="20"/>
          <w:szCs w:val="20"/>
        </w:rPr>
        <w:t>00 and R220</w:t>
      </w:r>
      <w:r w:rsidRPr="00921120">
        <w:rPr>
          <w:rFonts w:ascii="Arial" w:hAnsi="Arial" w:cs="Arial"/>
          <w:sz w:val="20"/>
          <w:szCs w:val="20"/>
        </w:rPr>
        <w:t> </w:t>
      </w:r>
      <w:r w:rsidR="006B6C11" w:rsidRPr="00921120">
        <w:rPr>
          <w:rFonts w:ascii="Arial" w:hAnsi="Arial" w:cs="Arial"/>
          <w:sz w:val="20"/>
          <w:szCs w:val="20"/>
        </w:rPr>
        <w:t>300</w:t>
      </w:r>
      <w:r w:rsidRPr="00921120">
        <w:rPr>
          <w:rFonts w:ascii="Arial" w:hAnsi="Arial" w:cs="Arial"/>
          <w:sz w:val="20"/>
          <w:szCs w:val="20"/>
        </w:rPr>
        <w:t xml:space="preserve"> had been reported by </w:t>
      </w:r>
      <w:r w:rsidR="007B0AE0" w:rsidRPr="00921120">
        <w:rPr>
          <w:rFonts w:ascii="Arial" w:hAnsi="Arial" w:cs="Arial"/>
          <w:sz w:val="20"/>
          <w:szCs w:val="20"/>
        </w:rPr>
        <w:t xml:space="preserve">Lebombo and Free State </w:t>
      </w:r>
      <w:r w:rsidRPr="00921120">
        <w:rPr>
          <w:rFonts w:ascii="Arial" w:hAnsi="Arial" w:cs="Arial"/>
          <w:sz w:val="20"/>
          <w:szCs w:val="20"/>
        </w:rPr>
        <w:t>respectively</w:t>
      </w:r>
      <w:r w:rsidR="007B0AE0" w:rsidRPr="00921120">
        <w:rPr>
          <w:rFonts w:ascii="Arial" w:hAnsi="Arial" w:cs="Arial"/>
          <w:sz w:val="20"/>
          <w:szCs w:val="20"/>
        </w:rPr>
        <w:t xml:space="preserve">. Concealment methods included luggage, light vehicles, cargo vehicles and local premises. </w:t>
      </w:r>
    </w:p>
    <w:p w:rsidR="005624EC" w:rsidRPr="00921120" w:rsidRDefault="005624EC" w:rsidP="00921120">
      <w:pPr>
        <w:spacing w:line="240" w:lineRule="auto"/>
        <w:jc w:val="left"/>
        <w:rPr>
          <w:rFonts w:ascii="Arial" w:hAnsi="Arial" w:cs="Arial"/>
          <w:sz w:val="20"/>
          <w:szCs w:val="20"/>
        </w:rPr>
      </w:pPr>
    </w:p>
    <w:p w:rsidR="007B0AE0" w:rsidRPr="00921120" w:rsidRDefault="005624EC" w:rsidP="00921120">
      <w:pPr>
        <w:spacing w:line="240" w:lineRule="auto"/>
        <w:jc w:val="left"/>
        <w:rPr>
          <w:rFonts w:ascii="Arial" w:hAnsi="Arial" w:cs="Arial"/>
          <w:sz w:val="20"/>
          <w:szCs w:val="20"/>
        </w:rPr>
      </w:pPr>
      <w:r w:rsidRPr="00921120">
        <w:rPr>
          <w:rFonts w:ascii="Arial" w:hAnsi="Arial" w:cs="Arial"/>
          <w:sz w:val="20"/>
          <w:szCs w:val="20"/>
        </w:rPr>
        <w:t xml:space="preserve">In terms of counterfeit </w:t>
      </w:r>
      <w:r w:rsidR="00F13993" w:rsidRPr="00921120">
        <w:rPr>
          <w:rFonts w:ascii="Arial" w:hAnsi="Arial" w:cs="Arial"/>
          <w:color w:val="000000"/>
          <w:sz w:val="20"/>
          <w:szCs w:val="20"/>
        </w:rPr>
        <w:t>Clothing, Textiles, Leather and Footwear (</w:t>
      </w:r>
      <w:r w:rsidRPr="00921120">
        <w:rPr>
          <w:rFonts w:ascii="Arial" w:hAnsi="Arial" w:cs="Arial"/>
          <w:sz w:val="20"/>
          <w:szCs w:val="20"/>
        </w:rPr>
        <w:t>CTFL</w:t>
      </w:r>
      <w:r w:rsidR="00F13993" w:rsidRPr="00921120">
        <w:rPr>
          <w:rFonts w:ascii="Arial" w:hAnsi="Arial" w:cs="Arial"/>
          <w:sz w:val="20"/>
          <w:szCs w:val="20"/>
        </w:rPr>
        <w:t>)</w:t>
      </w:r>
      <w:r w:rsidRPr="00921120">
        <w:rPr>
          <w:rFonts w:ascii="Arial" w:hAnsi="Arial" w:cs="Arial"/>
          <w:sz w:val="20"/>
          <w:szCs w:val="20"/>
        </w:rPr>
        <w:t xml:space="preserve"> seizures, </w:t>
      </w:r>
      <w:r w:rsidR="007B0AE0" w:rsidRPr="00921120">
        <w:rPr>
          <w:rFonts w:ascii="Arial" w:hAnsi="Arial" w:cs="Arial"/>
          <w:sz w:val="20"/>
          <w:szCs w:val="20"/>
        </w:rPr>
        <w:t>71</w:t>
      </w:r>
      <w:r w:rsidR="00AC0EDA" w:rsidRPr="00921120">
        <w:rPr>
          <w:rFonts w:ascii="Arial" w:hAnsi="Arial" w:cs="Arial"/>
          <w:sz w:val="20"/>
          <w:szCs w:val="20"/>
        </w:rPr>
        <w:t>%</w:t>
      </w:r>
      <w:r w:rsidR="007B0AE0" w:rsidRPr="00921120">
        <w:rPr>
          <w:rFonts w:ascii="Arial" w:hAnsi="Arial" w:cs="Arial"/>
          <w:sz w:val="20"/>
          <w:szCs w:val="20"/>
        </w:rPr>
        <w:t xml:space="preserve"> of seizures </w:t>
      </w:r>
      <w:r w:rsidRPr="00921120">
        <w:rPr>
          <w:rFonts w:ascii="Arial" w:hAnsi="Arial" w:cs="Arial"/>
          <w:sz w:val="20"/>
          <w:szCs w:val="20"/>
        </w:rPr>
        <w:t xml:space="preserve">had been </w:t>
      </w:r>
      <w:r w:rsidR="007B0AE0" w:rsidRPr="00921120">
        <w:rPr>
          <w:rFonts w:ascii="Arial" w:hAnsi="Arial" w:cs="Arial"/>
          <w:sz w:val="20"/>
          <w:szCs w:val="20"/>
        </w:rPr>
        <w:t>reported by OR</w:t>
      </w:r>
      <w:r w:rsidRPr="00921120">
        <w:rPr>
          <w:rFonts w:ascii="Arial" w:hAnsi="Arial" w:cs="Arial"/>
          <w:sz w:val="20"/>
          <w:szCs w:val="20"/>
        </w:rPr>
        <w:t xml:space="preserve"> </w:t>
      </w:r>
      <w:r w:rsidR="007B0AE0" w:rsidRPr="00921120">
        <w:rPr>
          <w:rFonts w:ascii="Arial" w:hAnsi="Arial" w:cs="Arial"/>
          <w:sz w:val="20"/>
          <w:szCs w:val="20"/>
        </w:rPr>
        <w:t>T</w:t>
      </w:r>
      <w:r w:rsidRPr="00921120">
        <w:rPr>
          <w:rFonts w:ascii="Arial" w:hAnsi="Arial" w:cs="Arial"/>
          <w:sz w:val="20"/>
          <w:szCs w:val="20"/>
        </w:rPr>
        <w:t xml:space="preserve">ambo </w:t>
      </w:r>
      <w:r w:rsidR="007B0AE0" w:rsidRPr="00921120">
        <w:rPr>
          <w:rFonts w:ascii="Arial" w:hAnsi="Arial" w:cs="Arial"/>
          <w:sz w:val="20"/>
          <w:szCs w:val="20"/>
        </w:rPr>
        <w:t>I</w:t>
      </w:r>
      <w:r w:rsidRPr="00921120">
        <w:rPr>
          <w:rFonts w:ascii="Arial" w:hAnsi="Arial" w:cs="Arial"/>
          <w:sz w:val="20"/>
          <w:szCs w:val="20"/>
        </w:rPr>
        <w:t xml:space="preserve">nternational </w:t>
      </w:r>
      <w:r w:rsidR="007B0AE0" w:rsidRPr="00921120">
        <w:rPr>
          <w:rFonts w:ascii="Arial" w:hAnsi="Arial" w:cs="Arial"/>
          <w:sz w:val="20"/>
          <w:szCs w:val="20"/>
        </w:rPr>
        <w:t>A</w:t>
      </w:r>
      <w:r w:rsidRPr="00921120">
        <w:rPr>
          <w:rFonts w:ascii="Arial" w:hAnsi="Arial" w:cs="Arial"/>
          <w:sz w:val="20"/>
          <w:szCs w:val="20"/>
        </w:rPr>
        <w:t xml:space="preserve">irport to the value of </w:t>
      </w:r>
      <w:r w:rsidR="007B0AE0" w:rsidRPr="00921120">
        <w:rPr>
          <w:rFonts w:ascii="Arial" w:hAnsi="Arial" w:cs="Arial"/>
          <w:sz w:val="20"/>
          <w:szCs w:val="20"/>
        </w:rPr>
        <w:t>R734</w:t>
      </w:r>
      <w:r w:rsidRPr="00921120">
        <w:rPr>
          <w:rFonts w:ascii="Arial" w:hAnsi="Arial" w:cs="Arial"/>
          <w:sz w:val="20"/>
          <w:szCs w:val="20"/>
        </w:rPr>
        <w:t xml:space="preserve"> </w:t>
      </w:r>
      <w:r w:rsidR="007B0AE0" w:rsidRPr="00921120">
        <w:rPr>
          <w:rFonts w:ascii="Arial" w:hAnsi="Arial" w:cs="Arial"/>
          <w:sz w:val="20"/>
          <w:szCs w:val="20"/>
        </w:rPr>
        <w:t>m</w:t>
      </w:r>
      <w:r w:rsidRPr="00921120">
        <w:rPr>
          <w:rFonts w:ascii="Arial" w:hAnsi="Arial" w:cs="Arial"/>
          <w:sz w:val="20"/>
          <w:szCs w:val="20"/>
        </w:rPr>
        <w:t>illion. This was followed by</w:t>
      </w:r>
      <w:r w:rsidR="007B0AE0" w:rsidRPr="00921120">
        <w:rPr>
          <w:rFonts w:ascii="Arial" w:hAnsi="Arial" w:cs="Arial"/>
          <w:sz w:val="20"/>
          <w:szCs w:val="20"/>
        </w:rPr>
        <w:t xml:space="preserve"> Lebombo </w:t>
      </w:r>
      <w:r w:rsidRPr="00921120">
        <w:rPr>
          <w:rFonts w:ascii="Arial" w:hAnsi="Arial" w:cs="Arial"/>
          <w:sz w:val="20"/>
          <w:szCs w:val="20"/>
        </w:rPr>
        <w:t xml:space="preserve">with seizures to the value of </w:t>
      </w:r>
      <w:r w:rsidR="007B0AE0" w:rsidRPr="00921120">
        <w:rPr>
          <w:rFonts w:ascii="Arial" w:hAnsi="Arial" w:cs="Arial"/>
          <w:sz w:val="20"/>
          <w:szCs w:val="20"/>
        </w:rPr>
        <w:t>R9</w:t>
      </w:r>
      <w:r w:rsidRPr="00921120">
        <w:rPr>
          <w:rFonts w:ascii="Arial" w:hAnsi="Arial" w:cs="Arial"/>
          <w:sz w:val="20"/>
          <w:szCs w:val="20"/>
        </w:rPr>
        <w:t>,</w:t>
      </w:r>
      <w:r w:rsidR="007B0AE0" w:rsidRPr="00921120">
        <w:rPr>
          <w:rFonts w:ascii="Arial" w:hAnsi="Arial" w:cs="Arial"/>
          <w:sz w:val="20"/>
          <w:szCs w:val="20"/>
        </w:rPr>
        <w:t>1</w:t>
      </w:r>
      <w:r w:rsidRPr="00921120">
        <w:rPr>
          <w:rFonts w:ascii="Arial" w:hAnsi="Arial" w:cs="Arial"/>
          <w:sz w:val="20"/>
          <w:szCs w:val="20"/>
        </w:rPr>
        <w:t xml:space="preserve"> </w:t>
      </w:r>
      <w:r w:rsidR="007B0AE0" w:rsidRPr="00921120">
        <w:rPr>
          <w:rFonts w:ascii="Arial" w:hAnsi="Arial" w:cs="Arial"/>
          <w:sz w:val="20"/>
          <w:szCs w:val="20"/>
        </w:rPr>
        <w:t>m</w:t>
      </w:r>
      <w:r w:rsidRPr="00921120">
        <w:rPr>
          <w:rFonts w:ascii="Arial" w:hAnsi="Arial" w:cs="Arial"/>
          <w:sz w:val="20"/>
          <w:szCs w:val="20"/>
        </w:rPr>
        <w:t>illion</w:t>
      </w:r>
      <w:r w:rsidR="007B0AE0" w:rsidRPr="00921120">
        <w:rPr>
          <w:rFonts w:ascii="Arial" w:hAnsi="Arial" w:cs="Arial"/>
          <w:sz w:val="20"/>
          <w:szCs w:val="20"/>
        </w:rPr>
        <w:t>. From April 2021 until December 2022, 27 customs licen</w:t>
      </w:r>
      <w:r w:rsidR="00230E65" w:rsidRPr="00921120">
        <w:rPr>
          <w:rFonts w:ascii="Arial" w:hAnsi="Arial" w:cs="Arial"/>
          <w:sz w:val="20"/>
          <w:szCs w:val="20"/>
        </w:rPr>
        <w:t>c</w:t>
      </w:r>
      <w:r w:rsidR="007B0AE0" w:rsidRPr="00921120">
        <w:rPr>
          <w:rFonts w:ascii="Arial" w:hAnsi="Arial" w:cs="Arial"/>
          <w:sz w:val="20"/>
          <w:szCs w:val="20"/>
        </w:rPr>
        <w:t xml:space="preserve">es </w:t>
      </w:r>
      <w:r w:rsidR="00230E65" w:rsidRPr="00921120">
        <w:rPr>
          <w:rFonts w:ascii="Arial" w:hAnsi="Arial" w:cs="Arial"/>
          <w:sz w:val="20"/>
          <w:szCs w:val="20"/>
        </w:rPr>
        <w:t xml:space="preserve">had been </w:t>
      </w:r>
      <w:r w:rsidR="007B0AE0" w:rsidRPr="00921120">
        <w:rPr>
          <w:rFonts w:ascii="Arial" w:hAnsi="Arial" w:cs="Arial"/>
          <w:sz w:val="20"/>
          <w:szCs w:val="20"/>
        </w:rPr>
        <w:t xml:space="preserve">cancelled, and </w:t>
      </w:r>
      <w:r w:rsidR="00230E65" w:rsidRPr="00921120">
        <w:rPr>
          <w:rFonts w:ascii="Arial" w:hAnsi="Arial" w:cs="Arial"/>
          <w:sz w:val="20"/>
          <w:szCs w:val="20"/>
        </w:rPr>
        <w:t>three</w:t>
      </w:r>
      <w:r w:rsidR="007B0AE0" w:rsidRPr="00921120">
        <w:rPr>
          <w:rFonts w:ascii="Arial" w:hAnsi="Arial" w:cs="Arial"/>
          <w:sz w:val="20"/>
          <w:szCs w:val="20"/>
        </w:rPr>
        <w:t xml:space="preserve"> licen</w:t>
      </w:r>
      <w:r w:rsidR="00230E65" w:rsidRPr="00921120">
        <w:rPr>
          <w:rFonts w:ascii="Arial" w:hAnsi="Arial" w:cs="Arial"/>
          <w:sz w:val="20"/>
          <w:szCs w:val="20"/>
        </w:rPr>
        <w:t>c</w:t>
      </w:r>
      <w:r w:rsidR="007B0AE0" w:rsidRPr="00921120">
        <w:rPr>
          <w:rFonts w:ascii="Arial" w:hAnsi="Arial" w:cs="Arial"/>
          <w:sz w:val="20"/>
          <w:szCs w:val="20"/>
        </w:rPr>
        <w:t xml:space="preserve">es </w:t>
      </w:r>
      <w:r w:rsidR="00230E65" w:rsidRPr="00921120">
        <w:rPr>
          <w:rFonts w:ascii="Arial" w:hAnsi="Arial" w:cs="Arial"/>
          <w:sz w:val="20"/>
          <w:szCs w:val="20"/>
        </w:rPr>
        <w:t xml:space="preserve">had been </w:t>
      </w:r>
      <w:r w:rsidR="007B0AE0" w:rsidRPr="00921120">
        <w:rPr>
          <w:rFonts w:ascii="Arial" w:hAnsi="Arial" w:cs="Arial"/>
          <w:sz w:val="20"/>
          <w:szCs w:val="20"/>
        </w:rPr>
        <w:t>suspended as a result of proven customs non</w:t>
      </w:r>
      <w:r w:rsidR="00230E65" w:rsidRPr="00921120">
        <w:rPr>
          <w:rFonts w:ascii="Arial" w:hAnsi="Arial" w:cs="Arial"/>
          <w:sz w:val="20"/>
          <w:szCs w:val="20"/>
        </w:rPr>
        <w:t>-</w:t>
      </w:r>
      <w:r w:rsidR="007B0AE0" w:rsidRPr="00921120">
        <w:rPr>
          <w:rFonts w:ascii="Arial" w:hAnsi="Arial" w:cs="Arial"/>
          <w:sz w:val="20"/>
          <w:szCs w:val="20"/>
        </w:rPr>
        <w:t>compliance.</w:t>
      </w:r>
    </w:p>
    <w:p w:rsidR="007B0AE0" w:rsidRPr="00921120" w:rsidRDefault="007B0AE0" w:rsidP="00921120">
      <w:pPr>
        <w:spacing w:line="240" w:lineRule="auto"/>
        <w:jc w:val="left"/>
        <w:rPr>
          <w:rFonts w:ascii="Arial" w:hAnsi="Arial" w:cs="Arial"/>
          <w:b/>
          <w:sz w:val="20"/>
          <w:szCs w:val="20"/>
        </w:rPr>
      </w:pPr>
    </w:p>
    <w:p w:rsidR="007B0AE0" w:rsidRPr="00921120" w:rsidRDefault="007B0AE0" w:rsidP="00921120">
      <w:pPr>
        <w:pStyle w:val="Heading4"/>
        <w:spacing w:line="240" w:lineRule="auto"/>
        <w:jc w:val="left"/>
        <w:rPr>
          <w:rFonts w:ascii="Arial" w:hAnsi="Arial" w:cs="Arial"/>
          <w:sz w:val="20"/>
          <w:szCs w:val="20"/>
        </w:rPr>
      </w:pPr>
      <w:r w:rsidRPr="00921120">
        <w:rPr>
          <w:rFonts w:ascii="Arial" w:hAnsi="Arial" w:cs="Arial"/>
          <w:sz w:val="20"/>
          <w:szCs w:val="20"/>
        </w:rPr>
        <w:t>Illicit Trade Unit and the National Rapid Response Team</w:t>
      </w:r>
    </w:p>
    <w:p w:rsidR="00736F48" w:rsidRPr="00921120" w:rsidRDefault="007B0AE0" w:rsidP="00921120">
      <w:pPr>
        <w:spacing w:line="240" w:lineRule="auto"/>
        <w:jc w:val="left"/>
        <w:rPr>
          <w:rFonts w:ascii="Arial" w:hAnsi="Arial" w:cs="Arial"/>
          <w:sz w:val="20"/>
          <w:szCs w:val="20"/>
        </w:rPr>
      </w:pPr>
      <w:r w:rsidRPr="00921120">
        <w:rPr>
          <w:rFonts w:ascii="Arial" w:hAnsi="Arial" w:cs="Arial"/>
          <w:sz w:val="20"/>
          <w:szCs w:val="20"/>
        </w:rPr>
        <w:t>SARS report</w:t>
      </w:r>
      <w:r w:rsidR="00233727" w:rsidRPr="00921120">
        <w:rPr>
          <w:rFonts w:ascii="Arial" w:hAnsi="Arial" w:cs="Arial"/>
          <w:sz w:val="20"/>
          <w:szCs w:val="20"/>
        </w:rPr>
        <w:t>s</w:t>
      </w:r>
      <w:r w:rsidRPr="00921120">
        <w:rPr>
          <w:rFonts w:ascii="Arial" w:hAnsi="Arial" w:cs="Arial"/>
          <w:sz w:val="20"/>
          <w:szCs w:val="20"/>
        </w:rPr>
        <w:t xml:space="preserve"> to the Customs National Rapid Response </w:t>
      </w:r>
      <w:r w:rsidR="00685762" w:rsidRPr="00921120">
        <w:rPr>
          <w:rFonts w:ascii="Arial" w:hAnsi="Arial" w:cs="Arial"/>
          <w:sz w:val="20"/>
          <w:szCs w:val="20"/>
        </w:rPr>
        <w:t>T</w:t>
      </w:r>
      <w:r w:rsidRPr="00921120">
        <w:rPr>
          <w:rFonts w:ascii="Arial" w:hAnsi="Arial" w:cs="Arial"/>
          <w:sz w:val="20"/>
          <w:szCs w:val="20"/>
        </w:rPr>
        <w:t>eam</w:t>
      </w:r>
      <w:r w:rsidR="00E068B4" w:rsidRPr="00921120">
        <w:rPr>
          <w:rFonts w:ascii="Arial" w:hAnsi="Arial" w:cs="Arial"/>
          <w:sz w:val="20"/>
          <w:szCs w:val="20"/>
        </w:rPr>
        <w:t xml:space="preserve"> (CNRRT)</w:t>
      </w:r>
      <w:r w:rsidR="00685762" w:rsidRPr="00921120">
        <w:rPr>
          <w:rFonts w:ascii="Arial" w:hAnsi="Arial" w:cs="Arial"/>
          <w:sz w:val="20"/>
          <w:szCs w:val="20"/>
        </w:rPr>
        <w:t>.</w:t>
      </w:r>
      <w:r w:rsidRPr="00921120">
        <w:rPr>
          <w:rFonts w:ascii="Arial" w:hAnsi="Arial" w:cs="Arial"/>
          <w:sz w:val="20"/>
          <w:szCs w:val="20"/>
        </w:rPr>
        <w:t xml:space="preserve"> </w:t>
      </w:r>
      <w:r w:rsidR="00685762" w:rsidRPr="00921120">
        <w:rPr>
          <w:rFonts w:ascii="Arial" w:hAnsi="Arial" w:cs="Arial"/>
          <w:sz w:val="20"/>
          <w:szCs w:val="20"/>
        </w:rPr>
        <w:t>T</w:t>
      </w:r>
      <w:r w:rsidRPr="00921120">
        <w:rPr>
          <w:rFonts w:ascii="Arial" w:hAnsi="Arial" w:cs="Arial"/>
          <w:sz w:val="20"/>
          <w:szCs w:val="20"/>
        </w:rPr>
        <w:t>he</w:t>
      </w:r>
      <w:r w:rsidR="00233727" w:rsidRPr="00921120">
        <w:rPr>
          <w:rFonts w:ascii="Arial" w:hAnsi="Arial" w:cs="Arial"/>
          <w:sz w:val="20"/>
          <w:szCs w:val="20"/>
        </w:rPr>
        <w:t xml:space="preserve"> CNRRT and</w:t>
      </w:r>
      <w:r w:rsidRPr="00921120">
        <w:rPr>
          <w:rFonts w:ascii="Arial" w:hAnsi="Arial" w:cs="Arial"/>
          <w:sz w:val="20"/>
          <w:szCs w:val="20"/>
        </w:rPr>
        <w:t xml:space="preserve"> Illicit Trade Unit recorded a cumulative of 18</w:t>
      </w:r>
      <w:r w:rsidR="00685762" w:rsidRPr="00921120">
        <w:rPr>
          <w:rFonts w:ascii="Arial" w:hAnsi="Arial" w:cs="Arial"/>
          <w:sz w:val="20"/>
          <w:szCs w:val="20"/>
        </w:rPr>
        <w:t> </w:t>
      </w:r>
      <w:r w:rsidRPr="00921120">
        <w:rPr>
          <w:rFonts w:ascii="Arial" w:hAnsi="Arial" w:cs="Arial"/>
          <w:sz w:val="20"/>
          <w:szCs w:val="20"/>
        </w:rPr>
        <w:t>849 risk</w:t>
      </w:r>
      <w:r w:rsidR="00685762" w:rsidRPr="00921120">
        <w:rPr>
          <w:rFonts w:ascii="Arial" w:hAnsi="Arial" w:cs="Arial"/>
          <w:sz w:val="20"/>
          <w:szCs w:val="20"/>
        </w:rPr>
        <w:t>-</w:t>
      </w:r>
      <w:r w:rsidRPr="00921120">
        <w:rPr>
          <w:rFonts w:ascii="Arial" w:hAnsi="Arial" w:cs="Arial"/>
          <w:sz w:val="20"/>
          <w:szCs w:val="20"/>
        </w:rPr>
        <w:t>based tactical interventions linked to illicit trade and customs fraud</w:t>
      </w:r>
      <w:r w:rsidR="00736F48" w:rsidRPr="00921120">
        <w:rPr>
          <w:rFonts w:ascii="Arial" w:hAnsi="Arial" w:cs="Arial"/>
          <w:sz w:val="20"/>
          <w:szCs w:val="20"/>
        </w:rPr>
        <w:t xml:space="preserve">. This </w:t>
      </w:r>
      <w:r w:rsidRPr="00921120">
        <w:rPr>
          <w:rFonts w:ascii="Arial" w:hAnsi="Arial" w:cs="Arial"/>
          <w:sz w:val="20"/>
          <w:szCs w:val="20"/>
        </w:rPr>
        <w:t>resulted in 4</w:t>
      </w:r>
      <w:r w:rsidR="00736F48" w:rsidRPr="00921120">
        <w:rPr>
          <w:rFonts w:ascii="Arial" w:hAnsi="Arial" w:cs="Arial"/>
          <w:sz w:val="20"/>
          <w:szCs w:val="20"/>
        </w:rPr>
        <w:t> </w:t>
      </w:r>
      <w:r w:rsidRPr="00921120">
        <w:rPr>
          <w:rFonts w:ascii="Arial" w:hAnsi="Arial" w:cs="Arial"/>
          <w:sz w:val="20"/>
          <w:szCs w:val="20"/>
        </w:rPr>
        <w:t>232 detentions and 4</w:t>
      </w:r>
      <w:r w:rsidR="00736F48" w:rsidRPr="00921120">
        <w:rPr>
          <w:rFonts w:ascii="Arial" w:hAnsi="Arial" w:cs="Arial"/>
          <w:sz w:val="20"/>
          <w:szCs w:val="20"/>
        </w:rPr>
        <w:t> </w:t>
      </w:r>
      <w:r w:rsidRPr="00921120">
        <w:rPr>
          <w:rFonts w:ascii="Arial" w:hAnsi="Arial" w:cs="Arial"/>
          <w:sz w:val="20"/>
          <w:szCs w:val="20"/>
        </w:rPr>
        <w:t xml:space="preserve">393 seizures with a total estimated value of R1,7 </w:t>
      </w:r>
      <w:r w:rsidR="00736F48" w:rsidRPr="00921120">
        <w:rPr>
          <w:rFonts w:ascii="Arial" w:hAnsi="Arial" w:cs="Arial"/>
          <w:sz w:val="20"/>
          <w:szCs w:val="20"/>
        </w:rPr>
        <w:t>b</w:t>
      </w:r>
      <w:r w:rsidRPr="00921120">
        <w:rPr>
          <w:rFonts w:ascii="Arial" w:hAnsi="Arial" w:cs="Arial"/>
          <w:sz w:val="20"/>
          <w:szCs w:val="20"/>
        </w:rPr>
        <w:t xml:space="preserve">illion </w:t>
      </w:r>
      <w:r w:rsidR="00736F48" w:rsidRPr="00921120">
        <w:rPr>
          <w:rFonts w:ascii="Arial" w:hAnsi="Arial" w:cs="Arial"/>
          <w:sz w:val="20"/>
          <w:szCs w:val="20"/>
        </w:rPr>
        <w:t>from the</w:t>
      </w:r>
      <w:r w:rsidRPr="00921120">
        <w:rPr>
          <w:rFonts w:ascii="Arial" w:hAnsi="Arial" w:cs="Arial"/>
          <w:sz w:val="20"/>
          <w:szCs w:val="20"/>
        </w:rPr>
        <w:t xml:space="preserve"> 2018/19 </w:t>
      </w:r>
      <w:r w:rsidR="00736F48" w:rsidRPr="00921120">
        <w:rPr>
          <w:rFonts w:ascii="Arial" w:hAnsi="Arial" w:cs="Arial"/>
          <w:sz w:val="20"/>
          <w:szCs w:val="20"/>
        </w:rPr>
        <w:t xml:space="preserve">financial year </w:t>
      </w:r>
      <w:r w:rsidRPr="00921120">
        <w:rPr>
          <w:rFonts w:ascii="Arial" w:hAnsi="Arial" w:cs="Arial"/>
          <w:sz w:val="20"/>
          <w:szCs w:val="20"/>
        </w:rPr>
        <w:t>to December 2022. Furthermore, R270</w:t>
      </w:r>
      <w:r w:rsidR="00736F48" w:rsidRPr="00921120">
        <w:rPr>
          <w:rFonts w:ascii="Arial" w:hAnsi="Arial" w:cs="Arial"/>
          <w:sz w:val="20"/>
          <w:szCs w:val="20"/>
        </w:rPr>
        <w:t xml:space="preserve"> million</w:t>
      </w:r>
      <w:r w:rsidRPr="00921120">
        <w:rPr>
          <w:rFonts w:ascii="Arial" w:hAnsi="Arial" w:cs="Arial"/>
          <w:sz w:val="20"/>
          <w:szCs w:val="20"/>
        </w:rPr>
        <w:t xml:space="preserve"> in enforcement revenue linked to these interventions </w:t>
      </w:r>
      <w:r w:rsidR="00736F48" w:rsidRPr="00921120">
        <w:rPr>
          <w:rFonts w:ascii="Arial" w:hAnsi="Arial" w:cs="Arial"/>
          <w:sz w:val="20"/>
          <w:szCs w:val="20"/>
        </w:rPr>
        <w:t xml:space="preserve">had been </w:t>
      </w:r>
      <w:r w:rsidRPr="00921120">
        <w:rPr>
          <w:rFonts w:ascii="Arial" w:hAnsi="Arial" w:cs="Arial"/>
          <w:sz w:val="20"/>
          <w:szCs w:val="20"/>
        </w:rPr>
        <w:t>raised and collected</w:t>
      </w:r>
      <w:r w:rsidR="00736F48" w:rsidRPr="00921120">
        <w:rPr>
          <w:rFonts w:ascii="Arial" w:hAnsi="Arial" w:cs="Arial"/>
          <w:sz w:val="20"/>
          <w:szCs w:val="20"/>
        </w:rPr>
        <w:t>. T</w:t>
      </w:r>
      <w:r w:rsidRPr="00921120">
        <w:rPr>
          <w:rFonts w:ascii="Arial" w:hAnsi="Arial" w:cs="Arial"/>
          <w:sz w:val="20"/>
          <w:szCs w:val="20"/>
        </w:rPr>
        <w:t xml:space="preserve">his </w:t>
      </w:r>
      <w:r w:rsidR="00736F48" w:rsidRPr="00921120">
        <w:rPr>
          <w:rFonts w:ascii="Arial" w:hAnsi="Arial" w:cs="Arial"/>
          <w:sz w:val="20"/>
          <w:szCs w:val="20"/>
        </w:rPr>
        <w:t>wa</w:t>
      </w:r>
      <w:r w:rsidRPr="00921120">
        <w:rPr>
          <w:rFonts w:ascii="Arial" w:hAnsi="Arial" w:cs="Arial"/>
          <w:sz w:val="20"/>
          <w:szCs w:val="20"/>
        </w:rPr>
        <w:t>s additional revenue</w:t>
      </w:r>
      <w:r w:rsidR="00736F48" w:rsidRPr="00921120">
        <w:rPr>
          <w:rFonts w:ascii="Arial" w:hAnsi="Arial" w:cs="Arial"/>
          <w:sz w:val="20"/>
          <w:szCs w:val="20"/>
        </w:rPr>
        <w:t>,</w:t>
      </w:r>
      <w:r w:rsidRPr="00921120">
        <w:rPr>
          <w:rFonts w:ascii="Arial" w:hAnsi="Arial" w:cs="Arial"/>
          <w:sz w:val="20"/>
          <w:szCs w:val="20"/>
        </w:rPr>
        <w:t xml:space="preserve"> which would not have been collected without </w:t>
      </w:r>
      <w:r w:rsidR="00736F48" w:rsidRPr="00921120">
        <w:rPr>
          <w:rFonts w:ascii="Arial" w:hAnsi="Arial" w:cs="Arial"/>
          <w:sz w:val="20"/>
          <w:szCs w:val="20"/>
        </w:rPr>
        <w:t xml:space="preserve">the </w:t>
      </w:r>
      <w:r w:rsidRPr="00921120">
        <w:rPr>
          <w:rFonts w:ascii="Arial" w:hAnsi="Arial" w:cs="Arial"/>
          <w:sz w:val="20"/>
          <w:szCs w:val="20"/>
        </w:rPr>
        <w:t xml:space="preserve">improved detection and execution enforcement capability. </w:t>
      </w:r>
    </w:p>
    <w:p w:rsidR="00736F48" w:rsidRPr="00921120" w:rsidRDefault="00736F48" w:rsidP="00921120">
      <w:pPr>
        <w:spacing w:line="240" w:lineRule="auto"/>
        <w:jc w:val="left"/>
        <w:rPr>
          <w:rFonts w:ascii="Arial" w:hAnsi="Arial" w:cs="Arial"/>
          <w:sz w:val="20"/>
          <w:szCs w:val="20"/>
        </w:rPr>
      </w:pPr>
    </w:p>
    <w:p w:rsidR="007B0AE0" w:rsidRPr="00921120" w:rsidRDefault="007B0AE0" w:rsidP="00921120">
      <w:pPr>
        <w:spacing w:line="240" w:lineRule="auto"/>
        <w:jc w:val="left"/>
        <w:rPr>
          <w:rFonts w:ascii="Arial" w:hAnsi="Arial" w:cs="Arial"/>
          <w:sz w:val="20"/>
          <w:szCs w:val="20"/>
        </w:rPr>
      </w:pPr>
      <w:r w:rsidRPr="00921120">
        <w:rPr>
          <w:rFonts w:ascii="Arial" w:hAnsi="Arial" w:cs="Arial"/>
          <w:sz w:val="20"/>
          <w:szCs w:val="20"/>
        </w:rPr>
        <w:t>Seizures mainly involve</w:t>
      </w:r>
      <w:r w:rsidR="00736F48" w:rsidRPr="00921120">
        <w:rPr>
          <w:rFonts w:ascii="Arial" w:hAnsi="Arial" w:cs="Arial"/>
          <w:sz w:val="20"/>
          <w:szCs w:val="20"/>
        </w:rPr>
        <w:t>d</w:t>
      </w:r>
      <w:r w:rsidRPr="00921120">
        <w:rPr>
          <w:rFonts w:ascii="Arial" w:hAnsi="Arial" w:cs="Arial"/>
          <w:sz w:val="20"/>
          <w:szCs w:val="20"/>
        </w:rPr>
        <w:t xml:space="preserve"> high risk commodities such as </w:t>
      </w:r>
      <w:r w:rsidR="00E068B4" w:rsidRPr="00921120">
        <w:rPr>
          <w:rFonts w:ascii="Arial" w:hAnsi="Arial" w:cs="Arial"/>
          <w:sz w:val="20"/>
          <w:szCs w:val="20"/>
        </w:rPr>
        <w:t>t</w:t>
      </w:r>
      <w:r w:rsidRPr="00921120">
        <w:rPr>
          <w:rFonts w:ascii="Arial" w:hAnsi="Arial" w:cs="Arial"/>
          <w:sz w:val="20"/>
          <w:szCs w:val="20"/>
        </w:rPr>
        <w:t xml:space="preserve">obacco </w:t>
      </w:r>
      <w:r w:rsidR="00736F48" w:rsidRPr="00921120">
        <w:rPr>
          <w:rFonts w:ascii="Arial" w:hAnsi="Arial" w:cs="Arial"/>
          <w:sz w:val="20"/>
          <w:szCs w:val="20"/>
        </w:rPr>
        <w:t>and</w:t>
      </w:r>
      <w:r w:rsidRPr="00921120">
        <w:rPr>
          <w:rFonts w:ascii="Arial" w:hAnsi="Arial" w:cs="Arial"/>
          <w:sz w:val="20"/>
          <w:szCs w:val="20"/>
        </w:rPr>
        <w:t xml:space="preserve"> cigarettes, CTFL, illicit fuel and liquor, </w:t>
      </w:r>
      <w:r w:rsidR="004A269C" w:rsidRPr="00921120">
        <w:rPr>
          <w:rFonts w:ascii="Arial" w:hAnsi="Arial" w:cs="Arial"/>
          <w:sz w:val="20"/>
          <w:szCs w:val="20"/>
        </w:rPr>
        <w:t xml:space="preserve">and </w:t>
      </w:r>
      <w:r w:rsidRPr="00921120">
        <w:rPr>
          <w:rFonts w:ascii="Arial" w:hAnsi="Arial" w:cs="Arial"/>
          <w:sz w:val="20"/>
          <w:szCs w:val="20"/>
        </w:rPr>
        <w:t>cobalt. This work is mostly done through inland joint raids and special operations in collaboration with other law enforcement agencies in line with the SARS strategic objective</w:t>
      </w:r>
      <w:r w:rsidR="00736F48" w:rsidRPr="00921120">
        <w:rPr>
          <w:rFonts w:ascii="Arial" w:hAnsi="Arial" w:cs="Arial"/>
          <w:sz w:val="20"/>
          <w:szCs w:val="20"/>
        </w:rPr>
        <w:t>s</w:t>
      </w:r>
      <w:r w:rsidRPr="00921120">
        <w:rPr>
          <w:rFonts w:ascii="Arial" w:hAnsi="Arial" w:cs="Arial"/>
          <w:sz w:val="20"/>
          <w:szCs w:val="20"/>
        </w:rPr>
        <w:t xml:space="preserve"> </w:t>
      </w:r>
      <w:r w:rsidR="00736F48" w:rsidRPr="00921120">
        <w:rPr>
          <w:rFonts w:ascii="Arial" w:hAnsi="Arial" w:cs="Arial"/>
          <w:sz w:val="20"/>
          <w:szCs w:val="20"/>
        </w:rPr>
        <w:t>to detect non-compliance</w:t>
      </w:r>
      <w:r w:rsidRPr="00921120">
        <w:rPr>
          <w:rFonts w:ascii="Arial" w:hAnsi="Arial" w:cs="Arial"/>
          <w:sz w:val="20"/>
          <w:szCs w:val="20"/>
        </w:rPr>
        <w:t xml:space="preserve"> and </w:t>
      </w:r>
      <w:r w:rsidR="00736F48" w:rsidRPr="00921120">
        <w:rPr>
          <w:rFonts w:ascii="Arial" w:hAnsi="Arial" w:cs="Arial"/>
          <w:sz w:val="20"/>
          <w:szCs w:val="20"/>
        </w:rPr>
        <w:t>to collaborate with stakeholders to improve the tax ecosystem</w:t>
      </w:r>
      <w:r w:rsidRPr="00921120">
        <w:rPr>
          <w:rFonts w:ascii="Arial" w:hAnsi="Arial" w:cs="Arial"/>
          <w:sz w:val="20"/>
          <w:szCs w:val="20"/>
        </w:rPr>
        <w:t>.</w:t>
      </w:r>
    </w:p>
    <w:p w:rsidR="007B0AE0" w:rsidRPr="00921120" w:rsidRDefault="007B0AE0" w:rsidP="00921120">
      <w:pPr>
        <w:spacing w:line="240" w:lineRule="auto"/>
        <w:jc w:val="left"/>
        <w:rPr>
          <w:rFonts w:ascii="Arial" w:hAnsi="Arial" w:cs="Arial"/>
          <w:sz w:val="20"/>
          <w:szCs w:val="20"/>
        </w:rPr>
      </w:pPr>
    </w:p>
    <w:p w:rsidR="007B0AE0" w:rsidRPr="00921120" w:rsidRDefault="007B0AE0" w:rsidP="00921120">
      <w:pPr>
        <w:pStyle w:val="Heading4"/>
        <w:spacing w:line="240" w:lineRule="auto"/>
        <w:jc w:val="left"/>
        <w:rPr>
          <w:rFonts w:ascii="Arial" w:hAnsi="Arial" w:cs="Arial"/>
          <w:sz w:val="20"/>
          <w:szCs w:val="20"/>
        </w:rPr>
      </w:pPr>
      <w:r w:rsidRPr="00921120">
        <w:rPr>
          <w:rFonts w:ascii="Arial" w:hAnsi="Arial" w:cs="Arial"/>
          <w:sz w:val="20"/>
          <w:szCs w:val="20"/>
        </w:rPr>
        <w:t>Criminal and Illicit Economy Activities Division</w:t>
      </w:r>
    </w:p>
    <w:p w:rsidR="007B0AE0" w:rsidRPr="00921120" w:rsidRDefault="007B0AE0" w:rsidP="00921120">
      <w:pPr>
        <w:spacing w:line="240" w:lineRule="auto"/>
        <w:jc w:val="left"/>
        <w:rPr>
          <w:rFonts w:ascii="Arial" w:hAnsi="Arial" w:cs="Arial"/>
          <w:sz w:val="20"/>
          <w:szCs w:val="20"/>
        </w:rPr>
      </w:pPr>
      <w:r w:rsidRPr="00921120">
        <w:rPr>
          <w:rFonts w:ascii="Arial" w:hAnsi="Arial" w:cs="Arial"/>
          <w:sz w:val="20"/>
          <w:szCs w:val="20"/>
        </w:rPr>
        <w:t xml:space="preserve">According to SARS, the </w:t>
      </w:r>
      <w:r w:rsidR="004A269C" w:rsidRPr="00921120">
        <w:rPr>
          <w:rFonts w:ascii="Arial" w:hAnsi="Arial" w:cs="Arial"/>
          <w:sz w:val="20"/>
          <w:szCs w:val="20"/>
        </w:rPr>
        <w:t>D</w:t>
      </w:r>
      <w:r w:rsidRPr="00921120">
        <w:rPr>
          <w:rFonts w:ascii="Arial" w:hAnsi="Arial" w:cs="Arial"/>
          <w:sz w:val="20"/>
          <w:szCs w:val="20"/>
        </w:rPr>
        <w:t>ivision completed 239 investigations, resulting in assessments to the value of R13</w:t>
      </w:r>
      <w:r w:rsidR="004A269C" w:rsidRPr="00921120">
        <w:rPr>
          <w:rFonts w:ascii="Arial" w:hAnsi="Arial" w:cs="Arial"/>
          <w:sz w:val="20"/>
          <w:szCs w:val="20"/>
        </w:rPr>
        <w:t>,</w:t>
      </w:r>
      <w:r w:rsidRPr="00921120">
        <w:rPr>
          <w:rFonts w:ascii="Arial" w:hAnsi="Arial" w:cs="Arial"/>
          <w:sz w:val="20"/>
          <w:szCs w:val="20"/>
        </w:rPr>
        <w:t xml:space="preserve">96 billion being raised for income tax and </w:t>
      </w:r>
      <w:r w:rsidR="000F37D5" w:rsidRPr="00921120">
        <w:rPr>
          <w:rFonts w:ascii="Arial" w:hAnsi="Arial" w:cs="Arial"/>
          <w:sz w:val="20"/>
          <w:szCs w:val="20"/>
        </w:rPr>
        <w:t>Value-added Tax (</w:t>
      </w:r>
      <w:r w:rsidRPr="00921120">
        <w:rPr>
          <w:rFonts w:ascii="Arial" w:hAnsi="Arial" w:cs="Arial"/>
          <w:sz w:val="20"/>
          <w:szCs w:val="20"/>
        </w:rPr>
        <w:t>VAT</w:t>
      </w:r>
      <w:r w:rsidR="000F37D5" w:rsidRPr="00921120">
        <w:rPr>
          <w:rFonts w:ascii="Arial" w:hAnsi="Arial" w:cs="Arial"/>
          <w:sz w:val="20"/>
          <w:szCs w:val="20"/>
        </w:rPr>
        <w:t>)</w:t>
      </w:r>
      <w:r w:rsidR="00233727" w:rsidRPr="00921120">
        <w:rPr>
          <w:rFonts w:ascii="Arial" w:hAnsi="Arial" w:cs="Arial"/>
          <w:sz w:val="20"/>
          <w:szCs w:val="20"/>
        </w:rPr>
        <w:t xml:space="preserve"> in the 2021/22 financial year</w:t>
      </w:r>
      <w:r w:rsidRPr="00921120">
        <w:rPr>
          <w:rFonts w:ascii="Arial" w:hAnsi="Arial" w:cs="Arial"/>
          <w:sz w:val="20"/>
          <w:szCs w:val="20"/>
        </w:rPr>
        <w:t>. Letters of demand for Customs payments to the value of R1</w:t>
      </w:r>
      <w:r w:rsidR="004A269C" w:rsidRPr="00921120">
        <w:rPr>
          <w:rFonts w:ascii="Arial" w:hAnsi="Arial" w:cs="Arial"/>
          <w:sz w:val="20"/>
          <w:szCs w:val="20"/>
        </w:rPr>
        <w:t>,</w:t>
      </w:r>
      <w:r w:rsidRPr="00921120">
        <w:rPr>
          <w:rFonts w:ascii="Arial" w:hAnsi="Arial" w:cs="Arial"/>
          <w:sz w:val="20"/>
          <w:szCs w:val="20"/>
        </w:rPr>
        <w:t xml:space="preserve">75 billion </w:t>
      </w:r>
      <w:r w:rsidR="004A269C" w:rsidRPr="00921120">
        <w:rPr>
          <w:rFonts w:ascii="Arial" w:hAnsi="Arial" w:cs="Arial"/>
          <w:sz w:val="20"/>
          <w:szCs w:val="20"/>
        </w:rPr>
        <w:t xml:space="preserve">had </w:t>
      </w:r>
      <w:r w:rsidRPr="00921120">
        <w:rPr>
          <w:rFonts w:ascii="Arial" w:hAnsi="Arial" w:cs="Arial"/>
          <w:sz w:val="20"/>
          <w:szCs w:val="20"/>
        </w:rPr>
        <w:t xml:space="preserve">also </w:t>
      </w:r>
      <w:r w:rsidR="004A269C" w:rsidRPr="00921120">
        <w:rPr>
          <w:rFonts w:ascii="Arial" w:hAnsi="Arial" w:cs="Arial"/>
          <w:sz w:val="20"/>
          <w:szCs w:val="20"/>
        </w:rPr>
        <w:t xml:space="preserve">been </w:t>
      </w:r>
      <w:r w:rsidRPr="00921120">
        <w:rPr>
          <w:rFonts w:ascii="Arial" w:hAnsi="Arial" w:cs="Arial"/>
          <w:sz w:val="20"/>
          <w:szCs w:val="20"/>
        </w:rPr>
        <w:t xml:space="preserve">issued. The revenue recovered from these actions </w:t>
      </w:r>
      <w:r w:rsidR="004A269C" w:rsidRPr="00921120">
        <w:rPr>
          <w:rFonts w:ascii="Arial" w:hAnsi="Arial" w:cs="Arial"/>
          <w:sz w:val="20"/>
          <w:szCs w:val="20"/>
        </w:rPr>
        <w:t xml:space="preserve">had been </w:t>
      </w:r>
      <w:r w:rsidRPr="00921120">
        <w:rPr>
          <w:rFonts w:ascii="Arial" w:hAnsi="Arial" w:cs="Arial"/>
          <w:sz w:val="20"/>
          <w:szCs w:val="20"/>
        </w:rPr>
        <w:t>R8</w:t>
      </w:r>
      <w:r w:rsidR="004A269C" w:rsidRPr="00921120">
        <w:rPr>
          <w:rFonts w:ascii="Arial" w:hAnsi="Arial" w:cs="Arial"/>
          <w:sz w:val="20"/>
          <w:szCs w:val="20"/>
        </w:rPr>
        <w:t>,</w:t>
      </w:r>
      <w:r w:rsidRPr="00921120">
        <w:rPr>
          <w:rFonts w:ascii="Arial" w:hAnsi="Arial" w:cs="Arial"/>
          <w:sz w:val="20"/>
          <w:szCs w:val="20"/>
        </w:rPr>
        <w:t xml:space="preserve">22 billion for the 2021/22 </w:t>
      </w:r>
      <w:r w:rsidR="004A269C" w:rsidRPr="00921120">
        <w:rPr>
          <w:rFonts w:ascii="Arial" w:hAnsi="Arial" w:cs="Arial"/>
          <w:sz w:val="20"/>
          <w:szCs w:val="20"/>
        </w:rPr>
        <w:t xml:space="preserve">financial </w:t>
      </w:r>
      <w:r w:rsidRPr="00921120">
        <w:rPr>
          <w:rFonts w:ascii="Arial" w:hAnsi="Arial" w:cs="Arial"/>
          <w:sz w:val="20"/>
          <w:szCs w:val="20"/>
        </w:rPr>
        <w:t>year and R1</w:t>
      </w:r>
      <w:r w:rsidR="004A269C" w:rsidRPr="00921120">
        <w:rPr>
          <w:rFonts w:ascii="Arial" w:hAnsi="Arial" w:cs="Arial"/>
          <w:sz w:val="20"/>
          <w:szCs w:val="20"/>
        </w:rPr>
        <w:t>,</w:t>
      </w:r>
      <w:r w:rsidRPr="00921120">
        <w:rPr>
          <w:rFonts w:ascii="Arial" w:hAnsi="Arial" w:cs="Arial"/>
          <w:sz w:val="20"/>
          <w:szCs w:val="20"/>
        </w:rPr>
        <w:t xml:space="preserve">9 billion for the 2020/2021 financial year. Furthermore, the </w:t>
      </w:r>
      <w:r w:rsidR="004A269C" w:rsidRPr="00921120">
        <w:rPr>
          <w:rFonts w:ascii="Arial" w:hAnsi="Arial" w:cs="Arial"/>
          <w:sz w:val="20"/>
          <w:szCs w:val="20"/>
        </w:rPr>
        <w:t>D</w:t>
      </w:r>
      <w:r w:rsidRPr="00921120">
        <w:rPr>
          <w:rFonts w:ascii="Arial" w:hAnsi="Arial" w:cs="Arial"/>
          <w:sz w:val="20"/>
          <w:szCs w:val="20"/>
        </w:rPr>
        <w:t>ivision finali</w:t>
      </w:r>
      <w:r w:rsidR="004A269C" w:rsidRPr="00921120">
        <w:rPr>
          <w:rFonts w:ascii="Arial" w:hAnsi="Arial" w:cs="Arial"/>
          <w:sz w:val="20"/>
          <w:szCs w:val="20"/>
        </w:rPr>
        <w:t>s</w:t>
      </w:r>
      <w:r w:rsidRPr="00921120">
        <w:rPr>
          <w:rFonts w:ascii="Arial" w:hAnsi="Arial" w:cs="Arial"/>
          <w:sz w:val="20"/>
          <w:szCs w:val="20"/>
        </w:rPr>
        <w:t>ed 326 preliminary investigations, 212 profiles and 369 enquiries. The focus areas include</w:t>
      </w:r>
      <w:r w:rsidR="00CC4CB2" w:rsidRPr="00921120">
        <w:rPr>
          <w:rFonts w:ascii="Arial" w:hAnsi="Arial" w:cs="Arial"/>
          <w:sz w:val="20"/>
          <w:szCs w:val="20"/>
        </w:rPr>
        <w:t>d</w:t>
      </w:r>
      <w:r w:rsidRPr="00921120">
        <w:rPr>
          <w:rFonts w:ascii="Arial" w:hAnsi="Arial" w:cs="Arial"/>
          <w:sz w:val="20"/>
          <w:szCs w:val="20"/>
        </w:rPr>
        <w:t xml:space="preserve"> </w:t>
      </w:r>
      <w:r w:rsidR="00CC4CB2" w:rsidRPr="00921120">
        <w:rPr>
          <w:rFonts w:ascii="Arial" w:hAnsi="Arial" w:cs="Arial"/>
          <w:sz w:val="20"/>
          <w:szCs w:val="20"/>
        </w:rPr>
        <w:t>f</w:t>
      </w:r>
      <w:r w:rsidRPr="00921120">
        <w:rPr>
          <w:rFonts w:ascii="Arial" w:hAnsi="Arial" w:cs="Arial"/>
          <w:sz w:val="20"/>
          <w:szCs w:val="20"/>
        </w:rPr>
        <w:t xml:space="preserve">uel, </w:t>
      </w:r>
      <w:r w:rsidR="00CC4CB2" w:rsidRPr="00921120">
        <w:rPr>
          <w:rFonts w:ascii="Arial" w:hAnsi="Arial" w:cs="Arial"/>
          <w:sz w:val="20"/>
          <w:szCs w:val="20"/>
        </w:rPr>
        <w:t>t</w:t>
      </w:r>
      <w:r w:rsidRPr="00921120">
        <w:rPr>
          <w:rFonts w:ascii="Arial" w:hAnsi="Arial" w:cs="Arial"/>
          <w:sz w:val="20"/>
          <w:szCs w:val="20"/>
        </w:rPr>
        <w:t xml:space="preserve">obacco, </w:t>
      </w:r>
      <w:r w:rsidR="00CC4CB2" w:rsidRPr="00921120">
        <w:rPr>
          <w:rFonts w:ascii="Arial" w:hAnsi="Arial" w:cs="Arial"/>
          <w:sz w:val="20"/>
          <w:szCs w:val="20"/>
        </w:rPr>
        <w:t>a</w:t>
      </w:r>
      <w:r w:rsidRPr="00921120">
        <w:rPr>
          <w:rFonts w:ascii="Arial" w:hAnsi="Arial" w:cs="Arial"/>
          <w:sz w:val="20"/>
          <w:szCs w:val="20"/>
        </w:rPr>
        <w:t xml:space="preserve">lcohol, </w:t>
      </w:r>
      <w:r w:rsidR="00CC4CB2" w:rsidRPr="00921120">
        <w:rPr>
          <w:rFonts w:ascii="Arial" w:hAnsi="Arial" w:cs="Arial"/>
          <w:sz w:val="20"/>
          <w:szCs w:val="20"/>
        </w:rPr>
        <w:t>CTLF</w:t>
      </w:r>
      <w:r w:rsidRPr="00921120">
        <w:rPr>
          <w:rFonts w:ascii="Arial" w:hAnsi="Arial" w:cs="Arial"/>
          <w:sz w:val="20"/>
          <w:szCs w:val="20"/>
        </w:rPr>
        <w:t xml:space="preserve">, VAT Carousels – specifically relating to the </w:t>
      </w:r>
      <w:r w:rsidR="00CC4CB2" w:rsidRPr="00921120">
        <w:rPr>
          <w:rFonts w:ascii="Arial" w:hAnsi="Arial" w:cs="Arial"/>
          <w:sz w:val="20"/>
          <w:szCs w:val="20"/>
        </w:rPr>
        <w:t>g</w:t>
      </w:r>
      <w:r w:rsidRPr="00921120">
        <w:rPr>
          <w:rFonts w:ascii="Arial" w:hAnsi="Arial" w:cs="Arial"/>
          <w:sz w:val="20"/>
          <w:szCs w:val="20"/>
        </w:rPr>
        <w:t xml:space="preserve">old </w:t>
      </w:r>
      <w:r w:rsidR="00CC4CB2" w:rsidRPr="00921120">
        <w:rPr>
          <w:rFonts w:ascii="Arial" w:hAnsi="Arial" w:cs="Arial"/>
          <w:sz w:val="20"/>
          <w:szCs w:val="20"/>
        </w:rPr>
        <w:t>s</w:t>
      </w:r>
      <w:r w:rsidRPr="00921120">
        <w:rPr>
          <w:rFonts w:ascii="Arial" w:hAnsi="Arial" w:cs="Arial"/>
          <w:sz w:val="20"/>
          <w:szCs w:val="20"/>
        </w:rPr>
        <w:t xml:space="preserve">ector, </w:t>
      </w:r>
      <w:r w:rsidR="00CC4CB2" w:rsidRPr="00921120">
        <w:rPr>
          <w:rFonts w:ascii="Arial" w:hAnsi="Arial" w:cs="Arial"/>
          <w:sz w:val="20"/>
          <w:szCs w:val="20"/>
        </w:rPr>
        <w:t>p</w:t>
      </w:r>
      <w:r w:rsidRPr="00921120">
        <w:rPr>
          <w:rFonts w:ascii="Arial" w:hAnsi="Arial" w:cs="Arial"/>
          <w:sz w:val="20"/>
          <w:szCs w:val="20"/>
        </w:rPr>
        <w:t>hoenixism</w:t>
      </w:r>
      <w:r w:rsidR="003B0E64" w:rsidRPr="00921120">
        <w:rPr>
          <w:rStyle w:val="FootnoteReference"/>
          <w:rFonts w:ascii="Arial" w:hAnsi="Arial" w:cs="Arial"/>
          <w:sz w:val="20"/>
          <w:szCs w:val="20"/>
        </w:rPr>
        <w:footnoteReference w:id="19"/>
      </w:r>
      <w:r w:rsidRPr="00921120">
        <w:rPr>
          <w:rFonts w:ascii="Arial" w:hAnsi="Arial" w:cs="Arial"/>
          <w:sz w:val="20"/>
          <w:szCs w:val="20"/>
        </w:rPr>
        <w:t xml:space="preserve">, </w:t>
      </w:r>
      <w:r w:rsidR="00CC4CB2" w:rsidRPr="00921120">
        <w:rPr>
          <w:rFonts w:ascii="Arial" w:hAnsi="Arial" w:cs="Arial"/>
          <w:sz w:val="20"/>
          <w:szCs w:val="20"/>
        </w:rPr>
        <w:t>a</w:t>
      </w:r>
      <w:r w:rsidRPr="00921120">
        <w:rPr>
          <w:rFonts w:ascii="Arial" w:hAnsi="Arial" w:cs="Arial"/>
          <w:sz w:val="20"/>
          <w:szCs w:val="20"/>
        </w:rPr>
        <w:t xml:space="preserve">busive </w:t>
      </w:r>
      <w:r w:rsidR="00CC4CB2" w:rsidRPr="00921120">
        <w:rPr>
          <w:rFonts w:ascii="Arial" w:hAnsi="Arial" w:cs="Arial"/>
          <w:sz w:val="20"/>
          <w:szCs w:val="20"/>
        </w:rPr>
        <w:t>l</w:t>
      </w:r>
      <w:r w:rsidRPr="00921120">
        <w:rPr>
          <w:rFonts w:ascii="Arial" w:hAnsi="Arial" w:cs="Arial"/>
          <w:sz w:val="20"/>
          <w:szCs w:val="20"/>
        </w:rPr>
        <w:t xml:space="preserve">iquidation and </w:t>
      </w:r>
      <w:r w:rsidR="00CC4CB2" w:rsidRPr="00921120">
        <w:rPr>
          <w:rFonts w:ascii="Arial" w:hAnsi="Arial" w:cs="Arial"/>
          <w:sz w:val="20"/>
          <w:szCs w:val="20"/>
        </w:rPr>
        <w:t>b</w:t>
      </w:r>
      <w:r w:rsidRPr="00921120">
        <w:rPr>
          <w:rFonts w:ascii="Arial" w:hAnsi="Arial" w:cs="Arial"/>
          <w:sz w:val="20"/>
          <w:szCs w:val="20"/>
        </w:rPr>
        <w:t xml:space="preserve">usiness </w:t>
      </w:r>
      <w:r w:rsidR="00CC4CB2" w:rsidRPr="00921120">
        <w:rPr>
          <w:rFonts w:ascii="Arial" w:hAnsi="Arial" w:cs="Arial"/>
          <w:sz w:val="20"/>
          <w:szCs w:val="20"/>
        </w:rPr>
        <w:t>r</w:t>
      </w:r>
      <w:r w:rsidRPr="00921120">
        <w:rPr>
          <w:rFonts w:ascii="Arial" w:hAnsi="Arial" w:cs="Arial"/>
          <w:sz w:val="20"/>
          <w:szCs w:val="20"/>
        </w:rPr>
        <w:t xml:space="preserve">escue </w:t>
      </w:r>
      <w:r w:rsidR="00CC4CB2" w:rsidRPr="00921120">
        <w:rPr>
          <w:rFonts w:ascii="Arial" w:hAnsi="Arial" w:cs="Arial"/>
          <w:sz w:val="20"/>
          <w:szCs w:val="20"/>
        </w:rPr>
        <w:t>p</w:t>
      </w:r>
      <w:r w:rsidRPr="00921120">
        <w:rPr>
          <w:rFonts w:ascii="Arial" w:hAnsi="Arial" w:cs="Arial"/>
          <w:sz w:val="20"/>
          <w:szCs w:val="20"/>
        </w:rPr>
        <w:t xml:space="preserve">ractices, </w:t>
      </w:r>
      <w:r w:rsidR="00CC4CB2" w:rsidRPr="00921120">
        <w:rPr>
          <w:rFonts w:ascii="Arial" w:hAnsi="Arial" w:cs="Arial"/>
          <w:sz w:val="20"/>
          <w:szCs w:val="20"/>
        </w:rPr>
        <w:t>illicit financial flows, and tax evasion</w:t>
      </w:r>
      <w:r w:rsidRPr="00921120">
        <w:rPr>
          <w:rFonts w:ascii="Arial" w:hAnsi="Arial" w:cs="Arial"/>
          <w:sz w:val="20"/>
          <w:szCs w:val="20"/>
        </w:rPr>
        <w:t>.</w:t>
      </w:r>
    </w:p>
    <w:p w:rsidR="00233727" w:rsidRPr="00921120" w:rsidRDefault="00233727" w:rsidP="00921120">
      <w:pPr>
        <w:spacing w:line="240" w:lineRule="auto"/>
        <w:jc w:val="left"/>
        <w:rPr>
          <w:rFonts w:ascii="Arial" w:hAnsi="Arial" w:cs="Arial"/>
          <w:sz w:val="20"/>
          <w:szCs w:val="20"/>
        </w:rPr>
      </w:pPr>
    </w:p>
    <w:p w:rsidR="007B0AE0" w:rsidRPr="00921120" w:rsidRDefault="00EC6CC4" w:rsidP="00921120">
      <w:pPr>
        <w:spacing w:line="240" w:lineRule="auto"/>
        <w:jc w:val="left"/>
        <w:rPr>
          <w:rFonts w:ascii="Arial" w:hAnsi="Arial" w:cs="Arial"/>
          <w:sz w:val="20"/>
          <w:szCs w:val="20"/>
        </w:rPr>
      </w:pPr>
      <w:r w:rsidRPr="00921120">
        <w:rPr>
          <w:rFonts w:ascii="Arial" w:hAnsi="Arial" w:cs="Arial"/>
          <w:sz w:val="20"/>
          <w:szCs w:val="20"/>
        </w:rPr>
        <w:t xml:space="preserve">There </w:t>
      </w:r>
      <w:r w:rsidR="00FF638B" w:rsidRPr="00921120">
        <w:rPr>
          <w:rFonts w:ascii="Arial" w:hAnsi="Arial" w:cs="Arial"/>
          <w:sz w:val="20"/>
          <w:szCs w:val="20"/>
        </w:rPr>
        <w:t>had been</w:t>
      </w:r>
      <w:r w:rsidRPr="00921120">
        <w:rPr>
          <w:rFonts w:ascii="Arial" w:hAnsi="Arial" w:cs="Arial"/>
          <w:sz w:val="20"/>
          <w:szCs w:val="20"/>
        </w:rPr>
        <w:t xml:space="preserve"> 43</w:t>
      </w:r>
      <w:r w:rsidR="007B0AE0" w:rsidRPr="00921120">
        <w:rPr>
          <w:rFonts w:ascii="Arial" w:hAnsi="Arial" w:cs="Arial"/>
          <w:sz w:val="20"/>
          <w:szCs w:val="20"/>
        </w:rPr>
        <w:t xml:space="preserve"> </w:t>
      </w:r>
      <w:r w:rsidR="00F13993" w:rsidRPr="00921120">
        <w:rPr>
          <w:rFonts w:ascii="Arial" w:hAnsi="Arial" w:cs="Arial"/>
          <w:sz w:val="20"/>
          <w:szCs w:val="20"/>
        </w:rPr>
        <w:t>i</w:t>
      </w:r>
      <w:r w:rsidR="007B0AE0" w:rsidRPr="00921120">
        <w:rPr>
          <w:rFonts w:ascii="Arial" w:hAnsi="Arial" w:cs="Arial"/>
          <w:sz w:val="20"/>
          <w:szCs w:val="20"/>
        </w:rPr>
        <w:t>llicit economy related projects comprising of 547 active investigations, with an estimated prejudice value of R2</w:t>
      </w:r>
      <w:r w:rsidR="00F13993" w:rsidRPr="00921120">
        <w:rPr>
          <w:rFonts w:ascii="Arial" w:hAnsi="Arial" w:cs="Arial"/>
          <w:sz w:val="20"/>
          <w:szCs w:val="20"/>
        </w:rPr>
        <w:t xml:space="preserve"> </w:t>
      </w:r>
      <w:r w:rsidR="007B0AE0" w:rsidRPr="00921120">
        <w:rPr>
          <w:rFonts w:ascii="Arial" w:hAnsi="Arial" w:cs="Arial"/>
          <w:sz w:val="20"/>
          <w:szCs w:val="20"/>
        </w:rPr>
        <w:t>b</w:t>
      </w:r>
      <w:r w:rsidR="00F13993" w:rsidRPr="00921120">
        <w:rPr>
          <w:rFonts w:ascii="Arial" w:hAnsi="Arial" w:cs="Arial"/>
          <w:sz w:val="20"/>
          <w:szCs w:val="20"/>
        </w:rPr>
        <w:t>illio</w:t>
      </w:r>
      <w:r w:rsidR="007B0AE0" w:rsidRPr="00921120">
        <w:rPr>
          <w:rFonts w:ascii="Arial" w:hAnsi="Arial" w:cs="Arial"/>
          <w:sz w:val="20"/>
          <w:szCs w:val="20"/>
        </w:rPr>
        <w:t>n related to 42 investigations. Also, the Focused Investigative Audit Unit ha</w:t>
      </w:r>
      <w:r w:rsidR="00F13993" w:rsidRPr="00921120">
        <w:rPr>
          <w:rFonts w:ascii="Arial" w:hAnsi="Arial" w:cs="Arial"/>
          <w:sz w:val="20"/>
          <w:szCs w:val="20"/>
        </w:rPr>
        <w:t>d</w:t>
      </w:r>
      <w:r w:rsidR="007B0AE0" w:rsidRPr="00921120">
        <w:rPr>
          <w:rFonts w:ascii="Arial" w:hAnsi="Arial" w:cs="Arial"/>
          <w:sz w:val="20"/>
          <w:szCs w:val="20"/>
        </w:rPr>
        <w:t xml:space="preserve"> 68 cases in </w:t>
      </w:r>
      <w:r w:rsidR="00F13993" w:rsidRPr="00921120">
        <w:rPr>
          <w:rFonts w:ascii="Arial" w:hAnsi="Arial" w:cs="Arial"/>
          <w:sz w:val="20"/>
          <w:szCs w:val="20"/>
        </w:rPr>
        <w:t xml:space="preserve">progress </w:t>
      </w:r>
      <w:r w:rsidR="007B0AE0" w:rsidRPr="00921120">
        <w:rPr>
          <w:rFonts w:ascii="Arial" w:hAnsi="Arial" w:cs="Arial"/>
          <w:sz w:val="20"/>
          <w:szCs w:val="20"/>
        </w:rPr>
        <w:t xml:space="preserve">(12 </w:t>
      </w:r>
      <w:r w:rsidR="00FF638B" w:rsidRPr="00921120">
        <w:rPr>
          <w:rFonts w:ascii="Arial" w:hAnsi="Arial" w:cs="Arial"/>
          <w:sz w:val="20"/>
          <w:szCs w:val="20"/>
        </w:rPr>
        <w:t xml:space="preserve">advance import payment, 50 transfer pricing adjustment </w:t>
      </w:r>
      <w:r w:rsidR="00FF638B" w:rsidRPr="00921120">
        <w:rPr>
          <w:rFonts w:ascii="Arial" w:hAnsi="Arial" w:cs="Arial"/>
          <w:sz w:val="20"/>
          <w:szCs w:val="20"/>
        </w:rPr>
        <w:lastRenderedPageBreak/>
        <w:t>cases and 6 voluntary disclosure programmes</w:t>
      </w:r>
      <w:r w:rsidR="007B0AE0" w:rsidRPr="00921120">
        <w:rPr>
          <w:rFonts w:ascii="Arial" w:hAnsi="Arial" w:cs="Arial"/>
          <w:sz w:val="20"/>
          <w:szCs w:val="20"/>
        </w:rPr>
        <w:t xml:space="preserve">). </w:t>
      </w:r>
      <w:r w:rsidR="00F13993" w:rsidRPr="00921120">
        <w:rPr>
          <w:rFonts w:ascii="Arial" w:hAnsi="Arial" w:cs="Arial"/>
          <w:sz w:val="20"/>
          <w:szCs w:val="20"/>
        </w:rPr>
        <w:t>Fifty-six</w:t>
      </w:r>
      <w:r w:rsidR="007B0AE0" w:rsidRPr="00921120">
        <w:rPr>
          <w:rFonts w:ascii="Arial" w:hAnsi="Arial" w:cs="Arial"/>
          <w:sz w:val="20"/>
          <w:szCs w:val="20"/>
        </w:rPr>
        <w:t xml:space="preserve"> cases </w:t>
      </w:r>
      <w:r w:rsidR="00F13993" w:rsidRPr="00921120">
        <w:rPr>
          <w:rFonts w:ascii="Arial" w:hAnsi="Arial" w:cs="Arial"/>
          <w:sz w:val="20"/>
          <w:szCs w:val="20"/>
        </w:rPr>
        <w:t xml:space="preserve">had been </w:t>
      </w:r>
      <w:r w:rsidR="007B0AE0" w:rsidRPr="00921120">
        <w:rPr>
          <w:rFonts w:ascii="Arial" w:hAnsi="Arial" w:cs="Arial"/>
          <w:sz w:val="20"/>
          <w:szCs w:val="20"/>
        </w:rPr>
        <w:t>finali</w:t>
      </w:r>
      <w:r w:rsidR="00F13993" w:rsidRPr="00921120">
        <w:rPr>
          <w:rFonts w:ascii="Arial" w:hAnsi="Arial" w:cs="Arial"/>
          <w:sz w:val="20"/>
          <w:szCs w:val="20"/>
        </w:rPr>
        <w:t>s</w:t>
      </w:r>
      <w:r w:rsidR="007B0AE0" w:rsidRPr="00921120">
        <w:rPr>
          <w:rFonts w:ascii="Arial" w:hAnsi="Arial" w:cs="Arial"/>
          <w:sz w:val="20"/>
          <w:szCs w:val="20"/>
        </w:rPr>
        <w:t xml:space="preserve">ed with </w:t>
      </w:r>
      <w:r w:rsidR="00F13993" w:rsidRPr="00921120">
        <w:rPr>
          <w:rFonts w:ascii="Arial" w:hAnsi="Arial" w:cs="Arial"/>
          <w:sz w:val="20"/>
          <w:szCs w:val="20"/>
        </w:rPr>
        <w:t xml:space="preserve">an approximate </w:t>
      </w:r>
      <w:r w:rsidR="007B0AE0" w:rsidRPr="00921120">
        <w:rPr>
          <w:rFonts w:ascii="Arial" w:hAnsi="Arial" w:cs="Arial"/>
          <w:sz w:val="20"/>
          <w:szCs w:val="20"/>
        </w:rPr>
        <w:t>revenue amount of R1</w:t>
      </w:r>
      <w:r w:rsidR="00F13993" w:rsidRPr="00921120">
        <w:rPr>
          <w:rFonts w:ascii="Arial" w:hAnsi="Arial" w:cs="Arial"/>
          <w:sz w:val="20"/>
          <w:szCs w:val="20"/>
        </w:rPr>
        <w:t>,</w:t>
      </w:r>
      <w:r w:rsidR="007B0AE0" w:rsidRPr="00921120">
        <w:rPr>
          <w:rFonts w:ascii="Arial" w:hAnsi="Arial" w:cs="Arial"/>
          <w:sz w:val="20"/>
          <w:szCs w:val="20"/>
        </w:rPr>
        <w:t>2</w:t>
      </w:r>
      <w:r w:rsidR="00F13993" w:rsidRPr="00921120">
        <w:rPr>
          <w:rFonts w:ascii="Arial" w:hAnsi="Arial" w:cs="Arial"/>
          <w:sz w:val="20"/>
          <w:szCs w:val="20"/>
        </w:rPr>
        <w:t xml:space="preserve"> billion</w:t>
      </w:r>
      <w:r w:rsidR="007B0AE0" w:rsidRPr="00921120">
        <w:rPr>
          <w:rFonts w:ascii="Arial" w:hAnsi="Arial" w:cs="Arial"/>
          <w:sz w:val="20"/>
          <w:szCs w:val="20"/>
        </w:rPr>
        <w:t>.</w:t>
      </w:r>
    </w:p>
    <w:p w:rsidR="007B0AE0" w:rsidRPr="00921120" w:rsidRDefault="007B0AE0" w:rsidP="00921120">
      <w:pPr>
        <w:spacing w:line="240" w:lineRule="auto"/>
        <w:jc w:val="left"/>
        <w:rPr>
          <w:rFonts w:ascii="Arial" w:hAnsi="Arial" w:cs="Arial"/>
          <w:sz w:val="20"/>
          <w:szCs w:val="20"/>
        </w:rPr>
      </w:pPr>
    </w:p>
    <w:p w:rsidR="00A4421A" w:rsidRPr="00921120" w:rsidRDefault="00A4421A" w:rsidP="00921120">
      <w:pPr>
        <w:pStyle w:val="Heading4"/>
        <w:spacing w:line="240" w:lineRule="auto"/>
        <w:jc w:val="left"/>
        <w:rPr>
          <w:rFonts w:ascii="Arial" w:hAnsi="Arial" w:cs="Arial"/>
          <w:sz w:val="20"/>
          <w:szCs w:val="20"/>
        </w:rPr>
      </w:pPr>
      <w:r w:rsidRPr="00921120">
        <w:rPr>
          <w:rFonts w:ascii="Arial" w:hAnsi="Arial" w:cs="Arial"/>
          <w:sz w:val="20"/>
          <w:szCs w:val="20"/>
        </w:rPr>
        <w:t xml:space="preserve">Collaboration with Other Government Agencies </w:t>
      </w:r>
    </w:p>
    <w:p w:rsidR="00A4421A" w:rsidRPr="00921120" w:rsidRDefault="00A4421A" w:rsidP="00921120">
      <w:pPr>
        <w:spacing w:line="240" w:lineRule="auto"/>
        <w:jc w:val="left"/>
        <w:rPr>
          <w:rFonts w:ascii="Arial" w:hAnsi="Arial" w:cs="Arial"/>
          <w:sz w:val="20"/>
          <w:szCs w:val="20"/>
        </w:rPr>
      </w:pPr>
      <w:r w:rsidRPr="00921120">
        <w:rPr>
          <w:rFonts w:ascii="Arial" w:hAnsi="Arial" w:cs="Arial"/>
          <w:sz w:val="20"/>
          <w:szCs w:val="20"/>
        </w:rPr>
        <w:t xml:space="preserve">The IAWG on Illicit Trade, which includes SARS, the </w:t>
      </w:r>
      <w:r w:rsidR="00F13993" w:rsidRPr="00921120">
        <w:rPr>
          <w:rFonts w:ascii="Arial" w:hAnsi="Arial" w:cs="Arial"/>
          <w:sz w:val="20"/>
          <w:szCs w:val="20"/>
        </w:rPr>
        <w:t>DTIC</w:t>
      </w:r>
      <w:r w:rsidRPr="00921120">
        <w:rPr>
          <w:rFonts w:ascii="Arial" w:hAnsi="Arial" w:cs="Arial"/>
          <w:sz w:val="20"/>
          <w:szCs w:val="20"/>
        </w:rPr>
        <w:t xml:space="preserve">, </w:t>
      </w:r>
      <w:r w:rsidR="00F13993" w:rsidRPr="00921120">
        <w:rPr>
          <w:rFonts w:ascii="Arial" w:hAnsi="Arial" w:cs="Arial"/>
          <w:sz w:val="20"/>
          <w:szCs w:val="20"/>
        </w:rPr>
        <w:t xml:space="preserve">the </w:t>
      </w:r>
      <w:r w:rsidRPr="00921120">
        <w:rPr>
          <w:rFonts w:ascii="Arial" w:hAnsi="Arial" w:cs="Arial"/>
          <w:sz w:val="20"/>
          <w:szCs w:val="20"/>
        </w:rPr>
        <w:t xml:space="preserve">International Trade Administration Commission </w:t>
      </w:r>
      <w:r w:rsidR="00F13993" w:rsidRPr="00921120">
        <w:rPr>
          <w:rFonts w:ascii="Arial" w:hAnsi="Arial" w:cs="Arial"/>
          <w:sz w:val="20"/>
          <w:szCs w:val="20"/>
        </w:rPr>
        <w:t xml:space="preserve">of South Africa, and </w:t>
      </w:r>
      <w:r w:rsidRPr="00921120">
        <w:rPr>
          <w:rFonts w:ascii="Arial" w:hAnsi="Arial" w:cs="Arial"/>
          <w:sz w:val="20"/>
          <w:szCs w:val="20"/>
        </w:rPr>
        <w:t>other law enforcement agencies</w:t>
      </w:r>
      <w:r w:rsidR="00F13993" w:rsidRPr="00921120">
        <w:rPr>
          <w:rFonts w:ascii="Arial" w:hAnsi="Arial" w:cs="Arial"/>
          <w:sz w:val="20"/>
          <w:szCs w:val="20"/>
        </w:rPr>
        <w:t>,</w:t>
      </w:r>
      <w:r w:rsidRPr="00921120">
        <w:rPr>
          <w:rFonts w:ascii="Arial" w:hAnsi="Arial" w:cs="Arial"/>
          <w:sz w:val="20"/>
          <w:szCs w:val="20"/>
        </w:rPr>
        <w:t xml:space="preserve"> </w:t>
      </w:r>
      <w:r w:rsidR="00F13993" w:rsidRPr="00921120">
        <w:rPr>
          <w:rFonts w:ascii="Arial" w:hAnsi="Arial" w:cs="Arial"/>
          <w:sz w:val="20"/>
          <w:szCs w:val="20"/>
        </w:rPr>
        <w:t>wa</w:t>
      </w:r>
      <w:r w:rsidRPr="00921120">
        <w:rPr>
          <w:rFonts w:ascii="Arial" w:hAnsi="Arial" w:cs="Arial"/>
          <w:sz w:val="20"/>
          <w:szCs w:val="20"/>
        </w:rPr>
        <w:t xml:space="preserve">s running a campaign to discourage the public from buying illegal imports. </w:t>
      </w:r>
    </w:p>
    <w:p w:rsidR="00F13993" w:rsidRPr="00921120" w:rsidRDefault="00F13993" w:rsidP="00921120">
      <w:pPr>
        <w:spacing w:line="240" w:lineRule="auto"/>
        <w:jc w:val="left"/>
        <w:rPr>
          <w:rFonts w:ascii="Arial" w:hAnsi="Arial" w:cs="Arial"/>
          <w:sz w:val="20"/>
          <w:szCs w:val="20"/>
        </w:rPr>
      </w:pPr>
    </w:p>
    <w:p w:rsidR="00A4421A" w:rsidRPr="00921120" w:rsidRDefault="00A4421A" w:rsidP="00921120">
      <w:pPr>
        <w:spacing w:line="240" w:lineRule="auto"/>
        <w:jc w:val="left"/>
        <w:rPr>
          <w:rFonts w:ascii="Arial" w:hAnsi="Arial" w:cs="Arial"/>
          <w:sz w:val="20"/>
          <w:szCs w:val="20"/>
        </w:rPr>
      </w:pPr>
      <w:r w:rsidRPr="00921120">
        <w:rPr>
          <w:rFonts w:ascii="Arial" w:hAnsi="Arial" w:cs="Arial"/>
          <w:sz w:val="20"/>
          <w:szCs w:val="20"/>
        </w:rPr>
        <w:t>SARS enforcement highlights for the CT</w:t>
      </w:r>
      <w:r w:rsidR="00F13993" w:rsidRPr="00921120">
        <w:rPr>
          <w:rFonts w:ascii="Arial" w:hAnsi="Arial" w:cs="Arial"/>
          <w:sz w:val="20"/>
          <w:szCs w:val="20"/>
        </w:rPr>
        <w:t>F</w:t>
      </w:r>
      <w:r w:rsidRPr="00921120">
        <w:rPr>
          <w:rFonts w:ascii="Arial" w:hAnsi="Arial" w:cs="Arial"/>
          <w:sz w:val="20"/>
          <w:szCs w:val="20"/>
        </w:rPr>
        <w:t xml:space="preserve">L Goods work stream for September 2019 to September 2022: </w:t>
      </w:r>
    </w:p>
    <w:p w:rsidR="00A4421A" w:rsidRPr="00921120" w:rsidRDefault="00A4421A" w:rsidP="00921120">
      <w:pPr>
        <w:pStyle w:val="ListParagraph"/>
        <w:numPr>
          <w:ilvl w:val="0"/>
          <w:numId w:val="28"/>
        </w:numPr>
        <w:spacing w:line="240" w:lineRule="auto"/>
        <w:jc w:val="left"/>
        <w:rPr>
          <w:rFonts w:ascii="Arial" w:hAnsi="Arial" w:cs="Arial"/>
          <w:sz w:val="20"/>
          <w:szCs w:val="20"/>
        </w:rPr>
      </w:pPr>
      <w:r w:rsidRPr="00921120">
        <w:rPr>
          <w:rFonts w:ascii="Arial" w:hAnsi="Arial" w:cs="Arial"/>
          <w:sz w:val="20"/>
          <w:szCs w:val="20"/>
        </w:rPr>
        <w:t>Additional revenue collection.</w:t>
      </w:r>
    </w:p>
    <w:p w:rsidR="00A4421A" w:rsidRPr="00921120" w:rsidRDefault="00A4421A" w:rsidP="00921120">
      <w:pPr>
        <w:pStyle w:val="ListParagraph"/>
        <w:numPr>
          <w:ilvl w:val="0"/>
          <w:numId w:val="28"/>
        </w:numPr>
        <w:spacing w:line="240" w:lineRule="auto"/>
        <w:jc w:val="left"/>
        <w:rPr>
          <w:rFonts w:ascii="Arial" w:hAnsi="Arial" w:cs="Arial"/>
          <w:sz w:val="20"/>
          <w:szCs w:val="20"/>
        </w:rPr>
      </w:pPr>
      <w:r w:rsidRPr="00921120">
        <w:rPr>
          <w:rFonts w:ascii="Arial" w:hAnsi="Arial" w:cs="Arial"/>
          <w:sz w:val="20"/>
          <w:szCs w:val="20"/>
        </w:rPr>
        <w:t>Seizure values increased from R282</w:t>
      </w:r>
      <w:r w:rsidR="00F13993" w:rsidRPr="00921120">
        <w:rPr>
          <w:rFonts w:ascii="Arial" w:hAnsi="Arial" w:cs="Arial"/>
          <w:sz w:val="20"/>
          <w:szCs w:val="20"/>
        </w:rPr>
        <w:t>,</w:t>
      </w:r>
      <w:r w:rsidRPr="00921120">
        <w:rPr>
          <w:rFonts w:ascii="Arial" w:hAnsi="Arial" w:cs="Arial"/>
          <w:sz w:val="20"/>
          <w:szCs w:val="20"/>
        </w:rPr>
        <w:t>7 million in 2019/20 to R414</w:t>
      </w:r>
      <w:r w:rsidR="00F13993" w:rsidRPr="00921120">
        <w:rPr>
          <w:rFonts w:ascii="Arial" w:hAnsi="Arial" w:cs="Arial"/>
          <w:sz w:val="20"/>
          <w:szCs w:val="20"/>
        </w:rPr>
        <w:t>,</w:t>
      </w:r>
      <w:r w:rsidRPr="00921120">
        <w:rPr>
          <w:rFonts w:ascii="Arial" w:hAnsi="Arial" w:cs="Arial"/>
          <w:sz w:val="20"/>
          <w:szCs w:val="20"/>
        </w:rPr>
        <w:t>5 million in 2021/22.</w:t>
      </w:r>
    </w:p>
    <w:p w:rsidR="00A4421A" w:rsidRPr="00921120" w:rsidRDefault="00A4421A" w:rsidP="00921120">
      <w:pPr>
        <w:pStyle w:val="ListParagraph"/>
        <w:numPr>
          <w:ilvl w:val="0"/>
          <w:numId w:val="28"/>
        </w:numPr>
        <w:spacing w:line="240" w:lineRule="auto"/>
        <w:jc w:val="left"/>
        <w:rPr>
          <w:rFonts w:ascii="Arial" w:hAnsi="Arial" w:cs="Arial"/>
          <w:sz w:val="20"/>
          <w:szCs w:val="20"/>
        </w:rPr>
      </w:pPr>
      <w:r w:rsidRPr="00921120">
        <w:rPr>
          <w:rFonts w:ascii="Arial" w:hAnsi="Arial" w:cs="Arial"/>
          <w:sz w:val="20"/>
          <w:szCs w:val="20"/>
        </w:rPr>
        <w:t>Additional revenue raised from 208 finalised audits including integrated audits on Customs</w:t>
      </w:r>
      <w:r w:rsidR="00F13993" w:rsidRPr="00921120">
        <w:rPr>
          <w:rFonts w:ascii="Arial" w:hAnsi="Arial" w:cs="Arial"/>
          <w:sz w:val="20"/>
          <w:szCs w:val="20"/>
        </w:rPr>
        <w:t xml:space="preserve">, </w:t>
      </w:r>
      <w:r w:rsidRPr="00921120">
        <w:rPr>
          <w:rFonts w:ascii="Arial" w:hAnsi="Arial" w:cs="Arial"/>
          <w:sz w:val="20"/>
          <w:szCs w:val="20"/>
        </w:rPr>
        <w:t>C</w:t>
      </w:r>
      <w:r w:rsidR="00F13993" w:rsidRPr="00921120">
        <w:rPr>
          <w:rFonts w:ascii="Arial" w:hAnsi="Arial" w:cs="Arial"/>
          <w:sz w:val="20"/>
          <w:szCs w:val="20"/>
        </w:rPr>
        <w:t xml:space="preserve">orporate </w:t>
      </w:r>
      <w:r w:rsidRPr="00921120">
        <w:rPr>
          <w:rFonts w:ascii="Arial" w:hAnsi="Arial" w:cs="Arial"/>
          <w:sz w:val="20"/>
          <w:szCs w:val="20"/>
        </w:rPr>
        <w:t>I</w:t>
      </w:r>
      <w:r w:rsidR="00F13993" w:rsidRPr="00921120">
        <w:rPr>
          <w:rFonts w:ascii="Arial" w:hAnsi="Arial" w:cs="Arial"/>
          <w:sz w:val="20"/>
          <w:szCs w:val="20"/>
        </w:rPr>
        <w:t xml:space="preserve">ncome </w:t>
      </w:r>
      <w:r w:rsidRPr="00921120">
        <w:rPr>
          <w:rFonts w:ascii="Arial" w:hAnsi="Arial" w:cs="Arial"/>
          <w:sz w:val="20"/>
          <w:szCs w:val="20"/>
        </w:rPr>
        <w:t>T</w:t>
      </w:r>
      <w:r w:rsidR="00F13993" w:rsidRPr="00921120">
        <w:rPr>
          <w:rFonts w:ascii="Arial" w:hAnsi="Arial" w:cs="Arial"/>
          <w:sz w:val="20"/>
          <w:szCs w:val="20"/>
        </w:rPr>
        <w:t xml:space="preserve">ax and </w:t>
      </w:r>
      <w:r w:rsidRPr="00921120">
        <w:rPr>
          <w:rFonts w:ascii="Arial" w:hAnsi="Arial" w:cs="Arial"/>
          <w:sz w:val="20"/>
          <w:szCs w:val="20"/>
        </w:rPr>
        <w:t>VAT triggered by undervaluation with an overall 56</w:t>
      </w:r>
      <w:r w:rsidR="00FB606F" w:rsidRPr="00921120">
        <w:rPr>
          <w:rFonts w:ascii="Arial" w:hAnsi="Arial" w:cs="Arial"/>
          <w:sz w:val="20"/>
          <w:szCs w:val="20"/>
        </w:rPr>
        <w:t>%</w:t>
      </w:r>
      <w:r w:rsidRPr="00921120">
        <w:rPr>
          <w:rFonts w:ascii="Arial" w:hAnsi="Arial" w:cs="Arial"/>
          <w:sz w:val="20"/>
          <w:szCs w:val="20"/>
        </w:rPr>
        <w:t xml:space="preserve"> success rate. This include</w:t>
      </w:r>
      <w:r w:rsidR="00F13993" w:rsidRPr="00921120">
        <w:rPr>
          <w:rFonts w:ascii="Arial" w:hAnsi="Arial" w:cs="Arial"/>
          <w:sz w:val="20"/>
          <w:szCs w:val="20"/>
        </w:rPr>
        <w:t>d</w:t>
      </w:r>
      <w:r w:rsidRPr="00921120">
        <w:rPr>
          <w:rFonts w:ascii="Arial" w:hAnsi="Arial" w:cs="Arial"/>
          <w:sz w:val="20"/>
          <w:szCs w:val="20"/>
        </w:rPr>
        <w:t xml:space="preserve"> a 71</w:t>
      </w:r>
      <w:r w:rsidR="00FB606F" w:rsidRPr="00921120">
        <w:rPr>
          <w:rFonts w:ascii="Arial" w:hAnsi="Arial" w:cs="Arial"/>
          <w:sz w:val="20"/>
          <w:szCs w:val="20"/>
        </w:rPr>
        <w:t>%</w:t>
      </w:r>
      <w:r w:rsidRPr="00921120">
        <w:rPr>
          <w:rFonts w:ascii="Arial" w:hAnsi="Arial" w:cs="Arial"/>
          <w:sz w:val="20"/>
          <w:szCs w:val="20"/>
        </w:rPr>
        <w:t xml:space="preserve"> success rate </w:t>
      </w:r>
      <w:r w:rsidR="00F13993" w:rsidRPr="00921120">
        <w:rPr>
          <w:rFonts w:ascii="Arial" w:hAnsi="Arial" w:cs="Arial"/>
          <w:sz w:val="20"/>
          <w:szCs w:val="20"/>
        </w:rPr>
        <w:t xml:space="preserve">across </w:t>
      </w:r>
      <w:r w:rsidRPr="00921120">
        <w:rPr>
          <w:rFonts w:ascii="Arial" w:hAnsi="Arial" w:cs="Arial"/>
          <w:sz w:val="20"/>
          <w:szCs w:val="20"/>
        </w:rPr>
        <w:t>frontline C</w:t>
      </w:r>
      <w:r w:rsidR="00F13993" w:rsidRPr="00921120">
        <w:rPr>
          <w:rFonts w:ascii="Arial" w:hAnsi="Arial" w:cs="Arial"/>
          <w:sz w:val="20"/>
          <w:szCs w:val="20"/>
        </w:rPr>
        <w:t>T</w:t>
      </w:r>
      <w:r w:rsidRPr="00921120">
        <w:rPr>
          <w:rFonts w:ascii="Arial" w:hAnsi="Arial" w:cs="Arial"/>
          <w:sz w:val="20"/>
          <w:szCs w:val="20"/>
        </w:rPr>
        <w:t>FL technical enforcement interventions to undervaluation and misdeclaration of CT</w:t>
      </w:r>
      <w:r w:rsidR="00F13993" w:rsidRPr="00921120">
        <w:rPr>
          <w:rFonts w:ascii="Arial" w:hAnsi="Arial" w:cs="Arial"/>
          <w:sz w:val="20"/>
          <w:szCs w:val="20"/>
        </w:rPr>
        <w:t>F</w:t>
      </w:r>
      <w:r w:rsidRPr="00921120">
        <w:rPr>
          <w:rFonts w:ascii="Arial" w:hAnsi="Arial" w:cs="Arial"/>
          <w:sz w:val="20"/>
          <w:szCs w:val="20"/>
        </w:rPr>
        <w:t>L imports.</w:t>
      </w:r>
    </w:p>
    <w:p w:rsidR="00A4421A" w:rsidRPr="00921120" w:rsidRDefault="00B939A1" w:rsidP="00921120">
      <w:pPr>
        <w:pStyle w:val="ListParagraph"/>
        <w:numPr>
          <w:ilvl w:val="0"/>
          <w:numId w:val="21"/>
        </w:numPr>
        <w:spacing w:line="240" w:lineRule="auto"/>
        <w:jc w:val="left"/>
        <w:rPr>
          <w:rFonts w:ascii="Arial" w:hAnsi="Arial" w:cs="Arial"/>
          <w:sz w:val="20"/>
          <w:szCs w:val="20"/>
        </w:rPr>
      </w:pPr>
      <w:r w:rsidRPr="00921120">
        <w:rPr>
          <w:rFonts w:ascii="Arial" w:hAnsi="Arial" w:cs="Arial"/>
          <w:sz w:val="20"/>
          <w:szCs w:val="20"/>
        </w:rPr>
        <w:t>Thirty-eight</w:t>
      </w:r>
      <w:r w:rsidR="00A4421A" w:rsidRPr="00921120">
        <w:rPr>
          <w:rFonts w:ascii="Arial" w:hAnsi="Arial" w:cs="Arial"/>
          <w:sz w:val="20"/>
          <w:szCs w:val="20"/>
        </w:rPr>
        <w:t xml:space="preserve"> </w:t>
      </w:r>
      <w:r w:rsidRPr="00921120">
        <w:rPr>
          <w:rFonts w:ascii="Arial" w:hAnsi="Arial" w:cs="Arial"/>
          <w:sz w:val="20"/>
          <w:szCs w:val="20"/>
        </w:rPr>
        <w:t>c</w:t>
      </w:r>
      <w:r w:rsidR="00A4421A" w:rsidRPr="00921120">
        <w:rPr>
          <w:rFonts w:ascii="Arial" w:hAnsi="Arial" w:cs="Arial"/>
          <w:sz w:val="20"/>
          <w:szCs w:val="20"/>
        </w:rPr>
        <w:t xml:space="preserve">ases referred for criminal prosecution, three cases litigated and won, with </w:t>
      </w:r>
      <w:r w:rsidR="00F13993" w:rsidRPr="00921120">
        <w:rPr>
          <w:rFonts w:ascii="Arial" w:hAnsi="Arial" w:cs="Arial"/>
          <w:sz w:val="20"/>
          <w:szCs w:val="20"/>
        </w:rPr>
        <w:t>eight</w:t>
      </w:r>
      <w:r w:rsidR="00A4421A" w:rsidRPr="00921120">
        <w:rPr>
          <w:rFonts w:ascii="Arial" w:hAnsi="Arial" w:cs="Arial"/>
          <w:sz w:val="20"/>
          <w:szCs w:val="20"/>
        </w:rPr>
        <w:t xml:space="preserve"> licences cancelled/suspended by the </w:t>
      </w:r>
      <w:r w:rsidR="009859E0" w:rsidRPr="00921120">
        <w:rPr>
          <w:rFonts w:ascii="Arial" w:hAnsi="Arial" w:cs="Arial"/>
          <w:sz w:val="20"/>
          <w:szCs w:val="20"/>
        </w:rPr>
        <w:t xml:space="preserve">SARS </w:t>
      </w:r>
      <w:r w:rsidR="00A4421A" w:rsidRPr="00921120">
        <w:rPr>
          <w:rFonts w:ascii="Arial" w:hAnsi="Arial" w:cs="Arial"/>
          <w:sz w:val="20"/>
          <w:szCs w:val="20"/>
        </w:rPr>
        <w:t>L</w:t>
      </w:r>
      <w:r w:rsidR="00F13993" w:rsidRPr="00921120">
        <w:rPr>
          <w:rFonts w:ascii="Arial" w:hAnsi="Arial" w:cs="Arial"/>
          <w:sz w:val="20"/>
          <w:szCs w:val="20"/>
        </w:rPr>
        <w:t>icen</w:t>
      </w:r>
      <w:r w:rsidR="009859E0" w:rsidRPr="00921120">
        <w:rPr>
          <w:rFonts w:ascii="Arial" w:hAnsi="Arial" w:cs="Arial"/>
          <w:sz w:val="20"/>
          <w:szCs w:val="20"/>
        </w:rPr>
        <w:t xml:space="preserve">sing, </w:t>
      </w:r>
      <w:r w:rsidR="00A4421A" w:rsidRPr="00921120">
        <w:rPr>
          <w:rFonts w:ascii="Arial" w:hAnsi="Arial" w:cs="Arial"/>
          <w:sz w:val="20"/>
          <w:szCs w:val="20"/>
        </w:rPr>
        <w:t>R</w:t>
      </w:r>
      <w:r w:rsidR="009859E0" w:rsidRPr="00921120">
        <w:rPr>
          <w:rFonts w:ascii="Arial" w:hAnsi="Arial" w:cs="Arial"/>
          <w:sz w:val="20"/>
          <w:szCs w:val="20"/>
        </w:rPr>
        <w:t xml:space="preserve">egistration and </w:t>
      </w:r>
      <w:r w:rsidR="00A4421A" w:rsidRPr="00921120">
        <w:rPr>
          <w:rFonts w:ascii="Arial" w:hAnsi="Arial" w:cs="Arial"/>
          <w:sz w:val="20"/>
          <w:szCs w:val="20"/>
        </w:rPr>
        <w:t>C</w:t>
      </w:r>
      <w:r w:rsidR="009859E0" w:rsidRPr="00921120">
        <w:rPr>
          <w:rFonts w:ascii="Arial" w:hAnsi="Arial" w:cs="Arial"/>
          <w:sz w:val="20"/>
          <w:szCs w:val="20"/>
        </w:rPr>
        <w:t xml:space="preserve">ancellation </w:t>
      </w:r>
      <w:r w:rsidR="00A4421A" w:rsidRPr="00921120">
        <w:rPr>
          <w:rFonts w:ascii="Arial" w:hAnsi="Arial" w:cs="Arial"/>
          <w:sz w:val="20"/>
          <w:szCs w:val="20"/>
        </w:rPr>
        <w:t>C</w:t>
      </w:r>
      <w:r w:rsidR="009859E0" w:rsidRPr="00921120">
        <w:rPr>
          <w:rFonts w:ascii="Arial" w:hAnsi="Arial" w:cs="Arial"/>
          <w:sz w:val="20"/>
          <w:szCs w:val="20"/>
        </w:rPr>
        <w:t>ommittee</w:t>
      </w:r>
      <w:r w:rsidR="00A4421A" w:rsidRPr="00921120">
        <w:rPr>
          <w:rFonts w:ascii="Arial" w:hAnsi="Arial" w:cs="Arial"/>
          <w:sz w:val="20"/>
          <w:szCs w:val="20"/>
        </w:rPr>
        <w:t>.</w:t>
      </w:r>
    </w:p>
    <w:p w:rsidR="00A4421A" w:rsidRPr="00921120" w:rsidRDefault="00A4421A" w:rsidP="00921120">
      <w:pPr>
        <w:spacing w:line="240" w:lineRule="auto"/>
        <w:jc w:val="left"/>
        <w:rPr>
          <w:rFonts w:ascii="Arial" w:hAnsi="Arial" w:cs="Arial"/>
          <w:sz w:val="20"/>
          <w:szCs w:val="20"/>
        </w:rPr>
      </w:pPr>
    </w:p>
    <w:p w:rsidR="00A4421A" w:rsidRPr="00921120" w:rsidRDefault="00A4421A" w:rsidP="00921120">
      <w:pPr>
        <w:spacing w:line="240" w:lineRule="auto"/>
        <w:jc w:val="left"/>
        <w:rPr>
          <w:rFonts w:ascii="Arial" w:hAnsi="Arial" w:cs="Arial"/>
          <w:sz w:val="20"/>
          <w:szCs w:val="20"/>
        </w:rPr>
      </w:pPr>
      <w:r w:rsidRPr="00921120">
        <w:rPr>
          <w:rFonts w:ascii="Arial" w:hAnsi="Arial" w:cs="Arial"/>
          <w:sz w:val="20"/>
          <w:szCs w:val="20"/>
        </w:rPr>
        <w:t xml:space="preserve">SARS enforcement highlights for the Steel and Gold work stream from April to September 2022: </w:t>
      </w:r>
    </w:p>
    <w:p w:rsidR="00A4421A" w:rsidRPr="00921120" w:rsidRDefault="00A4421A" w:rsidP="00921120">
      <w:pPr>
        <w:pStyle w:val="ListParagraph"/>
        <w:numPr>
          <w:ilvl w:val="0"/>
          <w:numId w:val="22"/>
        </w:numPr>
        <w:spacing w:line="240" w:lineRule="auto"/>
        <w:jc w:val="left"/>
        <w:rPr>
          <w:rFonts w:ascii="Arial" w:hAnsi="Arial" w:cs="Arial"/>
          <w:sz w:val="20"/>
          <w:szCs w:val="20"/>
        </w:rPr>
      </w:pPr>
      <w:r w:rsidRPr="00921120">
        <w:rPr>
          <w:rFonts w:ascii="Arial" w:hAnsi="Arial" w:cs="Arial"/>
          <w:sz w:val="20"/>
          <w:szCs w:val="20"/>
        </w:rPr>
        <w:t xml:space="preserve">With respect to corrugated material and galvanised coil, SARS </w:t>
      </w:r>
      <w:r w:rsidR="00233727" w:rsidRPr="00921120">
        <w:rPr>
          <w:rFonts w:ascii="Arial" w:hAnsi="Arial" w:cs="Arial"/>
          <w:sz w:val="20"/>
          <w:szCs w:val="20"/>
        </w:rPr>
        <w:t xml:space="preserve">had worked on three cases. It </w:t>
      </w:r>
      <w:r w:rsidRPr="00921120">
        <w:rPr>
          <w:rFonts w:ascii="Arial" w:hAnsi="Arial" w:cs="Arial"/>
          <w:sz w:val="20"/>
          <w:szCs w:val="20"/>
        </w:rPr>
        <w:t>reported for entity 1, R9</w:t>
      </w:r>
      <w:r w:rsidR="00611EE8" w:rsidRPr="00921120">
        <w:rPr>
          <w:rFonts w:ascii="Arial" w:hAnsi="Arial" w:cs="Arial"/>
          <w:sz w:val="20"/>
          <w:szCs w:val="20"/>
        </w:rPr>
        <w:t>,</w:t>
      </w:r>
      <w:r w:rsidRPr="00921120">
        <w:rPr>
          <w:rFonts w:ascii="Arial" w:hAnsi="Arial" w:cs="Arial"/>
          <w:sz w:val="20"/>
          <w:szCs w:val="20"/>
        </w:rPr>
        <w:t>6</w:t>
      </w:r>
      <w:r w:rsidR="00611EE8" w:rsidRPr="00921120">
        <w:rPr>
          <w:rFonts w:ascii="Arial" w:hAnsi="Arial" w:cs="Arial"/>
          <w:sz w:val="20"/>
          <w:szCs w:val="20"/>
        </w:rPr>
        <w:t> </w:t>
      </w:r>
      <w:r w:rsidRPr="00921120">
        <w:rPr>
          <w:rFonts w:ascii="Arial" w:hAnsi="Arial" w:cs="Arial"/>
          <w:sz w:val="20"/>
          <w:szCs w:val="20"/>
        </w:rPr>
        <w:t xml:space="preserve">million </w:t>
      </w:r>
      <w:r w:rsidR="00611EE8" w:rsidRPr="00921120">
        <w:rPr>
          <w:rFonts w:ascii="Arial" w:hAnsi="Arial" w:cs="Arial"/>
          <w:sz w:val="20"/>
          <w:szCs w:val="20"/>
        </w:rPr>
        <w:t xml:space="preserve">had been </w:t>
      </w:r>
      <w:r w:rsidRPr="00921120">
        <w:rPr>
          <w:rFonts w:ascii="Arial" w:hAnsi="Arial" w:cs="Arial"/>
          <w:sz w:val="20"/>
          <w:szCs w:val="20"/>
        </w:rPr>
        <w:t xml:space="preserve">raised on the under-declaration of values </w:t>
      </w:r>
      <w:r w:rsidR="00611EE8" w:rsidRPr="00921120">
        <w:rPr>
          <w:rFonts w:ascii="Arial" w:hAnsi="Arial" w:cs="Arial"/>
          <w:sz w:val="20"/>
          <w:szCs w:val="20"/>
        </w:rPr>
        <w:t xml:space="preserve">and </w:t>
      </w:r>
      <w:r w:rsidRPr="00921120">
        <w:rPr>
          <w:rFonts w:ascii="Arial" w:hAnsi="Arial" w:cs="Arial"/>
          <w:sz w:val="20"/>
          <w:szCs w:val="20"/>
        </w:rPr>
        <w:t>prejudices on th</w:t>
      </w:r>
      <w:r w:rsidR="00611EE8" w:rsidRPr="00921120">
        <w:rPr>
          <w:rFonts w:ascii="Arial" w:hAnsi="Arial" w:cs="Arial"/>
          <w:sz w:val="20"/>
          <w:szCs w:val="20"/>
        </w:rPr>
        <w:t>e</w:t>
      </w:r>
      <w:r w:rsidRPr="00921120">
        <w:rPr>
          <w:rFonts w:ascii="Arial" w:hAnsi="Arial" w:cs="Arial"/>
          <w:sz w:val="20"/>
          <w:szCs w:val="20"/>
        </w:rPr>
        <w:t xml:space="preserve"> duties and VAT. For entity 2, R4 million ha</w:t>
      </w:r>
      <w:r w:rsidR="00611EE8" w:rsidRPr="00921120">
        <w:rPr>
          <w:rFonts w:ascii="Arial" w:hAnsi="Arial" w:cs="Arial"/>
          <w:sz w:val="20"/>
          <w:szCs w:val="20"/>
        </w:rPr>
        <w:t>d</w:t>
      </w:r>
      <w:r w:rsidRPr="00921120">
        <w:rPr>
          <w:rFonts w:ascii="Arial" w:hAnsi="Arial" w:cs="Arial"/>
          <w:sz w:val="20"/>
          <w:szCs w:val="20"/>
        </w:rPr>
        <w:t xml:space="preserve"> been raised on the under-valuation of the values and prejudices on the duties and VAT. SARS w</w:t>
      </w:r>
      <w:r w:rsidR="00611EE8" w:rsidRPr="00921120">
        <w:rPr>
          <w:rFonts w:ascii="Arial" w:hAnsi="Arial" w:cs="Arial"/>
          <w:sz w:val="20"/>
          <w:szCs w:val="20"/>
        </w:rPr>
        <w:t>ou</w:t>
      </w:r>
      <w:r w:rsidRPr="00921120">
        <w:rPr>
          <w:rFonts w:ascii="Arial" w:hAnsi="Arial" w:cs="Arial"/>
          <w:sz w:val="20"/>
          <w:szCs w:val="20"/>
        </w:rPr>
        <w:t>l</w:t>
      </w:r>
      <w:r w:rsidR="00611EE8" w:rsidRPr="00921120">
        <w:rPr>
          <w:rFonts w:ascii="Arial" w:hAnsi="Arial" w:cs="Arial"/>
          <w:sz w:val="20"/>
          <w:szCs w:val="20"/>
        </w:rPr>
        <w:t>d</w:t>
      </w:r>
      <w:r w:rsidRPr="00921120">
        <w:rPr>
          <w:rFonts w:ascii="Arial" w:hAnsi="Arial" w:cs="Arial"/>
          <w:sz w:val="20"/>
          <w:szCs w:val="20"/>
        </w:rPr>
        <w:t xml:space="preserve"> be initiating collection steps to recover the debt. For entity 3, helical wire matter, revised letters of findings </w:t>
      </w:r>
      <w:r w:rsidR="00611EE8" w:rsidRPr="00921120">
        <w:rPr>
          <w:rFonts w:ascii="Arial" w:hAnsi="Arial" w:cs="Arial"/>
          <w:sz w:val="20"/>
          <w:szCs w:val="20"/>
        </w:rPr>
        <w:t xml:space="preserve">had </w:t>
      </w:r>
      <w:r w:rsidRPr="00921120">
        <w:rPr>
          <w:rFonts w:ascii="Arial" w:hAnsi="Arial" w:cs="Arial"/>
          <w:sz w:val="20"/>
          <w:szCs w:val="20"/>
        </w:rPr>
        <w:t xml:space="preserve">to be issued for incorrect tariff headings that </w:t>
      </w:r>
      <w:r w:rsidR="00611EE8" w:rsidRPr="00921120">
        <w:rPr>
          <w:rFonts w:ascii="Arial" w:hAnsi="Arial" w:cs="Arial"/>
          <w:sz w:val="20"/>
          <w:szCs w:val="20"/>
        </w:rPr>
        <w:t xml:space="preserve">had been </w:t>
      </w:r>
      <w:r w:rsidRPr="00921120">
        <w:rPr>
          <w:rFonts w:ascii="Arial" w:hAnsi="Arial" w:cs="Arial"/>
          <w:sz w:val="20"/>
          <w:szCs w:val="20"/>
        </w:rPr>
        <w:t>utilised.</w:t>
      </w:r>
    </w:p>
    <w:p w:rsidR="00A4421A" w:rsidRPr="00921120" w:rsidRDefault="00A4421A" w:rsidP="00921120">
      <w:pPr>
        <w:pStyle w:val="ListParagraph"/>
        <w:numPr>
          <w:ilvl w:val="0"/>
          <w:numId w:val="23"/>
        </w:numPr>
        <w:spacing w:line="240" w:lineRule="auto"/>
        <w:jc w:val="left"/>
        <w:rPr>
          <w:rFonts w:ascii="Arial" w:hAnsi="Arial" w:cs="Arial"/>
          <w:sz w:val="20"/>
          <w:szCs w:val="20"/>
        </w:rPr>
      </w:pPr>
      <w:r w:rsidRPr="00921120">
        <w:rPr>
          <w:rFonts w:ascii="Arial" w:hAnsi="Arial" w:cs="Arial"/>
          <w:sz w:val="20"/>
          <w:szCs w:val="20"/>
        </w:rPr>
        <w:t>With respect to the gold work stream, SARS indicated to the Committee that it had successfully defended various legal application</w:t>
      </w:r>
      <w:r w:rsidR="00611EE8" w:rsidRPr="00921120">
        <w:rPr>
          <w:rFonts w:ascii="Arial" w:hAnsi="Arial" w:cs="Arial"/>
          <w:sz w:val="20"/>
          <w:szCs w:val="20"/>
        </w:rPr>
        <w:t>s</w:t>
      </w:r>
      <w:r w:rsidRPr="00921120">
        <w:rPr>
          <w:rFonts w:ascii="Arial" w:hAnsi="Arial" w:cs="Arial"/>
          <w:sz w:val="20"/>
          <w:szCs w:val="20"/>
        </w:rPr>
        <w:t xml:space="preserve"> received from role-</w:t>
      </w:r>
      <w:r w:rsidR="00611EE8" w:rsidRPr="00921120">
        <w:rPr>
          <w:rFonts w:ascii="Arial" w:hAnsi="Arial" w:cs="Arial"/>
          <w:sz w:val="20"/>
          <w:szCs w:val="20"/>
        </w:rPr>
        <w:t>players</w:t>
      </w:r>
      <w:r w:rsidRPr="00921120">
        <w:rPr>
          <w:rFonts w:ascii="Arial" w:hAnsi="Arial" w:cs="Arial"/>
          <w:sz w:val="20"/>
          <w:szCs w:val="20"/>
        </w:rPr>
        <w:t xml:space="preserve"> within the gold industry and </w:t>
      </w:r>
      <w:r w:rsidR="00611EE8" w:rsidRPr="00921120">
        <w:rPr>
          <w:rFonts w:ascii="Arial" w:hAnsi="Arial" w:cs="Arial"/>
          <w:sz w:val="20"/>
          <w:szCs w:val="20"/>
        </w:rPr>
        <w:t>we</w:t>
      </w:r>
      <w:r w:rsidRPr="00921120">
        <w:rPr>
          <w:rFonts w:ascii="Arial" w:hAnsi="Arial" w:cs="Arial"/>
          <w:sz w:val="20"/>
          <w:szCs w:val="20"/>
        </w:rPr>
        <w:t>re busy executing ongoing enforcement tools, which</w:t>
      </w:r>
      <w:r w:rsidR="00611EE8" w:rsidRPr="00921120">
        <w:rPr>
          <w:rFonts w:ascii="Arial" w:hAnsi="Arial" w:cs="Arial"/>
          <w:sz w:val="20"/>
          <w:szCs w:val="20"/>
        </w:rPr>
        <w:t xml:space="preserve"> should</w:t>
      </w:r>
      <w:r w:rsidRPr="00921120">
        <w:rPr>
          <w:rFonts w:ascii="Arial" w:hAnsi="Arial" w:cs="Arial"/>
          <w:sz w:val="20"/>
          <w:szCs w:val="20"/>
        </w:rPr>
        <w:t xml:space="preserve"> impact behaviour in the gold industry.</w:t>
      </w:r>
      <w:r w:rsidR="00773B46" w:rsidRPr="00921120">
        <w:rPr>
          <w:rFonts w:ascii="Arial" w:hAnsi="Arial" w:cs="Arial"/>
          <w:sz w:val="20"/>
          <w:szCs w:val="20"/>
        </w:rPr>
        <w:t xml:space="preserve"> T</w:t>
      </w:r>
      <w:r w:rsidRPr="00921120">
        <w:rPr>
          <w:rFonts w:ascii="Arial" w:hAnsi="Arial" w:cs="Arial"/>
          <w:sz w:val="20"/>
          <w:szCs w:val="20"/>
        </w:rPr>
        <w:t xml:space="preserve">he number of ongoing cases in civil investigations </w:t>
      </w:r>
      <w:r w:rsidR="00583085" w:rsidRPr="00921120">
        <w:rPr>
          <w:rFonts w:ascii="Arial" w:hAnsi="Arial" w:cs="Arial"/>
          <w:sz w:val="20"/>
          <w:szCs w:val="20"/>
        </w:rPr>
        <w:t>wa</w:t>
      </w:r>
      <w:r w:rsidRPr="00921120">
        <w:rPr>
          <w:rFonts w:ascii="Arial" w:hAnsi="Arial" w:cs="Arial"/>
          <w:sz w:val="20"/>
          <w:szCs w:val="20"/>
        </w:rPr>
        <w:t xml:space="preserve">s 129, with 1 IEA (Tax) case finalised, with an assessment of </w:t>
      </w:r>
      <w:r w:rsidR="00583085" w:rsidRPr="00921120">
        <w:rPr>
          <w:rFonts w:ascii="Arial" w:hAnsi="Arial" w:cs="Arial"/>
          <w:sz w:val="20"/>
          <w:szCs w:val="20"/>
        </w:rPr>
        <w:t xml:space="preserve">about </w:t>
      </w:r>
      <w:r w:rsidRPr="00921120">
        <w:rPr>
          <w:rFonts w:ascii="Arial" w:hAnsi="Arial" w:cs="Arial"/>
          <w:sz w:val="20"/>
          <w:szCs w:val="20"/>
        </w:rPr>
        <w:t>R33</w:t>
      </w:r>
      <w:r w:rsidR="00583085" w:rsidRPr="00921120">
        <w:rPr>
          <w:rFonts w:ascii="Arial" w:hAnsi="Arial" w:cs="Arial"/>
          <w:sz w:val="20"/>
          <w:szCs w:val="20"/>
        </w:rPr>
        <w:t>,</w:t>
      </w:r>
      <w:r w:rsidRPr="00921120">
        <w:rPr>
          <w:rFonts w:ascii="Arial" w:hAnsi="Arial" w:cs="Arial"/>
          <w:sz w:val="20"/>
          <w:szCs w:val="20"/>
        </w:rPr>
        <w:t>9</w:t>
      </w:r>
      <w:r w:rsidR="00583085" w:rsidRPr="00921120">
        <w:rPr>
          <w:rFonts w:ascii="Arial" w:hAnsi="Arial" w:cs="Arial"/>
          <w:sz w:val="20"/>
          <w:szCs w:val="20"/>
        </w:rPr>
        <w:t xml:space="preserve"> million</w:t>
      </w:r>
      <w:r w:rsidRPr="00921120">
        <w:rPr>
          <w:rFonts w:ascii="Arial" w:hAnsi="Arial" w:cs="Arial"/>
          <w:sz w:val="20"/>
          <w:szCs w:val="20"/>
        </w:rPr>
        <w:t>.</w:t>
      </w:r>
      <w:r w:rsidR="00773B46" w:rsidRPr="00921120">
        <w:rPr>
          <w:rFonts w:ascii="Arial" w:hAnsi="Arial" w:cs="Arial"/>
          <w:sz w:val="20"/>
          <w:szCs w:val="20"/>
        </w:rPr>
        <w:t xml:space="preserve"> </w:t>
      </w:r>
      <w:r w:rsidRPr="00921120">
        <w:rPr>
          <w:rFonts w:ascii="Arial" w:hAnsi="Arial" w:cs="Arial"/>
          <w:sz w:val="20"/>
          <w:szCs w:val="20"/>
        </w:rPr>
        <w:t>Total VAT refunds stopped to date amount</w:t>
      </w:r>
      <w:r w:rsidR="00A57F38" w:rsidRPr="00921120">
        <w:rPr>
          <w:rFonts w:ascii="Arial" w:hAnsi="Arial" w:cs="Arial"/>
          <w:sz w:val="20"/>
          <w:szCs w:val="20"/>
        </w:rPr>
        <w:t>ed</w:t>
      </w:r>
      <w:r w:rsidRPr="00921120">
        <w:rPr>
          <w:rFonts w:ascii="Arial" w:hAnsi="Arial" w:cs="Arial"/>
          <w:sz w:val="20"/>
          <w:szCs w:val="20"/>
        </w:rPr>
        <w:t xml:space="preserve"> to </w:t>
      </w:r>
      <w:r w:rsidR="00A57F38" w:rsidRPr="00921120">
        <w:rPr>
          <w:rFonts w:ascii="Arial" w:hAnsi="Arial" w:cs="Arial"/>
          <w:sz w:val="20"/>
          <w:szCs w:val="20"/>
        </w:rPr>
        <w:t xml:space="preserve">approximately </w:t>
      </w:r>
      <w:r w:rsidRPr="00921120">
        <w:rPr>
          <w:rFonts w:ascii="Arial" w:hAnsi="Arial" w:cs="Arial"/>
          <w:sz w:val="20"/>
          <w:szCs w:val="20"/>
        </w:rPr>
        <w:t>R49</w:t>
      </w:r>
      <w:r w:rsidR="00A57F38" w:rsidRPr="00921120">
        <w:rPr>
          <w:rFonts w:ascii="Arial" w:hAnsi="Arial" w:cs="Arial"/>
          <w:sz w:val="20"/>
          <w:szCs w:val="20"/>
        </w:rPr>
        <w:t>,</w:t>
      </w:r>
      <w:r w:rsidRPr="00921120">
        <w:rPr>
          <w:rFonts w:ascii="Arial" w:hAnsi="Arial" w:cs="Arial"/>
          <w:sz w:val="20"/>
          <w:szCs w:val="20"/>
        </w:rPr>
        <w:t>6</w:t>
      </w:r>
      <w:r w:rsidR="00A57F38" w:rsidRPr="00921120">
        <w:rPr>
          <w:rFonts w:ascii="Arial" w:hAnsi="Arial" w:cs="Arial"/>
          <w:sz w:val="20"/>
          <w:szCs w:val="20"/>
        </w:rPr>
        <w:t xml:space="preserve"> million</w:t>
      </w:r>
      <w:r w:rsidRPr="00921120">
        <w:rPr>
          <w:rFonts w:ascii="Arial" w:hAnsi="Arial" w:cs="Arial"/>
          <w:sz w:val="20"/>
          <w:szCs w:val="20"/>
        </w:rPr>
        <w:t xml:space="preserve"> until October 2022.</w:t>
      </w:r>
      <w:r w:rsidR="00773B46" w:rsidRPr="00921120">
        <w:rPr>
          <w:rFonts w:ascii="Arial" w:hAnsi="Arial" w:cs="Arial"/>
          <w:sz w:val="20"/>
          <w:szCs w:val="20"/>
        </w:rPr>
        <w:t xml:space="preserve"> </w:t>
      </w:r>
      <w:r w:rsidRPr="00921120">
        <w:rPr>
          <w:rFonts w:ascii="Arial" w:hAnsi="Arial" w:cs="Arial"/>
          <w:sz w:val="20"/>
          <w:szCs w:val="20"/>
        </w:rPr>
        <w:t>Total assessment</w:t>
      </w:r>
      <w:r w:rsidR="00773B46" w:rsidRPr="00921120">
        <w:rPr>
          <w:rFonts w:ascii="Arial" w:hAnsi="Arial" w:cs="Arial"/>
          <w:sz w:val="20"/>
          <w:szCs w:val="20"/>
        </w:rPr>
        <w:t>s</w:t>
      </w:r>
      <w:r w:rsidRPr="00921120">
        <w:rPr>
          <w:rFonts w:ascii="Arial" w:hAnsi="Arial" w:cs="Arial"/>
          <w:sz w:val="20"/>
          <w:szCs w:val="20"/>
        </w:rPr>
        <w:t xml:space="preserve"> raised to date amount</w:t>
      </w:r>
      <w:r w:rsidR="00A57F38" w:rsidRPr="00921120">
        <w:rPr>
          <w:rFonts w:ascii="Arial" w:hAnsi="Arial" w:cs="Arial"/>
          <w:sz w:val="20"/>
          <w:szCs w:val="20"/>
        </w:rPr>
        <w:t>ed</w:t>
      </w:r>
      <w:r w:rsidRPr="00921120">
        <w:rPr>
          <w:rFonts w:ascii="Arial" w:hAnsi="Arial" w:cs="Arial"/>
          <w:sz w:val="20"/>
          <w:szCs w:val="20"/>
        </w:rPr>
        <w:t xml:space="preserve"> to R62</w:t>
      </w:r>
      <w:r w:rsidR="00A57F38" w:rsidRPr="00921120">
        <w:rPr>
          <w:rFonts w:ascii="Arial" w:hAnsi="Arial" w:cs="Arial"/>
          <w:sz w:val="20"/>
          <w:szCs w:val="20"/>
        </w:rPr>
        <w:t>,</w:t>
      </w:r>
      <w:r w:rsidRPr="00921120">
        <w:rPr>
          <w:rFonts w:ascii="Arial" w:hAnsi="Arial" w:cs="Arial"/>
          <w:sz w:val="20"/>
          <w:szCs w:val="20"/>
        </w:rPr>
        <w:t>5</w:t>
      </w:r>
      <w:r w:rsidR="00A57F38" w:rsidRPr="00921120">
        <w:rPr>
          <w:rFonts w:ascii="Arial" w:hAnsi="Arial" w:cs="Arial"/>
          <w:sz w:val="20"/>
          <w:szCs w:val="20"/>
        </w:rPr>
        <w:t xml:space="preserve"> million</w:t>
      </w:r>
      <w:r w:rsidRPr="00921120">
        <w:rPr>
          <w:rFonts w:ascii="Arial" w:hAnsi="Arial" w:cs="Arial"/>
          <w:sz w:val="20"/>
          <w:szCs w:val="20"/>
        </w:rPr>
        <w:t xml:space="preserve"> capital VAT on three cases. </w:t>
      </w:r>
    </w:p>
    <w:p w:rsidR="00A4421A" w:rsidRPr="00921120" w:rsidRDefault="00A4421A" w:rsidP="00921120">
      <w:pPr>
        <w:spacing w:line="240" w:lineRule="auto"/>
        <w:jc w:val="left"/>
        <w:rPr>
          <w:rFonts w:ascii="Arial" w:hAnsi="Arial" w:cs="Arial"/>
          <w:sz w:val="20"/>
          <w:szCs w:val="20"/>
        </w:rPr>
      </w:pPr>
    </w:p>
    <w:p w:rsidR="00A4421A" w:rsidRPr="00921120" w:rsidRDefault="00A4421A" w:rsidP="00921120">
      <w:pPr>
        <w:autoSpaceDE w:val="0"/>
        <w:autoSpaceDN w:val="0"/>
        <w:adjustRightInd w:val="0"/>
        <w:spacing w:line="240" w:lineRule="auto"/>
        <w:jc w:val="left"/>
        <w:rPr>
          <w:rFonts w:ascii="Arial" w:hAnsi="Arial" w:cs="Arial"/>
          <w:color w:val="000000"/>
          <w:sz w:val="20"/>
          <w:szCs w:val="20"/>
        </w:rPr>
      </w:pPr>
      <w:r w:rsidRPr="00921120">
        <w:rPr>
          <w:rFonts w:ascii="Arial" w:hAnsi="Arial" w:cs="Arial"/>
          <w:sz w:val="20"/>
          <w:szCs w:val="20"/>
        </w:rPr>
        <w:t xml:space="preserve">The collaboration between SARS and other law enforcement agencies have yielded positive results in the pursuit of justice. </w:t>
      </w:r>
      <w:r w:rsidRPr="00921120">
        <w:rPr>
          <w:rFonts w:ascii="Arial" w:hAnsi="Arial" w:cs="Arial"/>
          <w:iCs/>
          <w:color w:val="000000"/>
          <w:sz w:val="20"/>
          <w:szCs w:val="20"/>
        </w:rPr>
        <w:t>SARS reported that there had been 49 cases referred for criminal prosecution, of which three cases had been won. SARS informed the Committee that t</w:t>
      </w:r>
      <w:r w:rsidRPr="00921120">
        <w:rPr>
          <w:rFonts w:ascii="Arial" w:hAnsi="Arial" w:cs="Arial"/>
          <w:color w:val="000000"/>
          <w:sz w:val="20"/>
          <w:szCs w:val="20"/>
        </w:rPr>
        <w:t xml:space="preserve">he 49 </w:t>
      </w:r>
      <w:r w:rsidR="00BE0A5D" w:rsidRPr="00921120">
        <w:rPr>
          <w:rFonts w:ascii="Arial" w:hAnsi="Arial" w:cs="Arial"/>
          <w:color w:val="000000"/>
          <w:sz w:val="20"/>
          <w:szCs w:val="20"/>
        </w:rPr>
        <w:t xml:space="preserve">Customs and Excise related </w:t>
      </w:r>
      <w:r w:rsidRPr="00921120">
        <w:rPr>
          <w:rFonts w:ascii="Arial" w:hAnsi="Arial" w:cs="Arial"/>
          <w:color w:val="000000"/>
          <w:sz w:val="20"/>
          <w:szCs w:val="20"/>
        </w:rPr>
        <w:t xml:space="preserve">cases </w:t>
      </w:r>
      <w:r w:rsidR="00A57F38" w:rsidRPr="00921120">
        <w:rPr>
          <w:rFonts w:ascii="Arial" w:hAnsi="Arial" w:cs="Arial"/>
          <w:color w:val="000000"/>
          <w:sz w:val="20"/>
          <w:szCs w:val="20"/>
        </w:rPr>
        <w:t>we</w:t>
      </w:r>
      <w:r w:rsidRPr="00921120">
        <w:rPr>
          <w:rFonts w:ascii="Arial" w:hAnsi="Arial" w:cs="Arial"/>
          <w:color w:val="000000"/>
          <w:sz w:val="20"/>
          <w:szCs w:val="20"/>
        </w:rPr>
        <w:t>re a combination of cases linked to the illegal importation of CTFL, the breakdown of these cases</w:t>
      </w:r>
      <w:r w:rsidR="00A57F38" w:rsidRPr="00921120">
        <w:rPr>
          <w:rFonts w:ascii="Arial" w:hAnsi="Arial" w:cs="Arial"/>
          <w:color w:val="000000"/>
          <w:sz w:val="20"/>
          <w:szCs w:val="20"/>
        </w:rPr>
        <w:t xml:space="preserve"> were</w:t>
      </w:r>
      <w:r w:rsidRPr="00921120">
        <w:rPr>
          <w:rFonts w:ascii="Arial" w:hAnsi="Arial" w:cs="Arial"/>
          <w:color w:val="000000"/>
          <w:sz w:val="20"/>
          <w:szCs w:val="20"/>
        </w:rPr>
        <w:t>:</w:t>
      </w:r>
    </w:p>
    <w:p w:rsidR="00A4421A" w:rsidRPr="00921120" w:rsidRDefault="00A57F38" w:rsidP="00921120">
      <w:pPr>
        <w:pStyle w:val="ListParagraph"/>
        <w:numPr>
          <w:ilvl w:val="0"/>
          <w:numId w:val="20"/>
        </w:numPr>
        <w:autoSpaceDE w:val="0"/>
        <w:autoSpaceDN w:val="0"/>
        <w:adjustRightInd w:val="0"/>
        <w:spacing w:line="240" w:lineRule="auto"/>
        <w:jc w:val="left"/>
        <w:rPr>
          <w:rFonts w:ascii="Arial" w:hAnsi="Arial" w:cs="Arial"/>
          <w:color w:val="000000"/>
          <w:sz w:val="20"/>
          <w:szCs w:val="20"/>
        </w:rPr>
      </w:pPr>
      <w:r w:rsidRPr="00921120">
        <w:rPr>
          <w:rFonts w:ascii="Arial" w:hAnsi="Arial" w:cs="Arial"/>
          <w:color w:val="000000"/>
          <w:sz w:val="20"/>
          <w:szCs w:val="20"/>
        </w:rPr>
        <w:t>Thirty-eight</w:t>
      </w:r>
      <w:r w:rsidR="00A4421A" w:rsidRPr="00921120">
        <w:rPr>
          <w:rFonts w:ascii="Arial" w:hAnsi="Arial" w:cs="Arial"/>
          <w:color w:val="000000"/>
          <w:sz w:val="20"/>
          <w:szCs w:val="20"/>
        </w:rPr>
        <w:t xml:space="preserve"> cases </w:t>
      </w:r>
      <w:r w:rsidR="00BE0A5D" w:rsidRPr="00921120">
        <w:rPr>
          <w:rFonts w:ascii="Arial" w:hAnsi="Arial" w:cs="Arial"/>
          <w:color w:val="000000"/>
          <w:sz w:val="20"/>
          <w:szCs w:val="20"/>
        </w:rPr>
        <w:t xml:space="preserve">were at varying stages of </w:t>
      </w:r>
      <w:r w:rsidR="00A4421A" w:rsidRPr="00921120">
        <w:rPr>
          <w:rFonts w:ascii="Arial" w:hAnsi="Arial" w:cs="Arial"/>
          <w:color w:val="000000"/>
          <w:sz w:val="20"/>
          <w:szCs w:val="20"/>
        </w:rPr>
        <w:t xml:space="preserve">investigations, and once investigations </w:t>
      </w:r>
      <w:r w:rsidRPr="00921120">
        <w:rPr>
          <w:rFonts w:ascii="Arial" w:hAnsi="Arial" w:cs="Arial"/>
          <w:color w:val="000000"/>
          <w:sz w:val="20"/>
          <w:szCs w:val="20"/>
        </w:rPr>
        <w:t>we</w:t>
      </w:r>
      <w:r w:rsidR="00A4421A" w:rsidRPr="00921120">
        <w:rPr>
          <w:rFonts w:ascii="Arial" w:hAnsi="Arial" w:cs="Arial"/>
          <w:color w:val="000000"/>
          <w:sz w:val="20"/>
          <w:szCs w:val="20"/>
        </w:rPr>
        <w:t xml:space="preserve">re concluded, they </w:t>
      </w:r>
      <w:r w:rsidRPr="00921120">
        <w:rPr>
          <w:rFonts w:ascii="Arial" w:hAnsi="Arial" w:cs="Arial"/>
          <w:color w:val="000000"/>
          <w:sz w:val="20"/>
          <w:szCs w:val="20"/>
        </w:rPr>
        <w:t xml:space="preserve">would be </w:t>
      </w:r>
      <w:r w:rsidR="00A4421A" w:rsidRPr="00921120">
        <w:rPr>
          <w:rFonts w:ascii="Arial" w:hAnsi="Arial" w:cs="Arial"/>
          <w:color w:val="000000"/>
          <w:sz w:val="20"/>
          <w:szCs w:val="20"/>
        </w:rPr>
        <w:t xml:space="preserve">referred to the </w:t>
      </w:r>
      <w:r w:rsidRPr="00921120">
        <w:rPr>
          <w:rFonts w:ascii="Arial" w:hAnsi="Arial" w:cs="Arial"/>
          <w:color w:val="000000"/>
          <w:sz w:val="20"/>
          <w:szCs w:val="20"/>
        </w:rPr>
        <w:t xml:space="preserve">National Prosecuting Agency (NPA) </w:t>
      </w:r>
      <w:r w:rsidR="00A4421A" w:rsidRPr="00921120">
        <w:rPr>
          <w:rFonts w:ascii="Arial" w:hAnsi="Arial" w:cs="Arial"/>
          <w:color w:val="000000"/>
          <w:sz w:val="20"/>
          <w:szCs w:val="20"/>
        </w:rPr>
        <w:t xml:space="preserve">for prosecution. </w:t>
      </w:r>
    </w:p>
    <w:p w:rsidR="00A4421A" w:rsidRPr="00921120" w:rsidRDefault="00A57F38" w:rsidP="00921120">
      <w:pPr>
        <w:pStyle w:val="ListParagraph"/>
        <w:numPr>
          <w:ilvl w:val="0"/>
          <w:numId w:val="20"/>
        </w:numPr>
        <w:autoSpaceDE w:val="0"/>
        <w:autoSpaceDN w:val="0"/>
        <w:adjustRightInd w:val="0"/>
        <w:spacing w:line="240" w:lineRule="auto"/>
        <w:jc w:val="left"/>
        <w:rPr>
          <w:rFonts w:ascii="Arial" w:hAnsi="Arial" w:cs="Arial"/>
          <w:color w:val="000000"/>
          <w:sz w:val="20"/>
          <w:szCs w:val="20"/>
        </w:rPr>
      </w:pPr>
      <w:r w:rsidRPr="00921120">
        <w:rPr>
          <w:rFonts w:ascii="Arial" w:hAnsi="Arial" w:cs="Arial"/>
          <w:color w:val="000000"/>
          <w:sz w:val="20"/>
          <w:szCs w:val="20"/>
        </w:rPr>
        <w:t>Three</w:t>
      </w:r>
      <w:r w:rsidR="00A4421A" w:rsidRPr="00921120">
        <w:rPr>
          <w:rFonts w:ascii="Arial" w:hAnsi="Arial" w:cs="Arial"/>
          <w:color w:val="000000"/>
          <w:sz w:val="20"/>
          <w:szCs w:val="20"/>
        </w:rPr>
        <w:t xml:space="preserve"> cases </w:t>
      </w:r>
      <w:r w:rsidRPr="00921120">
        <w:rPr>
          <w:rFonts w:ascii="Arial" w:hAnsi="Arial" w:cs="Arial"/>
          <w:color w:val="000000"/>
          <w:sz w:val="20"/>
          <w:szCs w:val="20"/>
        </w:rPr>
        <w:t xml:space="preserve">had been </w:t>
      </w:r>
      <w:r w:rsidR="00A4421A" w:rsidRPr="00921120">
        <w:rPr>
          <w:rFonts w:ascii="Arial" w:hAnsi="Arial" w:cs="Arial"/>
          <w:color w:val="000000"/>
          <w:sz w:val="20"/>
          <w:szCs w:val="20"/>
        </w:rPr>
        <w:t xml:space="preserve">taken through the litigation process with the outcome in SARS favour. </w:t>
      </w:r>
    </w:p>
    <w:p w:rsidR="00A4421A" w:rsidRPr="00921120" w:rsidRDefault="00A57F38" w:rsidP="00921120">
      <w:pPr>
        <w:pStyle w:val="ListParagraph"/>
        <w:numPr>
          <w:ilvl w:val="0"/>
          <w:numId w:val="20"/>
        </w:numPr>
        <w:autoSpaceDE w:val="0"/>
        <w:autoSpaceDN w:val="0"/>
        <w:adjustRightInd w:val="0"/>
        <w:spacing w:line="240" w:lineRule="auto"/>
        <w:jc w:val="left"/>
        <w:rPr>
          <w:rFonts w:ascii="Arial" w:hAnsi="Arial" w:cs="Arial"/>
          <w:color w:val="000000"/>
          <w:sz w:val="20"/>
          <w:szCs w:val="20"/>
        </w:rPr>
      </w:pPr>
      <w:r w:rsidRPr="00921120">
        <w:rPr>
          <w:rFonts w:ascii="Arial" w:hAnsi="Arial" w:cs="Arial"/>
          <w:color w:val="000000"/>
          <w:sz w:val="20"/>
          <w:szCs w:val="20"/>
        </w:rPr>
        <w:t>In eight</w:t>
      </w:r>
      <w:r w:rsidR="00A4421A" w:rsidRPr="00921120">
        <w:rPr>
          <w:rFonts w:ascii="Arial" w:hAnsi="Arial" w:cs="Arial"/>
          <w:color w:val="000000"/>
          <w:sz w:val="20"/>
          <w:szCs w:val="20"/>
        </w:rPr>
        <w:t xml:space="preserve"> cases</w:t>
      </w:r>
      <w:r w:rsidRPr="00921120">
        <w:rPr>
          <w:rFonts w:ascii="Arial" w:hAnsi="Arial" w:cs="Arial"/>
          <w:color w:val="000000"/>
          <w:sz w:val="20"/>
          <w:szCs w:val="20"/>
        </w:rPr>
        <w:t>,</w:t>
      </w:r>
      <w:r w:rsidR="00A4421A" w:rsidRPr="00921120">
        <w:rPr>
          <w:rFonts w:ascii="Arial" w:hAnsi="Arial" w:cs="Arial"/>
          <w:color w:val="000000"/>
          <w:sz w:val="20"/>
          <w:szCs w:val="20"/>
        </w:rPr>
        <w:t xml:space="preserve"> licen</w:t>
      </w:r>
      <w:r w:rsidRPr="00921120">
        <w:rPr>
          <w:rFonts w:ascii="Arial" w:hAnsi="Arial" w:cs="Arial"/>
          <w:color w:val="000000"/>
          <w:sz w:val="20"/>
          <w:szCs w:val="20"/>
        </w:rPr>
        <w:t>c</w:t>
      </w:r>
      <w:r w:rsidR="00A4421A" w:rsidRPr="00921120">
        <w:rPr>
          <w:rFonts w:ascii="Arial" w:hAnsi="Arial" w:cs="Arial"/>
          <w:color w:val="000000"/>
          <w:sz w:val="20"/>
          <w:szCs w:val="20"/>
        </w:rPr>
        <w:t xml:space="preserve">es of traders </w:t>
      </w:r>
      <w:r w:rsidRPr="00921120">
        <w:rPr>
          <w:rFonts w:ascii="Arial" w:hAnsi="Arial" w:cs="Arial"/>
          <w:color w:val="000000"/>
          <w:sz w:val="20"/>
          <w:szCs w:val="20"/>
        </w:rPr>
        <w:t xml:space="preserve">had </w:t>
      </w:r>
      <w:r w:rsidR="00A4421A" w:rsidRPr="00921120">
        <w:rPr>
          <w:rFonts w:ascii="Arial" w:hAnsi="Arial" w:cs="Arial"/>
          <w:color w:val="000000"/>
          <w:sz w:val="20"/>
          <w:szCs w:val="20"/>
        </w:rPr>
        <w:t xml:space="preserve">either </w:t>
      </w:r>
      <w:r w:rsidRPr="00921120">
        <w:rPr>
          <w:rFonts w:ascii="Arial" w:hAnsi="Arial" w:cs="Arial"/>
          <w:color w:val="000000"/>
          <w:sz w:val="20"/>
          <w:szCs w:val="20"/>
        </w:rPr>
        <w:t xml:space="preserve">been </w:t>
      </w:r>
      <w:r w:rsidR="00A4421A" w:rsidRPr="00921120">
        <w:rPr>
          <w:rFonts w:ascii="Arial" w:hAnsi="Arial" w:cs="Arial"/>
          <w:color w:val="000000"/>
          <w:sz w:val="20"/>
          <w:szCs w:val="20"/>
        </w:rPr>
        <w:t xml:space="preserve">cancelled or suspended because of respective traders’ non-compliance with the Customs </w:t>
      </w:r>
      <w:r w:rsidRPr="00921120">
        <w:rPr>
          <w:rFonts w:ascii="Arial" w:hAnsi="Arial" w:cs="Arial"/>
          <w:color w:val="000000"/>
          <w:sz w:val="20"/>
          <w:szCs w:val="20"/>
        </w:rPr>
        <w:t>and</w:t>
      </w:r>
      <w:r w:rsidR="00A4421A" w:rsidRPr="00921120">
        <w:rPr>
          <w:rFonts w:ascii="Arial" w:hAnsi="Arial" w:cs="Arial"/>
          <w:color w:val="000000"/>
          <w:sz w:val="20"/>
          <w:szCs w:val="20"/>
        </w:rPr>
        <w:t xml:space="preserve"> Excise Act</w:t>
      </w:r>
      <w:r w:rsidR="009314CA" w:rsidRPr="00921120">
        <w:rPr>
          <w:rFonts w:ascii="Arial" w:hAnsi="Arial" w:cs="Arial"/>
          <w:color w:val="000000"/>
          <w:sz w:val="20"/>
          <w:szCs w:val="20"/>
        </w:rPr>
        <w:t xml:space="preserve"> (Act No. </w:t>
      </w:r>
      <w:r w:rsidR="006403A3" w:rsidRPr="00921120">
        <w:rPr>
          <w:rFonts w:ascii="Arial" w:hAnsi="Arial" w:cs="Arial"/>
          <w:color w:val="000000"/>
          <w:sz w:val="20"/>
          <w:szCs w:val="20"/>
        </w:rPr>
        <w:t xml:space="preserve">91 </w:t>
      </w:r>
      <w:r w:rsidR="009314CA" w:rsidRPr="00921120">
        <w:rPr>
          <w:rFonts w:ascii="Arial" w:hAnsi="Arial" w:cs="Arial"/>
          <w:color w:val="000000"/>
          <w:sz w:val="20"/>
          <w:szCs w:val="20"/>
        </w:rPr>
        <w:t xml:space="preserve">of </w:t>
      </w:r>
      <w:r w:rsidR="006403A3" w:rsidRPr="00921120">
        <w:rPr>
          <w:rFonts w:ascii="Arial" w:hAnsi="Arial" w:cs="Arial"/>
          <w:color w:val="000000"/>
          <w:sz w:val="20"/>
          <w:szCs w:val="20"/>
        </w:rPr>
        <w:t>1964</w:t>
      </w:r>
      <w:r w:rsidR="009314CA" w:rsidRPr="00921120">
        <w:rPr>
          <w:rFonts w:ascii="Arial" w:hAnsi="Arial" w:cs="Arial"/>
          <w:color w:val="000000"/>
          <w:sz w:val="20"/>
          <w:szCs w:val="20"/>
        </w:rPr>
        <w:t>)</w:t>
      </w:r>
      <w:r w:rsidR="00A4421A" w:rsidRPr="00921120">
        <w:rPr>
          <w:rFonts w:ascii="Arial" w:hAnsi="Arial" w:cs="Arial"/>
          <w:color w:val="000000"/>
          <w:sz w:val="20"/>
          <w:szCs w:val="20"/>
        </w:rPr>
        <w:t xml:space="preserve">. </w:t>
      </w:r>
    </w:p>
    <w:p w:rsidR="00A4421A" w:rsidRPr="00921120" w:rsidRDefault="00A4421A" w:rsidP="00921120">
      <w:pPr>
        <w:autoSpaceDE w:val="0"/>
        <w:autoSpaceDN w:val="0"/>
        <w:adjustRightInd w:val="0"/>
        <w:spacing w:line="240" w:lineRule="auto"/>
        <w:jc w:val="left"/>
        <w:rPr>
          <w:rFonts w:ascii="Arial" w:hAnsi="Arial" w:cs="Arial"/>
          <w:color w:val="000000"/>
          <w:sz w:val="20"/>
          <w:szCs w:val="20"/>
        </w:rPr>
      </w:pPr>
    </w:p>
    <w:p w:rsidR="00A4421A" w:rsidRPr="00921120" w:rsidRDefault="00A4421A" w:rsidP="00921120">
      <w:pPr>
        <w:autoSpaceDE w:val="0"/>
        <w:autoSpaceDN w:val="0"/>
        <w:adjustRightInd w:val="0"/>
        <w:spacing w:line="240" w:lineRule="auto"/>
        <w:jc w:val="left"/>
        <w:rPr>
          <w:rFonts w:ascii="Arial" w:hAnsi="Arial" w:cs="Arial"/>
          <w:color w:val="000000"/>
          <w:sz w:val="20"/>
          <w:szCs w:val="20"/>
        </w:rPr>
      </w:pPr>
      <w:r w:rsidRPr="00921120">
        <w:rPr>
          <w:rFonts w:ascii="Arial" w:hAnsi="Arial" w:cs="Arial"/>
          <w:color w:val="000000"/>
          <w:sz w:val="20"/>
          <w:szCs w:val="20"/>
        </w:rPr>
        <w:t>Noteworthy, as highlighted in SARS</w:t>
      </w:r>
      <w:r w:rsidR="00AE1860" w:rsidRPr="00921120">
        <w:rPr>
          <w:rFonts w:ascii="Arial" w:hAnsi="Arial" w:cs="Arial"/>
          <w:color w:val="000000"/>
          <w:sz w:val="20"/>
          <w:szCs w:val="20"/>
        </w:rPr>
        <w:t>’</w:t>
      </w:r>
      <w:r w:rsidRPr="00921120">
        <w:rPr>
          <w:rFonts w:ascii="Arial" w:hAnsi="Arial" w:cs="Arial"/>
          <w:color w:val="000000"/>
          <w:sz w:val="20"/>
          <w:szCs w:val="20"/>
        </w:rPr>
        <w:t xml:space="preserve"> </w:t>
      </w:r>
      <w:r w:rsidR="00AE1860" w:rsidRPr="00921120">
        <w:rPr>
          <w:rFonts w:ascii="Arial" w:hAnsi="Arial" w:cs="Arial"/>
          <w:color w:val="000000"/>
          <w:sz w:val="20"/>
          <w:szCs w:val="20"/>
        </w:rPr>
        <w:t xml:space="preserve">2021/22 </w:t>
      </w:r>
      <w:r w:rsidRPr="00921120">
        <w:rPr>
          <w:rFonts w:ascii="Arial" w:hAnsi="Arial" w:cs="Arial"/>
          <w:color w:val="000000"/>
          <w:sz w:val="20"/>
          <w:szCs w:val="20"/>
        </w:rPr>
        <w:t xml:space="preserve">Annual Report, SARS </w:t>
      </w:r>
      <w:r w:rsidR="00AE1860" w:rsidRPr="00921120">
        <w:rPr>
          <w:rFonts w:ascii="Arial" w:hAnsi="Arial" w:cs="Arial"/>
          <w:color w:val="000000"/>
          <w:sz w:val="20"/>
          <w:szCs w:val="20"/>
        </w:rPr>
        <w:t xml:space="preserve">had </w:t>
      </w:r>
      <w:r w:rsidRPr="00921120">
        <w:rPr>
          <w:rFonts w:ascii="Arial" w:hAnsi="Arial" w:cs="Arial"/>
          <w:color w:val="000000"/>
          <w:sz w:val="20"/>
          <w:szCs w:val="20"/>
        </w:rPr>
        <w:t xml:space="preserve">achieved </w:t>
      </w:r>
      <w:r w:rsidR="009314CA" w:rsidRPr="00921120">
        <w:rPr>
          <w:rFonts w:ascii="Arial" w:hAnsi="Arial" w:cs="Arial"/>
          <w:color w:val="000000"/>
          <w:sz w:val="20"/>
          <w:szCs w:val="20"/>
        </w:rPr>
        <w:t xml:space="preserve">a </w:t>
      </w:r>
      <w:r w:rsidRPr="00921120">
        <w:rPr>
          <w:rFonts w:ascii="Arial" w:hAnsi="Arial" w:cs="Arial"/>
          <w:color w:val="000000"/>
          <w:sz w:val="20"/>
          <w:szCs w:val="20"/>
        </w:rPr>
        <w:t>97,7</w:t>
      </w:r>
      <w:r w:rsidR="00AC0EDA" w:rsidRPr="00921120">
        <w:rPr>
          <w:rFonts w:ascii="Arial" w:hAnsi="Arial" w:cs="Arial"/>
          <w:color w:val="000000"/>
          <w:sz w:val="20"/>
          <w:szCs w:val="20"/>
        </w:rPr>
        <w:t>%</w:t>
      </w:r>
      <w:r w:rsidRPr="00921120">
        <w:rPr>
          <w:rFonts w:ascii="Arial" w:hAnsi="Arial" w:cs="Arial"/>
          <w:color w:val="000000"/>
          <w:sz w:val="20"/>
          <w:szCs w:val="20"/>
        </w:rPr>
        <w:t xml:space="preserve"> success rate in the number of cases </w:t>
      </w:r>
      <w:r w:rsidR="00AE1860" w:rsidRPr="00921120">
        <w:rPr>
          <w:rFonts w:ascii="Arial" w:hAnsi="Arial" w:cs="Arial"/>
          <w:color w:val="000000"/>
          <w:sz w:val="20"/>
          <w:szCs w:val="20"/>
        </w:rPr>
        <w:t xml:space="preserve">it had taken </w:t>
      </w:r>
      <w:r w:rsidRPr="00921120">
        <w:rPr>
          <w:rFonts w:ascii="Arial" w:hAnsi="Arial" w:cs="Arial"/>
          <w:color w:val="000000"/>
          <w:sz w:val="20"/>
          <w:szCs w:val="20"/>
        </w:rPr>
        <w:t>to court (via the NPA) for prosecution across all tax types and duties administered by SARS.</w:t>
      </w:r>
    </w:p>
    <w:p w:rsidR="00A4421A" w:rsidRPr="00921120" w:rsidRDefault="00A4421A" w:rsidP="00921120">
      <w:pPr>
        <w:autoSpaceDE w:val="0"/>
        <w:autoSpaceDN w:val="0"/>
        <w:adjustRightInd w:val="0"/>
        <w:spacing w:line="240" w:lineRule="auto"/>
        <w:jc w:val="left"/>
        <w:rPr>
          <w:rFonts w:ascii="Arial" w:hAnsi="Arial" w:cs="Arial"/>
          <w:color w:val="000000"/>
          <w:sz w:val="20"/>
          <w:szCs w:val="20"/>
        </w:rPr>
      </w:pPr>
    </w:p>
    <w:p w:rsidR="00A4421A" w:rsidRPr="00921120" w:rsidRDefault="00A4421A" w:rsidP="00921120">
      <w:pPr>
        <w:pStyle w:val="Heading3"/>
        <w:spacing w:line="240" w:lineRule="auto"/>
        <w:jc w:val="left"/>
        <w:rPr>
          <w:rFonts w:ascii="Arial" w:hAnsi="Arial" w:cs="Arial"/>
          <w:sz w:val="20"/>
          <w:szCs w:val="20"/>
        </w:rPr>
      </w:pPr>
      <w:r w:rsidRPr="00921120">
        <w:rPr>
          <w:rFonts w:ascii="Arial" w:hAnsi="Arial" w:cs="Arial"/>
          <w:sz w:val="20"/>
          <w:szCs w:val="20"/>
        </w:rPr>
        <w:t xml:space="preserve">Education and </w:t>
      </w:r>
      <w:r w:rsidR="00B939A1" w:rsidRPr="00921120">
        <w:rPr>
          <w:rFonts w:ascii="Arial" w:hAnsi="Arial" w:cs="Arial"/>
          <w:sz w:val="20"/>
          <w:szCs w:val="20"/>
        </w:rPr>
        <w:t>A</w:t>
      </w:r>
      <w:r w:rsidRPr="00921120">
        <w:rPr>
          <w:rFonts w:ascii="Arial" w:hAnsi="Arial" w:cs="Arial"/>
          <w:sz w:val="20"/>
          <w:szCs w:val="20"/>
        </w:rPr>
        <w:t xml:space="preserve">wareness </w:t>
      </w:r>
      <w:r w:rsidR="00B939A1" w:rsidRPr="00921120">
        <w:rPr>
          <w:rFonts w:ascii="Arial" w:hAnsi="Arial" w:cs="Arial"/>
          <w:sz w:val="20"/>
          <w:szCs w:val="20"/>
        </w:rPr>
        <w:t>P</w:t>
      </w:r>
      <w:r w:rsidRPr="00921120">
        <w:rPr>
          <w:rFonts w:ascii="Arial" w:hAnsi="Arial" w:cs="Arial"/>
          <w:sz w:val="20"/>
          <w:szCs w:val="20"/>
        </w:rPr>
        <w:t xml:space="preserve">rogrammes to </w:t>
      </w:r>
      <w:r w:rsidR="00B939A1" w:rsidRPr="00921120">
        <w:rPr>
          <w:rFonts w:ascii="Arial" w:hAnsi="Arial" w:cs="Arial"/>
          <w:sz w:val="20"/>
          <w:szCs w:val="20"/>
        </w:rPr>
        <w:t>R</w:t>
      </w:r>
      <w:r w:rsidRPr="00921120">
        <w:rPr>
          <w:rFonts w:ascii="Arial" w:hAnsi="Arial" w:cs="Arial"/>
          <w:sz w:val="20"/>
          <w:szCs w:val="20"/>
        </w:rPr>
        <w:t xml:space="preserve">educe </w:t>
      </w:r>
      <w:r w:rsidR="00B939A1" w:rsidRPr="00921120">
        <w:rPr>
          <w:rFonts w:ascii="Arial" w:hAnsi="Arial" w:cs="Arial"/>
          <w:sz w:val="20"/>
          <w:szCs w:val="20"/>
        </w:rPr>
        <w:t>I</w:t>
      </w:r>
      <w:r w:rsidRPr="00921120">
        <w:rPr>
          <w:rFonts w:ascii="Arial" w:hAnsi="Arial" w:cs="Arial"/>
          <w:sz w:val="20"/>
          <w:szCs w:val="20"/>
        </w:rPr>
        <w:t xml:space="preserve">llicit </w:t>
      </w:r>
      <w:r w:rsidR="00B939A1" w:rsidRPr="00921120">
        <w:rPr>
          <w:rFonts w:ascii="Arial" w:hAnsi="Arial" w:cs="Arial"/>
          <w:sz w:val="20"/>
          <w:szCs w:val="20"/>
        </w:rPr>
        <w:t>T</w:t>
      </w:r>
      <w:r w:rsidRPr="00921120">
        <w:rPr>
          <w:rFonts w:ascii="Arial" w:hAnsi="Arial" w:cs="Arial"/>
          <w:sz w:val="20"/>
          <w:szCs w:val="20"/>
        </w:rPr>
        <w:t>rade</w:t>
      </w:r>
    </w:p>
    <w:p w:rsidR="00CB7142" w:rsidRPr="00921120" w:rsidRDefault="00CB7142" w:rsidP="00921120">
      <w:pPr>
        <w:autoSpaceDE w:val="0"/>
        <w:autoSpaceDN w:val="0"/>
        <w:adjustRightInd w:val="0"/>
        <w:spacing w:line="240" w:lineRule="auto"/>
        <w:jc w:val="left"/>
        <w:rPr>
          <w:rFonts w:ascii="Arial" w:hAnsi="Arial" w:cs="Arial"/>
          <w:iCs/>
          <w:color w:val="000000"/>
          <w:sz w:val="20"/>
          <w:szCs w:val="20"/>
        </w:rPr>
      </w:pPr>
      <w:r w:rsidRPr="00921120">
        <w:rPr>
          <w:rFonts w:ascii="Arial" w:hAnsi="Arial" w:cs="Arial"/>
          <w:iCs/>
          <w:color w:val="000000"/>
          <w:sz w:val="20"/>
          <w:szCs w:val="20"/>
        </w:rPr>
        <w:t>Communities around border areas within the country could play a critical role in combatting illicit trade and act as a first defence against illicit trade.</w:t>
      </w:r>
      <w:r w:rsidRPr="00921120">
        <w:rPr>
          <w:rFonts w:ascii="Arial" w:hAnsi="Arial" w:cs="Arial"/>
          <w:i/>
          <w:iCs/>
          <w:color w:val="000000"/>
          <w:sz w:val="20"/>
          <w:szCs w:val="20"/>
        </w:rPr>
        <w:t xml:space="preserve"> </w:t>
      </w:r>
      <w:r w:rsidRPr="00921120">
        <w:rPr>
          <w:rFonts w:ascii="Arial" w:hAnsi="Arial" w:cs="Arial"/>
          <w:iCs/>
          <w:color w:val="000000"/>
          <w:sz w:val="20"/>
          <w:szCs w:val="20"/>
        </w:rPr>
        <w:t>Therefore, i</w:t>
      </w:r>
      <w:r w:rsidR="00A4421A" w:rsidRPr="00921120">
        <w:rPr>
          <w:rFonts w:ascii="Arial" w:hAnsi="Arial" w:cs="Arial"/>
          <w:iCs/>
          <w:color w:val="000000"/>
          <w:sz w:val="20"/>
          <w:szCs w:val="20"/>
        </w:rPr>
        <w:t>nvestment in education and awareness programmes</w:t>
      </w:r>
      <w:r w:rsidRPr="00921120">
        <w:rPr>
          <w:rFonts w:ascii="Arial" w:hAnsi="Arial" w:cs="Arial"/>
          <w:iCs/>
          <w:color w:val="000000"/>
          <w:sz w:val="20"/>
          <w:szCs w:val="20"/>
        </w:rPr>
        <w:t>,</w:t>
      </w:r>
      <w:r w:rsidR="00A4421A" w:rsidRPr="00921120">
        <w:rPr>
          <w:rFonts w:ascii="Arial" w:hAnsi="Arial" w:cs="Arial"/>
          <w:iCs/>
          <w:color w:val="000000"/>
          <w:sz w:val="20"/>
          <w:szCs w:val="20"/>
        </w:rPr>
        <w:t xml:space="preserve"> especially among </w:t>
      </w:r>
      <w:r w:rsidRPr="00921120">
        <w:rPr>
          <w:rFonts w:ascii="Arial" w:hAnsi="Arial" w:cs="Arial"/>
          <w:iCs/>
          <w:color w:val="000000"/>
          <w:sz w:val="20"/>
          <w:szCs w:val="20"/>
        </w:rPr>
        <w:t xml:space="preserve">these </w:t>
      </w:r>
      <w:r w:rsidR="00A4421A" w:rsidRPr="00921120">
        <w:rPr>
          <w:rFonts w:ascii="Arial" w:hAnsi="Arial" w:cs="Arial"/>
          <w:iCs/>
          <w:color w:val="000000"/>
          <w:sz w:val="20"/>
          <w:szCs w:val="20"/>
        </w:rPr>
        <w:t>communities</w:t>
      </w:r>
      <w:r w:rsidRPr="00921120">
        <w:rPr>
          <w:rFonts w:ascii="Arial" w:hAnsi="Arial" w:cs="Arial"/>
          <w:iCs/>
          <w:color w:val="000000"/>
          <w:sz w:val="20"/>
          <w:szCs w:val="20"/>
        </w:rPr>
        <w:t>,</w:t>
      </w:r>
      <w:r w:rsidR="00A4421A" w:rsidRPr="00921120">
        <w:rPr>
          <w:rFonts w:ascii="Arial" w:hAnsi="Arial" w:cs="Arial"/>
          <w:iCs/>
          <w:color w:val="000000"/>
          <w:sz w:val="20"/>
          <w:szCs w:val="20"/>
        </w:rPr>
        <w:t xml:space="preserve"> about the risk</w:t>
      </w:r>
      <w:r w:rsidRPr="00921120">
        <w:rPr>
          <w:rFonts w:ascii="Arial" w:hAnsi="Arial" w:cs="Arial"/>
          <w:iCs/>
          <w:color w:val="000000"/>
          <w:sz w:val="20"/>
          <w:szCs w:val="20"/>
        </w:rPr>
        <w:t>s</w:t>
      </w:r>
      <w:r w:rsidR="00A4421A" w:rsidRPr="00921120">
        <w:rPr>
          <w:rFonts w:ascii="Arial" w:hAnsi="Arial" w:cs="Arial"/>
          <w:iCs/>
          <w:color w:val="000000"/>
          <w:sz w:val="20"/>
          <w:szCs w:val="20"/>
        </w:rPr>
        <w:t xml:space="preserve"> associated with </w:t>
      </w:r>
      <w:r w:rsidRPr="00921120">
        <w:rPr>
          <w:rFonts w:ascii="Arial" w:hAnsi="Arial" w:cs="Arial"/>
          <w:iCs/>
          <w:color w:val="000000"/>
          <w:sz w:val="20"/>
          <w:szCs w:val="20"/>
        </w:rPr>
        <w:t xml:space="preserve">participating in and facilitating </w:t>
      </w:r>
      <w:r w:rsidR="00A4421A" w:rsidRPr="00921120">
        <w:rPr>
          <w:rFonts w:ascii="Arial" w:hAnsi="Arial" w:cs="Arial"/>
          <w:iCs/>
          <w:color w:val="000000"/>
          <w:sz w:val="20"/>
          <w:szCs w:val="20"/>
        </w:rPr>
        <w:t xml:space="preserve">illicit trade and its impact on the broader economy </w:t>
      </w:r>
      <w:r w:rsidR="00C73C26" w:rsidRPr="00921120">
        <w:rPr>
          <w:rFonts w:ascii="Arial" w:hAnsi="Arial" w:cs="Arial"/>
          <w:iCs/>
          <w:color w:val="000000"/>
          <w:sz w:val="20"/>
          <w:szCs w:val="20"/>
        </w:rPr>
        <w:t xml:space="preserve">could be a </w:t>
      </w:r>
      <w:r w:rsidR="00A4421A" w:rsidRPr="00921120">
        <w:rPr>
          <w:rFonts w:ascii="Arial" w:hAnsi="Arial" w:cs="Arial"/>
          <w:iCs/>
          <w:color w:val="000000"/>
          <w:sz w:val="20"/>
          <w:szCs w:val="20"/>
        </w:rPr>
        <w:t xml:space="preserve">critical tool to combat illicit trade. </w:t>
      </w:r>
      <w:r w:rsidRPr="00921120">
        <w:rPr>
          <w:rFonts w:ascii="Arial" w:hAnsi="Arial" w:cs="Arial"/>
          <w:iCs/>
          <w:color w:val="000000"/>
          <w:sz w:val="20"/>
          <w:szCs w:val="20"/>
        </w:rPr>
        <w:t xml:space="preserve">The Committee enquired what education and awareness programmes the SARS had embarked on in relation to illicit trade, and whether any of these were targeted at these communities. </w:t>
      </w:r>
    </w:p>
    <w:p w:rsidR="00CB7142" w:rsidRPr="00921120" w:rsidRDefault="00CB7142" w:rsidP="00921120">
      <w:pPr>
        <w:autoSpaceDE w:val="0"/>
        <w:autoSpaceDN w:val="0"/>
        <w:adjustRightInd w:val="0"/>
        <w:spacing w:line="240" w:lineRule="auto"/>
        <w:jc w:val="left"/>
        <w:rPr>
          <w:rFonts w:ascii="Arial" w:hAnsi="Arial" w:cs="Arial"/>
          <w:iCs/>
          <w:color w:val="000000"/>
          <w:sz w:val="20"/>
          <w:szCs w:val="20"/>
        </w:rPr>
      </w:pPr>
    </w:p>
    <w:p w:rsidR="00A4421A" w:rsidRPr="00921120" w:rsidRDefault="00A4421A" w:rsidP="00921120">
      <w:pPr>
        <w:autoSpaceDE w:val="0"/>
        <w:autoSpaceDN w:val="0"/>
        <w:adjustRightInd w:val="0"/>
        <w:spacing w:line="240" w:lineRule="auto"/>
        <w:jc w:val="left"/>
        <w:rPr>
          <w:rFonts w:ascii="Arial" w:hAnsi="Arial" w:cs="Arial"/>
          <w:color w:val="000000"/>
          <w:sz w:val="20"/>
          <w:szCs w:val="20"/>
        </w:rPr>
      </w:pPr>
      <w:r w:rsidRPr="00921120">
        <w:rPr>
          <w:rFonts w:ascii="Arial" w:hAnsi="Arial" w:cs="Arial"/>
          <w:color w:val="000000"/>
          <w:sz w:val="20"/>
          <w:szCs w:val="20"/>
        </w:rPr>
        <w:t>SARS informed the Committee that it ha</w:t>
      </w:r>
      <w:r w:rsidR="00CB7142" w:rsidRPr="00921120">
        <w:rPr>
          <w:rFonts w:ascii="Arial" w:hAnsi="Arial" w:cs="Arial"/>
          <w:color w:val="000000"/>
          <w:sz w:val="20"/>
          <w:szCs w:val="20"/>
        </w:rPr>
        <w:t>d</w:t>
      </w:r>
      <w:r w:rsidRPr="00921120">
        <w:rPr>
          <w:rFonts w:ascii="Arial" w:hAnsi="Arial" w:cs="Arial"/>
          <w:color w:val="000000"/>
          <w:sz w:val="20"/>
          <w:szCs w:val="20"/>
        </w:rPr>
        <w:t xml:space="preserve"> established the Taxpayer and Trader Education </w:t>
      </w:r>
      <w:r w:rsidR="00CB7142" w:rsidRPr="00921120">
        <w:rPr>
          <w:rFonts w:ascii="Arial" w:hAnsi="Arial" w:cs="Arial"/>
          <w:color w:val="000000"/>
          <w:sz w:val="20"/>
          <w:szCs w:val="20"/>
        </w:rPr>
        <w:t>D</w:t>
      </w:r>
      <w:r w:rsidRPr="00921120">
        <w:rPr>
          <w:rFonts w:ascii="Arial" w:hAnsi="Arial" w:cs="Arial"/>
          <w:color w:val="000000"/>
          <w:sz w:val="20"/>
          <w:szCs w:val="20"/>
        </w:rPr>
        <w:t>ivision that drives this objective through the application of behavioural science, advanced research and knowledge management initiatives – that include surveys, outreach program</w:t>
      </w:r>
      <w:r w:rsidR="00C73C26" w:rsidRPr="00921120">
        <w:rPr>
          <w:rFonts w:ascii="Arial" w:hAnsi="Arial" w:cs="Arial"/>
          <w:color w:val="000000"/>
          <w:sz w:val="20"/>
          <w:szCs w:val="20"/>
        </w:rPr>
        <w:t>me</w:t>
      </w:r>
      <w:r w:rsidRPr="00921120">
        <w:rPr>
          <w:rFonts w:ascii="Arial" w:hAnsi="Arial" w:cs="Arial"/>
          <w:color w:val="000000"/>
          <w:sz w:val="20"/>
          <w:szCs w:val="20"/>
        </w:rPr>
        <w:t xml:space="preserve">s, webinars, </w:t>
      </w:r>
      <w:r w:rsidRPr="00921120">
        <w:rPr>
          <w:rFonts w:ascii="Arial" w:hAnsi="Arial" w:cs="Arial"/>
          <w:color w:val="000000"/>
          <w:sz w:val="20"/>
          <w:szCs w:val="20"/>
        </w:rPr>
        <w:lastRenderedPageBreak/>
        <w:t xml:space="preserve">workshops, and educational products. </w:t>
      </w:r>
      <w:r w:rsidR="00CB7142" w:rsidRPr="00921120">
        <w:rPr>
          <w:rFonts w:ascii="Arial" w:hAnsi="Arial" w:cs="Arial"/>
          <w:color w:val="000000"/>
          <w:sz w:val="20"/>
          <w:szCs w:val="20"/>
        </w:rPr>
        <w:t xml:space="preserve">In </w:t>
      </w:r>
      <w:r w:rsidRPr="00921120">
        <w:rPr>
          <w:rFonts w:ascii="Arial" w:hAnsi="Arial" w:cs="Arial"/>
          <w:color w:val="000000"/>
          <w:sz w:val="20"/>
          <w:szCs w:val="20"/>
        </w:rPr>
        <w:t xml:space="preserve">relation to creating public awareness </w:t>
      </w:r>
      <w:r w:rsidR="00CB7142" w:rsidRPr="00921120">
        <w:rPr>
          <w:rFonts w:ascii="Arial" w:hAnsi="Arial" w:cs="Arial"/>
          <w:color w:val="000000"/>
          <w:sz w:val="20"/>
          <w:szCs w:val="20"/>
        </w:rPr>
        <w:t xml:space="preserve">around </w:t>
      </w:r>
      <w:r w:rsidRPr="00921120">
        <w:rPr>
          <w:rFonts w:ascii="Arial" w:hAnsi="Arial" w:cs="Arial"/>
          <w:color w:val="000000"/>
          <w:sz w:val="20"/>
          <w:szCs w:val="20"/>
        </w:rPr>
        <w:t xml:space="preserve">illicit trade, this past year SARS sought to provide clarity by hosting a webinar via the SARS TV channel on the subject of the economic impact of illicit trade. The audience </w:t>
      </w:r>
      <w:r w:rsidR="00CB7142" w:rsidRPr="00921120">
        <w:rPr>
          <w:rFonts w:ascii="Arial" w:hAnsi="Arial" w:cs="Arial"/>
          <w:color w:val="000000"/>
          <w:sz w:val="20"/>
          <w:szCs w:val="20"/>
        </w:rPr>
        <w:t xml:space="preserve">was </w:t>
      </w:r>
      <w:r w:rsidRPr="00921120">
        <w:rPr>
          <w:rFonts w:ascii="Arial" w:hAnsi="Arial" w:cs="Arial"/>
          <w:color w:val="000000"/>
          <w:sz w:val="20"/>
          <w:szCs w:val="20"/>
        </w:rPr>
        <w:t>main</w:t>
      </w:r>
      <w:r w:rsidR="00CB7142" w:rsidRPr="00921120">
        <w:rPr>
          <w:rFonts w:ascii="Arial" w:hAnsi="Arial" w:cs="Arial"/>
          <w:color w:val="000000"/>
          <w:sz w:val="20"/>
          <w:szCs w:val="20"/>
        </w:rPr>
        <w:t xml:space="preserve">ly stakeholders from </w:t>
      </w:r>
      <w:r w:rsidRPr="00921120">
        <w:rPr>
          <w:rFonts w:ascii="Arial" w:hAnsi="Arial" w:cs="Arial"/>
          <w:color w:val="000000"/>
          <w:sz w:val="20"/>
          <w:szCs w:val="20"/>
        </w:rPr>
        <w:t>the broader trad</w:t>
      </w:r>
      <w:r w:rsidR="00CB7142" w:rsidRPr="00921120">
        <w:rPr>
          <w:rFonts w:ascii="Arial" w:hAnsi="Arial" w:cs="Arial"/>
          <w:color w:val="000000"/>
          <w:sz w:val="20"/>
          <w:szCs w:val="20"/>
        </w:rPr>
        <w:t>ing</w:t>
      </w:r>
      <w:r w:rsidRPr="00921120">
        <w:rPr>
          <w:rFonts w:ascii="Arial" w:hAnsi="Arial" w:cs="Arial"/>
          <w:color w:val="000000"/>
          <w:sz w:val="20"/>
          <w:szCs w:val="20"/>
        </w:rPr>
        <w:t xml:space="preserve"> industry. The webinar was well received </w:t>
      </w:r>
      <w:r w:rsidR="00CB7142" w:rsidRPr="00921120">
        <w:rPr>
          <w:rFonts w:ascii="Arial" w:hAnsi="Arial" w:cs="Arial"/>
          <w:color w:val="000000"/>
          <w:sz w:val="20"/>
          <w:szCs w:val="20"/>
        </w:rPr>
        <w:t xml:space="preserve">based on </w:t>
      </w:r>
      <w:r w:rsidRPr="00921120">
        <w:rPr>
          <w:rFonts w:ascii="Arial" w:hAnsi="Arial" w:cs="Arial"/>
          <w:color w:val="000000"/>
          <w:sz w:val="20"/>
          <w:szCs w:val="20"/>
        </w:rPr>
        <w:t xml:space="preserve">the level of engagement and feedback from the attendees. This webinar is </w:t>
      </w:r>
      <w:r w:rsidR="00CB7142" w:rsidRPr="00921120">
        <w:rPr>
          <w:rFonts w:ascii="Arial" w:hAnsi="Arial" w:cs="Arial"/>
          <w:color w:val="000000"/>
          <w:sz w:val="20"/>
          <w:szCs w:val="20"/>
        </w:rPr>
        <w:t xml:space="preserve">also </w:t>
      </w:r>
      <w:r w:rsidRPr="00921120">
        <w:rPr>
          <w:rFonts w:ascii="Arial" w:hAnsi="Arial" w:cs="Arial"/>
          <w:color w:val="000000"/>
          <w:sz w:val="20"/>
          <w:szCs w:val="20"/>
        </w:rPr>
        <w:t xml:space="preserve">publicly accessible </w:t>
      </w:r>
      <w:r w:rsidR="00CB7142" w:rsidRPr="00921120">
        <w:rPr>
          <w:rFonts w:ascii="Arial" w:hAnsi="Arial" w:cs="Arial"/>
          <w:color w:val="000000"/>
          <w:sz w:val="20"/>
          <w:szCs w:val="20"/>
        </w:rPr>
        <w:t xml:space="preserve">via </w:t>
      </w:r>
      <w:r w:rsidRPr="00921120">
        <w:rPr>
          <w:rFonts w:ascii="Arial" w:hAnsi="Arial" w:cs="Arial"/>
          <w:color w:val="000000"/>
          <w:sz w:val="20"/>
          <w:szCs w:val="20"/>
        </w:rPr>
        <w:t xml:space="preserve">YouTube. </w:t>
      </w:r>
    </w:p>
    <w:p w:rsidR="00A4421A" w:rsidRPr="00921120" w:rsidRDefault="00A4421A" w:rsidP="00921120">
      <w:pPr>
        <w:autoSpaceDE w:val="0"/>
        <w:autoSpaceDN w:val="0"/>
        <w:adjustRightInd w:val="0"/>
        <w:spacing w:line="240" w:lineRule="auto"/>
        <w:jc w:val="left"/>
        <w:rPr>
          <w:rFonts w:ascii="Arial" w:hAnsi="Arial" w:cs="Arial"/>
          <w:color w:val="000000"/>
          <w:sz w:val="20"/>
          <w:szCs w:val="20"/>
        </w:rPr>
      </w:pPr>
    </w:p>
    <w:p w:rsidR="00A4421A" w:rsidRPr="00921120" w:rsidRDefault="00A4421A" w:rsidP="00921120">
      <w:pPr>
        <w:autoSpaceDE w:val="0"/>
        <w:autoSpaceDN w:val="0"/>
        <w:adjustRightInd w:val="0"/>
        <w:spacing w:line="240" w:lineRule="auto"/>
        <w:jc w:val="left"/>
        <w:rPr>
          <w:rFonts w:ascii="Arial" w:hAnsi="Arial" w:cs="Arial"/>
          <w:color w:val="000000"/>
          <w:sz w:val="20"/>
          <w:szCs w:val="20"/>
        </w:rPr>
      </w:pPr>
      <w:r w:rsidRPr="00921120">
        <w:rPr>
          <w:rFonts w:ascii="Arial" w:hAnsi="Arial" w:cs="Arial"/>
          <w:color w:val="000000"/>
          <w:sz w:val="20"/>
          <w:szCs w:val="20"/>
        </w:rPr>
        <w:t>SARS note</w:t>
      </w:r>
      <w:r w:rsidR="00CB7142" w:rsidRPr="00921120">
        <w:rPr>
          <w:rFonts w:ascii="Arial" w:hAnsi="Arial" w:cs="Arial"/>
          <w:color w:val="000000"/>
          <w:sz w:val="20"/>
          <w:szCs w:val="20"/>
        </w:rPr>
        <w:t>d</w:t>
      </w:r>
      <w:r w:rsidRPr="00921120">
        <w:rPr>
          <w:rFonts w:ascii="Arial" w:hAnsi="Arial" w:cs="Arial"/>
          <w:color w:val="000000"/>
          <w:sz w:val="20"/>
          <w:szCs w:val="20"/>
        </w:rPr>
        <w:t xml:space="preserve"> the Committee’s </w:t>
      </w:r>
      <w:r w:rsidR="00CB7142" w:rsidRPr="00921120">
        <w:rPr>
          <w:rFonts w:ascii="Arial" w:hAnsi="Arial" w:cs="Arial"/>
          <w:color w:val="000000"/>
          <w:sz w:val="20"/>
          <w:szCs w:val="20"/>
        </w:rPr>
        <w:t xml:space="preserve">concern regarding a </w:t>
      </w:r>
      <w:r w:rsidRPr="00921120">
        <w:rPr>
          <w:rFonts w:ascii="Arial" w:hAnsi="Arial" w:cs="Arial"/>
          <w:color w:val="000000"/>
          <w:sz w:val="20"/>
          <w:szCs w:val="20"/>
        </w:rPr>
        <w:t xml:space="preserve">targeted education campaign directed towards the associated communities and in the next financial year </w:t>
      </w:r>
      <w:r w:rsidR="00CB7142" w:rsidRPr="00921120">
        <w:rPr>
          <w:rFonts w:ascii="Arial" w:hAnsi="Arial" w:cs="Arial"/>
          <w:color w:val="000000"/>
          <w:sz w:val="20"/>
          <w:szCs w:val="20"/>
        </w:rPr>
        <w:t xml:space="preserve">it </w:t>
      </w:r>
      <w:r w:rsidRPr="00921120">
        <w:rPr>
          <w:rFonts w:ascii="Arial" w:hAnsi="Arial" w:cs="Arial"/>
          <w:color w:val="000000"/>
          <w:sz w:val="20"/>
          <w:szCs w:val="20"/>
        </w:rPr>
        <w:t>w</w:t>
      </w:r>
      <w:r w:rsidR="00CB7142" w:rsidRPr="00921120">
        <w:rPr>
          <w:rFonts w:ascii="Arial" w:hAnsi="Arial" w:cs="Arial"/>
          <w:color w:val="000000"/>
          <w:sz w:val="20"/>
          <w:szCs w:val="20"/>
        </w:rPr>
        <w:t>ould</w:t>
      </w:r>
      <w:r w:rsidRPr="00921120">
        <w:rPr>
          <w:rFonts w:ascii="Arial" w:hAnsi="Arial" w:cs="Arial"/>
          <w:color w:val="000000"/>
          <w:sz w:val="20"/>
          <w:szCs w:val="20"/>
        </w:rPr>
        <w:t xml:space="preserve"> include </w:t>
      </w:r>
      <w:r w:rsidR="00CB7142" w:rsidRPr="00921120">
        <w:rPr>
          <w:rFonts w:ascii="Arial" w:hAnsi="Arial" w:cs="Arial"/>
          <w:color w:val="000000"/>
          <w:sz w:val="20"/>
          <w:szCs w:val="20"/>
        </w:rPr>
        <w:t xml:space="preserve">this </w:t>
      </w:r>
      <w:r w:rsidRPr="00921120">
        <w:rPr>
          <w:rFonts w:ascii="Arial" w:hAnsi="Arial" w:cs="Arial"/>
          <w:color w:val="000000"/>
          <w:sz w:val="20"/>
          <w:szCs w:val="20"/>
        </w:rPr>
        <w:t xml:space="preserve">as part of </w:t>
      </w:r>
      <w:r w:rsidR="00CB7142" w:rsidRPr="00921120">
        <w:rPr>
          <w:rFonts w:ascii="Arial" w:hAnsi="Arial" w:cs="Arial"/>
          <w:color w:val="000000"/>
          <w:sz w:val="20"/>
          <w:szCs w:val="20"/>
        </w:rPr>
        <w:t xml:space="preserve">its </w:t>
      </w:r>
      <w:r w:rsidRPr="00921120">
        <w:rPr>
          <w:rFonts w:ascii="Arial" w:hAnsi="Arial" w:cs="Arial"/>
          <w:color w:val="000000"/>
          <w:sz w:val="20"/>
          <w:szCs w:val="20"/>
        </w:rPr>
        <w:t xml:space="preserve">Taxpayer and Trader Education </w:t>
      </w:r>
      <w:r w:rsidR="00CB7142" w:rsidRPr="00921120">
        <w:rPr>
          <w:rFonts w:ascii="Arial" w:hAnsi="Arial" w:cs="Arial"/>
          <w:color w:val="000000"/>
          <w:sz w:val="20"/>
          <w:szCs w:val="20"/>
        </w:rPr>
        <w:t>P</w:t>
      </w:r>
      <w:r w:rsidRPr="00921120">
        <w:rPr>
          <w:rFonts w:ascii="Arial" w:hAnsi="Arial" w:cs="Arial"/>
          <w:color w:val="000000"/>
          <w:sz w:val="20"/>
          <w:szCs w:val="20"/>
        </w:rPr>
        <w:t>rogram</w:t>
      </w:r>
      <w:r w:rsidR="00CB7142" w:rsidRPr="00921120">
        <w:rPr>
          <w:rFonts w:ascii="Arial" w:hAnsi="Arial" w:cs="Arial"/>
          <w:color w:val="000000"/>
          <w:sz w:val="20"/>
          <w:szCs w:val="20"/>
        </w:rPr>
        <w:t>me</w:t>
      </w:r>
      <w:r w:rsidRPr="00921120">
        <w:rPr>
          <w:rFonts w:ascii="Arial" w:hAnsi="Arial" w:cs="Arial"/>
          <w:color w:val="000000"/>
          <w:sz w:val="20"/>
          <w:szCs w:val="20"/>
        </w:rPr>
        <w:t xml:space="preserve"> activities </w:t>
      </w:r>
      <w:r w:rsidR="00CB7142" w:rsidRPr="00921120">
        <w:rPr>
          <w:rFonts w:ascii="Arial" w:hAnsi="Arial" w:cs="Arial"/>
          <w:color w:val="000000"/>
          <w:sz w:val="20"/>
          <w:szCs w:val="20"/>
        </w:rPr>
        <w:t xml:space="preserve">in </w:t>
      </w:r>
      <w:r w:rsidRPr="00921120">
        <w:rPr>
          <w:rFonts w:ascii="Arial" w:hAnsi="Arial" w:cs="Arial"/>
          <w:color w:val="000000"/>
          <w:sz w:val="20"/>
          <w:szCs w:val="20"/>
        </w:rPr>
        <w:t xml:space="preserve">the following ways: </w:t>
      </w:r>
    </w:p>
    <w:p w:rsidR="00A4421A" w:rsidRPr="00921120" w:rsidRDefault="00A4421A" w:rsidP="00921120">
      <w:pPr>
        <w:pStyle w:val="ListParagraph"/>
        <w:numPr>
          <w:ilvl w:val="0"/>
          <w:numId w:val="19"/>
        </w:numPr>
        <w:autoSpaceDE w:val="0"/>
        <w:autoSpaceDN w:val="0"/>
        <w:adjustRightInd w:val="0"/>
        <w:spacing w:line="240" w:lineRule="auto"/>
        <w:jc w:val="left"/>
        <w:rPr>
          <w:rFonts w:ascii="Arial" w:hAnsi="Arial" w:cs="Arial"/>
          <w:color w:val="000000"/>
          <w:sz w:val="20"/>
          <w:szCs w:val="20"/>
        </w:rPr>
      </w:pPr>
      <w:r w:rsidRPr="00921120">
        <w:rPr>
          <w:rFonts w:ascii="Arial" w:hAnsi="Arial" w:cs="Arial"/>
          <w:color w:val="000000"/>
          <w:sz w:val="20"/>
          <w:szCs w:val="20"/>
        </w:rPr>
        <w:t xml:space="preserve">Focussed interventions would be developed based on research and data in particular areas with </w:t>
      </w:r>
      <w:r w:rsidR="00CB7142" w:rsidRPr="00921120">
        <w:rPr>
          <w:rFonts w:ascii="Arial" w:hAnsi="Arial" w:cs="Arial"/>
          <w:color w:val="000000"/>
          <w:sz w:val="20"/>
          <w:szCs w:val="20"/>
        </w:rPr>
        <w:t xml:space="preserve">a </w:t>
      </w:r>
      <w:r w:rsidRPr="00921120">
        <w:rPr>
          <w:rFonts w:ascii="Arial" w:hAnsi="Arial" w:cs="Arial"/>
          <w:color w:val="000000"/>
          <w:sz w:val="20"/>
          <w:szCs w:val="20"/>
        </w:rPr>
        <w:t xml:space="preserve">high </w:t>
      </w:r>
      <w:r w:rsidR="00CB7142" w:rsidRPr="00921120">
        <w:rPr>
          <w:rFonts w:ascii="Arial" w:hAnsi="Arial" w:cs="Arial"/>
          <w:color w:val="000000"/>
          <w:sz w:val="20"/>
          <w:szCs w:val="20"/>
        </w:rPr>
        <w:t xml:space="preserve">incidence </w:t>
      </w:r>
      <w:r w:rsidRPr="00921120">
        <w:rPr>
          <w:rFonts w:ascii="Arial" w:hAnsi="Arial" w:cs="Arial"/>
          <w:color w:val="000000"/>
          <w:sz w:val="20"/>
          <w:szCs w:val="20"/>
        </w:rPr>
        <w:t xml:space="preserve">of illicit trade. </w:t>
      </w:r>
    </w:p>
    <w:p w:rsidR="00A4421A" w:rsidRPr="00921120" w:rsidRDefault="00A4421A" w:rsidP="00921120">
      <w:pPr>
        <w:pStyle w:val="ListParagraph"/>
        <w:numPr>
          <w:ilvl w:val="0"/>
          <w:numId w:val="19"/>
        </w:numPr>
        <w:autoSpaceDE w:val="0"/>
        <w:autoSpaceDN w:val="0"/>
        <w:adjustRightInd w:val="0"/>
        <w:spacing w:line="240" w:lineRule="auto"/>
        <w:jc w:val="left"/>
        <w:rPr>
          <w:rFonts w:ascii="Arial" w:hAnsi="Arial" w:cs="Arial"/>
          <w:color w:val="000000"/>
          <w:sz w:val="20"/>
          <w:szCs w:val="20"/>
        </w:rPr>
      </w:pPr>
      <w:r w:rsidRPr="00921120">
        <w:rPr>
          <w:rFonts w:ascii="Arial" w:hAnsi="Arial" w:cs="Arial"/>
          <w:color w:val="000000"/>
          <w:sz w:val="20"/>
          <w:szCs w:val="20"/>
        </w:rPr>
        <w:t>Multiple interventions to heighten awareness raising such as webinars; pamphlets; workshops</w:t>
      </w:r>
      <w:r w:rsidR="002B1671" w:rsidRPr="00921120">
        <w:rPr>
          <w:rFonts w:ascii="Arial" w:hAnsi="Arial" w:cs="Arial"/>
          <w:color w:val="000000"/>
          <w:sz w:val="20"/>
          <w:szCs w:val="20"/>
        </w:rPr>
        <w:t>;</w:t>
      </w:r>
      <w:r w:rsidRPr="00921120">
        <w:rPr>
          <w:rFonts w:ascii="Arial" w:hAnsi="Arial" w:cs="Arial"/>
          <w:color w:val="000000"/>
          <w:sz w:val="20"/>
          <w:szCs w:val="20"/>
        </w:rPr>
        <w:t xml:space="preserve"> </w:t>
      </w:r>
      <w:r w:rsidR="00CB7142" w:rsidRPr="00921120">
        <w:rPr>
          <w:rFonts w:ascii="Arial" w:hAnsi="Arial" w:cs="Arial"/>
          <w:color w:val="000000"/>
          <w:sz w:val="20"/>
          <w:szCs w:val="20"/>
        </w:rPr>
        <w:t xml:space="preserve">and a </w:t>
      </w:r>
      <w:r w:rsidRPr="00921120">
        <w:rPr>
          <w:rFonts w:ascii="Arial" w:hAnsi="Arial" w:cs="Arial"/>
          <w:color w:val="000000"/>
          <w:sz w:val="20"/>
          <w:szCs w:val="20"/>
        </w:rPr>
        <w:t xml:space="preserve">media campaign, etc. </w:t>
      </w:r>
    </w:p>
    <w:p w:rsidR="00A4421A" w:rsidRPr="00921120" w:rsidRDefault="00A4421A" w:rsidP="00921120">
      <w:pPr>
        <w:pStyle w:val="ListParagraph"/>
        <w:numPr>
          <w:ilvl w:val="0"/>
          <w:numId w:val="19"/>
        </w:numPr>
        <w:autoSpaceDE w:val="0"/>
        <w:autoSpaceDN w:val="0"/>
        <w:adjustRightInd w:val="0"/>
        <w:spacing w:line="240" w:lineRule="auto"/>
        <w:jc w:val="left"/>
        <w:rPr>
          <w:rFonts w:ascii="Arial" w:hAnsi="Arial" w:cs="Arial"/>
          <w:color w:val="000000"/>
          <w:sz w:val="20"/>
          <w:szCs w:val="20"/>
        </w:rPr>
      </w:pPr>
      <w:r w:rsidRPr="00921120">
        <w:rPr>
          <w:rFonts w:ascii="Arial" w:hAnsi="Arial" w:cs="Arial"/>
          <w:color w:val="000000"/>
          <w:sz w:val="20"/>
          <w:szCs w:val="20"/>
        </w:rPr>
        <w:t xml:space="preserve">Strengthening partnerships with civil society organisations that are interested and affected by illicit trade in the country. </w:t>
      </w:r>
    </w:p>
    <w:p w:rsidR="004F04C8" w:rsidRPr="00921120" w:rsidRDefault="004F04C8" w:rsidP="00921120">
      <w:pPr>
        <w:spacing w:line="240" w:lineRule="auto"/>
        <w:jc w:val="left"/>
        <w:rPr>
          <w:rFonts w:ascii="Arial" w:hAnsi="Arial" w:cs="Arial"/>
          <w:sz w:val="20"/>
          <w:szCs w:val="20"/>
        </w:rPr>
      </w:pPr>
    </w:p>
    <w:p w:rsidR="003C7920" w:rsidRPr="00921120" w:rsidRDefault="003C7920" w:rsidP="00921120">
      <w:pPr>
        <w:spacing w:line="240" w:lineRule="auto"/>
        <w:jc w:val="left"/>
        <w:rPr>
          <w:rFonts w:ascii="Arial" w:hAnsi="Arial" w:cs="Arial"/>
          <w:sz w:val="20"/>
          <w:szCs w:val="20"/>
        </w:rPr>
      </w:pPr>
    </w:p>
    <w:p w:rsidR="00D861B8" w:rsidRPr="00921120" w:rsidRDefault="00CE0D07" w:rsidP="00921120">
      <w:pPr>
        <w:pStyle w:val="Heading1"/>
        <w:spacing w:line="240" w:lineRule="auto"/>
        <w:jc w:val="left"/>
        <w:rPr>
          <w:rFonts w:ascii="Arial" w:hAnsi="Arial" w:cs="Arial"/>
          <w:sz w:val="20"/>
          <w:szCs w:val="20"/>
        </w:rPr>
      </w:pPr>
      <w:r w:rsidRPr="00921120">
        <w:rPr>
          <w:rFonts w:ascii="Arial" w:hAnsi="Arial" w:cs="Arial"/>
          <w:sz w:val="20"/>
          <w:szCs w:val="20"/>
        </w:rPr>
        <w:t xml:space="preserve">Site visits to </w:t>
      </w:r>
      <w:r w:rsidR="00D861B8" w:rsidRPr="00921120">
        <w:rPr>
          <w:rFonts w:ascii="Arial" w:hAnsi="Arial" w:cs="Arial"/>
          <w:sz w:val="20"/>
          <w:szCs w:val="20"/>
        </w:rPr>
        <w:t>Nkowankowa and Seshego Industrial Park</w:t>
      </w:r>
      <w:r w:rsidR="00773B46" w:rsidRPr="00921120">
        <w:rPr>
          <w:rFonts w:ascii="Arial" w:hAnsi="Arial" w:cs="Arial"/>
          <w:sz w:val="20"/>
          <w:szCs w:val="20"/>
        </w:rPr>
        <w:t>s</w:t>
      </w:r>
      <w:r w:rsidR="00D861B8" w:rsidRPr="00921120">
        <w:rPr>
          <w:rFonts w:ascii="Arial" w:hAnsi="Arial" w:cs="Arial"/>
          <w:sz w:val="20"/>
          <w:szCs w:val="20"/>
        </w:rPr>
        <w:t xml:space="preserve"> </w:t>
      </w:r>
    </w:p>
    <w:p w:rsidR="00FE28B8" w:rsidRPr="00921120" w:rsidRDefault="00FE28B8" w:rsidP="00921120">
      <w:pPr>
        <w:spacing w:line="240" w:lineRule="auto"/>
        <w:jc w:val="left"/>
        <w:rPr>
          <w:rFonts w:ascii="Arial" w:hAnsi="Arial" w:cs="Arial"/>
          <w:sz w:val="20"/>
          <w:szCs w:val="20"/>
        </w:rPr>
      </w:pPr>
    </w:p>
    <w:p w:rsidR="005D26AD" w:rsidRPr="00921120" w:rsidRDefault="005D26AD" w:rsidP="00921120">
      <w:pPr>
        <w:spacing w:line="240" w:lineRule="auto"/>
        <w:jc w:val="left"/>
        <w:rPr>
          <w:rFonts w:ascii="Arial" w:hAnsi="Arial" w:cs="Arial"/>
          <w:sz w:val="20"/>
          <w:szCs w:val="20"/>
        </w:rPr>
      </w:pPr>
      <w:r w:rsidRPr="00921120">
        <w:rPr>
          <w:rFonts w:ascii="Arial" w:hAnsi="Arial" w:cs="Arial"/>
          <w:sz w:val="20"/>
          <w:szCs w:val="20"/>
        </w:rPr>
        <w:t>The Committee originally planned to visit the Nkowankowa and Seshego Industrial Parks in August 2022, as part of its oversight programme. However, due to changes to the Parliamentary Programme, the visit had to be postponed. Notwithstanding the postponement of the visit, the Committee engage</w:t>
      </w:r>
      <w:r w:rsidR="00A66D58" w:rsidRPr="00921120">
        <w:rPr>
          <w:rFonts w:ascii="Arial" w:hAnsi="Arial" w:cs="Arial"/>
          <w:sz w:val="20"/>
          <w:szCs w:val="20"/>
        </w:rPr>
        <w:t>d</w:t>
      </w:r>
      <w:r w:rsidRPr="00921120">
        <w:rPr>
          <w:rFonts w:ascii="Arial" w:hAnsi="Arial" w:cs="Arial"/>
          <w:sz w:val="20"/>
          <w:szCs w:val="20"/>
        </w:rPr>
        <w:t xml:space="preserve"> the </w:t>
      </w:r>
      <w:r w:rsidRPr="00921120">
        <w:rPr>
          <w:rFonts w:ascii="Arial" w:hAnsi="Arial" w:cs="Arial"/>
          <w:bCs/>
          <w:sz w:val="20"/>
          <w:szCs w:val="20"/>
        </w:rPr>
        <w:t xml:space="preserve">LEDET </w:t>
      </w:r>
      <w:r w:rsidRPr="00921120">
        <w:rPr>
          <w:rFonts w:ascii="Arial" w:hAnsi="Arial" w:cs="Arial"/>
          <w:sz w:val="20"/>
          <w:szCs w:val="20"/>
        </w:rPr>
        <w:t xml:space="preserve">and its entity, the </w:t>
      </w:r>
      <w:r w:rsidRPr="00921120">
        <w:rPr>
          <w:rFonts w:ascii="Arial" w:hAnsi="Arial" w:cs="Arial"/>
          <w:bCs/>
          <w:sz w:val="20"/>
          <w:szCs w:val="20"/>
        </w:rPr>
        <w:t>LEDA</w:t>
      </w:r>
      <w:r w:rsidR="00773B46" w:rsidRPr="00921120">
        <w:rPr>
          <w:rFonts w:ascii="Arial" w:hAnsi="Arial" w:cs="Arial"/>
          <w:bCs/>
          <w:sz w:val="20"/>
          <w:szCs w:val="20"/>
        </w:rPr>
        <w:t>,</w:t>
      </w:r>
      <w:r w:rsidRPr="00921120">
        <w:rPr>
          <w:rFonts w:ascii="Arial" w:hAnsi="Arial" w:cs="Arial"/>
          <w:bCs/>
          <w:sz w:val="20"/>
          <w:szCs w:val="20"/>
        </w:rPr>
        <w:t xml:space="preserve"> owners of</w:t>
      </w:r>
      <w:r w:rsidRPr="00921120">
        <w:rPr>
          <w:rFonts w:ascii="Arial" w:hAnsi="Arial" w:cs="Arial"/>
          <w:sz w:val="20"/>
          <w:szCs w:val="20"/>
        </w:rPr>
        <w:t xml:space="preserve"> the </w:t>
      </w:r>
      <w:r w:rsidR="00A66D58" w:rsidRPr="00921120">
        <w:rPr>
          <w:rFonts w:ascii="Arial" w:hAnsi="Arial" w:cs="Arial"/>
          <w:sz w:val="20"/>
          <w:szCs w:val="20"/>
        </w:rPr>
        <w:t xml:space="preserve">two </w:t>
      </w:r>
      <w:r w:rsidRPr="00921120">
        <w:rPr>
          <w:rFonts w:ascii="Arial" w:hAnsi="Arial" w:cs="Arial"/>
          <w:sz w:val="20"/>
          <w:szCs w:val="20"/>
        </w:rPr>
        <w:t>Industrial Parks</w:t>
      </w:r>
      <w:r w:rsidR="00A66D58" w:rsidRPr="00921120">
        <w:rPr>
          <w:rFonts w:ascii="Arial" w:hAnsi="Arial" w:cs="Arial"/>
          <w:sz w:val="20"/>
          <w:szCs w:val="20"/>
        </w:rPr>
        <w:t>,</w:t>
      </w:r>
      <w:r w:rsidRPr="00921120">
        <w:rPr>
          <w:rFonts w:ascii="Arial" w:hAnsi="Arial" w:cs="Arial"/>
          <w:sz w:val="20"/>
          <w:szCs w:val="20"/>
        </w:rPr>
        <w:t xml:space="preserve"> on 21 September</w:t>
      </w:r>
      <w:r w:rsidR="00622AE6" w:rsidRPr="00921120">
        <w:rPr>
          <w:rFonts w:ascii="Arial" w:hAnsi="Arial" w:cs="Arial"/>
          <w:sz w:val="20"/>
          <w:szCs w:val="20"/>
        </w:rPr>
        <w:t xml:space="preserve"> </w:t>
      </w:r>
      <w:r w:rsidRPr="00921120">
        <w:rPr>
          <w:rFonts w:ascii="Arial" w:hAnsi="Arial" w:cs="Arial"/>
          <w:sz w:val="20"/>
          <w:szCs w:val="20"/>
        </w:rPr>
        <w:t xml:space="preserve">2022. The virtual engagement was two-fold: </w:t>
      </w:r>
      <w:r w:rsidR="00773B46" w:rsidRPr="00921120">
        <w:rPr>
          <w:rFonts w:ascii="Arial" w:hAnsi="Arial" w:cs="Arial"/>
          <w:sz w:val="20"/>
          <w:szCs w:val="20"/>
        </w:rPr>
        <w:t>f</w:t>
      </w:r>
      <w:r w:rsidRPr="00921120">
        <w:rPr>
          <w:rFonts w:ascii="Arial" w:hAnsi="Arial" w:cs="Arial"/>
          <w:sz w:val="20"/>
          <w:szCs w:val="20"/>
        </w:rPr>
        <w:t>irst</w:t>
      </w:r>
      <w:r w:rsidR="00773B46" w:rsidRPr="00921120">
        <w:rPr>
          <w:rFonts w:ascii="Arial" w:hAnsi="Arial" w:cs="Arial"/>
          <w:sz w:val="20"/>
          <w:szCs w:val="20"/>
        </w:rPr>
        <w:t>,</w:t>
      </w:r>
      <w:r w:rsidRPr="00921120">
        <w:rPr>
          <w:rFonts w:ascii="Arial" w:hAnsi="Arial" w:cs="Arial"/>
          <w:sz w:val="20"/>
          <w:szCs w:val="20"/>
        </w:rPr>
        <w:t xml:space="preserve"> the Committee was briefed by the </w:t>
      </w:r>
      <w:r w:rsidR="00773B46" w:rsidRPr="00921120">
        <w:rPr>
          <w:rFonts w:ascii="Arial" w:hAnsi="Arial" w:cs="Arial"/>
          <w:sz w:val="20"/>
          <w:szCs w:val="20"/>
          <w:lang w:val="en-GB"/>
        </w:rPr>
        <w:t>LEDET</w:t>
      </w:r>
      <w:r w:rsidRPr="00921120">
        <w:rPr>
          <w:rFonts w:ascii="Arial" w:hAnsi="Arial" w:cs="Arial"/>
          <w:sz w:val="20"/>
          <w:szCs w:val="20"/>
          <w:lang w:val="en-US"/>
        </w:rPr>
        <w:t xml:space="preserve"> </w:t>
      </w:r>
      <w:r w:rsidRPr="00921120">
        <w:rPr>
          <w:rFonts w:ascii="Arial" w:hAnsi="Arial" w:cs="Arial"/>
          <w:sz w:val="20"/>
          <w:szCs w:val="20"/>
          <w:lang w:val="en-GB"/>
        </w:rPr>
        <w:t xml:space="preserve">on the development and plans for the </w:t>
      </w:r>
      <w:r w:rsidR="00773B46" w:rsidRPr="00921120">
        <w:rPr>
          <w:rFonts w:ascii="Arial" w:hAnsi="Arial" w:cs="Arial"/>
          <w:sz w:val="20"/>
          <w:szCs w:val="20"/>
          <w:lang w:val="en-GB"/>
        </w:rPr>
        <w:t>MM</w:t>
      </w:r>
      <w:r w:rsidRPr="00921120">
        <w:rPr>
          <w:rFonts w:ascii="Arial" w:hAnsi="Arial" w:cs="Arial"/>
          <w:sz w:val="20"/>
          <w:szCs w:val="20"/>
          <w:lang w:val="en-GB"/>
        </w:rPr>
        <w:t xml:space="preserve">SEZ, followed by </w:t>
      </w:r>
      <w:r w:rsidRPr="00921120">
        <w:rPr>
          <w:rFonts w:ascii="Arial" w:hAnsi="Arial" w:cs="Arial"/>
          <w:sz w:val="20"/>
          <w:szCs w:val="20"/>
          <w:lang w:val="en-US"/>
        </w:rPr>
        <w:t xml:space="preserve">the </w:t>
      </w:r>
      <w:r w:rsidR="00773B46" w:rsidRPr="00921120">
        <w:rPr>
          <w:rFonts w:ascii="Arial" w:hAnsi="Arial" w:cs="Arial"/>
          <w:sz w:val="20"/>
          <w:szCs w:val="20"/>
        </w:rPr>
        <w:t>LEDA</w:t>
      </w:r>
      <w:r w:rsidRPr="00921120">
        <w:rPr>
          <w:rFonts w:ascii="Arial" w:hAnsi="Arial" w:cs="Arial"/>
          <w:sz w:val="20"/>
          <w:szCs w:val="20"/>
        </w:rPr>
        <w:t xml:space="preserve"> on the development and plans for the Seshego and Nkowankowa Industrial Parks, as these industrial parks ha</w:t>
      </w:r>
      <w:r w:rsidR="00A66D58" w:rsidRPr="00921120">
        <w:rPr>
          <w:rFonts w:ascii="Arial" w:hAnsi="Arial" w:cs="Arial"/>
          <w:sz w:val="20"/>
          <w:szCs w:val="20"/>
        </w:rPr>
        <w:t>d</w:t>
      </w:r>
      <w:r w:rsidRPr="00921120">
        <w:rPr>
          <w:rFonts w:ascii="Arial" w:hAnsi="Arial" w:cs="Arial"/>
          <w:sz w:val="20"/>
          <w:szCs w:val="20"/>
        </w:rPr>
        <w:t xml:space="preserve"> received funding from the </w:t>
      </w:r>
      <w:r w:rsidR="00773B46" w:rsidRPr="00921120">
        <w:rPr>
          <w:rFonts w:ascii="Arial" w:hAnsi="Arial" w:cs="Arial"/>
          <w:sz w:val="20"/>
          <w:szCs w:val="20"/>
        </w:rPr>
        <w:t>DTIC</w:t>
      </w:r>
      <w:r w:rsidRPr="00921120">
        <w:rPr>
          <w:rFonts w:ascii="Arial" w:hAnsi="Arial" w:cs="Arial"/>
          <w:sz w:val="20"/>
          <w:szCs w:val="20"/>
        </w:rPr>
        <w:t xml:space="preserve">, as part of the </w:t>
      </w:r>
      <w:r w:rsidR="00773B46" w:rsidRPr="00921120">
        <w:rPr>
          <w:rFonts w:ascii="Arial" w:hAnsi="Arial" w:cs="Arial"/>
          <w:sz w:val="20"/>
          <w:szCs w:val="20"/>
        </w:rPr>
        <w:t>IP</w:t>
      </w:r>
      <w:r w:rsidR="003374C4" w:rsidRPr="00921120">
        <w:rPr>
          <w:rFonts w:ascii="Arial" w:hAnsi="Arial" w:cs="Arial"/>
          <w:sz w:val="20"/>
          <w:szCs w:val="20"/>
        </w:rPr>
        <w:t>R</w:t>
      </w:r>
      <w:r w:rsidR="00773B46" w:rsidRPr="00921120">
        <w:rPr>
          <w:rFonts w:ascii="Arial" w:hAnsi="Arial" w:cs="Arial"/>
          <w:sz w:val="20"/>
          <w:szCs w:val="20"/>
        </w:rPr>
        <w:t>P</w:t>
      </w:r>
      <w:r w:rsidRPr="00921120">
        <w:rPr>
          <w:rFonts w:ascii="Arial" w:hAnsi="Arial" w:cs="Arial"/>
          <w:sz w:val="20"/>
          <w:szCs w:val="20"/>
        </w:rPr>
        <w:t xml:space="preserve">. Therefore, the visit to these Industrial Parks in 2023 </w:t>
      </w:r>
      <w:r w:rsidR="00773B46" w:rsidRPr="00921120">
        <w:rPr>
          <w:rFonts w:ascii="Arial" w:hAnsi="Arial" w:cs="Arial"/>
          <w:sz w:val="20"/>
          <w:szCs w:val="20"/>
        </w:rPr>
        <w:t>wa</w:t>
      </w:r>
      <w:r w:rsidRPr="00921120">
        <w:rPr>
          <w:rFonts w:ascii="Arial" w:hAnsi="Arial" w:cs="Arial"/>
          <w:sz w:val="20"/>
          <w:szCs w:val="20"/>
        </w:rPr>
        <w:t>s a continuation of the oversight started in 202</w:t>
      </w:r>
      <w:r w:rsidR="00A66D58" w:rsidRPr="00921120">
        <w:rPr>
          <w:rFonts w:ascii="Arial" w:hAnsi="Arial" w:cs="Arial"/>
          <w:sz w:val="20"/>
          <w:szCs w:val="20"/>
        </w:rPr>
        <w:t>2</w:t>
      </w:r>
      <w:r w:rsidRPr="00921120">
        <w:rPr>
          <w:rFonts w:ascii="Arial" w:hAnsi="Arial" w:cs="Arial"/>
          <w:sz w:val="20"/>
          <w:szCs w:val="20"/>
        </w:rPr>
        <w:t xml:space="preserve">. </w:t>
      </w:r>
    </w:p>
    <w:p w:rsidR="005D26AD" w:rsidRPr="00921120" w:rsidRDefault="005D26AD" w:rsidP="00921120">
      <w:pPr>
        <w:spacing w:line="240" w:lineRule="auto"/>
        <w:jc w:val="left"/>
        <w:rPr>
          <w:rFonts w:ascii="Arial" w:hAnsi="Arial" w:cs="Arial"/>
          <w:sz w:val="20"/>
          <w:szCs w:val="20"/>
        </w:rPr>
      </w:pPr>
    </w:p>
    <w:p w:rsidR="005D26AD" w:rsidRPr="00921120" w:rsidRDefault="00C336CB" w:rsidP="00921120">
      <w:pPr>
        <w:pStyle w:val="Heading2"/>
        <w:spacing w:line="240" w:lineRule="auto"/>
        <w:jc w:val="left"/>
        <w:rPr>
          <w:rFonts w:ascii="Arial" w:hAnsi="Arial" w:cs="Arial"/>
          <w:sz w:val="20"/>
          <w:szCs w:val="20"/>
        </w:rPr>
      </w:pPr>
      <w:r w:rsidRPr="00921120">
        <w:rPr>
          <w:rFonts w:ascii="Arial" w:hAnsi="Arial" w:cs="Arial"/>
          <w:sz w:val="20"/>
          <w:szCs w:val="20"/>
        </w:rPr>
        <w:t xml:space="preserve">Background </w:t>
      </w:r>
    </w:p>
    <w:p w:rsidR="005D26AD" w:rsidRPr="00921120" w:rsidRDefault="005D26AD" w:rsidP="00921120">
      <w:pPr>
        <w:spacing w:line="240" w:lineRule="auto"/>
        <w:jc w:val="left"/>
        <w:rPr>
          <w:rFonts w:ascii="Arial" w:hAnsi="Arial" w:cs="Arial"/>
          <w:sz w:val="20"/>
          <w:szCs w:val="20"/>
        </w:rPr>
      </w:pPr>
      <w:r w:rsidRPr="00921120">
        <w:rPr>
          <w:rFonts w:ascii="Arial" w:hAnsi="Arial" w:cs="Arial"/>
          <w:sz w:val="20"/>
          <w:szCs w:val="20"/>
        </w:rPr>
        <w:t xml:space="preserve">The </w:t>
      </w:r>
      <w:r w:rsidRPr="00921120">
        <w:rPr>
          <w:rFonts w:ascii="Arial" w:hAnsi="Arial" w:cs="Arial"/>
          <w:bCs/>
          <w:sz w:val="20"/>
          <w:szCs w:val="20"/>
        </w:rPr>
        <w:t>IP</w:t>
      </w:r>
      <w:r w:rsidR="003374C4" w:rsidRPr="00921120">
        <w:rPr>
          <w:rFonts w:ascii="Arial" w:hAnsi="Arial" w:cs="Arial"/>
          <w:bCs/>
          <w:sz w:val="20"/>
          <w:szCs w:val="20"/>
        </w:rPr>
        <w:t>R</w:t>
      </w:r>
      <w:r w:rsidRPr="00921120">
        <w:rPr>
          <w:rFonts w:ascii="Arial" w:hAnsi="Arial" w:cs="Arial"/>
          <w:bCs/>
          <w:sz w:val="20"/>
          <w:szCs w:val="20"/>
        </w:rPr>
        <w:t>P</w:t>
      </w:r>
      <w:r w:rsidRPr="00921120">
        <w:rPr>
          <w:rFonts w:ascii="Arial" w:hAnsi="Arial" w:cs="Arial"/>
          <w:sz w:val="20"/>
          <w:szCs w:val="20"/>
        </w:rPr>
        <w:t xml:space="preserve"> was introduced in 2015 with the aim of reviving Industrial Parks that existed prior to 1994. At the time, the Industrial</w:t>
      </w:r>
      <w:r w:rsidRPr="00921120">
        <w:rPr>
          <w:rFonts w:ascii="Arial" w:hAnsi="Arial" w:cs="Arial"/>
          <w:color w:val="000000"/>
          <w:sz w:val="20"/>
          <w:szCs w:val="20"/>
        </w:rPr>
        <w:t xml:space="preserve"> </w:t>
      </w:r>
      <w:r w:rsidRPr="00921120">
        <w:rPr>
          <w:rFonts w:ascii="Arial" w:hAnsi="Arial" w:cs="Arial"/>
          <w:sz w:val="20"/>
          <w:szCs w:val="20"/>
        </w:rPr>
        <w:t>Parks brought some economic activities closer to townships and rural areas, there</w:t>
      </w:r>
      <w:r w:rsidR="00A66D58" w:rsidRPr="00921120">
        <w:rPr>
          <w:rFonts w:ascii="Arial" w:hAnsi="Arial" w:cs="Arial"/>
          <w:sz w:val="20"/>
          <w:szCs w:val="20"/>
        </w:rPr>
        <w:t>by</w:t>
      </w:r>
      <w:r w:rsidRPr="00921120">
        <w:rPr>
          <w:rFonts w:ascii="Arial" w:hAnsi="Arial" w:cs="Arial"/>
          <w:sz w:val="20"/>
          <w:szCs w:val="20"/>
        </w:rPr>
        <w:t>, creat</w:t>
      </w:r>
      <w:r w:rsidR="00A66D58" w:rsidRPr="00921120">
        <w:rPr>
          <w:rFonts w:ascii="Arial" w:hAnsi="Arial" w:cs="Arial"/>
          <w:sz w:val="20"/>
          <w:szCs w:val="20"/>
        </w:rPr>
        <w:t>ing</w:t>
      </w:r>
      <w:r w:rsidRPr="00921120">
        <w:rPr>
          <w:rFonts w:ascii="Arial" w:hAnsi="Arial" w:cs="Arial"/>
          <w:sz w:val="20"/>
          <w:szCs w:val="20"/>
        </w:rPr>
        <w:t xml:space="preserve"> employment opportunities in the surrounding areas. Businesses that were located within the Industrial Parks were heavily incentivised and when such incentives were discontinued post</w:t>
      </w:r>
      <w:r w:rsidR="00A66D58" w:rsidRPr="00921120">
        <w:rPr>
          <w:rFonts w:ascii="Arial" w:hAnsi="Arial" w:cs="Arial"/>
          <w:sz w:val="20"/>
          <w:szCs w:val="20"/>
        </w:rPr>
        <w:t>-</w:t>
      </w:r>
      <w:r w:rsidRPr="00921120">
        <w:rPr>
          <w:rFonts w:ascii="Arial" w:hAnsi="Arial" w:cs="Arial"/>
          <w:sz w:val="20"/>
          <w:szCs w:val="20"/>
        </w:rPr>
        <w:t>1994</w:t>
      </w:r>
      <w:r w:rsidR="00A66D58" w:rsidRPr="00921120">
        <w:rPr>
          <w:rFonts w:ascii="Arial" w:hAnsi="Arial" w:cs="Arial"/>
          <w:sz w:val="20"/>
          <w:szCs w:val="20"/>
        </w:rPr>
        <w:t>,</w:t>
      </w:r>
      <w:r w:rsidRPr="00921120">
        <w:rPr>
          <w:rFonts w:ascii="Arial" w:hAnsi="Arial" w:cs="Arial"/>
          <w:sz w:val="20"/>
          <w:szCs w:val="20"/>
        </w:rPr>
        <w:t xml:space="preserve"> they relocated to cities or even other countries. The </w:t>
      </w:r>
      <w:r w:rsidR="003374C4" w:rsidRPr="00921120">
        <w:rPr>
          <w:rFonts w:ascii="Arial" w:hAnsi="Arial" w:cs="Arial"/>
          <w:sz w:val="20"/>
          <w:szCs w:val="20"/>
        </w:rPr>
        <w:t>IPRP</w:t>
      </w:r>
      <w:r w:rsidRPr="00921120">
        <w:rPr>
          <w:rFonts w:ascii="Arial" w:hAnsi="Arial" w:cs="Arial"/>
          <w:sz w:val="20"/>
          <w:szCs w:val="20"/>
        </w:rPr>
        <w:t xml:space="preserve"> aims to facilitate broader economic and industrial development in townships and rural areas where the Industrial Parks are located. The revitalisation </w:t>
      </w:r>
      <w:r w:rsidR="00A66D58" w:rsidRPr="00921120">
        <w:rPr>
          <w:rFonts w:ascii="Arial" w:hAnsi="Arial" w:cs="Arial"/>
          <w:sz w:val="20"/>
          <w:szCs w:val="20"/>
        </w:rPr>
        <w:t xml:space="preserve">programme </w:t>
      </w:r>
      <w:r w:rsidRPr="00921120">
        <w:rPr>
          <w:rFonts w:ascii="Arial" w:hAnsi="Arial" w:cs="Arial"/>
          <w:sz w:val="20"/>
          <w:szCs w:val="20"/>
        </w:rPr>
        <w:t>includes security upgrades for the parks, improving critical infrastructure and factory refurbishments</w:t>
      </w:r>
      <w:r w:rsidR="00A66D58" w:rsidRPr="00921120">
        <w:rPr>
          <w:rFonts w:ascii="Arial" w:hAnsi="Arial" w:cs="Arial"/>
          <w:sz w:val="20"/>
          <w:szCs w:val="20"/>
        </w:rPr>
        <w:t>, as required</w:t>
      </w:r>
      <w:r w:rsidRPr="00921120">
        <w:rPr>
          <w:rFonts w:ascii="Arial" w:hAnsi="Arial" w:cs="Arial"/>
          <w:sz w:val="20"/>
          <w:szCs w:val="20"/>
        </w:rPr>
        <w:t xml:space="preserve">. </w:t>
      </w:r>
    </w:p>
    <w:p w:rsidR="005D26AD" w:rsidRPr="00921120" w:rsidRDefault="005D26AD" w:rsidP="00921120">
      <w:pPr>
        <w:spacing w:line="240" w:lineRule="auto"/>
        <w:jc w:val="left"/>
        <w:rPr>
          <w:rFonts w:ascii="Arial" w:hAnsi="Arial" w:cs="Arial"/>
          <w:sz w:val="20"/>
          <w:szCs w:val="20"/>
        </w:rPr>
      </w:pPr>
    </w:p>
    <w:p w:rsidR="005D26AD" w:rsidRPr="00921120" w:rsidRDefault="005D26AD" w:rsidP="00921120">
      <w:pPr>
        <w:spacing w:line="240" w:lineRule="auto"/>
        <w:jc w:val="left"/>
        <w:rPr>
          <w:rFonts w:ascii="Arial" w:hAnsi="Arial" w:cs="Arial"/>
          <w:sz w:val="20"/>
          <w:szCs w:val="20"/>
        </w:rPr>
      </w:pPr>
      <w:r w:rsidRPr="00921120">
        <w:rPr>
          <w:rFonts w:ascii="Arial" w:hAnsi="Arial" w:cs="Arial"/>
          <w:sz w:val="20"/>
          <w:szCs w:val="20"/>
        </w:rPr>
        <w:t>The Seshego (Polokwane) and Nkowankowa (Tzaneen) Industrial parks are two of the five Industrial Parks in the Limpopo Province. The</w:t>
      </w:r>
      <w:r w:rsidR="00A66D58" w:rsidRPr="00921120">
        <w:rPr>
          <w:rFonts w:ascii="Arial" w:hAnsi="Arial" w:cs="Arial"/>
          <w:sz w:val="20"/>
          <w:szCs w:val="20"/>
        </w:rPr>
        <w:t>se</w:t>
      </w:r>
      <w:r w:rsidRPr="00921120">
        <w:rPr>
          <w:rFonts w:ascii="Arial" w:hAnsi="Arial" w:cs="Arial"/>
          <w:sz w:val="20"/>
          <w:szCs w:val="20"/>
        </w:rPr>
        <w:t xml:space="preserve"> two Industrial Parks</w:t>
      </w:r>
      <w:r w:rsidR="00A66D58" w:rsidRPr="00921120">
        <w:rPr>
          <w:rFonts w:ascii="Arial" w:hAnsi="Arial" w:cs="Arial"/>
          <w:sz w:val="20"/>
          <w:szCs w:val="20"/>
        </w:rPr>
        <w:t xml:space="preserve"> we</w:t>
      </w:r>
      <w:r w:rsidRPr="00921120">
        <w:rPr>
          <w:rFonts w:ascii="Arial" w:hAnsi="Arial" w:cs="Arial"/>
          <w:sz w:val="20"/>
          <w:szCs w:val="20"/>
        </w:rPr>
        <w:t>re among the thirteen Industrial Parks that ha</w:t>
      </w:r>
      <w:r w:rsidR="00A66D58" w:rsidRPr="00921120">
        <w:rPr>
          <w:rFonts w:ascii="Arial" w:hAnsi="Arial" w:cs="Arial"/>
          <w:sz w:val="20"/>
          <w:szCs w:val="20"/>
        </w:rPr>
        <w:t>d</w:t>
      </w:r>
      <w:r w:rsidRPr="00921120">
        <w:rPr>
          <w:rFonts w:ascii="Arial" w:hAnsi="Arial" w:cs="Arial"/>
          <w:sz w:val="20"/>
          <w:szCs w:val="20"/>
        </w:rPr>
        <w:t xml:space="preserve"> been revitalised since the inception of the </w:t>
      </w:r>
      <w:r w:rsidR="003374C4" w:rsidRPr="00921120">
        <w:rPr>
          <w:rFonts w:ascii="Arial" w:hAnsi="Arial" w:cs="Arial"/>
          <w:sz w:val="20"/>
          <w:szCs w:val="20"/>
        </w:rPr>
        <w:t>IPRP</w:t>
      </w:r>
      <w:r w:rsidRPr="00921120">
        <w:rPr>
          <w:rFonts w:ascii="Arial" w:hAnsi="Arial" w:cs="Arial"/>
          <w:sz w:val="20"/>
          <w:szCs w:val="20"/>
        </w:rPr>
        <w:t xml:space="preserve"> in 2015. The DTIC ha</w:t>
      </w:r>
      <w:r w:rsidR="00A66D58" w:rsidRPr="00921120">
        <w:rPr>
          <w:rFonts w:ascii="Arial" w:hAnsi="Arial" w:cs="Arial"/>
          <w:sz w:val="20"/>
          <w:szCs w:val="20"/>
        </w:rPr>
        <w:t>d</w:t>
      </w:r>
      <w:r w:rsidRPr="00921120">
        <w:rPr>
          <w:rFonts w:ascii="Arial" w:hAnsi="Arial" w:cs="Arial"/>
          <w:sz w:val="20"/>
          <w:szCs w:val="20"/>
        </w:rPr>
        <w:t xml:space="preserve"> funded the two Parks for approximately R125,5 million, in turn the Parks have attracted investments of approximately R238,5 million with 2</w:t>
      </w:r>
      <w:r w:rsidR="00A66D58" w:rsidRPr="00921120">
        <w:rPr>
          <w:rFonts w:ascii="Arial" w:hAnsi="Arial" w:cs="Arial"/>
          <w:sz w:val="20"/>
          <w:szCs w:val="20"/>
        </w:rPr>
        <w:t> </w:t>
      </w:r>
      <w:r w:rsidRPr="00921120">
        <w:rPr>
          <w:rFonts w:ascii="Arial" w:hAnsi="Arial" w:cs="Arial"/>
          <w:sz w:val="20"/>
          <w:szCs w:val="20"/>
        </w:rPr>
        <w:t>466</w:t>
      </w:r>
      <w:r w:rsidR="00A66D58" w:rsidRPr="00921120">
        <w:rPr>
          <w:rFonts w:ascii="Arial" w:hAnsi="Arial" w:cs="Arial"/>
          <w:sz w:val="20"/>
          <w:szCs w:val="20"/>
        </w:rPr>
        <w:t xml:space="preserve"> employment opportunities</w:t>
      </w:r>
      <w:r w:rsidRPr="00921120">
        <w:rPr>
          <w:rFonts w:ascii="Arial" w:hAnsi="Arial" w:cs="Arial"/>
          <w:sz w:val="20"/>
          <w:szCs w:val="20"/>
        </w:rPr>
        <w:t>.</w:t>
      </w:r>
    </w:p>
    <w:p w:rsidR="005D26AD" w:rsidRPr="00921120" w:rsidRDefault="005D26AD" w:rsidP="00921120">
      <w:pPr>
        <w:spacing w:line="240" w:lineRule="auto"/>
        <w:jc w:val="left"/>
        <w:rPr>
          <w:rFonts w:ascii="Arial" w:hAnsi="Arial" w:cs="Arial"/>
          <w:sz w:val="20"/>
          <w:szCs w:val="20"/>
        </w:rPr>
      </w:pPr>
    </w:p>
    <w:p w:rsidR="002B4249" w:rsidRPr="00921120" w:rsidRDefault="002B4249" w:rsidP="00921120">
      <w:pPr>
        <w:pStyle w:val="Heading2"/>
        <w:spacing w:line="240" w:lineRule="auto"/>
        <w:jc w:val="left"/>
        <w:rPr>
          <w:rFonts w:ascii="Arial" w:hAnsi="Arial" w:cs="Arial"/>
          <w:sz w:val="20"/>
          <w:szCs w:val="20"/>
        </w:rPr>
      </w:pPr>
      <w:r w:rsidRPr="00921120">
        <w:rPr>
          <w:rFonts w:ascii="Arial" w:hAnsi="Arial" w:cs="Arial"/>
          <w:sz w:val="20"/>
          <w:szCs w:val="20"/>
        </w:rPr>
        <w:t xml:space="preserve">Nkowankowa Industrial Park </w:t>
      </w:r>
    </w:p>
    <w:p w:rsidR="002B4249" w:rsidRPr="00921120" w:rsidRDefault="002B4249" w:rsidP="00921120">
      <w:pPr>
        <w:spacing w:line="240" w:lineRule="auto"/>
        <w:jc w:val="left"/>
        <w:rPr>
          <w:rFonts w:ascii="Arial" w:hAnsi="Arial" w:cs="Arial"/>
          <w:sz w:val="20"/>
          <w:szCs w:val="20"/>
        </w:rPr>
      </w:pPr>
      <w:r w:rsidRPr="00921120">
        <w:rPr>
          <w:rFonts w:ascii="Arial" w:hAnsi="Arial" w:cs="Arial"/>
          <w:sz w:val="20"/>
          <w:szCs w:val="20"/>
        </w:rPr>
        <w:t>In the engagement with the Committee</w:t>
      </w:r>
      <w:r w:rsidR="00CE0D07" w:rsidRPr="00921120">
        <w:rPr>
          <w:rFonts w:ascii="Arial" w:hAnsi="Arial" w:cs="Arial"/>
          <w:sz w:val="20"/>
          <w:szCs w:val="20"/>
        </w:rPr>
        <w:t xml:space="preserve"> on 21 September 2022</w:t>
      </w:r>
      <w:r w:rsidRPr="00921120">
        <w:rPr>
          <w:rFonts w:ascii="Arial" w:hAnsi="Arial" w:cs="Arial"/>
          <w:sz w:val="20"/>
          <w:szCs w:val="20"/>
        </w:rPr>
        <w:t xml:space="preserve">, LEDA reported that the R40 million investment which was injected by the DTIC through the </w:t>
      </w:r>
      <w:r w:rsidR="003374C4" w:rsidRPr="00921120">
        <w:rPr>
          <w:rFonts w:ascii="Arial" w:hAnsi="Arial" w:cs="Arial"/>
          <w:sz w:val="20"/>
          <w:szCs w:val="20"/>
        </w:rPr>
        <w:t>IPRP</w:t>
      </w:r>
      <w:r w:rsidRPr="00921120">
        <w:rPr>
          <w:rFonts w:ascii="Arial" w:hAnsi="Arial" w:cs="Arial"/>
          <w:sz w:val="20"/>
          <w:szCs w:val="20"/>
        </w:rPr>
        <w:t xml:space="preserve"> </w:t>
      </w:r>
      <w:r w:rsidR="00A66D58" w:rsidRPr="00921120">
        <w:rPr>
          <w:rFonts w:ascii="Arial" w:hAnsi="Arial" w:cs="Arial"/>
          <w:sz w:val="20"/>
          <w:szCs w:val="20"/>
        </w:rPr>
        <w:t xml:space="preserve">had been </w:t>
      </w:r>
      <w:r w:rsidRPr="00921120">
        <w:rPr>
          <w:rFonts w:ascii="Arial" w:hAnsi="Arial" w:cs="Arial"/>
          <w:sz w:val="20"/>
          <w:szCs w:val="20"/>
        </w:rPr>
        <w:t xml:space="preserve">utilised to </w:t>
      </w:r>
      <w:r w:rsidR="00A66D58" w:rsidRPr="00921120">
        <w:rPr>
          <w:rFonts w:ascii="Arial" w:hAnsi="Arial" w:cs="Arial"/>
          <w:sz w:val="20"/>
          <w:szCs w:val="20"/>
        </w:rPr>
        <w:t>install</w:t>
      </w:r>
      <w:r w:rsidRPr="00921120">
        <w:rPr>
          <w:rFonts w:ascii="Arial" w:hAnsi="Arial" w:cs="Arial"/>
          <w:sz w:val="20"/>
          <w:szCs w:val="20"/>
        </w:rPr>
        <w:t xml:space="preserve"> security features in the Park. The security features worth approximately R23 million included the following: </w:t>
      </w:r>
    </w:p>
    <w:p w:rsidR="002B4249" w:rsidRPr="00921120" w:rsidRDefault="002B4249" w:rsidP="00921120">
      <w:pPr>
        <w:pStyle w:val="ListParagraph"/>
        <w:numPr>
          <w:ilvl w:val="0"/>
          <w:numId w:val="11"/>
        </w:numPr>
        <w:spacing w:line="240" w:lineRule="auto"/>
        <w:jc w:val="left"/>
        <w:rPr>
          <w:rFonts w:ascii="Arial" w:hAnsi="Arial" w:cs="Arial"/>
          <w:sz w:val="20"/>
          <w:szCs w:val="20"/>
        </w:rPr>
      </w:pPr>
      <w:r w:rsidRPr="00921120">
        <w:rPr>
          <w:rFonts w:ascii="Arial" w:hAnsi="Arial" w:cs="Arial"/>
          <w:sz w:val="20"/>
          <w:szCs w:val="20"/>
        </w:rPr>
        <w:t xml:space="preserve">Installation of </w:t>
      </w:r>
      <w:r w:rsidR="00D92F72" w:rsidRPr="00921120">
        <w:rPr>
          <w:rFonts w:ascii="Arial" w:hAnsi="Arial" w:cs="Arial"/>
          <w:sz w:val="20"/>
          <w:szCs w:val="20"/>
        </w:rPr>
        <w:t xml:space="preserve">clear-view fencing </w:t>
      </w:r>
      <w:r w:rsidRPr="00921120">
        <w:rPr>
          <w:rFonts w:ascii="Arial" w:hAnsi="Arial" w:cs="Arial"/>
          <w:sz w:val="20"/>
          <w:szCs w:val="20"/>
        </w:rPr>
        <w:t xml:space="preserve">and pedestrian gates and boom gates; </w:t>
      </w:r>
    </w:p>
    <w:p w:rsidR="002B4249" w:rsidRPr="00921120" w:rsidRDefault="002B4249" w:rsidP="00921120">
      <w:pPr>
        <w:pStyle w:val="ListParagraph"/>
        <w:numPr>
          <w:ilvl w:val="0"/>
          <w:numId w:val="11"/>
        </w:numPr>
        <w:spacing w:line="240" w:lineRule="auto"/>
        <w:jc w:val="left"/>
        <w:rPr>
          <w:rFonts w:ascii="Arial" w:hAnsi="Arial" w:cs="Arial"/>
          <w:sz w:val="20"/>
          <w:szCs w:val="20"/>
        </w:rPr>
      </w:pPr>
      <w:r w:rsidRPr="00921120">
        <w:rPr>
          <w:rFonts w:ascii="Arial" w:hAnsi="Arial" w:cs="Arial"/>
          <w:sz w:val="20"/>
          <w:szCs w:val="20"/>
        </w:rPr>
        <w:t xml:space="preserve">Installation of </w:t>
      </w:r>
      <w:r w:rsidR="00D92F72" w:rsidRPr="00921120">
        <w:rPr>
          <w:rFonts w:ascii="Arial" w:hAnsi="Arial" w:cs="Arial"/>
          <w:sz w:val="20"/>
          <w:szCs w:val="20"/>
        </w:rPr>
        <w:t>closed circuit television (</w:t>
      </w:r>
      <w:r w:rsidRPr="00921120">
        <w:rPr>
          <w:rFonts w:ascii="Arial" w:hAnsi="Arial" w:cs="Arial"/>
          <w:sz w:val="20"/>
          <w:szCs w:val="20"/>
        </w:rPr>
        <w:t>CCTV</w:t>
      </w:r>
      <w:r w:rsidR="00D92F72" w:rsidRPr="00921120">
        <w:rPr>
          <w:rFonts w:ascii="Arial" w:hAnsi="Arial" w:cs="Arial"/>
          <w:sz w:val="20"/>
          <w:szCs w:val="20"/>
        </w:rPr>
        <w:t>)</w:t>
      </w:r>
      <w:r w:rsidRPr="00921120">
        <w:rPr>
          <w:rFonts w:ascii="Arial" w:hAnsi="Arial" w:cs="Arial"/>
          <w:sz w:val="20"/>
          <w:szCs w:val="20"/>
        </w:rPr>
        <w:t xml:space="preserve"> and control room; </w:t>
      </w:r>
    </w:p>
    <w:p w:rsidR="002B4249" w:rsidRPr="00921120" w:rsidRDefault="002B4249" w:rsidP="00921120">
      <w:pPr>
        <w:pStyle w:val="ListParagraph"/>
        <w:numPr>
          <w:ilvl w:val="0"/>
          <w:numId w:val="11"/>
        </w:numPr>
        <w:spacing w:line="240" w:lineRule="auto"/>
        <w:jc w:val="left"/>
        <w:rPr>
          <w:rFonts w:ascii="Arial" w:hAnsi="Arial" w:cs="Arial"/>
          <w:sz w:val="20"/>
          <w:szCs w:val="20"/>
        </w:rPr>
      </w:pPr>
      <w:r w:rsidRPr="00921120">
        <w:rPr>
          <w:rFonts w:ascii="Arial" w:hAnsi="Arial" w:cs="Arial"/>
          <w:sz w:val="20"/>
          <w:szCs w:val="20"/>
        </w:rPr>
        <w:t xml:space="preserve">Guard houses; and </w:t>
      </w:r>
    </w:p>
    <w:p w:rsidR="002B4249" w:rsidRPr="00921120" w:rsidRDefault="002B4249" w:rsidP="00921120">
      <w:pPr>
        <w:pStyle w:val="ListParagraph"/>
        <w:numPr>
          <w:ilvl w:val="0"/>
          <w:numId w:val="11"/>
        </w:numPr>
        <w:spacing w:line="240" w:lineRule="auto"/>
        <w:jc w:val="left"/>
        <w:rPr>
          <w:rFonts w:ascii="Arial" w:hAnsi="Arial" w:cs="Arial"/>
          <w:sz w:val="20"/>
          <w:szCs w:val="20"/>
        </w:rPr>
      </w:pPr>
      <w:r w:rsidRPr="00921120">
        <w:rPr>
          <w:rFonts w:ascii="Arial" w:hAnsi="Arial" w:cs="Arial"/>
          <w:sz w:val="20"/>
          <w:szCs w:val="20"/>
        </w:rPr>
        <w:t xml:space="preserve">Refurbishment of High Mast Lights. </w:t>
      </w:r>
    </w:p>
    <w:p w:rsidR="008B3D3A" w:rsidRPr="00921120" w:rsidRDefault="008B3D3A" w:rsidP="00921120">
      <w:pPr>
        <w:spacing w:line="240" w:lineRule="auto"/>
        <w:jc w:val="left"/>
        <w:rPr>
          <w:rFonts w:ascii="Arial" w:hAnsi="Arial" w:cs="Arial"/>
          <w:sz w:val="20"/>
          <w:szCs w:val="20"/>
        </w:rPr>
      </w:pPr>
    </w:p>
    <w:p w:rsidR="002B4249" w:rsidRPr="00921120" w:rsidRDefault="002B4249" w:rsidP="00921120">
      <w:pPr>
        <w:spacing w:line="240" w:lineRule="auto"/>
        <w:jc w:val="left"/>
        <w:rPr>
          <w:rFonts w:ascii="Arial" w:hAnsi="Arial" w:cs="Arial"/>
          <w:sz w:val="20"/>
          <w:szCs w:val="20"/>
        </w:rPr>
      </w:pPr>
      <w:r w:rsidRPr="00921120">
        <w:rPr>
          <w:rFonts w:ascii="Arial" w:hAnsi="Arial" w:cs="Arial"/>
          <w:sz w:val="20"/>
          <w:szCs w:val="20"/>
        </w:rPr>
        <w:t xml:space="preserve">The remaining R17 million was used to refurbish </w:t>
      </w:r>
      <w:r w:rsidR="00D92F72" w:rsidRPr="00921120">
        <w:rPr>
          <w:rFonts w:ascii="Arial" w:hAnsi="Arial" w:cs="Arial"/>
          <w:sz w:val="20"/>
          <w:szCs w:val="20"/>
        </w:rPr>
        <w:t>three</w:t>
      </w:r>
      <w:r w:rsidRPr="00921120">
        <w:rPr>
          <w:rFonts w:ascii="Arial" w:hAnsi="Arial" w:cs="Arial"/>
          <w:sz w:val="20"/>
          <w:szCs w:val="20"/>
        </w:rPr>
        <w:t xml:space="preserve"> factories. </w:t>
      </w:r>
    </w:p>
    <w:p w:rsidR="008B3D3A" w:rsidRPr="00921120" w:rsidRDefault="008B3D3A" w:rsidP="00921120">
      <w:pPr>
        <w:spacing w:line="240" w:lineRule="auto"/>
        <w:jc w:val="left"/>
        <w:rPr>
          <w:rFonts w:ascii="Arial" w:hAnsi="Arial" w:cs="Arial"/>
          <w:sz w:val="20"/>
          <w:szCs w:val="20"/>
        </w:rPr>
      </w:pPr>
    </w:p>
    <w:p w:rsidR="002B4249" w:rsidRPr="00921120" w:rsidRDefault="002B4249" w:rsidP="00921120">
      <w:pPr>
        <w:spacing w:line="240" w:lineRule="auto"/>
        <w:jc w:val="left"/>
        <w:rPr>
          <w:rFonts w:ascii="Arial" w:hAnsi="Arial" w:cs="Arial"/>
          <w:sz w:val="20"/>
          <w:szCs w:val="20"/>
        </w:rPr>
      </w:pPr>
      <w:r w:rsidRPr="00921120">
        <w:rPr>
          <w:rFonts w:ascii="Arial" w:hAnsi="Arial" w:cs="Arial"/>
          <w:sz w:val="20"/>
          <w:szCs w:val="20"/>
        </w:rPr>
        <w:t xml:space="preserve">During the refurbishment of the Park, a total of 11 Small, </w:t>
      </w:r>
      <w:r w:rsidR="002576B7" w:rsidRPr="00921120">
        <w:rPr>
          <w:rFonts w:ascii="Arial" w:hAnsi="Arial" w:cs="Arial"/>
          <w:sz w:val="20"/>
          <w:szCs w:val="20"/>
        </w:rPr>
        <w:t>Medium</w:t>
      </w:r>
      <w:r w:rsidRPr="00921120">
        <w:rPr>
          <w:rFonts w:ascii="Arial" w:hAnsi="Arial" w:cs="Arial"/>
          <w:sz w:val="20"/>
          <w:szCs w:val="20"/>
        </w:rPr>
        <w:t xml:space="preserve"> and </w:t>
      </w:r>
      <w:r w:rsidR="002576B7" w:rsidRPr="00921120">
        <w:rPr>
          <w:rFonts w:ascii="Arial" w:hAnsi="Arial" w:cs="Arial"/>
          <w:sz w:val="20"/>
          <w:szCs w:val="20"/>
        </w:rPr>
        <w:t>Micro</w:t>
      </w:r>
      <w:r w:rsidR="002576B7" w:rsidRPr="00921120" w:rsidDel="002576B7">
        <w:rPr>
          <w:rFonts w:ascii="Arial" w:hAnsi="Arial" w:cs="Arial"/>
          <w:sz w:val="20"/>
          <w:szCs w:val="20"/>
        </w:rPr>
        <w:t xml:space="preserve"> </w:t>
      </w:r>
      <w:r w:rsidRPr="00921120">
        <w:rPr>
          <w:rFonts w:ascii="Arial" w:hAnsi="Arial" w:cs="Arial"/>
          <w:sz w:val="20"/>
          <w:szCs w:val="20"/>
        </w:rPr>
        <w:t xml:space="preserve">Enterprises (SMMEs) </w:t>
      </w:r>
      <w:r w:rsidR="002576B7" w:rsidRPr="00921120">
        <w:rPr>
          <w:rFonts w:ascii="Arial" w:hAnsi="Arial" w:cs="Arial"/>
          <w:sz w:val="20"/>
          <w:szCs w:val="20"/>
        </w:rPr>
        <w:t xml:space="preserve">had been </w:t>
      </w:r>
      <w:r w:rsidRPr="00921120">
        <w:rPr>
          <w:rFonts w:ascii="Arial" w:hAnsi="Arial" w:cs="Arial"/>
          <w:sz w:val="20"/>
          <w:szCs w:val="20"/>
        </w:rPr>
        <w:t xml:space="preserve">appointed, the refurbishment projects created 125 jobs. LEDA further reported that new tenants will move into the factories once ESKOM </w:t>
      </w:r>
      <w:r w:rsidR="002576B7" w:rsidRPr="00921120">
        <w:rPr>
          <w:rFonts w:ascii="Arial" w:hAnsi="Arial" w:cs="Arial"/>
          <w:sz w:val="20"/>
          <w:szCs w:val="20"/>
        </w:rPr>
        <w:t>completed the</w:t>
      </w:r>
      <w:r w:rsidRPr="00921120">
        <w:rPr>
          <w:rFonts w:ascii="Arial" w:hAnsi="Arial" w:cs="Arial"/>
          <w:color w:val="000000"/>
          <w:sz w:val="20"/>
          <w:szCs w:val="20"/>
        </w:rPr>
        <w:t xml:space="preserve"> </w:t>
      </w:r>
      <w:r w:rsidRPr="00921120">
        <w:rPr>
          <w:rFonts w:ascii="Arial" w:hAnsi="Arial" w:cs="Arial"/>
          <w:sz w:val="20"/>
          <w:szCs w:val="20"/>
        </w:rPr>
        <w:t>electricity</w:t>
      </w:r>
      <w:r w:rsidR="002576B7" w:rsidRPr="00921120">
        <w:rPr>
          <w:rFonts w:ascii="Arial" w:hAnsi="Arial" w:cs="Arial"/>
          <w:sz w:val="20"/>
          <w:szCs w:val="20"/>
        </w:rPr>
        <w:t xml:space="preserve"> connections</w:t>
      </w:r>
      <w:r w:rsidRPr="00921120">
        <w:rPr>
          <w:rFonts w:ascii="Arial" w:hAnsi="Arial" w:cs="Arial"/>
          <w:sz w:val="20"/>
          <w:szCs w:val="20"/>
        </w:rPr>
        <w:t xml:space="preserve">. Furthermore, LEDA was in the process of applying for additional funding for the second phase of the refurbishment. </w:t>
      </w:r>
    </w:p>
    <w:p w:rsidR="008B3D3A" w:rsidRPr="00921120" w:rsidRDefault="008B3D3A" w:rsidP="00921120">
      <w:pPr>
        <w:spacing w:line="240" w:lineRule="auto"/>
        <w:jc w:val="left"/>
        <w:rPr>
          <w:rFonts w:ascii="Arial" w:hAnsi="Arial" w:cs="Arial"/>
          <w:sz w:val="20"/>
          <w:szCs w:val="20"/>
        </w:rPr>
      </w:pPr>
    </w:p>
    <w:p w:rsidR="002B4249" w:rsidRPr="00921120" w:rsidRDefault="002B4249" w:rsidP="00921120">
      <w:pPr>
        <w:spacing w:line="240" w:lineRule="auto"/>
        <w:jc w:val="left"/>
        <w:rPr>
          <w:rFonts w:ascii="Arial" w:hAnsi="Arial" w:cs="Arial"/>
          <w:sz w:val="20"/>
          <w:szCs w:val="20"/>
        </w:rPr>
      </w:pPr>
      <w:r w:rsidRPr="00921120">
        <w:rPr>
          <w:rFonts w:ascii="Arial" w:hAnsi="Arial" w:cs="Arial"/>
          <w:sz w:val="20"/>
          <w:szCs w:val="20"/>
        </w:rPr>
        <w:t xml:space="preserve">LEDA also reported that following the refurbishment of the Industrial Park, it was able to attract both </w:t>
      </w:r>
      <w:r w:rsidR="00C0043D" w:rsidRPr="00921120">
        <w:rPr>
          <w:rFonts w:ascii="Arial" w:hAnsi="Arial" w:cs="Arial"/>
          <w:sz w:val="20"/>
          <w:szCs w:val="20"/>
        </w:rPr>
        <w:t xml:space="preserve">national and international </w:t>
      </w:r>
      <w:r w:rsidRPr="00921120">
        <w:rPr>
          <w:rFonts w:ascii="Arial" w:hAnsi="Arial" w:cs="Arial"/>
          <w:sz w:val="20"/>
          <w:szCs w:val="20"/>
        </w:rPr>
        <w:t xml:space="preserve">tenants, including Peppadew and BS Dried </w:t>
      </w:r>
      <w:r w:rsidR="00C0043D" w:rsidRPr="00921120">
        <w:rPr>
          <w:rFonts w:ascii="Arial" w:hAnsi="Arial" w:cs="Arial"/>
          <w:sz w:val="20"/>
          <w:szCs w:val="20"/>
        </w:rPr>
        <w:t>F</w:t>
      </w:r>
      <w:r w:rsidRPr="00921120">
        <w:rPr>
          <w:rFonts w:ascii="Arial" w:hAnsi="Arial" w:cs="Arial"/>
          <w:sz w:val="20"/>
          <w:szCs w:val="20"/>
        </w:rPr>
        <w:t>ruit. They also reported that as of September 2022, the Nkowankowa Industrial Park was at 73</w:t>
      </w:r>
      <w:r w:rsidR="00773B46" w:rsidRPr="00921120">
        <w:rPr>
          <w:rFonts w:ascii="Arial" w:hAnsi="Arial" w:cs="Arial"/>
          <w:sz w:val="20"/>
          <w:szCs w:val="20"/>
        </w:rPr>
        <w:t>%</w:t>
      </w:r>
      <w:r w:rsidRPr="00921120">
        <w:rPr>
          <w:rFonts w:ascii="Arial" w:hAnsi="Arial" w:cs="Arial"/>
          <w:sz w:val="20"/>
          <w:szCs w:val="20"/>
        </w:rPr>
        <w:t xml:space="preserve"> occupancy and as a result 3 708 job opportunities </w:t>
      </w:r>
      <w:r w:rsidR="00C0043D" w:rsidRPr="00921120">
        <w:rPr>
          <w:rFonts w:ascii="Arial" w:hAnsi="Arial" w:cs="Arial"/>
          <w:sz w:val="20"/>
          <w:szCs w:val="20"/>
        </w:rPr>
        <w:t xml:space="preserve">had been </w:t>
      </w:r>
      <w:r w:rsidRPr="00921120">
        <w:rPr>
          <w:rFonts w:ascii="Arial" w:hAnsi="Arial" w:cs="Arial"/>
          <w:sz w:val="20"/>
          <w:szCs w:val="20"/>
        </w:rPr>
        <w:t xml:space="preserve">created in the Park. </w:t>
      </w:r>
    </w:p>
    <w:p w:rsidR="008B3D3A" w:rsidRPr="00921120" w:rsidRDefault="008B3D3A" w:rsidP="00921120">
      <w:pPr>
        <w:spacing w:line="240" w:lineRule="auto"/>
        <w:jc w:val="left"/>
        <w:rPr>
          <w:rFonts w:ascii="Arial" w:hAnsi="Arial" w:cs="Arial"/>
          <w:sz w:val="20"/>
          <w:szCs w:val="20"/>
        </w:rPr>
      </w:pPr>
    </w:p>
    <w:p w:rsidR="002B4249" w:rsidRPr="00921120" w:rsidRDefault="008B3D3A" w:rsidP="00921120">
      <w:pPr>
        <w:spacing w:line="240" w:lineRule="auto"/>
        <w:jc w:val="left"/>
        <w:rPr>
          <w:rFonts w:ascii="Arial" w:hAnsi="Arial" w:cs="Arial"/>
          <w:b/>
          <w:bCs/>
          <w:color w:val="528135"/>
          <w:sz w:val="20"/>
          <w:szCs w:val="20"/>
        </w:rPr>
      </w:pPr>
      <w:r w:rsidRPr="00921120">
        <w:rPr>
          <w:rFonts w:ascii="Arial" w:hAnsi="Arial" w:cs="Arial"/>
          <w:sz w:val="20"/>
          <w:szCs w:val="20"/>
        </w:rPr>
        <w:t>The Committee visited the following three companies as part of its walkabout:</w:t>
      </w:r>
    </w:p>
    <w:p w:rsidR="002B4249" w:rsidRPr="00921120" w:rsidRDefault="002B4249" w:rsidP="00921120">
      <w:pPr>
        <w:spacing w:line="240" w:lineRule="auto"/>
        <w:jc w:val="left"/>
        <w:rPr>
          <w:rFonts w:ascii="Arial" w:hAnsi="Arial" w:cs="Arial"/>
          <w:b/>
          <w:bCs/>
          <w:color w:val="528135"/>
          <w:sz w:val="20"/>
          <w:szCs w:val="20"/>
        </w:rPr>
      </w:pPr>
    </w:p>
    <w:p w:rsidR="007C79B9" w:rsidRPr="00921120" w:rsidRDefault="007C79B9" w:rsidP="00921120">
      <w:pPr>
        <w:pStyle w:val="Heading3"/>
        <w:spacing w:line="240" w:lineRule="auto"/>
        <w:jc w:val="left"/>
        <w:rPr>
          <w:rFonts w:ascii="Arial" w:hAnsi="Arial" w:cs="Arial"/>
          <w:sz w:val="20"/>
          <w:szCs w:val="20"/>
        </w:rPr>
      </w:pPr>
      <w:r w:rsidRPr="00921120">
        <w:rPr>
          <w:rFonts w:ascii="Arial" w:hAnsi="Arial" w:cs="Arial"/>
          <w:sz w:val="20"/>
          <w:szCs w:val="20"/>
        </w:rPr>
        <w:t>Miya Roofing Manufacturers/Integrate Now (Pty) Ltd</w:t>
      </w:r>
    </w:p>
    <w:p w:rsidR="007C79B9" w:rsidRPr="00921120" w:rsidRDefault="007C79B9" w:rsidP="00921120">
      <w:pPr>
        <w:spacing w:line="240" w:lineRule="auto"/>
        <w:jc w:val="left"/>
        <w:rPr>
          <w:rFonts w:ascii="Arial" w:hAnsi="Arial" w:cs="Arial"/>
          <w:sz w:val="20"/>
          <w:szCs w:val="20"/>
        </w:rPr>
      </w:pPr>
      <w:r w:rsidRPr="00921120">
        <w:rPr>
          <w:rFonts w:ascii="Arial" w:hAnsi="Arial" w:cs="Arial"/>
          <w:sz w:val="20"/>
          <w:szCs w:val="20"/>
        </w:rPr>
        <w:t>Miya Roofing Manufacturers is a black</w:t>
      </w:r>
      <w:r w:rsidR="0041041F" w:rsidRPr="00921120">
        <w:rPr>
          <w:rFonts w:ascii="Arial" w:hAnsi="Arial" w:cs="Arial"/>
          <w:sz w:val="20"/>
          <w:szCs w:val="20"/>
        </w:rPr>
        <w:t>-owned</w:t>
      </w:r>
      <w:r w:rsidRPr="00921120">
        <w:rPr>
          <w:rFonts w:ascii="Arial" w:hAnsi="Arial" w:cs="Arial"/>
          <w:sz w:val="20"/>
          <w:szCs w:val="20"/>
        </w:rPr>
        <w:t xml:space="preserve">, South African manufacturer servicing hardware stores, developers and the public directly, among others. It manufactures high quality inverted box rib and corrugated roof sheeting, as well as ridges and flashing, in galvanised steel, colour, stainless steel or polycarbonate materials. </w:t>
      </w:r>
    </w:p>
    <w:p w:rsidR="007C79B9" w:rsidRPr="00921120" w:rsidRDefault="007C79B9" w:rsidP="00921120">
      <w:pPr>
        <w:spacing w:line="240" w:lineRule="auto"/>
        <w:jc w:val="left"/>
        <w:rPr>
          <w:rFonts w:ascii="Arial" w:hAnsi="Arial" w:cs="Arial"/>
          <w:sz w:val="20"/>
          <w:szCs w:val="20"/>
        </w:rPr>
      </w:pPr>
    </w:p>
    <w:p w:rsidR="007C79B9" w:rsidRPr="00921120" w:rsidRDefault="007C79B9" w:rsidP="00921120">
      <w:pPr>
        <w:spacing w:line="240" w:lineRule="auto"/>
        <w:jc w:val="left"/>
        <w:rPr>
          <w:rFonts w:ascii="Arial" w:hAnsi="Arial" w:cs="Arial"/>
          <w:sz w:val="20"/>
          <w:szCs w:val="20"/>
        </w:rPr>
      </w:pPr>
      <w:r w:rsidRPr="00921120">
        <w:rPr>
          <w:rFonts w:ascii="Arial" w:hAnsi="Arial" w:cs="Arial"/>
          <w:sz w:val="20"/>
          <w:szCs w:val="20"/>
        </w:rPr>
        <w:t xml:space="preserve">The company occupies a 1 169 m² factory in the Industrial Park and started its operations in 2021. It has created 37 jobs and is currently training 100 students in Metal and Manufacturing Engineering levels II, III and IV learnerships, as accredited by the Manufacturing, Engineering and Related Services Sector Education and Training Authority. It intends to absorb about </w:t>
      </w:r>
      <w:r w:rsidR="004C07DE" w:rsidRPr="00921120">
        <w:rPr>
          <w:rFonts w:ascii="Arial" w:hAnsi="Arial" w:cs="Arial"/>
          <w:sz w:val="20"/>
          <w:szCs w:val="20"/>
        </w:rPr>
        <w:t>ten</w:t>
      </w:r>
      <w:r w:rsidRPr="00921120">
        <w:rPr>
          <w:rFonts w:ascii="Arial" w:hAnsi="Arial" w:cs="Arial"/>
          <w:sz w:val="20"/>
          <w:szCs w:val="20"/>
        </w:rPr>
        <w:t xml:space="preserve"> students at the end of the learnership dependent on the electricity situation, among others. </w:t>
      </w:r>
    </w:p>
    <w:p w:rsidR="007C79B9" w:rsidRPr="00921120" w:rsidRDefault="007C79B9" w:rsidP="00921120">
      <w:pPr>
        <w:spacing w:line="240" w:lineRule="auto"/>
        <w:jc w:val="left"/>
        <w:rPr>
          <w:rFonts w:ascii="Arial" w:hAnsi="Arial" w:cs="Arial"/>
          <w:sz w:val="20"/>
          <w:szCs w:val="20"/>
        </w:rPr>
      </w:pPr>
    </w:p>
    <w:p w:rsidR="007C79B9" w:rsidRPr="00921120" w:rsidRDefault="007C79B9" w:rsidP="00921120">
      <w:pPr>
        <w:spacing w:line="240" w:lineRule="auto"/>
        <w:jc w:val="left"/>
        <w:rPr>
          <w:rFonts w:ascii="Arial" w:hAnsi="Arial" w:cs="Arial"/>
          <w:sz w:val="20"/>
          <w:szCs w:val="20"/>
        </w:rPr>
      </w:pPr>
      <w:r w:rsidRPr="00921120">
        <w:rPr>
          <w:rFonts w:ascii="Arial" w:hAnsi="Arial" w:cs="Arial"/>
          <w:sz w:val="20"/>
          <w:szCs w:val="20"/>
        </w:rPr>
        <w:t xml:space="preserve">The factory has the capacity to manufacture 30 000 metres </w:t>
      </w:r>
      <w:r w:rsidR="00773B46" w:rsidRPr="00921120">
        <w:rPr>
          <w:rFonts w:ascii="Arial" w:hAnsi="Arial" w:cs="Arial"/>
          <w:sz w:val="20"/>
          <w:szCs w:val="20"/>
        </w:rPr>
        <w:t xml:space="preserve">of sheeting </w:t>
      </w:r>
      <w:r w:rsidRPr="00921120">
        <w:rPr>
          <w:rFonts w:ascii="Arial" w:hAnsi="Arial" w:cs="Arial"/>
          <w:sz w:val="20"/>
          <w:szCs w:val="20"/>
        </w:rPr>
        <w:t xml:space="preserve">per day but manufacture </w:t>
      </w:r>
      <w:r w:rsidR="004C07DE" w:rsidRPr="00921120">
        <w:rPr>
          <w:rFonts w:ascii="Arial" w:hAnsi="Arial" w:cs="Arial"/>
          <w:sz w:val="20"/>
          <w:szCs w:val="20"/>
        </w:rPr>
        <w:t xml:space="preserve">based on </w:t>
      </w:r>
      <w:r w:rsidRPr="00921120">
        <w:rPr>
          <w:rFonts w:ascii="Arial" w:hAnsi="Arial" w:cs="Arial"/>
          <w:sz w:val="20"/>
          <w:szCs w:val="20"/>
        </w:rPr>
        <w:t>orders</w:t>
      </w:r>
      <w:r w:rsidR="004C07DE" w:rsidRPr="00921120">
        <w:rPr>
          <w:rFonts w:ascii="Arial" w:hAnsi="Arial" w:cs="Arial"/>
          <w:sz w:val="20"/>
          <w:szCs w:val="20"/>
        </w:rPr>
        <w:t xml:space="preserve"> received</w:t>
      </w:r>
      <w:r w:rsidRPr="00921120">
        <w:rPr>
          <w:rFonts w:ascii="Arial" w:hAnsi="Arial" w:cs="Arial"/>
          <w:sz w:val="20"/>
          <w:szCs w:val="20"/>
        </w:rPr>
        <w:t xml:space="preserve">; therefore, it does not store ready-made stock. It is currently ISO 9001 certified and is in the process of obtaining ISO 45001 certification. </w:t>
      </w:r>
    </w:p>
    <w:p w:rsidR="007C79B9" w:rsidRPr="00921120" w:rsidRDefault="007C79B9" w:rsidP="00921120">
      <w:pPr>
        <w:spacing w:line="240" w:lineRule="auto"/>
        <w:jc w:val="left"/>
        <w:rPr>
          <w:rFonts w:ascii="Arial" w:hAnsi="Arial" w:cs="Arial"/>
          <w:sz w:val="20"/>
          <w:szCs w:val="20"/>
        </w:rPr>
      </w:pPr>
    </w:p>
    <w:p w:rsidR="007C79B9" w:rsidRPr="00921120" w:rsidRDefault="007C79B9" w:rsidP="00921120">
      <w:pPr>
        <w:spacing w:line="240" w:lineRule="auto"/>
        <w:jc w:val="left"/>
        <w:rPr>
          <w:rFonts w:ascii="Arial" w:hAnsi="Arial" w:cs="Arial"/>
          <w:sz w:val="20"/>
          <w:szCs w:val="20"/>
        </w:rPr>
      </w:pPr>
      <w:r w:rsidRPr="00921120">
        <w:rPr>
          <w:rFonts w:ascii="Arial" w:hAnsi="Arial" w:cs="Arial"/>
          <w:sz w:val="20"/>
          <w:szCs w:val="20"/>
        </w:rPr>
        <w:t xml:space="preserve">The company received funding from the Small Enterprise Finance Agency (SEFA) for two machines. Subsequently, the company purchased a third machine from the profit generated and built a machine </w:t>
      </w:r>
      <w:r w:rsidR="004C07DE" w:rsidRPr="00921120">
        <w:rPr>
          <w:rFonts w:ascii="Arial" w:hAnsi="Arial" w:cs="Arial"/>
          <w:sz w:val="20"/>
          <w:szCs w:val="20"/>
        </w:rPr>
        <w:t xml:space="preserve">in-house </w:t>
      </w:r>
      <w:r w:rsidRPr="00921120">
        <w:rPr>
          <w:rFonts w:ascii="Arial" w:hAnsi="Arial" w:cs="Arial"/>
          <w:sz w:val="20"/>
          <w:szCs w:val="20"/>
        </w:rPr>
        <w:t>to manufacture flashings and barge boards.  Its future plan is to move into a bigger factory, acquire more machinery and create more jobs.</w:t>
      </w:r>
    </w:p>
    <w:p w:rsidR="007C79B9" w:rsidRPr="00921120" w:rsidRDefault="007C79B9" w:rsidP="00921120">
      <w:pPr>
        <w:spacing w:line="240" w:lineRule="auto"/>
        <w:jc w:val="left"/>
        <w:rPr>
          <w:rFonts w:ascii="Arial" w:hAnsi="Arial" w:cs="Arial"/>
          <w:sz w:val="20"/>
          <w:szCs w:val="20"/>
        </w:rPr>
      </w:pPr>
    </w:p>
    <w:p w:rsidR="007C79B9" w:rsidRPr="00921120" w:rsidRDefault="0041041F" w:rsidP="00921120">
      <w:pPr>
        <w:spacing w:line="240" w:lineRule="auto"/>
        <w:jc w:val="left"/>
        <w:rPr>
          <w:rFonts w:ascii="Arial" w:hAnsi="Arial" w:cs="Arial"/>
          <w:sz w:val="20"/>
          <w:szCs w:val="20"/>
        </w:rPr>
      </w:pPr>
      <w:r w:rsidRPr="00921120">
        <w:rPr>
          <w:rFonts w:ascii="Arial" w:hAnsi="Arial" w:cs="Arial"/>
          <w:sz w:val="20"/>
          <w:szCs w:val="20"/>
        </w:rPr>
        <w:t xml:space="preserve">The company reported that </w:t>
      </w:r>
      <w:r w:rsidR="00773B46" w:rsidRPr="00921120">
        <w:rPr>
          <w:rFonts w:ascii="Arial" w:hAnsi="Arial" w:cs="Arial"/>
          <w:sz w:val="20"/>
          <w:szCs w:val="20"/>
        </w:rPr>
        <w:t>the local supply of steel had</w:t>
      </w:r>
      <w:r w:rsidR="007C79B9" w:rsidRPr="00921120">
        <w:rPr>
          <w:rFonts w:ascii="Arial" w:hAnsi="Arial" w:cs="Arial"/>
          <w:sz w:val="20"/>
          <w:szCs w:val="20"/>
        </w:rPr>
        <w:t xml:space="preserve"> been negat</w:t>
      </w:r>
      <w:r w:rsidR="00773B46" w:rsidRPr="00921120">
        <w:rPr>
          <w:rFonts w:ascii="Arial" w:hAnsi="Arial" w:cs="Arial"/>
          <w:sz w:val="20"/>
          <w:szCs w:val="20"/>
        </w:rPr>
        <w:t>ively affected by load-shedding. This</w:t>
      </w:r>
      <w:r w:rsidR="007C79B9" w:rsidRPr="00921120">
        <w:rPr>
          <w:rFonts w:ascii="Arial" w:hAnsi="Arial" w:cs="Arial"/>
          <w:sz w:val="20"/>
          <w:szCs w:val="20"/>
        </w:rPr>
        <w:t xml:space="preserve"> </w:t>
      </w:r>
      <w:r w:rsidR="00773B46" w:rsidRPr="00921120">
        <w:rPr>
          <w:rFonts w:ascii="Arial" w:hAnsi="Arial" w:cs="Arial"/>
          <w:sz w:val="20"/>
          <w:szCs w:val="20"/>
        </w:rPr>
        <w:t>consequently impacted</w:t>
      </w:r>
      <w:r w:rsidR="007C79B9" w:rsidRPr="00921120">
        <w:rPr>
          <w:rFonts w:ascii="Arial" w:hAnsi="Arial" w:cs="Arial"/>
          <w:sz w:val="20"/>
          <w:szCs w:val="20"/>
        </w:rPr>
        <w:t xml:space="preserve"> on </w:t>
      </w:r>
      <w:r w:rsidR="00773B46" w:rsidRPr="00921120">
        <w:rPr>
          <w:rFonts w:ascii="Arial" w:hAnsi="Arial" w:cs="Arial"/>
          <w:sz w:val="20"/>
          <w:szCs w:val="20"/>
        </w:rPr>
        <w:t>its</w:t>
      </w:r>
      <w:r w:rsidR="007C79B9" w:rsidRPr="00921120">
        <w:rPr>
          <w:rFonts w:ascii="Arial" w:hAnsi="Arial" w:cs="Arial"/>
          <w:sz w:val="20"/>
          <w:szCs w:val="20"/>
        </w:rPr>
        <w:t xml:space="preserve"> productivity due to a shortage of material.</w:t>
      </w:r>
    </w:p>
    <w:p w:rsidR="007C79B9" w:rsidRPr="00921120" w:rsidRDefault="007C79B9" w:rsidP="00921120">
      <w:pPr>
        <w:spacing w:line="240" w:lineRule="auto"/>
        <w:jc w:val="left"/>
        <w:rPr>
          <w:rFonts w:ascii="Arial" w:hAnsi="Arial" w:cs="Arial"/>
          <w:sz w:val="20"/>
          <w:szCs w:val="20"/>
        </w:rPr>
      </w:pPr>
    </w:p>
    <w:p w:rsidR="007C79B9" w:rsidRPr="00921120" w:rsidRDefault="007C79B9" w:rsidP="00921120">
      <w:pPr>
        <w:pStyle w:val="Heading3"/>
        <w:spacing w:line="240" w:lineRule="auto"/>
        <w:jc w:val="left"/>
        <w:rPr>
          <w:rFonts w:ascii="Arial" w:hAnsi="Arial" w:cs="Arial"/>
          <w:sz w:val="20"/>
          <w:szCs w:val="20"/>
        </w:rPr>
      </w:pPr>
      <w:r w:rsidRPr="00921120">
        <w:rPr>
          <w:rFonts w:ascii="Arial" w:hAnsi="Arial" w:cs="Arial"/>
          <w:sz w:val="20"/>
          <w:szCs w:val="20"/>
        </w:rPr>
        <w:t>P and J Food Supply</w:t>
      </w:r>
    </w:p>
    <w:p w:rsidR="007C79B9" w:rsidRPr="00921120" w:rsidRDefault="007C79B9" w:rsidP="00921120">
      <w:pPr>
        <w:spacing w:line="240" w:lineRule="auto"/>
        <w:jc w:val="left"/>
        <w:rPr>
          <w:rFonts w:ascii="Arial" w:hAnsi="Arial" w:cs="Arial"/>
          <w:sz w:val="20"/>
          <w:szCs w:val="20"/>
        </w:rPr>
      </w:pPr>
      <w:r w:rsidRPr="00921120">
        <w:rPr>
          <w:rFonts w:ascii="Arial" w:hAnsi="Arial" w:cs="Arial"/>
          <w:sz w:val="20"/>
          <w:szCs w:val="20"/>
        </w:rPr>
        <w:t>P and J Food Supply is a black-owned company manufacturing wholesale and retail mango atchar and also distributing food to schools. It is one of three atchar producing companies in the Industrial Park. The factory started its operation in 2015 and occupies a 1 335 m² factory in the Industrial Park. The atchar is mainly sold to wholesalers within the Limpopo and Mpumalanga Provinces. At full capacity, the factory can produce 20 000kg of atchar per day. The company employs 28 people, of which 18 are female.</w:t>
      </w:r>
    </w:p>
    <w:p w:rsidR="007C79B9" w:rsidRPr="00921120" w:rsidRDefault="007C79B9" w:rsidP="00921120">
      <w:pPr>
        <w:spacing w:line="240" w:lineRule="auto"/>
        <w:jc w:val="left"/>
        <w:rPr>
          <w:rFonts w:ascii="Arial" w:hAnsi="Arial" w:cs="Arial"/>
          <w:sz w:val="20"/>
          <w:szCs w:val="20"/>
        </w:rPr>
      </w:pPr>
    </w:p>
    <w:p w:rsidR="007C79B9" w:rsidRPr="00921120" w:rsidRDefault="007C79B9" w:rsidP="00921120">
      <w:pPr>
        <w:spacing w:line="240" w:lineRule="auto"/>
        <w:jc w:val="left"/>
        <w:rPr>
          <w:rFonts w:ascii="Arial" w:hAnsi="Arial" w:cs="Arial"/>
          <w:sz w:val="20"/>
          <w:szCs w:val="20"/>
        </w:rPr>
      </w:pPr>
      <w:r w:rsidRPr="00921120">
        <w:rPr>
          <w:rFonts w:ascii="Arial" w:hAnsi="Arial" w:cs="Arial"/>
          <w:sz w:val="20"/>
          <w:szCs w:val="20"/>
        </w:rPr>
        <w:t xml:space="preserve">The company noted that it had a challenge with accessing appropriate weighing equipment. Thus, it used the weighbridge to determine the weight of green mangoes that it purchases. </w:t>
      </w:r>
      <w:r w:rsidR="003C3ED7" w:rsidRPr="00921120">
        <w:rPr>
          <w:rFonts w:ascii="Arial" w:hAnsi="Arial" w:cs="Arial"/>
          <w:sz w:val="20"/>
          <w:szCs w:val="20"/>
        </w:rPr>
        <w:t>Furthermore, t</w:t>
      </w:r>
      <w:r w:rsidRPr="00921120">
        <w:rPr>
          <w:rFonts w:ascii="Arial" w:hAnsi="Arial" w:cs="Arial"/>
          <w:sz w:val="20"/>
          <w:szCs w:val="20"/>
        </w:rPr>
        <w:t>he Committee observed that the roller door for the storage area had been damaged and was unable to close. LEDA reported that the damage was due to an accident and the door had been in this condition for quite some time. The Committee requested LEDA to fix the door as a matter of urgency, as its tardiness in resolving the matter affected the</w:t>
      </w:r>
      <w:r w:rsidR="002A6E4A" w:rsidRPr="00921120">
        <w:rPr>
          <w:rFonts w:ascii="Arial" w:hAnsi="Arial" w:cs="Arial"/>
          <w:sz w:val="20"/>
          <w:szCs w:val="20"/>
        </w:rPr>
        <w:t xml:space="preserve"> security of the tenant, and the</w:t>
      </w:r>
      <w:r w:rsidRPr="00921120">
        <w:rPr>
          <w:rFonts w:ascii="Arial" w:hAnsi="Arial" w:cs="Arial"/>
          <w:sz w:val="20"/>
          <w:szCs w:val="20"/>
        </w:rPr>
        <w:t xml:space="preserve"> reputation of the Industrial Park.</w:t>
      </w:r>
    </w:p>
    <w:p w:rsidR="007C79B9" w:rsidRPr="00921120" w:rsidRDefault="007C79B9" w:rsidP="00921120">
      <w:pPr>
        <w:spacing w:line="240" w:lineRule="auto"/>
        <w:jc w:val="left"/>
        <w:rPr>
          <w:rFonts w:ascii="Arial" w:hAnsi="Arial" w:cs="Arial"/>
          <w:sz w:val="20"/>
          <w:szCs w:val="20"/>
        </w:rPr>
      </w:pPr>
    </w:p>
    <w:p w:rsidR="007C79B9" w:rsidRPr="00921120" w:rsidRDefault="007C79B9" w:rsidP="00921120">
      <w:pPr>
        <w:spacing w:line="240" w:lineRule="auto"/>
        <w:jc w:val="left"/>
        <w:rPr>
          <w:rFonts w:ascii="Arial" w:hAnsi="Arial" w:cs="Arial"/>
          <w:sz w:val="20"/>
          <w:szCs w:val="20"/>
        </w:rPr>
      </w:pPr>
      <w:r w:rsidRPr="00921120">
        <w:rPr>
          <w:rFonts w:ascii="Arial" w:hAnsi="Arial" w:cs="Arial"/>
          <w:sz w:val="20"/>
          <w:szCs w:val="20"/>
        </w:rPr>
        <w:t xml:space="preserve">The Committee was </w:t>
      </w:r>
      <w:r w:rsidR="003C3ED7" w:rsidRPr="00921120">
        <w:rPr>
          <w:rFonts w:ascii="Arial" w:hAnsi="Arial" w:cs="Arial"/>
          <w:sz w:val="20"/>
          <w:szCs w:val="20"/>
        </w:rPr>
        <w:t xml:space="preserve">also </w:t>
      </w:r>
      <w:r w:rsidRPr="00921120">
        <w:rPr>
          <w:rFonts w:ascii="Arial" w:hAnsi="Arial" w:cs="Arial"/>
          <w:sz w:val="20"/>
          <w:szCs w:val="20"/>
        </w:rPr>
        <w:t>concerned that P and J Food Supply was not able to upscale its production to effectively compete with the large commercial producers due to economies of scale and lack of quality assurance certification.</w:t>
      </w:r>
    </w:p>
    <w:p w:rsidR="007C79B9" w:rsidRPr="00921120" w:rsidRDefault="007C79B9" w:rsidP="00921120">
      <w:pPr>
        <w:spacing w:line="240" w:lineRule="auto"/>
        <w:jc w:val="left"/>
        <w:rPr>
          <w:rFonts w:ascii="Arial" w:hAnsi="Arial" w:cs="Arial"/>
          <w:sz w:val="20"/>
          <w:szCs w:val="20"/>
        </w:rPr>
      </w:pPr>
    </w:p>
    <w:p w:rsidR="007C79B9" w:rsidRPr="00921120" w:rsidRDefault="007C79B9" w:rsidP="00921120">
      <w:pPr>
        <w:pStyle w:val="Heading3"/>
        <w:spacing w:line="240" w:lineRule="auto"/>
        <w:jc w:val="left"/>
        <w:rPr>
          <w:rFonts w:ascii="Arial" w:hAnsi="Arial" w:cs="Arial"/>
          <w:sz w:val="20"/>
          <w:szCs w:val="20"/>
        </w:rPr>
      </w:pPr>
      <w:r w:rsidRPr="00921120">
        <w:rPr>
          <w:rFonts w:ascii="Arial" w:hAnsi="Arial" w:cs="Arial"/>
          <w:sz w:val="20"/>
          <w:szCs w:val="20"/>
        </w:rPr>
        <w:t>Peppadew (Pty) Ltd</w:t>
      </w:r>
    </w:p>
    <w:p w:rsidR="00062F97" w:rsidRPr="00921120" w:rsidRDefault="007C79B9" w:rsidP="00921120">
      <w:pPr>
        <w:pStyle w:val="Default"/>
        <w:rPr>
          <w:rFonts w:ascii="Arial" w:hAnsi="Arial" w:cs="Arial"/>
          <w:bCs/>
          <w:color w:val="auto"/>
          <w:sz w:val="20"/>
          <w:szCs w:val="20"/>
        </w:rPr>
      </w:pPr>
      <w:r w:rsidRPr="00921120">
        <w:rPr>
          <w:rFonts w:ascii="Arial" w:hAnsi="Arial" w:cs="Arial"/>
          <w:color w:val="auto"/>
          <w:sz w:val="20"/>
          <w:szCs w:val="20"/>
        </w:rPr>
        <w:t>Peppadew</w:t>
      </w:r>
      <w:r w:rsidR="00211F19" w:rsidRPr="00921120">
        <w:rPr>
          <w:rFonts w:ascii="Arial" w:hAnsi="Arial" w:cs="Arial"/>
          <w:color w:val="auto"/>
          <w:sz w:val="20"/>
          <w:szCs w:val="20"/>
        </w:rPr>
        <w:t xml:space="preserve"> (Pty) Ltd</w:t>
      </w:r>
      <w:r w:rsidRPr="00921120">
        <w:rPr>
          <w:rFonts w:ascii="Arial" w:hAnsi="Arial" w:cs="Arial"/>
          <w:color w:val="auto"/>
          <w:sz w:val="20"/>
          <w:szCs w:val="20"/>
        </w:rPr>
        <w:t xml:space="preserve"> manufactures </w:t>
      </w:r>
      <w:r w:rsidR="00062F97" w:rsidRPr="00921120">
        <w:rPr>
          <w:rFonts w:ascii="Arial" w:hAnsi="Arial" w:cs="Arial"/>
          <w:color w:val="auto"/>
          <w:sz w:val="20"/>
          <w:szCs w:val="20"/>
        </w:rPr>
        <w:t xml:space="preserve">about 38 </w:t>
      </w:r>
      <w:r w:rsidR="00211F19" w:rsidRPr="00921120">
        <w:rPr>
          <w:rFonts w:ascii="Arial" w:hAnsi="Arial" w:cs="Arial"/>
          <w:color w:val="auto"/>
          <w:sz w:val="20"/>
          <w:szCs w:val="20"/>
        </w:rPr>
        <w:t>sweet piquanté pepper</w:t>
      </w:r>
      <w:r w:rsidRPr="00921120">
        <w:rPr>
          <w:rFonts w:ascii="Arial" w:hAnsi="Arial" w:cs="Arial"/>
          <w:color w:val="auto"/>
          <w:sz w:val="20"/>
          <w:szCs w:val="20"/>
        </w:rPr>
        <w:t xml:space="preserve"> </w:t>
      </w:r>
      <w:r w:rsidR="00062F97" w:rsidRPr="00921120">
        <w:rPr>
          <w:rFonts w:ascii="Arial" w:hAnsi="Arial" w:cs="Arial"/>
          <w:color w:val="auto"/>
          <w:sz w:val="20"/>
          <w:szCs w:val="20"/>
        </w:rPr>
        <w:t xml:space="preserve">based </w:t>
      </w:r>
      <w:r w:rsidRPr="00921120">
        <w:rPr>
          <w:rFonts w:ascii="Arial" w:hAnsi="Arial" w:cs="Arial"/>
          <w:color w:val="auto"/>
          <w:sz w:val="20"/>
          <w:szCs w:val="20"/>
        </w:rPr>
        <w:t>products; and a range of spices for local, national and international</w:t>
      </w:r>
      <w:r w:rsidR="000F6811" w:rsidRPr="00921120">
        <w:rPr>
          <w:rFonts w:ascii="Arial" w:hAnsi="Arial" w:cs="Arial"/>
          <w:color w:val="auto"/>
          <w:sz w:val="20"/>
          <w:szCs w:val="20"/>
        </w:rPr>
        <w:t xml:space="preserve"> distribution</w:t>
      </w:r>
      <w:r w:rsidRPr="00921120">
        <w:rPr>
          <w:rFonts w:ascii="Arial" w:hAnsi="Arial" w:cs="Arial"/>
          <w:color w:val="auto"/>
          <w:sz w:val="20"/>
          <w:szCs w:val="20"/>
        </w:rPr>
        <w:t>. In South Africa, it supplies chain stores including Spar, Woolworths, Checkers, Pick n Pay, as well as private accommodation and restaurants</w:t>
      </w:r>
      <w:r w:rsidRPr="00921120">
        <w:rPr>
          <w:rFonts w:ascii="Arial" w:hAnsi="Arial" w:cs="Arial"/>
          <w:bCs/>
          <w:color w:val="auto"/>
          <w:sz w:val="20"/>
          <w:szCs w:val="20"/>
        </w:rPr>
        <w:t xml:space="preserve">. </w:t>
      </w:r>
      <w:r w:rsidR="00062F97" w:rsidRPr="00921120">
        <w:rPr>
          <w:rFonts w:ascii="Arial" w:hAnsi="Arial" w:cs="Arial"/>
          <w:bCs/>
          <w:color w:val="auto"/>
          <w:sz w:val="20"/>
          <w:szCs w:val="20"/>
        </w:rPr>
        <w:t>About 70</w:t>
      </w:r>
      <w:r w:rsidR="00AC0EDA" w:rsidRPr="00921120">
        <w:rPr>
          <w:rFonts w:ascii="Arial" w:hAnsi="Arial" w:cs="Arial"/>
          <w:bCs/>
          <w:color w:val="auto"/>
          <w:sz w:val="20"/>
          <w:szCs w:val="20"/>
        </w:rPr>
        <w:t>%</w:t>
      </w:r>
      <w:r w:rsidR="00062F97" w:rsidRPr="00921120">
        <w:rPr>
          <w:rFonts w:ascii="Arial" w:hAnsi="Arial" w:cs="Arial"/>
          <w:bCs/>
          <w:color w:val="auto"/>
          <w:sz w:val="20"/>
          <w:szCs w:val="20"/>
        </w:rPr>
        <w:t xml:space="preserve"> of its products are exported to about 29 countries, of which the United States of America and a number of European countries are its biggest importing countries. </w:t>
      </w:r>
      <w:r w:rsidR="00E0451A" w:rsidRPr="00921120">
        <w:rPr>
          <w:rFonts w:ascii="Arial" w:hAnsi="Arial" w:cs="Arial"/>
          <w:bCs/>
          <w:color w:val="auto"/>
          <w:sz w:val="20"/>
          <w:szCs w:val="20"/>
        </w:rPr>
        <w:t xml:space="preserve">Therefore, the company is subject to a number of additional international quality standards to maintain these </w:t>
      </w:r>
      <w:r w:rsidR="0041041F" w:rsidRPr="00921120">
        <w:rPr>
          <w:rFonts w:ascii="Arial" w:hAnsi="Arial" w:cs="Arial"/>
          <w:bCs/>
          <w:color w:val="auto"/>
          <w:sz w:val="20"/>
          <w:szCs w:val="20"/>
        </w:rPr>
        <w:t xml:space="preserve">trade </w:t>
      </w:r>
      <w:r w:rsidR="00E0451A" w:rsidRPr="00921120">
        <w:rPr>
          <w:rFonts w:ascii="Arial" w:hAnsi="Arial" w:cs="Arial"/>
          <w:bCs/>
          <w:color w:val="auto"/>
          <w:sz w:val="20"/>
          <w:szCs w:val="20"/>
        </w:rPr>
        <w:t>relationships.</w:t>
      </w:r>
    </w:p>
    <w:p w:rsidR="00062F97" w:rsidRPr="00921120" w:rsidRDefault="00062F97" w:rsidP="00921120">
      <w:pPr>
        <w:pStyle w:val="Default"/>
        <w:rPr>
          <w:rFonts w:ascii="Arial" w:hAnsi="Arial" w:cs="Arial"/>
          <w:bCs/>
          <w:color w:val="auto"/>
          <w:sz w:val="20"/>
          <w:szCs w:val="20"/>
        </w:rPr>
      </w:pPr>
    </w:p>
    <w:p w:rsidR="007C79B9" w:rsidRPr="00921120" w:rsidRDefault="007C79B9" w:rsidP="00921120">
      <w:pPr>
        <w:pStyle w:val="Default"/>
        <w:rPr>
          <w:rFonts w:ascii="Arial" w:hAnsi="Arial" w:cs="Arial"/>
          <w:color w:val="auto"/>
          <w:sz w:val="20"/>
          <w:szCs w:val="20"/>
        </w:rPr>
      </w:pPr>
      <w:r w:rsidRPr="00921120">
        <w:rPr>
          <w:rFonts w:ascii="Arial" w:hAnsi="Arial" w:cs="Arial"/>
          <w:bCs/>
          <w:color w:val="auto"/>
          <w:sz w:val="20"/>
          <w:szCs w:val="20"/>
        </w:rPr>
        <w:t xml:space="preserve">It </w:t>
      </w:r>
      <w:r w:rsidRPr="00921120">
        <w:rPr>
          <w:rFonts w:ascii="Arial" w:hAnsi="Arial" w:cs="Arial"/>
          <w:color w:val="auto"/>
          <w:sz w:val="20"/>
          <w:szCs w:val="20"/>
        </w:rPr>
        <w:t xml:space="preserve">operates from 14 factories in the Industrial Park covering an area of 33 140m². It started its operations in 1995. </w:t>
      </w:r>
      <w:r w:rsidR="00BD4427" w:rsidRPr="00921120">
        <w:rPr>
          <w:rFonts w:ascii="Arial" w:hAnsi="Arial" w:cs="Arial"/>
          <w:color w:val="auto"/>
          <w:sz w:val="20"/>
          <w:szCs w:val="20"/>
        </w:rPr>
        <w:t>It is one of the largest employers in the Nkowankowa area.</w:t>
      </w:r>
      <w:r w:rsidR="00BD4427" w:rsidRPr="00921120">
        <w:rPr>
          <w:rFonts w:ascii="Arial" w:hAnsi="Arial" w:cs="Arial"/>
          <w:bCs/>
          <w:color w:val="000000" w:themeColor="text1"/>
          <w:sz w:val="20"/>
          <w:szCs w:val="20"/>
        </w:rPr>
        <w:t xml:space="preserve"> </w:t>
      </w:r>
      <w:r w:rsidRPr="00921120">
        <w:rPr>
          <w:rFonts w:ascii="Arial" w:hAnsi="Arial" w:cs="Arial"/>
          <w:color w:val="auto"/>
          <w:sz w:val="20"/>
          <w:szCs w:val="20"/>
        </w:rPr>
        <w:t xml:space="preserve">It has 188 permanent employees (59 African males and 129 Females), 543 annual rotational employees (128 African males and 415 African females), and 1 969 seasonal employees. </w:t>
      </w:r>
      <w:r w:rsidR="00062F97" w:rsidRPr="00921120">
        <w:rPr>
          <w:rFonts w:ascii="Arial" w:hAnsi="Arial" w:cs="Arial"/>
          <w:bCs/>
          <w:color w:val="000000" w:themeColor="text1"/>
          <w:sz w:val="20"/>
          <w:szCs w:val="20"/>
        </w:rPr>
        <w:t xml:space="preserve">Seasonal employment was so high, as the seeds of the peppers are removed manually </w:t>
      </w:r>
      <w:r w:rsidR="00BD4427" w:rsidRPr="00921120">
        <w:rPr>
          <w:rFonts w:ascii="Arial" w:hAnsi="Arial" w:cs="Arial"/>
          <w:bCs/>
          <w:color w:val="000000" w:themeColor="text1"/>
          <w:sz w:val="20"/>
          <w:szCs w:val="20"/>
        </w:rPr>
        <w:t xml:space="preserve">for the fruit to be </w:t>
      </w:r>
      <w:r w:rsidR="00062F97" w:rsidRPr="00921120">
        <w:rPr>
          <w:rFonts w:ascii="Arial" w:hAnsi="Arial" w:cs="Arial"/>
          <w:bCs/>
          <w:color w:val="000000" w:themeColor="text1"/>
          <w:sz w:val="20"/>
          <w:szCs w:val="20"/>
        </w:rPr>
        <w:t>process</w:t>
      </w:r>
      <w:r w:rsidR="00BD4427" w:rsidRPr="00921120">
        <w:rPr>
          <w:rFonts w:ascii="Arial" w:hAnsi="Arial" w:cs="Arial"/>
          <w:bCs/>
          <w:color w:val="000000" w:themeColor="text1"/>
          <w:sz w:val="20"/>
          <w:szCs w:val="20"/>
        </w:rPr>
        <w:t>ed</w:t>
      </w:r>
      <w:r w:rsidR="00701497" w:rsidRPr="00921120">
        <w:rPr>
          <w:rFonts w:ascii="Arial" w:hAnsi="Arial" w:cs="Arial"/>
          <w:bCs/>
          <w:color w:val="000000" w:themeColor="text1"/>
          <w:sz w:val="20"/>
          <w:szCs w:val="20"/>
        </w:rPr>
        <w:t xml:space="preserve"> within 24 hours</w:t>
      </w:r>
      <w:r w:rsidR="00BD4427" w:rsidRPr="00921120">
        <w:rPr>
          <w:rFonts w:ascii="Arial" w:hAnsi="Arial" w:cs="Arial"/>
          <w:bCs/>
          <w:color w:val="000000" w:themeColor="text1"/>
          <w:sz w:val="20"/>
          <w:szCs w:val="20"/>
        </w:rPr>
        <w:t xml:space="preserve"> thereafter</w:t>
      </w:r>
      <w:r w:rsidR="00062F97" w:rsidRPr="00921120">
        <w:rPr>
          <w:rFonts w:ascii="Arial" w:hAnsi="Arial" w:cs="Arial"/>
          <w:bCs/>
          <w:color w:val="000000" w:themeColor="text1"/>
          <w:sz w:val="20"/>
          <w:szCs w:val="20"/>
        </w:rPr>
        <w:t>.</w:t>
      </w:r>
    </w:p>
    <w:p w:rsidR="007C79B9" w:rsidRPr="00921120" w:rsidRDefault="007C79B9" w:rsidP="00921120">
      <w:pPr>
        <w:spacing w:line="240" w:lineRule="auto"/>
        <w:jc w:val="left"/>
        <w:rPr>
          <w:rFonts w:ascii="Arial" w:hAnsi="Arial" w:cs="Arial"/>
          <w:b/>
          <w:bCs/>
          <w:color w:val="528135"/>
          <w:sz w:val="20"/>
          <w:szCs w:val="20"/>
        </w:rPr>
      </w:pPr>
    </w:p>
    <w:p w:rsidR="0051141D" w:rsidRPr="00921120" w:rsidRDefault="0051141D" w:rsidP="00921120">
      <w:pPr>
        <w:spacing w:line="240" w:lineRule="auto"/>
        <w:jc w:val="left"/>
        <w:rPr>
          <w:rFonts w:ascii="Arial" w:hAnsi="Arial" w:cs="Arial"/>
          <w:bCs/>
          <w:color w:val="000000" w:themeColor="text1"/>
          <w:sz w:val="20"/>
          <w:szCs w:val="20"/>
        </w:rPr>
      </w:pPr>
      <w:r w:rsidRPr="00921120">
        <w:rPr>
          <w:rFonts w:ascii="Arial" w:hAnsi="Arial" w:cs="Arial"/>
          <w:bCs/>
          <w:color w:val="000000" w:themeColor="text1"/>
          <w:sz w:val="20"/>
          <w:szCs w:val="20"/>
        </w:rPr>
        <w:t xml:space="preserve">It receives its fresh produce from local farmers, of which 39 black farmers have been exclusively contracted to supply Peppadew. </w:t>
      </w:r>
      <w:r w:rsidR="00BD4427" w:rsidRPr="00921120">
        <w:rPr>
          <w:rFonts w:ascii="Arial" w:hAnsi="Arial" w:cs="Arial"/>
          <w:bCs/>
          <w:color w:val="000000" w:themeColor="text1"/>
          <w:sz w:val="20"/>
          <w:szCs w:val="20"/>
        </w:rPr>
        <w:t>I</w:t>
      </w:r>
      <w:r w:rsidRPr="00921120">
        <w:rPr>
          <w:rFonts w:ascii="Arial" w:hAnsi="Arial" w:cs="Arial"/>
          <w:bCs/>
          <w:color w:val="000000" w:themeColor="text1"/>
          <w:sz w:val="20"/>
          <w:szCs w:val="20"/>
        </w:rPr>
        <w:t>t supports the</w:t>
      </w:r>
      <w:r w:rsidR="00BD4427" w:rsidRPr="00921120">
        <w:rPr>
          <w:rFonts w:ascii="Arial" w:hAnsi="Arial" w:cs="Arial"/>
          <w:bCs/>
          <w:color w:val="000000" w:themeColor="text1"/>
          <w:sz w:val="20"/>
          <w:szCs w:val="20"/>
        </w:rPr>
        <w:t xml:space="preserve"> black</w:t>
      </w:r>
      <w:r w:rsidRPr="00921120">
        <w:rPr>
          <w:rFonts w:ascii="Arial" w:hAnsi="Arial" w:cs="Arial"/>
          <w:bCs/>
          <w:color w:val="000000" w:themeColor="text1"/>
          <w:sz w:val="20"/>
          <w:szCs w:val="20"/>
        </w:rPr>
        <w:t xml:space="preserve"> farmers by providing seedlings </w:t>
      </w:r>
      <w:r w:rsidR="00062F97" w:rsidRPr="00921120">
        <w:rPr>
          <w:rFonts w:ascii="Arial" w:hAnsi="Arial" w:cs="Arial"/>
          <w:bCs/>
          <w:color w:val="000000" w:themeColor="text1"/>
          <w:sz w:val="20"/>
          <w:szCs w:val="20"/>
        </w:rPr>
        <w:t>upfront</w:t>
      </w:r>
      <w:r w:rsidR="00BD4427" w:rsidRPr="00921120">
        <w:rPr>
          <w:rFonts w:ascii="Arial" w:hAnsi="Arial" w:cs="Arial"/>
          <w:bCs/>
          <w:color w:val="000000" w:themeColor="text1"/>
          <w:sz w:val="20"/>
          <w:szCs w:val="20"/>
        </w:rPr>
        <w:t>,</w:t>
      </w:r>
      <w:r w:rsidR="00062F97" w:rsidRPr="00921120">
        <w:rPr>
          <w:rFonts w:ascii="Arial" w:hAnsi="Arial" w:cs="Arial"/>
          <w:bCs/>
          <w:color w:val="000000" w:themeColor="text1"/>
          <w:sz w:val="20"/>
          <w:szCs w:val="20"/>
        </w:rPr>
        <w:t xml:space="preserve"> </w:t>
      </w:r>
      <w:r w:rsidR="00BD4427" w:rsidRPr="00921120">
        <w:rPr>
          <w:rFonts w:ascii="Arial" w:hAnsi="Arial" w:cs="Arial"/>
          <w:bCs/>
          <w:color w:val="000000" w:themeColor="text1"/>
          <w:sz w:val="20"/>
          <w:szCs w:val="20"/>
        </w:rPr>
        <w:t xml:space="preserve">as well as </w:t>
      </w:r>
      <w:r w:rsidRPr="00921120">
        <w:rPr>
          <w:rFonts w:ascii="Arial" w:hAnsi="Arial" w:cs="Arial"/>
          <w:bCs/>
          <w:color w:val="000000" w:themeColor="text1"/>
          <w:sz w:val="20"/>
          <w:szCs w:val="20"/>
        </w:rPr>
        <w:t xml:space="preserve">extensive agricultural services. In terms of the agricultural services provided, subject matter specialists assist them with land preparation, </w:t>
      </w:r>
      <w:r w:rsidR="00062F97" w:rsidRPr="00921120">
        <w:rPr>
          <w:rFonts w:ascii="Arial" w:hAnsi="Arial" w:cs="Arial"/>
          <w:bCs/>
          <w:color w:val="000000" w:themeColor="text1"/>
          <w:sz w:val="20"/>
          <w:szCs w:val="20"/>
        </w:rPr>
        <w:t xml:space="preserve">preparation for planting, fertiliser and chemical regimes, and harvesting. The cost of the seedlings is subtracted from the </w:t>
      </w:r>
      <w:r w:rsidR="00CE0D07" w:rsidRPr="00921120">
        <w:rPr>
          <w:rFonts w:ascii="Arial" w:hAnsi="Arial" w:cs="Arial"/>
          <w:bCs/>
          <w:color w:val="000000" w:themeColor="text1"/>
          <w:sz w:val="20"/>
          <w:szCs w:val="20"/>
        </w:rPr>
        <w:t xml:space="preserve">proceeds of the </w:t>
      </w:r>
      <w:r w:rsidR="00062F97" w:rsidRPr="00921120">
        <w:rPr>
          <w:rFonts w:ascii="Arial" w:hAnsi="Arial" w:cs="Arial"/>
          <w:bCs/>
          <w:color w:val="000000" w:themeColor="text1"/>
          <w:sz w:val="20"/>
          <w:szCs w:val="20"/>
        </w:rPr>
        <w:t xml:space="preserve">harvest received about five to six months after planting. This cost is also provided interest-free. </w:t>
      </w:r>
    </w:p>
    <w:p w:rsidR="00062F97" w:rsidRPr="00921120" w:rsidRDefault="00062F97" w:rsidP="00921120">
      <w:pPr>
        <w:spacing w:line="240" w:lineRule="auto"/>
        <w:jc w:val="left"/>
        <w:rPr>
          <w:rFonts w:ascii="Arial" w:hAnsi="Arial" w:cs="Arial"/>
          <w:bCs/>
          <w:color w:val="000000" w:themeColor="text1"/>
          <w:sz w:val="20"/>
          <w:szCs w:val="20"/>
        </w:rPr>
      </w:pPr>
    </w:p>
    <w:p w:rsidR="00100099" w:rsidRPr="00921120" w:rsidRDefault="00E0451A" w:rsidP="00921120">
      <w:pPr>
        <w:spacing w:line="240" w:lineRule="auto"/>
        <w:jc w:val="left"/>
        <w:rPr>
          <w:rFonts w:ascii="Arial" w:hAnsi="Arial" w:cs="Arial"/>
          <w:bCs/>
          <w:color w:val="000000" w:themeColor="text1"/>
          <w:sz w:val="20"/>
          <w:szCs w:val="20"/>
        </w:rPr>
      </w:pPr>
      <w:r w:rsidRPr="00921120">
        <w:rPr>
          <w:rFonts w:ascii="Arial" w:hAnsi="Arial" w:cs="Arial"/>
          <w:bCs/>
          <w:color w:val="000000" w:themeColor="text1"/>
          <w:sz w:val="20"/>
          <w:szCs w:val="20"/>
        </w:rPr>
        <w:t>There have been several issues with the supply of water from the local municipality</w:t>
      </w:r>
      <w:r w:rsidR="00313010" w:rsidRPr="00921120">
        <w:rPr>
          <w:rFonts w:ascii="Arial" w:hAnsi="Arial" w:cs="Arial"/>
          <w:bCs/>
          <w:color w:val="000000" w:themeColor="text1"/>
          <w:sz w:val="20"/>
          <w:szCs w:val="20"/>
        </w:rPr>
        <w:t xml:space="preserve"> to the general Nkowankowa area</w:t>
      </w:r>
      <w:r w:rsidR="00100099" w:rsidRPr="00921120">
        <w:rPr>
          <w:rFonts w:ascii="Arial" w:hAnsi="Arial" w:cs="Arial"/>
          <w:bCs/>
          <w:color w:val="000000" w:themeColor="text1"/>
          <w:sz w:val="20"/>
          <w:szCs w:val="20"/>
        </w:rPr>
        <w:t>.</w:t>
      </w:r>
      <w:r w:rsidRPr="00921120">
        <w:rPr>
          <w:rFonts w:ascii="Arial" w:hAnsi="Arial" w:cs="Arial"/>
          <w:bCs/>
          <w:color w:val="000000" w:themeColor="text1"/>
          <w:sz w:val="20"/>
          <w:szCs w:val="20"/>
        </w:rPr>
        <w:t xml:space="preserve"> </w:t>
      </w:r>
      <w:r w:rsidR="00033BD5" w:rsidRPr="00921120">
        <w:rPr>
          <w:rFonts w:ascii="Arial" w:hAnsi="Arial" w:cs="Arial"/>
          <w:bCs/>
          <w:color w:val="000000" w:themeColor="text1"/>
          <w:sz w:val="20"/>
          <w:szCs w:val="20"/>
        </w:rPr>
        <w:t xml:space="preserve"> </w:t>
      </w:r>
      <w:r w:rsidR="00172A8C" w:rsidRPr="00921120">
        <w:rPr>
          <w:rFonts w:ascii="Arial" w:hAnsi="Arial" w:cs="Arial"/>
          <w:bCs/>
          <w:color w:val="000000" w:themeColor="text1"/>
          <w:sz w:val="20"/>
          <w:szCs w:val="20"/>
        </w:rPr>
        <w:t>L</w:t>
      </w:r>
      <w:r w:rsidR="00033BD5" w:rsidRPr="00921120">
        <w:rPr>
          <w:rFonts w:ascii="Arial" w:hAnsi="Arial" w:cs="Arial"/>
          <w:bCs/>
          <w:color w:val="000000" w:themeColor="text1"/>
          <w:sz w:val="20"/>
          <w:szCs w:val="20"/>
        </w:rPr>
        <w:t xml:space="preserve">oadshedding </w:t>
      </w:r>
      <w:r w:rsidR="00172A8C" w:rsidRPr="00921120">
        <w:rPr>
          <w:rFonts w:ascii="Arial" w:hAnsi="Arial" w:cs="Arial"/>
          <w:bCs/>
          <w:color w:val="000000" w:themeColor="text1"/>
          <w:sz w:val="20"/>
          <w:szCs w:val="20"/>
        </w:rPr>
        <w:t xml:space="preserve">had exacerbated the situation, in particular </w:t>
      </w:r>
      <w:r w:rsidR="00033BD5" w:rsidRPr="00921120">
        <w:rPr>
          <w:rFonts w:ascii="Arial" w:hAnsi="Arial" w:cs="Arial"/>
          <w:bCs/>
          <w:color w:val="000000" w:themeColor="text1"/>
          <w:sz w:val="20"/>
          <w:szCs w:val="20"/>
        </w:rPr>
        <w:t xml:space="preserve">the ability of the municipality to pump water and the cost of diesel to supplement electricity shortages. </w:t>
      </w:r>
      <w:r w:rsidR="00100099" w:rsidRPr="00921120">
        <w:rPr>
          <w:rFonts w:ascii="Arial" w:hAnsi="Arial" w:cs="Arial"/>
          <w:bCs/>
          <w:color w:val="000000" w:themeColor="text1"/>
          <w:sz w:val="20"/>
          <w:szCs w:val="20"/>
        </w:rPr>
        <w:t>T</w:t>
      </w:r>
      <w:r w:rsidRPr="00921120">
        <w:rPr>
          <w:rFonts w:ascii="Arial" w:hAnsi="Arial" w:cs="Arial"/>
          <w:bCs/>
          <w:color w:val="000000" w:themeColor="text1"/>
          <w:sz w:val="20"/>
          <w:szCs w:val="20"/>
        </w:rPr>
        <w:t>o mitigate the supply shortages</w:t>
      </w:r>
      <w:r w:rsidR="00100099" w:rsidRPr="00921120">
        <w:rPr>
          <w:rFonts w:ascii="Arial" w:hAnsi="Arial" w:cs="Arial"/>
          <w:bCs/>
          <w:color w:val="000000" w:themeColor="text1"/>
          <w:sz w:val="20"/>
          <w:szCs w:val="20"/>
        </w:rPr>
        <w:t>, Peppadew has built a number of water reservoirs and purchases water from private suppliers at 20 times the municipal rates</w:t>
      </w:r>
      <w:r w:rsidRPr="00921120">
        <w:rPr>
          <w:rFonts w:ascii="Arial" w:hAnsi="Arial" w:cs="Arial"/>
          <w:bCs/>
          <w:color w:val="000000" w:themeColor="text1"/>
          <w:sz w:val="20"/>
          <w:szCs w:val="20"/>
        </w:rPr>
        <w:t>.</w:t>
      </w:r>
      <w:r w:rsidR="00100099" w:rsidRPr="00921120">
        <w:rPr>
          <w:rFonts w:ascii="Arial" w:hAnsi="Arial" w:cs="Arial"/>
          <w:bCs/>
          <w:color w:val="000000" w:themeColor="text1"/>
          <w:sz w:val="20"/>
          <w:szCs w:val="20"/>
        </w:rPr>
        <w:t xml:space="preserve"> </w:t>
      </w:r>
      <w:r w:rsidR="00FE694B" w:rsidRPr="00921120">
        <w:rPr>
          <w:rFonts w:ascii="Arial" w:hAnsi="Arial" w:cs="Arial"/>
          <w:bCs/>
          <w:color w:val="000000" w:themeColor="text1"/>
          <w:sz w:val="20"/>
          <w:szCs w:val="20"/>
        </w:rPr>
        <w:t xml:space="preserve">The </w:t>
      </w:r>
      <w:r w:rsidR="00F21B14" w:rsidRPr="00921120">
        <w:rPr>
          <w:rFonts w:ascii="Arial" w:hAnsi="Arial" w:cs="Arial"/>
          <w:bCs/>
          <w:color w:val="000000" w:themeColor="text1"/>
          <w:sz w:val="20"/>
          <w:szCs w:val="20"/>
        </w:rPr>
        <w:t xml:space="preserve">Committee enquired whether Peppadew had considered using boreholes or sourcing its water from the Letaba River directly. The </w:t>
      </w:r>
      <w:r w:rsidR="00FE694B" w:rsidRPr="00921120">
        <w:rPr>
          <w:rFonts w:ascii="Arial" w:hAnsi="Arial" w:cs="Arial"/>
          <w:bCs/>
          <w:color w:val="000000" w:themeColor="text1"/>
          <w:sz w:val="20"/>
          <w:szCs w:val="20"/>
        </w:rPr>
        <w:t xml:space="preserve">company </w:t>
      </w:r>
      <w:r w:rsidR="00F21B14" w:rsidRPr="00921120">
        <w:rPr>
          <w:rFonts w:ascii="Arial" w:hAnsi="Arial" w:cs="Arial"/>
          <w:bCs/>
          <w:color w:val="000000" w:themeColor="text1"/>
          <w:sz w:val="20"/>
          <w:szCs w:val="20"/>
        </w:rPr>
        <w:t xml:space="preserve">responded that the Lepelle Northern Water Board was already exclusively sourcing its water from the Letaba River. However, only one pump was effectively working to provide water to the Nkowankowa region. Therefore, Peppadew </w:t>
      </w:r>
      <w:r w:rsidR="00E03549" w:rsidRPr="00921120">
        <w:rPr>
          <w:rFonts w:ascii="Arial" w:hAnsi="Arial" w:cs="Arial"/>
          <w:bCs/>
          <w:color w:val="000000" w:themeColor="text1"/>
          <w:sz w:val="20"/>
          <w:szCs w:val="20"/>
        </w:rPr>
        <w:t>wa</w:t>
      </w:r>
      <w:r w:rsidR="00F21B14" w:rsidRPr="00921120">
        <w:rPr>
          <w:rFonts w:ascii="Arial" w:hAnsi="Arial" w:cs="Arial"/>
          <w:bCs/>
          <w:color w:val="000000" w:themeColor="text1"/>
          <w:sz w:val="20"/>
          <w:szCs w:val="20"/>
        </w:rPr>
        <w:t>s already receiving its water from the river and assist</w:t>
      </w:r>
      <w:r w:rsidR="00E03549" w:rsidRPr="00921120">
        <w:rPr>
          <w:rFonts w:ascii="Arial" w:hAnsi="Arial" w:cs="Arial"/>
          <w:bCs/>
          <w:color w:val="000000" w:themeColor="text1"/>
          <w:sz w:val="20"/>
          <w:szCs w:val="20"/>
        </w:rPr>
        <w:t>ed</w:t>
      </w:r>
      <w:r w:rsidR="00F21B14" w:rsidRPr="00921120">
        <w:rPr>
          <w:rFonts w:ascii="Arial" w:hAnsi="Arial" w:cs="Arial"/>
          <w:bCs/>
          <w:color w:val="000000" w:themeColor="text1"/>
          <w:sz w:val="20"/>
          <w:szCs w:val="20"/>
        </w:rPr>
        <w:t xml:space="preserve"> the Water Board with diesel when there </w:t>
      </w:r>
      <w:r w:rsidR="00E03549" w:rsidRPr="00921120">
        <w:rPr>
          <w:rFonts w:ascii="Arial" w:hAnsi="Arial" w:cs="Arial"/>
          <w:bCs/>
          <w:color w:val="000000" w:themeColor="text1"/>
          <w:sz w:val="20"/>
          <w:szCs w:val="20"/>
        </w:rPr>
        <w:t>wa</w:t>
      </w:r>
      <w:r w:rsidR="00F21B14" w:rsidRPr="00921120">
        <w:rPr>
          <w:rFonts w:ascii="Arial" w:hAnsi="Arial" w:cs="Arial"/>
          <w:bCs/>
          <w:color w:val="000000" w:themeColor="text1"/>
          <w:sz w:val="20"/>
          <w:szCs w:val="20"/>
        </w:rPr>
        <w:t xml:space="preserve">s a shortage to run their generators. Furthermore, it </w:t>
      </w:r>
      <w:r w:rsidR="00FE694B" w:rsidRPr="00921120">
        <w:rPr>
          <w:rFonts w:ascii="Arial" w:hAnsi="Arial" w:cs="Arial"/>
          <w:bCs/>
          <w:color w:val="000000" w:themeColor="text1"/>
          <w:sz w:val="20"/>
          <w:szCs w:val="20"/>
        </w:rPr>
        <w:t xml:space="preserve">had </w:t>
      </w:r>
      <w:r w:rsidR="00FD3CF2" w:rsidRPr="00921120">
        <w:rPr>
          <w:rFonts w:ascii="Arial" w:hAnsi="Arial" w:cs="Arial"/>
          <w:bCs/>
          <w:color w:val="000000" w:themeColor="text1"/>
          <w:sz w:val="20"/>
          <w:szCs w:val="20"/>
        </w:rPr>
        <w:t xml:space="preserve">drilled </w:t>
      </w:r>
      <w:r w:rsidR="00FE694B" w:rsidRPr="00921120">
        <w:rPr>
          <w:rFonts w:ascii="Arial" w:hAnsi="Arial" w:cs="Arial"/>
          <w:bCs/>
          <w:color w:val="000000" w:themeColor="text1"/>
          <w:sz w:val="20"/>
          <w:szCs w:val="20"/>
        </w:rPr>
        <w:t xml:space="preserve">boreholes; however, the </w:t>
      </w:r>
      <w:r w:rsidR="00FD3CF2" w:rsidRPr="00921120">
        <w:rPr>
          <w:rFonts w:ascii="Arial" w:hAnsi="Arial" w:cs="Arial"/>
          <w:bCs/>
          <w:color w:val="000000" w:themeColor="text1"/>
          <w:sz w:val="20"/>
          <w:szCs w:val="20"/>
        </w:rPr>
        <w:t xml:space="preserve">quantity and </w:t>
      </w:r>
      <w:r w:rsidR="00FE694B" w:rsidRPr="00921120">
        <w:rPr>
          <w:rFonts w:ascii="Arial" w:hAnsi="Arial" w:cs="Arial"/>
          <w:bCs/>
          <w:color w:val="000000" w:themeColor="text1"/>
          <w:sz w:val="20"/>
          <w:szCs w:val="20"/>
        </w:rPr>
        <w:t>microbial quality of the water was not suitable for the production of agricultural products</w:t>
      </w:r>
      <w:r w:rsidR="00FD3CF2" w:rsidRPr="00921120">
        <w:rPr>
          <w:rFonts w:ascii="Arial" w:hAnsi="Arial" w:cs="Arial"/>
          <w:bCs/>
          <w:color w:val="000000" w:themeColor="text1"/>
          <w:sz w:val="20"/>
          <w:szCs w:val="20"/>
        </w:rPr>
        <w:t xml:space="preserve"> at international standards</w:t>
      </w:r>
      <w:r w:rsidR="00FE694B" w:rsidRPr="00921120">
        <w:rPr>
          <w:rFonts w:ascii="Arial" w:hAnsi="Arial" w:cs="Arial"/>
          <w:bCs/>
          <w:color w:val="000000" w:themeColor="text1"/>
          <w:sz w:val="20"/>
          <w:szCs w:val="20"/>
        </w:rPr>
        <w:t>.</w:t>
      </w:r>
      <w:r w:rsidR="00DA22DE" w:rsidRPr="00921120">
        <w:rPr>
          <w:rFonts w:ascii="Arial" w:hAnsi="Arial" w:cs="Arial"/>
          <w:bCs/>
          <w:color w:val="000000" w:themeColor="text1"/>
          <w:sz w:val="20"/>
          <w:szCs w:val="20"/>
        </w:rPr>
        <w:t xml:space="preserve"> </w:t>
      </w:r>
    </w:p>
    <w:p w:rsidR="00100099" w:rsidRPr="00921120" w:rsidRDefault="00100099" w:rsidP="00921120">
      <w:pPr>
        <w:spacing w:line="240" w:lineRule="auto"/>
        <w:jc w:val="left"/>
        <w:rPr>
          <w:rFonts w:ascii="Arial" w:hAnsi="Arial" w:cs="Arial"/>
          <w:bCs/>
          <w:color w:val="000000" w:themeColor="text1"/>
          <w:sz w:val="20"/>
          <w:szCs w:val="20"/>
        </w:rPr>
      </w:pPr>
    </w:p>
    <w:p w:rsidR="00062F97" w:rsidRPr="00921120" w:rsidRDefault="00100099" w:rsidP="00921120">
      <w:pPr>
        <w:spacing w:line="240" w:lineRule="auto"/>
        <w:jc w:val="left"/>
        <w:rPr>
          <w:rFonts w:ascii="Arial" w:hAnsi="Arial" w:cs="Arial"/>
          <w:bCs/>
          <w:color w:val="000000" w:themeColor="text1"/>
          <w:sz w:val="20"/>
          <w:szCs w:val="20"/>
        </w:rPr>
      </w:pPr>
      <w:r w:rsidRPr="00921120">
        <w:rPr>
          <w:rFonts w:ascii="Arial" w:hAnsi="Arial" w:cs="Arial"/>
          <w:bCs/>
          <w:color w:val="000000" w:themeColor="text1"/>
          <w:sz w:val="20"/>
          <w:szCs w:val="20"/>
        </w:rPr>
        <w:t xml:space="preserve">It reported that the most recent supply challenge had occurred since the preceding Saturday with some water </w:t>
      </w:r>
      <w:r w:rsidR="00313010" w:rsidRPr="00921120">
        <w:rPr>
          <w:rFonts w:ascii="Arial" w:hAnsi="Arial" w:cs="Arial"/>
          <w:bCs/>
          <w:color w:val="000000" w:themeColor="text1"/>
          <w:sz w:val="20"/>
          <w:szCs w:val="20"/>
        </w:rPr>
        <w:t>supply ha</w:t>
      </w:r>
      <w:r w:rsidR="00EB6C41" w:rsidRPr="00921120">
        <w:rPr>
          <w:rFonts w:ascii="Arial" w:hAnsi="Arial" w:cs="Arial"/>
          <w:bCs/>
          <w:color w:val="000000" w:themeColor="text1"/>
          <w:sz w:val="20"/>
          <w:szCs w:val="20"/>
        </w:rPr>
        <w:t>ving</w:t>
      </w:r>
      <w:r w:rsidR="00313010" w:rsidRPr="00921120">
        <w:rPr>
          <w:rFonts w:ascii="Arial" w:hAnsi="Arial" w:cs="Arial"/>
          <w:bCs/>
          <w:color w:val="000000" w:themeColor="text1"/>
          <w:sz w:val="20"/>
          <w:szCs w:val="20"/>
        </w:rPr>
        <w:t xml:space="preserve"> </w:t>
      </w:r>
      <w:r w:rsidRPr="00921120">
        <w:rPr>
          <w:rFonts w:ascii="Arial" w:hAnsi="Arial" w:cs="Arial"/>
          <w:bCs/>
          <w:color w:val="000000" w:themeColor="text1"/>
          <w:sz w:val="20"/>
          <w:szCs w:val="20"/>
        </w:rPr>
        <w:t>be</w:t>
      </w:r>
      <w:r w:rsidR="00313010" w:rsidRPr="00921120">
        <w:rPr>
          <w:rFonts w:ascii="Arial" w:hAnsi="Arial" w:cs="Arial"/>
          <w:bCs/>
          <w:color w:val="000000" w:themeColor="text1"/>
          <w:sz w:val="20"/>
          <w:szCs w:val="20"/>
        </w:rPr>
        <w:t>e</w:t>
      </w:r>
      <w:r w:rsidRPr="00921120">
        <w:rPr>
          <w:rFonts w:ascii="Arial" w:hAnsi="Arial" w:cs="Arial"/>
          <w:bCs/>
          <w:color w:val="000000" w:themeColor="text1"/>
          <w:sz w:val="20"/>
          <w:szCs w:val="20"/>
        </w:rPr>
        <w:t xml:space="preserve">n restored that morning. During this time, it had depleted its storage capacity. As a result of this, the company had to send 2 000 employees home without pay, as it was unable to provide the necessary facilities to all employees in terms of personal </w:t>
      </w:r>
      <w:r w:rsidR="00033BD5" w:rsidRPr="00921120">
        <w:rPr>
          <w:rFonts w:ascii="Arial" w:hAnsi="Arial" w:cs="Arial"/>
          <w:bCs/>
          <w:color w:val="000000" w:themeColor="text1"/>
          <w:sz w:val="20"/>
          <w:szCs w:val="20"/>
        </w:rPr>
        <w:t xml:space="preserve">health and </w:t>
      </w:r>
      <w:r w:rsidRPr="00921120">
        <w:rPr>
          <w:rFonts w:ascii="Arial" w:hAnsi="Arial" w:cs="Arial"/>
          <w:bCs/>
          <w:color w:val="000000" w:themeColor="text1"/>
          <w:sz w:val="20"/>
          <w:szCs w:val="20"/>
        </w:rPr>
        <w:t>hygiene requirements.</w:t>
      </w:r>
      <w:r w:rsidR="00313010" w:rsidRPr="00921120">
        <w:rPr>
          <w:rFonts w:ascii="Arial" w:hAnsi="Arial" w:cs="Arial"/>
          <w:bCs/>
          <w:color w:val="000000" w:themeColor="text1"/>
          <w:sz w:val="20"/>
          <w:szCs w:val="20"/>
        </w:rPr>
        <w:t xml:space="preserve"> It also had to determine whether it needed to cancel production for the foreseeable period until its reservoirs had reached capacity again</w:t>
      </w:r>
      <w:r w:rsidR="00033BD5" w:rsidRPr="00921120">
        <w:rPr>
          <w:rFonts w:ascii="Arial" w:hAnsi="Arial" w:cs="Arial"/>
          <w:bCs/>
          <w:color w:val="000000" w:themeColor="text1"/>
          <w:sz w:val="20"/>
          <w:szCs w:val="20"/>
        </w:rPr>
        <w:t>, which also negatively impacted on emerging black farmers who would be unable to sell their harvested fruit to Peppadew if production was halted indefinitely</w:t>
      </w:r>
      <w:r w:rsidR="00313010" w:rsidRPr="00921120">
        <w:rPr>
          <w:rFonts w:ascii="Arial" w:hAnsi="Arial" w:cs="Arial"/>
          <w:bCs/>
          <w:color w:val="000000" w:themeColor="text1"/>
          <w:sz w:val="20"/>
          <w:szCs w:val="20"/>
        </w:rPr>
        <w:t>.</w:t>
      </w:r>
    </w:p>
    <w:p w:rsidR="00954D20" w:rsidRPr="00921120" w:rsidRDefault="00954D20" w:rsidP="00921120">
      <w:pPr>
        <w:spacing w:line="240" w:lineRule="auto"/>
        <w:jc w:val="left"/>
        <w:rPr>
          <w:rFonts w:ascii="Arial" w:hAnsi="Arial" w:cs="Arial"/>
          <w:bCs/>
          <w:color w:val="000000" w:themeColor="text1"/>
          <w:sz w:val="20"/>
          <w:szCs w:val="20"/>
        </w:rPr>
      </w:pPr>
    </w:p>
    <w:p w:rsidR="00954D20" w:rsidRPr="00921120" w:rsidRDefault="00954D20" w:rsidP="00921120">
      <w:pPr>
        <w:spacing w:line="240" w:lineRule="auto"/>
        <w:jc w:val="left"/>
        <w:rPr>
          <w:rFonts w:ascii="Arial" w:hAnsi="Arial" w:cs="Arial"/>
          <w:bCs/>
          <w:color w:val="000000" w:themeColor="text1"/>
          <w:sz w:val="20"/>
          <w:szCs w:val="20"/>
        </w:rPr>
      </w:pPr>
      <w:r w:rsidRPr="00921120">
        <w:rPr>
          <w:rFonts w:ascii="Arial" w:hAnsi="Arial" w:cs="Arial"/>
          <w:bCs/>
          <w:color w:val="000000" w:themeColor="text1"/>
          <w:sz w:val="20"/>
          <w:szCs w:val="20"/>
        </w:rPr>
        <w:t xml:space="preserve">The mayor of the local municipality indicated that the bulk water supply was a district municipality </w:t>
      </w:r>
      <w:r w:rsidR="00882B80" w:rsidRPr="00921120">
        <w:rPr>
          <w:rFonts w:ascii="Arial" w:hAnsi="Arial" w:cs="Arial"/>
          <w:bCs/>
          <w:color w:val="000000" w:themeColor="text1"/>
          <w:sz w:val="20"/>
          <w:szCs w:val="20"/>
        </w:rPr>
        <w:t>responsibility</w:t>
      </w:r>
      <w:r w:rsidRPr="00921120">
        <w:rPr>
          <w:rFonts w:ascii="Arial" w:hAnsi="Arial" w:cs="Arial"/>
          <w:bCs/>
          <w:color w:val="000000" w:themeColor="text1"/>
          <w:sz w:val="20"/>
          <w:szCs w:val="20"/>
        </w:rPr>
        <w:t xml:space="preserve">, and the development of a reservoir </w:t>
      </w:r>
      <w:r w:rsidR="00882B80" w:rsidRPr="00921120">
        <w:rPr>
          <w:rFonts w:ascii="Arial" w:hAnsi="Arial" w:cs="Arial"/>
          <w:bCs/>
          <w:color w:val="000000" w:themeColor="text1"/>
          <w:sz w:val="20"/>
          <w:szCs w:val="20"/>
        </w:rPr>
        <w:t xml:space="preserve">could </w:t>
      </w:r>
      <w:r w:rsidRPr="00921120">
        <w:rPr>
          <w:rFonts w:ascii="Arial" w:hAnsi="Arial" w:cs="Arial"/>
          <w:bCs/>
          <w:color w:val="000000" w:themeColor="text1"/>
          <w:sz w:val="20"/>
          <w:szCs w:val="20"/>
        </w:rPr>
        <w:t>assist in resolving the water supply challenge. Therefore, the matter should be escalated to the district municipality level.</w:t>
      </w:r>
      <w:r w:rsidR="002B427E" w:rsidRPr="00921120">
        <w:rPr>
          <w:rFonts w:ascii="Arial" w:hAnsi="Arial" w:cs="Arial"/>
          <w:bCs/>
          <w:color w:val="000000" w:themeColor="text1"/>
          <w:sz w:val="20"/>
          <w:szCs w:val="20"/>
        </w:rPr>
        <w:t xml:space="preserve"> This matter had </w:t>
      </w:r>
      <w:r w:rsidR="00D305F6" w:rsidRPr="00921120">
        <w:rPr>
          <w:rFonts w:ascii="Arial" w:hAnsi="Arial" w:cs="Arial"/>
          <w:bCs/>
          <w:color w:val="000000" w:themeColor="text1"/>
          <w:sz w:val="20"/>
          <w:szCs w:val="20"/>
        </w:rPr>
        <w:t xml:space="preserve">also </w:t>
      </w:r>
      <w:r w:rsidR="002B427E" w:rsidRPr="00921120">
        <w:rPr>
          <w:rFonts w:ascii="Arial" w:hAnsi="Arial" w:cs="Arial"/>
          <w:bCs/>
          <w:color w:val="000000" w:themeColor="text1"/>
          <w:sz w:val="20"/>
          <w:szCs w:val="20"/>
        </w:rPr>
        <w:t>been raised with a delegation from the Presidency visiting the Nkowankowa Industrial Park in October 2022. The Deputy Minister of Planning, Monitoring and Evaluation, Ms P Kekana, had encouraged Peppadew to remain in Nkowankowa Industrial Park given its employment contribution to the area.</w:t>
      </w:r>
    </w:p>
    <w:p w:rsidR="00E168F1" w:rsidRPr="00921120" w:rsidRDefault="00E168F1" w:rsidP="00921120">
      <w:pPr>
        <w:spacing w:line="240" w:lineRule="auto"/>
        <w:jc w:val="left"/>
        <w:rPr>
          <w:rFonts w:ascii="Arial" w:hAnsi="Arial" w:cs="Arial"/>
          <w:bCs/>
          <w:color w:val="000000" w:themeColor="text1"/>
          <w:sz w:val="20"/>
          <w:szCs w:val="20"/>
        </w:rPr>
      </w:pPr>
    </w:p>
    <w:p w:rsidR="00E168F1" w:rsidRPr="00921120" w:rsidRDefault="00E168F1" w:rsidP="00921120">
      <w:pPr>
        <w:spacing w:line="240" w:lineRule="auto"/>
        <w:jc w:val="left"/>
        <w:rPr>
          <w:rFonts w:ascii="Arial" w:hAnsi="Arial" w:cs="Arial"/>
          <w:bCs/>
          <w:color w:val="000000" w:themeColor="text1"/>
          <w:sz w:val="20"/>
          <w:szCs w:val="20"/>
        </w:rPr>
      </w:pPr>
      <w:r w:rsidRPr="00921120">
        <w:rPr>
          <w:rFonts w:ascii="Arial" w:hAnsi="Arial" w:cs="Arial"/>
          <w:bCs/>
          <w:color w:val="000000" w:themeColor="text1"/>
          <w:sz w:val="20"/>
          <w:szCs w:val="20"/>
        </w:rPr>
        <w:t xml:space="preserve">In terms of alternative energy supply during loadshedding, Peppadew was operating three 600-800kVA </w:t>
      </w:r>
      <w:r w:rsidR="006E348A" w:rsidRPr="00921120">
        <w:rPr>
          <w:rFonts w:ascii="Arial" w:hAnsi="Arial" w:cs="Arial"/>
          <w:bCs/>
          <w:color w:val="000000" w:themeColor="text1"/>
          <w:sz w:val="20"/>
          <w:szCs w:val="20"/>
        </w:rPr>
        <w:t>10-</w:t>
      </w:r>
      <w:r w:rsidRPr="00921120">
        <w:rPr>
          <w:rFonts w:ascii="Arial" w:hAnsi="Arial" w:cs="Arial"/>
          <w:bCs/>
          <w:color w:val="000000" w:themeColor="text1"/>
          <w:sz w:val="20"/>
          <w:szCs w:val="20"/>
        </w:rPr>
        <w:t>cylinder diesel generators.</w:t>
      </w:r>
      <w:r w:rsidR="006E348A" w:rsidRPr="00921120">
        <w:rPr>
          <w:rFonts w:ascii="Arial" w:hAnsi="Arial" w:cs="Arial"/>
          <w:bCs/>
          <w:color w:val="000000" w:themeColor="text1"/>
          <w:sz w:val="20"/>
          <w:szCs w:val="20"/>
        </w:rPr>
        <w:t xml:space="preserve"> The company’s production costs were significantly impacted by the costs to mitigate the energy and water supply.</w:t>
      </w:r>
    </w:p>
    <w:p w:rsidR="00DA22DE" w:rsidRPr="00921120" w:rsidRDefault="00DA22DE" w:rsidP="00921120">
      <w:pPr>
        <w:spacing w:line="240" w:lineRule="auto"/>
        <w:jc w:val="left"/>
        <w:rPr>
          <w:rFonts w:ascii="Arial" w:hAnsi="Arial" w:cs="Arial"/>
          <w:bCs/>
          <w:color w:val="000000" w:themeColor="text1"/>
          <w:sz w:val="20"/>
          <w:szCs w:val="20"/>
        </w:rPr>
      </w:pPr>
    </w:p>
    <w:p w:rsidR="00BE6BCA" w:rsidRPr="00921120" w:rsidRDefault="00FE694B" w:rsidP="00921120">
      <w:pPr>
        <w:spacing w:line="240" w:lineRule="auto"/>
        <w:jc w:val="left"/>
        <w:rPr>
          <w:rFonts w:ascii="Arial" w:hAnsi="Arial" w:cs="Arial"/>
          <w:bCs/>
          <w:color w:val="000000" w:themeColor="text1"/>
          <w:sz w:val="20"/>
          <w:szCs w:val="20"/>
        </w:rPr>
      </w:pPr>
      <w:r w:rsidRPr="00921120">
        <w:rPr>
          <w:rFonts w:ascii="Arial" w:hAnsi="Arial" w:cs="Arial"/>
          <w:bCs/>
          <w:color w:val="000000" w:themeColor="text1"/>
          <w:sz w:val="20"/>
          <w:szCs w:val="20"/>
        </w:rPr>
        <w:t xml:space="preserve">The Committee enquired what </w:t>
      </w:r>
      <w:r w:rsidR="00A50BC8" w:rsidRPr="00921120">
        <w:rPr>
          <w:rFonts w:ascii="Arial" w:hAnsi="Arial" w:cs="Arial"/>
          <w:bCs/>
          <w:color w:val="000000" w:themeColor="text1"/>
          <w:sz w:val="20"/>
          <w:szCs w:val="20"/>
        </w:rPr>
        <w:t xml:space="preserve">worker and </w:t>
      </w:r>
      <w:r w:rsidRPr="00921120">
        <w:rPr>
          <w:rFonts w:ascii="Arial" w:hAnsi="Arial" w:cs="Arial"/>
          <w:bCs/>
          <w:color w:val="000000" w:themeColor="text1"/>
          <w:sz w:val="20"/>
          <w:szCs w:val="20"/>
        </w:rPr>
        <w:t>community upliftment and empowerment projects</w:t>
      </w:r>
      <w:r w:rsidR="00F21B14" w:rsidRPr="00921120">
        <w:rPr>
          <w:rFonts w:ascii="Arial" w:hAnsi="Arial" w:cs="Arial"/>
          <w:bCs/>
          <w:color w:val="000000" w:themeColor="text1"/>
          <w:sz w:val="20"/>
          <w:szCs w:val="20"/>
        </w:rPr>
        <w:t>, including worker ownership programmes,</w:t>
      </w:r>
      <w:r w:rsidRPr="00921120">
        <w:rPr>
          <w:rFonts w:ascii="Arial" w:hAnsi="Arial" w:cs="Arial"/>
          <w:bCs/>
          <w:color w:val="000000" w:themeColor="text1"/>
          <w:sz w:val="20"/>
          <w:szCs w:val="20"/>
        </w:rPr>
        <w:t xml:space="preserve"> Peppadew was involved in. Peppadew responded that </w:t>
      </w:r>
      <w:r w:rsidR="00657596" w:rsidRPr="00921120">
        <w:rPr>
          <w:rFonts w:ascii="Arial" w:hAnsi="Arial" w:cs="Arial"/>
          <w:bCs/>
          <w:color w:val="000000" w:themeColor="text1"/>
          <w:sz w:val="20"/>
          <w:szCs w:val="20"/>
        </w:rPr>
        <w:t xml:space="preserve">85% of its management consisted of previously disadvantaged individuals. Furthermore, it was considering a worker-ownership model in its value-added productive areas. Franchises were an option; however, </w:t>
      </w:r>
      <w:r w:rsidR="00FD3CF2" w:rsidRPr="00921120">
        <w:rPr>
          <w:rFonts w:ascii="Arial" w:hAnsi="Arial" w:cs="Arial"/>
          <w:bCs/>
          <w:color w:val="000000" w:themeColor="text1"/>
          <w:sz w:val="20"/>
          <w:szCs w:val="20"/>
        </w:rPr>
        <w:t xml:space="preserve">before it empowered smaller businesses to produce its products, it needed a successful business with access to adequate and secure basic services. </w:t>
      </w:r>
    </w:p>
    <w:p w:rsidR="00BE6BCA" w:rsidRPr="00921120" w:rsidRDefault="00BE6BCA" w:rsidP="00921120">
      <w:pPr>
        <w:spacing w:line="240" w:lineRule="auto"/>
        <w:jc w:val="left"/>
        <w:rPr>
          <w:rFonts w:ascii="Arial" w:hAnsi="Arial" w:cs="Arial"/>
          <w:bCs/>
          <w:color w:val="000000" w:themeColor="text1"/>
          <w:sz w:val="20"/>
          <w:szCs w:val="20"/>
        </w:rPr>
      </w:pPr>
    </w:p>
    <w:p w:rsidR="00FE694B" w:rsidRPr="00921120" w:rsidRDefault="00BE6BCA" w:rsidP="00921120">
      <w:pPr>
        <w:spacing w:line="240" w:lineRule="auto"/>
        <w:jc w:val="left"/>
        <w:rPr>
          <w:rFonts w:ascii="Arial" w:hAnsi="Arial" w:cs="Arial"/>
          <w:bCs/>
          <w:color w:val="000000" w:themeColor="text1"/>
          <w:sz w:val="20"/>
          <w:szCs w:val="20"/>
        </w:rPr>
      </w:pPr>
      <w:r w:rsidRPr="00921120">
        <w:rPr>
          <w:rFonts w:ascii="Arial" w:hAnsi="Arial" w:cs="Arial"/>
          <w:bCs/>
          <w:color w:val="000000" w:themeColor="text1"/>
          <w:sz w:val="20"/>
          <w:szCs w:val="20"/>
        </w:rPr>
        <w:t>Furthermore, i</w:t>
      </w:r>
      <w:r w:rsidR="00FD3CF2" w:rsidRPr="00921120">
        <w:rPr>
          <w:rFonts w:ascii="Arial" w:hAnsi="Arial" w:cs="Arial"/>
          <w:bCs/>
          <w:color w:val="000000" w:themeColor="text1"/>
          <w:sz w:val="20"/>
          <w:szCs w:val="20"/>
        </w:rPr>
        <w:t xml:space="preserve">t indicated that it had engaged one of the community groups, the </w:t>
      </w:r>
      <w:r w:rsidR="00FD3CF2" w:rsidRPr="00921120">
        <w:rPr>
          <w:rFonts w:ascii="Arial" w:hAnsi="Arial" w:cs="Arial"/>
          <w:sz w:val="20"/>
          <w:szCs w:val="20"/>
        </w:rPr>
        <w:t>Dan/Nkowankowa Concerned Group (DANKOW), to ensure that seasonal labour was recruited from the surrounding areas, especially where there was high unemployment. It also supported local feeding schemes at schools, built facilities for a local orphanage for AIDS orphans, and requested DANKOW to supply it with information of local schools that required assistance in building classrooms.</w:t>
      </w:r>
    </w:p>
    <w:p w:rsidR="00DA22DE" w:rsidRPr="00921120" w:rsidRDefault="00DA22DE" w:rsidP="00921120">
      <w:pPr>
        <w:spacing w:line="240" w:lineRule="auto"/>
        <w:jc w:val="left"/>
        <w:rPr>
          <w:rFonts w:ascii="Arial" w:hAnsi="Arial" w:cs="Arial"/>
          <w:bCs/>
          <w:color w:val="000000" w:themeColor="text1"/>
          <w:sz w:val="20"/>
          <w:szCs w:val="20"/>
        </w:rPr>
      </w:pPr>
    </w:p>
    <w:p w:rsidR="00DA22DE" w:rsidRPr="00921120" w:rsidRDefault="00DA22DE" w:rsidP="00921120">
      <w:pPr>
        <w:spacing w:line="240" w:lineRule="auto"/>
        <w:jc w:val="left"/>
        <w:rPr>
          <w:rFonts w:ascii="Arial" w:hAnsi="Arial" w:cs="Arial"/>
          <w:bCs/>
          <w:color w:val="000000" w:themeColor="text1"/>
          <w:sz w:val="20"/>
          <w:szCs w:val="20"/>
        </w:rPr>
      </w:pPr>
      <w:r w:rsidRPr="00921120">
        <w:rPr>
          <w:rFonts w:ascii="Arial" w:hAnsi="Arial" w:cs="Arial"/>
          <w:bCs/>
          <w:color w:val="000000" w:themeColor="text1"/>
          <w:sz w:val="20"/>
          <w:szCs w:val="20"/>
        </w:rPr>
        <w:lastRenderedPageBreak/>
        <w:t>Peppadew reported that it had a good cooperative relationship with LEDA</w:t>
      </w:r>
      <w:r w:rsidR="00140472" w:rsidRPr="00921120">
        <w:rPr>
          <w:rFonts w:ascii="Arial" w:hAnsi="Arial" w:cs="Arial"/>
          <w:bCs/>
          <w:color w:val="000000" w:themeColor="text1"/>
          <w:sz w:val="20"/>
          <w:szCs w:val="20"/>
        </w:rPr>
        <w:t xml:space="preserve"> and the DTIC</w:t>
      </w:r>
      <w:r w:rsidRPr="00921120">
        <w:rPr>
          <w:rFonts w:ascii="Arial" w:hAnsi="Arial" w:cs="Arial"/>
          <w:bCs/>
          <w:color w:val="000000" w:themeColor="text1"/>
          <w:sz w:val="20"/>
          <w:szCs w:val="20"/>
        </w:rPr>
        <w:t>. It was also assisting L</w:t>
      </w:r>
      <w:r w:rsidR="006B6B93" w:rsidRPr="00921120">
        <w:rPr>
          <w:rFonts w:ascii="Arial" w:hAnsi="Arial" w:cs="Arial"/>
          <w:bCs/>
          <w:color w:val="000000" w:themeColor="text1"/>
          <w:sz w:val="20"/>
          <w:szCs w:val="20"/>
        </w:rPr>
        <w:t>E</w:t>
      </w:r>
      <w:r w:rsidRPr="00921120">
        <w:rPr>
          <w:rFonts w:ascii="Arial" w:hAnsi="Arial" w:cs="Arial"/>
          <w:bCs/>
          <w:color w:val="000000" w:themeColor="text1"/>
          <w:sz w:val="20"/>
          <w:szCs w:val="20"/>
        </w:rPr>
        <w:t>DA to improve the conditions of buildings in the Industrial Park.</w:t>
      </w:r>
      <w:r w:rsidR="00140472" w:rsidRPr="00921120">
        <w:rPr>
          <w:rFonts w:ascii="Arial" w:hAnsi="Arial" w:cs="Arial"/>
          <w:bCs/>
          <w:color w:val="000000" w:themeColor="text1"/>
          <w:sz w:val="20"/>
          <w:szCs w:val="20"/>
        </w:rPr>
        <w:t xml:space="preserve"> In terms of its relationship with the DTIC, it had received support and attended several international trade pavilions over the last 20 years, as a heritage brand.</w:t>
      </w:r>
    </w:p>
    <w:p w:rsidR="00FE694B" w:rsidRPr="00921120" w:rsidRDefault="00FE694B" w:rsidP="00921120">
      <w:pPr>
        <w:spacing w:line="240" w:lineRule="auto"/>
        <w:jc w:val="left"/>
        <w:rPr>
          <w:rFonts w:ascii="Arial" w:hAnsi="Arial" w:cs="Arial"/>
          <w:bCs/>
          <w:color w:val="000000" w:themeColor="text1"/>
          <w:sz w:val="20"/>
          <w:szCs w:val="20"/>
        </w:rPr>
      </w:pPr>
    </w:p>
    <w:p w:rsidR="002B4249" w:rsidRPr="00921120" w:rsidRDefault="002B4249" w:rsidP="00921120">
      <w:pPr>
        <w:pStyle w:val="Heading2"/>
        <w:spacing w:line="240" w:lineRule="auto"/>
        <w:jc w:val="left"/>
        <w:rPr>
          <w:rFonts w:ascii="Arial" w:hAnsi="Arial" w:cs="Arial"/>
          <w:sz w:val="20"/>
          <w:szCs w:val="20"/>
        </w:rPr>
      </w:pPr>
      <w:r w:rsidRPr="00921120">
        <w:rPr>
          <w:rFonts w:ascii="Arial" w:hAnsi="Arial" w:cs="Arial"/>
          <w:sz w:val="20"/>
          <w:szCs w:val="20"/>
        </w:rPr>
        <w:t xml:space="preserve">Seshego Industrial Park </w:t>
      </w:r>
    </w:p>
    <w:p w:rsidR="000B52DD" w:rsidRPr="00921120" w:rsidRDefault="00C73820" w:rsidP="00921120">
      <w:pPr>
        <w:spacing w:line="240" w:lineRule="auto"/>
        <w:jc w:val="left"/>
        <w:rPr>
          <w:rFonts w:ascii="Arial" w:hAnsi="Arial" w:cs="Arial"/>
          <w:sz w:val="20"/>
          <w:szCs w:val="20"/>
          <w:lang w:val="en-US"/>
        </w:rPr>
      </w:pPr>
      <w:r w:rsidRPr="00921120">
        <w:rPr>
          <w:rFonts w:ascii="Arial" w:hAnsi="Arial" w:cs="Arial"/>
          <w:sz w:val="20"/>
          <w:szCs w:val="20"/>
          <w:lang w:val="en-US"/>
        </w:rPr>
        <w:t>T</w:t>
      </w:r>
      <w:r w:rsidR="000B52DD" w:rsidRPr="00921120">
        <w:rPr>
          <w:rFonts w:ascii="Arial" w:hAnsi="Arial" w:cs="Arial"/>
          <w:sz w:val="20"/>
          <w:szCs w:val="20"/>
          <w:lang w:val="en-US"/>
        </w:rPr>
        <w:t>he Seshego Industrial Park</w:t>
      </w:r>
      <w:r w:rsidR="004B4166" w:rsidRPr="00921120">
        <w:rPr>
          <w:rFonts w:ascii="Arial" w:hAnsi="Arial" w:cs="Arial"/>
          <w:sz w:val="20"/>
          <w:szCs w:val="20"/>
          <w:lang w:val="en-US"/>
        </w:rPr>
        <w:t>, in Polokwane,</w:t>
      </w:r>
      <w:r w:rsidR="000B52DD" w:rsidRPr="00921120">
        <w:rPr>
          <w:rFonts w:ascii="Arial" w:hAnsi="Arial" w:cs="Arial"/>
          <w:sz w:val="20"/>
          <w:szCs w:val="20"/>
          <w:lang w:val="en-US"/>
        </w:rPr>
        <w:t xml:space="preserve"> consist</w:t>
      </w:r>
      <w:r w:rsidRPr="00921120">
        <w:rPr>
          <w:rFonts w:ascii="Arial" w:hAnsi="Arial" w:cs="Arial"/>
          <w:sz w:val="20"/>
          <w:szCs w:val="20"/>
          <w:lang w:val="en-US"/>
        </w:rPr>
        <w:t>s of 154 hecta</w:t>
      </w:r>
      <w:r w:rsidR="000B52DD" w:rsidRPr="00921120">
        <w:rPr>
          <w:rFonts w:ascii="Arial" w:hAnsi="Arial" w:cs="Arial"/>
          <w:sz w:val="20"/>
          <w:szCs w:val="20"/>
          <w:lang w:val="en-US"/>
        </w:rPr>
        <w:t>r</w:t>
      </w:r>
      <w:r w:rsidRPr="00921120">
        <w:rPr>
          <w:rFonts w:ascii="Arial" w:hAnsi="Arial" w:cs="Arial"/>
          <w:sz w:val="20"/>
          <w:szCs w:val="20"/>
          <w:lang w:val="en-US"/>
        </w:rPr>
        <w:t>es, with occupation at approximately 123 hecta</w:t>
      </w:r>
      <w:r w:rsidR="000B52DD" w:rsidRPr="00921120">
        <w:rPr>
          <w:rFonts w:ascii="Arial" w:hAnsi="Arial" w:cs="Arial"/>
          <w:sz w:val="20"/>
          <w:szCs w:val="20"/>
          <w:lang w:val="en-US"/>
        </w:rPr>
        <w:t>r</w:t>
      </w:r>
      <w:r w:rsidRPr="00921120">
        <w:rPr>
          <w:rFonts w:ascii="Arial" w:hAnsi="Arial" w:cs="Arial"/>
          <w:sz w:val="20"/>
          <w:szCs w:val="20"/>
          <w:lang w:val="en-US"/>
        </w:rPr>
        <w:t>e</w:t>
      </w:r>
      <w:r w:rsidR="000B52DD" w:rsidRPr="00921120">
        <w:rPr>
          <w:rFonts w:ascii="Arial" w:hAnsi="Arial" w:cs="Arial"/>
          <w:sz w:val="20"/>
          <w:szCs w:val="20"/>
          <w:lang w:val="en-US"/>
        </w:rPr>
        <w:t>s</w:t>
      </w:r>
      <w:r w:rsidR="00FA1BF2" w:rsidRPr="00921120">
        <w:rPr>
          <w:rFonts w:ascii="Arial" w:hAnsi="Arial" w:cs="Arial"/>
          <w:sz w:val="20"/>
          <w:szCs w:val="20"/>
          <w:lang w:val="en-US"/>
        </w:rPr>
        <w:t>. The Park</w:t>
      </w:r>
      <w:r w:rsidR="004B4166" w:rsidRPr="00921120">
        <w:rPr>
          <w:rFonts w:ascii="Arial" w:hAnsi="Arial" w:cs="Arial"/>
          <w:sz w:val="20"/>
          <w:szCs w:val="20"/>
          <w:lang w:val="en-US"/>
        </w:rPr>
        <w:t xml:space="preserve"> </w:t>
      </w:r>
      <w:r w:rsidR="00FA1BF2" w:rsidRPr="00921120">
        <w:rPr>
          <w:rFonts w:ascii="Arial" w:hAnsi="Arial" w:cs="Arial"/>
          <w:sz w:val="20"/>
          <w:szCs w:val="20"/>
          <w:lang w:val="en-US"/>
        </w:rPr>
        <w:t>has</w:t>
      </w:r>
      <w:r w:rsidR="000B52DD" w:rsidRPr="00921120">
        <w:rPr>
          <w:rFonts w:ascii="Arial" w:hAnsi="Arial" w:cs="Arial"/>
          <w:sz w:val="20"/>
          <w:szCs w:val="20"/>
          <w:lang w:val="en-US"/>
        </w:rPr>
        <w:t xml:space="preserve"> a total of 77 factories and 57 tenants</w:t>
      </w:r>
      <w:r w:rsidR="004B4166" w:rsidRPr="00921120">
        <w:rPr>
          <w:rFonts w:ascii="Arial" w:hAnsi="Arial" w:cs="Arial"/>
          <w:sz w:val="20"/>
          <w:szCs w:val="20"/>
          <w:lang w:val="en-US"/>
        </w:rPr>
        <w:t>; thus, an occupancy rate of 79</w:t>
      </w:r>
      <w:r w:rsidR="00AC0EDA" w:rsidRPr="00921120">
        <w:rPr>
          <w:rFonts w:ascii="Arial" w:hAnsi="Arial" w:cs="Arial"/>
          <w:sz w:val="20"/>
          <w:szCs w:val="20"/>
          <w:lang w:val="en-US"/>
        </w:rPr>
        <w:t>%</w:t>
      </w:r>
      <w:r w:rsidR="000B52DD" w:rsidRPr="00921120">
        <w:rPr>
          <w:rFonts w:ascii="Arial" w:hAnsi="Arial" w:cs="Arial"/>
          <w:sz w:val="20"/>
          <w:szCs w:val="20"/>
          <w:lang w:val="en-US"/>
        </w:rPr>
        <w:t xml:space="preserve">. The tenants’ </w:t>
      </w:r>
      <w:r w:rsidR="004B4166" w:rsidRPr="00921120">
        <w:rPr>
          <w:rFonts w:ascii="Arial" w:hAnsi="Arial" w:cs="Arial"/>
          <w:sz w:val="20"/>
          <w:szCs w:val="20"/>
          <w:lang w:val="en-US"/>
        </w:rPr>
        <w:t>profile</w:t>
      </w:r>
      <w:r w:rsidR="00D72CD6" w:rsidRPr="00921120">
        <w:rPr>
          <w:rFonts w:ascii="Arial" w:hAnsi="Arial" w:cs="Arial"/>
          <w:sz w:val="20"/>
          <w:szCs w:val="20"/>
          <w:lang w:val="en-US"/>
        </w:rPr>
        <w:t>s</w:t>
      </w:r>
      <w:r w:rsidR="000B52DD" w:rsidRPr="00921120">
        <w:rPr>
          <w:rFonts w:ascii="Arial" w:hAnsi="Arial" w:cs="Arial"/>
          <w:sz w:val="20"/>
          <w:szCs w:val="20"/>
          <w:lang w:val="en-US"/>
        </w:rPr>
        <w:t xml:space="preserve"> span across a number of sectors, which include manufacturing</w:t>
      </w:r>
      <w:r w:rsidR="004B4166" w:rsidRPr="00921120">
        <w:rPr>
          <w:rFonts w:ascii="Arial" w:hAnsi="Arial" w:cs="Arial"/>
          <w:sz w:val="20"/>
          <w:szCs w:val="20"/>
          <w:lang w:val="en-US"/>
        </w:rPr>
        <w:t xml:space="preserve"> (20 tenants)</w:t>
      </w:r>
      <w:r w:rsidR="000B52DD" w:rsidRPr="00921120">
        <w:rPr>
          <w:rFonts w:ascii="Arial" w:hAnsi="Arial" w:cs="Arial"/>
          <w:sz w:val="20"/>
          <w:szCs w:val="20"/>
          <w:lang w:val="en-US"/>
        </w:rPr>
        <w:t>, agro-processing</w:t>
      </w:r>
      <w:r w:rsidR="004B4166" w:rsidRPr="00921120">
        <w:rPr>
          <w:rFonts w:ascii="Arial" w:hAnsi="Arial" w:cs="Arial"/>
          <w:sz w:val="20"/>
          <w:szCs w:val="20"/>
          <w:lang w:val="en-US"/>
        </w:rPr>
        <w:t xml:space="preserve"> (2 tenants)</w:t>
      </w:r>
      <w:r w:rsidR="000B52DD" w:rsidRPr="00921120">
        <w:rPr>
          <w:rFonts w:ascii="Arial" w:hAnsi="Arial" w:cs="Arial"/>
          <w:sz w:val="20"/>
          <w:szCs w:val="20"/>
          <w:lang w:val="en-US"/>
        </w:rPr>
        <w:t>, services</w:t>
      </w:r>
      <w:r w:rsidR="004B4166" w:rsidRPr="00921120">
        <w:rPr>
          <w:rFonts w:ascii="Arial" w:hAnsi="Arial" w:cs="Arial"/>
          <w:sz w:val="20"/>
          <w:szCs w:val="20"/>
          <w:lang w:val="en-US"/>
        </w:rPr>
        <w:t xml:space="preserve"> (36 tenants),</w:t>
      </w:r>
      <w:r w:rsidR="000B52DD" w:rsidRPr="00921120">
        <w:rPr>
          <w:rFonts w:ascii="Arial" w:hAnsi="Arial" w:cs="Arial"/>
          <w:sz w:val="20"/>
          <w:szCs w:val="20"/>
          <w:lang w:val="en-US"/>
        </w:rPr>
        <w:t xml:space="preserve"> and waste management</w:t>
      </w:r>
      <w:r w:rsidR="004B4166" w:rsidRPr="00921120">
        <w:rPr>
          <w:rFonts w:ascii="Arial" w:hAnsi="Arial" w:cs="Arial"/>
          <w:sz w:val="20"/>
          <w:szCs w:val="20"/>
          <w:lang w:val="en-US"/>
        </w:rPr>
        <w:t xml:space="preserve"> (3 tenants)</w:t>
      </w:r>
      <w:r w:rsidR="000B52DD" w:rsidRPr="00921120">
        <w:rPr>
          <w:rFonts w:ascii="Arial" w:hAnsi="Arial" w:cs="Arial"/>
          <w:sz w:val="20"/>
          <w:szCs w:val="20"/>
          <w:lang w:val="en-US"/>
        </w:rPr>
        <w:t xml:space="preserve">. According to LEDA, the manufactured products produced at the Park </w:t>
      </w:r>
      <w:r w:rsidR="004B4166" w:rsidRPr="00921120">
        <w:rPr>
          <w:rFonts w:ascii="Arial" w:hAnsi="Arial" w:cs="Arial"/>
          <w:sz w:val="20"/>
          <w:szCs w:val="20"/>
          <w:lang w:val="en-US"/>
        </w:rPr>
        <w:t>were being</w:t>
      </w:r>
      <w:r w:rsidR="000B52DD" w:rsidRPr="00921120">
        <w:rPr>
          <w:rFonts w:ascii="Arial" w:hAnsi="Arial" w:cs="Arial"/>
          <w:sz w:val="20"/>
          <w:szCs w:val="20"/>
          <w:lang w:val="en-US"/>
        </w:rPr>
        <w:t xml:space="preserve"> sold locally, nationally and internationally. </w:t>
      </w:r>
      <w:r w:rsidR="004B4166" w:rsidRPr="00921120">
        <w:rPr>
          <w:rFonts w:ascii="Arial" w:hAnsi="Arial" w:cs="Arial"/>
          <w:sz w:val="20"/>
          <w:szCs w:val="20"/>
          <w:lang w:val="en-US"/>
        </w:rPr>
        <w:t>The e</w:t>
      </w:r>
      <w:r w:rsidR="000B52DD" w:rsidRPr="00921120">
        <w:rPr>
          <w:rFonts w:ascii="Arial" w:hAnsi="Arial" w:cs="Arial"/>
          <w:sz w:val="20"/>
          <w:szCs w:val="20"/>
          <w:lang w:val="en-US"/>
        </w:rPr>
        <w:t>mployment contribution of the Park amount</w:t>
      </w:r>
      <w:r w:rsidR="00D72CD6" w:rsidRPr="00921120">
        <w:rPr>
          <w:rFonts w:ascii="Arial" w:hAnsi="Arial" w:cs="Arial"/>
          <w:sz w:val="20"/>
          <w:szCs w:val="20"/>
          <w:lang w:val="en-US"/>
        </w:rPr>
        <w:t>ed</w:t>
      </w:r>
      <w:r w:rsidR="000B52DD" w:rsidRPr="00921120">
        <w:rPr>
          <w:rFonts w:ascii="Arial" w:hAnsi="Arial" w:cs="Arial"/>
          <w:sz w:val="20"/>
          <w:szCs w:val="20"/>
          <w:lang w:val="en-US"/>
        </w:rPr>
        <w:t xml:space="preserve"> to 1</w:t>
      </w:r>
      <w:r w:rsidR="004B4166" w:rsidRPr="00921120">
        <w:rPr>
          <w:rFonts w:ascii="Arial" w:hAnsi="Arial" w:cs="Arial"/>
          <w:sz w:val="20"/>
          <w:szCs w:val="20"/>
          <w:lang w:val="en-US"/>
        </w:rPr>
        <w:t> </w:t>
      </w:r>
      <w:r w:rsidR="000B52DD" w:rsidRPr="00921120">
        <w:rPr>
          <w:rFonts w:ascii="Arial" w:hAnsi="Arial" w:cs="Arial"/>
          <w:sz w:val="20"/>
          <w:szCs w:val="20"/>
          <w:lang w:val="en-US"/>
        </w:rPr>
        <w:t>059 direct jobs. The ge</w:t>
      </w:r>
      <w:r w:rsidR="004B4166" w:rsidRPr="00921120">
        <w:rPr>
          <w:rFonts w:ascii="Arial" w:hAnsi="Arial" w:cs="Arial"/>
          <w:sz w:val="20"/>
          <w:szCs w:val="20"/>
          <w:lang w:val="en-US"/>
        </w:rPr>
        <w:t>nder breakdown of the tenants was</w:t>
      </w:r>
      <w:r w:rsidR="000B52DD" w:rsidRPr="00921120">
        <w:rPr>
          <w:rFonts w:ascii="Arial" w:hAnsi="Arial" w:cs="Arial"/>
          <w:sz w:val="20"/>
          <w:szCs w:val="20"/>
          <w:lang w:val="en-US"/>
        </w:rPr>
        <w:t xml:space="preserve"> 49 male</w:t>
      </w:r>
      <w:r w:rsidR="004B4166" w:rsidRPr="00921120">
        <w:rPr>
          <w:rFonts w:ascii="Arial" w:hAnsi="Arial" w:cs="Arial"/>
          <w:sz w:val="20"/>
          <w:szCs w:val="20"/>
          <w:lang w:val="en-US"/>
        </w:rPr>
        <w:t>s and eight female tenants, of which 48 were</w:t>
      </w:r>
      <w:r w:rsidR="000B52DD" w:rsidRPr="00921120">
        <w:rPr>
          <w:rFonts w:ascii="Arial" w:hAnsi="Arial" w:cs="Arial"/>
          <w:sz w:val="20"/>
          <w:szCs w:val="20"/>
          <w:lang w:val="en-US"/>
        </w:rPr>
        <w:t xml:space="preserve"> black and </w:t>
      </w:r>
      <w:r w:rsidR="004B4166" w:rsidRPr="00921120">
        <w:rPr>
          <w:rFonts w:ascii="Arial" w:hAnsi="Arial" w:cs="Arial"/>
          <w:sz w:val="20"/>
          <w:szCs w:val="20"/>
          <w:lang w:val="en-US"/>
        </w:rPr>
        <w:t>nine</w:t>
      </w:r>
      <w:r w:rsidR="000B52DD" w:rsidRPr="00921120">
        <w:rPr>
          <w:rFonts w:ascii="Arial" w:hAnsi="Arial" w:cs="Arial"/>
          <w:sz w:val="20"/>
          <w:szCs w:val="20"/>
          <w:lang w:val="en-US"/>
        </w:rPr>
        <w:t xml:space="preserve"> white, with one non-South African occupying space inside the Park.</w:t>
      </w:r>
      <w:r w:rsidR="004B4166" w:rsidRPr="00921120">
        <w:rPr>
          <w:rFonts w:ascii="Arial" w:hAnsi="Arial" w:cs="Arial"/>
          <w:sz w:val="20"/>
          <w:szCs w:val="20"/>
        </w:rPr>
        <w:t xml:space="preserve"> The majority of tenants at the Seshego Industrial Park were SMMEs, and a small </w:t>
      </w:r>
      <w:r w:rsidR="00CB4333" w:rsidRPr="00921120">
        <w:rPr>
          <w:rFonts w:ascii="Arial" w:hAnsi="Arial" w:cs="Arial"/>
          <w:sz w:val="20"/>
          <w:szCs w:val="20"/>
        </w:rPr>
        <w:t xml:space="preserve">percentage </w:t>
      </w:r>
      <w:r w:rsidR="004B4166" w:rsidRPr="00921120">
        <w:rPr>
          <w:rFonts w:ascii="Arial" w:hAnsi="Arial" w:cs="Arial"/>
          <w:sz w:val="20"/>
          <w:szCs w:val="20"/>
        </w:rPr>
        <w:t>of the Seshego Industrial Park is used by different Government Departments for storage including the Pharmaceutical Depot of the Limpopo Province.</w:t>
      </w:r>
    </w:p>
    <w:p w:rsidR="004B4166" w:rsidRPr="00921120" w:rsidRDefault="004B4166" w:rsidP="00921120">
      <w:pPr>
        <w:spacing w:line="240" w:lineRule="auto"/>
        <w:jc w:val="left"/>
        <w:rPr>
          <w:rFonts w:ascii="Arial" w:hAnsi="Arial" w:cs="Arial"/>
          <w:sz w:val="20"/>
          <w:szCs w:val="20"/>
          <w:lang w:val="en-US"/>
        </w:rPr>
      </w:pPr>
    </w:p>
    <w:p w:rsidR="000B52DD" w:rsidRPr="00921120" w:rsidRDefault="003374C4" w:rsidP="00921120">
      <w:pPr>
        <w:spacing w:line="240" w:lineRule="auto"/>
        <w:jc w:val="left"/>
        <w:rPr>
          <w:rFonts w:ascii="Arial" w:hAnsi="Arial" w:cs="Arial"/>
          <w:sz w:val="20"/>
          <w:szCs w:val="20"/>
        </w:rPr>
      </w:pPr>
      <w:r w:rsidRPr="00921120">
        <w:rPr>
          <w:rFonts w:ascii="Arial" w:hAnsi="Arial" w:cs="Arial"/>
          <w:sz w:val="20"/>
          <w:szCs w:val="20"/>
        </w:rPr>
        <w:t>Its</w:t>
      </w:r>
      <w:r w:rsidR="000B52DD" w:rsidRPr="00921120">
        <w:rPr>
          <w:rFonts w:ascii="Arial" w:hAnsi="Arial" w:cs="Arial"/>
          <w:sz w:val="20"/>
          <w:szCs w:val="20"/>
        </w:rPr>
        <w:t xml:space="preserve"> revitalisation programme had been divided into </w:t>
      </w:r>
      <w:r w:rsidR="009D318C" w:rsidRPr="00921120">
        <w:rPr>
          <w:rFonts w:ascii="Arial" w:hAnsi="Arial" w:cs="Arial"/>
          <w:sz w:val="20"/>
          <w:szCs w:val="20"/>
        </w:rPr>
        <w:t>four</w:t>
      </w:r>
      <w:r w:rsidR="000B52DD" w:rsidRPr="00921120">
        <w:rPr>
          <w:rFonts w:ascii="Arial" w:hAnsi="Arial" w:cs="Arial"/>
          <w:sz w:val="20"/>
          <w:szCs w:val="20"/>
        </w:rPr>
        <w:t xml:space="preserve"> phases. The phases are described below:</w:t>
      </w:r>
    </w:p>
    <w:p w:rsidR="000B52DD" w:rsidRPr="00921120" w:rsidRDefault="000B52DD" w:rsidP="00921120">
      <w:pPr>
        <w:numPr>
          <w:ilvl w:val="0"/>
          <w:numId w:val="5"/>
        </w:numPr>
        <w:autoSpaceDE w:val="0"/>
        <w:autoSpaceDN w:val="0"/>
        <w:adjustRightInd w:val="0"/>
        <w:spacing w:line="240" w:lineRule="auto"/>
        <w:ind w:left="360"/>
        <w:contextualSpacing/>
        <w:jc w:val="left"/>
        <w:rPr>
          <w:rFonts w:ascii="Arial" w:hAnsi="Arial" w:cs="Arial"/>
          <w:sz w:val="20"/>
          <w:szCs w:val="20"/>
        </w:rPr>
      </w:pPr>
      <w:r w:rsidRPr="00921120">
        <w:rPr>
          <w:rFonts w:ascii="Arial" w:hAnsi="Arial" w:cs="Arial"/>
          <w:sz w:val="20"/>
          <w:szCs w:val="20"/>
        </w:rPr>
        <w:t>Phase 1 of the Programme covers security infrastructure upgrades, fencing, street lighting, top structure</w:t>
      </w:r>
      <w:r w:rsidR="004B4166" w:rsidRPr="00921120">
        <w:rPr>
          <w:rFonts w:ascii="Arial" w:hAnsi="Arial" w:cs="Arial"/>
          <w:sz w:val="20"/>
          <w:szCs w:val="20"/>
        </w:rPr>
        <w:t>s</w:t>
      </w:r>
      <w:r w:rsidRPr="00921120">
        <w:rPr>
          <w:rFonts w:ascii="Arial" w:hAnsi="Arial" w:cs="Arial"/>
          <w:sz w:val="20"/>
          <w:szCs w:val="20"/>
        </w:rPr>
        <w:t xml:space="preserve">, and critical electricity requirements. </w:t>
      </w:r>
    </w:p>
    <w:p w:rsidR="000B52DD" w:rsidRPr="00921120" w:rsidRDefault="000B52DD" w:rsidP="00921120">
      <w:pPr>
        <w:numPr>
          <w:ilvl w:val="0"/>
          <w:numId w:val="5"/>
        </w:numPr>
        <w:autoSpaceDE w:val="0"/>
        <w:autoSpaceDN w:val="0"/>
        <w:adjustRightInd w:val="0"/>
        <w:spacing w:line="240" w:lineRule="auto"/>
        <w:ind w:left="360"/>
        <w:contextualSpacing/>
        <w:jc w:val="left"/>
        <w:rPr>
          <w:rFonts w:ascii="Arial" w:hAnsi="Arial" w:cs="Arial"/>
          <w:sz w:val="20"/>
          <w:szCs w:val="20"/>
        </w:rPr>
      </w:pPr>
      <w:r w:rsidRPr="00921120">
        <w:rPr>
          <w:rFonts w:ascii="Arial" w:hAnsi="Arial" w:cs="Arial"/>
          <w:sz w:val="20"/>
          <w:szCs w:val="20"/>
        </w:rPr>
        <w:t xml:space="preserve">Phase 2 deals with engineering designs and construction of new and existing roads, bulk water supply and sewerage treatment plants or industrial effluent control. </w:t>
      </w:r>
    </w:p>
    <w:p w:rsidR="000B52DD" w:rsidRPr="00921120" w:rsidRDefault="000B52DD" w:rsidP="00921120">
      <w:pPr>
        <w:numPr>
          <w:ilvl w:val="0"/>
          <w:numId w:val="5"/>
        </w:numPr>
        <w:autoSpaceDE w:val="0"/>
        <w:autoSpaceDN w:val="0"/>
        <w:adjustRightInd w:val="0"/>
        <w:spacing w:line="240" w:lineRule="auto"/>
        <w:ind w:left="360"/>
        <w:contextualSpacing/>
        <w:jc w:val="left"/>
        <w:rPr>
          <w:rFonts w:ascii="Arial" w:hAnsi="Arial" w:cs="Arial"/>
          <w:sz w:val="20"/>
          <w:szCs w:val="20"/>
        </w:rPr>
      </w:pPr>
      <w:r w:rsidRPr="00921120">
        <w:rPr>
          <w:rFonts w:ascii="Arial" w:hAnsi="Arial" w:cs="Arial"/>
          <w:sz w:val="20"/>
          <w:szCs w:val="20"/>
        </w:rPr>
        <w:t xml:space="preserve">Phase 3 deals with upgrades of electricity infrastructure and to build new top structures that were in line with the expansion programme of the industrial parks. </w:t>
      </w:r>
    </w:p>
    <w:p w:rsidR="000B52DD" w:rsidRPr="00921120" w:rsidRDefault="000B52DD" w:rsidP="00921120">
      <w:pPr>
        <w:numPr>
          <w:ilvl w:val="0"/>
          <w:numId w:val="5"/>
        </w:numPr>
        <w:autoSpaceDE w:val="0"/>
        <w:autoSpaceDN w:val="0"/>
        <w:adjustRightInd w:val="0"/>
        <w:spacing w:line="240" w:lineRule="auto"/>
        <w:ind w:left="360"/>
        <w:contextualSpacing/>
        <w:jc w:val="left"/>
        <w:rPr>
          <w:rFonts w:ascii="Arial" w:hAnsi="Arial" w:cs="Arial"/>
          <w:sz w:val="20"/>
          <w:szCs w:val="20"/>
        </w:rPr>
      </w:pPr>
      <w:r w:rsidRPr="00921120">
        <w:rPr>
          <w:rFonts w:ascii="Arial" w:hAnsi="Arial" w:cs="Arial"/>
          <w:sz w:val="20"/>
          <w:szCs w:val="20"/>
        </w:rPr>
        <w:t xml:space="preserve">Phase 4 deals with the development of sustainable industrial clusters in industrial parks. </w:t>
      </w:r>
    </w:p>
    <w:p w:rsidR="000B52DD" w:rsidRPr="00921120" w:rsidRDefault="000B52DD" w:rsidP="00921120">
      <w:pPr>
        <w:spacing w:line="240" w:lineRule="auto"/>
        <w:jc w:val="left"/>
        <w:rPr>
          <w:rFonts w:ascii="Arial" w:hAnsi="Arial" w:cs="Arial"/>
          <w:sz w:val="20"/>
          <w:szCs w:val="20"/>
        </w:rPr>
      </w:pPr>
    </w:p>
    <w:p w:rsidR="000B52DD" w:rsidRPr="00921120" w:rsidRDefault="000B52DD" w:rsidP="00921120">
      <w:pPr>
        <w:spacing w:line="240" w:lineRule="auto"/>
        <w:jc w:val="left"/>
        <w:rPr>
          <w:rFonts w:ascii="Arial" w:hAnsi="Arial" w:cs="Arial"/>
          <w:sz w:val="20"/>
          <w:szCs w:val="20"/>
        </w:rPr>
      </w:pPr>
      <w:r w:rsidRPr="00921120">
        <w:rPr>
          <w:rFonts w:ascii="Arial" w:hAnsi="Arial" w:cs="Arial"/>
          <w:sz w:val="20"/>
          <w:szCs w:val="20"/>
        </w:rPr>
        <w:t xml:space="preserve">The LEDA informed the Committee that phase 1 of </w:t>
      </w:r>
      <w:r w:rsidR="003374C4" w:rsidRPr="00921120">
        <w:rPr>
          <w:rFonts w:ascii="Arial" w:hAnsi="Arial" w:cs="Arial"/>
          <w:sz w:val="20"/>
          <w:szCs w:val="20"/>
        </w:rPr>
        <w:t xml:space="preserve">the Seshego </w:t>
      </w:r>
      <w:r w:rsidRPr="00921120">
        <w:rPr>
          <w:rFonts w:ascii="Arial" w:hAnsi="Arial" w:cs="Arial"/>
          <w:sz w:val="20"/>
          <w:szCs w:val="20"/>
        </w:rPr>
        <w:t xml:space="preserve">revitalisation programme </w:t>
      </w:r>
      <w:r w:rsidR="009D318C" w:rsidRPr="00921120">
        <w:rPr>
          <w:rFonts w:ascii="Arial" w:hAnsi="Arial" w:cs="Arial"/>
          <w:sz w:val="20"/>
          <w:szCs w:val="20"/>
        </w:rPr>
        <w:t xml:space="preserve">had been </w:t>
      </w:r>
      <w:r w:rsidRPr="00921120">
        <w:rPr>
          <w:rFonts w:ascii="Arial" w:hAnsi="Arial" w:cs="Arial"/>
          <w:sz w:val="20"/>
          <w:szCs w:val="20"/>
        </w:rPr>
        <w:t>completed in two phases, phase 1A and phase 1B, with the support of the DTIC to the value of R35 million. Th</w:t>
      </w:r>
      <w:r w:rsidR="009D318C" w:rsidRPr="00921120">
        <w:rPr>
          <w:rFonts w:ascii="Arial" w:hAnsi="Arial" w:cs="Arial"/>
          <w:sz w:val="20"/>
          <w:szCs w:val="20"/>
        </w:rPr>
        <w:t>e</w:t>
      </w:r>
      <w:r w:rsidRPr="00921120">
        <w:rPr>
          <w:rFonts w:ascii="Arial" w:hAnsi="Arial" w:cs="Arial"/>
          <w:sz w:val="20"/>
          <w:szCs w:val="20"/>
        </w:rPr>
        <w:t xml:space="preserve"> Phase 1 project mainly covered the construction of perimeter fence, installation of CCTV cameras, construction of two Guard house</w:t>
      </w:r>
      <w:r w:rsidR="009D318C" w:rsidRPr="00921120">
        <w:rPr>
          <w:rFonts w:ascii="Arial" w:hAnsi="Arial" w:cs="Arial"/>
          <w:sz w:val="20"/>
          <w:szCs w:val="20"/>
        </w:rPr>
        <w:t>s</w:t>
      </w:r>
      <w:r w:rsidRPr="00921120">
        <w:rPr>
          <w:rFonts w:ascii="Arial" w:hAnsi="Arial" w:cs="Arial"/>
          <w:sz w:val="20"/>
          <w:szCs w:val="20"/>
        </w:rPr>
        <w:t xml:space="preserve"> and a control room, installation of </w:t>
      </w:r>
      <w:r w:rsidR="009D318C" w:rsidRPr="00921120">
        <w:rPr>
          <w:rFonts w:ascii="Arial" w:hAnsi="Arial" w:cs="Arial"/>
          <w:sz w:val="20"/>
          <w:szCs w:val="20"/>
        </w:rPr>
        <w:t>h</w:t>
      </w:r>
      <w:r w:rsidRPr="00921120">
        <w:rPr>
          <w:rFonts w:ascii="Arial" w:hAnsi="Arial" w:cs="Arial"/>
          <w:sz w:val="20"/>
          <w:szCs w:val="20"/>
        </w:rPr>
        <w:t xml:space="preserve">igh mast lights, construction of concrete culvert and renovation of </w:t>
      </w:r>
      <w:r w:rsidR="009D318C" w:rsidRPr="00921120">
        <w:rPr>
          <w:rFonts w:ascii="Arial" w:hAnsi="Arial" w:cs="Arial"/>
          <w:sz w:val="20"/>
          <w:szCs w:val="20"/>
        </w:rPr>
        <w:t>one</w:t>
      </w:r>
      <w:r w:rsidRPr="00921120">
        <w:rPr>
          <w:rFonts w:ascii="Arial" w:hAnsi="Arial" w:cs="Arial"/>
          <w:sz w:val="20"/>
          <w:szCs w:val="20"/>
        </w:rPr>
        <w:t xml:space="preserve"> factory unit.</w:t>
      </w:r>
    </w:p>
    <w:p w:rsidR="000B52DD" w:rsidRPr="00921120" w:rsidRDefault="000B52DD" w:rsidP="00921120">
      <w:pPr>
        <w:spacing w:line="240" w:lineRule="auto"/>
        <w:jc w:val="left"/>
        <w:rPr>
          <w:rFonts w:ascii="Arial" w:hAnsi="Arial" w:cs="Arial"/>
          <w:sz w:val="20"/>
          <w:szCs w:val="20"/>
        </w:rPr>
      </w:pPr>
    </w:p>
    <w:p w:rsidR="000B52DD" w:rsidRPr="00921120" w:rsidRDefault="000B52DD" w:rsidP="00921120">
      <w:pPr>
        <w:spacing w:line="240" w:lineRule="auto"/>
        <w:jc w:val="left"/>
        <w:rPr>
          <w:rFonts w:ascii="Arial" w:hAnsi="Arial" w:cs="Arial"/>
          <w:sz w:val="20"/>
          <w:szCs w:val="20"/>
        </w:rPr>
      </w:pPr>
      <w:r w:rsidRPr="00921120">
        <w:rPr>
          <w:rFonts w:ascii="Arial" w:hAnsi="Arial" w:cs="Arial"/>
          <w:sz w:val="20"/>
          <w:szCs w:val="20"/>
        </w:rPr>
        <w:t>According to LEDA, the completion of phase 1 attracted 14 new tenants, namely, Muffama Beleggings (Agro-processing), Matidi Holdings (Recycling), Pr</w:t>
      </w:r>
      <w:r w:rsidR="00AD7144" w:rsidRPr="00921120">
        <w:rPr>
          <w:rFonts w:ascii="Arial" w:hAnsi="Arial" w:cs="Arial"/>
          <w:sz w:val="20"/>
          <w:szCs w:val="20"/>
        </w:rPr>
        <w:t>e</w:t>
      </w:r>
      <w:r w:rsidRPr="00921120">
        <w:rPr>
          <w:rFonts w:ascii="Arial" w:hAnsi="Arial" w:cs="Arial"/>
          <w:sz w:val="20"/>
          <w:szCs w:val="20"/>
        </w:rPr>
        <w:t>mier Piping (Manufacturing), SEDA</w:t>
      </w:r>
      <w:r w:rsidR="00636985" w:rsidRPr="00921120">
        <w:rPr>
          <w:rFonts w:ascii="Arial" w:hAnsi="Arial" w:cs="Arial"/>
          <w:sz w:val="20"/>
          <w:szCs w:val="20"/>
        </w:rPr>
        <w:t xml:space="preserve"> (Small Enterprise Development Agency)</w:t>
      </w:r>
      <w:r w:rsidRPr="00921120">
        <w:rPr>
          <w:rFonts w:ascii="Arial" w:hAnsi="Arial" w:cs="Arial"/>
          <w:sz w:val="20"/>
          <w:szCs w:val="20"/>
        </w:rPr>
        <w:t xml:space="preserve"> Lim</w:t>
      </w:r>
      <w:r w:rsidR="00AD7144" w:rsidRPr="00921120">
        <w:rPr>
          <w:rFonts w:ascii="Arial" w:hAnsi="Arial" w:cs="Arial"/>
          <w:sz w:val="20"/>
          <w:szCs w:val="20"/>
        </w:rPr>
        <w:t>popo</w:t>
      </w:r>
      <w:r w:rsidRPr="00921120">
        <w:rPr>
          <w:rFonts w:ascii="Arial" w:hAnsi="Arial" w:cs="Arial"/>
          <w:sz w:val="20"/>
          <w:szCs w:val="20"/>
        </w:rPr>
        <w:t xml:space="preserve"> Jewell</w:t>
      </w:r>
      <w:r w:rsidR="00AD7144" w:rsidRPr="00921120">
        <w:rPr>
          <w:rFonts w:ascii="Arial" w:hAnsi="Arial" w:cs="Arial"/>
          <w:sz w:val="20"/>
          <w:szCs w:val="20"/>
        </w:rPr>
        <w:t>ery Incubator</w:t>
      </w:r>
      <w:r w:rsidRPr="00921120">
        <w:rPr>
          <w:rFonts w:ascii="Arial" w:hAnsi="Arial" w:cs="Arial"/>
          <w:sz w:val="20"/>
          <w:szCs w:val="20"/>
        </w:rPr>
        <w:t xml:space="preserve"> (Manufacturing), and Unicode Industriale (Manufacturing), among others. This ref</w:t>
      </w:r>
      <w:r w:rsidR="00FE28B8" w:rsidRPr="00921120">
        <w:rPr>
          <w:rFonts w:ascii="Arial" w:hAnsi="Arial" w:cs="Arial"/>
          <w:sz w:val="20"/>
          <w:szCs w:val="20"/>
        </w:rPr>
        <w:t>lects a total investment of R41,</w:t>
      </w:r>
      <w:r w:rsidRPr="00921120">
        <w:rPr>
          <w:rFonts w:ascii="Arial" w:hAnsi="Arial" w:cs="Arial"/>
          <w:sz w:val="20"/>
          <w:szCs w:val="20"/>
        </w:rPr>
        <w:t>74</w:t>
      </w:r>
      <w:r w:rsidR="00FE28B8" w:rsidRPr="00921120">
        <w:rPr>
          <w:rFonts w:ascii="Arial" w:hAnsi="Arial" w:cs="Arial"/>
          <w:sz w:val="20"/>
          <w:szCs w:val="20"/>
        </w:rPr>
        <w:t xml:space="preserve"> million</w:t>
      </w:r>
      <w:r w:rsidRPr="00921120">
        <w:rPr>
          <w:rFonts w:ascii="Arial" w:hAnsi="Arial" w:cs="Arial"/>
          <w:sz w:val="20"/>
          <w:szCs w:val="20"/>
        </w:rPr>
        <w:t xml:space="preserve"> within the Seshego Industrial Park since the completion of </w:t>
      </w:r>
      <w:r w:rsidR="00636985" w:rsidRPr="00921120">
        <w:rPr>
          <w:rFonts w:ascii="Arial" w:hAnsi="Arial" w:cs="Arial"/>
          <w:sz w:val="20"/>
          <w:szCs w:val="20"/>
        </w:rPr>
        <w:t>P</w:t>
      </w:r>
      <w:r w:rsidRPr="00921120">
        <w:rPr>
          <w:rFonts w:ascii="Arial" w:hAnsi="Arial" w:cs="Arial"/>
          <w:sz w:val="20"/>
          <w:szCs w:val="20"/>
        </w:rPr>
        <w:t>hase</w:t>
      </w:r>
      <w:r w:rsidR="009D501E" w:rsidRPr="00921120">
        <w:rPr>
          <w:rFonts w:ascii="Arial" w:hAnsi="Arial" w:cs="Arial"/>
          <w:sz w:val="20"/>
          <w:szCs w:val="20"/>
        </w:rPr>
        <w:t> </w:t>
      </w:r>
      <w:r w:rsidRPr="00921120">
        <w:rPr>
          <w:rFonts w:ascii="Arial" w:hAnsi="Arial" w:cs="Arial"/>
          <w:sz w:val="20"/>
          <w:szCs w:val="20"/>
        </w:rPr>
        <w:t xml:space="preserve">1. </w:t>
      </w:r>
    </w:p>
    <w:p w:rsidR="000B52DD" w:rsidRPr="00921120" w:rsidRDefault="000B52DD" w:rsidP="00921120">
      <w:pPr>
        <w:spacing w:line="240" w:lineRule="auto"/>
        <w:jc w:val="left"/>
        <w:rPr>
          <w:rFonts w:ascii="Arial" w:hAnsi="Arial" w:cs="Arial"/>
          <w:sz w:val="20"/>
          <w:szCs w:val="20"/>
        </w:rPr>
      </w:pPr>
    </w:p>
    <w:p w:rsidR="000B52DD" w:rsidRPr="00921120" w:rsidRDefault="00483F93" w:rsidP="00921120">
      <w:pPr>
        <w:spacing w:line="240" w:lineRule="auto"/>
        <w:jc w:val="left"/>
        <w:rPr>
          <w:rFonts w:ascii="Arial" w:hAnsi="Arial" w:cs="Arial"/>
          <w:sz w:val="20"/>
          <w:szCs w:val="20"/>
        </w:rPr>
      </w:pPr>
      <w:r w:rsidRPr="00921120">
        <w:rPr>
          <w:rFonts w:ascii="Arial" w:hAnsi="Arial" w:cs="Arial"/>
          <w:sz w:val="20"/>
          <w:szCs w:val="20"/>
        </w:rPr>
        <w:t>It should be noted that Phase II</w:t>
      </w:r>
      <w:r w:rsidR="000B52DD" w:rsidRPr="00921120">
        <w:rPr>
          <w:rFonts w:ascii="Arial" w:hAnsi="Arial" w:cs="Arial"/>
          <w:sz w:val="20"/>
          <w:szCs w:val="20"/>
        </w:rPr>
        <w:t xml:space="preserve"> of the revitalisation of</w:t>
      </w:r>
      <w:r w:rsidRPr="00921120">
        <w:rPr>
          <w:rFonts w:ascii="Arial" w:hAnsi="Arial" w:cs="Arial"/>
          <w:sz w:val="20"/>
          <w:szCs w:val="20"/>
        </w:rPr>
        <w:t xml:space="preserve"> the Seshego Industrial Park had</w:t>
      </w:r>
      <w:r w:rsidR="000B52DD" w:rsidRPr="00921120">
        <w:rPr>
          <w:rFonts w:ascii="Arial" w:hAnsi="Arial" w:cs="Arial"/>
          <w:sz w:val="20"/>
          <w:szCs w:val="20"/>
        </w:rPr>
        <w:t xml:space="preserve"> not yet commenced. LEDA informed the Committee that the DTIC</w:t>
      </w:r>
      <w:r w:rsidR="00AD7144" w:rsidRPr="00921120">
        <w:rPr>
          <w:rFonts w:ascii="Arial" w:hAnsi="Arial" w:cs="Arial"/>
          <w:sz w:val="20"/>
          <w:szCs w:val="20"/>
        </w:rPr>
        <w:t xml:space="preserve"> had</w:t>
      </w:r>
      <w:r w:rsidR="000B52DD" w:rsidRPr="00921120">
        <w:rPr>
          <w:rFonts w:ascii="Arial" w:hAnsi="Arial" w:cs="Arial"/>
          <w:sz w:val="20"/>
          <w:szCs w:val="20"/>
        </w:rPr>
        <w:t xml:space="preserve"> approved the budget amount of R49</w:t>
      </w:r>
      <w:r w:rsidR="00AD7144" w:rsidRPr="00921120">
        <w:rPr>
          <w:rFonts w:ascii="Arial" w:hAnsi="Arial" w:cs="Arial"/>
          <w:sz w:val="20"/>
          <w:szCs w:val="20"/>
        </w:rPr>
        <w:t>,</w:t>
      </w:r>
      <w:r w:rsidR="000B52DD" w:rsidRPr="00921120">
        <w:rPr>
          <w:rFonts w:ascii="Arial" w:hAnsi="Arial" w:cs="Arial"/>
          <w:sz w:val="20"/>
          <w:szCs w:val="20"/>
        </w:rPr>
        <w:t>97 million to fund Phase 2 for the refurbishment of 11 warehouses (factories). One of the units had been identified to be converted into a Digital Hub. According to LEDA, Phase 2 would also include cleaning of storm-water channels and submission of As-Built-Drawings for approval by the municipality.</w:t>
      </w:r>
    </w:p>
    <w:p w:rsidR="000B52DD" w:rsidRPr="00921120" w:rsidRDefault="000B52DD" w:rsidP="00921120">
      <w:pPr>
        <w:spacing w:line="240" w:lineRule="auto"/>
        <w:jc w:val="left"/>
        <w:rPr>
          <w:rFonts w:ascii="Arial" w:hAnsi="Arial" w:cs="Arial"/>
          <w:sz w:val="20"/>
          <w:szCs w:val="20"/>
        </w:rPr>
      </w:pPr>
    </w:p>
    <w:p w:rsidR="000B52DD" w:rsidRPr="00921120" w:rsidRDefault="00AD7144" w:rsidP="00921120">
      <w:pPr>
        <w:spacing w:line="240" w:lineRule="auto"/>
        <w:jc w:val="left"/>
        <w:rPr>
          <w:rFonts w:ascii="Arial" w:hAnsi="Arial" w:cs="Arial"/>
          <w:sz w:val="20"/>
          <w:szCs w:val="20"/>
        </w:rPr>
      </w:pPr>
      <w:r w:rsidRPr="00921120">
        <w:rPr>
          <w:rFonts w:ascii="Arial" w:hAnsi="Arial" w:cs="Arial"/>
          <w:sz w:val="20"/>
          <w:szCs w:val="20"/>
        </w:rPr>
        <w:t>T</w:t>
      </w:r>
      <w:r w:rsidR="000B52DD" w:rsidRPr="00921120">
        <w:rPr>
          <w:rFonts w:ascii="Arial" w:hAnsi="Arial" w:cs="Arial"/>
          <w:sz w:val="20"/>
          <w:szCs w:val="20"/>
        </w:rPr>
        <w:t xml:space="preserve">he Development Bank of Southern Africa </w:t>
      </w:r>
      <w:r w:rsidRPr="00921120">
        <w:rPr>
          <w:rFonts w:ascii="Arial" w:hAnsi="Arial" w:cs="Arial"/>
          <w:sz w:val="20"/>
          <w:szCs w:val="20"/>
        </w:rPr>
        <w:t xml:space="preserve">(DBSA) had been </w:t>
      </w:r>
      <w:r w:rsidR="000B52DD" w:rsidRPr="00921120">
        <w:rPr>
          <w:rFonts w:ascii="Arial" w:hAnsi="Arial" w:cs="Arial"/>
          <w:sz w:val="20"/>
          <w:szCs w:val="20"/>
        </w:rPr>
        <w:t>appointed as the Implementing Agent. LEDA informed the Committee that the DBSA appointed SRSQS</w:t>
      </w:r>
      <w:r w:rsidRPr="00921120">
        <w:rPr>
          <w:rFonts w:ascii="Arial" w:hAnsi="Arial" w:cs="Arial"/>
          <w:sz w:val="20"/>
          <w:szCs w:val="20"/>
        </w:rPr>
        <w:t xml:space="preserve"> Quantity Surveyors</w:t>
      </w:r>
      <w:r w:rsidR="000B52DD" w:rsidRPr="00921120">
        <w:rPr>
          <w:rFonts w:ascii="Arial" w:hAnsi="Arial" w:cs="Arial"/>
          <w:sz w:val="20"/>
          <w:szCs w:val="20"/>
        </w:rPr>
        <w:t xml:space="preserve"> as Principal Agents t</w:t>
      </w:r>
      <w:r w:rsidR="00483F93" w:rsidRPr="00921120">
        <w:rPr>
          <w:rFonts w:ascii="Arial" w:hAnsi="Arial" w:cs="Arial"/>
          <w:sz w:val="20"/>
          <w:szCs w:val="20"/>
        </w:rPr>
        <w:t xml:space="preserve">o monitor and control Phase </w:t>
      </w:r>
      <w:r w:rsidRPr="00921120">
        <w:rPr>
          <w:rFonts w:ascii="Arial" w:hAnsi="Arial" w:cs="Arial"/>
          <w:sz w:val="20"/>
          <w:szCs w:val="20"/>
        </w:rPr>
        <w:t>2</w:t>
      </w:r>
      <w:r w:rsidR="000B52DD" w:rsidRPr="00921120">
        <w:rPr>
          <w:rFonts w:ascii="Arial" w:hAnsi="Arial" w:cs="Arial"/>
          <w:sz w:val="20"/>
          <w:szCs w:val="20"/>
        </w:rPr>
        <w:t xml:space="preserve">. </w:t>
      </w:r>
      <w:r w:rsidRPr="00921120">
        <w:rPr>
          <w:rFonts w:ascii="Arial" w:hAnsi="Arial" w:cs="Arial"/>
          <w:sz w:val="20"/>
          <w:szCs w:val="20"/>
        </w:rPr>
        <w:t>Furthermore</w:t>
      </w:r>
      <w:r w:rsidR="000B52DD" w:rsidRPr="00921120">
        <w:rPr>
          <w:rFonts w:ascii="Arial" w:hAnsi="Arial" w:cs="Arial"/>
          <w:sz w:val="20"/>
          <w:szCs w:val="20"/>
        </w:rPr>
        <w:t>, that once the DBSA finalised the procurement of a contractor, it wou</w:t>
      </w:r>
      <w:r w:rsidR="00483F93" w:rsidRPr="00921120">
        <w:rPr>
          <w:rFonts w:ascii="Arial" w:hAnsi="Arial" w:cs="Arial"/>
          <w:sz w:val="20"/>
          <w:szCs w:val="20"/>
        </w:rPr>
        <w:t xml:space="preserve">ld commence with work on Phase </w:t>
      </w:r>
      <w:r w:rsidRPr="00921120">
        <w:rPr>
          <w:rFonts w:ascii="Arial" w:hAnsi="Arial" w:cs="Arial"/>
          <w:sz w:val="20"/>
          <w:szCs w:val="20"/>
        </w:rPr>
        <w:t>2</w:t>
      </w:r>
      <w:r w:rsidR="000B52DD" w:rsidRPr="00921120">
        <w:rPr>
          <w:rFonts w:ascii="Arial" w:hAnsi="Arial" w:cs="Arial"/>
          <w:sz w:val="20"/>
          <w:szCs w:val="20"/>
        </w:rPr>
        <w:t xml:space="preserve">, and would </w:t>
      </w:r>
      <w:r w:rsidRPr="00921120">
        <w:rPr>
          <w:rFonts w:ascii="Arial" w:hAnsi="Arial" w:cs="Arial"/>
          <w:sz w:val="20"/>
          <w:szCs w:val="20"/>
        </w:rPr>
        <w:t xml:space="preserve">regularly </w:t>
      </w:r>
      <w:r w:rsidR="000B52DD" w:rsidRPr="00921120">
        <w:rPr>
          <w:rFonts w:ascii="Arial" w:hAnsi="Arial" w:cs="Arial"/>
          <w:sz w:val="20"/>
          <w:szCs w:val="20"/>
        </w:rPr>
        <w:t>report on its progress.</w:t>
      </w:r>
    </w:p>
    <w:p w:rsidR="000B52DD" w:rsidRPr="00921120" w:rsidRDefault="000B52DD" w:rsidP="00921120">
      <w:pPr>
        <w:spacing w:line="240" w:lineRule="auto"/>
        <w:jc w:val="left"/>
        <w:rPr>
          <w:rFonts w:ascii="Arial" w:hAnsi="Arial" w:cs="Arial"/>
          <w:sz w:val="20"/>
          <w:szCs w:val="20"/>
        </w:rPr>
      </w:pPr>
    </w:p>
    <w:p w:rsidR="002B4249" w:rsidRPr="00921120" w:rsidRDefault="002B4249" w:rsidP="00921120">
      <w:pPr>
        <w:spacing w:line="240" w:lineRule="auto"/>
        <w:jc w:val="left"/>
        <w:rPr>
          <w:rFonts w:ascii="Arial" w:hAnsi="Arial" w:cs="Arial"/>
          <w:sz w:val="20"/>
          <w:szCs w:val="20"/>
        </w:rPr>
      </w:pPr>
      <w:r w:rsidRPr="00921120">
        <w:rPr>
          <w:rFonts w:ascii="Arial" w:hAnsi="Arial" w:cs="Arial"/>
          <w:sz w:val="20"/>
          <w:szCs w:val="20"/>
        </w:rPr>
        <w:t xml:space="preserve">The </w:t>
      </w:r>
      <w:r w:rsidR="00504A4D" w:rsidRPr="00921120">
        <w:rPr>
          <w:rFonts w:ascii="Arial" w:hAnsi="Arial" w:cs="Arial"/>
          <w:sz w:val="20"/>
          <w:szCs w:val="20"/>
        </w:rPr>
        <w:t>Committee visited the following three tenants within the Seshego Industrial Park:</w:t>
      </w:r>
    </w:p>
    <w:p w:rsidR="00921CF1" w:rsidRPr="00921120" w:rsidRDefault="00921CF1" w:rsidP="00921120">
      <w:pPr>
        <w:spacing w:line="240" w:lineRule="auto"/>
        <w:jc w:val="left"/>
        <w:rPr>
          <w:rFonts w:ascii="Arial" w:hAnsi="Arial" w:cs="Arial"/>
          <w:sz w:val="20"/>
          <w:szCs w:val="20"/>
          <w:lang w:val="en-GB"/>
        </w:rPr>
      </w:pPr>
    </w:p>
    <w:p w:rsidR="007C79B9" w:rsidRPr="00921120" w:rsidRDefault="007C79B9" w:rsidP="00921120">
      <w:pPr>
        <w:pStyle w:val="Heading3"/>
        <w:spacing w:line="240" w:lineRule="auto"/>
        <w:jc w:val="left"/>
        <w:rPr>
          <w:rFonts w:ascii="Arial" w:hAnsi="Arial" w:cs="Arial"/>
          <w:sz w:val="20"/>
          <w:szCs w:val="20"/>
        </w:rPr>
      </w:pPr>
      <w:r w:rsidRPr="00921120">
        <w:rPr>
          <w:rFonts w:ascii="Arial" w:hAnsi="Arial" w:cs="Arial"/>
          <w:sz w:val="20"/>
          <w:szCs w:val="20"/>
        </w:rPr>
        <w:t>Supported Employment Enterprises</w:t>
      </w:r>
    </w:p>
    <w:p w:rsidR="007C79B9" w:rsidRPr="00921120" w:rsidRDefault="007C79B9" w:rsidP="00921120">
      <w:pPr>
        <w:spacing w:line="240" w:lineRule="auto"/>
        <w:jc w:val="left"/>
        <w:rPr>
          <w:rFonts w:ascii="Arial" w:hAnsi="Arial" w:cs="Arial"/>
          <w:sz w:val="20"/>
          <w:szCs w:val="20"/>
        </w:rPr>
      </w:pPr>
      <w:r w:rsidRPr="00921120">
        <w:rPr>
          <w:rFonts w:ascii="Arial" w:hAnsi="Arial" w:cs="Arial"/>
          <w:sz w:val="20"/>
          <w:szCs w:val="20"/>
        </w:rPr>
        <w:t xml:space="preserve">The Supported Employment Enterprises (SEE) (formerly known as Sheltered Employment Factories) is reportedly a state-owned entity under the Department of Employment and Labour. It started operating in 1943 in Gauteng </w:t>
      </w:r>
      <w:r w:rsidR="00636985" w:rsidRPr="00921120">
        <w:rPr>
          <w:rFonts w:ascii="Arial" w:hAnsi="Arial" w:cs="Arial"/>
          <w:sz w:val="20"/>
          <w:szCs w:val="20"/>
        </w:rPr>
        <w:t xml:space="preserve">after World War II </w:t>
      </w:r>
      <w:r w:rsidRPr="00921120">
        <w:rPr>
          <w:rFonts w:ascii="Arial" w:hAnsi="Arial" w:cs="Arial"/>
          <w:sz w:val="20"/>
          <w:szCs w:val="20"/>
        </w:rPr>
        <w:t xml:space="preserve">to assist war veterans that had become disabled as a result of the war. The SEE manufactures office furniture, home furniture, school furniture, hospital linen, uniforms and hospital linen. The factories seek to offer people with disabilities short to long term employment. The SEE now has 13 factories across South Africa, with the factory in Limpopo </w:t>
      </w:r>
      <w:r w:rsidR="00636985" w:rsidRPr="00921120">
        <w:rPr>
          <w:rFonts w:ascii="Arial" w:hAnsi="Arial" w:cs="Arial"/>
          <w:sz w:val="20"/>
          <w:szCs w:val="20"/>
        </w:rPr>
        <w:t xml:space="preserve">having </w:t>
      </w:r>
      <w:r w:rsidRPr="00921120">
        <w:rPr>
          <w:rFonts w:ascii="Arial" w:hAnsi="Arial" w:cs="Arial"/>
          <w:sz w:val="20"/>
          <w:szCs w:val="20"/>
        </w:rPr>
        <w:lastRenderedPageBreak/>
        <w:t>be</w:t>
      </w:r>
      <w:r w:rsidR="00636985" w:rsidRPr="00921120">
        <w:rPr>
          <w:rFonts w:ascii="Arial" w:hAnsi="Arial" w:cs="Arial"/>
          <w:sz w:val="20"/>
          <w:szCs w:val="20"/>
        </w:rPr>
        <w:t>e</w:t>
      </w:r>
      <w:r w:rsidRPr="00921120">
        <w:rPr>
          <w:rFonts w:ascii="Arial" w:hAnsi="Arial" w:cs="Arial"/>
          <w:sz w:val="20"/>
          <w:szCs w:val="20"/>
        </w:rPr>
        <w:t>n established in September 2019. The entity received R166,5 million towards its operations from the fiscus for the 2022/23 financial year</w:t>
      </w:r>
      <w:r w:rsidRPr="00921120">
        <w:rPr>
          <w:rStyle w:val="FootnoteReference"/>
          <w:rFonts w:ascii="Arial" w:hAnsi="Arial" w:cs="Arial"/>
          <w:sz w:val="20"/>
          <w:szCs w:val="20"/>
        </w:rPr>
        <w:footnoteReference w:id="20"/>
      </w:r>
      <w:r w:rsidRPr="00921120">
        <w:rPr>
          <w:rFonts w:ascii="Arial" w:hAnsi="Arial" w:cs="Arial"/>
          <w:sz w:val="20"/>
          <w:szCs w:val="20"/>
        </w:rPr>
        <w:t>.</w:t>
      </w:r>
    </w:p>
    <w:p w:rsidR="007C79B9" w:rsidRPr="00921120" w:rsidRDefault="007C79B9" w:rsidP="00921120">
      <w:pPr>
        <w:spacing w:line="240" w:lineRule="auto"/>
        <w:jc w:val="left"/>
        <w:rPr>
          <w:rFonts w:ascii="Arial" w:hAnsi="Arial" w:cs="Arial"/>
          <w:sz w:val="20"/>
          <w:szCs w:val="20"/>
        </w:rPr>
      </w:pPr>
    </w:p>
    <w:p w:rsidR="007C79B9" w:rsidRPr="00921120" w:rsidRDefault="007C79B9" w:rsidP="00921120">
      <w:pPr>
        <w:spacing w:line="240" w:lineRule="auto"/>
        <w:jc w:val="left"/>
        <w:rPr>
          <w:rFonts w:ascii="Arial" w:hAnsi="Arial" w:cs="Arial"/>
          <w:sz w:val="20"/>
          <w:szCs w:val="20"/>
        </w:rPr>
      </w:pPr>
      <w:r w:rsidRPr="00921120">
        <w:rPr>
          <w:rFonts w:ascii="Arial" w:hAnsi="Arial" w:cs="Arial"/>
          <w:sz w:val="20"/>
          <w:szCs w:val="20"/>
        </w:rPr>
        <w:t xml:space="preserve">The Limpopo factory occupies a 2 667 m² floor area in </w:t>
      </w:r>
      <w:r w:rsidR="00CB4333" w:rsidRPr="00921120">
        <w:rPr>
          <w:rFonts w:ascii="Arial" w:hAnsi="Arial" w:cs="Arial"/>
          <w:sz w:val="20"/>
          <w:szCs w:val="20"/>
        </w:rPr>
        <w:t xml:space="preserve">the </w:t>
      </w:r>
      <w:r w:rsidRPr="00921120">
        <w:rPr>
          <w:rFonts w:ascii="Arial" w:hAnsi="Arial" w:cs="Arial"/>
          <w:sz w:val="20"/>
          <w:szCs w:val="20"/>
        </w:rPr>
        <w:t>Seshego Industrial Park and trade</w:t>
      </w:r>
      <w:r w:rsidR="00250CF8" w:rsidRPr="00921120">
        <w:rPr>
          <w:rFonts w:ascii="Arial" w:hAnsi="Arial" w:cs="Arial"/>
          <w:sz w:val="20"/>
          <w:szCs w:val="20"/>
        </w:rPr>
        <w:t>s</w:t>
      </w:r>
      <w:r w:rsidRPr="00921120">
        <w:rPr>
          <w:rFonts w:ascii="Arial" w:hAnsi="Arial" w:cs="Arial"/>
          <w:sz w:val="20"/>
          <w:szCs w:val="20"/>
        </w:rPr>
        <w:t xml:space="preserve"> in textile products, mainly hospital linen. Currently, it supplies Groote Schuur and Tygerberg Laundry Hospitals, in the Western Cape, with theatre lotions. The raw material </w:t>
      </w:r>
      <w:r w:rsidR="00636985" w:rsidRPr="00921120">
        <w:rPr>
          <w:rFonts w:ascii="Arial" w:hAnsi="Arial" w:cs="Arial"/>
          <w:sz w:val="20"/>
          <w:szCs w:val="20"/>
        </w:rPr>
        <w:t>wa</w:t>
      </w:r>
      <w:r w:rsidRPr="00921120">
        <w:rPr>
          <w:rFonts w:ascii="Arial" w:hAnsi="Arial" w:cs="Arial"/>
          <w:sz w:val="20"/>
          <w:szCs w:val="20"/>
        </w:rPr>
        <w:t>s purchased from Da Gama (Pty) Ltd</w:t>
      </w:r>
      <w:r w:rsidR="00636985" w:rsidRPr="00921120">
        <w:rPr>
          <w:rFonts w:ascii="Arial" w:hAnsi="Arial" w:cs="Arial"/>
          <w:sz w:val="20"/>
          <w:szCs w:val="20"/>
        </w:rPr>
        <w:t>,</w:t>
      </w:r>
      <w:r w:rsidRPr="00921120">
        <w:rPr>
          <w:rFonts w:ascii="Arial" w:hAnsi="Arial" w:cs="Arial"/>
          <w:sz w:val="20"/>
          <w:szCs w:val="20"/>
        </w:rPr>
        <w:t xml:space="preserve"> which is based in the Eastern Cape. It employ</w:t>
      </w:r>
      <w:r w:rsidR="00636985" w:rsidRPr="00921120">
        <w:rPr>
          <w:rFonts w:ascii="Arial" w:hAnsi="Arial" w:cs="Arial"/>
          <w:sz w:val="20"/>
          <w:szCs w:val="20"/>
        </w:rPr>
        <w:t>ed</w:t>
      </w:r>
      <w:r w:rsidRPr="00921120">
        <w:rPr>
          <w:rFonts w:ascii="Arial" w:hAnsi="Arial" w:cs="Arial"/>
          <w:sz w:val="20"/>
          <w:szCs w:val="20"/>
        </w:rPr>
        <w:t xml:space="preserve"> 46 permanent staff, of which 27 </w:t>
      </w:r>
      <w:r w:rsidR="00636985" w:rsidRPr="00921120">
        <w:rPr>
          <w:rFonts w:ascii="Arial" w:hAnsi="Arial" w:cs="Arial"/>
          <w:sz w:val="20"/>
          <w:szCs w:val="20"/>
        </w:rPr>
        <w:t>we</w:t>
      </w:r>
      <w:r w:rsidRPr="00921120">
        <w:rPr>
          <w:rFonts w:ascii="Arial" w:hAnsi="Arial" w:cs="Arial"/>
          <w:sz w:val="20"/>
          <w:szCs w:val="20"/>
        </w:rPr>
        <w:t xml:space="preserve">re female and 19 </w:t>
      </w:r>
      <w:r w:rsidR="00636985" w:rsidRPr="00921120">
        <w:rPr>
          <w:rFonts w:ascii="Arial" w:hAnsi="Arial" w:cs="Arial"/>
          <w:sz w:val="20"/>
          <w:szCs w:val="20"/>
        </w:rPr>
        <w:t>we</w:t>
      </w:r>
      <w:r w:rsidRPr="00921120">
        <w:rPr>
          <w:rFonts w:ascii="Arial" w:hAnsi="Arial" w:cs="Arial"/>
          <w:sz w:val="20"/>
          <w:szCs w:val="20"/>
        </w:rPr>
        <w:t xml:space="preserve">re male. Forty-two of the employees </w:t>
      </w:r>
      <w:r w:rsidR="00636985" w:rsidRPr="00921120">
        <w:rPr>
          <w:rFonts w:ascii="Arial" w:hAnsi="Arial" w:cs="Arial"/>
          <w:sz w:val="20"/>
          <w:szCs w:val="20"/>
        </w:rPr>
        <w:t>we</w:t>
      </w:r>
      <w:r w:rsidRPr="00921120">
        <w:rPr>
          <w:rFonts w:ascii="Arial" w:hAnsi="Arial" w:cs="Arial"/>
          <w:sz w:val="20"/>
          <w:szCs w:val="20"/>
        </w:rPr>
        <w:t xml:space="preserve">re youth living with disabilities and one </w:t>
      </w:r>
      <w:r w:rsidR="00636985" w:rsidRPr="00921120">
        <w:rPr>
          <w:rFonts w:ascii="Arial" w:hAnsi="Arial" w:cs="Arial"/>
          <w:sz w:val="20"/>
          <w:szCs w:val="20"/>
        </w:rPr>
        <w:t>wa</w:t>
      </w:r>
      <w:r w:rsidRPr="00921120">
        <w:rPr>
          <w:rFonts w:ascii="Arial" w:hAnsi="Arial" w:cs="Arial"/>
          <w:sz w:val="20"/>
          <w:szCs w:val="20"/>
        </w:rPr>
        <w:t>s an adult living with disabilities.</w:t>
      </w:r>
    </w:p>
    <w:p w:rsidR="007C79B9" w:rsidRPr="00921120" w:rsidRDefault="007C79B9" w:rsidP="00921120">
      <w:pPr>
        <w:spacing w:line="240" w:lineRule="auto"/>
        <w:jc w:val="left"/>
        <w:rPr>
          <w:rFonts w:ascii="Arial" w:hAnsi="Arial" w:cs="Arial"/>
          <w:sz w:val="20"/>
          <w:szCs w:val="20"/>
        </w:rPr>
      </w:pPr>
    </w:p>
    <w:p w:rsidR="007C79B9" w:rsidRPr="00921120" w:rsidRDefault="007C79B9" w:rsidP="00921120">
      <w:pPr>
        <w:spacing w:line="240" w:lineRule="auto"/>
        <w:jc w:val="left"/>
        <w:rPr>
          <w:rFonts w:ascii="Arial" w:hAnsi="Arial" w:cs="Arial"/>
          <w:sz w:val="20"/>
          <w:szCs w:val="20"/>
        </w:rPr>
      </w:pPr>
      <w:r w:rsidRPr="00921120">
        <w:rPr>
          <w:rFonts w:ascii="Arial" w:hAnsi="Arial" w:cs="Arial"/>
          <w:sz w:val="20"/>
          <w:szCs w:val="20"/>
        </w:rPr>
        <w:t>However, the factory raised concerns about limited work available, which appeared to be managed centrally from its Head Office in Tshwane.</w:t>
      </w:r>
    </w:p>
    <w:p w:rsidR="00FE28B8" w:rsidRPr="00921120" w:rsidRDefault="00FE28B8" w:rsidP="00921120">
      <w:pPr>
        <w:spacing w:line="240" w:lineRule="auto"/>
        <w:jc w:val="left"/>
        <w:rPr>
          <w:rFonts w:ascii="Arial" w:hAnsi="Arial" w:cs="Arial"/>
          <w:sz w:val="20"/>
          <w:szCs w:val="20"/>
        </w:rPr>
      </w:pPr>
    </w:p>
    <w:p w:rsidR="007C79B9" w:rsidRPr="00921120" w:rsidRDefault="007C79B9" w:rsidP="00921120">
      <w:pPr>
        <w:pStyle w:val="Heading3"/>
        <w:spacing w:line="240" w:lineRule="auto"/>
        <w:jc w:val="left"/>
        <w:rPr>
          <w:rFonts w:ascii="Arial" w:hAnsi="Arial" w:cs="Arial"/>
          <w:sz w:val="20"/>
          <w:szCs w:val="20"/>
        </w:rPr>
      </w:pPr>
      <w:r w:rsidRPr="00921120">
        <w:rPr>
          <w:rFonts w:ascii="Arial" w:hAnsi="Arial" w:cs="Arial"/>
          <w:sz w:val="20"/>
          <w:szCs w:val="20"/>
        </w:rPr>
        <w:t>Limpopo Jewellery Business Incubator</w:t>
      </w:r>
    </w:p>
    <w:p w:rsidR="007C79B9" w:rsidRPr="00921120" w:rsidRDefault="00504A4D" w:rsidP="00921120">
      <w:pPr>
        <w:spacing w:line="240" w:lineRule="auto"/>
        <w:jc w:val="left"/>
        <w:rPr>
          <w:rFonts w:ascii="Arial" w:hAnsi="Arial" w:cs="Arial"/>
          <w:sz w:val="20"/>
          <w:szCs w:val="20"/>
        </w:rPr>
      </w:pPr>
      <w:r w:rsidRPr="00921120">
        <w:rPr>
          <w:rFonts w:ascii="Arial" w:hAnsi="Arial" w:cs="Arial"/>
          <w:sz w:val="20"/>
          <w:szCs w:val="20"/>
        </w:rPr>
        <w:t xml:space="preserve">The </w:t>
      </w:r>
      <w:r w:rsidR="007C79B9" w:rsidRPr="00921120">
        <w:rPr>
          <w:rFonts w:ascii="Arial" w:hAnsi="Arial" w:cs="Arial"/>
          <w:sz w:val="20"/>
          <w:szCs w:val="20"/>
        </w:rPr>
        <w:t xml:space="preserve">Limpopo Jewellery Business Incubator (LJBI), previously known as </w:t>
      </w:r>
      <w:r w:rsidRPr="00921120">
        <w:rPr>
          <w:rFonts w:ascii="Arial" w:hAnsi="Arial" w:cs="Arial"/>
          <w:sz w:val="20"/>
          <w:szCs w:val="20"/>
        </w:rPr>
        <w:t xml:space="preserve">the </w:t>
      </w:r>
      <w:r w:rsidR="007C79B9" w:rsidRPr="00921120">
        <w:rPr>
          <w:rFonts w:ascii="Arial" w:hAnsi="Arial" w:cs="Arial"/>
          <w:sz w:val="20"/>
          <w:szCs w:val="20"/>
        </w:rPr>
        <w:t>S</w:t>
      </w:r>
      <w:r w:rsidR="009D501E" w:rsidRPr="00921120">
        <w:rPr>
          <w:rFonts w:ascii="Arial" w:hAnsi="Arial" w:cs="Arial"/>
          <w:sz w:val="20"/>
          <w:szCs w:val="20"/>
        </w:rPr>
        <w:t>EDA</w:t>
      </w:r>
      <w:r w:rsidR="007C79B9" w:rsidRPr="00921120">
        <w:rPr>
          <w:rFonts w:ascii="Arial" w:hAnsi="Arial" w:cs="Arial"/>
          <w:sz w:val="20"/>
          <w:szCs w:val="20"/>
        </w:rPr>
        <w:t xml:space="preserve"> Limpopo Jewellery Incubator</w:t>
      </w:r>
      <w:r w:rsidRPr="00921120">
        <w:rPr>
          <w:rFonts w:ascii="Arial" w:hAnsi="Arial" w:cs="Arial"/>
          <w:sz w:val="20"/>
          <w:szCs w:val="20"/>
        </w:rPr>
        <w:t>,</w:t>
      </w:r>
      <w:r w:rsidR="007C79B9" w:rsidRPr="00921120">
        <w:rPr>
          <w:rFonts w:ascii="Arial" w:hAnsi="Arial" w:cs="Arial"/>
          <w:sz w:val="20"/>
          <w:szCs w:val="20"/>
        </w:rPr>
        <w:t xml:space="preserve"> was established</w:t>
      </w:r>
      <w:r w:rsidR="001D6608" w:rsidRPr="00921120">
        <w:rPr>
          <w:rFonts w:ascii="Arial" w:hAnsi="Arial" w:cs="Arial"/>
          <w:sz w:val="20"/>
          <w:szCs w:val="20"/>
        </w:rPr>
        <w:t xml:space="preserve"> in 2009, in partnership with the European Union,</w:t>
      </w:r>
      <w:r w:rsidR="007C79B9" w:rsidRPr="00921120">
        <w:rPr>
          <w:rFonts w:ascii="Arial" w:hAnsi="Arial" w:cs="Arial"/>
          <w:sz w:val="20"/>
          <w:szCs w:val="20"/>
        </w:rPr>
        <w:t xml:space="preserve"> to contribute towards creating economic opportunities </w:t>
      </w:r>
      <w:r w:rsidR="009D501E" w:rsidRPr="00921120">
        <w:rPr>
          <w:rFonts w:ascii="Arial" w:hAnsi="Arial" w:cs="Arial"/>
          <w:sz w:val="20"/>
          <w:szCs w:val="20"/>
        </w:rPr>
        <w:t xml:space="preserve">by </w:t>
      </w:r>
      <w:r w:rsidR="007C79B9" w:rsidRPr="00921120">
        <w:rPr>
          <w:rFonts w:ascii="Arial" w:hAnsi="Arial" w:cs="Arial"/>
          <w:sz w:val="20"/>
          <w:szCs w:val="20"/>
        </w:rPr>
        <w:t>developing and supporting emerging businesses from historically disadvantaged communities. Following its 12 years of existence, the LJBI seeks to reposition itself as a</w:t>
      </w:r>
      <w:r w:rsidRPr="00921120">
        <w:rPr>
          <w:rFonts w:ascii="Arial" w:hAnsi="Arial" w:cs="Arial"/>
          <w:sz w:val="20"/>
          <w:szCs w:val="20"/>
        </w:rPr>
        <w:t xml:space="preserve"> centre of excellence that is </w:t>
      </w:r>
      <w:r w:rsidR="007C79B9" w:rsidRPr="00921120">
        <w:rPr>
          <w:rFonts w:ascii="Arial" w:hAnsi="Arial" w:cs="Arial"/>
          <w:sz w:val="20"/>
          <w:szCs w:val="20"/>
        </w:rPr>
        <w:t>recognisable and has a strong brand in Limpopo, across the country, the SADC and internationally.</w:t>
      </w:r>
    </w:p>
    <w:p w:rsidR="007C79B9" w:rsidRPr="00921120" w:rsidRDefault="007C79B9" w:rsidP="00921120">
      <w:pPr>
        <w:spacing w:line="240" w:lineRule="auto"/>
        <w:jc w:val="left"/>
        <w:rPr>
          <w:rFonts w:ascii="Arial" w:hAnsi="Arial" w:cs="Arial"/>
          <w:sz w:val="20"/>
          <w:szCs w:val="20"/>
        </w:rPr>
      </w:pPr>
    </w:p>
    <w:p w:rsidR="007C79B9" w:rsidRPr="00921120" w:rsidRDefault="00504A4D" w:rsidP="00921120">
      <w:pPr>
        <w:spacing w:line="240" w:lineRule="auto"/>
        <w:jc w:val="left"/>
        <w:rPr>
          <w:rFonts w:ascii="Arial" w:hAnsi="Arial" w:cs="Arial"/>
          <w:sz w:val="20"/>
          <w:szCs w:val="20"/>
        </w:rPr>
      </w:pPr>
      <w:r w:rsidRPr="00921120">
        <w:rPr>
          <w:rFonts w:ascii="Arial" w:hAnsi="Arial" w:cs="Arial"/>
          <w:sz w:val="20"/>
          <w:szCs w:val="20"/>
        </w:rPr>
        <w:t xml:space="preserve">The </w:t>
      </w:r>
      <w:r w:rsidR="007C79B9" w:rsidRPr="00921120">
        <w:rPr>
          <w:rFonts w:ascii="Arial" w:hAnsi="Arial" w:cs="Arial"/>
          <w:sz w:val="20"/>
          <w:szCs w:val="20"/>
        </w:rPr>
        <w:t>LJBI focuses on generating sustainable small to medium enterpri</w:t>
      </w:r>
      <w:r w:rsidRPr="00921120">
        <w:rPr>
          <w:rFonts w:ascii="Arial" w:hAnsi="Arial" w:cs="Arial"/>
          <w:sz w:val="20"/>
          <w:szCs w:val="20"/>
        </w:rPr>
        <w:t>ses drawn from different sectors, including Clothing, Leather and</w:t>
      </w:r>
      <w:r w:rsidR="007C79B9" w:rsidRPr="00921120">
        <w:rPr>
          <w:rFonts w:ascii="Arial" w:hAnsi="Arial" w:cs="Arial"/>
          <w:sz w:val="20"/>
          <w:szCs w:val="20"/>
        </w:rPr>
        <w:t xml:space="preserve"> Textile</w:t>
      </w:r>
      <w:r w:rsidRPr="00921120">
        <w:rPr>
          <w:rFonts w:ascii="Arial" w:hAnsi="Arial" w:cs="Arial"/>
          <w:sz w:val="20"/>
          <w:szCs w:val="20"/>
        </w:rPr>
        <w:t>s</w:t>
      </w:r>
      <w:r w:rsidR="007C79B9" w:rsidRPr="00921120">
        <w:rPr>
          <w:rFonts w:ascii="Arial" w:hAnsi="Arial" w:cs="Arial"/>
          <w:sz w:val="20"/>
          <w:szCs w:val="20"/>
        </w:rPr>
        <w:t xml:space="preserve">, Beauty </w:t>
      </w:r>
      <w:r w:rsidRPr="00921120">
        <w:rPr>
          <w:rFonts w:ascii="Arial" w:hAnsi="Arial" w:cs="Arial"/>
          <w:sz w:val="20"/>
          <w:szCs w:val="20"/>
        </w:rPr>
        <w:t>and</w:t>
      </w:r>
      <w:r w:rsidR="007C79B9" w:rsidRPr="00921120">
        <w:rPr>
          <w:rFonts w:ascii="Arial" w:hAnsi="Arial" w:cs="Arial"/>
          <w:sz w:val="20"/>
          <w:szCs w:val="20"/>
        </w:rPr>
        <w:t xml:space="preserve"> Cosmetic</w:t>
      </w:r>
      <w:r w:rsidRPr="00921120">
        <w:rPr>
          <w:rFonts w:ascii="Arial" w:hAnsi="Arial" w:cs="Arial"/>
          <w:sz w:val="20"/>
          <w:szCs w:val="20"/>
        </w:rPr>
        <w:t>s, w</w:t>
      </w:r>
      <w:r w:rsidR="007C79B9" w:rsidRPr="00921120">
        <w:rPr>
          <w:rFonts w:ascii="Arial" w:hAnsi="Arial" w:cs="Arial"/>
          <w:sz w:val="20"/>
          <w:szCs w:val="20"/>
        </w:rPr>
        <w:t>ith jewellery manufac</w:t>
      </w:r>
      <w:r w:rsidRPr="00921120">
        <w:rPr>
          <w:rFonts w:ascii="Arial" w:hAnsi="Arial" w:cs="Arial"/>
          <w:sz w:val="20"/>
          <w:szCs w:val="20"/>
        </w:rPr>
        <w:t>turing remaining part of its core</w:t>
      </w:r>
      <w:r w:rsidR="007C79B9" w:rsidRPr="00921120">
        <w:rPr>
          <w:rFonts w:ascii="Arial" w:hAnsi="Arial" w:cs="Arial"/>
          <w:sz w:val="20"/>
          <w:szCs w:val="20"/>
        </w:rPr>
        <w:t xml:space="preserve"> mandate</w:t>
      </w:r>
      <w:r w:rsidRPr="00921120">
        <w:rPr>
          <w:rFonts w:ascii="Arial" w:hAnsi="Arial" w:cs="Arial"/>
          <w:sz w:val="20"/>
          <w:szCs w:val="20"/>
        </w:rPr>
        <w:t xml:space="preserve">. It </w:t>
      </w:r>
      <w:r w:rsidR="007C79B9" w:rsidRPr="00921120">
        <w:rPr>
          <w:rFonts w:ascii="Arial" w:hAnsi="Arial" w:cs="Arial"/>
          <w:sz w:val="20"/>
          <w:szCs w:val="20"/>
        </w:rPr>
        <w:t>transfer</w:t>
      </w:r>
      <w:r w:rsidRPr="00921120">
        <w:rPr>
          <w:rFonts w:ascii="Arial" w:hAnsi="Arial" w:cs="Arial"/>
          <w:sz w:val="20"/>
          <w:szCs w:val="20"/>
        </w:rPr>
        <w:t>s</w:t>
      </w:r>
      <w:r w:rsidR="007C79B9" w:rsidRPr="00921120">
        <w:rPr>
          <w:rFonts w:ascii="Arial" w:hAnsi="Arial" w:cs="Arial"/>
          <w:sz w:val="20"/>
          <w:szCs w:val="20"/>
        </w:rPr>
        <w:t xml:space="preserve"> practical jewellery</w:t>
      </w:r>
      <w:r w:rsidRPr="00921120">
        <w:rPr>
          <w:rFonts w:ascii="Arial" w:hAnsi="Arial" w:cs="Arial"/>
          <w:sz w:val="20"/>
          <w:szCs w:val="20"/>
        </w:rPr>
        <w:t xml:space="preserve"> design and</w:t>
      </w:r>
      <w:r w:rsidR="007C79B9" w:rsidRPr="00921120">
        <w:rPr>
          <w:rFonts w:ascii="Arial" w:hAnsi="Arial" w:cs="Arial"/>
          <w:sz w:val="20"/>
          <w:szCs w:val="20"/>
        </w:rPr>
        <w:t xml:space="preserve"> </w:t>
      </w:r>
      <w:r w:rsidRPr="00921120">
        <w:rPr>
          <w:rFonts w:ascii="Arial" w:hAnsi="Arial" w:cs="Arial"/>
          <w:sz w:val="20"/>
          <w:szCs w:val="20"/>
        </w:rPr>
        <w:t xml:space="preserve">manufacturing </w:t>
      </w:r>
      <w:r w:rsidR="007C79B9" w:rsidRPr="00921120">
        <w:rPr>
          <w:rFonts w:ascii="Arial" w:hAnsi="Arial" w:cs="Arial"/>
          <w:sz w:val="20"/>
          <w:szCs w:val="20"/>
        </w:rPr>
        <w:t xml:space="preserve">skills, </w:t>
      </w:r>
      <w:r w:rsidR="009D501E" w:rsidRPr="00921120">
        <w:rPr>
          <w:rFonts w:ascii="Arial" w:hAnsi="Arial" w:cs="Arial"/>
          <w:sz w:val="20"/>
          <w:szCs w:val="20"/>
        </w:rPr>
        <w:t xml:space="preserve">and offers </w:t>
      </w:r>
      <w:r w:rsidR="007C79B9" w:rsidRPr="00921120">
        <w:rPr>
          <w:rFonts w:ascii="Arial" w:hAnsi="Arial" w:cs="Arial"/>
          <w:sz w:val="20"/>
          <w:szCs w:val="20"/>
        </w:rPr>
        <w:t>business mentorship and coaching to ensure the availability of properly skilled young South Africans both in manufacturing and entrepreneurship.</w:t>
      </w:r>
      <w:r w:rsidRPr="00921120">
        <w:rPr>
          <w:rFonts w:ascii="Arial" w:hAnsi="Arial" w:cs="Arial"/>
          <w:sz w:val="20"/>
          <w:szCs w:val="20"/>
        </w:rPr>
        <w:t xml:space="preserve"> Other services it offers includes </w:t>
      </w:r>
      <w:r w:rsidR="007C79B9" w:rsidRPr="00921120">
        <w:rPr>
          <w:rFonts w:ascii="Arial" w:hAnsi="Arial" w:cs="Arial"/>
          <w:sz w:val="20"/>
          <w:szCs w:val="20"/>
        </w:rPr>
        <w:t>market</w:t>
      </w:r>
      <w:r w:rsidR="009D501E" w:rsidRPr="00921120">
        <w:rPr>
          <w:rFonts w:ascii="Arial" w:hAnsi="Arial" w:cs="Arial"/>
          <w:sz w:val="20"/>
          <w:szCs w:val="20"/>
        </w:rPr>
        <w:t xml:space="preserve"> access facilitation</w:t>
      </w:r>
      <w:r w:rsidRPr="00921120">
        <w:rPr>
          <w:rFonts w:ascii="Arial" w:hAnsi="Arial" w:cs="Arial"/>
          <w:sz w:val="20"/>
          <w:szCs w:val="20"/>
        </w:rPr>
        <w:t xml:space="preserve"> and </w:t>
      </w:r>
      <w:r w:rsidR="007C79B9" w:rsidRPr="00921120">
        <w:rPr>
          <w:rFonts w:ascii="Arial" w:hAnsi="Arial" w:cs="Arial"/>
          <w:sz w:val="20"/>
          <w:szCs w:val="20"/>
        </w:rPr>
        <w:t>funding</w:t>
      </w:r>
      <w:r w:rsidRPr="00921120">
        <w:rPr>
          <w:rFonts w:ascii="Arial" w:hAnsi="Arial" w:cs="Arial"/>
          <w:sz w:val="20"/>
          <w:szCs w:val="20"/>
        </w:rPr>
        <w:t xml:space="preserve"> for SMMEs.</w:t>
      </w:r>
      <w:r w:rsidR="001D6608" w:rsidRPr="00921120">
        <w:rPr>
          <w:rFonts w:ascii="Arial" w:hAnsi="Arial" w:cs="Arial"/>
          <w:sz w:val="20"/>
          <w:szCs w:val="20"/>
        </w:rPr>
        <w:t xml:space="preserve"> It </w:t>
      </w:r>
      <w:r w:rsidR="009D501E" w:rsidRPr="00921120">
        <w:rPr>
          <w:rFonts w:ascii="Arial" w:hAnsi="Arial" w:cs="Arial"/>
          <w:sz w:val="20"/>
          <w:szCs w:val="20"/>
        </w:rPr>
        <w:t>wa</w:t>
      </w:r>
      <w:r w:rsidR="001D6608" w:rsidRPr="00921120">
        <w:rPr>
          <w:rFonts w:ascii="Arial" w:hAnsi="Arial" w:cs="Arial"/>
          <w:sz w:val="20"/>
          <w:szCs w:val="20"/>
        </w:rPr>
        <w:t>s currently supporting 49 SMMEs.</w:t>
      </w:r>
      <w:r w:rsidR="00392439" w:rsidRPr="00921120">
        <w:rPr>
          <w:rFonts w:ascii="Arial" w:hAnsi="Arial" w:cs="Arial"/>
          <w:sz w:val="20"/>
          <w:szCs w:val="20"/>
        </w:rPr>
        <w:t xml:space="preserve"> The SMMEs can sell </w:t>
      </w:r>
      <w:r w:rsidR="009D501E" w:rsidRPr="00921120">
        <w:rPr>
          <w:rFonts w:ascii="Arial" w:hAnsi="Arial" w:cs="Arial"/>
          <w:sz w:val="20"/>
          <w:szCs w:val="20"/>
        </w:rPr>
        <w:t>their</w:t>
      </w:r>
      <w:r w:rsidR="00392439" w:rsidRPr="00921120">
        <w:rPr>
          <w:rFonts w:ascii="Arial" w:hAnsi="Arial" w:cs="Arial"/>
          <w:sz w:val="20"/>
          <w:szCs w:val="20"/>
        </w:rPr>
        <w:t xml:space="preserve"> products at a kiosk </w:t>
      </w:r>
      <w:r w:rsidR="009D501E" w:rsidRPr="00921120">
        <w:rPr>
          <w:rFonts w:ascii="Arial" w:hAnsi="Arial" w:cs="Arial"/>
          <w:sz w:val="20"/>
          <w:szCs w:val="20"/>
        </w:rPr>
        <w:t xml:space="preserve">run by the LJBI </w:t>
      </w:r>
      <w:r w:rsidR="00392439" w:rsidRPr="00921120">
        <w:rPr>
          <w:rFonts w:ascii="Arial" w:hAnsi="Arial" w:cs="Arial"/>
          <w:sz w:val="20"/>
          <w:szCs w:val="20"/>
        </w:rPr>
        <w:t>in Polokwane</w:t>
      </w:r>
      <w:r w:rsidR="009D501E" w:rsidRPr="00921120">
        <w:rPr>
          <w:rFonts w:ascii="Arial" w:hAnsi="Arial" w:cs="Arial"/>
          <w:sz w:val="20"/>
          <w:szCs w:val="20"/>
        </w:rPr>
        <w:t>.</w:t>
      </w:r>
      <w:r w:rsidR="00392439" w:rsidRPr="00921120">
        <w:rPr>
          <w:rFonts w:ascii="Arial" w:hAnsi="Arial" w:cs="Arial"/>
          <w:sz w:val="20"/>
          <w:szCs w:val="20"/>
        </w:rPr>
        <w:t xml:space="preserve"> </w:t>
      </w:r>
      <w:r w:rsidR="009D501E" w:rsidRPr="00921120">
        <w:rPr>
          <w:rFonts w:ascii="Arial" w:hAnsi="Arial" w:cs="Arial"/>
          <w:sz w:val="20"/>
          <w:szCs w:val="20"/>
        </w:rPr>
        <w:t>M</w:t>
      </w:r>
      <w:r w:rsidR="00392439" w:rsidRPr="00921120">
        <w:rPr>
          <w:rFonts w:ascii="Arial" w:hAnsi="Arial" w:cs="Arial"/>
          <w:sz w:val="20"/>
          <w:szCs w:val="20"/>
        </w:rPr>
        <w:t xml:space="preserve">ost </w:t>
      </w:r>
      <w:r w:rsidR="009D501E" w:rsidRPr="00921120">
        <w:rPr>
          <w:rFonts w:ascii="Arial" w:hAnsi="Arial" w:cs="Arial"/>
          <w:sz w:val="20"/>
          <w:szCs w:val="20"/>
        </w:rPr>
        <w:t xml:space="preserve">of them also </w:t>
      </w:r>
      <w:r w:rsidR="00392439" w:rsidRPr="00921120">
        <w:rPr>
          <w:rFonts w:ascii="Arial" w:hAnsi="Arial" w:cs="Arial"/>
          <w:sz w:val="20"/>
          <w:szCs w:val="20"/>
        </w:rPr>
        <w:t>sell their products directly to the public.</w:t>
      </w:r>
    </w:p>
    <w:p w:rsidR="007C79B9" w:rsidRPr="00921120" w:rsidRDefault="007C79B9" w:rsidP="00921120">
      <w:pPr>
        <w:spacing w:line="240" w:lineRule="auto"/>
        <w:jc w:val="left"/>
        <w:rPr>
          <w:rFonts w:ascii="Arial" w:hAnsi="Arial" w:cs="Arial"/>
          <w:sz w:val="20"/>
          <w:szCs w:val="20"/>
        </w:rPr>
      </w:pPr>
    </w:p>
    <w:p w:rsidR="007C79B9" w:rsidRPr="00921120" w:rsidRDefault="00504A4D" w:rsidP="00921120">
      <w:pPr>
        <w:spacing w:line="240" w:lineRule="auto"/>
        <w:jc w:val="left"/>
        <w:rPr>
          <w:rFonts w:ascii="Arial" w:hAnsi="Arial" w:cs="Arial"/>
          <w:sz w:val="20"/>
          <w:szCs w:val="20"/>
        </w:rPr>
      </w:pPr>
      <w:r w:rsidRPr="00921120">
        <w:rPr>
          <w:rFonts w:ascii="Arial" w:hAnsi="Arial" w:cs="Arial"/>
          <w:sz w:val="20"/>
          <w:szCs w:val="20"/>
        </w:rPr>
        <w:t>It offers a</w:t>
      </w:r>
      <w:r w:rsidR="002A6E4A" w:rsidRPr="00921120">
        <w:rPr>
          <w:rFonts w:ascii="Arial" w:hAnsi="Arial" w:cs="Arial"/>
          <w:sz w:val="20"/>
          <w:szCs w:val="20"/>
        </w:rPr>
        <w:t>n</w:t>
      </w:r>
      <w:r w:rsidRPr="00921120">
        <w:rPr>
          <w:rFonts w:ascii="Arial" w:hAnsi="Arial" w:cs="Arial"/>
          <w:sz w:val="20"/>
          <w:szCs w:val="20"/>
        </w:rPr>
        <w:t xml:space="preserve"> in-person level </w:t>
      </w:r>
      <w:r w:rsidR="009D501E" w:rsidRPr="00921120">
        <w:rPr>
          <w:rFonts w:ascii="Arial" w:hAnsi="Arial" w:cs="Arial"/>
          <w:sz w:val="20"/>
          <w:szCs w:val="20"/>
        </w:rPr>
        <w:t>III</w:t>
      </w:r>
      <w:r w:rsidRPr="00921120">
        <w:rPr>
          <w:rFonts w:ascii="Arial" w:hAnsi="Arial" w:cs="Arial"/>
          <w:sz w:val="20"/>
          <w:szCs w:val="20"/>
        </w:rPr>
        <w:t xml:space="preserve"> </w:t>
      </w:r>
      <w:r w:rsidR="007C79B9" w:rsidRPr="00921120">
        <w:rPr>
          <w:rFonts w:ascii="Arial" w:hAnsi="Arial" w:cs="Arial"/>
          <w:sz w:val="20"/>
          <w:szCs w:val="20"/>
        </w:rPr>
        <w:t xml:space="preserve">learnership programme </w:t>
      </w:r>
      <w:r w:rsidRPr="00921120">
        <w:rPr>
          <w:rFonts w:ascii="Arial" w:hAnsi="Arial" w:cs="Arial"/>
          <w:sz w:val="20"/>
          <w:szCs w:val="20"/>
        </w:rPr>
        <w:t xml:space="preserve">over </w:t>
      </w:r>
      <w:r w:rsidR="007C79B9" w:rsidRPr="00921120">
        <w:rPr>
          <w:rFonts w:ascii="Arial" w:hAnsi="Arial" w:cs="Arial"/>
          <w:sz w:val="20"/>
          <w:szCs w:val="20"/>
        </w:rPr>
        <w:t>a period of 12 to 18 months offering three qualifications, a National Certificate in Jewellery Manufacturing</w:t>
      </w:r>
      <w:r w:rsidRPr="00921120">
        <w:rPr>
          <w:rFonts w:ascii="Arial" w:hAnsi="Arial" w:cs="Arial"/>
          <w:sz w:val="20"/>
          <w:szCs w:val="20"/>
        </w:rPr>
        <w:t>,</w:t>
      </w:r>
      <w:r w:rsidR="007C79B9" w:rsidRPr="00921120">
        <w:rPr>
          <w:rFonts w:ascii="Arial" w:hAnsi="Arial" w:cs="Arial"/>
          <w:sz w:val="20"/>
          <w:szCs w:val="20"/>
        </w:rPr>
        <w:t xml:space="preserve"> and Further Education and Training Certificate</w:t>
      </w:r>
      <w:r w:rsidR="00EF19FA" w:rsidRPr="00921120">
        <w:rPr>
          <w:rFonts w:ascii="Arial" w:hAnsi="Arial" w:cs="Arial"/>
          <w:sz w:val="20"/>
          <w:szCs w:val="20"/>
        </w:rPr>
        <w:t xml:space="preserve">s in </w:t>
      </w:r>
      <w:r w:rsidR="007C79B9" w:rsidRPr="00921120">
        <w:rPr>
          <w:rFonts w:ascii="Arial" w:hAnsi="Arial" w:cs="Arial"/>
          <w:sz w:val="20"/>
          <w:szCs w:val="20"/>
        </w:rPr>
        <w:t xml:space="preserve">Jewellery Designing and Goldsmith. </w:t>
      </w:r>
      <w:r w:rsidRPr="00921120">
        <w:rPr>
          <w:rFonts w:ascii="Arial" w:hAnsi="Arial" w:cs="Arial"/>
          <w:sz w:val="20"/>
          <w:szCs w:val="20"/>
        </w:rPr>
        <w:t xml:space="preserve">Through the learnership, it provides theoretical and </w:t>
      </w:r>
      <w:r w:rsidR="007C79B9" w:rsidRPr="00921120">
        <w:rPr>
          <w:rFonts w:ascii="Arial" w:hAnsi="Arial" w:cs="Arial"/>
          <w:sz w:val="20"/>
          <w:szCs w:val="20"/>
        </w:rPr>
        <w:t xml:space="preserve">practical workplace training and industry outings. Learners who reach the artisan level </w:t>
      </w:r>
      <w:r w:rsidRPr="00921120">
        <w:rPr>
          <w:rFonts w:ascii="Arial" w:hAnsi="Arial" w:cs="Arial"/>
          <w:sz w:val="20"/>
          <w:szCs w:val="20"/>
        </w:rPr>
        <w:t xml:space="preserve">are also </w:t>
      </w:r>
      <w:r w:rsidR="007C79B9" w:rsidRPr="00921120">
        <w:rPr>
          <w:rFonts w:ascii="Arial" w:hAnsi="Arial" w:cs="Arial"/>
          <w:sz w:val="20"/>
          <w:szCs w:val="20"/>
        </w:rPr>
        <w:t>given an opportunity to go for a trade test.</w:t>
      </w:r>
      <w:r w:rsidR="001D6608" w:rsidRPr="00921120">
        <w:rPr>
          <w:rFonts w:ascii="Arial" w:hAnsi="Arial" w:cs="Arial"/>
          <w:sz w:val="20"/>
          <w:szCs w:val="20"/>
        </w:rPr>
        <w:t xml:space="preserve"> It currently has around 100 learners.</w:t>
      </w:r>
    </w:p>
    <w:p w:rsidR="00607EC0" w:rsidRPr="00921120" w:rsidRDefault="00607EC0" w:rsidP="00921120">
      <w:pPr>
        <w:spacing w:line="240" w:lineRule="auto"/>
        <w:jc w:val="left"/>
        <w:rPr>
          <w:rFonts w:ascii="Arial" w:hAnsi="Arial" w:cs="Arial"/>
          <w:sz w:val="20"/>
          <w:szCs w:val="20"/>
        </w:rPr>
      </w:pPr>
    </w:p>
    <w:p w:rsidR="00607EC0" w:rsidRPr="00921120" w:rsidRDefault="00607EC0" w:rsidP="00921120">
      <w:pPr>
        <w:spacing w:line="240" w:lineRule="auto"/>
        <w:jc w:val="left"/>
        <w:rPr>
          <w:rFonts w:ascii="Arial" w:hAnsi="Arial" w:cs="Arial"/>
          <w:sz w:val="20"/>
          <w:szCs w:val="20"/>
        </w:rPr>
      </w:pPr>
      <w:r w:rsidRPr="00921120">
        <w:rPr>
          <w:rFonts w:ascii="Arial" w:hAnsi="Arial" w:cs="Arial"/>
          <w:sz w:val="20"/>
          <w:szCs w:val="20"/>
        </w:rPr>
        <w:t>It relies on funding from the SEDA, the NLC, the Department of Social Development</w:t>
      </w:r>
      <w:r w:rsidR="00AB4359" w:rsidRPr="00921120">
        <w:rPr>
          <w:rFonts w:ascii="Arial" w:hAnsi="Arial" w:cs="Arial"/>
          <w:sz w:val="20"/>
          <w:szCs w:val="20"/>
        </w:rPr>
        <w:t xml:space="preserve"> (DSD)</w:t>
      </w:r>
      <w:r w:rsidRPr="00921120">
        <w:rPr>
          <w:rFonts w:ascii="Arial" w:hAnsi="Arial" w:cs="Arial"/>
          <w:sz w:val="20"/>
          <w:szCs w:val="20"/>
        </w:rPr>
        <w:t>, the Department of Public Works</w:t>
      </w:r>
      <w:r w:rsidR="00EE38BA" w:rsidRPr="00921120">
        <w:rPr>
          <w:rFonts w:ascii="Arial" w:hAnsi="Arial" w:cs="Arial"/>
          <w:sz w:val="20"/>
          <w:szCs w:val="20"/>
        </w:rPr>
        <w:t xml:space="preserve"> and Infrastructure</w:t>
      </w:r>
      <w:r w:rsidRPr="00921120">
        <w:rPr>
          <w:rFonts w:ascii="Arial" w:hAnsi="Arial" w:cs="Arial"/>
          <w:sz w:val="20"/>
          <w:szCs w:val="20"/>
        </w:rPr>
        <w:t xml:space="preserve"> through its National Youth Skills Programme, </w:t>
      </w:r>
      <w:r w:rsidR="00D61AF2" w:rsidRPr="00921120">
        <w:rPr>
          <w:rFonts w:ascii="Arial" w:hAnsi="Arial" w:cs="Arial"/>
          <w:sz w:val="20"/>
          <w:szCs w:val="20"/>
        </w:rPr>
        <w:t xml:space="preserve">and </w:t>
      </w:r>
      <w:r w:rsidRPr="00921120">
        <w:rPr>
          <w:rFonts w:ascii="Arial" w:hAnsi="Arial" w:cs="Arial"/>
          <w:sz w:val="20"/>
          <w:szCs w:val="20"/>
        </w:rPr>
        <w:t>the Mining Qualifications Authority</w:t>
      </w:r>
      <w:r w:rsidR="00D61AF2" w:rsidRPr="00921120">
        <w:rPr>
          <w:rFonts w:ascii="Arial" w:hAnsi="Arial" w:cs="Arial"/>
          <w:sz w:val="20"/>
          <w:szCs w:val="20"/>
        </w:rPr>
        <w:t>.</w:t>
      </w:r>
      <w:r w:rsidR="00392439" w:rsidRPr="00921120">
        <w:rPr>
          <w:rFonts w:ascii="Arial" w:hAnsi="Arial" w:cs="Arial"/>
          <w:sz w:val="20"/>
          <w:szCs w:val="20"/>
        </w:rPr>
        <w:t xml:space="preserve"> The NLC had funded some technical equipment for the learnerships, as well as the parking area and pause area for the learners.</w:t>
      </w:r>
    </w:p>
    <w:p w:rsidR="00504A4D" w:rsidRPr="00921120" w:rsidRDefault="00504A4D" w:rsidP="00921120">
      <w:pPr>
        <w:spacing w:line="240" w:lineRule="auto"/>
        <w:jc w:val="left"/>
        <w:rPr>
          <w:rFonts w:ascii="Arial" w:hAnsi="Arial" w:cs="Arial"/>
          <w:sz w:val="20"/>
          <w:szCs w:val="20"/>
        </w:rPr>
      </w:pPr>
    </w:p>
    <w:p w:rsidR="00504A4D" w:rsidRPr="00921120" w:rsidRDefault="00504A4D" w:rsidP="00921120">
      <w:pPr>
        <w:spacing w:line="240" w:lineRule="auto"/>
        <w:jc w:val="left"/>
        <w:rPr>
          <w:rFonts w:ascii="Arial" w:hAnsi="Arial" w:cs="Arial"/>
          <w:sz w:val="20"/>
          <w:szCs w:val="20"/>
        </w:rPr>
      </w:pPr>
      <w:r w:rsidRPr="00921120">
        <w:rPr>
          <w:rFonts w:ascii="Arial" w:hAnsi="Arial" w:cs="Arial"/>
          <w:sz w:val="20"/>
          <w:szCs w:val="20"/>
        </w:rPr>
        <w:t xml:space="preserve">During its visit, the Committee also visited two in-house </w:t>
      </w:r>
      <w:r w:rsidR="005C421F" w:rsidRPr="00921120">
        <w:rPr>
          <w:rFonts w:ascii="Arial" w:hAnsi="Arial" w:cs="Arial"/>
          <w:sz w:val="20"/>
          <w:szCs w:val="20"/>
        </w:rPr>
        <w:t>SMMEs</w:t>
      </w:r>
      <w:r w:rsidR="000F0248" w:rsidRPr="00921120">
        <w:rPr>
          <w:rFonts w:ascii="Arial" w:hAnsi="Arial" w:cs="Arial"/>
          <w:sz w:val="20"/>
          <w:szCs w:val="20"/>
        </w:rPr>
        <w:t>, Tlotlego Handcraft, a shoe, leather belt and bag manufacturer</w:t>
      </w:r>
      <w:r w:rsidR="00EE38BA" w:rsidRPr="00921120">
        <w:rPr>
          <w:rFonts w:ascii="Arial" w:hAnsi="Arial" w:cs="Arial"/>
          <w:sz w:val="20"/>
          <w:szCs w:val="20"/>
        </w:rPr>
        <w:t>;</w:t>
      </w:r>
      <w:r w:rsidR="000F0248" w:rsidRPr="00921120">
        <w:rPr>
          <w:rFonts w:ascii="Arial" w:hAnsi="Arial" w:cs="Arial"/>
          <w:sz w:val="20"/>
          <w:szCs w:val="20"/>
        </w:rPr>
        <w:t xml:space="preserve"> and House of Kay Master, a clothing designer and manufacturer</w:t>
      </w:r>
      <w:r w:rsidR="005C421F" w:rsidRPr="00921120">
        <w:rPr>
          <w:rFonts w:ascii="Arial" w:hAnsi="Arial" w:cs="Arial"/>
          <w:sz w:val="20"/>
          <w:szCs w:val="20"/>
        </w:rPr>
        <w:t>.</w:t>
      </w:r>
    </w:p>
    <w:p w:rsidR="000F0248" w:rsidRPr="00921120" w:rsidRDefault="000F0248" w:rsidP="00921120">
      <w:pPr>
        <w:spacing w:line="240" w:lineRule="auto"/>
        <w:jc w:val="left"/>
        <w:rPr>
          <w:rFonts w:ascii="Arial" w:hAnsi="Arial" w:cs="Arial"/>
          <w:sz w:val="20"/>
          <w:szCs w:val="20"/>
        </w:rPr>
      </w:pPr>
    </w:p>
    <w:p w:rsidR="00B41493" w:rsidRPr="00921120" w:rsidRDefault="000F0248" w:rsidP="00921120">
      <w:pPr>
        <w:spacing w:line="240" w:lineRule="auto"/>
        <w:jc w:val="left"/>
        <w:rPr>
          <w:rFonts w:ascii="Arial" w:hAnsi="Arial" w:cs="Arial"/>
          <w:sz w:val="20"/>
          <w:szCs w:val="20"/>
        </w:rPr>
      </w:pPr>
      <w:r w:rsidRPr="00921120">
        <w:rPr>
          <w:rFonts w:ascii="Arial" w:hAnsi="Arial" w:cs="Arial"/>
          <w:sz w:val="20"/>
          <w:szCs w:val="20"/>
        </w:rPr>
        <w:t xml:space="preserve">Tlotlego Handcraft is a </w:t>
      </w:r>
      <w:r w:rsidR="00EE38BA" w:rsidRPr="00921120">
        <w:rPr>
          <w:rFonts w:ascii="Arial" w:hAnsi="Arial" w:cs="Arial"/>
          <w:sz w:val="20"/>
          <w:szCs w:val="20"/>
        </w:rPr>
        <w:t xml:space="preserve">small business </w:t>
      </w:r>
      <w:r w:rsidRPr="00921120">
        <w:rPr>
          <w:rFonts w:ascii="Arial" w:hAnsi="Arial" w:cs="Arial"/>
          <w:sz w:val="20"/>
          <w:szCs w:val="20"/>
        </w:rPr>
        <w:t xml:space="preserve">using leather, wood and fabric to manufacture its handcrafted products. </w:t>
      </w:r>
      <w:r w:rsidR="00B41493" w:rsidRPr="00921120">
        <w:rPr>
          <w:rFonts w:ascii="Arial" w:hAnsi="Arial" w:cs="Arial"/>
          <w:sz w:val="20"/>
          <w:szCs w:val="20"/>
        </w:rPr>
        <w:t>It designs and manufactures the products in-house</w:t>
      </w:r>
      <w:r w:rsidR="00EE38BA" w:rsidRPr="00921120">
        <w:rPr>
          <w:rFonts w:ascii="Arial" w:hAnsi="Arial" w:cs="Arial"/>
          <w:sz w:val="20"/>
          <w:szCs w:val="20"/>
        </w:rPr>
        <w:t>, and</w:t>
      </w:r>
      <w:r w:rsidR="00B41493" w:rsidRPr="00921120">
        <w:rPr>
          <w:rFonts w:ascii="Arial" w:hAnsi="Arial" w:cs="Arial"/>
          <w:sz w:val="20"/>
          <w:szCs w:val="20"/>
        </w:rPr>
        <w:t xml:space="preserve"> </w:t>
      </w:r>
      <w:r w:rsidR="00EE38BA" w:rsidRPr="00921120">
        <w:rPr>
          <w:rFonts w:ascii="Arial" w:hAnsi="Arial" w:cs="Arial"/>
          <w:sz w:val="20"/>
          <w:szCs w:val="20"/>
        </w:rPr>
        <w:t xml:space="preserve">sells its products </w:t>
      </w:r>
      <w:r w:rsidRPr="00921120">
        <w:rPr>
          <w:rFonts w:ascii="Arial" w:hAnsi="Arial" w:cs="Arial"/>
          <w:sz w:val="20"/>
          <w:szCs w:val="20"/>
        </w:rPr>
        <w:t xml:space="preserve">at national and international fairs, as well as directly to the public. </w:t>
      </w:r>
      <w:r w:rsidR="00B41493" w:rsidRPr="00921120">
        <w:rPr>
          <w:rFonts w:ascii="Arial" w:hAnsi="Arial" w:cs="Arial"/>
          <w:sz w:val="20"/>
          <w:szCs w:val="20"/>
        </w:rPr>
        <w:t>Currently, the product</w:t>
      </w:r>
      <w:r w:rsidR="00EE38BA" w:rsidRPr="00921120">
        <w:rPr>
          <w:rFonts w:ascii="Arial" w:hAnsi="Arial" w:cs="Arial"/>
          <w:sz w:val="20"/>
          <w:szCs w:val="20"/>
        </w:rPr>
        <w:t>s</w:t>
      </w:r>
      <w:r w:rsidR="00B41493" w:rsidRPr="00921120">
        <w:rPr>
          <w:rFonts w:ascii="Arial" w:hAnsi="Arial" w:cs="Arial"/>
          <w:sz w:val="20"/>
          <w:szCs w:val="20"/>
        </w:rPr>
        <w:t xml:space="preserve"> </w:t>
      </w:r>
      <w:r w:rsidR="00EE38BA" w:rsidRPr="00921120">
        <w:rPr>
          <w:rFonts w:ascii="Arial" w:hAnsi="Arial" w:cs="Arial"/>
          <w:sz w:val="20"/>
          <w:szCs w:val="20"/>
        </w:rPr>
        <w:t xml:space="preserve">are entirely </w:t>
      </w:r>
      <w:r w:rsidR="00B41493" w:rsidRPr="00921120">
        <w:rPr>
          <w:rFonts w:ascii="Arial" w:hAnsi="Arial" w:cs="Arial"/>
          <w:sz w:val="20"/>
          <w:szCs w:val="20"/>
        </w:rPr>
        <w:t>handmade, which takes a significant amount of time. One of its needs is to obtain machinery to assist in manufacturing shoes to increase its economies of scale, and to reduce damage to the material.</w:t>
      </w:r>
    </w:p>
    <w:p w:rsidR="00B41493" w:rsidRPr="00921120" w:rsidRDefault="00B41493" w:rsidP="00921120">
      <w:pPr>
        <w:spacing w:line="240" w:lineRule="auto"/>
        <w:jc w:val="left"/>
        <w:rPr>
          <w:rFonts w:ascii="Arial" w:hAnsi="Arial" w:cs="Arial"/>
          <w:sz w:val="20"/>
          <w:szCs w:val="20"/>
        </w:rPr>
      </w:pPr>
    </w:p>
    <w:p w:rsidR="000F0248" w:rsidRPr="00921120" w:rsidRDefault="000207F6" w:rsidP="00921120">
      <w:pPr>
        <w:spacing w:line="240" w:lineRule="auto"/>
        <w:jc w:val="left"/>
        <w:rPr>
          <w:rFonts w:ascii="Arial" w:hAnsi="Arial" w:cs="Arial"/>
          <w:sz w:val="20"/>
          <w:szCs w:val="20"/>
        </w:rPr>
      </w:pPr>
      <w:r w:rsidRPr="00921120">
        <w:rPr>
          <w:rFonts w:ascii="Arial" w:hAnsi="Arial" w:cs="Arial"/>
          <w:sz w:val="20"/>
          <w:szCs w:val="20"/>
        </w:rPr>
        <w:t>During the visit, the Committee was informed that Tlotlego</w:t>
      </w:r>
      <w:r w:rsidR="00B41493" w:rsidRPr="00921120">
        <w:rPr>
          <w:rFonts w:ascii="Arial" w:hAnsi="Arial" w:cs="Arial"/>
          <w:sz w:val="20"/>
          <w:szCs w:val="20"/>
        </w:rPr>
        <w:t xml:space="preserve"> had been given notice by LJBI to vacate the premises by 31 January 2023, as LEDA had indicated that the SMME no longer qualifie</w:t>
      </w:r>
      <w:r w:rsidRPr="00921120">
        <w:rPr>
          <w:rFonts w:ascii="Arial" w:hAnsi="Arial" w:cs="Arial"/>
          <w:sz w:val="20"/>
          <w:szCs w:val="20"/>
        </w:rPr>
        <w:t>d</w:t>
      </w:r>
      <w:r w:rsidR="00B41493" w:rsidRPr="00921120">
        <w:rPr>
          <w:rFonts w:ascii="Arial" w:hAnsi="Arial" w:cs="Arial"/>
          <w:sz w:val="20"/>
          <w:szCs w:val="20"/>
        </w:rPr>
        <w:t xml:space="preserve"> to be incubated on the LJBI’s premises. This was particularly challenging, as the SMME was busy preparing for an international exhibition and did not have an alternative venue to move to, and was unable to afford the LEDA rates at alternative facilities within the Seshego Industrial Park</w:t>
      </w:r>
      <w:r w:rsidR="003561E3" w:rsidRPr="00921120">
        <w:rPr>
          <w:rFonts w:ascii="Arial" w:hAnsi="Arial" w:cs="Arial"/>
          <w:sz w:val="20"/>
          <w:szCs w:val="20"/>
        </w:rPr>
        <w:t xml:space="preserve"> due to the size of the facilities required and cash flow challenges</w:t>
      </w:r>
      <w:r w:rsidR="00B41493" w:rsidRPr="00921120">
        <w:rPr>
          <w:rFonts w:ascii="Arial" w:hAnsi="Arial" w:cs="Arial"/>
          <w:sz w:val="20"/>
          <w:szCs w:val="20"/>
        </w:rPr>
        <w:t xml:space="preserve">. LJBI indicated that it had attempted to set up a meeting with LEDA since December 2022 to explain why the SMME was based at its premises. </w:t>
      </w:r>
      <w:r w:rsidR="003561E3" w:rsidRPr="00921120">
        <w:rPr>
          <w:rFonts w:ascii="Arial" w:hAnsi="Arial" w:cs="Arial"/>
          <w:sz w:val="20"/>
          <w:szCs w:val="20"/>
        </w:rPr>
        <w:t xml:space="preserve">LEDA </w:t>
      </w:r>
      <w:r w:rsidR="003561E3" w:rsidRPr="00921120">
        <w:rPr>
          <w:rFonts w:ascii="Arial" w:hAnsi="Arial" w:cs="Arial"/>
          <w:sz w:val="20"/>
          <w:szCs w:val="20"/>
        </w:rPr>
        <w:lastRenderedPageBreak/>
        <w:t>had committed to engage the LJBI and the SMME that day to resolve the matter.</w:t>
      </w:r>
      <w:r w:rsidR="00B41493" w:rsidRPr="00921120">
        <w:rPr>
          <w:rFonts w:ascii="Arial" w:hAnsi="Arial" w:cs="Arial"/>
          <w:sz w:val="20"/>
          <w:szCs w:val="20"/>
        </w:rPr>
        <w:t xml:space="preserve"> </w:t>
      </w:r>
      <w:r w:rsidR="00BA1497" w:rsidRPr="00921120">
        <w:rPr>
          <w:rFonts w:ascii="Arial" w:hAnsi="Arial" w:cs="Arial"/>
          <w:sz w:val="20"/>
          <w:szCs w:val="20"/>
        </w:rPr>
        <w:t>The Committee requested that the tenant be given at least three months to prepare for such a move.</w:t>
      </w:r>
    </w:p>
    <w:p w:rsidR="00F0510C" w:rsidRPr="00921120" w:rsidRDefault="00F0510C" w:rsidP="00921120">
      <w:pPr>
        <w:spacing w:line="240" w:lineRule="auto"/>
        <w:jc w:val="left"/>
        <w:rPr>
          <w:rFonts w:ascii="Arial" w:hAnsi="Arial" w:cs="Arial"/>
          <w:sz w:val="20"/>
          <w:szCs w:val="20"/>
        </w:rPr>
      </w:pPr>
    </w:p>
    <w:p w:rsidR="00F0510C" w:rsidRPr="00921120" w:rsidRDefault="00F0510C" w:rsidP="00921120">
      <w:pPr>
        <w:spacing w:line="240" w:lineRule="auto"/>
        <w:jc w:val="left"/>
        <w:rPr>
          <w:rFonts w:ascii="Arial" w:hAnsi="Arial" w:cs="Arial"/>
          <w:sz w:val="20"/>
          <w:szCs w:val="20"/>
        </w:rPr>
      </w:pPr>
      <w:r w:rsidRPr="00921120">
        <w:rPr>
          <w:rFonts w:ascii="Arial" w:hAnsi="Arial" w:cs="Arial"/>
          <w:sz w:val="20"/>
          <w:szCs w:val="20"/>
        </w:rPr>
        <w:t xml:space="preserve">The House of Kay Master designs and manufactures baby, children, women, men, traditional, and corporate </w:t>
      </w:r>
      <w:r w:rsidR="00DF40F7" w:rsidRPr="00921120">
        <w:rPr>
          <w:rFonts w:ascii="Arial" w:hAnsi="Arial" w:cs="Arial"/>
          <w:sz w:val="20"/>
          <w:szCs w:val="20"/>
        </w:rPr>
        <w:t>c</w:t>
      </w:r>
      <w:r w:rsidRPr="00921120">
        <w:rPr>
          <w:rFonts w:ascii="Arial" w:hAnsi="Arial" w:cs="Arial"/>
          <w:sz w:val="20"/>
          <w:szCs w:val="20"/>
        </w:rPr>
        <w:t>lothes.</w:t>
      </w:r>
      <w:r w:rsidR="00DF40F7" w:rsidRPr="00921120">
        <w:rPr>
          <w:rFonts w:ascii="Arial" w:hAnsi="Arial" w:cs="Arial"/>
          <w:sz w:val="20"/>
          <w:szCs w:val="20"/>
        </w:rPr>
        <w:t xml:space="preserve"> Its vision </w:t>
      </w:r>
      <w:r w:rsidR="000207F6" w:rsidRPr="00921120">
        <w:rPr>
          <w:rFonts w:ascii="Arial" w:hAnsi="Arial" w:cs="Arial"/>
          <w:sz w:val="20"/>
          <w:szCs w:val="20"/>
        </w:rPr>
        <w:t>wa</w:t>
      </w:r>
      <w:r w:rsidR="00DF40F7" w:rsidRPr="00921120">
        <w:rPr>
          <w:rFonts w:ascii="Arial" w:hAnsi="Arial" w:cs="Arial"/>
          <w:sz w:val="20"/>
          <w:szCs w:val="20"/>
        </w:rPr>
        <w:t xml:space="preserve">s to grow to be able to supply </w:t>
      </w:r>
      <w:r w:rsidR="00D137D9" w:rsidRPr="00921120">
        <w:rPr>
          <w:rFonts w:ascii="Arial" w:hAnsi="Arial" w:cs="Arial"/>
          <w:sz w:val="20"/>
          <w:szCs w:val="20"/>
        </w:rPr>
        <w:t>the</w:t>
      </w:r>
      <w:r w:rsidR="00DF40F7" w:rsidRPr="00921120">
        <w:rPr>
          <w:rFonts w:ascii="Arial" w:hAnsi="Arial" w:cs="Arial"/>
          <w:sz w:val="20"/>
          <w:szCs w:val="20"/>
        </w:rPr>
        <w:t xml:space="preserve"> retail </w:t>
      </w:r>
      <w:r w:rsidR="00D137D9" w:rsidRPr="00921120">
        <w:rPr>
          <w:rFonts w:ascii="Arial" w:hAnsi="Arial" w:cs="Arial"/>
          <w:sz w:val="20"/>
          <w:szCs w:val="20"/>
        </w:rPr>
        <w:t>sectors</w:t>
      </w:r>
      <w:r w:rsidR="00DF40F7" w:rsidRPr="00921120">
        <w:rPr>
          <w:rFonts w:ascii="Arial" w:hAnsi="Arial" w:cs="Arial"/>
          <w:sz w:val="20"/>
          <w:szCs w:val="20"/>
        </w:rPr>
        <w:t>.</w:t>
      </w:r>
      <w:r w:rsidR="00D137D9" w:rsidRPr="00921120">
        <w:rPr>
          <w:rFonts w:ascii="Arial" w:hAnsi="Arial" w:cs="Arial"/>
          <w:sz w:val="20"/>
          <w:szCs w:val="20"/>
        </w:rPr>
        <w:t xml:space="preserve"> However, this would require more efficient machinery.</w:t>
      </w:r>
      <w:r w:rsidR="00840766" w:rsidRPr="00921120">
        <w:rPr>
          <w:rFonts w:ascii="Arial" w:hAnsi="Arial" w:cs="Arial"/>
          <w:sz w:val="20"/>
          <w:szCs w:val="20"/>
        </w:rPr>
        <w:t xml:space="preserve"> It ha</w:t>
      </w:r>
      <w:r w:rsidR="000207F6" w:rsidRPr="00921120">
        <w:rPr>
          <w:rFonts w:ascii="Arial" w:hAnsi="Arial" w:cs="Arial"/>
          <w:sz w:val="20"/>
          <w:szCs w:val="20"/>
        </w:rPr>
        <w:t>d</w:t>
      </w:r>
      <w:r w:rsidR="00840766" w:rsidRPr="00921120">
        <w:rPr>
          <w:rFonts w:ascii="Arial" w:hAnsi="Arial" w:cs="Arial"/>
          <w:sz w:val="20"/>
          <w:szCs w:val="20"/>
        </w:rPr>
        <w:t xml:space="preserve"> submitted an application to SEFA with the assistance of SEDA. However, it ha</w:t>
      </w:r>
      <w:r w:rsidR="000207F6" w:rsidRPr="00921120">
        <w:rPr>
          <w:rFonts w:ascii="Arial" w:hAnsi="Arial" w:cs="Arial"/>
          <w:sz w:val="20"/>
          <w:szCs w:val="20"/>
        </w:rPr>
        <w:t>d</w:t>
      </w:r>
      <w:r w:rsidR="00840766" w:rsidRPr="00921120">
        <w:rPr>
          <w:rFonts w:ascii="Arial" w:hAnsi="Arial" w:cs="Arial"/>
          <w:sz w:val="20"/>
          <w:szCs w:val="20"/>
        </w:rPr>
        <w:t xml:space="preserve"> not received any response </w:t>
      </w:r>
      <w:r w:rsidR="000207F6" w:rsidRPr="00921120">
        <w:rPr>
          <w:rFonts w:ascii="Arial" w:hAnsi="Arial" w:cs="Arial"/>
          <w:sz w:val="20"/>
          <w:szCs w:val="20"/>
        </w:rPr>
        <w:t>in this regard at the time</w:t>
      </w:r>
      <w:r w:rsidR="00840766" w:rsidRPr="00921120">
        <w:rPr>
          <w:rFonts w:ascii="Arial" w:hAnsi="Arial" w:cs="Arial"/>
          <w:sz w:val="20"/>
          <w:szCs w:val="20"/>
        </w:rPr>
        <w:t>.</w:t>
      </w:r>
    </w:p>
    <w:p w:rsidR="00932002" w:rsidRPr="00921120" w:rsidRDefault="00932002" w:rsidP="00921120">
      <w:pPr>
        <w:spacing w:line="240" w:lineRule="auto"/>
        <w:jc w:val="left"/>
        <w:rPr>
          <w:rFonts w:ascii="Arial" w:hAnsi="Arial" w:cs="Arial"/>
          <w:sz w:val="20"/>
          <w:szCs w:val="20"/>
        </w:rPr>
      </w:pPr>
    </w:p>
    <w:p w:rsidR="00932002" w:rsidRPr="00921120" w:rsidRDefault="00932002" w:rsidP="00921120">
      <w:pPr>
        <w:spacing w:line="240" w:lineRule="auto"/>
        <w:jc w:val="left"/>
        <w:rPr>
          <w:rFonts w:ascii="Arial" w:hAnsi="Arial" w:cs="Arial"/>
          <w:sz w:val="20"/>
          <w:szCs w:val="20"/>
        </w:rPr>
      </w:pPr>
      <w:r w:rsidRPr="00921120">
        <w:rPr>
          <w:rFonts w:ascii="Arial" w:hAnsi="Arial" w:cs="Arial"/>
          <w:sz w:val="20"/>
          <w:szCs w:val="20"/>
        </w:rPr>
        <w:t>The LJBI indicated that loadshedding and water challenges posed a challenge for the incubation hub</w:t>
      </w:r>
      <w:r w:rsidR="000207F6" w:rsidRPr="00921120">
        <w:rPr>
          <w:rFonts w:ascii="Arial" w:hAnsi="Arial" w:cs="Arial"/>
          <w:sz w:val="20"/>
          <w:szCs w:val="20"/>
        </w:rPr>
        <w:t>,</w:t>
      </w:r>
      <w:r w:rsidRPr="00921120">
        <w:rPr>
          <w:rFonts w:ascii="Arial" w:hAnsi="Arial" w:cs="Arial"/>
          <w:sz w:val="20"/>
          <w:szCs w:val="20"/>
        </w:rPr>
        <w:t xml:space="preserve"> its learners and </w:t>
      </w:r>
      <w:r w:rsidR="000207F6" w:rsidRPr="00921120">
        <w:rPr>
          <w:rFonts w:ascii="Arial" w:hAnsi="Arial" w:cs="Arial"/>
          <w:sz w:val="20"/>
          <w:szCs w:val="20"/>
        </w:rPr>
        <w:t xml:space="preserve">supported </w:t>
      </w:r>
      <w:r w:rsidRPr="00921120">
        <w:rPr>
          <w:rFonts w:ascii="Arial" w:hAnsi="Arial" w:cs="Arial"/>
          <w:sz w:val="20"/>
          <w:szCs w:val="20"/>
        </w:rPr>
        <w:t>SMMEs. It ha</w:t>
      </w:r>
      <w:r w:rsidR="000207F6" w:rsidRPr="00921120">
        <w:rPr>
          <w:rFonts w:ascii="Arial" w:hAnsi="Arial" w:cs="Arial"/>
          <w:sz w:val="20"/>
          <w:szCs w:val="20"/>
        </w:rPr>
        <w:t>d</w:t>
      </w:r>
      <w:r w:rsidRPr="00921120">
        <w:rPr>
          <w:rFonts w:ascii="Arial" w:hAnsi="Arial" w:cs="Arial"/>
          <w:sz w:val="20"/>
          <w:szCs w:val="20"/>
        </w:rPr>
        <w:t xml:space="preserve"> sourced water to avoid having to send the learners home during the day. The Committee enquired what measures LEDA was taking to assist its tenants with electricity generation during loadshedding. </w:t>
      </w:r>
      <w:r w:rsidR="00856C99" w:rsidRPr="00921120">
        <w:rPr>
          <w:rFonts w:ascii="Arial" w:hAnsi="Arial" w:cs="Arial"/>
          <w:sz w:val="20"/>
          <w:szCs w:val="20"/>
        </w:rPr>
        <w:t>LEDA indicated that it was in the final phase of procurement for the provision of electricity in its Industrial Parks through power stations.</w:t>
      </w:r>
    </w:p>
    <w:p w:rsidR="004F14B5" w:rsidRPr="00921120" w:rsidRDefault="004F14B5" w:rsidP="00921120">
      <w:pPr>
        <w:spacing w:line="240" w:lineRule="auto"/>
        <w:jc w:val="left"/>
        <w:rPr>
          <w:rFonts w:ascii="Arial" w:hAnsi="Arial" w:cs="Arial"/>
          <w:sz w:val="20"/>
          <w:szCs w:val="20"/>
        </w:rPr>
      </w:pPr>
    </w:p>
    <w:p w:rsidR="004F14B5" w:rsidRPr="00921120" w:rsidRDefault="004F14B5" w:rsidP="00921120">
      <w:pPr>
        <w:spacing w:line="240" w:lineRule="auto"/>
        <w:jc w:val="left"/>
        <w:rPr>
          <w:rFonts w:ascii="Arial" w:hAnsi="Arial" w:cs="Arial"/>
          <w:sz w:val="20"/>
          <w:szCs w:val="20"/>
        </w:rPr>
      </w:pPr>
      <w:r w:rsidRPr="00921120">
        <w:rPr>
          <w:rFonts w:ascii="Arial" w:hAnsi="Arial" w:cs="Arial"/>
          <w:sz w:val="20"/>
          <w:szCs w:val="20"/>
        </w:rPr>
        <w:t xml:space="preserve">LEDA </w:t>
      </w:r>
      <w:r w:rsidR="000207F6" w:rsidRPr="00921120">
        <w:rPr>
          <w:rFonts w:ascii="Arial" w:hAnsi="Arial" w:cs="Arial"/>
          <w:sz w:val="20"/>
          <w:szCs w:val="20"/>
        </w:rPr>
        <w:t>wa</w:t>
      </w:r>
      <w:r w:rsidRPr="00921120">
        <w:rPr>
          <w:rFonts w:ascii="Arial" w:hAnsi="Arial" w:cs="Arial"/>
          <w:sz w:val="20"/>
          <w:szCs w:val="20"/>
        </w:rPr>
        <w:t>s working on an investment drive to support SMMEs and assist them to grow and access larger markets.</w:t>
      </w:r>
      <w:r w:rsidR="00241F13" w:rsidRPr="00921120">
        <w:rPr>
          <w:rFonts w:ascii="Arial" w:hAnsi="Arial" w:cs="Arial"/>
          <w:sz w:val="20"/>
          <w:szCs w:val="20"/>
        </w:rPr>
        <w:t xml:space="preserve"> LJBI was also receiving funding from SEDA to upgrade the facility to house more SMMEs. However, it would need to clarify the ability to sublet to SMMEs with LEDA before upgrading the facility.</w:t>
      </w:r>
    </w:p>
    <w:p w:rsidR="007C79B9" w:rsidRPr="00921120" w:rsidRDefault="007C79B9" w:rsidP="00921120">
      <w:pPr>
        <w:spacing w:line="240" w:lineRule="auto"/>
        <w:jc w:val="left"/>
        <w:rPr>
          <w:rFonts w:ascii="Arial" w:hAnsi="Arial" w:cs="Arial"/>
          <w:sz w:val="20"/>
          <w:szCs w:val="20"/>
          <w:highlight w:val="yellow"/>
        </w:rPr>
      </w:pPr>
    </w:p>
    <w:p w:rsidR="007C79B9" w:rsidRPr="00921120" w:rsidRDefault="007C79B9" w:rsidP="00921120">
      <w:pPr>
        <w:pStyle w:val="Heading3"/>
        <w:spacing w:line="240" w:lineRule="auto"/>
        <w:jc w:val="left"/>
        <w:rPr>
          <w:rFonts w:ascii="Arial" w:hAnsi="Arial" w:cs="Arial"/>
          <w:sz w:val="20"/>
          <w:szCs w:val="20"/>
        </w:rPr>
      </w:pPr>
      <w:r w:rsidRPr="00921120">
        <w:rPr>
          <w:rFonts w:ascii="Arial" w:hAnsi="Arial" w:cs="Arial"/>
          <w:sz w:val="20"/>
          <w:szCs w:val="20"/>
        </w:rPr>
        <w:t xml:space="preserve">Zastronet </w:t>
      </w:r>
    </w:p>
    <w:p w:rsidR="000F606E" w:rsidRPr="00921120" w:rsidRDefault="007C79B9" w:rsidP="00921120">
      <w:pPr>
        <w:spacing w:line="240" w:lineRule="auto"/>
        <w:jc w:val="left"/>
        <w:rPr>
          <w:rFonts w:ascii="Arial" w:hAnsi="Arial" w:cs="Arial"/>
          <w:sz w:val="20"/>
          <w:szCs w:val="20"/>
        </w:rPr>
      </w:pPr>
      <w:r w:rsidRPr="00921120">
        <w:rPr>
          <w:rFonts w:ascii="Arial" w:hAnsi="Arial" w:cs="Arial"/>
          <w:sz w:val="20"/>
          <w:szCs w:val="20"/>
        </w:rPr>
        <w:t>The company</w:t>
      </w:r>
      <w:r w:rsidR="000603EE" w:rsidRPr="00921120">
        <w:rPr>
          <w:rFonts w:ascii="Arial" w:hAnsi="Arial" w:cs="Arial"/>
          <w:sz w:val="20"/>
          <w:szCs w:val="20"/>
        </w:rPr>
        <w:t>, owned by black industrialists,</w:t>
      </w:r>
      <w:r w:rsidRPr="00921120">
        <w:rPr>
          <w:rFonts w:ascii="Arial" w:hAnsi="Arial" w:cs="Arial"/>
          <w:sz w:val="20"/>
          <w:szCs w:val="20"/>
        </w:rPr>
        <w:t xml:space="preserve"> started </w:t>
      </w:r>
      <w:r w:rsidR="005C421F" w:rsidRPr="00921120">
        <w:rPr>
          <w:rFonts w:ascii="Arial" w:hAnsi="Arial" w:cs="Arial"/>
          <w:sz w:val="20"/>
          <w:szCs w:val="20"/>
        </w:rPr>
        <w:t xml:space="preserve">setting up in </w:t>
      </w:r>
      <w:r w:rsidRPr="00921120">
        <w:rPr>
          <w:rFonts w:ascii="Arial" w:hAnsi="Arial" w:cs="Arial"/>
          <w:sz w:val="20"/>
          <w:szCs w:val="20"/>
        </w:rPr>
        <w:t xml:space="preserve">November 2022 </w:t>
      </w:r>
      <w:r w:rsidR="005C421F" w:rsidRPr="00921120">
        <w:rPr>
          <w:rFonts w:ascii="Arial" w:hAnsi="Arial" w:cs="Arial"/>
          <w:sz w:val="20"/>
          <w:szCs w:val="20"/>
        </w:rPr>
        <w:t xml:space="preserve">in a </w:t>
      </w:r>
      <w:r w:rsidRPr="00921120">
        <w:rPr>
          <w:rFonts w:ascii="Arial" w:hAnsi="Arial" w:cs="Arial"/>
          <w:sz w:val="20"/>
          <w:szCs w:val="20"/>
        </w:rPr>
        <w:t>700m²</w:t>
      </w:r>
      <w:r w:rsidR="005C421F" w:rsidRPr="00921120">
        <w:rPr>
          <w:rFonts w:ascii="Arial" w:hAnsi="Arial" w:cs="Arial"/>
          <w:sz w:val="20"/>
          <w:szCs w:val="20"/>
        </w:rPr>
        <w:t xml:space="preserve"> factory</w:t>
      </w:r>
      <w:r w:rsidR="004D4B3B" w:rsidRPr="00921120">
        <w:rPr>
          <w:rFonts w:ascii="Arial" w:hAnsi="Arial" w:cs="Arial"/>
          <w:sz w:val="20"/>
          <w:szCs w:val="20"/>
        </w:rPr>
        <w:t xml:space="preserve">, which is being leased from LEDA for three years. </w:t>
      </w:r>
      <w:r w:rsidR="000F606E" w:rsidRPr="00921120">
        <w:rPr>
          <w:rFonts w:ascii="Arial" w:hAnsi="Arial" w:cs="Arial"/>
          <w:sz w:val="20"/>
          <w:szCs w:val="20"/>
        </w:rPr>
        <w:t xml:space="preserve">It manufactures plastic-related products, e.g. food-grade plastic bags, refuse bags and other related products. The products </w:t>
      </w:r>
      <w:r w:rsidR="00F516EE" w:rsidRPr="00921120">
        <w:rPr>
          <w:rFonts w:ascii="Arial" w:hAnsi="Arial" w:cs="Arial"/>
          <w:sz w:val="20"/>
          <w:szCs w:val="20"/>
        </w:rPr>
        <w:t xml:space="preserve">would </w:t>
      </w:r>
      <w:r w:rsidR="000F606E" w:rsidRPr="00921120">
        <w:rPr>
          <w:rFonts w:ascii="Arial" w:hAnsi="Arial" w:cs="Arial"/>
          <w:sz w:val="20"/>
          <w:szCs w:val="20"/>
        </w:rPr>
        <w:t xml:space="preserve">be supplied to local retailers, and cash and carries, as well as waste material companies and to local municipalities. </w:t>
      </w:r>
      <w:r w:rsidR="004D4B3B" w:rsidRPr="00921120">
        <w:rPr>
          <w:rFonts w:ascii="Arial" w:hAnsi="Arial" w:cs="Arial"/>
          <w:sz w:val="20"/>
          <w:szCs w:val="20"/>
        </w:rPr>
        <w:t>It had</w:t>
      </w:r>
      <w:r w:rsidR="005C421F" w:rsidRPr="00921120">
        <w:rPr>
          <w:rFonts w:ascii="Arial" w:hAnsi="Arial" w:cs="Arial"/>
          <w:sz w:val="20"/>
          <w:szCs w:val="20"/>
        </w:rPr>
        <w:t xml:space="preserve"> officially started production on 1 February 2023</w:t>
      </w:r>
      <w:r w:rsidR="000F606E" w:rsidRPr="00921120">
        <w:rPr>
          <w:rFonts w:ascii="Arial" w:hAnsi="Arial" w:cs="Arial"/>
          <w:sz w:val="20"/>
          <w:szCs w:val="20"/>
        </w:rPr>
        <w:t>, and expect</w:t>
      </w:r>
      <w:r w:rsidR="00F516EE" w:rsidRPr="00921120">
        <w:rPr>
          <w:rFonts w:ascii="Arial" w:hAnsi="Arial" w:cs="Arial"/>
          <w:sz w:val="20"/>
          <w:szCs w:val="20"/>
        </w:rPr>
        <w:t>ed</w:t>
      </w:r>
      <w:r w:rsidR="000F606E" w:rsidRPr="00921120">
        <w:rPr>
          <w:rFonts w:ascii="Arial" w:hAnsi="Arial" w:cs="Arial"/>
          <w:sz w:val="20"/>
          <w:szCs w:val="20"/>
        </w:rPr>
        <w:t xml:space="preserve"> to be fully operational within the next six months</w:t>
      </w:r>
      <w:r w:rsidRPr="00921120">
        <w:rPr>
          <w:rFonts w:ascii="Arial" w:hAnsi="Arial" w:cs="Arial"/>
          <w:sz w:val="20"/>
          <w:szCs w:val="20"/>
        </w:rPr>
        <w:t xml:space="preserve">. </w:t>
      </w:r>
    </w:p>
    <w:p w:rsidR="000F606E" w:rsidRPr="00921120" w:rsidRDefault="000F606E" w:rsidP="00921120">
      <w:pPr>
        <w:spacing w:line="240" w:lineRule="auto"/>
        <w:jc w:val="left"/>
        <w:rPr>
          <w:rFonts w:ascii="Arial" w:hAnsi="Arial" w:cs="Arial"/>
          <w:sz w:val="20"/>
          <w:szCs w:val="20"/>
        </w:rPr>
      </w:pPr>
    </w:p>
    <w:p w:rsidR="007C79B9" w:rsidRPr="00921120" w:rsidRDefault="000603EE" w:rsidP="00921120">
      <w:pPr>
        <w:spacing w:line="240" w:lineRule="auto"/>
        <w:jc w:val="left"/>
        <w:rPr>
          <w:rFonts w:ascii="Arial" w:hAnsi="Arial" w:cs="Arial"/>
          <w:sz w:val="20"/>
          <w:szCs w:val="20"/>
        </w:rPr>
      </w:pPr>
      <w:r w:rsidRPr="00921120">
        <w:rPr>
          <w:rFonts w:ascii="Arial" w:hAnsi="Arial" w:cs="Arial"/>
          <w:sz w:val="20"/>
          <w:szCs w:val="20"/>
        </w:rPr>
        <w:t>The company ha</w:t>
      </w:r>
      <w:r w:rsidR="00F516EE" w:rsidRPr="00921120">
        <w:rPr>
          <w:rFonts w:ascii="Arial" w:hAnsi="Arial" w:cs="Arial"/>
          <w:sz w:val="20"/>
          <w:szCs w:val="20"/>
        </w:rPr>
        <w:t>d</w:t>
      </w:r>
      <w:r w:rsidR="005C421F" w:rsidRPr="00921120">
        <w:rPr>
          <w:rFonts w:ascii="Arial" w:hAnsi="Arial" w:cs="Arial"/>
          <w:sz w:val="20"/>
          <w:szCs w:val="20"/>
        </w:rPr>
        <w:t xml:space="preserve"> </w:t>
      </w:r>
      <w:r w:rsidR="000957A2" w:rsidRPr="00921120">
        <w:rPr>
          <w:rFonts w:ascii="Arial" w:hAnsi="Arial" w:cs="Arial"/>
          <w:sz w:val="20"/>
          <w:szCs w:val="20"/>
        </w:rPr>
        <w:t>about 16</w:t>
      </w:r>
      <w:r w:rsidR="007C79B9" w:rsidRPr="00921120">
        <w:rPr>
          <w:rFonts w:ascii="Arial" w:hAnsi="Arial" w:cs="Arial"/>
          <w:sz w:val="20"/>
          <w:szCs w:val="20"/>
        </w:rPr>
        <w:t xml:space="preserve"> employees</w:t>
      </w:r>
      <w:r w:rsidR="000957A2" w:rsidRPr="00921120">
        <w:rPr>
          <w:rFonts w:ascii="Arial" w:hAnsi="Arial" w:cs="Arial"/>
          <w:sz w:val="20"/>
          <w:szCs w:val="20"/>
        </w:rPr>
        <w:t xml:space="preserve"> including operators, office staff and managers. Eight of the employees </w:t>
      </w:r>
      <w:r w:rsidR="00404A07" w:rsidRPr="00921120">
        <w:rPr>
          <w:rFonts w:ascii="Arial" w:hAnsi="Arial" w:cs="Arial"/>
          <w:sz w:val="20"/>
          <w:szCs w:val="20"/>
        </w:rPr>
        <w:t>we</w:t>
      </w:r>
      <w:r w:rsidR="007C79B9" w:rsidRPr="00921120">
        <w:rPr>
          <w:rFonts w:ascii="Arial" w:hAnsi="Arial" w:cs="Arial"/>
          <w:sz w:val="20"/>
          <w:szCs w:val="20"/>
        </w:rPr>
        <w:t xml:space="preserve">re locally based, </w:t>
      </w:r>
      <w:r w:rsidR="005C421F" w:rsidRPr="00921120">
        <w:rPr>
          <w:rFonts w:ascii="Arial" w:hAnsi="Arial" w:cs="Arial"/>
          <w:sz w:val="20"/>
          <w:szCs w:val="20"/>
        </w:rPr>
        <w:t>three</w:t>
      </w:r>
      <w:r w:rsidR="007C79B9" w:rsidRPr="00921120">
        <w:rPr>
          <w:rFonts w:ascii="Arial" w:hAnsi="Arial" w:cs="Arial"/>
          <w:sz w:val="20"/>
          <w:szCs w:val="20"/>
        </w:rPr>
        <w:t xml:space="preserve"> females and </w:t>
      </w:r>
      <w:r w:rsidR="005C421F" w:rsidRPr="00921120">
        <w:rPr>
          <w:rFonts w:ascii="Arial" w:hAnsi="Arial" w:cs="Arial"/>
          <w:sz w:val="20"/>
          <w:szCs w:val="20"/>
        </w:rPr>
        <w:t>five males.</w:t>
      </w:r>
      <w:r w:rsidR="000957A2" w:rsidRPr="00921120">
        <w:rPr>
          <w:rFonts w:ascii="Arial" w:hAnsi="Arial" w:cs="Arial"/>
          <w:sz w:val="20"/>
          <w:szCs w:val="20"/>
        </w:rPr>
        <w:t xml:space="preserve"> It ha</w:t>
      </w:r>
      <w:r w:rsidR="00404A07" w:rsidRPr="00921120">
        <w:rPr>
          <w:rFonts w:ascii="Arial" w:hAnsi="Arial" w:cs="Arial"/>
          <w:sz w:val="20"/>
          <w:szCs w:val="20"/>
        </w:rPr>
        <w:t>d also</w:t>
      </w:r>
      <w:r w:rsidR="000957A2" w:rsidRPr="00921120">
        <w:rPr>
          <w:rFonts w:ascii="Arial" w:hAnsi="Arial" w:cs="Arial"/>
          <w:sz w:val="20"/>
          <w:szCs w:val="20"/>
        </w:rPr>
        <w:t xml:space="preserve"> brought two employees from </w:t>
      </w:r>
      <w:r w:rsidR="00404A07" w:rsidRPr="00921120">
        <w:rPr>
          <w:rFonts w:ascii="Arial" w:hAnsi="Arial" w:cs="Arial"/>
          <w:sz w:val="20"/>
          <w:szCs w:val="20"/>
        </w:rPr>
        <w:t xml:space="preserve">its </w:t>
      </w:r>
      <w:r w:rsidR="000957A2" w:rsidRPr="00921120">
        <w:rPr>
          <w:rFonts w:ascii="Arial" w:hAnsi="Arial" w:cs="Arial"/>
          <w:sz w:val="20"/>
          <w:szCs w:val="20"/>
        </w:rPr>
        <w:t xml:space="preserve">Johannesburg company to train its operators on the use of the machines and </w:t>
      </w:r>
      <w:r w:rsidR="00404A07" w:rsidRPr="00921120">
        <w:rPr>
          <w:rFonts w:ascii="Arial" w:hAnsi="Arial" w:cs="Arial"/>
          <w:sz w:val="20"/>
          <w:szCs w:val="20"/>
        </w:rPr>
        <w:t xml:space="preserve">to </w:t>
      </w:r>
      <w:r w:rsidR="000957A2" w:rsidRPr="00921120">
        <w:rPr>
          <w:rFonts w:ascii="Arial" w:hAnsi="Arial" w:cs="Arial"/>
          <w:sz w:val="20"/>
          <w:szCs w:val="20"/>
        </w:rPr>
        <w:t>upskill them.</w:t>
      </w:r>
      <w:r w:rsidR="005C421F" w:rsidRPr="00921120">
        <w:rPr>
          <w:rFonts w:ascii="Arial" w:hAnsi="Arial" w:cs="Arial"/>
          <w:sz w:val="20"/>
          <w:szCs w:val="20"/>
        </w:rPr>
        <w:t xml:space="preserve"> It intend</w:t>
      </w:r>
      <w:r w:rsidR="00404A07" w:rsidRPr="00921120">
        <w:rPr>
          <w:rFonts w:ascii="Arial" w:hAnsi="Arial" w:cs="Arial"/>
          <w:sz w:val="20"/>
          <w:szCs w:val="20"/>
        </w:rPr>
        <w:t>ed</w:t>
      </w:r>
      <w:r w:rsidR="007C79B9" w:rsidRPr="00921120">
        <w:rPr>
          <w:rFonts w:ascii="Arial" w:hAnsi="Arial" w:cs="Arial"/>
          <w:sz w:val="20"/>
          <w:szCs w:val="20"/>
        </w:rPr>
        <w:t xml:space="preserve"> to increase the staff</w:t>
      </w:r>
      <w:r w:rsidR="005C421F" w:rsidRPr="00921120">
        <w:rPr>
          <w:rFonts w:ascii="Arial" w:hAnsi="Arial" w:cs="Arial"/>
          <w:sz w:val="20"/>
          <w:szCs w:val="20"/>
        </w:rPr>
        <w:t xml:space="preserve"> complement</w:t>
      </w:r>
      <w:r w:rsidR="007C79B9" w:rsidRPr="00921120">
        <w:rPr>
          <w:rFonts w:ascii="Arial" w:hAnsi="Arial" w:cs="Arial"/>
          <w:sz w:val="20"/>
          <w:szCs w:val="20"/>
        </w:rPr>
        <w:t xml:space="preserve"> </w:t>
      </w:r>
      <w:r w:rsidR="004D4B3B" w:rsidRPr="00921120">
        <w:rPr>
          <w:rFonts w:ascii="Arial" w:hAnsi="Arial" w:cs="Arial"/>
          <w:sz w:val="20"/>
          <w:szCs w:val="20"/>
        </w:rPr>
        <w:t xml:space="preserve">up to 32 employees </w:t>
      </w:r>
      <w:r w:rsidR="007C79B9" w:rsidRPr="00921120">
        <w:rPr>
          <w:rFonts w:ascii="Arial" w:hAnsi="Arial" w:cs="Arial"/>
          <w:sz w:val="20"/>
          <w:szCs w:val="20"/>
        </w:rPr>
        <w:t>as demand for the products increase</w:t>
      </w:r>
      <w:r w:rsidR="00404A07" w:rsidRPr="00921120">
        <w:rPr>
          <w:rFonts w:ascii="Arial" w:hAnsi="Arial" w:cs="Arial"/>
          <w:sz w:val="20"/>
          <w:szCs w:val="20"/>
        </w:rPr>
        <w:t>d</w:t>
      </w:r>
      <w:r w:rsidR="007C79B9" w:rsidRPr="00921120">
        <w:rPr>
          <w:rFonts w:ascii="Arial" w:hAnsi="Arial" w:cs="Arial"/>
          <w:sz w:val="20"/>
          <w:szCs w:val="20"/>
        </w:rPr>
        <w:t>.</w:t>
      </w:r>
    </w:p>
    <w:p w:rsidR="004D4B3B" w:rsidRPr="00921120" w:rsidRDefault="004D4B3B" w:rsidP="00921120">
      <w:pPr>
        <w:spacing w:line="240" w:lineRule="auto"/>
        <w:jc w:val="left"/>
        <w:rPr>
          <w:rFonts w:ascii="Arial" w:hAnsi="Arial" w:cs="Arial"/>
          <w:sz w:val="20"/>
          <w:szCs w:val="20"/>
        </w:rPr>
      </w:pPr>
    </w:p>
    <w:p w:rsidR="00763AA0" w:rsidRPr="00921120" w:rsidRDefault="000957A2" w:rsidP="00921120">
      <w:pPr>
        <w:spacing w:line="240" w:lineRule="auto"/>
        <w:jc w:val="left"/>
        <w:rPr>
          <w:rFonts w:ascii="Arial" w:hAnsi="Arial" w:cs="Arial"/>
          <w:sz w:val="20"/>
          <w:szCs w:val="20"/>
        </w:rPr>
      </w:pPr>
      <w:r w:rsidRPr="00921120">
        <w:rPr>
          <w:rFonts w:ascii="Arial" w:hAnsi="Arial" w:cs="Arial"/>
          <w:sz w:val="20"/>
          <w:szCs w:val="20"/>
        </w:rPr>
        <w:t xml:space="preserve">The company </w:t>
      </w:r>
      <w:r w:rsidR="00404A07" w:rsidRPr="00921120">
        <w:rPr>
          <w:rFonts w:ascii="Arial" w:hAnsi="Arial" w:cs="Arial"/>
          <w:sz w:val="20"/>
          <w:szCs w:val="20"/>
        </w:rPr>
        <w:t>wa</w:t>
      </w:r>
      <w:r w:rsidRPr="00921120">
        <w:rPr>
          <w:rFonts w:ascii="Arial" w:hAnsi="Arial" w:cs="Arial"/>
          <w:sz w:val="20"/>
          <w:szCs w:val="20"/>
        </w:rPr>
        <w:t xml:space="preserve">s self-funded thus far. One of its key challenges was that it was using older technology to manufacture the plastic bags. The machines were sourced from its Johannesburg factory but would need to be upgraded </w:t>
      </w:r>
      <w:r w:rsidR="000F606E" w:rsidRPr="00921120">
        <w:rPr>
          <w:rFonts w:ascii="Arial" w:hAnsi="Arial" w:cs="Arial"/>
          <w:sz w:val="20"/>
          <w:szCs w:val="20"/>
        </w:rPr>
        <w:t xml:space="preserve">in time </w:t>
      </w:r>
      <w:r w:rsidRPr="00921120">
        <w:rPr>
          <w:rFonts w:ascii="Arial" w:hAnsi="Arial" w:cs="Arial"/>
          <w:sz w:val="20"/>
          <w:szCs w:val="20"/>
        </w:rPr>
        <w:t xml:space="preserve">to </w:t>
      </w:r>
      <w:r w:rsidR="000F606E" w:rsidRPr="00921120">
        <w:rPr>
          <w:rFonts w:ascii="Arial" w:hAnsi="Arial" w:cs="Arial"/>
          <w:sz w:val="20"/>
          <w:szCs w:val="20"/>
        </w:rPr>
        <w:t xml:space="preserve">improve its </w:t>
      </w:r>
      <w:r w:rsidRPr="00921120">
        <w:rPr>
          <w:rFonts w:ascii="Arial" w:hAnsi="Arial" w:cs="Arial"/>
          <w:sz w:val="20"/>
          <w:szCs w:val="20"/>
        </w:rPr>
        <w:t xml:space="preserve">production efficiencies. However, it </w:t>
      </w:r>
      <w:r w:rsidR="003F3928" w:rsidRPr="00921120">
        <w:rPr>
          <w:rFonts w:ascii="Arial" w:hAnsi="Arial" w:cs="Arial"/>
          <w:sz w:val="20"/>
          <w:szCs w:val="20"/>
        </w:rPr>
        <w:t xml:space="preserve">would </w:t>
      </w:r>
      <w:r w:rsidR="000F606E" w:rsidRPr="00921120">
        <w:rPr>
          <w:rFonts w:ascii="Arial" w:hAnsi="Arial" w:cs="Arial"/>
          <w:sz w:val="20"/>
          <w:szCs w:val="20"/>
        </w:rPr>
        <w:t xml:space="preserve">only </w:t>
      </w:r>
      <w:r w:rsidRPr="00921120">
        <w:rPr>
          <w:rFonts w:ascii="Arial" w:hAnsi="Arial" w:cs="Arial"/>
          <w:sz w:val="20"/>
          <w:szCs w:val="20"/>
        </w:rPr>
        <w:t>seek funding once it ha</w:t>
      </w:r>
      <w:r w:rsidR="003F3928" w:rsidRPr="00921120">
        <w:rPr>
          <w:rFonts w:ascii="Arial" w:hAnsi="Arial" w:cs="Arial"/>
          <w:sz w:val="20"/>
          <w:szCs w:val="20"/>
        </w:rPr>
        <w:t>d</w:t>
      </w:r>
      <w:r w:rsidRPr="00921120">
        <w:rPr>
          <w:rFonts w:ascii="Arial" w:hAnsi="Arial" w:cs="Arial"/>
          <w:sz w:val="20"/>
          <w:szCs w:val="20"/>
        </w:rPr>
        <w:t xml:space="preserve"> grown the market in Limpopo</w:t>
      </w:r>
      <w:r w:rsidR="000D56D1" w:rsidRPr="00921120">
        <w:rPr>
          <w:rFonts w:ascii="Arial" w:hAnsi="Arial" w:cs="Arial"/>
          <w:sz w:val="20"/>
          <w:szCs w:val="20"/>
        </w:rPr>
        <w:t xml:space="preserve"> and proven that it </w:t>
      </w:r>
      <w:r w:rsidR="003F3928" w:rsidRPr="00921120">
        <w:rPr>
          <w:rFonts w:ascii="Arial" w:hAnsi="Arial" w:cs="Arial"/>
          <w:sz w:val="20"/>
          <w:szCs w:val="20"/>
        </w:rPr>
        <w:t>wa</w:t>
      </w:r>
      <w:r w:rsidR="00763AA0" w:rsidRPr="00921120">
        <w:rPr>
          <w:rFonts w:ascii="Arial" w:hAnsi="Arial" w:cs="Arial"/>
          <w:sz w:val="20"/>
          <w:szCs w:val="20"/>
        </w:rPr>
        <w:t xml:space="preserve">s a functional manufacturer </w:t>
      </w:r>
      <w:r w:rsidR="005D4798" w:rsidRPr="00921120">
        <w:rPr>
          <w:rFonts w:ascii="Arial" w:hAnsi="Arial" w:cs="Arial"/>
          <w:sz w:val="20"/>
          <w:szCs w:val="20"/>
        </w:rPr>
        <w:t>with</w:t>
      </w:r>
      <w:r w:rsidR="000D56D1" w:rsidRPr="00921120">
        <w:rPr>
          <w:rFonts w:ascii="Arial" w:hAnsi="Arial" w:cs="Arial"/>
          <w:sz w:val="20"/>
          <w:szCs w:val="20"/>
        </w:rPr>
        <w:t xml:space="preserve"> a viable business case</w:t>
      </w:r>
      <w:r w:rsidRPr="00921120">
        <w:rPr>
          <w:rFonts w:ascii="Arial" w:hAnsi="Arial" w:cs="Arial"/>
          <w:sz w:val="20"/>
          <w:szCs w:val="20"/>
        </w:rPr>
        <w:t xml:space="preserve">. </w:t>
      </w:r>
      <w:r w:rsidR="00763AA0" w:rsidRPr="00921120">
        <w:rPr>
          <w:rFonts w:ascii="Arial" w:hAnsi="Arial" w:cs="Arial"/>
          <w:sz w:val="20"/>
          <w:szCs w:val="20"/>
        </w:rPr>
        <w:t xml:space="preserve">This </w:t>
      </w:r>
      <w:r w:rsidR="005D4798" w:rsidRPr="00921120">
        <w:rPr>
          <w:rFonts w:ascii="Arial" w:hAnsi="Arial" w:cs="Arial"/>
          <w:sz w:val="20"/>
          <w:szCs w:val="20"/>
        </w:rPr>
        <w:t>wa</w:t>
      </w:r>
      <w:r w:rsidR="00763AA0" w:rsidRPr="00921120">
        <w:rPr>
          <w:rFonts w:ascii="Arial" w:hAnsi="Arial" w:cs="Arial"/>
          <w:sz w:val="20"/>
          <w:szCs w:val="20"/>
        </w:rPr>
        <w:t>s also to determine the demand for the product and to be able to service the market immediately as the orders c</w:t>
      </w:r>
      <w:r w:rsidR="005D4798" w:rsidRPr="00921120">
        <w:rPr>
          <w:rFonts w:ascii="Arial" w:hAnsi="Arial" w:cs="Arial"/>
          <w:sz w:val="20"/>
          <w:szCs w:val="20"/>
        </w:rPr>
        <w:t>a</w:t>
      </w:r>
      <w:r w:rsidR="00763AA0" w:rsidRPr="00921120">
        <w:rPr>
          <w:rFonts w:ascii="Arial" w:hAnsi="Arial" w:cs="Arial"/>
          <w:sz w:val="20"/>
          <w:szCs w:val="20"/>
        </w:rPr>
        <w:t xml:space="preserve">me in. </w:t>
      </w:r>
    </w:p>
    <w:p w:rsidR="00763AA0" w:rsidRPr="00921120" w:rsidRDefault="00763AA0" w:rsidP="00921120">
      <w:pPr>
        <w:spacing w:line="240" w:lineRule="auto"/>
        <w:jc w:val="left"/>
        <w:rPr>
          <w:rFonts w:ascii="Arial" w:hAnsi="Arial" w:cs="Arial"/>
          <w:sz w:val="20"/>
          <w:szCs w:val="20"/>
        </w:rPr>
      </w:pPr>
    </w:p>
    <w:p w:rsidR="004D4B3B" w:rsidRPr="00921120" w:rsidRDefault="000957A2" w:rsidP="00921120">
      <w:pPr>
        <w:spacing w:line="240" w:lineRule="auto"/>
        <w:jc w:val="left"/>
        <w:rPr>
          <w:rFonts w:ascii="Arial" w:hAnsi="Arial" w:cs="Arial"/>
          <w:sz w:val="20"/>
          <w:szCs w:val="20"/>
        </w:rPr>
      </w:pPr>
      <w:r w:rsidRPr="00921120">
        <w:rPr>
          <w:rFonts w:ascii="Arial" w:hAnsi="Arial" w:cs="Arial"/>
          <w:sz w:val="20"/>
          <w:szCs w:val="20"/>
        </w:rPr>
        <w:t>Currently, its market consist</w:t>
      </w:r>
      <w:r w:rsidR="005D4798" w:rsidRPr="00921120">
        <w:rPr>
          <w:rFonts w:ascii="Arial" w:hAnsi="Arial" w:cs="Arial"/>
          <w:sz w:val="20"/>
          <w:szCs w:val="20"/>
        </w:rPr>
        <w:t>ed</w:t>
      </w:r>
      <w:r w:rsidRPr="00921120">
        <w:rPr>
          <w:rFonts w:ascii="Arial" w:hAnsi="Arial" w:cs="Arial"/>
          <w:sz w:val="20"/>
          <w:szCs w:val="20"/>
        </w:rPr>
        <w:t xml:space="preserve"> of municipalities, hospitals, and the hospitality sector </w:t>
      </w:r>
      <w:r w:rsidR="00397C4A" w:rsidRPr="00921120">
        <w:rPr>
          <w:rFonts w:ascii="Arial" w:hAnsi="Arial" w:cs="Arial"/>
          <w:sz w:val="20"/>
          <w:szCs w:val="20"/>
        </w:rPr>
        <w:t xml:space="preserve">in the Limpopo province </w:t>
      </w:r>
      <w:r w:rsidRPr="00921120">
        <w:rPr>
          <w:rFonts w:ascii="Arial" w:hAnsi="Arial" w:cs="Arial"/>
          <w:sz w:val="20"/>
          <w:szCs w:val="20"/>
        </w:rPr>
        <w:t xml:space="preserve">but </w:t>
      </w:r>
      <w:r w:rsidR="005D4798" w:rsidRPr="00921120">
        <w:rPr>
          <w:rFonts w:ascii="Arial" w:hAnsi="Arial" w:cs="Arial"/>
          <w:sz w:val="20"/>
          <w:szCs w:val="20"/>
        </w:rPr>
        <w:t xml:space="preserve">it </w:t>
      </w:r>
      <w:r w:rsidRPr="00921120">
        <w:rPr>
          <w:rFonts w:ascii="Arial" w:hAnsi="Arial" w:cs="Arial"/>
          <w:sz w:val="20"/>
          <w:szCs w:val="20"/>
        </w:rPr>
        <w:t>ha</w:t>
      </w:r>
      <w:r w:rsidR="005D4798" w:rsidRPr="00921120">
        <w:rPr>
          <w:rFonts w:ascii="Arial" w:hAnsi="Arial" w:cs="Arial"/>
          <w:sz w:val="20"/>
          <w:szCs w:val="20"/>
        </w:rPr>
        <w:t>d</w:t>
      </w:r>
      <w:r w:rsidRPr="00921120">
        <w:rPr>
          <w:rFonts w:ascii="Arial" w:hAnsi="Arial" w:cs="Arial"/>
          <w:sz w:val="20"/>
          <w:szCs w:val="20"/>
        </w:rPr>
        <w:t xml:space="preserve"> been suppl</w:t>
      </w:r>
      <w:r w:rsidR="005D4798" w:rsidRPr="00921120">
        <w:rPr>
          <w:rFonts w:ascii="Arial" w:hAnsi="Arial" w:cs="Arial"/>
          <w:sz w:val="20"/>
          <w:szCs w:val="20"/>
        </w:rPr>
        <w:t>ying these</w:t>
      </w:r>
      <w:r w:rsidRPr="00921120">
        <w:rPr>
          <w:rFonts w:ascii="Arial" w:hAnsi="Arial" w:cs="Arial"/>
          <w:sz w:val="20"/>
          <w:szCs w:val="20"/>
        </w:rPr>
        <w:t xml:space="preserve"> from </w:t>
      </w:r>
      <w:r w:rsidR="005D4798" w:rsidRPr="00921120">
        <w:rPr>
          <w:rFonts w:ascii="Arial" w:hAnsi="Arial" w:cs="Arial"/>
          <w:sz w:val="20"/>
          <w:szCs w:val="20"/>
        </w:rPr>
        <w:t xml:space="preserve">its </w:t>
      </w:r>
      <w:r w:rsidRPr="00921120">
        <w:rPr>
          <w:rFonts w:ascii="Arial" w:hAnsi="Arial" w:cs="Arial"/>
          <w:sz w:val="20"/>
          <w:szCs w:val="20"/>
        </w:rPr>
        <w:t>Johannesburg company</w:t>
      </w:r>
      <w:r w:rsidR="00397C4A" w:rsidRPr="00921120">
        <w:rPr>
          <w:rFonts w:ascii="Arial" w:hAnsi="Arial" w:cs="Arial"/>
          <w:sz w:val="20"/>
          <w:szCs w:val="20"/>
        </w:rPr>
        <w:t xml:space="preserve"> thus far</w:t>
      </w:r>
      <w:r w:rsidRPr="00921120">
        <w:rPr>
          <w:rFonts w:ascii="Arial" w:hAnsi="Arial" w:cs="Arial"/>
          <w:sz w:val="20"/>
          <w:szCs w:val="20"/>
        </w:rPr>
        <w:t>.</w:t>
      </w:r>
      <w:r w:rsidR="000D56D1" w:rsidRPr="00921120">
        <w:rPr>
          <w:rFonts w:ascii="Arial" w:hAnsi="Arial" w:cs="Arial"/>
          <w:sz w:val="20"/>
          <w:szCs w:val="20"/>
        </w:rPr>
        <w:t xml:space="preserve"> The Committee indicated that the company should consider applying to the National Empowerment Fund </w:t>
      </w:r>
      <w:r w:rsidR="005D4798" w:rsidRPr="00921120">
        <w:rPr>
          <w:rFonts w:ascii="Arial" w:hAnsi="Arial" w:cs="Arial"/>
          <w:sz w:val="20"/>
          <w:szCs w:val="20"/>
        </w:rPr>
        <w:t xml:space="preserve">(NEF) </w:t>
      </w:r>
      <w:r w:rsidR="000D56D1" w:rsidRPr="00921120">
        <w:rPr>
          <w:rFonts w:ascii="Arial" w:hAnsi="Arial" w:cs="Arial"/>
          <w:sz w:val="20"/>
          <w:szCs w:val="20"/>
        </w:rPr>
        <w:t>or the Industrial Development Corporation</w:t>
      </w:r>
      <w:r w:rsidR="005D4798" w:rsidRPr="00921120">
        <w:rPr>
          <w:rFonts w:ascii="Arial" w:hAnsi="Arial" w:cs="Arial"/>
          <w:sz w:val="20"/>
          <w:szCs w:val="20"/>
        </w:rPr>
        <w:t xml:space="preserve"> (IDC)</w:t>
      </w:r>
      <w:r w:rsidR="000D56D1" w:rsidRPr="00921120">
        <w:rPr>
          <w:rFonts w:ascii="Arial" w:hAnsi="Arial" w:cs="Arial"/>
          <w:sz w:val="20"/>
          <w:szCs w:val="20"/>
        </w:rPr>
        <w:t>.</w:t>
      </w:r>
    </w:p>
    <w:p w:rsidR="00300A96" w:rsidRPr="00921120" w:rsidRDefault="00300A96" w:rsidP="00921120">
      <w:pPr>
        <w:spacing w:line="240" w:lineRule="auto"/>
        <w:jc w:val="left"/>
        <w:rPr>
          <w:rFonts w:ascii="Arial" w:hAnsi="Arial" w:cs="Arial"/>
          <w:sz w:val="20"/>
          <w:szCs w:val="20"/>
        </w:rPr>
      </w:pPr>
    </w:p>
    <w:p w:rsidR="00300A96" w:rsidRPr="00921120" w:rsidRDefault="00300A96" w:rsidP="00921120">
      <w:pPr>
        <w:spacing w:line="240" w:lineRule="auto"/>
        <w:jc w:val="left"/>
        <w:rPr>
          <w:rFonts w:ascii="Arial" w:hAnsi="Arial" w:cs="Arial"/>
          <w:sz w:val="20"/>
          <w:szCs w:val="20"/>
        </w:rPr>
      </w:pPr>
      <w:r w:rsidRPr="00921120">
        <w:rPr>
          <w:rFonts w:ascii="Arial" w:hAnsi="Arial" w:cs="Arial"/>
          <w:sz w:val="20"/>
          <w:szCs w:val="20"/>
        </w:rPr>
        <w:t>Furthermore, loadshedding impact</w:t>
      </w:r>
      <w:r w:rsidR="005D4798" w:rsidRPr="00921120">
        <w:rPr>
          <w:rFonts w:ascii="Arial" w:hAnsi="Arial" w:cs="Arial"/>
          <w:sz w:val="20"/>
          <w:szCs w:val="20"/>
        </w:rPr>
        <w:t>ed</w:t>
      </w:r>
      <w:r w:rsidRPr="00921120">
        <w:rPr>
          <w:rFonts w:ascii="Arial" w:hAnsi="Arial" w:cs="Arial"/>
          <w:sz w:val="20"/>
          <w:szCs w:val="20"/>
        </w:rPr>
        <w:t xml:space="preserve"> the daily production time negatively, as the machines </w:t>
      </w:r>
      <w:r w:rsidR="005D4798" w:rsidRPr="00921120">
        <w:rPr>
          <w:rFonts w:ascii="Arial" w:hAnsi="Arial" w:cs="Arial"/>
          <w:sz w:val="20"/>
          <w:szCs w:val="20"/>
        </w:rPr>
        <w:t xml:space="preserve">had to </w:t>
      </w:r>
      <w:r w:rsidRPr="00921120">
        <w:rPr>
          <w:rFonts w:ascii="Arial" w:hAnsi="Arial" w:cs="Arial"/>
          <w:sz w:val="20"/>
          <w:szCs w:val="20"/>
        </w:rPr>
        <w:t xml:space="preserve">be reheated for two hours once the electricity </w:t>
      </w:r>
      <w:r w:rsidR="005D4798" w:rsidRPr="00921120">
        <w:rPr>
          <w:rFonts w:ascii="Arial" w:hAnsi="Arial" w:cs="Arial"/>
          <w:sz w:val="20"/>
          <w:szCs w:val="20"/>
        </w:rPr>
        <w:t>wa</w:t>
      </w:r>
      <w:r w:rsidRPr="00921120">
        <w:rPr>
          <w:rFonts w:ascii="Arial" w:hAnsi="Arial" w:cs="Arial"/>
          <w:sz w:val="20"/>
          <w:szCs w:val="20"/>
        </w:rPr>
        <w:t xml:space="preserve">s restored. </w:t>
      </w:r>
    </w:p>
    <w:p w:rsidR="007C79B9" w:rsidRPr="00921120" w:rsidRDefault="007C79B9" w:rsidP="00921120">
      <w:pPr>
        <w:spacing w:line="240" w:lineRule="auto"/>
        <w:jc w:val="left"/>
        <w:rPr>
          <w:rFonts w:ascii="Arial" w:hAnsi="Arial" w:cs="Arial"/>
          <w:sz w:val="20"/>
          <w:szCs w:val="20"/>
          <w:lang w:val="en-GB"/>
        </w:rPr>
      </w:pPr>
    </w:p>
    <w:p w:rsidR="00921CF1" w:rsidRPr="00921120" w:rsidRDefault="003F2807" w:rsidP="00921120">
      <w:pPr>
        <w:pStyle w:val="Heading2"/>
        <w:spacing w:line="240" w:lineRule="auto"/>
        <w:jc w:val="left"/>
        <w:rPr>
          <w:rFonts w:ascii="Arial" w:hAnsi="Arial" w:cs="Arial"/>
          <w:sz w:val="20"/>
          <w:szCs w:val="20"/>
        </w:rPr>
      </w:pPr>
      <w:r w:rsidRPr="00921120">
        <w:rPr>
          <w:rFonts w:ascii="Arial" w:hAnsi="Arial" w:cs="Arial"/>
          <w:sz w:val="20"/>
          <w:szCs w:val="20"/>
        </w:rPr>
        <w:t xml:space="preserve">Challenges of the Industrial Parks </w:t>
      </w:r>
    </w:p>
    <w:p w:rsidR="003F2807" w:rsidRPr="00921120" w:rsidRDefault="003F2807" w:rsidP="00921120">
      <w:pPr>
        <w:spacing w:line="240" w:lineRule="auto"/>
        <w:jc w:val="left"/>
        <w:rPr>
          <w:rFonts w:ascii="Arial" w:hAnsi="Arial" w:cs="Arial"/>
          <w:sz w:val="20"/>
          <w:szCs w:val="20"/>
        </w:rPr>
      </w:pPr>
      <w:r w:rsidRPr="00921120">
        <w:rPr>
          <w:rFonts w:ascii="Arial" w:hAnsi="Arial" w:cs="Arial"/>
          <w:sz w:val="20"/>
          <w:szCs w:val="20"/>
        </w:rPr>
        <w:t xml:space="preserve">LEDA, in the engagement with the Committee highlighted the following challenges in respect of the two Industrial Parks: </w:t>
      </w:r>
    </w:p>
    <w:p w:rsidR="003F2807" w:rsidRPr="00921120" w:rsidRDefault="003F2807" w:rsidP="00921120">
      <w:pPr>
        <w:pStyle w:val="ListParagraph"/>
        <w:numPr>
          <w:ilvl w:val="0"/>
          <w:numId w:val="26"/>
        </w:numPr>
        <w:spacing w:line="240" w:lineRule="auto"/>
        <w:jc w:val="left"/>
        <w:rPr>
          <w:rFonts w:ascii="Arial" w:hAnsi="Arial" w:cs="Arial"/>
          <w:sz w:val="20"/>
          <w:szCs w:val="20"/>
        </w:rPr>
      </w:pPr>
      <w:r w:rsidRPr="00921120">
        <w:rPr>
          <w:rFonts w:ascii="Arial" w:hAnsi="Arial" w:cs="Arial"/>
          <w:sz w:val="20"/>
          <w:szCs w:val="20"/>
        </w:rPr>
        <w:t>Communities up-ris</w:t>
      </w:r>
      <w:r w:rsidR="00EB626F" w:rsidRPr="00921120">
        <w:rPr>
          <w:rFonts w:ascii="Arial" w:hAnsi="Arial" w:cs="Arial"/>
          <w:sz w:val="20"/>
          <w:szCs w:val="20"/>
        </w:rPr>
        <w:t>ing</w:t>
      </w:r>
      <w:r w:rsidRPr="00921120">
        <w:rPr>
          <w:rFonts w:ascii="Arial" w:hAnsi="Arial" w:cs="Arial"/>
          <w:sz w:val="20"/>
          <w:szCs w:val="20"/>
        </w:rPr>
        <w:t xml:space="preserve"> against illegal foreign nationals being employed in the Industrial </w:t>
      </w:r>
      <w:r w:rsidR="00EB626F" w:rsidRPr="00921120">
        <w:rPr>
          <w:rFonts w:ascii="Arial" w:hAnsi="Arial" w:cs="Arial"/>
          <w:sz w:val="20"/>
          <w:szCs w:val="20"/>
        </w:rPr>
        <w:t>P</w:t>
      </w:r>
      <w:r w:rsidRPr="00921120">
        <w:rPr>
          <w:rFonts w:ascii="Arial" w:hAnsi="Arial" w:cs="Arial"/>
          <w:sz w:val="20"/>
          <w:szCs w:val="20"/>
        </w:rPr>
        <w:t xml:space="preserve">arks; </w:t>
      </w:r>
    </w:p>
    <w:p w:rsidR="003F2807" w:rsidRPr="00921120" w:rsidRDefault="003F2807" w:rsidP="00921120">
      <w:pPr>
        <w:pStyle w:val="ListParagraph"/>
        <w:numPr>
          <w:ilvl w:val="0"/>
          <w:numId w:val="26"/>
        </w:numPr>
        <w:spacing w:line="240" w:lineRule="auto"/>
        <w:jc w:val="left"/>
        <w:rPr>
          <w:rFonts w:ascii="Arial" w:hAnsi="Arial" w:cs="Arial"/>
          <w:sz w:val="20"/>
          <w:szCs w:val="20"/>
        </w:rPr>
      </w:pPr>
      <w:r w:rsidRPr="00921120">
        <w:rPr>
          <w:rFonts w:ascii="Arial" w:hAnsi="Arial" w:cs="Arial"/>
          <w:sz w:val="20"/>
          <w:szCs w:val="20"/>
        </w:rPr>
        <w:t xml:space="preserve">The security of investors within the parks; </w:t>
      </w:r>
    </w:p>
    <w:p w:rsidR="003F2807" w:rsidRPr="00921120" w:rsidRDefault="003F2807" w:rsidP="00921120">
      <w:pPr>
        <w:pStyle w:val="ListParagraph"/>
        <w:numPr>
          <w:ilvl w:val="0"/>
          <w:numId w:val="26"/>
        </w:numPr>
        <w:spacing w:line="240" w:lineRule="auto"/>
        <w:jc w:val="left"/>
        <w:rPr>
          <w:rFonts w:ascii="Arial" w:hAnsi="Arial" w:cs="Arial"/>
          <w:sz w:val="20"/>
          <w:szCs w:val="20"/>
        </w:rPr>
      </w:pPr>
      <w:r w:rsidRPr="00921120">
        <w:rPr>
          <w:rFonts w:ascii="Arial" w:hAnsi="Arial" w:cs="Arial"/>
          <w:sz w:val="20"/>
          <w:szCs w:val="20"/>
        </w:rPr>
        <w:t xml:space="preserve">Insufficient funds to recapitalise </w:t>
      </w:r>
      <w:r w:rsidR="00483F93" w:rsidRPr="00921120">
        <w:rPr>
          <w:rFonts w:ascii="Arial" w:hAnsi="Arial" w:cs="Arial"/>
          <w:sz w:val="20"/>
          <w:szCs w:val="20"/>
        </w:rPr>
        <w:t xml:space="preserve">the </w:t>
      </w:r>
      <w:r w:rsidRPr="00921120">
        <w:rPr>
          <w:rFonts w:ascii="Arial" w:hAnsi="Arial" w:cs="Arial"/>
          <w:sz w:val="20"/>
          <w:szCs w:val="20"/>
        </w:rPr>
        <w:t xml:space="preserve">portfolio; </w:t>
      </w:r>
    </w:p>
    <w:p w:rsidR="003F2807" w:rsidRPr="00921120" w:rsidRDefault="003F2807" w:rsidP="00921120">
      <w:pPr>
        <w:pStyle w:val="ListParagraph"/>
        <w:numPr>
          <w:ilvl w:val="0"/>
          <w:numId w:val="26"/>
        </w:numPr>
        <w:spacing w:line="240" w:lineRule="auto"/>
        <w:jc w:val="left"/>
        <w:rPr>
          <w:rFonts w:ascii="Arial" w:hAnsi="Arial" w:cs="Arial"/>
          <w:sz w:val="20"/>
          <w:szCs w:val="20"/>
        </w:rPr>
      </w:pPr>
      <w:r w:rsidRPr="00921120">
        <w:rPr>
          <w:rFonts w:ascii="Arial" w:hAnsi="Arial" w:cs="Arial"/>
          <w:sz w:val="20"/>
          <w:szCs w:val="20"/>
        </w:rPr>
        <w:t xml:space="preserve">Low rental income, due to </w:t>
      </w:r>
      <w:r w:rsidR="008D1512" w:rsidRPr="00921120">
        <w:rPr>
          <w:rFonts w:ascii="Arial" w:hAnsi="Arial" w:cs="Arial"/>
          <w:sz w:val="20"/>
          <w:szCs w:val="20"/>
        </w:rPr>
        <w:t xml:space="preserve">the </w:t>
      </w:r>
      <w:r w:rsidRPr="00921120">
        <w:rPr>
          <w:rFonts w:ascii="Arial" w:hAnsi="Arial" w:cs="Arial"/>
          <w:sz w:val="20"/>
          <w:szCs w:val="20"/>
        </w:rPr>
        <w:t>pricing model</w:t>
      </w:r>
      <w:r w:rsidR="008D1512" w:rsidRPr="00921120">
        <w:rPr>
          <w:rFonts w:ascii="Arial" w:hAnsi="Arial" w:cs="Arial"/>
          <w:sz w:val="20"/>
          <w:szCs w:val="20"/>
        </w:rPr>
        <w:t xml:space="preserve">, </w:t>
      </w:r>
      <w:r w:rsidRPr="00921120">
        <w:rPr>
          <w:rFonts w:ascii="Arial" w:hAnsi="Arial" w:cs="Arial"/>
          <w:sz w:val="20"/>
          <w:szCs w:val="20"/>
        </w:rPr>
        <w:t xml:space="preserve">attributable to legacy pricing models that </w:t>
      </w:r>
      <w:r w:rsidR="008D1512" w:rsidRPr="00921120">
        <w:rPr>
          <w:rFonts w:ascii="Arial" w:hAnsi="Arial" w:cs="Arial"/>
          <w:sz w:val="20"/>
          <w:szCs w:val="20"/>
        </w:rPr>
        <w:t xml:space="preserve">had been based on </w:t>
      </w:r>
      <w:r w:rsidRPr="00921120">
        <w:rPr>
          <w:rFonts w:ascii="Arial" w:hAnsi="Arial" w:cs="Arial"/>
          <w:sz w:val="20"/>
          <w:szCs w:val="20"/>
        </w:rPr>
        <w:t>subsidis</w:t>
      </w:r>
      <w:r w:rsidR="008D1512" w:rsidRPr="00921120">
        <w:rPr>
          <w:rFonts w:ascii="Arial" w:hAnsi="Arial" w:cs="Arial"/>
          <w:sz w:val="20"/>
          <w:szCs w:val="20"/>
        </w:rPr>
        <w:t>ation</w:t>
      </w:r>
      <w:r w:rsidRPr="00921120">
        <w:rPr>
          <w:rFonts w:ascii="Arial" w:hAnsi="Arial" w:cs="Arial"/>
          <w:sz w:val="20"/>
          <w:szCs w:val="20"/>
        </w:rPr>
        <w:t xml:space="preserve">; and </w:t>
      </w:r>
    </w:p>
    <w:p w:rsidR="003F2807" w:rsidRPr="00921120" w:rsidRDefault="003F2807" w:rsidP="00921120">
      <w:pPr>
        <w:pStyle w:val="ListParagraph"/>
        <w:numPr>
          <w:ilvl w:val="0"/>
          <w:numId w:val="26"/>
        </w:numPr>
        <w:spacing w:line="240" w:lineRule="auto"/>
        <w:jc w:val="left"/>
        <w:rPr>
          <w:rFonts w:ascii="Arial" w:hAnsi="Arial" w:cs="Arial"/>
          <w:sz w:val="20"/>
          <w:szCs w:val="20"/>
        </w:rPr>
      </w:pPr>
      <w:r w:rsidRPr="00921120">
        <w:rPr>
          <w:rFonts w:ascii="Arial" w:hAnsi="Arial" w:cs="Arial"/>
          <w:sz w:val="20"/>
          <w:szCs w:val="20"/>
        </w:rPr>
        <w:t>Property being used as storage</w:t>
      </w:r>
      <w:r w:rsidR="008D1512" w:rsidRPr="00921120">
        <w:rPr>
          <w:rFonts w:ascii="Arial" w:hAnsi="Arial" w:cs="Arial"/>
          <w:sz w:val="20"/>
          <w:szCs w:val="20"/>
        </w:rPr>
        <w:t>, which increased the</w:t>
      </w:r>
      <w:r w:rsidRPr="00921120">
        <w:rPr>
          <w:rFonts w:ascii="Arial" w:hAnsi="Arial" w:cs="Arial"/>
          <w:sz w:val="20"/>
          <w:szCs w:val="20"/>
        </w:rPr>
        <w:t xml:space="preserve"> </w:t>
      </w:r>
      <w:r w:rsidR="008D1512" w:rsidRPr="00921120">
        <w:rPr>
          <w:rFonts w:ascii="Arial" w:hAnsi="Arial" w:cs="Arial"/>
          <w:sz w:val="20"/>
          <w:szCs w:val="20"/>
        </w:rPr>
        <w:t>o</w:t>
      </w:r>
      <w:r w:rsidRPr="00921120">
        <w:rPr>
          <w:rFonts w:ascii="Arial" w:hAnsi="Arial" w:cs="Arial"/>
          <w:sz w:val="20"/>
          <w:szCs w:val="20"/>
        </w:rPr>
        <w:t xml:space="preserve">ccupancy </w:t>
      </w:r>
      <w:r w:rsidR="008D1512" w:rsidRPr="00921120">
        <w:rPr>
          <w:rFonts w:ascii="Arial" w:hAnsi="Arial" w:cs="Arial"/>
          <w:sz w:val="20"/>
          <w:szCs w:val="20"/>
        </w:rPr>
        <w:t xml:space="preserve">level </w:t>
      </w:r>
      <w:r w:rsidRPr="00921120">
        <w:rPr>
          <w:rFonts w:ascii="Arial" w:hAnsi="Arial" w:cs="Arial"/>
          <w:sz w:val="20"/>
          <w:szCs w:val="20"/>
        </w:rPr>
        <w:t>and rental</w:t>
      </w:r>
      <w:r w:rsidR="008D1512" w:rsidRPr="00921120">
        <w:rPr>
          <w:rFonts w:ascii="Arial" w:hAnsi="Arial" w:cs="Arial"/>
          <w:sz w:val="20"/>
          <w:szCs w:val="20"/>
        </w:rPr>
        <w:t xml:space="preserve"> income </w:t>
      </w:r>
      <w:r w:rsidRPr="00921120">
        <w:rPr>
          <w:rFonts w:ascii="Arial" w:hAnsi="Arial" w:cs="Arial"/>
          <w:sz w:val="20"/>
          <w:szCs w:val="20"/>
        </w:rPr>
        <w:t xml:space="preserve">but </w:t>
      </w:r>
      <w:r w:rsidR="008D1512" w:rsidRPr="00921120">
        <w:rPr>
          <w:rFonts w:ascii="Arial" w:hAnsi="Arial" w:cs="Arial"/>
          <w:sz w:val="20"/>
          <w:szCs w:val="20"/>
        </w:rPr>
        <w:t xml:space="preserve">had </w:t>
      </w:r>
      <w:r w:rsidRPr="00921120">
        <w:rPr>
          <w:rFonts w:ascii="Arial" w:hAnsi="Arial" w:cs="Arial"/>
          <w:sz w:val="20"/>
          <w:szCs w:val="20"/>
        </w:rPr>
        <w:t xml:space="preserve">no direct impact on unemployment reduction. </w:t>
      </w:r>
    </w:p>
    <w:p w:rsidR="003F2807" w:rsidRPr="00921120" w:rsidRDefault="003F2807" w:rsidP="00921120">
      <w:pPr>
        <w:spacing w:line="240" w:lineRule="auto"/>
        <w:jc w:val="left"/>
        <w:rPr>
          <w:rFonts w:ascii="Arial" w:hAnsi="Arial" w:cs="Arial"/>
          <w:sz w:val="20"/>
          <w:szCs w:val="20"/>
        </w:rPr>
      </w:pPr>
    </w:p>
    <w:p w:rsidR="003F2807" w:rsidRPr="00921120" w:rsidRDefault="00A82DC5" w:rsidP="00921120">
      <w:pPr>
        <w:pStyle w:val="Heading2"/>
        <w:spacing w:line="240" w:lineRule="auto"/>
        <w:jc w:val="left"/>
        <w:rPr>
          <w:rFonts w:ascii="Arial" w:hAnsi="Arial" w:cs="Arial"/>
          <w:sz w:val="20"/>
          <w:szCs w:val="20"/>
        </w:rPr>
      </w:pPr>
      <w:r w:rsidRPr="00921120">
        <w:rPr>
          <w:rFonts w:ascii="Arial" w:hAnsi="Arial" w:cs="Arial"/>
          <w:sz w:val="20"/>
          <w:szCs w:val="20"/>
        </w:rPr>
        <w:t xml:space="preserve">Issues raised </w:t>
      </w:r>
      <w:r w:rsidR="008D1512" w:rsidRPr="00921120">
        <w:rPr>
          <w:rFonts w:ascii="Arial" w:hAnsi="Arial" w:cs="Arial"/>
          <w:sz w:val="20"/>
          <w:szCs w:val="20"/>
        </w:rPr>
        <w:t>by the Committee</w:t>
      </w:r>
      <w:r w:rsidRPr="00921120">
        <w:rPr>
          <w:rFonts w:ascii="Arial" w:hAnsi="Arial" w:cs="Arial"/>
          <w:sz w:val="20"/>
          <w:szCs w:val="20"/>
        </w:rPr>
        <w:t xml:space="preserve"> </w:t>
      </w:r>
    </w:p>
    <w:p w:rsidR="00484658" w:rsidRPr="00921120" w:rsidRDefault="00484658" w:rsidP="00921120">
      <w:pPr>
        <w:spacing w:line="240" w:lineRule="auto"/>
        <w:jc w:val="left"/>
        <w:rPr>
          <w:rFonts w:ascii="Arial" w:hAnsi="Arial" w:cs="Arial"/>
          <w:sz w:val="20"/>
          <w:szCs w:val="20"/>
        </w:rPr>
      </w:pPr>
      <w:r w:rsidRPr="00921120">
        <w:rPr>
          <w:rFonts w:ascii="Arial" w:hAnsi="Arial" w:cs="Arial"/>
          <w:sz w:val="20"/>
          <w:szCs w:val="20"/>
        </w:rPr>
        <w:t>The following issues were raised during the engagement with LEDET and L</w:t>
      </w:r>
      <w:r w:rsidR="0092625F" w:rsidRPr="00921120">
        <w:rPr>
          <w:rFonts w:ascii="Arial" w:hAnsi="Arial" w:cs="Arial"/>
          <w:sz w:val="20"/>
          <w:szCs w:val="20"/>
        </w:rPr>
        <w:t>E</w:t>
      </w:r>
      <w:r w:rsidRPr="00921120">
        <w:rPr>
          <w:rFonts w:ascii="Arial" w:hAnsi="Arial" w:cs="Arial"/>
          <w:sz w:val="20"/>
          <w:szCs w:val="20"/>
        </w:rPr>
        <w:t>DA:</w:t>
      </w:r>
    </w:p>
    <w:p w:rsidR="00484658" w:rsidRPr="00921120" w:rsidRDefault="00484658" w:rsidP="00921120">
      <w:pPr>
        <w:spacing w:line="240" w:lineRule="auto"/>
        <w:jc w:val="left"/>
        <w:rPr>
          <w:rFonts w:ascii="Arial" w:hAnsi="Arial" w:cs="Arial"/>
          <w:sz w:val="20"/>
          <w:szCs w:val="20"/>
        </w:rPr>
      </w:pPr>
    </w:p>
    <w:p w:rsidR="003F2807" w:rsidRPr="00921120" w:rsidRDefault="003F2807" w:rsidP="00921120">
      <w:pPr>
        <w:pStyle w:val="ListParagraph"/>
        <w:numPr>
          <w:ilvl w:val="0"/>
          <w:numId w:val="24"/>
        </w:numPr>
        <w:spacing w:line="240" w:lineRule="auto"/>
        <w:jc w:val="left"/>
        <w:rPr>
          <w:rFonts w:ascii="Arial" w:hAnsi="Arial" w:cs="Arial"/>
          <w:sz w:val="20"/>
          <w:szCs w:val="20"/>
        </w:rPr>
      </w:pPr>
      <w:r w:rsidRPr="00921120">
        <w:rPr>
          <w:rFonts w:ascii="Arial" w:hAnsi="Arial" w:cs="Arial"/>
          <w:b/>
          <w:bCs/>
          <w:i/>
          <w:iCs/>
          <w:sz w:val="20"/>
          <w:szCs w:val="20"/>
        </w:rPr>
        <w:t xml:space="preserve">Return on Investment: </w:t>
      </w:r>
      <w:r w:rsidRPr="00921120">
        <w:rPr>
          <w:rFonts w:ascii="Arial" w:hAnsi="Arial" w:cs="Arial"/>
          <w:sz w:val="20"/>
          <w:szCs w:val="20"/>
        </w:rPr>
        <w:t>The Committee was of the view that the amount of money invested into the Industrial Parks ha</w:t>
      </w:r>
      <w:r w:rsidR="00476209" w:rsidRPr="00921120">
        <w:rPr>
          <w:rFonts w:ascii="Arial" w:hAnsi="Arial" w:cs="Arial"/>
          <w:sz w:val="20"/>
          <w:szCs w:val="20"/>
        </w:rPr>
        <w:t>d</w:t>
      </w:r>
      <w:r w:rsidRPr="00921120">
        <w:rPr>
          <w:rFonts w:ascii="Arial" w:hAnsi="Arial" w:cs="Arial"/>
          <w:sz w:val="20"/>
          <w:szCs w:val="20"/>
        </w:rPr>
        <w:t xml:space="preserve"> not been translating into the expected number of jobs opportunities. In response, it was noted that the industrial parks </w:t>
      </w:r>
      <w:r w:rsidR="00476209" w:rsidRPr="00921120">
        <w:rPr>
          <w:rFonts w:ascii="Arial" w:hAnsi="Arial" w:cs="Arial"/>
          <w:sz w:val="20"/>
          <w:szCs w:val="20"/>
        </w:rPr>
        <w:t xml:space="preserve">had been </w:t>
      </w:r>
      <w:r w:rsidRPr="00921120">
        <w:rPr>
          <w:rFonts w:ascii="Arial" w:hAnsi="Arial" w:cs="Arial"/>
          <w:sz w:val="20"/>
          <w:szCs w:val="20"/>
        </w:rPr>
        <w:t xml:space="preserve">inherited from the previous dispensation and as such, most of them had to be revitalised and revamped to attract and retain tenants. The investment was mainly for refurbishment, which may not directly translate to a large number of jobs. However, the investments have helped sustain the jobs created and secure new tenants into the Industrial Parks. </w:t>
      </w:r>
    </w:p>
    <w:p w:rsidR="00484658" w:rsidRPr="00921120" w:rsidRDefault="00484658" w:rsidP="00921120">
      <w:pPr>
        <w:spacing w:line="240" w:lineRule="auto"/>
        <w:jc w:val="left"/>
        <w:rPr>
          <w:rFonts w:ascii="Arial" w:hAnsi="Arial" w:cs="Arial"/>
          <w:sz w:val="20"/>
          <w:szCs w:val="20"/>
        </w:rPr>
      </w:pPr>
    </w:p>
    <w:p w:rsidR="003F2807" w:rsidRPr="00921120" w:rsidRDefault="003F2807" w:rsidP="00921120">
      <w:pPr>
        <w:pStyle w:val="ListParagraph"/>
        <w:numPr>
          <w:ilvl w:val="0"/>
          <w:numId w:val="24"/>
        </w:numPr>
        <w:spacing w:line="240" w:lineRule="auto"/>
        <w:jc w:val="left"/>
        <w:rPr>
          <w:rFonts w:ascii="Arial" w:hAnsi="Arial" w:cs="Arial"/>
          <w:sz w:val="20"/>
          <w:szCs w:val="20"/>
        </w:rPr>
      </w:pPr>
      <w:r w:rsidRPr="00921120">
        <w:rPr>
          <w:rFonts w:ascii="Arial" w:hAnsi="Arial" w:cs="Arial"/>
          <w:b/>
          <w:bCs/>
          <w:i/>
          <w:iCs/>
          <w:sz w:val="20"/>
          <w:szCs w:val="20"/>
        </w:rPr>
        <w:t xml:space="preserve">Job creation potential of Industrial Parks: </w:t>
      </w:r>
      <w:r w:rsidRPr="00921120">
        <w:rPr>
          <w:rFonts w:ascii="Arial" w:hAnsi="Arial" w:cs="Arial"/>
          <w:sz w:val="20"/>
          <w:szCs w:val="20"/>
        </w:rPr>
        <w:t>The Committee had observed that the Industrial Parks tend</w:t>
      </w:r>
      <w:r w:rsidR="00476209" w:rsidRPr="00921120">
        <w:rPr>
          <w:rFonts w:ascii="Arial" w:hAnsi="Arial" w:cs="Arial"/>
          <w:sz w:val="20"/>
          <w:szCs w:val="20"/>
        </w:rPr>
        <w:t>ed</w:t>
      </w:r>
      <w:r w:rsidRPr="00921120">
        <w:rPr>
          <w:rFonts w:ascii="Arial" w:hAnsi="Arial" w:cs="Arial"/>
          <w:sz w:val="20"/>
          <w:szCs w:val="20"/>
        </w:rPr>
        <w:t xml:space="preserve"> to attract investors in sectors </w:t>
      </w:r>
      <w:r w:rsidR="00476209" w:rsidRPr="00921120">
        <w:rPr>
          <w:rFonts w:ascii="Arial" w:hAnsi="Arial" w:cs="Arial"/>
          <w:sz w:val="20"/>
          <w:szCs w:val="20"/>
        </w:rPr>
        <w:t>that we</w:t>
      </w:r>
      <w:r w:rsidRPr="00921120">
        <w:rPr>
          <w:rFonts w:ascii="Arial" w:hAnsi="Arial" w:cs="Arial"/>
          <w:sz w:val="20"/>
          <w:szCs w:val="20"/>
        </w:rPr>
        <w:t>re not labour-intensive. LEDA noted that it was difficult to control the type of tenants the industrial parks attract</w:t>
      </w:r>
      <w:r w:rsidR="00476209" w:rsidRPr="00921120">
        <w:rPr>
          <w:rFonts w:ascii="Arial" w:hAnsi="Arial" w:cs="Arial"/>
          <w:sz w:val="20"/>
          <w:szCs w:val="20"/>
        </w:rPr>
        <w:t>ed</w:t>
      </w:r>
      <w:r w:rsidRPr="00921120">
        <w:rPr>
          <w:rFonts w:ascii="Arial" w:hAnsi="Arial" w:cs="Arial"/>
          <w:sz w:val="20"/>
          <w:szCs w:val="20"/>
        </w:rPr>
        <w:t xml:space="preserve"> while also sustaining the park with rental incomes. </w:t>
      </w:r>
    </w:p>
    <w:p w:rsidR="00476209" w:rsidRPr="00921120" w:rsidRDefault="00476209" w:rsidP="00921120">
      <w:pPr>
        <w:spacing w:line="240" w:lineRule="auto"/>
        <w:jc w:val="left"/>
        <w:rPr>
          <w:rFonts w:ascii="Arial" w:hAnsi="Arial" w:cs="Arial"/>
          <w:sz w:val="20"/>
          <w:szCs w:val="20"/>
        </w:rPr>
      </w:pPr>
    </w:p>
    <w:p w:rsidR="00921CF1" w:rsidRPr="00921120" w:rsidRDefault="003F2807" w:rsidP="00921120">
      <w:pPr>
        <w:pStyle w:val="ListParagraph"/>
        <w:numPr>
          <w:ilvl w:val="0"/>
          <w:numId w:val="24"/>
        </w:numPr>
        <w:spacing w:line="240" w:lineRule="auto"/>
        <w:jc w:val="left"/>
        <w:rPr>
          <w:rFonts w:ascii="Arial" w:hAnsi="Arial" w:cs="Arial"/>
          <w:sz w:val="20"/>
          <w:szCs w:val="20"/>
        </w:rPr>
      </w:pPr>
      <w:r w:rsidRPr="00921120">
        <w:rPr>
          <w:rFonts w:ascii="Arial" w:hAnsi="Arial" w:cs="Arial"/>
          <w:b/>
          <w:bCs/>
          <w:i/>
          <w:iCs/>
          <w:sz w:val="20"/>
          <w:szCs w:val="20"/>
        </w:rPr>
        <w:t xml:space="preserve">Challenges of water and electricity within the Industrial Parks: </w:t>
      </w:r>
      <w:r w:rsidRPr="00921120">
        <w:rPr>
          <w:rFonts w:ascii="Arial" w:hAnsi="Arial" w:cs="Arial"/>
          <w:sz w:val="20"/>
          <w:szCs w:val="20"/>
        </w:rPr>
        <w:t>Industrial Parks that the Committee ha</w:t>
      </w:r>
      <w:r w:rsidR="00476209" w:rsidRPr="00921120">
        <w:rPr>
          <w:rFonts w:ascii="Arial" w:hAnsi="Arial" w:cs="Arial"/>
          <w:sz w:val="20"/>
          <w:szCs w:val="20"/>
        </w:rPr>
        <w:t>d</w:t>
      </w:r>
      <w:r w:rsidRPr="00921120">
        <w:rPr>
          <w:rFonts w:ascii="Arial" w:hAnsi="Arial" w:cs="Arial"/>
          <w:sz w:val="20"/>
          <w:szCs w:val="20"/>
        </w:rPr>
        <w:t xml:space="preserve"> </w:t>
      </w:r>
      <w:r w:rsidR="002367D4" w:rsidRPr="00921120">
        <w:rPr>
          <w:rFonts w:ascii="Arial" w:hAnsi="Arial" w:cs="Arial"/>
          <w:sz w:val="20"/>
          <w:szCs w:val="20"/>
        </w:rPr>
        <w:t xml:space="preserve">engaged with all had </w:t>
      </w:r>
      <w:r w:rsidRPr="00921120">
        <w:rPr>
          <w:rFonts w:ascii="Arial" w:hAnsi="Arial" w:cs="Arial"/>
          <w:sz w:val="20"/>
          <w:szCs w:val="20"/>
        </w:rPr>
        <w:t>challenge</w:t>
      </w:r>
      <w:r w:rsidR="00476209" w:rsidRPr="00921120">
        <w:rPr>
          <w:rFonts w:ascii="Arial" w:hAnsi="Arial" w:cs="Arial"/>
          <w:sz w:val="20"/>
          <w:szCs w:val="20"/>
        </w:rPr>
        <w:t>s</w:t>
      </w:r>
      <w:r w:rsidRPr="00921120">
        <w:rPr>
          <w:rFonts w:ascii="Arial" w:hAnsi="Arial" w:cs="Arial"/>
          <w:sz w:val="20"/>
          <w:szCs w:val="20"/>
        </w:rPr>
        <w:t xml:space="preserve"> </w:t>
      </w:r>
      <w:r w:rsidR="00476209" w:rsidRPr="00921120">
        <w:rPr>
          <w:rFonts w:ascii="Arial" w:hAnsi="Arial" w:cs="Arial"/>
          <w:sz w:val="20"/>
          <w:szCs w:val="20"/>
        </w:rPr>
        <w:t xml:space="preserve">with </w:t>
      </w:r>
      <w:r w:rsidRPr="00921120">
        <w:rPr>
          <w:rFonts w:ascii="Arial" w:hAnsi="Arial" w:cs="Arial"/>
          <w:sz w:val="20"/>
          <w:szCs w:val="20"/>
        </w:rPr>
        <w:t>water and electricity supply. Similarly, with the Seshego and Nkowankowa Industrial Parks</w:t>
      </w:r>
      <w:r w:rsidR="00476209" w:rsidRPr="00921120">
        <w:rPr>
          <w:rFonts w:ascii="Arial" w:hAnsi="Arial" w:cs="Arial"/>
          <w:sz w:val="20"/>
          <w:szCs w:val="20"/>
        </w:rPr>
        <w:t>,</w:t>
      </w:r>
      <w:r w:rsidRPr="00921120">
        <w:rPr>
          <w:rFonts w:ascii="Arial" w:hAnsi="Arial" w:cs="Arial"/>
          <w:sz w:val="20"/>
          <w:szCs w:val="20"/>
        </w:rPr>
        <w:t xml:space="preserve"> there </w:t>
      </w:r>
      <w:r w:rsidR="00476209" w:rsidRPr="00921120">
        <w:rPr>
          <w:rFonts w:ascii="Arial" w:hAnsi="Arial" w:cs="Arial"/>
          <w:sz w:val="20"/>
          <w:szCs w:val="20"/>
        </w:rPr>
        <w:t>wa</w:t>
      </w:r>
      <w:r w:rsidRPr="00921120">
        <w:rPr>
          <w:rFonts w:ascii="Arial" w:hAnsi="Arial" w:cs="Arial"/>
          <w:sz w:val="20"/>
          <w:szCs w:val="20"/>
        </w:rPr>
        <w:t xml:space="preserve">s a challenge of water and electricity, hence the Committee noted this as a concern. LEDA stated that </w:t>
      </w:r>
      <w:r w:rsidR="00921CF1" w:rsidRPr="00921120">
        <w:rPr>
          <w:rFonts w:ascii="Arial" w:hAnsi="Arial" w:cs="Arial"/>
          <w:sz w:val="20"/>
          <w:szCs w:val="20"/>
        </w:rPr>
        <w:t>to resolve the electricity issue</w:t>
      </w:r>
      <w:r w:rsidR="00476209" w:rsidRPr="00921120">
        <w:rPr>
          <w:rFonts w:ascii="Arial" w:hAnsi="Arial" w:cs="Arial"/>
          <w:sz w:val="20"/>
          <w:szCs w:val="20"/>
        </w:rPr>
        <w:t>,</w:t>
      </w:r>
      <w:r w:rsidR="00921CF1" w:rsidRPr="00921120">
        <w:rPr>
          <w:rFonts w:ascii="Arial" w:hAnsi="Arial" w:cs="Arial"/>
          <w:sz w:val="20"/>
          <w:szCs w:val="20"/>
        </w:rPr>
        <w:t xml:space="preserve"> which</w:t>
      </w:r>
      <w:r w:rsidR="00476209" w:rsidRPr="00921120">
        <w:rPr>
          <w:rFonts w:ascii="Arial" w:hAnsi="Arial" w:cs="Arial"/>
          <w:sz w:val="20"/>
          <w:szCs w:val="20"/>
        </w:rPr>
        <w:t xml:space="preserve"> </w:t>
      </w:r>
      <w:r w:rsidR="002367D4" w:rsidRPr="00921120">
        <w:rPr>
          <w:rFonts w:ascii="Arial" w:hAnsi="Arial" w:cs="Arial"/>
          <w:sz w:val="20"/>
          <w:szCs w:val="20"/>
        </w:rPr>
        <w:t xml:space="preserve">had been </w:t>
      </w:r>
      <w:r w:rsidR="00921CF1" w:rsidRPr="00921120">
        <w:rPr>
          <w:rFonts w:ascii="Arial" w:hAnsi="Arial" w:cs="Arial"/>
          <w:sz w:val="20"/>
          <w:szCs w:val="20"/>
        </w:rPr>
        <w:t xml:space="preserve">exacerbated by loadshedding, alternative energy solutions were being explored, including solar plants. </w:t>
      </w:r>
    </w:p>
    <w:p w:rsidR="00476209" w:rsidRPr="00921120" w:rsidRDefault="00476209" w:rsidP="00921120">
      <w:pPr>
        <w:spacing w:line="240" w:lineRule="auto"/>
        <w:jc w:val="left"/>
        <w:rPr>
          <w:rFonts w:ascii="Arial" w:hAnsi="Arial" w:cs="Arial"/>
          <w:sz w:val="20"/>
          <w:szCs w:val="20"/>
        </w:rPr>
      </w:pPr>
    </w:p>
    <w:p w:rsidR="00921CF1" w:rsidRPr="00921120" w:rsidRDefault="00921CF1" w:rsidP="00921120">
      <w:pPr>
        <w:pStyle w:val="ListParagraph"/>
        <w:numPr>
          <w:ilvl w:val="0"/>
          <w:numId w:val="24"/>
        </w:numPr>
        <w:spacing w:line="240" w:lineRule="auto"/>
        <w:jc w:val="left"/>
        <w:rPr>
          <w:rFonts w:ascii="Arial" w:hAnsi="Arial" w:cs="Arial"/>
          <w:sz w:val="20"/>
          <w:szCs w:val="20"/>
        </w:rPr>
      </w:pPr>
      <w:r w:rsidRPr="00921120">
        <w:rPr>
          <w:rFonts w:ascii="Arial" w:hAnsi="Arial" w:cs="Arial"/>
          <w:b/>
          <w:bCs/>
          <w:i/>
          <w:iCs/>
          <w:sz w:val="20"/>
          <w:szCs w:val="20"/>
        </w:rPr>
        <w:t xml:space="preserve">State of other Industrial Parks in Limpopo: </w:t>
      </w:r>
      <w:r w:rsidRPr="00921120">
        <w:rPr>
          <w:rFonts w:ascii="Arial" w:hAnsi="Arial" w:cs="Arial"/>
          <w:sz w:val="20"/>
          <w:szCs w:val="20"/>
        </w:rPr>
        <w:t>The Committee also enquired about the dilapidated factories in the Thulamela Municipality and Thohoyandou, which housed a number of black industrialists. The Committee particularly requested if there were plans to revive the areas so that they c</w:t>
      </w:r>
      <w:r w:rsidR="00476209" w:rsidRPr="00921120">
        <w:rPr>
          <w:rFonts w:ascii="Arial" w:hAnsi="Arial" w:cs="Arial"/>
          <w:sz w:val="20"/>
          <w:szCs w:val="20"/>
        </w:rPr>
        <w:t>ould</w:t>
      </w:r>
      <w:r w:rsidRPr="00921120">
        <w:rPr>
          <w:rFonts w:ascii="Arial" w:hAnsi="Arial" w:cs="Arial"/>
          <w:sz w:val="20"/>
          <w:szCs w:val="20"/>
        </w:rPr>
        <w:t xml:space="preserve"> strive </w:t>
      </w:r>
      <w:r w:rsidR="00476209" w:rsidRPr="00921120">
        <w:rPr>
          <w:rFonts w:ascii="Arial" w:hAnsi="Arial" w:cs="Arial"/>
          <w:sz w:val="20"/>
          <w:szCs w:val="20"/>
        </w:rPr>
        <w:t xml:space="preserve">for </w:t>
      </w:r>
      <w:r w:rsidRPr="00921120">
        <w:rPr>
          <w:rFonts w:ascii="Arial" w:hAnsi="Arial" w:cs="Arial"/>
          <w:sz w:val="20"/>
          <w:szCs w:val="20"/>
        </w:rPr>
        <w:t>economic</w:t>
      </w:r>
      <w:r w:rsidR="00476209" w:rsidRPr="00921120">
        <w:rPr>
          <w:rFonts w:ascii="Arial" w:hAnsi="Arial" w:cs="Arial"/>
          <w:sz w:val="20"/>
          <w:szCs w:val="20"/>
        </w:rPr>
        <w:t xml:space="preserve"> growth</w:t>
      </w:r>
      <w:r w:rsidRPr="00921120">
        <w:rPr>
          <w:rFonts w:ascii="Arial" w:hAnsi="Arial" w:cs="Arial"/>
          <w:sz w:val="20"/>
          <w:szCs w:val="20"/>
        </w:rPr>
        <w:t xml:space="preserve"> again. In response</w:t>
      </w:r>
      <w:r w:rsidR="00476209" w:rsidRPr="00921120">
        <w:rPr>
          <w:rFonts w:ascii="Arial" w:hAnsi="Arial" w:cs="Arial"/>
          <w:sz w:val="20"/>
          <w:szCs w:val="20"/>
        </w:rPr>
        <w:t>,</w:t>
      </w:r>
      <w:r w:rsidRPr="00921120">
        <w:rPr>
          <w:rFonts w:ascii="Arial" w:hAnsi="Arial" w:cs="Arial"/>
          <w:sz w:val="20"/>
          <w:szCs w:val="20"/>
        </w:rPr>
        <w:t xml:space="preserve"> LEDA said that Thulamela and Thohoyandou were different industrial parks in the province and that almost all the former Bantustan states ha</w:t>
      </w:r>
      <w:r w:rsidR="00476209" w:rsidRPr="00921120">
        <w:rPr>
          <w:rFonts w:ascii="Arial" w:hAnsi="Arial" w:cs="Arial"/>
          <w:sz w:val="20"/>
          <w:szCs w:val="20"/>
        </w:rPr>
        <w:t>d</w:t>
      </w:r>
      <w:r w:rsidRPr="00921120">
        <w:rPr>
          <w:rFonts w:ascii="Arial" w:hAnsi="Arial" w:cs="Arial"/>
          <w:sz w:val="20"/>
          <w:szCs w:val="20"/>
        </w:rPr>
        <w:t xml:space="preserve"> some form of industrial park. In addition, </w:t>
      </w:r>
      <w:r w:rsidR="00476209" w:rsidRPr="00921120">
        <w:rPr>
          <w:rFonts w:ascii="Arial" w:hAnsi="Arial" w:cs="Arial"/>
          <w:sz w:val="20"/>
          <w:szCs w:val="20"/>
        </w:rPr>
        <w:t xml:space="preserve">it </w:t>
      </w:r>
      <w:r w:rsidRPr="00921120">
        <w:rPr>
          <w:rFonts w:ascii="Arial" w:hAnsi="Arial" w:cs="Arial"/>
          <w:sz w:val="20"/>
          <w:szCs w:val="20"/>
        </w:rPr>
        <w:t xml:space="preserve">stated that an application had been made to the DTIC for further funding for revitalising </w:t>
      </w:r>
      <w:r w:rsidR="002367D4" w:rsidRPr="00921120">
        <w:rPr>
          <w:rFonts w:ascii="Arial" w:hAnsi="Arial" w:cs="Arial"/>
          <w:sz w:val="20"/>
          <w:szCs w:val="20"/>
        </w:rPr>
        <w:t xml:space="preserve">of </w:t>
      </w:r>
      <w:r w:rsidRPr="00921120">
        <w:rPr>
          <w:rFonts w:ascii="Arial" w:hAnsi="Arial" w:cs="Arial"/>
          <w:sz w:val="20"/>
          <w:szCs w:val="20"/>
        </w:rPr>
        <w:t xml:space="preserve">other industrial parks in the </w:t>
      </w:r>
      <w:r w:rsidR="002367D4" w:rsidRPr="00921120">
        <w:rPr>
          <w:rFonts w:ascii="Arial" w:hAnsi="Arial" w:cs="Arial"/>
          <w:sz w:val="20"/>
          <w:szCs w:val="20"/>
        </w:rPr>
        <w:t>province</w:t>
      </w:r>
      <w:r w:rsidRPr="00921120">
        <w:rPr>
          <w:rFonts w:ascii="Arial" w:hAnsi="Arial" w:cs="Arial"/>
          <w:sz w:val="20"/>
          <w:szCs w:val="20"/>
        </w:rPr>
        <w:t xml:space="preserve"> through the </w:t>
      </w:r>
      <w:r w:rsidR="003374C4" w:rsidRPr="00921120">
        <w:rPr>
          <w:rFonts w:ascii="Arial" w:hAnsi="Arial" w:cs="Arial"/>
          <w:sz w:val="20"/>
          <w:szCs w:val="20"/>
        </w:rPr>
        <w:t>IPRP</w:t>
      </w:r>
      <w:r w:rsidRPr="00921120">
        <w:rPr>
          <w:rFonts w:ascii="Arial" w:hAnsi="Arial" w:cs="Arial"/>
          <w:sz w:val="20"/>
          <w:szCs w:val="20"/>
        </w:rPr>
        <w:t>. Further</w:t>
      </w:r>
      <w:r w:rsidR="00476209" w:rsidRPr="00921120">
        <w:rPr>
          <w:rFonts w:ascii="Arial" w:hAnsi="Arial" w:cs="Arial"/>
          <w:sz w:val="20"/>
          <w:szCs w:val="20"/>
        </w:rPr>
        <w:t>, it</w:t>
      </w:r>
      <w:r w:rsidRPr="00921120">
        <w:rPr>
          <w:rFonts w:ascii="Arial" w:hAnsi="Arial" w:cs="Arial"/>
          <w:sz w:val="20"/>
          <w:szCs w:val="20"/>
        </w:rPr>
        <w:t xml:space="preserve"> suggested that the Committee be given a report on the activities of the other industrial parks in the province. </w:t>
      </w:r>
    </w:p>
    <w:p w:rsidR="00D861B8" w:rsidRPr="00921120" w:rsidRDefault="00D861B8" w:rsidP="00921120">
      <w:pPr>
        <w:pStyle w:val="Heading1"/>
        <w:numPr>
          <w:ilvl w:val="0"/>
          <w:numId w:val="0"/>
        </w:numPr>
        <w:spacing w:line="240" w:lineRule="auto"/>
        <w:jc w:val="left"/>
        <w:rPr>
          <w:rFonts w:ascii="Arial" w:hAnsi="Arial" w:cs="Arial"/>
          <w:sz w:val="20"/>
          <w:szCs w:val="20"/>
        </w:rPr>
      </w:pPr>
    </w:p>
    <w:p w:rsidR="006F0F3E" w:rsidRPr="00921120" w:rsidRDefault="00476209" w:rsidP="00921120">
      <w:pPr>
        <w:spacing w:line="240" w:lineRule="auto"/>
        <w:ind w:left="426"/>
        <w:jc w:val="left"/>
        <w:rPr>
          <w:rFonts w:ascii="Arial" w:hAnsi="Arial" w:cs="Arial"/>
          <w:sz w:val="20"/>
          <w:szCs w:val="20"/>
        </w:rPr>
      </w:pPr>
      <w:r w:rsidRPr="00921120">
        <w:rPr>
          <w:rFonts w:ascii="Arial" w:hAnsi="Arial" w:cs="Arial"/>
          <w:sz w:val="20"/>
          <w:szCs w:val="20"/>
        </w:rPr>
        <w:t>There we</w:t>
      </w:r>
      <w:r w:rsidR="006F0F3E" w:rsidRPr="00921120">
        <w:rPr>
          <w:rFonts w:ascii="Arial" w:hAnsi="Arial" w:cs="Arial"/>
          <w:sz w:val="20"/>
          <w:szCs w:val="20"/>
        </w:rPr>
        <w:t>re a number of impediments or challenges with respect to the Industrial Parks managed by the LEDA. Due to the high unemployment</w:t>
      </w:r>
      <w:r w:rsidRPr="00921120">
        <w:rPr>
          <w:rFonts w:ascii="Arial" w:hAnsi="Arial" w:cs="Arial"/>
          <w:sz w:val="20"/>
          <w:szCs w:val="20"/>
        </w:rPr>
        <w:t xml:space="preserve"> levels</w:t>
      </w:r>
      <w:r w:rsidR="006F0F3E" w:rsidRPr="00921120">
        <w:rPr>
          <w:rFonts w:ascii="Arial" w:hAnsi="Arial" w:cs="Arial"/>
          <w:sz w:val="20"/>
          <w:szCs w:val="20"/>
        </w:rPr>
        <w:t>, community unrest</w:t>
      </w:r>
      <w:r w:rsidRPr="00921120">
        <w:rPr>
          <w:rFonts w:ascii="Arial" w:hAnsi="Arial" w:cs="Arial"/>
          <w:sz w:val="20"/>
          <w:szCs w:val="20"/>
        </w:rPr>
        <w:t>,</w:t>
      </w:r>
      <w:r w:rsidR="006F0F3E" w:rsidRPr="00921120">
        <w:rPr>
          <w:rFonts w:ascii="Arial" w:hAnsi="Arial" w:cs="Arial"/>
          <w:sz w:val="20"/>
          <w:szCs w:val="20"/>
        </w:rPr>
        <w:t xml:space="preserve"> especially in relation to foreign nationals working or being tenants</w:t>
      </w:r>
      <w:r w:rsidRPr="00921120">
        <w:rPr>
          <w:rFonts w:ascii="Arial" w:hAnsi="Arial" w:cs="Arial"/>
          <w:sz w:val="20"/>
          <w:szCs w:val="20"/>
        </w:rPr>
        <w:t>,</w:t>
      </w:r>
      <w:r w:rsidR="006F0F3E" w:rsidRPr="00921120">
        <w:rPr>
          <w:rFonts w:ascii="Arial" w:hAnsi="Arial" w:cs="Arial"/>
          <w:sz w:val="20"/>
          <w:szCs w:val="20"/>
        </w:rPr>
        <w:t xml:space="preserve"> </w:t>
      </w:r>
      <w:r w:rsidRPr="00921120">
        <w:rPr>
          <w:rFonts w:ascii="Arial" w:hAnsi="Arial" w:cs="Arial"/>
          <w:sz w:val="20"/>
          <w:szCs w:val="20"/>
        </w:rPr>
        <w:t>wa</w:t>
      </w:r>
      <w:r w:rsidR="006F0F3E" w:rsidRPr="00921120">
        <w:rPr>
          <w:rFonts w:ascii="Arial" w:hAnsi="Arial" w:cs="Arial"/>
          <w:sz w:val="20"/>
          <w:szCs w:val="20"/>
        </w:rPr>
        <w:t>s common. Al</w:t>
      </w:r>
      <w:r w:rsidRPr="00921120">
        <w:rPr>
          <w:rFonts w:ascii="Arial" w:hAnsi="Arial" w:cs="Arial"/>
          <w:sz w:val="20"/>
          <w:szCs w:val="20"/>
        </w:rPr>
        <w:t>though the country wa</w:t>
      </w:r>
      <w:r w:rsidR="006F0F3E" w:rsidRPr="00921120">
        <w:rPr>
          <w:rFonts w:ascii="Arial" w:hAnsi="Arial" w:cs="Arial"/>
          <w:sz w:val="20"/>
          <w:szCs w:val="20"/>
        </w:rPr>
        <w:t xml:space="preserve">s just recovering from the impact of </w:t>
      </w:r>
      <w:r w:rsidRPr="00921120">
        <w:rPr>
          <w:rFonts w:ascii="Arial" w:hAnsi="Arial" w:cs="Arial"/>
          <w:sz w:val="20"/>
          <w:szCs w:val="20"/>
        </w:rPr>
        <w:t>the Covid-19 pandemic, LEDA had</w:t>
      </w:r>
      <w:r w:rsidR="006F0F3E" w:rsidRPr="00921120">
        <w:rPr>
          <w:rFonts w:ascii="Arial" w:hAnsi="Arial" w:cs="Arial"/>
          <w:sz w:val="20"/>
          <w:szCs w:val="20"/>
        </w:rPr>
        <w:t xml:space="preserve"> identified a number of challenges facing it, such as:</w:t>
      </w:r>
    </w:p>
    <w:p w:rsidR="006F0F3E" w:rsidRPr="00921120" w:rsidRDefault="006F0F3E" w:rsidP="00921120">
      <w:pPr>
        <w:pStyle w:val="ListParagraph"/>
        <w:numPr>
          <w:ilvl w:val="0"/>
          <w:numId w:val="25"/>
        </w:numPr>
        <w:spacing w:line="240" w:lineRule="auto"/>
        <w:jc w:val="left"/>
        <w:rPr>
          <w:rFonts w:ascii="Arial" w:hAnsi="Arial" w:cs="Arial"/>
          <w:sz w:val="20"/>
          <w:szCs w:val="20"/>
        </w:rPr>
      </w:pPr>
      <w:r w:rsidRPr="00921120">
        <w:rPr>
          <w:rFonts w:ascii="Arial" w:hAnsi="Arial" w:cs="Arial"/>
          <w:sz w:val="20"/>
          <w:szCs w:val="20"/>
        </w:rPr>
        <w:t>Tenants failing to uphold the</w:t>
      </w:r>
      <w:r w:rsidR="009C0AE1" w:rsidRPr="00921120">
        <w:rPr>
          <w:rFonts w:ascii="Arial" w:hAnsi="Arial" w:cs="Arial"/>
          <w:sz w:val="20"/>
          <w:szCs w:val="20"/>
        </w:rPr>
        <w:t>ir</w:t>
      </w:r>
      <w:r w:rsidRPr="00921120">
        <w:rPr>
          <w:rFonts w:ascii="Arial" w:hAnsi="Arial" w:cs="Arial"/>
          <w:sz w:val="20"/>
          <w:szCs w:val="20"/>
        </w:rPr>
        <w:t xml:space="preserve"> rental agreem</w:t>
      </w:r>
      <w:r w:rsidR="00476209" w:rsidRPr="00921120">
        <w:rPr>
          <w:rFonts w:ascii="Arial" w:hAnsi="Arial" w:cs="Arial"/>
          <w:sz w:val="20"/>
          <w:szCs w:val="20"/>
        </w:rPr>
        <w:t>ents. This, according to LEDA, wa</w:t>
      </w:r>
      <w:r w:rsidRPr="00921120">
        <w:rPr>
          <w:rFonts w:ascii="Arial" w:hAnsi="Arial" w:cs="Arial"/>
          <w:sz w:val="20"/>
          <w:szCs w:val="20"/>
        </w:rPr>
        <w:t>s an ongoing challenge.</w:t>
      </w:r>
    </w:p>
    <w:p w:rsidR="006F0F3E" w:rsidRPr="00921120" w:rsidRDefault="006F0F3E" w:rsidP="00921120">
      <w:pPr>
        <w:pStyle w:val="ListParagraph"/>
        <w:numPr>
          <w:ilvl w:val="0"/>
          <w:numId w:val="25"/>
        </w:numPr>
        <w:spacing w:line="240" w:lineRule="auto"/>
        <w:jc w:val="left"/>
        <w:rPr>
          <w:rFonts w:ascii="Arial" w:hAnsi="Arial" w:cs="Arial"/>
          <w:sz w:val="20"/>
          <w:szCs w:val="20"/>
        </w:rPr>
      </w:pPr>
      <w:r w:rsidRPr="00921120">
        <w:rPr>
          <w:rFonts w:ascii="Arial" w:hAnsi="Arial" w:cs="Arial"/>
          <w:sz w:val="20"/>
          <w:szCs w:val="20"/>
        </w:rPr>
        <w:t>Factories requiring ongoing building infrastructure maintenance with high maintenance cost</w:t>
      </w:r>
      <w:r w:rsidR="00476209" w:rsidRPr="00921120">
        <w:rPr>
          <w:rFonts w:ascii="Arial" w:hAnsi="Arial" w:cs="Arial"/>
          <w:sz w:val="20"/>
          <w:szCs w:val="20"/>
        </w:rPr>
        <w:t>s</w:t>
      </w:r>
      <w:r w:rsidRPr="00921120">
        <w:rPr>
          <w:rFonts w:ascii="Arial" w:hAnsi="Arial" w:cs="Arial"/>
          <w:sz w:val="20"/>
          <w:szCs w:val="20"/>
        </w:rPr>
        <w:t xml:space="preserve">. </w:t>
      </w:r>
    </w:p>
    <w:p w:rsidR="006F0F3E" w:rsidRPr="00921120" w:rsidRDefault="006F0F3E" w:rsidP="00921120">
      <w:pPr>
        <w:pStyle w:val="ListParagraph"/>
        <w:numPr>
          <w:ilvl w:val="0"/>
          <w:numId w:val="25"/>
        </w:numPr>
        <w:spacing w:line="240" w:lineRule="auto"/>
        <w:jc w:val="left"/>
        <w:rPr>
          <w:rFonts w:ascii="Arial" w:hAnsi="Arial" w:cs="Arial"/>
          <w:sz w:val="20"/>
          <w:szCs w:val="20"/>
        </w:rPr>
      </w:pPr>
      <w:r w:rsidRPr="00921120">
        <w:rPr>
          <w:rFonts w:ascii="Arial" w:hAnsi="Arial" w:cs="Arial"/>
          <w:sz w:val="20"/>
          <w:szCs w:val="20"/>
        </w:rPr>
        <w:t>High cost</w:t>
      </w:r>
      <w:r w:rsidR="009C0AE1" w:rsidRPr="00921120">
        <w:rPr>
          <w:rFonts w:ascii="Arial" w:hAnsi="Arial" w:cs="Arial"/>
          <w:sz w:val="20"/>
          <w:szCs w:val="20"/>
        </w:rPr>
        <w:t>s</w:t>
      </w:r>
      <w:r w:rsidRPr="00921120">
        <w:rPr>
          <w:rFonts w:ascii="Arial" w:hAnsi="Arial" w:cs="Arial"/>
          <w:sz w:val="20"/>
          <w:szCs w:val="20"/>
        </w:rPr>
        <w:t xml:space="preserve"> associated with registrat</w:t>
      </w:r>
      <w:r w:rsidR="00476209" w:rsidRPr="00921120">
        <w:rPr>
          <w:rFonts w:ascii="Arial" w:hAnsi="Arial" w:cs="Arial"/>
          <w:sz w:val="20"/>
          <w:szCs w:val="20"/>
        </w:rPr>
        <w:t>ion of deeds of properties built</w:t>
      </w:r>
      <w:r w:rsidRPr="00921120">
        <w:rPr>
          <w:rFonts w:ascii="Arial" w:hAnsi="Arial" w:cs="Arial"/>
          <w:sz w:val="20"/>
          <w:szCs w:val="20"/>
        </w:rPr>
        <w:t xml:space="preserve"> on “Permission to Occupy” basis.</w:t>
      </w:r>
    </w:p>
    <w:p w:rsidR="006F0F3E" w:rsidRPr="00921120" w:rsidRDefault="006F0F3E" w:rsidP="00921120">
      <w:pPr>
        <w:pStyle w:val="ListParagraph"/>
        <w:numPr>
          <w:ilvl w:val="0"/>
          <w:numId w:val="25"/>
        </w:numPr>
        <w:spacing w:line="240" w:lineRule="auto"/>
        <w:jc w:val="left"/>
        <w:rPr>
          <w:rFonts w:ascii="Arial" w:hAnsi="Arial" w:cs="Arial"/>
          <w:sz w:val="20"/>
          <w:szCs w:val="20"/>
        </w:rPr>
      </w:pPr>
      <w:r w:rsidRPr="00921120">
        <w:rPr>
          <w:rFonts w:ascii="Arial" w:hAnsi="Arial" w:cs="Arial"/>
          <w:sz w:val="20"/>
          <w:szCs w:val="20"/>
        </w:rPr>
        <w:t>The mismatch between maintenance needs and historical</w:t>
      </w:r>
      <w:r w:rsidR="00476209" w:rsidRPr="00921120">
        <w:rPr>
          <w:rFonts w:ascii="Arial" w:hAnsi="Arial" w:cs="Arial"/>
          <w:sz w:val="20"/>
          <w:szCs w:val="20"/>
        </w:rPr>
        <w:t>ly</w:t>
      </w:r>
      <w:r w:rsidRPr="00921120">
        <w:rPr>
          <w:rFonts w:ascii="Arial" w:hAnsi="Arial" w:cs="Arial"/>
          <w:sz w:val="20"/>
          <w:szCs w:val="20"/>
        </w:rPr>
        <w:t xml:space="preserve"> low rental rate charged.</w:t>
      </w:r>
    </w:p>
    <w:p w:rsidR="006F0F3E" w:rsidRPr="00921120" w:rsidRDefault="006F0F3E" w:rsidP="00921120">
      <w:pPr>
        <w:pStyle w:val="ListParagraph"/>
        <w:numPr>
          <w:ilvl w:val="0"/>
          <w:numId w:val="25"/>
        </w:numPr>
        <w:spacing w:line="240" w:lineRule="auto"/>
        <w:jc w:val="left"/>
        <w:rPr>
          <w:rFonts w:ascii="Arial" w:hAnsi="Arial" w:cs="Arial"/>
          <w:sz w:val="20"/>
          <w:szCs w:val="20"/>
        </w:rPr>
      </w:pPr>
      <w:r w:rsidRPr="00921120">
        <w:rPr>
          <w:rFonts w:ascii="Arial" w:hAnsi="Arial" w:cs="Arial"/>
          <w:sz w:val="20"/>
          <w:szCs w:val="20"/>
        </w:rPr>
        <w:t>Continuous load-shedding.</w:t>
      </w:r>
    </w:p>
    <w:p w:rsidR="006F0F3E" w:rsidRPr="00921120" w:rsidRDefault="006F0F3E" w:rsidP="00921120">
      <w:pPr>
        <w:pStyle w:val="ListParagraph"/>
        <w:numPr>
          <w:ilvl w:val="0"/>
          <w:numId w:val="25"/>
        </w:numPr>
        <w:spacing w:line="240" w:lineRule="auto"/>
        <w:jc w:val="left"/>
        <w:rPr>
          <w:rFonts w:ascii="Arial" w:hAnsi="Arial" w:cs="Arial"/>
          <w:sz w:val="20"/>
          <w:szCs w:val="20"/>
        </w:rPr>
      </w:pPr>
      <w:r w:rsidRPr="00921120">
        <w:rPr>
          <w:rFonts w:ascii="Arial" w:hAnsi="Arial" w:cs="Arial"/>
          <w:sz w:val="20"/>
          <w:szCs w:val="20"/>
        </w:rPr>
        <w:t>The impact of rental debt on securing an unqualified audit.</w:t>
      </w:r>
    </w:p>
    <w:p w:rsidR="006F0F3E" w:rsidRPr="00921120" w:rsidRDefault="006F0F3E" w:rsidP="00921120">
      <w:pPr>
        <w:spacing w:line="240" w:lineRule="auto"/>
        <w:jc w:val="left"/>
        <w:rPr>
          <w:rFonts w:ascii="Arial" w:hAnsi="Arial" w:cs="Arial"/>
          <w:sz w:val="20"/>
          <w:szCs w:val="20"/>
        </w:rPr>
      </w:pPr>
    </w:p>
    <w:p w:rsidR="006F0F3E" w:rsidRPr="00921120" w:rsidRDefault="006F0F3E" w:rsidP="00921120">
      <w:pPr>
        <w:spacing w:line="240" w:lineRule="auto"/>
        <w:ind w:left="360"/>
        <w:jc w:val="left"/>
        <w:rPr>
          <w:rFonts w:ascii="Arial" w:hAnsi="Arial" w:cs="Arial"/>
          <w:sz w:val="20"/>
          <w:szCs w:val="20"/>
        </w:rPr>
      </w:pPr>
      <w:r w:rsidRPr="00921120">
        <w:rPr>
          <w:rFonts w:ascii="Arial" w:hAnsi="Arial" w:cs="Arial"/>
          <w:sz w:val="20"/>
          <w:szCs w:val="20"/>
        </w:rPr>
        <w:t xml:space="preserve">Notwithstanding these challenges, LEDA informed the Committee that a number of opportunities emerged as </w:t>
      </w:r>
      <w:r w:rsidR="00476209" w:rsidRPr="00921120">
        <w:rPr>
          <w:rFonts w:ascii="Arial" w:hAnsi="Arial" w:cs="Arial"/>
          <w:sz w:val="20"/>
          <w:szCs w:val="20"/>
        </w:rPr>
        <w:t xml:space="preserve">a </w:t>
      </w:r>
      <w:r w:rsidRPr="00921120">
        <w:rPr>
          <w:rFonts w:ascii="Arial" w:hAnsi="Arial" w:cs="Arial"/>
          <w:sz w:val="20"/>
          <w:szCs w:val="20"/>
        </w:rPr>
        <w:t xml:space="preserve">result of the </w:t>
      </w:r>
      <w:r w:rsidR="003374C4" w:rsidRPr="00921120">
        <w:rPr>
          <w:rFonts w:ascii="Arial" w:hAnsi="Arial" w:cs="Arial"/>
          <w:sz w:val="20"/>
          <w:szCs w:val="20"/>
        </w:rPr>
        <w:t>IPRP</w:t>
      </w:r>
      <w:r w:rsidRPr="00921120">
        <w:rPr>
          <w:rFonts w:ascii="Arial" w:hAnsi="Arial" w:cs="Arial"/>
          <w:sz w:val="20"/>
          <w:szCs w:val="20"/>
        </w:rPr>
        <w:t>, such as:</w:t>
      </w:r>
    </w:p>
    <w:p w:rsidR="006F0F3E" w:rsidRPr="00921120" w:rsidRDefault="006F0F3E" w:rsidP="00921120">
      <w:pPr>
        <w:pStyle w:val="ListParagraph"/>
        <w:numPr>
          <w:ilvl w:val="0"/>
          <w:numId w:val="25"/>
        </w:numPr>
        <w:spacing w:line="240" w:lineRule="auto"/>
        <w:jc w:val="left"/>
        <w:rPr>
          <w:rFonts w:ascii="Arial" w:hAnsi="Arial" w:cs="Arial"/>
          <w:sz w:val="20"/>
          <w:szCs w:val="20"/>
        </w:rPr>
      </w:pPr>
      <w:r w:rsidRPr="00921120">
        <w:rPr>
          <w:rFonts w:ascii="Arial" w:hAnsi="Arial" w:cs="Arial"/>
          <w:sz w:val="20"/>
          <w:szCs w:val="20"/>
        </w:rPr>
        <w:t>Gradual rental rate increase</w:t>
      </w:r>
      <w:r w:rsidR="00212BD1" w:rsidRPr="00921120">
        <w:rPr>
          <w:rFonts w:ascii="Arial" w:hAnsi="Arial" w:cs="Arial"/>
          <w:sz w:val="20"/>
          <w:szCs w:val="20"/>
        </w:rPr>
        <w:t>s</w:t>
      </w:r>
      <w:r w:rsidRPr="00921120">
        <w:rPr>
          <w:rFonts w:ascii="Arial" w:hAnsi="Arial" w:cs="Arial"/>
          <w:sz w:val="20"/>
          <w:szCs w:val="20"/>
        </w:rPr>
        <w:t>, with some tenants entering into long-term leases, while supporting SMMEs with low rentals.</w:t>
      </w:r>
    </w:p>
    <w:p w:rsidR="006F0F3E" w:rsidRPr="00921120" w:rsidRDefault="006F0F3E" w:rsidP="00921120">
      <w:pPr>
        <w:pStyle w:val="ListParagraph"/>
        <w:numPr>
          <w:ilvl w:val="0"/>
          <w:numId w:val="25"/>
        </w:numPr>
        <w:spacing w:line="240" w:lineRule="auto"/>
        <w:jc w:val="left"/>
        <w:rPr>
          <w:rFonts w:ascii="Arial" w:hAnsi="Arial" w:cs="Arial"/>
          <w:sz w:val="20"/>
          <w:szCs w:val="20"/>
        </w:rPr>
      </w:pPr>
      <w:r w:rsidRPr="00921120">
        <w:rPr>
          <w:rFonts w:ascii="Arial" w:hAnsi="Arial" w:cs="Arial"/>
          <w:sz w:val="20"/>
          <w:szCs w:val="20"/>
        </w:rPr>
        <w:t xml:space="preserve">Multiple developing towns creating new opportunities for Industrial Parks. </w:t>
      </w:r>
    </w:p>
    <w:p w:rsidR="006F0F3E" w:rsidRPr="00921120" w:rsidRDefault="006F0F3E" w:rsidP="00921120">
      <w:pPr>
        <w:pStyle w:val="ListParagraph"/>
        <w:numPr>
          <w:ilvl w:val="0"/>
          <w:numId w:val="25"/>
        </w:numPr>
        <w:spacing w:line="240" w:lineRule="auto"/>
        <w:jc w:val="left"/>
        <w:rPr>
          <w:rFonts w:ascii="Arial" w:hAnsi="Arial" w:cs="Arial"/>
          <w:sz w:val="20"/>
          <w:szCs w:val="20"/>
        </w:rPr>
      </w:pPr>
      <w:r w:rsidRPr="00921120">
        <w:rPr>
          <w:rFonts w:ascii="Arial" w:hAnsi="Arial" w:cs="Arial"/>
          <w:sz w:val="20"/>
          <w:szCs w:val="20"/>
        </w:rPr>
        <w:t>Building strategic relationships with other government departments and Development Finance Institutions.</w:t>
      </w:r>
    </w:p>
    <w:p w:rsidR="006F0F3E" w:rsidRPr="00921120" w:rsidRDefault="006F0F3E" w:rsidP="00921120">
      <w:pPr>
        <w:pStyle w:val="ListParagraph"/>
        <w:numPr>
          <w:ilvl w:val="0"/>
          <w:numId w:val="25"/>
        </w:numPr>
        <w:spacing w:line="240" w:lineRule="auto"/>
        <w:jc w:val="left"/>
        <w:rPr>
          <w:rFonts w:ascii="Arial" w:hAnsi="Arial" w:cs="Arial"/>
          <w:sz w:val="20"/>
          <w:szCs w:val="20"/>
        </w:rPr>
      </w:pPr>
      <w:r w:rsidRPr="00921120">
        <w:rPr>
          <w:rFonts w:ascii="Arial" w:hAnsi="Arial" w:cs="Arial"/>
          <w:sz w:val="20"/>
          <w:szCs w:val="20"/>
        </w:rPr>
        <w:t xml:space="preserve">Entering into strategic partnerships with the private sector. </w:t>
      </w:r>
    </w:p>
    <w:p w:rsidR="006F0F3E" w:rsidRPr="00921120" w:rsidRDefault="006F0F3E" w:rsidP="00921120">
      <w:pPr>
        <w:pStyle w:val="ListParagraph"/>
        <w:numPr>
          <w:ilvl w:val="0"/>
          <w:numId w:val="25"/>
        </w:numPr>
        <w:spacing w:line="240" w:lineRule="auto"/>
        <w:jc w:val="left"/>
        <w:rPr>
          <w:rFonts w:ascii="Arial" w:hAnsi="Arial" w:cs="Arial"/>
          <w:sz w:val="20"/>
          <w:szCs w:val="20"/>
        </w:rPr>
      </w:pPr>
      <w:r w:rsidRPr="00921120">
        <w:rPr>
          <w:rFonts w:ascii="Arial" w:hAnsi="Arial" w:cs="Arial"/>
          <w:sz w:val="20"/>
          <w:szCs w:val="20"/>
        </w:rPr>
        <w:t>Investing in and building en</w:t>
      </w:r>
      <w:r w:rsidR="00212BD1" w:rsidRPr="00921120">
        <w:rPr>
          <w:rFonts w:ascii="Arial" w:hAnsi="Arial" w:cs="Arial"/>
          <w:sz w:val="20"/>
          <w:szCs w:val="20"/>
        </w:rPr>
        <w:t>ergy generating plants to count</w:t>
      </w:r>
      <w:r w:rsidRPr="00921120">
        <w:rPr>
          <w:rFonts w:ascii="Arial" w:hAnsi="Arial" w:cs="Arial"/>
          <w:sz w:val="20"/>
          <w:szCs w:val="20"/>
        </w:rPr>
        <w:t xml:space="preserve">er </w:t>
      </w:r>
      <w:r w:rsidR="005C1697" w:rsidRPr="00921120">
        <w:rPr>
          <w:rFonts w:ascii="Arial" w:hAnsi="Arial" w:cs="Arial"/>
          <w:sz w:val="20"/>
          <w:szCs w:val="20"/>
        </w:rPr>
        <w:t>load</w:t>
      </w:r>
      <w:r w:rsidRPr="00921120">
        <w:rPr>
          <w:rFonts w:ascii="Arial" w:hAnsi="Arial" w:cs="Arial"/>
          <w:sz w:val="20"/>
          <w:szCs w:val="20"/>
        </w:rPr>
        <w:t xml:space="preserve">shedding and improve the sustainability of LEDA. </w:t>
      </w:r>
    </w:p>
    <w:p w:rsidR="006F0F3E" w:rsidRPr="00921120" w:rsidRDefault="006F0F3E" w:rsidP="00921120">
      <w:pPr>
        <w:spacing w:line="240" w:lineRule="auto"/>
        <w:jc w:val="left"/>
        <w:rPr>
          <w:rFonts w:ascii="Arial" w:hAnsi="Arial" w:cs="Arial"/>
          <w:sz w:val="20"/>
          <w:szCs w:val="20"/>
        </w:rPr>
      </w:pPr>
    </w:p>
    <w:p w:rsidR="006F0F3E" w:rsidRPr="00921120" w:rsidRDefault="006F0F3E" w:rsidP="00921120">
      <w:pPr>
        <w:pStyle w:val="ListParagraph"/>
        <w:numPr>
          <w:ilvl w:val="0"/>
          <w:numId w:val="24"/>
        </w:numPr>
        <w:spacing w:line="240" w:lineRule="auto"/>
        <w:jc w:val="left"/>
        <w:rPr>
          <w:rFonts w:ascii="Arial" w:hAnsi="Arial" w:cs="Arial"/>
          <w:sz w:val="20"/>
          <w:szCs w:val="20"/>
        </w:rPr>
      </w:pPr>
      <w:r w:rsidRPr="00921120">
        <w:rPr>
          <w:rFonts w:ascii="Arial" w:hAnsi="Arial" w:cs="Arial"/>
          <w:b/>
          <w:bCs/>
          <w:i/>
          <w:iCs/>
          <w:sz w:val="20"/>
          <w:szCs w:val="20"/>
        </w:rPr>
        <w:t>Funding of LEDA</w:t>
      </w:r>
      <w:r w:rsidR="005C1697" w:rsidRPr="00921120">
        <w:rPr>
          <w:rFonts w:ascii="Arial" w:hAnsi="Arial" w:cs="Arial"/>
          <w:bCs/>
          <w:iCs/>
          <w:sz w:val="20"/>
          <w:szCs w:val="20"/>
        </w:rPr>
        <w:t xml:space="preserve">: The Committee enquired </w:t>
      </w:r>
      <w:r w:rsidR="005C1697" w:rsidRPr="00921120">
        <w:rPr>
          <w:rFonts w:ascii="Arial" w:hAnsi="Arial" w:cs="Arial"/>
          <w:sz w:val="20"/>
          <w:szCs w:val="20"/>
        </w:rPr>
        <w:t>whether rental income wa</w:t>
      </w:r>
      <w:r w:rsidRPr="00921120">
        <w:rPr>
          <w:rFonts w:ascii="Arial" w:hAnsi="Arial" w:cs="Arial"/>
          <w:sz w:val="20"/>
          <w:szCs w:val="20"/>
        </w:rPr>
        <w:t>s</w:t>
      </w:r>
      <w:r w:rsidR="009C0AE1" w:rsidRPr="00921120">
        <w:rPr>
          <w:rFonts w:ascii="Arial" w:hAnsi="Arial" w:cs="Arial"/>
          <w:sz w:val="20"/>
          <w:szCs w:val="20"/>
        </w:rPr>
        <w:t xml:space="preserve"> LEDA’s</w:t>
      </w:r>
      <w:r w:rsidRPr="00921120">
        <w:rPr>
          <w:rFonts w:ascii="Arial" w:hAnsi="Arial" w:cs="Arial"/>
          <w:sz w:val="20"/>
          <w:szCs w:val="20"/>
        </w:rPr>
        <w:t xml:space="preserve"> only source of </w:t>
      </w:r>
      <w:r w:rsidR="005C1697" w:rsidRPr="00921120">
        <w:rPr>
          <w:rFonts w:ascii="Arial" w:hAnsi="Arial" w:cs="Arial"/>
          <w:sz w:val="20"/>
          <w:szCs w:val="20"/>
        </w:rPr>
        <w:t xml:space="preserve">revenue or whether </w:t>
      </w:r>
      <w:r w:rsidR="009C0AE1" w:rsidRPr="00921120">
        <w:rPr>
          <w:rFonts w:ascii="Arial" w:hAnsi="Arial" w:cs="Arial"/>
          <w:sz w:val="20"/>
          <w:szCs w:val="20"/>
        </w:rPr>
        <w:t xml:space="preserve">it </w:t>
      </w:r>
      <w:r w:rsidR="005C1697" w:rsidRPr="00921120">
        <w:rPr>
          <w:rFonts w:ascii="Arial" w:hAnsi="Arial" w:cs="Arial"/>
          <w:sz w:val="20"/>
          <w:szCs w:val="20"/>
        </w:rPr>
        <w:t>received</w:t>
      </w:r>
      <w:r w:rsidRPr="00921120">
        <w:rPr>
          <w:rFonts w:ascii="Arial" w:hAnsi="Arial" w:cs="Arial"/>
          <w:sz w:val="20"/>
          <w:szCs w:val="20"/>
        </w:rPr>
        <w:t xml:space="preserve"> any form of financial support from the Limpopo Provincial Government. LEDA informed the Committee that it should recei</w:t>
      </w:r>
      <w:r w:rsidR="005C1697" w:rsidRPr="00921120">
        <w:rPr>
          <w:rFonts w:ascii="Arial" w:hAnsi="Arial" w:cs="Arial"/>
          <w:sz w:val="20"/>
          <w:szCs w:val="20"/>
        </w:rPr>
        <w:t>ve approximately R140 million from</w:t>
      </w:r>
      <w:r w:rsidRPr="00921120">
        <w:rPr>
          <w:rFonts w:ascii="Arial" w:hAnsi="Arial" w:cs="Arial"/>
          <w:sz w:val="20"/>
          <w:szCs w:val="20"/>
        </w:rPr>
        <w:t xml:space="preserve"> rental</w:t>
      </w:r>
      <w:r w:rsidR="005C1697" w:rsidRPr="00921120">
        <w:rPr>
          <w:rFonts w:ascii="Arial" w:hAnsi="Arial" w:cs="Arial"/>
          <w:sz w:val="20"/>
          <w:szCs w:val="20"/>
        </w:rPr>
        <w:t xml:space="preserve"> income.</w:t>
      </w:r>
      <w:r w:rsidRPr="00921120">
        <w:rPr>
          <w:rFonts w:ascii="Arial" w:hAnsi="Arial" w:cs="Arial"/>
          <w:sz w:val="20"/>
          <w:szCs w:val="20"/>
        </w:rPr>
        <w:t xml:space="preserve"> </w:t>
      </w:r>
      <w:r w:rsidR="005C1697" w:rsidRPr="00921120">
        <w:rPr>
          <w:rFonts w:ascii="Arial" w:hAnsi="Arial" w:cs="Arial"/>
          <w:sz w:val="20"/>
          <w:szCs w:val="20"/>
        </w:rPr>
        <w:t>H</w:t>
      </w:r>
      <w:r w:rsidRPr="00921120">
        <w:rPr>
          <w:rFonts w:ascii="Arial" w:hAnsi="Arial" w:cs="Arial"/>
          <w:sz w:val="20"/>
          <w:szCs w:val="20"/>
        </w:rPr>
        <w:t>owever, the amount receive</w:t>
      </w:r>
      <w:r w:rsidR="005C1697" w:rsidRPr="00921120">
        <w:rPr>
          <w:rFonts w:ascii="Arial" w:hAnsi="Arial" w:cs="Arial"/>
          <w:sz w:val="20"/>
          <w:szCs w:val="20"/>
        </w:rPr>
        <w:t>d</w:t>
      </w:r>
      <w:r w:rsidRPr="00921120">
        <w:rPr>
          <w:rFonts w:ascii="Arial" w:hAnsi="Arial" w:cs="Arial"/>
          <w:sz w:val="20"/>
          <w:szCs w:val="20"/>
        </w:rPr>
        <w:t xml:space="preserve"> </w:t>
      </w:r>
      <w:r w:rsidR="005C1697" w:rsidRPr="00921120">
        <w:rPr>
          <w:rFonts w:ascii="Arial" w:hAnsi="Arial" w:cs="Arial"/>
          <w:sz w:val="20"/>
          <w:szCs w:val="20"/>
        </w:rPr>
        <w:t>wa</w:t>
      </w:r>
      <w:r w:rsidRPr="00921120">
        <w:rPr>
          <w:rFonts w:ascii="Arial" w:hAnsi="Arial" w:cs="Arial"/>
          <w:sz w:val="20"/>
          <w:szCs w:val="20"/>
        </w:rPr>
        <w:t xml:space="preserve">s around R120 million due to various </w:t>
      </w:r>
      <w:r w:rsidR="005C1697" w:rsidRPr="00921120">
        <w:rPr>
          <w:rFonts w:ascii="Arial" w:hAnsi="Arial" w:cs="Arial"/>
          <w:sz w:val="20"/>
          <w:szCs w:val="20"/>
        </w:rPr>
        <w:lastRenderedPageBreak/>
        <w:t xml:space="preserve">reasons. Annually, LEDA </w:t>
      </w:r>
      <w:r w:rsidR="009C0AE1" w:rsidRPr="00921120">
        <w:rPr>
          <w:rFonts w:ascii="Arial" w:hAnsi="Arial" w:cs="Arial"/>
          <w:sz w:val="20"/>
          <w:szCs w:val="20"/>
        </w:rPr>
        <w:t xml:space="preserve">also </w:t>
      </w:r>
      <w:r w:rsidR="005C1697" w:rsidRPr="00921120">
        <w:rPr>
          <w:rFonts w:ascii="Arial" w:hAnsi="Arial" w:cs="Arial"/>
          <w:sz w:val="20"/>
          <w:szCs w:val="20"/>
        </w:rPr>
        <w:t>received</w:t>
      </w:r>
      <w:r w:rsidRPr="00921120">
        <w:rPr>
          <w:rFonts w:ascii="Arial" w:hAnsi="Arial" w:cs="Arial"/>
          <w:sz w:val="20"/>
          <w:szCs w:val="20"/>
        </w:rPr>
        <w:t xml:space="preserve"> a grant, and over the last five years </w:t>
      </w:r>
      <w:r w:rsidR="005C1697" w:rsidRPr="00921120">
        <w:rPr>
          <w:rFonts w:ascii="Arial" w:hAnsi="Arial" w:cs="Arial"/>
          <w:sz w:val="20"/>
          <w:szCs w:val="20"/>
        </w:rPr>
        <w:t xml:space="preserve">it had been </w:t>
      </w:r>
      <w:r w:rsidRPr="00921120">
        <w:rPr>
          <w:rFonts w:ascii="Arial" w:hAnsi="Arial" w:cs="Arial"/>
          <w:sz w:val="20"/>
          <w:szCs w:val="20"/>
        </w:rPr>
        <w:t>funded by the provincial g</w:t>
      </w:r>
      <w:r w:rsidR="005C1697" w:rsidRPr="00921120">
        <w:rPr>
          <w:rFonts w:ascii="Arial" w:hAnsi="Arial" w:cs="Arial"/>
          <w:sz w:val="20"/>
          <w:szCs w:val="20"/>
        </w:rPr>
        <w:t>overnment in the excess of R500 </w:t>
      </w:r>
      <w:r w:rsidRPr="00921120">
        <w:rPr>
          <w:rFonts w:ascii="Arial" w:hAnsi="Arial" w:cs="Arial"/>
          <w:sz w:val="20"/>
          <w:szCs w:val="20"/>
        </w:rPr>
        <w:t xml:space="preserve">million. LEDA, an amalgamation of various agencies within the provincial </w:t>
      </w:r>
      <w:r w:rsidR="005C1697" w:rsidRPr="00921120">
        <w:rPr>
          <w:rFonts w:ascii="Arial" w:hAnsi="Arial" w:cs="Arial"/>
          <w:sz w:val="20"/>
          <w:szCs w:val="20"/>
        </w:rPr>
        <w:t>government, wa</w:t>
      </w:r>
      <w:r w:rsidRPr="00921120">
        <w:rPr>
          <w:rFonts w:ascii="Arial" w:hAnsi="Arial" w:cs="Arial"/>
          <w:sz w:val="20"/>
          <w:szCs w:val="20"/>
        </w:rPr>
        <w:t>s the vehicle to provide the necessary service</w:t>
      </w:r>
      <w:r w:rsidR="005C1697" w:rsidRPr="00921120">
        <w:rPr>
          <w:rFonts w:ascii="Arial" w:hAnsi="Arial" w:cs="Arial"/>
          <w:sz w:val="20"/>
          <w:szCs w:val="20"/>
        </w:rPr>
        <w:t>s</w:t>
      </w:r>
      <w:r w:rsidRPr="00921120">
        <w:rPr>
          <w:rFonts w:ascii="Arial" w:hAnsi="Arial" w:cs="Arial"/>
          <w:sz w:val="20"/>
          <w:szCs w:val="20"/>
        </w:rPr>
        <w:t xml:space="preserve"> from cradle to grave for enterprise</w:t>
      </w:r>
      <w:r w:rsidR="005C1697" w:rsidRPr="00921120">
        <w:rPr>
          <w:rFonts w:ascii="Arial" w:hAnsi="Arial" w:cs="Arial"/>
          <w:sz w:val="20"/>
          <w:szCs w:val="20"/>
        </w:rPr>
        <w:t>s</w:t>
      </w:r>
      <w:r w:rsidRPr="00921120">
        <w:rPr>
          <w:rFonts w:ascii="Arial" w:hAnsi="Arial" w:cs="Arial"/>
          <w:sz w:val="20"/>
          <w:szCs w:val="20"/>
        </w:rPr>
        <w:t>, industrial and economic development, as well as support for entrepreneurship. However, as a Schedule 3D public institution in term</w:t>
      </w:r>
      <w:r w:rsidR="005C1697" w:rsidRPr="00921120">
        <w:rPr>
          <w:rFonts w:ascii="Arial" w:hAnsi="Arial" w:cs="Arial"/>
          <w:sz w:val="20"/>
          <w:szCs w:val="20"/>
        </w:rPr>
        <w:t>s</w:t>
      </w:r>
      <w:r w:rsidRPr="00921120">
        <w:rPr>
          <w:rFonts w:ascii="Arial" w:hAnsi="Arial" w:cs="Arial"/>
          <w:sz w:val="20"/>
          <w:szCs w:val="20"/>
        </w:rPr>
        <w:t xml:space="preserve"> of the Public Finance Management Act</w:t>
      </w:r>
      <w:r w:rsidR="005C1697" w:rsidRPr="00921120">
        <w:rPr>
          <w:rFonts w:ascii="Arial" w:hAnsi="Arial" w:cs="Arial"/>
          <w:sz w:val="20"/>
          <w:szCs w:val="20"/>
        </w:rPr>
        <w:t xml:space="preserve"> (Act No. 1 of 1999)</w:t>
      </w:r>
      <w:r w:rsidRPr="00921120">
        <w:rPr>
          <w:rFonts w:ascii="Arial" w:hAnsi="Arial" w:cs="Arial"/>
          <w:sz w:val="20"/>
          <w:szCs w:val="20"/>
        </w:rPr>
        <w:t>, LEDA should become sustainable and become profitable in the future. Cu</w:t>
      </w:r>
      <w:r w:rsidR="005C1697" w:rsidRPr="00921120">
        <w:rPr>
          <w:rFonts w:ascii="Arial" w:hAnsi="Arial" w:cs="Arial"/>
          <w:sz w:val="20"/>
          <w:szCs w:val="20"/>
        </w:rPr>
        <w:t>rrent funding provided to LEDA wa</w:t>
      </w:r>
      <w:r w:rsidRPr="00921120">
        <w:rPr>
          <w:rFonts w:ascii="Arial" w:hAnsi="Arial" w:cs="Arial"/>
          <w:sz w:val="20"/>
          <w:szCs w:val="20"/>
        </w:rPr>
        <w:t>s used to facilitate the revitalisation of Industrial Parks to ensure its sustainability, as well as to promote trade and investment on behalf of the province. During the year, LEDA continued with the refurbishment of the Seshego and Nkowankowa Industrial Parks. This accomplishment would not have been possible without the continuous support of the DTIC, who provided financial resources t</w:t>
      </w:r>
      <w:r w:rsidR="005C1697" w:rsidRPr="00921120">
        <w:rPr>
          <w:rFonts w:ascii="Arial" w:hAnsi="Arial" w:cs="Arial"/>
          <w:sz w:val="20"/>
          <w:szCs w:val="20"/>
        </w:rPr>
        <w:t>owards this process through its</w:t>
      </w:r>
      <w:r w:rsidRPr="00921120">
        <w:rPr>
          <w:rFonts w:ascii="Arial" w:hAnsi="Arial" w:cs="Arial"/>
          <w:sz w:val="20"/>
          <w:szCs w:val="20"/>
        </w:rPr>
        <w:t xml:space="preserve"> Critical Infrastructure Programme</w:t>
      </w:r>
      <w:r w:rsidR="009F7043" w:rsidRPr="00921120">
        <w:rPr>
          <w:rFonts w:ascii="Arial" w:hAnsi="Arial" w:cs="Arial"/>
          <w:sz w:val="20"/>
          <w:szCs w:val="20"/>
        </w:rPr>
        <w:t>.</w:t>
      </w:r>
    </w:p>
    <w:p w:rsidR="006F0F3E" w:rsidRPr="00921120" w:rsidRDefault="006F0F3E" w:rsidP="00921120">
      <w:pPr>
        <w:spacing w:line="240" w:lineRule="auto"/>
        <w:jc w:val="left"/>
        <w:rPr>
          <w:rFonts w:ascii="Arial" w:hAnsi="Arial" w:cs="Arial"/>
          <w:sz w:val="20"/>
          <w:szCs w:val="20"/>
        </w:rPr>
      </w:pPr>
    </w:p>
    <w:p w:rsidR="006F0F3E" w:rsidRPr="00921120" w:rsidRDefault="00DA5728" w:rsidP="00921120">
      <w:pPr>
        <w:pStyle w:val="ListParagraph"/>
        <w:numPr>
          <w:ilvl w:val="0"/>
          <w:numId w:val="24"/>
        </w:numPr>
        <w:spacing w:line="240" w:lineRule="auto"/>
        <w:jc w:val="left"/>
        <w:rPr>
          <w:rFonts w:ascii="Arial" w:hAnsi="Arial" w:cs="Arial"/>
          <w:sz w:val="20"/>
          <w:szCs w:val="20"/>
        </w:rPr>
      </w:pPr>
      <w:r w:rsidRPr="00921120">
        <w:rPr>
          <w:rFonts w:ascii="Arial" w:hAnsi="Arial" w:cs="Arial"/>
          <w:b/>
          <w:bCs/>
          <w:i/>
          <w:iCs/>
          <w:sz w:val="20"/>
          <w:szCs w:val="20"/>
        </w:rPr>
        <w:t>Low Rental Rate/</w:t>
      </w:r>
      <w:r w:rsidR="006F0F3E" w:rsidRPr="00921120">
        <w:rPr>
          <w:rFonts w:ascii="Arial" w:hAnsi="Arial" w:cs="Arial"/>
          <w:b/>
          <w:bCs/>
          <w:i/>
          <w:iCs/>
          <w:sz w:val="20"/>
          <w:szCs w:val="20"/>
        </w:rPr>
        <w:t>Lease agreements</w:t>
      </w:r>
      <w:r w:rsidRPr="00921120">
        <w:rPr>
          <w:rFonts w:ascii="Arial" w:hAnsi="Arial" w:cs="Arial"/>
          <w:bCs/>
          <w:iCs/>
          <w:sz w:val="20"/>
          <w:szCs w:val="20"/>
        </w:rPr>
        <w:t xml:space="preserve">: </w:t>
      </w:r>
      <w:r w:rsidR="006F0F3E" w:rsidRPr="00921120">
        <w:rPr>
          <w:rFonts w:ascii="Arial" w:hAnsi="Arial" w:cs="Arial"/>
          <w:sz w:val="20"/>
          <w:szCs w:val="20"/>
        </w:rPr>
        <w:t>Low rental income contributes to the inability of LEDA to maintain the bulk infrastructure within the Industrial Parks. Providing the necessary financial assistance to tenant</w:t>
      </w:r>
      <w:r w:rsidRPr="00921120">
        <w:rPr>
          <w:rFonts w:ascii="Arial" w:hAnsi="Arial" w:cs="Arial"/>
          <w:sz w:val="20"/>
          <w:szCs w:val="20"/>
        </w:rPr>
        <w:t>s within the Industrial Park is</w:t>
      </w:r>
      <w:r w:rsidR="006F0F3E" w:rsidRPr="00921120">
        <w:rPr>
          <w:rFonts w:ascii="Arial" w:hAnsi="Arial" w:cs="Arial"/>
          <w:sz w:val="20"/>
          <w:szCs w:val="20"/>
        </w:rPr>
        <w:t xml:space="preserve"> essential as they are the sources for job creation, especially within communities with high unemployment </w:t>
      </w:r>
      <w:r w:rsidRPr="00921120">
        <w:rPr>
          <w:rFonts w:ascii="Arial" w:hAnsi="Arial" w:cs="Arial"/>
          <w:sz w:val="20"/>
          <w:szCs w:val="20"/>
        </w:rPr>
        <w:t>levels</w:t>
      </w:r>
      <w:r w:rsidR="006F0F3E" w:rsidRPr="00921120">
        <w:rPr>
          <w:rFonts w:ascii="Arial" w:hAnsi="Arial" w:cs="Arial"/>
          <w:sz w:val="20"/>
          <w:szCs w:val="20"/>
        </w:rPr>
        <w:t xml:space="preserve">. Therefore, the provision of </w:t>
      </w:r>
      <w:r w:rsidRPr="00921120">
        <w:rPr>
          <w:rFonts w:ascii="Arial" w:hAnsi="Arial" w:cs="Arial"/>
          <w:sz w:val="20"/>
          <w:szCs w:val="20"/>
        </w:rPr>
        <w:t xml:space="preserve">rental </w:t>
      </w:r>
      <w:r w:rsidR="006F0F3E" w:rsidRPr="00921120">
        <w:rPr>
          <w:rFonts w:ascii="Arial" w:hAnsi="Arial" w:cs="Arial"/>
          <w:sz w:val="20"/>
          <w:szCs w:val="20"/>
        </w:rPr>
        <w:t>payment holiday</w:t>
      </w:r>
      <w:r w:rsidRPr="00921120">
        <w:rPr>
          <w:rFonts w:ascii="Arial" w:hAnsi="Arial" w:cs="Arial"/>
          <w:sz w:val="20"/>
          <w:szCs w:val="20"/>
        </w:rPr>
        <w:t>s</w:t>
      </w:r>
      <w:r w:rsidR="006F0F3E" w:rsidRPr="00921120">
        <w:rPr>
          <w:rFonts w:ascii="Arial" w:hAnsi="Arial" w:cs="Arial"/>
          <w:sz w:val="20"/>
          <w:szCs w:val="20"/>
        </w:rPr>
        <w:t>, among others, c</w:t>
      </w:r>
      <w:r w:rsidR="009C0AE1" w:rsidRPr="00921120">
        <w:rPr>
          <w:rFonts w:ascii="Arial" w:hAnsi="Arial" w:cs="Arial"/>
          <w:sz w:val="20"/>
          <w:szCs w:val="20"/>
        </w:rPr>
        <w:t>ould</w:t>
      </w:r>
      <w:r w:rsidR="006F0F3E" w:rsidRPr="00921120">
        <w:rPr>
          <w:rFonts w:ascii="Arial" w:hAnsi="Arial" w:cs="Arial"/>
          <w:sz w:val="20"/>
          <w:szCs w:val="20"/>
        </w:rPr>
        <w:t xml:space="preserve"> provide the catalyst that would ensure the sustainability of the tenant in the long-run. However, some of these negotiated lease agreement</w:t>
      </w:r>
      <w:r w:rsidRPr="00921120">
        <w:rPr>
          <w:rFonts w:ascii="Arial" w:hAnsi="Arial" w:cs="Arial"/>
          <w:sz w:val="20"/>
          <w:szCs w:val="20"/>
        </w:rPr>
        <w:t>s</w:t>
      </w:r>
      <w:r w:rsidR="006F0F3E" w:rsidRPr="00921120">
        <w:rPr>
          <w:rFonts w:ascii="Arial" w:hAnsi="Arial" w:cs="Arial"/>
          <w:sz w:val="20"/>
          <w:szCs w:val="20"/>
        </w:rPr>
        <w:t xml:space="preserve"> with tenants </w:t>
      </w:r>
      <w:r w:rsidRPr="00921120">
        <w:rPr>
          <w:rFonts w:ascii="Arial" w:hAnsi="Arial" w:cs="Arial"/>
          <w:sz w:val="20"/>
          <w:szCs w:val="20"/>
        </w:rPr>
        <w:t>we</w:t>
      </w:r>
      <w:r w:rsidR="006F0F3E" w:rsidRPr="00921120">
        <w:rPr>
          <w:rFonts w:ascii="Arial" w:hAnsi="Arial" w:cs="Arial"/>
          <w:sz w:val="20"/>
          <w:szCs w:val="20"/>
        </w:rPr>
        <w:t>re long term</w:t>
      </w:r>
      <w:r w:rsidRPr="00921120">
        <w:rPr>
          <w:rFonts w:ascii="Arial" w:hAnsi="Arial" w:cs="Arial"/>
          <w:sz w:val="20"/>
          <w:szCs w:val="20"/>
        </w:rPr>
        <w:t xml:space="preserve"> and were</w:t>
      </w:r>
      <w:r w:rsidR="006F0F3E" w:rsidRPr="00921120">
        <w:rPr>
          <w:rFonts w:ascii="Arial" w:hAnsi="Arial" w:cs="Arial"/>
          <w:sz w:val="20"/>
          <w:szCs w:val="20"/>
        </w:rPr>
        <w:t xml:space="preserve"> legally binding. LEDA </w:t>
      </w:r>
      <w:r w:rsidRPr="00921120">
        <w:rPr>
          <w:rFonts w:ascii="Arial" w:hAnsi="Arial" w:cs="Arial"/>
          <w:sz w:val="20"/>
          <w:szCs w:val="20"/>
        </w:rPr>
        <w:t>wa</w:t>
      </w:r>
      <w:r w:rsidR="006F0F3E" w:rsidRPr="00921120">
        <w:rPr>
          <w:rFonts w:ascii="Arial" w:hAnsi="Arial" w:cs="Arial"/>
          <w:sz w:val="20"/>
          <w:szCs w:val="20"/>
        </w:rPr>
        <w:t xml:space="preserve">s negotiating, especially with new tenants, rental slightly </w:t>
      </w:r>
      <w:r w:rsidRPr="00921120">
        <w:rPr>
          <w:rFonts w:ascii="Arial" w:hAnsi="Arial" w:cs="Arial"/>
          <w:sz w:val="20"/>
          <w:szCs w:val="20"/>
        </w:rPr>
        <w:t xml:space="preserve">below </w:t>
      </w:r>
      <w:r w:rsidR="006F0F3E" w:rsidRPr="00921120">
        <w:rPr>
          <w:rFonts w:ascii="Arial" w:hAnsi="Arial" w:cs="Arial"/>
          <w:sz w:val="20"/>
          <w:szCs w:val="20"/>
        </w:rPr>
        <w:t xml:space="preserve">market price, correlating with the requirement of maintenance, </w:t>
      </w:r>
      <w:r w:rsidRPr="00921120">
        <w:rPr>
          <w:rFonts w:ascii="Arial" w:hAnsi="Arial" w:cs="Arial"/>
          <w:sz w:val="20"/>
          <w:szCs w:val="20"/>
        </w:rPr>
        <w:t xml:space="preserve">and </w:t>
      </w:r>
      <w:r w:rsidR="006F0F3E" w:rsidRPr="00921120">
        <w:rPr>
          <w:rFonts w:ascii="Arial" w:hAnsi="Arial" w:cs="Arial"/>
          <w:sz w:val="20"/>
          <w:szCs w:val="20"/>
        </w:rPr>
        <w:t>the payment of rates and taxes, on the properties. LEDA noted that some tenants had been facing</w:t>
      </w:r>
      <w:r w:rsidRPr="00921120">
        <w:rPr>
          <w:rFonts w:ascii="Arial" w:hAnsi="Arial" w:cs="Arial"/>
          <w:sz w:val="20"/>
          <w:szCs w:val="20"/>
        </w:rPr>
        <w:t xml:space="preserve"> challenges paying their leases;</w:t>
      </w:r>
      <w:r w:rsidR="006F0F3E" w:rsidRPr="00921120">
        <w:rPr>
          <w:rFonts w:ascii="Arial" w:hAnsi="Arial" w:cs="Arial"/>
          <w:sz w:val="20"/>
          <w:szCs w:val="20"/>
        </w:rPr>
        <w:t xml:space="preserve"> however, </w:t>
      </w:r>
      <w:r w:rsidRPr="00921120">
        <w:rPr>
          <w:rFonts w:ascii="Arial" w:hAnsi="Arial" w:cs="Arial"/>
          <w:sz w:val="20"/>
          <w:szCs w:val="20"/>
        </w:rPr>
        <w:t>it did accommodate tenants when they we</w:t>
      </w:r>
      <w:r w:rsidR="006F0F3E" w:rsidRPr="00921120">
        <w:rPr>
          <w:rFonts w:ascii="Arial" w:hAnsi="Arial" w:cs="Arial"/>
          <w:sz w:val="20"/>
          <w:szCs w:val="20"/>
        </w:rPr>
        <w:t>re facing certain challenges. Despite these compromises, some tenants were issued with Letters of Demand, with 20 tenants evicted due to non-payment, as this impacted on the revenue stream of the Industrial Park</w:t>
      </w:r>
      <w:r w:rsidR="009C0AE1" w:rsidRPr="00921120">
        <w:rPr>
          <w:rFonts w:ascii="Arial" w:hAnsi="Arial" w:cs="Arial"/>
          <w:sz w:val="20"/>
          <w:szCs w:val="20"/>
        </w:rPr>
        <w:t>s</w:t>
      </w:r>
      <w:r w:rsidR="006F0F3E" w:rsidRPr="00921120">
        <w:rPr>
          <w:rFonts w:ascii="Arial" w:hAnsi="Arial" w:cs="Arial"/>
          <w:sz w:val="20"/>
          <w:szCs w:val="20"/>
        </w:rPr>
        <w:t xml:space="preserve">. </w:t>
      </w:r>
    </w:p>
    <w:p w:rsidR="006F0F3E" w:rsidRPr="00921120" w:rsidRDefault="006F0F3E" w:rsidP="00921120">
      <w:pPr>
        <w:spacing w:line="240" w:lineRule="auto"/>
        <w:jc w:val="left"/>
        <w:rPr>
          <w:rFonts w:ascii="Arial" w:hAnsi="Arial" w:cs="Arial"/>
          <w:sz w:val="20"/>
          <w:szCs w:val="20"/>
        </w:rPr>
      </w:pPr>
    </w:p>
    <w:p w:rsidR="006F0F3E" w:rsidRPr="00921120" w:rsidRDefault="00CF46BB" w:rsidP="00921120">
      <w:pPr>
        <w:pStyle w:val="ListParagraph"/>
        <w:numPr>
          <w:ilvl w:val="0"/>
          <w:numId w:val="24"/>
        </w:numPr>
        <w:spacing w:line="240" w:lineRule="auto"/>
        <w:jc w:val="left"/>
        <w:rPr>
          <w:rFonts w:ascii="Arial" w:hAnsi="Arial" w:cs="Arial"/>
          <w:sz w:val="20"/>
          <w:szCs w:val="20"/>
        </w:rPr>
      </w:pPr>
      <w:r w:rsidRPr="00921120">
        <w:rPr>
          <w:rFonts w:ascii="Arial" w:hAnsi="Arial" w:cs="Arial"/>
          <w:b/>
          <w:bCs/>
          <w:i/>
          <w:iCs/>
          <w:sz w:val="20"/>
          <w:szCs w:val="20"/>
        </w:rPr>
        <w:t>Support for SMME</w:t>
      </w:r>
      <w:r w:rsidR="006F0F3E" w:rsidRPr="00921120">
        <w:rPr>
          <w:rFonts w:ascii="Arial" w:hAnsi="Arial" w:cs="Arial"/>
          <w:b/>
          <w:bCs/>
          <w:i/>
          <w:iCs/>
          <w:sz w:val="20"/>
          <w:szCs w:val="20"/>
        </w:rPr>
        <w:t>s</w:t>
      </w:r>
      <w:r w:rsidRPr="00921120">
        <w:rPr>
          <w:rFonts w:ascii="Arial" w:hAnsi="Arial" w:cs="Arial"/>
          <w:bCs/>
          <w:iCs/>
          <w:sz w:val="20"/>
          <w:szCs w:val="20"/>
        </w:rPr>
        <w:t>:</w:t>
      </w:r>
      <w:r w:rsidRPr="00921120">
        <w:rPr>
          <w:rFonts w:ascii="Arial" w:hAnsi="Arial" w:cs="Arial"/>
          <w:b/>
          <w:bCs/>
          <w:i/>
          <w:iCs/>
          <w:sz w:val="20"/>
          <w:szCs w:val="20"/>
        </w:rPr>
        <w:t xml:space="preserve"> </w:t>
      </w:r>
      <w:r w:rsidR="009C0AE1" w:rsidRPr="00921120">
        <w:rPr>
          <w:rFonts w:ascii="Arial" w:hAnsi="Arial" w:cs="Arial"/>
          <w:sz w:val="20"/>
          <w:szCs w:val="20"/>
        </w:rPr>
        <w:t>S</w:t>
      </w:r>
      <w:r w:rsidR="00C807BF" w:rsidRPr="00921120">
        <w:rPr>
          <w:rFonts w:ascii="Arial" w:hAnsi="Arial" w:cs="Arial"/>
          <w:sz w:val="20"/>
          <w:szCs w:val="20"/>
        </w:rPr>
        <w:t xml:space="preserve">upport </w:t>
      </w:r>
      <w:r w:rsidR="009C0AE1" w:rsidRPr="00921120">
        <w:rPr>
          <w:rFonts w:ascii="Arial" w:hAnsi="Arial" w:cs="Arial"/>
          <w:sz w:val="20"/>
          <w:szCs w:val="20"/>
        </w:rPr>
        <w:t xml:space="preserve">offered </w:t>
      </w:r>
      <w:r w:rsidR="00C807BF" w:rsidRPr="00921120">
        <w:rPr>
          <w:rFonts w:ascii="Arial" w:hAnsi="Arial" w:cs="Arial"/>
          <w:sz w:val="20"/>
          <w:szCs w:val="20"/>
        </w:rPr>
        <w:t>to SMMEs to ensure their</w:t>
      </w:r>
      <w:r w:rsidR="006F0F3E" w:rsidRPr="00921120">
        <w:rPr>
          <w:rFonts w:ascii="Arial" w:hAnsi="Arial" w:cs="Arial"/>
          <w:sz w:val="20"/>
          <w:szCs w:val="20"/>
        </w:rPr>
        <w:t xml:space="preserve"> </w:t>
      </w:r>
      <w:r w:rsidR="00C807BF" w:rsidRPr="00921120">
        <w:rPr>
          <w:rFonts w:ascii="Arial" w:hAnsi="Arial" w:cs="Arial"/>
          <w:sz w:val="20"/>
          <w:szCs w:val="20"/>
        </w:rPr>
        <w:t>sustainability in the long-run wa</w:t>
      </w:r>
      <w:r w:rsidR="006F0F3E" w:rsidRPr="00921120">
        <w:rPr>
          <w:rFonts w:ascii="Arial" w:hAnsi="Arial" w:cs="Arial"/>
          <w:sz w:val="20"/>
          <w:szCs w:val="20"/>
        </w:rPr>
        <w:t>s of critical im</w:t>
      </w:r>
      <w:r w:rsidR="00C807BF" w:rsidRPr="00921120">
        <w:rPr>
          <w:rFonts w:ascii="Arial" w:hAnsi="Arial" w:cs="Arial"/>
          <w:sz w:val="20"/>
          <w:szCs w:val="20"/>
        </w:rPr>
        <w:t>portance to the Committee. SMME</w:t>
      </w:r>
      <w:r w:rsidR="006F0F3E" w:rsidRPr="00921120">
        <w:rPr>
          <w:rFonts w:ascii="Arial" w:hAnsi="Arial" w:cs="Arial"/>
          <w:sz w:val="20"/>
          <w:szCs w:val="20"/>
        </w:rPr>
        <w:t>s locat</w:t>
      </w:r>
      <w:r w:rsidR="00C807BF" w:rsidRPr="00921120">
        <w:rPr>
          <w:rFonts w:ascii="Arial" w:hAnsi="Arial" w:cs="Arial"/>
          <w:sz w:val="20"/>
          <w:szCs w:val="20"/>
        </w:rPr>
        <w:t>ed within the Industrial Parks we</w:t>
      </w:r>
      <w:r w:rsidR="006F0F3E" w:rsidRPr="00921120">
        <w:rPr>
          <w:rFonts w:ascii="Arial" w:hAnsi="Arial" w:cs="Arial"/>
          <w:sz w:val="20"/>
          <w:szCs w:val="20"/>
        </w:rPr>
        <w:t>re cri</w:t>
      </w:r>
      <w:r w:rsidR="00C807BF" w:rsidRPr="00921120">
        <w:rPr>
          <w:rFonts w:ascii="Arial" w:hAnsi="Arial" w:cs="Arial"/>
          <w:sz w:val="20"/>
          <w:szCs w:val="20"/>
        </w:rPr>
        <w:t>tical vehicles for job creation,</w:t>
      </w:r>
      <w:r w:rsidR="006F0F3E" w:rsidRPr="00921120">
        <w:rPr>
          <w:rFonts w:ascii="Arial" w:hAnsi="Arial" w:cs="Arial"/>
          <w:sz w:val="20"/>
          <w:szCs w:val="20"/>
        </w:rPr>
        <w:t xml:space="preserve"> therefore, providing the necessary critical infras</w:t>
      </w:r>
      <w:r w:rsidR="00C807BF" w:rsidRPr="00921120">
        <w:rPr>
          <w:rFonts w:ascii="Arial" w:hAnsi="Arial" w:cs="Arial"/>
          <w:sz w:val="20"/>
          <w:szCs w:val="20"/>
        </w:rPr>
        <w:t>tructure and financial support wa</w:t>
      </w:r>
      <w:r w:rsidR="006F0F3E" w:rsidRPr="00921120">
        <w:rPr>
          <w:rFonts w:ascii="Arial" w:hAnsi="Arial" w:cs="Arial"/>
          <w:sz w:val="20"/>
          <w:szCs w:val="20"/>
        </w:rPr>
        <w:t xml:space="preserve">s essential. LEDA recognised the importance of financial and non-financial support for SMMEs located within the Industrial Parks. It has been mandated to provide and secure the necessary funding, hence </w:t>
      </w:r>
      <w:r w:rsidR="00C807BF" w:rsidRPr="00921120">
        <w:rPr>
          <w:rFonts w:ascii="Arial" w:hAnsi="Arial" w:cs="Arial"/>
          <w:sz w:val="20"/>
          <w:szCs w:val="20"/>
        </w:rPr>
        <w:t xml:space="preserve">it </w:t>
      </w:r>
      <w:r w:rsidR="006F0F3E" w:rsidRPr="00921120">
        <w:rPr>
          <w:rFonts w:ascii="Arial" w:hAnsi="Arial" w:cs="Arial"/>
          <w:sz w:val="20"/>
          <w:szCs w:val="20"/>
        </w:rPr>
        <w:t xml:space="preserve">made more provision for such support. However, because of funding challenges facing many developmental agencies, it </w:t>
      </w:r>
      <w:r w:rsidR="009C0AE1" w:rsidRPr="00921120">
        <w:rPr>
          <w:rFonts w:ascii="Arial" w:hAnsi="Arial" w:cs="Arial"/>
          <w:sz w:val="20"/>
          <w:szCs w:val="20"/>
        </w:rPr>
        <w:t xml:space="preserve">has </w:t>
      </w:r>
      <w:r w:rsidR="006F0F3E" w:rsidRPr="00921120">
        <w:rPr>
          <w:rFonts w:ascii="Arial" w:hAnsi="Arial" w:cs="Arial"/>
          <w:sz w:val="20"/>
          <w:szCs w:val="20"/>
        </w:rPr>
        <w:t>s</w:t>
      </w:r>
      <w:r w:rsidR="00BC2E8E" w:rsidRPr="00921120">
        <w:rPr>
          <w:rFonts w:ascii="Arial" w:hAnsi="Arial" w:cs="Arial"/>
          <w:sz w:val="20"/>
          <w:szCs w:val="20"/>
        </w:rPr>
        <w:t>ought</w:t>
      </w:r>
      <w:r w:rsidR="006F0F3E" w:rsidRPr="00921120">
        <w:rPr>
          <w:rFonts w:ascii="Arial" w:hAnsi="Arial" w:cs="Arial"/>
          <w:sz w:val="20"/>
          <w:szCs w:val="20"/>
        </w:rPr>
        <w:t xml:space="preserve"> the support of other agencies such </w:t>
      </w:r>
      <w:r w:rsidR="00BC2E8E" w:rsidRPr="00921120">
        <w:rPr>
          <w:rFonts w:ascii="Arial" w:hAnsi="Arial" w:cs="Arial"/>
          <w:sz w:val="20"/>
          <w:szCs w:val="20"/>
        </w:rPr>
        <w:t xml:space="preserve">as </w:t>
      </w:r>
      <w:r w:rsidR="006F0F3E" w:rsidRPr="00921120">
        <w:rPr>
          <w:rFonts w:ascii="Arial" w:hAnsi="Arial" w:cs="Arial"/>
          <w:sz w:val="20"/>
          <w:szCs w:val="20"/>
        </w:rPr>
        <w:t xml:space="preserve">SEDA, </w:t>
      </w:r>
      <w:r w:rsidR="00BC2E8E" w:rsidRPr="00921120">
        <w:rPr>
          <w:rFonts w:ascii="Arial" w:hAnsi="Arial" w:cs="Arial"/>
          <w:sz w:val="20"/>
          <w:szCs w:val="20"/>
        </w:rPr>
        <w:t xml:space="preserve">the </w:t>
      </w:r>
      <w:r w:rsidR="006F0F3E" w:rsidRPr="00921120">
        <w:rPr>
          <w:rFonts w:ascii="Arial" w:hAnsi="Arial" w:cs="Arial"/>
          <w:sz w:val="20"/>
          <w:szCs w:val="20"/>
        </w:rPr>
        <w:t>NEF and the IDC operating in the province and have entered into coll</w:t>
      </w:r>
      <w:r w:rsidR="00BC2E8E" w:rsidRPr="00921120">
        <w:rPr>
          <w:rFonts w:ascii="Arial" w:hAnsi="Arial" w:cs="Arial"/>
          <w:sz w:val="20"/>
          <w:szCs w:val="20"/>
        </w:rPr>
        <w:t>aboration agreements</w:t>
      </w:r>
      <w:r w:rsidR="009C0AE1" w:rsidRPr="00921120">
        <w:rPr>
          <w:rFonts w:ascii="Arial" w:hAnsi="Arial" w:cs="Arial"/>
          <w:sz w:val="20"/>
          <w:szCs w:val="20"/>
        </w:rPr>
        <w:t xml:space="preserve"> or </w:t>
      </w:r>
      <w:r w:rsidR="00BC2E8E" w:rsidRPr="00921120">
        <w:rPr>
          <w:rFonts w:ascii="Arial" w:hAnsi="Arial" w:cs="Arial"/>
          <w:sz w:val="20"/>
          <w:szCs w:val="20"/>
        </w:rPr>
        <w:t>M</w:t>
      </w:r>
      <w:r w:rsidR="009C0AE1" w:rsidRPr="00921120">
        <w:rPr>
          <w:rFonts w:ascii="Arial" w:hAnsi="Arial" w:cs="Arial"/>
          <w:sz w:val="20"/>
          <w:szCs w:val="20"/>
        </w:rPr>
        <w:t>emoranda of Understanding</w:t>
      </w:r>
      <w:r w:rsidR="00BC2E8E" w:rsidRPr="00921120">
        <w:rPr>
          <w:rFonts w:ascii="Arial" w:hAnsi="Arial" w:cs="Arial"/>
          <w:sz w:val="20"/>
          <w:szCs w:val="20"/>
        </w:rPr>
        <w:t>. SMME</w:t>
      </w:r>
      <w:r w:rsidR="006F0F3E" w:rsidRPr="00921120">
        <w:rPr>
          <w:rFonts w:ascii="Arial" w:hAnsi="Arial" w:cs="Arial"/>
          <w:sz w:val="20"/>
          <w:szCs w:val="20"/>
        </w:rPr>
        <w:t>s within the Industrial Pa</w:t>
      </w:r>
      <w:r w:rsidR="00BC2E8E" w:rsidRPr="00921120">
        <w:rPr>
          <w:rFonts w:ascii="Arial" w:hAnsi="Arial" w:cs="Arial"/>
          <w:sz w:val="20"/>
          <w:szCs w:val="20"/>
        </w:rPr>
        <w:t>rk requiring financial support we</w:t>
      </w:r>
      <w:r w:rsidR="006F0F3E" w:rsidRPr="00921120">
        <w:rPr>
          <w:rFonts w:ascii="Arial" w:hAnsi="Arial" w:cs="Arial"/>
          <w:sz w:val="20"/>
          <w:szCs w:val="20"/>
        </w:rPr>
        <w:t xml:space="preserve">re referred to these agencies to secure the necessary financial support that would ensure </w:t>
      </w:r>
      <w:r w:rsidR="00BC2E8E" w:rsidRPr="00921120">
        <w:rPr>
          <w:rFonts w:ascii="Arial" w:hAnsi="Arial" w:cs="Arial"/>
          <w:sz w:val="20"/>
          <w:szCs w:val="20"/>
        </w:rPr>
        <w:t>their</w:t>
      </w:r>
      <w:r w:rsidR="006F0F3E" w:rsidRPr="00921120">
        <w:rPr>
          <w:rFonts w:ascii="Arial" w:hAnsi="Arial" w:cs="Arial"/>
          <w:sz w:val="20"/>
          <w:szCs w:val="20"/>
        </w:rPr>
        <w:t xml:space="preserve"> susta</w:t>
      </w:r>
      <w:r w:rsidR="00BC2E8E" w:rsidRPr="00921120">
        <w:rPr>
          <w:rFonts w:ascii="Arial" w:hAnsi="Arial" w:cs="Arial"/>
          <w:sz w:val="20"/>
          <w:szCs w:val="20"/>
        </w:rPr>
        <w:t>inability as well as meeting their</w:t>
      </w:r>
      <w:r w:rsidR="006F0F3E" w:rsidRPr="00921120">
        <w:rPr>
          <w:rFonts w:ascii="Arial" w:hAnsi="Arial" w:cs="Arial"/>
          <w:sz w:val="20"/>
          <w:szCs w:val="20"/>
        </w:rPr>
        <w:t xml:space="preserve"> obligations in terms of the lease agreement. </w:t>
      </w:r>
    </w:p>
    <w:p w:rsidR="006F0F3E" w:rsidRPr="00921120" w:rsidRDefault="006F0F3E" w:rsidP="00921120">
      <w:pPr>
        <w:spacing w:line="240" w:lineRule="auto"/>
        <w:jc w:val="left"/>
        <w:rPr>
          <w:rFonts w:ascii="Arial" w:hAnsi="Arial" w:cs="Arial"/>
          <w:sz w:val="20"/>
          <w:szCs w:val="20"/>
        </w:rPr>
      </w:pPr>
    </w:p>
    <w:p w:rsidR="006F0F3E" w:rsidRPr="00921120" w:rsidRDefault="00ED5724" w:rsidP="00921120">
      <w:pPr>
        <w:pStyle w:val="ListParagraph"/>
        <w:numPr>
          <w:ilvl w:val="0"/>
          <w:numId w:val="24"/>
        </w:numPr>
        <w:spacing w:line="240" w:lineRule="auto"/>
        <w:jc w:val="left"/>
        <w:rPr>
          <w:rFonts w:ascii="Arial" w:hAnsi="Arial" w:cs="Arial"/>
          <w:sz w:val="20"/>
          <w:szCs w:val="20"/>
        </w:rPr>
      </w:pPr>
      <w:r w:rsidRPr="00921120">
        <w:rPr>
          <w:rFonts w:ascii="Arial" w:hAnsi="Arial" w:cs="Arial"/>
          <w:b/>
          <w:bCs/>
          <w:i/>
          <w:iCs/>
          <w:sz w:val="20"/>
          <w:szCs w:val="20"/>
        </w:rPr>
        <w:t xml:space="preserve">Funding for Phase </w:t>
      </w:r>
      <w:r w:rsidR="004747F1" w:rsidRPr="00921120">
        <w:rPr>
          <w:rFonts w:ascii="Arial" w:hAnsi="Arial" w:cs="Arial"/>
          <w:b/>
          <w:bCs/>
          <w:i/>
          <w:iCs/>
          <w:sz w:val="20"/>
          <w:szCs w:val="20"/>
        </w:rPr>
        <w:t>2</w:t>
      </w:r>
      <w:r w:rsidRPr="00921120">
        <w:rPr>
          <w:rFonts w:ascii="Arial" w:hAnsi="Arial" w:cs="Arial"/>
          <w:bCs/>
          <w:iCs/>
          <w:sz w:val="20"/>
          <w:szCs w:val="20"/>
        </w:rPr>
        <w:t xml:space="preserve">: </w:t>
      </w:r>
      <w:r w:rsidR="006F0F3E" w:rsidRPr="00921120">
        <w:rPr>
          <w:rFonts w:ascii="Arial" w:hAnsi="Arial" w:cs="Arial"/>
          <w:sz w:val="20"/>
          <w:szCs w:val="20"/>
        </w:rPr>
        <w:t xml:space="preserve">It was not clear from the presentation whether funding for the commencement of </w:t>
      </w:r>
      <w:r w:rsidRPr="00921120">
        <w:rPr>
          <w:rFonts w:ascii="Arial" w:hAnsi="Arial" w:cs="Arial"/>
          <w:sz w:val="20"/>
          <w:szCs w:val="20"/>
        </w:rPr>
        <w:t xml:space="preserve">Phase </w:t>
      </w:r>
      <w:r w:rsidR="004747F1" w:rsidRPr="00921120">
        <w:rPr>
          <w:rFonts w:ascii="Arial" w:hAnsi="Arial" w:cs="Arial"/>
          <w:sz w:val="20"/>
          <w:szCs w:val="20"/>
        </w:rPr>
        <w:t>2</w:t>
      </w:r>
      <w:r w:rsidR="006F0F3E" w:rsidRPr="00921120">
        <w:rPr>
          <w:rFonts w:ascii="Arial" w:hAnsi="Arial" w:cs="Arial"/>
          <w:sz w:val="20"/>
          <w:szCs w:val="20"/>
        </w:rPr>
        <w:t xml:space="preserve"> of the revitalisation programme at the Nkowankowa Industrial Park had been secu</w:t>
      </w:r>
      <w:r w:rsidRPr="00921120">
        <w:rPr>
          <w:rFonts w:ascii="Arial" w:hAnsi="Arial" w:cs="Arial"/>
          <w:sz w:val="20"/>
          <w:szCs w:val="20"/>
        </w:rPr>
        <w:t>red. Bulk infrastructure remained</w:t>
      </w:r>
      <w:r w:rsidR="006F0F3E" w:rsidRPr="00921120">
        <w:rPr>
          <w:rFonts w:ascii="Arial" w:hAnsi="Arial" w:cs="Arial"/>
          <w:sz w:val="20"/>
          <w:szCs w:val="20"/>
        </w:rPr>
        <w:t xml:space="preserve"> a major impediment to the success of the Industrial Parks and its ability to retain and attract new investors. </w:t>
      </w:r>
      <w:r w:rsidR="009E02D0" w:rsidRPr="00921120">
        <w:rPr>
          <w:rFonts w:ascii="Arial" w:hAnsi="Arial" w:cs="Arial"/>
          <w:sz w:val="20"/>
          <w:szCs w:val="20"/>
        </w:rPr>
        <w:t xml:space="preserve">According to the LEDA, the application for funding for Phase 2 of the IPRP was 99% complete. </w:t>
      </w:r>
      <w:r w:rsidR="006F0F3E" w:rsidRPr="00921120">
        <w:rPr>
          <w:rFonts w:ascii="Arial" w:hAnsi="Arial" w:cs="Arial"/>
          <w:sz w:val="20"/>
          <w:szCs w:val="20"/>
        </w:rPr>
        <w:t>Furthermore, support from LEDA to initiate the revival of previously active economic areas, within the T</w:t>
      </w:r>
      <w:r w:rsidRPr="00921120">
        <w:rPr>
          <w:rFonts w:ascii="Arial" w:hAnsi="Arial" w:cs="Arial"/>
          <w:sz w:val="20"/>
          <w:szCs w:val="20"/>
        </w:rPr>
        <w:t>hulamela Local Municipality, was</w:t>
      </w:r>
      <w:r w:rsidR="006F0F3E" w:rsidRPr="00921120">
        <w:rPr>
          <w:rFonts w:ascii="Arial" w:hAnsi="Arial" w:cs="Arial"/>
          <w:sz w:val="20"/>
          <w:szCs w:val="20"/>
        </w:rPr>
        <w:t xml:space="preserve"> critical for economic development of </w:t>
      </w:r>
      <w:r w:rsidRPr="00921120">
        <w:rPr>
          <w:rFonts w:ascii="Arial" w:hAnsi="Arial" w:cs="Arial"/>
          <w:sz w:val="20"/>
          <w:szCs w:val="20"/>
        </w:rPr>
        <w:t xml:space="preserve">the </w:t>
      </w:r>
      <w:r w:rsidR="006F0F3E" w:rsidRPr="00921120">
        <w:rPr>
          <w:rFonts w:ascii="Arial" w:hAnsi="Arial" w:cs="Arial"/>
          <w:sz w:val="20"/>
          <w:szCs w:val="20"/>
        </w:rPr>
        <w:t xml:space="preserve">greater Thohoyandou. With regard to Thohoyandou, the application </w:t>
      </w:r>
      <w:r w:rsidRPr="00921120">
        <w:rPr>
          <w:rFonts w:ascii="Arial" w:hAnsi="Arial" w:cs="Arial"/>
          <w:sz w:val="20"/>
          <w:szCs w:val="20"/>
        </w:rPr>
        <w:t xml:space="preserve">had been </w:t>
      </w:r>
      <w:r w:rsidR="006F0F3E" w:rsidRPr="00921120">
        <w:rPr>
          <w:rFonts w:ascii="Arial" w:hAnsi="Arial" w:cs="Arial"/>
          <w:sz w:val="20"/>
          <w:szCs w:val="20"/>
        </w:rPr>
        <w:t>submitted in 2021</w:t>
      </w:r>
      <w:r w:rsidRPr="00921120">
        <w:rPr>
          <w:rFonts w:ascii="Arial" w:hAnsi="Arial" w:cs="Arial"/>
          <w:sz w:val="20"/>
          <w:szCs w:val="20"/>
        </w:rPr>
        <w:t>;</w:t>
      </w:r>
      <w:r w:rsidR="006F0F3E" w:rsidRPr="00921120">
        <w:rPr>
          <w:rFonts w:ascii="Arial" w:hAnsi="Arial" w:cs="Arial"/>
          <w:sz w:val="20"/>
          <w:szCs w:val="20"/>
        </w:rPr>
        <w:t xml:space="preserve"> however, it </w:t>
      </w:r>
      <w:r w:rsidRPr="00921120">
        <w:rPr>
          <w:rFonts w:ascii="Arial" w:hAnsi="Arial" w:cs="Arial"/>
          <w:sz w:val="20"/>
          <w:szCs w:val="20"/>
        </w:rPr>
        <w:t xml:space="preserve">had </w:t>
      </w:r>
      <w:r w:rsidR="006F0F3E" w:rsidRPr="00921120">
        <w:rPr>
          <w:rFonts w:ascii="Arial" w:hAnsi="Arial" w:cs="Arial"/>
          <w:sz w:val="20"/>
          <w:szCs w:val="20"/>
        </w:rPr>
        <w:t xml:space="preserve">not </w:t>
      </w:r>
      <w:r w:rsidRPr="00921120">
        <w:rPr>
          <w:rFonts w:ascii="Arial" w:hAnsi="Arial" w:cs="Arial"/>
          <w:sz w:val="20"/>
          <w:szCs w:val="20"/>
        </w:rPr>
        <w:t xml:space="preserve">been </w:t>
      </w:r>
      <w:r w:rsidR="006F0F3E" w:rsidRPr="00921120">
        <w:rPr>
          <w:rFonts w:ascii="Arial" w:hAnsi="Arial" w:cs="Arial"/>
          <w:sz w:val="20"/>
          <w:szCs w:val="20"/>
        </w:rPr>
        <w:t>approved due to</w:t>
      </w:r>
      <w:r w:rsidR="009E02D0" w:rsidRPr="00921120">
        <w:rPr>
          <w:rFonts w:ascii="Arial" w:hAnsi="Arial" w:cs="Arial"/>
          <w:sz w:val="20"/>
          <w:szCs w:val="20"/>
        </w:rPr>
        <w:t xml:space="preserve"> a</w:t>
      </w:r>
      <w:r w:rsidR="006F0F3E" w:rsidRPr="00921120">
        <w:rPr>
          <w:rFonts w:ascii="Arial" w:hAnsi="Arial" w:cs="Arial"/>
          <w:sz w:val="20"/>
          <w:szCs w:val="20"/>
        </w:rPr>
        <w:t xml:space="preserve"> compliance issue related to the level of participation of the Province and </w:t>
      </w:r>
      <w:r w:rsidRPr="00921120">
        <w:rPr>
          <w:rFonts w:ascii="Arial" w:hAnsi="Arial" w:cs="Arial"/>
          <w:sz w:val="20"/>
          <w:szCs w:val="20"/>
        </w:rPr>
        <w:t xml:space="preserve">the </w:t>
      </w:r>
      <w:r w:rsidR="006F0F3E" w:rsidRPr="00921120">
        <w:rPr>
          <w:rFonts w:ascii="Arial" w:hAnsi="Arial" w:cs="Arial"/>
          <w:sz w:val="20"/>
          <w:szCs w:val="20"/>
        </w:rPr>
        <w:t xml:space="preserve">Municipality. LEDA </w:t>
      </w:r>
      <w:r w:rsidRPr="00921120">
        <w:rPr>
          <w:rFonts w:ascii="Arial" w:hAnsi="Arial" w:cs="Arial"/>
          <w:sz w:val="20"/>
          <w:szCs w:val="20"/>
        </w:rPr>
        <w:t>wa</w:t>
      </w:r>
      <w:r w:rsidR="006F0F3E" w:rsidRPr="00921120">
        <w:rPr>
          <w:rFonts w:ascii="Arial" w:hAnsi="Arial" w:cs="Arial"/>
          <w:sz w:val="20"/>
          <w:szCs w:val="20"/>
        </w:rPr>
        <w:t>s in the process of ad</w:t>
      </w:r>
      <w:r w:rsidRPr="00921120">
        <w:rPr>
          <w:rFonts w:ascii="Arial" w:hAnsi="Arial" w:cs="Arial"/>
          <w:sz w:val="20"/>
          <w:szCs w:val="20"/>
        </w:rPr>
        <w:t xml:space="preserve">dressing all </w:t>
      </w:r>
      <w:r w:rsidR="009E02D0" w:rsidRPr="00921120">
        <w:rPr>
          <w:rFonts w:ascii="Arial" w:hAnsi="Arial" w:cs="Arial"/>
          <w:sz w:val="20"/>
          <w:szCs w:val="20"/>
        </w:rPr>
        <w:t xml:space="preserve">these </w:t>
      </w:r>
      <w:r w:rsidRPr="00921120">
        <w:rPr>
          <w:rFonts w:ascii="Arial" w:hAnsi="Arial" w:cs="Arial"/>
          <w:sz w:val="20"/>
          <w:szCs w:val="20"/>
        </w:rPr>
        <w:t>concerns and intended</w:t>
      </w:r>
      <w:r w:rsidR="006F0F3E" w:rsidRPr="00921120">
        <w:rPr>
          <w:rFonts w:ascii="Arial" w:hAnsi="Arial" w:cs="Arial"/>
          <w:sz w:val="20"/>
          <w:szCs w:val="20"/>
        </w:rPr>
        <w:t xml:space="preserve"> to submit a new application by the end of February 2023.</w:t>
      </w:r>
    </w:p>
    <w:p w:rsidR="006F0F3E" w:rsidRPr="00921120" w:rsidRDefault="006F0F3E" w:rsidP="00921120">
      <w:pPr>
        <w:spacing w:line="240" w:lineRule="auto"/>
        <w:jc w:val="left"/>
        <w:rPr>
          <w:rFonts w:ascii="Arial" w:hAnsi="Arial" w:cs="Arial"/>
          <w:sz w:val="20"/>
          <w:szCs w:val="20"/>
        </w:rPr>
      </w:pPr>
    </w:p>
    <w:p w:rsidR="006F0F3E" w:rsidRPr="00921120" w:rsidRDefault="006F0F3E" w:rsidP="00921120">
      <w:pPr>
        <w:pStyle w:val="ListParagraph"/>
        <w:numPr>
          <w:ilvl w:val="0"/>
          <w:numId w:val="24"/>
        </w:numPr>
        <w:spacing w:line="240" w:lineRule="auto"/>
        <w:jc w:val="left"/>
        <w:rPr>
          <w:rFonts w:ascii="Arial" w:hAnsi="Arial" w:cs="Arial"/>
          <w:sz w:val="20"/>
          <w:szCs w:val="20"/>
        </w:rPr>
      </w:pPr>
      <w:r w:rsidRPr="00921120">
        <w:rPr>
          <w:rFonts w:ascii="Arial" w:hAnsi="Arial" w:cs="Arial"/>
          <w:b/>
          <w:bCs/>
          <w:i/>
          <w:iCs/>
          <w:sz w:val="20"/>
          <w:szCs w:val="20"/>
        </w:rPr>
        <w:t>Audit findings</w:t>
      </w:r>
      <w:r w:rsidR="0042087F" w:rsidRPr="00921120">
        <w:rPr>
          <w:rFonts w:ascii="Arial" w:hAnsi="Arial" w:cs="Arial"/>
          <w:bCs/>
          <w:iCs/>
          <w:sz w:val="20"/>
          <w:szCs w:val="20"/>
        </w:rPr>
        <w:t xml:space="preserve">: </w:t>
      </w:r>
      <w:r w:rsidRPr="00921120">
        <w:rPr>
          <w:rFonts w:ascii="Arial" w:hAnsi="Arial" w:cs="Arial"/>
          <w:sz w:val="20"/>
          <w:szCs w:val="20"/>
        </w:rPr>
        <w:t xml:space="preserve">LEDA </w:t>
      </w:r>
      <w:r w:rsidR="0042087F" w:rsidRPr="00921120">
        <w:rPr>
          <w:rFonts w:ascii="Arial" w:hAnsi="Arial" w:cs="Arial"/>
          <w:sz w:val="20"/>
          <w:szCs w:val="20"/>
        </w:rPr>
        <w:t xml:space="preserve">had </w:t>
      </w:r>
      <w:r w:rsidRPr="00921120">
        <w:rPr>
          <w:rFonts w:ascii="Arial" w:hAnsi="Arial" w:cs="Arial"/>
          <w:sz w:val="20"/>
          <w:szCs w:val="20"/>
        </w:rPr>
        <w:t xml:space="preserve">received a qualified audit opinion on </w:t>
      </w:r>
      <w:r w:rsidR="0042087F" w:rsidRPr="00921120">
        <w:rPr>
          <w:rFonts w:ascii="Arial" w:hAnsi="Arial" w:cs="Arial"/>
          <w:sz w:val="20"/>
          <w:szCs w:val="20"/>
        </w:rPr>
        <w:t>its</w:t>
      </w:r>
      <w:r w:rsidRPr="00921120">
        <w:rPr>
          <w:rFonts w:ascii="Arial" w:hAnsi="Arial" w:cs="Arial"/>
          <w:sz w:val="20"/>
          <w:szCs w:val="20"/>
        </w:rPr>
        <w:t xml:space="preserve"> consolidated financial statemen</w:t>
      </w:r>
      <w:r w:rsidR="0042087F" w:rsidRPr="00921120">
        <w:rPr>
          <w:rFonts w:ascii="Arial" w:hAnsi="Arial" w:cs="Arial"/>
          <w:sz w:val="20"/>
          <w:szCs w:val="20"/>
        </w:rPr>
        <w:t>ts and an unqualified opinion on</w:t>
      </w:r>
      <w:r w:rsidRPr="00921120">
        <w:rPr>
          <w:rFonts w:ascii="Arial" w:hAnsi="Arial" w:cs="Arial"/>
          <w:sz w:val="20"/>
          <w:szCs w:val="20"/>
        </w:rPr>
        <w:t xml:space="preserve"> the separate financial statements. These issues a</w:t>
      </w:r>
      <w:r w:rsidR="0042087F" w:rsidRPr="00921120">
        <w:rPr>
          <w:rFonts w:ascii="Arial" w:hAnsi="Arial" w:cs="Arial"/>
          <w:sz w:val="20"/>
          <w:szCs w:val="20"/>
        </w:rPr>
        <w:t>round the audit outcomes remained</w:t>
      </w:r>
      <w:r w:rsidRPr="00921120">
        <w:rPr>
          <w:rFonts w:ascii="Arial" w:hAnsi="Arial" w:cs="Arial"/>
          <w:sz w:val="20"/>
          <w:szCs w:val="20"/>
        </w:rPr>
        <w:t xml:space="preserve"> a concern for the Committee</w:t>
      </w:r>
      <w:r w:rsidR="0042087F" w:rsidRPr="00921120">
        <w:rPr>
          <w:rFonts w:ascii="Arial" w:hAnsi="Arial" w:cs="Arial"/>
          <w:sz w:val="20"/>
          <w:szCs w:val="20"/>
        </w:rPr>
        <w:t xml:space="preserve"> for the current financial year. The Committee enquired</w:t>
      </w:r>
      <w:r w:rsidRPr="00921120">
        <w:rPr>
          <w:rFonts w:ascii="Arial" w:hAnsi="Arial" w:cs="Arial"/>
          <w:sz w:val="20"/>
          <w:szCs w:val="20"/>
        </w:rPr>
        <w:t xml:space="preserve"> </w:t>
      </w:r>
      <w:r w:rsidR="00883435" w:rsidRPr="00921120">
        <w:rPr>
          <w:rFonts w:ascii="Arial" w:hAnsi="Arial" w:cs="Arial"/>
          <w:sz w:val="20"/>
          <w:szCs w:val="20"/>
        </w:rPr>
        <w:t>whether any steps had</w:t>
      </w:r>
      <w:r w:rsidRPr="00921120">
        <w:rPr>
          <w:rFonts w:ascii="Arial" w:hAnsi="Arial" w:cs="Arial"/>
          <w:sz w:val="20"/>
          <w:szCs w:val="20"/>
        </w:rPr>
        <w:t xml:space="preserve"> been implemented to mitigate against </w:t>
      </w:r>
      <w:r w:rsidR="00883435" w:rsidRPr="00921120">
        <w:rPr>
          <w:rFonts w:ascii="Arial" w:hAnsi="Arial" w:cs="Arial"/>
          <w:sz w:val="20"/>
          <w:szCs w:val="20"/>
        </w:rPr>
        <w:t xml:space="preserve">the </w:t>
      </w:r>
      <w:r w:rsidRPr="00921120">
        <w:rPr>
          <w:rFonts w:ascii="Arial" w:hAnsi="Arial" w:cs="Arial"/>
          <w:sz w:val="20"/>
          <w:szCs w:val="20"/>
        </w:rPr>
        <w:t xml:space="preserve">current audit status. </w:t>
      </w:r>
      <w:r w:rsidR="0037598E" w:rsidRPr="00921120">
        <w:rPr>
          <w:rFonts w:ascii="Arial" w:hAnsi="Arial" w:cs="Arial"/>
          <w:sz w:val="20"/>
          <w:szCs w:val="20"/>
        </w:rPr>
        <w:t>LEDA explained that</w:t>
      </w:r>
      <w:r w:rsidRPr="00921120">
        <w:rPr>
          <w:rFonts w:ascii="Arial" w:hAnsi="Arial" w:cs="Arial"/>
          <w:sz w:val="20"/>
          <w:szCs w:val="20"/>
        </w:rPr>
        <w:t xml:space="preserve"> </w:t>
      </w:r>
      <w:r w:rsidR="0037598E" w:rsidRPr="00921120">
        <w:rPr>
          <w:rFonts w:ascii="Arial" w:hAnsi="Arial" w:cs="Arial"/>
          <w:sz w:val="20"/>
          <w:szCs w:val="20"/>
        </w:rPr>
        <w:t>t</w:t>
      </w:r>
      <w:r w:rsidRPr="00921120">
        <w:rPr>
          <w:rFonts w:ascii="Arial" w:hAnsi="Arial" w:cs="Arial"/>
          <w:sz w:val="20"/>
          <w:szCs w:val="20"/>
        </w:rPr>
        <w:t xml:space="preserve">he basis for the qualified opinion was that one of </w:t>
      </w:r>
      <w:r w:rsidR="0037598E" w:rsidRPr="00921120">
        <w:rPr>
          <w:rFonts w:ascii="Arial" w:hAnsi="Arial" w:cs="Arial"/>
          <w:sz w:val="20"/>
          <w:szCs w:val="20"/>
        </w:rPr>
        <w:t>its</w:t>
      </w:r>
      <w:r w:rsidRPr="00921120">
        <w:rPr>
          <w:rFonts w:ascii="Arial" w:hAnsi="Arial" w:cs="Arial"/>
          <w:sz w:val="20"/>
          <w:szCs w:val="20"/>
        </w:rPr>
        <w:t xml:space="preserve"> subsidiaries</w:t>
      </w:r>
      <w:r w:rsidR="0037598E" w:rsidRPr="00921120">
        <w:rPr>
          <w:rFonts w:ascii="Arial" w:hAnsi="Arial" w:cs="Arial"/>
          <w:sz w:val="20"/>
          <w:szCs w:val="20"/>
        </w:rPr>
        <w:t>’</w:t>
      </w:r>
      <w:r w:rsidRPr="00921120">
        <w:rPr>
          <w:rFonts w:ascii="Arial" w:hAnsi="Arial" w:cs="Arial"/>
          <w:sz w:val="20"/>
          <w:szCs w:val="20"/>
        </w:rPr>
        <w:t xml:space="preserve"> financial statements </w:t>
      </w:r>
      <w:r w:rsidR="0037598E" w:rsidRPr="00921120">
        <w:rPr>
          <w:rFonts w:ascii="Arial" w:hAnsi="Arial" w:cs="Arial"/>
          <w:sz w:val="20"/>
          <w:szCs w:val="20"/>
        </w:rPr>
        <w:t xml:space="preserve">had been </w:t>
      </w:r>
      <w:r w:rsidRPr="00921120">
        <w:rPr>
          <w:rFonts w:ascii="Arial" w:hAnsi="Arial" w:cs="Arial"/>
          <w:sz w:val="20"/>
          <w:szCs w:val="20"/>
        </w:rPr>
        <w:t>materially misstated. The</w:t>
      </w:r>
      <w:r w:rsidR="0037598E" w:rsidRPr="00921120">
        <w:rPr>
          <w:rFonts w:ascii="Arial" w:hAnsi="Arial" w:cs="Arial"/>
          <w:sz w:val="20"/>
          <w:szCs w:val="20"/>
        </w:rPr>
        <w:t>refore, the</w:t>
      </w:r>
      <w:r w:rsidRPr="00921120">
        <w:rPr>
          <w:rFonts w:ascii="Arial" w:hAnsi="Arial" w:cs="Arial"/>
          <w:sz w:val="20"/>
          <w:szCs w:val="20"/>
        </w:rPr>
        <w:t xml:space="preserve"> Auditor-General was unable to obtain sufficient appropriate evidence relating to the completeness of </w:t>
      </w:r>
      <w:r w:rsidR="0037598E" w:rsidRPr="00921120">
        <w:rPr>
          <w:rFonts w:ascii="Arial" w:hAnsi="Arial" w:cs="Arial"/>
          <w:sz w:val="20"/>
          <w:szCs w:val="20"/>
        </w:rPr>
        <w:t xml:space="preserve">the </w:t>
      </w:r>
      <w:r w:rsidRPr="00921120">
        <w:rPr>
          <w:rFonts w:ascii="Arial" w:hAnsi="Arial" w:cs="Arial"/>
          <w:sz w:val="20"/>
          <w:szCs w:val="20"/>
        </w:rPr>
        <w:t xml:space="preserve">assets in question. </w:t>
      </w:r>
    </w:p>
    <w:p w:rsidR="006F0F3E" w:rsidRPr="00921120" w:rsidRDefault="006F0F3E" w:rsidP="00921120">
      <w:pPr>
        <w:spacing w:line="240" w:lineRule="auto"/>
        <w:jc w:val="left"/>
        <w:rPr>
          <w:rFonts w:ascii="Arial" w:hAnsi="Arial" w:cs="Arial"/>
          <w:sz w:val="20"/>
          <w:szCs w:val="20"/>
        </w:rPr>
      </w:pPr>
    </w:p>
    <w:p w:rsidR="006F0F3E" w:rsidRPr="00921120" w:rsidRDefault="006F0F3E" w:rsidP="00921120">
      <w:pPr>
        <w:pStyle w:val="ListParagraph"/>
        <w:numPr>
          <w:ilvl w:val="0"/>
          <w:numId w:val="24"/>
        </w:numPr>
        <w:spacing w:line="240" w:lineRule="auto"/>
        <w:jc w:val="left"/>
        <w:rPr>
          <w:rFonts w:ascii="Arial" w:hAnsi="Arial" w:cs="Arial"/>
          <w:sz w:val="20"/>
          <w:szCs w:val="20"/>
        </w:rPr>
      </w:pPr>
      <w:r w:rsidRPr="00921120">
        <w:rPr>
          <w:rFonts w:ascii="Arial" w:hAnsi="Arial" w:cs="Arial"/>
          <w:b/>
          <w:bCs/>
          <w:i/>
          <w:iCs/>
          <w:sz w:val="20"/>
          <w:szCs w:val="20"/>
        </w:rPr>
        <w:t>AfCFTA</w:t>
      </w:r>
      <w:r w:rsidR="0037598E" w:rsidRPr="00921120">
        <w:rPr>
          <w:rFonts w:ascii="Arial" w:hAnsi="Arial" w:cs="Arial"/>
          <w:bCs/>
          <w:iCs/>
          <w:sz w:val="20"/>
          <w:szCs w:val="20"/>
        </w:rPr>
        <w:t xml:space="preserve">: </w:t>
      </w:r>
      <w:r w:rsidRPr="00921120">
        <w:rPr>
          <w:rFonts w:ascii="Arial" w:hAnsi="Arial" w:cs="Arial"/>
          <w:sz w:val="20"/>
          <w:szCs w:val="20"/>
        </w:rPr>
        <w:t xml:space="preserve">LEDA </w:t>
      </w:r>
      <w:r w:rsidR="0089436A" w:rsidRPr="00921120">
        <w:rPr>
          <w:rFonts w:ascii="Arial" w:hAnsi="Arial" w:cs="Arial"/>
          <w:sz w:val="20"/>
          <w:szCs w:val="20"/>
        </w:rPr>
        <w:t xml:space="preserve">had </w:t>
      </w:r>
      <w:r w:rsidRPr="00921120">
        <w:rPr>
          <w:rFonts w:ascii="Arial" w:hAnsi="Arial" w:cs="Arial"/>
          <w:sz w:val="20"/>
          <w:szCs w:val="20"/>
        </w:rPr>
        <w:t xml:space="preserve">made reference to business opportunities provided for foreign nationals, especially within the Industrial Parks. This should be illustrated in the context of the AfCFTA and SADC as foreign national participation in the Industrial Parks may be perceived as compromising </w:t>
      </w:r>
      <w:r w:rsidR="0089436A" w:rsidRPr="00921120">
        <w:rPr>
          <w:rFonts w:ascii="Arial" w:hAnsi="Arial" w:cs="Arial"/>
          <w:sz w:val="20"/>
          <w:szCs w:val="20"/>
        </w:rPr>
        <w:t>the domestic</w:t>
      </w:r>
      <w:r w:rsidRPr="00921120">
        <w:rPr>
          <w:rFonts w:ascii="Arial" w:hAnsi="Arial" w:cs="Arial"/>
          <w:sz w:val="20"/>
          <w:szCs w:val="20"/>
        </w:rPr>
        <w:t xml:space="preserve"> economy, especially </w:t>
      </w:r>
      <w:r w:rsidR="00534B17" w:rsidRPr="00921120">
        <w:rPr>
          <w:rFonts w:ascii="Arial" w:hAnsi="Arial" w:cs="Arial"/>
          <w:sz w:val="20"/>
          <w:szCs w:val="20"/>
        </w:rPr>
        <w:t xml:space="preserve">in terms of </w:t>
      </w:r>
      <w:r w:rsidRPr="00921120">
        <w:rPr>
          <w:rFonts w:ascii="Arial" w:hAnsi="Arial" w:cs="Arial"/>
          <w:sz w:val="20"/>
          <w:szCs w:val="20"/>
        </w:rPr>
        <w:t>illici</w:t>
      </w:r>
      <w:r w:rsidR="0089436A" w:rsidRPr="00921120">
        <w:rPr>
          <w:rFonts w:ascii="Arial" w:hAnsi="Arial" w:cs="Arial"/>
          <w:sz w:val="20"/>
          <w:szCs w:val="20"/>
        </w:rPr>
        <w:t xml:space="preserve">t trade. On the </w:t>
      </w:r>
      <w:r w:rsidRPr="00921120">
        <w:rPr>
          <w:rFonts w:ascii="Arial" w:hAnsi="Arial" w:cs="Arial"/>
          <w:sz w:val="20"/>
          <w:szCs w:val="20"/>
        </w:rPr>
        <w:t>trade opportu</w:t>
      </w:r>
      <w:r w:rsidR="0089436A" w:rsidRPr="00921120">
        <w:rPr>
          <w:rFonts w:ascii="Arial" w:hAnsi="Arial" w:cs="Arial"/>
          <w:sz w:val="20"/>
          <w:szCs w:val="20"/>
        </w:rPr>
        <w:t>nities offered by AfCFTA, LEDA wa</w:t>
      </w:r>
      <w:r w:rsidRPr="00921120">
        <w:rPr>
          <w:rFonts w:ascii="Arial" w:hAnsi="Arial" w:cs="Arial"/>
          <w:sz w:val="20"/>
          <w:szCs w:val="20"/>
        </w:rPr>
        <w:t xml:space="preserve">s entering into an agreement with </w:t>
      </w:r>
      <w:r w:rsidR="00534B17" w:rsidRPr="00921120">
        <w:rPr>
          <w:rFonts w:ascii="Arial" w:hAnsi="Arial" w:cs="Arial"/>
          <w:sz w:val="20"/>
          <w:szCs w:val="20"/>
        </w:rPr>
        <w:t>the South African Local Government Association</w:t>
      </w:r>
      <w:r w:rsidR="00643F73" w:rsidRPr="00921120">
        <w:rPr>
          <w:rFonts w:ascii="Arial" w:hAnsi="Arial" w:cs="Arial"/>
          <w:sz w:val="20"/>
          <w:szCs w:val="20"/>
        </w:rPr>
        <w:t xml:space="preserve"> (SALGA)</w:t>
      </w:r>
      <w:r w:rsidRPr="00921120">
        <w:rPr>
          <w:rFonts w:ascii="Arial" w:hAnsi="Arial" w:cs="Arial"/>
          <w:sz w:val="20"/>
          <w:szCs w:val="20"/>
        </w:rPr>
        <w:t xml:space="preserve"> to open chapters in those provinces and districts that are close to the borders. The provinc</w:t>
      </w:r>
      <w:r w:rsidR="00A02CBE" w:rsidRPr="00921120">
        <w:rPr>
          <w:rFonts w:ascii="Arial" w:hAnsi="Arial" w:cs="Arial"/>
          <w:sz w:val="20"/>
          <w:szCs w:val="20"/>
        </w:rPr>
        <w:t>e wa</w:t>
      </w:r>
      <w:r w:rsidRPr="00921120">
        <w:rPr>
          <w:rFonts w:ascii="Arial" w:hAnsi="Arial" w:cs="Arial"/>
          <w:sz w:val="20"/>
          <w:szCs w:val="20"/>
        </w:rPr>
        <w:t xml:space="preserve">s also linked to </w:t>
      </w:r>
      <w:r w:rsidR="00534B17" w:rsidRPr="00921120">
        <w:rPr>
          <w:rFonts w:ascii="Arial" w:hAnsi="Arial" w:cs="Arial"/>
          <w:sz w:val="20"/>
          <w:szCs w:val="20"/>
        </w:rPr>
        <w:t xml:space="preserve">the </w:t>
      </w:r>
      <w:r w:rsidRPr="00921120">
        <w:rPr>
          <w:rFonts w:ascii="Arial" w:hAnsi="Arial" w:cs="Arial"/>
          <w:sz w:val="20"/>
          <w:szCs w:val="20"/>
        </w:rPr>
        <w:t xml:space="preserve">Maputo Development Corridor through the Ba-Phalaborwa Spatial Development </w:t>
      </w:r>
      <w:r w:rsidR="00534B17" w:rsidRPr="00921120">
        <w:rPr>
          <w:rFonts w:ascii="Arial" w:hAnsi="Arial" w:cs="Arial"/>
          <w:sz w:val="20"/>
          <w:szCs w:val="20"/>
        </w:rPr>
        <w:t>I</w:t>
      </w:r>
      <w:r w:rsidRPr="00921120">
        <w:rPr>
          <w:rFonts w:ascii="Arial" w:hAnsi="Arial" w:cs="Arial"/>
          <w:sz w:val="20"/>
          <w:szCs w:val="20"/>
        </w:rPr>
        <w:t xml:space="preserve">nitiative, a network of road and rail corridors connecting to the major seaports set to open up Limpopo and the surrounding regions for trade and investment. It </w:t>
      </w:r>
      <w:r w:rsidR="00A02CBE" w:rsidRPr="00921120">
        <w:rPr>
          <w:rFonts w:ascii="Arial" w:hAnsi="Arial" w:cs="Arial"/>
          <w:sz w:val="20"/>
          <w:szCs w:val="20"/>
        </w:rPr>
        <w:t>wa</w:t>
      </w:r>
      <w:r w:rsidRPr="00921120">
        <w:rPr>
          <w:rFonts w:ascii="Arial" w:hAnsi="Arial" w:cs="Arial"/>
          <w:sz w:val="20"/>
          <w:szCs w:val="20"/>
        </w:rPr>
        <w:t xml:space="preserve">s </w:t>
      </w:r>
      <w:r w:rsidR="00534B17" w:rsidRPr="00921120">
        <w:rPr>
          <w:rFonts w:ascii="Arial" w:hAnsi="Arial" w:cs="Arial"/>
          <w:sz w:val="20"/>
          <w:szCs w:val="20"/>
        </w:rPr>
        <w:t>LEDA’s</w:t>
      </w:r>
      <w:r w:rsidRPr="00921120">
        <w:rPr>
          <w:rFonts w:ascii="Arial" w:hAnsi="Arial" w:cs="Arial"/>
          <w:sz w:val="20"/>
          <w:szCs w:val="20"/>
        </w:rPr>
        <w:t xml:space="preserve"> intention to establish one-stop-shop facilities to give access to those precincts, district and municipalities to facilitate exports of products produced in the surrounding areas. </w:t>
      </w:r>
      <w:r w:rsidR="00A02CBE" w:rsidRPr="00921120">
        <w:rPr>
          <w:rFonts w:ascii="Arial" w:hAnsi="Arial" w:cs="Arial"/>
          <w:sz w:val="20"/>
          <w:szCs w:val="20"/>
        </w:rPr>
        <w:t>T</w:t>
      </w:r>
      <w:r w:rsidRPr="00921120">
        <w:rPr>
          <w:rFonts w:ascii="Arial" w:hAnsi="Arial" w:cs="Arial"/>
          <w:sz w:val="20"/>
          <w:szCs w:val="20"/>
        </w:rPr>
        <w:t xml:space="preserve">o effectively </w:t>
      </w:r>
      <w:r w:rsidR="00A02CBE" w:rsidRPr="00921120">
        <w:rPr>
          <w:rFonts w:ascii="Arial" w:hAnsi="Arial" w:cs="Arial"/>
          <w:sz w:val="20"/>
          <w:szCs w:val="20"/>
        </w:rPr>
        <w:t>use</w:t>
      </w:r>
      <w:r w:rsidRPr="00921120">
        <w:rPr>
          <w:rFonts w:ascii="Arial" w:hAnsi="Arial" w:cs="Arial"/>
          <w:sz w:val="20"/>
          <w:szCs w:val="20"/>
        </w:rPr>
        <w:t xml:space="preserve"> the benefits associated with the AfCFTA, it </w:t>
      </w:r>
      <w:r w:rsidR="00A02CBE" w:rsidRPr="00921120">
        <w:rPr>
          <w:rFonts w:ascii="Arial" w:hAnsi="Arial" w:cs="Arial"/>
          <w:sz w:val="20"/>
          <w:szCs w:val="20"/>
        </w:rPr>
        <w:t xml:space="preserve">would </w:t>
      </w:r>
      <w:r w:rsidRPr="00921120">
        <w:rPr>
          <w:rFonts w:ascii="Arial" w:hAnsi="Arial" w:cs="Arial"/>
          <w:sz w:val="20"/>
          <w:szCs w:val="20"/>
        </w:rPr>
        <w:t>become imperative to initiate capacity building programmes to professionalise the operation and management of Industrial Parks so that the tenants achieve</w:t>
      </w:r>
      <w:r w:rsidR="00534B17" w:rsidRPr="00921120">
        <w:rPr>
          <w:rFonts w:ascii="Arial" w:hAnsi="Arial" w:cs="Arial"/>
          <w:sz w:val="20"/>
          <w:szCs w:val="20"/>
        </w:rPr>
        <w:t>d</w:t>
      </w:r>
      <w:r w:rsidRPr="00921120">
        <w:rPr>
          <w:rFonts w:ascii="Arial" w:hAnsi="Arial" w:cs="Arial"/>
          <w:sz w:val="20"/>
          <w:szCs w:val="20"/>
        </w:rPr>
        <w:t xml:space="preserve"> maximum benefits from </w:t>
      </w:r>
      <w:r w:rsidR="00A02CBE" w:rsidRPr="00921120">
        <w:rPr>
          <w:rFonts w:ascii="Arial" w:hAnsi="Arial" w:cs="Arial"/>
          <w:sz w:val="20"/>
          <w:szCs w:val="20"/>
        </w:rPr>
        <w:t>it</w:t>
      </w:r>
      <w:r w:rsidRPr="00921120">
        <w:rPr>
          <w:rFonts w:ascii="Arial" w:hAnsi="Arial" w:cs="Arial"/>
          <w:sz w:val="20"/>
          <w:szCs w:val="20"/>
        </w:rPr>
        <w:t xml:space="preserve">. It should be noted that South African companies </w:t>
      </w:r>
      <w:r w:rsidR="00A02CBE" w:rsidRPr="00921120">
        <w:rPr>
          <w:rFonts w:ascii="Arial" w:hAnsi="Arial" w:cs="Arial"/>
          <w:sz w:val="20"/>
          <w:szCs w:val="20"/>
        </w:rPr>
        <w:t>we</w:t>
      </w:r>
      <w:r w:rsidRPr="00921120">
        <w:rPr>
          <w:rFonts w:ascii="Arial" w:hAnsi="Arial" w:cs="Arial"/>
          <w:sz w:val="20"/>
          <w:szCs w:val="20"/>
        </w:rPr>
        <w:t xml:space="preserve">re already benefiting from the SADC </w:t>
      </w:r>
      <w:r w:rsidR="00A02CBE" w:rsidRPr="00921120">
        <w:rPr>
          <w:rFonts w:ascii="Arial" w:hAnsi="Arial" w:cs="Arial"/>
          <w:sz w:val="20"/>
          <w:szCs w:val="20"/>
        </w:rPr>
        <w:t>Free Trade Area</w:t>
      </w:r>
      <w:r w:rsidRPr="00921120">
        <w:rPr>
          <w:rFonts w:ascii="Arial" w:hAnsi="Arial" w:cs="Arial"/>
          <w:sz w:val="20"/>
          <w:szCs w:val="20"/>
        </w:rPr>
        <w:t>. LEDA support</w:t>
      </w:r>
      <w:r w:rsidR="00A02CBE" w:rsidRPr="00921120">
        <w:rPr>
          <w:rFonts w:ascii="Arial" w:hAnsi="Arial" w:cs="Arial"/>
          <w:sz w:val="20"/>
          <w:szCs w:val="20"/>
        </w:rPr>
        <w:t>ed a number of SMME</w:t>
      </w:r>
      <w:r w:rsidRPr="00921120">
        <w:rPr>
          <w:rFonts w:ascii="Arial" w:hAnsi="Arial" w:cs="Arial"/>
          <w:sz w:val="20"/>
          <w:szCs w:val="20"/>
        </w:rPr>
        <w:t xml:space="preserve">s </w:t>
      </w:r>
      <w:r w:rsidR="00A02CBE" w:rsidRPr="00921120">
        <w:rPr>
          <w:rFonts w:ascii="Arial" w:hAnsi="Arial" w:cs="Arial"/>
          <w:sz w:val="20"/>
          <w:szCs w:val="20"/>
        </w:rPr>
        <w:t xml:space="preserve">through </w:t>
      </w:r>
      <w:r w:rsidRPr="00921120">
        <w:rPr>
          <w:rFonts w:ascii="Arial" w:hAnsi="Arial" w:cs="Arial"/>
          <w:sz w:val="20"/>
          <w:szCs w:val="20"/>
        </w:rPr>
        <w:t>various pavilions and trade fairs on the African continent.</w:t>
      </w:r>
    </w:p>
    <w:p w:rsidR="006F0F3E" w:rsidRPr="00921120" w:rsidRDefault="006F0F3E" w:rsidP="00921120">
      <w:pPr>
        <w:spacing w:line="240" w:lineRule="auto"/>
        <w:jc w:val="left"/>
        <w:rPr>
          <w:rFonts w:ascii="Arial" w:hAnsi="Arial" w:cs="Arial"/>
          <w:sz w:val="20"/>
          <w:szCs w:val="20"/>
        </w:rPr>
      </w:pPr>
    </w:p>
    <w:p w:rsidR="006F0F3E" w:rsidRPr="00921120" w:rsidRDefault="006F0F3E" w:rsidP="00921120">
      <w:pPr>
        <w:pStyle w:val="ListParagraph"/>
        <w:numPr>
          <w:ilvl w:val="0"/>
          <w:numId w:val="24"/>
        </w:numPr>
        <w:spacing w:line="240" w:lineRule="auto"/>
        <w:jc w:val="left"/>
        <w:rPr>
          <w:rFonts w:ascii="Arial" w:hAnsi="Arial" w:cs="Arial"/>
          <w:sz w:val="20"/>
          <w:szCs w:val="20"/>
        </w:rPr>
      </w:pPr>
      <w:r w:rsidRPr="00921120">
        <w:rPr>
          <w:rFonts w:ascii="Arial" w:hAnsi="Arial" w:cs="Arial"/>
          <w:b/>
          <w:bCs/>
          <w:i/>
          <w:iCs/>
          <w:sz w:val="20"/>
          <w:szCs w:val="20"/>
        </w:rPr>
        <w:t>Low occupancy rate in Industrial Parks</w:t>
      </w:r>
      <w:r w:rsidR="00011E8D" w:rsidRPr="00921120">
        <w:rPr>
          <w:rFonts w:ascii="Arial" w:hAnsi="Arial" w:cs="Arial"/>
          <w:bCs/>
          <w:iCs/>
          <w:sz w:val="20"/>
          <w:szCs w:val="20"/>
        </w:rPr>
        <w:t xml:space="preserve">: </w:t>
      </w:r>
      <w:r w:rsidRPr="00921120">
        <w:rPr>
          <w:rFonts w:ascii="Arial" w:hAnsi="Arial" w:cs="Arial"/>
          <w:sz w:val="20"/>
          <w:szCs w:val="20"/>
        </w:rPr>
        <w:t>A concern fo</w:t>
      </w:r>
      <w:r w:rsidR="00A02CBE" w:rsidRPr="00921120">
        <w:rPr>
          <w:rFonts w:ascii="Arial" w:hAnsi="Arial" w:cs="Arial"/>
          <w:sz w:val="20"/>
          <w:szCs w:val="20"/>
        </w:rPr>
        <w:t>r the Committee remained</w:t>
      </w:r>
      <w:r w:rsidRPr="00921120">
        <w:rPr>
          <w:rFonts w:ascii="Arial" w:hAnsi="Arial" w:cs="Arial"/>
          <w:sz w:val="20"/>
          <w:szCs w:val="20"/>
        </w:rPr>
        <w:t xml:space="preserve"> the failure of the Industrial Parks to have optimal occupancy. Addressing these impediments would lead to an increase in tenants and could </w:t>
      </w:r>
      <w:r w:rsidR="00A02CBE" w:rsidRPr="00921120">
        <w:rPr>
          <w:rFonts w:ascii="Arial" w:hAnsi="Arial" w:cs="Arial"/>
          <w:sz w:val="20"/>
          <w:szCs w:val="20"/>
        </w:rPr>
        <w:t xml:space="preserve">potentially </w:t>
      </w:r>
      <w:r w:rsidRPr="00921120">
        <w:rPr>
          <w:rFonts w:ascii="Arial" w:hAnsi="Arial" w:cs="Arial"/>
          <w:sz w:val="20"/>
          <w:szCs w:val="20"/>
        </w:rPr>
        <w:t xml:space="preserve">contribute to local economic development, growth, and employment creation. </w:t>
      </w:r>
      <w:r w:rsidR="00E17870" w:rsidRPr="00921120">
        <w:rPr>
          <w:rFonts w:ascii="Arial" w:hAnsi="Arial" w:cs="Arial"/>
          <w:sz w:val="20"/>
          <w:szCs w:val="20"/>
        </w:rPr>
        <w:t>T</w:t>
      </w:r>
      <w:r w:rsidRPr="00921120">
        <w:rPr>
          <w:rFonts w:ascii="Arial" w:hAnsi="Arial" w:cs="Arial"/>
          <w:sz w:val="20"/>
          <w:szCs w:val="20"/>
        </w:rPr>
        <w:t xml:space="preserve">he Committee </w:t>
      </w:r>
      <w:r w:rsidR="00E17870" w:rsidRPr="00921120">
        <w:rPr>
          <w:rFonts w:ascii="Arial" w:hAnsi="Arial" w:cs="Arial"/>
          <w:sz w:val="20"/>
          <w:szCs w:val="20"/>
        </w:rPr>
        <w:t xml:space="preserve">enquired to what extent there was transformation at senior management level, particularly for black people and women, </w:t>
      </w:r>
      <w:r w:rsidRPr="00921120">
        <w:rPr>
          <w:rFonts w:ascii="Arial" w:hAnsi="Arial" w:cs="Arial"/>
          <w:sz w:val="20"/>
          <w:szCs w:val="20"/>
        </w:rPr>
        <w:t>with</w:t>
      </w:r>
      <w:r w:rsidR="00E17870" w:rsidRPr="00921120">
        <w:rPr>
          <w:rFonts w:ascii="Arial" w:hAnsi="Arial" w:cs="Arial"/>
          <w:sz w:val="20"/>
          <w:szCs w:val="20"/>
        </w:rPr>
        <w:t>in</w:t>
      </w:r>
      <w:r w:rsidRPr="00921120">
        <w:rPr>
          <w:rFonts w:ascii="Arial" w:hAnsi="Arial" w:cs="Arial"/>
          <w:sz w:val="20"/>
          <w:szCs w:val="20"/>
        </w:rPr>
        <w:t xml:space="preserve"> the Industrial Parks. LEDA/LEDET informed the Committee that the majority of properties, including the Industrial Parks, had been inherited. Many of these properties</w:t>
      </w:r>
      <w:r w:rsidR="00F53206" w:rsidRPr="00921120">
        <w:rPr>
          <w:rFonts w:ascii="Arial" w:hAnsi="Arial" w:cs="Arial"/>
          <w:sz w:val="20"/>
          <w:szCs w:val="20"/>
        </w:rPr>
        <w:t>, such as shopping centres, had</w:t>
      </w:r>
      <w:r w:rsidRPr="00921120">
        <w:rPr>
          <w:rFonts w:ascii="Arial" w:hAnsi="Arial" w:cs="Arial"/>
          <w:sz w:val="20"/>
          <w:szCs w:val="20"/>
        </w:rPr>
        <w:t xml:space="preserve"> not </w:t>
      </w:r>
      <w:r w:rsidR="00F53206" w:rsidRPr="00921120">
        <w:rPr>
          <w:rFonts w:ascii="Arial" w:hAnsi="Arial" w:cs="Arial"/>
          <w:sz w:val="20"/>
          <w:szCs w:val="20"/>
        </w:rPr>
        <w:t xml:space="preserve">been </w:t>
      </w:r>
      <w:r w:rsidRPr="00921120">
        <w:rPr>
          <w:rFonts w:ascii="Arial" w:hAnsi="Arial" w:cs="Arial"/>
          <w:sz w:val="20"/>
          <w:szCs w:val="20"/>
        </w:rPr>
        <w:t>well maintained, which include</w:t>
      </w:r>
      <w:r w:rsidR="00534B17" w:rsidRPr="00921120">
        <w:rPr>
          <w:rFonts w:ascii="Arial" w:hAnsi="Arial" w:cs="Arial"/>
          <w:sz w:val="20"/>
          <w:szCs w:val="20"/>
        </w:rPr>
        <w:t>d</w:t>
      </w:r>
      <w:r w:rsidRPr="00921120">
        <w:rPr>
          <w:rFonts w:ascii="Arial" w:hAnsi="Arial" w:cs="Arial"/>
          <w:sz w:val="20"/>
          <w:szCs w:val="20"/>
        </w:rPr>
        <w:t xml:space="preserve"> the lack of maintenance of bulk infrastructure within the Industrial Parks. As a result of this failure and the ag</w:t>
      </w:r>
      <w:r w:rsidR="00534B17" w:rsidRPr="00921120">
        <w:rPr>
          <w:rFonts w:ascii="Arial" w:hAnsi="Arial" w:cs="Arial"/>
          <w:sz w:val="20"/>
          <w:szCs w:val="20"/>
        </w:rPr>
        <w:t>eing</w:t>
      </w:r>
      <w:r w:rsidRPr="00921120">
        <w:rPr>
          <w:rFonts w:ascii="Arial" w:hAnsi="Arial" w:cs="Arial"/>
          <w:sz w:val="20"/>
          <w:szCs w:val="20"/>
        </w:rPr>
        <w:t xml:space="preserve"> of properties, and with the competition with the development of new shopping centres, it had been difficult to attract new tenants. LEDA/LEDET recognised that f</w:t>
      </w:r>
      <w:r w:rsidR="00F53206" w:rsidRPr="00921120">
        <w:rPr>
          <w:rFonts w:ascii="Arial" w:hAnsi="Arial" w:cs="Arial"/>
          <w:sz w:val="20"/>
          <w:szCs w:val="20"/>
        </w:rPr>
        <w:t>ailures to attract new tenants wa</w:t>
      </w:r>
      <w:r w:rsidRPr="00921120">
        <w:rPr>
          <w:rFonts w:ascii="Arial" w:hAnsi="Arial" w:cs="Arial"/>
          <w:sz w:val="20"/>
          <w:szCs w:val="20"/>
        </w:rPr>
        <w:t>s</w:t>
      </w:r>
      <w:r w:rsidR="00F53206" w:rsidRPr="00921120">
        <w:rPr>
          <w:rFonts w:ascii="Arial" w:hAnsi="Arial" w:cs="Arial"/>
          <w:sz w:val="20"/>
          <w:szCs w:val="20"/>
        </w:rPr>
        <w:t xml:space="preserve"> also</w:t>
      </w:r>
      <w:r w:rsidRPr="00921120">
        <w:rPr>
          <w:rFonts w:ascii="Arial" w:hAnsi="Arial" w:cs="Arial"/>
          <w:sz w:val="20"/>
          <w:szCs w:val="20"/>
        </w:rPr>
        <w:t xml:space="preserve"> associated with ineffective promotion, as well as the lack of upgrading and refurbishment of facilities on these p</w:t>
      </w:r>
      <w:r w:rsidR="00F53206" w:rsidRPr="00921120">
        <w:rPr>
          <w:rFonts w:ascii="Arial" w:hAnsi="Arial" w:cs="Arial"/>
          <w:sz w:val="20"/>
          <w:szCs w:val="20"/>
        </w:rPr>
        <w:t>roperties. A further challenge wa</w:t>
      </w:r>
      <w:r w:rsidRPr="00921120">
        <w:rPr>
          <w:rFonts w:ascii="Arial" w:hAnsi="Arial" w:cs="Arial"/>
          <w:sz w:val="20"/>
          <w:szCs w:val="20"/>
        </w:rPr>
        <w:t>s that</w:t>
      </w:r>
      <w:r w:rsidR="00F53206" w:rsidRPr="00921120">
        <w:rPr>
          <w:rFonts w:ascii="Arial" w:hAnsi="Arial" w:cs="Arial"/>
          <w:sz w:val="20"/>
          <w:szCs w:val="20"/>
        </w:rPr>
        <w:t xml:space="preserve"> the upgrading of facilities could not happen</w:t>
      </w:r>
      <w:r w:rsidRPr="00921120">
        <w:rPr>
          <w:rFonts w:ascii="Arial" w:hAnsi="Arial" w:cs="Arial"/>
          <w:sz w:val="20"/>
          <w:szCs w:val="20"/>
        </w:rPr>
        <w:t xml:space="preserve"> in isolation</w:t>
      </w:r>
      <w:r w:rsidR="00F53206" w:rsidRPr="00921120">
        <w:rPr>
          <w:rFonts w:ascii="Arial" w:hAnsi="Arial" w:cs="Arial"/>
          <w:sz w:val="20"/>
          <w:szCs w:val="20"/>
        </w:rPr>
        <w:t>,</w:t>
      </w:r>
      <w:r w:rsidRPr="00921120">
        <w:rPr>
          <w:rFonts w:ascii="Arial" w:hAnsi="Arial" w:cs="Arial"/>
          <w:sz w:val="20"/>
          <w:szCs w:val="20"/>
        </w:rPr>
        <w:t xml:space="preserve"> as it </w:t>
      </w:r>
      <w:r w:rsidR="00F53206" w:rsidRPr="00921120">
        <w:rPr>
          <w:rFonts w:ascii="Arial" w:hAnsi="Arial" w:cs="Arial"/>
          <w:sz w:val="20"/>
          <w:szCs w:val="20"/>
        </w:rPr>
        <w:t>wa</w:t>
      </w:r>
      <w:r w:rsidRPr="00921120">
        <w:rPr>
          <w:rFonts w:ascii="Arial" w:hAnsi="Arial" w:cs="Arial"/>
          <w:sz w:val="20"/>
          <w:szCs w:val="20"/>
        </w:rPr>
        <w:t xml:space="preserve">s not possible to know who the occupant or manufacturer of a particular factory would be. In overcoming this challenge, LEDA/LEDET </w:t>
      </w:r>
      <w:r w:rsidR="00F53206" w:rsidRPr="00921120">
        <w:rPr>
          <w:rFonts w:ascii="Arial" w:hAnsi="Arial" w:cs="Arial"/>
          <w:sz w:val="20"/>
          <w:szCs w:val="20"/>
        </w:rPr>
        <w:t>was negotiating</w:t>
      </w:r>
      <w:r w:rsidRPr="00921120">
        <w:rPr>
          <w:rFonts w:ascii="Arial" w:hAnsi="Arial" w:cs="Arial"/>
          <w:sz w:val="20"/>
          <w:szCs w:val="20"/>
        </w:rPr>
        <w:t xml:space="preserve"> an agreement with new tenants that require</w:t>
      </w:r>
      <w:r w:rsidR="00534B17" w:rsidRPr="00921120">
        <w:rPr>
          <w:rFonts w:ascii="Arial" w:hAnsi="Arial" w:cs="Arial"/>
          <w:sz w:val="20"/>
          <w:szCs w:val="20"/>
        </w:rPr>
        <w:t>d</w:t>
      </w:r>
      <w:r w:rsidRPr="00921120">
        <w:rPr>
          <w:rFonts w:ascii="Arial" w:hAnsi="Arial" w:cs="Arial"/>
          <w:sz w:val="20"/>
          <w:szCs w:val="20"/>
        </w:rPr>
        <w:t xml:space="preserve"> upfront investment in the property through the provision of payment holidays, among others. It should be noted that properties </w:t>
      </w:r>
      <w:r w:rsidR="00F53206" w:rsidRPr="00921120">
        <w:rPr>
          <w:rFonts w:ascii="Arial" w:hAnsi="Arial" w:cs="Arial"/>
          <w:sz w:val="20"/>
          <w:szCs w:val="20"/>
        </w:rPr>
        <w:t>we</w:t>
      </w:r>
      <w:r w:rsidRPr="00921120">
        <w:rPr>
          <w:rFonts w:ascii="Arial" w:hAnsi="Arial" w:cs="Arial"/>
          <w:sz w:val="20"/>
          <w:szCs w:val="20"/>
        </w:rPr>
        <w:t xml:space="preserve">re not normally readily available for particular tenants. </w:t>
      </w:r>
    </w:p>
    <w:p w:rsidR="006F0F3E" w:rsidRPr="00921120" w:rsidRDefault="006F0F3E" w:rsidP="00921120">
      <w:pPr>
        <w:spacing w:line="240" w:lineRule="auto"/>
        <w:jc w:val="left"/>
        <w:rPr>
          <w:rFonts w:ascii="Arial" w:hAnsi="Arial" w:cs="Arial"/>
          <w:sz w:val="20"/>
          <w:szCs w:val="20"/>
        </w:rPr>
      </w:pPr>
    </w:p>
    <w:p w:rsidR="006F0F3E" w:rsidRPr="00921120" w:rsidRDefault="006F0F3E" w:rsidP="00921120">
      <w:pPr>
        <w:pStyle w:val="ListParagraph"/>
        <w:numPr>
          <w:ilvl w:val="0"/>
          <w:numId w:val="24"/>
        </w:numPr>
        <w:spacing w:line="240" w:lineRule="auto"/>
        <w:jc w:val="left"/>
        <w:rPr>
          <w:rFonts w:ascii="Arial" w:hAnsi="Arial" w:cs="Arial"/>
          <w:sz w:val="20"/>
          <w:szCs w:val="20"/>
        </w:rPr>
      </w:pPr>
      <w:r w:rsidRPr="00921120">
        <w:rPr>
          <w:rFonts w:ascii="Arial" w:hAnsi="Arial" w:cs="Arial"/>
          <w:b/>
          <w:bCs/>
          <w:i/>
          <w:iCs/>
          <w:sz w:val="20"/>
          <w:szCs w:val="20"/>
        </w:rPr>
        <w:t>Municipal and Community support and outreach</w:t>
      </w:r>
      <w:r w:rsidR="00011E8D" w:rsidRPr="00921120">
        <w:rPr>
          <w:rFonts w:ascii="Arial" w:hAnsi="Arial" w:cs="Arial"/>
          <w:bCs/>
          <w:iCs/>
          <w:sz w:val="20"/>
          <w:szCs w:val="20"/>
        </w:rPr>
        <w:t xml:space="preserve">: </w:t>
      </w:r>
      <w:r w:rsidRPr="00921120">
        <w:rPr>
          <w:rFonts w:ascii="Arial" w:hAnsi="Arial" w:cs="Arial"/>
          <w:sz w:val="20"/>
          <w:szCs w:val="20"/>
        </w:rPr>
        <w:t>Support from the municipa</w:t>
      </w:r>
      <w:r w:rsidR="00011E8D" w:rsidRPr="00921120">
        <w:rPr>
          <w:rFonts w:ascii="Arial" w:hAnsi="Arial" w:cs="Arial"/>
          <w:sz w:val="20"/>
          <w:szCs w:val="20"/>
        </w:rPr>
        <w:t>lity and the local communities w</w:t>
      </w:r>
      <w:r w:rsidR="00534B17" w:rsidRPr="00921120">
        <w:rPr>
          <w:rFonts w:ascii="Arial" w:hAnsi="Arial" w:cs="Arial"/>
          <w:sz w:val="20"/>
          <w:szCs w:val="20"/>
        </w:rPr>
        <w:t>as</w:t>
      </w:r>
      <w:r w:rsidRPr="00921120">
        <w:rPr>
          <w:rFonts w:ascii="Arial" w:hAnsi="Arial" w:cs="Arial"/>
          <w:sz w:val="20"/>
          <w:szCs w:val="20"/>
        </w:rPr>
        <w:t xml:space="preserve"> necessary </w:t>
      </w:r>
      <w:r w:rsidR="00534B17" w:rsidRPr="00921120">
        <w:rPr>
          <w:rFonts w:ascii="Arial" w:hAnsi="Arial" w:cs="Arial"/>
          <w:sz w:val="20"/>
          <w:szCs w:val="20"/>
        </w:rPr>
        <w:t xml:space="preserve">for </w:t>
      </w:r>
      <w:r w:rsidRPr="00921120">
        <w:rPr>
          <w:rFonts w:ascii="Arial" w:hAnsi="Arial" w:cs="Arial"/>
          <w:sz w:val="20"/>
          <w:szCs w:val="20"/>
        </w:rPr>
        <w:t xml:space="preserve">the success of Industrial Parks. Therefore, the Committee was of the view that the relationship with the municipality is a critical component in addressing the infrastructural challenges facing the Industrial Parks. Furthermore, having an effective communication model to ensure ongoing engagement with communities around the development and challenges facing the Industrial Parks is an important vehicle </w:t>
      </w:r>
      <w:r w:rsidR="00011E8D" w:rsidRPr="00921120">
        <w:rPr>
          <w:rFonts w:ascii="Arial" w:hAnsi="Arial" w:cs="Arial"/>
          <w:sz w:val="20"/>
          <w:szCs w:val="20"/>
        </w:rPr>
        <w:t xml:space="preserve">to </w:t>
      </w:r>
      <w:r w:rsidR="00C86CE1" w:rsidRPr="00921120">
        <w:rPr>
          <w:rFonts w:ascii="Arial" w:hAnsi="Arial" w:cs="Arial"/>
          <w:sz w:val="20"/>
          <w:szCs w:val="20"/>
        </w:rPr>
        <w:t xml:space="preserve">obtain </w:t>
      </w:r>
      <w:r w:rsidRPr="00921120">
        <w:rPr>
          <w:rFonts w:ascii="Arial" w:hAnsi="Arial" w:cs="Arial"/>
          <w:sz w:val="20"/>
          <w:szCs w:val="20"/>
        </w:rPr>
        <w:t>buy-in.  It is important when considering the creation of Industrial Parks within a specific regions or to revitalise Industrial Parks that the issue of land or access to land is model</w:t>
      </w:r>
      <w:r w:rsidR="00011E8D" w:rsidRPr="00921120">
        <w:rPr>
          <w:rFonts w:ascii="Arial" w:hAnsi="Arial" w:cs="Arial"/>
          <w:sz w:val="20"/>
          <w:szCs w:val="20"/>
        </w:rPr>
        <w:t>led on sound princip</w:t>
      </w:r>
      <w:r w:rsidRPr="00921120">
        <w:rPr>
          <w:rFonts w:ascii="Arial" w:hAnsi="Arial" w:cs="Arial"/>
          <w:sz w:val="20"/>
          <w:szCs w:val="20"/>
        </w:rPr>
        <w:t>l</w:t>
      </w:r>
      <w:r w:rsidR="00011E8D" w:rsidRPr="00921120">
        <w:rPr>
          <w:rFonts w:ascii="Arial" w:hAnsi="Arial" w:cs="Arial"/>
          <w:sz w:val="20"/>
          <w:szCs w:val="20"/>
        </w:rPr>
        <w:t>es that take</w:t>
      </w:r>
      <w:r w:rsidRPr="00921120">
        <w:rPr>
          <w:rFonts w:ascii="Arial" w:hAnsi="Arial" w:cs="Arial"/>
          <w:sz w:val="20"/>
          <w:szCs w:val="20"/>
        </w:rPr>
        <w:t xml:space="preserve"> ownership and the impact on surrounding communities</w:t>
      </w:r>
      <w:r w:rsidR="00011E8D" w:rsidRPr="00921120">
        <w:rPr>
          <w:rFonts w:ascii="Arial" w:hAnsi="Arial" w:cs="Arial"/>
          <w:sz w:val="20"/>
          <w:szCs w:val="20"/>
        </w:rPr>
        <w:t xml:space="preserve"> into account</w:t>
      </w:r>
      <w:r w:rsidRPr="00921120">
        <w:rPr>
          <w:rFonts w:ascii="Arial" w:hAnsi="Arial" w:cs="Arial"/>
          <w:sz w:val="20"/>
          <w:szCs w:val="20"/>
        </w:rPr>
        <w:t xml:space="preserve">. </w:t>
      </w:r>
    </w:p>
    <w:p w:rsidR="006F0F3E" w:rsidRPr="00921120" w:rsidRDefault="006F0F3E" w:rsidP="00921120">
      <w:pPr>
        <w:spacing w:line="240" w:lineRule="auto"/>
        <w:jc w:val="left"/>
        <w:rPr>
          <w:rFonts w:ascii="Arial" w:hAnsi="Arial" w:cs="Arial"/>
          <w:sz w:val="20"/>
          <w:szCs w:val="20"/>
        </w:rPr>
      </w:pPr>
    </w:p>
    <w:p w:rsidR="006F0F3E" w:rsidRPr="00921120" w:rsidRDefault="006F0F3E" w:rsidP="00921120">
      <w:pPr>
        <w:spacing w:line="240" w:lineRule="auto"/>
        <w:ind w:left="360"/>
        <w:jc w:val="left"/>
        <w:rPr>
          <w:rFonts w:ascii="Arial" w:hAnsi="Arial" w:cs="Arial"/>
          <w:sz w:val="20"/>
          <w:szCs w:val="20"/>
        </w:rPr>
      </w:pPr>
      <w:r w:rsidRPr="00921120">
        <w:rPr>
          <w:rFonts w:ascii="Arial" w:hAnsi="Arial" w:cs="Arial"/>
          <w:sz w:val="20"/>
          <w:szCs w:val="20"/>
        </w:rPr>
        <w:t>LEDA acknowledge</w:t>
      </w:r>
      <w:r w:rsidR="00011E8D" w:rsidRPr="00921120">
        <w:rPr>
          <w:rFonts w:ascii="Arial" w:hAnsi="Arial" w:cs="Arial"/>
          <w:sz w:val="20"/>
          <w:szCs w:val="20"/>
        </w:rPr>
        <w:t>d that community involvement wa</w:t>
      </w:r>
      <w:r w:rsidRPr="00921120">
        <w:rPr>
          <w:rFonts w:ascii="Arial" w:hAnsi="Arial" w:cs="Arial"/>
          <w:sz w:val="20"/>
          <w:szCs w:val="20"/>
        </w:rPr>
        <w:t>s a critical component in the development and success of a SEZ. Agreement among the national, provincial and local government, especially the hosting municipalities</w:t>
      </w:r>
      <w:r w:rsidR="00CD190C" w:rsidRPr="00921120">
        <w:rPr>
          <w:rFonts w:ascii="Arial" w:hAnsi="Arial" w:cs="Arial"/>
          <w:sz w:val="20"/>
          <w:szCs w:val="20"/>
        </w:rPr>
        <w:t>, was also essential</w:t>
      </w:r>
      <w:r w:rsidRPr="00921120">
        <w:rPr>
          <w:rFonts w:ascii="Arial" w:hAnsi="Arial" w:cs="Arial"/>
          <w:sz w:val="20"/>
          <w:szCs w:val="20"/>
        </w:rPr>
        <w:t xml:space="preserve">. Municipalities’ involvement </w:t>
      </w:r>
      <w:r w:rsidR="00CD190C" w:rsidRPr="00921120">
        <w:rPr>
          <w:rFonts w:ascii="Arial" w:hAnsi="Arial" w:cs="Arial"/>
          <w:sz w:val="20"/>
          <w:szCs w:val="20"/>
        </w:rPr>
        <w:t>was fundamental</w:t>
      </w:r>
      <w:r w:rsidRPr="00921120">
        <w:rPr>
          <w:rFonts w:ascii="Arial" w:hAnsi="Arial" w:cs="Arial"/>
          <w:sz w:val="20"/>
          <w:szCs w:val="20"/>
        </w:rPr>
        <w:t xml:space="preserve"> as they provide</w:t>
      </w:r>
      <w:r w:rsidR="00CD190C" w:rsidRPr="00921120">
        <w:rPr>
          <w:rFonts w:ascii="Arial" w:hAnsi="Arial" w:cs="Arial"/>
          <w:sz w:val="20"/>
          <w:szCs w:val="20"/>
        </w:rPr>
        <w:t>d</w:t>
      </w:r>
      <w:r w:rsidRPr="00921120">
        <w:rPr>
          <w:rFonts w:ascii="Arial" w:hAnsi="Arial" w:cs="Arial"/>
          <w:sz w:val="20"/>
          <w:szCs w:val="20"/>
        </w:rPr>
        <w:t xml:space="preserve"> the necessary basic services to the SEZ. In terms of the governance structure, the SEZ Steering </w:t>
      </w:r>
      <w:r w:rsidR="00CD190C" w:rsidRPr="00921120">
        <w:rPr>
          <w:rFonts w:ascii="Arial" w:hAnsi="Arial" w:cs="Arial"/>
          <w:sz w:val="20"/>
          <w:szCs w:val="20"/>
        </w:rPr>
        <w:t>C</w:t>
      </w:r>
      <w:r w:rsidRPr="00921120">
        <w:rPr>
          <w:rFonts w:ascii="Arial" w:hAnsi="Arial" w:cs="Arial"/>
          <w:sz w:val="20"/>
          <w:szCs w:val="20"/>
        </w:rPr>
        <w:t>om</w:t>
      </w:r>
      <w:r w:rsidR="00CD190C" w:rsidRPr="00921120">
        <w:rPr>
          <w:rFonts w:ascii="Arial" w:hAnsi="Arial" w:cs="Arial"/>
          <w:sz w:val="20"/>
          <w:szCs w:val="20"/>
        </w:rPr>
        <w:t>mittee in the province, involved</w:t>
      </w:r>
      <w:r w:rsidRPr="00921120">
        <w:rPr>
          <w:rFonts w:ascii="Arial" w:hAnsi="Arial" w:cs="Arial"/>
          <w:sz w:val="20"/>
          <w:szCs w:val="20"/>
        </w:rPr>
        <w:t xml:space="preserve"> all players, in particular the </w:t>
      </w:r>
      <w:r w:rsidR="00CD190C" w:rsidRPr="00921120">
        <w:rPr>
          <w:rFonts w:ascii="Arial" w:hAnsi="Arial" w:cs="Arial"/>
          <w:sz w:val="20"/>
          <w:szCs w:val="20"/>
        </w:rPr>
        <w:t>LEDET,</w:t>
      </w:r>
      <w:r w:rsidRPr="00921120">
        <w:rPr>
          <w:rFonts w:ascii="Arial" w:hAnsi="Arial" w:cs="Arial"/>
          <w:sz w:val="20"/>
          <w:szCs w:val="20"/>
        </w:rPr>
        <w:t xml:space="preserve"> as well as </w:t>
      </w:r>
      <w:r w:rsidR="00CD190C" w:rsidRPr="00921120">
        <w:rPr>
          <w:rFonts w:ascii="Arial" w:hAnsi="Arial" w:cs="Arial"/>
          <w:sz w:val="20"/>
          <w:szCs w:val="20"/>
        </w:rPr>
        <w:t>state-owned enterprises</w:t>
      </w:r>
      <w:r w:rsidRPr="00921120">
        <w:rPr>
          <w:rFonts w:ascii="Arial" w:hAnsi="Arial" w:cs="Arial"/>
          <w:sz w:val="20"/>
          <w:szCs w:val="20"/>
        </w:rPr>
        <w:t xml:space="preserve"> and agencies. Municipalities are included but only as observers. With respect to direct community participation, the SEZ has regular stakeholder engagement</w:t>
      </w:r>
      <w:r w:rsidR="00CD190C" w:rsidRPr="00921120">
        <w:rPr>
          <w:rFonts w:ascii="Arial" w:hAnsi="Arial" w:cs="Arial"/>
          <w:sz w:val="20"/>
          <w:szCs w:val="20"/>
        </w:rPr>
        <w:t>s</w:t>
      </w:r>
      <w:r w:rsidRPr="00921120">
        <w:rPr>
          <w:rFonts w:ascii="Arial" w:hAnsi="Arial" w:cs="Arial"/>
          <w:sz w:val="20"/>
          <w:szCs w:val="20"/>
        </w:rPr>
        <w:t xml:space="preserve"> to update the community around developments. With respect to communal land, traditional </w:t>
      </w:r>
      <w:r w:rsidR="00CD190C" w:rsidRPr="00921120">
        <w:rPr>
          <w:rFonts w:ascii="Arial" w:hAnsi="Arial" w:cs="Arial"/>
          <w:sz w:val="20"/>
          <w:szCs w:val="20"/>
        </w:rPr>
        <w:t>leaders we</w:t>
      </w:r>
      <w:r w:rsidRPr="00921120">
        <w:rPr>
          <w:rFonts w:ascii="Arial" w:hAnsi="Arial" w:cs="Arial"/>
          <w:sz w:val="20"/>
          <w:szCs w:val="20"/>
        </w:rPr>
        <w:t>re part of the consultative proce</w:t>
      </w:r>
      <w:r w:rsidR="00CD190C" w:rsidRPr="00921120">
        <w:rPr>
          <w:rFonts w:ascii="Arial" w:hAnsi="Arial" w:cs="Arial"/>
          <w:sz w:val="20"/>
          <w:szCs w:val="20"/>
        </w:rPr>
        <w:t>ss and only once communal land wa</w:t>
      </w:r>
      <w:r w:rsidRPr="00921120">
        <w:rPr>
          <w:rFonts w:ascii="Arial" w:hAnsi="Arial" w:cs="Arial"/>
          <w:sz w:val="20"/>
          <w:szCs w:val="20"/>
        </w:rPr>
        <w:t>s release</w:t>
      </w:r>
      <w:r w:rsidR="00CD190C" w:rsidRPr="00921120">
        <w:rPr>
          <w:rFonts w:ascii="Arial" w:hAnsi="Arial" w:cs="Arial"/>
          <w:sz w:val="20"/>
          <w:szCs w:val="20"/>
        </w:rPr>
        <w:t>d could</w:t>
      </w:r>
      <w:r w:rsidRPr="00921120">
        <w:rPr>
          <w:rFonts w:ascii="Arial" w:hAnsi="Arial" w:cs="Arial"/>
          <w:sz w:val="20"/>
          <w:szCs w:val="20"/>
        </w:rPr>
        <w:t xml:space="preserve"> development </w:t>
      </w:r>
      <w:r w:rsidR="00CD190C" w:rsidRPr="00921120">
        <w:rPr>
          <w:rFonts w:ascii="Arial" w:hAnsi="Arial" w:cs="Arial"/>
          <w:sz w:val="20"/>
          <w:szCs w:val="20"/>
        </w:rPr>
        <w:t>commence</w:t>
      </w:r>
      <w:r w:rsidRPr="00921120">
        <w:rPr>
          <w:rFonts w:ascii="Arial" w:hAnsi="Arial" w:cs="Arial"/>
          <w:sz w:val="20"/>
          <w:szCs w:val="20"/>
        </w:rPr>
        <w:t xml:space="preserve">. </w:t>
      </w:r>
    </w:p>
    <w:p w:rsidR="006F0F3E" w:rsidRPr="00921120" w:rsidRDefault="006F0F3E" w:rsidP="00921120">
      <w:pPr>
        <w:spacing w:line="240" w:lineRule="auto"/>
        <w:jc w:val="left"/>
        <w:rPr>
          <w:rFonts w:ascii="Arial" w:hAnsi="Arial" w:cs="Arial"/>
          <w:sz w:val="20"/>
          <w:szCs w:val="20"/>
        </w:rPr>
      </w:pPr>
    </w:p>
    <w:p w:rsidR="006F0F3E" w:rsidRPr="00921120" w:rsidRDefault="006F0F3E" w:rsidP="00921120">
      <w:pPr>
        <w:spacing w:line="240" w:lineRule="auto"/>
        <w:ind w:left="360"/>
        <w:jc w:val="left"/>
        <w:rPr>
          <w:rFonts w:ascii="Arial" w:hAnsi="Arial" w:cs="Arial"/>
          <w:sz w:val="20"/>
          <w:szCs w:val="20"/>
        </w:rPr>
      </w:pPr>
      <w:r w:rsidRPr="00921120">
        <w:rPr>
          <w:rFonts w:ascii="Arial" w:hAnsi="Arial" w:cs="Arial"/>
          <w:sz w:val="20"/>
          <w:szCs w:val="20"/>
        </w:rPr>
        <w:t xml:space="preserve">It </w:t>
      </w:r>
      <w:r w:rsidR="00CD190C" w:rsidRPr="00921120">
        <w:rPr>
          <w:rFonts w:ascii="Arial" w:hAnsi="Arial" w:cs="Arial"/>
          <w:sz w:val="20"/>
          <w:szCs w:val="20"/>
        </w:rPr>
        <w:t>wa</w:t>
      </w:r>
      <w:r w:rsidRPr="00921120">
        <w:rPr>
          <w:rFonts w:ascii="Arial" w:hAnsi="Arial" w:cs="Arial"/>
          <w:sz w:val="20"/>
          <w:szCs w:val="20"/>
        </w:rPr>
        <w:t xml:space="preserve">s the objective that once the MMSEZ </w:t>
      </w:r>
      <w:r w:rsidR="00CD190C" w:rsidRPr="00921120">
        <w:rPr>
          <w:rFonts w:ascii="Arial" w:hAnsi="Arial" w:cs="Arial"/>
          <w:sz w:val="20"/>
          <w:szCs w:val="20"/>
        </w:rPr>
        <w:t>wa</w:t>
      </w:r>
      <w:r w:rsidRPr="00921120">
        <w:rPr>
          <w:rFonts w:ascii="Arial" w:hAnsi="Arial" w:cs="Arial"/>
          <w:sz w:val="20"/>
          <w:szCs w:val="20"/>
        </w:rPr>
        <w:t>s fully operational it would act as the Industrial Gateway to Africa. Also it would become a source of significant investment, income and economic growth within the area. As a result of this</w:t>
      </w:r>
      <w:r w:rsidR="0089436A" w:rsidRPr="00921120">
        <w:rPr>
          <w:rFonts w:ascii="Arial" w:hAnsi="Arial" w:cs="Arial"/>
          <w:sz w:val="20"/>
          <w:szCs w:val="20"/>
        </w:rPr>
        <w:t>,</w:t>
      </w:r>
      <w:r w:rsidRPr="00921120">
        <w:rPr>
          <w:rFonts w:ascii="Arial" w:hAnsi="Arial" w:cs="Arial"/>
          <w:sz w:val="20"/>
          <w:szCs w:val="20"/>
        </w:rPr>
        <w:t xml:space="preserve"> it would be important to ensure easy</w:t>
      </w:r>
      <w:r w:rsidR="0089436A" w:rsidRPr="00921120">
        <w:rPr>
          <w:rFonts w:ascii="Arial" w:hAnsi="Arial" w:cs="Arial"/>
          <w:sz w:val="20"/>
          <w:szCs w:val="20"/>
        </w:rPr>
        <w:t xml:space="preserve"> access to the </w:t>
      </w:r>
      <w:r w:rsidR="0089436A" w:rsidRPr="00921120">
        <w:rPr>
          <w:rFonts w:ascii="Arial" w:hAnsi="Arial" w:cs="Arial"/>
          <w:sz w:val="20"/>
          <w:szCs w:val="20"/>
        </w:rPr>
        <w:lastRenderedPageBreak/>
        <w:t>MMSEZ and region.</w:t>
      </w:r>
      <w:r w:rsidRPr="00921120">
        <w:rPr>
          <w:rFonts w:ascii="Arial" w:hAnsi="Arial" w:cs="Arial"/>
          <w:sz w:val="20"/>
          <w:szCs w:val="20"/>
        </w:rPr>
        <w:t xml:space="preserve"> </w:t>
      </w:r>
      <w:r w:rsidR="0089436A" w:rsidRPr="00921120">
        <w:rPr>
          <w:rFonts w:ascii="Arial" w:hAnsi="Arial" w:cs="Arial"/>
          <w:sz w:val="20"/>
          <w:szCs w:val="20"/>
        </w:rPr>
        <w:t>Th</w:t>
      </w:r>
      <w:r w:rsidRPr="00921120">
        <w:rPr>
          <w:rFonts w:ascii="Arial" w:hAnsi="Arial" w:cs="Arial"/>
          <w:sz w:val="20"/>
          <w:szCs w:val="20"/>
        </w:rPr>
        <w:t>erefore</w:t>
      </w:r>
      <w:r w:rsidR="0089436A" w:rsidRPr="00921120">
        <w:rPr>
          <w:rFonts w:ascii="Arial" w:hAnsi="Arial" w:cs="Arial"/>
          <w:sz w:val="20"/>
          <w:szCs w:val="20"/>
        </w:rPr>
        <w:t>,</w:t>
      </w:r>
      <w:r w:rsidRPr="00921120">
        <w:rPr>
          <w:rFonts w:ascii="Arial" w:hAnsi="Arial" w:cs="Arial"/>
          <w:sz w:val="20"/>
          <w:szCs w:val="20"/>
        </w:rPr>
        <w:t xml:space="preserve"> it would be critical to revive the old airport between Makhado and Lamella, which falls under the V</w:t>
      </w:r>
      <w:r w:rsidR="0089436A" w:rsidRPr="00921120">
        <w:rPr>
          <w:rFonts w:ascii="Arial" w:hAnsi="Arial" w:cs="Arial"/>
          <w:sz w:val="20"/>
          <w:szCs w:val="20"/>
        </w:rPr>
        <w:t>h</w:t>
      </w:r>
      <w:r w:rsidRPr="00921120">
        <w:rPr>
          <w:rFonts w:ascii="Arial" w:hAnsi="Arial" w:cs="Arial"/>
          <w:sz w:val="20"/>
          <w:szCs w:val="20"/>
        </w:rPr>
        <w:t>embe District Municipality. The airport referred to belong</w:t>
      </w:r>
      <w:r w:rsidR="0089436A" w:rsidRPr="00921120">
        <w:rPr>
          <w:rFonts w:ascii="Arial" w:hAnsi="Arial" w:cs="Arial"/>
          <w:sz w:val="20"/>
          <w:szCs w:val="20"/>
        </w:rPr>
        <w:t>ed</w:t>
      </w:r>
      <w:r w:rsidRPr="00921120">
        <w:rPr>
          <w:rFonts w:ascii="Arial" w:hAnsi="Arial" w:cs="Arial"/>
          <w:sz w:val="20"/>
          <w:szCs w:val="20"/>
        </w:rPr>
        <w:t xml:space="preserve"> to the Venda Government, which </w:t>
      </w:r>
      <w:r w:rsidR="0089436A" w:rsidRPr="00921120">
        <w:rPr>
          <w:rFonts w:ascii="Arial" w:hAnsi="Arial" w:cs="Arial"/>
          <w:sz w:val="20"/>
          <w:szCs w:val="20"/>
        </w:rPr>
        <w:t xml:space="preserve">had been </w:t>
      </w:r>
      <w:r w:rsidRPr="00921120">
        <w:rPr>
          <w:rFonts w:ascii="Arial" w:hAnsi="Arial" w:cs="Arial"/>
          <w:sz w:val="20"/>
          <w:szCs w:val="20"/>
        </w:rPr>
        <w:t>mostly used as a Civilian Airport. However, together with the provincial Department of Transport and Community Services, consideration has been given t</w:t>
      </w:r>
      <w:r w:rsidR="0089436A" w:rsidRPr="00921120">
        <w:rPr>
          <w:rFonts w:ascii="Arial" w:hAnsi="Arial" w:cs="Arial"/>
          <w:sz w:val="20"/>
          <w:szCs w:val="20"/>
        </w:rPr>
        <w:t xml:space="preserve">o </w:t>
      </w:r>
      <w:r w:rsidRPr="00921120">
        <w:rPr>
          <w:rFonts w:ascii="Arial" w:hAnsi="Arial" w:cs="Arial"/>
          <w:sz w:val="20"/>
          <w:szCs w:val="20"/>
        </w:rPr>
        <w:t>the revival of th</w:t>
      </w:r>
      <w:r w:rsidR="0089436A" w:rsidRPr="00921120">
        <w:rPr>
          <w:rFonts w:ascii="Arial" w:hAnsi="Arial" w:cs="Arial"/>
          <w:sz w:val="20"/>
          <w:szCs w:val="20"/>
        </w:rPr>
        <w:t>is</w:t>
      </w:r>
      <w:r w:rsidRPr="00921120">
        <w:rPr>
          <w:rFonts w:ascii="Arial" w:hAnsi="Arial" w:cs="Arial"/>
          <w:sz w:val="20"/>
          <w:szCs w:val="20"/>
        </w:rPr>
        <w:t xml:space="preserve"> airport to ensure greater connectivity with Polokwane, and OR Tambo in the future. </w:t>
      </w:r>
    </w:p>
    <w:p w:rsidR="006F0F3E" w:rsidRPr="00921120" w:rsidRDefault="006F0F3E" w:rsidP="00921120">
      <w:pPr>
        <w:spacing w:line="240" w:lineRule="auto"/>
        <w:jc w:val="left"/>
        <w:rPr>
          <w:rFonts w:ascii="Arial" w:hAnsi="Arial" w:cs="Arial"/>
          <w:sz w:val="20"/>
          <w:szCs w:val="20"/>
        </w:rPr>
      </w:pPr>
    </w:p>
    <w:p w:rsidR="006F0F3E" w:rsidRPr="00921120" w:rsidRDefault="006F0F3E" w:rsidP="00921120">
      <w:pPr>
        <w:pStyle w:val="ListParagraph"/>
        <w:numPr>
          <w:ilvl w:val="0"/>
          <w:numId w:val="24"/>
        </w:numPr>
        <w:spacing w:line="240" w:lineRule="auto"/>
        <w:jc w:val="left"/>
        <w:rPr>
          <w:rFonts w:ascii="Arial" w:hAnsi="Arial" w:cs="Arial"/>
          <w:sz w:val="20"/>
          <w:szCs w:val="20"/>
        </w:rPr>
      </w:pPr>
      <w:r w:rsidRPr="00921120">
        <w:rPr>
          <w:rFonts w:ascii="Arial" w:hAnsi="Arial" w:cs="Arial"/>
          <w:b/>
          <w:bCs/>
          <w:i/>
          <w:iCs/>
          <w:sz w:val="20"/>
          <w:szCs w:val="20"/>
        </w:rPr>
        <w:t>District Development Model</w:t>
      </w:r>
      <w:r w:rsidR="00C86CE1" w:rsidRPr="00921120">
        <w:rPr>
          <w:rFonts w:ascii="Arial" w:hAnsi="Arial" w:cs="Arial"/>
          <w:b/>
          <w:bCs/>
          <w:i/>
          <w:iCs/>
          <w:sz w:val="20"/>
          <w:szCs w:val="20"/>
        </w:rPr>
        <w:t xml:space="preserve"> (DDM)</w:t>
      </w:r>
      <w:r w:rsidR="0037598E" w:rsidRPr="00921120">
        <w:rPr>
          <w:rFonts w:ascii="Arial" w:hAnsi="Arial" w:cs="Arial"/>
          <w:bCs/>
          <w:iCs/>
          <w:sz w:val="20"/>
          <w:szCs w:val="20"/>
        </w:rPr>
        <w:t xml:space="preserve">: </w:t>
      </w:r>
      <w:r w:rsidRPr="00921120">
        <w:rPr>
          <w:rFonts w:ascii="Arial" w:hAnsi="Arial" w:cs="Arial"/>
          <w:sz w:val="20"/>
          <w:szCs w:val="20"/>
        </w:rPr>
        <w:t xml:space="preserve">The DDM </w:t>
      </w:r>
      <w:r w:rsidR="0037598E" w:rsidRPr="00921120">
        <w:rPr>
          <w:rFonts w:ascii="Arial" w:hAnsi="Arial" w:cs="Arial"/>
          <w:sz w:val="20"/>
          <w:szCs w:val="20"/>
        </w:rPr>
        <w:t xml:space="preserve">had been </w:t>
      </w:r>
      <w:r w:rsidRPr="00921120">
        <w:rPr>
          <w:rFonts w:ascii="Arial" w:hAnsi="Arial" w:cs="Arial"/>
          <w:sz w:val="20"/>
          <w:szCs w:val="20"/>
        </w:rPr>
        <w:t>initiated to address the “silo operation” that led to incoherence in planning and implementation that resulted in ineffective monitoring and oversight of government’s programme</w:t>
      </w:r>
      <w:r w:rsidR="00411A54" w:rsidRPr="00921120">
        <w:rPr>
          <w:rFonts w:ascii="Arial" w:hAnsi="Arial" w:cs="Arial"/>
          <w:sz w:val="20"/>
          <w:szCs w:val="20"/>
        </w:rPr>
        <w:t xml:space="preserve">s. This lack of oversight led to </w:t>
      </w:r>
      <w:r w:rsidRPr="00921120">
        <w:rPr>
          <w:rFonts w:ascii="Arial" w:hAnsi="Arial" w:cs="Arial"/>
          <w:sz w:val="20"/>
          <w:szCs w:val="20"/>
        </w:rPr>
        <w:t xml:space="preserve">limited service delivery and the failure to address the triple challenge of poverty, inequality and employment. The DDM </w:t>
      </w:r>
      <w:r w:rsidR="00411A54" w:rsidRPr="00921120">
        <w:rPr>
          <w:rFonts w:ascii="Arial" w:hAnsi="Arial" w:cs="Arial"/>
          <w:sz w:val="20"/>
          <w:szCs w:val="20"/>
        </w:rPr>
        <w:t>wa</w:t>
      </w:r>
      <w:r w:rsidRPr="00921120">
        <w:rPr>
          <w:rFonts w:ascii="Arial" w:hAnsi="Arial" w:cs="Arial"/>
          <w:sz w:val="20"/>
          <w:szCs w:val="20"/>
        </w:rPr>
        <w:t xml:space="preserve">s a new integrated district-based approach that aims to address service delivery challenges, localise procurement, </w:t>
      </w:r>
      <w:r w:rsidR="00C86CE1" w:rsidRPr="00921120">
        <w:rPr>
          <w:rFonts w:ascii="Arial" w:hAnsi="Arial" w:cs="Arial"/>
          <w:sz w:val="20"/>
          <w:szCs w:val="20"/>
        </w:rPr>
        <w:t xml:space="preserve">facilitate </w:t>
      </w:r>
      <w:r w:rsidRPr="00921120">
        <w:rPr>
          <w:rFonts w:ascii="Arial" w:hAnsi="Arial" w:cs="Arial"/>
          <w:sz w:val="20"/>
          <w:szCs w:val="20"/>
        </w:rPr>
        <w:t>job creation</w:t>
      </w:r>
      <w:r w:rsidR="008E08AB" w:rsidRPr="00921120">
        <w:rPr>
          <w:rFonts w:ascii="Arial" w:hAnsi="Arial" w:cs="Arial"/>
          <w:sz w:val="20"/>
          <w:szCs w:val="20"/>
        </w:rPr>
        <w:t xml:space="preserve">, </w:t>
      </w:r>
      <w:r w:rsidRPr="00921120">
        <w:rPr>
          <w:rFonts w:ascii="Arial" w:hAnsi="Arial" w:cs="Arial"/>
          <w:sz w:val="20"/>
          <w:szCs w:val="20"/>
        </w:rPr>
        <w:t xml:space="preserve">promote and support local businesses, and contribute to </w:t>
      </w:r>
      <w:r w:rsidR="008E08AB" w:rsidRPr="00921120">
        <w:rPr>
          <w:rFonts w:ascii="Arial" w:hAnsi="Arial" w:cs="Arial"/>
          <w:sz w:val="20"/>
          <w:szCs w:val="20"/>
        </w:rPr>
        <w:t xml:space="preserve">the </w:t>
      </w:r>
      <w:r w:rsidRPr="00921120">
        <w:rPr>
          <w:rFonts w:ascii="Arial" w:hAnsi="Arial" w:cs="Arial"/>
          <w:sz w:val="20"/>
          <w:szCs w:val="20"/>
        </w:rPr>
        <w:t xml:space="preserve">revival of rural economies. Therefore, the impact of the DDM and </w:t>
      </w:r>
      <w:r w:rsidR="008E08AB" w:rsidRPr="00921120">
        <w:rPr>
          <w:rFonts w:ascii="Arial" w:hAnsi="Arial" w:cs="Arial"/>
          <w:sz w:val="20"/>
          <w:szCs w:val="20"/>
        </w:rPr>
        <w:t xml:space="preserve">the </w:t>
      </w:r>
      <w:r w:rsidRPr="00921120">
        <w:rPr>
          <w:rFonts w:ascii="Arial" w:hAnsi="Arial" w:cs="Arial"/>
          <w:sz w:val="20"/>
          <w:szCs w:val="20"/>
        </w:rPr>
        <w:t xml:space="preserve">role </w:t>
      </w:r>
      <w:r w:rsidR="00411A54" w:rsidRPr="00921120">
        <w:rPr>
          <w:rFonts w:ascii="Arial" w:hAnsi="Arial" w:cs="Arial"/>
          <w:sz w:val="20"/>
          <w:szCs w:val="20"/>
        </w:rPr>
        <w:t xml:space="preserve">of </w:t>
      </w:r>
      <w:r w:rsidRPr="00921120">
        <w:rPr>
          <w:rFonts w:ascii="Arial" w:hAnsi="Arial" w:cs="Arial"/>
          <w:sz w:val="20"/>
          <w:szCs w:val="20"/>
        </w:rPr>
        <w:t xml:space="preserve">municipalities in determining the impact of the DTIC’s </w:t>
      </w:r>
      <w:r w:rsidR="003374C4" w:rsidRPr="00921120">
        <w:rPr>
          <w:rFonts w:ascii="Arial" w:hAnsi="Arial" w:cs="Arial"/>
          <w:sz w:val="20"/>
          <w:szCs w:val="20"/>
        </w:rPr>
        <w:t>IPRP</w:t>
      </w:r>
      <w:r w:rsidR="008E08AB" w:rsidRPr="00921120">
        <w:rPr>
          <w:rFonts w:ascii="Arial" w:hAnsi="Arial" w:cs="Arial"/>
          <w:sz w:val="20"/>
          <w:szCs w:val="20"/>
        </w:rPr>
        <w:t xml:space="preserve"> is important</w:t>
      </w:r>
      <w:r w:rsidRPr="00921120">
        <w:rPr>
          <w:rFonts w:ascii="Arial" w:hAnsi="Arial" w:cs="Arial"/>
          <w:sz w:val="20"/>
          <w:szCs w:val="20"/>
        </w:rPr>
        <w:t xml:space="preserve">. According </w:t>
      </w:r>
      <w:r w:rsidR="00411A54" w:rsidRPr="00921120">
        <w:rPr>
          <w:rFonts w:ascii="Arial" w:hAnsi="Arial" w:cs="Arial"/>
          <w:sz w:val="20"/>
          <w:szCs w:val="20"/>
        </w:rPr>
        <w:t xml:space="preserve">to </w:t>
      </w:r>
      <w:r w:rsidRPr="00921120">
        <w:rPr>
          <w:rFonts w:ascii="Arial" w:hAnsi="Arial" w:cs="Arial"/>
          <w:sz w:val="20"/>
          <w:szCs w:val="20"/>
        </w:rPr>
        <w:t>the LEDA/LEDET</w:t>
      </w:r>
      <w:r w:rsidR="00411A54" w:rsidRPr="00921120">
        <w:rPr>
          <w:rFonts w:ascii="Arial" w:hAnsi="Arial" w:cs="Arial"/>
          <w:sz w:val="20"/>
          <w:szCs w:val="20"/>
        </w:rPr>
        <w:t>,</w:t>
      </w:r>
      <w:r w:rsidRPr="00921120">
        <w:rPr>
          <w:rFonts w:ascii="Arial" w:hAnsi="Arial" w:cs="Arial"/>
          <w:sz w:val="20"/>
          <w:szCs w:val="20"/>
        </w:rPr>
        <w:t xml:space="preserve"> the DDM objective was to crowd-in resources from all spheres of government, including agencies and municipalities, towards a particular development objective. Annually, at a provin</w:t>
      </w:r>
      <w:r w:rsidR="00411A54" w:rsidRPr="00921120">
        <w:rPr>
          <w:rFonts w:ascii="Arial" w:hAnsi="Arial" w:cs="Arial"/>
          <w:sz w:val="20"/>
          <w:szCs w:val="20"/>
        </w:rPr>
        <w:t>cial level, departments identified</w:t>
      </w:r>
      <w:r w:rsidRPr="00921120">
        <w:rPr>
          <w:rFonts w:ascii="Arial" w:hAnsi="Arial" w:cs="Arial"/>
          <w:sz w:val="20"/>
          <w:szCs w:val="20"/>
        </w:rPr>
        <w:t xml:space="preserve"> specifi</w:t>
      </w:r>
      <w:r w:rsidR="00411A54" w:rsidRPr="00921120">
        <w:rPr>
          <w:rFonts w:ascii="Arial" w:hAnsi="Arial" w:cs="Arial"/>
          <w:sz w:val="20"/>
          <w:szCs w:val="20"/>
        </w:rPr>
        <w:t>c projects that have high value-</w:t>
      </w:r>
      <w:r w:rsidRPr="00921120">
        <w:rPr>
          <w:rFonts w:ascii="Arial" w:hAnsi="Arial" w:cs="Arial"/>
          <w:sz w:val="20"/>
          <w:szCs w:val="20"/>
        </w:rPr>
        <w:t xml:space="preserve">addition within a particular municipality, whether at </w:t>
      </w:r>
      <w:r w:rsidR="00411A54" w:rsidRPr="00921120">
        <w:rPr>
          <w:rFonts w:ascii="Arial" w:hAnsi="Arial" w:cs="Arial"/>
          <w:sz w:val="20"/>
          <w:szCs w:val="20"/>
        </w:rPr>
        <w:t xml:space="preserve">a </w:t>
      </w:r>
      <w:r w:rsidRPr="00921120">
        <w:rPr>
          <w:rFonts w:ascii="Arial" w:hAnsi="Arial" w:cs="Arial"/>
          <w:sz w:val="20"/>
          <w:szCs w:val="20"/>
        </w:rPr>
        <w:t>district or local level. Through planning committees</w:t>
      </w:r>
      <w:r w:rsidR="00411A54" w:rsidRPr="00921120">
        <w:rPr>
          <w:rFonts w:ascii="Arial" w:hAnsi="Arial" w:cs="Arial"/>
          <w:sz w:val="20"/>
          <w:szCs w:val="20"/>
        </w:rPr>
        <w:t>, a final list of projects wa</w:t>
      </w:r>
      <w:r w:rsidRPr="00921120">
        <w:rPr>
          <w:rFonts w:ascii="Arial" w:hAnsi="Arial" w:cs="Arial"/>
          <w:sz w:val="20"/>
          <w:szCs w:val="20"/>
        </w:rPr>
        <w:t>s determined for a particular district with a clear understanding of its role in implementing the project. It should be noted that natio</w:t>
      </w:r>
      <w:r w:rsidR="00411A54" w:rsidRPr="00921120">
        <w:rPr>
          <w:rFonts w:ascii="Arial" w:hAnsi="Arial" w:cs="Arial"/>
          <w:sz w:val="20"/>
          <w:szCs w:val="20"/>
        </w:rPr>
        <w:t>nal and provincial governments we</w:t>
      </w:r>
      <w:r w:rsidRPr="00921120">
        <w:rPr>
          <w:rFonts w:ascii="Arial" w:hAnsi="Arial" w:cs="Arial"/>
          <w:sz w:val="20"/>
          <w:szCs w:val="20"/>
        </w:rPr>
        <w:t>re an integral part of the planning process.</w:t>
      </w:r>
    </w:p>
    <w:p w:rsidR="00411A54" w:rsidRPr="00921120" w:rsidRDefault="00411A54" w:rsidP="00921120">
      <w:pPr>
        <w:spacing w:line="240" w:lineRule="auto"/>
        <w:jc w:val="left"/>
        <w:rPr>
          <w:rFonts w:ascii="Arial" w:hAnsi="Arial" w:cs="Arial"/>
          <w:sz w:val="20"/>
          <w:szCs w:val="20"/>
        </w:rPr>
      </w:pPr>
    </w:p>
    <w:p w:rsidR="006F0F3E" w:rsidRPr="00921120" w:rsidRDefault="006F0F3E" w:rsidP="00921120">
      <w:pPr>
        <w:spacing w:line="240" w:lineRule="auto"/>
        <w:ind w:left="360"/>
        <w:jc w:val="left"/>
        <w:rPr>
          <w:rFonts w:ascii="Arial" w:hAnsi="Arial" w:cs="Arial"/>
          <w:sz w:val="20"/>
          <w:szCs w:val="20"/>
        </w:rPr>
      </w:pPr>
      <w:r w:rsidRPr="00921120">
        <w:rPr>
          <w:rFonts w:ascii="Arial" w:hAnsi="Arial" w:cs="Arial"/>
          <w:sz w:val="20"/>
          <w:szCs w:val="20"/>
        </w:rPr>
        <w:t>In addition, the I</w:t>
      </w:r>
      <w:r w:rsidR="00011E8D" w:rsidRPr="00921120">
        <w:rPr>
          <w:rFonts w:ascii="Arial" w:hAnsi="Arial" w:cs="Arial"/>
          <w:sz w:val="20"/>
          <w:szCs w:val="20"/>
        </w:rPr>
        <w:t xml:space="preserve">ntegrated </w:t>
      </w:r>
      <w:r w:rsidRPr="00921120">
        <w:rPr>
          <w:rFonts w:ascii="Arial" w:hAnsi="Arial" w:cs="Arial"/>
          <w:sz w:val="20"/>
          <w:szCs w:val="20"/>
        </w:rPr>
        <w:t>D</w:t>
      </w:r>
      <w:r w:rsidR="00011E8D" w:rsidRPr="00921120">
        <w:rPr>
          <w:rFonts w:ascii="Arial" w:hAnsi="Arial" w:cs="Arial"/>
          <w:sz w:val="20"/>
          <w:szCs w:val="20"/>
        </w:rPr>
        <w:t xml:space="preserve">evelopment </w:t>
      </w:r>
      <w:r w:rsidRPr="00921120">
        <w:rPr>
          <w:rFonts w:ascii="Arial" w:hAnsi="Arial" w:cs="Arial"/>
          <w:sz w:val="20"/>
          <w:szCs w:val="20"/>
        </w:rPr>
        <w:t>P</w:t>
      </w:r>
      <w:r w:rsidR="00011E8D" w:rsidRPr="00921120">
        <w:rPr>
          <w:rFonts w:ascii="Arial" w:hAnsi="Arial" w:cs="Arial"/>
          <w:sz w:val="20"/>
          <w:szCs w:val="20"/>
        </w:rPr>
        <w:t>lan</w:t>
      </w:r>
      <w:r w:rsidRPr="00921120">
        <w:rPr>
          <w:rFonts w:ascii="Arial" w:hAnsi="Arial" w:cs="Arial"/>
          <w:sz w:val="20"/>
          <w:szCs w:val="20"/>
        </w:rPr>
        <w:t xml:space="preserve"> process </w:t>
      </w:r>
      <w:r w:rsidR="00011E8D" w:rsidRPr="00921120">
        <w:rPr>
          <w:rFonts w:ascii="Arial" w:hAnsi="Arial" w:cs="Arial"/>
          <w:sz w:val="20"/>
          <w:szCs w:val="20"/>
        </w:rPr>
        <w:t>was</w:t>
      </w:r>
      <w:r w:rsidRPr="00921120">
        <w:rPr>
          <w:rFonts w:ascii="Arial" w:hAnsi="Arial" w:cs="Arial"/>
          <w:sz w:val="20"/>
          <w:szCs w:val="20"/>
        </w:rPr>
        <w:t xml:space="preserve"> integral to the success of the projects. It shoul</w:t>
      </w:r>
      <w:r w:rsidR="00011E8D" w:rsidRPr="00921120">
        <w:rPr>
          <w:rFonts w:ascii="Arial" w:hAnsi="Arial" w:cs="Arial"/>
          <w:sz w:val="20"/>
          <w:szCs w:val="20"/>
        </w:rPr>
        <w:t>d be acknowledged that there had been some teething problems;</w:t>
      </w:r>
      <w:r w:rsidRPr="00921120">
        <w:rPr>
          <w:rFonts w:ascii="Arial" w:hAnsi="Arial" w:cs="Arial"/>
          <w:sz w:val="20"/>
          <w:szCs w:val="20"/>
        </w:rPr>
        <w:t xml:space="preserve"> however, with the current mega industrialisation projects one c</w:t>
      </w:r>
      <w:r w:rsidR="008E08AB" w:rsidRPr="00921120">
        <w:rPr>
          <w:rFonts w:ascii="Arial" w:hAnsi="Arial" w:cs="Arial"/>
          <w:sz w:val="20"/>
          <w:szCs w:val="20"/>
        </w:rPr>
        <w:t>ould</w:t>
      </w:r>
      <w:r w:rsidRPr="00921120">
        <w:rPr>
          <w:rFonts w:ascii="Arial" w:hAnsi="Arial" w:cs="Arial"/>
          <w:sz w:val="20"/>
          <w:szCs w:val="20"/>
        </w:rPr>
        <w:t xml:space="preserve"> see the impact of the </w:t>
      </w:r>
      <w:r w:rsidR="008E08AB" w:rsidRPr="00921120">
        <w:rPr>
          <w:rFonts w:ascii="Arial" w:hAnsi="Arial" w:cs="Arial"/>
          <w:sz w:val="20"/>
          <w:szCs w:val="20"/>
        </w:rPr>
        <w:t xml:space="preserve">involvement </w:t>
      </w:r>
      <w:r w:rsidRPr="00921120">
        <w:rPr>
          <w:rFonts w:ascii="Arial" w:hAnsi="Arial" w:cs="Arial"/>
          <w:sz w:val="20"/>
          <w:szCs w:val="20"/>
        </w:rPr>
        <w:t>of district and local municipalities, especially in relation to the provision of bulk infrastructure.  However, it should be noted that most district and local municipalities may not have the necessary capital to support a big project, such as an SEZ.  It is therefore clear, that through the DDM</w:t>
      </w:r>
      <w:r w:rsidR="00011E8D" w:rsidRPr="00921120">
        <w:rPr>
          <w:rFonts w:ascii="Arial" w:hAnsi="Arial" w:cs="Arial"/>
          <w:sz w:val="20"/>
          <w:szCs w:val="20"/>
        </w:rPr>
        <w:t>,</w:t>
      </w:r>
      <w:r w:rsidRPr="00921120">
        <w:rPr>
          <w:rFonts w:ascii="Arial" w:hAnsi="Arial" w:cs="Arial"/>
          <w:sz w:val="20"/>
          <w:szCs w:val="20"/>
        </w:rPr>
        <w:t xml:space="preserve"> it may not be able to provide the necessary support or have the necessary technical skills, but through engagement with sector specific departments and agencies, such as </w:t>
      </w:r>
      <w:r w:rsidR="00011E8D" w:rsidRPr="00921120">
        <w:rPr>
          <w:rFonts w:ascii="Arial" w:hAnsi="Arial" w:cs="Arial"/>
          <w:sz w:val="20"/>
          <w:szCs w:val="20"/>
        </w:rPr>
        <w:t>the Department of Water Affairs and Sanitation</w:t>
      </w:r>
      <w:r w:rsidRPr="00921120">
        <w:rPr>
          <w:rFonts w:ascii="Arial" w:hAnsi="Arial" w:cs="Arial"/>
          <w:sz w:val="20"/>
          <w:szCs w:val="20"/>
        </w:rPr>
        <w:t xml:space="preserve">, SALGA and </w:t>
      </w:r>
      <w:r w:rsidR="008E08AB" w:rsidRPr="00921120">
        <w:rPr>
          <w:rFonts w:ascii="Arial" w:hAnsi="Arial" w:cs="Arial"/>
          <w:sz w:val="20"/>
          <w:szCs w:val="20"/>
        </w:rPr>
        <w:t xml:space="preserve">the </w:t>
      </w:r>
      <w:r w:rsidR="00643F73" w:rsidRPr="00921120">
        <w:rPr>
          <w:rFonts w:ascii="Arial" w:hAnsi="Arial" w:cs="Arial"/>
          <w:sz w:val="20"/>
          <w:szCs w:val="20"/>
        </w:rPr>
        <w:t xml:space="preserve">Department of </w:t>
      </w:r>
      <w:r w:rsidRPr="00921120">
        <w:rPr>
          <w:rFonts w:ascii="Arial" w:hAnsi="Arial" w:cs="Arial"/>
          <w:sz w:val="20"/>
          <w:szCs w:val="20"/>
        </w:rPr>
        <w:t>C</w:t>
      </w:r>
      <w:r w:rsidR="008E08AB" w:rsidRPr="00921120">
        <w:rPr>
          <w:rFonts w:ascii="Arial" w:hAnsi="Arial" w:cs="Arial"/>
          <w:sz w:val="20"/>
          <w:szCs w:val="20"/>
        </w:rPr>
        <w:t xml:space="preserve">ooperative </w:t>
      </w:r>
      <w:r w:rsidRPr="00921120">
        <w:rPr>
          <w:rFonts w:ascii="Arial" w:hAnsi="Arial" w:cs="Arial"/>
          <w:sz w:val="20"/>
          <w:szCs w:val="20"/>
        </w:rPr>
        <w:t>G</w:t>
      </w:r>
      <w:r w:rsidR="00643F73" w:rsidRPr="00921120">
        <w:rPr>
          <w:rFonts w:ascii="Arial" w:hAnsi="Arial" w:cs="Arial"/>
          <w:sz w:val="20"/>
          <w:szCs w:val="20"/>
        </w:rPr>
        <w:t xml:space="preserve">overnance and </w:t>
      </w:r>
      <w:r w:rsidRPr="00921120">
        <w:rPr>
          <w:rFonts w:ascii="Arial" w:hAnsi="Arial" w:cs="Arial"/>
          <w:sz w:val="20"/>
          <w:szCs w:val="20"/>
        </w:rPr>
        <w:t>T</w:t>
      </w:r>
      <w:r w:rsidR="00643F73" w:rsidRPr="00921120">
        <w:rPr>
          <w:rFonts w:ascii="Arial" w:hAnsi="Arial" w:cs="Arial"/>
          <w:sz w:val="20"/>
          <w:szCs w:val="20"/>
        </w:rPr>
        <w:t xml:space="preserve">raditional </w:t>
      </w:r>
      <w:r w:rsidRPr="00921120">
        <w:rPr>
          <w:rFonts w:ascii="Arial" w:hAnsi="Arial" w:cs="Arial"/>
          <w:sz w:val="20"/>
          <w:szCs w:val="20"/>
        </w:rPr>
        <w:t>A</w:t>
      </w:r>
      <w:r w:rsidR="00643F73" w:rsidRPr="00921120">
        <w:rPr>
          <w:rFonts w:ascii="Arial" w:hAnsi="Arial" w:cs="Arial"/>
          <w:sz w:val="20"/>
          <w:szCs w:val="20"/>
        </w:rPr>
        <w:t>ffairs</w:t>
      </w:r>
      <w:r w:rsidR="00011E8D" w:rsidRPr="00921120">
        <w:rPr>
          <w:rFonts w:ascii="Arial" w:hAnsi="Arial" w:cs="Arial"/>
          <w:sz w:val="20"/>
          <w:szCs w:val="20"/>
        </w:rPr>
        <w:t>,</w:t>
      </w:r>
      <w:r w:rsidRPr="00921120">
        <w:rPr>
          <w:rFonts w:ascii="Arial" w:hAnsi="Arial" w:cs="Arial"/>
          <w:sz w:val="20"/>
          <w:szCs w:val="20"/>
        </w:rPr>
        <w:t xml:space="preserve"> it gets the support to deliver on their mandate. </w:t>
      </w:r>
    </w:p>
    <w:p w:rsidR="00DE1D5D" w:rsidRPr="00921120" w:rsidRDefault="00DE1D5D" w:rsidP="00921120">
      <w:pPr>
        <w:pStyle w:val="Heading1"/>
        <w:numPr>
          <w:ilvl w:val="0"/>
          <w:numId w:val="0"/>
        </w:numPr>
        <w:spacing w:line="240" w:lineRule="auto"/>
        <w:jc w:val="left"/>
        <w:rPr>
          <w:rFonts w:ascii="Arial" w:hAnsi="Arial" w:cs="Arial"/>
          <w:sz w:val="20"/>
          <w:szCs w:val="20"/>
        </w:rPr>
      </w:pPr>
    </w:p>
    <w:p w:rsidR="00F53206" w:rsidRPr="00921120" w:rsidRDefault="00F53206" w:rsidP="00921120">
      <w:pPr>
        <w:pStyle w:val="Heading1"/>
        <w:numPr>
          <w:ilvl w:val="0"/>
          <w:numId w:val="0"/>
        </w:numPr>
        <w:spacing w:line="240" w:lineRule="auto"/>
        <w:jc w:val="left"/>
        <w:rPr>
          <w:rFonts w:ascii="Arial" w:hAnsi="Arial" w:cs="Arial"/>
          <w:sz w:val="20"/>
          <w:szCs w:val="20"/>
        </w:rPr>
      </w:pPr>
    </w:p>
    <w:p w:rsidR="00F53206" w:rsidRPr="00921120" w:rsidRDefault="00F53206" w:rsidP="00921120">
      <w:pPr>
        <w:pStyle w:val="Heading1"/>
        <w:spacing w:line="240" w:lineRule="auto"/>
        <w:jc w:val="left"/>
        <w:rPr>
          <w:rFonts w:ascii="Arial" w:hAnsi="Arial" w:cs="Arial"/>
          <w:sz w:val="20"/>
          <w:szCs w:val="20"/>
        </w:rPr>
      </w:pPr>
      <w:r w:rsidRPr="00921120">
        <w:rPr>
          <w:rFonts w:ascii="Arial" w:hAnsi="Arial" w:cs="Arial"/>
          <w:sz w:val="20"/>
          <w:szCs w:val="20"/>
        </w:rPr>
        <w:t>Musina-Makhado Special Economic Zone</w:t>
      </w:r>
    </w:p>
    <w:p w:rsidR="00F53206" w:rsidRPr="00921120" w:rsidRDefault="00F53206" w:rsidP="00921120">
      <w:pPr>
        <w:spacing w:line="240" w:lineRule="auto"/>
        <w:jc w:val="left"/>
        <w:rPr>
          <w:rFonts w:ascii="Arial" w:hAnsi="Arial" w:cs="Arial"/>
          <w:sz w:val="20"/>
          <w:szCs w:val="20"/>
        </w:rPr>
      </w:pPr>
    </w:p>
    <w:p w:rsidR="00F53206" w:rsidRPr="00921120" w:rsidRDefault="00F53206" w:rsidP="00921120">
      <w:pPr>
        <w:spacing w:line="240" w:lineRule="auto"/>
        <w:jc w:val="left"/>
        <w:rPr>
          <w:rFonts w:ascii="Arial" w:hAnsi="Arial" w:cs="Arial"/>
          <w:sz w:val="20"/>
          <w:szCs w:val="20"/>
        </w:rPr>
      </w:pPr>
      <w:r w:rsidRPr="00921120">
        <w:rPr>
          <w:rFonts w:ascii="Arial" w:hAnsi="Arial" w:cs="Arial"/>
          <w:sz w:val="20"/>
          <w:szCs w:val="20"/>
        </w:rPr>
        <w:t>The Committee embarked on an impromptu/unplanned visit to the MMSEZ’s northern site office. The SEZ consisted of two sites, one in Musina (northern si</w:t>
      </w:r>
      <w:r w:rsidR="007B1A1D" w:rsidRPr="00921120">
        <w:rPr>
          <w:rFonts w:ascii="Arial" w:hAnsi="Arial" w:cs="Arial"/>
          <w:sz w:val="20"/>
          <w:szCs w:val="20"/>
        </w:rPr>
        <w:t>d</w:t>
      </w:r>
      <w:r w:rsidRPr="00921120">
        <w:rPr>
          <w:rFonts w:ascii="Arial" w:hAnsi="Arial" w:cs="Arial"/>
          <w:sz w:val="20"/>
          <w:szCs w:val="20"/>
        </w:rPr>
        <w:t>e) and the other in Makhado (southern si</w:t>
      </w:r>
      <w:r w:rsidR="007B1A1D" w:rsidRPr="00921120">
        <w:rPr>
          <w:rFonts w:ascii="Arial" w:hAnsi="Arial" w:cs="Arial"/>
          <w:sz w:val="20"/>
          <w:szCs w:val="20"/>
        </w:rPr>
        <w:t>d</w:t>
      </w:r>
      <w:r w:rsidRPr="00921120">
        <w:rPr>
          <w:rFonts w:ascii="Arial" w:hAnsi="Arial" w:cs="Arial"/>
          <w:sz w:val="20"/>
          <w:szCs w:val="20"/>
        </w:rPr>
        <w:t xml:space="preserve">e). The northern side of the SEZ consists of 320 hectares, as gazetted, and cuts across a number of farms. </w:t>
      </w:r>
      <w:r w:rsidR="007B1A1D" w:rsidRPr="00921120">
        <w:rPr>
          <w:rFonts w:ascii="Arial" w:hAnsi="Arial" w:cs="Arial"/>
          <w:sz w:val="20"/>
          <w:szCs w:val="20"/>
        </w:rPr>
        <w:t xml:space="preserve">It </w:t>
      </w:r>
      <w:r w:rsidRPr="00921120">
        <w:rPr>
          <w:rFonts w:ascii="Arial" w:hAnsi="Arial" w:cs="Arial"/>
          <w:sz w:val="20"/>
          <w:szCs w:val="20"/>
        </w:rPr>
        <w:t xml:space="preserve">will be used for light manufacturing. </w:t>
      </w:r>
    </w:p>
    <w:p w:rsidR="00F53206" w:rsidRPr="00921120" w:rsidRDefault="00F53206" w:rsidP="00921120">
      <w:pPr>
        <w:spacing w:line="240" w:lineRule="auto"/>
        <w:jc w:val="left"/>
        <w:rPr>
          <w:rFonts w:ascii="Arial" w:hAnsi="Arial" w:cs="Arial"/>
          <w:sz w:val="20"/>
          <w:szCs w:val="20"/>
        </w:rPr>
      </w:pPr>
    </w:p>
    <w:p w:rsidR="00F53206" w:rsidRPr="00921120" w:rsidRDefault="00F53206" w:rsidP="00921120">
      <w:pPr>
        <w:spacing w:line="240" w:lineRule="auto"/>
        <w:jc w:val="left"/>
        <w:rPr>
          <w:rFonts w:ascii="Arial" w:hAnsi="Arial" w:cs="Arial"/>
          <w:sz w:val="20"/>
          <w:szCs w:val="20"/>
        </w:rPr>
      </w:pPr>
      <w:r w:rsidRPr="00921120">
        <w:rPr>
          <w:rFonts w:ascii="Arial" w:hAnsi="Arial" w:cs="Arial"/>
          <w:sz w:val="20"/>
          <w:szCs w:val="20"/>
        </w:rPr>
        <w:t>The overall budget for the first phase of construction was approximately R1,25 billion for roads, water, sewerage, electricity, and fencing. The team was currently constructing/installing bulk infrastructure on the northern si</w:t>
      </w:r>
      <w:r w:rsidR="007B1A1D" w:rsidRPr="00921120">
        <w:rPr>
          <w:rFonts w:ascii="Arial" w:hAnsi="Arial" w:cs="Arial"/>
          <w:sz w:val="20"/>
          <w:szCs w:val="20"/>
        </w:rPr>
        <w:t>d</w:t>
      </w:r>
      <w:r w:rsidRPr="00921120">
        <w:rPr>
          <w:rFonts w:ascii="Arial" w:hAnsi="Arial" w:cs="Arial"/>
          <w:sz w:val="20"/>
          <w:szCs w:val="20"/>
        </w:rPr>
        <w:t xml:space="preserve">e of the SEZ, and employed 16 people to do so. However, some of the work was being delayed by permissions being sought to move certain trees that have cultural significance. </w:t>
      </w:r>
    </w:p>
    <w:p w:rsidR="00F53206" w:rsidRPr="00921120" w:rsidRDefault="00F53206" w:rsidP="00921120">
      <w:pPr>
        <w:spacing w:line="240" w:lineRule="auto"/>
        <w:jc w:val="left"/>
        <w:rPr>
          <w:rFonts w:ascii="Arial" w:hAnsi="Arial" w:cs="Arial"/>
          <w:sz w:val="20"/>
          <w:szCs w:val="20"/>
        </w:rPr>
      </w:pPr>
    </w:p>
    <w:p w:rsidR="00F53206" w:rsidRPr="00921120" w:rsidRDefault="00F53206" w:rsidP="00921120">
      <w:pPr>
        <w:spacing w:line="240" w:lineRule="auto"/>
        <w:jc w:val="left"/>
        <w:rPr>
          <w:rFonts w:ascii="Arial" w:hAnsi="Arial" w:cs="Arial"/>
          <w:sz w:val="20"/>
          <w:szCs w:val="20"/>
        </w:rPr>
      </w:pPr>
      <w:r w:rsidRPr="00921120">
        <w:rPr>
          <w:rFonts w:ascii="Arial" w:hAnsi="Arial" w:cs="Arial"/>
          <w:sz w:val="20"/>
          <w:szCs w:val="20"/>
        </w:rPr>
        <w:t>The budget for the roads project was R300 million. Engineers had been appointed to upgrade the main road and develop the internal road infrastructure over a 24-month period. Work had started in December 2022. Thus far, the project was 18</w:t>
      </w:r>
      <w:r w:rsidR="00AC0EDA" w:rsidRPr="00921120">
        <w:rPr>
          <w:rFonts w:ascii="Arial" w:hAnsi="Arial" w:cs="Arial"/>
          <w:sz w:val="20"/>
          <w:szCs w:val="20"/>
        </w:rPr>
        <w:t>%</w:t>
      </w:r>
      <w:r w:rsidRPr="00921120">
        <w:rPr>
          <w:rFonts w:ascii="Arial" w:hAnsi="Arial" w:cs="Arial"/>
          <w:sz w:val="20"/>
          <w:szCs w:val="20"/>
        </w:rPr>
        <w:t xml:space="preserve"> complete and R25 million had been spent.</w:t>
      </w:r>
    </w:p>
    <w:p w:rsidR="00F53206" w:rsidRPr="00921120" w:rsidRDefault="00F53206" w:rsidP="00921120">
      <w:pPr>
        <w:spacing w:line="240" w:lineRule="auto"/>
        <w:jc w:val="left"/>
        <w:rPr>
          <w:rFonts w:ascii="Arial" w:hAnsi="Arial" w:cs="Arial"/>
          <w:sz w:val="20"/>
          <w:szCs w:val="20"/>
        </w:rPr>
      </w:pPr>
    </w:p>
    <w:p w:rsidR="00F53206" w:rsidRPr="00921120" w:rsidRDefault="00F53206" w:rsidP="00921120">
      <w:pPr>
        <w:spacing w:line="240" w:lineRule="auto"/>
        <w:jc w:val="left"/>
        <w:rPr>
          <w:rFonts w:ascii="Arial" w:hAnsi="Arial" w:cs="Arial"/>
          <w:sz w:val="20"/>
          <w:szCs w:val="20"/>
        </w:rPr>
      </w:pPr>
      <w:r w:rsidRPr="00921120">
        <w:rPr>
          <w:rFonts w:ascii="Arial" w:hAnsi="Arial" w:cs="Arial"/>
          <w:sz w:val="20"/>
          <w:szCs w:val="20"/>
        </w:rPr>
        <w:t xml:space="preserve">Other projects </w:t>
      </w:r>
      <w:r w:rsidR="007B1A1D" w:rsidRPr="00921120">
        <w:rPr>
          <w:rFonts w:ascii="Arial" w:hAnsi="Arial" w:cs="Arial"/>
          <w:sz w:val="20"/>
          <w:szCs w:val="20"/>
        </w:rPr>
        <w:t>we</w:t>
      </w:r>
      <w:r w:rsidRPr="00921120">
        <w:rPr>
          <w:rFonts w:ascii="Arial" w:hAnsi="Arial" w:cs="Arial"/>
          <w:sz w:val="20"/>
          <w:szCs w:val="20"/>
        </w:rPr>
        <w:t>re expected to start in March 2023. The establishment of the northern si</w:t>
      </w:r>
      <w:r w:rsidR="007B1A1D" w:rsidRPr="00921120">
        <w:rPr>
          <w:rFonts w:ascii="Arial" w:hAnsi="Arial" w:cs="Arial"/>
          <w:sz w:val="20"/>
          <w:szCs w:val="20"/>
        </w:rPr>
        <w:t>d</w:t>
      </w:r>
      <w:r w:rsidRPr="00921120">
        <w:rPr>
          <w:rFonts w:ascii="Arial" w:hAnsi="Arial" w:cs="Arial"/>
          <w:sz w:val="20"/>
          <w:szCs w:val="20"/>
        </w:rPr>
        <w:t xml:space="preserve">e </w:t>
      </w:r>
      <w:r w:rsidR="007B1A1D" w:rsidRPr="00921120">
        <w:rPr>
          <w:rFonts w:ascii="Arial" w:hAnsi="Arial" w:cs="Arial"/>
          <w:sz w:val="20"/>
          <w:szCs w:val="20"/>
        </w:rPr>
        <w:t>wa</w:t>
      </w:r>
      <w:r w:rsidRPr="00921120">
        <w:rPr>
          <w:rFonts w:ascii="Arial" w:hAnsi="Arial" w:cs="Arial"/>
          <w:sz w:val="20"/>
          <w:szCs w:val="20"/>
        </w:rPr>
        <w:t>s expected to create almost 500 construction jobs for bulk infrastructure.</w:t>
      </w:r>
    </w:p>
    <w:p w:rsidR="00F53206" w:rsidRPr="00921120" w:rsidRDefault="00F53206" w:rsidP="00921120">
      <w:pPr>
        <w:spacing w:line="240" w:lineRule="auto"/>
        <w:jc w:val="left"/>
        <w:rPr>
          <w:rFonts w:ascii="Arial" w:hAnsi="Arial" w:cs="Arial"/>
          <w:sz w:val="20"/>
          <w:szCs w:val="20"/>
        </w:rPr>
      </w:pPr>
    </w:p>
    <w:p w:rsidR="00F53206" w:rsidRPr="00921120" w:rsidRDefault="00F53206" w:rsidP="00921120">
      <w:pPr>
        <w:spacing w:line="240" w:lineRule="auto"/>
        <w:jc w:val="left"/>
        <w:rPr>
          <w:rFonts w:ascii="Arial" w:hAnsi="Arial" w:cs="Arial"/>
          <w:sz w:val="20"/>
          <w:szCs w:val="20"/>
        </w:rPr>
      </w:pPr>
      <w:r w:rsidRPr="00921120">
        <w:rPr>
          <w:rFonts w:ascii="Arial" w:hAnsi="Arial" w:cs="Arial"/>
          <w:sz w:val="20"/>
          <w:szCs w:val="20"/>
        </w:rPr>
        <w:t>The SEZ Operator reported that it had good relationships with the surrounding communities, as there was an understanding of their roles in terms of SMME</w:t>
      </w:r>
      <w:r w:rsidR="007B1A1D" w:rsidRPr="00921120">
        <w:rPr>
          <w:rFonts w:ascii="Arial" w:hAnsi="Arial" w:cs="Arial"/>
          <w:sz w:val="20"/>
          <w:szCs w:val="20"/>
        </w:rPr>
        <w:t xml:space="preserve"> involvement</w:t>
      </w:r>
      <w:r w:rsidRPr="00921120">
        <w:rPr>
          <w:rFonts w:ascii="Arial" w:hAnsi="Arial" w:cs="Arial"/>
          <w:sz w:val="20"/>
          <w:szCs w:val="20"/>
        </w:rPr>
        <w:t xml:space="preserve"> and job opportunities. For example, SMMEs were given an opportunity to rent machinery to the contractors. There were also efforts being made to ensure employment absorption across the wards, including rural areas in Musina. In this regard, the calls for SMMEs and employment opportunities </w:t>
      </w:r>
      <w:r w:rsidR="007B1A1D" w:rsidRPr="00921120">
        <w:rPr>
          <w:rFonts w:ascii="Arial" w:hAnsi="Arial" w:cs="Arial"/>
          <w:sz w:val="20"/>
          <w:szCs w:val="20"/>
        </w:rPr>
        <w:t>we</w:t>
      </w:r>
      <w:r w:rsidRPr="00921120">
        <w:rPr>
          <w:rFonts w:ascii="Arial" w:hAnsi="Arial" w:cs="Arial"/>
          <w:sz w:val="20"/>
          <w:szCs w:val="20"/>
        </w:rPr>
        <w:t xml:space="preserve">re communicated across all the wards through the ward councillors. It has </w:t>
      </w:r>
      <w:r w:rsidR="007B1A1D" w:rsidRPr="00921120">
        <w:rPr>
          <w:rFonts w:ascii="Arial" w:hAnsi="Arial" w:cs="Arial"/>
          <w:sz w:val="20"/>
          <w:szCs w:val="20"/>
        </w:rPr>
        <w:t xml:space="preserve">also </w:t>
      </w:r>
      <w:r w:rsidRPr="00921120">
        <w:rPr>
          <w:rFonts w:ascii="Arial" w:hAnsi="Arial" w:cs="Arial"/>
          <w:sz w:val="20"/>
          <w:szCs w:val="20"/>
        </w:rPr>
        <w:t xml:space="preserve">secured office space in Musina for a </w:t>
      </w:r>
      <w:r w:rsidRPr="00921120">
        <w:rPr>
          <w:rFonts w:ascii="Arial" w:hAnsi="Arial" w:cs="Arial"/>
          <w:sz w:val="20"/>
          <w:szCs w:val="20"/>
        </w:rPr>
        <w:lastRenderedPageBreak/>
        <w:t>liaison office to assist in maintaining these relationships with the community. Councillors and traditional leaders were being engaged to facilitate the employment of people</w:t>
      </w:r>
    </w:p>
    <w:p w:rsidR="00F53206" w:rsidRPr="00921120" w:rsidRDefault="00F53206" w:rsidP="00921120">
      <w:pPr>
        <w:spacing w:line="240" w:lineRule="auto"/>
        <w:jc w:val="left"/>
        <w:rPr>
          <w:rFonts w:ascii="Arial" w:hAnsi="Arial" w:cs="Arial"/>
          <w:sz w:val="20"/>
          <w:szCs w:val="20"/>
        </w:rPr>
      </w:pPr>
    </w:p>
    <w:p w:rsidR="00F53206" w:rsidRPr="00921120" w:rsidRDefault="00F53206" w:rsidP="00921120">
      <w:pPr>
        <w:spacing w:line="240" w:lineRule="auto"/>
        <w:jc w:val="left"/>
        <w:rPr>
          <w:rFonts w:ascii="Arial" w:hAnsi="Arial" w:cs="Arial"/>
          <w:sz w:val="20"/>
          <w:szCs w:val="20"/>
        </w:rPr>
      </w:pPr>
      <w:r w:rsidRPr="00921120">
        <w:rPr>
          <w:rFonts w:ascii="Arial" w:hAnsi="Arial" w:cs="Arial"/>
          <w:sz w:val="20"/>
          <w:szCs w:val="20"/>
        </w:rPr>
        <w:t>The MMSEZ Operator reported that the Environmental Impact Assessment for the Makhado site had been approved.</w:t>
      </w:r>
    </w:p>
    <w:p w:rsidR="00F53206" w:rsidRPr="00921120" w:rsidRDefault="00F53206" w:rsidP="00921120">
      <w:pPr>
        <w:pStyle w:val="Heading1"/>
        <w:numPr>
          <w:ilvl w:val="0"/>
          <w:numId w:val="0"/>
        </w:numPr>
        <w:spacing w:line="240" w:lineRule="auto"/>
        <w:jc w:val="left"/>
        <w:rPr>
          <w:rFonts w:ascii="Arial" w:hAnsi="Arial" w:cs="Arial"/>
          <w:sz w:val="20"/>
          <w:szCs w:val="20"/>
        </w:rPr>
      </w:pPr>
    </w:p>
    <w:p w:rsidR="00E37E0C" w:rsidRPr="00921120" w:rsidRDefault="00E37E0C" w:rsidP="00921120">
      <w:pPr>
        <w:pStyle w:val="Heading1"/>
        <w:numPr>
          <w:ilvl w:val="0"/>
          <w:numId w:val="0"/>
        </w:numPr>
        <w:spacing w:line="240" w:lineRule="auto"/>
        <w:jc w:val="left"/>
        <w:rPr>
          <w:rFonts w:ascii="Arial" w:hAnsi="Arial" w:cs="Arial"/>
          <w:sz w:val="20"/>
          <w:szCs w:val="20"/>
        </w:rPr>
      </w:pPr>
    </w:p>
    <w:p w:rsidR="00F51D73" w:rsidRPr="00921120" w:rsidRDefault="00373A01" w:rsidP="00921120">
      <w:pPr>
        <w:pStyle w:val="Heading1"/>
        <w:spacing w:line="240" w:lineRule="auto"/>
        <w:jc w:val="left"/>
        <w:rPr>
          <w:rFonts w:ascii="Arial" w:hAnsi="Arial" w:cs="Arial"/>
          <w:sz w:val="20"/>
          <w:szCs w:val="20"/>
        </w:rPr>
      </w:pPr>
      <w:r w:rsidRPr="00921120">
        <w:rPr>
          <w:rFonts w:ascii="Arial" w:hAnsi="Arial" w:cs="Arial"/>
          <w:sz w:val="20"/>
          <w:szCs w:val="20"/>
        </w:rPr>
        <w:t xml:space="preserve">National Lotteries Commission </w:t>
      </w:r>
    </w:p>
    <w:p w:rsidR="00F51D73" w:rsidRPr="00921120" w:rsidRDefault="00F51D73" w:rsidP="00921120">
      <w:pPr>
        <w:spacing w:line="240" w:lineRule="auto"/>
        <w:jc w:val="left"/>
        <w:rPr>
          <w:rFonts w:ascii="Arial" w:hAnsi="Arial" w:cs="Arial"/>
          <w:sz w:val="20"/>
          <w:szCs w:val="20"/>
        </w:rPr>
      </w:pPr>
    </w:p>
    <w:p w:rsidR="00F51D73" w:rsidRPr="00921120" w:rsidRDefault="00F51D73" w:rsidP="00921120">
      <w:pPr>
        <w:pStyle w:val="Heading2"/>
        <w:spacing w:line="240" w:lineRule="auto"/>
        <w:jc w:val="left"/>
        <w:rPr>
          <w:rFonts w:ascii="Arial" w:hAnsi="Arial" w:cs="Arial"/>
          <w:sz w:val="20"/>
          <w:szCs w:val="20"/>
        </w:rPr>
      </w:pPr>
      <w:r w:rsidRPr="00921120">
        <w:rPr>
          <w:rFonts w:ascii="Arial" w:hAnsi="Arial" w:cs="Arial"/>
          <w:sz w:val="20"/>
          <w:szCs w:val="20"/>
        </w:rPr>
        <w:t>Mandate</w:t>
      </w:r>
    </w:p>
    <w:p w:rsidR="00373A01" w:rsidRPr="00921120" w:rsidRDefault="00373A01" w:rsidP="00921120">
      <w:pPr>
        <w:spacing w:line="240" w:lineRule="auto"/>
        <w:jc w:val="left"/>
        <w:rPr>
          <w:rFonts w:ascii="Arial" w:eastAsia="Times New Roman" w:hAnsi="Arial" w:cs="Arial"/>
          <w:sz w:val="20"/>
          <w:szCs w:val="20"/>
          <w:lang w:eastAsia="en-ZA"/>
        </w:rPr>
      </w:pPr>
      <w:r w:rsidRPr="00921120">
        <w:rPr>
          <w:rFonts w:ascii="Arial" w:eastAsia="Times New Roman" w:hAnsi="Arial" w:cs="Arial"/>
          <w:sz w:val="20"/>
          <w:szCs w:val="20"/>
          <w:lang w:eastAsia="en-ZA"/>
        </w:rPr>
        <w:t xml:space="preserve">The NLC was </w:t>
      </w:r>
      <w:r w:rsidR="00830BA9" w:rsidRPr="00921120">
        <w:rPr>
          <w:rFonts w:ascii="Arial" w:eastAsia="Times New Roman" w:hAnsi="Arial" w:cs="Arial"/>
          <w:sz w:val="20"/>
          <w:szCs w:val="20"/>
          <w:lang w:eastAsia="en-ZA"/>
        </w:rPr>
        <w:t xml:space="preserve">established </w:t>
      </w:r>
      <w:r w:rsidRPr="00921120">
        <w:rPr>
          <w:rFonts w:ascii="Arial" w:eastAsia="Times New Roman" w:hAnsi="Arial" w:cs="Arial"/>
          <w:sz w:val="20"/>
          <w:szCs w:val="20"/>
          <w:lang w:eastAsia="en-ZA"/>
        </w:rPr>
        <w:t>in terms of the Lotteries Amendment Act (</w:t>
      </w:r>
      <w:r w:rsidR="00830BA9" w:rsidRPr="00921120">
        <w:rPr>
          <w:rFonts w:ascii="Arial" w:eastAsia="Times New Roman" w:hAnsi="Arial" w:cs="Arial"/>
          <w:sz w:val="20"/>
          <w:szCs w:val="20"/>
          <w:lang w:eastAsia="en-ZA"/>
        </w:rPr>
        <w:t xml:space="preserve">Act </w:t>
      </w:r>
      <w:r w:rsidRPr="00921120">
        <w:rPr>
          <w:rFonts w:ascii="Arial" w:eastAsia="Times New Roman" w:hAnsi="Arial" w:cs="Arial"/>
          <w:sz w:val="20"/>
          <w:szCs w:val="20"/>
          <w:lang w:eastAsia="en-ZA"/>
        </w:rPr>
        <w:t>No</w:t>
      </w:r>
      <w:r w:rsidR="00830BA9" w:rsidRPr="00921120">
        <w:rPr>
          <w:rFonts w:ascii="Arial" w:eastAsia="Times New Roman" w:hAnsi="Arial" w:cs="Arial"/>
          <w:sz w:val="20"/>
          <w:szCs w:val="20"/>
          <w:lang w:eastAsia="en-ZA"/>
        </w:rPr>
        <w:t>.</w:t>
      </w:r>
      <w:r w:rsidRPr="00921120">
        <w:rPr>
          <w:rFonts w:ascii="Arial" w:eastAsia="Times New Roman" w:hAnsi="Arial" w:cs="Arial"/>
          <w:sz w:val="20"/>
          <w:szCs w:val="20"/>
          <w:lang w:eastAsia="en-ZA"/>
        </w:rPr>
        <w:t xml:space="preserve"> 32 of 2013)</w:t>
      </w:r>
      <w:r w:rsidR="00830BA9" w:rsidRPr="00921120">
        <w:rPr>
          <w:rFonts w:ascii="Arial" w:eastAsia="Times New Roman" w:hAnsi="Arial" w:cs="Arial"/>
          <w:sz w:val="20"/>
          <w:szCs w:val="20"/>
          <w:lang w:eastAsia="en-ZA"/>
        </w:rPr>
        <w:t xml:space="preserve"> to replace the former National Lotteries Board. </w:t>
      </w:r>
      <w:r w:rsidRPr="00921120">
        <w:rPr>
          <w:rFonts w:ascii="Arial" w:eastAsia="Times New Roman" w:hAnsi="Arial" w:cs="Arial"/>
          <w:sz w:val="20"/>
          <w:szCs w:val="20"/>
          <w:lang w:eastAsia="en-ZA"/>
        </w:rPr>
        <w:t xml:space="preserve"> </w:t>
      </w:r>
      <w:r w:rsidR="00830BA9" w:rsidRPr="00921120">
        <w:rPr>
          <w:rFonts w:ascii="Arial" w:eastAsia="Times New Roman" w:hAnsi="Arial" w:cs="Arial"/>
          <w:sz w:val="20"/>
          <w:szCs w:val="20"/>
          <w:lang w:eastAsia="en-ZA"/>
        </w:rPr>
        <w:t xml:space="preserve">In terms of the Act, the NLC’s </w:t>
      </w:r>
      <w:r w:rsidR="00337B7B" w:rsidRPr="00921120">
        <w:rPr>
          <w:rFonts w:ascii="Arial" w:eastAsia="Times New Roman" w:hAnsi="Arial" w:cs="Arial"/>
          <w:sz w:val="20"/>
          <w:szCs w:val="20"/>
          <w:lang w:eastAsia="en-ZA"/>
        </w:rPr>
        <w:t xml:space="preserve">core </w:t>
      </w:r>
      <w:r w:rsidR="00830BA9" w:rsidRPr="00921120">
        <w:rPr>
          <w:rFonts w:ascii="Arial" w:eastAsia="Times New Roman" w:hAnsi="Arial" w:cs="Arial"/>
          <w:sz w:val="20"/>
          <w:szCs w:val="20"/>
          <w:lang w:eastAsia="en-ZA"/>
        </w:rPr>
        <w:t>mandate covers the following:</w:t>
      </w:r>
    </w:p>
    <w:p w:rsidR="00830BA9" w:rsidRPr="00921120" w:rsidRDefault="00830BA9" w:rsidP="00921120">
      <w:pPr>
        <w:pStyle w:val="ListParagraph"/>
        <w:numPr>
          <w:ilvl w:val="0"/>
          <w:numId w:val="7"/>
        </w:numPr>
        <w:spacing w:line="240" w:lineRule="auto"/>
        <w:jc w:val="left"/>
        <w:rPr>
          <w:rFonts w:ascii="Arial" w:eastAsia="Times New Roman" w:hAnsi="Arial" w:cs="Arial"/>
          <w:sz w:val="20"/>
          <w:szCs w:val="20"/>
          <w:lang w:eastAsia="en-ZA"/>
        </w:rPr>
      </w:pPr>
      <w:r w:rsidRPr="00921120">
        <w:rPr>
          <w:rFonts w:ascii="Arial" w:eastAsia="Times New Roman" w:hAnsi="Arial" w:cs="Arial"/>
          <w:sz w:val="20"/>
          <w:szCs w:val="20"/>
          <w:lang w:eastAsia="en-ZA"/>
        </w:rPr>
        <w:t>Ensuring that the National Lottery and sports pools are conducted with all due propriety and in accordance with the relevant legislation and licence for the National Lottery, to protect the interests of all participants;</w:t>
      </w:r>
    </w:p>
    <w:p w:rsidR="00830BA9" w:rsidRPr="00921120" w:rsidRDefault="00830BA9" w:rsidP="00921120">
      <w:pPr>
        <w:pStyle w:val="ListParagraph"/>
        <w:numPr>
          <w:ilvl w:val="0"/>
          <w:numId w:val="7"/>
        </w:numPr>
        <w:spacing w:line="240" w:lineRule="auto"/>
        <w:jc w:val="left"/>
        <w:rPr>
          <w:rFonts w:ascii="Arial" w:eastAsia="Times New Roman" w:hAnsi="Arial" w:cs="Arial"/>
          <w:sz w:val="20"/>
          <w:szCs w:val="20"/>
          <w:lang w:eastAsia="en-ZA"/>
        </w:rPr>
      </w:pPr>
      <w:r w:rsidRPr="00921120">
        <w:rPr>
          <w:rFonts w:ascii="Arial" w:eastAsia="Times New Roman" w:hAnsi="Arial" w:cs="Arial"/>
          <w:sz w:val="20"/>
          <w:szCs w:val="20"/>
          <w:lang w:eastAsia="en-ZA"/>
        </w:rPr>
        <w:t>Conducting research on worthy good causes that may be funded without lodging an application prescribed in terms of the Act (for so-called proactive funding);</w:t>
      </w:r>
    </w:p>
    <w:p w:rsidR="00830BA9" w:rsidRPr="00921120" w:rsidRDefault="00830BA9" w:rsidP="00921120">
      <w:pPr>
        <w:pStyle w:val="ListParagraph"/>
        <w:numPr>
          <w:ilvl w:val="0"/>
          <w:numId w:val="7"/>
        </w:numPr>
        <w:spacing w:line="240" w:lineRule="auto"/>
        <w:jc w:val="left"/>
        <w:rPr>
          <w:rFonts w:ascii="Arial" w:eastAsia="Times New Roman" w:hAnsi="Arial" w:cs="Arial"/>
          <w:sz w:val="20"/>
          <w:szCs w:val="20"/>
          <w:lang w:eastAsia="en-ZA"/>
        </w:rPr>
      </w:pPr>
      <w:r w:rsidRPr="00921120">
        <w:rPr>
          <w:rFonts w:ascii="Arial" w:eastAsia="Times New Roman" w:hAnsi="Arial" w:cs="Arial"/>
          <w:sz w:val="20"/>
          <w:szCs w:val="20"/>
          <w:lang w:eastAsia="en-ZA"/>
        </w:rPr>
        <w:t>Inviting applications for</w:t>
      </w:r>
      <w:r w:rsidR="00337B7B" w:rsidRPr="00921120">
        <w:rPr>
          <w:rFonts w:ascii="Arial" w:eastAsia="Times New Roman" w:hAnsi="Arial" w:cs="Arial"/>
          <w:sz w:val="20"/>
          <w:szCs w:val="20"/>
          <w:lang w:eastAsia="en-ZA"/>
        </w:rPr>
        <w:t xml:space="preserve"> grants from worthy good causes; and</w:t>
      </w:r>
    </w:p>
    <w:p w:rsidR="00830BA9" w:rsidRPr="00921120" w:rsidRDefault="00337B7B" w:rsidP="00921120">
      <w:pPr>
        <w:pStyle w:val="ListParagraph"/>
        <w:numPr>
          <w:ilvl w:val="0"/>
          <w:numId w:val="7"/>
        </w:numPr>
        <w:spacing w:line="240" w:lineRule="auto"/>
        <w:jc w:val="left"/>
        <w:rPr>
          <w:rFonts w:ascii="Arial" w:eastAsia="Times New Roman" w:hAnsi="Arial" w:cs="Arial"/>
          <w:sz w:val="20"/>
          <w:szCs w:val="20"/>
          <w:lang w:eastAsia="en-ZA"/>
        </w:rPr>
      </w:pPr>
      <w:r w:rsidRPr="00921120">
        <w:rPr>
          <w:rFonts w:ascii="Arial" w:eastAsia="Times New Roman" w:hAnsi="Arial" w:cs="Arial"/>
          <w:sz w:val="20"/>
          <w:szCs w:val="20"/>
          <w:lang w:eastAsia="en-ZA"/>
        </w:rPr>
        <w:t>Promoting</w:t>
      </w:r>
      <w:r w:rsidR="00830BA9" w:rsidRPr="00921120">
        <w:rPr>
          <w:rFonts w:ascii="Arial" w:eastAsia="Times New Roman" w:hAnsi="Arial" w:cs="Arial"/>
          <w:sz w:val="20"/>
          <w:szCs w:val="20"/>
          <w:lang w:eastAsia="en-ZA"/>
        </w:rPr>
        <w:t xml:space="preserve"> public knowledge and awareness about the </w:t>
      </w:r>
      <w:r w:rsidRPr="00921120">
        <w:rPr>
          <w:rFonts w:ascii="Arial" w:eastAsia="Times New Roman" w:hAnsi="Arial" w:cs="Arial"/>
          <w:sz w:val="20"/>
          <w:szCs w:val="20"/>
          <w:lang w:eastAsia="en-ZA"/>
        </w:rPr>
        <w:t xml:space="preserve">lotteries and provisions of the Act, as well as </w:t>
      </w:r>
      <w:r w:rsidR="00830BA9" w:rsidRPr="00921120">
        <w:rPr>
          <w:rFonts w:ascii="Arial" w:eastAsia="Times New Roman" w:hAnsi="Arial" w:cs="Arial"/>
          <w:sz w:val="20"/>
          <w:szCs w:val="20"/>
          <w:lang w:eastAsia="en-ZA"/>
        </w:rPr>
        <w:t xml:space="preserve">educating the public </w:t>
      </w:r>
      <w:r w:rsidRPr="00921120">
        <w:rPr>
          <w:rFonts w:ascii="Arial" w:eastAsia="Times New Roman" w:hAnsi="Arial" w:cs="Arial"/>
          <w:sz w:val="20"/>
          <w:szCs w:val="20"/>
          <w:lang w:eastAsia="en-ZA"/>
        </w:rPr>
        <w:t xml:space="preserve">regarding </w:t>
      </w:r>
      <w:r w:rsidR="00830BA9" w:rsidRPr="00921120">
        <w:rPr>
          <w:rFonts w:ascii="Arial" w:eastAsia="Times New Roman" w:hAnsi="Arial" w:cs="Arial"/>
          <w:sz w:val="20"/>
          <w:szCs w:val="20"/>
          <w:lang w:eastAsia="en-ZA"/>
        </w:rPr>
        <w:t>the process, requirements and qualifications relating to the</w:t>
      </w:r>
      <w:r w:rsidRPr="00921120">
        <w:rPr>
          <w:rFonts w:ascii="Arial" w:eastAsia="Times New Roman" w:hAnsi="Arial" w:cs="Arial"/>
          <w:sz w:val="20"/>
          <w:szCs w:val="20"/>
          <w:lang w:eastAsia="en-ZA"/>
        </w:rPr>
        <w:t xml:space="preserve"> </w:t>
      </w:r>
      <w:r w:rsidR="00830BA9" w:rsidRPr="00921120">
        <w:rPr>
          <w:rFonts w:ascii="Arial" w:eastAsia="Times New Roman" w:hAnsi="Arial" w:cs="Arial"/>
          <w:sz w:val="20"/>
          <w:szCs w:val="20"/>
          <w:lang w:eastAsia="en-ZA"/>
        </w:rPr>
        <w:t xml:space="preserve">application </w:t>
      </w:r>
      <w:r w:rsidRPr="00921120">
        <w:rPr>
          <w:rFonts w:ascii="Arial" w:eastAsia="Times New Roman" w:hAnsi="Arial" w:cs="Arial"/>
          <w:sz w:val="20"/>
          <w:szCs w:val="20"/>
          <w:lang w:eastAsia="en-ZA"/>
        </w:rPr>
        <w:t>for grants in terms of this Act.</w:t>
      </w:r>
    </w:p>
    <w:p w:rsidR="00AC1685" w:rsidRPr="00921120" w:rsidRDefault="00AC1685" w:rsidP="00921120">
      <w:pPr>
        <w:spacing w:line="240" w:lineRule="auto"/>
        <w:jc w:val="left"/>
        <w:rPr>
          <w:rFonts w:ascii="Arial" w:eastAsia="Times New Roman" w:hAnsi="Arial" w:cs="Arial"/>
          <w:sz w:val="20"/>
          <w:szCs w:val="20"/>
          <w:lang w:eastAsia="en-ZA"/>
        </w:rPr>
      </w:pPr>
    </w:p>
    <w:p w:rsidR="00AC1685" w:rsidRPr="00921120" w:rsidRDefault="00AC1685" w:rsidP="00921120">
      <w:pPr>
        <w:spacing w:line="240" w:lineRule="auto"/>
        <w:jc w:val="left"/>
        <w:rPr>
          <w:rFonts w:ascii="Arial" w:eastAsia="Times New Roman" w:hAnsi="Arial" w:cs="Arial"/>
          <w:sz w:val="20"/>
          <w:szCs w:val="20"/>
          <w:lang w:eastAsia="en-ZA"/>
        </w:rPr>
      </w:pPr>
      <w:r w:rsidRPr="00921120">
        <w:rPr>
          <w:rFonts w:ascii="Arial" w:eastAsia="Times New Roman" w:hAnsi="Arial" w:cs="Arial"/>
          <w:sz w:val="20"/>
          <w:szCs w:val="20"/>
          <w:lang w:eastAsia="en-ZA"/>
        </w:rPr>
        <w:t xml:space="preserve">In addition, the </w:t>
      </w:r>
      <w:r w:rsidR="007E25C6" w:rsidRPr="00921120">
        <w:rPr>
          <w:rFonts w:ascii="Arial" w:eastAsia="Times New Roman" w:hAnsi="Arial" w:cs="Arial"/>
          <w:sz w:val="20"/>
          <w:szCs w:val="20"/>
          <w:lang w:eastAsia="en-ZA"/>
        </w:rPr>
        <w:t xml:space="preserve">responsibilities of the </w:t>
      </w:r>
      <w:r w:rsidRPr="00921120">
        <w:rPr>
          <w:rFonts w:ascii="Arial" w:eastAsia="Times New Roman" w:hAnsi="Arial" w:cs="Arial"/>
          <w:sz w:val="20"/>
          <w:szCs w:val="20"/>
          <w:lang w:eastAsia="en-ZA"/>
        </w:rPr>
        <w:t xml:space="preserve">board of the NLC </w:t>
      </w:r>
      <w:r w:rsidR="007E25C6" w:rsidRPr="00921120">
        <w:rPr>
          <w:rFonts w:ascii="Arial" w:eastAsia="Times New Roman" w:hAnsi="Arial" w:cs="Arial"/>
          <w:sz w:val="20"/>
          <w:szCs w:val="20"/>
          <w:lang w:eastAsia="en-ZA"/>
        </w:rPr>
        <w:t>includes</w:t>
      </w:r>
      <w:r w:rsidRPr="00921120">
        <w:rPr>
          <w:rFonts w:ascii="Arial" w:eastAsia="Times New Roman" w:hAnsi="Arial" w:cs="Arial"/>
          <w:sz w:val="20"/>
          <w:szCs w:val="20"/>
          <w:lang w:eastAsia="en-ZA"/>
        </w:rPr>
        <w:t>:</w:t>
      </w:r>
    </w:p>
    <w:p w:rsidR="00AC1685" w:rsidRPr="00921120" w:rsidRDefault="00AC1685" w:rsidP="00921120">
      <w:pPr>
        <w:pStyle w:val="ListParagraph"/>
        <w:numPr>
          <w:ilvl w:val="0"/>
          <w:numId w:val="9"/>
        </w:numPr>
        <w:spacing w:line="240" w:lineRule="auto"/>
        <w:jc w:val="left"/>
        <w:rPr>
          <w:rFonts w:ascii="Arial" w:eastAsia="Times New Roman" w:hAnsi="Arial" w:cs="Arial"/>
          <w:sz w:val="20"/>
          <w:szCs w:val="20"/>
          <w:lang w:eastAsia="en-ZA"/>
        </w:rPr>
      </w:pPr>
      <w:r w:rsidRPr="00921120">
        <w:rPr>
          <w:rFonts w:ascii="Arial" w:eastAsia="Times New Roman" w:hAnsi="Arial" w:cs="Arial"/>
          <w:sz w:val="20"/>
          <w:szCs w:val="20"/>
          <w:lang w:eastAsia="en-ZA"/>
        </w:rPr>
        <w:t>Advising the Minister on the issuing of the licence to conduct the National Lottery;</w:t>
      </w:r>
    </w:p>
    <w:p w:rsidR="00AC1685" w:rsidRPr="00921120" w:rsidRDefault="00AC1685" w:rsidP="00921120">
      <w:pPr>
        <w:pStyle w:val="ListParagraph"/>
        <w:numPr>
          <w:ilvl w:val="0"/>
          <w:numId w:val="9"/>
        </w:numPr>
        <w:spacing w:line="240" w:lineRule="auto"/>
        <w:jc w:val="left"/>
        <w:rPr>
          <w:rFonts w:ascii="Arial" w:eastAsia="Times New Roman" w:hAnsi="Arial" w:cs="Arial"/>
          <w:sz w:val="20"/>
          <w:szCs w:val="20"/>
          <w:lang w:eastAsia="en-ZA"/>
        </w:rPr>
      </w:pPr>
      <w:r w:rsidRPr="00921120">
        <w:rPr>
          <w:rFonts w:ascii="Arial" w:eastAsia="Times New Roman" w:hAnsi="Arial" w:cs="Arial"/>
          <w:sz w:val="20"/>
          <w:szCs w:val="20"/>
          <w:lang w:eastAsia="en-ZA"/>
        </w:rPr>
        <w:t>Ensuring that the net proceeds of the National Lottery are as large as possible, and managing and administering the National Lotteries Distribution Trust Fund;</w:t>
      </w:r>
    </w:p>
    <w:p w:rsidR="007E25C6" w:rsidRPr="00921120" w:rsidRDefault="00AC1685" w:rsidP="00921120">
      <w:pPr>
        <w:pStyle w:val="ListParagraph"/>
        <w:numPr>
          <w:ilvl w:val="0"/>
          <w:numId w:val="9"/>
        </w:numPr>
        <w:spacing w:line="240" w:lineRule="auto"/>
        <w:jc w:val="left"/>
        <w:rPr>
          <w:rFonts w:ascii="Arial" w:eastAsia="Times New Roman" w:hAnsi="Arial" w:cs="Arial"/>
          <w:sz w:val="20"/>
          <w:szCs w:val="20"/>
          <w:lang w:eastAsia="en-ZA"/>
        </w:rPr>
      </w:pPr>
      <w:r w:rsidRPr="00921120">
        <w:rPr>
          <w:rFonts w:ascii="Arial" w:eastAsia="Times New Roman" w:hAnsi="Arial" w:cs="Arial"/>
          <w:sz w:val="20"/>
          <w:szCs w:val="20"/>
          <w:lang w:eastAsia="en-ZA"/>
        </w:rPr>
        <w:t xml:space="preserve">Monitoring, regulating and policing lotteries incidental to exempt entertainment, private lotteries, society lotteries and any </w:t>
      </w:r>
      <w:r w:rsidR="007E25C6" w:rsidRPr="00921120">
        <w:rPr>
          <w:rFonts w:ascii="Arial" w:eastAsia="Times New Roman" w:hAnsi="Arial" w:cs="Arial"/>
          <w:sz w:val="20"/>
          <w:szCs w:val="20"/>
          <w:lang w:eastAsia="en-ZA"/>
        </w:rPr>
        <w:t>relevant competition</w:t>
      </w:r>
      <w:r w:rsidRPr="00921120">
        <w:rPr>
          <w:rFonts w:ascii="Arial" w:eastAsia="Times New Roman" w:hAnsi="Arial" w:cs="Arial"/>
          <w:sz w:val="20"/>
          <w:szCs w:val="20"/>
          <w:lang w:eastAsia="en-ZA"/>
        </w:rPr>
        <w:t>;</w:t>
      </w:r>
    </w:p>
    <w:p w:rsidR="007E25C6" w:rsidRPr="00921120" w:rsidRDefault="007E25C6" w:rsidP="00921120">
      <w:pPr>
        <w:pStyle w:val="ListParagraph"/>
        <w:numPr>
          <w:ilvl w:val="0"/>
          <w:numId w:val="9"/>
        </w:numPr>
        <w:spacing w:line="240" w:lineRule="auto"/>
        <w:jc w:val="left"/>
        <w:rPr>
          <w:rFonts w:ascii="Arial" w:eastAsia="Times New Roman" w:hAnsi="Arial" w:cs="Arial"/>
          <w:sz w:val="20"/>
          <w:szCs w:val="20"/>
          <w:lang w:eastAsia="en-ZA"/>
        </w:rPr>
      </w:pPr>
      <w:r w:rsidRPr="00921120">
        <w:rPr>
          <w:rFonts w:ascii="Arial" w:eastAsia="Times New Roman" w:hAnsi="Arial" w:cs="Arial"/>
          <w:sz w:val="20"/>
          <w:szCs w:val="20"/>
          <w:lang w:eastAsia="en-ZA"/>
        </w:rPr>
        <w:t>Advising</w:t>
      </w:r>
      <w:r w:rsidR="00AC1685" w:rsidRPr="00921120">
        <w:rPr>
          <w:rFonts w:ascii="Arial" w:eastAsia="Times New Roman" w:hAnsi="Arial" w:cs="Arial"/>
          <w:sz w:val="20"/>
          <w:szCs w:val="20"/>
          <w:lang w:eastAsia="en-ZA"/>
        </w:rPr>
        <w:t xml:space="preserve"> the Minister on </w:t>
      </w:r>
      <w:r w:rsidR="00EF19FA" w:rsidRPr="00921120">
        <w:rPr>
          <w:rFonts w:ascii="Arial" w:eastAsia="Times New Roman" w:hAnsi="Arial" w:cs="Arial"/>
          <w:sz w:val="20"/>
          <w:szCs w:val="20"/>
          <w:lang w:eastAsia="en-ZA"/>
        </w:rPr>
        <w:t>the percent</w:t>
      </w:r>
      <w:r w:rsidR="00AC1685" w:rsidRPr="00921120">
        <w:rPr>
          <w:rFonts w:ascii="Arial" w:eastAsia="Times New Roman" w:hAnsi="Arial" w:cs="Arial"/>
          <w:sz w:val="20"/>
          <w:szCs w:val="20"/>
          <w:lang w:eastAsia="en-ZA"/>
        </w:rPr>
        <w:t xml:space="preserve">ages of money to be allocated </w:t>
      </w:r>
      <w:r w:rsidRPr="00921120">
        <w:rPr>
          <w:rFonts w:ascii="Arial" w:eastAsia="Times New Roman" w:hAnsi="Arial" w:cs="Arial"/>
          <w:sz w:val="20"/>
          <w:szCs w:val="20"/>
          <w:lang w:eastAsia="en-ZA"/>
        </w:rPr>
        <w:t>for application-based good causes for sports, arts, charities, and miscellaneous purposes;</w:t>
      </w:r>
    </w:p>
    <w:p w:rsidR="007E25C6" w:rsidRPr="00921120" w:rsidRDefault="007E25C6" w:rsidP="00921120">
      <w:pPr>
        <w:pStyle w:val="ListParagraph"/>
        <w:numPr>
          <w:ilvl w:val="0"/>
          <w:numId w:val="9"/>
        </w:numPr>
        <w:spacing w:line="240" w:lineRule="auto"/>
        <w:jc w:val="left"/>
        <w:rPr>
          <w:rFonts w:ascii="Arial" w:eastAsia="Times New Roman" w:hAnsi="Arial" w:cs="Arial"/>
          <w:sz w:val="20"/>
          <w:szCs w:val="20"/>
          <w:lang w:eastAsia="en-ZA"/>
        </w:rPr>
      </w:pPr>
      <w:r w:rsidRPr="00921120">
        <w:rPr>
          <w:rFonts w:ascii="Arial" w:eastAsia="Times New Roman" w:hAnsi="Arial" w:cs="Arial"/>
          <w:sz w:val="20"/>
          <w:szCs w:val="20"/>
          <w:lang w:eastAsia="en-ZA"/>
        </w:rPr>
        <w:t>Advising</w:t>
      </w:r>
      <w:r w:rsidR="00AC1685" w:rsidRPr="00921120">
        <w:rPr>
          <w:rFonts w:ascii="Arial" w:eastAsia="Times New Roman" w:hAnsi="Arial" w:cs="Arial"/>
          <w:sz w:val="20"/>
          <w:szCs w:val="20"/>
          <w:lang w:eastAsia="en-ZA"/>
        </w:rPr>
        <w:t xml:space="preserve"> the Minister on the efficacy of legislation pertaining to lotteries and ancillary matters;</w:t>
      </w:r>
    </w:p>
    <w:p w:rsidR="007E25C6" w:rsidRPr="00921120" w:rsidRDefault="007E25C6" w:rsidP="00921120">
      <w:pPr>
        <w:pStyle w:val="ListParagraph"/>
        <w:numPr>
          <w:ilvl w:val="0"/>
          <w:numId w:val="9"/>
        </w:numPr>
        <w:spacing w:line="240" w:lineRule="auto"/>
        <w:jc w:val="left"/>
        <w:rPr>
          <w:rFonts w:ascii="Arial" w:eastAsia="Times New Roman" w:hAnsi="Arial" w:cs="Arial"/>
          <w:sz w:val="20"/>
          <w:szCs w:val="20"/>
          <w:lang w:eastAsia="en-ZA"/>
        </w:rPr>
      </w:pPr>
      <w:r w:rsidRPr="00921120">
        <w:rPr>
          <w:rFonts w:ascii="Arial" w:eastAsia="Times New Roman" w:hAnsi="Arial" w:cs="Arial"/>
          <w:sz w:val="20"/>
          <w:szCs w:val="20"/>
          <w:lang w:eastAsia="en-ZA"/>
        </w:rPr>
        <w:t>Advising</w:t>
      </w:r>
      <w:r w:rsidR="00AC1685" w:rsidRPr="00921120">
        <w:rPr>
          <w:rFonts w:ascii="Arial" w:eastAsia="Times New Roman" w:hAnsi="Arial" w:cs="Arial"/>
          <w:sz w:val="20"/>
          <w:szCs w:val="20"/>
          <w:lang w:eastAsia="en-ZA"/>
        </w:rPr>
        <w:t xml:space="preserve"> the Minister on establishing and implementing a social responsibility programme in respect of</w:t>
      </w:r>
      <w:r w:rsidRPr="00921120">
        <w:rPr>
          <w:rFonts w:ascii="Arial" w:eastAsia="Times New Roman" w:hAnsi="Arial" w:cs="Arial"/>
          <w:sz w:val="20"/>
          <w:szCs w:val="20"/>
          <w:lang w:eastAsia="en-ZA"/>
        </w:rPr>
        <w:t xml:space="preserve"> </w:t>
      </w:r>
      <w:r w:rsidR="00AC1685" w:rsidRPr="00921120">
        <w:rPr>
          <w:rFonts w:ascii="Arial" w:eastAsia="Times New Roman" w:hAnsi="Arial" w:cs="Arial"/>
          <w:sz w:val="20"/>
          <w:szCs w:val="20"/>
          <w:lang w:eastAsia="en-ZA"/>
        </w:rPr>
        <w:t>lotteries;</w:t>
      </w:r>
    </w:p>
    <w:p w:rsidR="007E25C6" w:rsidRPr="00921120" w:rsidRDefault="007E25C6" w:rsidP="00921120">
      <w:pPr>
        <w:pStyle w:val="ListParagraph"/>
        <w:numPr>
          <w:ilvl w:val="0"/>
          <w:numId w:val="9"/>
        </w:numPr>
        <w:spacing w:line="240" w:lineRule="auto"/>
        <w:jc w:val="left"/>
        <w:rPr>
          <w:rFonts w:ascii="Arial" w:eastAsia="Times New Roman" w:hAnsi="Arial" w:cs="Arial"/>
          <w:sz w:val="20"/>
          <w:szCs w:val="20"/>
          <w:lang w:eastAsia="en-ZA"/>
        </w:rPr>
      </w:pPr>
      <w:r w:rsidRPr="00921120">
        <w:rPr>
          <w:rFonts w:ascii="Arial" w:eastAsia="Times New Roman" w:hAnsi="Arial" w:cs="Arial"/>
          <w:sz w:val="20"/>
          <w:szCs w:val="20"/>
          <w:lang w:eastAsia="en-ZA"/>
        </w:rPr>
        <w:t>Making</w:t>
      </w:r>
      <w:r w:rsidR="00AC1685" w:rsidRPr="00921120">
        <w:rPr>
          <w:rFonts w:ascii="Arial" w:eastAsia="Times New Roman" w:hAnsi="Arial" w:cs="Arial"/>
          <w:sz w:val="20"/>
          <w:szCs w:val="20"/>
          <w:lang w:eastAsia="en-ZA"/>
        </w:rPr>
        <w:t xml:space="preserve"> arrangements as may be specified in the </w:t>
      </w:r>
      <w:r w:rsidRPr="00921120">
        <w:rPr>
          <w:rFonts w:ascii="Arial" w:eastAsia="Times New Roman" w:hAnsi="Arial" w:cs="Arial"/>
          <w:sz w:val="20"/>
          <w:szCs w:val="20"/>
          <w:lang w:eastAsia="en-ZA"/>
        </w:rPr>
        <w:t xml:space="preserve">National Lottery </w:t>
      </w:r>
      <w:r w:rsidR="00AC1685" w:rsidRPr="00921120">
        <w:rPr>
          <w:rFonts w:ascii="Arial" w:eastAsia="Times New Roman" w:hAnsi="Arial" w:cs="Arial"/>
          <w:sz w:val="20"/>
          <w:szCs w:val="20"/>
          <w:lang w:eastAsia="en-ZA"/>
        </w:rPr>
        <w:t>licence for the protection of prize monies and</w:t>
      </w:r>
      <w:r w:rsidRPr="00921120">
        <w:rPr>
          <w:rFonts w:ascii="Arial" w:eastAsia="Times New Roman" w:hAnsi="Arial" w:cs="Arial"/>
          <w:sz w:val="20"/>
          <w:szCs w:val="20"/>
          <w:lang w:eastAsia="en-ZA"/>
        </w:rPr>
        <w:t xml:space="preserve"> </w:t>
      </w:r>
      <w:r w:rsidR="00AC1685" w:rsidRPr="00921120">
        <w:rPr>
          <w:rFonts w:ascii="Arial" w:eastAsia="Times New Roman" w:hAnsi="Arial" w:cs="Arial"/>
          <w:sz w:val="20"/>
          <w:szCs w:val="20"/>
          <w:lang w:eastAsia="en-ZA"/>
        </w:rPr>
        <w:t>sums for distribution;</w:t>
      </w:r>
    </w:p>
    <w:p w:rsidR="007E25C6" w:rsidRPr="00921120" w:rsidRDefault="007E25C6" w:rsidP="00921120">
      <w:pPr>
        <w:pStyle w:val="ListParagraph"/>
        <w:numPr>
          <w:ilvl w:val="0"/>
          <w:numId w:val="9"/>
        </w:numPr>
        <w:spacing w:line="240" w:lineRule="auto"/>
        <w:jc w:val="left"/>
        <w:rPr>
          <w:rFonts w:ascii="Arial" w:eastAsia="Times New Roman" w:hAnsi="Arial" w:cs="Arial"/>
          <w:sz w:val="20"/>
          <w:szCs w:val="20"/>
          <w:lang w:eastAsia="en-ZA"/>
        </w:rPr>
      </w:pPr>
      <w:r w:rsidRPr="00921120">
        <w:rPr>
          <w:rFonts w:ascii="Arial" w:eastAsia="Times New Roman" w:hAnsi="Arial" w:cs="Arial"/>
          <w:sz w:val="20"/>
          <w:szCs w:val="20"/>
          <w:lang w:eastAsia="en-ZA"/>
        </w:rPr>
        <w:t>Ensuring the proper governance of the NLC;</w:t>
      </w:r>
    </w:p>
    <w:p w:rsidR="007E25C6" w:rsidRPr="00921120" w:rsidRDefault="007E25C6" w:rsidP="00921120">
      <w:pPr>
        <w:pStyle w:val="ListParagraph"/>
        <w:numPr>
          <w:ilvl w:val="0"/>
          <w:numId w:val="9"/>
        </w:numPr>
        <w:spacing w:line="240" w:lineRule="auto"/>
        <w:jc w:val="left"/>
        <w:rPr>
          <w:rFonts w:ascii="Arial" w:eastAsia="Times New Roman" w:hAnsi="Arial" w:cs="Arial"/>
          <w:sz w:val="20"/>
          <w:szCs w:val="20"/>
          <w:lang w:eastAsia="en-ZA"/>
        </w:rPr>
      </w:pPr>
      <w:r w:rsidRPr="00921120">
        <w:rPr>
          <w:rFonts w:ascii="Arial" w:eastAsia="Times New Roman" w:hAnsi="Arial" w:cs="Arial"/>
          <w:sz w:val="20"/>
          <w:szCs w:val="20"/>
          <w:lang w:eastAsia="en-ZA"/>
        </w:rPr>
        <w:t>R</w:t>
      </w:r>
      <w:r w:rsidR="00AC1685" w:rsidRPr="00921120">
        <w:rPr>
          <w:rFonts w:ascii="Arial" w:eastAsia="Times New Roman" w:hAnsi="Arial" w:cs="Arial"/>
          <w:sz w:val="20"/>
          <w:szCs w:val="20"/>
          <w:lang w:eastAsia="en-ZA"/>
        </w:rPr>
        <w:t>eview</w:t>
      </w:r>
      <w:r w:rsidRPr="00921120">
        <w:rPr>
          <w:rFonts w:ascii="Arial" w:eastAsia="Times New Roman" w:hAnsi="Arial" w:cs="Arial"/>
          <w:sz w:val="20"/>
          <w:szCs w:val="20"/>
          <w:lang w:eastAsia="en-ZA"/>
        </w:rPr>
        <w:t>ing</w:t>
      </w:r>
      <w:r w:rsidR="00AC1685" w:rsidRPr="00921120">
        <w:rPr>
          <w:rFonts w:ascii="Arial" w:eastAsia="Times New Roman" w:hAnsi="Arial" w:cs="Arial"/>
          <w:sz w:val="20"/>
          <w:szCs w:val="20"/>
          <w:lang w:eastAsia="en-ZA"/>
        </w:rPr>
        <w:t xml:space="preserve"> decisions of the distributing agency regarding applications for</w:t>
      </w:r>
      <w:r w:rsidRPr="00921120">
        <w:rPr>
          <w:rFonts w:ascii="Arial" w:eastAsia="Times New Roman" w:hAnsi="Arial" w:cs="Arial"/>
          <w:sz w:val="20"/>
          <w:szCs w:val="20"/>
          <w:lang w:eastAsia="en-ZA"/>
        </w:rPr>
        <w:t xml:space="preserve"> </w:t>
      </w:r>
      <w:r w:rsidR="00AC1685" w:rsidRPr="00921120">
        <w:rPr>
          <w:rFonts w:ascii="Arial" w:eastAsia="Times New Roman" w:hAnsi="Arial" w:cs="Arial"/>
          <w:sz w:val="20"/>
          <w:szCs w:val="20"/>
          <w:lang w:eastAsia="en-ZA"/>
        </w:rPr>
        <w:t>grants;</w:t>
      </w:r>
    </w:p>
    <w:p w:rsidR="007E25C6" w:rsidRPr="00921120" w:rsidRDefault="007E25C6" w:rsidP="00921120">
      <w:pPr>
        <w:pStyle w:val="ListParagraph"/>
        <w:numPr>
          <w:ilvl w:val="0"/>
          <w:numId w:val="9"/>
        </w:numPr>
        <w:spacing w:line="240" w:lineRule="auto"/>
        <w:jc w:val="left"/>
        <w:rPr>
          <w:rFonts w:ascii="Arial" w:eastAsia="Times New Roman" w:hAnsi="Arial" w:cs="Arial"/>
          <w:sz w:val="20"/>
          <w:szCs w:val="20"/>
          <w:lang w:eastAsia="en-ZA"/>
        </w:rPr>
      </w:pPr>
      <w:r w:rsidRPr="00921120">
        <w:rPr>
          <w:rFonts w:ascii="Arial" w:eastAsia="Times New Roman" w:hAnsi="Arial" w:cs="Arial"/>
          <w:sz w:val="20"/>
          <w:szCs w:val="20"/>
          <w:lang w:eastAsia="en-ZA"/>
        </w:rPr>
        <w:t>Consulting</w:t>
      </w:r>
      <w:r w:rsidR="00AC1685" w:rsidRPr="00921120">
        <w:rPr>
          <w:rFonts w:ascii="Arial" w:eastAsia="Times New Roman" w:hAnsi="Arial" w:cs="Arial"/>
          <w:sz w:val="20"/>
          <w:szCs w:val="20"/>
          <w:lang w:eastAsia="en-ZA"/>
        </w:rPr>
        <w:t xml:space="preserve"> with the Minister</w:t>
      </w:r>
      <w:r w:rsidRPr="00921120">
        <w:rPr>
          <w:rFonts w:ascii="Arial" w:eastAsia="Times New Roman" w:hAnsi="Arial" w:cs="Arial"/>
          <w:sz w:val="20"/>
          <w:szCs w:val="20"/>
          <w:lang w:eastAsia="en-ZA"/>
        </w:rPr>
        <w:t xml:space="preserve"> to determine categories</w:t>
      </w:r>
      <w:r w:rsidR="00AC1685" w:rsidRPr="00921120">
        <w:rPr>
          <w:rFonts w:ascii="Arial" w:eastAsia="Times New Roman" w:hAnsi="Arial" w:cs="Arial"/>
          <w:sz w:val="20"/>
          <w:szCs w:val="20"/>
          <w:lang w:eastAsia="en-ZA"/>
        </w:rPr>
        <w:t xml:space="preserve"> of applications for grants that are excluded from</w:t>
      </w:r>
      <w:r w:rsidRPr="00921120">
        <w:rPr>
          <w:rFonts w:ascii="Arial" w:eastAsia="Times New Roman" w:hAnsi="Arial" w:cs="Arial"/>
          <w:sz w:val="20"/>
          <w:szCs w:val="20"/>
          <w:lang w:eastAsia="en-ZA"/>
        </w:rPr>
        <w:t xml:space="preserve"> </w:t>
      </w:r>
      <w:r w:rsidR="00AC1685" w:rsidRPr="00921120">
        <w:rPr>
          <w:rFonts w:ascii="Arial" w:eastAsia="Times New Roman" w:hAnsi="Arial" w:cs="Arial"/>
          <w:sz w:val="20"/>
          <w:szCs w:val="20"/>
          <w:lang w:eastAsia="en-ZA"/>
        </w:rPr>
        <w:t>funding; and</w:t>
      </w:r>
    </w:p>
    <w:p w:rsidR="00AC1685" w:rsidRPr="00921120" w:rsidRDefault="007E25C6" w:rsidP="00921120">
      <w:pPr>
        <w:pStyle w:val="ListParagraph"/>
        <w:numPr>
          <w:ilvl w:val="0"/>
          <w:numId w:val="9"/>
        </w:numPr>
        <w:spacing w:line="240" w:lineRule="auto"/>
        <w:jc w:val="left"/>
        <w:rPr>
          <w:rFonts w:ascii="Arial" w:eastAsia="Times New Roman" w:hAnsi="Arial" w:cs="Arial"/>
          <w:sz w:val="20"/>
          <w:szCs w:val="20"/>
          <w:lang w:eastAsia="en-ZA"/>
        </w:rPr>
      </w:pPr>
      <w:r w:rsidRPr="00921120">
        <w:rPr>
          <w:rFonts w:ascii="Arial" w:eastAsia="Times New Roman" w:hAnsi="Arial" w:cs="Arial"/>
          <w:sz w:val="20"/>
          <w:szCs w:val="20"/>
          <w:lang w:eastAsia="en-ZA"/>
        </w:rPr>
        <w:t>R</w:t>
      </w:r>
      <w:r w:rsidR="00AC1685" w:rsidRPr="00921120">
        <w:rPr>
          <w:rFonts w:ascii="Arial" w:eastAsia="Times New Roman" w:hAnsi="Arial" w:cs="Arial"/>
          <w:sz w:val="20"/>
          <w:szCs w:val="20"/>
          <w:lang w:eastAsia="en-ZA"/>
        </w:rPr>
        <w:t>ecover</w:t>
      </w:r>
      <w:r w:rsidRPr="00921120">
        <w:rPr>
          <w:rFonts w:ascii="Arial" w:eastAsia="Times New Roman" w:hAnsi="Arial" w:cs="Arial"/>
          <w:sz w:val="20"/>
          <w:szCs w:val="20"/>
          <w:lang w:eastAsia="en-ZA"/>
        </w:rPr>
        <w:t>ing</w:t>
      </w:r>
      <w:r w:rsidR="00AC1685" w:rsidRPr="00921120">
        <w:rPr>
          <w:rFonts w:ascii="Arial" w:eastAsia="Times New Roman" w:hAnsi="Arial" w:cs="Arial"/>
          <w:sz w:val="20"/>
          <w:szCs w:val="20"/>
          <w:lang w:eastAsia="en-ZA"/>
        </w:rPr>
        <w:t xml:space="preserve"> any amount in relation to a grant which has been withdrawn,</w:t>
      </w:r>
      <w:r w:rsidRPr="00921120">
        <w:rPr>
          <w:rFonts w:ascii="Arial" w:eastAsia="Times New Roman" w:hAnsi="Arial" w:cs="Arial"/>
          <w:sz w:val="20"/>
          <w:szCs w:val="20"/>
          <w:lang w:eastAsia="en-ZA"/>
        </w:rPr>
        <w:t xml:space="preserve"> </w:t>
      </w:r>
      <w:r w:rsidR="00AC1685" w:rsidRPr="00921120">
        <w:rPr>
          <w:rFonts w:ascii="Arial" w:eastAsia="Times New Roman" w:hAnsi="Arial" w:cs="Arial"/>
          <w:sz w:val="20"/>
          <w:szCs w:val="20"/>
          <w:lang w:eastAsia="en-ZA"/>
        </w:rPr>
        <w:t xml:space="preserve">prohibited or reduced in terms of </w:t>
      </w:r>
      <w:r w:rsidRPr="00921120">
        <w:rPr>
          <w:rFonts w:ascii="Arial" w:eastAsia="Times New Roman" w:hAnsi="Arial" w:cs="Arial"/>
          <w:sz w:val="20"/>
          <w:szCs w:val="20"/>
          <w:lang w:eastAsia="en-ZA"/>
        </w:rPr>
        <w:t>the legislation</w:t>
      </w:r>
      <w:r w:rsidR="00AC1685" w:rsidRPr="00921120">
        <w:rPr>
          <w:rFonts w:ascii="Arial" w:eastAsia="Times New Roman" w:hAnsi="Arial" w:cs="Arial"/>
          <w:sz w:val="20"/>
          <w:szCs w:val="20"/>
          <w:lang w:eastAsia="en-ZA"/>
        </w:rPr>
        <w:t>.</w:t>
      </w:r>
    </w:p>
    <w:p w:rsidR="00F51D73" w:rsidRPr="00921120" w:rsidRDefault="00F51D73" w:rsidP="00921120">
      <w:pPr>
        <w:spacing w:line="240" w:lineRule="auto"/>
        <w:jc w:val="left"/>
        <w:rPr>
          <w:rFonts w:ascii="Arial" w:hAnsi="Arial" w:cs="Arial"/>
          <w:sz w:val="20"/>
          <w:szCs w:val="20"/>
        </w:rPr>
      </w:pPr>
    </w:p>
    <w:p w:rsidR="007C59D6" w:rsidRPr="00921120" w:rsidRDefault="007C59D6" w:rsidP="00921120">
      <w:pPr>
        <w:spacing w:line="240" w:lineRule="auto"/>
        <w:jc w:val="left"/>
        <w:rPr>
          <w:rFonts w:ascii="Arial" w:hAnsi="Arial" w:cs="Arial"/>
          <w:sz w:val="20"/>
          <w:szCs w:val="20"/>
        </w:rPr>
      </w:pPr>
    </w:p>
    <w:p w:rsidR="007C59D6" w:rsidRPr="00921120" w:rsidRDefault="007C59D6" w:rsidP="00921120">
      <w:pPr>
        <w:spacing w:line="240" w:lineRule="auto"/>
        <w:jc w:val="left"/>
        <w:rPr>
          <w:rFonts w:ascii="Arial" w:hAnsi="Arial" w:cs="Arial"/>
          <w:sz w:val="20"/>
          <w:szCs w:val="20"/>
        </w:rPr>
      </w:pPr>
    </w:p>
    <w:p w:rsidR="00E85C55" w:rsidRPr="00921120" w:rsidRDefault="00E85C55" w:rsidP="00921120">
      <w:pPr>
        <w:pStyle w:val="Heading2"/>
        <w:spacing w:line="240" w:lineRule="auto"/>
        <w:jc w:val="left"/>
        <w:rPr>
          <w:rFonts w:ascii="Arial" w:hAnsi="Arial" w:cs="Arial"/>
          <w:sz w:val="20"/>
          <w:szCs w:val="20"/>
        </w:rPr>
      </w:pPr>
      <w:r w:rsidRPr="00921120">
        <w:rPr>
          <w:rFonts w:ascii="Arial" w:hAnsi="Arial" w:cs="Arial"/>
          <w:sz w:val="20"/>
          <w:szCs w:val="20"/>
        </w:rPr>
        <w:t>Background</w:t>
      </w:r>
    </w:p>
    <w:p w:rsidR="00AE6EE2" w:rsidRPr="00921120" w:rsidRDefault="00337B7B" w:rsidP="00921120">
      <w:pPr>
        <w:spacing w:line="240" w:lineRule="auto"/>
        <w:jc w:val="left"/>
        <w:rPr>
          <w:rFonts w:ascii="Arial" w:hAnsi="Arial" w:cs="Arial"/>
          <w:sz w:val="20"/>
          <w:szCs w:val="20"/>
        </w:rPr>
      </w:pPr>
      <w:r w:rsidRPr="00921120">
        <w:rPr>
          <w:rFonts w:ascii="Arial" w:hAnsi="Arial" w:cs="Arial"/>
          <w:sz w:val="20"/>
          <w:szCs w:val="20"/>
        </w:rPr>
        <w:t xml:space="preserve">The Committee’s recent oversight focus on the NLC has been as a result of a presidential </w:t>
      </w:r>
      <w:r w:rsidR="00AE6EE2" w:rsidRPr="00921120">
        <w:rPr>
          <w:rFonts w:ascii="Arial" w:hAnsi="Arial" w:cs="Arial"/>
          <w:sz w:val="20"/>
          <w:szCs w:val="20"/>
        </w:rPr>
        <w:t xml:space="preserve">proclamation authorising the Special Investigating Unit (SIU) to probe alleged corruption and maladministration involving the NLC. </w:t>
      </w:r>
      <w:r w:rsidRPr="00921120">
        <w:rPr>
          <w:rFonts w:ascii="Arial" w:hAnsi="Arial" w:cs="Arial"/>
          <w:sz w:val="20"/>
          <w:szCs w:val="20"/>
        </w:rPr>
        <w:t xml:space="preserve">This proclamation was signed and gazetted on 20 October 2021 by </w:t>
      </w:r>
      <w:r w:rsidR="00104FCD" w:rsidRPr="00921120">
        <w:rPr>
          <w:rFonts w:ascii="Arial" w:hAnsi="Arial" w:cs="Arial"/>
          <w:sz w:val="20"/>
          <w:szCs w:val="20"/>
        </w:rPr>
        <w:t xml:space="preserve">the </w:t>
      </w:r>
      <w:r w:rsidRPr="00921120">
        <w:rPr>
          <w:rFonts w:ascii="Arial" w:hAnsi="Arial" w:cs="Arial"/>
          <w:sz w:val="20"/>
          <w:szCs w:val="20"/>
        </w:rPr>
        <w:t>President</w:t>
      </w:r>
      <w:r w:rsidR="00104FCD" w:rsidRPr="00921120">
        <w:rPr>
          <w:rFonts w:ascii="Arial" w:hAnsi="Arial" w:cs="Arial"/>
          <w:sz w:val="20"/>
          <w:szCs w:val="20"/>
        </w:rPr>
        <w:t>, Mr</w:t>
      </w:r>
      <w:r w:rsidRPr="00921120">
        <w:rPr>
          <w:rFonts w:ascii="Arial" w:hAnsi="Arial" w:cs="Arial"/>
          <w:sz w:val="20"/>
          <w:szCs w:val="20"/>
        </w:rPr>
        <w:t xml:space="preserve"> </w:t>
      </w:r>
      <w:r w:rsidR="007C59D6" w:rsidRPr="00921120">
        <w:rPr>
          <w:rFonts w:ascii="Arial" w:hAnsi="Arial" w:cs="Arial"/>
          <w:sz w:val="20"/>
          <w:szCs w:val="20"/>
        </w:rPr>
        <w:t>M</w:t>
      </w:r>
      <w:r w:rsidR="00104FCD" w:rsidRPr="00921120">
        <w:rPr>
          <w:rFonts w:ascii="Arial" w:hAnsi="Arial" w:cs="Arial"/>
          <w:sz w:val="20"/>
          <w:szCs w:val="20"/>
        </w:rPr>
        <w:t>C</w:t>
      </w:r>
      <w:r w:rsidR="007C59D6" w:rsidRPr="00921120">
        <w:rPr>
          <w:rFonts w:ascii="Arial" w:hAnsi="Arial" w:cs="Arial"/>
          <w:sz w:val="20"/>
          <w:szCs w:val="20"/>
        </w:rPr>
        <w:t xml:space="preserve"> </w:t>
      </w:r>
      <w:r w:rsidRPr="00921120">
        <w:rPr>
          <w:rFonts w:ascii="Arial" w:hAnsi="Arial" w:cs="Arial"/>
          <w:sz w:val="20"/>
          <w:szCs w:val="20"/>
        </w:rPr>
        <w:t>Ramaphosa.</w:t>
      </w:r>
    </w:p>
    <w:p w:rsidR="00AE6EE2" w:rsidRPr="00921120" w:rsidRDefault="00AE6EE2" w:rsidP="00921120">
      <w:pPr>
        <w:spacing w:line="240" w:lineRule="auto"/>
        <w:jc w:val="left"/>
        <w:rPr>
          <w:rFonts w:ascii="Arial" w:hAnsi="Arial" w:cs="Arial"/>
          <w:sz w:val="20"/>
          <w:szCs w:val="20"/>
        </w:rPr>
      </w:pPr>
    </w:p>
    <w:p w:rsidR="00AE6EE2" w:rsidRPr="00921120" w:rsidRDefault="00AE6EE2" w:rsidP="00921120">
      <w:pPr>
        <w:spacing w:line="240" w:lineRule="auto"/>
        <w:jc w:val="left"/>
        <w:rPr>
          <w:rFonts w:ascii="Arial" w:hAnsi="Arial" w:cs="Arial"/>
          <w:sz w:val="20"/>
          <w:szCs w:val="20"/>
        </w:rPr>
      </w:pPr>
      <w:r w:rsidRPr="00921120">
        <w:rPr>
          <w:rFonts w:ascii="Arial" w:hAnsi="Arial" w:cs="Arial"/>
          <w:sz w:val="20"/>
          <w:szCs w:val="20"/>
        </w:rPr>
        <w:t xml:space="preserve">In terms of </w:t>
      </w:r>
      <w:r w:rsidR="00337B7B" w:rsidRPr="00921120">
        <w:rPr>
          <w:rFonts w:ascii="Arial" w:hAnsi="Arial" w:cs="Arial"/>
          <w:sz w:val="20"/>
          <w:szCs w:val="20"/>
        </w:rPr>
        <w:t xml:space="preserve">the </w:t>
      </w:r>
      <w:r w:rsidRPr="00921120">
        <w:rPr>
          <w:rFonts w:ascii="Arial" w:hAnsi="Arial" w:cs="Arial"/>
          <w:sz w:val="20"/>
          <w:szCs w:val="20"/>
        </w:rPr>
        <w:t xml:space="preserve">proclamation, </w:t>
      </w:r>
      <w:r w:rsidR="00337B7B" w:rsidRPr="00921120">
        <w:rPr>
          <w:rFonts w:ascii="Arial" w:hAnsi="Arial" w:cs="Arial"/>
          <w:sz w:val="20"/>
          <w:szCs w:val="20"/>
        </w:rPr>
        <w:t xml:space="preserve">the </w:t>
      </w:r>
      <w:r w:rsidR="00104FCD" w:rsidRPr="00921120">
        <w:rPr>
          <w:rFonts w:ascii="Arial" w:hAnsi="Arial" w:cs="Arial"/>
          <w:sz w:val="20"/>
          <w:szCs w:val="20"/>
        </w:rPr>
        <w:t>P</w:t>
      </w:r>
      <w:r w:rsidR="00337B7B" w:rsidRPr="00921120">
        <w:rPr>
          <w:rFonts w:ascii="Arial" w:hAnsi="Arial" w:cs="Arial"/>
          <w:sz w:val="20"/>
          <w:szCs w:val="20"/>
        </w:rPr>
        <w:t xml:space="preserve">resident </w:t>
      </w:r>
      <w:r w:rsidRPr="00921120">
        <w:rPr>
          <w:rFonts w:ascii="Arial" w:hAnsi="Arial" w:cs="Arial"/>
          <w:sz w:val="20"/>
          <w:szCs w:val="20"/>
        </w:rPr>
        <w:t>authorised the SIU to investigate:</w:t>
      </w:r>
    </w:p>
    <w:p w:rsidR="00AE6EE2" w:rsidRPr="00921120" w:rsidRDefault="00AE6EE2" w:rsidP="00921120">
      <w:pPr>
        <w:pStyle w:val="ListParagraph"/>
        <w:numPr>
          <w:ilvl w:val="0"/>
          <w:numId w:val="8"/>
        </w:numPr>
        <w:spacing w:line="240" w:lineRule="auto"/>
        <w:jc w:val="left"/>
        <w:rPr>
          <w:rFonts w:ascii="Arial" w:hAnsi="Arial" w:cs="Arial"/>
          <w:sz w:val="20"/>
          <w:szCs w:val="20"/>
        </w:rPr>
      </w:pPr>
      <w:r w:rsidRPr="00921120">
        <w:rPr>
          <w:rFonts w:ascii="Arial" w:hAnsi="Arial" w:cs="Arial"/>
          <w:sz w:val="20"/>
          <w:szCs w:val="20"/>
        </w:rPr>
        <w:t>Serious maladministration in connection with the affairs of the NLC;</w:t>
      </w:r>
    </w:p>
    <w:p w:rsidR="00AE6EE2" w:rsidRPr="00921120" w:rsidRDefault="00AE6EE2" w:rsidP="00921120">
      <w:pPr>
        <w:pStyle w:val="ListParagraph"/>
        <w:numPr>
          <w:ilvl w:val="0"/>
          <w:numId w:val="8"/>
        </w:numPr>
        <w:spacing w:line="240" w:lineRule="auto"/>
        <w:jc w:val="left"/>
        <w:rPr>
          <w:rFonts w:ascii="Arial" w:hAnsi="Arial" w:cs="Arial"/>
          <w:sz w:val="20"/>
          <w:szCs w:val="20"/>
        </w:rPr>
      </w:pPr>
      <w:r w:rsidRPr="00921120">
        <w:rPr>
          <w:rFonts w:ascii="Arial" w:hAnsi="Arial" w:cs="Arial"/>
          <w:sz w:val="20"/>
          <w:szCs w:val="20"/>
        </w:rPr>
        <w:t>Improper or unlawful conduct by employees or officials of the NLC;</w:t>
      </w:r>
    </w:p>
    <w:p w:rsidR="00AE6EE2" w:rsidRPr="00921120" w:rsidRDefault="00AE6EE2" w:rsidP="00921120">
      <w:pPr>
        <w:pStyle w:val="ListParagraph"/>
        <w:numPr>
          <w:ilvl w:val="0"/>
          <w:numId w:val="8"/>
        </w:numPr>
        <w:spacing w:line="240" w:lineRule="auto"/>
        <w:jc w:val="left"/>
        <w:rPr>
          <w:rFonts w:ascii="Arial" w:hAnsi="Arial" w:cs="Arial"/>
          <w:sz w:val="20"/>
          <w:szCs w:val="20"/>
        </w:rPr>
      </w:pPr>
      <w:r w:rsidRPr="00921120">
        <w:rPr>
          <w:rFonts w:ascii="Arial" w:hAnsi="Arial" w:cs="Arial"/>
          <w:sz w:val="20"/>
          <w:szCs w:val="20"/>
        </w:rPr>
        <w:t>Unlawful appropriation or expenditure of public money or property;</w:t>
      </w:r>
    </w:p>
    <w:p w:rsidR="00AE6EE2" w:rsidRPr="00921120" w:rsidRDefault="00AE6EE2" w:rsidP="00921120">
      <w:pPr>
        <w:pStyle w:val="ListParagraph"/>
        <w:numPr>
          <w:ilvl w:val="0"/>
          <w:numId w:val="8"/>
        </w:numPr>
        <w:spacing w:line="240" w:lineRule="auto"/>
        <w:jc w:val="left"/>
        <w:rPr>
          <w:rFonts w:ascii="Arial" w:hAnsi="Arial" w:cs="Arial"/>
          <w:sz w:val="20"/>
          <w:szCs w:val="20"/>
        </w:rPr>
      </w:pPr>
      <w:r w:rsidRPr="00921120">
        <w:rPr>
          <w:rFonts w:ascii="Arial" w:hAnsi="Arial" w:cs="Arial"/>
          <w:sz w:val="20"/>
          <w:szCs w:val="20"/>
        </w:rPr>
        <w:t>Unlawful, irregular or unapproved acquisitive acts, transactions, measures or practices having a bearing upon state property;</w:t>
      </w:r>
    </w:p>
    <w:p w:rsidR="00AE6EE2" w:rsidRPr="00921120" w:rsidRDefault="00AE6EE2" w:rsidP="00921120">
      <w:pPr>
        <w:pStyle w:val="ListParagraph"/>
        <w:numPr>
          <w:ilvl w:val="0"/>
          <w:numId w:val="8"/>
        </w:numPr>
        <w:spacing w:line="240" w:lineRule="auto"/>
        <w:jc w:val="left"/>
        <w:rPr>
          <w:rFonts w:ascii="Arial" w:hAnsi="Arial" w:cs="Arial"/>
          <w:sz w:val="20"/>
          <w:szCs w:val="20"/>
        </w:rPr>
      </w:pPr>
      <w:r w:rsidRPr="00921120">
        <w:rPr>
          <w:rFonts w:ascii="Arial" w:hAnsi="Arial" w:cs="Arial"/>
          <w:sz w:val="20"/>
          <w:szCs w:val="20"/>
        </w:rPr>
        <w:t>Intentional or negligent loss of public money or damage to public property;</w:t>
      </w:r>
    </w:p>
    <w:p w:rsidR="00AE6EE2" w:rsidRPr="00921120" w:rsidRDefault="00AE6EE2" w:rsidP="00921120">
      <w:pPr>
        <w:pStyle w:val="ListParagraph"/>
        <w:numPr>
          <w:ilvl w:val="0"/>
          <w:numId w:val="8"/>
        </w:numPr>
        <w:spacing w:line="240" w:lineRule="auto"/>
        <w:jc w:val="left"/>
        <w:rPr>
          <w:rFonts w:ascii="Arial" w:hAnsi="Arial" w:cs="Arial"/>
          <w:sz w:val="20"/>
          <w:szCs w:val="20"/>
        </w:rPr>
      </w:pPr>
      <w:r w:rsidRPr="00921120">
        <w:rPr>
          <w:rFonts w:ascii="Arial" w:hAnsi="Arial" w:cs="Arial"/>
          <w:sz w:val="20"/>
          <w:szCs w:val="20"/>
        </w:rPr>
        <w:t xml:space="preserve">Offences in terms of the </w:t>
      </w:r>
      <w:r w:rsidR="00337B7B" w:rsidRPr="00921120">
        <w:rPr>
          <w:rFonts w:ascii="Arial" w:hAnsi="Arial" w:cs="Arial"/>
          <w:sz w:val="20"/>
          <w:szCs w:val="20"/>
        </w:rPr>
        <w:t>Prevention and Combating of Corrupt Activities Act (Act No. 12 of 2004)</w:t>
      </w:r>
      <w:r w:rsidRPr="00921120">
        <w:rPr>
          <w:rFonts w:ascii="Arial" w:hAnsi="Arial" w:cs="Arial"/>
          <w:sz w:val="20"/>
          <w:szCs w:val="20"/>
        </w:rPr>
        <w:t>; and</w:t>
      </w:r>
    </w:p>
    <w:p w:rsidR="00AE6EE2" w:rsidRPr="00921120" w:rsidRDefault="00AE6EE2" w:rsidP="00921120">
      <w:pPr>
        <w:pStyle w:val="ListParagraph"/>
        <w:numPr>
          <w:ilvl w:val="0"/>
          <w:numId w:val="8"/>
        </w:numPr>
        <w:spacing w:line="240" w:lineRule="auto"/>
        <w:jc w:val="left"/>
        <w:rPr>
          <w:rFonts w:ascii="Arial" w:hAnsi="Arial" w:cs="Arial"/>
          <w:sz w:val="20"/>
          <w:szCs w:val="20"/>
        </w:rPr>
      </w:pPr>
      <w:r w:rsidRPr="00921120">
        <w:rPr>
          <w:rFonts w:ascii="Arial" w:hAnsi="Arial" w:cs="Arial"/>
          <w:sz w:val="20"/>
          <w:szCs w:val="20"/>
        </w:rPr>
        <w:lastRenderedPageBreak/>
        <w:t>Unlawful or improper conduct by any person, which has caused or may cause serious harm to the interests of the public - “or any category thereof”.</w:t>
      </w:r>
    </w:p>
    <w:p w:rsidR="00AE6EE2" w:rsidRPr="00921120" w:rsidRDefault="00AE6EE2" w:rsidP="00921120">
      <w:pPr>
        <w:pStyle w:val="Default"/>
        <w:rPr>
          <w:rFonts w:ascii="Arial" w:hAnsi="Arial" w:cs="Arial"/>
          <w:sz w:val="20"/>
          <w:szCs w:val="20"/>
        </w:rPr>
      </w:pPr>
    </w:p>
    <w:p w:rsidR="00AE6EE2" w:rsidRPr="00921120" w:rsidRDefault="00AE6EE2" w:rsidP="00921120">
      <w:pPr>
        <w:pStyle w:val="Default"/>
        <w:rPr>
          <w:rFonts w:ascii="Arial" w:hAnsi="Arial" w:cs="Arial"/>
          <w:sz w:val="20"/>
          <w:szCs w:val="20"/>
        </w:rPr>
      </w:pPr>
      <w:r w:rsidRPr="00921120">
        <w:rPr>
          <w:rFonts w:ascii="Arial" w:hAnsi="Arial" w:cs="Arial"/>
          <w:sz w:val="20"/>
          <w:szCs w:val="20"/>
        </w:rPr>
        <w:t>Subsequent to this proclamation, the Committee engaged and received updates from the SIU on 2 March and 20 September 2022 on its investigation into alleged corruption and maladministration involving the NLC.</w:t>
      </w:r>
    </w:p>
    <w:p w:rsidR="00E85C55" w:rsidRPr="00921120" w:rsidRDefault="00E85C55" w:rsidP="00921120">
      <w:pPr>
        <w:spacing w:line="240" w:lineRule="auto"/>
        <w:jc w:val="left"/>
        <w:rPr>
          <w:rFonts w:ascii="Arial" w:hAnsi="Arial" w:cs="Arial"/>
          <w:sz w:val="20"/>
          <w:szCs w:val="20"/>
        </w:rPr>
      </w:pPr>
    </w:p>
    <w:p w:rsidR="00AC1685" w:rsidRPr="00921120" w:rsidRDefault="00AC1685" w:rsidP="00921120">
      <w:pPr>
        <w:spacing w:line="240" w:lineRule="auto"/>
        <w:jc w:val="left"/>
        <w:rPr>
          <w:rFonts w:ascii="Arial" w:hAnsi="Arial" w:cs="Arial"/>
          <w:sz w:val="20"/>
          <w:szCs w:val="20"/>
        </w:rPr>
      </w:pPr>
      <w:r w:rsidRPr="00921120">
        <w:rPr>
          <w:rFonts w:ascii="Arial" w:hAnsi="Arial" w:cs="Arial"/>
          <w:sz w:val="20"/>
          <w:szCs w:val="20"/>
        </w:rPr>
        <w:t>While the investigation had still been ongoing, it had uncovered substantive evidence of corruption and mismanagement linked to certain former board members and senior officials of the NLC, as well as certain non-profit organisations and individuals outside the NLC. Furthermore, a number of governance concerns had been highlighted in relation to the operation of the NLC. Subsequently, a new</w:t>
      </w:r>
      <w:r w:rsidR="00A55BE2" w:rsidRPr="00921120">
        <w:rPr>
          <w:rFonts w:ascii="Arial" w:hAnsi="Arial" w:cs="Arial"/>
          <w:sz w:val="20"/>
          <w:szCs w:val="20"/>
        </w:rPr>
        <w:t xml:space="preserve"> board and Commission</w:t>
      </w:r>
      <w:r w:rsidRPr="00921120">
        <w:rPr>
          <w:rFonts w:ascii="Arial" w:hAnsi="Arial" w:cs="Arial"/>
          <w:sz w:val="20"/>
          <w:szCs w:val="20"/>
        </w:rPr>
        <w:t>er had been appointed.</w:t>
      </w:r>
    </w:p>
    <w:p w:rsidR="00AC1685" w:rsidRPr="00921120" w:rsidRDefault="00AC1685" w:rsidP="00921120">
      <w:pPr>
        <w:spacing w:line="240" w:lineRule="auto"/>
        <w:jc w:val="left"/>
        <w:rPr>
          <w:rFonts w:ascii="Arial" w:hAnsi="Arial" w:cs="Arial"/>
          <w:sz w:val="20"/>
          <w:szCs w:val="20"/>
        </w:rPr>
      </w:pPr>
    </w:p>
    <w:p w:rsidR="00AE6EE2" w:rsidRPr="00921120" w:rsidRDefault="00AE6EE2" w:rsidP="00921120">
      <w:pPr>
        <w:spacing w:line="240" w:lineRule="auto"/>
        <w:jc w:val="left"/>
        <w:rPr>
          <w:rFonts w:ascii="Arial" w:hAnsi="Arial" w:cs="Arial"/>
          <w:sz w:val="20"/>
          <w:szCs w:val="20"/>
          <w:lang w:val="en-US"/>
        </w:rPr>
      </w:pPr>
      <w:r w:rsidRPr="00921120">
        <w:rPr>
          <w:rFonts w:ascii="Arial" w:hAnsi="Arial" w:cs="Arial"/>
          <w:sz w:val="20"/>
          <w:szCs w:val="20"/>
          <w:lang w:val="en-US"/>
        </w:rPr>
        <w:t xml:space="preserve">The purpose of </w:t>
      </w:r>
      <w:r w:rsidR="00AC1685" w:rsidRPr="00921120">
        <w:rPr>
          <w:rFonts w:ascii="Arial" w:hAnsi="Arial" w:cs="Arial"/>
          <w:sz w:val="20"/>
          <w:szCs w:val="20"/>
          <w:lang w:val="en-US"/>
        </w:rPr>
        <w:t xml:space="preserve">the </w:t>
      </w:r>
      <w:r w:rsidRPr="00921120">
        <w:rPr>
          <w:rFonts w:ascii="Arial" w:hAnsi="Arial" w:cs="Arial"/>
          <w:sz w:val="20"/>
          <w:szCs w:val="20"/>
          <w:lang w:val="en-US"/>
        </w:rPr>
        <w:t xml:space="preserve">oversight </w:t>
      </w:r>
      <w:r w:rsidR="00AC1685" w:rsidRPr="00921120">
        <w:rPr>
          <w:rFonts w:ascii="Arial" w:hAnsi="Arial" w:cs="Arial"/>
          <w:sz w:val="20"/>
          <w:szCs w:val="20"/>
          <w:lang w:val="en-US"/>
        </w:rPr>
        <w:t xml:space="preserve">visit </w:t>
      </w:r>
      <w:r w:rsidRPr="00921120">
        <w:rPr>
          <w:rFonts w:ascii="Arial" w:hAnsi="Arial" w:cs="Arial"/>
          <w:sz w:val="20"/>
          <w:szCs w:val="20"/>
          <w:lang w:val="en-US"/>
        </w:rPr>
        <w:t xml:space="preserve">to the NLC was to receive a progress report on measures taken by the new NLC board to address governance concerns within the NLC. Furthermore, on measures to close the loopholes within the grant application and proactive funding processes to prevent further corruption and maladministration of </w:t>
      </w:r>
      <w:r w:rsidR="00AC1685" w:rsidRPr="00921120">
        <w:rPr>
          <w:rFonts w:ascii="Arial" w:hAnsi="Arial" w:cs="Arial"/>
          <w:sz w:val="20"/>
          <w:szCs w:val="20"/>
          <w:lang w:val="en-US"/>
        </w:rPr>
        <w:t xml:space="preserve">National Lottery </w:t>
      </w:r>
      <w:r w:rsidRPr="00921120">
        <w:rPr>
          <w:rFonts w:ascii="Arial" w:hAnsi="Arial" w:cs="Arial"/>
          <w:sz w:val="20"/>
          <w:szCs w:val="20"/>
          <w:lang w:val="en-US"/>
        </w:rPr>
        <w:t>funds earmarked for social upliftment.</w:t>
      </w:r>
    </w:p>
    <w:p w:rsidR="003E04BE" w:rsidRPr="00921120" w:rsidRDefault="003E04BE" w:rsidP="00921120">
      <w:pPr>
        <w:spacing w:line="240" w:lineRule="auto"/>
        <w:jc w:val="left"/>
        <w:rPr>
          <w:rFonts w:ascii="Arial" w:hAnsi="Arial" w:cs="Arial"/>
          <w:sz w:val="20"/>
          <w:szCs w:val="20"/>
        </w:rPr>
      </w:pPr>
    </w:p>
    <w:p w:rsidR="00F23190" w:rsidRPr="00921120" w:rsidRDefault="00F23190" w:rsidP="00921120">
      <w:pPr>
        <w:pStyle w:val="Heading2"/>
        <w:spacing w:line="240" w:lineRule="auto"/>
        <w:jc w:val="left"/>
        <w:rPr>
          <w:rFonts w:ascii="Arial" w:hAnsi="Arial" w:cs="Arial"/>
          <w:sz w:val="20"/>
          <w:szCs w:val="20"/>
        </w:rPr>
      </w:pPr>
      <w:r w:rsidRPr="00921120">
        <w:rPr>
          <w:rFonts w:ascii="Arial" w:hAnsi="Arial" w:cs="Arial"/>
          <w:sz w:val="20"/>
          <w:szCs w:val="20"/>
        </w:rPr>
        <w:t>Discussion</w:t>
      </w:r>
    </w:p>
    <w:p w:rsidR="00F23190" w:rsidRPr="00921120" w:rsidRDefault="00975C8D" w:rsidP="00921120">
      <w:pPr>
        <w:spacing w:line="240" w:lineRule="auto"/>
        <w:jc w:val="left"/>
        <w:rPr>
          <w:rFonts w:ascii="Arial" w:hAnsi="Arial" w:cs="Arial"/>
          <w:sz w:val="20"/>
          <w:szCs w:val="20"/>
        </w:rPr>
      </w:pPr>
      <w:r w:rsidRPr="00921120">
        <w:rPr>
          <w:rFonts w:ascii="Arial" w:hAnsi="Arial" w:cs="Arial"/>
          <w:sz w:val="20"/>
          <w:szCs w:val="20"/>
        </w:rPr>
        <w:t xml:space="preserve">The NLC </w:t>
      </w:r>
      <w:r w:rsidR="00F23190" w:rsidRPr="00921120">
        <w:rPr>
          <w:rFonts w:ascii="Arial" w:hAnsi="Arial" w:cs="Arial"/>
          <w:sz w:val="20"/>
          <w:szCs w:val="20"/>
        </w:rPr>
        <w:t>briefed the Committee on the following key areas:</w:t>
      </w:r>
    </w:p>
    <w:p w:rsidR="00F23190" w:rsidRPr="00921120" w:rsidRDefault="00F23190" w:rsidP="00921120">
      <w:pPr>
        <w:pStyle w:val="ListParagraph"/>
        <w:numPr>
          <w:ilvl w:val="0"/>
          <w:numId w:val="10"/>
        </w:numPr>
        <w:spacing w:line="240" w:lineRule="auto"/>
        <w:jc w:val="left"/>
        <w:rPr>
          <w:rFonts w:ascii="Arial" w:hAnsi="Arial" w:cs="Arial"/>
          <w:sz w:val="20"/>
          <w:szCs w:val="20"/>
        </w:rPr>
      </w:pPr>
      <w:r w:rsidRPr="00921120">
        <w:rPr>
          <w:rFonts w:ascii="Arial" w:hAnsi="Arial" w:cs="Arial"/>
          <w:sz w:val="20"/>
          <w:szCs w:val="20"/>
        </w:rPr>
        <w:t>The status of the fourth National Lottery Request for Proposal;</w:t>
      </w:r>
    </w:p>
    <w:p w:rsidR="008E4245" w:rsidRPr="00921120" w:rsidRDefault="008E4245" w:rsidP="00921120">
      <w:pPr>
        <w:pStyle w:val="ListParagraph"/>
        <w:numPr>
          <w:ilvl w:val="0"/>
          <w:numId w:val="10"/>
        </w:numPr>
        <w:spacing w:line="240" w:lineRule="auto"/>
        <w:jc w:val="left"/>
        <w:rPr>
          <w:rFonts w:ascii="Arial" w:hAnsi="Arial" w:cs="Arial"/>
          <w:sz w:val="20"/>
          <w:szCs w:val="20"/>
        </w:rPr>
      </w:pPr>
      <w:r w:rsidRPr="00921120">
        <w:rPr>
          <w:rFonts w:ascii="Arial" w:hAnsi="Arial" w:cs="Arial"/>
          <w:sz w:val="20"/>
          <w:szCs w:val="20"/>
        </w:rPr>
        <w:t xml:space="preserve">An update on its operations; </w:t>
      </w:r>
    </w:p>
    <w:p w:rsidR="00F23190" w:rsidRPr="00921120" w:rsidRDefault="00F23190" w:rsidP="00921120">
      <w:pPr>
        <w:pStyle w:val="ListParagraph"/>
        <w:numPr>
          <w:ilvl w:val="0"/>
          <w:numId w:val="10"/>
        </w:numPr>
        <w:spacing w:line="240" w:lineRule="auto"/>
        <w:jc w:val="left"/>
        <w:rPr>
          <w:rFonts w:ascii="Arial" w:hAnsi="Arial" w:cs="Arial"/>
          <w:sz w:val="20"/>
          <w:szCs w:val="20"/>
        </w:rPr>
      </w:pPr>
      <w:r w:rsidRPr="00921120">
        <w:rPr>
          <w:rFonts w:ascii="Arial" w:hAnsi="Arial" w:cs="Arial"/>
          <w:sz w:val="20"/>
          <w:szCs w:val="20"/>
        </w:rPr>
        <w:t>The revised grant funding model;</w:t>
      </w:r>
    </w:p>
    <w:p w:rsidR="00F23190" w:rsidRPr="00921120" w:rsidRDefault="00F23190" w:rsidP="00921120">
      <w:pPr>
        <w:pStyle w:val="ListParagraph"/>
        <w:numPr>
          <w:ilvl w:val="0"/>
          <w:numId w:val="10"/>
        </w:numPr>
        <w:spacing w:line="240" w:lineRule="auto"/>
        <w:jc w:val="left"/>
        <w:rPr>
          <w:rFonts w:ascii="Arial" w:hAnsi="Arial" w:cs="Arial"/>
          <w:sz w:val="20"/>
          <w:szCs w:val="20"/>
        </w:rPr>
      </w:pPr>
      <w:r w:rsidRPr="00921120">
        <w:rPr>
          <w:rFonts w:ascii="Arial" w:hAnsi="Arial" w:cs="Arial"/>
          <w:sz w:val="20"/>
          <w:szCs w:val="20"/>
        </w:rPr>
        <w:t xml:space="preserve">The status on internal investigations; and </w:t>
      </w:r>
    </w:p>
    <w:p w:rsidR="00F23190" w:rsidRPr="00921120" w:rsidRDefault="00F23190" w:rsidP="00921120">
      <w:pPr>
        <w:pStyle w:val="ListParagraph"/>
        <w:numPr>
          <w:ilvl w:val="0"/>
          <w:numId w:val="10"/>
        </w:numPr>
        <w:spacing w:line="240" w:lineRule="auto"/>
        <w:jc w:val="left"/>
        <w:rPr>
          <w:rFonts w:ascii="Arial" w:hAnsi="Arial" w:cs="Arial"/>
          <w:sz w:val="20"/>
          <w:szCs w:val="20"/>
        </w:rPr>
      </w:pPr>
      <w:r w:rsidRPr="00921120">
        <w:rPr>
          <w:rFonts w:ascii="Arial" w:hAnsi="Arial" w:cs="Arial"/>
          <w:sz w:val="20"/>
          <w:szCs w:val="20"/>
        </w:rPr>
        <w:t>The status on key vacant positions.</w:t>
      </w:r>
    </w:p>
    <w:p w:rsidR="00F23190" w:rsidRPr="00921120" w:rsidRDefault="00F23190" w:rsidP="00921120">
      <w:pPr>
        <w:spacing w:line="240" w:lineRule="auto"/>
        <w:jc w:val="left"/>
        <w:rPr>
          <w:rFonts w:ascii="Arial" w:hAnsi="Arial" w:cs="Arial"/>
          <w:sz w:val="20"/>
          <w:szCs w:val="20"/>
        </w:rPr>
      </w:pPr>
    </w:p>
    <w:p w:rsidR="00975C8D" w:rsidRPr="00921120" w:rsidRDefault="00A55BE2" w:rsidP="00921120">
      <w:pPr>
        <w:spacing w:line="240" w:lineRule="auto"/>
        <w:jc w:val="left"/>
        <w:rPr>
          <w:rFonts w:ascii="Arial" w:hAnsi="Arial" w:cs="Arial"/>
          <w:sz w:val="20"/>
          <w:szCs w:val="20"/>
        </w:rPr>
      </w:pPr>
      <w:r w:rsidRPr="00921120">
        <w:rPr>
          <w:rFonts w:ascii="Arial" w:hAnsi="Arial" w:cs="Arial"/>
          <w:sz w:val="20"/>
          <w:szCs w:val="20"/>
        </w:rPr>
        <w:t xml:space="preserve">It </w:t>
      </w:r>
      <w:r w:rsidR="00975C8D" w:rsidRPr="00921120">
        <w:rPr>
          <w:rFonts w:ascii="Arial" w:hAnsi="Arial" w:cs="Arial"/>
          <w:sz w:val="20"/>
          <w:szCs w:val="20"/>
        </w:rPr>
        <w:t>informed the Committee that</w:t>
      </w:r>
      <w:r w:rsidR="00104FCD" w:rsidRPr="00921120">
        <w:rPr>
          <w:rFonts w:ascii="Arial" w:hAnsi="Arial" w:cs="Arial"/>
          <w:sz w:val="20"/>
          <w:szCs w:val="20"/>
        </w:rPr>
        <w:t>,</w:t>
      </w:r>
      <w:r w:rsidR="00975C8D" w:rsidRPr="00921120">
        <w:rPr>
          <w:rFonts w:ascii="Arial" w:hAnsi="Arial" w:cs="Arial"/>
          <w:sz w:val="20"/>
          <w:szCs w:val="20"/>
        </w:rPr>
        <w:t xml:space="preserve"> as a regulator of the National Lottery, together with other lotteries and sports pools, </w:t>
      </w:r>
      <w:r w:rsidR="00104FCD" w:rsidRPr="00921120">
        <w:rPr>
          <w:rFonts w:ascii="Arial" w:hAnsi="Arial" w:cs="Arial"/>
          <w:sz w:val="20"/>
          <w:szCs w:val="20"/>
        </w:rPr>
        <w:t xml:space="preserve">it </w:t>
      </w:r>
      <w:r w:rsidR="00975C8D" w:rsidRPr="00921120">
        <w:rPr>
          <w:rFonts w:ascii="Arial" w:hAnsi="Arial" w:cs="Arial"/>
          <w:sz w:val="20"/>
          <w:szCs w:val="20"/>
        </w:rPr>
        <w:t>also has the responsibility of advising the Minister in terms of policy</w:t>
      </w:r>
      <w:r w:rsidR="00104FCD" w:rsidRPr="00921120">
        <w:rPr>
          <w:rFonts w:ascii="Arial" w:hAnsi="Arial" w:cs="Arial"/>
          <w:sz w:val="20"/>
          <w:szCs w:val="20"/>
        </w:rPr>
        <w:t xml:space="preserve"> and</w:t>
      </w:r>
      <w:r w:rsidR="00975C8D" w:rsidRPr="00921120">
        <w:rPr>
          <w:rFonts w:ascii="Arial" w:hAnsi="Arial" w:cs="Arial"/>
          <w:sz w:val="20"/>
          <w:szCs w:val="20"/>
        </w:rPr>
        <w:t xml:space="preserve"> matters relating thereto. Furthermore, the distribution of the funds, that it received from the National Lottery and sports pools to good causes </w:t>
      </w:r>
      <w:r w:rsidR="00104FCD" w:rsidRPr="00921120">
        <w:rPr>
          <w:rFonts w:ascii="Arial" w:hAnsi="Arial" w:cs="Arial"/>
          <w:sz w:val="20"/>
          <w:szCs w:val="20"/>
        </w:rPr>
        <w:t xml:space="preserve">was </w:t>
      </w:r>
      <w:r w:rsidR="00975C8D" w:rsidRPr="00921120">
        <w:rPr>
          <w:rFonts w:ascii="Arial" w:hAnsi="Arial" w:cs="Arial"/>
          <w:sz w:val="20"/>
          <w:szCs w:val="20"/>
        </w:rPr>
        <w:t>a critical responsibility of the NLC. According to the NLC, for the last financial year, R1</w:t>
      </w:r>
      <w:r w:rsidR="00104FCD" w:rsidRPr="00921120">
        <w:rPr>
          <w:rFonts w:ascii="Arial" w:hAnsi="Arial" w:cs="Arial"/>
          <w:sz w:val="20"/>
          <w:szCs w:val="20"/>
        </w:rPr>
        <w:t>,</w:t>
      </w:r>
      <w:r w:rsidR="00975C8D" w:rsidRPr="00921120">
        <w:rPr>
          <w:rFonts w:ascii="Arial" w:hAnsi="Arial" w:cs="Arial"/>
          <w:sz w:val="20"/>
          <w:szCs w:val="20"/>
        </w:rPr>
        <w:t xml:space="preserve">2 billion was distributed for good causes in line with </w:t>
      </w:r>
      <w:r w:rsidRPr="00921120">
        <w:rPr>
          <w:rFonts w:ascii="Arial" w:hAnsi="Arial" w:cs="Arial"/>
          <w:sz w:val="20"/>
          <w:szCs w:val="20"/>
        </w:rPr>
        <w:t xml:space="preserve">the </w:t>
      </w:r>
      <w:r w:rsidR="00975C8D" w:rsidRPr="00921120">
        <w:rPr>
          <w:rFonts w:ascii="Arial" w:hAnsi="Arial" w:cs="Arial"/>
          <w:sz w:val="20"/>
          <w:szCs w:val="20"/>
        </w:rPr>
        <w:t>vision as outlined in the National Development Plan</w:t>
      </w:r>
      <w:r w:rsidR="00104FCD" w:rsidRPr="00921120">
        <w:rPr>
          <w:rFonts w:ascii="Arial" w:hAnsi="Arial" w:cs="Arial"/>
          <w:sz w:val="20"/>
          <w:szCs w:val="20"/>
        </w:rPr>
        <w:t xml:space="preserve"> and</w:t>
      </w:r>
      <w:r w:rsidR="00975C8D" w:rsidRPr="00921120">
        <w:rPr>
          <w:rFonts w:ascii="Arial" w:hAnsi="Arial" w:cs="Arial"/>
          <w:sz w:val="20"/>
          <w:szCs w:val="20"/>
        </w:rPr>
        <w:t xml:space="preserve"> the UN Sustainability Development Goals, as well as the vision for the </w:t>
      </w:r>
      <w:r w:rsidR="00696B49" w:rsidRPr="00921120">
        <w:rPr>
          <w:rFonts w:ascii="Arial" w:hAnsi="Arial" w:cs="Arial"/>
          <w:sz w:val="20"/>
          <w:szCs w:val="20"/>
        </w:rPr>
        <w:t>AU</w:t>
      </w:r>
      <w:r w:rsidR="00975C8D" w:rsidRPr="00921120">
        <w:rPr>
          <w:rFonts w:ascii="Arial" w:hAnsi="Arial" w:cs="Arial"/>
          <w:sz w:val="20"/>
          <w:szCs w:val="20"/>
        </w:rPr>
        <w:t>. The NLC informed the Committee that the Board ha</w:t>
      </w:r>
      <w:r w:rsidR="00104FCD" w:rsidRPr="00921120">
        <w:rPr>
          <w:rFonts w:ascii="Arial" w:hAnsi="Arial" w:cs="Arial"/>
          <w:sz w:val="20"/>
          <w:szCs w:val="20"/>
        </w:rPr>
        <w:t>d</w:t>
      </w:r>
      <w:r w:rsidR="00975C8D" w:rsidRPr="00921120">
        <w:rPr>
          <w:rFonts w:ascii="Arial" w:hAnsi="Arial" w:cs="Arial"/>
          <w:sz w:val="20"/>
          <w:szCs w:val="20"/>
        </w:rPr>
        <w:t xml:space="preserve"> appointed Ms J Scholtz as Commissioner with effect from 1</w:t>
      </w:r>
      <w:r w:rsidR="00104FCD" w:rsidRPr="00921120">
        <w:rPr>
          <w:rFonts w:ascii="Arial" w:hAnsi="Arial" w:cs="Arial"/>
          <w:sz w:val="20"/>
          <w:szCs w:val="20"/>
        </w:rPr>
        <w:t> </w:t>
      </w:r>
      <w:r w:rsidR="00975C8D" w:rsidRPr="00921120">
        <w:rPr>
          <w:rFonts w:ascii="Arial" w:hAnsi="Arial" w:cs="Arial"/>
          <w:sz w:val="20"/>
          <w:szCs w:val="20"/>
        </w:rPr>
        <w:t xml:space="preserve">February 2023. </w:t>
      </w:r>
    </w:p>
    <w:p w:rsidR="00975C8D" w:rsidRPr="00921120" w:rsidRDefault="00975C8D" w:rsidP="00921120">
      <w:pPr>
        <w:spacing w:line="240" w:lineRule="auto"/>
        <w:jc w:val="left"/>
        <w:rPr>
          <w:rFonts w:ascii="Arial" w:hAnsi="Arial" w:cs="Arial"/>
          <w:sz w:val="20"/>
          <w:szCs w:val="20"/>
        </w:rPr>
      </w:pPr>
    </w:p>
    <w:p w:rsidR="00975C8D" w:rsidRPr="00921120" w:rsidRDefault="00975C8D" w:rsidP="00921120">
      <w:pPr>
        <w:pStyle w:val="Heading3"/>
        <w:spacing w:line="240" w:lineRule="auto"/>
        <w:jc w:val="left"/>
        <w:rPr>
          <w:rFonts w:ascii="Arial" w:hAnsi="Arial" w:cs="Arial"/>
          <w:sz w:val="20"/>
          <w:szCs w:val="20"/>
        </w:rPr>
      </w:pPr>
      <w:r w:rsidRPr="00921120">
        <w:rPr>
          <w:rFonts w:ascii="Arial" w:hAnsi="Arial" w:cs="Arial"/>
          <w:sz w:val="20"/>
          <w:szCs w:val="20"/>
        </w:rPr>
        <w:t>Status of SIU investigations</w:t>
      </w:r>
    </w:p>
    <w:p w:rsidR="00975C8D" w:rsidRPr="00921120" w:rsidRDefault="00975C8D" w:rsidP="00921120">
      <w:pPr>
        <w:spacing w:line="240" w:lineRule="auto"/>
        <w:jc w:val="left"/>
        <w:rPr>
          <w:rFonts w:ascii="Arial" w:hAnsi="Arial" w:cs="Arial"/>
          <w:sz w:val="20"/>
          <w:szCs w:val="20"/>
        </w:rPr>
      </w:pPr>
      <w:r w:rsidRPr="00921120">
        <w:rPr>
          <w:rFonts w:ascii="Arial" w:hAnsi="Arial" w:cs="Arial"/>
          <w:sz w:val="20"/>
          <w:szCs w:val="20"/>
        </w:rPr>
        <w:t>The NLC informed the Committee that the SIU investigations into allegation</w:t>
      </w:r>
      <w:r w:rsidR="00AE70E0" w:rsidRPr="00921120">
        <w:rPr>
          <w:rFonts w:ascii="Arial" w:hAnsi="Arial" w:cs="Arial"/>
          <w:sz w:val="20"/>
          <w:szCs w:val="20"/>
        </w:rPr>
        <w:t>s</w:t>
      </w:r>
      <w:r w:rsidRPr="00921120">
        <w:rPr>
          <w:rFonts w:ascii="Arial" w:hAnsi="Arial" w:cs="Arial"/>
          <w:sz w:val="20"/>
          <w:szCs w:val="20"/>
        </w:rPr>
        <w:t xml:space="preserve"> of maladministration and fraud at the NLC </w:t>
      </w:r>
      <w:r w:rsidR="00AE70E0" w:rsidRPr="00921120">
        <w:rPr>
          <w:rFonts w:ascii="Arial" w:hAnsi="Arial" w:cs="Arial"/>
          <w:sz w:val="20"/>
          <w:szCs w:val="20"/>
        </w:rPr>
        <w:t>wa</w:t>
      </w:r>
      <w:r w:rsidRPr="00921120">
        <w:rPr>
          <w:rFonts w:ascii="Arial" w:hAnsi="Arial" w:cs="Arial"/>
          <w:sz w:val="20"/>
          <w:szCs w:val="20"/>
        </w:rPr>
        <w:t xml:space="preserve">s still in progress. It </w:t>
      </w:r>
      <w:r w:rsidR="00AE70E0" w:rsidRPr="00921120">
        <w:rPr>
          <w:rFonts w:ascii="Arial" w:hAnsi="Arial" w:cs="Arial"/>
          <w:sz w:val="20"/>
          <w:szCs w:val="20"/>
        </w:rPr>
        <w:t xml:space="preserve">was </w:t>
      </w:r>
      <w:r w:rsidRPr="00921120">
        <w:rPr>
          <w:rFonts w:ascii="Arial" w:hAnsi="Arial" w:cs="Arial"/>
          <w:sz w:val="20"/>
          <w:szCs w:val="20"/>
        </w:rPr>
        <w:t xml:space="preserve">receiving regular updates from the SIU and </w:t>
      </w:r>
      <w:r w:rsidR="00AE70E0" w:rsidRPr="00921120">
        <w:rPr>
          <w:rFonts w:ascii="Arial" w:hAnsi="Arial" w:cs="Arial"/>
          <w:sz w:val="20"/>
          <w:szCs w:val="20"/>
        </w:rPr>
        <w:t xml:space="preserve">the SIU </w:t>
      </w:r>
      <w:r w:rsidRPr="00921120">
        <w:rPr>
          <w:rFonts w:ascii="Arial" w:hAnsi="Arial" w:cs="Arial"/>
          <w:sz w:val="20"/>
          <w:szCs w:val="20"/>
        </w:rPr>
        <w:t>ha</w:t>
      </w:r>
      <w:r w:rsidR="00AE70E0" w:rsidRPr="00921120">
        <w:rPr>
          <w:rFonts w:ascii="Arial" w:hAnsi="Arial" w:cs="Arial"/>
          <w:sz w:val="20"/>
          <w:szCs w:val="20"/>
        </w:rPr>
        <w:t>d</w:t>
      </w:r>
      <w:r w:rsidRPr="00921120">
        <w:rPr>
          <w:rFonts w:ascii="Arial" w:hAnsi="Arial" w:cs="Arial"/>
          <w:sz w:val="20"/>
          <w:szCs w:val="20"/>
        </w:rPr>
        <w:t xml:space="preserve"> indicated that the next scheduled progress report on these investigations would be at the end of th</w:t>
      </w:r>
      <w:r w:rsidR="00104FCD" w:rsidRPr="00921120">
        <w:rPr>
          <w:rFonts w:ascii="Arial" w:hAnsi="Arial" w:cs="Arial"/>
          <w:sz w:val="20"/>
          <w:szCs w:val="20"/>
        </w:rPr>
        <w:t>e 2022/23</w:t>
      </w:r>
      <w:r w:rsidRPr="00921120">
        <w:rPr>
          <w:rFonts w:ascii="Arial" w:hAnsi="Arial" w:cs="Arial"/>
          <w:sz w:val="20"/>
          <w:szCs w:val="20"/>
        </w:rPr>
        <w:t xml:space="preserve"> financial year. </w:t>
      </w:r>
      <w:r w:rsidR="00AE70E0" w:rsidRPr="00921120">
        <w:rPr>
          <w:rFonts w:ascii="Arial" w:hAnsi="Arial" w:cs="Arial"/>
          <w:sz w:val="20"/>
          <w:szCs w:val="20"/>
        </w:rPr>
        <w:t>T</w:t>
      </w:r>
      <w:r w:rsidRPr="00921120">
        <w:rPr>
          <w:rFonts w:ascii="Arial" w:hAnsi="Arial" w:cs="Arial"/>
          <w:sz w:val="20"/>
          <w:szCs w:val="20"/>
        </w:rPr>
        <w:t xml:space="preserve">he NLC </w:t>
      </w:r>
      <w:r w:rsidR="00AE70E0" w:rsidRPr="00921120">
        <w:rPr>
          <w:rFonts w:ascii="Arial" w:hAnsi="Arial" w:cs="Arial"/>
          <w:sz w:val="20"/>
          <w:szCs w:val="20"/>
        </w:rPr>
        <w:t xml:space="preserve">indicated </w:t>
      </w:r>
      <w:r w:rsidRPr="00921120">
        <w:rPr>
          <w:rFonts w:ascii="Arial" w:hAnsi="Arial" w:cs="Arial"/>
          <w:sz w:val="20"/>
          <w:szCs w:val="20"/>
        </w:rPr>
        <w:t xml:space="preserve">that it </w:t>
      </w:r>
      <w:r w:rsidR="00AE70E0" w:rsidRPr="00921120">
        <w:rPr>
          <w:rFonts w:ascii="Arial" w:hAnsi="Arial" w:cs="Arial"/>
          <w:sz w:val="20"/>
          <w:szCs w:val="20"/>
        </w:rPr>
        <w:t>wa</w:t>
      </w:r>
      <w:r w:rsidRPr="00921120">
        <w:rPr>
          <w:rFonts w:ascii="Arial" w:hAnsi="Arial" w:cs="Arial"/>
          <w:sz w:val="20"/>
          <w:szCs w:val="20"/>
        </w:rPr>
        <w:t>s continuing with its collaboration and providing the necessary information</w:t>
      </w:r>
      <w:r w:rsidR="00AE70E0" w:rsidRPr="00921120">
        <w:rPr>
          <w:rFonts w:ascii="Arial" w:hAnsi="Arial" w:cs="Arial"/>
          <w:sz w:val="20"/>
          <w:szCs w:val="20"/>
        </w:rPr>
        <w:t xml:space="preserve"> and</w:t>
      </w:r>
      <w:r w:rsidRPr="00921120">
        <w:rPr>
          <w:rFonts w:ascii="Arial" w:hAnsi="Arial" w:cs="Arial"/>
          <w:sz w:val="20"/>
          <w:szCs w:val="20"/>
        </w:rPr>
        <w:t xml:space="preserve"> documentation</w:t>
      </w:r>
      <w:r w:rsidR="00AE70E0" w:rsidRPr="00921120">
        <w:rPr>
          <w:rFonts w:ascii="Arial" w:hAnsi="Arial" w:cs="Arial"/>
          <w:sz w:val="20"/>
          <w:szCs w:val="20"/>
        </w:rPr>
        <w:t xml:space="preserve"> to the SIU</w:t>
      </w:r>
      <w:r w:rsidRPr="00921120">
        <w:rPr>
          <w:rFonts w:ascii="Arial" w:hAnsi="Arial" w:cs="Arial"/>
          <w:sz w:val="20"/>
          <w:szCs w:val="20"/>
        </w:rPr>
        <w:t xml:space="preserve">, if, and when requested to do so. </w:t>
      </w:r>
    </w:p>
    <w:p w:rsidR="003E04BE" w:rsidRPr="00921120" w:rsidRDefault="003E04BE" w:rsidP="00921120">
      <w:pPr>
        <w:spacing w:line="240" w:lineRule="auto"/>
        <w:jc w:val="left"/>
        <w:rPr>
          <w:rFonts w:ascii="Arial" w:hAnsi="Arial" w:cs="Arial"/>
          <w:sz w:val="20"/>
          <w:szCs w:val="20"/>
        </w:rPr>
      </w:pPr>
    </w:p>
    <w:p w:rsidR="00975C8D" w:rsidRPr="00921120" w:rsidRDefault="00975C8D" w:rsidP="00921120">
      <w:pPr>
        <w:spacing w:line="240" w:lineRule="auto"/>
        <w:jc w:val="left"/>
        <w:rPr>
          <w:rFonts w:ascii="Arial" w:hAnsi="Arial" w:cs="Arial"/>
          <w:sz w:val="20"/>
          <w:szCs w:val="20"/>
        </w:rPr>
      </w:pPr>
      <w:r w:rsidRPr="00921120">
        <w:rPr>
          <w:rFonts w:ascii="Arial" w:hAnsi="Arial" w:cs="Arial"/>
          <w:sz w:val="20"/>
          <w:szCs w:val="20"/>
        </w:rPr>
        <w:t xml:space="preserve">With regard to the SKX investigation into allegations of fraud, the NLC stated that the investigation </w:t>
      </w:r>
      <w:r w:rsidR="00AE70E0" w:rsidRPr="00921120">
        <w:rPr>
          <w:rFonts w:ascii="Arial" w:hAnsi="Arial" w:cs="Arial"/>
          <w:sz w:val="20"/>
          <w:szCs w:val="20"/>
        </w:rPr>
        <w:t xml:space="preserve">had been </w:t>
      </w:r>
      <w:r w:rsidRPr="00921120">
        <w:rPr>
          <w:rFonts w:ascii="Arial" w:hAnsi="Arial" w:cs="Arial"/>
          <w:sz w:val="20"/>
          <w:szCs w:val="20"/>
        </w:rPr>
        <w:t xml:space="preserve">completed and the necessary disciplinary action against </w:t>
      </w:r>
      <w:r w:rsidR="00AE70E0" w:rsidRPr="00921120">
        <w:rPr>
          <w:rFonts w:ascii="Arial" w:hAnsi="Arial" w:cs="Arial"/>
          <w:sz w:val="20"/>
          <w:szCs w:val="20"/>
        </w:rPr>
        <w:t xml:space="preserve">the </w:t>
      </w:r>
      <w:r w:rsidRPr="00921120">
        <w:rPr>
          <w:rFonts w:ascii="Arial" w:hAnsi="Arial" w:cs="Arial"/>
          <w:sz w:val="20"/>
          <w:szCs w:val="20"/>
        </w:rPr>
        <w:t>identified employee ha</w:t>
      </w:r>
      <w:r w:rsidR="00104FCD" w:rsidRPr="00921120">
        <w:rPr>
          <w:rFonts w:ascii="Arial" w:hAnsi="Arial" w:cs="Arial"/>
          <w:sz w:val="20"/>
          <w:szCs w:val="20"/>
        </w:rPr>
        <w:t>d</w:t>
      </w:r>
      <w:r w:rsidRPr="00921120">
        <w:rPr>
          <w:rFonts w:ascii="Arial" w:hAnsi="Arial" w:cs="Arial"/>
          <w:sz w:val="20"/>
          <w:szCs w:val="20"/>
        </w:rPr>
        <w:t xml:space="preserve"> commenced. </w:t>
      </w:r>
      <w:r w:rsidR="009117C4" w:rsidRPr="00921120">
        <w:rPr>
          <w:rFonts w:ascii="Arial" w:hAnsi="Arial" w:cs="Arial"/>
          <w:sz w:val="20"/>
          <w:szCs w:val="20"/>
        </w:rPr>
        <w:t xml:space="preserve">A draft report </w:t>
      </w:r>
      <w:r w:rsidR="00104FCD" w:rsidRPr="00921120">
        <w:rPr>
          <w:rFonts w:ascii="Arial" w:hAnsi="Arial" w:cs="Arial"/>
          <w:sz w:val="20"/>
          <w:szCs w:val="20"/>
        </w:rPr>
        <w:t xml:space="preserve">had been </w:t>
      </w:r>
      <w:r w:rsidR="009117C4" w:rsidRPr="00921120">
        <w:rPr>
          <w:rFonts w:ascii="Arial" w:hAnsi="Arial" w:cs="Arial"/>
          <w:sz w:val="20"/>
          <w:szCs w:val="20"/>
        </w:rPr>
        <w:t>under consideration for t</w:t>
      </w:r>
      <w:r w:rsidRPr="00921120">
        <w:rPr>
          <w:rFonts w:ascii="Arial" w:hAnsi="Arial" w:cs="Arial"/>
          <w:sz w:val="20"/>
          <w:szCs w:val="20"/>
        </w:rPr>
        <w:t>he forensic investigation</w:t>
      </w:r>
      <w:r w:rsidR="00A55BE2" w:rsidRPr="00921120">
        <w:rPr>
          <w:rFonts w:ascii="Arial" w:hAnsi="Arial" w:cs="Arial"/>
          <w:sz w:val="20"/>
          <w:szCs w:val="20"/>
        </w:rPr>
        <w:t>, conducted by TSU,</w:t>
      </w:r>
      <w:r w:rsidRPr="00921120">
        <w:rPr>
          <w:rFonts w:ascii="Arial" w:hAnsi="Arial" w:cs="Arial"/>
          <w:sz w:val="20"/>
          <w:szCs w:val="20"/>
        </w:rPr>
        <w:t xml:space="preserve"> that </w:t>
      </w:r>
      <w:r w:rsidR="00104FCD" w:rsidRPr="00921120">
        <w:rPr>
          <w:rFonts w:ascii="Arial" w:hAnsi="Arial" w:cs="Arial"/>
          <w:sz w:val="20"/>
          <w:szCs w:val="20"/>
        </w:rPr>
        <w:t xml:space="preserve">had been </w:t>
      </w:r>
      <w:r w:rsidRPr="00921120">
        <w:rPr>
          <w:rFonts w:ascii="Arial" w:hAnsi="Arial" w:cs="Arial"/>
          <w:sz w:val="20"/>
          <w:szCs w:val="20"/>
        </w:rPr>
        <w:t xml:space="preserve">instituted </w:t>
      </w:r>
      <w:r w:rsidR="00AE70E0" w:rsidRPr="00921120">
        <w:rPr>
          <w:rFonts w:ascii="Arial" w:hAnsi="Arial" w:cs="Arial"/>
          <w:sz w:val="20"/>
          <w:szCs w:val="20"/>
        </w:rPr>
        <w:t>into allegations of fraud</w:t>
      </w:r>
      <w:r w:rsidRPr="00921120">
        <w:rPr>
          <w:rFonts w:ascii="Arial" w:hAnsi="Arial" w:cs="Arial"/>
          <w:sz w:val="20"/>
          <w:szCs w:val="20"/>
        </w:rPr>
        <w:t xml:space="preserve">. </w:t>
      </w:r>
      <w:r w:rsidR="009117C4" w:rsidRPr="00921120">
        <w:rPr>
          <w:rFonts w:ascii="Arial" w:hAnsi="Arial" w:cs="Arial"/>
          <w:sz w:val="20"/>
          <w:szCs w:val="20"/>
        </w:rPr>
        <w:t xml:space="preserve">This </w:t>
      </w:r>
      <w:r w:rsidR="00104FCD" w:rsidRPr="00921120">
        <w:rPr>
          <w:rFonts w:ascii="Arial" w:hAnsi="Arial" w:cs="Arial"/>
          <w:sz w:val="20"/>
          <w:szCs w:val="20"/>
        </w:rPr>
        <w:t xml:space="preserve">had been </w:t>
      </w:r>
      <w:r w:rsidR="009117C4" w:rsidRPr="00921120">
        <w:rPr>
          <w:rFonts w:ascii="Arial" w:hAnsi="Arial" w:cs="Arial"/>
          <w:sz w:val="20"/>
          <w:szCs w:val="20"/>
        </w:rPr>
        <w:t xml:space="preserve">expected </w:t>
      </w:r>
      <w:r w:rsidRPr="00921120">
        <w:rPr>
          <w:rFonts w:ascii="Arial" w:hAnsi="Arial" w:cs="Arial"/>
          <w:sz w:val="20"/>
          <w:szCs w:val="20"/>
        </w:rPr>
        <w:t xml:space="preserve">to </w:t>
      </w:r>
      <w:r w:rsidR="009117C4" w:rsidRPr="00921120">
        <w:rPr>
          <w:rFonts w:ascii="Arial" w:hAnsi="Arial" w:cs="Arial"/>
          <w:sz w:val="20"/>
          <w:szCs w:val="20"/>
        </w:rPr>
        <w:t xml:space="preserve">be </w:t>
      </w:r>
      <w:r w:rsidRPr="00921120">
        <w:rPr>
          <w:rFonts w:ascii="Arial" w:hAnsi="Arial" w:cs="Arial"/>
          <w:sz w:val="20"/>
          <w:szCs w:val="20"/>
        </w:rPr>
        <w:t>complete</w:t>
      </w:r>
      <w:r w:rsidR="009117C4" w:rsidRPr="00921120">
        <w:rPr>
          <w:rFonts w:ascii="Arial" w:hAnsi="Arial" w:cs="Arial"/>
          <w:sz w:val="20"/>
          <w:szCs w:val="20"/>
        </w:rPr>
        <w:t>d</w:t>
      </w:r>
      <w:r w:rsidRPr="00921120">
        <w:rPr>
          <w:rFonts w:ascii="Arial" w:hAnsi="Arial" w:cs="Arial"/>
          <w:sz w:val="20"/>
          <w:szCs w:val="20"/>
        </w:rPr>
        <w:t xml:space="preserve"> by 28 February 2023.  </w:t>
      </w:r>
    </w:p>
    <w:p w:rsidR="003E04BE" w:rsidRPr="00921120" w:rsidRDefault="003E04BE" w:rsidP="00921120">
      <w:pPr>
        <w:spacing w:line="240" w:lineRule="auto"/>
        <w:jc w:val="left"/>
        <w:rPr>
          <w:rFonts w:ascii="Arial" w:hAnsi="Arial" w:cs="Arial"/>
          <w:sz w:val="20"/>
          <w:szCs w:val="20"/>
        </w:rPr>
      </w:pPr>
    </w:p>
    <w:p w:rsidR="00975C8D" w:rsidRPr="00921120" w:rsidRDefault="00AE70E0" w:rsidP="00921120">
      <w:pPr>
        <w:spacing w:line="240" w:lineRule="auto"/>
        <w:jc w:val="left"/>
        <w:rPr>
          <w:rFonts w:ascii="Arial" w:hAnsi="Arial" w:cs="Arial"/>
          <w:sz w:val="20"/>
          <w:szCs w:val="20"/>
        </w:rPr>
      </w:pPr>
      <w:r w:rsidRPr="00921120">
        <w:rPr>
          <w:rFonts w:ascii="Arial" w:hAnsi="Arial" w:cs="Arial"/>
          <w:sz w:val="20"/>
          <w:szCs w:val="20"/>
        </w:rPr>
        <w:t>D</w:t>
      </w:r>
      <w:r w:rsidR="00975C8D" w:rsidRPr="00921120">
        <w:rPr>
          <w:rFonts w:ascii="Arial" w:hAnsi="Arial" w:cs="Arial"/>
          <w:sz w:val="20"/>
          <w:szCs w:val="20"/>
        </w:rPr>
        <w:t xml:space="preserve">uring the </w:t>
      </w:r>
      <w:r w:rsidRPr="00921120">
        <w:rPr>
          <w:rFonts w:ascii="Arial" w:hAnsi="Arial" w:cs="Arial"/>
          <w:sz w:val="20"/>
          <w:szCs w:val="20"/>
        </w:rPr>
        <w:t xml:space="preserve">external </w:t>
      </w:r>
      <w:r w:rsidR="00975C8D" w:rsidRPr="00921120">
        <w:rPr>
          <w:rFonts w:ascii="Arial" w:hAnsi="Arial" w:cs="Arial"/>
          <w:sz w:val="20"/>
          <w:szCs w:val="20"/>
        </w:rPr>
        <w:t xml:space="preserve">audit for </w:t>
      </w:r>
      <w:r w:rsidR="009117C4" w:rsidRPr="00921120">
        <w:rPr>
          <w:rFonts w:ascii="Arial" w:hAnsi="Arial" w:cs="Arial"/>
          <w:sz w:val="20"/>
          <w:szCs w:val="20"/>
        </w:rPr>
        <w:t xml:space="preserve">the </w:t>
      </w:r>
      <w:r w:rsidR="00975C8D" w:rsidRPr="00921120">
        <w:rPr>
          <w:rFonts w:ascii="Arial" w:hAnsi="Arial" w:cs="Arial"/>
          <w:sz w:val="20"/>
          <w:szCs w:val="20"/>
        </w:rPr>
        <w:t>2021/22 financial year, the Auditor-General highlighted irregular expenditure. In line with National Treasury Regulations, the NLC was required to do an assessment, determination and investigation following this disclosure. Therefore, with regard to the Fundudzi and Maphosa investigations, the NLC indicated that these</w:t>
      </w:r>
      <w:r w:rsidR="00DE1D5D" w:rsidRPr="00921120">
        <w:rPr>
          <w:rFonts w:ascii="Arial" w:hAnsi="Arial" w:cs="Arial"/>
          <w:sz w:val="20"/>
          <w:szCs w:val="20"/>
        </w:rPr>
        <w:t xml:space="preserve"> </w:t>
      </w:r>
      <w:r w:rsidR="00975C8D" w:rsidRPr="00921120">
        <w:rPr>
          <w:rFonts w:ascii="Arial" w:hAnsi="Arial" w:cs="Arial"/>
          <w:sz w:val="20"/>
          <w:szCs w:val="20"/>
        </w:rPr>
        <w:t>investigation</w:t>
      </w:r>
      <w:r w:rsidR="00DE1D5D" w:rsidRPr="00921120">
        <w:rPr>
          <w:rFonts w:ascii="Arial" w:hAnsi="Arial" w:cs="Arial"/>
          <w:sz w:val="20"/>
          <w:szCs w:val="20"/>
        </w:rPr>
        <w:t>s</w:t>
      </w:r>
      <w:r w:rsidR="00975C8D" w:rsidRPr="00921120">
        <w:rPr>
          <w:rFonts w:ascii="Arial" w:hAnsi="Arial" w:cs="Arial"/>
          <w:sz w:val="20"/>
          <w:szCs w:val="20"/>
        </w:rPr>
        <w:t xml:space="preserve"> around irregular expenditure had been completed. As a result of these investigations, five employees </w:t>
      </w:r>
      <w:r w:rsidR="009117C4" w:rsidRPr="00921120">
        <w:rPr>
          <w:rFonts w:ascii="Arial" w:hAnsi="Arial" w:cs="Arial"/>
          <w:sz w:val="20"/>
          <w:szCs w:val="20"/>
        </w:rPr>
        <w:t xml:space="preserve">had been </w:t>
      </w:r>
      <w:r w:rsidR="00975C8D" w:rsidRPr="00921120">
        <w:rPr>
          <w:rFonts w:ascii="Arial" w:hAnsi="Arial" w:cs="Arial"/>
          <w:sz w:val="20"/>
          <w:szCs w:val="20"/>
        </w:rPr>
        <w:t xml:space="preserve">suspended, with one resigning, and disciplinary action had been instituted against </w:t>
      </w:r>
      <w:r w:rsidR="009117C4" w:rsidRPr="00921120">
        <w:rPr>
          <w:rFonts w:ascii="Arial" w:hAnsi="Arial" w:cs="Arial"/>
          <w:sz w:val="20"/>
          <w:szCs w:val="20"/>
        </w:rPr>
        <w:t xml:space="preserve">the other </w:t>
      </w:r>
      <w:r w:rsidR="00975C8D" w:rsidRPr="00921120">
        <w:rPr>
          <w:rFonts w:ascii="Arial" w:hAnsi="Arial" w:cs="Arial"/>
          <w:sz w:val="20"/>
          <w:szCs w:val="20"/>
        </w:rPr>
        <w:t xml:space="preserve">four employees with the outcome still outstanding. </w:t>
      </w:r>
    </w:p>
    <w:p w:rsidR="00BB3759" w:rsidRPr="00921120" w:rsidRDefault="00BB3759" w:rsidP="00921120">
      <w:pPr>
        <w:spacing w:line="240" w:lineRule="auto"/>
        <w:jc w:val="left"/>
        <w:rPr>
          <w:rFonts w:ascii="Arial" w:hAnsi="Arial" w:cs="Arial"/>
          <w:sz w:val="20"/>
          <w:szCs w:val="20"/>
        </w:rPr>
      </w:pPr>
    </w:p>
    <w:p w:rsidR="003B0207" w:rsidRPr="00921120" w:rsidRDefault="00BB3759" w:rsidP="00921120">
      <w:pPr>
        <w:pStyle w:val="PlainText"/>
        <w:rPr>
          <w:rFonts w:ascii="Arial" w:hAnsi="Arial" w:cs="Arial"/>
          <w:sz w:val="20"/>
          <w:szCs w:val="20"/>
        </w:rPr>
      </w:pPr>
      <w:r w:rsidRPr="00921120">
        <w:rPr>
          <w:rFonts w:ascii="Arial" w:hAnsi="Arial" w:cs="Arial"/>
          <w:sz w:val="20"/>
          <w:szCs w:val="20"/>
        </w:rPr>
        <w:t xml:space="preserve">The recommendations made by the SIU with respect to maladministration and fraud </w:t>
      </w:r>
      <w:r w:rsidR="00104FCD" w:rsidRPr="00921120">
        <w:rPr>
          <w:rFonts w:ascii="Arial" w:hAnsi="Arial" w:cs="Arial"/>
          <w:sz w:val="20"/>
          <w:szCs w:val="20"/>
        </w:rPr>
        <w:t>we</w:t>
      </w:r>
      <w:r w:rsidRPr="00921120">
        <w:rPr>
          <w:rFonts w:ascii="Arial" w:hAnsi="Arial" w:cs="Arial"/>
          <w:sz w:val="20"/>
          <w:szCs w:val="20"/>
        </w:rPr>
        <w:t>re critical tools to ensure that the NLC move</w:t>
      </w:r>
      <w:r w:rsidR="00104FCD" w:rsidRPr="00921120">
        <w:rPr>
          <w:rFonts w:ascii="Arial" w:hAnsi="Arial" w:cs="Arial"/>
          <w:sz w:val="20"/>
          <w:szCs w:val="20"/>
        </w:rPr>
        <w:t>d</w:t>
      </w:r>
      <w:r w:rsidRPr="00921120">
        <w:rPr>
          <w:rFonts w:ascii="Arial" w:hAnsi="Arial" w:cs="Arial"/>
          <w:sz w:val="20"/>
          <w:szCs w:val="20"/>
        </w:rPr>
        <w:t xml:space="preserve"> towards becoming a</w:t>
      </w:r>
      <w:r w:rsidR="00CA4159" w:rsidRPr="00921120">
        <w:rPr>
          <w:rFonts w:ascii="Arial" w:hAnsi="Arial" w:cs="Arial"/>
          <w:sz w:val="20"/>
          <w:szCs w:val="20"/>
        </w:rPr>
        <w:t xml:space="preserve"> reputable</w:t>
      </w:r>
      <w:r w:rsidRPr="00921120">
        <w:rPr>
          <w:rFonts w:ascii="Arial" w:hAnsi="Arial" w:cs="Arial"/>
          <w:sz w:val="20"/>
          <w:szCs w:val="20"/>
        </w:rPr>
        <w:t xml:space="preserve"> institution </w:t>
      </w:r>
      <w:r w:rsidR="00CA4159" w:rsidRPr="00921120">
        <w:rPr>
          <w:rFonts w:ascii="Arial" w:hAnsi="Arial" w:cs="Arial"/>
          <w:sz w:val="20"/>
          <w:szCs w:val="20"/>
        </w:rPr>
        <w:t xml:space="preserve">again. </w:t>
      </w:r>
      <w:r w:rsidRPr="00921120">
        <w:rPr>
          <w:rFonts w:ascii="Arial" w:hAnsi="Arial" w:cs="Arial"/>
          <w:sz w:val="20"/>
          <w:szCs w:val="20"/>
        </w:rPr>
        <w:t xml:space="preserve">The Committee </w:t>
      </w:r>
      <w:r w:rsidR="00CA4159" w:rsidRPr="00921120">
        <w:rPr>
          <w:rFonts w:ascii="Arial" w:hAnsi="Arial" w:cs="Arial"/>
          <w:sz w:val="20"/>
          <w:szCs w:val="20"/>
        </w:rPr>
        <w:t xml:space="preserve">enquired whether these </w:t>
      </w:r>
      <w:r w:rsidRPr="00921120">
        <w:rPr>
          <w:rFonts w:ascii="Arial" w:hAnsi="Arial" w:cs="Arial"/>
          <w:sz w:val="20"/>
          <w:szCs w:val="20"/>
        </w:rPr>
        <w:t>recommendations ha</w:t>
      </w:r>
      <w:r w:rsidR="00104FCD" w:rsidRPr="00921120">
        <w:rPr>
          <w:rFonts w:ascii="Arial" w:hAnsi="Arial" w:cs="Arial"/>
          <w:sz w:val="20"/>
          <w:szCs w:val="20"/>
        </w:rPr>
        <w:t>d</w:t>
      </w:r>
      <w:r w:rsidRPr="00921120">
        <w:rPr>
          <w:rFonts w:ascii="Arial" w:hAnsi="Arial" w:cs="Arial"/>
          <w:sz w:val="20"/>
          <w:szCs w:val="20"/>
        </w:rPr>
        <w:t xml:space="preserve"> been implemented and whether these recommendations had the desired outcome.</w:t>
      </w:r>
      <w:r w:rsidR="003B0207" w:rsidRPr="00921120">
        <w:rPr>
          <w:rFonts w:ascii="Arial" w:hAnsi="Arial" w:cs="Arial"/>
          <w:sz w:val="20"/>
          <w:szCs w:val="20"/>
        </w:rPr>
        <w:t xml:space="preserve"> The NLC </w:t>
      </w:r>
      <w:r w:rsidR="00CA4159" w:rsidRPr="00921120">
        <w:rPr>
          <w:rFonts w:ascii="Arial" w:hAnsi="Arial" w:cs="Arial"/>
          <w:sz w:val="20"/>
          <w:szCs w:val="20"/>
        </w:rPr>
        <w:t xml:space="preserve">reported that it had </w:t>
      </w:r>
      <w:r w:rsidR="003B0207" w:rsidRPr="00921120">
        <w:rPr>
          <w:rFonts w:ascii="Arial" w:hAnsi="Arial" w:cs="Arial"/>
          <w:sz w:val="20"/>
          <w:szCs w:val="20"/>
        </w:rPr>
        <w:t xml:space="preserve">implemented the </w:t>
      </w:r>
      <w:r w:rsidR="003B0207" w:rsidRPr="00921120">
        <w:rPr>
          <w:rFonts w:ascii="Arial" w:hAnsi="Arial" w:cs="Arial"/>
          <w:sz w:val="20"/>
          <w:szCs w:val="20"/>
        </w:rPr>
        <w:lastRenderedPageBreak/>
        <w:t xml:space="preserve">recommendations proposed by the SIU, which </w:t>
      </w:r>
      <w:r w:rsidR="00104FCD" w:rsidRPr="00921120">
        <w:rPr>
          <w:rFonts w:ascii="Arial" w:hAnsi="Arial" w:cs="Arial"/>
          <w:sz w:val="20"/>
          <w:szCs w:val="20"/>
        </w:rPr>
        <w:t>wa</w:t>
      </w:r>
      <w:r w:rsidR="003B0207" w:rsidRPr="00921120">
        <w:rPr>
          <w:rFonts w:ascii="Arial" w:hAnsi="Arial" w:cs="Arial"/>
          <w:sz w:val="20"/>
          <w:szCs w:val="20"/>
        </w:rPr>
        <w:t xml:space="preserve">s reflected in the decision to place a moratorium on pro-active funding to close the gap around the continued access to funds. </w:t>
      </w:r>
      <w:r w:rsidR="00A73C44" w:rsidRPr="00921120">
        <w:rPr>
          <w:rFonts w:ascii="Arial" w:hAnsi="Arial" w:cs="Arial"/>
          <w:sz w:val="20"/>
          <w:szCs w:val="20"/>
        </w:rPr>
        <w:t xml:space="preserve">With regard to the identification of implementing organisations for proactively funded projects, it remained a challenge as the information around these projects was incomplete. </w:t>
      </w:r>
      <w:r w:rsidR="003B0207" w:rsidRPr="00921120">
        <w:rPr>
          <w:rFonts w:ascii="Arial" w:hAnsi="Arial" w:cs="Arial"/>
          <w:sz w:val="20"/>
          <w:szCs w:val="20"/>
        </w:rPr>
        <w:t xml:space="preserve"> </w:t>
      </w:r>
    </w:p>
    <w:p w:rsidR="00BB3759" w:rsidRPr="00921120" w:rsidRDefault="00BB3759" w:rsidP="00921120">
      <w:pPr>
        <w:spacing w:line="240" w:lineRule="auto"/>
        <w:jc w:val="left"/>
        <w:rPr>
          <w:rFonts w:ascii="Arial" w:hAnsi="Arial" w:cs="Arial"/>
          <w:sz w:val="20"/>
          <w:szCs w:val="20"/>
        </w:rPr>
      </w:pPr>
    </w:p>
    <w:p w:rsidR="00EB671D" w:rsidRPr="00921120" w:rsidRDefault="00EB671D" w:rsidP="00921120">
      <w:pPr>
        <w:spacing w:line="240" w:lineRule="auto"/>
        <w:jc w:val="left"/>
        <w:rPr>
          <w:rFonts w:ascii="Arial" w:hAnsi="Arial" w:cs="Arial"/>
          <w:sz w:val="20"/>
          <w:szCs w:val="20"/>
        </w:rPr>
      </w:pPr>
      <w:r w:rsidRPr="00921120">
        <w:rPr>
          <w:rFonts w:ascii="Arial" w:hAnsi="Arial" w:cs="Arial"/>
          <w:sz w:val="20"/>
          <w:szCs w:val="20"/>
        </w:rPr>
        <w:t>As a result of the SIU investigations</w:t>
      </w:r>
      <w:r w:rsidR="0010031B" w:rsidRPr="00921120">
        <w:rPr>
          <w:rFonts w:ascii="Arial" w:hAnsi="Arial" w:cs="Arial"/>
          <w:sz w:val="20"/>
          <w:szCs w:val="20"/>
        </w:rPr>
        <w:t>,</w:t>
      </w:r>
      <w:r w:rsidRPr="00921120">
        <w:rPr>
          <w:rFonts w:ascii="Arial" w:hAnsi="Arial" w:cs="Arial"/>
          <w:sz w:val="20"/>
          <w:szCs w:val="20"/>
        </w:rPr>
        <w:t xml:space="preserve"> a number of projects, based on the recommendation from the SIU, had not received further funding. </w:t>
      </w:r>
      <w:r w:rsidR="0017666A" w:rsidRPr="00921120">
        <w:rPr>
          <w:rFonts w:ascii="Arial" w:hAnsi="Arial" w:cs="Arial"/>
          <w:sz w:val="20"/>
          <w:szCs w:val="20"/>
        </w:rPr>
        <w:t>W</w:t>
      </w:r>
      <w:r w:rsidRPr="00921120">
        <w:rPr>
          <w:rFonts w:ascii="Arial" w:hAnsi="Arial" w:cs="Arial"/>
          <w:sz w:val="20"/>
          <w:szCs w:val="20"/>
        </w:rPr>
        <w:t xml:space="preserve">here funding </w:t>
      </w:r>
      <w:r w:rsidR="0017666A" w:rsidRPr="00921120">
        <w:rPr>
          <w:rFonts w:ascii="Arial" w:hAnsi="Arial" w:cs="Arial"/>
          <w:sz w:val="20"/>
          <w:szCs w:val="20"/>
        </w:rPr>
        <w:t>had been</w:t>
      </w:r>
      <w:r w:rsidRPr="00921120">
        <w:rPr>
          <w:rFonts w:ascii="Arial" w:hAnsi="Arial" w:cs="Arial"/>
          <w:sz w:val="20"/>
          <w:szCs w:val="20"/>
        </w:rPr>
        <w:t xml:space="preserve"> approved </w:t>
      </w:r>
      <w:r w:rsidR="0017666A" w:rsidRPr="00921120">
        <w:rPr>
          <w:rFonts w:ascii="Arial" w:hAnsi="Arial" w:cs="Arial"/>
          <w:sz w:val="20"/>
          <w:szCs w:val="20"/>
        </w:rPr>
        <w:t xml:space="preserve">but </w:t>
      </w:r>
      <w:r w:rsidRPr="00921120">
        <w:rPr>
          <w:rFonts w:ascii="Arial" w:hAnsi="Arial" w:cs="Arial"/>
          <w:sz w:val="20"/>
          <w:szCs w:val="20"/>
        </w:rPr>
        <w:t xml:space="preserve">only a small </w:t>
      </w:r>
      <w:r w:rsidR="00EF19FA" w:rsidRPr="00921120">
        <w:rPr>
          <w:rFonts w:ascii="Arial" w:hAnsi="Arial" w:cs="Arial"/>
          <w:sz w:val="20"/>
          <w:szCs w:val="20"/>
        </w:rPr>
        <w:t>percent</w:t>
      </w:r>
      <w:r w:rsidRPr="00921120">
        <w:rPr>
          <w:rFonts w:ascii="Arial" w:hAnsi="Arial" w:cs="Arial"/>
          <w:sz w:val="20"/>
          <w:szCs w:val="20"/>
        </w:rPr>
        <w:t xml:space="preserve">age </w:t>
      </w:r>
      <w:r w:rsidR="0017666A" w:rsidRPr="00921120">
        <w:rPr>
          <w:rFonts w:ascii="Arial" w:hAnsi="Arial" w:cs="Arial"/>
          <w:sz w:val="20"/>
          <w:szCs w:val="20"/>
        </w:rPr>
        <w:t xml:space="preserve">had been </w:t>
      </w:r>
      <w:r w:rsidRPr="00921120">
        <w:rPr>
          <w:rFonts w:ascii="Arial" w:hAnsi="Arial" w:cs="Arial"/>
          <w:sz w:val="20"/>
          <w:szCs w:val="20"/>
        </w:rPr>
        <w:t>utilised</w:t>
      </w:r>
      <w:r w:rsidR="0017666A" w:rsidRPr="00921120">
        <w:rPr>
          <w:rFonts w:ascii="Arial" w:hAnsi="Arial" w:cs="Arial"/>
          <w:sz w:val="20"/>
          <w:szCs w:val="20"/>
        </w:rPr>
        <w:t xml:space="preserve"> for the intended purpose, i</w:t>
      </w:r>
      <w:r w:rsidRPr="00921120">
        <w:rPr>
          <w:rFonts w:ascii="Arial" w:hAnsi="Arial" w:cs="Arial"/>
          <w:sz w:val="20"/>
          <w:szCs w:val="20"/>
        </w:rPr>
        <w:t xml:space="preserve">t </w:t>
      </w:r>
      <w:r w:rsidR="0017666A" w:rsidRPr="00921120">
        <w:rPr>
          <w:rFonts w:ascii="Arial" w:hAnsi="Arial" w:cs="Arial"/>
          <w:sz w:val="20"/>
          <w:szCs w:val="20"/>
        </w:rPr>
        <w:t>wa</w:t>
      </w:r>
      <w:r w:rsidRPr="00921120">
        <w:rPr>
          <w:rFonts w:ascii="Arial" w:hAnsi="Arial" w:cs="Arial"/>
          <w:sz w:val="20"/>
          <w:szCs w:val="20"/>
        </w:rPr>
        <w:t xml:space="preserve">s not clear from the NLC’s presentation how </w:t>
      </w:r>
      <w:r w:rsidR="0017666A" w:rsidRPr="00921120">
        <w:rPr>
          <w:rFonts w:ascii="Arial" w:hAnsi="Arial" w:cs="Arial"/>
          <w:sz w:val="20"/>
          <w:szCs w:val="20"/>
        </w:rPr>
        <w:t xml:space="preserve">it would </w:t>
      </w:r>
      <w:r w:rsidRPr="00921120">
        <w:rPr>
          <w:rFonts w:ascii="Arial" w:hAnsi="Arial" w:cs="Arial"/>
          <w:sz w:val="20"/>
          <w:szCs w:val="20"/>
        </w:rPr>
        <w:t xml:space="preserve">recover the funds that </w:t>
      </w:r>
      <w:r w:rsidR="0017666A" w:rsidRPr="00921120">
        <w:rPr>
          <w:rFonts w:ascii="Arial" w:hAnsi="Arial" w:cs="Arial"/>
          <w:sz w:val="20"/>
          <w:szCs w:val="20"/>
        </w:rPr>
        <w:t xml:space="preserve">had been </w:t>
      </w:r>
      <w:r w:rsidRPr="00921120">
        <w:rPr>
          <w:rFonts w:ascii="Arial" w:hAnsi="Arial" w:cs="Arial"/>
          <w:sz w:val="20"/>
          <w:szCs w:val="20"/>
        </w:rPr>
        <w:t xml:space="preserve">fraudulently acquired and whether the outstanding funds would be allocated to complete </w:t>
      </w:r>
      <w:r w:rsidR="0017666A" w:rsidRPr="00921120">
        <w:rPr>
          <w:rFonts w:ascii="Arial" w:hAnsi="Arial" w:cs="Arial"/>
          <w:sz w:val="20"/>
          <w:szCs w:val="20"/>
        </w:rPr>
        <w:t xml:space="preserve">legitimate </w:t>
      </w:r>
      <w:r w:rsidRPr="00921120">
        <w:rPr>
          <w:rFonts w:ascii="Arial" w:hAnsi="Arial" w:cs="Arial"/>
          <w:sz w:val="20"/>
          <w:szCs w:val="20"/>
        </w:rPr>
        <w:t>projects, in futu</w:t>
      </w:r>
      <w:r w:rsidR="0017666A" w:rsidRPr="00921120">
        <w:rPr>
          <w:rFonts w:ascii="Arial" w:hAnsi="Arial" w:cs="Arial"/>
          <w:sz w:val="20"/>
          <w:szCs w:val="20"/>
        </w:rPr>
        <w:t>re, once all investigations had</w:t>
      </w:r>
      <w:r w:rsidRPr="00921120">
        <w:rPr>
          <w:rFonts w:ascii="Arial" w:hAnsi="Arial" w:cs="Arial"/>
          <w:sz w:val="20"/>
          <w:szCs w:val="20"/>
        </w:rPr>
        <w:t xml:space="preserve"> been concluded.</w:t>
      </w:r>
    </w:p>
    <w:p w:rsidR="00EF19FA" w:rsidRPr="00921120" w:rsidRDefault="00EF19FA" w:rsidP="00921120">
      <w:pPr>
        <w:spacing w:line="240" w:lineRule="auto"/>
        <w:jc w:val="left"/>
        <w:rPr>
          <w:rFonts w:ascii="Arial" w:hAnsi="Arial" w:cs="Arial"/>
          <w:sz w:val="20"/>
          <w:szCs w:val="20"/>
        </w:rPr>
      </w:pPr>
    </w:p>
    <w:p w:rsidR="00BB3759" w:rsidRPr="00921120" w:rsidRDefault="00BB3759" w:rsidP="00921120">
      <w:pPr>
        <w:spacing w:line="240" w:lineRule="auto"/>
        <w:jc w:val="left"/>
        <w:rPr>
          <w:rFonts w:ascii="Arial" w:hAnsi="Arial" w:cs="Arial"/>
          <w:sz w:val="20"/>
          <w:szCs w:val="20"/>
        </w:rPr>
      </w:pPr>
      <w:r w:rsidRPr="00921120">
        <w:rPr>
          <w:rFonts w:ascii="Arial" w:hAnsi="Arial" w:cs="Arial"/>
          <w:sz w:val="20"/>
          <w:szCs w:val="20"/>
        </w:rPr>
        <w:t>The NLC also noted the slow pace of the SIU investigations, which impact</w:t>
      </w:r>
      <w:r w:rsidR="00CA4159" w:rsidRPr="00921120">
        <w:rPr>
          <w:rFonts w:ascii="Arial" w:hAnsi="Arial" w:cs="Arial"/>
          <w:sz w:val="20"/>
          <w:szCs w:val="20"/>
        </w:rPr>
        <w:t>ed</w:t>
      </w:r>
      <w:r w:rsidRPr="00921120">
        <w:rPr>
          <w:rFonts w:ascii="Arial" w:hAnsi="Arial" w:cs="Arial"/>
          <w:sz w:val="20"/>
          <w:szCs w:val="20"/>
        </w:rPr>
        <w:t xml:space="preserve"> on </w:t>
      </w:r>
      <w:r w:rsidR="00CA4159" w:rsidRPr="00921120">
        <w:rPr>
          <w:rFonts w:ascii="Arial" w:hAnsi="Arial" w:cs="Arial"/>
          <w:sz w:val="20"/>
          <w:szCs w:val="20"/>
        </w:rPr>
        <w:t xml:space="preserve">suspended </w:t>
      </w:r>
      <w:r w:rsidRPr="00921120">
        <w:rPr>
          <w:rFonts w:ascii="Arial" w:hAnsi="Arial" w:cs="Arial"/>
          <w:sz w:val="20"/>
          <w:szCs w:val="20"/>
        </w:rPr>
        <w:t>employees. The matter had been raised by the NLC and it need</w:t>
      </w:r>
      <w:r w:rsidR="00CA4159" w:rsidRPr="00921120">
        <w:rPr>
          <w:rFonts w:ascii="Arial" w:hAnsi="Arial" w:cs="Arial"/>
          <w:sz w:val="20"/>
          <w:szCs w:val="20"/>
        </w:rPr>
        <w:t>ed</w:t>
      </w:r>
      <w:r w:rsidRPr="00921120">
        <w:rPr>
          <w:rFonts w:ascii="Arial" w:hAnsi="Arial" w:cs="Arial"/>
          <w:sz w:val="20"/>
          <w:szCs w:val="20"/>
        </w:rPr>
        <w:t xml:space="preserve"> to </w:t>
      </w:r>
      <w:r w:rsidR="0017666A" w:rsidRPr="00921120">
        <w:rPr>
          <w:rFonts w:ascii="Arial" w:hAnsi="Arial" w:cs="Arial"/>
          <w:sz w:val="20"/>
          <w:szCs w:val="20"/>
        </w:rPr>
        <w:t xml:space="preserve">further </w:t>
      </w:r>
      <w:r w:rsidRPr="00921120">
        <w:rPr>
          <w:rFonts w:ascii="Arial" w:hAnsi="Arial" w:cs="Arial"/>
          <w:sz w:val="20"/>
          <w:szCs w:val="20"/>
        </w:rPr>
        <w:t xml:space="preserve">engage </w:t>
      </w:r>
      <w:r w:rsidR="0017666A" w:rsidRPr="00921120">
        <w:rPr>
          <w:rFonts w:ascii="Arial" w:hAnsi="Arial" w:cs="Arial"/>
          <w:sz w:val="20"/>
          <w:szCs w:val="20"/>
        </w:rPr>
        <w:t xml:space="preserve">the SIU </w:t>
      </w:r>
      <w:r w:rsidRPr="00921120">
        <w:rPr>
          <w:rFonts w:ascii="Arial" w:hAnsi="Arial" w:cs="Arial"/>
          <w:sz w:val="20"/>
          <w:szCs w:val="20"/>
        </w:rPr>
        <w:t xml:space="preserve">so </w:t>
      </w:r>
      <w:r w:rsidR="00CA4159" w:rsidRPr="00921120">
        <w:rPr>
          <w:rFonts w:ascii="Arial" w:hAnsi="Arial" w:cs="Arial"/>
          <w:sz w:val="20"/>
          <w:szCs w:val="20"/>
        </w:rPr>
        <w:t xml:space="preserve">as </w:t>
      </w:r>
      <w:r w:rsidRPr="00921120">
        <w:rPr>
          <w:rFonts w:ascii="Arial" w:hAnsi="Arial" w:cs="Arial"/>
          <w:sz w:val="20"/>
          <w:szCs w:val="20"/>
        </w:rPr>
        <w:t>to ensure faster progress with regard to the turnaround time with respect to those investigations.</w:t>
      </w:r>
    </w:p>
    <w:p w:rsidR="00BB3759" w:rsidRPr="00921120" w:rsidRDefault="00BB3759" w:rsidP="00921120">
      <w:pPr>
        <w:spacing w:line="240" w:lineRule="auto"/>
        <w:jc w:val="left"/>
        <w:rPr>
          <w:rFonts w:ascii="Arial" w:hAnsi="Arial" w:cs="Arial"/>
          <w:color w:val="FF0000"/>
          <w:sz w:val="20"/>
          <w:szCs w:val="20"/>
        </w:rPr>
      </w:pPr>
    </w:p>
    <w:p w:rsidR="00975C8D" w:rsidRPr="00921120" w:rsidRDefault="00975C8D" w:rsidP="00921120">
      <w:pPr>
        <w:pStyle w:val="Heading3"/>
        <w:spacing w:line="240" w:lineRule="auto"/>
        <w:jc w:val="left"/>
        <w:rPr>
          <w:rFonts w:ascii="Arial" w:hAnsi="Arial" w:cs="Arial"/>
          <w:sz w:val="20"/>
          <w:szCs w:val="20"/>
        </w:rPr>
      </w:pPr>
      <w:r w:rsidRPr="00921120">
        <w:rPr>
          <w:rFonts w:ascii="Arial" w:hAnsi="Arial" w:cs="Arial"/>
          <w:sz w:val="20"/>
          <w:szCs w:val="20"/>
        </w:rPr>
        <w:t>Status of the Fourth National Lottery Request for Proposal</w:t>
      </w:r>
    </w:p>
    <w:p w:rsidR="00975C8D" w:rsidRPr="00921120" w:rsidRDefault="00975C8D" w:rsidP="00921120">
      <w:pPr>
        <w:spacing w:line="240" w:lineRule="auto"/>
        <w:jc w:val="left"/>
        <w:rPr>
          <w:rFonts w:ascii="Arial" w:hAnsi="Arial" w:cs="Arial"/>
          <w:color w:val="000000" w:themeColor="text1"/>
          <w:sz w:val="20"/>
          <w:szCs w:val="20"/>
        </w:rPr>
      </w:pPr>
      <w:r w:rsidRPr="00921120">
        <w:rPr>
          <w:rFonts w:ascii="Arial" w:hAnsi="Arial" w:cs="Arial"/>
          <w:color w:val="000000" w:themeColor="text1"/>
          <w:sz w:val="20"/>
          <w:szCs w:val="20"/>
        </w:rPr>
        <w:t>Section 13 of the Lotteries Act</w:t>
      </w:r>
      <w:r w:rsidR="00042B6A" w:rsidRPr="00921120">
        <w:rPr>
          <w:rFonts w:ascii="Arial" w:hAnsi="Arial" w:cs="Arial"/>
          <w:color w:val="000000" w:themeColor="text1"/>
          <w:sz w:val="20"/>
          <w:szCs w:val="20"/>
        </w:rPr>
        <w:t xml:space="preserve"> </w:t>
      </w:r>
      <w:r w:rsidR="00AC5F10" w:rsidRPr="00921120">
        <w:rPr>
          <w:rFonts w:ascii="Arial" w:hAnsi="Arial" w:cs="Arial"/>
          <w:color w:val="000000" w:themeColor="text1"/>
          <w:sz w:val="20"/>
          <w:szCs w:val="20"/>
        </w:rPr>
        <w:t xml:space="preserve">(Act No. 57 of 1997) </w:t>
      </w:r>
      <w:r w:rsidRPr="00921120">
        <w:rPr>
          <w:rFonts w:ascii="Arial" w:hAnsi="Arial" w:cs="Arial"/>
          <w:color w:val="000000" w:themeColor="text1"/>
          <w:sz w:val="20"/>
          <w:szCs w:val="20"/>
        </w:rPr>
        <w:t>requires that the Minister issue</w:t>
      </w:r>
      <w:r w:rsidR="00042B6A" w:rsidRPr="00921120">
        <w:rPr>
          <w:rFonts w:ascii="Arial" w:hAnsi="Arial" w:cs="Arial"/>
          <w:color w:val="000000" w:themeColor="text1"/>
          <w:sz w:val="20"/>
          <w:szCs w:val="20"/>
        </w:rPr>
        <w:t>s</w:t>
      </w:r>
      <w:r w:rsidRPr="00921120">
        <w:rPr>
          <w:rFonts w:ascii="Arial" w:hAnsi="Arial" w:cs="Arial"/>
          <w:color w:val="000000" w:themeColor="text1"/>
          <w:sz w:val="20"/>
          <w:szCs w:val="20"/>
        </w:rPr>
        <w:t xml:space="preserve"> </w:t>
      </w:r>
      <w:r w:rsidR="00042B6A" w:rsidRPr="00921120">
        <w:rPr>
          <w:rFonts w:ascii="Arial" w:hAnsi="Arial" w:cs="Arial"/>
          <w:color w:val="000000" w:themeColor="text1"/>
          <w:sz w:val="20"/>
          <w:szCs w:val="20"/>
        </w:rPr>
        <w:t xml:space="preserve">a </w:t>
      </w:r>
      <w:r w:rsidRPr="00921120">
        <w:rPr>
          <w:rFonts w:ascii="Arial" w:hAnsi="Arial" w:cs="Arial"/>
          <w:color w:val="000000" w:themeColor="text1"/>
          <w:sz w:val="20"/>
          <w:szCs w:val="20"/>
        </w:rPr>
        <w:t xml:space="preserve">Request for Proposal (RFP) </w:t>
      </w:r>
      <w:r w:rsidR="00042B6A" w:rsidRPr="00921120">
        <w:rPr>
          <w:rFonts w:ascii="Arial" w:hAnsi="Arial" w:cs="Arial"/>
          <w:color w:val="000000" w:themeColor="text1"/>
          <w:sz w:val="20"/>
          <w:szCs w:val="20"/>
        </w:rPr>
        <w:t>before issuing a licence to conduct</w:t>
      </w:r>
      <w:r w:rsidR="00C059CA" w:rsidRPr="00921120">
        <w:rPr>
          <w:rFonts w:ascii="Arial" w:hAnsi="Arial" w:cs="Arial"/>
          <w:color w:val="000000" w:themeColor="text1"/>
          <w:sz w:val="20"/>
          <w:szCs w:val="20"/>
        </w:rPr>
        <w:t xml:space="preserve"> or operate</w:t>
      </w:r>
      <w:r w:rsidR="00042B6A" w:rsidRPr="00921120">
        <w:rPr>
          <w:rFonts w:ascii="Arial" w:hAnsi="Arial" w:cs="Arial"/>
          <w:color w:val="000000" w:themeColor="text1"/>
          <w:sz w:val="20"/>
          <w:szCs w:val="20"/>
        </w:rPr>
        <w:t xml:space="preserve"> the National Lottery. </w:t>
      </w:r>
      <w:r w:rsidR="00AE70E0" w:rsidRPr="00921120">
        <w:rPr>
          <w:rFonts w:ascii="Arial" w:hAnsi="Arial" w:cs="Arial"/>
          <w:color w:val="000000" w:themeColor="text1"/>
          <w:sz w:val="20"/>
          <w:szCs w:val="20"/>
        </w:rPr>
        <w:t>While t</w:t>
      </w:r>
      <w:r w:rsidR="00C059CA" w:rsidRPr="00921120">
        <w:rPr>
          <w:rFonts w:ascii="Arial" w:hAnsi="Arial" w:cs="Arial"/>
          <w:color w:val="000000" w:themeColor="text1"/>
          <w:sz w:val="20"/>
          <w:szCs w:val="20"/>
        </w:rPr>
        <w:t>he most recent RFP to appoint a new Lottery Operator ha</w:t>
      </w:r>
      <w:r w:rsidR="005A4415" w:rsidRPr="00921120">
        <w:rPr>
          <w:rFonts w:ascii="Arial" w:hAnsi="Arial" w:cs="Arial"/>
          <w:color w:val="000000" w:themeColor="text1"/>
          <w:sz w:val="20"/>
          <w:szCs w:val="20"/>
        </w:rPr>
        <w:t>d</w:t>
      </w:r>
      <w:r w:rsidR="00C059CA" w:rsidRPr="00921120">
        <w:rPr>
          <w:rFonts w:ascii="Arial" w:hAnsi="Arial" w:cs="Arial"/>
          <w:color w:val="000000" w:themeColor="text1"/>
          <w:sz w:val="20"/>
          <w:szCs w:val="20"/>
        </w:rPr>
        <w:t xml:space="preserve"> not yet been concluded, the NLC indicated </w:t>
      </w:r>
      <w:r w:rsidRPr="00921120">
        <w:rPr>
          <w:rFonts w:ascii="Arial" w:hAnsi="Arial" w:cs="Arial"/>
          <w:color w:val="000000" w:themeColor="text1"/>
          <w:sz w:val="20"/>
          <w:szCs w:val="20"/>
        </w:rPr>
        <w:t xml:space="preserve">that </w:t>
      </w:r>
      <w:r w:rsidR="00C059CA" w:rsidRPr="00921120">
        <w:rPr>
          <w:rFonts w:ascii="Arial" w:hAnsi="Arial" w:cs="Arial"/>
          <w:color w:val="000000" w:themeColor="text1"/>
          <w:sz w:val="20"/>
          <w:szCs w:val="20"/>
        </w:rPr>
        <w:t xml:space="preserve">an initial </w:t>
      </w:r>
      <w:r w:rsidRPr="00921120">
        <w:rPr>
          <w:rFonts w:ascii="Arial" w:hAnsi="Arial" w:cs="Arial"/>
          <w:color w:val="000000" w:themeColor="text1"/>
          <w:sz w:val="20"/>
          <w:szCs w:val="20"/>
        </w:rPr>
        <w:t xml:space="preserve">proposal </w:t>
      </w:r>
      <w:r w:rsidR="00042B6A" w:rsidRPr="00921120">
        <w:rPr>
          <w:rFonts w:ascii="Arial" w:hAnsi="Arial" w:cs="Arial"/>
          <w:color w:val="000000" w:themeColor="text1"/>
          <w:sz w:val="20"/>
          <w:szCs w:val="20"/>
        </w:rPr>
        <w:t xml:space="preserve">had been </w:t>
      </w:r>
      <w:r w:rsidRPr="00921120">
        <w:rPr>
          <w:rFonts w:ascii="Arial" w:hAnsi="Arial" w:cs="Arial"/>
          <w:color w:val="000000" w:themeColor="text1"/>
          <w:sz w:val="20"/>
          <w:szCs w:val="20"/>
        </w:rPr>
        <w:t xml:space="preserve">drafted and submitted to the Minister of Trade, Industry and Competition for </w:t>
      </w:r>
      <w:r w:rsidR="00042B6A" w:rsidRPr="00921120">
        <w:rPr>
          <w:rFonts w:ascii="Arial" w:hAnsi="Arial" w:cs="Arial"/>
          <w:color w:val="000000" w:themeColor="text1"/>
          <w:sz w:val="20"/>
          <w:szCs w:val="20"/>
        </w:rPr>
        <w:t xml:space="preserve">his </w:t>
      </w:r>
      <w:r w:rsidRPr="00921120">
        <w:rPr>
          <w:rFonts w:ascii="Arial" w:hAnsi="Arial" w:cs="Arial"/>
          <w:color w:val="000000" w:themeColor="text1"/>
          <w:sz w:val="20"/>
          <w:szCs w:val="20"/>
        </w:rPr>
        <w:t xml:space="preserve">consideration. Following consultation with the Minister, the Board </w:t>
      </w:r>
      <w:r w:rsidR="00042B6A" w:rsidRPr="00921120">
        <w:rPr>
          <w:rFonts w:ascii="Arial" w:hAnsi="Arial" w:cs="Arial"/>
          <w:color w:val="000000" w:themeColor="text1"/>
          <w:sz w:val="20"/>
          <w:szCs w:val="20"/>
        </w:rPr>
        <w:t xml:space="preserve">had </w:t>
      </w:r>
      <w:r w:rsidRPr="00921120">
        <w:rPr>
          <w:rFonts w:ascii="Arial" w:hAnsi="Arial" w:cs="Arial"/>
          <w:color w:val="000000" w:themeColor="text1"/>
          <w:sz w:val="20"/>
          <w:szCs w:val="20"/>
        </w:rPr>
        <w:t>subsequently revised the Fourth National Lottery Strategy.</w:t>
      </w:r>
    </w:p>
    <w:p w:rsidR="00975C8D" w:rsidRPr="00921120" w:rsidRDefault="00975C8D" w:rsidP="00921120">
      <w:pPr>
        <w:spacing w:line="240" w:lineRule="auto"/>
        <w:jc w:val="left"/>
        <w:rPr>
          <w:rFonts w:ascii="Arial" w:hAnsi="Arial" w:cs="Arial"/>
          <w:color w:val="000000" w:themeColor="text1"/>
          <w:sz w:val="20"/>
          <w:szCs w:val="20"/>
        </w:rPr>
      </w:pPr>
    </w:p>
    <w:p w:rsidR="00C059CA" w:rsidRPr="00921120" w:rsidRDefault="00C059CA" w:rsidP="00921120">
      <w:pPr>
        <w:pStyle w:val="PlainText"/>
        <w:rPr>
          <w:rFonts w:ascii="Arial" w:hAnsi="Arial" w:cs="Arial"/>
          <w:color w:val="000000" w:themeColor="text1"/>
          <w:sz w:val="20"/>
          <w:szCs w:val="20"/>
        </w:rPr>
      </w:pPr>
      <w:r w:rsidRPr="00921120">
        <w:rPr>
          <w:rFonts w:ascii="Arial" w:hAnsi="Arial" w:cs="Arial"/>
          <w:color w:val="000000" w:themeColor="text1"/>
          <w:sz w:val="20"/>
          <w:szCs w:val="20"/>
        </w:rPr>
        <w:t xml:space="preserve">It noted that it was important to prevent future litigation post-appointment of the fourth operator, as the RFP was inherently susceptible to the risk of litigation. The documentation of lessons learnt from the previous RFP process, together with the assessment of the subsequent litigation between the National Lottery Licence holder and one of its funding partners, were considered in drafting the current RFP. </w:t>
      </w:r>
    </w:p>
    <w:p w:rsidR="00C059CA" w:rsidRPr="00921120" w:rsidRDefault="00C059CA" w:rsidP="00921120">
      <w:pPr>
        <w:pStyle w:val="PlainText"/>
        <w:rPr>
          <w:rFonts w:ascii="Arial" w:hAnsi="Arial" w:cs="Arial"/>
          <w:color w:val="000000" w:themeColor="text1"/>
          <w:sz w:val="20"/>
          <w:szCs w:val="20"/>
        </w:rPr>
      </w:pPr>
    </w:p>
    <w:p w:rsidR="00C059CA" w:rsidRPr="00921120" w:rsidRDefault="00C059CA" w:rsidP="00921120">
      <w:pPr>
        <w:pStyle w:val="PlainText"/>
        <w:rPr>
          <w:rFonts w:ascii="Arial" w:hAnsi="Arial" w:cs="Arial"/>
          <w:color w:val="000000" w:themeColor="text1"/>
          <w:sz w:val="20"/>
          <w:szCs w:val="20"/>
        </w:rPr>
      </w:pPr>
      <w:r w:rsidRPr="00921120">
        <w:rPr>
          <w:rFonts w:ascii="Arial" w:hAnsi="Arial" w:cs="Arial"/>
          <w:color w:val="000000" w:themeColor="text1"/>
          <w:sz w:val="20"/>
          <w:szCs w:val="20"/>
        </w:rPr>
        <w:t>The following mitigating controls were put in place to address this risk:</w:t>
      </w:r>
    </w:p>
    <w:p w:rsidR="00A55BE2" w:rsidRPr="00921120" w:rsidRDefault="00A55BE2" w:rsidP="00921120">
      <w:pPr>
        <w:pStyle w:val="PlainText"/>
        <w:numPr>
          <w:ilvl w:val="0"/>
          <w:numId w:val="6"/>
        </w:numPr>
        <w:rPr>
          <w:rFonts w:ascii="Arial" w:hAnsi="Arial" w:cs="Arial"/>
          <w:color w:val="000000" w:themeColor="text1"/>
          <w:sz w:val="20"/>
          <w:szCs w:val="20"/>
        </w:rPr>
      </w:pPr>
      <w:r w:rsidRPr="00921120">
        <w:rPr>
          <w:rFonts w:ascii="Arial" w:hAnsi="Arial" w:cs="Arial"/>
          <w:color w:val="000000" w:themeColor="text1"/>
          <w:sz w:val="20"/>
          <w:szCs w:val="20"/>
        </w:rPr>
        <w:t>The NLC to engage with development funding institutions to discuss how access to funding of the preferred and reserved RFP bidders can be managed;</w:t>
      </w:r>
    </w:p>
    <w:p w:rsidR="00A55BE2" w:rsidRPr="00921120" w:rsidRDefault="00A55BE2" w:rsidP="00921120">
      <w:pPr>
        <w:pStyle w:val="PlainText"/>
        <w:numPr>
          <w:ilvl w:val="0"/>
          <w:numId w:val="6"/>
        </w:numPr>
        <w:rPr>
          <w:rFonts w:ascii="Arial" w:hAnsi="Arial" w:cs="Arial"/>
          <w:color w:val="000000" w:themeColor="text1"/>
          <w:sz w:val="20"/>
          <w:szCs w:val="20"/>
        </w:rPr>
      </w:pPr>
      <w:r w:rsidRPr="00921120">
        <w:rPr>
          <w:rFonts w:ascii="Arial" w:hAnsi="Arial" w:cs="Arial"/>
          <w:color w:val="000000" w:themeColor="text1"/>
          <w:sz w:val="20"/>
          <w:szCs w:val="20"/>
        </w:rPr>
        <w:t xml:space="preserve">Bidders shall be restricted from issuing preferential shares as part of the capital structure; </w:t>
      </w:r>
    </w:p>
    <w:p w:rsidR="00A55BE2" w:rsidRPr="00921120" w:rsidRDefault="00A55BE2" w:rsidP="00921120">
      <w:pPr>
        <w:pStyle w:val="PlainText"/>
        <w:numPr>
          <w:ilvl w:val="0"/>
          <w:numId w:val="6"/>
        </w:numPr>
        <w:rPr>
          <w:rFonts w:ascii="Arial" w:hAnsi="Arial" w:cs="Arial"/>
          <w:color w:val="000000" w:themeColor="text1"/>
          <w:sz w:val="20"/>
          <w:szCs w:val="20"/>
        </w:rPr>
      </w:pPr>
      <w:r w:rsidRPr="00921120">
        <w:rPr>
          <w:rFonts w:ascii="Arial" w:hAnsi="Arial" w:cs="Arial"/>
          <w:color w:val="000000" w:themeColor="text1"/>
          <w:sz w:val="20"/>
          <w:szCs w:val="20"/>
        </w:rPr>
        <w:t xml:space="preserve">Bidders shall be restricted from having a clause in their agreement that allows for a take-over or the management of the National Lottery Licence and its operations; </w:t>
      </w:r>
    </w:p>
    <w:p w:rsidR="00C059CA" w:rsidRPr="00921120" w:rsidRDefault="00C059CA" w:rsidP="00921120">
      <w:pPr>
        <w:pStyle w:val="PlainText"/>
        <w:numPr>
          <w:ilvl w:val="0"/>
          <w:numId w:val="6"/>
        </w:numPr>
        <w:rPr>
          <w:rFonts w:ascii="Arial" w:hAnsi="Arial" w:cs="Arial"/>
          <w:color w:val="000000" w:themeColor="text1"/>
          <w:sz w:val="20"/>
          <w:szCs w:val="20"/>
        </w:rPr>
      </w:pPr>
      <w:r w:rsidRPr="00921120">
        <w:rPr>
          <w:rFonts w:ascii="Arial" w:hAnsi="Arial" w:cs="Arial"/>
          <w:color w:val="000000" w:themeColor="text1"/>
          <w:sz w:val="20"/>
          <w:szCs w:val="20"/>
        </w:rPr>
        <w:t>Bidders shall be required to disclose all agreements in existence with other parties at the time of submission of the RFP, who shall disclose financial interest to be derived from the awarding of the National Lottery Licence; and</w:t>
      </w:r>
    </w:p>
    <w:p w:rsidR="00C059CA" w:rsidRPr="00921120" w:rsidRDefault="00C059CA" w:rsidP="00921120">
      <w:pPr>
        <w:pStyle w:val="PlainText"/>
        <w:numPr>
          <w:ilvl w:val="0"/>
          <w:numId w:val="6"/>
        </w:numPr>
        <w:rPr>
          <w:rFonts w:ascii="Arial" w:hAnsi="Arial" w:cs="Arial"/>
          <w:color w:val="000000" w:themeColor="text1"/>
          <w:sz w:val="20"/>
          <w:szCs w:val="20"/>
        </w:rPr>
      </w:pPr>
      <w:r w:rsidRPr="00921120">
        <w:rPr>
          <w:rFonts w:ascii="Arial" w:hAnsi="Arial" w:cs="Arial"/>
          <w:color w:val="000000" w:themeColor="text1"/>
          <w:sz w:val="20"/>
          <w:szCs w:val="20"/>
        </w:rPr>
        <w:t>A panel of legal advisors shall be appointed to advice the NLC Board on potential litigation risk</w:t>
      </w:r>
      <w:r w:rsidR="00092323" w:rsidRPr="00921120">
        <w:rPr>
          <w:rFonts w:ascii="Arial" w:hAnsi="Arial" w:cs="Arial"/>
          <w:color w:val="000000" w:themeColor="text1"/>
          <w:sz w:val="20"/>
          <w:szCs w:val="20"/>
        </w:rPr>
        <w:t>s</w:t>
      </w:r>
      <w:r w:rsidRPr="00921120">
        <w:rPr>
          <w:rFonts w:ascii="Arial" w:hAnsi="Arial" w:cs="Arial"/>
          <w:color w:val="000000" w:themeColor="text1"/>
          <w:sz w:val="20"/>
          <w:szCs w:val="20"/>
        </w:rPr>
        <w:t>.</w:t>
      </w:r>
    </w:p>
    <w:p w:rsidR="00C059CA" w:rsidRPr="00921120" w:rsidRDefault="00C059CA" w:rsidP="00921120">
      <w:pPr>
        <w:spacing w:line="240" w:lineRule="auto"/>
        <w:jc w:val="left"/>
        <w:rPr>
          <w:rFonts w:ascii="Arial" w:hAnsi="Arial" w:cs="Arial"/>
          <w:sz w:val="20"/>
          <w:szCs w:val="20"/>
        </w:rPr>
      </w:pPr>
    </w:p>
    <w:p w:rsidR="00975C8D" w:rsidRPr="00921120" w:rsidRDefault="00975C8D" w:rsidP="00921120">
      <w:pPr>
        <w:pStyle w:val="Heading3"/>
        <w:spacing w:line="240" w:lineRule="auto"/>
        <w:jc w:val="left"/>
        <w:rPr>
          <w:rFonts w:ascii="Arial" w:hAnsi="Arial" w:cs="Arial"/>
          <w:sz w:val="20"/>
          <w:szCs w:val="20"/>
        </w:rPr>
      </w:pPr>
      <w:r w:rsidRPr="00921120">
        <w:rPr>
          <w:rFonts w:ascii="Arial" w:hAnsi="Arial" w:cs="Arial"/>
          <w:sz w:val="20"/>
          <w:szCs w:val="20"/>
        </w:rPr>
        <w:t>Update on operations</w:t>
      </w:r>
    </w:p>
    <w:p w:rsidR="00975C8D" w:rsidRPr="00921120" w:rsidRDefault="00C568D9" w:rsidP="00921120">
      <w:pPr>
        <w:spacing w:line="240" w:lineRule="auto"/>
        <w:jc w:val="left"/>
        <w:rPr>
          <w:rFonts w:ascii="Arial" w:hAnsi="Arial" w:cs="Arial"/>
          <w:sz w:val="20"/>
          <w:szCs w:val="20"/>
        </w:rPr>
      </w:pPr>
      <w:r w:rsidRPr="00921120">
        <w:rPr>
          <w:rFonts w:ascii="Arial" w:hAnsi="Arial" w:cs="Arial"/>
          <w:sz w:val="20"/>
          <w:szCs w:val="20"/>
        </w:rPr>
        <w:t>As at 31</w:t>
      </w:r>
      <w:r w:rsidR="00975C8D" w:rsidRPr="00921120">
        <w:rPr>
          <w:rFonts w:ascii="Arial" w:hAnsi="Arial" w:cs="Arial"/>
          <w:sz w:val="20"/>
          <w:szCs w:val="20"/>
        </w:rPr>
        <w:t xml:space="preserve"> December 2022, </w:t>
      </w:r>
      <w:r w:rsidR="00A55BE2" w:rsidRPr="00921120">
        <w:rPr>
          <w:rFonts w:ascii="Arial" w:hAnsi="Arial" w:cs="Arial"/>
          <w:sz w:val="20"/>
          <w:szCs w:val="20"/>
        </w:rPr>
        <w:t xml:space="preserve">sales of lottery and sport pools tickets </w:t>
      </w:r>
      <w:r w:rsidRPr="00921120">
        <w:rPr>
          <w:rFonts w:ascii="Arial" w:hAnsi="Arial" w:cs="Arial"/>
          <w:sz w:val="20"/>
          <w:szCs w:val="20"/>
        </w:rPr>
        <w:t>amount</w:t>
      </w:r>
      <w:r w:rsidR="00A55BE2" w:rsidRPr="00921120">
        <w:rPr>
          <w:rFonts w:ascii="Arial" w:hAnsi="Arial" w:cs="Arial"/>
          <w:sz w:val="20"/>
          <w:szCs w:val="20"/>
        </w:rPr>
        <w:t>ed</w:t>
      </w:r>
      <w:r w:rsidRPr="00921120">
        <w:rPr>
          <w:rFonts w:ascii="Arial" w:hAnsi="Arial" w:cs="Arial"/>
          <w:sz w:val="20"/>
          <w:szCs w:val="20"/>
        </w:rPr>
        <w:t xml:space="preserve"> </w:t>
      </w:r>
      <w:r w:rsidR="00A55BE2" w:rsidRPr="00921120">
        <w:rPr>
          <w:rFonts w:ascii="Arial" w:hAnsi="Arial" w:cs="Arial"/>
          <w:sz w:val="20"/>
          <w:szCs w:val="20"/>
        </w:rPr>
        <w:t xml:space="preserve">to </w:t>
      </w:r>
      <w:r w:rsidRPr="00921120">
        <w:rPr>
          <w:rFonts w:ascii="Arial" w:hAnsi="Arial" w:cs="Arial"/>
          <w:sz w:val="20"/>
          <w:szCs w:val="20"/>
        </w:rPr>
        <w:t>R4,72 billion</w:t>
      </w:r>
      <w:r w:rsidR="00975C8D" w:rsidRPr="00921120">
        <w:rPr>
          <w:rFonts w:ascii="Arial" w:hAnsi="Arial" w:cs="Arial"/>
          <w:sz w:val="20"/>
          <w:szCs w:val="20"/>
        </w:rPr>
        <w:t>, coupled with the contribution to the National Lotteries Distribution Trust Fund of R1</w:t>
      </w:r>
      <w:r w:rsidRPr="00921120">
        <w:rPr>
          <w:rFonts w:ascii="Arial" w:hAnsi="Arial" w:cs="Arial"/>
          <w:sz w:val="20"/>
          <w:szCs w:val="20"/>
        </w:rPr>
        <w:t>,</w:t>
      </w:r>
      <w:r w:rsidR="00975C8D" w:rsidRPr="00921120">
        <w:rPr>
          <w:rFonts w:ascii="Arial" w:hAnsi="Arial" w:cs="Arial"/>
          <w:sz w:val="20"/>
          <w:szCs w:val="20"/>
        </w:rPr>
        <w:t xml:space="preserve">3 </w:t>
      </w:r>
      <w:r w:rsidR="00584459" w:rsidRPr="00921120">
        <w:rPr>
          <w:rFonts w:ascii="Arial" w:hAnsi="Arial" w:cs="Arial"/>
          <w:sz w:val="20"/>
          <w:szCs w:val="20"/>
        </w:rPr>
        <w:t>b</w:t>
      </w:r>
      <w:r w:rsidR="00975C8D" w:rsidRPr="00921120">
        <w:rPr>
          <w:rFonts w:ascii="Arial" w:hAnsi="Arial" w:cs="Arial"/>
          <w:sz w:val="20"/>
          <w:szCs w:val="20"/>
        </w:rPr>
        <w:t>illion that indicates an increase of 6</w:t>
      </w:r>
      <w:r w:rsidRPr="00921120">
        <w:rPr>
          <w:rFonts w:ascii="Arial" w:hAnsi="Arial" w:cs="Arial"/>
          <w:sz w:val="20"/>
          <w:szCs w:val="20"/>
        </w:rPr>
        <w:t>,</w:t>
      </w:r>
      <w:r w:rsidR="00975C8D" w:rsidRPr="00921120">
        <w:rPr>
          <w:rFonts w:ascii="Arial" w:hAnsi="Arial" w:cs="Arial"/>
          <w:sz w:val="20"/>
          <w:szCs w:val="20"/>
        </w:rPr>
        <w:t>2</w:t>
      </w:r>
      <w:r w:rsidR="00230166" w:rsidRPr="00921120">
        <w:rPr>
          <w:rFonts w:ascii="Arial" w:hAnsi="Arial" w:cs="Arial"/>
          <w:sz w:val="20"/>
          <w:szCs w:val="20"/>
        </w:rPr>
        <w:t>%</w:t>
      </w:r>
      <w:r w:rsidR="00975C8D" w:rsidRPr="00921120">
        <w:rPr>
          <w:rFonts w:ascii="Arial" w:hAnsi="Arial" w:cs="Arial"/>
          <w:sz w:val="20"/>
          <w:szCs w:val="20"/>
        </w:rPr>
        <w:t>. This increase reflect</w:t>
      </w:r>
      <w:r w:rsidR="0059662B" w:rsidRPr="00921120">
        <w:rPr>
          <w:rFonts w:ascii="Arial" w:hAnsi="Arial" w:cs="Arial"/>
          <w:sz w:val="20"/>
          <w:szCs w:val="20"/>
        </w:rPr>
        <w:t>ed</w:t>
      </w:r>
      <w:r w:rsidR="00975C8D" w:rsidRPr="00921120">
        <w:rPr>
          <w:rFonts w:ascii="Arial" w:hAnsi="Arial" w:cs="Arial"/>
          <w:sz w:val="20"/>
          <w:szCs w:val="20"/>
        </w:rPr>
        <w:t xml:space="preserve"> a return to pre-Covid levels </w:t>
      </w:r>
      <w:r w:rsidR="0059662B" w:rsidRPr="00921120">
        <w:rPr>
          <w:rFonts w:ascii="Arial" w:hAnsi="Arial" w:cs="Arial"/>
          <w:sz w:val="20"/>
          <w:szCs w:val="20"/>
        </w:rPr>
        <w:t xml:space="preserve">in terms of </w:t>
      </w:r>
      <w:r w:rsidR="00975C8D" w:rsidRPr="00921120">
        <w:rPr>
          <w:rFonts w:ascii="Arial" w:hAnsi="Arial" w:cs="Arial"/>
          <w:sz w:val="20"/>
          <w:szCs w:val="20"/>
        </w:rPr>
        <w:t>the ability of the NLC to generate revenue from lottery sales.</w:t>
      </w:r>
    </w:p>
    <w:p w:rsidR="003E04BE" w:rsidRPr="00921120" w:rsidRDefault="003E04BE" w:rsidP="00921120">
      <w:pPr>
        <w:spacing w:line="240" w:lineRule="auto"/>
        <w:jc w:val="left"/>
        <w:rPr>
          <w:rFonts w:ascii="Arial" w:hAnsi="Arial" w:cs="Arial"/>
          <w:sz w:val="20"/>
          <w:szCs w:val="20"/>
        </w:rPr>
      </w:pPr>
    </w:p>
    <w:p w:rsidR="00975C8D" w:rsidRPr="00921120" w:rsidRDefault="00975C8D" w:rsidP="00921120">
      <w:pPr>
        <w:spacing w:line="240" w:lineRule="auto"/>
        <w:jc w:val="left"/>
        <w:rPr>
          <w:rFonts w:ascii="Arial" w:hAnsi="Arial" w:cs="Arial"/>
          <w:sz w:val="20"/>
          <w:szCs w:val="20"/>
        </w:rPr>
      </w:pPr>
      <w:r w:rsidRPr="00921120">
        <w:rPr>
          <w:rFonts w:ascii="Arial" w:hAnsi="Arial" w:cs="Arial"/>
          <w:sz w:val="20"/>
          <w:szCs w:val="20"/>
        </w:rPr>
        <w:t xml:space="preserve">The NLC informed the </w:t>
      </w:r>
      <w:r w:rsidR="006D1C0D" w:rsidRPr="00921120">
        <w:rPr>
          <w:rFonts w:ascii="Arial" w:hAnsi="Arial" w:cs="Arial"/>
          <w:sz w:val="20"/>
          <w:szCs w:val="20"/>
        </w:rPr>
        <w:t>Committee that it</w:t>
      </w:r>
      <w:r w:rsidR="00C568D9" w:rsidRPr="00921120">
        <w:rPr>
          <w:rFonts w:ascii="Arial" w:hAnsi="Arial" w:cs="Arial"/>
          <w:sz w:val="20"/>
          <w:szCs w:val="20"/>
        </w:rPr>
        <w:t xml:space="preserve"> had</w:t>
      </w:r>
      <w:r w:rsidR="006D1C0D" w:rsidRPr="00921120">
        <w:rPr>
          <w:rFonts w:ascii="Arial" w:hAnsi="Arial" w:cs="Arial"/>
          <w:sz w:val="20"/>
          <w:szCs w:val="20"/>
        </w:rPr>
        <w:t xml:space="preserve"> received 9</w:t>
      </w:r>
      <w:r w:rsidR="00C568D9" w:rsidRPr="00921120">
        <w:rPr>
          <w:rFonts w:ascii="Arial" w:hAnsi="Arial" w:cs="Arial"/>
          <w:sz w:val="20"/>
          <w:szCs w:val="20"/>
        </w:rPr>
        <w:t> </w:t>
      </w:r>
      <w:r w:rsidR="006D1C0D" w:rsidRPr="00921120">
        <w:rPr>
          <w:rFonts w:ascii="Arial" w:hAnsi="Arial" w:cs="Arial"/>
          <w:sz w:val="20"/>
          <w:szCs w:val="20"/>
        </w:rPr>
        <w:t>419</w:t>
      </w:r>
      <w:r w:rsidRPr="00921120">
        <w:rPr>
          <w:rFonts w:ascii="Arial" w:hAnsi="Arial" w:cs="Arial"/>
          <w:sz w:val="20"/>
          <w:szCs w:val="20"/>
        </w:rPr>
        <w:t xml:space="preserve"> application</w:t>
      </w:r>
      <w:r w:rsidR="006D1C0D" w:rsidRPr="00921120">
        <w:rPr>
          <w:rFonts w:ascii="Arial" w:hAnsi="Arial" w:cs="Arial"/>
          <w:sz w:val="20"/>
          <w:szCs w:val="20"/>
        </w:rPr>
        <w:t>s</w:t>
      </w:r>
      <w:r w:rsidRPr="00921120">
        <w:rPr>
          <w:rFonts w:ascii="Arial" w:hAnsi="Arial" w:cs="Arial"/>
          <w:sz w:val="20"/>
          <w:szCs w:val="20"/>
        </w:rPr>
        <w:t xml:space="preserve"> as a result of the initial call for applications, which </w:t>
      </w:r>
      <w:r w:rsidR="00C568D9" w:rsidRPr="00921120">
        <w:rPr>
          <w:rFonts w:ascii="Arial" w:hAnsi="Arial" w:cs="Arial"/>
          <w:sz w:val="20"/>
          <w:szCs w:val="20"/>
        </w:rPr>
        <w:t xml:space="preserve">had been </w:t>
      </w:r>
      <w:r w:rsidRPr="00921120">
        <w:rPr>
          <w:rFonts w:ascii="Arial" w:hAnsi="Arial" w:cs="Arial"/>
          <w:sz w:val="20"/>
          <w:szCs w:val="20"/>
        </w:rPr>
        <w:t xml:space="preserve">suspended in August 2022. This was to allow for processing of the applications that </w:t>
      </w:r>
      <w:r w:rsidR="00C568D9" w:rsidRPr="00921120">
        <w:rPr>
          <w:rFonts w:ascii="Arial" w:hAnsi="Arial" w:cs="Arial"/>
          <w:sz w:val="20"/>
          <w:szCs w:val="20"/>
        </w:rPr>
        <w:t xml:space="preserve">had been </w:t>
      </w:r>
      <w:r w:rsidRPr="00921120">
        <w:rPr>
          <w:rFonts w:ascii="Arial" w:hAnsi="Arial" w:cs="Arial"/>
          <w:sz w:val="20"/>
          <w:szCs w:val="20"/>
        </w:rPr>
        <w:t xml:space="preserve">received. According to the NLC, the intention </w:t>
      </w:r>
      <w:r w:rsidR="00C568D9" w:rsidRPr="00921120">
        <w:rPr>
          <w:rFonts w:ascii="Arial" w:hAnsi="Arial" w:cs="Arial"/>
          <w:sz w:val="20"/>
          <w:szCs w:val="20"/>
        </w:rPr>
        <w:t xml:space="preserve">had been </w:t>
      </w:r>
      <w:r w:rsidRPr="00921120">
        <w:rPr>
          <w:rFonts w:ascii="Arial" w:hAnsi="Arial" w:cs="Arial"/>
          <w:sz w:val="20"/>
          <w:szCs w:val="20"/>
        </w:rPr>
        <w:t>to reopen the call for applications in November 2022</w:t>
      </w:r>
      <w:r w:rsidR="00C568D9" w:rsidRPr="00921120">
        <w:rPr>
          <w:rFonts w:ascii="Arial" w:hAnsi="Arial" w:cs="Arial"/>
          <w:sz w:val="20"/>
          <w:szCs w:val="20"/>
        </w:rPr>
        <w:t>.</w:t>
      </w:r>
      <w:r w:rsidRPr="00921120">
        <w:rPr>
          <w:rFonts w:ascii="Arial" w:hAnsi="Arial" w:cs="Arial"/>
          <w:sz w:val="20"/>
          <w:szCs w:val="20"/>
        </w:rPr>
        <w:t xml:space="preserve"> </w:t>
      </w:r>
      <w:r w:rsidR="00C568D9" w:rsidRPr="00921120">
        <w:rPr>
          <w:rFonts w:ascii="Arial" w:hAnsi="Arial" w:cs="Arial"/>
          <w:sz w:val="20"/>
          <w:szCs w:val="20"/>
        </w:rPr>
        <w:t>H</w:t>
      </w:r>
      <w:r w:rsidRPr="00921120">
        <w:rPr>
          <w:rFonts w:ascii="Arial" w:hAnsi="Arial" w:cs="Arial"/>
          <w:sz w:val="20"/>
          <w:szCs w:val="20"/>
        </w:rPr>
        <w:t xml:space="preserve">owever, due to </w:t>
      </w:r>
      <w:r w:rsidR="00C568D9" w:rsidRPr="00921120">
        <w:rPr>
          <w:rFonts w:ascii="Arial" w:hAnsi="Arial" w:cs="Arial"/>
          <w:sz w:val="20"/>
          <w:szCs w:val="20"/>
        </w:rPr>
        <w:t xml:space="preserve">the </w:t>
      </w:r>
      <w:r w:rsidRPr="00921120">
        <w:rPr>
          <w:rFonts w:ascii="Arial" w:hAnsi="Arial" w:cs="Arial"/>
          <w:sz w:val="20"/>
          <w:szCs w:val="20"/>
        </w:rPr>
        <w:t>high volume of applications received, which was in excess of R1</w:t>
      </w:r>
      <w:r w:rsidR="00C568D9" w:rsidRPr="00921120">
        <w:rPr>
          <w:rFonts w:ascii="Arial" w:hAnsi="Arial" w:cs="Arial"/>
          <w:sz w:val="20"/>
          <w:szCs w:val="20"/>
        </w:rPr>
        <w:t>,</w:t>
      </w:r>
      <w:r w:rsidRPr="00921120">
        <w:rPr>
          <w:rFonts w:ascii="Arial" w:hAnsi="Arial" w:cs="Arial"/>
          <w:sz w:val="20"/>
          <w:szCs w:val="20"/>
        </w:rPr>
        <w:t xml:space="preserve">4 billion, it </w:t>
      </w:r>
      <w:r w:rsidR="00C568D9" w:rsidRPr="00921120">
        <w:rPr>
          <w:rFonts w:ascii="Arial" w:hAnsi="Arial" w:cs="Arial"/>
          <w:sz w:val="20"/>
          <w:szCs w:val="20"/>
        </w:rPr>
        <w:t xml:space="preserve">had </w:t>
      </w:r>
      <w:r w:rsidRPr="00921120">
        <w:rPr>
          <w:rFonts w:ascii="Arial" w:hAnsi="Arial" w:cs="Arial"/>
          <w:sz w:val="20"/>
          <w:szCs w:val="20"/>
        </w:rPr>
        <w:t>resolved to close the call for application</w:t>
      </w:r>
      <w:r w:rsidR="00C568D9" w:rsidRPr="00921120">
        <w:rPr>
          <w:rFonts w:ascii="Arial" w:hAnsi="Arial" w:cs="Arial"/>
          <w:sz w:val="20"/>
          <w:szCs w:val="20"/>
        </w:rPr>
        <w:t>s</w:t>
      </w:r>
      <w:r w:rsidRPr="00921120">
        <w:rPr>
          <w:rFonts w:ascii="Arial" w:hAnsi="Arial" w:cs="Arial"/>
          <w:sz w:val="20"/>
          <w:szCs w:val="20"/>
        </w:rPr>
        <w:t xml:space="preserve"> for the </w:t>
      </w:r>
      <w:r w:rsidR="0059662B" w:rsidRPr="00921120">
        <w:rPr>
          <w:rFonts w:ascii="Arial" w:hAnsi="Arial" w:cs="Arial"/>
          <w:sz w:val="20"/>
          <w:szCs w:val="20"/>
        </w:rPr>
        <w:t xml:space="preserve">2022/23 </w:t>
      </w:r>
      <w:r w:rsidRPr="00921120">
        <w:rPr>
          <w:rFonts w:ascii="Arial" w:hAnsi="Arial" w:cs="Arial"/>
          <w:sz w:val="20"/>
          <w:szCs w:val="20"/>
        </w:rPr>
        <w:t>financial year to process the</w:t>
      </w:r>
      <w:r w:rsidR="00C568D9" w:rsidRPr="00921120">
        <w:rPr>
          <w:rFonts w:ascii="Arial" w:hAnsi="Arial" w:cs="Arial"/>
          <w:sz w:val="20"/>
          <w:szCs w:val="20"/>
        </w:rPr>
        <w:t>se</w:t>
      </w:r>
      <w:r w:rsidRPr="00921120">
        <w:rPr>
          <w:rFonts w:ascii="Arial" w:hAnsi="Arial" w:cs="Arial"/>
          <w:sz w:val="20"/>
          <w:szCs w:val="20"/>
        </w:rPr>
        <w:t xml:space="preserve"> applications. </w:t>
      </w:r>
    </w:p>
    <w:p w:rsidR="003E04BE" w:rsidRPr="00921120" w:rsidRDefault="003E04BE" w:rsidP="00921120">
      <w:pPr>
        <w:spacing w:line="240" w:lineRule="auto"/>
        <w:jc w:val="left"/>
        <w:rPr>
          <w:rFonts w:ascii="Arial" w:hAnsi="Arial" w:cs="Arial"/>
          <w:sz w:val="20"/>
          <w:szCs w:val="20"/>
        </w:rPr>
      </w:pPr>
    </w:p>
    <w:p w:rsidR="00975C8D" w:rsidRPr="00921120" w:rsidRDefault="00975C8D" w:rsidP="00921120">
      <w:pPr>
        <w:spacing w:line="240" w:lineRule="auto"/>
        <w:jc w:val="left"/>
        <w:rPr>
          <w:rFonts w:ascii="Arial" w:hAnsi="Arial" w:cs="Arial"/>
          <w:sz w:val="20"/>
          <w:szCs w:val="20"/>
        </w:rPr>
      </w:pPr>
      <w:r w:rsidRPr="00921120">
        <w:rPr>
          <w:rFonts w:ascii="Arial" w:hAnsi="Arial" w:cs="Arial"/>
          <w:sz w:val="20"/>
          <w:szCs w:val="20"/>
        </w:rPr>
        <w:t>The NLC informed the Committee that of the 9</w:t>
      </w:r>
      <w:r w:rsidR="00C568D9" w:rsidRPr="00921120">
        <w:rPr>
          <w:rFonts w:ascii="Arial" w:hAnsi="Arial" w:cs="Arial"/>
          <w:sz w:val="20"/>
          <w:szCs w:val="20"/>
        </w:rPr>
        <w:t> </w:t>
      </w:r>
      <w:r w:rsidRPr="00921120">
        <w:rPr>
          <w:rFonts w:ascii="Arial" w:hAnsi="Arial" w:cs="Arial"/>
          <w:sz w:val="20"/>
          <w:szCs w:val="20"/>
        </w:rPr>
        <w:t xml:space="preserve">419 applications received, it </w:t>
      </w:r>
      <w:r w:rsidR="00C568D9" w:rsidRPr="00921120">
        <w:rPr>
          <w:rFonts w:ascii="Arial" w:hAnsi="Arial" w:cs="Arial"/>
          <w:sz w:val="20"/>
          <w:szCs w:val="20"/>
        </w:rPr>
        <w:t xml:space="preserve">had </w:t>
      </w:r>
      <w:r w:rsidRPr="00921120">
        <w:rPr>
          <w:rFonts w:ascii="Arial" w:hAnsi="Arial" w:cs="Arial"/>
          <w:sz w:val="20"/>
          <w:szCs w:val="20"/>
        </w:rPr>
        <w:t>adjudicate</w:t>
      </w:r>
      <w:r w:rsidR="00C568D9" w:rsidRPr="00921120">
        <w:rPr>
          <w:rFonts w:ascii="Arial" w:hAnsi="Arial" w:cs="Arial"/>
          <w:sz w:val="20"/>
          <w:szCs w:val="20"/>
        </w:rPr>
        <w:t>d</w:t>
      </w:r>
      <w:r w:rsidRPr="00921120">
        <w:rPr>
          <w:rFonts w:ascii="Arial" w:hAnsi="Arial" w:cs="Arial"/>
          <w:sz w:val="20"/>
          <w:szCs w:val="20"/>
        </w:rPr>
        <w:t xml:space="preserve"> 7</w:t>
      </w:r>
      <w:r w:rsidR="00C568D9" w:rsidRPr="00921120">
        <w:rPr>
          <w:rFonts w:ascii="Arial" w:hAnsi="Arial" w:cs="Arial"/>
          <w:sz w:val="20"/>
          <w:szCs w:val="20"/>
        </w:rPr>
        <w:t> </w:t>
      </w:r>
      <w:r w:rsidRPr="00921120">
        <w:rPr>
          <w:rFonts w:ascii="Arial" w:hAnsi="Arial" w:cs="Arial"/>
          <w:sz w:val="20"/>
          <w:szCs w:val="20"/>
        </w:rPr>
        <w:t>834 applications, with 2</w:t>
      </w:r>
      <w:r w:rsidR="00C568D9" w:rsidRPr="00921120">
        <w:rPr>
          <w:rFonts w:ascii="Arial" w:hAnsi="Arial" w:cs="Arial"/>
          <w:sz w:val="20"/>
          <w:szCs w:val="20"/>
        </w:rPr>
        <w:t> </w:t>
      </w:r>
      <w:r w:rsidRPr="00921120">
        <w:rPr>
          <w:rFonts w:ascii="Arial" w:hAnsi="Arial" w:cs="Arial"/>
          <w:sz w:val="20"/>
          <w:szCs w:val="20"/>
        </w:rPr>
        <w:t xml:space="preserve">584 of these </w:t>
      </w:r>
      <w:r w:rsidR="00C568D9" w:rsidRPr="00921120">
        <w:rPr>
          <w:rFonts w:ascii="Arial" w:hAnsi="Arial" w:cs="Arial"/>
          <w:sz w:val="20"/>
          <w:szCs w:val="20"/>
        </w:rPr>
        <w:t xml:space="preserve">being </w:t>
      </w:r>
      <w:r w:rsidRPr="00921120">
        <w:rPr>
          <w:rFonts w:ascii="Arial" w:hAnsi="Arial" w:cs="Arial"/>
          <w:sz w:val="20"/>
          <w:szCs w:val="20"/>
        </w:rPr>
        <w:t>approved. The remaining 1</w:t>
      </w:r>
      <w:r w:rsidR="00C568D9" w:rsidRPr="00921120">
        <w:rPr>
          <w:rFonts w:ascii="Arial" w:hAnsi="Arial" w:cs="Arial"/>
          <w:sz w:val="20"/>
          <w:szCs w:val="20"/>
        </w:rPr>
        <w:t> </w:t>
      </w:r>
      <w:r w:rsidRPr="00921120">
        <w:rPr>
          <w:rFonts w:ascii="Arial" w:hAnsi="Arial" w:cs="Arial"/>
          <w:sz w:val="20"/>
          <w:szCs w:val="20"/>
        </w:rPr>
        <w:t xml:space="preserve">585 applications would be adjudicated before the end </w:t>
      </w:r>
      <w:r w:rsidR="00C568D9" w:rsidRPr="00921120">
        <w:rPr>
          <w:rFonts w:ascii="Arial" w:hAnsi="Arial" w:cs="Arial"/>
          <w:sz w:val="20"/>
          <w:szCs w:val="20"/>
        </w:rPr>
        <w:t xml:space="preserve">of the </w:t>
      </w:r>
      <w:r w:rsidRPr="00921120">
        <w:rPr>
          <w:rFonts w:ascii="Arial" w:hAnsi="Arial" w:cs="Arial"/>
          <w:sz w:val="20"/>
          <w:szCs w:val="20"/>
        </w:rPr>
        <w:t>202</w:t>
      </w:r>
      <w:r w:rsidR="00C568D9" w:rsidRPr="00921120">
        <w:rPr>
          <w:rFonts w:ascii="Arial" w:hAnsi="Arial" w:cs="Arial"/>
          <w:sz w:val="20"/>
          <w:szCs w:val="20"/>
        </w:rPr>
        <w:t>2</w:t>
      </w:r>
      <w:r w:rsidRPr="00921120">
        <w:rPr>
          <w:rFonts w:ascii="Arial" w:hAnsi="Arial" w:cs="Arial"/>
          <w:sz w:val="20"/>
          <w:szCs w:val="20"/>
        </w:rPr>
        <w:t>/2</w:t>
      </w:r>
      <w:r w:rsidR="00C568D9" w:rsidRPr="00921120">
        <w:rPr>
          <w:rFonts w:ascii="Arial" w:hAnsi="Arial" w:cs="Arial"/>
          <w:sz w:val="20"/>
          <w:szCs w:val="20"/>
        </w:rPr>
        <w:t>3</w:t>
      </w:r>
      <w:r w:rsidRPr="00921120">
        <w:rPr>
          <w:rFonts w:ascii="Arial" w:hAnsi="Arial" w:cs="Arial"/>
          <w:sz w:val="20"/>
          <w:szCs w:val="20"/>
        </w:rPr>
        <w:t xml:space="preserve"> financial year. </w:t>
      </w:r>
    </w:p>
    <w:p w:rsidR="00C835B0" w:rsidRPr="00921120" w:rsidRDefault="00C835B0" w:rsidP="00921120">
      <w:pPr>
        <w:pStyle w:val="PlainText"/>
        <w:rPr>
          <w:rFonts w:ascii="Arial" w:hAnsi="Arial" w:cs="Arial"/>
          <w:color w:val="FF0000"/>
          <w:sz w:val="20"/>
          <w:szCs w:val="20"/>
        </w:rPr>
      </w:pPr>
    </w:p>
    <w:p w:rsidR="00C835B0" w:rsidRPr="00921120" w:rsidRDefault="00C835B0" w:rsidP="00921120">
      <w:pPr>
        <w:pStyle w:val="PlainText"/>
        <w:rPr>
          <w:rFonts w:ascii="Arial" w:hAnsi="Arial" w:cs="Arial"/>
          <w:color w:val="000000" w:themeColor="text1"/>
          <w:sz w:val="20"/>
          <w:szCs w:val="20"/>
        </w:rPr>
      </w:pPr>
      <w:r w:rsidRPr="00921120">
        <w:rPr>
          <w:rFonts w:ascii="Arial" w:hAnsi="Arial" w:cs="Arial"/>
          <w:color w:val="000000" w:themeColor="text1"/>
          <w:sz w:val="20"/>
          <w:szCs w:val="20"/>
        </w:rPr>
        <w:t xml:space="preserve">The Committee raised a concern regarding the composition of the Distributing Agencies and whether these reflected the necessary expertise required to ensure that applications related to Sport, Arts and Culture, or Charities were being adjudicated fairly. The NLC reported that currently only two </w:t>
      </w:r>
      <w:r w:rsidRPr="00921120">
        <w:rPr>
          <w:rFonts w:ascii="Arial" w:hAnsi="Arial" w:cs="Arial"/>
          <w:color w:val="000000" w:themeColor="text1"/>
          <w:sz w:val="20"/>
          <w:szCs w:val="20"/>
        </w:rPr>
        <w:lastRenderedPageBreak/>
        <w:t xml:space="preserve">distributing agencies’ positions </w:t>
      </w:r>
      <w:r w:rsidR="0059662B" w:rsidRPr="00921120">
        <w:rPr>
          <w:rFonts w:ascii="Arial" w:hAnsi="Arial" w:cs="Arial"/>
          <w:color w:val="000000" w:themeColor="text1"/>
          <w:sz w:val="20"/>
          <w:szCs w:val="20"/>
        </w:rPr>
        <w:t xml:space="preserve">had been </w:t>
      </w:r>
      <w:r w:rsidRPr="00921120">
        <w:rPr>
          <w:rFonts w:ascii="Arial" w:hAnsi="Arial" w:cs="Arial"/>
          <w:color w:val="000000" w:themeColor="text1"/>
          <w:sz w:val="20"/>
          <w:szCs w:val="20"/>
        </w:rPr>
        <w:t>filled, with the distributing agency for charity’s positions being vacant. With respect to whether the requisite expertise resided within the Sport and Recreation, and the Arts, Culture and National Heritage agencies, it should be noted that specialists within the specific areas were appointed to adjudicate applications.</w:t>
      </w:r>
    </w:p>
    <w:p w:rsidR="00975C8D" w:rsidRPr="00921120" w:rsidRDefault="00975C8D" w:rsidP="00921120">
      <w:pPr>
        <w:spacing w:line="240" w:lineRule="auto"/>
        <w:jc w:val="left"/>
        <w:rPr>
          <w:rFonts w:ascii="Arial" w:hAnsi="Arial" w:cs="Arial"/>
          <w:sz w:val="20"/>
          <w:szCs w:val="20"/>
        </w:rPr>
      </w:pPr>
    </w:p>
    <w:p w:rsidR="00975C8D" w:rsidRPr="00921120" w:rsidRDefault="00C568D9" w:rsidP="00921120">
      <w:pPr>
        <w:pStyle w:val="Heading3"/>
        <w:spacing w:line="240" w:lineRule="auto"/>
        <w:jc w:val="left"/>
        <w:rPr>
          <w:rFonts w:ascii="Arial" w:hAnsi="Arial" w:cs="Arial"/>
          <w:sz w:val="20"/>
          <w:szCs w:val="20"/>
        </w:rPr>
      </w:pPr>
      <w:r w:rsidRPr="00921120">
        <w:rPr>
          <w:rFonts w:ascii="Arial" w:hAnsi="Arial" w:cs="Arial"/>
          <w:sz w:val="20"/>
          <w:szCs w:val="20"/>
        </w:rPr>
        <w:t>Revised Grant Funding Model</w:t>
      </w:r>
      <w:r w:rsidRPr="00921120" w:rsidDel="00C568D9">
        <w:rPr>
          <w:rFonts w:ascii="Arial" w:hAnsi="Arial" w:cs="Arial"/>
          <w:sz w:val="20"/>
          <w:szCs w:val="20"/>
        </w:rPr>
        <w:t xml:space="preserve"> </w:t>
      </w:r>
    </w:p>
    <w:p w:rsidR="00975C8D" w:rsidRPr="00921120" w:rsidRDefault="00975C8D" w:rsidP="00921120">
      <w:pPr>
        <w:spacing w:line="240" w:lineRule="auto"/>
        <w:jc w:val="left"/>
        <w:rPr>
          <w:rFonts w:ascii="Arial" w:hAnsi="Arial" w:cs="Arial"/>
          <w:sz w:val="20"/>
          <w:szCs w:val="20"/>
        </w:rPr>
      </w:pPr>
      <w:r w:rsidRPr="00921120">
        <w:rPr>
          <w:rFonts w:ascii="Arial" w:hAnsi="Arial" w:cs="Arial"/>
          <w:sz w:val="20"/>
          <w:szCs w:val="20"/>
        </w:rPr>
        <w:t>The NLC, acknowledging the challenges around grant funding, informed the Committee that it had refocus</w:t>
      </w:r>
      <w:r w:rsidR="00C568D9" w:rsidRPr="00921120">
        <w:rPr>
          <w:rFonts w:ascii="Arial" w:hAnsi="Arial" w:cs="Arial"/>
          <w:sz w:val="20"/>
          <w:szCs w:val="20"/>
        </w:rPr>
        <w:t>ed</w:t>
      </w:r>
      <w:r w:rsidRPr="00921120">
        <w:rPr>
          <w:rFonts w:ascii="Arial" w:hAnsi="Arial" w:cs="Arial"/>
          <w:sz w:val="20"/>
          <w:szCs w:val="20"/>
        </w:rPr>
        <w:t xml:space="preserve"> and agreed on impactful and sustainable funding where one could see tangible result</w:t>
      </w:r>
      <w:r w:rsidR="0017666A" w:rsidRPr="00921120">
        <w:rPr>
          <w:rFonts w:ascii="Arial" w:hAnsi="Arial" w:cs="Arial"/>
          <w:sz w:val="20"/>
          <w:szCs w:val="20"/>
        </w:rPr>
        <w:t>s</w:t>
      </w:r>
      <w:r w:rsidRPr="00921120">
        <w:rPr>
          <w:rFonts w:ascii="Arial" w:hAnsi="Arial" w:cs="Arial"/>
          <w:sz w:val="20"/>
          <w:szCs w:val="20"/>
        </w:rPr>
        <w:t xml:space="preserve"> from the funding allocated to applicants. </w:t>
      </w:r>
    </w:p>
    <w:p w:rsidR="003E04BE" w:rsidRPr="00921120" w:rsidRDefault="003E04BE" w:rsidP="00921120">
      <w:pPr>
        <w:spacing w:line="240" w:lineRule="auto"/>
        <w:jc w:val="left"/>
        <w:rPr>
          <w:rFonts w:ascii="Arial" w:hAnsi="Arial" w:cs="Arial"/>
          <w:sz w:val="20"/>
          <w:szCs w:val="20"/>
        </w:rPr>
      </w:pPr>
    </w:p>
    <w:p w:rsidR="00975C8D" w:rsidRPr="00921120" w:rsidRDefault="00975C8D" w:rsidP="00921120">
      <w:pPr>
        <w:spacing w:line="240" w:lineRule="auto"/>
        <w:jc w:val="left"/>
        <w:rPr>
          <w:rFonts w:ascii="Arial" w:hAnsi="Arial" w:cs="Arial"/>
          <w:sz w:val="20"/>
          <w:szCs w:val="20"/>
        </w:rPr>
      </w:pPr>
      <w:r w:rsidRPr="00921120">
        <w:rPr>
          <w:rFonts w:ascii="Arial" w:hAnsi="Arial" w:cs="Arial"/>
          <w:sz w:val="20"/>
          <w:szCs w:val="20"/>
        </w:rPr>
        <w:t xml:space="preserve">As a result of the allegations and challenges associated with proactive funding, over the last </w:t>
      </w:r>
      <w:r w:rsidR="00C568D9" w:rsidRPr="00921120">
        <w:rPr>
          <w:rFonts w:ascii="Arial" w:hAnsi="Arial" w:cs="Arial"/>
          <w:sz w:val="20"/>
          <w:szCs w:val="20"/>
        </w:rPr>
        <w:t>few</w:t>
      </w:r>
      <w:r w:rsidRPr="00921120">
        <w:rPr>
          <w:rFonts w:ascii="Arial" w:hAnsi="Arial" w:cs="Arial"/>
          <w:sz w:val="20"/>
          <w:szCs w:val="20"/>
        </w:rPr>
        <w:t xml:space="preserve"> years, the Board </w:t>
      </w:r>
      <w:r w:rsidR="00C568D9" w:rsidRPr="00921120">
        <w:rPr>
          <w:rFonts w:ascii="Arial" w:hAnsi="Arial" w:cs="Arial"/>
          <w:sz w:val="20"/>
          <w:szCs w:val="20"/>
        </w:rPr>
        <w:t xml:space="preserve">had </w:t>
      </w:r>
      <w:r w:rsidRPr="00921120">
        <w:rPr>
          <w:rFonts w:ascii="Arial" w:hAnsi="Arial" w:cs="Arial"/>
          <w:sz w:val="20"/>
          <w:szCs w:val="20"/>
        </w:rPr>
        <w:t>resolved to place a moratorium on all proactive funding. However, the only proactive funding released in th</w:t>
      </w:r>
      <w:r w:rsidR="004B0498" w:rsidRPr="00921120">
        <w:rPr>
          <w:rFonts w:ascii="Arial" w:hAnsi="Arial" w:cs="Arial"/>
          <w:sz w:val="20"/>
          <w:szCs w:val="20"/>
        </w:rPr>
        <w:t>e 2022/23</w:t>
      </w:r>
      <w:r w:rsidRPr="00921120">
        <w:rPr>
          <w:rFonts w:ascii="Arial" w:hAnsi="Arial" w:cs="Arial"/>
          <w:sz w:val="20"/>
          <w:szCs w:val="20"/>
        </w:rPr>
        <w:t xml:space="preserve"> financial year </w:t>
      </w:r>
      <w:r w:rsidR="00C568D9" w:rsidRPr="00921120">
        <w:rPr>
          <w:rFonts w:ascii="Arial" w:hAnsi="Arial" w:cs="Arial"/>
          <w:sz w:val="20"/>
          <w:szCs w:val="20"/>
        </w:rPr>
        <w:t xml:space="preserve">had been </w:t>
      </w:r>
      <w:r w:rsidRPr="00921120">
        <w:rPr>
          <w:rFonts w:ascii="Arial" w:hAnsi="Arial" w:cs="Arial"/>
          <w:sz w:val="20"/>
          <w:szCs w:val="20"/>
        </w:rPr>
        <w:t xml:space="preserve">in relation to flood relief for </w:t>
      </w:r>
      <w:r w:rsidR="00C568D9" w:rsidRPr="00921120">
        <w:rPr>
          <w:rFonts w:ascii="Arial" w:hAnsi="Arial" w:cs="Arial"/>
          <w:sz w:val="20"/>
          <w:szCs w:val="20"/>
        </w:rPr>
        <w:t xml:space="preserve">affected </w:t>
      </w:r>
      <w:r w:rsidRPr="00921120">
        <w:rPr>
          <w:rFonts w:ascii="Arial" w:hAnsi="Arial" w:cs="Arial"/>
          <w:sz w:val="20"/>
          <w:szCs w:val="20"/>
        </w:rPr>
        <w:t>provinces.</w:t>
      </w:r>
    </w:p>
    <w:p w:rsidR="003E04BE" w:rsidRPr="00921120" w:rsidRDefault="003E04BE" w:rsidP="00921120">
      <w:pPr>
        <w:spacing w:line="240" w:lineRule="auto"/>
        <w:jc w:val="left"/>
        <w:rPr>
          <w:rFonts w:ascii="Arial" w:hAnsi="Arial" w:cs="Arial"/>
          <w:sz w:val="20"/>
          <w:szCs w:val="20"/>
        </w:rPr>
      </w:pPr>
    </w:p>
    <w:p w:rsidR="00975C8D" w:rsidRPr="00921120" w:rsidRDefault="00975C8D" w:rsidP="00921120">
      <w:pPr>
        <w:spacing w:line="240" w:lineRule="auto"/>
        <w:jc w:val="left"/>
        <w:rPr>
          <w:rFonts w:ascii="Arial" w:hAnsi="Arial" w:cs="Arial"/>
          <w:sz w:val="20"/>
          <w:szCs w:val="20"/>
        </w:rPr>
      </w:pPr>
      <w:r w:rsidRPr="00921120">
        <w:rPr>
          <w:rFonts w:ascii="Arial" w:hAnsi="Arial" w:cs="Arial"/>
          <w:sz w:val="20"/>
          <w:szCs w:val="20"/>
        </w:rPr>
        <w:t xml:space="preserve">With regard to application-based funding, the NLC informed the Committee that because of irregularities in relation to fraud and mismanagement of the allocated funds, the grant funding model had to </w:t>
      </w:r>
      <w:r w:rsidR="00976B5C" w:rsidRPr="00921120">
        <w:rPr>
          <w:rFonts w:ascii="Arial" w:hAnsi="Arial" w:cs="Arial"/>
          <w:sz w:val="20"/>
          <w:szCs w:val="20"/>
        </w:rPr>
        <w:t xml:space="preserve">be </w:t>
      </w:r>
      <w:r w:rsidRPr="00921120">
        <w:rPr>
          <w:rFonts w:ascii="Arial" w:hAnsi="Arial" w:cs="Arial"/>
          <w:sz w:val="20"/>
          <w:szCs w:val="20"/>
        </w:rPr>
        <w:t>enhanced and strengthen</w:t>
      </w:r>
      <w:r w:rsidR="00976B5C" w:rsidRPr="00921120">
        <w:rPr>
          <w:rFonts w:ascii="Arial" w:hAnsi="Arial" w:cs="Arial"/>
          <w:sz w:val="20"/>
          <w:szCs w:val="20"/>
        </w:rPr>
        <w:t>ed</w:t>
      </w:r>
      <w:r w:rsidRPr="00921120">
        <w:rPr>
          <w:rFonts w:ascii="Arial" w:hAnsi="Arial" w:cs="Arial"/>
          <w:sz w:val="20"/>
          <w:szCs w:val="20"/>
        </w:rPr>
        <w:t xml:space="preserve">. The NLC </w:t>
      </w:r>
      <w:r w:rsidR="00976B5C" w:rsidRPr="00921120">
        <w:rPr>
          <w:rFonts w:ascii="Arial" w:hAnsi="Arial" w:cs="Arial"/>
          <w:sz w:val="20"/>
          <w:szCs w:val="20"/>
        </w:rPr>
        <w:t xml:space="preserve">had thus </w:t>
      </w:r>
      <w:r w:rsidRPr="00921120">
        <w:rPr>
          <w:rFonts w:ascii="Arial" w:hAnsi="Arial" w:cs="Arial"/>
          <w:sz w:val="20"/>
          <w:szCs w:val="20"/>
        </w:rPr>
        <w:t xml:space="preserve">embarked on </w:t>
      </w:r>
      <w:r w:rsidR="00A64D8D" w:rsidRPr="00921120">
        <w:rPr>
          <w:rFonts w:ascii="Arial" w:hAnsi="Arial" w:cs="Arial"/>
          <w:sz w:val="20"/>
          <w:szCs w:val="20"/>
        </w:rPr>
        <w:t xml:space="preserve"> </w:t>
      </w:r>
      <w:r w:rsidRPr="00921120">
        <w:rPr>
          <w:rFonts w:ascii="Arial" w:hAnsi="Arial" w:cs="Arial"/>
          <w:sz w:val="20"/>
          <w:szCs w:val="20"/>
        </w:rPr>
        <w:t xml:space="preserve">process </w:t>
      </w:r>
      <w:r w:rsidR="00976B5C" w:rsidRPr="00921120">
        <w:rPr>
          <w:rFonts w:ascii="Arial" w:hAnsi="Arial" w:cs="Arial"/>
          <w:sz w:val="20"/>
          <w:szCs w:val="20"/>
        </w:rPr>
        <w:t xml:space="preserve">to </w:t>
      </w:r>
      <w:r w:rsidRPr="00921120">
        <w:rPr>
          <w:rFonts w:ascii="Arial" w:hAnsi="Arial" w:cs="Arial"/>
          <w:sz w:val="20"/>
          <w:szCs w:val="20"/>
        </w:rPr>
        <w:t>strengthen</w:t>
      </w:r>
      <w:r w:rsidR="00976B5C" w:rsidRPr="00921120">
        <w:rPr>
          <w:rFonts w:ascii="Arial" w:hAnsi="Arial" w:cs="Arial"/>
          <w:sz w:val="20"/>
          <w:szCs w:val="20"/>
        </w:rPr>
        <w:t xml:space="preserve"> its</w:t>
      </w:r>
      <w:r w:rsidRPr="00921120">
        <w:rPr>
          <w:rFonts w:ascii="Arial" w:hAnsi="Arial" w:cs="Arial"/>
          <w:sz w:val="20"/>
          <w:szCs w:val="20"/>
        </w:rPr>
        <w:t xml:space="preserve"> internal controls through the following:</w:t>
      </w:r>
    </w:p>
    <w:p w:rsidR="00975C8D" w:rsidRPr="00921120" w:rsidRDefault="00975C8D" w:rsidP="00921120">
      <w:pPr>
        <w:numPr>
          <w:ilvl w:val="0"/>
          <w:numId w:val="4"/>
        </w:numPr>
        <w:spacing w:line="240" w:lineRule="auto"/>
        <w:jc w:val="left"/>
        <w:rPr>
          <w:rFonts w:ascii="Arial" w:hAnsi="Arial" w:cs="Arial"/>
          <w:sz w:val="20"/>
          <w:szCs w:val="20"/>
        </w:rPr>
      </w:pPr>
      <w:r w:rsidRPr="00921120">
        <w:rPr>
          <w:rFonts w:ascii="Arial" w:hAnsi="Arial" w:cs="Arial"/>
          <w:sz w:val="20"/>
          <w:szCs w:val="20"/>
        </w:rPr>
        <w:t xml:space="preserve">Physical verification of all </w:t>
      </w:r>
      <w:r w:rsidR="00976B5C" w:rsidRPr="00921120">
        <w:rPr>
          <w:rFonts w:ascii="Arial" w:hAnsi="Arial" w:cs="Arial"/>
          <w:sz w:val="20"/>
          <w:szCs w:val="20"/>
        </w:rPr>
        <w:t xml:space="preserve">approved </w:t>
      </w:r>
      <w:r w:rsidRPr="00921120">
        <w:rPr>
          <w:rFonts w:ascii="Arial" w:hAnsi="Arial" w:cs="Arial"/>
          <w:sz w:val="20"/>
          <w:szCs w:val="20"/>
        </w:rPr>
        <w:t>organisations, prior to funds being released. The NLC informed the Committee that funds were being withheld from some approved applicants because of concerns raised by RMB</w:t>
      </w:r>
      <w:r w:rsidR="00976B5C" w:rsidRPr="00921120">
        <w:rPr>
          <w:rFonts w:ascii="Arial" w:hAnsi="Arial" w:cs="Arial"/>
          <w:sz w:val="20"/>
          <w:szCs w:val="20"/>
        </w:rPr>
        <w:t>.</w:t>
      </w:r>
      <w:r w:rsidRPr="00921120">
        <w:rPr>
          <w:rFonts w:ascii="Arial" w:hAnsi="Arial" w:cs="Arial"/>
          <w:sz w:val="20"/>
          <w:szCs w:val="20"/>
        </w:rPr>
        <w:t xml:space="preserve"> </w:t>
      </w:r>
      <w:r w:rsidR="00976B5C" w:rsidRPr="00921120">
        <w:rPr>
          <w:rFonts w:ascii="Arial" w:hAnsi="Arial" w:cs="Arial"/>
          <w:sz w:val="20"/>
          <w:szCs w:val="20"/>
        </w:rPr>
        <w:t xml:space="preserve">This related to </w:t>
      </w:r>
      <w:r w:rsidRPr="00921120">
        <w:rPr>
          <w:rFonts w:ascii="Arial" w:hAnsi="Arial" w:cs="Arial"/>
          <w:sz w:val="20"/>
          <w:szCs w:val="20"/>
        </w:rPr>
        <w:t>patterns of behaviour</w:t>
      </w:r>
      <w:r w:rsidR="00976B5C" w:rsidRPr="00921120">
        <w:rPr>
          <w:rFonts w:ascii="Arial" w:hAnsi="Arial" w:cs="Arial"/>
          <w:sz w:val="20"/>
          <w:szCs w:val="20"/>
        </w:rPr>
        <w:t xml:space="preserve"> that</w:t>
      </w:r>
      <w:r w:rsidRPr="00921120">
        <w:rPr>
          <w:rFonts w:ascii="Arial" w:hAnsi="Arial" w:cs="Arial"/>
          <w:sz w:val="20"/>
          <w:szCs w:val="20"/>
        </w:rPr>
        <w:t xml:space="preserve"> </w:t>
      </w:r>
      <w:r w:rsidR="00976B5C" w:rsidRPr="00921120">
        <w:rPr>
          <w:rFonts w:ascii="Arial" w:hAnsi="Arial" w:cs="Arial"/>
          <w:sz w:val="20"/>
          <w:szCs w:val="20"/>
        </w:rPr>
        <w:t xml:space="preserve">had been </w:t>
      </w:r>
      <w:r w:rsidRPr="00921120">
        <w:rPr>
          <w:rFonts w:ascii="Arial" w:hAnsi="Arial" w:cs="Arial"/>
          <w:sz w:val="20"/>
          <w:szCs w:val="20"/>
        </w:rPr>
        <w:t xml:space="preserve">identified </w:t>
      </w:r>
      <w:r w:rsidR="00976B5C" w:rsidRPr="00921120">
        <w:rPr>
          <w:rFonts w:ascii="Arial" w:hAnsi="Arial" w:cs="Arial"/>
          <w:sz w:val="20"/>
          <w:szCs w:val="20"/>
        </w:rPr>
        <w:t xml:space="preserve">where an immediate transfer would take place into an individual’s bank account </w:t>
      </w:r>
      <w:r w:rsidRPr="00921120">
        <w:rPr>
          <w:rFonts w:ascii="Arial" w:hAnsi="Arial" w:cs="Arial"/>
          <w:sz w:val="20"/>
          <w:szCs w:val="20"/>
        </w:rPr>
        <w:t>once funds were deposited into a beneficiar</w:t>
      </w:r>
      <w:r w:rsidR="00976B5C" w:rsidRPr="00921120">
        <w:rPr>
          <w:rFonts w:ascii="Arial" w:hAnsi="Arial" w:cs="Arial"/>
          <w:sz w:val="20"/>
          <w:szCs w:val="20"/>
        </w:rPr>
        <w:t>y’</w:t>
      </w:r>
      <w:r w:rsidRPr="00921120">
        <w:rPr>
          <w:rFonts w:ascii="Arial" w:hAnsi="Arial" w:cs="Arial"/>
          <w:sz w:val="20"/>
          <w:szCs w:val="20"/>
        </w:rPr>
        <w:t xml:space="preserve">s account. </w:t>
      </w:r>
    </w:p>
    <w:p w:rsidR="00975C8D" w:rsidRPr="00921120" w:rsidRDefault="00975C8D" w:rsidP="00921120">
      <w:pPr>
        <w:numPr>
          <w:ilvl w:val="0"/>
          <w:numId w:val="4"/>
        </w:numPr>
        <w:spacing w:line="240" w:lineRule="auto"/>
        <w:jc w:val="left"/>
        <w:rPr>
          <w:rFonts w:ascii="Arial" w:hAnsi="Arial" w:cs="Arial"/>
          <w:sz w:val="20"/>
          <w:szCs w:val="20"/>
        </w:rPr>
      </w:pPr>
      <w:r w:rsidRPr="00921120">
        <w:rPr>
          <w:rFonts w:ascii="Arial" w:hAnsi="Arial" w:cs="Arial"/>
          <w:sz w:val="20"/>
          <w:szCs w:val="20"/>
        </w:rPr>
        <w:t>Signing of affidavits by director</w:t>
      </w:r>
      <w:r w:rsidR="00976B5C" w:rsidRPr="00921120">
        <w:rPr>
          <w:rFonts w:ascii="Arial" w:hAnsi="Arial" w:cs="Arial"/>
          <w:sz w:val="20"/>
          <w:szCs w:val="20"/>
        </w:rPr>
        <w:t>(s)</w:t>
      </w:r>
      <w:r w:rsidRPr="00921120">
        <w:rPr>
          <w:rFonts w:ascii="Arial" w:hAnsi="Arial" w:cs="Arial"/>
          <w:sz w:val="20"/>
          <w:szCs w:val="20"/>
        </w:rPr>
        <w:t xml:space="preserve"> and management of the organisation prior to funding to ensure that the funds would be used for its intended purpose.</w:t>
      </w:r>
    </w:p>
    <w:p w:rsidR="00975C8D" w:rsidRPr="00921120" w:rsidRDefault="00975C8D" w:rsidP="00921120">
      <w:pPr>
        <w:numPr>
          <w:ilvl w:val="0"/>
          <w:numId w:val="4"/>
        </w:numPr>
        <w:spacing w:line="240" w:lineRule="auto"/>
        <w:jc w:val="left"/>
        <w:rPr>
          <w:rFonts w:ascii="Arial" w:hAnsi="Arial" w:cs="Arial"/>
          <w:sz w:val="20"/>
          <w:szCs w:val="20"/>
        </w:rPr>
      </w:pPr>
      <w:r w:rsidRPr="00921120">
        <w:rPr>
          <w:rFonts w:ascii="Arial" w:hAnsi="Arial" w:cs="Arial"/>
          <w:sz w:val="20"/>
          <w:szCs w:val="20"/>
        </w:rPr>
        <w:t>Submission of bank statements to verify project spending. Although some organisations submit progress reports with some invoices, it d</w:t>
      </w:r>
      <w:r w:rsidR="00C30E80" w:rsidRPr="00921120">
        <w:rPr>
          <w:rFonts w:ascii="Arial" w:hAnsi="Arial" w:cs="Arial"/>
          <w:sz w:val="20"/>
          <w:szCs w:val="20"/>
        </w:rPr>
        <w:t>id</w:t>
      </w:r>
      <w:r w:rsidRPr="00921120">
        <w:rPr>
          <w:rFonts w:ascii="Arial" w:hAnsi="Arial" w:cs="Arial"/>
          <w:sz w:val="20"/>
          <w:szCs w:val="20"/>
        </w:rPr>
        <w:t xml:space="preserve"> not reflect the actual use of fund</w:t>
      </w:r>
      <w:r w:rsidR="00976B5C" w:rsidRPr="00921120">
        <w:rPr>
          <w:rFonts w:ascii="Arial" w:hAnsi="Arial" w:cs="Arial"/>
          <w:sz w:val="20"/>
          <w:szCs w:val="20"/>
        </w:rPr>
        <w:t>s</w:t>
      </w:r>
      <w:r w:rsidRPr="00921120">
        <w:rPr>
          <w:rFonts w:ascii="Arial" w:hAnsi="Arial" w:cs="Arial"/>
          <w:sz w:val="20"/>
          <w:szCs w:val="20"/>
        </w:rPr>
        <w:t xml:space="preserve">. This would allow the NLC to verify actual spending through </w:t>
      </w:r>
      <w:r w:rsidR="00976B5C" w:rsidRPr="00921120">
        <w:rPr>
          <w:rFonts w:ascii="Arial" w:hAnsi="Arial" w:cs="Arial"/>
          <w:sz w:val="20"/>
          <w:szCs w:val="20"/>
        </w:rPr>
        <w:t xml:space="preserve">stamped </w:t>
      </w:r>
      <w:r w:rsidRPr="00921120">
        <w:rPr>
          <w:rFonts w:ascii="Arial" w:hAnsi="Arial" w:cs="Arial"/>
          <w:sz w:val="20"/>
          <w:szCs w:val="20"/>
        </w:rPr>
        <w:t>bank statement</w:t>
      </w:r>
      <w:r w:rsidR="00976B5C" w:rsidRPr="00921120">
        <w:rPr>
          <w:rFonts w:ascii="Arial" w:hAnsi="Arial" w:cs="Arial"/>
          <w:sz w:val="20"/>
          <w:szCs w:val="20"/>
        </w:rPr>
        <w:t>s</w:t>
      </w:r>
      <w:r w:rsidRPr="00921120">
        <w:rPr>
          <w:rFonts w:ascii="Arial" w:hAnsi="Arial" w:cs="Arial"/>
          <w:sz w:val="20"/>
          <w:szCs w:val="20"/>
        </w:rPr>
        <w:t xml:space="preserve"> on how much of the allocated funds </w:t>
      </w:r>
      <w:r w:rsidR="00976B5C" w:rsidRPr="00921120">
        <w:rPr>
          <w:rFonts w:ascii="Arial" w:hAnsi="Arial" w:cs="Arial"/>
          <w:sz w:val="20"/>
          <w:szCs w:val="20"/>
        </w:rPr>
        <w:t xml:space="preserve">had </w:t>
      </w:r>
      <w:r w:rsidRPr="00921120">
        <w:rPr>
          <w:rFonts w:ascii="Arial" w:hAnsi="Arial" w:cs="Arial"/>
          <w:sz w:val="20"/>
          <w:szCs w:val="20"/>
        </w:rPr>
        <w:t>actually</w:t>
      </w:r>
      <w:r w:rsidR="00976B5C" w:rsidRPr="00921120">
        <w:rPr>
          <w:rFonts w:ascii="Arial" w:hAnsi="Arial" w:cs="Arial"/>
          <w:sz w:val="20"/>
          <w:szCs w:val="20"/>
        </w:rPr>
        <w:t xml:space="preserve"> been</w:t>
      </w:r>
      <w:r w:rsidRPr="00921120">
        <w:rPr>
          <w:rFonts w:ascii="Arial" w:hAnsi="Arial" w:cs="Arial"/>
          <w:sz w:val="20"/>
          <w:szCs w:val="20"/>
        </w:rPr>
        <w:t xml:space="preserve"> used by an organisation at any given time. </w:t>
      </w:r>
    </w:p>
    <w:p w:rsidR="00975C8D" w:rsidRPr="00921120" w:rsidRDefault="00975C8D" w:rsidP="00921120">
      <w:pPr>
        <w:numPr>
          <w:ilvl w:val="0"/>
          <w:numId w:val="4"/>
        </w:numPr>
        <w:spacing w:line="240" w:lineRule="auto"/>
        <w:jc w:val="left"/>
        <w:rPr>
          <w:rFonts w:ascii="Arial" w:hAnsi="Arial" w:cs="Arial"/>
          <w:sz w:val="20"/>
          <w:szCs w:val="20"/>
        </w:rPr>
      </w:pPr>
      <w:r w:rsidRPr="00921120">
        <w:rPr>
          <w:rFonts w:ascii="Arial" w:hAnsi="Arial" w:cs="Arial"/>
          <w:sz w:val="20"/>
          <w:szCs w:val="20"/>
        </w:rPr>
        <w:t xml:space="preserve">Regular monitoring of all projects. Previously this </w:t>
      </w:r>
      <w:r w:rsidR="00976B5C" w:rsidRPr="00921120">
        <w:rPr>
          <w:rFonts w:ascii="Arial" w:hAnsi="Arial" w:cs="Arial"/>
          <w:sz w:val="20"/>
          <w:szCs w:val="20"/>
        </w:rPr>
        <w:t xml:space="preserve">had been </w:t>
      </w:r>
      <w:r w:rsidRPr="00921120">
        <w:rPr>
          <w:rFonts w:ascii="Arial" w:hAnsi="Arial" w:cs="Arial"/>
          <w:sz w:val="20"/>
          <w:szCs w:val="20"/>
        </w:rPr>
        <w:t>done on a sample basis, but the NLC ha</w:t>
      </w:r>
      <w:r w:rsidR="00C30E80" w:rsidRPr="00921120">
        <w:rPr>
          <w:rFonts w:ascii="Arial" w:hAnsi="Arial" w:cs="Arial"/>
          <w:sz w:val="20"/>
          <w:szCs w:val="20"/>
        </w:rPr>
        <w:t>d</w:t>
      </w:r>
      <w:r w:rsidRPr="00921120">
        <w:rPr>
          <w:rFonts w:ascii="Arial" w:hAnsi="Arial" w:cs="Arial"/>
          <w:sz w:val="20"/>
          <w:szCs w:val="20"/>
        </w:rPr>
        <w:t xml:space="preserve"> subsequently resolved that all funded project</w:t>
      </w:r>
      <w:r w:rsidR="00976B5C" w:rsidRPr="00921120">
        <w:rPr>
          <w:rFonts w:ascii="Arial" w:hAnsi="Arial" w:cs="Arial"/>
          <w:sz w:val="20"/>
          <w:szCs w:val="20"/>
        </w:rPr>
        <w:t>s</w:t>
      </w:r>
      <w:r w:rsidRPr="00921120">
        <w:rPr>
          <w:rFonts w:ascii="Arial" w:hAnsi="Arial" w:cs="Arial"/>
          <w:sz w:val="20"/>
          <w:szCs w:val="20"/>
        </w:rPr>
        <w:t xml:space="preserve"> would </w:t>
      </w:r>
      <w:r w:rsidR="00976B5C" w:rsidRPr="00921120">
        <w:rPr>
          <w:rFonts w:ascii="Arial" w:hAnsi="Arial" w:cs="Arial"/>
          <w:sz w:val="20"/>
          <w:szCs w:val="20"/>
        </w:rPr>
        <w:t xml:space="preserve">be </w:t>
      </w:r>
      <w:r w:rsidRPr="00921120">
        <w:rPr>
          <w:rFonts w:ascii="Arial" w:hAnsi="Arial" w:cs="Arial"/>
          <w:sz w:val="20"/>
          <w:szCs w:val="20"/>
        </w:rPr>
        <w:t xml:space="preserve">monitored to ensure </w:t>
      </w:r>
      <w:r w:rsidR="00976B5C" w:rsidRPr="00921120">
        <w:rPr>
          <w:rFonts w:ascii="Arial" w:hAnsi="Arial" w:cs="Arial"/>
          <w:sz w:val="20"/>
          <w:szCs w:val="20"/>
        </w:rPr>
        <w:t xml:space="preserve">the </w:t>
      </w:r>
      <w:r w:rsidRPr="00921120">
        <w:rPr>
          <w:rFonts w:ascii="Arial" w:hAnsi="Arial" w:cs="Arial"/>
          <w:sz w:val="20"/>
          <w:szCs w:val="20"/>
        </w:rPr>
        <w:t xml:space="preserve">implementation of </w:t>
      </w:r>
      <w:r w:rsidR="00976B5C" w:rsidRPr="00921120">
        <w:rPr>
          <w:rFonts w:ascii="Arial" w:hAnsi="Arial" w:cs="Arial"/>
          <w:sz w:val="20"/>
          <w:szCs w:val="20"/>
        </w:rPr>
        <w:t xml:space="preserve">these </w:t>
      </w:r>
      <w:r w:rsidRPr="00921120">
        <w:rPr>
          <w:rFonts w:ascii="Arial" w:hAnsi="Arial" w:cs="Arial"/>
          <w:sz w:val="20"/>
          <w:szCs w:val="20"/>
        </w:rPr>
        <w:t>projects.</w:t>
      </w:r>
    </w:p>
    <w:p w:rsidR="00975C8D" w:rsidRPr="00921120" w:rsidRDefault="00975C8D" w:rsidP="00921120">
      <w:pPr>
        <w:spacing w:line="240" w:lineRule="auto"/>
        <w:jc w:val="left"/>
        <w:rPr>
          <w:rFonts w:ascii="Arial" w:hAnsi="Arial" w:cs="Arial"/>
          <w:sz w:val="20"/>
          <w:szCs w:val="20"/>
        </w:rPr>
      </w:pPr>
    </w:p>
    <w:p w:rsidR="008E2101" w:rsidRPr="00921120" w:rsidRDefault="008E2101" w:rsidP="00921120">
      <w:pPr>
        <w:pStyle w:val="PlainText"/>
        <w:rPr>
          <w:rFonts w:ascii="Arial" w:hAnsi="Arial" w:cs="Arial"/>
          <w:color w:val="000000" w:themeColor="text1"/>
          <w:sz w:val="20"/>
          <w:szCs w:val="20"/>
        </w:rPr>
      </w:pPr>
      <w:r w:rsidRPr="00921120">
        <w:rPr>
          <w:rFonts w:ascii="Arial" w:hAnsi="Arial" w:cs="Arial"/>
          <w:color w:val="000000" w:themeColor="text1"/>
          <w:sz w:val="20"/>
          <w:szCs w:val="20"/>
        </w:rPr>
        <w:t xml:space="preserve">In order to protect NLC applicants and beneficiaries, a decision was taken to formalise activities </w:t>
      </w:r>
      <w:r w:rsidR="00B916BE" w:rsidRPr="00921120">
        <w:rPr>
          <w:rFonts w:ascii="Arial" w:hAnsi="Arial" w:cs="Arial"/>
          <w:color w:val="000000" w:themeColor="text1"/>
          <w:sz w:val="20"/>
          <w:szCs w:val="20"/>
        </w:rPr>
        <w:t xml:space="preserve">regarding the assistance offered to prospective applicants </w:t>
      </w:r>
      <w:r w:rsidRPr="00921120">
        <w:rPr>
          <w:rFonts w:ascii="Arial" w:hAnsi="Arial" w:cs="Arial"/>
          <w:color w:val="000000" w:themeColor="text1"/>
          <w:sz w:val="20"/>
          <w:szCs w:val="20"/>
        </w:rPr>
        <w:t xml:space="preserve">by appointing and accrediting a panel of </w:t>
      </w:r>
      <w:r w:rsidR="00A55BE2" w:rsidRPr="00921120">
        <w:rPr>
          <w:rFonts w:ascii="Arial" w:hAnsi="Arial" w:cs="Arial"/>
          <w:color w:val="000000" w:themeColor="text1"/>
          <w:sz w:val="20"/>
          <w:szCs w:val="20"/>
        </w:rPr>
        <w:t>service providers</w:t>
      </w:r>
      <w:r w:rsidRPr="00921120">
        <w:rPr>
          <w:rFonts w:ascii="Arial" w:hAnsi="Arial" w:cs="Arial"/>
          <w:color w:val="000000" w:themeColor="text1"/>
          <w:sz w:val="20"/>
          <w:szCs w:val="20"/>
        </w:rPr>
        <w:t xml:space="preserve">. This </w:t>
      </w:r>
      <w:r w:rsidR="00B916BE" w:rsidRPr="00921120">
        <w:rPr>
          <w:rFonts w:ascii="Arial" w:hAnsi="Arial" w:cs="Arial"/>
          <w:color w:val="000000" w:themeColor="text1"/>
          <w:sz w:val="20"/>
          <w:szCs w:val="20"/>
        </w:rPr>
        <w:t>wa</w:t>
      </w:r>
      <w:r w:rsidRPr="00921120">
        <w:rPr>
          <w:rFonts w:ascii="Arial" w:hAnsi="Arial" w:cs="Arial"/>
          <w:color w:val="000000" w:themeColor="text1"/>
          <w:sz w:val="20"/>
          <w:szCs w:val="20"/>
        </w:rPr>
        <w:t xml:space="preserve">s to ensure that programmes of the NLC, relating to funding reached the most marginalised communities by assisting with all the support and capacitation of prospective applicants. </w:t>
      </w:r>
      <w:r w:rsidR="00B916BE" w:rsidRPr="00921120">
        <w:rPr>
          <w:rFonts w:ascii="Arial" w:hAnsi="Arial" w:cs="Arial"/>
          <w:color w:val="000000" w:themeColor="text1"/>
          <w:sz w:val="20"/>
          <w:szCs w:val="20"/>
        </w:rPr>
        <w:t>The Committee noted that a</w:t>
      </w:r>
      <w:r w:rsidRPr="00921120">
        <w:rPr>
          <w:rFonts w:ascii="Arial" w:hAnsi="Arial" w:cs="Arial"/>
          <w:color w:val="000000" w:themeColor="text1"/>
          <w:sz w:val="20"/>
          <w:szCs w:val="20"/>
        </w:rPr>
        <w:t xml:space="preserve"> number of people serving on panels and those providing services to the NLC, such as legal and media, have been implicated in alleged lottery fraud and unethical behaviour. It</w:t>
      </w:r>
      <w:r w:rsidR="00B916BE" w:rsidRPr="00921120">
        <w:rPr>
          <w:rFonts w:ascii="Arial" w:hAnsi="Arial" w:cs="Arial"/>
          <w:color w:val="000000" w:themeColor="text1"/>
          <w:sz w:val="20"/>
          <w:szCs w:val="20"/>
        </w:rPr>
        <w:t>,</w:t>
      </w:r>
      <w:r w:rsidRPr="00921120">
        <w:rPr>
          <w:rFonts w:ascii="Arial" w:hAnsi="Arial" w:cs="Arial"/>
          <w:color w:val="000000" w:themeColor="text1"/>
          <w:sz w:val="20"/>
          <w:szCs w:val="20"/>
        </w:rPr>
        <w:t xml:space="preserve"> </w:t>
      </w:r>
      <w:r w:rsidR="00B916BE" w:rsidRPr="00921120">
        <w:rPr>
          <w:rFonts w:ascii="Arial" w:hAnsi="Arial" w:cs="Arial"/>
          <w:color w:val="000000" w:themeColor="text1"/>
          <w:sz w:val="20"/>
          <w:szCs w:val="20"/>
        </w:rPr>
        <w:t>therefore, enquired whether the panels had</w:t>
      </w:r>
      <w:r w:rsidRPr="00921120">
        <w:rPr>
          <w:rFonts w:ascii="Arial" w:hAnsi="Arial" w:cs="Arial"/>
          <w:color w:val="000000" w:themeColor="text1"/>
          <w:sz w:val="20"/>
          <w:szCs w:val="20"/>
        </w:rPr>
        <w:t xml:space="preserve"> been reconstituted in light of these allegations. Also whether any of the alleged perpetrators of fraud and corruption </w:t>
      </w:r>
      <w:r w:rsidR="00B916BE" w:rsidRPr="00921120">
        <w:rPr>
          <w:rFonts w:ascii="Arial" w:hAnsi="Arial" w:cs="Arial"/>
          <w:color w:val="000000" w:themeColor="text1"/>
          <w:sz w:val="20"/>
          <w:szCs w:val="20"/>
        </w:rPr>
        <w:t>we</w:t>
      </w:r>
      <w:r w:rsidRPr="00921120">
        <w:rPr>
          <w:rFonts w:ascii="Arial" w:hAnsi="Arial" w:cs="Arial"/>
          <w:color w:val="000000" w:themeColor="text1"/>
          <w:sz w:val="20"/>
          <w:szCs w:val="20"/>
        </w:rPr>
        <w:t>re still serving on these panels, and whether measures ha</w:t>
      </w:r>
      <w:r w:rsidR="00B01AAE" w:rsidRPr="00921120">
        <w:rPr>
          <w:rFonts w:ascii="Arial" w:hAnsi="Arial" w:cs="Arial"/>
          <w:color w:val="000000" w:themeColor="text1"/>
          <w:sz w:val="20"/>
          <w:szCs w:val="20"/>
        </w:rPr>
        <w:t>d</w:t>
      </w:r>
      <w:r w:rsidRPr="00921120">
        <w:rPr>
          <w:rFonts w:ascii="Arial" w:hAnsi="Arial" w:cs="Arial"/>
          <w:color w:val="000000" w:themeColor="text1"/>
          <w:sz w:val="20"/>
          <w:szCs w:val="20"/>
        </w:rPr>
        <w:t xml:space="preserve"> been put in place to remove those service providers. According to the NLC, the panel of Legal Firms </w:t>
      </w:r>
      <w:r w:rsidR="00B916BE" w:rsidRPr="00921120">
        <w:rPr>
          <w:rFonts w:ascii="Arial" w:hAnsi="Arial" w:cs="Arial"/>
          <w:color w:val="000000" w:themeColor="text1"/>
          <w:sz w:val="20"/>
          <w:szCs w:val="20"/>
        </w:rPr>
        <w:t xml:space="preserve">had been </w:t>
      </w:r>
      <w:r w:rsidRPr="00921120">
        <w:rPr>
          <w:rFonts w:ascii="Arial" w:hAnsi="Arial" w:cs="Arial"/>
          <w:color w:val="000000" w:themeColor="text1"/>
          <w:sz w:val="20"/>
          <w:szCs w:val="20"/>
        </w:rPr>
        <w:t xml:space="preserve">declared irregular and all new procurement </w:t>
      </w:r>
      <w:r w:rsidR="00B916BE" w:rsidRPr="00921120">
        <w:rPr>
          <w:rFonts w:ascii="Arial" w:hAnsi="Arial" w:cs="Arial"/>
          <w:color w:val="000000" w:themeColor="text1"/>
          <w:sz w:val="20"/>
          <w:szCs w:val="20"/>
        </w:rPr>
        <w:t>had</w:t>
      </w:r>
      <w:r w:rsidRPr="00921120">
        <w:rPr>
          <w:rFonts w:ascii="Arial" w:hAnsi="Arial" w:cs="Arial"/>
          <w:color w:val="000000" w:themeColor="text1"/>
          <w:sz w:val="20"/>
          <w:szCs w:val="20"/>
        </w:rPr>
        <w:t xml:space="preserve"> subsequently </w:t>
      </w:r>
      <w:r w:rsidR="00B916BE" w:rsidRPr="00921120">
        <w:rPr>
          <w:rFonts w:ascii="Arial" w:hAnsi="Arial" w:cs="Arial"/>
          <w:color w:val="000000" w:themeColor="text1"/>
          <w:sz w:val="20"/>
          <w:szCs w:val="20"/>
        </w:rPr>
        <w:t xml:space="preserve">been </w:t>
      </w:r>
      <w:r w:rsidRPr="00921120">
        <w:rPr>
          <w:rFonts w:ascii="Arial" w:hAnsi="Arial" w:cs="Arial"/>
          <w:color w:val="000000" w:themeColor="text1"/>
          <w:sz w:val="20"/>
          <w:szCs w:val="20"/>
        </w:rPr>
        <w:t>terminated with immediate effect in September 2022. As</w:t>
      </w:r>
      <w:r w:rsidR="00B916BE" w:rsidRPr="00921120">
        <w:rPr>
          <w:rFonts w:ascii="Arial" w:hAnsi="Arial" w:cs="Arial"/>
          <w:color w:val="000000" w:themeColor="text1"/>
          <w:sz w:val="20"/>
          <w:szCs w:val="20"/>
        </w:rPr>
        <w:t xml:space="preserve"> an interim measure, the NLC had</w:t>
      </w:r>
      <w:r w:rsidRPr="00921120">
        <w:rPr>
          <w:rFonts w:ascii="Arial" w:hAnsi="Arial" w:cs="Arial"/>
          <w:color w:val="000000" w:themeColor="text1"/>
          <w:sz w:val="20"/>
          <w:szCs w:val="20"/>
        </w:rPr>
        <w:t xml:space="preserve"> applied National Treasury Regulation section 16A6.6</w:t>
      </w:r>
      <w:r w:rsidR="00B916BE" w:rsidRPr="00921120">
        <w:rPr>
          <w:rFonts w:ascii="Arial" w:hAnsi="Arial" w:cs="Arial"/>
          <w:color w:val="000000" w:themeColor="text1"/>
          <w:sz w:val="20"/>
          <w:szCs w:val="20"/>
        </w:rPr>
        <w:t>, namely</w:t>
      </w:r>
      <w:r w:rsidRPr="00921120">
        <w:rPr>
          <w:rFonts w:ascii="Arial" w:hAnsi="Arial" w:cs="Arial"/>
          <w:color w:val="000000" w:themeColor="text1"/>
          <w:sz w:val="20"/>
          <w:szCs w:val="20"/>
        </w:rPr>
        <w:t xml:space="preserve"> that “</w:t>
      </w:r>
      <w:r w:rsidRPr="00921120">
        <w:rPr>
          <w:rFonts w:ascii="Arial" w:hAnsi="Arial" w:cs="Arial"/>
          <w:i/>
          <w:color w:val="000000" w:themeColor="text1"/>
          <w:sz w:val="20"/>
          <w:szCs w:val="20"/>
        </w:rPr>
        <w:t xml:space="preserve">The accounting officer or accounting authority may, on behalf </w:t>
      </w:r>
      <w:r w:rsidR="00B916BE" w:rsidRPr="00921120">
        <w:rPr>
          <w:rFonts w:ascii="Arial" w:hAnsi="Arial" w:cs="Arial"/>
          <w:i/>
          <w:color w:val="000000" w:themeColor="text1"/>
          <w:sz w:val="20"/>
          <w:szCs w:val="20"/>
        </w:rPr>
        <w:t xml:space="preserve">of </w:t>
      </w:r>
      <w:r w:rsidRPr="00921120">
        <w:rPr>
          <w:rFonts w:ascii="Arial" w:hAnsi="Arial" w:cs="Arial"/>
          <w:i/>
          <w:color w:val="000000" w:themeColor="text1"/>
          <w:sz w:val="20"/>
          <w:szCs w:val="20"/>
        </w:rPr>
        <w:t>the department, constitutional institution or public entity, participate in any contract arranged by means of a competitive bidding process by any other organ of state, subject to the written approval of such organ of state and the relevant contractors”</w:t>
      </w:r>
      <w:r w:rsidRPr="00921120">
        <w:rPr>
          <w:rFonts w:ascii="Arial" w:hAnsi="Arial" w:cs="Arial"/>
          <w:color w:val="000000" w:themeColor="text1"/>
          <w:sz w:val="20"/>
          <w:szCs w:val="20"/>
        </w:rPr>
        <w:t xml:space="preserve">. The same would apply to the procurement of media services which </w:t>
      </w:r>
      <w:r w:rsidR="00B916BE" w:rsidRPr="00921120">
        <w:rPr>
          <w:rFonts w:ascii="Arial" w:hAnsi="Arial" w:cs="Arial"/>
          <w:color w:val="000000" w:themeColor="text1"/>
          <w:sz w:val="20"/>
          <w:szCs w:val="20"/>
        </w:rPr>
        <w:t>had been</w:t>
      </w:r>
      <w:r w:rsidRPr="00921120">
        <w:rPr>
          <w:rFonts w:ascii="Arial" w:hAnsi="Arial" w:cs="Arial"/>
          <w:color w:val="000000" w:themeColor="text1"/>
          <w:sz w:val="20"/>
          <w:szCs w:val="20"/>
        </w:rPr>
        <w:t xml:space="preserve"> predominately single s</w:t>
      </w:r>
      <w:r w:rsidR="00B916BE" w:rsidRPr="00921120">
        <w:rPr>
          <w:rFonts w:ascii="Arial" w:hAnsi="Arial" w:cs="Arial"/>
          <w:color w:val="000000" w:themeColor="text1"/>
          <w:sz w:val="20"/>
          <w:szCs w:val="20"/>
        </w:rPr>
        <w:t>ource deviations. The practice wa</w:t>
      </w:r>
      <w:r w:rsidRPr="00921120">
        <w:rPr>
          <w:rFonts w:ascii="Arial" w:hAnsi="Arial" w:cs="Arial"/>
          <w:color w:val="000000" w:themeColor="text1"/>
          <w:sz w:val="20"/>
          <w:szCs w:val="20"/>
        </w:rPr>
        <w:t>s no longer</w:t>
      </w:r>
      <w:r w:rsidR="00B916BE" w:rsidRPr="00921120">
        <w:rPr>
          <w:rFonts w:ascii="Arial" w:hAnsi="Arial" w:cs="Arial"/>
          <w:color w:val="000000" w:themeColor="text1"/>
          <w:sz w:val="20"/>
          <w:szCs w:val="20"/>
        </w:rPr>
        <w:t xml:space="preserve"> permitted and all procurement was being handled</w:t>
      </w:r>
      <w:r w:rsidRPr="00921120">
        <w:rPr>
          <w:rFonts w:ascii="Arial" w:hAnsi="Arial" w:cs="Arial"/>
          <w:color w:val="000000" w:themeColor="text1"/>
          <w:sz w:val="20"/>
          <w:szCs w:val="20"/>
        </w:rPr>
        <w:t xml:space="preserve"> in line with National Treasury prescripts. The Service Level Agreement with Roadshow</w:t>
      </w:r>
      <w:r w:rsidR="00825B61" w:rsidRPr="00921120">
        <w:rPr>
          <w:rFonts w:ascii="Arial" w:hAnsi="Arial" w:cs="Arial"/>
          <w:color w:val="000000" w:themeColor="text1"/>
          <w:sz w:val="20"/>
          <w:szCs w:val="20"/>
        </w:rPr>
        <w:t xml:space="preserve"> Marketing</w:t>
      </w:r>
      <w:r w:rsidRPr="00921120">
        <w:rPr>
          <w:rFonts w:ascii="Arial" w:hAnsi="Arial" w:cs="Arial"/>
          <w:color w:val="000000" w:themeColor="text1"/>
          <w:sz w:val="20"/>
          <w:szCs w:val="20"/>
        </w:rPr>
        <w:t xml:space="preserve"> was terminated with immediate effect </w:t>
      </w:r>
      <w:r w:rsidR="00B916BE" w:rsidRPr="00921120">
        <w:rPr>
          <w:rFonts w:ascii="Arial" w:hAnsi="Arial" w:cs="Arial"/>
          <w:color w:val="000000" w:themeColor="text1"/>
          <w:sz w:val="20"/>
          <w:szCs w:val="20"/>
        </w:rPr>
        <w:t xml:space="preserve">since </w:t>
      </w:r>
      <w:r w:rsidRPr="00921120">
        <w:rPr>
          <w:rFonts w:ascii="Arial" w:hAnsi="Arial" w:cs="Arial"/>
          <w:color w:val="000000" w:themeColor="text1"/>
          <w:sz w:val="20"/>
          <w:szCs w:val="20"/>
        </w:rPr>
        <w:t>the SIU</w:t>
      </w:r>
      <w:r w:rsidR="00B916BE" w:rsidRPr="00921120">
        <w:rPr>
          <w:rFonts w:ascii="Arial" w:hAnsi="Arial" w:cs="Arial"/>
          <w:color w:val="000000" w:themeColor="text1"/>
          <w:sz w:val="20"/>
          <w:szCs w:val="20"/>
        </w:rPr>
        <w:t>’s</w:t>
      </w:r>
      <w:r w:rsidRPr="00921120">
        <w:rPr>
          <w:rFonts w:ascii="Arial" w:hAnsi="Arial" w:cs="Arial"/>
          <w:color w:val="000000" w:themeColor="text1"/>
          <w:sz w:val="20"/>
          <w:szCs w:val="20"/>
        </w:rPr>
        <w:t xml:space="preserve"> finding and report.</w:t>
      </w:r>
    </w:p>
    <w:p w:rsidR="008E2101" w:rsidRPr="00921120" w:rsidRDefault="008E2101" w:rsidP="00921120">
      <w:pPr>
        <w:spacing w:line="240" w:lineRule="auto"/>
        <w:jc w:val="left"/>
        <w:rPr>
          <w:rFonts w:ascii="Arial" w:hAnsi="Arial" w:cs="Arial"/>
          <w:sz w:val="20"/>
          <w:szCs w:val="20"/>
        </w:rPr>
      </w:pPr>
    </w:p>
    <w:p w:rsidR="00B01AAE" w:rsidRPr="00921120" w:rsidRDefault="00B01AAE" w:rsidP="00921120">
      <w:pPr>
        <w:spacing w:line="240" w:lineRule="auto"/>
        <w:jc w:val="left"/>
        <w:rPr>
          <w:rFonts w:ascii="Arial" w:hAnsi="Arial" w:cs="Arial"/>
          <w:sz w:val="20"/>
          <w:szCs w:val="20"/>
        </w:rPr>
      </w:pPr>
    </w:p>
    <w:p w:rsidR="003F2807" w:rsidRPr="00921120" w:rsidRDefault="00975C8D" w:rsidP="00921120">
      <w:pPr>
        <w:pStyle w:val="Heading4"/>
        <w:spacing w:line="240" w:lineRule="auto"/>
        <w:jc w:val="left"/>
        <w:rPr>
          <w:rFonts w:ascii="Arial" w:hAnsi="Arial" w:cs="Arial"/>
          <w:sz w:val="20"/>
          <w:szCs w:val="20"/>
        </w:rPr>
      </w:pPr>
      <w:r w:rsidRPr="00921120">
        <w:rPr>
          <w:rFonts w:ascii="Arial" w:hAnsi="Arial" w:cs="Arial"/>
          <w:sz w:val="20"/>
          <w:szCs w:val="20"/>
        </w:rPr>
        <w:t>Revised Research-Based (Proactive) funding</w:t>
      </w:r>
    </w:p>
    <w:p w:rsidR="00975C8D" w:rsidRPr="00921120" w:rsidRDefault="00975C8D" w:rsidP="00921120">
      <w:pPr>
        <w:spacing w:line="240" w:lineRule="auto"/>
        <w:jc w:val="left"/>
        <w:rPr>
          <w:rFonts w:ascii="Arial" w:hAnsi="Arial" w:cs="Arial"/>
          <w:sz w:val="20"/>
          <w:szCs w:val="20"/>
        </w:rPr>
      </w:pPr>
      <w:r w:rsidRPr="00921120">
        <w:rPr>
          <w:rFonts w:ascii="Arial" w:hAnsi="Arial" w:cs="Arial"/>
          <w:sz w:val="20"/>
          <w:szCs w:val="20"/>
        </w:rPr>
        <w:t>Section 2A(3)</w:t>
      </w:r>
      <w:r w:rsidR="00976B5C" w:rsidRPr="00921120">
        <w:rPr>
          <w:rFonts w:ascii="Arial" w:hAnsi="Arial" w:cs="Arial"/>
          <w:sz w:val="20"/>
          <w:szCs w:val="20"/>
        </w:rPr>
        <w:t xml:space="preserve"> and </w:t>
      </w:r>
      <w:r w:rsidRPr="00921120">
        <w:rPr>
          <w:rFonts w:ascii="Arial" w:hAnsi="Arial" w:cs="Arial"/>
          <w:sz w:val="20"/>
          <w:szCs w:val="20"/>
        </w:rPr>
        <w:t xml:space="preserve">(4) of the Lotteries Act </w:t>
      </w:r>
      <w:r w:rsidR="00976B5C" w:rsidRPr="00921120">
        <w:rPr>
          <w:rFonts w:ascii="Arial" w:hAnsi="Arial" w:cs="Arial"/>
          <w:sz w:val="20"/>
          <w:szCs w:val="20"/>
        </w:rPr>
        <w:t>(</w:t>
      </w:r>
      <w:r w:rsidRPr="00921120">
        <w:rPr>
          <w:rFonts w:ascii="Arial" w:hAnsi="Arial" w:cs="Arial"/>
          <w:sz w:val="20"/>
          <w:szCs w:val="20"/>
        </w:rPr>
        <w:t xml:space="preserve">Act </w:t>
      </w:r>
      <w:r w:rsidR="00976B5C" w:rsidRPr="00921120">
        <w:rPr>
          <w:rFonts w:ascii="Arial" w:hAnsi="Arial" w:cs="Arial"/>
          <w:sz w:val="20"/>
          <w:szCs w:val="20"/>
        </w:rPr>
        <w:t xml:space="preserve">No. 57 </w:t>
      </w:r>
      <w:r w:rsidRPr="00921120">
        <w:rPr>
          <w:rFonts w:ascii="Arial" w:hAnsi="Arial" w:cs="Arial"/>
          <w:sz w:val="20"/>
          <w:szCs w:val="20"/>
        </w:rPr>
        <w:t xml:space="preserve">of </w:t>
      </w:r>
      <w:r w:rsidR="00976B5C" w:rsidRPr="00921120">
        <w:rPr>
          <w:rFonts w:ascii="Arial" w:hAnsi="Arial" w:cs="Arial"/>
          <w:sz w:val="20"/>
          <w:szCs w:val="20"/>
        </w:rPr>
        <w:t>1997)</w:t>
      </w:r>
      <w:r w:rsidRPr="00921120">
        <w:rPr>
          <w:rFonts w:ascii="Arial" w:hAnsi="Arial" w:cs="Arial"/>
          <w:sz w:val="20"/>
          <w:szCs w:val="20"/>
        </w:rPr>
        <w:t xml:space="preserve">, as amended, provided an opportunity for the </w:t>
      </w:r>
      <w:r w:rsidR="00976B5C" w:rsidRPr="00921120">
        <w:rPr>
          <w:rFonts w:ascii="Arial" w:hAnsi="Arial" w:cs="Arial"/>
          <w:sz w:val="20"/>
          <w:szCs w:val="20"/>
        </w:rPr>
        <w:t>NLC</w:t>
      </w:r>
      <w:r w:rsidRPr="00921120">
        <w:rPr>
          <w:rFonts w:ascii="Arial" w:hAnsi="Arial" w:cs="Arial"/>
          <w:sz w:val="20"/>
          <w:szCs w:val="20"/>
        </w:rPr>
        <w:t xml:space="preserve">, </w:t>
      </w:r>
      <w:r w:rsidR="00976B5C" w:rsidRPr="00921120">
        <w:rPr>
          <w:rFonts w:ascii="Arial" w:hAnsi="Arial" w:cs="Arial"/>
          <w:sz w:val="20"/>
          <w:szCs w:val="20"/>
        </w:rPr>
        <w:t xml:space="preserve">its </w:t>
      </w:r>
      <w:r w:rsidRPr="00921120">
        <w:rPr>
          <w:rFonts w:ascii="Arial" w:hAnsi="Arial" w:cs="Arial"/>
          <w:sz w:val="20"/>
          <w:szCs w:val="20"/>
        </w:rPr>
        <w:t>Board and the Minister to proactively fund worthy good causes that are</w:t>
      </w:r>
      <w:r w:rsidR="00976B5C" w:rsidRPr="00921120">
        <w:rPr>
          <w:rFonts w:ascii="Arial" w:hAnsi="Arial" w:cs="Arial"/>
          <w:sz w:val="20"/>
          <w:szCs w:val="20"/>
        </w:rPr>
        <w:t xml:space="preserve"> </w:t>
      </w:r>
      <w:r w:rsidRPr="00921120">
        <w:rPr>
          <w:rFonts w:ascii="Arial" w:hAnsi="Arial" w:cs="Arial"/>
          <w:sz w:val="20"/>
          <w:szCs w:val="20"/>
        </w:rPr>
        <w:t xml:space="preserve">aligned to </w:t>
      </w:r>
      <w:r w:rsidR="00976B5C" w:rsidRPr="00921120">
        <w:rPr>
          <w:rFonts w:ascii="Arial" w:hAnsi="Arial" w:cs="Arial"/>
          <w:sz w:val="20"/>
          <w:szCs w:val="20"/>
        </w:rPr>
        <w:t xml:space="preserve">the </w:t>
      </w:r>
      <w:r w:rsidRPr="00921120">
        <w:rPr>
          <w:rFonts w:ascii="Arial" w:hAnsi="Arial" w:cs="Arial"/>
          <w:sz w:val="20"/>
          <w:szCs w:val="20"/>
        </w:rPr>
        <w:t xml:space="preserve">broader developmental agenda of the country such as </w:t>
      </w:r>
      <w:r w:rsidR="00976B5C" w:rsidRPr="00921120">
        <w:rPr>
          <w:rFonts w:ascii="Arial" w:hAnsi="Arial" w:cs="Arial"/>
          <w:sz w:val="20"/>
          <w:szCs w:val="20"/>
        </w:rPr>
        <w:t xml:space="preserve">the </w:t>
      </w:r>
      <w:r w:rsidRPr="00921120">
        <w:rPr>
          <w:rFonts w:ascii="Arial" w:hAnsi="Arial" w:cs="Arial"/>
          <w:sz w:val="20"/>
          <w:szCs w:val="20"/>
        </w:rPr>
        <w:t>National Development Plan. This</w:t>
      </w:r>
      <w:r w:rsidR="00976B5C" w:rsidRPr="00921120">
        <w:rPr>
          <w:rFonts w:ascii="Arial" w:hAnsi="Arial" w:cs="Arial"/>
          <w:sz w:val="20"/>
          <w:szCs w:val="20"/>
        </w:rPr>
        <w:t>,</w:t>
      </w:r>
      <w:r w:rsidRPr="00921120">
        <w:rPr>
          <w:rFonts w:ascii="Arial" w:hAnsi="Arial" w:cs="Arial"/>
          <w:sz w:val="20"/>
          <w:szCs w:val="20"/>
        </w:rPr>
        <w:t xml:space="preserve"> </w:t>
      </w:r>
      <w:r w:rsidRPr="00921120">
        <w:rPr>
          <w:rFonts w:ascii="Arial" w:hAnsi="Arial" w:cs="Arial"/>
          <w:sz w:val="20"/>
          <w:szCs w:val="20"/>
        </w:rPr>
        <w:lastRenderedPageBreak/>
        <w:t>according to the NLC</w:t>
      </w:r>
      <w:r w:rsidR="00976B5C" w:rsidRPr="00921120">
        <w:rPr>
          <w:rFonts w:ascii="Arial" w:hAnsi="Arial" w:cs="Arial"/>
          <w:sz w:val="20"/>
          <w:szCs w:val="20"/>
        </w:rPr>
        <w:t>,</w:t>
      </w:r>
      <w:r w:rsidRPr="00921120">
        <w:rPr>
          <w:rFonts w:ascii="Arial" w:hAnsi="Arial" w:cs="Arial"/>
          <w:sz w:val="20"/>
          <w:szCs w:val="20"/>
        </w:rPr>
        <w:t xml:space="preserve"> would assist </w:t>
      </w:r>
      <w:r w:rsidR="00976B5C" w:rsidRPr="00921120">
        <w:rPr>
          <w:rFonts w:ascii="Arial" w:hAnsi="Arial" w:cs="Arial"/>
          <w:sz w:val="20"/>
          <w:szCs w:val="20"/>
        </w:rPr>
        <w:t>it</w:t>
      </w:r>
      <w:r w:rsidRPr="00921120">
        <w:rPr>
          <w:rFonts w:ascii="Arial" w:hAnsi="Arial" w:cs="Arial"/>
          <w:sz w:val="20"/>
          <w:szCs w:val="20"/>
        </w:rPr>
        <w:t xml:space="preserve"> to support innovative projects</w:t>
      </w:r>
      <w:r w:rsidR="00976B5C" w:rsidRPr="00921120">
        <w:rPr>
          <w:rFonts w:ascii="Arial" w:hAnsi="Arial" w:cs="Arial"/>
          <w:sz w:val="20"/>
          <w:szCs w:val="20"/>
        </w:rPr>
        <w:t xml:space="preserve"> </w:t>
      </w:r>
      <w:r w:rsidRPr="00921120">
        <w:rPr>
          <w:rFonts w:ascii="Arial" w:hAnsi="Arial" w:cs="Arial"/>
          <w:sz w:val="20"/>
          <w:szCs w:val="20"/>
        </w:rPr>
        <w:t xml:space="preserve">with </w:t>
      </w:r>
      <w:r w:rsidR="00976B5C" w:rsidRPr="00921120">
        <w:rPr>
          <w:rFonts w:ascii="Arial" w:hAnsi="Arial" w:cs="Arial"/>
          <w:sz w:val="20"/>
          <w:szCs w:val="20"/>
        </w:rPr>
        <w:t xml:space="preserve">a </w:t>
      </w:r>
      <w:r w:rsidRPr="00921120">
        <w:rPr>
          <w:rFonts w:ascii="Arial" w:hAnsi="Arial" w:cs="Arial"/>
          <w:sz w:val="20"/>
          <w:szCs w:val="20"/>
        </w:rPr>
        <w:t>greater impact</w:t>
      </w:r>
      <w:r w:rsidR="00F52BF7" w:rsidRPr="00921120">
        <w:rPr>
          <w:rFonts w:ascii="Arial" w:hAnsi="Arial" w:cs="Arial"/>
          <w:sz w:val="20"/>
          <w:szCs w:val="20"/>
        </w:rPr>
        <w:t>,</w:t>
      </w:r>
      <w:r w:rsidRPr="00921120">
        <w:rPr>
          <w:rFonts w:ascii="Arial" w:hAnsi="Arial" w:cs="Arial"/>
          <w:sz w:val="20"/>
          <w:szCs w:val="20"/>
        </w:rPr>
        <w:t xml:space="preserve"> a</w:t>
      </w:r>
      <w:r w:rsidR="00F52BF7" w:rsidRPr="00921120">
        <w:rPr>
          <w:rFonts w:ascii="Arial" w:hAnsi="Arial" w:cs="Arial"/>
          <w:sz w:val="20"/>
          <w:szCs w:val="20"/>
        </w:rPr>
        <w:t>s well as</w:t>
      </w:r>
      <w:r w:rsidRPr="00921120">
        <w:rPr>
          <w:rFonts w:ascii="Arial" w:hAnsi="Arial" w:cs="Arial"/>
          <w:sz w:val="20"/>
          <w:szCs w:val="20"/>
        </w:rPr>
        <w:t xml:space="preserve"> emergency support for natural and other disasters, amongst others.</w:t>
      </w:r>
    </w:p>
    <w:p w:rsidR="00976B5C" w:rsidRPr="00921120" w:rsidRDefault="00976B5C" w:rsidP="00921120">
      <w:pPr>
        <w:spacing w:line="240" w:lineRule="auto"/>
        <w:jc w:val="left"/>
        <w:rPr>
          <w:rFonts w:ascii="Arial" w:hAnsi="Arial" w:cs="Arial"/>
          <w:sz w:val="20"/>
          <w:szCs w:val="20"/>
        </w:rPr>
      </w:pPr>
    </w:p>
    <w:p w:rsidR="00F52BF7" w:rsidRPr="00921120" w:rsidRDefault="00975C8D" w:rsidP="00921120">
      <w:pPr>
        <w:spacing w:line="240" w:lineRule="auto"/>
        <w:jc w:val="left"/>
        <w:rPr>
          <w:rFonts w:ascii="Arial" w:hAnsi="Arial" w:cs="Arial"/>
          <w:sz w:val="20"/>
          <w:szCs w:val="20"/>
        </w:rPr>
      </w:pPr>
      <w:r w:rsidRPr="00921120">
        <w:rPr>
          <w:rFonts w:ascii="Arial" w:hAnsi="Arial" w:cs="Arial"/>
          <w:sz w:val="20"/>
          <w:szCs w:val="20"/>
        </w:rPr>
        <w:t xml:space="preserve">As a result of recent developments, the NLC informed the Committee that proactive funding would only be activated after </w:t>
      </w:r>
      <w:r w:rsidR="000E5D54" w:rsidRPr="00921120">
        <w:rPr>
          <w:rFonts w:ascii="Arial" w:hAnsi="Arial" w:cs="Arial"/>
          <w:sz w:val="20"/>
          <w:szCs w:val="20"/>
        </w:rPr>
        <w:t>in-depth</w:t>
      </w:r>
      <w:r w:rsidRPr="00921120">
        <w:rPr>
          <w:rFonts w:ascii="Arial" w:hAnsi="Arial" w:cs="Arial"/>
          <w:sz w:val="20"/>
          <w:szCs w:val="20"/>
        </w:rPr>
        <w:t xml:space="preserve"> research. The Board would approve the strategic areas for such research. Once the research </w:t>
      </w:r>
      <w:r w:rsidR="00976B5C" w:rsidRPr="00921120">
        <w:rPr>
          <w:rFonts w:ascii="Arial" w:hAnsi="Arial" w:cs="Arial"/>
          <w:sz w:val="20"/>
          <w:szCs w:val="20"/>
        </w:rPr>
        <w:t>wa</w:t>
      </w:r>
      <w:r w:rsidRPr="00921120">
        <w:rPr>
          <w:rFonts w:ascii="Arial" w:hAnsi="Arial" w:cs="Arial"/>
          <w:sz w:val="20"/>
          <w:szCs w:val="20"/>
        </w:rPr>
        <w:t>s completed</w:t>
      </w:r>
      <w:r w:rsidR="00976B5C" w:rsidRPr="00921120">
        <w:rPr>
          <w:rFonts w:ascii="Arial" w:hAnsi="Arial" w:cs="Arial"/>
          <w:sz w:val="20"/>
          <w:szCs w:val="20"/>
        </w:rPr>
        <w:t>,</w:t>
      </w:r>
      <w:r w:rsidRPr="00921120">
        <w:rPr>
          <w:rFonts w:ascii="Arial" w:hAnsi="Arial" w:cs="Arial"/>
          <w:sz w:val="20"/>
          <w:szCs w:val="20"/>
        </w:rPr>
        <w:t xml:space="preserve"> it would approve funding for strategic projects which would </w:t>
      </w:r>
      <w:r w:rsidR="006D435E" w:rsidRPr="00921120">
        <w:rPr>
          <w:rFonts w:ascii="Arial" w:hAnsi="Arial" w:cs="Arial"/>
          <w:sz w:val="20"/>
          <w:szCs w:val="20"/>
        </w:rPr>
        <w:t xml:space="preserve">then </w:t>
      </w:r>
      <w:r w:rsidRPr="00921120">
        <w:rPr>
          <w:rFonts w:ascii="Arial" w:hAnsi="Arial" w:cs="Arial"/>
          <w:sz w:val="20"/>
          <w:szCs w:val="20"/>
        </w:rPr>
        <w:t xml:space="preserve">be allocated a percentage of the </w:t>
      </w:r>
      <w:r w:rsidR="00F52BF7" w:rsidRPr="00921120">
        <w:rPr>
          <w:rFonts w:ascii="Arial" w:hAnsi="Arial" w:cs="Arial"/>
          <w:sz w:val="20"/>
          <w:szCs w:val="20"/>
        </w:rPr>
        <w:t>b</w:t>
      </w:r>
      <w:r w:rsidRPr="00921120">
        <w:rPr>
          <w:rFonts w:ascii="Arial" w:hAnsi="Arial" w:cs="Arial"/>
          <w:sz w:val="20"/>
          <w:szCs w:val="20"/>
        </w:rPr>
        <w:t xml:space="preserve">udget approved by the Board. </w:t>
      </w:r>
      <w:r w:rsidR="008B4DAB" w:rsidRPr="00921120">
        <w:rPr>
          <w:rFonts w:ascii="Arial" w:hAnsi="Arial" w:cs="Arial"/>
          <w:sz w:val="20"/>
          <w:szCs w:val="20"/>
        </w:rPr>
        <w:t xml:space="preserve">The current Chairperson of the Board expressed that food security and gender-based violence were possible strategic areas for proactive funding, following the necessary due processes. </w:t>
      </w:r>
    </w:p>
    <w:p w:rsidR="00F52BF7" w:rsidRPr="00921120" w:rsidRDefault="00F52BF7" w:rsidP="00921120">
      <w:pPr>
        <w:spacing w:line="240" w:lineRule="auto"/>
        <w:jc w:val="left"/>
        <w:rPr>
          <w:rFonts w:ascii="Arial" w:hAnsi="Arial" w:cs="Arial"/>
          <w:sz w:val="20"/>
          <w:szCs w:val="20"/>
        </w:rPr>
      </w:pPr>
    </w:p>
    <w:p w:rsidR="00975C8D" w:rsidRPr="00921120" w:rsidRDefault="00975C8D" w:rsidP="00921120">
      <w:pPr>
        <w:spacing w:line="240" w:lineRule="auto"/>
        <w:jc w:val="left"/>
        <w:rPr>
          <w:rFonts w:ascii="Arial" w:hAnsi="Arial" w:cs="Arial"/>
          <w:sz w:val="20"/>
          <w:szCs w:val="20"/>
        </w:rPr>
      </w:pPr>
      <w:r w:rsidRPr="00921120">
        <w:rPr>
          <w:rFonts w:ascii="Arial" w:hAnsi="Arial" w:cs="Arial"/>
          <w:sz w:val="20"/>
          <w:szCs w:val="20"/>
        </w:rPr>
        <w:t>The NLC informed the Committee, that it intend</w:t>
      </w:r>
      <w:r w:rsidR="00F52BF7" w:rsidRPr="00921120">
        <w:rPr>
          <w:rFonts w:ascii="Arial" w:hAnsi="Arial" w:cs="Arial"/>
          <w:sz w:val="20"/>
          <w:szCs w:val="20"/>
        </w:rPr>
        <w:t>ed</w:t>
      </w:r>
      <w:r w:rsidRPr="00921120">
        <w:rPr>
          <w:rFonts w:ascii="Arial" w:hAnsi="Arial" w:cs="Arial"/>
          <w:sz w:val="20"/>
          <w:szCs w:val="20"/>
        </w:rPr>
        <w:t xml:space="preserve">, through its next call, to issue an expression of interest where it would identify strategic partners, with proven track records, to implement these projects.  </w:t>
      </w:r>
      <w:r w:rsidR="008B4DAB" w:rsidRPr="00921120">
        <w:rPr>
          <w:rFonts w:ascii="Arial" w:hAnsi="Arial" w:cs="Arial"/>
          <w:sz w:val="20"/>
          <w:szCs w:val="20"/>
        </w:rPr>
        <w:t xml:space="preserve">However, these identified strategic partners must be assessed and undergo a probity check, to ensure that they have sound governance and financial management control, prior to their appointment. </w:t>
      </w:r>
      <w:r w:rsidRPr="00921120">
        <w:rPr>
          <w:rFonts w:ascii="Arial" w:hAnsi="Arial" w:cs="Arial"/>
          <w:sz w:val="20"/>
          <w:szCs w:val="20"/>
        </w:rPr>
        <w:t>This would ensure greater transparency with the funding process</w:t>
      </w:r>
      <w:r w:rsidR="008B4DAB" w:rsidRPr="00921120">
        <w:rPr>
          <w:rFonts w:ascii="Arial" w:hAnsi="Arial" w:cs="Arial"/>
          <w:sz w:val="20"/>
          <w:szCs w:val="20"/>
        </w:rPr>
        <w:t xml:space="preserve"> and close the gap pertaining to the identification of implementing organisations. </w:t>
      </w:r>
      <w:r w:rsidRPr="00921120">
        <w:rPr>
          <w:rFonts w:ascii="Arial" w:hAnsi="Arial" w:cs="Arial"/>
          <w:sz w:val="20"/>
          <w:szCs w:val="20"/>
        </w:rPr>
        <w:t>According to the NLC</w:t>
      </w:r>
      <w:r w:rsidR="0085317B" w:rsidRPr="00921120">
        <w:rPr>
          <w:rFonts w:ascii="Arial" w:hAnsi="Arial" w:cs="Arial"/>
          <w:sz w:val="20"/>
          <w:szCs w:val="20"/>
        </w:rPr>
        <w:t>,</w:t>
      </w:r>
      <w:r w:rsidRPr="00921120">
        <w:rPr>
          <w:rFonts w:ascii="Arial" w:hAnsi="Arial" w:cs="Arial"/>
          <w:sz w:val="20"/>
          <w:szCs w:val="20"/>
        </w:rPr>
        <w:t xml:space="preserve"> </w:t>
      </w:r>
      <w:r w:rsidR="0085317B" w:rsidRPr="00921120">
        <w:rPr>
          <w:rFonts w:ascii="Arial" w:hAnsi="Arial" w:cs="Arial"/>
          <w:sz w:val="20"/>
          <w:szCs w:val="20"/>
        </w:rPr>
        <w:t>this</w:t>
      </w:r>
      <w:r w:rsidRPr="00921120">
        <w:rPr>
          <w:rFonts w:ascii="Arial" w:hAnsi="Arial" w:cs="Arial"/>
          <w:sz w:val="20"/>
          <w:szCs w:val="20"/>
        </w:rPr>
        <w:t xml:space="preserve"> would go a long way in achieving its outcomes of sustainable and impactful funding and minimis</w:t>
      </w:r>
      <w:r w:rsidR="008B4DAB" w:rsidRPr="00921120">
        <w:rPr>
          <w:rFonts w:ascii="Arial" w:hAnsi="Arial" w:cs="Arial"/>
          <w:sz w:val="20"/>
          <w:szCs w:val="20"/>
        </w:rPr>
        <w:t>ing</w:t>
      </w:r>
      <w:r w:rsidRPr="00921120">
        <w:rPr>
          <w:rFonts w:ascii="Arial" w:hAnsi="Arial" w:cs="Arial"/>
          <w:sz w:val="20"/>
          <w:szCs w:val="20"/>
        </w:rPr>
        <w:t xml:space="preserve"> the negative perception around proactive funding. </w:t>
      </w:r>
    </w:p>
    <w:p w:rsidR="008B4DAB" w:rsidRPr="00921120" w:rsidRDefault="008B4DAB" w:rsidP="00921120">
      <w:pPr>
        <w:spacing w:line="240" w:lineRule="auto"/>
        <w:jc w:val="left"/>
        <w:rPr>
          <w:rFonts w:ascii="Arial" w:hAnsi="Arial" w:cs="Arial"/>
          <w:sz w:val="20"/>
          <w:szCs w:val="20"/>
        </w:rPr>
      </w:pPr>
    </w:p>
    <w:p w:rsidR="008B4DAB" w:rsidRPr="00921120" w:rsidRDefault="008B4DAB" w:rsidP="00921120">
      <w:pPr>
        <w:spacing w:line="240" w:lineRule="auto"/>
        <w:jc w:val="left"/>
        <w:rPr>
          <w:rFonts w:ascii="Arial" w:hAnsi="Arial" w:cs="Arial"/>
          <w:sz w:val="20"/>
          <w:szCs w:val="20"/>
        </w:rPr>
      </w:pPr>
      <w:r w:rsidRPr="00921120">
        <w:rPr>
          <w:rFonts w:ascii="Arial" w:hAnsi="Arial" w:cs="Arial"/>
          <w:sz w:val="20"/>
          <w:szCs w:val="20"/>
        </w:rPr>
        <w:t>Furthermore, there was a need to close legislative loopholes in terms of the process around proactive funding, as there were currently no regulations in this regard.</w:t>
      </w:r>
    </w:p>
    <w:p w:rsidR="00A2373D" w:rsidRPr="00921120" w:rsidRDefault="00A2373D" w:rsidP="00921120">
      <w:pPr>
        <w:spacing w:line="240" w:lineRule="auto"/>
        <w:jc w:val="left"/>
        <w:rPr>
          <w:rFonts w:ascii="Arial" w:hAnsi="Arial" w:cs="Arial"/>
          <w:sz w:val="20"/>
          <w:szCs w:val="20"/>
        </w:rPr>
      </w:pPr>
    </w:p>
    <w:p w:rsidR="00975C8D" w:rsidRPr="00921120" w:rsidRDefault="0085317B" w:rsidP="00921120">
      <w:pPr>
        <w:pStyle w:val="Heading4"/>
        <w:spacing w:line="240" w:lineRule="auto"/>
        <w:jc w:val="left"/>
        <w:rPr>
          <w:rFonts w:ascii="Arial" w:hAnsi="Arial" w:cs="Arial"/>
          <w:sz w:val="20"/>
          <w:szCs w:val="20"/>
        </w:rPr>
      </w:pPr>
      <w:r w:rsidRPr="00921120">
        <w:rPr>
          <w:rFonts w:ascii="Arial" w:hAnsi="Arial" w:cs="Arial"/>
          <w:sz w:val="20"/>
          <w:szCs w:val="20"/>
        </w:rPr>
        <w:t>G</w:t>
      </w:r>
      <w:r w:rsidR="00975C8D" w:rsidRPr="00921120">
        <w:rPr>
          <w:rFonts w:ascii="Arial" w:hAnsi="Arial" w:cs="Arial"/>
          <w:sz w:val="20"/>
          <w:szCs w:val="20"/>
        </w:rPr>
        <w:t>rant funding model</w:t>
      </w:r>
    </w:p>
    <w:p w:rsidR="00975C8D" w:rsidRPr="00921120" w:rsidRDefault="00975C8D" w:rsidP="00921120">
      <w:pPr>
        <w:spacing w:line="240" w:lineRule="auto"/>
        <w:jc w:val="left"/>
        <w:rPr>
          <w:rFonts w:ascii="Arial" w:hAnsi="Arial" w:cs="Arial"/>
          <w:sz w:val="20"/>
          <w:szCs w:val="20"/>
        </w:rPr>
      </w:pPr>
      <w:r w:rsidRPr="00921120">
        <w:rPr>
          <w:rFonts w:ascii="Arial" w:hAnsi="Arial" w:cs="Arial"/>
          <w:sz w:val="20"/>
          <w:szCs w:val="20"/>
        </w:rPr>
        <w:t>The NLC informed the Committee that it ha</w:t>
      </w:r>
      <w:r w:rsidR="00B13544" w:rsidRPr="00921120">
        <w:rPr>
          <w:rFonts w:ascii="Arial" w:hAnsi="Arial" w:cs="Arial"/>
          <w:sz w:val="20"/>
          <w:szCs w:val="20"/>
        </w:rPr>
        <w:t>d</w:t>
      </w:r>
      <w:r w:rsidRPr="00921120">
        <w:rPr>
          <w:rFonts w:ascii="Arial" w:hAnsi="Arial" w:cs="Arial"/>
          <w:sz w:val="20"/>
          <w:szCs w:val="20"/>
        </w:rPr>
        <w:t xml:space="preserve"> introduced measures, such as an inspectorate function that would focus on due diligence and compliance, once an application </w:t>
      </w:r>
      <w:r w:rsidR="00B13544" w:rsidRPr="00921120">
        <w:rPr>
          <w:rFonts w:ascii="Arial" w:hAnsi="Arial" w:cs="Arial"/>
          <w:sz w:val="20"/>
          <w:szCs w:val="20"/>
        </w:rPr>
        <w:t>wa</w:t>
      </w:r>
      <w:r w:rsidRPr="00921120">
        <w:rPr>
          <w:rFonts w:ascii="Arial" w:hAnsi="Arial" w:cs="Arial"/>
          <w:sz w:val="20"/>
          <w:szCs w:val="20"/>
        </w:rPr>
        <w:t xml:space="preserve">s received.  In addition to pre-screening, the NLC would undertake a verification of directors and membership of non-profit companies, through the CIPC and the </w:t>
      </w:r>
      <w:r w:rsidR="00AB4359" w:rsidRPr="00921120">
        <w:rPr>
          <w:rFonts w:ascii="Arial" w:hAnsi="Arial" w:cs="Arial"/>
          <w:sz w:val="20"/>
          <w:szCs w:val="20"/>
        </w:rPr>
        <w:t>DSD</w:t>
      </w:r>
      <w:r w:rsidRPr="00921120">
        <w:rPr>
          <w:rFonts w:ascii="Arial" w:hAnsi="Arial" w:cs="Arial"/>
          <w:sz w:val="20"/>
          <w:szCs w:val="20"/>
        </w:rPr>
        <w:t xml:space="preserve"> respectively. Furthermore, the NLC would enhance its monitoring and evaluation capabilities by visiting organisations to verify their existence, credibility and ability to implement the</w:t>
      </w:r>
      <w:r w:rsidR="003E04BE" w:rsidRPr="00921120">
        <w:rPr>
          <w:rFonts w:ascii="Arial" w:hAnsi="Arial" w:cs="Arial"/>
          <w:sz w:val="20"/>
          <w:szCs w:val="20"/>
        </w:rPr>
        <w:t xml:space="preserve"> </w:t>
      </w:r>
      <w:r w:rsidRPr="00921120">
        <w:rPr>
          <w:rFonts w:ascii="Arial" w:hAnsi="Arial" w:cs="Arial"/>
          <w:sz w:val="20"/>
          <w:szCs w:val="20"/>
        </w:rPr>
        <w:t xml:space="preserve">project. The NLC acknowledged that it </w:t>
      </w:r>
      <w:r w:rsidR="00B13544" w:rsidRPr="00921120">
        <w:rPr>
          <w:rFonts w:ascii="Arial" w:hAnsi="Arial" w:cs="Arial"/>
          <w:sz w:val="20"/>
          <w:szCs w:val="20"/>
        </w:rPr>
        <w:t xml:space="preserve">had </w:t>
      </w:r>
      <w:r w:rsidR="008B4DAB" w:rsidRPr="00921120">
        <w:rPr>
          <w:rFonts w:ascii="Arial" w:hAnsi="Arial" w:cs="Arial"/>
          <w:sz w:val="20"/>
          <w:szCs w:val="20"/>
        </w:rPr>
        <w:t xml:space="preserve">previously </w:t>
      </w:r>
      <w:r w:rsidRPr="00921120">
        <w:rPr>
          <w:rFonts w:ascii="Arial" w:hAnsi="Arial" w:cs="Arial"/>
          <w:sz w:val="20"/>
          <w:szCs w:val="20"/>
        </w:rPr>
        <w:t xml:space="preserve">failed to effectively monitor and evaluate projects, </w:t>
      </w:r>
      <w:r w:rsidR="00B13544" w:rsidRPr="00921120">
        <w:rPr>
          <w:rFonts w:ascii="Arial" w:hAnsi="Arial" w:cs="Arial"/>
          <w:sz w:val="20"/>
          <w:szCs w:val="20"/>
        </w:rPr>
        <w:t xml:space="preserve">particularly </w:t>
      </w:r>
      <w:r w:rsidRPr="00921120">
        <w:rPr>
          <w:rFonts w:ascii="Arial" w:hAnsi="Arial" w:cs="Arial"/>
          <w:sz w:val="20"/>
          <w:szCs w:val="20"/>
        </w:rPr>
        <w:t>proactive</w:t>
      </w:r>
      <w:r w:rsidR="00B13544" w:rsidRPr="00921120">
        <w:rPr>
          <w:rFonts w:ascii="Arial" w:hAnsi="Arial" w:cs="Arial"/>
          <w:sz w:val="20"/>
          <w:szCs w:val="20"/>
        </w:rPr>
        <w:t>ly</w:t>
      </w:r>
      <w:r w:rsidRPr="00921120">
        <w:rPr>
          <w:rFonts w:ascii="Arial" w:hAnsi="Arial" w:cs="Arial"/>
          <w:sz w:val="20"/>
          <w:szCs w:val="20"/>
        </w:rPr>
        <w:t xml:space="preserve"> funded projects. </w:t>
      </w:r>
    </w:p>
    <w:p w:rsidR="00975C8D" w:rsidRPr="00921120" w:rsidRDefault="00975C8D" w:rsidP="00921120">
      <w:pPr>
        <w:spacing w:line="240" w:lineRule="auto"/>
        <w:jc w:val="left"/>
        <w:rPr>
          <w:rFonts w:ascii="Arial" w:hAnsi="Arial" w:cs="Arial"/>
          <w:sz w:val="20"/>
          <w:szCs w:val="20"/>
        </w:rPr>
      </w:pPr>
    </w:p>
    <w:p w:rsidR="00975C8D" w:rsidRPr="00921120" w:rsidRDefault="00B13544" w:rsidP="00921120">
      <w:pPr>
        <w:spacing w:line="240" w:lineRule="auto"/>
        <w:jc w:val="left"/>
        <w:rPr>
          <w:rFonts w:ascii="Arial" w:hAnsi="Arial" w:cs="Arial"/>
          <w:sz w:val="20"/>
          <w:szCs w:val="20"/>
        </w:rPr>
      </w:pPr>
      <w:r w:rsidRPr="00921120">
        <w:rPr>
          <w:rFonts w:ascii="Arial" w:hAnsi="Arial" w:cs="Arial"/>
          <w:sz w:val="20"/>
          <w:szCs w:val="20"/>
        </w:rPr>
        <w:t>Notwithstanding the existing education and awareness programme across all provinces, t</w:t>
      </w:r>
      <w:r w:rsidR="00975C8D" w:rsidRPr="00921120">
        <w:rPr>
          <w:rFonts w:ascii="Arial" w:hAnsi="Arial" w:cs="Arial"/>
          <w:sz w:val="20"/>
          <w:szCs w:val="20"/>
        </w:rPr>
        <w:t>here would also be a strong</w:t>
      </w:r>
      <w:r w:rsidRPr="00921120">
        <w:rPr>
          <w:rFonts w:ascii="Arial" w:hAnsi="Arial" w:cs="Arial"/>
          <w:sz w:val="20"/>
          <w:szCs w:val="20"/>
        </w:rPr>
        <w:t>er</w:t>
      </w:r>
      <w:r w:rsidR="00975C8D" w:rsidRPr="00921120">
        <w:rPr>
          <w:rFonts w:ascii="Arial" w:hAnsi="Arial" w:cs="Arial"/>
          <w:sz w:val="20"/>
          <w:szCs w:val="20"/>
        </w:rPr>
        <w:t xml:space="preserve"> focus on capacity building and development of grant holders. </w:t>
      </w:r>
      <w:r w:rsidR="008B4DAB" w:rsidRPr="00921120">
        <w:rPr>
          <w:rFonts w:ascii="Arial" w:hAnsi="Arial" w:cs="Arial"/>
          <w:sz w:val="20"/>
          <w:szCs w:val="20"/>
        </w:rPr>
        <w:t>In the NLC’s observation</w:t>
      </w:r>
      <w:r w:rsidR="009F5F00" w:rsidRPr="00921120">
        <w:rPr>
          <w:rFonts w:ascii="Arial" w:hAnsi="Arial" w:cs="Arial"/>
          <w:sz w:val="20"/>
          <w:szCs w:val="20"/>
        </w:rPr>
        <w:t>,</w:t>
      </w:r>
      <w:r w:rsidR="008B4DAB" w:rsidRPr="00921120">
        <w:rPr>
          <w:rFonts w:ascii="Arial" w:hAnsi="Arial" w:cs="Arial"/>
          <w:sz w:val="20"/>
          <w:szCs w:val="20"/>
        </w:rPr>
        <w:t xml:space="preserve"> t</w:t>
      </w:r>
      <w:r w:rsidRPr="00921120">
        <w:rPr>
          <w:rFonts w:ascii="Arial" w:hAnsi="Arial" w:cs="Arial"/>
          <w:sz w:val="20"/>
          <w:szCs w:val="20"/>
        </w:rPr>
        <w:t xml:space="preserve">here appeared </w:t>
      </w:r>
      <w:r w:rsidR="00975C8D" w:rsidRPr="00921120">
        <w:rPr>
          <w:rFonts w:ascii="Arial" w:hAnsi="Arial" w:cs="Arial"/>
          <w:sz w:val="20"/>
          <w:szCs w:val="20"/>
        </w:rPr>
        <w:t xml:space="preserve">to be a disjuncture/disconnection </w:t>
      </w:r>
      <w:r w:rsidRPr="00921120">
        <w:rPr>
          <w:rFonts w:ascii="Arial" w:hAnsi="Arial" w:cs="Arial"/>
          <w:sz w:val="20"/>
          <w:szCs w:val="20"/>
        </w:rPr>
        <w:t xml:space="preserve">in terms of the </w:t>
      </w:r>
      <w:r w:rsidR="00975C8D" w:rsidRPr="00921120">
        <w:rPr>
          <w:rFonts w:ascii="Arial" w:hAnsi="Arial" w:cs="Arial"/>
          <w:sz w:val="20"/>
          <w:szCs w:val="20"/>
        </w:rPr>
        <w:t xml:space="preserve">understanding </w:t>
      </w:r>
      <w:r w:rsidR="009F5F00" w:rsidRPr="00921120">
        <w:rPr>
          <w:rFonts w:ascii="Arial" w:hAnsi="Arial" w:cs="Arial"/>
          <w:sz w:val="20"/>
          <w:szCs w:val="20"/>
        </w:rPr>
        <w:t xml:space="preserve">by grant holders </w:t>
      </w:r>
      <w:r w:rsidR="00975C8D" w:rsidRPr="00921120">
        <w:rPr>
          <w:rFonts w:ascii="Arial" w:hAnsi="Arial" w:cs="Arial"/>
          <w:sz w:val="20"/>
          <w:szCs w:val="20"/>
        </w:rPr>
        <w:t xml:space="preserve">of certain required processes, such as reporting, and regulations around deviation of agreements, </w:t>
      </w:r>
      <w:r w:rsidRPr="00921120">
        <w:rPr>
          <w:rFonts w:ascii="Arial" w:hAnsi="Arial" w:cs="Arial"/>
          <w:sz w:val="20"/>
          <w:szCs w:val="20"/>
        </w:rPr>
        <w:t xml:space="preserve">once applications </w:t>
      </w:r>
      <w:r w:rsidR="009F5F00" w:rsidRPr="00921120">
        <w:rPr>
          <w:rFonts w:ascii="Arial" w:hAnsi="Arial" w:cs="Arial"/>
          <w:sz w:val="20"/>
          <w:szCs w:val="20"/>
        </w:rPr>
        <w:t>we</w:t>
      </w:r>
      <w:r w:rsidRPr="00921120">
        <w:rPr>
          <w:rFonts w:ascii="Arial" w:hAnsi="Arial" w:cs="Arial"/>
          <w:sz w:val="20"/>
          <w:szCs w:val="20"/>
        </w:rPr>
        <w:t>re approved and funds disbursed</w:t>
      </w:r>
      <w:r w:rsidR="00975C8D" w:rsidRPr="00921120">
        <w:rPr>
          <w:rFonts w:ascii="Arial" w:hAnsi="Arial" w:cs="Arial"/>
          <w:sz w:val="20"/>
          <w:szCs w:val="20"/>
        </w:rPr>
        <w:t xml:space="preserve">. </w:t>
      </w:r>
      <w:r w:rsidR="008B4DAB" w:rsidRPr="00921120">
        <w:rPr>
          <w:rFonts w:ascii="Arial" w:hAnsi="Arial" w:cs="Arial"/>
          <w:sz w:val="20"/>
          <w:szCs w:val="20"/>
        </w:rPr>
        <w:t>The expanded programme would thus aim to close this gap.</w:t>
      </w:r>
    </w:p>
    <w:p w:rsidR="00975C8D" w:rsidRPr="00921120" w:rsidRDefault="00975C8D" w:rsidP="00921120">
      <w:pPr>
        <w:spacing w:line="240" w:lineRule="auto"/>
        <w:jc w:val="left"/>
        <w:rPr>
          <w:rFonts w:ascii="Arial" w:hAnsi="Arial" w:cs="Arial"/>
          <w:sz w:val="20"/>
          <w:szCs w:val="20"/>
        </w:rPr>
      </w:pPr>
    </w:p>
    <w:p w:rsidR="00975C8D" w:rsidRPr="00921120" w:rsidRDefault="00975C8D" w:rsidP="00921120">
      <w:pPr>
        <w:spacing w:line="240" w:lineRule="auto"/>
        <w:jc w:val="left"/>
        <w:rPr>
          <w:rFonts w:ascii="Arial" w:hAnsi="Arial" w:cs="Arial"/>
          <w:sz w:val="20"/>
          <w:szCs w:val="20"/>
        </w:rPr>
      </w:pPr>
      <w:r w:rsidRPr="00921120">
        <w:rPr>
          <w:rFonts w:ascii="Arial" w:hAnsi="Arial" w:cs="Arial"/>
          <w:sz w:val="20"/>
          <w:szCs w:val="20"/>
        </w:rPr>
        <w:t xml:space="preserve">A </w:t>
      </w:r>
      <w:r w:rsidR="00B13544" w:rsidRPr="00921120">
        <w:rPr>
          <w:rFonts w:ascii="Arial" w:hAnsi="Arial" w:cs="Arial"/>
          <w:sz w:val="20"/>
          <w:szCs w:val="20"/>
        </w:rPr>
        <w:t xml:space="preserve">further </w:t>
      </w:r>
      <w:r w:rsidRPr="00921120">
        <w:rPr>
          <w:rFonts w:ascii="Arial" w:hAnsi="Arial" w:cs="Arial"/>
          <w:sz w:val="20"/>
          <w:szCs w:val="20"/>
        </w:rPr>
        <w:t xml:space="preserve">key area of concern </w:t>
      </w:r>
      <w:r w:rsidR="00B13544" w:rsidRPr="00921120">
        <w:rPr>
          <w:rFonts w:ascii="Arial" w:hAnsi="Arial" w:cs="Arial"/>
          <w:sz w:val="20"/>
          <w:szCs w:val="20"/>
        </w:rPr>
        <w:t>wa</w:t>
      </w:r>
      <w:r w:rsidRPr="00921120">
        <w:rPr>
          <w:rFonts w:ascii="Arial" w:hAnsi="Arial" w:cs="Arial"/>
          <w:sz w:val="20"/>
          <w:szCs w:val="20"/>
        </w:rPr>
        <w:t xml:space="preserve">s </w:t>
      </w:r>
      <w:r w:rsidR="00B13544" w:rsidRPr="00921120">
        <w:rPr>
          <w:rFonts w:ascii="Arial" w:hAnsi="Arial" w:cs="Arial"/>
          <w:sz w:val="20"/>
          <w:szCs w:val="20"/>
        </w:rPr>
        <w:t xml:space="preserve">its </w:t>
      </w:r>
      <w:r w:rsidRPr="00921120">
        <w:rPr>
          <w:rFonts w:ascii="Arial" w:hAnsi="Arial" w:cs="Arial"/>
          <w:sz w:val="20"/>
          <w:szCs w:val="20"/>
        </w:rPr>
        <w:t xml:space="preserve">ability to </w:t>
      </w:r>
      <w:r w:rsidR="008B4DAB" w:rsidRPr="00921120">
        <w:rPr>
          <w:rFonts w:ascii="Arial" w:hAnsi="Arial" w:cs="Arial"/>
          <w:sz w:val="20"/>
          <w:szCs w:val="20"/>
        </w:rPr>
        <w:t xml:space="preserve">detect </w:t>
      </w:r>
      <w:r w:rsidRPr="00921120">
        <w:rPr>
          <w:rFonts w:ascii="Arial" w:hAnsi="Arial" w:cs="Arial"/>
          <w:sz w:val="20"/>
          <w:szCs w:val="20"/>
        </w:rPr>
        <w:t xml:space="preserve">and identify fraudulent trends. Currently, individuals </w:t>
      </w:r>
      <w:r w:rsidR="00B13544" w:rsidRPr="00921120">
        <w:rPr>
          <w:rFonts w:ascii="Arial" w:hAnsi="Arial" w:cs="Arial"/>
          <w:sz w:val="20"/>
          <w:szCs w:val="20"/>
        </w:rPr>
        <w:t xml:space="preserve">are able to </w:t>
      </w:r>
      <w:r w:rsidRPr="00921120">
        <w:rPr>
          <w:rFonts w:ascii="Arial" w:hAnsi="Arial" w:cs="Arial"/>
          <w:sz w:val="20"/>
          <w:szCs w:val="20"/>
        </w:rPr>
        <w:t>register multiple non-profit organisations and then apply</w:t>
      </w:r>
      <w:r w:rsidR="008B4DAB" w:rsidRPr="00921120">
        <w:rPr>
          <w:rFonts w:ascii="Arial" w:hAnsi="Arial" w:cs="Arial"/>
          <w:sz w:val="20"/>
          <w:szCs w:val="20"/>
        </w:rPr>
        <w:t xml:space="preserve"> to the NLC</w:t>
      </w:r>
      <w:r w:rsidRPr="00921120">
        <w:rPr>
          <w:rFonts w:ascii="Arial" w:hAnsi="Arial" w:cs="Arial"/>
          <w:sz w:val="20"/>
          <w:szCs w:val="20"/>
        </w:rPr>
        <w:t xml:space="preserve"> for funding with the intention to </w:t>
      </w:r>
      <w:r w:rsidR="00B13544" w:rsidRPr="00921120">
        <w:rPr>
          <w:rFonts w:ascii="Arial" w:hAnsi="Arial" w:cs="Arial"/>
          <w:sz w:val="20"/>
          <w:szCs w:val="20"/>
        </w:rPr>
        <w:t>mis</w:t>
      </w:r>
      <w:r w:rsidRPr="00921120">
        <w:rPr>
          <w:rFonts w:ascii="Arial" w:hAnsi="Arial" w:cs="Arial"/>
          <w:sz w:val="20"/>
          <w:szCs w:val="20"/>
        </w:rPr>
        <w:t xml:space="preserve">use the funds. The </w:t>
      </w:r>
      <w:r w:rsidR="00B13544" w:rsidRPr="00921120">
        <w:rPr>
          <w:rFonts w:ascii="Arial" w:hAnsi="Arial" w:cs="Arial"/>
          <w:sz w:val="20"/>
          <w:szCs w:val="20"/>
        </w:rPr>
        <w:t xml:space="preserve">NLC was therefore embarking on a </w:t>
      </w:r>
      <w:r w:rsidRPr="00921120">
        <w:rPr>
          <w:rFonts w:ascii="Arial" w:hAnsi="Arial" w:cs="Arial"/>
          <w:sz w:val="20"/>
          <w:szCs w:val="20"/>
        </w:rPr>
        <w:t xml:space="preserve">trend analysis to identify those individuals in future applications. The NLC </w:t>
      </w:r>
      <w:r w:rsidR="00B13544" w:rsidRPr="00921120">
        <w:rPr>
          <w:rFonts w:ascii="Arial" w:hAnsi="Arial" w:cs="Arial"/>
          <w:sz w:val="20"/>
          <w:szCs w:val="20"/>
        </w:rPr>
        <w:t xml:space="preserve">further </w:t>
      </w:r>
      <w:r w:rsidRPr="00921120">
        <w:rPr>
          <w:rFonts w:ascii="Arial" w:hAnsi="Arial" w:cs="Arial"/>
          <w:sz w:val="20"/>
          <w:szCs w:val="20"/>
        </w:rPr>
        <w:t xml:space="preserve">acknowledged that it </w:t>
      </w:r>
      <w:r w:rsidR="00B13544" w:rsidRPr="00921120">
        <w:rPr>
          <w:rFonts w:ascii="Arial" w:hAnsi="Arial" w:cs="Arial"/>
          <w:sz w:val="20"/>
          <w:szCs w:val="20"/>
        </w:rPr>
        <w:t xml:space="preserve">was </w:t>
      </w:r>
      <w:r w:rsidRPr="00921120">
        <w:rPr>
          <w:rFonts w:ascii="Arial" w:hAnsi="Arial" w:cs="Arial"/>
          <w:sz w:val="20"/>
          <w:szCs w:val="20"/>
        </w:rPr>
        <w:t xml:space="preserve">currently severely under-resourced with regard to </w:t>
      </w:r>
      <w:r w:rsidR="008B4DAB" w:rsidRPr="00921120">
        <w:rPr>
          <w:rFonts w:ascii="Arial" w:hAnsi="Arial" w:cs="Arial"/>
          <w:sz w:val="20"/>
          <w:szCs w:val="20"/>
        </w:rPr>
        <w:t xml:space="preserve">its </w:t>
      </w:r>
      <w:r w:rsidRPr="00921120">
        <w:rPr>
          <w:rFonts w:ascii="Arial" w:hAnsi="Arial" w:cs="Arial"/>
          <w:sz w:val="20"/>
          <w:szCs w:val="20"/>
        </w:rPr>
        <w:t>forensic investigati</w:t>
      </w:r>
      <w:r w:rsidR="008B4DAB" w:rsidRPr="00921120">
        <w:rPr>
          <w:rFonts w:ascii="Arial" w:hAnsi="Arial" w:cs="Arial"/>
          <w:sz w:val="20"/>
          <w:szCs w:val="20"/>
        </w:rPr>
        <w:t>ve capacity</w:t>
      </w:r>
      <w:r w:rsidRPr="00921120">
        <w:rPr>
          <w:rFonts w:ascii="Arial" w:hAnsi="Arial" w:cs="Arial"/>
          <w:sz w:val="20"/>
          <w:szCs w:val="20"/>
        </w:rPr>
        <w:t xml:space="preserve"> but that it need</w:t>
      </w:r>
      <w:r w:rsidR="009F5F00" w:rsidRPr="00921120">
        <w:rPr>
          <w:rFonts w:ascii="Arial" w:hAnsi="Arial" w:cs="Arial"/>
          <w:sz w:val="20"/>
          <w:szCs w:val="20"/>
        </w:rPr>
        <w:t>ed</w:t>
      </w:r>
      <w:r w:rsidRPr="00921120">
        <w:rPr>
          <w:rFonts w:ascii="Arial" w:hAnsi="Arial" w:cs="Arial"/>
          <w:sz w:val="20"/>
          <w:szCs w:val="20"/>
        </w:rPr>
        <w:t xml:space="preserve"> to strengthen its </w:t>
      </w:r>
      <w:r w:rsidR="00B13544" w:rsidRPr="00921120">
        <w:rPr>
          <w:rFonts w:ascii="Arial" w:hAnsi="Arial" w:cs="Arial"/>
          <w:sz w:val="20"/>
          <w:szCs w:val="20"/>
        </w:rPr>
        <w:t xml:space="preserve">internal </w:t>
      </w:r>
      <w:r w:rsidRPr="00921120">
        <w:rPr>
          <w:rFonts w:ascii="Arial" w:hAnsi="Arial" w:cs="Arial"/>
          <w:sz w:val="20"/>
          <w:szCs w:val="20"/>
        </w:rPr>
        <w:t xml:space="preserve">audit control mechanisms to ensure that it </w:t>
      </w:r>
      <w:r w:rsidR="009F5F00" w:rsidRPr="00921120">
        <w:rPr>
          <w:rFonts w:ascii="Arial" w:hAnsi="Arial" w:cs="Arial"/>
          <w:sz w:val="20"/>
          <w:szCs w:val="20"/>
        </w:rPr>
        <w:t xml:space="preserve">could </w:t>
      </w:r>
      <w:r w:rsidRPr="00921120">
        <w:rPr>
          <w:rFonts w:ascii="Arial" w:hAnsi="Arial" w:cs="Arial"/>
          <w:sz w:val="20"/>
          <w:szCs w:val="20"/>
        </w:rPr>
        <w:t xml:space="preserve">account for money transferred to grant holders. </w:t>
      </w:r>
      <w:r w:rsidR="00B13544" w:rsidRPr="00921120">
        <w:rPr>
          <w:rFonts w:ascii="Arial" w:hAnsi="Arial" w:cs="Arial"/>
          <w:sz w:val="20"/>
          <w:szCs w:val="20"/>
        </w:rPr>
        <w:t xml:space="preserve">It was of the view that </w:t>
      </w:r>
      <w:r w:rsidRPr="00921120">
        <w:rPr>
          <w:rFonts w:ascii="Arial" w:hAnsi="Arial" w:cs="Arial"/>
          <w:sz w:val="20"/>
          <w:szCs w:val="20"/>
        </w:rPr>
        <w:t>the</w:t>
      </w:r>
      <w:r w:rsidR="00742C67" w:rsidRPr="00921120">
        <w:rPr>
          <w:rFonts w:ascii="Arial" w:hAnsi="Arial" w:cs="Arial"/>
          <w:sz w:val="20"/>
          <w:szCs w:val="20"/>
        </w:rPr>
        <w:t xml:space="preserve"> abovementioned </w:t>
      </w:r>
      <w:r w:rsidRPr="00921120">
        <w:rPr>
          <w:rFonts w:ascii="Arial" w:hAnsi="Arial" w:cs="Arial"/>
          <w:sz w:val="20"/>
          <w:szCs w:val="20"/>
        </w:rPr>
        <w:t>changes would enhance and strengthen their internal controls over the medium term</w:t>
      </w:r>
      <w:r w:rsidR="00742C67" w:rsidRPr="00921120">
        <w:rPr>
          <w:rFonts w:ascii="Arial" w:hAnsi="Arial" w:cs="Arial"/>
          <w:sz w:val="20"/>
          <w:szCs w:val="20"/>
        </w:rPr>
        <w:t>; however, there was still room for improvement</w:t>
      </w:r>
      <w:r w:rsidRPr="00921120">
        <w:rPr>
          <w:rFonts w:ascii="Arial" w:hAnsi="Arial" w:cs="Arial"/>
          <w:sz w:val="20"/>
          <w:szCs w:val="20"/>
        </w:rPr>
        <w:t xml:space="preserve">. </w:t>
      </w:r>
    </w:p>
    <w:p w:rsidR="00975C8D" w:rsidRPr="00921120" w:rsidRDefault="00975C8D" w:rsidP="00921120">
      <w:pPr>
        <w:spacing w:line="240" w:lineRule="auto"/>
        <w:jc w:val="left"/>
        <w:rPr>
          <w:rFonts w:ascii="Arial" w:hAnsi="Arial" w:cs="Arial"/>
          <w:sz w:val="20"/>
          <w:szCs w:val="20"/>
        </w:rPr>
      </w:pPr>
    </w:p>
    <w:p w:rsidR="00975C8D" w:rsidRPr="00921120" w:rsidRDefault="00975C8D" w:rsidP="00921120">
      <w:pPr>
        <w:spacing w:line="240" w:lineRule="auto"/>
        <w:jc w:val="left"/>
        <w:rPr>
          <w:rFonts w:ascii="Arial" w:hAnsi="Arial" w:cs="Arial"/>
          <w:sz w:val="20"/>
          <w:szCs w:val="20"/>
        </w:rPr>
      </w:pPr>
      <w:r w:rsidRPr="00921120">
        <w:rPr>
          <w:rFonts w:ascii="Arial" w:hAnsi="Arial" w:cs="Arial"/>
          <w:sz w:val="20"/>
          <w:szCs w:val="20"/>
        </w:rPr>
        <w:t xml:space="preserve">The NLC informed the Committee that it </w:t>
      </w:r>
      <w:r w:rsidR="00742C67" w:rsidRPr="00921120">
        <w:rPr>
          <w:rFonts w:ascii="Arial" w:hAnsi="Arial" w:cs="Arial"/>
          <w:sz w:val="20"/>
          <w:szCs w:val="20"/>
        </w:rPr>
        <w:t>wa</w:t>
      </w:r>
      <w:r w:rsidRPr="00921120">
        <w:rPr>
          <w:rFonts w:ascii="Arial" w:hAnsi="Arial" w:cs="Arial"/>
          <w:sz w:val="20"/>
          <w:szCs w:val="20"/>
        </w:rPr>
        <w:t xml:space="preserve">s moving towards a more automated </w:t>
      </w:r>
      <w:r w:rsidR="000E5D54" w:rsidRPr="00921120">
        <w:rPr>
          <w:rFonts w:ascii="Arial" w:hAnsi="Arial" w:cs="Arial"/>
          <w:sz w:val="20"/>
          <w:szCs w:val="20"/>
        </w:rPr>
        <w:t xml:space="preserve">validation process in the </w:t>
      </w:r>
      <w:r w:rsidRPr="00921120">
        <w:rPr>
          <w:rFonts w:ascii="Arial" w:hAnsi="Arial" w:cs="Arial"/>
          <w:sz w:val="20"/>
          <w:szCs w:val="20"/>
        </w:rPr>
        <w:t>grant funding system, in partnership with the CIPC and the Department of Home Affairs</w:t>
      </w:r>
      <w:r w:rsidR="00742C67" w:rsidRPr="00921120">
        <w:rPr>
          <w:rFonts w:ascii="Arial" w:hAnsi="Arial" w:cs="Arial"/>
          <w:sz w:val="20"/>
          <w:szCs w:val="20"/>
        </w:rPr>
        <w:t>,</w:t>
      </w:r>
      <w:r w:rsidRPr="00921120">
        <w:rPr>
          <w:rFonts w:ascii="Arial" w:hAnsi="Arial" w:cs="Arial"/>
          <w:sz w:val="20"/>
          <w:szCs w:val="20"/>
        </w:rPr>
        <w:t xml:space="preserve"> from paper registration to online registration. This would also include </w:t>
      </w:r>
      <w:r w:rsidR="00742C67" w:rsidRPr="00921120">
        <w:rPr>
          <w:rFonts w:ascii="Arial" w:hAnsi="Arial" w:cs="Arial"/>
          <w:sz w:val="20"/>
          <w:szCs w:val="20"/>
        </w:rPr>
        <w:t xml:space="preserve">the </w:t>
      </w:r>
      <w:r w:rsidRPr="00921120">
        <w:rPr>
          <w:rFonts w:ascii="Arial" w:hAnsi="Arial" w:cs="Arial"/>
          <w:sz w:val="20"/>
          <w:szCs w:val="20"/>
        </w:rPr>
        <w:t xml:space="preserve">submission </w:t>
      </w:r>
      <w:r w:rsidR="00742C67" w:rsidRPr="00921120">
        <w:rPr>
          <w:rFonts w:ascii="Arial" w:hAnsi="Arial" w:cs="Arial"/>
          <w:sz w:val="20"/>
          <w:szCs w:val="20"/>
        </w:rPr>
        <w:t xml:space="preserve">of </w:t>
      </w:r>
      <w:r w:rsidRPr="00921120">
        <w:rPr>
          <w:rFonts w:ascii="Arial" w:hAnsi="Arial" w:cs="Arial"/>
          <w:sz w:val="20"/>
          <w:szCs w:val="20"/>
        </w:rPr>
        <w:t xml:space="preserve">progress reports for compliance purposes. Furthermore, with the </w:t>
      </w:r>
      <w:r w:rsidR="00AB4359" w:rsidRPr="00921120">
        <w:rPr>
          <w:rFonts w:ascii="Arial" w:hAnsi="Arial" w:cs="Arial"/>
          <w:sz w:val="20"/>
          <w:szCs w:val="20"/>
        </w:rPr>
        <w:t>DSD</w:t>
      </w:r>
      <w:r w:rsidRPr="00921120">
        <w:rPr>
          <w:rFonts w:ascii="Arial" w:hAnsi="Arial" w:cs="Arial"/>
          <w:sz w:val="20"/>
          <w:szCs w:val="20"/>
        </w:rPr>
        <w:t xml:space="preserve">, it would seek to strengthen its verification of application information received. </w:t>
      </w:r>
    </w:p>
    <w:p w:rsidR="00975C8D" w:rsidRPr="00921120" w:rsidRDefault="00975C8D" w:rsidP="00921120">
      <w:pPr>
        <w:spacing w:line="240" w:lineRule="auto"/>
        <w:jc w:val="left"/>
        <w:rPr>
          <w:rFonts w:ascii="Arial" w:hAnsi="Arial" w:cs="Arial"/>
          <w:sz w:val="20"/>
          <w:szCs w:val="20"/>
        </w:rPr>
      </w:pPr>
    </w:p>
    <w:p w:rsidR="00975C8D" w:rsidRPr="00921120" w:rsidRDefault="00975C8D" w:rsidP="00921120">
      <w:pPr>
        <w:spacing w:line="240" w:lineRule="auto"/>
        <w:jc w:val="left"/>
        <w:rPr>
          <w:rFonts w:ascii="Arial" w:hAnsi="Arial" w:cs="Arial"/>
          <w:sz w:val="20"/>
          <w:szCs w:val="20"/>
        </w:rPr>
      </w:pPr>
      <w:r w:rsidRPr="00921120">
        <w:rPr>
          <w:rFonts w:ascii="Arial" w:hAnsi="Arial" w:cs="Arial"/>
          <w:sz w:val="20"/>
          <w:szCs w:val="20"/>
        </w:rPr>
        <w:t>With the</w:t>
      </w:r>
      <w:r w:rsidR="00742C67" w:rsidRPr="00921120">
        <w:rPr>
          <w:rFonts w:ascii="Arial" w:hAnsi="Arial" w:cs="Arial"/>
          <w:sz w:val="20"/>
          <w:szCs w:val="20"/>
        </w:rPr>
        <w:t xml:space="preserve"> 2013</w:t>
      </w:r>
      <w:r w:rsidRPr="00921120">
        <w:rPr>
          <w:rFonts w:ascii="Arial" w:hAnsi="Arial" w:cs="Arial"/>
          <w:sz w:val="20"/>
          <w:szCs w:val="20"/>
        </w:rPr>
        <w:t xml:space="preserve"> </w:t>
      </w:r>
      <w:r w:rsidR="00742C67" w:rsidRPr="00921120">
        <w:rPr>
          <w:rFonts w:ascii="Arial" w:hAnsi="Arial" w:cs="Arial"/>
          <w:sz w:val="20"/>
          <w:szCs w:val="20"/>
        </w:rPr>
        <w:t>Lotteries A</w:t>
      </w:r>
      <w:r w:rsidRPr="00921120">
        <w:rPr>
          <w:rFonts w:ascii="Arial" w:hAnsi="Arial" w:cs="Arial"/>
          <w:sz w:val="20"/>
          <w:szCs w:val="20"/>
        </w:rPr>
        <w:t xml:space="preserve">mendment Act, </w:t>
      </w:r>
      <w:r w:rsidR="00742C67" w:rsidRPr="00921120">
        <w:rPr>
          <w:rFonts w:ascii="Arial" w:hAnsi="Arial" w:cs="Arial"/>
          <w:sz w:val="20"/>
          <w:szCs w:val="20"/>
        </w:rPr>
        <w:t xml:space="preserve">less onerous requirements for </w:t>
      </w:r>
      <w:r w:rsidRPr="00921120">
        <w:rPr>
          <w:rFonts w:ascii="Arial" w:hAnsi="Arial" w:cs="Arial"/>
          <w:sz w:val="20"/>
          <w:szCs w:val="20"/>
        </w:rPr>
        <w:t xml:space="preserve">small grants up to R500 000 </w:t>
      </w:r>
      <w:r w:rsidR="00742C67" w:rsidRPr="00921120">
        <w:rPr>
          <w:rFonts w:ascii="Arial" w:hAnsi="Arial" w:cs="Arial"/>
          <w:sz w:val="20"/>
          <w:szCs w:val="20"/>
        </w:rPr>
        <w:t xml:space="preserve">had been </w:t>
      </w:r>
      <w:r w:rsidRPr="00921120">
        <w:rPr>
          <w:rFonts w:ascii="Arial" w:hAnsi="Arial" w:cs="Arial"/>
          <w:sz w:val="20"/>
          <w:szCs w:val="20"/>
        </w:rPr>
        <w:t>introduced</w:t>
      </w:r>
      <w:r w:rsidR="00742C67" w:rsidRPr="00921120">
        <w:rPr>
          <w:rFonts w:ascii="Arial" w:hAnsi="Arial" w:cs="Arial"/>
          <w:sz w:val="20"/>
          <w:szCs w:val="20"/>
        </w:rPr>
        <w:t>.</w:t>
      </w:r>
      <w:r w:rsidRPr="00921120">
        <w:rPr>
          <w:rFonts w:ascii="Arial" w:hAnsi="Arial" w:cs="Arial"/>
          <w:sz w:val="20"/>
          <w:szCs w:val="20"/>
        </w:rPr>
        <w:t xml:space="preserve"> </w:t>
      </w:r>
      <w:r w:rsidR="00742C67" w:rsidRPr="00921120">
        <w:rPr>
          <w:rFonts w:ascii="Arial" w:hAnsi="Arial" w:cs="Arial"/>
          <w:sz w:val="20"/>
          <w:szCs w:val="20"/>
        </w:rPr>
        <w:t>H</w:t>
      </w:r>
      <w:r w:rsidRPr="00921120">
        <w:rPr>
          <w:rFonts w:ascii="Arial" w:hAnsi="Arial" w:cs="Arial"/>
          <w:sz w:val="20"/>
          <w:szCs w:val="20"/>
        </w:rPr>
        <w:t>owever</w:t>
      </w:r>
      <w:r w:rsidR="00742C67" w:rsidRPr="00921120">
        <w:rPr>
          <w:rFonts w:ascii="Arial" w:hAnsi="Arial" w:cs="Arial"/>
          <w:sz w:val="20"/>
          <w:szCs w:val="20"/>
        </w:rPr>
        <w:t>,</w:t>
      </w:r>
      <w:r w:rsidRPr="00921120">
        <w:rPr>
          <w:rFonts w:ascii="Arial" w:hAnsi="Arial" w:cs="Arial"/>
          <w:sz w:val="20"/>
          <w:szCs w:val="20"/>
        </w:rPr>
        <w:t xml:space="preserve"> the NLC was of the view that t</w:t>
      </w:r>
      <w:r w:rsidR="00742C67" w:rsidRPr="00921120">
        <w:rPr>
          <w:rFonts w:ascii="Arial" w:hAnsi="Arial" w:cs="Arial"/>
          <w:sz w:val="20"/>
          <w:szCs w:val="20"/>
        </w:rPr>
        <w:t>hese grants</w:t>
      </w:r>
      <w:r w:rsidRPr="00921120">
        <w:rPr>
          <w:rFonts w:ascii="Arial" w:hAnsi="Arial" w:cs="Arial"/>
          <w:sz w:val="20"/>
          <w:szCs w:val="20"/>
        </w:rPr>
        <w:t xml:space="preserve"> should be more impactful and the organisation</w:t>
      </w:r>
      <w:r w:rsidR="00742C67" w:rsidRPr="00921120">
        <w:rPr>
          <w:rFonts w:ascii="Arial" w:hAnsi="Arial" w:cs="Arial"/>
          <w:sz w:val="20"/>
          <w:szCs w:val="20"/>
        </w:rPr>
        <w:t>s</w:t>
      </w:r>
      <w:r w:rsidRPr="00921120">
        <w:rPr>
          <w:rFonts w:ascii="Arial" w:hAnsi="Arial" w:cs="Arial"/>
          <w:sz w:val="20"/>
          <w:szCs w:val="20"/>
        </w:rPr>
        <w:t xml:space="preserve"> funded should be sustainable. An impact assessment should be conducted to determine whether these small grants </w:t>
      </w:r>
      <w:r w:rsidR="00742C67" w:rsidRPr="00921120">
        <w:rPr>
          <w:rFonts w:ascii="Arial" w:hAnsi="Arial" w:cs="Arial"/>
          <w:sz w:val="20"/>
          <w:szCs w:val="20"/>
        </w:rPr>
        <w:t>we</w:t>
      </w:r>
      <w:r w:rsidRPr="00921120">
        <w:rPr>
          <w:rFonts w:ascii="Arial" w:hAnsi="Arial" w:cs="Arial"/>
          <w:sz w:val="20"/>
          <w:szCs w:val="20"/>
        </w:rPr>
        <w:t>re actually impactful or whether the funding w</w:t>
      </w:r>
      <w:r w:rsidR="00742C67" w:rsidRPr="00921120">
        <w:rPr>
          <w:rFonts w:ascii="Arial" w:hAnsi="Arial" w:cs="Arial"/>
          <w:sz w:val="20"/>
          <w:szCs w:val="20"/>
        </w:rPr>
        <w:t>as</w:t>
      </w:r>
      <w:r w:rsidRPr="00921120">
        <w:rPr>
          <w:rFonts w:ascii="Arial" w:hAnsi="Arial" w:cs="Arial"/>
          <w:sz w:val="20"/>
          <w:szCs w:val="20"/>
        </w:rPr>
        <w:t xml:space="preserve"> only </w:t>
      </w:r>
      <w:r w:rsidR="00742C67" w:rsidRPr="00921120">
        <w:rPr>
          <w:rFonts w:ascii="Arial" w:hAnsi="Arial" w:cs="Arial"/>
          <w:sz w:val="20"/>
          <w:szCs w:val="20"/>
        </w:rPr>
        <w:t xml:space="preserve">used </w:t>
      </w:r>
      <w:r w:rsidRPr="00921120">
        <w:rPr>
          <w:rFonts w:ascii="Arial" w:hAnsi="Arial" w:cs="Arial"/>
          <w:sz w:val="20"/>
          <w:szCs w:val="20"/>
        </w:rPr>
        <w:t>to keep the</w:t>
      </w:r>
      <w:r w:rsidR="00742C67" w:rsidRPr="00921120">
        <w:rPr>
          <w:rFonts w:ascii="Arial" w:hAnsi="Arial" w:cs="Arial"/>
          <w:sz w:val="20"/>
          <w:szCs w:val="20"/>
        </w:rPr>
        <w:t>se</w:t>
      </w:r>
      <w:r w:rsidRPr="00921120">
        <w:rPr>
          <w:rFonts w:ascii="Arial" w:hAnsi="Arial" w:cs="Arial"/>
          <w:sz w:val="20"/>
          <w:szCs w:val="20"/>
        </w:rPr>
        <w:t xml:space="preserve"> organisation</w:t>
      </w:r>
      <w:r w:rsidR="00742C67" w:rsidRPr="00921120">
        <w:rPr>
          <w:rFonts w:ascii="Arial" w:hAnsi="Arial" w:cs="Arial"/>
          <w:sz w:val="20"/>
          <w:szCs w:val="20"/>
        </w:rPr>
        <w:t>s</w:t>
      </w:r>
      <w:r w:rsidRPr="00921120">
        <w:rPr>
          <w:rFonts w:ascii="Arial" w:hAnsi="Arial" w:cs="Arial"/>
          <w:sz w:val="20"/>
          <w:szCs w:val="20"/>
        </w:rPr>
        <w:t xml:space="preserve"> afloat</w:t>
      </w:r>
      <w:r w:rsidR="00742C67" w:rsidRPr="00921120">
        <w:rPr>
          <w:rFonts w:ascii="Arial" w:hAnsi="Arial" w:cs="Arial"/>
          <w:sz w:val="20"/>
          <w:szCs w:val="20"/>
        </w:rPr>
        <w:t xml:space="preserve"> given that they would be unable to </w:t>
      </w:r>
      <w:r w:rsidRPr="00921120">
        <w:rPr>
          <w:rFonts w:ascii="Arial" w:hAnsi="Arial" w:cs="Arial"/>
          <w:sz w:val="20"/>
          <w:szCs w:val="20"/>
        </w:rPr>
        <w:t>apply for funding</w:t>
      </w:r>
      <w:r w:rsidR="00742C67" w:rsidRPr="00921120">
        <w:rPr>
          <w:rFonts w:ascii="Arial" w:hAnsi="Arial" w:cs="Arial"/>
          <w:sz w:val="20"/>
          <w:szCs w:val="20"/>
        </w:rPr>
        <w:t xml:space="preserve"> annually</w:t>
      </w:r>
      <w:r w:rsidRPr="00921120">
        <w:rPr>
          <w:rFonts w:ascii="Arial" w:hAnsi="Arial" w:cs="Arial"/>
          <w:sz w:val="20"/>
          <w:szCs w:val="20"/>
        </w:rPr>
        <w:t xml:space="preserve">. The NLC also informed the Committee that it </w:t>
      </w:r>
      <w:r w:rsidR="00742C67" w:rsidRPr="00921120">
        <w:rPr>
          <w:rFonts w:ascii="Arial" w:hAnsi="Arial" w:cs="Arial"/>
          <w:sz w:val="20"/>
          <w:szCs w:val="20"/>
        </w:rPr>
        <w:t>wa</w:t>
      </w:r>
      <w:r w:rsidRPr="00921120">
        <w:rPr>
          <w:rFonts w:ascii="Arial" w:hAnsi="Arial" w:cs="Arial"/>
          <w:sz w:val="20"/>
          <w:szCs w:val="20"/>
        </w:rPr>
        <w:t xml:space="preserve">s reviewing the minimum requirements for accessing funding.  </w:t>
      </w:r>
    </w:p>
    <w:p w:rsidR="003E04BE" w:rsidRPr="00921120" w:rsidRDefault="003E04BE" w:rsidP="00921120">
      <w:pPr>
        <w:spacing w:line="240" w:lineRule="auto"/>
        <w:jc w:val="left"/>
        <w:rPr>
          <w:rFonts w:ascii="Arial" w:hAnsi="Arial" w:cs="Arial"/>
          <w:sz w:val="20"/>
          <w:szCs w:val="20"/>
        </w:rPr>
      </w:pPr>
    </w:p>
    <w:p w:rsidR="00975C8D" w:rsidRPr="00921120" w:rsidRDefault="00975C8D" w:rsidP="00921120">
      <w:pPr>
        <w:spacing w:line="240" w:lineRule="auto"/>
        <w:jc w:val="left"/>
        <w:rPr>
          <w:rFonts w:ascii="Arial" w:hAnsi="Arial" w:cs="Arial"/>
          <w:sz w:val="20"/>
          <w:szCs w:val="20"/>
        </w:rPr>
      </w:pPr>
      <w:r w:rsidRPr="00921120">
        <w:rPr>
          <w:rFonts w:ascii="Arial" w:hAnsi="Arial" w:cs="Arial"/>
          <w:sz w:val="20"/>
          <w:szCs w:val="20"/>
        </w:rPr>
        <w:t>Although the Lotteries Act and regulations require that financial records be submitted, this requirement was not strictly enforced. Therefore, the NLC recognise</w:t>
      </w:r>
      <w:r w:rsidR="00742C67" w:rsidRPr="00921120">
        <w:rPr>
          <w:rFonts w:ascii="Arial" w:hAnsi="Arial" w:cs="Arial"/>
          <w:sz w:val="20"/>
          <w:szCs w:val="20"/>
        </w:rPr>
        <w:t>d</w:t>
      </w:r>
      <w:r w:rsidRPr="00921120">
        <w:rPr>
          <w:rFonts w:ascii="Arial" w:hAnsi="Arial" w:cs="Arial"/>
          <w:sz w:val="20"/>
          <w:szCs w:val="20"/>
        </w:rPr>
        <w:t xml:space="preserve"> that in light of the allegations of maladministration and fraud it must enforce legislative obligations to strengthen the organisation.  </w:t>
      </w:r>
    </w:p>
    <w:p w:rsidR="00975C8D" w:rsidRPr="00921120" w:rsidRDefault="00975C8D" w:rsidP="00921120">
      <w:pPr>
        <w:spacing w:line="240" w:lineRule="auto"/>
        <w:jc w:val="left"/>
        <w:rPr>
          <w:rFonts w:ascii="Arial" w:hAnsi="Arial" w:cs="Arial"/>
          <w:sz w:val="20"/>
          <w:szCs w:val="20"/>
        </w:rPr>
      </w:pPr>
    </w:p>
    <w:p w:rsidR="00975C8D" w:rsidRPr="00921120" w:rsidRDefault="00975C8D" w:rsidP="00921120">
      <w:pPr>
        <w:spacing w:line="240" w:lineRule="auto"/>
        <w:jc w:val="left"/>
        <w:rPr>
          <w:rFonts w:ascii="Arial" w:hAnsi="Arial" w:cs="Arial"/>
          <w:sz w:val="20"/>
          <w:szCs w:val="20"/>
        </w:rPr>
      </w:pPr>
      <w:r w:rsidRPr="00921120">
        <w:rPr>
          <w:rFonts w:ascii="Arial" w:hAnsi="Arial" w:cs="Arial"/>
          <w:sz w:val="20"/>
          <w:szCs w:val="20"/>
        </w:rPr>
        <w:t xml:space="preserve">The NLC </w:t>
      </w:r>
      <w:r w:rsidR="00742C67" w:rsidRPr="00921120">
        <w:rPr>
          <w:rFonts w:ascii="Arial" w:hAnsi="Arial" w:cs="Arial"/>
          <w:sz w:val="20"/>
          <w:szCs w:val="20"/>
        </w:rPr>
        <w:t xml:space="preserve">further </w:t>
      </w:r>
      <w:r w:rsidRPr="00921120">
        <w:rPr>
          <w:rFonts w:ascii="Arial" w:hAnsi="Arial" w:cs="Arial"/>
          <w:sz w:val="20"/>
          <w:szCs w:val="20"/>
        </w:rPr>
        <w:t xml:space="preserve">recognised that enhanced and regular communication with its stakeholders would be a key element in rebuilding the reputation of the institution as it would enhance transparency in relation to its functioning and operations.  </w:t>
      </w:r>
    </w:p>
    <w:p w:rsidR="009F4BE8" w:rsidRPr="00921120" w:rsidRDefault="009F4BE8" w:rsidP="00921120">
      <w:pPr>
        <w:spacing w:line="240" w:lineRule="auto"/>
        <w:jc w:val="left"/>
        <w:rPr>
          <w:rFonts w:ascii="Arial" w:hAnsi="Arial" w:cs="Arial"/>
          <w:sz w:val="20"/>
          <w:szCs w:val="20"/>
        </w:rPr>
      </w:pPr>
    </w:p>
    <w:p w:rsidR="00CA4387" w:rsidRPr="00921120" w:rsidRDefault="00CA4387" w:rsidP="00921120">
      <w:pPr>
        <w:pStyle w:val="PlainText"/>
        <w:rPr>
          <w:rFonts w:ascii="Arial" w:hAnsi="Arial" w:cs="Arial"/>
          <w:color w:val="FF0000"/>
          <w:sz w:val="20"/>
          <w:szCs w:val="20"/>
        </w:rPr>
      </w:pPr>
      <w:r w:rsidRPr="00921120">
        <w:rPr>
          <w:rFonts w:ascii="Arial" w:hAnsi="Arial" w:cs="Arial"/>
          <w:color w:val="000000" w:themeColor="text1"/>
          <w:sz w:val="20"/>
          <w:szCs w:val="20"/>
        </w:rPr>
        <w:t>The Committee noted that the NLC had not utilised ward councillors, traditional leaders, local organisations and other public representatives to verify the existence of an organisation, and whether the land was available for a particular project</w:t>
      </w:r>
      <w:r w:rsidR="000E5D54" w:rsidRPr="00921120">
        <w:rPr>
          <w:rFonts w:ascii="Arial" w:hAnsi="Arial" w:cs="Arial"/>
          <w:color w:val="000000" w:themeColor="text1"/>
          <w:sz w:val="20"/>
          <w:szCs w:val="20"/>
        </w:rPr>
        <w:t>’s</w:t>
      </w:r>
      <w:r w:rsidRPr="00921120">
        <w:rPr>
          <w:rFonts w:ascii="Arial" w:hAnsi="Arial" w:cs="Arial"/>
          <w:color w:val="000000" w:themeColor="text1"/>
          <w:sz w:val="20"/>
          <w:szCs w:val="20"/>
        </w:rPr>
        <w:t xml:space="preserve"> pre-approval. It enquired what measures the NLC would be implementing to ensure that these important role-players </w:t>
      </w:r>
      <w:r w:rsidR="00072BF7" w:rsidRPr="00921120">
        <w:rPr>
          <w:rFonts w:ascii="Arial" w:hAnsi="Arial" w:cs="Arial"/>
          <w:color w:val="000000" w:themeColor="text1"/>
          <w:sz w:val="20"/>
          <w:szCs w:val="20"/>
        </w:rPr>
        <w:t>we</w:t>
      </w:r>
      <w:r w:rsidRPr="00921120">
        <w:rPr>
          <w:rFonts w:ascii="Arial" w:hAnsi="Arial" w:cs="Arial"/>
          <w:color w:val="000000" w:themeColor="text1"/>
          <w:sz w:val="20"/>
          <w:szCs w:val="20"/>
        </w:rPr>
        <w:t>re incorporated into its verification process. The NLC indicated that it ha</w:t>
      </w:r>
      <w:r w:rsidR="00072BF7" w:rsidRPr="00921120">
        <w:rPr>
          <w:rFonts w:ascii="Arial" w:hAnsi="Arial" w:cs="Arial"/>
          <w:color w:val="000000" w:themeColor="text1"/>
          <w:sz w:val="20"/>
          <w:szCs w:val="20"/>
        </w:rPr>
        <w:t>d</w:t>
      </w:r>
      <w:r w:rsidRPr="00921120">
        <w:rPr>
          <w:rFonts w:ascii="Arial" w:hAnsi="Arial" w:cs="Arial"/>
          <w:color w:val="000000" w:themeColor="text1"/>
          <w:sz w:val="20"/>
          <w:szCs w:val="20"/>
        </w:rPr>
        <w:t xml:space="preserve"> recognised that the respective ward councillors, traditional leaders, and community leaders should be informed about the projects as part of the pre-verification of projects, thereby ensuring accountability. </w:t>
      </w:r>
    </w:p>
    <w:p w:rsidR="00975C8D" w:rsidRPr="00921120" w:rsidRDefault="00975C8D" w:rsidP="00921120">
      <w:pPr>
        <w:spacing w:line="240" w:lineRule="auto"/>
        <w:jc w:val="left"/>
        <w:rPr>
          <w:rFonts w:ascii="Arial" w:hAnsi="Arial" w:cs="Arial"/>
          <w:b/>
          <w:sz w:val="20"/>
          <w:szCs w:val="20"/>
        </w:rPr>
      </w:pPr>
    </w:p>
    <w:p w:rsidR="00CA4387" w:rsidRPr="00921120" w:rsidRDefault="00CA4387" w:rsidP="00921120">
      <w:pPr>
        <w:pStyle w:val="Heading3"/>
        <w:spacing w:line="240" w:lineRule="auto"/>
        <w:jc w:val="left"/>
        <w:rPr>
          <w:rFonts w:ascii="Arial" w:hAnsi="Arial" w:cs="Arial"/>
          <w:sz w:val="20"/>
          <w:szCs w:val="20"/>
        </w:rPr>
      </w:pPr>
      <w:r w:rsidRPr="00921120">
        <w:rPr>
          <w:rFonts w:ascii="Arial" w:hAnsi="Arial" w:cs="Arial"/>
          <w:sz w:val="20"/>
          <w:szCs w:val="20"/>
        </w:rPr>
        <w:t>Status on internal investigations</w:t>
      </w:r>
    </w:p>
    <w:p w:rsidR="00CA4387" w:rsidRPr="00921120" w:rsidRDefault="00CA4387" w:rsidP="00921120">
      <w:pPr>
        <w:spacing w:line="240" w:lineRule="auto"/>
        <w:jc w:val="left"/>
        <w:rPr>
          <w:rFonts w:ascii="Arial" w:hAnsi="Arial" w:cs="Arial"/>
          <w:sz w:val="20"/>
          <w:szCs w:val="20"/>
        </w:rPr>
      </w:pPr>
    </w:p>
    <w:p w:rsidR="00975C8D" w:rsidRPr="00921120" w:rsidRDefault="00975C8D" w:rsidP="00921120">
      <w:pPr>
        <w:pStyle w:val="Heading4"/>
        <w:spacing w:line="240" w:lineRule="auto"/>
        <w:jc w:val="left"/>
        <w:rPr>
          <w:rFonts w:ascii="Arial" w:hAnsi="Arial" w:cs="Arial"/>
          <w:sz w:val="20"/>
          <w:szCs w:val="20"/>
        </w:rPr>
      </w:pPr>
      <w:r w:rsidRPr="00921120">
        <w:rPr>
          <w:rFonts w:ascii="Arial" w:hAnsi="Arial" w:cs="Arial"/>
          <w:sz w:val="20"/>
          <w:szCs w:val="20"/>
        </w:rPr>
        <w:t>Status of infrastructure projects</w:t>
      </w:r>
    </w:p>
    <w:p w:rsidR="00F5635A" w:rsidRPr="00921120" w:rsidRDefault="00975C8D" w:rsidP="00921120">
      <w:pPr>
        <w:spacing w:line="240" w:lineRule="auto"/>
        <w:jc w:val="left"/>
        <w:rPr>
          <w:rFonts w:ascii="Arial" w:hAnsi="Arial" w:cs="Arial"/>
          <w:sz w:val="20"/>
          <w:szCs w:val="20"/>
        </w:rPr>
      </w:pPr>
      <w:r w:rsidRPr="00921120">
        <w:rPr>
          <w:rFonts w:ascii="Arial" w:hAnsi="Arial" w:cs="Arial"/>
          <w:sz w:val="20"/>
          <w:szCs w:val="20"/>
        </w:rPr>
        <w:t xml:space="preserve">The NLC informed the Committee that of the 14 proactively funded infrastructure projects, </w:t>
      </w:r>
      <w:r w:rsidR="004926C2" w:rsidRPr="00921120">
        <w:rPr>
          <w:rFonts w:ascii="Arial" w:hAnsi="Arial" w:cs="Arial"/>
          <w:sz w:val="20"/>
          <w:szCs w:val="20"/>
        </w:rPr>
        <w:t>eight</w:t>
      </w:r>
      <w:r w:rsidRPr="00921120">
        <w:rPr>
          <w:rFonts w:ascii="Arial" w:hAnsi="Arial" w:cs="Arial"/>
          <w:sz w:val="20"/>
          <w:szCs w:val="20"/>
        </w:rPr>
        <w:t xml:space="preserve"> had been completed, and four </w:t>
      </w:r>
      <w:r w:rsidR="004926C2" w:rsidRPr="00921120">
        <w:rPr>
          <w:rFonts w:ascii="Arial" w:hAnsi="Arial" w:cs="Arial"/>
          <w:sz w:val="20"/>
          <w:szCs w:val="20"/>
        </w:rPr>
        <w:t>were</w:t>
      </w:r>
      <w:r w:rsidRPr="00921120">
        <w:rPr>
          <w:rFonts w:ascii="Arial" w:hAnsi="Arial" w:cs="Arial"/>
          <w:sz w:val="20"/>
          <w:szCs w:val="20"/>
        </w:rPr>
        <w:t xml:space="preserve"> still in progress, with two projects placed on hold. The NLC reiterated that all these projects </w:t>
      </w:r>
      <w:r w:rsidR="004926C2" w:rsidRPr="00921120">
        <w:rPr>
          <w:rFonts w:ascii="Arial" w:hAnsi="Arial" w:cs="Arial"/>
          <w:sz w:val="20"/>
          <w:szCs w:val="20"/>
        </w:rPr>
        <w:t>we</w:t>
      </w:r>
      <w:r w:rsidRPr="00921120">
        <w:rPr>
          <w:rFonts w:ascii="Arial" w:hAnsi="Arial" w:cs="Arial"/>
          <w:sz w:val="20"/>
          <w:szCs w:val="20"/>
        </w:rPr>
        <w:t xml:space="preserve">re currently under investigation by the SIU. </w:t>
      </w:r>
      <w:r w:rsidR="000375C0" w:rsidRPr="00921120">
        <w:rPr>
          <w:rFonts w:ascii="Arial" w:hAnsi="Arial" w:cs="Arial"/>
          <w:sz w:val="20"/>
          <w:szCs w:val="20"/>
        </w:rPr>
        <w:t>However, it was working in partnership with the DSD to provide assistance from social workers and for operational costs. A list of these projects are provided in the table below:</w:t>
      </w:r>
    </w:p>
    <w:p w:rsidR="00F5635A" w:rsidRPr="00921120" w:rsidRDefault="00F5635A" w:rsidP="00921120">
      <w:pPr>
        <w:spacing w:line="240" w:lineRule="auto"/>
        <w:jc w:val="left"/>
        <w:rPr>
          <w:rFonts w:ascii="Arial" w:hAnsi="Arial" w:cs="Arial"/>
          <w:sz w:val="20"/>
          <w:szCs w:val="20"/>
        </w:rPr>
      </w:pPr>
    </w:p>
    <w:tbl>
      <w:tblPr>
        <w:tblStyle w:val="TableGrid"/>
        <w:tblW w:w="5000" w:type="pct"/>
        <w:tblLook w:val="04A0"/>
      </w:tblPr>
      <w:tblGrid>
        <w:gridCol w:w="2030"/>
        <w:gridCol w:w="7212"/>
      </w:tblGrid>
      <w:tr w:rsidR="00F5635A" w:rsidRPr="00921120" w:rsidTr="00EF19FA">
        <w:tc>
          <w:tcPr>
            <w:tcW w:w="1098" w:type="pct"/>
          </w:tcPr>
          <w:p w:rsidR="00F5635A" w:rsidRPr="00921120" w:rsidRDefault="00F5635A" w:rsidP="00921120">
            <w:pPr>
              <w:spacing w:line="240" w:lineRule="auto"/>
              <w:rPr>
                <w:rFonts w:ascii="Arial" w:hAnsi="Arial" w:cs="Arial"/>
                <w:b/>
                <w:sz w:val="20"/>
                <w:szCs w:val="20"/>
              </w:rPr>
            </w:pPr>
            <w:r w:rsidRPr="00921120">
              <w:rPr>
                <w:rFonts w:ascii="Arial" w:hAnsi="Arial" w:cs="Arial"/>
                <w:b/>
                <w:sz w:val="20"/>
                <w:szCs w:val="20"/>
              </w:rPr>
              <w:t>Status of projects</w:t>
            </w:r>
          </w:p>
        </w:tc>
        <w:tc>
          <w:tcPr>
            <w:tcW w:w="3902" w:type="pct"/>
          </w:tcPr>
          <w:p w:rsidR="00F5635A" w:rsidRPr="00921120" w:rsidRDefault="00F5635A" w:rsidP="00921120">
            <w:pPr>
              <w:spacing w:line="240" w:lineRule="auto"/>
              <w:rPr>
                <w:rFonts w:ascii="Arial" w:hAnsi="Arial" w:cs="Arial"/>
                <w:b/>
                <w:sz w:val="20"/>
                <w:szCs w:val="20"/>
              </w:rPr>
            </w:pPr>
            <w:r w:rsidRPr="00921120">
              <w:rPr>
                <w:rFonts w:ascii="Arial" w:hAnsi="Arial" w:cs="Arial"/>
                <w:b/>
                <w:sz w:val="20"/>
                <w:szCs w:val="20"/>
              </w:rPr>
              <w:t>Name of the organisations funded</w:t>
            </w:r>
          </w:p>
        </w:tc>
      </w:tr>
      <w:tr w:rsidR="00F5635A" w:rsidRPr="00921120" w:rsidTr="00EF19FA">
        <w:tc>
          <w:tcPr>
            <w:tcW w:w="1098" w:type="pct"/>
          </w:tcPr>
          <w:p w:rsidR="00F5635A" w:rsidRPr="00921120" w:rsidRDefault="00F5635A" w:rsidP="00921120">
            <w:pPr>
              <w:spacing w:line="240" w:lineRule="auto"/>
              <w:rPr>
                <w:rFonts w:ascii="Arial" w:hAnsi="Arial" w:cs="Arial"/>
                <w:sz w:val="20"/>
                <w:szCs w:val="20"/>
              </w:rPr>
            </w:pPr>
            <w:r w:rsidRPr="00921120">
              <w:rPr>
                <w:rFonts w:ascii="Arial" w:hAnsi="Arial" w:cs="Arial"/>
                <w:sz w:val="20"/>
                <w:szCs w:val="20"/>
              </w:rPr>
              <w:t>Completed</w:t>
            </w:r>
          </w:p>
        </w:tc>
        <w:tc>
          <w:tcPr>
            <w:tcW w:w="3902" w:type="pct"/>
          </w:tcPr>
          <w:p w:rsidR="00F5635A" w:rsidRPr="00921120" w:rsidRDefault="00F5635A" w:rsidP="00921120">
            <w:pPr>
              <w:spacing w:line="240" w:lineRule="auto"/>
              <w:rPr>
                <w:rFonts w:ascii="Arial" w:hAnsi="Arial" w:cs="Arial"/>
                <w:sz w:val="20"/>
                <w:szCs w:val="20"/>
              </w:rPr>
            </w:pPr>
            <w:r w:rsidRPr="00921120">
              <w:rPr>
                <w:rFonts w:ascii="Arial" w:hAnsi="Arial" w:cs="Arial"/>
                <w:sz w:val="20"/>
                <w:szCs w:val="20"/>
              </w:rPr>
              <w:t>Caiphus Semenya Foundation (arts centre)</w:t>
            </w:r>
          </w:p>
          <w:p w:rsidR="00F5635A" w:rsidRPr="00921120" w:rsidRDefault="00F5635A" w:rsidP="00921120">
            <w:pPr>
              <w:spacing w:line="240" w:lineRule="auto"/>
              <w:rPr>
                <w:rFonts w:ascii="Arial" w:hAnsi="Arial" w:cs="Arial"/>
                <w:sz w:val="20"/>
                <w:szCs w:val="20"/>
              </w:rPr>
            </w:pPr>
            <w:r w:rsidRPr="00921120">
              <w:rPr>
                <w:rFonts w:ascii="Arial" w:hAnsi="Arial" w:cs="Arial"/>
                <w:sz w:val="20"/>
                <w:szCs w:val="20"/>
              </w:rPr>
              <w:t>Hlayisani Centre of Hope (Gender-based violence and disability centre)</w:t>
            </w:r>
          </w:p>
          <w:p w:rsidR="00F5635A" w:rsidRPr="00921120" w:rsidRDefault="00F5635A" w:rsidP="00921120">
            <w:pPr>
              <w:spacing w:line="240" w:lineRule="auto"/>
              <w:rPr>
                <w:rFonts w:ascii="Arial" w:hAnsi="Arial" w:cs="Arial"/>
                <w:sz w:val="20"/>
                <w:szCs w:val="20"/>
              </w:rPr>
            </w:pPr>
            <w:r w:rsidRPr="00921120">
              <w:rPr>
                <w:rFonts w:ascii="Arial" w:hAnsi="Arial" w:cs="Arial"/>
                <w:sz w:val="20"/>
                <w:szCs w:val="20"/>
              </w:rPr>
              <w:t>Matieni Community Centre (old age home)</w:t>
            </w:r>
          </w:p>
          <w:p w:rsidR="00F5635A" w:rsidRPr="00921120" w:rsidRDefault="00F5635A" w:rsidP="00921120">
            <w:pPr>
              <w:spacing w:line="240" w:lineRule="auto"/>
              <w:rPr>
                <w:rFonts w:ascii="Arial" w:hAnsi="Arial" w:cs="Arial"/>
                <w:sz w:val="20"/>
                <w:szCs w:val="20"/>
              </w:rPr>
            </w:pPr>
            <w:r w:rsidRPr="00921120">
              <w:rPr>
                <w:rFonts w:ascii="Arial" w:hAnsi="Arial" w:cs="Arial"/>
                <w:sz w:val="20"/>
                <w:szCs w:val="20"/>
              </w:rPr>
              <w:t>Zibsilor (drug rehabilitation centre)</w:t>
            </w:r>
          </w:p>
          <w:p w:rsidR="00F5635A" w:rsidRPr="00921120" w:rsidRDefault="00F5635A" w:rsidP="00921120">
            <w:pPr>
              <w:spacing w:line="240" w:lineRule="auto"/>
              <w:rPr>
                <w:rFonts w:ascii="Arial" w:hAnsi="Arial" w:cs="Arial"/>
                <w:sz w:val="20"/>
                <w:szCs w:val="20"/>
              </w:rPr>
            </w:pPr>
            <w:r w:rsidRPr="00921120">
              <w:rPr>
                <w:rFonts w:ascii="Arial" w:hAnsi="Arial" w:cs="Arial"/>
                <w:sz w:val="20"/>
                <w:szCs w:val="20"/>
              </w:rPr>
              <w:t>Nunnovation (multipurpose hall)</w:t>
            </w:r>
          </w:p>
          <w:p w:rsidR="00F5635A" w:rsidRPr="00921120" w:rsidRDefault="00F5635A" w:rsidP="00921120">
            <w:pPr>
              <w:spacing w:line="240" w:lineRule="auto"/>
              <w:rPr>
                <w:rFonts w:ascii="Arial" w:hAnsi="Arial" w:cs="Arial"/>
                <w:sz w:val="20"/>
                <w:szCs w:val="20"/>
              </w:rPr>
            </w:pPr>
            <w:r w:rsidRPr="00921120">
              <w:rPr>
                <w:rFonts w:ascii="Arial" w:hAnsi="Arial" w:cs="Arial"/>
                <w:sz w:val="20"/>
                <w:szCs w:val="20"/>
              </w:rPr>
              <w:t>Southern African Youth Movement (old age home)</w:t>
            </w:r>
          </w:p>
          <w:p w:rsidR="00F5635A" w:rsidRPr="00921120" w:rsidRDefault="00F5635A" w:rsidP="00921120">
            <w:pPr>
              <w:spacing w:line="240" w:lineRule="auto"/>
              <w:rPr>
                <w:rFonts w:ascii="Arial" w:hAnsi="Arial" w:cs="Arial"/>
                <w:sz w:val="20"/>
                <w:szCs w:val="20"/>
              </w:rPr>
            </w:pPr>
            <w:r w:rsidRPr="00921120">
              <w:rPr>
                <w:rFonts w:ascii="Arial" w:hAnsi="Arial" w:cs="Arial"/>
                <w:sz w:val="20"/>
                <w:szCs w:val="20"/>
              </w:rPr>
              <w:t>Southern African Youth Movement (drug rehabilitation centre)</w:t>
            </w:r>
          </w:p>
          <w:p w:rsidR="00F5635A" w:rsidRPr="00921120" w:rsidRDefault="00F5635A" w:rsidP="00921120">
            <w:pPr>
              <w:spacing w:line="240" w:lineRule="auto"/>
              <w:rPr>
                <w:rFonts w:ascii="Arial" w:hAnsi="Arial" w:cs="Arial"/>
                <w:sz w:val="20"/>
                <w:szCs w:val="20"/>
              </w:rPr>
            </w:pPr>
            <w:r w:rsidRPr="00921120">
              <w:rPr>
                <w:rFonts w:ascii="Arial" w:hAnsi="Arial" w:cs="Arial"/>
                <w:sz w:val="20"/>
                <w:szCs w:val="20"/>
              </w:rPr>
              <w:t>Abrina (drug rehabilitation centre)</w:t>
            </w:r>
          </w:p>
        </w:tc>
      </w:tr>
      <w:tr w:rsidR="00F5635A" w:rsidRPr="00921120" w:rsidTr="00EF19FA">
        <w:tc>
          <w:tcPr>
            <w:tcW w:w="1098" w:type="pct"/>
          </w:tcPr>
          <w:p w:rsidR="00F5635A" w:rsidRPr="00921120" w:rsidRDefault="00F5635A" w:rsidP="00921120">
            <w:pPr>
              <w:spacing w:line="240" w:lineRule="auto"/>
              <w:rPr>
                <w:rFonts w:ascii="Arial" w:hAnsi="Arial" w:cs="Arial"/>
                <w:sz w:val="20"/>
                <w:szCs w:val="20"/>
              </w:rPr>
            </w:pPr>
            <w:r w:rsidRPr="00921120">
              <w:rPr>
                <w:rFonts w:ascii="Arial" w:hAnsi="Arial" w:cs="Arial"/>
                <w:sz w:val="20"/>
                <w:szCs w:val="20"/>
              </w:rPr>
              <w:t>Incomplete</w:t>
            </w:r>
          </w:p>
        </w:tc>
        <w:tc>
          <w:tcPr>
            <w:tcW w:w="3902" w:type="pct"/>
          </w:tcPr>
          <w:p w:rsidR="00F5635A" w:rsidRPr="00921120" w:rsidRDefault="00F5635A" w:rsidP="00921120">
            <w:pPr>
              <w:spacing w:line="240" w:lineRule="auto"/>
              <w:rPr>
                <w:rFonts w:ascii="Arial" w:hAnsi="Arial" w:cs="Arial"/>
                <w:sz w:val="20"/>
                <w:szCs w:val="20"/>
              </w:rPr>
            </w:pPr>
            <w:r w:rsidRPr="00921120">
              <w:rPr>
                <w:rFonts w:ascii="Arial" w:hAnsi="Arial" w:cs="Arial"/>
                <w:sz w:val="20"/>
                <w:szCs w:val="20"/>
              </w:rPr>
              <w:t>WAR RNA (old age home)</w:t>
            </w:r>
          </w:p>
          <w:p w:rsidR="00F5635A" w:rsidRPr="00921120" w:rsidRDefault="00F5635A" w:rsidP="00921120">
            <w:pPr>
              <w:spacing w:line="240" w:lineRule="auto"/>
              <w:rPr>
                <w:rFonts w:ascii="Arial" w:hAnsi="Arial" w:cs="Arial"/>
                <w:sz w:val="20"/>
                <w:szCs w:val="20"/>
              </w:rPr>
            </w:pPr>
            <w:r w:rsidRPr="00921120">
              <w:rPr>
                <w:rFonts w:ascii="Arial" w:hAnsi="Arial" w:cs="Arial"/>
                <w:sz w:val="20"/>
                <w:szCs w:val="20"/>
              </w:rPr>
              <w:t xml:space="preserve">Ubusu </w:t>
            </w:r>
            <w:r w:rsidR="00FD6257" w:rsidRPr="00921120">
              <w:rPr>
                <w:rFonts w:ascii="Arial" w:hAnsi="Arial" w:cs="Arial"/>
                <w:sz w:val="20"/>
                <w:szCs w:val="20"/>
              </w:rPr>
              <w:t>Non-Profit Company (</w:t>
            </w:r>
            <w:r w:rsidRPr="00921120">
              <w:rPr>
                <w:rFonts w:ascii="Arial" w:hAnsi="Arial" w:cs="Arial"/>
                <w:sz w:val="20"/>
                <w:szCs w:val="20"/>
              </w:rPr>
              <w:t>NPC</w:t>
            </w:r>
            <w:r w:rsidR="00FD6257" w:rsidRPr="00921120">
              <w:rPr>
                <w:rFonts w:ascii="Arial" w:hAnsi="Arial" w:cs="Arial"/>
                <w:sz w:val="20"/>
                <w:szCs w:val="20"/>
              </w:rPr>
              <w:t>)</w:t>
            </w:r>
            <w:r w:rsidRPr="00921120">
              <w:rPr>
                <w:rFonts w:ascii="Arial" w:hAnsi="Arial" w:cs="Arial"/>
                <w:sz w:val="20"/>
                <w:szCs w:val="20"/>
              </w:rPr>
              <w:t xml:space="preserve"> (old age home)</w:t>
            </w:r>
          </w:p>
          <w:p w:rsidR="00F5635A" w:rsidRPr="00921120" w:rsidRDefault="00F5635A" w:rsidP="00921120">
            <w:pPr>
              <w:spacing w:line="240" w:lineRule="auto"/>
              <w:rPr>
                <w:rFonts w:ascii="Arial" w:hAnsi="Arial" w:cs="Arial"/>
                <w:sz w:val="20"/>
                <w:szCs w:val="20"/>
              </w:rPr>
            </w:pPr>
            <w:r w:rsidRPr="00921120">
              <w:rPr>
                <w:rFonts w:ascii="Arial" w:hAnsi="Arial" w:cs="Arial"/>
                <w:sz w:val="20"/>
                <w:szCs w:val="20"/>
              </w:rPr>
              <w:t>Big Fish Arts (arts centre)</w:t>
            </w:r>
          </w:p>
          <w:p w:rsidR="00F5635A" w:rsidRPr="00921120" w:rsidRDefault="00F5635A" w:rsidP="00921120">
            <w:pPr>
              <w:spacing w:line="240" w:lineRule="auto"/>
              <w:rPr>
                <w:rFonts w:ascii="Arial" w:hAnsi="Arial" w:cs="Arial"/>
                <w:sz w:val="20"/>
                <w:szCs w:val="20"/>
              </w:rPr>
            </w:pPr>
            <w:r w:rsidRPr="00921120">
              <w:rPr>
                <w:rFonts w:ascii="Arial" w:hAnsi="Arial" w:cs="Arial"/>
                <w:sz w:val="20"/>
                <w:szCs w:val="20"/>
              </w:rPr>
              <w:t>Motheo Foundation (sports combo court)</w:t>
            </w:r>
          </w:p>
        </w:tc>
      </w:tr>
      <w:tr w:rsidR="00F5635A" w:rsidRPr="00921120" w:rsidTr="00EF19FA">
        <w:tc>
          <w:tcPr>
            <w:tcW w:w="1098" w:type="pct"/>
          </w:tcPr>
          <w:p w:rsidR="00F5635A" w:rsidRPr="00921120" w:rsidRDefault="00F5635A" w:rsidP="00921120">
            <w:pPr>
              <w:spacing w:line="240" w:lineRule="auto"/>
              <w:rPr>
                <w:rFonts w:ascii="Arial" w:hAnsi="Arial" w:cs="Arial"/>
                <w:sz w:val="20"/>
                <w:szCs w:val="20"/>
              </w:rPr>
            </w:pPr>
            <w:r w:rsidRPr="00921120">
              <w:rPr>
                <w:rFonts w:ascii="Arial" w:hAnsi="Arial" w:cs="Arial"/>
                <w:sz w:val="20"/>
                <w:szCs w:val="20"/>
              </w:rPr>
              <w:t>On hold</w:t>
            </w:r>
          </w:p>
        </w:tc>
        <w:tc>
          <w:tcPr>
            <w:tcW w:w="3902" w:type="pct"/>
          </w:tcPr>
          <w:p w:rsidR="00F5635A" w:rsidRPr="00921120" w:rsidRDefault="00F5635A" w:rsidP="00921120">
            <w:pPr>
              <w:spacing w:line="240" w:lineRule="auto"/>
              <w:rPr>
                <w:rFonts w:ascii="Arial" w:hAnsi="Arial" w:cs="Arial"/>
                <w:sz w:val="20"/>
                <w:szCs w:val="20"/>
              </w:rPr>
            </w:pPr>
            <w:r w:rsidRPr="00921120">
              <w:rPr>
                <w:rFonts w:ascii="Arial" w:hAnsi="Arial" w:cs="Arial"/>
                <w:sz w:val="20"/>
                <w:szCs w:val="20"/>
              </w:rPr>
              <w:t>Mushumo Ushavha Zwanda (old age home)</w:t>
            </w:r>
          </w:p>
          <w:p w:rsidR="00F5635A" w:rsidRPr="00921120" w:rsidRDefault="00F5635A" w:rsidP="00921120">
            <w:pPr>
              <w:spacing w:line="240" w:lineRule="auto"/>
              <w:rPr>
                <w:rFonts w:ascii="Arial" w:hAnsi="Arial" w:cs="Arial"/>
                <w:sz w:val="20"/>
                <w:szCs w:val="20"/>
              </w:rPr>
            </w:pPr>
            <w:r w:rsidRPr="00921120">
              <w:rPr>
                <w:rFonts w:ascii="Arial" w:hAnsi="Arial" w:cs="Arial"/>
                <w:sz w:val="20"/>
                <w:szCs w:val="20"/>
              </w:rPr>
              <w:t>Lethabong Old Age Home (old age home)</w:t>
            </w:r>
          </w:p>
        </w:tc>
      </w:tr>
    </w:tbl>
    <w:p w:rsidR="00F5635A" w:rsidRPr="00921120" w:rsidRDefault="00F5635A" w:rsidP="00921120">
      <w:pPr>
        <w:spacing w:line="240" w:lineRule="auto"/>
        <w:jc w:val="left"/>
        <w:rPr>
          <w:rFonts w:ascii="Arial" w:hAnsi="Arial" w:cs="Arial"/>
          <w:sz w:val="20"/>
          <w:szCs w:val="20"/>
        </w:rPr>
      </w:pPr>
    </w:p>
    <w:p w:rsidR="00975C8D" w:rsidRPr="00921120" w:rsidRDefault="00573621" w:rsidP="00921120">
      <w:pPr>
        <w:spacing w:line="240" w:lineRule="auto"/>
        <w:jc w:val="left"/>
        <w:rPr>
          <w:rFonts w:ascii="Arial" w:hAnsi="Arial" w:cs="Arial"/>
          <w:sz w:val="20"/>
          <w:szCs w:val="20"/>
        </w:rPr>
      </w:pPr>
      <w:r w:rsidRPr="00921120">
        <w:rPr>
          <w:rFonts w:ascii="Arial" w:hAnsi="Arial" w:cs="Arial"/>
          <w:sz w:val="20"/>
          <w:szCs w:val="20"/>
        </w:rPr>
        <w:t>T</w:t>
      </w:r>
      <w:r w:rsidR="00975C8D" w:rsidRPr="00921120">
        <w:rPr>
          <w:rFonts w:ascii="Arial" w:hAnsi="Arial" w:cs="Arial"/>
          <w:sz w:val="20"/>
          <w:szCs w:val="20"/>
        </w:rPr>
        <w:t>he Hlayisani Centre</w:t>
      </w:r>
      <w:r w:rsidR="004926C2" w:rsidRPr="00921120">
        <w:rPr>
          <w:rFonts w:ascii="Arial" w:hAnsi="Arial" w:cs="Arial"/>
          <w:sz w:val="20"/>
          <w:szCs w:val="20"/>
        </w:rPr>
        <w:t xml:space="preserve"> of Hope</w:t>
      </w:r>
      <w:r w:rsidR="00975C8D" w:rsidRPr="00921120">
        <w:rPr>
          <w:rFonts w:ascii="Arial" w:hAnsi="Arial" w:cs="Arial"/>
          <w:sz w:val="20"/>
          <w:szCs w:val="20"/>
        </w:rPr>
        <w:t xml:space="preserve"> in Mpumalanga </w:t>
      </w:r>
      <w:r w:rsidR="004926C2" w:rsidRPr="00921120">
        <w:rPr>
          <w:rFonts w:ascii="Arial" w:hAnsi="Arial" w:cs="Arial"/>
          <w:sz w:val="20"/>
          <w:szCs w:val="20"/>
        </w:rPr>
        <w:t xml:space="preserve">had </w:t>
      </w:r>
      <w:r w:rsidR="00975C8D" w:rsidRPr="00921120">
        <w:rPr>
          <w:rFonts w:ascii="Arial" w:hAnsi="Arial" w:cs="Arial"/>
          <w:sz w:val="20"/>
          <w:szCs w:val="20"/>
        </w:rPr>
        <w:t xml:space="preserve">initially </w:t>
      </w:r>
      <w:r w:rsidR="004926C2" w:rsidRPr="00921120">
        <w:rPr>
          <w:rFonts w:ascii="Arial" w:hAnsi="Arial" w:cs="Arial"/>
          <w:sz w:val="20"/>
          <w:szCs w:val="20"/>
        </w:rPr>
        <w:t xml:space="preserve">been </w:t>
      </w:r>
      <w:r w:rsidR="00975C8D" w:rsidRPr="00921120">
        <w:rPr>
          <w:rFonts w:ascii="Arial" w:hAnsi="Arial" w:cs="Arial"/>
          <w:sz w:val="20"/>
          <w:szCs w:val="20"/>
        </w:rPr>
        <w:t>funded to the amount of R13</w:t>
      </w:r>
      <w:r w:rsidRPr="00921120">
        <w:rPr>
          <w:rFonts w:ascii="Arial" w:hAnsi="Arial" w:cs="Arial"/>
          <w:sz w:val="20"/>
          <w:szCs w:val="20"/>
        </w:rPr>
        <w:t> </w:t>
      </w:r>
      <w:r w:rsidR="00975C8D" w:rsidRPr="00921120">
        <w:rPr>
          <w:rFonts w:ascii="Arial" w:hAnsi="Arial" w:cs="Arial"/>
          <w:sz w:val="20"/>
          <w:szCs w:val="20"/>
        </w:rPr>
        <w:t>million. However, an additional amount of R3</w:t>
      </w:r>
      <w:r w:rsidR="004926C2" w:rsidRPr="00921120">
        <w:rPr>
          <w:rFonts w:ascii="Arial" w:hAnsi="Arial" w:cs="Arial"/>
          <w:sz w:val="20"/>
          <w:szCs w:val="20"/>
        </w:rPr>
        <w:t>,</w:t>
      </w:r>
      <w:r w:rsidR="00975C8D" w:rsidRPr="00921120">
        <w:rPr>
          <w:rFonts w:ascii="Arial" w:hAnsi="Arial" w:cs="Arial"/>
          <w:sz w:val="20"/>
          <w:szCs w:val="20"/>
        </w:rPr>
        <w:t xml:space="preserve">6 million </w:t>
      </w:r>
      <w:r w:rsidR="004926C2" w:rsidRPr="00921120">
        <w:rPr>
          <w:rFonts w:ascii="Arial" w:hAnsi="Arial" w:cs="Arial"/>
          <w:sz w:val="20"/>
          <w:szCs w:val="20"/>
        </w:rPr>
        <w:t xml:space="preserve">had been </w:t>
      </w:r>
      <w:r w:rsidR="00975C8D" w:rsidRPr="00921120">
        <w:rPr>
          <w:rFonts w:ascii="Arial" w:hAnsi="Arial" w:cs="Arial"/>
          <w:sz w:val="20"/>
          <w:szCs w:val="20"/>
        </w:rPr>
        <w:t xml:space="preserve">allocated to complete the project. This project </w:t>
      </w:r>
      <w:r w:rsidR="004926C2" w:rsidRPr="00921120">
        <w:rPr>
          <w:rFonts w:ascii="Arial" w:hAnsi="Arial" w:cs="Arial"/>
          <w:sz w:val="20"/>
          <w:szCs w:val="20"/>
        </w:rPr>
        <w:t xml:space="preserve">had been </w:t>
      </w:r>
      <w:r w:rsidR="00975C8D" w:rsidRPr="00921120">
        <w:rPr>
          <w:rFonts w:ascii="Arial" w:hAnsi="Arial" w:cs="Arial"/>
          <w:sz w:val="20"/>
          <w:szCs w:val="20"/>
        </w:rPr>
        <w:t xml:space="preserve">handed over </w:t>
      </w:r>
      <w:r w:rsidR="004926C2" w:rsidRPr="00921120">
        <w:rPr>
          <w:rFonts w:ascii="Arial" w:hAnsi="Arial" w:cs="Arial"/>
          <w:sz w:val="20"/>
          <w:szCs w:val="20"/>
        </w:rPr>
        <w:t xml:space="preserve">by </w:t>
      </w:r>
      <w:r w:rsidR="00975C8D" w:rsidRPr="00921120">
        <w:rPr>
          <w:rFonts w:ascii="Arial" w:hAnsi="Arial" w:cs="Arial"/>
          <w:sz w:val="20"/>
          <w:szCs w:val="20"/>
        </w:rPr>
        <w:t xml:space="preserve">the </w:t>
      </w:r>
      <w:r w:rsidR="004926C2" w:rsidRPr="00921120">
        <w:rPr>
          <w:rFonts w:ascii="Arial" w:hAnsi="Arial" w:cs="Arial"/>
          <w:sz w:val="20"/>
          <w:szCs w:val="20"/>
        </w:rPr>
        <w:t xml:space="preserve">DSD to the </w:t>
      </w:r>
      <w:r w:rsidR="00975C8D" w:rsidRPr="00921120">
        <w:rPr>
          <w:rFonts w:ascii="Arial" w:hAnsi="Arial" w:cs="Arial"/>
          <w:sz w:val="20"/>
          <w:szCs w:val="20"/>
        </w:rPr>
        <w:t xml:space="preserve">beneficiary and </w:t>
      </w:r>
      <w:r w:rsidR="004926C2" w:rsidRPr="00921120">
        <w:rPr>
          <w:rFonts w:ascii="Arial" w:hAnsi="Arial" w:cs="Arial"/>
          <w:sz w:val="20"/>
          <w:szCs w:val="20"/>
        </w:rPr>
        <w:t>wa</w:t>
      </w:r>
      <w:r w:rsidR="00975C8D" w:rsidRPr="00921120">
        <w:rPr>
          <w:rFonts w:ascii="Arial" w:hAnsi="Arial" w:cs="Arial"/>
          <w:sz w:val="20"/>
          <w:szCs w:val="20"/>
        </w:rPr>
        <w:t>s operational</w:t>
      </w:r>
      <w:r w:rsidR="004926C2" w:rsidRPr="00921120">
        <w:rPr>
          <w:rFonts w:ascii="Arial" w:hAnsi="Arial" w:cs="Arial"/>
          <w:sz w:val="20"/>
          <w:szCs w:val="20"/>
        </w:rPr>
        <w:t xml:space="preserve"> at the time of reporting</w:t>
      </w:r>
      <w:r w:rsidR="00975C8D" w:rsidRPr="00921120">
        <w:rPr>
          <w:rFonts w:ascii="Arial" w:hAnsi="Arial" w:cs="Arial"/>
          <w:sz w:val="20"/>
          <w:szCs w:val="20"/>
        </w:rPr>
        <w:t xml:space="preserve">. </w:t>
      </w:r>
    </w:p>
    <w:p w:rsidR="00975C8D" w:rsidRPr="00921120" w:rsidRDefault="00975C8D" w:rsidP="00921120">
      <w:pPr>
        <w:spacing w:line="240" w:lineRule="auto"/>
        <w:jc w:val="left"/>
        <w:rPr>
          <w:rFonts w:ascii="Arial" w:hAnsi="Arial" w:cs="Arial"/>
          <w:sz w:val="20"/>
          <w:szCs w:val="20"/>
        </w:rPr>
      </w:pPr>
    </w:p>
    <w:p w:rsidR="0015337B" w:rsidRPr="00921120" w:rsidRDefault="00975C8D" w:rsidP="00921120">
      <w:pPr>
        <w:spacing w:line="240" w:lineRule="auto"/>
        <w:jc w:val="left"/>
        <w:rPr>
          <w:rFonts w:ascii="Arial" w:hAnsi="Arial" w:cs="Arial"/>
          <w:sz w:val="20"/>
          <w:szCs w:val="20"/>
        </w:rPr>
      </w:pPr>
      <w:r w:rsidRPr="00921120">
        <w:rPr>
          <w:rFonts w:ascii="Arial" w:hAnsi="Arial" w:cs="Arial"/>
          <w:sz w:val="20"/>
          <w:szCs w:val="20"/>
        </w:rPr>
        <w:t xml:space="preserve">With respect to the Matieni Community Centre, the NLC informed the Committee that the organisation </w:t>
      </w:r>
      <w:r w:rsidR="00EF662F" w:rsidRPr="00921120">
        <w:rPr>
          <w:rFonts w:ascii="Arial" w:hAnsi="Arial" w:cs="Arial"/>
          <w:sz w:val="20"/>
          <w:szCs w:val="20"/>
        </w:rPr>
        <w:t xml:space="preserve">initially funded </w:t>
      </w:r>
      <w:r w:rsidR="004926C2" w:rsidRPr="00921120">
        <w:rPr>
          <w:rFonts w:ascii="Arial" w:hAnsi="Arial" w:cs="Arial"/>
          <w:sz w:val="20"/>
          <w:szCs w:val="20"/>
        </w:rPr>
        <w:t xml:space="preserve">had </w:t>
      </w:r>
      <w:r w:rsidRPr="00921120">
        <w:rPr>
          <w:rFonts w:ascii="Arial" w:hAnsi="Arial" w:cs="Arial"/>
          <w:sz w:val="20"/>
          <w:szCs w:val="20"/>
        </w:rPr>
        <w:t xml:space="preserve">not </w:t>
      </w:r>
      <w:r w:rsidR="004926C2" w:rsidRPr="00921120">
        <w:rPr>
          <w:rFonts w:ascii="Arial" w:hAnsi="Arial" w:cs="Arial"/>
          <w:sz w:val="20"/>
          <w:szCs w:val="20"/>
        </w:rPr>
        <w:t xml:space="preserve">been </w:t>
      </w:r>
      <w:r w:rsidRPr="00921120">
        <w:rPr>
          <w:rFonts w:ascii="Arial" w:hAnsi="Arial" w:cs="Arial"/>
          <w:sz w:val="20"/>
          <w:szCs w:val="20"/>
        </w:rPr>
        <w:t>able to implement the project, and with additional funding, the total spen</w:t>
      </w:r>
      <w:r w:rsidR="000375C0" w:rsidRPr="00921120">
        <w:rPr>
          <w:rFonts w:ascii="Arial" w:hAnsi="Arial" w:cs="Arial"/>
          <w:sz w:val="20"/>
          <w:szCs w:val="20"/>
        </w:rPr>
        <w:t>d</w:t>
      </w:r>
      <w:r w:rsidRPr="00921120">
        <w:rPr>
          <w:rFonts w:ascii="Arial" w:hAnsi="Arial" w:cs="Arial"/>
          <w:sz w:val="20"/>
          <w:szCs w:val="20"/>
        </w:rPr>
        <w:t xml:space="preserve"> </w:t>
      </w:r>
      <w:r w:rsidR="000375C0" w:rsidRPr="00921120">
        <w:rPr>
          <w:rFonts w:ascii="Arial" w:hAnsi="Arial" w:cs="Arial"/>
          <w:sz w:val="20"/>
          <w:szCs w:val="20"/>
        </w:rPr>
        <w:t xml:space="preserve">to complete the project had been </w:t>
      </w:r>
      <w:r w:rsidRPr="00921120">
        <w:rPr>
          <w:rFonts w:ascii="Arial" w:hAnsi="Arial" w:cs="Arial"/>
          <w:sz w:val="20"/>
          <w:szCs w:val="20"/>
        </w:rPr>
        <w:t>R38</w:t>
      </w:r>
      <w:r w:rsidR="000375C0" w:rsidRPr="00921120">
        <w:rPr>
          <w:rFonts w:ascii="Arial" w:hAnsi="Arial" w:cs="Arial"/>
          <w:sz w:val="20"/>
          <w:szCs w:val="20"/>
        </w:rPr>
        <w:t>,</w:t>
      </w:r>
      <w:r w:rsidRPr="00921120">
        <w:rPr>
          <w:rFonts w:ascii="Arial" w:hAnsi="Arial" w:cs="Arial"/>
          <w:sz w:val="20"/>
          <w:szCs w:val="20"/>
        </w:rPr>
        <w:t xml:space="preserve">3 million. Currently, the project </w:t>
      </w:r>
      <w:r w:rsidR="000375C0" w:rsidRPr="00921120">
        <w:rPr>
          <w:rFonts w:ascii="Arial" w:hAnsi="Arial" w:cs="Arial"/>
          <w:sz w:val="20"/>
          <w:szCs w:val="20"/>
        </w:rPr>
        <w:t>wa</w:t>
      </w:r>
      <w:r w:rsidRPr="00921120">
        <w:rPr>
          <w:rFonts w:ascii="Arial" w:hAnsi="Arial" w:cs="Arial"/>
          <w:sz w:val="20"/>
          <w:szCs w:val="20"/>
        </w:rPr>
        <w:t xml:space="preserve">s </w:t>
      </w:r>
      <w:r w:rsidR="000375C0" w:rsidRPr="00921120">
        <w:rPr>
          <w:rFonts w:ascii="Arial" w:hAnsi="Arial" w:cs="Arial"/>
          <w:sz w:val="20"/>
          <w:szCs w:val="20"/>
        </w:rPr>
        <w:t xml:space="preserve">being </w:t>
      </w:r>
      <w:r w:rsidRPr="00921120">
        <w:rPr>
          <w:rFonts w:ascii="Arial" w:hAnsi="Arial" w:cs="Arial"/>
          <w:sz w:val="20"/>
          <w:szCs w:val="20"/>
        </w:rPr>
        <w:t xml:space="preserve">managed by the local Catholic Church.  </w:t>
      </w:r>
    </w:p>
    <w:p w:rsidR="0015337B" w:rsidRPr="00921120" w:rsidRDefault="0015337B" w:rsidP="00921120">
      <w:pPr>
        <w:spacing w:line="240" w:lineRule="auto"/>
        <w:jc w:val="left"/>
        <w:rPr>
          <w:rFonts w:ascii="Arial" w:hAnsi="Arial" w:cs="Arial"/>
          <w:sz w:val="20"/>
          <w:szCs w:val="20"/>
        </w:rPr>
      </w:pPr>
    </w:p>
    <w:p w:rsidR="00975C8D" w:rsidRPr="00921120" w:rsidRDefault="00975C8D" w:rsidP="00921120">
      <w:pPr>
        <w:spacing w:line="240" w:lineRule="auto"/>
        <w:jc w:val="left"/>
        <w:rPr>
          <w:rFonts w:ascii="Arial" w:hAnsi="Arial" w:cs="Arial"/>
          <w:sz w:val="20"/>
          <w:szCs w:val="20"/>
        </w:rPr>
      </w:pPr>
      <w:r w:rsidRPr="00921120">
        <w:rPr>
          <w:rFonts w:ascii="Arial" w:hAnsi="Arial" w:cs="Arial"/>
          <w:sz w:val="20"/>
          <w:szCs w:val="20"/>
        </w:rPr>
        <w:t xml:space="preserve">The NLC informed the Committee that as a result of the allegations against the institution, many </w:t>
      </w:r>
      <w:r w:rsidR="00FD6257" w:rsidRPr="00921120">
        <w:rPr>
          <w:rFonts w:ascii="Arial" w:hAnsi="Arial" w:cs="Arial"/>
          <w:sz w:val="20"/>
          <w:szCs w:val="20"/>
        </w:rPr>
        <w:t>NPCs</w:t>
      </w:r>
      <w:r w:rsidRPr="00921120">
        <w:rPr>
          <w:rFonts w:ascii="Arial" w:hAnsi="Arial" w:cs="Arial"/>
          <w:sz w:val="20"/>
          <w:szCs w:val="20"/>
        </w:rPr>
        <w:t xml:space="preserve"> that </w:t>
      </w:r>
      <w:r w:rsidR="000375C0" w:rsidRPr="00921120">
        <w:rPr>
          <w:rFonts w:ascii="Arial" w:hAnsi="Arial" w:cs="Arial"/>
          <w:sz w:val="20"/>
          <w:szCs w:val="20"/>
        </w:rPr>
        <w:t xml:space="preserve">had </w:t>
      </w:r>
      <w:r w:rsidRPr="00921120">
        <w:rPr>
          <w:rFonts w:ascii="Arial" w:hAnsi="Arial" w:cs="Arial"/>
          <w:sz w:val="20"/>
          <w:szCs w:val="20"/>
        </w:rPr>
        <w:t xml:space="preserve">initially </w:t>
      </w:r>
      <w:r w:rsidR="000375C0" w:rsidRPr="00921120">
        <w:rPr>
          <w:rFonts w:ascii="Arial" w:hAnsi="Arial" w:cs="Arial"/>
          <w:sz w:val="20"/>
          <w:szCs w:val="20"/>
        </w:rPr>
        <w:t xml:space="preserve">been </w:t>
      </w:r>
      <w:r w:rsidRPr="00921120">
        <w:rPr>
          <w:rFonts w:ascii="Arial" w:hAnsi="Arial" w:cs="Arial"/>
          <w:sz w:val="20"/>
          <w:szCs w:val="20"/>
        </w:rPr>
        <w:t xml:space="preserve">funded, were no longer interested to manage the projects. </w:t>
      </w:r>
      <w:r w:rsidR="0015337B" w:rsidRPr="00921120">
        <w:rPr>
          <w:rFonts w:ascii="Arial" w:hAnsi="Arial" w:cs="Arial"/>
          <w:sz w:val="20"/>
          <w:szCs w:val="20"/>
        </w:rPr>
        <w:t>Therefore, a</w:t>
      </w:r>
      <w:r w:rsidR="000375C0" w:rsidRPr="00921120">
        <w:rPr>
          <w:rFonts w:ascii="Arial" w:hAnsi="Arial" w:cs="Arial"/>
          <w:sz w:val="20"/>
          <w:szCs w:val="20"/>
        </w:rPr>
        <w:t xml:space="preserve"> </w:t>
      </w:r>
      <w:r w:rsidRPr="00921120">
        <w:rPr>
          <w:rFonts w:ascii="Arial" w:hAnsi="Arial" w:cs="Arial"/>
          <w:sz w:val="20"/>
          <w:szCs w:val="20"/>
        </w:rPr>
        <w:t>drug rehabilitation centre in Gauteng</w:t>
      </w:r>
      <w:r w:rsidR="00E440E6" w:rsidRPr="00921120">
        <w:rPr>
          <w:rFonts w:ascii="Arial" w:hAnsi="Arial" w:cs="Arial"/>
          <w:sz w:val="20"/>
          <w:szCs w:val="20"/>
        </w:rPr>
        <w:t>, initiated by Zibsilor</w:t>
      </w:r>
      <w:r w:rsidR="000375C0" w:rsidRPr="00921120">
        <w:rPr>
          <w:rFonts w:ascii="Arial" w:hAnsi="Arial" w:cs="Arial"/>
          <w:sz w:val="20"/>
          <w:szCs w:val="20"/>
        </w:rPr>
        <w:t>,</w:t>
      </w:r>
      <w:r w:rsidRPr="00921120">
        <w:rPr>
          <w:rFonts w:ascii="Arial" w:hAnsi="Arial" w:cs="Arial"/>
          <w:sz w:val="20"/>
          <w:szCs w:val="20"/>
        </w:rPr>
        <w:t xml:space="preserve"> ha</w:t>
      </w:r>
      <w:r w:rsidR="00E440E6" w:rsidRPr="00921120">
        <w:rPr>
          <w:rFonts w:ascii="Arial" w:hAnsi="Arial" w:cs="Arial"/>
          <w:sz w:val="20"/>
          <w:szCs w:val="20"/>
        </w:rPr>
        <w:t>d</w:t>
      </w:r>
      <w:r w:rsidRPr="00921120">
        <w:rPr>
          <w:rFonts w:ascii="Arial" w:hAnsi="Arial" w:cs="Arial"/>
          <w:sz w:val="20"/>
          <w:szCs w:val="20"/>
        </w:rPr>
        <w:t xml:space="preserve"> a new implementing organisation with a total amount of R40</w:t>
      </w:r>
      <w:r w:rsidR="00E440E6" w:rsidRPr="00921120">
        <w:rPr>
          <w:rFonts w:ascii="Arial" w:hAnsi="Arial" w:cs="Arial"/>
          <w:sz w:val="20"/>
          <w:szCs w:val="20"/>
        </w:rPr>
        <w:t>,</w:t>
      </w:r>
      <w:r w:rsidRPr="00921120">
        <w:rPr>
          <w:rFonts w:ascii="Arial" w:hAnsi="Arial" w:cs="Arial"/>
          <w:sz w:val="20"/>
          <w:szCs w:val="20"/>
        </w:rPr>
        <w:t xml:space="preserve">6 million </w:t>
      </w:r>
      <w:r w:rsidR="00E440E6" w:rsidRPr="00921120">
        <w:rPr>
          <w:rFonts w:ascii="Arial" w:hAnsi="Arial" w:cs="Arial"/>
          <w:sz w:val="20"/>
          <w:szCs w:val="20"/>
        </w:rPr>
        <w:t xml:space="preserve">having been </w:t>
      </w:r>
      <w:r w:rsidRPr="00921120">
        <w:rPr>
          <w:rFonts w:ascii="Arial" w:hAnsi="Arial" w:cs="Arial"/>
          <w:sz w:val="20"/>
          <w:szCs w:val="20"/>
        </w:rPr>
        <w:t xml:space="preserve">made available to complete this project. </w:t>
      </w:r>
    </w:p>
    <w:p w:rsidR="00975C8D" w:rsidRPr="00921120" w:rsidRDefault="00975C8D" w:rsidP="00921120">
      <w:pPr>
        <w:spacing w:line="240" w:lineRule="auto"/>
        <w:jc w:val="left"/>
        <w:rPr>
          <w:rFonts w:ascii="Arial" w:hAnsi="Arial" w:cs="Arial"/>
          <w:sz w:val="20"/>
          <w:szCs w:val="20"/>
        </w:rPr>
      </w:pPr>
    </w:p>
    <w:p w:rsidR="00E975A0" w:rsidRPr="00921120" w:rsidRDefault="00975C8D" w:rsidP="00921120">
      <w:pPr>
        <w:spacing w:line="240" w:lineRule="auto"/>
        <w:jc w:val="left"/>
        <w:rPr>
          <w:rFonts w:ascii="Arial" w:hAnsi="Arial" w:cs="Arial"/>
          <w:sz w:val="20"/>
          <w:szCs w:val="20"/>
        </w:rPr>
      </w:pPr>
      <w:r w:rsidRPr="00921120">
        <w:rPr>
          <w:rFonts w:ascii="Arial" w:hAnsi="Arial" w:cs="Arial"/>
          <w:sz w:val="20"/>
          <w:szCs w:val="20"/>
        </w:rPr>
        <w:t xml:space="preserve">The NLC </w:t>
      </w:r>
      <w:r w:rsidR="00E975A0" w:rsidRPr="00921120">
        <w:rPr>
          <w:rFonts w:ascii="Arial" w:hAnsi="Arial" w:cs="Arial"/>
          <w:sz w:val="20"/>
          <w:szCs w:val="20"/>
        </w:rPr>
        <w:t xml:space="preserve">had </w:t>
      </w:r>
      <w:r w:rsidRPr="00921120">
        <w:rPr>
          <w:rFonts w:ascii="Arial" w:hAnsi="Arial" w:cs="Arial"/>
          <w:sz w:val="20"/>
          <w:szCs w:val="20"/>
        </w:rPr>
        <w:t xml:space="preserve">received a request from </w:t>
      </w:r>
      <w:r w:rsidR="0015337B" w:rsidRPr="00921120">
        <w:rPr>
          <w:rFonts w:ascii="Arial" w:hAnsi="Arial" w:cs="Arial"/>
          <w:sz w:val="20"/>
          <w:szCs w:val="20"/>
        </w:rPr>
        <w:t xml:space="preserve">a </w:t>
      </w:r>
      <w:r w:rsidRPr="00921120">
        <w:rPr>
          <w:rFonts w:ascii="Arial" w:hAnsi="Arial" w:cs="Arial"/>
          <w:sz w:val="20"/>
          <w:szCs w:val="20"/>
        </w:rPr>
        <w:t>local municipality</w:t>
      </w:r>
      <w:r w:rsidR="0015337B" w:rsidRPr="00921120">
        <w:rPr>
          <w:rFonts w:ascii="Arial" w:hAnsi="Arial" w:cs="Arial"/>
          <w:sz w:val="20"/>
          <w:szCs w:val="20"/>
        </w:rPr>
        <w:t xml:space="preserve"> based in the Eastern Cape</w:t>
      </w:r>
      <w:r w:rsidRPr="00921120">
        <w:rPr>
          <w:rFonts w:ascii="Arial" w:hAnsi="Arial" w:cs="Arial"/>
          <w:sz w:val="20"/>
          <w:szCs w:val="20"/>
        </w:rPr>
        <w:t xml:space="preserve"> to take ownership of </w:t>
      </w:r>
      <w:r w:rsidR="00E975A0" w:rsidRPr="00921120">
        <w:rPr>
          <w:rFonts w:ascii="Arial" w:hAnsi="Arial" w:cs="Arial"/>
          <w:sz w:val="20"/>
          <w:szCs w:val="20"/>
        </w:rPr>
        <w:t xml:space="preserve">a </w:t>
      </w:r>
      <w:r w:rsidR="0015337B" w:rsidRPr="00921120">
        <w:rPr>
          <w:rFonts w:ascii="Arial" w:hAnsi="Arial" w:cs="Arial"/>
          <w:sz w:val="20"/>
          <w:szCs w:val="20"/>
        </w:rPr>
        <w:t xml:space="preserve">completed </w:t>
      </w:r>
      <w:r w:rsidR="00E975A0" w:rsidRPr="00921120">
        <w:rPr>
          <w:rFonts w:ascii="Arial" w:hAnsi="Arial" w:cs="Arial"/>
          <w:sz w:val="20"/>
          <w:szCs w:val="20"/>
        </w:rPr>
        <w:t xml:space="preserve">multi-purpose centre, which had received funding to the amount of R36,3 million. The municipality had also </w:t>
      </w:r>
      <w:r w:rsidRPr="00921120">
        <w:rPr>
          <w:rFonts w:ascii="Arial" w:hAnsi="Arial" w:cs="Arial"/>
          <w:sz w:val="20"/>
          <w:szCs w:val="20"/>
        </w:rPr>
        <w:t>requested additional funding</w:t>
      </w:r>
      <w:r w:rsidR="00E975A0" w:rsidRPr="00921120">
        <w:rPr>
          <w:rFonts w:ascii="Arial" w:hAnsi="Arial" w:cs="Arial"/>
          <w:sz w:val="20"/>
          <w:szCs w:val="20"/>
        </w:rPr>
        <w:t xml:space="preserve"> in this regard</w:t>
      </w:r>
      <w:r w:rsidRPr="00921120">
        <w:rPr>
          <w:rFonts w:ascii="Arial" w:hAnsi="Arial" w:cs="Arial"/>
          <w:sz w:val="20"/>
          <w:szCs w:val="20"/>
        </w:rPr>
        <w:t xml:space="preserve">. </w:t>
      </w:r>
      <w:r w:rsidR="00E975A0" w:rsidRPr="00921120">
        <w:rPr>
          <w:rFonts w:ascii="Arial" w:hAnsi="Arial" w:cs="Arial"/>
          <w:sz w:val="20"/>
          <w:szCs w:val="20"/>
        </w:rPr>
        <w:t>However, t</w:t>
      </w:r>
      <w:r w:rsidRPr="00921120">
        <w:rPr>
          <w:rFonts w:ascii="Arial" w:hAnsi="Arial" w:cs="Arial"/>
          <w:sz w:val="20"/>
          <w:szCs w:val="20"/>
        </w:rPr>
        <w:t xml:space="preserve">he amended </w:t>
      </w:r>
      <w:r w:rsidRPr="00921120">
        <w:rPr>
          <w:rFonts w:ascii="Arial" w:hAnsi="Arial" w:cs="Arial"/>
          <w:sz w:val="20"/>
          <w:szCs w:val="20"/>
        </w:rPr>
        <w:lastRenderedPageBreak/>
        <w:t>Act of 2013 and its regulations prohibit</w:t>
      </w:r>
      <w:r w:rsidR="0015337B" w:rsidRPr="00921120">
        <w:rPr>
          <w:rFonts w:ascii="Arial" w:hAnsi="Arial" w:cs="Arial"/>
          <w:sz w:val="20"/>
          <w:szCs w:val="20"/>
        </w:rPr>
        <w:t>ed</w:t>
      </w:r>
      <w:r w:rsidRPr="00921120">
        <w:rPr>
          <w:rFonts w:ascii="Arial" w:hAnsi="Arial" w:cs="Arial"/>
          <w:sz w:val="20"/>
          <w:szCs w:val="20"/>
        </w:rPr>
        <w:t xml:space="preserve"> funding </w:t>
      </w:r>
      <w:r w:rsidR="0015337B" w:rsidRPr="00921120">
        <w:rPr>
          <w:rFonts w:ascii="Arial" w:hAnsi="Arial" w:cs="Arial"/>
          <w:sz w:val="20"/>
          <w:szCs w:val="20"/>
        </w:rPr>
        <w:t>for</w:t>
      </w:r>
      <w:r w:rsidRPr="00921120">
        <w:rPr>
          <w:rFonts w:ascii="Arial" w:hAnsi="Arial" w:cs="Arial"/>
          <w:sz w:val="20"/>
          <w:szCs w:val="20"/>
        </w:rPr>
        <w:t xml:space="preserve"> municipalities</w:t>
      </w:r>
      <w:r w:rsidR="00E975A0" w:rsidRPr="00921120">
        <w:rPr>
          <w:rFonts w:ascii="Arial" w:hAnsi="Arial" w:cs="Arial"/>
          <w:sz w:val="20"/>
          <w:szCs w:val="20"/>
        </w:rPr>
        <w:t>. Subsequently</w:t>
      </w:r>
      <w:r w:rsidRPr="00921120">
        <w:rPr>
          <w:rFonts w:ascii="Arial" w:hAnsi="Arial" w:cs="Arial"/>
          <w:sz w:val="20"/>
          <w:szCs w:val="20"/>
        </w:rPr>
        <w:t xml:space="preserve">, the NLC </w:t>
      </w:r>
      <w:r w:rsidR="00E975A0" w:rsidRPr="00921120">
        <w:rPr>
          <w:rFonts w:ascii="Arial" w:hAnsi="Arial" w:cs="Arial"/>
          <w:sz w:val="20"/>
          <w:szCs w:val="20"/>
        </w:rPr>
        <w:t xml:space="preserve">had </w:t>
      </w:r>
      <w:r w:rsidRPr="00921120">
        <w:rPr>
          <w:rFonts w:ascii="Arial" w:hAnsi="Arial" w:cs="Arial"/>
          <w:sz w:val="20"/>
          <w:szCs w:val="20"/>
        </w:rPr>
        <w:t>agreed that the municipality</w:t>
      </w:r>
      <w:r w:rsidR="00E975A0" w:rsidRPr="00921120">
        <w:rPr>
          <w:rFonts w:ascii="Arial" w:hAnsi="Arial" w:cs="Arial"/>
          <w:sz w:val="20"/>
          <w:szCs w:val="20"/>
        </w:rPr>
        <w:t xml:space="preserve"> may</w:t>
      </w:r>
      <w:r w:rsidRPr="00921120">
        <w:rPr>
          <w:rFonts w:ascii="Arial" w:hAnsi="Arial" w:cs="Arial"/>
          <w:sz w:val="20"/>
          <w:szCs w:val="20"/>
        </w:rPr>
        <w:t xml:space="preserve"> have rights of use. </w:t>
      </w:r>
    </w:p>
    <w:p w:rsidR="00E975A0" w:rsidRPr="00921120" w:rsidRDefault="00E975A0" w:rsidP="00921120">
      <w:pPr>
        <w:spacing w:line="240" w:lineRule="auto"/>
        <w:jc w:val="left"/>
        <w:rPr>
          <w:rFonts w:ascii="Arial" w:hAnsi="Arial" w:cs="Arial"/>
          <w:sz w:val="20"/>
          <w:szCs w:val="20"/>
        </w:rPr>
      </w:pPr>
    </w:p>
    <w:p w:rsidR="00975C8D" w:rsidRPr="00921120" w:rsidRDefault="00975C8D" w:rsidP="00921120">
      <w:pPr>
        <w:spacing w:line="240" w:lineRule="auto"/>
        <w:jc w:val="left"/>
        <w:rPr>
          <w:rFonts w:ascii="Arial" w:hAnsi="Arial" w:cs="Arial"/>
          <w:sz w:val="20"/>
          <w:szCs w:val="20"/>
        </w:rPr>
      </w:pPr>
      <w:r w:rsidRPr="00921120">
        <w:rPr>
          <w:rFonts w:ascii="Arial" w:hAnsi="Arial" w:cs="Arial"/>
          <w:sz w:val="20"/>
          <w:szCs w:val="20"/>
        </w:rPr>
        <w:t>With regard to the drug rehabilitation centres in Mpumalanga</w:t>
      </w:r>
      <w:r w:rsidR="00E975A0" w:rsidRPr="00921120">
        <w:rPr>
          <w:rFonts w:ascii="Arial" w:hAnsi="Arial" w:cs="Arial"/>
          <w:sz w:val="20"/>
          <w:szCs w:val="20"/>
        </w:rPr>
        <w:t xml:space="preserve"> and the old age home in Free State</w:t>
      </w:r>
      <w:r w:rsidRPr="00921120">
        <w:rPr>
          <w:rFonts w:ascii="Arial" w:hAnsi="Arial" w:cs="Arial"/>
          <w:sz w:val="20"/>
          <w:szCs w:val="20"/>
        </w:rPr>
        <w:t xml:space="preserve">, the NLC informed the Committee that it </w:t>
      </w:r>
      <w:r w:rsidR="00661AA0" w:rsidRPr="00921120">
        <w:rPr>
          <w:rFonts w:ascii="Arial" w:hAnsi="Arial" w:cs="Arial"/>
          <w:sz w:val="20"/>
          <w:szCs w:val="20"/>
        </w:rPr>
        <w:t>wa</w:t>
      </w:r>
      <w:r w:rsidRPr="00921120">
        <w:rPr>
          <w:rFonts w:ascii="Arial" w:hAnsi="Arial" w:cs="Arial"/>
          <w:sz w:val="20"/>
          <w:szCs w:val="20"/>
        </w:rPr>
        <w:t xml:space="preserve">s engaging the </w:t>
      </w:r>
      <w:r w:rsidR="00661AA0" w:rsidRPr="00921120">
        <w:rPr>
          <w:rFonts w:ascii="Arial" w:hAnsi="Arial" w:cs="Arial"/>
          <w:sz w:val="20"/>
          <w:szCs w:val="20"/>
        </w:rPr>
        <w:t>DSD to</w:t>
      </w:r>
      <w:r w:rsidRPr="00921120">
        <w:rPr>
          <w:rFonts w:ascii="Arial" w:hAnsi="Arial" w:cs="Arial"/>
          <w:sz w:val="20"/>
          <w:szCs w:val="20"/>
        </w:rPr>
        <w:t xml:space="preserve"> find</w:t>
      </w:r>
      <w:r w:rsidR="00661AA0" w:rsidRPr="00921120">
        <w:rPr>
          <w:rFonts w:ascii="Arial" w:hAnsi="Arial" w:cs="Arial"/>
          <w:sz w:val="20"/>
          <w:szCs w:val="20"/>
        </w:rPr>
        <w:t xml:space="preserve"> suitable</w:t>
      </w:r>
      <w:r w:rsidRPr="00921120">
        <w:rPr>
          <w:rFonts w:ascii="Arial" w:hAnsi="Arial" w:cs="Arial"/>
          <w:sz w:val="20"/>
          <w:szCs w:val="20"/>
        </w:rPr>
        <w:t xml:space="preserve"> organisations to hand </w:t>
      </w:r>
      <w:r w:rsidR="00661AA0" w:rsidRPr="00921120">
        <w:rPr>
          <w:rFonts w:ascii="Arial" w:hAnsi="Arial" w:cs="Arial"/>
          <w:sz w:val="20"/>
          <w:szCs w:val="20"/>
        </w:rPr>
        <w:t xml:space="preserve">these facilities </w:t>
      </w:r>
      <w:r w:rsidRPr="00921120">
        <w:rPr>
          <w:rFonts w:ascii="Arial" w:hAnsi="Arial" w:cs="Arial"/>
          <w:sz w:val="20"/>
          <w:szCs w:val="20"/>
        </w:rPr>
        <w:t>over</w:t>
      </w:r>
      <w:r w:rsidR="00661AA0" w:rsidRPr="00921120">
        <w:rPr>
          <w:rFonts w:ascii="Arial" w:hAnsi="Arial" w:cs="Arial"/>
          <w:sz w:val="20"/>
          <w:szCs w:val="20"/>
        </w:rPr>
        <w:t xml:space="preserve"> to</w:t>
      </w:r>
      <w:r w:rsidRPr="00921120">
        <w:rPr>
          <w:rFonts w:ascii="Arial" w:hAnsi="Arial" w:cs="Arial"/>
          <w:sz w:val="20"/>
          <w:szCs w:val="20"/>
        </w:rPr>
        <w:t xml:space="preserve">. With respect to the Northern Cape drug rehabilitation centre, the NLC informed the Committee that there </w:t>
      </w:r>
      <w:r w:rsidR="00661AA0" w:rsidRPr="00921120">
        <w:rPr>
          <w:rFonts w:ascii="Arial" w:hAnsi="Arial" w:cs="Arial"/>
          <w:sz w:val="20"/>
          <w:szCs w:val="20"/>
        </w:rPr>
        <w:t>we</w:t>
      </w:r>
      <w:r w:rsidRPr="00921120">
        <w:rPr>
          <w:rFonts w:ascii="Arial" w:hAnsi="Arial" w:cs="Arial"/>
          <w:sz w:val="20"/>
          <w:szCs w:val="20"/>
        </w:rPr>
        <w:t xml:space="preserve">re governance issues associated with the </w:t>
      </w:r>
      <w:r w:rsidR="00877460" w:rsidRPr="00921120">
        <w:rPr>
          <w:rFonts w:ascii="Arial" w:hAnsi="Arial" w:cs="Arial"/>
          <w:sz w:val="20"/>
          <w:szCs w:val="20"/>
        </w:rPr>
        <w:t xml:space="preserve">operation of the </w:t>
      </w:r>
      <w:r w:rsidRPr="00921120">
        <w:rPr>
          <w:rFonts w:ascii="Arial" w:hAnsi="Arial" w:cs="Arial"/>
          <w:sz w:val="20"/>
          <w:szCs w:val="20"/>
        </w:rPr>
        <w:t>centre</w:t>
      </w:r>
      <w:r w:rsidR="00661AA0" w:rsidRPr="00921120">
        <w:rPr>
          <w:rFonts w:ascii="Arial" w:hAnsi="Arial" w:cs="Arial"/>
          <w:sz w:val="20"/>
          <w:szCs w:val="20"/>
        </w:rPr>
        <w:t>. H</w:t>
      </w:r>
      <w:r w:rsidRPr="00921120">
        <w:rPr>
          <w:rFonts w:ascii="Arial" w:hAnsi="Arial" w:cs="Arial"/>
          <w:sz w:val="20"/>
          <w:szCs w:val="20"/>
        </w:rPr>
        <w:t>owever</w:t>
      </w:r>
      <w:r w:rsidR="00661AA0" w:rsidRPr="00921120">
        <w:rPr>
          <w:rFonts w:ascii="Arial" w:hAnsi="Arial" w:cs="Arial"/>
          <w:sz w:val="20"/>
          <w:szCs w:val="20"/>
        </w:rPr>
        <w:t>,</w:t>
      </w:r>
      <w:r w:rsidRPr="00921120">
        <w:rPr>
          <w:rFonts w:ascii="Arial" w:hAnsi="Arial" w:cs="Arial"/>
          <w:sz w:val="20"/>
          <w:szCs w:val="20"/>
        </w:rPr>
        <w:t xml:space="preserve"> it </w:t>
      </w:r>
      <w:r w:rsidR="00661AA0" w:rsidRPr="00921120">
        <w:rPr>
          <w:rFonts w:ascii="Arial" w:hAnsi="Arial" w:cs="Arial"/>
          <w:sz w:val="20"/>
          <w:szCs w:val="20"/>
        </w:rPr>
        <w:t>wa</w:t>
      </w:r>
      <w:r w:rsidRPr="00921120">
        <w:rPr>
          <w:rFonts w:ascii="Arial" w:hAnsi="Arial" w:cs="Arial"/>
          <w:sz w:val="20"/>
          <w:szCs w:val="20"/>
        </w:rPr>
        <w:t xml:space="preserve">s in negotiations with the </w:t>
      </w:r>
      <w:r w:rsidR="00661AA0" w:rsidRPr="00921120">
        <w:rPr>
          <w:rFonts w:ascii="Arial" w:hAnsi="Arial" w:cs="Arial"/>
          <w:sz w:val="20"/>
          <w:szCs w:val="20"/>
        </w:rPr>
        <w:t xml:space="preserve">DSD </w:t>
      </w:r>
      <w:r w:rsidRPr="00921120">
        <w:rPr>
          <w:rFonts w:ascii="Arial" w:hAnsi="Arial" w:cs="Arial"/>
          <w:sz w:val="20"/>
          <w:szCs w:val="20"/>
        </w:rPr>
        <w:t xml:space="preserve">to identify a </w:t>
      </w:r>
      <w:r w:rsidR="00661AA0" w:rsidRPr="00921120">
        <w:rPr>
          <w:rFonts w:ascii="Arial" w:hAnsi="Arial" w:cs="Arial"/>
          <w:sz w:val="20"/>
          <w:szCs w:val="20"/>
        </w:rPr>
        <w:t xml:space="preserve">NPC </w:t>
      </w:r>
      <w:r w:rsidRPr="00921120">
        <w:rPr>
          <w:rFonts w:ascii="Arial" w:hAnsi="Arial" w:cs="Arial"/>
          <w:sz w:val="20"/>
          <w:szCs w:val="20"/>
        </w:rPr>
        <w:t xml:space="preserve">that </w:t>
      </w:r>
      <w:r w:rsidR="00661AA0" w:rsidRPr="00921120">
        <w:rPr>
          <w:rFonts w:ascii="Arial" w:hAnsi="Arial" w:cs="Arial"/>
          <w:sz w:val="20"/>
          <w:szCs w:val="20"/>
        </w:rPr>
        <w:t>c</w:t>
      </w:r>
      <w:r w:rsidRPr="00921120">
        <w:rPr>
          <w:rFonts w:ascii="Arial" w:hAnsi="Arial" w:cs="Arial"/>
          <w:sz w:val="20"/>
          <w:szCs w:val="20"/>
        </w:rPr>
        <w:t xml:space="preserve">ould take over the facility. The NLC recognised that one of its weaknesses </w:t>
      </w:r>
      <w:r w:rsidR="00661AA0" w:rsidRPr="00921120">
        <w:rPr>
          <w:rFonts w:ascii="Arial" w:hAnsi="Arial" w:cs="Arial"/>
          <w:sz w:val="20"/>
          <w:szCs w:val="20"/>
        </w:rPr>
        <w:t xml:space="preserve">had been the lack of involvement by </w:t>
      </w:r>
      <w:r w:rsidRPr="00921120">
        <w:rPr>
          <w:rFonts w:ascii="Arial" w:hAnsi="Arial" w:cs="Arial"/>
          <w:sz w:val="20"/>
          <w:szCs w:val="20"/>
        </w:rPr>
        <w:t xml:space="preserve">the </w:t>
      </w:r>
      <w:r w:rsidR="00661AA0" w:rsidRPr="00921120">
        <w:rPr>
          <w:rFonts w:ascii="Arial" w:hAnsi="Arial" w:cs="Arial"/>
          <w:sz w:val="20"/>
          <w:szCs w:val="20"/>
        </w:rPr>
        <w:t xml:space="preserve">DSD </w:t>
      </w:r>
      <w:r w:rsidRPr="00921120">
        <w:rPr>
          <w:rFonts w:ascii="Arial" w:hAnsi="Arial" w:cs="Arial"/>
          <w:sz w:val="20"/>
          <w:szCs w:val="20"/>
        </w:rPr>
        <w:t>with regard to the infrastructure projects</w:t>
      </w:r>
      <w:r w:rsidR="00FD6257" w:rsidRPr="00921120">
        <w:rPr>
          <w:rFonts w:ascii="Arial" w:hAnsi="Arial" w:cs="Arial"/>
          <w:sz w:val="20"/>
          <w:szCs w:val="20"/>
        </w:rPr>
        <w:t>,</w:t>
      </w:r>
      <w:r w:rsidRPr="00921120">
        <w:rPr>
          <w:rFonts w:ascii="Arial" w:hAnsi="Arial" w:cs="Arial"/>
          <w:sz w:val="20"/>
          <w:szCs w:val="20"/>
        </w:rPr>
        <w:t xml:space="preserve"> as </w:t>
      </w:r>
      <w:r w:rsidR="00FD6257" w:rsidRPr="00921120">
        <w:rPr>
          <w:rFonts w:ascii="Arial" w:hAnsi="Arial" w:cs="Arial"/>
          <w:sz w:val="20"/>
          <w:szCs w:val="20"/>
        </w:rPr>
        <w:t xml:space="preserve">its involvement </w:t>
      </w:r>
      <w:r w:rsidRPr="00921120">
        <w:rPr>
          <w:rFonts w:ascii="Arial" w:hAnsi="Arial" w:cs="Arial"/>
          <w:sz w:val="20"/>
          <w:szCs w:val="20"/>
        </w:rPr>
        <w:t xml:space="preserve">would have </w:t>
      </w:r>
      <w:r w:rsidR="00661AA0" w:rsidRPr="00921120">
        <w:rPr>
          <w:rFonts w:ascii="Arial" w:hAnsi="Arial" w:cs="Arial"/>
          <w:sz w:val="20"/>
          <w:szCs w:val="20"/>
        </w:rPr>
        <w:t xml:space="preserve">ensured that the right type of infrastructure had been </w:t>
      </w:r>
      <w:r w:rsidR="00FD6257" w:rsidRPr="00921120">
        <w:rPr>
          <w:rFonts w:ascii="Arial" w:hAnsi="Arial" w:cs="Arial"/>
          <w:sz w:val="20"/>
          <w:szCs w:val="20"/>
        </w:rPr>
        <w:t xml:space="preserve">funded </w:t>
      </w:r>
      <w:r w:rsidR="00661AA0" w:rsidRPr="00921120">
        <w:rPr>
          <w:rFonts w:ascii="Arial" w:hAnsi="Arial" w:cs="Arial"/>
          <w:sz w:val="20"/>
          <w:szCs w:val="20"/>
        </w:rPr>
        <w:t>given the local needs</w:t>
      </w:r>
      <w:r w:rsidRPr="00921120">
        <w:rPr>
          <w:rFonts w:ascii="Arial" w:hAnsi="Arial" w:cs="Arial"/>
          <w:sz w:val="20"/>
          <w:szCs w:val="20"/>
        </w:rPr>
        <w:t xml:space="preserve">. </w:t>
      </w:r>
    </w:p>
    <w:p w:rsidR="00975C8D" w:rsidRPr="00921120" w:rsidRDefault="00975C8D" w:rsidP="00921120">
      <w:pPr>
        <w:spacing w:line="240" w:lineRule="auto"/>
        <w:jc w:val="left"/>
        <w:rPr>
          <w:rFonts w:ascii="Arial" w:hAnsi="Arial" w:cs="Arial"/>
          <w:sz w:val="20"/>
          <w:szCs w:val="20"/>
        </w:rPr>
      </w:pPr>
    </w:p>
    <w:p w:rsidR="00975C8D" w:rsidRPr="00921120" w:rsidRDefault="00FD6257" w:rsidP="00921120">
      <w:pPr>
        <w:spacing w:line="240" w:lineRule="auto"/>
        <w:jc w:val="left"/>
        <w:rPr>
          <w:rFonts w:ascii="Arial" w:hAnsi="Arial" w:cs="Arial"/>
          <w:sz w:val="20"/>
          <w:szCs w:val="20"/>
        </w:rPr>
      </w:pPr>
      <w:r w:rsidRPr="00921120">
        <w:rPr>
          <w:rFonts w:ascii="Arial" w:hAnsi="Arial" w:cs="Arial"/>
          <w:sz w:val="20"/>
          <w:szCs w:val="20"/>
        </w:rPr>
        <w:t>T</w:t>
      </w:r>
      <w:r w:rsidR="00661AA0" w:rsidRPr="00921120">
        <w:rPr>
          <w:rFonts w:ascii="Arial" w:hAnsi="Arial" w:cs="Arial"/>
          <w:sz w:val="20"/>
          <w:szCs w:val="20"/>
        </w:rPr>
        <w:t>he</w:t>
      </w:r>
      <w:r w:rsidR="00975C8D" w:rsidRPr="00921120">
        <w:rPr>
          <w:rFonts w:ascii="Arial" w:hAnsi="Arial" w:cs="Arial"/>
          <w:sz w:val="20"/>
          <w:szCs w:val="20"/>
        </w:rPr>
        <w:t xml:space="preserve"> four </w:t>
      </w:r>
      <w:r w:rsidR="00661AA0" w:rsidRPr="00921120">
        <w:rPr>
          <w:rFonts w:ascii="Arial" w:hAnsi="Arial" w:cs="Arial"/>
          <w:sz w:val="20"/>
          <w:szCs w:val="20"/>
        </w:rPr>
        <w:t xml:space="preserve">incomplete </w:t>
      </w:r>
      <w:r w:rsidR="00975C8D" w:rsidRPr="00921120">
        <w:rPr>
          <w:rFonts w:ascii="Arial" w:hAnsi="Arial" w:cs="Arial"/>
          <w:sz w:val="20"/>
          <w:szCs w:val="20"/>
        </w:rPr>
        <w:t xml:space="preserve">projects </w:t>
      </w:r>
      <w:r w:rsidR="00661AA0" w:rsidRPr="00921120">
        <w:rPr>
          <w:rFonts w:ascii="Arial" w:hAnsi="Arial" w:cs="Arial"/>
          <w:sz w:val="20"/>
          <w:szCs w:val="20"/>
        </w:rPr>
        <w:t xml:space="preserve">had </w:t>
      </w:r>
      <w:r w:rsidR="00975C8D" w:rsidRPr="00921120">
        <w:rPr>
          <w:rFonts w:ascii="Arial" w:hAnsi="Arial" w:cs="Arial"/>
          <w:sz w:val="20"/>
          <w:szCs w:val="20"/>
        </w:rPr>
        <w:t xml:space="preserve">received initial funding, with additional </w:t>
      </w:r>
      <w:r w:rsidR="00661AA0" w:rsidRPr="00921120">
        <w:rPr>
          <w:rFonts w:ascii="Arial" w:hAnsi="Arial" w:cs="Arial"/>
          <w:sz w:val="20"/>
          <w:szCs w:val="20"/>
        </w:rPr>
        <w:t xml:space="preserve">funding </w:t>
      </w:r>
      <w:r w:rsidR="00975C8D" w:rsidRPr="00921120">
        <w:rPr>
          <w:rFonts w:ascii="Arial" w:hAnsi="Arial" w:cs="Arial"/>
          <w:sz w:val="20"/>
          <w:szCs w:val="20"/>
        </w:rPr>
        <w:t>also</w:t>
      </w:r>
      <w:r w:rsidRPr="00921120">
        <w:rPr>
          <w:rFonts w:ascii="Arial" w:hAnsi="Arial" w:cs="Arial"/>
          <w:sz w:val="20"/>
          <w:szCs w:val="20"/>
        </w:rPr>
        <w:t xml:space="preserve"> being</w:t>
      </w:r>
      <w:r w:rsidR="00975C8D" w:rsidRPr="00921120">
        <w:rPr>
          <w:rFonts w:ascii="Arial" w:hAnsi="Arial" w:cs="Arial"/>
          <w:sz w:val="20"/>
          <w:szCs w:val="20"/>
        </w:rPr>
        <w:t xml:space="preserve"> made available. The NLC recognised that in order to proceed with these projects, an independent structural integrity assessment must be completed to determine whether to </w:t>
      </w:r>
      <w:r w:rsidR="00661AA0" w:rsidRPr="00921120">
        <w:rPr>
          <w:rFonts w:ascii="Arial" w:hAnsi="Arial" w:cs="Arial"/>
          <w:sz w:val="20"/>
          <w:szCs w:val="20"/>
        </w:rPr>
        <w:t xml:space="preserve">complete these </w:t>
      </w:r>
      <w:r w:rsidR="00975C8D" w:rsidRPr="00921120">
        <w:rPr>
          <w:rFonts w:ascii="Arial" w:hAnsi="Arial" w:cs="Arial"/>
          <w:sz w:val="20"/>
          <w:szCs w:val="20"/>
        </w:rPr>
        <w:t xml:space="preserve">and the cost implications associated with completion of the projects. Credible engineers </w:t>
      </w:r>
      <w:r w:rsidRPr="00921120">
        <w:rPr>
          <w:rFonts w:ascii="Arial" w:hAnsi="Arial" w:cs="Arial"/>
          <w:sz w:val="20"/>
          <w:szCs w:val="20"/>
        </w:rPr>
        <w:t>we</w:t>
      </w:r>
      <w:r w:rsidR="00975C8D" w:rsidRPr="00921120">
        <w:rPr>
          <w:rFonts w:ascii="Arial" w:hAnsi="Arial" w:cs="Arial"/>
          <w:sz w:val="20"/>
          <w:szCs w:val="20"/>
        </w:rPr>
        <w:t xml:space="preserve">re required </w:t>
      </w:r>
      <w:r w:rsidR="008C4E65" w:rsidRPr="00921120">
        <w:rPr>
          <w:rFonts w:ascii="Arial" w:hAnsi="Arial" w:cs="Arial"/>
          <w:sz w:val="20"/>
          <w:szCs w:val="20"/>
        </w:rPr>
        <w:t>in this regard. T</w:t>
      </w:r>
      <w:r w:rsidR="00975C8D" w:rsidRPr="00921120">
        <w:rPr>
          <w:rFonts w:ascii="Arial" w:hAnsi="Arial" w:cs="Arial"/>
          <w:sz w:val="20"/>
          <w:szCs w:val="20"/>
        </w:rPr>
        <w:t xml:space="preserve">he NLC </w:t>
      </w:r>
      <w:r w:rsidRPr="00921120">
        <w:rPr>
          <w:rFonts w:ascii="Arial" w:hAnsi="Arial" w:cs="Arial"/>
          <w:sz w:val="20"/>
          <w:szCs w:val="20"/>
        </w:rPr>
        <w:t xml:space="preserve">had been </w:t>
      </w:r>
      <w:r w:rsidR="00975C8D" w:rsidRPr="00921120">
        <w:rPr>
          <w:rFonts w:ascii="Arial" w:hAnsi="Arial" w:cs="Arial"/>
          <w:sz w:val="20"/>
          <w:szCs w:val="20"/>
        </w:rPr>
        <w:t>engag</w:t>
      </w:r>
      <w:r w:rsidR="008C4E65" w:rsidRPr="00921120">
        <w:rPr>
          <w:rFonts w:ascii="Arial" w:hAnsi="Arial" w:cs="Arial"/>
          <w:sz w:val="20"/>
          <w:szCs w:val="20"/>
        </w:rPr>
        <w:t>ing</w:t>
      </w:r>
      <w:r w:rsidR="00975C8D" w:rsidRPr="00921120">
        <w:rPr>
          <w:rFonts w:ascii="Arial" w:hAnsi="Arial" w:cs="Arial"/>
          <w:sz w:val="20"/>
          <w:szCs w:val="20"/>
        </w:rPr>
        <w:t xml:space="preserve"> the IDC to assist </w:t>
      </w:r>
      <w:r w:rsidR="008C4E65" w:rsidRPr="00921120">
        <w:rPr>
          <w:rFonts w:ascii="Arial" w:hAnsi="Arial" w:cs="Arial"/>
          <w:sz w:val="20"/>
          <w:szCs w:val="20"/>
        </w:rPr>
        <w:t xml:space="preserve">it through its </w:t>
      </w:r>
      <w:r w:rsidR="00975C8D" w:rsidRPr="00921120">
        <w:rPr>
          <w:rFonts w:ascii="Arial" w:hAnsi="Arial" w:cs="Arial"/>
          <w:sz w:val="20"/>
          <w:szCs w:val="20"/>
        </w:rPr>
        <w:t xml:space="preserve">panel </w:t>
      </w:r>
      <w:r w:rsidR="00661AA0" w:rsidRPr="00921120">
        <w:rPr>
          <w:rFonts w:ascii="Arial" w:hAnsi="Arial" w:cs="Arial"/>
          <w:sz w:val="20"/>
          <w:szCs w:val="20"/>
        </w:rPr>
        <w:t xml:space="preserve">of </w:t>
      </w:r>
      <w:r w:rsidR="00975C8D" w:rsidRPr="00921120">
        <w:rPr>
          <w:rFonts w:ascii="Arial" w:hAnsi="Arial" w:cs="Arial"/>
          <w:sz w:val="20"/>
          <w:szCs w:val="20"/>
        </w:rPr>
        <w:t xml:space="preserve">engineers </w:t>
      </w:r>
      <w:r w:rsidR="008C4E65" w:rsidRPr="00921120">
        <w:rPr>
          <w:rFonts w:ascii="Arial" w:hAnsi="Arial" w:cs="Arial"/>
          <w:sz w:val="20"/>
          <w:szCs w:val="20"/>
        </w:rPr>
        <w:t>to</w:t>
      </w:r>
      <w:r w:rsidR="00975C8D" w:rsidRPr="00921120">
        <w:rPr>
          <w:rFonts w:ascii="Arial" w:hAnsi="Arial" w:cs="Arial"/>
          <w:sz w:val="20"/>
          <w:szCs w:val="20"/>
        </w:rPr>
        <w:t xml:space="preserve"> determin</w:t>
      </w:r>
      <w:r w:rsidR="008C4E65" w:rsidRPr="00921120">
        <w:rPr>
          <w:rFonts w:ascii="Arial" w:hAnsi="Arial" w:cs="Arial"/>
          <w:sz w:val="20"/>
          <w:szCs w:val="20"/>
        </w:rPr>
        <w:t>e</w:t>
      </w:r>
      <w:r w:rsidR="00975C8D" w:rsidRPr="00921120">
        <w:rPr>
          <w:rFonts w:ascii="Arial" w:hAnsi="Arial" w:cs="Arial"/>
          <w:sz w:val="20"/>
          <w:szCs w:val="20"/>
        </w:rPr>
        <w:t xml:space="preserve"> the viability of the projects. These project</w:t>
      </w:r>
      <w:r w:rsidR="00661AA0" w:rsidRPr="00921120">
        <w:rPr>
          <w:rFonts w:ascii="Arial" w:hAnsi="Arial" w:cs="Arial"/>
          <w:sz w:val="20"/>
          <w:szCs w:val="20"/>
        </w:rPr>
        <w:t>s</w:t>
      </w:r>
      <w:r w:rsidR="00975C8D" w:rsidRPr="00921120">
        <w:rPr>
          <w:rFonts w:ascii="Arial" w:hAnsi="Arial" w:cs="Arial"/>
          <w:sz w:val="20"/>
          <w:szCs w:val="20"/>
        </w:rPr>
        <w:t xml:space="preserve"> </w:t>
      </w:r>
      <w:r w:rsidR="00661AA0" w:rsidRPr="00921120">
        <w:rPr>
          <w:rFonts w:ascii="Arial" w:hAnsi="Arial" w:cs="Arial"/>
          <w:sz w:val="20"/>
          <w:szCs w:val="20"/>
        </w:rPr>
        <w:t>we</w:t>
      </w:r>
      <w:r w:rsidR="00975C8D" w:rsidRPr="00921120">
        <w:rPr>
          <w:rFonts w:ascii="Arial" w:hAnsi="Arial" w:cs="Arial"/>
          <w:sz w:val="20"/>
          <w:szCs w:val="20"/>
        </w:rPr>
        <w:t xml:space="preserve">re </w:t>
      </w:r>
      <w:r w:rsidR="008C4E65" w:rsidRPr="00921120">
        <w:rPr>
          <w:rFonts w:ascii="Arial" w:hAnsi="Arial" w:cs="Arial"/>
          <w:sz w:val="20"/>
          <w:szCs w:val="20"/>
        </w:rPr>
        <w:t xml:space="preserve">also </w:t>
      </w:r>
      <w:r w:rsidR="00975C8D" w:rsidRPr="00921120">
        <w:rPr>
          <w:rFonts w:ascii="Arial" w:hAnsi="Arial" w:cs="Arial"/>
          <w:sz w:val="20"/>
          <w:szCs w:val="20"/>
        </w:rPr>
        <w:t xml:space="preserve">under investigation </w:t>
      </w:r>
      <w:r w:rsidR="008C4E65" w:rsidRPr="00921120">
        <w:rPr>
          <w:rFonts w:ascii="Arial" w:hAnsi="Arial" w:cs="Arial"/>
          <w:sz w:val="20"/>
          <w:szCs w:val="20"/>
        </w:rPr>
        <w:t xml:space="preserve">by the SIU </w:t>
      </w:r>
      <w:r w:rsidR="00975C8D" w:rsidRPr="00921120">
        <w:rPr>
          <w:rFonts w:ascii="Arial" w:hAnsi="Arial" w:cs="Arial"/>
          <w:sz w:val="20"/>
          <w:szCs w:val="20"/>
        </w:rPr>
        <w:t xml:space="preserve">on how monies </w:t>
      </w:r>
      <w:r w:rsidR="008C4E65" w:rsidRPr="00921120">
        <w:rPr>
          <w:rFonts w:ascii="Arial" w:hAnsi="Arial" w:cs="Arial"/>
          <w:sz w:val="20"/>
          <w:szCs w:val="20"/>
        </w:rPr>
        <w:t xml:space="preserve">had been </w:t>
      </w:r>
      <w:r w:rsidR="00975C8D" w:rsidRPr="00921120">
        <w:rPr>
          <w:rFonts w:ascii="Arial" w:hAnsi="Arial" w:cs="Arial"/>
          <w:sz w:val="20"/>
          <w:szCs w:val="20"/>
        </w:rPr>
        <w:t>utilise</w:t>
      </w:r>
      <w:r w:rsidR="00661AA0" w:rsidRPr="00921120">
        <w:rPr>
          <w:rFonts w:ascii="Arial" w:hAnsi="Arial" w:cs="Arial"/>
          <w:sz w:val="20"/>
          <w:szCs w:val="20"/>
        </w:rPr>
        <w:t>d</w:t>
      </w:r>
      <w:r w:rsidR="00975C8D" w:rsidRPr="00921120">
        <w:rPr>
          <w:rFonts w:ascii="Arial" w:hAnsi="Arial" w:cs="Arial"/>
          <w:sz w:val="20"/>
          <w:szCs w:val="20"/>
        </w:rPr>
        <w:t>.</w:t>
      </w:r>
    </w:p>
    <w:p w:rsidR="00975C8D" w:rsidRPr="00921120" w:rsidRDefault="00975C8D" w:rsidP="00921120">
      <w:pPr>
        <w:spacing w:line="240" w:lineRule="auto"/>
        <w:jc w:val="left"/>
        <w:rPr>
          <w:rFonts w:ascii="Arial" w:hAnsi="Arial" w:cs="Arial"/>
          <w:sz w:val="20"/>
          <w:szCs w:val="20"/>
        </w:rPr>
      </w:pPr>
    </w:p>
    <w:p w:rsidR="00975C8D" w:rsidRPr="00921120" w:rsidRDefault="00975C8D" w:rsidP="00921120">
      <w:pPr>
        <w:spacing w:line="240" w:lineRule="auto"/>
        <w:jc w:val="left"/>
        <w:rPr>
          <w:rFonts w:ascii="Arial" w:hAnsi="Arial" w:cs="Arial"/>
          <w:sz w:val="20"/>
          <w:szCs w:val="20"/>
        </w:rPr>
      </w:pPr>
      <w:r w:rsidRPr="00921120">
        <w:rPr>
          <w:rFonts w:ascii="Arial" w:hAnsi="Arial" w:cs="Arial"/>
          <w:sz w:val="20"/>
          <w:szCs w:val="20"/>
        </w:rPr>
        <w:t xml:space="preserve">The two projects on hold </w:t>
      </w:r>
      <w:r w:rsidR="00FD6257" w:rsidRPr="00921120">
        <w:rPr>
          <w:rFonts w:ascii="Arial" w:hAnsi="Arial" w:cs="Arial"/>
          <w:sz w:val="20"/>
          <w:szCs w:val="20"/>
        </w:rPr>
        <w:t>we</w:t>
      </w:r>
      <w:r w:rsidRPr="00921120">
        <w:rPr>
          <w:rFonts w:ascii="Arial" w:hAnsi="Arial" w:cs="Arial"/>
          <w:sz w:val="20"/>
          <w:szCs w:val="20"/>
        </w:rPr>
        <w:t>re the Old Age Home projects in Mpumalanga and the Northern Cape valued at R30</w:t>
      </w:r>
      <w:r w:rsidR="00661AA0" w:rsidRPr="00921120">
        <w:rPr>
          <w:rFonts w:ascii="Arial" w:hAnsi="Arial" w:cs="Arial"/>
          <w:sz w:val="20"/>
          <w:szCs w:val="20"/>
        </w:rPr>
        <w:t>,</w:t>
      </w:r>
      <w:r w:rsidRPr="00921120">
        <w:rPr>
          <w:rFonts w:ascii="Arial" w:hAnsi="Arial" w:cs="Arial"/>
          <w:sz w:val="20"/>
          <w:szCs w:val="20"/>
        </w:rPr>
        <w:t>4 million and R41</w:t>
      </w:r>
      <w:r w:rsidR="00661AA0" w:rsidRPr="00921120">
        <w:rPr>
          <w:rFonts w:ascii="Arial" w:hAnsi="Arial" w:cs="Arial"/>
          <w:sz w:val="20"/>
          <w:szCs w:val="20"/>
        </w:rPr>
        <w:t>,</w:t>
      </w:r>
      <w:r w:rsidRPr="00921120">
        <w:rPr>
          <w:rFonts w:ascii="Arial" w:hAnsi="Arial" w:cs="Arial"/>
          <w:sz w:val="20"/>
          <w:szCs w:val="20"/>
        </w:rPr>
        <w:t xml:space="preserve">1 million, respectively. Both projects </w:t>
      </w:r>
      <w:r w:rsidR="00661AA0" w:rsidRPr="00921120">
        <w:rPr>
          <w:rFonts w:ascii="Arial" w:hAnsi="Arial" w:cs="Arial"/>
          <w:sz w:val="20"/>
          <w:szCs w:val="20"/>
        </w:rPr>
        <w:t>we</w:t>
      </w:r>
      <w:r w:rsidRPr="00921120">
        <w:rPr>
          <w:rFonts w:ascii="Arial" w:hAnsi="Arial" w:cs="Arial"/>
          <w:sz w:val="20"/>
          <w:szCs w:val="20"/>
        </w:rPr>
        <w:t xml:space="preserve">re under investigation by the SIU and based on </w:t>
      </w:r>
      <w:r w:rsidR="00661AA0" w:rsidRPr="00921120">
        <w:rPr>
          <w:rFonts w:ascii="Arial" w:hAnsi="Arial" w:cs="Arial"/>
          <w:sz w:val="20"/>
          <w:szCs w:val="20"/>
        </w:rPr>
        <w:t xml:space="preserve">its </w:t>
      </w:r>
      <w:r w:rsidRPr="00921120">
        <w:rPr>
          <w:rFonts w:ascii="Arial" w:hAnsi="Arial" w:cs="Arial"/>
          <w:sz w:val="20"/>
          <w:szCs w:val="20"/>
        </w:rPr>
        <w:t xml:space="preserve">recommendation, funding </w:t>
      </w:r>
      <w:r w:rsidR="00661AA0" w:rsidRPr="00921120">
        <w:rPr>
          <w:rFonts w:ascii="Arial" w:hAnsi="Arial" w:cs="Arial"/>
          <w:sz w:val="20"/>
          <w:szCs w:val="20"/>
        </w:rPr>
        <w:t>was</w:t>
      </w:r>
      <w:r w:rsidRPr="00921120">
        <w:rPr>
          <w:rFonts w:ascii="Arial" w:hAnsi="Arial" w:cs="Arial"/>
          <w:sz w:val="20"/>
          <w:szCs w:val="20"/>
        </w:rPr>
        <w:t xml:space="preserve"> be</w:t>
      </w:r>
      <w:r w:rsidR="00661AA0" w:rsidRPr="00921120">
        <w:rPr>
          <w:rFonts w:ascii="Arial" w:hAnsi="Arial" w:cs="Arial"/>
          <w:sz w:val="20"/>
          <w:szCs w:val="20"/>
        </w:rPr>
        <w:t>ing</w:t>
      </w:r>
      <w:r w:rsidRPr="00921120">
        <w:rPr>
          <w:rFonts w:ascii="Arial" w:hAnsi="Arial" w:cs="Arial"/>
          <w:sz w:val="20"/>
          <w:szCs w:val="20"/>
        </w:rPr>
        <w:t xml:space="preserve"> withheld. With respect to the Northern Cape project, the community </w:t>
      </w:r>
      <w:r w:rsidR="00661AA0" w:rsidRPr="00921120">
        <w:rPr>
          <w:rFonts w:ascii="Arial" w:hAnsi="Arial" w:cs="Arial"/>
          <w:sz w:val="20"/>
          <w:szCs w:val="20"/>
        </w:rPr>
        <w:t xml:space="preserve">had </w:t>
      </w:r>
      <w:r w:rsidRPr="00921120">
        <w:rPr>
          <w:rFonts w:ascii="Arial" w:hAnsi="Arial" w:cs="Arial"/>
          <w:sz w:val="20"/>
          <w:szCs w:val="20"/>
        </w:rPr>
        <w:t>inform</w:t>
      </w:r>
      <w:r w:rsidR="00661AA0" w:rsidRPr="00921120">
        <w:rPr>
          <w:rFonts w:ascii="Arial" w:hAnsi="Arial" w:cs="Arial"/>
          <w:sz w:val="20"/>
          <w:szCs w:val="20"/>
        </w:rPr>
        <w:t>ed</w:t>
      </w:r>
      <w:r w:rsidRPr="00921120">
        <w:rPr>
          <w:rFonts w:ascii="Arial" w:hAnsi="Arial" w:cs="Arial"/>
          <w:sz w:val="20"/>
          <w:szCs w:val="20"/>
        </w:rPr>
        <w:t xml:space="preserve"> the NLC that an Old Age Home</w:t>
      </w:r>
      <w:r w:rsidR="00661AA0" w:rsidRPr="00921120">
        <w:rPr>
          <w:rFonts w:ascii="Arial" w:hAnsi="Arial" w:cs="Arial"/>
          <w:sz w:val="20"/>
          <w:szCs w:val="20"/>
        </w:rPr>
        <w:t xml:space="preserve"> was not required in the area</w:t>
      </w:r>
      <w:r w:rsidRPr="00921120">
        <w:rPr>
          <w:rFonts w:ascii="Arial" w:hAnsi="Arial" w:cs="Arial"/>
          <w:sz w:val="20"/>
          <w:szCs w:val="20"/>
        </w:rPr>
        <w:t xml:space="preserve">. </w:t>
      </w:r>
    </w:p>
    <w:p w:rsidR="00975C8D" w:rsidRPr="00921120" w:rsidRDefault="00975C8D" w:rsidP="00921120">
      <w:pPr>
        <w:spacing w:line="240" w:lineRule="auto"/>
        <w:jc w:val="left"/>
        <w:rPr>
          <w:rFonts w:ascii="Arial" w:hAnsi="Arial" w:cs="Arial"/>
          <w:sz w:val="20"/>
          <w:szCs w:val="20"/>
        </w:rPr>
      </w:pPr>
    </w:p>
    <w:p w:rsidR="00975C8D" w:rsidRPr="00921120" w:rsidRDefault="003F2807" w:rsidP="00921120">
      <w:pPr>
        <w:pStyle w:val="Heading4"/>
        <w:spacing w:line="240" w:lineRule="auto"/>
        <w:jc w:val="left"/>
        <w:rPr>
          <w:rFonts w:ascii="Arial" w:hAnsi="Arial" w:cs="Arial"/>
          <w:sz w:val="20"/>
          <w:szCs w:val="20"/>
        </w:rPr>
      </w:pPr>
      <w:r w:rsidRPr="00921120">
        <w:rPr>
          <w:rFonts w:ascii="Arial" w:hAnsi="Arial" w:cs="Arial"/>
          <w:sz w:val="20"/>
          <w:szCs w:val="20"/>
        </w:rPr>
        <w:t>Reported Allegations of Fraud</w:t>
      </w:r>
      <w:r w:rsidR="00975C8D" w:rsidRPr="00921120">
        <w:rPr>
          <w:rFonts w:ascii="Arial" w:hAnsi="Arial" w:cs="Arial"/>
          <w:sz w:val="20"/>
          <w:szCs w:val="20"/>
        </w:rPr>
        <w:t xml:space="preserve"> from the anti-fraud hotline</w:t>
      </w:r>
    </w:p>
    <w:p w:rsidR="007F3DBE" w:rsidRPr="00921120" w:rsidRDefault="00975C8D" w:rsidP="00921120">
      <w:pPr>
        <w:spacing w:line="240" w:lineRule="auto"/>
        <w:jc w:val="left"/>
        <w:rPr>
          <w:rFonts w:ascii="Arial" w:hAnsi="Arial" w:cs="Arial"/>
          <w:sz w:val="20"/>
          <w:szCs w:val="20"/>
        </w:rPr>
      </w:pPr>
      <w:r w:rsidRPr="00921120">
        <w:rPr>
          <w:rFonts w:ascii="Arial" w:hAnsi="Arial" w:cs="Arial"/>
          <w:sz w:val="20"/>
          <w:szCs w:val="20"/>
        </w:rPr>
        <w:t>The NLC informed the Committee that</w:t>
      </w:r>
      <w:r w:rsidR="0075049A" w:rsidRPr="00921120">
        <w:rPr>
          <w:rFonts w:ascii="Arial" w:hAnsi="Arial" w:cs="Arial"/>
          <w:sz w:val="20"/>
          <w:szCs w:val="20"/>
        </w:rPr>
        <w:t>,</w:t>
      </w:r>
      <w:r w:rsidRPr="00921120">
        <w:rPr>
          <w:rFonts w:ascii="Arial" w:hAnsi="Arial" w:cs="Arial"/>
          <w:sz w:val="20"/>
          <w:szCs w:val="20"/>
        </w:rPr>
        <w:t xml:space="preserve"> </w:t>
      </w:r>
      <w:r w:rsidR="0075049A" w:rsidRPr="00921120">
        <w:rPr>
          <w:rFonts w:ascii="Arial" w:hAnsi="Arial" w:cs="Arial"/>
          <w:sz w:val="20"/>
          <w:szCs w:val="20"/>
        </w:rPr>
        <w:t>during</w:t>
      </w:r>
      <w:r w:rsidRPr="00921120">
        <w:rPr>
          <w:rFonts w:ascii="Arial" w:hAnsi="Arial" w:cs="Arial"/>
          <w:sz w:val="20"/>
          <w:szCs w:val="20"/>
        </w:rPr>
        <w:t xml:space="preserve"> the </w:t>
      </w:r>
      <w:r w:rsidR="0075049A" w:rsidRPr="00921120">
        <w:rPr>
          <w:rFonts w:ascii="Arial" w:hAnsi="Arial" w:cs="Arial"/>
          <w:sz w:val="20"/>
          <w:szCs w:val="20"/>
        </w:rPr>
        <w:t xml:space="preserve">tenure </w:t>
      </w:r>
      <w:r w:rsidRPr="00921120">
        <w:rPr>
          <w:rFonts w:ascii="Arial" w:hAnsi="Arial" w:cs="Arial"/>
          <w:sz w:val="20"/>
          <w:szCs w:val="20"/>
        </w:rPr>
        <w:t>of Mr L October as Acting Commissioner, a credible anti-fraud hotline</w:t>
      </w:r>
      <w:r w:rsidR="00EB7C0E" w:rsidRPr="00921120">
        <w:rPr>
          <w:rFonts w:ascii="Arial" w:hAnsi="Arial" w:cs="Arial"/>
          <w:sz w:val="20"/>
          <w:szCs w:val="20"/>
        </w:rPr>
        <w:t xml:space="preserve"> had been</w:t>
      </w:r>
      <w:r w:rsidR="0075049A" w:rsidRPr="00921120">
        <w:rPr>
          <w:rFonts w:ascii="Arial" w:hAnsi="Arial" w:cs="Arial"/>
          <w:sz w:val="20"/>
          <w:szCs w:val="20"/>
        </w:rPr>
        <w:t xml:space="preserve"> introduced,</w:t>
      </w:r>
      <w:r w:rsidRPr="00921120">
        <w:rPr>
          <w:rFonts w:ascii="Arial" w:hAnsi="Arial" w:cs="Arial"/>
          <w:sz w:val="20"/>
          <w:szCs w:val="20"/>
        </w:rPr>
        <w:t xml:space="preserve"> </w:t>
      </w:r>
      <w:r w:rsidR="0075049A" w:rsidRPr="00921120">
        <w:rPr>
          <w:rFonts w:ascii="Arial" w:hAnsi="Arial" w:cs="Arial"/>
          <w:sz w:val="20"/>
          <w:szCs w:val="20"/>
        </w:rPr>
        <w:t>w</w:t>
      </w:r>
      <w:r w:rsidRPr="00921120">
        <w:rPr>
          <w:rFonts w:ascii="Arial" w:hAnsi="Arial" w:cs="Arial"/>
          <w:sz w:val="20"/>
          <w:szCs w:val="20"/>
        </w:rPr>
        <w:t>ith the support of the DTIC</w:t>
      </w:r>
      <w:r w:rsidR="0075049A" w:rsidRPr="00921120">
        <w:rPr>
          <w:rFonts w:ascii="Arial" w:hAnsi="Arial" w:cs="Arial"/>
          <w:sz w:val="20"/>
          <w:szCs w:val="20"/>
        </w:rPr>
        <w:t xml:space="preserve">. The hotline had received </w:t>
      </w:r>
      <w:r w:rsidR="002C111F" w:rsidRPr="00921120">
        <w:rPr>
          <w:rFonts w:ascii="Arial" w:hAnsi="Arial" w:cs="Arial"/>
          <w:sz w:val="20"/>
          <w:szCs w:val="20"/>
        </w:rPr>
        <w:t xml:space="preserve">151 </w:t>
      </w:r>
      <w:r w:rsidRPr="00921120">
        <w:rPr>
          <w:rFonts w:ascii="Arial" w:hAnsi="Arial" w:cs="Arial"/>
          <w:sz w:val="20"/>
          <w:szCs w:val="20"/>
        </w:rPr>
        <w:t xml:space="preserve">reported </w:t>
      </w:r>
      <w:r w:rsidR="0075049A" w:rsidRPr="00921120">
        <w:rPr>
          <w:rFonts w:ascii="Arial" w:hAnsi="Arial" w:cs="Arial"/>
          <w:sz w:val="20"/>
          <w:szCs w:val="20"/>
        </w:rPr>
        <w:t xml:space="preserve">allegations </w:t>
      </w:r>
      <w:r w:rsidRPr="00921120">
        <w:rPr>
          <w:rFonts w:ascii="Arial" w:hAnsi="Arial" w:cs="Arial"/>
          <w:sz w:val="20"/>
          <w:szCs w:val="20"/>
        </w:rPr>
        <w:t xml:space="preserve">of fraud, corruption, and maladministration </w:t>
      </w:r>
      <w:r w:rsidR="002C111F" w:rsidRPr="00921120">
        <w:rPr>
          <w:rFonts w:ascii="Arial" w:hAnsi="Arial" w:cs="Arial"/>
          <w:sz w:val="20"/>
          <w:szCs w:val="20"/>
        </w:rPr>
        <w:t>between the first and third quarters of the 2022/23 financial year</w:t>
      </w:r>
      <w:r w:rsidRPr="00921120">
        <w:rPr>
          <w:rFonts w:ascii="Arial" w:hAnsi="Arial" w:cs="Arial"/>
          <w:sz w:val="20"/>
          <w:szCs w:val="20"/>
        </w:rPr>
        <w:t>.</w:t>
      </w:r>
    </w:p>
    <w:p w:rsidR="00975C8D" w:rsidRPr="00921120" w:rsidRDefault="00975C8D" w:rsidP="00921120">
      <w:pPr>
        <w:spacing w:line="240" w:lineRule="auto"/>
        <w:jc w:val="left"/>
        <w:rPr>
          <w:rFonts w:ascii="Arial" w:hAnsi="Arial" w:cs="Arial"/>
          <w:sz w:val="20"/>
          <w:szCs w:val="20"/>
        </w:rPr>
      </w:pPr>
      <w:r w:rsidRPr="00921120">
        <w:rPr>
          <w:rFonts w:ascii="Arial" w:hAnsi="Arial" w:cs="Arial"/>
          <w:sz w:val="20"/>
          <w:szCs w:val="20"/>
        </w:rPr>
        <w:t xml:space="preserve"> </w:t>
      </w:r>
    </w:p>
    <w:p w:rsidR="003F2807" w:rsidRPr="00921120" w:rsidRDefault="00975C8D" w:rsidP="00921120">
      <w:pPr>
        <w:spacing w:line="240" w:lineRule="auto"/>
        <w:jc w:val="left"/>
        <w:rPr>
          <w:rFonts w:ascii="Arial" w:hAnsi="Arial" w:cs="Arial"/>
          <w:sz w:val="20"/>
          <w:szCs w:val="20"/>
        </w:rPr>
      </w:pPr>
      <w:r w:rsidRPr="00921120">
        <w:rPr>
          <w:rFonts w:ascii="Arial" w:hAnsi="Arial" w:cs="Arial"/>
          <w:sz w:val="20"/>
          <w:szCs w:val="20"/>
        </w:rPr>
        <w:t xml:space="preserve">Between October and December 2022, eight cases </w:t>
      </w:r>
      <w:r w:rsidR="002C111F" w:rsidRPr="00921120">
        <w:rPr>
          <w:rFonts w:ascii="Arial" w:hAnsi="Arial" w:cs="Arial"/>
          <w:sz w:val="20"/>
          <w:szCs w:val="20"/>
        </w:rPr>
        <w:t xml:space="preserve">had been </w:t>
      </w:r>
      <w:r w:rsidRPr="00921120">
        <w:rPr>
          <w:rFonts w:ascii="Arial" w:hAnsi="Arial" w:cs="Arial"/>
          <w:sz w:val="20"/>
          <w:szCs w:val="20"/>
        </w:rPr>
        <w:t>reported, with preliminary assessments concluded. These allegation</w:t>
      </w:r>
      <w:r w:rsidR="00FC2D13" w:rsidRPr="00921120">
        <w:rPr>
          <w:rFonts w:ascii="Arial" w:hAnsi="Arial" w:cs="Arial"/>
          <w:sz w:val="20"/>
          <w:szCs w:val="20"/>
        </w:rPr>
        <w:t>s</w:t>
      </w:r>
      <w:r w:rsidRPr="00921120">
        <w:rPr>
          <w:rFonts w:ascii="Arial" w:hAnsi="Arial" w:cs="Arial"/>
          <w:sz w:val="20"/>
          <w:szCs w:val="20"/>
        </w:rPr>
        <w:t xml:space="preserve"> </w:t>
      </w:r>
      <w:r w:rsidR="002C111F" w:rsidRPr="00921120">
        <w:rPr>
          <w:rFonts w:ascii="Arial" w:hAnsi="Arial" w:cs="Arial"/>
          <w:sz w:val="20"/>
          <w:szCs w:val="20"/>
        </w:rPr>
        <w:t xml:space="preserve">had been </w:t>
      </w:r>
      <w:r w:rsidRPr="00921120">
        <w:rPr>
          <w:rFonts w:ascii="Arial" w:hAnsi="Arial" w:cs="Arial"/>
          <w:sz w:val="20"/>
          <w:szCs w:val="20"/>
        </w:rPr>
        <w:t xml:space="preserve">assessed and investigated by the internal audit unit through the necessary resources allocated by the </w:t>
      </w:r>
      <w:r w:rsidR="0075049A" w:rsidRPr="00921120">
        <w:rPr>
          <w:rFonts w:ascii="Arial" w:hAnsi="Arial" w:cs="Arial"/>
          <w:sz w:val="20"/>
          <w:szCs w:val="20"/>
        </w:rPr>
        <w:t>DTIC</w:t>
      </w:r>
      <w:r w:rsidRPr="00921120">
        <w:rPr>
          <w:rFonts w:ascii="Arial" w:hAnsi="Arial" w:cs="Arial"/>
          <w:sz w:val="20"/>
          <w:szCs w:val="20"/>
        </w:rPr>
        <w:t>. The NLC informed the Committee that the two matters reported in October related to the recruitment of two NLC official</w:t>
      </w:r>
      <w:r w:rsidR="007F3DBE" w:rsidRPr="00921120">
        <w:rPr>
          <w:rFonts w:ascii="Arial" w:hAnsi="Arial" w:cs="Arial"/>
          <w:sz w:val="20"/>
          <w:szCs w:val="20"/>
        </w:rPr>
        <w:t>s</w:t>
      </w:r>
      <w:r w:rsidR="0075049A" w:rsidRPr="00921120">
        <w:rPr>
          <w:rFonts w:ascii="Arial" w:hAnsi="Arial" w:cs="Arial"/>
          <w:sz w:val="20"/>
          <w:szCs w:val="20"/>
        </w:rPr>
        <w:t>. The</w:t>
      </w:r>
      <w:r w:rsidRPr="00921120">
        <w:rPr>
          <w:rFonts w:ascii="Arial" w:hAnsi="Arial" w:cs="Arial"/>
          <w:sz w:val="20"/>
          <w:szCs w:val="20"/>
        </w:rPr>
        <w:t xml:space="preserve"> matter </w:t>
      </w:r>
      <w:r w:rsidR="0075049A" w:rsidRPr="00921120">
        <w:rPr>
          <w:rFonts w:ascii="Arial" w:hAnsi="Arial" w:cs="Arial"/>
          <w:sz w:val="20"/>
          <w:szCs w:val="20"/>
        </w:rPr>
        <w:t>ha</w:t>
      </w:r>
      <w:r w:rsidR="00EB7C0E" w:rsidRPr="00921120">
        <w:rPr>
          <w:rFonts w:ascii="Arial" w:hAnsi="Arial" w:cs="Arial"/>
          <w:sz w:val="20"/>
          <w:szCs w:val="20"/>
        </w:rPr>
        <w:t>d</w:t>
      </w:r>
      <w:r w:rsidR="0075049A" w:rsidRPr="00921120">
        <w:rPr>
          <w:rFonts w:ascii="Arial" w:hAnsi="Arial" w:cs="Arial"/>
          <w:sz w:val="20"/>
          <w:szCs w:val="20"/>
        </w:rPr>
        <w:t xml:space="preserve"> subsequently been </w:t>
      </w:r>
      <w:r w:rsidRPr="00921120">
        <w:rPr>
          <w:rFonts w:ascii="Arial" w:hAnsi="Arial" w:cs="Arial"/>
          <w:sz w:val="20"/>
          <w:szCs w:val="20"/>
        </w:rPr>
        <w:t xml:space="preserve">referred to </w:t>
      </w:r>
      <w:r w:rsidR="0075049A" w:rsidRPr="00921120">
        <w:rPr>
          <w:rFonts w:ascii="Arial" w:hAnsi="Arial" w:cs="Arial"/>
          <w:sz w:val="20"/>
          <w:szCs w:val="20"/>
        </w:rPr>
        <w:t>the NLC m</w:t>
      </w:r>
      <w:r w:rsidRPr="00921120">
        <w:rPr>
          <w:rFonts w:ascii="Arial" w:hAnsi="Arial" w:cs="Arial"/>
          <w:sz w:val="20"/>
          <w:szCs w:val="20"/>
        </w:rPr>
        <w:t xml:space="preserve">anagement for further </w:t>
      </w:r>
      <w:r w:rsidR="0075049A" w:rsidRPr="00921120">
        <w:rPr>
          <w:rFonts w:ascii="Arial" w:hAnsi="Arial" w:cs="Arial"/>
          <w:sz w:val="20"/>
          <w:szCs w:val="20"/>
        </w:rPr>
        <w:t>action to be taken</w:t>
      </w:r>
      <w:r w:rsidRPr="00921120">
        <w:rPr>
          <w:rFonts w:ascii="Arial" w:hAnsi="Arial" w:cs="Arial"/>
          <w:sz w:val="20"/>
          <w:szCs w:val="20"/>
        </w:rPr>
        <w:t xml:space="preserve">. </w:t>
      </w:r>
    </w:p>
    <w:p w:rsidR="003E04BE" w:rsidRPr="00921120" w:rsidRDefault="003E04BE" w:rsidP="00921120">
      <w:pPr>
        <w:spacing w:line="240" w:lineRule="auto"/>
        <w:jc w:val="left"/>
        <w:rPr>
          <w:rFonts w:ascii="Arial" w:hAnsi="Arial" w:cs="Arial"/>
          <w:sz w:val="20"/>
          <w:szCs w:val="20"/>
        </w:rPr>
      </w:pPr>
    </w:p>
    <w:p w:rsidR="00975C8D" w:rsidRPr="00921120" w:rsidRDefault="0075049A" w:rsidP="00921120">
      <w:pPr>
        <w:spacing w:line="240" w:lineRule="auto"/>
        <w:jc w:val="left"/>
        <w:rPr>
          <w:rFonts w:ascii="Arial" w:hAnsi="Arial" w:cs="Arial"/>
          <w:sz w:val="20"/>
          <w:szCs w:val="20"/>
        </w:rPr>
      </w:pPr>
      <w:r w:rsidRPr="00921120">
        <w:rPr>
          <w:rFonts w:ascii="Arial" w:hAnsi="Arial" w:cs="Arial"/>
          <w:sz w:val="20"/>
          <w:szCs w:val="20"/>
        </w:rPr>
        <w:t>I</w:t>
      </w:r>
      <w:r w:rsidR="00975C8D" w:rsidRPr="00921120">
        <w:rPr>
          <w:rFonts w:ascii="Arial" w:hAnsi="Arial" w:cs="Arial"/>
          <w:sz w:val="20"/>
          <w:szCs w:val="20"/>
        </w:rPr>
        <w:t>n November</w:t>
      </w:r>
      <w:r w:rsidRPr="00921120">
        <w:rPr>
          <w:rFonts w:ascii="Arial" w:hAnsi="Arial" w:cs="Arial"/>
          <w:sz w:val="20"/>
          <w:szCs w:val="20"/>
        </w:rPr>
        <w:t xml:space="preserve"> 2022</w:t>
      </w:r>
      <w:r w:rsidR="00975C8D" w:rsidRPr="00921120">
        <w:rPr>
          <w:rFonts w:ascii="Arial" w:hAnsi="Arial" w:cs="Arial"/>
          <w:sz w:val="20"/>
          <w:szCs w:val="20"/>
        </w:rPr>
        <w:t xml:space="preserve">, three cases related to fraud </w:t>
      </w:r>
      <w:r w:rsidRPr="00921120">
        <w:rPr>
          <w:rFonts w:ascii="Arial" w:hAnsi="Arial" w:cs="Arial"/>
          <w:sz w:val="20"/>
          <w:szCs w:val="20"/>
        </w:rPr>
        <w:t xml:space="preserve">had been reported and </w:t>
      </w:r>
      <w:r w:rsidR="00F12F8F" w:rsidRPr="00921120">
        <w:rPr>
          <w:rFonts w:ascii="Arial" w:hAnsi="Arial" w:cs="Arial"/>
          <w:sz w:val="20"/>
          <w:szCs w:val="20"/>
        </w:rPr>
        <w:t xml:space="preserve">had been </w:t>
      </w:r>
      <w:r w:rsidR="00975C8D" w:rsidRPr="00921120">
        <w:rPr>
          <w:rFonts w:ascii="Arial" w:hAnsi="Arial" w:cs="Arial"/>
          <w:sz w:val="20"/>
          <w:szCs w:val="20"/>
        </w:rPr>
        <w:t>referred for forensic investigation</w:t>
      </w:r>
      <w:r w:rsidRPr="00921120">
        <w:rPr>
          <w:rFonts w:ascii="Arial" w:hAnsi="Arial" w:cs="Arial"/>
          <w:sz w:val="20"/>
          <w:szCs w:val="20"/>
        </w:rPr>
        <w:t>.</w:t>
      </w:r>
      <w:r w:rsidR="00975C8D" w:rsidRPr="00921120">
        <w:rPr>
          <w:rFonts w:ascii="Arial" w:hAnsi="Arial" w:cs="Arial"/>
          <w:sz w:val="20"/>
          <w:szCs w:val="20"/>
        </w:rPr>
        <w:t xml:space="preserve"> </w:t>
      </w:r>
      <w:r w:rsidRPr="00921120">
        <w:rPr>
          <w:rFonts w:ascii="Arial" w:hAnsi="Arial" w:cs="Arial"/>
          <w:sz w:val="20"/>
          <w:szCs w:val="20"/>
        </w:rPr>
        <w:t>O</w:t>
      </w:r>
      <w:r w:rsidR="00975C8D" w:rsidRPr="00921120">
        <w:rPr>
          <w:rFonts w:ascii="Arial" w:hAnsi="Arial" w:cs="Arial"/>
          <w:sz w:val="20"/>
          <w:szCs w:val="20"/>
        </w:rPr>
        <w:t xml:space="preserve">ne </w:t>
      </w:r>
      <w:r w:rsidRPr="00921120">
        <w:rPr>
          <w:rFonts w:ascii="Arial" w:hAnsi="Arial" w:cs="Arial"/>
          <w:sz w:val="20"/>
          <w:szCs w:val="20"/>
        </w:rPr>
        <w:t xml:space="preserve">of the </w:t>
      </w:r>
      <w:r w:rsidR="00975C8D" w:rsidRPr="00921120">
        <w:rPr>
          <w:rFonts w:ascii="Arial" w:hAnsi="Arial" w:cs="Arial"/>
          <w:sz w:val="20"/>
          <w:szCs w:val="20"/>
        </w:rPr>
        <w:t>case</w:t>
      </w:r>
      <w:r w:rsidRPr="00921120">
        <w:rPr>
          <w:rFonts w:ascii="Arial" w:hAnsi="Arial" w:cs="Arial"/>
          <w:sz w:val="20"/>
          <w:szCs w:val="20"/>
        </w:rPr>
        <w:t>s</w:t>
      </w:r>
      <w:r w:rsidR="00975C8D" w:rsidRPr="00921120">
        <w:rPr>
          <w:rFonts w:ascii="Arial" w:hAnsi="Arial" w:cs="Arial"/>
          <w:sz w:val="20"/>
          <w:szCs w:val="20"/>
        </w:rPr>
        <w:t xml:space="preserve"> relat</w:t>
      </w:r>
      <w:r w:rsidRPr="00921120">
        <w:rPr>
          <w:rFonts w:ascii="Arial" w:hAnsi="Arial" w:cs="Arial"/>
          <w:sz w:val="20"/>
          <w:szCs w:val="20"/>
        </w:rPr>
        <w:t>ed</w:t>
      </w:r>
      <w:r w:rsidR="00975C8D" w:rsidRPr="00921120">
        <w:rPr>
          <w:rFonts w:ascii="Arial" w:hAnsi="Arial" w:cs="Arial"/>
          <w:sz w:val="20"/>
          <w:szCs w:val="20"/>
        </w:rPr>
        <w:t xml:space="preserve"> to internal control </w:t>
      </w:r>
      <w:r w:rsidRPr="00921120">
        <w:rPr>
          <w:rFonts w:ascii="Arial" w:hAnsi="Arial" w:cs="Arial"/>
          <w:sz w:val="20"/>
          <w:szCs w:val="20"/>
        </w:rPr>
        <w:t xml:space="preserve">improvement on its </w:t>
      </w:r>
      <w:r w:rsidR="00975C8D" w:rsidRPr="00921120">
        <w:rPr>
          <w:rFonts w:ascii="Arial" w:hAnsi="Arial" w:cs="Arial"/>
          <w:sz w:val="20"/>
          <w:szCs w:val="20"/>
        </w:rPr>
        <w:t xml:space="preserve">supply chain management processes. </w:t>
      </w:r>
    </w:p>
    <w:p w:rsidR="00975C8D" w:rsidRPr="00921120" w:rsidRDefault="0075049A" w:rsidP="00921120">
      <w:pPr>
        <w:spacing w:line="240" w:lineRule="auto"/>
        <w:jc w:val="left"/>
        <w:rPr>
          <w:rFonts w:ascii="Arial" w:hAnsi="Arial" w:cs="Arial"/>
          <w:sz w:val="20"/>
          <w:szCs w:val="20"/>
        </w:rPr>
      </w:pPr>
      <w:r w:rsidRPr="00921120">
        <w:rPr>
          <w:rFonts w:ascii="Arial" w:hAnsi="Arial" w:cs="Arial"/>
          <w:sz w:val="20"/>
          <w:szCs w:val="20"/>
        </w:rPr>
        <w:tab/>
      </w:r>
      <w:r w:rsidRPr="00921120">
        <w:rPr>
          <w:rFonts w:ascii="Arial" w:hAnsi="Arial" w:cs="Arial"/>
          <w:sz w:val="20"/>
          <w:szCs w:val="20"/>
        </w:rPr>
        <w:tab/>
      </w:r>
    </w:p>
    <w:p w:rsidR="00975C8D" w:rsidRPr="00921120" w:rsidRDefault="00975C8D" w:rsidP="00921120">
      <w:pPr>
        <w:spacing w:line="240" w:lineRule="auto"/>
        <w:jc w:val="left"/>
        <w:rPr>
          <w:rFonts w:ascii="Arial" w:hAnsi="Arial" w:cs="Arial"/>
          <w:sz w:val="20"/>
          <w:szCs w:val="20"/>
        </w:rPr>
      </w:pPr>
      <w:r w:rsidRPr="00921120">
        <w:rPr>
          <w:rFonts w:ascii="Arial" w:hAnsi="Arial" w:cs="Arial"/>
          <w:sz w:val="20"/>
          <w:szCs w:val="20"/>
        </w:rPr>
        <w:t>The two case</w:t>
      </w:r>
      <w:r w:rsidR="0075049A" w:rsidRPr="00921120">
        <w:rPr>
          <w:rFonts w:ascii="Arial" w:hAnsi="Arial" w:cs="Arial"/>
          <w:sz w:val="20"/>
          <w:szCs w:val="20"/>
        </w:rPr>
        <w:t>s</w:t>
      </w:r>
      <w:r w:rsidRPr="00921120">
        <w:rPr>
          <w:rFonts w:ascii="Arial" w:hAnsi="Arial" w:cs="Arial"/>
          <w:sz w:val="20"/>
          <w:szCs w:val="20"/>
        </w:rPr>
        <w:t xml:space="preserve"> reported in December </w:t>
      </w:r>
      <w:r w:rsidR="0075049A" w:rsidRPr="00921120">
        <w:rPr>
          <w:rFonts w:ascii="Arial" w:hAnsi="Arial" w:cs="Arial"/>
          <w:sz w:val="20"/>
          <w:szCs w:val="20"/>
        </w:rPr>
        <w:t xml:space="preserve">had </w:t>
      </w:r>
      <w:r w:rsidRPr="00921120">
        <w:rPr>
          <w:rFonts w:ascii="Arial" w:hAnsi="Arial" w:cs="Arial"/>
          <w:sz w:val="20"/>
          <w:szCs w:val="20"/>
        </w:rPr>
        <w:t xml:space="preserve">also </w:t>
      </w:r>
      <w:r w:rsidR="0075049A" w:rsidRPr="00921120">
        <w:rPr>
          <w:rFonts w:ascii="Arial" w:hAnsi="Arial" w:cs="Arial"/>
          <w:sz w:val="20"/>
          <w:szCs w:val="20"/>
        </w:rPr>
        <w:t xml:space="preserve">been </w:t>
      </w:r>
      <w:r w:rsidRPr="00921120">
        <w:rPr>
          <w:rFonts w:ascii="Arial" w:hAnsi="Arial" w:cs="Arial"/>
          <w:sz w:val="20"/>
          <w:szCs w:val="20"/>
        </w:rPr>
        <w:t xml:space="preserve">referred for forensic </w:t>
      </w:r>
      <w:r w:rsidR="000E5D54" w:rsidRPr="00921120">
        <w:rPr>
          <w:rFonts w:ascii="Arial" w:hAnsi="Arial" w:cs="Arial"/>
          <w:sz w:val="20"/>
          <w:szCs w:val="20"/>
        </w:rPr>
        <w:t>investigation</w:t>
      </w:r>
      <w:r w:rsidR="00E24A41" w:rsidRPr="00921120">
        <w:rPr>
          <w:rFonts w:ascii="Arial" w:hAnsi="Arial" w:cs="Arial"/>
          <w:sz w:val="20"/>
          <w:szCs w:val="20"/>
        </w:rPr>
        <w:t>,</w:t>
      </w:r>
      <w:r w:rsidRPr="00921120">
        <w:rPr>
          <w:rFonts w:ascii="Arial" w:hAnsi="Arial" w:cs="Arial"/>
          <w:sz w:val="20"/>
          <w:szCs w:val="20"/>
        </w:rPr>
        <w:t xml:space="preserve"> as it relate</w:t>
      </w:r>
      <w:r w:rsidR="0075049A" w:rsidRPr="00921120">
        <w:rPr>
          <w:rFonts w:ascii="Arial" w:hAnsi="Arial" w:cs="Arial"/>
          <w:sz w:val="20"/>
          <w:szCs w:val="20"/>
        </w:rPr>
        <w:t>d</w:t>
      </w:r>
      <w:r w:rsidRPr="00921120">
        <w:rPr>
          <w:rFonts w:ascii="Arial" w:hAnsi="Arial" w:cs="Arial"/>
          <w:sz w:val="20"/>
          <w:szCs w:val="20"/>
        </w:rPr>
        <w:t xml:space="preserve"> to fraud</w:t>
      </w:r>
      <w:r w:rsidR="000E5D54" w:rsidRPr="00921120">
        <w:rPr>
          <w:rFonts w:ascii="Arial" w:hAnsi="Arial" w:cs="Arial"/>
          <w:sz w:val="20"/>
          <w:szCs w:val="20"/>
        </w:rPr>
        <w:t>ulent</w:t>
      </w:r>
      <w:r w:rsidRPr="00921120">
        <w:rPr>
          <w:rFonts w:ascii="Arial" w:hAnsi="Arial" w:cs="Arial"/>
          <w:sz w:val="20"/>
          <w:szCs w:val="20"/>
        </w:rPr>
        <w:t xml:space="preserve"> incidents in relation to procurement</w:t>
      </w:r>
      <w:r w:rsidR="0075049A" w:rsidRPr="00921120">
        <w:rPr>
          <w:rFonts w:ascii="Arial" w:hAnsi="Arial" w:cs="Arial"/>
          <w:sz w:val="20"/>
          <w:szCs w:val="20"/>
        </w:rPr>
        <w:t>.</w:t>
      </w:r>
      <w:r w:rsidRPr="00921120">
        <w:rPr>
          <w:rFonts w:ascii="Arial" w:hAnsi="Arial" w:cs="Arial"/>
          <w:sz w:val="20"/>
          <w:szCs w:val="20"/>
        </w:rPr>
        <w:t xml:space="preserve"> </w:t>
      </w:r>
      <w:r w:rsidR="0075049A" w:rsidRPr="00921120">
        <w:rPr>
          <w:rFonts w:ascii="Arial" w:hAnsi="Arial" w:cs="Arial"/>
          <w:sz w:val="20"/>
          <w:szCs w:val="20"/>
        </w:rPr>
        <w:t>T</w:t>
      </w:r>
      <w:r w:rsidRPr="00921120">
        <w:rPr>
          <w:rFonts w:ascii="Arial" w:hAnsi="Arial" w:cs="Arial"/>
          <w:sz w:val="20"/>
          <w:szCs w:val="20"/>
        </w:rPr>
        <w:t>he investigations on all these cases should be completed by the end of this financial year. In its investigation</w:t>
      </w:r>
      <w:r w:rsidR="0075049A" w:rsidRPr="00921120">
        <w:rPr>
          <w:rFonts w:ascii="Arial" w:hAnsi="Arial" w:cs="Arial"/>
          <w:sz w:val="20"/>
          <w:szCs w:val="20"/>
        </w:rPr>
        <w:t>,</w:t>
      </w:r>
      <w:r w:rsidRPr="00921120">
        <w:rPr>
          <w:rFonts w:ascii="Arial" w:hAnsi="Arial" w:cs="Arial"/>
          <w:sz w:val="20"/>
          <w:szCs w:val="20"/>
        </w:rPr>
        <w:t xml:space="preserve"> the NLC discovered that accurate recording </w:t>
      </w:r>
      <w:r w:rsidR="0075049A" w:rsidRPr="00921120">
        <w:rPr>
          <w:rFonts w:ascii="Arial" w:hAnsi="Arial" w:cs="Arial"/>
          <w:sz w:val="20"/>
          <w:szCs w:val="20"/>
        </w:rPr>
        <w:t xml:space="preserve">of funding </w:t>
      </w:r>
      <w:r w:rsidRPr="00921120">
        <w:rPr>
          <w:rFonts w:ascii="Arial" w:hAnsi="Arial" w:cs="Arial"/>
          <w:sz w:val="20"/>
          <w:szCs w:val="20"/>
        </w:rPr>
        <w:t xml:space="preserve">was </w:t>
      </w:r>
      <w:r w:rsidR="0075049A" w:rsidRPr="00921120">
        <w:rPr>
          <w:rFonts w:ascii="Arial" w:hAnsi="Arial" w:cs="Arial"/>
          <w:sz w:val="20"/>
          <w:szCs w:val="20"/>
        </w:rPr>
        <w:t>a challenge</w:t>
      </w:r>
      <w:r w:rsidRPr="00921120">
        <w:rPr>
          <w:rFonts w:ascii="Arial" w:hAnsi="Arial" w:cs="Arial"/>
          <w:sz w:val="20"/>
          <w:szCs w:val="20"/>
        </w:rPr>
        <w:t>, and</w:t>
      </w:r>
      <w:r w:rsidR="0075049A" w:rsidRPr="00921120">
        <w:rPr>
          <w:rFonts w:ascii="Arial" w:hAnsi="Arial" w:cs="Arial"/>
          <w:sz w:val="20"/>
          <w:szCs w:val="20"/>
        </w:rPr>
        <w:t>,</w:t>
      </w:r>
      <w:r w:rsidRPr="00921120">
        <w:rPr>
          <w:rFonts w:ascii="Arial" w:hAnsi="Arial" w:cs="Arial"/>
          <w:sz w:val="20"/>
          <w:szCs w:val="20"/>
        </w:rPr>
        <w:t xml:space="preserve"> in some instances</w:t>
      </w:r>
      <w:r w:rsidR="0075049A" w:rsidRPr="00921120">
        <w:rPr>
          <w:rFonts w:ascii="Arial" w:hAnsi="Arial" w:cs="Arial"/>
          <w:sz w:val="20"/>
          <w:szCs w:val="20"/>
        </w:rPr>
        <w:t>,</w:t>
      </w:r>
      <w:r w:rsidRPr="00921120">
        <w:rPr>
          <w:rFonts w:ascii="Arial" w:hAnsi="Arial" w:cs="Arial"/>
          <w:sz w:val="20"/>
          <w:szCs w:val="20"/>
        </w:rPr>
        <w:t xml:space="preserve"> no pro</w:t>
      </w:r>
      <w:r w:rsidR="0075049A" w:rsidRPr="00921120">
        <w:rPr>
          <w:rFonts w:ascii="Arial" w:hAnsi="Arial" w:cs="Arial"/>
          <w:sz w:val="20"/>
          <w:szCs w:val="20"/>
        </w:rPr>
        <w:t>of</w:t>
      </w:r>
      <w:r w:rsidRPr="00921120">
        <w:rPr>
          <w:rFonts w:ascii="Arial" w:hAnsi="Arial" w:cs="Arial"/>
          <w:sz w:val="20"/>
          <w:szCs w:val="20"/>
        </w:rPr>
        <w:t xml:space="preserve"> of funding could be found. The NLC informed the Committee that its internal forensic audit unit </w:t>
      </w:r>
      <w:r w:rsidR="00E24A41" w:rsidRPr="00921120">
        <w:rPr>
          <w:rFonts w:ascii="Arial" w:hAnsi="Arial" w:cs="Arial"/>
          <w:sz w:val="20"/>
          <w:szCs w:val="20"/>
        </w:rPr>
        <w:t>wa</w:t>
      </w:r>
      <w:r w:rsidRPr="00921120">
        <w:rPr>
          <w:rFonts w:ascii="Arial" w:hAnsi="Arial" w:cs="Arial"/>
          <w:sz w:val="20"/>
          <w:szCs w:val="20"/>
        </w:rPr>
        <w:t xml:space="preserve">s severely under resourced and </w:t>
      </w:r>
      <w:r w:rsidR="0075049A" w:rsidRPr="00921120">
        <w:rPr>
          <w:rFonts w:ascii="Arial" w:hAnsi="Arial" w:cs="Arial"/>
          <w:sz w:val="20"/>
          <w:szCs w:val="20"/>
        </w:rPr>
        <w:t xml:space="preserve">some </w:t>
      </w:r>
      <w:r w:rsidRPr="00921120">
        <w:rPr>
          <w:rFonts w:ascii="Arial" w:hAnsi="Arial" w:cs="Arial"/>
          <w:sz w:val="20"/>
          <w:szCs w:val="20"/>
        </w:rPr>
        <w:t>cases ha</w:t>
      </w:r>
      <w:r w:rsidR="001E3542" w:rsidRPr="00921120">
        <w:rPr>
          <w:rFonts w:ascii="Arial" w:hAnsi="Arial" w:cs="Arial"/>
          <w:sz w:val="20"/>
          <w:szCs w:val="20"/>
        </w:rPr>
        <w:t>d</w:t>
      </w:r>
      <w:r w:rsidRPr="00921120">
        <w:rPr>
          <w:rFonts w:ascii="Arial" w:hAnsi="Arial" w:cs="Arial"/>
          <w:sz w:val="20"/>
          <w:szCs w:val="20"/>
        </w:rPr>
        <w:t xml:space="preserve"> been referred to the South African Police Service </w:t>
      </w:r>
      <w:r w:rsidR="001E3542" w:rsidRPr="00921120">
        <w:rPr>
          <w:rFonts w:ascii="Arial" w:hAnsi="Arial" w:cs="Arial"/>
          <w:sz w:val="20"/>
          <w:szCs w:val="20"/>
        </w:rPr>
        <w:t xml:space="preserve">(SAPS) </w:t>
      </w:r>
      <w:r w:rsidRPr="00921120">
        <w:rPr>
          <w:rFonts w:ascii="Arial" w:hAnsi="Arial" w:cs="Arial"/>
          <w:sz w:val="20"/>
          <w:szCs w:val="20"/>
        </w:rPr>
        <w:t>for criminal investigations.</w:t>
      </w:r>
    </w:p>
    <w:p w:rsidR="003E04BE" w:rsidRPr="00921120" w:rsidRDefault="003E04BE" w:rsidP="00921120">
      <w:pPr>
        <w:spacing w:line="240" w:lineRule="auto"/>
        <w:jc w:val="left"/>
        <w:rPr>
          <w:rFonts w:ascii="Arial" w:hAnsi="Arial" w:cs="Arial"/>
          <w:sz w:val="20"/>
          <w:szCs w:val="20"/>
        </w:rPr>
      </w:pPr>
    </w:p>
    <w:p w:rsidR="00975C8D" w:rsidRPr="00921120" w:rsidRDefault="00D35BD9" w:rsidP="00921120">
      <w:pPr>
        <w:pStyle w:val="Heading3"/>
        <w:spacing w:line="240" w:lineRule="auto"/>
        <w:jc w:val="left"/>
        <w:rPr>
          <w:rFonts w:ascii="Arial" w:hAnsi="Arial" w:cs="Arial"/>
          <w:sz w:val="20"/>
          <w:szCs w:val="20"/>
        </w:rPr>
      </w:pPr>
      <w:r w:rsidRPr="00921120">
        <w:rPr>
          <w:rFonts w:ascii="Arial" w:hAnsi="Arial" w:cs="Arial"/>
          <w:sz w:val="20"/>
          <w:szCs w:val="20"/>
        </w:rPr>
        <w:t xml:space="preserve">Status on key </w:t>
      </w:r>
      <w:r w:rsidR="00975C8D" w:rsidRPr="00921120">
        <w:rPr>
          <w:rFonts w:ascii="Arial" w:hAnsi="Arial" w:cs="Arial"/>
          <w:sz w:val="20"/>
          <w:szCs w:val="20"/>
        </w:rPr>
        <w:t>vacan</w:t>
      </w:r>
      <w:r w:rsidRPr="00921120">
        <w:rPr>
          <w:rFonts w:ascii="Arial" w:hAnsi="Arial" w:cs="Arial"/>
          <w:sz w:val="20"/>
          <w:szCs w:val="20"/>
        </w:rPr>
        <w:t>t positions</w:t>
      </w:r>
    </w:p>
    <w:p w:rsidR="00975C8D" w:rsidRPr="00921120" w:rsidRDefault="00D35BD9" w:rsidP="00921120">
      <w:pPr>
        <w:spacing w:line="240" w:lineRule="auto"/>
        <w:jc w:val="left"/>
        <w:rPr>
          <w:rFonts w:ascii="Arial" w:hAnsi="Arial" w:cs="Arial"/>
          <w:sz w:val="20"/>
          <w:szCs w:val="20"/>
        </w:rPr>
      </w:pPr>
      <w:r w:rsidRPr="00921120">
        <w:rPr>
          <w:rFonts w:ascii="Arial" w:hAnsi="Arial" w:cs="Arial"/>
          <w:sz w:val="20"/>
          <w:szCs w:val="20"/>
        </w:rPr>
        <w:t xml:space="preserve">The NLC reported on four key senior positions that </w:t>
      </w:r>
      <w:r w:rsidR="00DD45A1" w:rsidRPr="00921120">
        <w:rPr>
          <w:rFonts w:ascii="Arial" w:hAnsi="Arial" w:cs="Arial"/>
          <w:sz w:val="20"/>
          <w:szCs w:val="20"/>
        </w:rPr>
        <w:t xml:space="preserve">had been </w:t>
      </w:r>
      <w:r w:rsidRPr="00921120">
        <w:rPr>
          <w:rFonts w:ascii="Arial" w:hAnsi="Arial" w:cs="Arial"/>
          <w:sz w:val="20"/>
          <w:szCs w:val="20"/>
        </w:rPr>
        <w:t>vacant, namely the Chief Financial Officer, the Chief Audit Executive, the Chief Operations Officer, and the Executive Legal Services.</w:t>
      </w:r>
    </w:p>
    <w:p w:rsidR="00D35BD9" w:rsidRPr="00921120" w:rsidRDefault="00D35BD9" w:rsidP="00921120">
      <w:pPr>
        <w:spacing w:line="240" w:lineRule="auto"/>
        <w:jc w:val="left"/>
        <w:rPr>
          <w:rFonts w:ascii="Arial" w:hAnsi="Arial" w:cs="Arial"/>
          <w:sz w:val="20"/>
          <w:szCs w:val="20"/>
        </w:rPr>
      </w:pPr>
    </w:p>
    <w:p w:rsidR="00975C8D" w:rsidRPr="00921120" w:rsidRDefault="00975C8D" w:rsidP="00921120">
      <w:pPr>
        <w:spacing w:line="240" w:lineRule="auto"/>
        <w:jc w:val="left"/>
        <w:rPr>
          <w:rFonts w:ascii="Arial" w:hAnsi="Arial" w:cs="Arial"/>
          <w:sz w:val="20"/>
          <w:szCs w:val="20"/>
        </w:rPr>
      </w:pPr>
      <w:r w:rsidRPr="00921120">
        <w:rPr>
          <w:rFonts w:ascii="Arial" w:hAnsi="Arial" w:cs="Arial"/>
          <w:sz w:val="20"/>
          <w:szCs w:val="20"/>
        </w:rPr>
        <w:t>With respect to the Chief Financial Officer, the Commissioner informed the Committee that interviews ha</w:t>
      </w:r>
      <w:r w:rsidR="00D35BD9" w:rsidRPr="00921120">
        <w:rPr>
          <w:rFonts w:ascii="Arial" w:hAnsi="Arial" w:cs="Arial"/>
          <w:sz w:val="20"/>
          <w:szCs w:val="20"/>
        </w:rPr>
        <w:t>d</w:t>
      </w:r>
      <w:r w:rsidRPr="00921120">
        <w:rPr>
          <w:rFonts w:ascii="Arial" w:hAnsi="Arial" w:cs="Arial"/>
          <w:sz w:val="20"/>
          <w:szCs w:val="20"/>
        </w:rPr>
        <w:t xml:space="preserve"> been concluded </w:t>
      </w:r>
      <w:r w:rsidR="00D35BD9" w:rsidRPr="00921120">
        <w:rPr>
          <w:rFonts w:ascii="Arial" w:hAnsi="Arial" w:cs="Arial"/>
          <w:sz w:val="20"/>
          <w:szCs w:val="20"/>
        </w:rPr>
        <w:t xml:space="preserve">and </w:t>
      </w:r>
      <w:r w:rsidRPr="00921120">
        <w:rPr>
          <w:rFonts w:ascii="Arial" w:hAnsi="Arial" w:cs="Arial"/>
          <w:sz w:val="20"/>
          <w:szCs w:val="20"/>
        </w:rPr>
        <w:t xml:space="preserve">the name of the preferred candidate </w:t>
      </w:r>
      <w:r w:rsidR="00D35BD9" w:rsidRPr="00921120">
        <w:rPr>
          <w:rFonts w:ascii="Arial" w:hAnsi="Arial" w:cs="Arial"/>
          <w:sz w:val="20"/>
          <w:szCs w:val="20"/>
        </w:rPr>
        <w:t xml:space="preserve">had to </w:t>
      </w:r>
      <w:r w:rsidRPr="00921120">
        <w:rPr>
          <w:rFonts w:ascii="Arial" w:hAnsi="Arial" w:cs="Arial"/>
          <w:sz w:val="20"/>
          <w:szCs w:val="20"/>
        </w:rPr>
        <w:t xml:space="preserve">be submitted to </w:t>
      </w:r>
      <w:r w:rsidR="00D35BD9" w:rsidRPr="00921120">
        <w:rPr>
          <w:rFonts w:ascii="Arial" w:hAnsi="Arial" w:cs="Arial"/>
          <w:sz w:val="20"/>
          <w:szCs w:val="20"/>
        </w:rPr>
        <w:t xml:space="preserve">the </w:t>
      </w:r>
      <w:r w:rsidRPr="00921120">
        <w:rPr>
          <w:rFonts w:ascii="Arial" w:hAnsi="Arial" w:cs="Arial"/>
          <w:sz w:val="20"/>
          <w:szCs w:val="20"/>
        </w:rPr>
        <w:t xml:space="preserve">Board for </w:t>
      </w:r>
      <w:r w:rsidR="00D35BD9" w:rsidRPr="00921120">
        <w:rPr>
          <w:rFonts w:ascii="Arial" w:hAnsi="Arial" w:cs="Arial"/>
          <w:sz w:val="20"/>
          <w:szCs w:val="20"/>
        </w:rPr>
        <w:t>its consideration</w:t>
      </w:r>
      <w:r w:rsidRPr="00921120">
        <w:rPr>
          <w:rFonts w:ascii="Arial" w:hAnsi="Arial" w:cs="Arial"/>
          <w:sz w:val="20"/>
          <w:szCs w:val="20"/>
        </w:rPr>
        <w:t xml:space="preserve">. The projected date of appointment </w:t>
      </w:r>
      <w:r w:rsidR="00707F12" w:rsidRPr="00921120">
        <w:rPr>
          <w:rFonts w:ascii="Arial" w:hAnsi="Arial" w:cs="Arial"/>
          <w:sz w:val="20"/>
          <w:szCs w:val="20"/>
        </w:rPr>
        <w:t xml:space="preserve">had been </w:t>
      </w:r>
      <w:r w:rsidRPr="00921120">
        <w:rPr>
          <w:rFonts w:ascii="Arial" w:hAnsi="Arial" w:cs="Arial"/>
          <w:sz w:val="20"/>
          <w:szCs w:val="20"/>
        </w:rPr>
        <w:t xml:space="preserve">1 March 2023, subject to </w:t>
      </w:r>
      <w:r w:rsidR="00D35BD9" w:rsidRPr="00921120">
        <w:rPr>
          <w:rFonts w:ascii="Arial" w:hAnsi="Arial" w:cs="Arial"/>
          <w:sz w:val="20"/>
          <w:szCs w:val="20"/>
        </w:rPr>
        <w:t xml:space="preserve">the </w:t>
      </w:r>
      <w:r w:rsidRPr="00921120">
        <w:rPr>
          <w:rFonts w:ascii="Arial" w:hAnsi="Arial" w:cs="Arial"/>
          <w:sz w:val="20"/>
          <w:szCs w:val="20"/>
        </w:rPr>
        <w:t xml:space="preserve">conclusion of all the necessary processes. </w:t>
      </w:r>
    </w:p>
    <w:p w:rsidR="00975C8D" w:rsidRPr="00921120" w:rsidRDefault="00975C8D" w:rsidP="00921120">
      <w:pPr>
        <w:spacing w:line="240" w:lineRule="auto"/>
        <w:jc w:val="left"/>
        <w:rPr>
          <w:rFonts w:ascii="Arial" w:hAnsi="Arial" w:cs="Arial"/>
          <w:sz w:val="20"/>
          <w:szCs w:val="20"/>
        </w:rPr>
      </w:pPr>
    </w:p>
    <w:p w:rsidR="00975C8D" w:rsidRPr="00921120" w:rsidRDefault="00975C8D" w:rsidP="00921120">
      <w:pPr>
        <w:spacing w:line="240" w:lineRule="auto"/>
        <w:jc w:val="left"/>
        <w:rPr>
          <w:rFonts w:ascii="Arial" w:hAnsi="Arial" w:cs="Arial"/>
          <w:sz w:val="20"/>
          <w:szCs w:val="20"/>
        </w:rPr>
      </w:pPr>
      <w:r w:rsidRPr="00921120">
        <w:rPr>
          <w:rFonts w:ascii="Arial" w:hAnsi="Arial" w:cs="Arial"/>
          <w:sz w:val="20"/>
          <w:szCs w:val="20"/>
        </w:rPr>
        <w:t>The interviews for the Chief Audit Executive ha</w:t>
      </w:r>
      <w:r w:rsidR="00D35BD9" w:rsidRPr="00921120">
        <w:rPr>
          <w:rFonts w:ascii="Arial" w:hAnsi="Arial" w:cs="Arial"/>
          <w:sz w:val="20"/>
          <w:szCs w:val="20"/>
        </w:rPr>
        <w:t>d</w:t>
      </w:r>
      <w:r w:rsidRPr="00921120">
        <w:rPr>
          <w:rFonts w:ascii="Arial" w:hAnsi="Arial" w:cs="Arial"/>
          <w:sz w:val="20"/>
          <w:szCs w:val="20"/>
        </w:rPr>
        <w:t xml:space="preserve"> been concluded, with three </w:t>
      </w:r>
      <w:r w:rsidR="00D35BD9" w:rsidRPr="00921120">
        <w:rPr>
          <w:rFonts w:ascii="Arial" w:hAnsi="Arial" w:cs="Arial"/>
          <w:sz w:val="20"/>
          <w:szCs w:val="20"/>
        </w:rPr>
        <w:t xml:space="preserve">preferred </w:t>
      </w:r>
      <w:r w:rsidRPr="00921120">
        <w:rPr>
          <w:rFonts w:ascii="Arial" w:hAnsi="Arial" w:cs="Arial"/>
          <w:sz w:val="20"/>
          <w:szCs w:val="20"/>
        </w:rPr>
        <w:t xml:space="preserve">candidates </w:t>
      </w:r>
      <w:r w:rsidR="00D35BD9" w:rsidRPr="00921120">
        <w:rPr>
          <w:rFonts w:ascii="Arial" w:hAnsi="Arial" w:cs="Arial"/>
          <w:sz w:val="20"/>
          <w:szCs w:val="20"/>
        </w:rPr>
        <w:t xml:space="preserve">having </w:t>
      </w:r>
      <w:r w:rsidRPr="00921120">
        <w:rPr>
          <w:rFonts w:ascii="Arial" w:hAnsi="Arial" w:cs="Arial"/>
          <w:sz w:val="20"/>
          <w:szCs w:val="20"/>
        </w:rPr>
        <w:t>undergo</w:t>
      </w:r>
      <w:r w:rsidR="00D35BD9" w:rsidRPr="00921120">
        <w:rPr>
          <w:rFonts w:ascii="Arial" w:hAnsi="Arial" w:cs="Arial"/>
          <w:sz w:val="20"/>
          <w:szCs w:val="20"/>
        </w:rPr>
        <w:t>ne</w:t>
      </w:r>
      <w:r w:rsidRPr="00921120">
        <w:rPr>
          <w:rFonts w:ascii="Arial" w:hAnsi="Arial" w:cs="Arial"/>
          <w:sz w:val="20"/>
          <w:szCs w:val="20"/>
        </w:rPr>
        <w:t xml:space="preserve"> competency </w:t>
      </w:r>
      <w:r w:rsidR="00D35BD9" w:rsidRPr="00921120">
        <w:rPr>
          <w:rFonts w:ascii="Arial" w:hAnsi="Arial" w:cs="Arial"/>
          <w:sz w:val="20"/>
          <w:szCs w:val="20"/>
        </w:rPr>
        <w:t>assessment</w:t>
      </w:r>
      <w:r w:rsidRPr="00921120">
        <w:rPr>
          <w:rFonts w:ascii="Arial" w:hAnsi="Arial" w:cs="Arial"/>
          <w:sz w:val="20"/>
          <w:szCs w:val="20"/>
        </w:rPr>
        <w:t xml:space="preserve">. The Commissioner informed the Committee, that once </w:t>
      </w:r>
      <w:r w:rsidRPr="00921120">
        <w:rPr>
          <w:rFonts w:ascii="Arial" w:hAnsi="Arial" w:cs="Arial"/>
          <w:sz w:val="20"/>
          <w:szCs w:val="20"/>
        </w:rPr>
        <w:lastRenderedPageBreak/>
        <w:t xml:space="preserve">she </w:t>
      </w:r>
      <w:r w:rsidR="00D35BD9" w:rsidRPr="00921120">
        <w:rPr>
          <w:rFonts w:ascii="Arial" w:hAnsi="Arial" w:cs="Arial"/>
          <w:sz w:val="20"/>
          <w:szCs w:val="20"/>
        </w:rPr>
        <w:t>wa</w:t>
      </w:r>
      <w:r w:rsidRPr="00921120">
        <w:rPr>
          <w:rFonts w:ascii="Arial" w:hAnsi="Arial" w:cs="Arial"/>
          <w:sz w:val="20"/>
          <w:szCs w:val="20"/>
        </w:rPr>
        <w:t xml:space="preserve">s in receipt of those reports, she would </w:t>
      </w:r>
      <w:r w:rsidR="00D35BD9" w:rsidRPr="00921120">
        <w:rPr>
          <w:rFonts w:ascii="Arial" w:hAnsi="Arial" w:cs="Arial"/>
          <w:sz w:val="20"/>
          <w:szCs w:val="20"/>
        </w:rPr>
        <w:t xml:space="preserve">submit the recommendation to </w:t>
      </w:r>
      <w:r w:rsidRPr="00921120">
        <w:rPr>
          <w:rFonts w:ascii="Arial" w:hAnsi="Arial" w:cs="Arial"/>
          <w:sz w:val="20"/>
          <w:szCs w:val="20"/>
        </w:rPr>
        <w:t xml:space="preserve">the Board </w:t>
      </w:r>
      <w:r w:rsidR="00D35BD9" w:rsidRPr="00921120">
        <w:rPr>
          <w:rFonts w:ascii="Arial" w:hAnsi="Arial" w:cs="Arial"/>
          <w:sz w:val="20"/>
          <w:szCs w:val="20"/>
        </w:rPr>
        <w:t>for its consideration</w:t>
      </w:r>
      <w:r w:rsidRPr="00921120">
        <w:rPr>
          <w:rFonts w:ascii="Arial" w:hAnsi="Arial" w:cs="Arial"/>
          <w:sz w:val="20"/>
          <w:szCs w:val="20"/>
        </w:rPr>
        <w:t xml:space="preserve">. </w:t>
      </w:r>
    </w:p>
    <w:p w:rsidR="00975C8D" w:rsidRPr="00921120" w:rsidRDefault="00975C8D" w:rsidP="00921120">
      <w:pPr>
        <w:spacing w:line="240" w:lineRule="auto"/>
        <w:jc w:val="left"/>
        <w:rPr>
          <w:rFonts w:ascii="Arial" w:hAnsi="Arial" w:cs="Arial"/>
          <w:sz w:val="20"/>
          <w:szCs w:val="20"/>
        </w:rPr>
      </w:pPr>
    </w:p>
    <w:p w:rsidR="00975C8D" w:rsidRPr="00921120" w:rsidRDefault="00975C8D" w:rsidP="00921120">
      <w:pPr>
        <w:spacing w:line="240" w:lineRule="auto"/>
        <w:jc w:val="left"/>
        <w:rPr>
          <w:rFonts w:ascii="Arial" w:hAnsi="Arial" w:cs="Arial"/>
          <w:sz w:val="20"/>
          <w:szCs w:val="20"/>
        </w:rPr>
      </w:pPr>
      <w:r w:rsidRPr="00921120">
        <w:rPr>
          <w:rFonts w:ascii="Arial" w:hAnsi="Arial" w:cs="Arial"/>
          <w:sz w:val="20"/>
          <w:szCs w:val="20"/>
        </w:rPr>
        <w:t xml:space="preserve">The Commissioner informed the Committee that the NLC </w:t>
      </w:r>
      <w:r w:rsidR="00D35BD9" w:rsidRPr="00921120">
        <w:rPr>
          <w:rFonts w:ascii="Arial" w:hAnsi="Arial" w:cs="Arial"/>
          <w:sz w:val="20"/>
          <w:szCs w:val="20"/>
        </w:rPr>
        <w:t xml:space="preserve">had received a number of applications </w:t>
      </w:r>
      <w:r w:rsidRPr="00921120">
        <w:rPr>
          <w:rFonts w:ascii="Arial" w:hAnsi="Arial" w:cs="Arial"/>
          <w:sz w:val="20"/>
          <w:szCs w:val="20"/>
        </w:rPr>
        <w:t xml:space="preserve">for the position of Chief Operating Officer </w:t>
      </w:r>
      <w:r w:rsidR="00D35BD9" w:rsidRPr="00921120">
        <w:rPr>
          <w:rFonts w:ascii="Arial" w:hAnsi="Arial" w:cs="Arial"/>
          <w:sz w:val="20"/>
          <w:szCs w:val="20"/>
        </w:rPr>
        <w:t xml:space="preserve">through </w:t>
      </w:r>
      <w:r w:rsidRPr="00921120">
        <w:rPr>
          <w:rFonts w:ascii="Arial" w:hAnsi="Arial" w:cs="Arial"/>
          <w:sz w:val="20"/>
          <w:szCs w:val="20"/>
        </w:rPr>
        <w:t>an open and transparent process. However, she ha</w:t>
      </w:r>
      <w:r w:rsidR="00307548" w:rsidRPr="00921120">
        <w:rPr>
          <w:rFonts w:ascii="Arial" w:hAnsi="Arial" w:cs="Arial"/>
          <w:sz w:val="20"/>
          <w:szCs w:val="20"/>
        </w:rPr>
        <w:t>d</w:t>
      </w:r>
      <w:r w:rsidRPr="00921120">
        <w:rPr>
          <w:rFonts w:ascii="Arial" w:hAnsi="Arial" w:cs="Arial"/>
          <w:sz w:val="20"/>
          <w:szCs w:val="20"/>
        </w:rPr>
        <w:t xml:space="preserve"> consulted with the Board to broaden the pool</w:t>
      </w:r>
      <w:r w:rsidR="00D35BD9" w:rsidRPr="00921120">
        <w:rPr>
          <w:rFonts w:ascii="Arial" w:hAnsi="Arial" w:cs="Arial"/>
          <w:sz w:val="20"/>
          <w:szCs w:val="20"/>
        </w:rPr>
        <w:t>,</w:t>
      </w:r>
      <w:r w:rsidRPr="00921120">
        <w:rPr>
          <w:rFonts w:ascii="Arial" w:hAnsi="Arial" w:cs="Arial"/>
          <w:sz w:val="20"/>
          <w:szCs w:val="20"/>
        </w:rPr>
        <w:t xml:space="preserve"> and</w:t>
      </w:r>
      <w:r w:rsidR="00D35BD9" w:rsidRPr="00921120">
        <w:rPr>
          <w:rFonts w:ascii="Arial" w:hAnsi="Arial" w:cs="Arial"/>
          <w:sz w:val="20"/>
          <w:szCs w:val="20"/>
        </w:rPr>
        <w:t xml:space="preserve">, thus, the NLC </w:t>
      </w:r>
      <w:r w:rsidR="00ED0924" w:rsidRPr="00921120">
        <w:rPr>
          <w:rFonts w:ascii="Arial" w:hAnsi="Arial" w:cs="Arial"/>
          <w:sz w:val="20"/>
          <w:szCs w:val="20"/>
        </w:rPr>
        <w:t xml:space="preserve">had </w:t>
      </w:r>
      <w:r w:rsidR="00D35BD9" w:rsidRPr="00921120">
        <w:rPr>
          <w:rFonts w:ascii="Arial" w:hAnsi="Arial" w:cs="Arial"/>
          <w:sz w:val="20"/>
          <w:szCs w:val="20"/>
        </w:rPr>
        <w:t>also</w:t>
      </w:r>
      <w:r w:rsidRPr="00921120">
        <w:rPr>
          <w:rFonts w:ascii="Arial" w:hAnsi="Arial" w:cs="Arial"/>
          <w:sz w:val="20"/>
          <w:szCs w:val="20"/>
        </w:rPr>
        <w:t xml:space="preserve"> </w:t>
      </w:r>
      <w:r w:rsidR="00ED0924" w:rsidRPr="00921120">
        <w:rPr>
          <w:rFonts w:ascii="Arial" w:hAnsi="Arial" w:cs="Arial"/>
          <w:sz w:val="20"/>
          <w:szCs w:val="20"/>
        </w:rPr>
        <w:t xml:space="preserve">been </w:t>
      </w:r>
      <w:r w:rsidRPr="00921120">
        <w:rPr>
          <w:rFonts w:ascii="Arial" w:hAnsi="Arial" w:cs="Arial"/>
          <w:sz w:val="20"/>
          <w:szCs w:val="20"/>
        </w:rPr>
        <w:t>embark</w:t>
      </w:r>
      <w:r w:rsidR="00D35BD9" w:rsidRPr="00921120">
        <w:rPr>
          <w:rFonts w:ascii="Arial" w:hAnsi="Arial" w:cs="Arial"/>
          <w:sz w:val="20"/>
          <w:szCs w:val="20"/>
        </w:rPr>
        <w:t>ing</w:t>
      </w:r>
      <w:r w:rsidRPr="00921120">
        <w:rPr>
          <w:rFonts w:ascii="Arial" w:hAnsi="Arial" w:cs="Arial"/>
          <w:sz w:val="20"/>
          <w:szCs w:val="20"/>
        </w:rPr>
        <w:t xml:space="preserve"> on a head-hunting exercise for a suitable candidate. </w:t>
      </w:r>
    </w:p>
    <w:p w:rsidR="00916412" w:rsidRPr="00921120" w:rsidRDefault="00916412" w:rsidP="00921120">
      <w:pPr>
        <w:spacing w:line="240" w:lineRule="auto"/>
        <w:jc w:val="left"/>
        <w:rPr>
          <w:rFonts w:ascii="Arial" w:hAnsi="Arial" w:cs="Arial"/>
          <w:color w:val="FF0000"/>
          <w:sz w:val="20"/>
          <w:szCs w:val="20"/>
        </w:rPr>
      </w:pPr>
    </w:p>
    <w:p w:rsidR="00916412" w:rsidRPr="00921120" w:rsidRDefault="00916412" w:rsidP="00921120">
      <w:pPr>
        <w:spacing w:line="240" w:lineRule="auto"/>
        <w:jc w:val="left"/>
        <w:rPr>
          <w:rFonts w:ascii="Arial" w:hAnsi="Arial" w:cs="Arial"/>
          <w:color w:val="000000" w:themeColor="text1"/>
          <w:sz w:val="20"/>
          <w:szCs w:val="20"/>
        </w:rPr>
      </w:pPr>
      <w:r w:rsidRPr="00921120">
        <w:rPr>
          <w:rFonts w:ascii="Arial" w:hAnsi="Arial" w:cs="Arial"/>
          <w:color w:val="000000" w:themeColor="text1"/>
          <w:sz w:val="20"/>
          <w:szCs w:val="20"/>
        </w:rPr>
        <w:t xml:space="preserve">Given the scrutiny around the NLC, its processes and procedures around filling of vacancies should remain beyond reproach. Therefore, the process of head-hunting for a senior executive should be done with caution and only if the resultant recruitment process did not lead to an appointment that would justify such an approach. The NLC assured the Committee that headhunting would only be initiated following the traditional process of placing adverts, and the preliminary vetting of applications. Once this process </w:t>
      </w:r>
      <w:r w:rsidR="008016FE" w:rsidRPr="00921120">
        <w:rPr>
          <w:rFonts w:ascii="Arial" w:hAnsi="Arial" w:cs="Arial"/>
          <w:color w:val="000000" w:themeColor="text1"/>
          <w:sz w:val="20"/>
          <w:szCs w:val="20"/>
        </w:rPr>
        <w:t xml:space="preserve">had been </w:t>
      </w:r>
      <w:r w:rsidRPr="00921120">
        <w:rPr>
          <w:rFonts w:ascii="Arial" w:hAnsi="Arial" w:cs="Arial"/>
          <w:color w:val="000000" w:themeColor="text1"/>
          <w:sz w:val="20"/>
          <w:szCs w:val="20"/>
        </w:rPr>
        <w:t>completed and there was a view that the pool should be expanded, headhunting would commence.</w:t>
      </w:r>
    </w:p>
    <w:p w:rsidR="00975C8D" w:rsidRPr="00921120" w:rsidRDefault="00975C8D" w:rsidP="00921120">
      <w:pPr>
        <w:spacing w:line="240" w:lineRule="auto"/>
        <w:jc w:val="left"/>
        <w:rPr>
          <w:rFonts w:ascii="Arial" w:hAnsi="Arial" w:cs="Arial"/>
          <w:sz w:val="20"/>
          <w:szCs w:val="20"/>
        </w:rPr>
      </w:pPr>
    </w:p>
    <w:p w:rsidR="00975C8D" w:rsidRPr="00921120" w:rsidRDefault="00975C8D" w:rsidP="00921120">
      <w:pPr>
        <w:spacing w:line="240" w:lineRule="auto"/>
        <w:jc w:val="left"/>
        <w:rPr>
          <w:rFonts w:ascii="Arial" w:hAnsi="Arial" w:cs="Arial"/>
          <w:sz w:val="20"/>
          <w:szCs w:val="20"/>
        </w:rPr>
      </w:pPr>
      <w:r w:rsidRPr="00921120">
        <w:rPr>
          <w:rFonts w:ascii="Arial" w:hAnsi="Arial" w:cs="Arial"/>
          <w:sz w:val="20"/>
          <w:szCs w:val="20"/>
        </w:rPr>
        <w:t>With respect to the position of Executive Legal Services, the Commissioner informed the Committee that an advert would be placed on 5 February 2023</w:t>
      </w:r>
      <w:r w:rsidR="00D35BD9" w:rsidRPr="00921120">
        <w:rPr>
          <w:rFonts w:ascii="Arial" w:hAnsi="Arial" w:cs="Arial"/>
          <w:sz w:val="20"/>
          <w:szCs w:val="20"/>
        </w:rPr>
        <w:t xml:space="preserve"> to call for applications</w:t>
      </w:r>
      <w:r w:rsidRPr="00921120">
        <w:rPr>
          <w:rFonts w:ascii="Arial" w:hAnsi="Arial" w:cs="Arial"/>
          <w:sz w:val="20"/>
          <w:szCs w:val="20"/>
        </w:rPr>
        <w:t xml:space="preserve">. </w:t>
      </w:r>
      <w:r w:rsidR="00D35BD9" w:rsidRPr="00921120">
        <w:rPr>
          <w:rFonts w:ascii="Arial" w:hAnsi="Arial" w:cs="Arial"/>
          <w:sz w:val="20"/>
          <w:szCs w:val="20"/>
        </w:rPr>
        <w:t>It expected an appointment to be made in this regard by 1 April 2023.</w:t>
      </w:r>
    </w:p>
    <w:p w:rsidR="005A3CE4" w:rsidRPr="00921120" w:rsidRDefault="005A3CE4" w:rsidP="00921120">
      <w:pPr>
        <w:spacing w:line="240" w:lineRule="auto"/>
        <w:jc w:val="left"/>
        <w:rPr>
          <w:rFonts w:ascii="Arial" w:hAnsi="Arial" w:cs="Arial"/>
          <w:sz w:val="20"/>
          <w:szCs w:val="20"/>
        </w:rPr>
      </w:pPr>
    </w:p>
    <w:p w:rsidR="009540ED" w:rsidRPr="00921120" w:rsidRDefault="009540ED" w:rsidP="00921120">
      <w:pPr>
        <w:spacing w:line="240" w:lineRule="auto"/>
        <w:jc w:val="left"/>
        <w:rPr>
          <w:rFonts w:ascii="Arial" w:hAnsi="Arial" w:cs="Arial"/>
          <w:color w:val="000000" w:themeColor="text1"/>
          <w:sz w:val="20"/>
          <w:szCs w:val="20"/>
        </w:rPr>
      </w:pPr>
      <w:r w:rsidRPr="00921120">
        <w:rPr>
          <w:rFonts w:ascii="Arial" w:hAnsi="Arial" w:cs="Arial"/>
          <w:color w:val="000000" w:themeColor="text1"/>
          <w:sz w:val="20"/>
          <w:szCs w:val="20"/>
        </w:rPr>
        <w:t xml:space="preserve">The </w:t>
      </w:r>
      <w:r w:rsidR="00916412" w:rsidRPr="00921120">
        <w:rPr>
          <w:rFonts w:ascii="Arial" w:hAnsi="Arial" w:cs="Arial"/>
          <w:color w:val="000000" w:themeColor="text1"/>
          <w:sz w:val="20"/>
          <w:szCs w:val="20"/>
        </w:rPr>
        <w:t xml:space="preserve">Committee further enquired whether there </w:t>
      </w:r>
      <w:r w:rsidR="0060761A" w:rsidRPr="00921120">
        <w:rPr>
          <w:rFonts w:ascii="Arial" w:hAnsi="Arial" w:cs="Arial"/>
          <w:color w:val="000000" w:themeColor="text1"/>
          <w:sz w:val="20"/>
          <w:szCs w:val="20"/>
        </w:rPr>
        <w:t xml:space="preserve">had been </w:t>
      </w:r>
      <w:r w:rsidR="00916412" w:rsidRPr="00921120">
        <w:rPr>
          <w:rFonts w:ascii="Arial" w:hAnsi="Arial" w:cs="Arial"/>
          <w:color w:val="000000" w:themeColor="text1"/>
          <w:sz w:val="20"/>
          <w:szCs w:val="20"/>
        </w:rPr>
        <w:t xml:space="preserve">any critical vacancies at a junior level that would impede the NLC from achieving its mandate. The </w:t>
      </w:r>
      <w:r w:rsidRPr="00921120">
        <w:rPr>
          <w:rFonts w:ascii="Arial" w:hAnsi="Arial" w:cs="Arial"/>
          <w:color w:val="000000" w:themeColor="text1"/>
          <w:sz w:val="20"/>
          <w:szCs w:val="20"/>
        </w:rPr>
        <w:t xml:space="preserve">NLC </w:t>
      </w:r>
      <w:r w:rsidR="00916412" w:rsidRPr="00921120">
        <w:rPr>
          <w:rFonts w:ascii="Arial" w:hAnsi="Arial" w:cs="Arial"/>
          <w:color w:val="000000" w:themeColor="text1"/>
          <w:sz w:val="20"/>
          <w:szCs w:val="20"/>
        </w:rPr>
        <w:t xml:space="preserve">reported </w:t>
      </w:r>
      <w:r w:rsidRPr="00921120">
        <w:rPr>
          <w:rFonts w:ascii="Arial" w:hAnsi="Arial" w:cs="Arial"/>
          <w:color w:val="000000" w:themeColor="text1"/>
          <w:sz w:val="20"/>
          <w:szCs w:val="20"/>
        </w:rPr>
        <w:t>that a number of vacancies exist</w:t>
      </w:r>
      <w:r w:rsidR="00916412" w:rsidRPr="00921120">
        <w:rPr>
          <w:rFonts w:ascii="Arial" w:hAnsi="Arial" w:cs="Arial"/>
          <w:color w:val="000000" w:themeColor="text1"/>
          <w:sz w:val="20"/>
          <w:szCs w:val="20"/>
        </w:rPr>
        <w:t>ed,</w:t>
      </w:r>
      <w:r w:rsidRPr="00921120">
        <w:rPr>
          <w:rFonts w:ascii="Arial" w:hAnsi="Arial" w:cs="Arial"/>
          <w:color w:val="000000" w:themeColor="text1"/>
          <w:sz w:val="20"/>
          <w:szCs w:val="20"/>
        </w:rPr>
        <w:t xml:space="preserve"> especially at junior level. Furthermore, more resignations </w:t>
      </w:r>
      <w:r w:rsidR="00916412" w:rsidRPr="00921120">
        <w:rPr>
          <w:rFonts w:ascii="Arial" w:hAnsi="Arial" w:cs="Arial"/>
          <w:color w:val="000000" w:themeColor="text1"/>
          <w:sz w:val="20"/>
          <w:szCs w:val="20"/>
        </w:rPr>
        <w:t xml:space="preserve">had occurred at senior levels </w:t>
      </w:r>
      <w:r w:rsidRPr="00921120">
        <w:rPr>
          <w:rFonts w:ascii="Arial" w:hAnsi="Arial" w:cs="Arial"/>
          <w:color w:val="000000" w:themeColor="text1"/>
          <w:sz w:val="20"/>
          <w:szCs w:val="20"/>
        </w:rPr>
        <w:t>such as the risk specialist, senior manager in finance, the internal audit IT specialist, and regulatory compliance manager. Currently</w:t>
      </w:r>
      <w:r w:rsidR="00916412" w:rsidRPr="00921120">
        <w:rPr>
          <w:rFonts w:ascii="Arial" w:hAnsi="Arial" w:cs="Arial"/>
          <w:color w:val="000000" w:themeColor="text1"/>
          <w:sz w:val="20"/>
          <w:szCs w:val="20"/>
        </w:rPr>
        <w:t>,</w:t>
      </w:r>
      <w:r w:rsidRPr="00921120">
        <w:rPr>
          <w:rFonts w:ascii="Arial" w:hAnsi="Arial" w:cs="Arial"/>
          <w:color w:val="000000" w:themeColor="text1"/>
          <w:sz w:val="20"/>
          <w:szCs w:val="20"/>
        </w:rPr>
        <w:t xml:space="preserve"> the necessary processes </w:t>
      </w:r>
      <w:r w:rsidR="0060761A" w:rsidRPr="00921120">
        <w:rPr>
          <w:rFonts w:ascii="Arial" w:hAnsi="Arial" w:cs="Arial"/>
          <w:color w:val="000000" w:themeColor="text1"/>
          <w:sz w:val="20"/>
          <w:szCs w:val="20"/>
        </w:rPr>
        <w:t>had been</w:t>
      </w:r>
      <w:r w:rsidR="006936FB" w:rsidRPr="00921120">
        <w:rPr>
          <w:rFonts w:ascii="Arial" w:hAnsi="Arial" w:cs="Arial"/>
          <w:color w:val="000000" w:themeColor="text1"/>
          <w:sz w:val="20"/>
          <w:szCs w:val="20"/>
        </w:rPr>
        <w:t xml:space="preserve"> </w:t>
      </w:r>
      <w:r w:rsidRPr="00921120">
        <w:rPr>
          <w:rFonts w:ascii="Arial" w:hAnsi="Arial" w:cs="Arial"/>
          <w:color w:val="000000" w:themeColor="text1"/>
          <w:sz w:val="20"/>
          <w:szCs w:val="20"/>
        </w:rPr>
        <w:t xml:space="preserve">underway to fill these positions. </w:t>
      </w:r>
    </w:p>
    <w:p w:rsidR="0075425C" w:rsidRPr="00921120" w:rsidRDefault="0075425C" w:rsidP="00921120">
      <w:pPr>
        <w:spacing w:line="240" w:lineRule="auto"/>
        <w:jc w:val="left"/>
        <w:rPr>
          <w:rFonts w:ascii="Arial" w:hAnsi="Arial" w:cs="Arial"/>
          <w:color w:val="000000" w:themeColor="text1"/>
          <w:sz w:val="20"/>
          <w:szCs w:val="20"/>
        </w:rPr>
      </w:pPr>
    </w:p>
    <w:p w:rsidR="0075425C" w:rsidRPr="00921120" w:rsidRDefault="0075425C" w:rsidP="00921120">
      <w:pPr>
        <w:pStyle w:val="PlainText"/>
        <w:rPr>
          <w:rFonts w:ascii="Arial" w:hAnsi="Arial" w:cs="Arial"/>
          <w:color w:val="000000" w:themeColor="text1"/>
          <w:sz w:val="20"/>
          <w:szCs w:val="20"/>
        </w:rPr>
      </w:pPr>
      <w:r w:rsidRPr="00921120">
        <w:rPr>
          <w:rFonts w:ascii="Arial" w:hAnsi="Arial" w:cs="Arial"/>
          <w:color w:val="000000" w:themeColor="text1"/>
          <w:sz w:val="20"/>
          <w:szCs w:val="20"/>
        </w:rPr>
        <w:t xml:space="preserve">The Committee noted that, following the internal investigations by the NLC, as well as the SIU investigations, a number of senior </w:t>
      </w:r>
      <w:r w:rsidR="000E5D54" w:rsidRPr="00921120">
        <w:rPr>
          <w:rFonts w:ascii="Arial" w:hAnsi="Arial" w:cs="Arial"/>
          <w:color w:val="000000" w:themeColor="text1"/>
          <w:sz w:val="20"/>
          <w:szCs w:val="20"/>
        </w:rPr>
        <w:t xml:space="preserve">managers and </w:t>
      </w:r>
      <w:r w:rsidRPr="00921120">
        <w:rPr>
          <w:rFonts w:ascii="Arial" w:hAnsi="Arial" w:cs="Arial"/>
          <w:color w:val="000000" w:themeColor="text1"/>
          <w:sz w:val="20"/>
          <w:szCs w:val="20"/>
        </w:rPr>
        <w:t xml:space="preserve">executives at the NLC had resigned either with immediate effect or during the process of internal disciplinary action being instituted. </w:t>
      </w:r>
      <w:r w:rsidR="00A551A5" w:rsidRPr="00921120">
        <w:rPr>
          <w:rFonts w:ascii="Arial" w:hAnsi="Arial" w:cs="Arial"/>
          <w:color w:val="000000" w:themeColor="text1"/>
          <w:sz w:val="20"/>
          <w:szCs w:val="20"/>
        </w:rPr>
        <w:t xml:space="preserve">It enquired whether </w:t>
      </w:r>
      <w:r w:rsidRPr="00921120">
        <w:rPr>
          <w:rFonts w:ascii="Arial" w:hAnsi="Arial" w:cs="Arial"/>
          <w:color w:val="000000" w:themeColor="text1"/>
          <w:sz w:val="20"/>
          <w:szCs w:val="20"/>
        </w:rPr>
        <w:t xml:space="preserve">these individuals </w:t>
      </w:r>
      <w:r w:rsidR="00A551A5" w:rsidRPr="00921120">
        <w:rPr>
          <w:rFonts w:ascii="Arial" w:hAnsi="Arial" w:cs="Arial"/>
          <w:color w:val="000000" w:themeColor="text1"/>
          <w:sz w:val="20"/>
          <w:szCs w:val="20"/>
        </w:rPr>
        <w:t xml:space="preserve">left </w:t>
      </w:r>
      <w:r w:rsidRPr="00921120">
        <w:rPr>
          <w:rFonts w:ascii="Arial" w:hAnsi="Arial" w:cs="Arial"/>
          <w:color w:val="000000" w:themeColor="text1"/>
          <w:sz w:val="20"/>
          <w:szCs w:val="20"/>
        </w:rPr>
        <w:t xml:space="preserve">the organisation with a </w:t>
      </w:r>
      <w:r w:rsidR="00A551A5" w:rsidRPr="00921120">
        <w:rPr>
          <w:rFonts w:ascii="Arial" w:hAnsi="Arial" w:cs="Arial"/>
          <w:color w:val="000000" w:themeColor="text1"/>
          <w:sz w:val="20"/>
          <w:szCs w:val="20"/>
        </w:rPr>
        <w:t>‘</w:t>
      </w:r>
      <w:r w:rsidRPr="00921120">
        <w:rPr>
          <w:rFonts w:ascii="Arial" w:hAnsi="Arial" w:cs="Arial"/>
          <w:color w:val="000000" w:themeColor="text1"/>
          <w:sz w:val="20"/>
          <w:szCs w:val="20"/>
        </w:rPr>
        <w:t>golden handshake</w:t>
      </w:r>
      <w:r w:rsidR="00A551A5" w:rsidRPr="00921120">
        <w:rPr>
          <w:rFonts w:ascii="Arial" w:hAnsi="Arial" w:cs="Arial"/>
          <w:color w:val="000000" w:themeColor="text1"/>
          <w:sz w:val="20"/>
          <w:szCs w:val="20"/>
        </w:rPr>
        <w:t>’</w:t>
      </w:r>
      <w:r w:rsidRPr="00921120">
        <w:rPr>
          <w:rFonts w:ascii="Arial" w:hAnsi="Arial" w:cs="Arial"/>
          <w:color w:val="000000" w:themeColor="text1"/>
          <w:sz w:val="20"/>
          <w:szCs w:val="20"/>
        </w:rPr>
        <w:t xml:space="preserve"> or </w:t>
      </w:r>
      <w:r w:rsidR="00A551A5" w:rsidRPr="00921120">
        <w:rPr>
          <w:rFonts w:ascii="Arial" w:hAnsi="Arial" w:cs="Arial"/>
          <w:color w:val="000000" w:themeColor="text1"/>
          <w:sz w:val="20"/>
          <w:szCs w:val="20"/>
        </w:rPr>
        <w:t>what measures were in p</w:t>
      </w:r>
      <w:r w:rsidR="006936FB" w:rsidRPr="00921120">
        <w:rPr>
          <w:rFonts w:ascii="Arial" w:hAnsi="Arial" w:cs="Arial"/>
          <w:color w:val="000000" w:themeColor="text1"/>
          <w:sz w:val="20"/>
          <w:szCs w:val="20"/>
        </w:rPr>
        <w:t>l</w:t>
      </w:r>
      <w:r w:rsidR="00A551A5" w:rsidRPr="00921120">
        <w:rPr>
          <w:rFonts w:ascii="Arial" w:hAnsi="Arial" w:cs="Arial"/>
          <w:color w:val="000000" w:themeColor="text1"/>
          <w:sz w:val="20"/>
          <w:szCs w:val="20"/>
        </w:rPr>
        <w:t xml:space="preserve">ace to prevent them from finding </w:t>
      </w:r>
      <w:r w:rsidRPr="00921120">
        <w:rPr>
          <w:rFonts w:ascii="Arial" w:hAnsi="Arial" w:cs="Arial"/>
          <w:color w:val="000000" w:themeColor="text1"/>
          <w:sz w:val="20"/>
          <w:szCs w:val="20"/>
        </w:rPr>
        <w:t xml:space="preserve">employment in </w:t>
      </w:r>
      <w:r w:rsidR="00A551A5" w:rsidRPr="00921120">
        <w:rPr>
          <w:rFonts w:ascii="Arial" w:hAnsi="Arial" w:cs="Arial"/>
          <w:color w:val="000000" w:themeColor="text1"/>
          <w:sz w:val="20"/>
          <w:szCs w:val="20"/>
        </w:rPr>
        <w:t>the public sector</w:t>
      </w:r>
      <w:r w:rsidRPr="00921120">
        <w:rPr>
          <w:rFonts w:ascii="Arial" w:hAnsi="Arial" w:cs="Arial"/>
          <w:color w:val="000000" w:themeColor="text1"/>
          <w:sz w:val="20"/>
          <w:szCs w:val="20"/>
        </w:rPr>
        <w:t xml:space="preserve">. </w:t>
      </w:r>
      <w:r w:rsidR="00A551A5" w:rsidRPr="00921120">
        <w:rPr>
          <w:rFonts w:ascii="Arial" w:hAnsi="Arial" w:cs="Arial"/>
          <w:color w:val="000000" w:themeColor="text1"/>
          <w:sz w:val="20"/>
          <w:szCs w:val="20"/>
        </w:rPr>
        <w:t>The NLC confirmed that a</w:t>
      </w:r>
      <w:r w:rsidRPr="00921120">
        <w:rPr>
          <w:rFonts w:ascii="Arial" w:hAnsi="Arial" w:cs="Arial"/>
          <w:color w:val="000000" w:themeColor="text1"/>
          <w:sz w:val="20"/>
          <w:szCs w:val="20"/>
        </w:rPr>
        <w:t xml:space="preserve"> number of Executives </w:t>
      </w:r>
      <w:r w:rsidR="00A551A5" w:rsidRPr="00921120">
        <w:rPr>
          <w:rFonts w:ascii="Arial" w:hAnsi="Arial" w:cs="Arial"/>
          <w:color w:val="000000" w:themeColor="text1"/>
          <w:sz w:val="20"/>
          <w:szCs w:val="20"/>
        </w:rPr>
        <w:t xml:space="preserve">had </w:t>
      </w:r>
      <w:r w:rsidRPr="00921120">
        <w:rPr>
          <w:rFonts w:ascii="Arial" w:hAnsi="Arial" w:cs="Arial"/>
          <w:color w:val="000000" w:themeColor="text1"/>
          <w:sz w:val="20"/>
          <w:szCs w:val="20"/>
        </w:rPr>
        <w:t xml:space="preserve">resigned before disciplinary action could be instituted against them. </w:t>
      </w:r>
      <w:r w:rsidR="00A551A5" w:rsidRPr="00921120">
        <w:rPr>
          <w:rFonts w:ascii="Arial" w:hAnsi="Arial" w:cs="Arial"/>
          <w:color w:val="000000" w:themeColor="text1"/>
          <w:sz w:val="20"/>
          <w:szCs w:val="20"/>
        </w:rPr>
        <w:t>It indicated that t</w:t>
      </w:r>
      <w:r w:rsidRPr="00921120">
        <w:rPr>
          <w:rFonts w:ascii="Arial" w:hAnsi="Arial" w:cs="Arial"/>
          <w:color w:val="000000" w:themeColor="text1"/>
          <w:sz w:val="20"/>
          <w:szCs w:val="20"/>
        </w:rPr>
        <w:t xml:space="preserve">he pension of Mr P Ledwaba, the former Chief Operating Officer, </w:t>
      </w:r>
      <w:r w:rsidR="00A551A5" w:rsidRPr="00921120">
        <w:rPr>
          <w:rFonts w:ascii="Arial" w:hAnsi="Arial" w:cs="Arial"/>
          <w:color w:val="000000" w:themeColor="text1"/>
          <w:sz w:val="20"/>
          <w:szCs w:val="20"/>
        </w:rPr>
        <w:t xml:space="preserve">had been </w:t>
      </w:r>
      <w:r w:rsidRPr="00921120">
        <w:rPr>
          <w:rFonts w:ascii="Arial" w:hAnsi="Arial" w:cs="Arial"/>
          <w:color w:val="000000" w:themeColor="text1"/>
          <w:sz w:val="20"/>
          <w:szCs w:val="20"/>
        </w:rPr>
        <w:t xml:space="preserve">frozen at the request of the SIU. </w:t>
      </w:r>
    </w:p>
    <w:p w:rsidR="00A7436A" w:rsidRPr="00921120" w:rsidRDefault="00A7436A" w:rsidP="00921120">
      <w:pPr>
        <w:pStyle w:val="PlainText"/>
        <w:rPr>
          <w:rFonts w:ascii="Arial" w:hAnsi="Arial" w:cs="Arial"/>
          <w:color w:val="000000" w:themeColor="text1"/>
          <w:sz w:val="20"/>
          <w:szCs w:val="20"/>
        </w:rPr>
      </w:pPr>
    </w:p>
    <w:p w:rsidR="00A7436A" w:rsidRPr="00921120" w:rsidRDefault="00A7436A" w:rsidP="00921120">
      <w:pPr>
        <w:pStyle w:val="Heading2"/>
        <w:spacing w:line="240" w:lineRule="auto"/>
        <w:jc w:val="left"/>
        <w:rPr>
          <w:rFonts w:ascii="Arial" w:hAnsi="Arial" w:cs="Arial"/>
          <w:sz w:val="20"/>
          <w:szCs w:val="20"/>
        </w:rPr>
      </w:pPr>
      <w:r w:rsidRPr="00921120">
        <w:rPr>
          <w:rFonts w:ascii="Arial" w:hAnsi="Arial" w:cs="Arial"/>
          <w:sz w:val="20"/>
          <w:szCs w:val="20"/>
        </w:rPr>
        <w:t>Unannounced visits to NLC projects</w:t>
      </w:r>
    </w:p>
    <w:p w:rsidR="007C3168" w:rsidRPr="00921120" w:rsidRDefault="007C3168" w:rsidP="00921120">
      <w:pPr>
        <w:spacing w:line="240" w:lineRule="auto"/>
        <w:jc w:val="left"/>
        <w:rPr>
          <w:rFonts w:ascii="Arial" w:eastAsia="Calibri" w:hAnsi="Arial" w:cs="Arial"/>
          <w:sz w:val="20"/>
          <w:szCs w:val="20"/>
        </w:rPr>
      </w:pPr>
      <w:r w:rsidRPr="00921120">
        <w:rPr>
          <w:rFonts w:ascii="Arial" w:eastAsia="Calibri" w:hAnsi="Arial" w:cs="Arial"/>
          <w:sz w:val="20"/>
          <w:szCs w:val="20"/>
        </w:rPr>
        <w:t xml:space="preserve">As part of its oversight visit, the Committee had intended to embark on unannounced visits to a number of NLC funded projects that had been approved between the 2019/20 and 2021/22 financial years. The selection of these projects </w:t>
      </w:r>
      <w:r w:rsidR="002E4A9A" w:rsidRPr="00921120">
        <w:rPr>
          <w:rFonts w:ascii="Arial" w:eastAsia="Calibri" w:hAnsi="Arial" w:cs="Arial"/>
          <w:sz w:val="20"/>
          <w:szCs w:val="20"/>
        </w:rPr>
        <w:t xml:space="preserve">had </w:t>
      </w:r>
      <w:r w:rsidRPr="00921120">
        <w:rPr>
          <w:rFonts w:ascii="Arial" w:eastAsia="Calibri" w:hAnsi="Arial" w:cs="Arial"/>
          <w:sz w:val="20"/>
          <w:szCs w:val="20"/>
        </w:rPr>
        <w:t>initially</w:t>
      </w:r>
      <w:r w:rsidR="002E4A9A" w:rsidRPr="00921120">
        <w:rPr>
          <w:rFonts w:ascii="Arial" w:eastAsia="Calibri" w:hAnsi="Arial" w:cs="Arial"/>
          <w:sz w:val="20"/>
          <w:szCs w:val="20"/>
        </w:rPr>
        <w:t xml:space="preserve"> been</w:t>
      </w:r>
      <w:r w:rsidRPr="00921120">
        <w:rPr>
          <w:rFonts w:ascii="Arial" w:eastAsia="Calibri" w:hAnsi="Arial" w:cs="Arial"/>
          <w:sz w:val="20"/>
          <w:szCs w:val="20"/>
        </w:rPr>
        <w:t xml:space="preserve"> based on lists of projects requested from the NLC for the Limpopo and Gauteng provinces. The initial lists </w:t>
      </w:r>
      <w:r w:rsidR="002E4A9A" w:rsidRPr="00921120">
        <w:rPr>
          <w:rFonts w:ascii="Arial" w:eastAsia="Calibri" w:hAnsi="Arial" w:cs="Arial"/>
          <w:sz w:val="20"/>
          <w:szCs w:val="20"/>
        </w:rPr>
        <w:t xml:space="preserve">had been </w:t>
      </w:r>
      <w:r w:rsidRPr="00921120">
        <w:rPr>
          <w:rFonts w:ascii="Arial" w:eastAsia="Calibri" w:hAnsi="Arial" w:cs="Arial"/>
          <w:sz w:val="20"/>
          <w:szCs w:val="20"/>
        </w:rPr>
        <w:t xml:space="preserve">limited in providing infrastructure-based projects given the ongoing SIU investigations, and identified projects tended to be more operational in nature or relatively small in scope. </w:t>
      </w:r>
    </w:p>
    <w:p w:rsidR="007C3168" w:rsidRPr="00921120" w:rsidRDefault="007C3168" w:rsidP="00921120">
      <w:pPr>
        <w:numPr>
          <w:ilvl w:val="2"/>
          <w:numId w:val="0"/>
        </w:numPr>
        <w:spacing w:line="240" w:lineRule="auto"/>
        <w:ind w:left="709" w:hanging="709"/>
        <w:contextualSpacing/>
        <w:jc w:val="left"/>
        <w:outlineLvl w:val="2"/>
        <w:rPr>
          <w:rFonts w:ascii="Arial" w:eastAsia="Times New Roman" w:hAnsi="Arial" w:cs="Arial"/>
          <w:b/>
          <w:bCs/>
          <w:sz w:val="20"/>
          <w:szCs w:val="20"/>
        </w:rPr>
      </w:pPr>
    </w:p>
    <w:p w:rsidR="007C3168" w:rsidRPr="00921120" w:rsidRDefault="007C3168" w:rsidP="00921120">
      <w:pPr>
        <w:pStyle w:val="Heading3"/>
        <w:spacing w:line="240" w:lineRule="auto"/>
        <w:jc w:val="left"/>
        <w:rPr>
          <w:rFonts w:ascii="Arial" w:hAnsi="Arial" w:cs="Arial"/>
          <w:sz w:val="20"/>
          <w:szCs w:val="20"/>
        </w:rPr>
      </w:pPr>
      <w:r w:rsidRPr="00921120">
        <w:rPr>
          <w:rFonts w:ascii="Arial" w:hAnsi="Arial" w:cs="Arial"/>
          <w:sz w:val="20"/>
          <w:szCs w:val="20"/>
        </w:rPr>
        <w:t>Musina Arts Development</w:t>
      </w:r>
    </w:p>
    <w:p w:rsidR="007C3168" w:rsidRPr="00921120" w:rsidRDefault="007C3168" w:rsidP="00921120">
      <w:pPr>
        <w:spacing w:line="240" w:lineRule="auto"/>
        <w:jc w:val="left"/>
        <w:rPr>
          <w:rFonts w:ascii="Arial" w:eastAsia="Calibri" w:hAnsi="Arial" w:cs="Arial"/>
          <w:sz w:val="20"/>
          <w:szCs w:val="20"/>
        </w:rPr>
      </w:pPr>
      <w:r w:rsidRPr="00921120">
        <w:rPr>
          <w:rFonts w:ascii="Arial" w:eastAsia="Calibri" w:hAnsi="Arial" w:cs="Arial"/>
          <w:sz w:val="20"/>
          <w:szCs w:val="20"/>
        </w:rPr>
        <w:t>As part of its objective to do unannounced visit to NLC funded projects, the Committee visited the Musina Arts Development Project in Louis Trichardt</w:t>
      </w:r>
      <w:r w:rsidR="009A2313" w:rsidRPr="00921120">
        <w:rPr>
          <w:rFonts w:ascii="Arial" w:eastAsia="Calibri" w:hAnsi="Arial" w:cs="Arial"/>
          <w:sz w:val="20"/>
          <w:szCs w:val="20"/>
        </w:rPr>
        <w:t>, Limpopo</w:t>
      </w:r>
      <w:r w:rsidRPr="00921120">
        <w:rPr>
          <w:rFonts w:ascii="Arial" w:eastAsia="Calibri" w:hAnsi="Arial" w:cs="Arial"/>
          <w:sz w:val="20"/>
          <w:szCs w:val="20"/>
        </w:rPr>
        <w:t xml:space="preserve">. </w:t>
      </w:r>
      <w:r w:rsidR="007E7763" w:rsidRPr="00921120">
        <w:rPr>
          <w:rFonts w:ascii="Arial" w:eastAsia="Calibri" w:hAnsi="Arial" w:cs="Arial"/>
          <w:sz w:val="20"/>
          <w:szCs w:val="20"/>
        </w:rPr>
        <w:t>The project had received R1,</w:t>
      </w:r>
      <w:r w:rsidRPr="00921120">
        <w:rPr>
          <w:rFonts w:ascii="Arial" w:eastAsia="Calibri" w:hAnsi="Arial" w:cs="Arial"/>
          <w:sz w:val="20"/>
          <w:szCs w:val="20"/>
        </w:rPr>
        <w:t>65</w:t>
      </w:r>
      <w:r w:rsidR="007E7763" w:rsidRPr="00921120">
        <w:rPr>
          <w:rFonts w:ascii="Arial" w:eastAsia="Calibri" w:hAnsi="Arial" w:cs="Arial"/>
          <w:sz w:val="20"/>
          <w:szCs w:val="20"/>
        </w:rPr>
        <w:t> </w:t>
      </w:r>
      <w:r w:rsidRPr="00921120">
        <w:rPr>
          <w:rFonts w:ascii="Arial" w:eastAsia="Calibri" w:hAnsi="Arial" w:cs="Arial"/>
          <w:sz w:val="20"/>
          <w:szCs w:val="20"/>
        </w:rPr>
        <w:t xml:space="preserve">million from the NLC for a festival, and other operational costs in the 2020/21 financial year. When the Committee arrived at the physical address provided, there </w:t>
      </w:r>
      <w:r w:rsidR="009A2313" w:rsidRPr="00921120">
        <w:rPr>
          <w:rFonts w:ascii="Arial" w:eastAsia="Calibri" w:hAnsi="Arial" w:cs="Arial"/>
          <w:sz w:val="20"/>
          <w:szCs w:val="20"/>
        </w:rPr>
        <w:t xml:space="preserve">had been </w:t>
      </w:r>
      <w:r w:rsidRPr="00921120">
        <w:rPr>
          <w:rFonts w:ascii="Arial" w:eastAsia="Calibri" w:hAnsi="Arial" w:cs="Arial"/>
          <w:sz w:val="20"/>
          <w:szCs w:val="20"/>
        </w:rPr>
        <w:t>no signs that the project had operated from th</w:t>
      </w:r>
      <w:r w:rsidR="0037392B" w:rsidRPr="00921120">
        <w:rPr>
          <w:rFonts w:ascii="Arial" w:eastAsia="Calibri" w:hAnsi="Arial" w:cs="Arial"/>
          <w:sz w:val="20"/>
          <w:szCs w:val="20"/>
        </w:rPr>
        <w:t>at</w:t>
      </w:r>
      <w:r w:rsidRPr="00921120">
        <w:rPr>
          <w:rFonts w:ascii="Arial" w:eastAsia="Calibri" w:hAnsi="Arial" w:cs="Arial"/>
          <w:sz w:val="20"/>
          <w:szCs w:val="20"/>
        </w:rPr>
        <w:t xml:space="preserve"> address. However, when approaching the owner of the business located at the address, he confirmed that he </w:t>
      </w:r>
      <w:r w:rsidR="0037392B" w:rsidRPr="00921120">
        <w:rPr>
          <w:rFonts w:ascii="Arial" w:eastAsia="Calibri" w:hAnsi="Arial" w:cs="Arial"/>
          <w:sz w:val="20"/>
          <w:szCs w:val="20"/>
        </w:rPr>
        <w:t xml:space="preserve">had </w:t>
      </w:r>
      <w:r w:rsidRPr="00921120">
        <w:rPr>
          <w:rFonts w:ascii="Arial" w:eastAsia="Calibri" w:hAnsi="Arial" w:cs="Arial"/>
          <w:sz w:val="20"/>
          <w:szCs w:val="20"/>
        </w:rPr>
        <w:t>assisted with the application for funding, and that the beneficiary had rented a portion of the property at the time to conduct business from there.</w:t>
      </w:r>
    </w:p>
    <w:p w:rsidR="007C3168" w:rsidRPr="00921120" w:rsidRDefault="007C3168" w:rsidP="00921120">
      <w:pPr>
        <w:spacing w:line="240" w:lineRule="auto"/>
        <w:jc w:val="left"/>
        <w:rPr>
          <w:rFonts w:ascii="Arial" w:eastAsia="Calibri" w:hAnsi="Arial" w:cs="Arial"/>
          <w:sz w:val="20"/>
          <w:szCs w:val="20"/>
        </w:rPr>
      </w:pPr>
    </w:p>
    <w:p w:rsidR="007C3168" w:rsidRPr="00921120" w:rsidRDefault="007C3168" w:rsidP="00921120">
      <w:pPr>
        <w:spacing w:line="240" w:lineRule="auto"/>
        <w:jc w:val="left"/>
        <w:rPr>
          <w:rFonts w:ascii="Arial" w:eastAsia="Calibri" w:hAnsi="Arial" w:cs="Arial"/>
          <w:sz w:val="20"/>
          <w:szCs w:val="20"/>
        </w:rPr>
      </w:pPr>
      <w:r w:rsidRPr="00921120">
        <w:rPr>
          <w:rFonts w:ascii="Arial" w:eastAsia="Calibri" w:hAnsi="Arial" w:cs="Arial"/>
          <w:sz w:val="20"/>
          <w:szCs w:val="20"/>
        </w:rPr>
        <w:t xml:space="preserve">The owner </w:t>
      </w:r>
      <w:r w:rsidR="0037392B" w:rsidRPr="00921120">
        <w:rPr>
          <w:rFonts w:ascii="Arial" w:eastAsia="Calibri" w:hAnsi="Arial" w:cs="Arial"/>
          <w:sz w:val="20"/>
          <w:szCs w:val="20"/>
        </w:rPr>
        <w:t xml:space="preserve">had </w:t>
      </w:r>
      <w:r w:rsidRPr="00921120">
        <w:rPr>
          <w:rFonts w:ascii="Arial" w:eastAsia="Calibri" w:hAnsi="Arial" w:cs="Arial"/>
          <w:sz w:val="20"/>
          <w:szCs w:val="20"/>
        </w:rPr>
        <w:t xml:space="preserve">also contacted the beneficiary, who confirmed receipt of the funding and the utilisation thereof for the intended purposes. However, there </w:t>
      </w:r>
      <w:r w:rsidR="0037392B" w:rsidRPr="00921120">
        <w:rPr>
          <w:rFonts w:ascii="Arial" w:eastAsia="Calibri" w:hAnsi="Arial" w:cs="Arial"/>
          <w:sz w:val="20"/>
          <w:szCs w:val="20"/>
        </w:rPr>
        <w:t xml:space="preserve">had been </w:t>
      </w:r>
      <w:r w:rsidRPr="00921120">
        <w:rPr>
          <w:rFonts w:ascii="Arial" w:eastAsia="Calibri" w:hAnsi="Arial" w:cs="Arial"/>
          <w:sz w:val="20"/>
          <w:szCs w:val="20"/>
        </w:rPr>
        <w:t xml:space="preserve">no way that the Committee could verify this as there was no tangible evidence of these activities. As a result, on the first day of oversight, it became apparent that it would be difficult to verify whether any funded activities associated with arts and culture, such as festivals, among others, had indeed spent their funding appropriately. </w:t>
      </w:r>
    </w:p>
    <w:p w:rsidR="007C3168" w:rsidRPr="00921120" w:rsidRDefault="007C3168" w:rsidP="00921120">
      <w:pPr>
        <w:spacing w:line="240" w:lineRule="auto"/>
        <w:jc w:val="left"/>
        <w:rPr>
          <w:rFonts w:ascii="Arial" w:eastAsia="Calibri" w:hAnsi="Arial" w:cs="Arial"/>
          <w:sz w:val="20"/>
          <w:szCs w:val="20"/>
        </w:rPr>
      </w:pPr>
    </w:p>
    <w:p w:rsidR="007C3168" w:rsidRPr="00921120" w:rsidRDefault="007C3168" w:rsidP="00921120">
      <w:pPr>
        <w:spacing w:line="240" w:lineRule="auto"/>
        <w:jc w:val="left"/>
        <w:rPr>
          <w:rFonts w:ascii="Arial" w:eastAsia="Calibri" w:hAnsi="Arial" w:cs="Arial"/>
          <w:sz w:val="20"/>
          <w:szCs w:val="20"/>
        </w:rPr>
      </w:pPr>
      <w:r w:rsidRPr="00921120">
        <w:rPr>
          <w:rFonts w:ascii="Arial" w:eastAsia="Calibri" w:hAnsi="Arial" w:cs="Arial"/>
          <w:sz w:val="20"/>
          <w:szCs w:val="20"/>
        </w:rPr>
        <w:t xml:space="preserve">In light of </w:t>
      </w:r>
      <w:r w:rsidR="00167624" w:rsidRPr="00921120">
        <w:rPr>
          <w:rFonts w:ascii="Arial" w:eastAsia="Calibri" w:hAnsi="Arial" w:cs="Arial"/>
          <w:sz w:val="20"/>
          <w:szCs w:val="20"/>
        </w:rPr>
        <w:t xml:space="preserve">the </w:t>
      </w:r>
      <w:r w:rsidRPr="00921120">
        <w:rPr>
          <w:rFonts w:ascii="Arial" w:eastAsia="Calibri" w:hAnsi="Arial" w:cs="Arial"/>
          <w:sz w:val="20"/>
          <w:szCs w:val="20"/>
        </w:rPr>
        <w:t xml:space="preserve">above, the Committee revisited its approach and agreed to specifically request the NLC to only provide infrastructure-based projects in the areas where it would continue to undertake its </w:t>
      </w:r>
      <w:r w:rsidRPr="00921120">
        <w:rPr>
          <w:rFonts w:ascii="Arial" w:eastAsia="Calibri" w:hAnsi="Arial" w:cs="Arial"/>
          <w:sz w:val="20"/>
          <w:szCs w:val="20"/>
        </w:rPr>
        <w:lastRenderedPageBreak/>
        <w:t xml:space="preserve">other oversight. It received an updated list, which included educare facilities close to the Nkowankowa area and en route to Polokwane, as well as a list of SIU investigated projects. In terms of the educare facilities, most of these did not have specific addresses and given the time limitations would have been hard to locate. </w:t>
      </w:r>
    </w:p>
    <w:p w:rsidR="007C3168" w:rsidRPr="00921120" w:rsidRDefault="007C3168" w:rsidP="00921120">
      <w:pPr>
        <w:spacing w:line="240" w:lineRule="auto"/>
        <w:jc w:val="left"/>
        <w:rPr>
          <w:rFonts w:ascii="Arial" w:eastAsia="Calibri" w:hAnsi="Arial" w:cs="Arial"/>
          <w:sz w:val="20"/>
          <w:szCs w:val="20"/>
        </w:rPr>
      </w:pPr>
    </w:p>
    <w:p w:rsidR="007C3168" w:rsidRPr="00921120" w:rsidRDefault="007C3168" w:rsidP="00921120">
      <w:pPr>
        <w:spacing w:line="240" w:lineRule="auto"/>
        <w:jc w:val="left"/>
        <w:rPr>
          <w:rFonts w:ascii="Arial" w:eastAsia="Calibri" w:hAnsi="Arial" w:cs="Arial"/>
          <w:sz w:val="20"/>
          <w:szCs w:val="20"/>
        </w:rPr>
      </w:pPr>
      <w:r w:rsidRPr="00921120">
        <w:rPr>
          <w:rFonts w:ascii="Arial" w:eastAsia="Calibri" w:hAnsi="Arial" w:cs="Arial"/>
          <w:sz w:val="20"/>
          <w:szCs w:val="20"/>
        </w:rPr>
        <w:t xml:space="preserve">It then opted to visit the Denzhe project in Tshwane, House Regeneration, on the third day of the oversight visit, and had requested the DTIC official in charge of Lotteries to visit an educare facility, Ntekuma Creche, in </w:t>
      </w:r>
      <w:r w:rsidR="00DB7A2E" w:rsidRPr="00921120">
        <w:rPr>
          <w:rFonts w:ascii="Arial" w:eastAsia="Calibri" w:hAnsi="Arial" w:cs="Arial"/>
          <w:sz w:val="20"/>
          <w:szCs w:val="20"/>
        </w:rPr>
        <w:t>Mankweng</w:t>
      </w:r>
      <w:r w:rsidRPr="00921120">
        <w:rPr>
          <w:rFonts w:ascii="Arial" w:eastAsia="Calibri" w:hAnsi="Arial" w:cs="Arial"/>
          <w:sz w:val="20"/>
          <w:szCs w:val="20"/>
        </w:rPr>
        <w:t>,</w:t>
      </w:r>
      <w:r w:rsidR="00A8540E" w:rsidRPr="00921120">
        <w:rPr>
          <w:rFonts w:ascii="Arial" w:eastAsia="Calibri" w:hAnsi="Arial" w:cs="Arial"/>
          <w:sz w:val="20"/>
          <w:szCs w:val="20"/>
        </w:rPr>
        <w:t xml:space="preserve"> Limpopo,</w:t>
      </w:r>
      <w:r w:rsidRPr="00921120">
        <w:rPr>
          <w:rFonts w:ascii="Arial" w:eastAsia="Calibri" w:hAnsi="Arial" w:cs="Arial"/>
          <w:sz w:val="20"/>
          <w:szCs w:val="20"/>
        </w:rPr>
        <w:t xml:space="preserve"> to verify that it existed and how it had utilised the NLC funding received, as its time constraints prohibited it from undertaking this visit.</w:t>
      </w:r>
    </w:p>
    <w:p w:rsidR="005E3F73" w:rsidRPr="00921120" w:rsidRDefault="005E3F73" w:rsidP="00921120">
      <w:pPr>
        <w:pStyle w:val="PlainText"/>
        <w:rPr>
          <w:rFonts w:ascii="Arial" w:hAnsi="Arial" w:cs="Arial"/>
          <w:sz w:val="20"/>
          <w:szCs w:val="20"/>
        </w:rPr>
      </w:pPr>
    </w:p>
    <w:p w:rsidR="00F56E3F" w:rsidRPr="00921120" w:rsidRDefault="00F56E3F" w:rsidP="00921120">
      <w:pPr>
        <w:pStyle w:val="Heading3"/>
        <w:spacing w:line="240" w:lineRule="auto"/>
        <w:jc w:val="left"/>
        <w:rPr>
          <w:rFonts w:ascii="Arial" w:hAnsi="Arial" w:cs="Arial"/>
          <w:sz w:val="20"/>
          <w:szCs w:val="20"/>
        </w:rPr>
      </w:pPr>
      <w:r w:rsidRPr="00921120">
        <w:rPr>
          <w:rFonts w:ascii="Arial" w:hAnsi="Arial" w:cs="Arial"/>
          <w:sz w:val="20"/>
          <w:szCs w:val="20"/>
        </w:rPr>
        <w:t xml:space="preserve">Denzhe </w:t>
      </w:r>
      <w:r w:rsidR="00ED60B1" w:rsidRPr="00921120">
        <w:rPr>
          <w:rFonts w:ascii="Arial" w:hAnsi="Arial" w:cs="Arial"/>
          <w:sz w:val="20"/>
          <w:szCs w:val="20"/>
        </w:rPr>
        <w:t xml:space="preserve">Primary Care </w:t>
      </w:r>
      <w:r w:rsidRPr="00921120">
        <w:rPr>
          <w:rFonts w:ascii="Arial" w:hAnsi="Arial" w:cs="Arial"/>
          <w:sz w:val="20"/>
          <w:szCs w:val="20"/>
        </w:rPr>
        <w:t>Project</w:t>
      </w:r>
    </w:p>
    <w:p w:rsidR="00F56E3F" w:rsidRPr="00921120" w:rsidRDefault="002A39B0" w:rsidP="00921120">
      <w:pPr>
        <w:pStyle w:val="PlainText"/>
        <w:rPr>
          <w:rFonts w:ascii="Arial" w:hAnsi="Arial" w:cs="Arial"/>
          <w:color w:val="000000" w:themeColor="text1"/>
          <w:sz w:val="20"/>
          <w:szCs w:val="20"/>
        </w:rPr>
      </w:pPr>
      <w:r w:rsidRPr="00921120">
        <w:rPr>
          <w:rFonts w:ascii="Arial" w:hAnsi="Arial" w:cs="Arial"/>
          <w:color w:val="000000" w:themeColor="text1"/>
          <w:sz w:val="20"/>
          <w:szCs w:val="20"/>
        </w:rPr>
        <w:t>Denzhe Primary Care had been allocated proactive funding of R27,59 million for the construction of a new drug rehabilitation facility in Tshwane</w:t>
      </w:r>
      <w:r w:rsidR="003C392F" w:rsidRPr="00921120">
        <w:rPr>
          <w:rFonts w:ascii="Arial" w:hAnsi="Arial" w:cs="Arial"/>
          <w:color w:val="000000" w:themeColor="text1"/>
          <w:sz w:val="20"/>
          <w:szCs w:val="20"/>
        </w:rPr>
        <w:t>, Gauteng</w:t>
      </w:r>
      <w:r w:rsidRPr="00921120">
        <w:rPr>
          <w:rFonts w:ascii="Arial" w:hAnsi="Arial" w:cs="Arial"/>
          <w:color w:val="000000" w:themeColor="text1"/>
          <w:sz w:val="20"/>
          <w:szCs w:val="20"/>
        </w:rPr>
        <w:t xml:space="preserve">. However, the majority of the funds </w:t>
      </w:r>
      <w:r w:rsidR="0075326B" w:rsidRPr="00921120">
        <w:rPr>
          <w:rFonts w:ascii="Arial" w:hAnsi="Arial" w:cs="Arial"/>
          <w:color w:val="000000" w:themeColor="text1"/>
          <w:sz w:val="20"/>
          <w:szCs w:val="20"/>
        </w:rPr>
        <w:t xml:space="preserve">had </w:t>
      </w:r>
      <w:r w:rsidRPr="00921120">
        <w:rPr>
          <w:rFonts w:ascii="Arial" w:hAnsi="Arial" w:cs="Arial"/>
          <w:color w:val="000000" w:themeColor="text1"/>
          <w:sz w:val="20"/>
          <w:szCs w:val="20"/>
        </w:rPr>
        <w:t xml:space="preserve">not </w:t>
      </w:r>
      <w:r w:rsidR="0075326B" w:rsidRPr="00921120">
        <w:rPr>
          <w:rFonts w:ascii="Arial" w:hAnsi="Arial" w:cs="Arial"/>
          <w:color w:val="000000" w:themeColor="text1"/>
          <w:sz w:val="20"/>
          <w:szCs w:val="20"/>
        </w:rPr>
        <w:t xml:space="preserve">been </w:t>
      </w:r>
      <w:r w:rsidRPr="00921120">
        <w:rPr>
          <w:rFonts w:ascii="Arial" w:hAnsi="Arial" w:cs="Arial"/>
          <w:color w:val="000000" w:themeColor="text1"/>
          <w:sz w:val="20"/>
          <w:szCs w:val="20"/>
        </w:rPr>
        <w:t xml:space="preserve">used for the intended purpose and the matter </w:t>
      </w:r>
      <w:r w:rsidR="0075326B" w:rsidRPr="00921120">
        <w:rPr>
          <w:rFonts w:ascii="Arial" w:hAnsi="Arial" w:cs="Arial"/>
          <w:color w:val="000000" w:themeColor="text1"/>
          <w:sz w:val="20"/>
          <w:szCs w:val="20"/>
        </w:rPr>
        <w:t xml:space="preserve">had been </w:t>
      </w:r>
      <w:r w:rsidRPr="00921120">
        <w:rPr>
          <w:rFonts w:ascii="Arial" w:hAnsi="Arial" w:cs="Arial"/>
          <w:color w:val="000000" w:themeColor="text1"/>
          <w:sz w:val="20"/>
          <w:szCs w:val="20"/>
        </w:rPr>
        <w:t xml:space="preserve">independently investigated by the NLC and the results were shared with the SIU to investigate further. In addition, the matter </w:t>
      </w:r>
      <w:r w:rsidR="0075326B" w:rsidRPr="00921120">
        <w:rPr>
          <w:rFonts w:ascii="Arial" w:hAnsi="Arial" w:cs="Arial"/>
          <w:color w:val="000000" w:themeColor="text1"/>
          <w:sz w:val="20"/>
          <w:szCs w:val="20"/>
        </w:rPr>
        <w:t xml:space="preserve">had been </w:t>
      </w:r>
      <w:r w:rsidRPr="00921120">
        <w:rPr>
          <w:rFonts w:ascii="Arial" w:hAnsi="Arial" w:cs="Arial"/>
          <w:color w:val="000000" w:themeColor="text1"/>
          <w:sz w:val="20"/>
          <w:szCs w:val="20"/>
        </w:rPr>
        <w:t xml:space="preserve">reported to the </w:t>
      </w:r>
      <w:r w:rsidR="001E3542" w:rsidRPr="00921120">
        <w:rPr>
          <w:rFonts w:ascii="Arial" w:hAnsi="Arial" w:cs="Arial"/>
          <w:color w:val="000000" w:themeColor="text1"/>
          <w:sz w:val="20"/>
          <w:szCs w:val="20"/>
        </w:rPr>
        <w:t>SAPS</w:t>
      </w:r>
      <w:r w:rsidRPr="00921120">
        <w:rPr>
          <w:rFonts w:ascii="Arial" w:hAnsi="Arial" w:cs="Arial"/>
          <w:color w:val="000000" w:themeColor="text1"/>
          <w:sz w:val="20"/>
          <w:szCs w:val="20"/>
        </w:rPr>
        <w:t xml:space="preserve"> for criminal investigation.</w:t>
      </w:r>
    </w:p>
    <w:p w:rsidR="002A39B0" w:rsidRPr="00921120" w:rsidRDefault="002A39B0" w:rsidP="00921120">
      <w:pPr>
        <w:pStyle w:val="PlainText"/>
        <w:rPr>
          <w:rFonts w:ascii="Arial" w:hAnsi="Arial" w:cs="Arial"/>
          <w:color w:val="000000" w:themeColor="text1"/>
          <w:sz w:val="20"/>
          <w:szCs w:val="20"/>
        </w:rPr>
      </w:pPr>
    </w:p>
    <w:p w:rsidR="00AC4028" w:rsidRPr="00921120" w:rsidRDefault="00AC4028" w:rsidP="00921120">
      <w:pPr>
        <w:pStyle w:val="PlainText"/>
        <w:rPr>
          <w:rFonts w:ascii="Arial" w:hAnsi="Arial" w:cs="Arial"/>
          <w:color w:val="000000" w:themeColor="text1"/>
          <w:sz w:val="20"/>
          <w:szCs w:val="20"/>
        </w:rPr>
      </w:pPr>
      <w:r w:rsidRPr="00921120">
        <w:rPr>
          <w:rFonts w:ascii="Arial" w:hAnsi="Arial" w:cs="Arial"/>
          <w:color w:val="000000" w:themeColor="text1"/>
          <w:sz w:val="20"/>
          <w:szCs w:val="20"/>
        </w:rPr>
        <w:t xml:space="preserve">The founder of House Regeneration </w:t>
      </w:r>
      <w:r w:rsidR="00AF09AB" w:rsidRPr="00921120">
        <w:rPr>
          <w:rFonts w:ascii="Arial" w:hAnsi="Arial" w:cs="Arial"/>
          <w:color w:val="000000" w:themeColor="text1"/>
          <w:sz w:val="20"/>
          <w:szCs w:val="20"/>
        </w:rPr>
        <w:t xml:space="preserve">reported that he </w:t>
      </w:r>
      <w:r w:rsidRPr="00921120">
        <w:rPr>
          <w:rFonts w:ascii="Arial" w:hAnsi="Arial" w:cs="Arial"/>
          <w:color w:val="000000" w:themeColor="text1"/>
          <w:sz w:val="20"/>
          <w:szCs w:val="20"/>
        </w:rPr>
        <w:t>had approached the NLC</w:t>
      </w:r>
      <w:r w:rsidR="00D15A20" w:rsidRPr="00921120">
        <w:rPr>
          <w:rFonts w:ascii="Arial" w:hAnsi="Arial" w:cs="Arial"/>
          <w:color w:val="000000" w:themeColor="text1"/>
          <w:sz w:val="20"/>
          <w:szCs w:val="20"/>
        </w:rPr>
        <w:t>, and the SAPS</w:t>
      </w:r>
      <w:r w:rsidRPr="00921120">
        <w:rPr>
          <w:rFonts w:ascii="Arial" w:hAnsi="Arial" w:cs="Arial"/>
          <w:color w:val="000000" w:themeColor="text1"/>
          <w:sz w:val="20"/>
          <w:szCs w:val="20"/>
        </w:rPr>
        <w:t xml:space="preserve"> when it became apparent that </w:t>
      </w:r>
      <w:r w:rsidR="00AF09AB" w:rsidRPr="00921120">
        <w:rPr>
          <w:rFonts w:ascii="Arial" w:hAnsi="Arial" w:cs="Arial"/>
          <w:color w:val="000000" w:themeColor="text1"/>
          <w:sz w:val="20"/>
          <w:szCs w:val="20"/>
        </w:rPr>
        <w:t xml:space="preserve">his organisation had been </w:t>
      </w:r>
      <w:r w:rsidRPr="00921120">
        <w:rPr>
          <w:rFonts w:ascii="Arial" w:hAnsi="Arial" w:cs="Arial"/>
          <w:color w:val="000000" w:themeColor="text1"/>
          <w:sz w:val="20"/>
          <w:szCs w:val="20"/>
        </w:rPr>
        <w:t xml:space="preserve">used as a front to fraudulently access funds from the NLC. However, no action had been taken at the time. </w:t>
      </w:r>
      <w:r w:rsidR="00D15A20" w:rsidRPr="00921120">
        <w:rPr>
          <w:rFonts w:ascii="Arial" w:hAnsi="Arial" w:cs="Arial"/>
          <w:color w:val="000000" w:themeColor="text1"/>
          <w:sz w:val="20"/>
          <w:szCs w:val="20"/>
        </w:rPr>
        <w:t>He had also written to the Minister of Trade, Industry and Competition and the Presidency, and the matter formed part of the SIU’s investigations.</w:t>
      </w:r>
    </w:p>
    <w:p w:rsidR="00AC4028" w:rsidRPr="00921120" w:rsidRDefault="00AC4028" w:rsidP="00921120">
      <w:pPr>
        <w:pStyle w:val="PlainText"/>
        <w:rPr>
          <w:rFonts w:ascii="Arial" w:hAnsi="Arial" w:cs="Arial"/>
          <w:color w:val="000000" w:themeColor="text1"/>
          <w:sz w:val="20"/>
          <w:szCs w:val="20"/>
        </w:rPr>
      </w:pPr>
    </w:p>
    <w:p w:rsidR="00D15A20" w:rsidRPr="00921120" w:rsidRDefault="00AC4028" w:rsidP="00921120">
      <w:pPr>
        <w:pStyle w:val="PlainText"/>
        <w:rPr>
          <w:rFonts w:ascii="Arial" w:hAnsi="Arial" w:cs="Arial"/>
          <w:color w:val="000000" w:themeColor="text1"/>
          <w:sz w:val="20"/>
          <w:szCs w:val="20"/>
        </w:rPr>
      </w:pPr>
      <w:r w:rsidRPr="00921120">
        <w:rPr>
          <w:rFonts w:ascii="Arial" w:hAnsi="Arial" w:cs="Arial"/>
          <w:color w:val="000000" w:themeColor="text1"/>
          <w:sz w:val="20"/>
          <w:szCs w:val="20"/>
        </w:rPr>
        <w:t xml:space="preserve">Based on an assessment by a certified engineer, the estimated expenditure on the buildings </w:t>
      </w:r>
      <w:r w:rsidR="00D15A20" w:rsidRPr="00921120">
        <w:rPr>
          <w:rFonts w:ascii="Arial" w:hAnsi="Arial" w:cs="Arial"/>
          <w:color w:val="000000" w:themeColor="text1"/>
          <w:sz w:val="20"/>
          <w:szCs w:val="20"/>
        </w:rPr>
        <w:t>had been</w:t>
      </w:r>
      <w:r w:rsidRPr="00921120">
        <w:rPr>
          <w:rFonts w:ascii="Arial" w:hAnsi="Arial" w:cs="Arial"/>
          <w:color w:val="000000" w:themeColor="text1"/>
          <w:sz w:val="20"/>
          <w:szCs w:val="20"/>
        </w:rPr>
        <w:t xml:space="preserve"> about R4,8 million</w:t>
      </w:r>
      <w:r w:rsidR="00D15A20" w:rsidRPr="00921120">
        <w:rPr>
          <w:rFonts w:ascii="Arial" w:hAnsi="Arial" w:cs="Arial"/>
          <w:color w:val="000000" w:themeColor="text1"/>
          <w:sz w:val="20"/>
          <w:szCs w:val="20"/>
        </w:rPr>
        <w:t xml:space="preserve"> and another R13 million would have been needed to complete the project and meet the required building standards</w:t>
      </w:r>
      <w:r w:rsidRPr="00921120">
        <w:rPr>
          <w:rFonts w:ascii="Arial" w:hAnsi="Arial" w:cs="Arial"/>
          <w:color w:val="000000" w:themeColor="text1"/>
          <w:sz w:val="20"/>
          <w:szCs w:val="20"/>
        </w:rPr>
        <w:t xml:space="preserve">. </w:t>
      </w:r>
      <w:r w:rsidR="00D15A20" w:rsidRPr="00921120">
        <w:rPr>
          <w:rFonts w:ascii="Arial" w:hAnsi="Arial" w:cs="Arial"/>
          <w:color w:val="000000" w:themeColor="text1"/>
          <w:sz w:val="20"/>
          <w:szCs w:val="20"/>
        </w:rPr>
        <w:t xml:space="preserve">During the Committee’s visit to the drug rehabilitation facility, it </w:t>
      </w:r>
      <w:r w:rsidR="00AF09AB" w:rsidRPr="00921120">
        <w:rPr>
          <w:rFonts w:ascii="Arial" w:hAnsi="Arial" w:cs="Arial"/>
          <w:color w:val="000000" w:themeColor="text1"/>
          <w:sz w:val="20"/>
          <w:szCs w:val="20"/>
        </w:rPr>
        <w:t xml:space="preserve">had </w:t>
      </w:r>
      <w:r w:rsidR="00D15A20" w:rsidRPr="00921120">
        <w:rPr>
          <w:rFonts w:ascii="Arial" w:hAnsi="Arial" w:cs="Arial"/>
          <w:color w:val="000000" w:themeColor="text1"/>
          <w:sz w:val="20"/>
          <w:szCs w:val="20"/>
        </w:rPr>
        <w:t>engaged with the founder of the facility and viewed the buildings that had been constructed. It found that there had been shoddy workmanship, as most buildings appeared to have structural cracks</w:t>
      </w:r>
      <w:r w:rsidR="00E02896" w:rsidRPr="00921120">
        <w:rPr>
          <w:rFonts w:ascii="Arial" w:hAnsi="Arial" w:cs="Arial"/>
          <w:color w:val="000000" w:themeColor="text1"/>
          <w:sz w:val="20"/>
          <w:szCs w:val="20"/>
        </w:rPr>
        <w:t>,</w:t>
      </w:r>
      <w:r w:rsidR="00D15A20" w:rsidRPr="00921120">
        <w:rPr>
          <w:rFonts w:ascii="Arial" w:hAnsi="Arial" w:cs="Arial"/>
          <w:color w:val="000000" w:themeColor="text1"/>
          <w:sz w:val="20"/>
          <w:szCs w:val="20"/>
        </w:rPr>
        <w:t xml:space="preserve"> and one building had evidence of rising damp</w:t>
      </w:r>
      <w:r w:rsidR="00E02896" w:rsidRPr="00921120">
        <w:rPr>
          <w:rFonts w:ascii="Arial" w:hAnsi="Arial" w:cs="Arial"/>
          <w:color w:val="000000" w:themeColor="text1"/>
          <w:sz w:val="20"/>
          <w:szCs w:val="20"/>
        </w:rPr>
        <w:t>, lifting tiles</w:t>
      </w:r>
      <w:r w:rsidR="00D15A20" w:rsidRPr="00921120">
        <w:rPr>
          <w:rFonts w:ascii="Arial" w:hAnsi="Arial" w:cs="Arial"/>
          <w:color w:val="000000" w:themeColor="text1"/>
          <w:sz w:val="20"/>
          <w:szCs w:val="20"/>
        </w:rPr>
        <w:t xml:space="preserve"> and a part of </w:t>
      </w:r>
      <w:r w:rsidR="00E02896" w:rsidRPr="00921120">
        <w:rPr>
          <w:rFonts w:ascii="Arial" w:hAnsi="Arial" w:cs="Arial"/>
          <w:color w:val="000000" w:themeColor="text1"/>
          <w:sz w:val="20"/>
          <w:szCs w:val="20"/>
        </w:rPr>
        <w:t>its</w:t>
      </w:r>
      <w:r w:rsidR="00D15A20" w:rsidRPr="00921120">
        <w:rPr>
          <w:rFonts w:ascii="Arial" w:hAnsi="Arial" w:cs="Arial"/>
          <w:color w:val="000000" w:themeColor="text1"/>
          <w:sz w:val="20"/>
          <w:szCs w:val="20"/>
        </w:rPr>
        <w:t xml:space="preserve"> roof appeared to be caving in. </w:t>
      </w:r>
      <w:r w:rsidR="00E02896" w:rsidRPr="00921120">
        <w:rPr>
          <w:rFonts w:ascii="Arial" w:hAnsi="Arial" w:cs="Arial"/>
          <w:color w:val="000000" w:themeColor="text1"/>
          <w:sz w:val="20"/>
          <w:szCs w:val="20"/>
        </w:rPr>
        <w:t>The contractors had been appointed by Denzhe Primary Care and ha</w:t>
      </w:r>
      <w:r w:rsidR="00AF09AB" w:rsidRPr="00921120">
        <w:rPr>
          <w:rFonts w:ascii="Arial" w:hAnsi="Arial" w:cs="Arial"/>
          <w:color w:val="000000" w:themeColor="text1"/>
          <w:sz w:val="20"/>
          <w:szCs w:val="20"/>
        </w:rPr>
        <w:t>d</w:t>
      </w:r>
      <w:r w:rsidR="00E02896" w:rsidRPr="00921120">
        <w:rPr>
          <w:rFonts w:ascii="Arial" w:hAnsi="Arial" w:cs="Arial"/>
          <w:color w:val="000000" w:themeColor="text1"/>
          <w:sz w:val="20"/>
          <w:szCs w:val="20"/>
        </w:rPr>
        <w:t xml:space="preserve"> not returned to fix any of the issues. </w:t>
      </w:r>
      <w:r w:rsidR="00D15A20" w:rsidRPr="00921120">
        <w:rPr>
          <w:rFonts w:ascii="Arial" w:hAnsi="Arial" w:cs="Arial"/>
          <w:color w:val="000000" w:themeColor="text1"/>
          <w:sz w:val="20"/>
          <w:szCs w:val="20"/>
        </w:rPr>
        <w:t xml:space="preserve">Furthermore, it </w:t>
      </w:r>
      <w:r w:rsidR="00AF09AB" w:rsidRPr="00921120">
        <w:rPr>
          <w:rFonts w:ascii="Arial" w:hAnsi="Arial" w:cs="Arial"/>
          <w:color w:val="000000" w:themeColor="text1"/>
          <w:sz w:val="20"/>
          <w:szCs w:val="20"/>
        </w:rPr>
        <w:t xml:space="preserve">had been </w:t>
      </w:r>
      <w:r w:rsidR="00D15A20" w:rsidRPr="00921120">
        <w:rPr>
          <w:rFonts w:ascii="Arial" w:hAnsi="Arial" w:cs="Arial"/>
          <w:color w:val="000000" w:themeColor="text1"/>
          <w:sz w:val="20"/>
          <w:szCs w:val="20"/>
        </w:rPr>
        <w:t>reported that equipment that had been promised had not been delivered as part of the allocated funding.</w:t>
      </w:r>
      <w:r w:rsidR="00AF09AB" w:rsidRPr="00921120">
        <w:rPr>
          <w:rFonts w:ascii="Arial" w:hAnsi="Arial" w:cs="Arial"/>
          <w:color w:val="000000" w:themeColor="text1"/>
          <w:sz w:val="20"/>
          <w:szCs w:val="20"/>
        </w:rPr>
        <w:t xml:space="preserve"> House Regeneration </w:t>
      </w:r>
      <w:r w:rsidR="00D15A20" w:rsidRPr="00921120">
        <w:rPr>
          <w:rFonts w:ascii="Arial" w:hAnsi="Arial" w:cs="Arial"/>
          <w:color w:val="000000" w:themeColor="text1"/>
          <w:sz w:val="20"/>
          <w:szCs w:val="20"/>
        </w:rPr>
        <w:t>ha</w:t>
      </w:r>
      <w:r w:rsidR="00AF09AB" w:rsidRPr="00921120">
        <w:rPr>
          <w:rFonts w:ascii="Arial" w:hAnsi="Arial" w:cs="Arial"/>
          <w:color w:val="000000" w:themeColor="text1"/>
          <w:sz w:val="20"/>
          <w:szCs w:val="20"/>
        </w:rPr>
        <w:t>s</w:t>
      </w:r>
      <w:r w:rsidR="00D15A20" w:rsidRPr="00921120">
        <w:rPr>
          <w:rFonts w:ascii="Arial" w:hAnsi="Arial" w:cs="Arial"/>
          <w:color w:val="000000" w:themeColor="text1"/>
          <w:sz w:val="20"/>
          <w:szCs w:val="20"/>
        </w:rPr>
        <w:t xml:space="preserve"> </w:t>
      </w:r>
      <w:r w:rsidR="00E02896" w:rsidRPr="00921120">
        <w:rPr>
          <w:rFonts w:ascii="Arial" w:hAnsi="Arial" w:cs="Arial"/>
          <w:color w:val="000000" w:themeColor="text1"/>
          <w:sz w:val="20"/>
          <w:szCs w:val="20"/>
        </w:rPr>
        <w:t>spent a substantive amount of money to attempt to complete and correct issues with the buildings.</w:t>
      </w:r>
    </w:p>
    <w:p w:rsidR="00ED60B1" w:rsidRPr="00921120" w:rsidRDefault="00ED60B1" w:rsidP="00921120">
      <w:pPr>
        <w:pStyle w:val="PlainText"/>
        <w:rPr>
          <w:rFonts w:ascii="Arial" w:hAnsi="Arial" w:cs="Arial"/>
          <w:color w:val="000000" w:themeColor="text1"/>
          <w:sz w:val="20"/>
          <w:szCs w:val="20"/>
        </w:rPr>
      </w:pPr>
    </w:p>
    <w:p w:rsidR="00F56E3F" w:rsidRPr="00921120" w:rsidRDefault="007C3168" w:rsidP="00921120">
      <w:pPr>
        <w:pStyle w:val="Heading3"/>
        <w:spacing w:line="240" w:lineRule="auto"/>
        <w:jc w:val="left"/>
        <w:rPr>
          <w:rFonts w:ascii="Arial" w:hAnsi="Arial" w:cs="Arial"/>
          <w:sz w:val="20"/>
          <w:szCs w:val="20"/>
        </w:rPr>
      </w:pPr>
      <w:r w:rsidRPr="00921120">
        <w:rPr>
          <w:rFonts w:ascii="Arial" w:hAnsi="Arial" w:cs="Arial"/>
          <w:sz w:val="20"/>
          <w:szCs w:val="20"/>
        </w:rPr>
        <w:t>Ntekuma Creche</w:t>
      </w:r>
    </w:p>
    <w:p w:rsidR="00F56E3F" w:rsidRPr="00921120" w:rsidRDefault="007C3168" w:rsidP="00921120">
      <w:pPr>
        <w:pStyle w:val="PlainText"/>
        <w:rPr>
          <w:rFonts w:ascii="Arial" w:hAnsi="Arial" w:cs="Arial"/>
          <w:color w:val="000000" w:themeColor="text1"/>
          <w:sz w:val="20"/>
          <w:szCs w:val="20"/>
        </w:rPr>
      </w:pPr>
      <w:r w:rsidRPr="00921120">
        <w:rPr>
          <w:rFonts w:ascii="Arial" w:hAnsi="Arial" w:cs="Arial"/>
          <w:color w:val="000000" w:themeColor="text1"/>
          <w:sz w:val="20"/>
          <w:szCs w:val="20"/>
        </w:rPr>
        <w:t xml:space="preserve">The </w:t>
      </w:r>
      <w:r w:rsidR="006E28AF" w:rsidRPr="00921120">
        <w:rPr>
          <w:rFonts w:ascii="Arial" w:hAnsi="Arial" w:cs="Arial"/>
          <w:color w:val="000000" w:themeColor="text1"/>
          <w:sz w:val="20"/>
          <w:szCs w:val="20"/>
        </w:rPr>
        <w:t>Crèche</w:t>
      </w:r>
      <w:r w:rsidRPr="00921120">
        <w:rPr>
          <w:rFonts w:ascii="Arial" w:hAnsi="Arial" w:cs="Arial"/>
          <w:color w:val="000000" w:themeColor="text1"/>
          <w:sz w:val="20"/>
          <w:szCs w:val="20"/>
        </w:rPr>
        <w:t xml:space="preserve"> received funding of R</w:t>
      </w:r>
      <w:r w:rsidR="00ED60B1" w:rsidRPr="00921120">
        <w:rPr>
          <w:rFonts w:ascii="Arial" w:hAnsi="Arial" w:cs="Arial"/>
          <w:color w:val="000000" w:themeColor="text1"/>
          <w:sz w:val="20"/>
          <w:szCs w:val="20"/>
        </w:rPr>
        <w:t>3,8</w:t>
      </w:r>
      <w:r w:rsidRPr="00921120">
        <w:rPr>
          <w:rFonts w:ascii="Arial" w:hAnsi="Arial" w:cs="Arial"/>
          <w:color w:val="000000" w:themeColor="text1"/>
          <w:sz w:val="20"/>
          <w:szCs w:val="20"/>
        </w:rPr>
        <w:t xml:space="preserve"> million from the NLC</w:t>
      </w:r>
      <w:r w:rsidR="00DB7A2E" w:rsidRPr="00921120">
        <w:rPr>
          <w:rFonts w:ascii="Arial" w:hAnsi="Arial" w:cs="Arial"/>
          <w:sz w:val="20"/>
          <w:szCs w:val="20"/>
        </w:rPr>
        <w:t xml:space="preserve"> </w:t>
      </w:r>
      <w:r w:rsidR="00DB7A2E" w:rsidRPr="00921120">
        <w:rPr>
          <w:rFonts w:ascii="Arial" w:hAnsi="Arial" w:cs="Arial"/>
          <w:color w:val="000000" w:themeColor="text1"/>
          <w:sz w:val="20"/>
          <w:szCs w:val="20"/>
        </w:rPr>
        <w:t xml:space="preserve">for infrastructure development. </w:t>
      </w:r>
      <w:r w:rsidR="00AF09AB" w:rsidRPr="00921120">
        <w:rPr>
          <w:rFonts w:ascii="Arial" w:hAnsi="Arial" w:cs="Arial"/>
          <w:color w:val="000000" w:themeColor="text1"/>
          <w:sz w:val="20"/>
          <w:szCs w:val="20"/>
        </w:rPr>
        <w:t>In addition</w:t>
      </w:r>
      <w:r w:rsidR="00DB7A2E" w:rsidRPr="00921120">
        <w:rPr>
          <w:rFonts w:ascii="Arial" w:hAnsi="Arial" w:cs="Arial"/>
          <w:color w:val="000000" w:themeColor="text1"/>
          <w:sz w:val="20"/>
          <w:szCs w:val="20"/>
        </w:rPr>
        <w:t xml:space="preserve">, the NLC had organised training for staff on Early Childhood Development.  </w:t>
      </w:r>
      <w:r w:rsidR="006E28AF" w:rsidRPr="00921120">
        <w:rPr>
          <w:rFonts w:ascii="Arial" w:hAnsi="Arial" w:cs="Arial"/>
          <w:color w:val="000000" w:themeColor="text1"/>
          <w:sz w:val="20"/>
          <w:szCs w:val="20"/>
        </w:rPr>
        <w:t xml:space="preserve">The funding had been utilised to construct the building for the crèche; to drill a borehole; for the sewerage system; and various furniture and equipment for the office and the children. It also covered staff salaries for a year. The DTIC official </w:t>
      </w:r>
      <w:r w:rsidR="004F3BB2" w:rsidRPr="00921120">
        <w:rPr>
          <w:rFonts w:ascii="Arial" w:hAnsi="Arial" w:cs="Arial"/>
          <w:color w:val="000000" w:themeColor="text1"/>
          <w:sz w:val="20"/>
          <w:szCs w:val="20"/>
        </w:rPr>
        <w:t xml:space="preserve">had </w:t>
      </w:r>
      <w:r w:rsidR="006E28AF" w:rsidRPr="00921120">
        <w:rPr>
          <w:rFonts w:ascii="Arial" w:hAnsi="Arial" w:cs="Arial"/>
          <w:color w:val="000000" w:themeColor="text1"/>
          <w:sz w:val="20"/>
          <w:szCs w:val="20"/>
        </w:rPr>
        <w:t xml:space="preserve">indicated that based on her observations and the walkabout, the facility </w:t>
      </w:r>
      <w:r w:rsidR="00AF09AB" w:rsidRPr="00921120">
        <w:rPr>
          <w:rFonts w:ascii="Arial" w:hAnsi="Arial" w:cs="Arial"/>
          <w:color w:val="000000" w:themeColor="text1"/>
          <w:sz w:val="20"/>
          <w:szCs w:val="20"/>
        </w:rPr>
        <w:t xml:space="preserve">had been </w:t>
      </w:r>
      <w:r w:rsidR="006E28AF" w:rsidRPr="00921120">
        <w:rPr>
          <w:rFonts w:ascii="Arial" w:hAnsi="Arial" w:cs="Arial"/>
          <w:color w:val="000000" w:themeColor="text1"/>
          <w:sz w:val="20"/>
          <w:szCs w:val="20"/>
        </w:rPr>
        <w:t>fully functional and professionally managed.</w:t>
      </w:r>
    </w:p>
    <w:p w:rsidR="00F56E3F" w:rsidRPr="00921120" w:rsidRDefault="00F56E3F" w:rsidP="00921120">
      <w:pPr>
        <w:pStyle w:val="PlainText"/>
        <w:rPr>
          <w:rFonts w:ascii="Arial" w:hAnsi="Arial" w:cs="Arial"/>
          <w:color w:val="000000" w:themeColor="text1"/>
          <w:sz w:val="20"/>
          <w:szCs w:val="20"/>
        </w:rPr>
      </w:pPr>
    </w:p>
    <w:p w:rsidR="004F3BB2" w:rsidRPr="00921120" w:rsidRDefault="004F3BB2" w:rsidP="00921120">
      <w:pPr>
        <w:spacing w:line="240" w:lineRule="auto"/>
        <w:jc w:val="left"/>
        <w:rPr>
          <w:rFonts w:ascii="Arial" w:hAnsi="Arial" w:cs="Arial"/>
          <w:b/>
          <w:color w:val="FF0000"/>
          <w:sz w:val="20"/>
          <w:szCs w:val="20"/>
        </w:rPr>
      </w:pPr>
    </w:p>
    <w:p w:rsidR="00F51D73" w:rsidRPr="00921120" w:rsidRDefault="00E93916" w:rsidP="00921120">
      <w:pPr>
        <w:pStyle w:val="Heading1"/>
        <w:spacing w:line="240" w:lineRule="auto"/>
        <w:jc w:val="left"/>
        <w:rPr>
          <w:rFonts w:ascii="Arial" w:hAnsi="Arial" w:cs="Arial"/>
          <w:sz w:val="20"/>
          <w:szCs w:val="20"/>
        </w:rPr>
      </w:pPr>
      <w:r w:rsidRPr="00921120">
        <w:rPr>
          <w:rFonts w:ascii="Arial" w:hAnsi="Arial" w:cs="Arial"/>
          <w:sz w:val="20"/>
          <w:szCs w:val="20"/>
        </w:rPr>
        <w:t>Concluding remarks</w:t>
      </w:r>
    </w:p>
    <w:p w:rsidR="00F51D73" w:rsidRPr="00921120" w:rsidRDefault="00F51D73" w:rsidP="00921120">
      <w:pPr>
        <w:spacing w:line="240" w:lineRule="auto"/>
        <w:jc w:val="left"/>
        <w:rPr>
          <w:rFonts w:ascii="Arial" w:hAnsi="Arial" w:cs="Arial"/>
          <w:sz w:val="20"/>
          <w:szCs w:val="20"/>
        </w:rPr>
      </w:pPr>
    </w:p>
    <w:p w:rsidR="00F51D73" w:rsidRPr="00921120" w:rsidRDefault="00F51D73" w:rsidP="00921120">
      <w:pPr>
        <w:spacing w:line="240" w:lineRule="auto"/>
        <w:jc w:val="left"/>
        <w:rPr>
          <w:rFonts w:ascii="Arial" w:hAnsi="Arial" w:cs="Arial"/>
          <w:sz w:val="20"/>
          <w:szCs w:val="20"/>
        </w:rPr>
      </w:pPr>
      <w:r w:rsidRPr="00921120">
        <w:rPr>
          <w:rFonts w:ascii="Arial" w:hAnsi="Arial" w:cs="Arial"/>
          <w:sz w:val="20"/>
          <w:szCs w:val="20"/>
        </w:rPr>
        <w:t xml:space="preserve">Based on its deliberations, the </w:t>
      </w:r>
      <w:r w:rsidR="00021821" w:rsidRPr="00921120">
        <w:rPr>
          <w:rFonts w:ascii="Arial" w:hAnsi="Arial" w:cs="Arial"/>
          <w:sz w:val="20"/>
          <w:szCs w:val="20"/>
        </w:rPr>
        <w:t xml:space="preserve">Committee </w:t>
      </w:r>
      <w:r w:rsidRPr="00921120">
        <w:rPr>
          <w:rFonts w:ascii="Arial" w:hAnsi="Arial" w:cs="Arial"/>
          <w:sz w:val="20"/>
          <w:szCs w:val="20"/>
        </w:rPr>
        <w:t>drew the following conclusions:</w:t>
      </w:r>
    </w:p>
    <w:p w:rsidR="00F80CF1" w:rsidRPr="00921120" w:rsidRDefault="00F80CF1" w:rsidP="00921120">
      <w:pPr>
        <w:spacing w:line="240" w:lineRule="auto"/>
        <w:jc w:val="left"/>
        <w:rPr>
          <w:rFonts w:ascii="Arial" w:hAnsi="Arial" w:cs="Arial"/>
          <w:sz w:val="20"/>
          <w:szCs w:val="20"/>
        </w:rPr>
      </w:pPr>
    </w:p>
    <w:p w:rsidR="004E31D2" w:rsidRPr="00921120" w:rsidRDefault="004E31D2" w:rsidP="00921120">
      <w:pPr>
        <w:spacing w:line="240" w:lineRule="auto"/>
        <w:ind w:left="567" w:hanging="567"/>
        <w:jc w:val="left"/>
        <w:rPr>
          <w:rFonts w:ascii="Arial" w:hAnsi="Arial" w:cs="Arial"/>
          <w:sz w:val="20"/>
          <w:szCs w:val="20"/>
        </w:rPr>
      </w:pPr>
      <w:r w:rsidRPr="00921120">
        <w:rPr>
          <w:rFonts w:ascii="Arial" w:hAnsi="Arial" w:cs="Arial"/>
          <w:sz w:val="20"/>
          <w:szCs w:val="20"/>
        </w:rPr>
        <w:t>6.1</w:t>
      </w:r>
      <w:r w:rsidRPr="00921120">
        <w:rPr>
          <w:rFonts w:ascii="Arial" w:hAnsi="Arial" w:cs="Arial"/>
          <w:sz w:val="20"/>
          <w:szCs w:val="20"/>
        </w:rPr>
        <w:tab/>
        <w:t>In light of South Africa’s commitment to the W</w:t>
      </w:r>
      <w:r w:rsidR="001A68DA" w:rsidRPr="00921120">
        <w:rPr>
          <w:rFonts w:ascii="Arial" w:hAnsi="Arial" w:cs="Arial"/>
          <w:sz w:val="20"/>
          <w:szCs w:val="20"/>
        </w:rPr>
        <w:t xml:space="preserve">orld </w:t>
      </w:r>
      <w:r w:rsidRPr="00921120">
        <w:rPr>
          <w:rFonts w:ascii="Arial" w:hAnsi="Arial" w:cs="Arial"/>
          <w:sz w:val="20"/>
          <w:szCs w:val="20"/>
        </w:rPr>
        <w:t>T</w:t>
      </w:r>
      <w:r w:rsidR="001A68DA" w:rsidRPr="00921120">
        <w:rPr>
          <w:rFonts w:ascii="Arial" w:hAnsi="Arial" w:cs="Arial"/>
          <w:sz w:val="20"/>
          <w:szCs w:val="20"/>
        </w:rPr>
        <w:t xml:space="preserve">rade </w:t>
      </w:r>
      <w:r w:rsidRPr="00921120">
        <w:rPr>
          <w:rFonts w:ascii="Arial" w:hAnsi="Arial" w:cs="Arial"/>
          <w:sz w:val="20"/>
          <w:szCs w:val="20"/>
        </w:rPr>
        <w:t>O</w:t>
      </w:r>
      <w:r w:rsidR="001A68DA" w:rsidRPr="00921120">
        <w:rPr>
          <w:rFonts w:ascii="Arial" w:hAnsi="Arial" w:cs="Arial"/>
          <w:sz w:val="20"/>
          <w:szCs w:val="20"/>
        </w:rPr>
        <w:t>rganisation</w:t>
      </w:r>
      <w:r w:rsidRPr="00921120">
        <w:rPr>
          <w:rFonts w:ascii="Arial" w:hAnsi="Arial" w:cs="Arial"/>
          <w:sz w:val="20"/>
          <w:szCs w:val="20"/>
        </w:rPr>
        <w:t xml:space="preserve">’s Trade Facilitation Agreement and the recent African Continental Free Trade Agreement, the Committee was concerned by the under-funding of </w:t>
      </w:r>
      <w:r w:rsidR="001A68DA" w:rsidRPr="00921120">
        <w:rPr>
          <w:rFonts w:ascii="Arial" w:hAnsi="Arial" w:cs="Arial"/>
          <w:sz w:val="20"/>
          <w:szCs w:val="20"/>
        </w:rPr>
        <w:t xml:space="preserve">the </w:t>
      </w:r>
      <w:r w:rsidRPr="00921120">
        <w:rPr>
          <w:rFonts w:ascii="Arial" w:hAnsi="Arial" w:cs="Arial"/>
          <w:sz w:val="20"/>
          <w:szCs w:val="20"/>
        </w:rPr>
        <w:t>S</w:t>
      </w:r>
      <w:r w:rsidR="001A68DA" w:rsidRPr="00921120">
        <w:rPr>
          <w:rFonts w:ascii="Arial" w:hAnsi="Arial" w:cs="Arial"/>
          <w:sz w:val="20"/>
          <w:szCs w:val="20"/>
        </w:rPr>
        <w:t xml:space="preserve">outh </w:t>
      </w:r>
      <w:r w:rsidRPr="00921120">
        <w:rPr>
          <w:rFonts w:ascii="Arial" w:hAnsi="Arial" w:cs="Arial"/>
          <w:sz w:val="20"/>
          <w:szCs w:val="20"/>
        </w:rPr>
        <w:t>A</w:t>
      </w:r>
      <w:r w:rsidR="001A68DA" w:rsidRPr="00921120">
        <w:rPr>
          <w:rFonts w:ascii="Arial" w:hAnsi="Arial" w:cs="Arial"/>
          <w:sz w:val="20"/>
          <w:szCs w:val="20"/>
        </w:rPr>
        <w:t xml:space="preserve">frican </w:t>
      </w:r>
      <w:r w:rsidRPr="00921120">
        <w:rPr>
          <w:rFonts w:ascii="Arial" w:hAnsi="Arial" w:cs="Arial"/>
          <w:sz w:val="20"/>
          <w:szCs w:val="20"/>
        </w:rPr>
        <w:t>R</w:t>
      </w:r>
      <w:r w:rsidR="001A68DA" w:rsidRPr="00921120">
        <w:rPr>
          <w:rFonts w:ascii="Arial" w:hAnsi="Arial" w:cs="Arial"/>
          <w:sz w:val="20"/>
          <w:szCs w:val="20"/>
        </w:rPr>
        <w:t xml:space="preserve">evenue </w:t>
      </w:r>
      <w:r w:rsidRPr="00921120">
        <w:rPr>
          <w:rFonts w:ascii="Arial" w:hAnsi="Arial" w:cs="Arial"/>
          <w:sz w:val="20"/>
          <w:szCs w:val="20"/>
        </w:rPr>
        <w:t>S</w:t>
      </w:r>
      <w:r w:rsidR="001A68DA" w:rsidRPr="00921120">
        <w:rPr>
          <w:rFonts w:ascii="Arial" w:hAnsi="Arial" w:cs="Arial"/>
          <w:sz w:val="20"/>
          <w:szCs w:val="20"/>
        </w:rPr>
        <w:t>ervice</w:t>
      </w:r>
      <w:r w:rsidRPr="00921120">
        <w:rPr>
          <w:rFonts w:ascii="Arial" w:hAnsi="Arial" w:cs="Arial"/>
          <w:sz w:val="20"/>
          <w:szCs w:val="20"/>
        </w:rPr>
        <w:t xml:space="preserve">, and its limited human resources. This under-resourcing undermined the ability of </w:t>
      </w:r>
      <w:r w:rsidR="001A68DA" w:rsidRPr="00921120">
        <w:rPr>
          <w:rFonts w:ascii="Arial" w:hAnsi="Arial" w:cs="Arial"/>
          <w:sz w:val="20"/>
          <w:szCs w:val="20"/>
        </w:rPr>
        <w:t>the South African Revenue Service</w:t>
      </w:r>
      <w:r w:rsidRPr="00921120">
        <w:rPr>
          <w:rFonts w:ascii="Arial" w:hAnsi="Arial" w:cs="Arial"/>
          <w:sz w:val="20"/>
          <w:szCs w:val="20"/>
        </w:rPr>
        <w:t xml:space="preserve"> to implement its mandate, especially in relation to facilitating trade and combatting illicit trade. </w:t>
      </w:r>
    </w:p>
    <w:p w:rsidR="004E31D2" w:rsidRPr="00921120" w:rsidRDefault="004E31D2" w:rsidP="00921120">
      <w:pPr>
        <w:pStyle w:val="ListParagraph"/>
        <w:spacing w:line="240" w:lineRule="auto"/>
        <w:ind w:left="360"/>
        <w:jc w:val="left"/>
        <w:rPr>
          <w:rFonts w:ascii="Arial" w:hAnsi="Arial" w:cs="Arial"/>
          <w:bCs/>
          <w:sz w:val="20"/>
          <w:szCs w:val="20"/>
        </w:rPr>
      </w:pPr>
    </w:p>
    <w:p w:rsidR="004E31D2" w:rsidRPr="00921120" w:rsidRDefault="004E31D2" w:rsidP="00921120">
      <w:pPr>
        <w:spacing w:line="240" w:lineRule="auto"/>
        <w:ind w:left="567" w:hanging="567"/>
        <w:jc w:val="left"/>
        <w:rPr>
          <w:rFonts w:ascii="Arial" w:hAnsi="Arial" w:cs="Arial"/>
          <w:sz w:val="20"/>
          <w:szCs w:val="20"/>
        </w:rPr>
      </w:pPr>
      <w:r w:rsidRPr="00921120">
        <w:rPr>
          <w:rFonts w:ascii="Arial" w:hAnsi="Arial" w:cs="Arial"/>
          <w:sz w:val="20"/>
          <w:szCs w:val="20"/>
        </w:rPr>
        <w:t>6.2</w:t>
      </w:r>
      <w:r w:rsidRPr="00921120">
        <w:rPr>
          <w:rFonts w:ascii="Arial" w:hAnsi="Arial" w:cs="Arial"/>
          <w:sz w:val="20"/>
          <w:szCs w:val="20"/>
        </w:rPr>
        <w:tab/>
        <w:t xml:space="preserve">The Committee noted that the nature of </w:t>
      </w:r>
      <w:r w:rsidR="001A68DA" w:rsidRPr="00921120">
        <w:rPr>
          <w:rFonts w:ascii="Arial" w:hAnsi="Arial" w:cs="Arial"/>
          <w:sz w:val="20"/>
          <w:szCs w:val="20"/>
        </w:rPr>
        <w:t>the South African Revenue Service</w:t>
      </w:r>
      <w:r w:rsidRPr="00921120">
        <w:rPr>
          <w:rFonts w:ascii="Arial" w:hAnsi="Arial" w:cs="Arial"/>
          <w:sz w:val="20"/>
          <w:szCs w:val="20"/>
        </w:rPr>
        <w:t>’</w:t>
      </w:r>
      <w:r w:rsidR="001A68DA" w:rsidRPr="00921120">
        <w:rPr>
          <w:rFonts w:ascii="Arial" w:hAnsi="Arial" w:cs="Arial"/>
          <w:sz w:val="20"/>
          <w:szCs w:val="20"/>
        </w:rPr>
        <w:t>s</w:t>
      </w:r>
      <w:r w:rsidRPr="00921120">
        <w:rPr>
          <w:rFonts w:ascii="Arial" w:hAnsi="Arial" w:cs="Arial"/>
          <w:sz w:val="20"/>
          <w:szCs w:val="20"/>
        </w:rPr>
        <w:t xml:space="preserve"> mandate </w:t>
      </w:r>
      <w:r w:rsidR="001A68DA" w:rsidRPr="00921120">
        <w:rPr>
          <w:rFonts w:ascii="Arial" w:hAnsi="Arial" w:cs="Arial"/>
          <w:sz w:val="20"/>
          <w:szCs w:val="20"/>
        </w:rPr>
        <w:t>wa</w:t>
      </w:r>
      <w:r w:rsidRPr="00921120">
        <w:rPr>
          <w:rFonts w:ascii="Arial" w:hAnsi="Arial" w:cs="Arial"/>
          <w:sz w:val="20"/>
          <w:szCs w:val="20"/>
        </w:rPr>
        <w:t>s for it to collect revenue for the State and</w:t>
      </w:r>
      <w:r w:rsidR="001A68DA" w:rsidRPr="00921120">
        <w:rPr>
          <w:rFonts w:ascii="Arial" w:hAnsi="Arial" w:cs="Arial"/>
          <w:sz w:val="20"/>
          <w:szCs w:val="20"/>
        </w:rPr>
        <w:t>, therefore, it</w:t>
      </w:r>
      <w:r w:rsidRPr="00921120">
        <w:rPr>
          <w:rFonts w:ascii="Arial" w:hAnsi="Arial" w:cs="Arial"/>
          <w:sz w:val="20"/>
          <w:szCs w:val="20"/>
        </w:rPr>
        <w:t xml:space="preserve"> should not purely be treated as a cost centre. Therefore, government should invest in efficiency improvements to optimitise </w:t>
      </w:r>
      <w:r w:rsidR="001A68DA" w:rsidRPr="00921120">
        <w:rPr>
          <w:rFonts w:ascii="Arial" w:hAnsi="Arial" w:cs="Arial"/>
          <w:sz w:val="20"/>
          <w:szCs w:val="20"/>
        </w:rPr>
        <w:t>the South African Revenue Service</w:t>
      </w:r>
      <w:r w:rsidRPr="00921120">
        <w:rPr>
          <w:rFonts w:ascii="Arial" w:hAnsi="Arial" w:cs="Arial"/>
          <w:sz w:val="20"/>
          <w:szCs w:val="20"/>
        </w:rPr>
        <w:t>’</w:t>
      </w:r>
      <w:r w:rsidR="001A68DA" w:rsidRPr="00921120">
        <w:rPr>
          <w:rFonts w:ascii="Arial" w:hAnsi="Arial" w:cs="Arial"/>
          <w:sz w:val="20"/>
          <w:szCs w:val="20"/>
        </w:rPr>
        <w:t>s</w:t>
      </w:r>
      <w:r w:rsidRPr="00921120">
        <w:rPr>
          <w:rFonts w:ascii="Arial" w:hAnsi="Arial" w:cs="Arial"/>
          <w:sz w:val="20"/>
          <w:szCs w:val="20"/>
        </w:rPr>
        <w:t xml:space="preserve"> ability to collect revenue to benefit the fiscus, and to detect and address non-compliance.</w:t>
      </w:r>
    </w:p>
    <w:p w:rsidR="004E31D2" w:rsidRPr="00921120" w:rsidRDefault="004E31D2" w:rsidP="00921120">
      <w:pPr>
        <w:spacing w:line="240" w:lineRule="auto"/>
        <w:ind w:left="567" w:hanging="567"/>
        <w:jc w:val="left"/>
        <w:rPr>
          <w:rFonts w:ascii="Arial" w:hAnsi="Arial" w:cs="Arial"/>
          <w:sz w:val="20"/>
          <w:szCs w:val="20"/>
        </w:rPr>
      </w:pPr>
    </w:p>
    <w:p w:rsidR="004E31D2" w:rsidRPr="00921120" w:rsidRDefault="004E31D2" w:rsidP="00921120">
      <w:pPr>
        <w:spacing w:line="240" w:lineRule="auto"/>
        <w:ind w:left="567" w:hanging="567"/>
        <w:jc w:val="left"/>
        <w:rPr>
          <w:rFonts w:ascii="Arial" w:hAnsi="Arial" w:cs="Arial"/>
          <w:sz w:val="20"/>
          <w:szCs w:val="20"/>
        </w:rPr>
      </w:pPr>
      <w:r w:rsidRPr="00921120">
        <w:rPr>
          <w:rFonts w:ascii="Arial" w:hAnsi="Arial" w:cs="Arial"/>
          <w:sz w:val="20"/>
          <w:szCs w:val="20"/>
        </w:rPr>
        <w:t>6.3</w:t>
      </w:r>
      <w:r w:rsidRPr="00921120">
        <w:rPr>
          <w:rFonts w:ascii="Arial" w:hAnsi="Arial" w:cs="Arial"/>
          <w:sz w:val="20"/>
          <w:szCs w:val="20"/>
        </w:rPr>
        <w:tab/>
        <w:t xml:space="preserve">Given </w:t>
      </w:r>
      <w:r w:rsidR="001A68DA" w:rsidRPr="00921120">
        <w:rPr>
          <w:rFonts w:ascii="Arial" w:hAnsi="Arial" w:cs="Arial"/>
          <w:sz w:val="20"/>
          <w:szCs w:val="20"/>
        </w:rPr>
        <w:t>the South African Revenue Service</w:t>
      </w:r>
      <w:r w:rsidRPr="00921120">
        <w:rPr>
          <w:rFonts w:ascii="Arial" w:hAnsi="Arial" w:cs="Arial"/>
          <w:sz w:val="20"/>
          <w:szCs w:val="20"/>
        </w:rPr>
        <w:t>’</w:t>
      </w:r>
      <w:r w:rsidR="001A68DA" w:rsidRPr="00921120">
        <w:rPr>
          <w:rFonts w:ascii="Arial" w:hAnsi="Arial" w:cs="Arial"/>
          <w:sz w:val="20"/>
          <w:szCs w:val="20"/>
        </w:rPr>
        <w:t>s</w:t>
      </w:r>
      <w:r w:rsidRPr="00921120">
        <w:rPr>
          <w:rFonts w:ascii="Arial" w:hAnsi="Arial" w:cs="Arial"/>
          <w:sz w:val="20"/>
          <w:szCs w:val="20"/>
        </w:rPr>
        <w:t xml:space="preserve"> modernisation drive, the Committee appreciated the need for technological upgrades to its infrastructure to improve its efficiency and </w:t>
      </w:r>
      <w:r w:rsidR="001A68DA" w:rsidRPr="00921120">
        <w:rPr>
          <w:rFonts w:ascii="Arial" w:hAnsi="Arial" w:cs="Arial"/>
          <w:sz w:val="20"/>
          <w:szCs w:val="20"/>
        </w:rPr>
        <w:t xml:space="preserve">to </w:t>
      </w:r>
      <w:r w:rsidRPr="00921120">
        <w:rPr>
          <w:rFonts w:ascii="Arial" w:hAnsi="Arial" w:cs="Arial"/>
          <w:sz w:val="20"/>
          <w:szCs w:val="20"/>
        </w:rPr>
        <w:t xml:space="preserve">reduce </w:t>
      </w:r>
      <w:r w:rsidRPr="00921120">
        <w:rPr>
          <w:rFonts w:ascii="Arial" w:hAnsi="Arial" w:cs="Arial"/>
          <w:sz w:val="20"/>
          <w:szCs w:val="20"/>
        </w:rPr>
        <w:lastRenderedPageBreak/>
        <w:t xml:space="preserve">corruption. This would require the upskilling/reskilling of existing customs officials and the recruitment of highly skilled staff, such as auditors and data analysts. </w:t>
      </w:r>
    </w:p>
    <w:p w:rsidR="004E31D2" w:rsidRPr="00921120" w:rsidRDefault="004E31D2" w:rsidP="00921120">
      <w:pPr>
        <w:spacing w:line="240" w:lineRule="auto"/>
        <w:ind w:left="567" w:hanging="567"/>
        <w:jc w:val="left"/>
        <w:rPr>
          <w:rFonts w:ascii="Arial" w:hAnsi="Arial" w:cs="Arial"/>
          <w:sz w:val="20"/>
          <w:szCs w:val="20"/>
        </w:rPr>
      </w:pPr>
    </w:p>
    <w:p w:rsidR="004E31D2" w:rsidRPr="00921120" w:rsidRDefault="004E31D2" w:rsidP="00921120">
      <w:pPr>
        <w:spacing w:line="240" w:lineRule="auto"/>
        <w:ind w:left="567" w:hanging="567"/>
        <w:jc w:val="left"/>
        <w:rPr>
          <w:rFonts w:ascii="Arial" w:hAnsi="Arial" w:cs="Arial"/>
          <w:sz w:val="20"/>
          <w:szCs w:val="20"/>
        </w:rPr>
      </w:pPr>
      <w:r w:rsidRPr="00921120">
        <w:rPr>
          <w:rFonts w:ascii="Arial" w:hAnsi="Arial" w:cs="Arial"/>
          <w:sz w:val="20"/>
          <w:szCs w:val="20"/>
        </w:rPr>
        <w:t>6.4</w:t>
      </w:r>
      <w:r w:rsidRPr="00921120">
        <w:rPr>
          <w:rFonts w:ascii="Arial" w:hAnsi="Arial" w:cs="Arial"/>
          <w:sz w:val="20"/>
          <w:szCs w:val="20"/>
        </w:rPr>
        <w:tab/>
        <w:t xml:space="preserve">The Committee welcomed the progress </w:t>
      </w:r>
      <w:r w:rsidR="00D90BFF" w:rsidRPr="00921120">
        <w:rPr>
          <w:rFonts w:ascii="Arial" w:hAnsi="Arial" w:cs="Arial"/>
          <w:sz w:val="20"/>
          <w:szCs w:val="20"/>
        </w:rPr>
        <w:t>the South African Revenue Service</w:t>
      </w:r>
      <w:r w:rsidRPr="00921120">
        <w:rPr>
          <w:rFonts w:ascii="Arial" w:hAnsi="Arial" w:cs="Arial"/>
          <w:sz w:val="20"/>
          <w:szCs w:val="20"/>
        </w:rPr>
        <w:t xml:space="preserve"> has made in combatting illicit trade in spite of its limited resources. However, it was concerned that communities adjacent to borders may be complicit in enabling illicit trade. It therefore encouraged </w:t>
      </w:r>
      <w:r w:rsidR="00D90BFF" w:rsidRPr="00921120">
        <w:rPr>
          <w:rFonts w:ascii="Arial" w:hAnsi="Arial" w:cs="Arial"/>
          <w:sz w:val="20"/>
          <w:szCs w:val="20"/>
        </w:rPr>
        <w:t>the South African Revenue Service</w:t>
      </w:r>
      <w:r w:rsidRPr="00921120">
        <w:rPr>
          <w:rFonts w:ascii="Arial" w:hAnsi="Arial" w:cs="Arial"/>
          <w:sz w:val="20"/>
          <w:szCs w:val="20"/>
        </w:rPr>
        <w:t xml:space="preserve"> to continue invest</w:t>
      </w:r>
      <w:r w:rsidR="00D90BFF" w:rsidRPr="00921120">
        <w:rPr>
          <w:rFonts w:ascii="Arial" w:hAnsi="Arial" w:cs="Arial"/>
          <w:sz w:val="20"/>
          <w:szCs w:val="20"/>
        </w:rPr>
        <w:t>ing</w:t>
      </w:r>
      <w:r w:rsidRPr="00921120">
        <w:rPr>
          <w:rFonts w:ascii="Arial" w:hAnsi="Arial" w:cs="Arial"/>
          <w:sz w:val="20"/>
          <w:szCs w:val="20"/>
        </w:rPr>
        <w:t xml:space="preserve"> in education and awareness programmes targeting these communities to ensure that they understand the broader socio-economic implications of illicit trade. In addition, the Committee encouraged </w:t>
      </w:r>
      <w:r w:rsidR="00D90BFF" w:rsidRPr="00921120">
        <w:rPr>
          <w:rFonts w:ascii="Arial" w:hAnsi="Arial" w:cs="Arial"/>
          <w:sz w:val="20"/>
          <w:szCs w:val="20"/>
        </w:rPr>
        <w:t>the South African Revenue Service</w:t>
      </w:r>
      <w:r w:rsidRPr="00921120">
        <w:rPr>
          <w:rFonts w:ascii="Arial" w:hAnsi="Arial" w:cs="Arial"/>
          <w:sz w:val="20"/>
          <w:szCs w:val="20"/>
        </w:rPr>
        <w:t xml:space="preserve"> to build partnerships with these communities to combat illicit trade.</w:t>
      </w:r>
    </w:p>
    <w:p w:rsidR="004E31D2" w:rsidRPr="00921120" w:rsidRDefault="004E31D2" w:rsidP="00921120">
      <w:pPr>
        <w:spacing w:line="240" w:lineRule="auto"/>
        <w:ind w:left="567" w:hanging="567"/>
        <w:jc w:val="left"/>
        <w:rPr>
          <w:rFonts w:ascii="Arial" w:hAnsi="Arial" w:cs="Arial"/>
          <w:sz w:val="20"/>
          <w:szCs w:val="20"/>
        </w:rPr>
      </w:pPr>
    </w:p>
    <w:p w:rsidR="004E31D2" w:rsidRPr="00921120" w:rsidRDefault="000B422E" w:rsidP="00921120">
      <w:pPr>
        <w:spacing w:line="240" w:lineRule="auto"/>
        <w:ind w:left="567" w:hanging="567"/>
        <w:jc w:val="left"/>
        <w:rPr>
          <w:rFonts w:ascii="Arial" w:hAnsi="Arial" w:cs="Arial"/>
          <w:sz w:val="20"/>
          <w:szCs w:val="20"/>
        </w:rPr>
      </w:pPr>
      <w:r w:rsidRPr="00921120">
        <w:rPr>
          <w:rFonts w:ascii="Arial" w:hAnsi="Arial" w:cs="Arial"/>
          <w:sz w:val="20"/>
          <w:szCs w:val="20"/>
        </w:rPr>
        <w:t>6.5</w:t>
      </w:r>
      <w:r w:rsidRPr="00921120">
        <w:rPr>
          <w:rFonts w:ascii="Arial" w:hAnsi="Arial" w:cs="Arial"/>
          <w:sz w:val="20"/>
          <w:szCs w:val="20"/>
        </w:rPr>
        <w:tab/>
      </w:r>
      <w:r w:rsidR="004E31D2" w:rsidRPr="00921120">
        <w:rPr>
          <w:rFonts w:ascii="Arial" w:hAnsi="Arial" w:cs="Arial"/>
          <w:sz w:val="20"/>
          <w:szCs w:val="20"/>
        </w:rPr>
        <w:t xml:space="preserve">Furthermore, it implored </w:t>
      </w:r>
      <w:r w:rsidR="00EE284B" w:rsidRPr="00921120">
        <w:rPr>
          <w:rFonts w:ascii="Arial" w:hAnsi="Arial" w:cs="Arial"/>
          <w:sz w:val="20"/>
          <w:szCs w:val="20"/>
        </w:rPr>
        <w:t>the South African Revenue Service</w:t>
      </w:r>
      <w:r w:rsidR="004E31D2" w:rsidRPr="00921120">
        <w:rPr>
          <w:rFonts w:ascii="Arial" w:hAnsi="Arial" w:cs="Arial"/>
          <w:sz w:val="20"/>
          <w:szCs w:val="20"/>
        </w:rPr>
        <w:t xml:space="preserve"> to strengthen its co-ordination efforts with other government departments and entities that play an active role in facilitating trade, such as the Border Management Authority, the Department of Home Affairs, </w:t>
      </w:r>
      <w:r w:rsidR="00EE284B" w:rsidRPr="00921120">
        <w:rPr>
          <w:rFonts w:ascii="Arial" w:hAnsi="Arial" w:cs="Arial"/>
          <w:sz w:val="20"/>
          <w:szCs w:val="20"/>
        </w:rPr>
        <w:t xml:space="preserve">the </w:t>
      </w:r>
      <w:r w:rsidR="004E31D2" w:rsidRPr="00921120">
        <w:rPr>
          <w:rFonts w:ascii="Arial" w:hAnsi="Arial" w:cs="Arial"/>
          <w:sz w:val="20"/>
          <w:szCs w:val="20"/>
        </w:rPr>
        <w:t>National Regulator for Compulsory Specifications and the Department of Trade, Industry and Competition.</w:t>
      </w:r>
    </w:p>
    <w:p w:rsidR="004E31D2" w:rsidRPr="00921120" w:rsidRDefault="004E31D2" w:rsidP="00921120">
      <w:pPr>
        <w:spacing w:line="240" w:lineRule="auto"/>
        <w:ind w:left="567" w:hanging="567"/>
        <w:jc w:val="left"/>
        <w:rPr>
          <w:rFonts w:ascii="Arial" w:hAnsi="Arial" w:cs="Arial"/>
          <w:sz w:val="20"/>
          <w:szCs w:val="20"/>
        </w:rPr>
      </w:pPr>
    </w:p>
    <w:p w:rsidR="004E31D2" w:rsidRPr="00921120" w:rsidRDefault="000B422E" w:rsidP="00921120">
      <w:pPr>
        <w:spacing w:line="240" w:lineRule="auto"/>
        <w:ind w:left="567" w:hanging="567"/>
        <w:jc w:val="left"/>
        <w:rPr>
          <w:rFonts w:ascii="Arial" w:hAnsi="Arial" w:cs="Arial"/>
          <w:sz w:val="20"/>
          <w:szCs w:val="20"/>
        </w:rPr>
      </w:pPr>
      <w:r w:rsidRPr="00921120">
        <w:rPr>
          <w:rFonts w:ascii="Arial" w:hAnsi="Arial" w:cs="Arial"/>
          <w:sz w:val="20"/>
          <w:szCs w:val="20"/>
        </w:rPr>
        <w:t>6.6</w:t>
      </w:r>
      <w:r w:rsidRPr="00921120">
        <w:rPr>
          <w:rFonts w:ascii="Arial" w:hAnsi="Arial" w:cs="Arial"/>
          <w:sz w:val="20"/>
          <w:szCs w:val="20"/>
        </w:rPr>
        <w:tab/>
      </w:r>
      <w:r w:rsidR="004E31D2" w:rsidRPr="00921120">
        <w:rPr>
          <w:rFonts w:ascii="Arial" w:hAnsi="Arial" w:cs="Arial"/>
          <w:sz w:val="20"/>
          <w:szCs w:val="20"/>
        </w:rPr>
        <w:t>One of the key facets to enabling th</w:t>
      </w:r>
      <w:r w:rsidR="003A7252" w:rsidRPr="00921120">
        <w:rPr>
          <w:rFonts w:ascii="Arial" w:hAnsi="Arial" w:cs="Arial"/>
          <w:sz w:val="20"/>
          <w:szCs w:val="20"/>
        </w:rPr>
        <w:t>e sustainability of industrial parks</w:t>
      </w:r>
      <w:r w:rsidR="004E31D2" w:rsidRPr="00921120">
        <w:rPr>
          <w:rFonts w:ascii="Arial" w:hAnsi="Arial" w:cs="Arial"/>
          <w:sz w:val="20"/>
          <w:szCs w:val="20"/>
        </w:rPr>
        <w:t xml:space="preserve"> is the ability to increase the occupancy rate and</w:t>
      </w:r>
      <w:r w:rsidR="00EE284B" w:rsidRPr="00921120">
        <w:rPr>
          <w:rFonts w:ascii="Arial" w:hAnsi="Arial" w:cs="Arial"/>
          <w:sz w:val="20"/>
          <w:szCs w:val="20"/>
        </w:rPr>
        <w:t xml:space="preserve"> to</w:t>
      </w:r>
      <w:r w:rsidR="004E31D2" w:rsidRPr="00921120">
        <w:rPr>
          <w:rFonts w:ascii="Arial" w:hAnsi="Arial" w:cs="Arial"/>
          <w:sz w:val="20"/>
          <w:szCs w:val="20"/>
        </w:rPr>
        <w:t xml:space="preserve"> earn rental income. However, this would require </w:t>
      </w:r>
      <w:r w:rsidR="003A7252" w:rsidRPr="00921120">
        <w:rPr>
          <w:rFonts w:ascii="Arial" w:hAnsi="Arial" w:cs="Arial"/>
          <w:sz w:val="20"/>
          <w:szCs w:val="20"/>
        </w:rPr>
        <w:t xml:space="preserve">the </w:t>
      </w:r>
      <w:r w:rsidR="004E31D2" w:rsidRPr="00921120">
        <w:rPr>
          <w:rFonts w:ascii="Arial" w:hAnsi="Arial" w:cs="Arial"/>
          <w:sz w:val="20"/>
          <w:szCs w:val="20"/>
        </w:rPr>
        <w:t xml:space="preserve">Limpopo Economic Development Agency, as the owner of these industrial parks, to improve, maintain and invest in top structures of the factories/warehouses and bulk infrastructure, such as water, electricity and waste management, within its Industrial Parks. Thus, it could attract further investors, charge higher rents in proportion to the improved infrastructure, and could also have greater discretion to apply its developmental mandate in relation to start-ups. In this regard, funds should be ring-fenced by </w:t>
      </w:r>
      <w:r w:rsidR="003A7252" w:rsidRPr="00921120">
        <w:rPr>
          <w:rFonts w:ascii="Arial" w:hAnsi="Arial" w:cs="Arial"/>
          <w:sz w:val="20"/>
          <w:szCs w:val="20"/>
        </w:rPr>
        <w:t>Limpopo Economic Development Agency</w:t>
      </w:r>
      <w:r w:rsidR="004E31D2" w:rsidRPr="00921120">
        <w:rPr>
          <w:rFonts w:ascii="Arial" w:hAnsi="Arial" w:cs="Arial"/>
          <w:sz w:val="20"/>
          <w:szCs w:val="20"/>
        </w:rPr>
        <w:t xml:space="preserve"> for the maintenance and improvement of its Industrial Parks infrastructure, as well as the provision of security services.</w:t>
      </w:r>
    </w:p>
    <w:p w:rsidR="004E31D2" w:rsidRPr="00921120" w:rsidRDefault="004E31D2" w:rsidP="00921120">
      <w:pPr>
        <w:spacing w:line="240" w:lineRule="auto"/>
        <w:ind w:left="567" w:hanging="567"/>
        <w:jc w:val="left"/>
        <w:rPr>
          <w:rFonts w:ascii="Arial" w:hAnsi="Arial" w:cs="Arial"/>
          <w:sz w:val="20"/>
          <w:szCs w:val="20"/>
        </w:rPr>
      </w:pPr>
    </w:p>
    <w:p w:rsidR="004E31D2" w:rsidRPr="00921120" w:rsidRDefault="000B422E" w:rsidP="00921120">
      <w:pPr>
        <w:spacing w:line="240" w:lineRule="auto"/>
        <w:ind w:left="567" w:hanging="567"/>
        <w:jc w:val="left"/>
        <w:rPr>
          <w:rFonts w:ascii="Arial" w:hAnsi="Arial" w:cs="Arial"/>
          <w:sz w:val="20"/>
          <w:szCs w:val="20"/>
        </w:rPr>
      </w:pPr>
      <w:r w:rsidRPr="00921120">
        <w:rPr>
          <w:rFonts w:ascii="Arial" w:hAnsi="Arial" w:cs="Arial"/>
          <w:sz w:val="20"/>
          <w:szCs w:val="20"/>
        </w:rPr>
        <w:t>6.7</w:t>
      </w:r>
      <w:r w:rsidRPr="00921120">
        <w:rPr>
          <w:rFonts w:ascii="Arial" w:hAnsi="Arial" w:cs="Arial"/>
          <w:sz w:val="20"/>
          <w:szCs w:val="20"/>
        </w:rPr>
        <w:tab/>
      </w:r>
      <w:r w:rsidR="004E31D2" w:rsidRPr="00921120">
        <w:rPr>
          <w:rFonts w:ascii="Arial" w:hAnsi="Arial" w:cs="Arial"/>
          <w:sz w:val="20"/>
          <w:szCs w:val="20"/>
        </w:rPr>
        <w:t xml:space="preserve">The Committee noted that the Limpopo Jewellery Incubator Hub incorporated work space that it sub-let to </w:t>
      </w:r>
      <w:r w:rsidR="006F59DC" w:rsidRPr="00921120">
        <w:rPr>
          <w:rFonts w:ascii="Arial" w:hAnsi="Arial" w:cs="Arial"/>
          <w:sz w:val="20"/>
          <w:szCs w:val="20"/>
        </w:rPr>
        <w:t>small, medium and micro enterprises</w:t>
      </w:r>
      <w:r w:rsidR="004E31D2" w:rsidRPr="00921120">
        <w:rPr>
          <w:rFonts w:ascii="Arial" w:hAnsi="Arial" w:cs="Arial"/>
          <w:sz w:val="20"/>
          <w:szCs w:val="20"/>
        </w:rPr>
        <w:t xml:space="preserve">, as part of its incubation programme. This was to train </w:t>
      </w:r>
      <w:r w:rsidR="006F59DC" w:rsidRPr="00921120">
        <w:rPr>
          <w:rFonts w:ascii="Arial" w:hAnsi="Arial" w:cs="Arial"/>
          <w:sz w:val="20"/>
          <w:szCs w:val="20"/>
        </w:rPr>
        <w:t>small, medium and micro enterprises</w:t>
      </w:r>
      <w:r w:rsidR="004E31D2" w:rsidRPr="00921120">
        <w:rPr>
          <w:rFonts w:ascii="Arial" w:hAnsi="Arial" w:cs="Arial"/>
          <w:sz w:val="20"/>
          <w:szCs w:val="20"/>
        </w:rPr>
        <w:t xml:space="preserve"> about the associated operating costs and to bridge the rental affordability gap, as the cash flow of most </w:t>
      </w:r>
      <w:r w:rsidR="006F59DC" w:rsidRPr="00921120">
        <w:rPr>
          <w:rFonts w:ascii="Arial" w:hAnsi="Arial" w:cs="Arial"/>
          <w:sz w:val="20"/>
          <w:szCs w:val="20"/>
        </w:rPr>
        <w:t>small, medium and micro enterprises</w:t>
      </w:r>
      <w:r w:rsidR="004E31D2" w:rsidRPr="00921120">
        <w:rPr>
          <w:rFonts w:ascii="Arial" w:hAnsi="Arial" w:cs="Arial"/>
          <w:sz w:val="20"/>
          <w:szCs w:val="20"/>
        </w:rPr>
        <w:t xml:space="preserve"> that it housed was irregular; thus affecting their ability to afford rentals in the Industrial Parks. The Committee encouraged </w:t>
      </w:r>
      <w:r w:rsidR="00272AD4" w:rsidRPr="00921120">
        <w:rPr>
          <w:rFonts w:ascii="Arial" w:hAnsi="Arial" w:cs="Arial"/>
          <w:sz w:val="20"/>
          <w:szCs w:val="20"/>
        </w:rPr>
        <w:t xml:space="preserve">the </w:t>
      </w:r>
      <w:r w:rsidR="004E31D2" w:rsidRPr="00921120">
        <w:rPr>
          <w:rFonts w:ascii="Arial" w:hAnsi="Arial" w:cs="Arial"/>
          <w:sz w:val="20"/>
          <w:szCs w:val="20"/>
        </w:rPr>
        <w:t>L</w:t>
      </w:r>
      <w:r w:rsidR="006F59DC" w:rsidRPr="00921120">
        <w:rPr>
          <w:rFonts w:ascii="Arial" w:hAnsi="Arial" w:cs="Arial"/>
          <w:sz w:val="20"/>
          <w:szCs w:val="20"/>
        </w:rPr>
        <w:t xml:space="preserve">impopo </w:t>
      </w:r>
      <w:r w:rsidR="004E31D2" w:rsidRPr="00921120">
        <w:rPr>
          <w:rFonts w:ascii="Arial" w:hAnsi="Arial" w:cs="Arial"/>
          <w:sz w:val="20"/>
          <w:szCs w:val="20"/>
        </w:rPr>
        <w:t>E</w:t>
      </w:r>
      <w:r w:rsidR="006F59DC" w:rsidRPr="00921120">
        <w:rPr>
          <w:rFonts w:ascii="Arial" w:hAnsi="Arial" w:cs="Arial"/>
          <w:sz w:val="20"/>
          <w:szCs w:val="20"/>
        </w:rPr>
        <w:t xml:space="preserve">conomic </w:t>
      </w:r>
      <w:r w:rsidR="004E31D2" w:rsidRPr="00921120">
        <w:rPr>
          <w:rFonts w:ascii="Arial" w:hAnsi="Arial" w:cs="Arial"/>
          <w:sz w:val="20"/>
          <w:szCs w:val="20"/>
        </w:rPr>
        <w:t>D</w:t>
      </w:r>
      <w:r w:rsidR="006F59DC" w:rsidRPr="00921120">
        <w:rPr>
          <w:rFonts w:ascii="Arial" w:hAnsi="Arial" w:cs="Arial"/>
          <w:sz w:val="20"/>
          <w:szCs w:val="20"/>
        </w:rPr>
        <w:t xml:space="preserve">evelopment </w:t>
      </w:r>
      <w:r w:rsidR="004E31D2" w:rsidRPr="00921120">
        <w:rPr>
          <w:rFonts w:ascii="Arial" w:hAnsi="Arial" w:cs="Arial"/>
          <w:sz w:val="20"/>
          <w:szCs w:val="20"/>
        </w:rPr>
        <w:t>A</w:t>
      </w:r>
      <w:r w:rsidR="006F59DC" w:rsidRPr="00921120">
        <w:rPr>
          <w:rFonts w:ascii="Arial" w:hAnsi="Arial" w:cs="Arial"/>
          <w:sz w:val="20"/>
          <w:szCs w:val="20"/>
        </w:rPr>
        <w:t>gency</w:t>
      </w:r>
      <w:r w:rsidR="004E31D2" w:rsidRPr="00921120">
        <w:rPr>
          <w:rFonts w:ascii="Arial" w:hAnsi="Arial" w:cs="Arial"/>
          <w:sz w:val="20"/>
          <w:szCs w:val="20"/>
        </w:rPr>
        <w:t xml:space="preserve"> to review its rental model for </w:t>
      </w:r>
      <w:r w:rsidR="006F59DC" w:rsidRPr="00921120">
        <w:rPr>
          <w:rFonts w:ascii="Arial" w:hAnsi="Arial" w:cs="Arial"/>
          <w:sz w:val="20"/>
          <w:szCs w:val="20"/>
        </w:rPr>
        <w:t>small, medium and micro enterprises</w:t>
      </w:r>
      <w:r w:rsidR="004E31D2" w:rsidRPr="00921120">
        <w:rPr>
          <w:rFonts w:ascii="Arial" w:hAnsi="Arial" w:cs="Arial"/>
          <w:sz w:val="20"/>
          <w:szCs w:val="20"/>
        </w:rPr>
        <w:t xml:space="preserve">, to include smaller spaces for </w:t>
      </w:r>
      <w:r w:rsidR="006F59DC" w:rsidRPr="00921120">
        <w:rPr>
          <w:rFonts w:ascii="Arial" w:hAnsi="Arial" w:cs="Arial"/>
          <w:sz w:val="20"/>
          <w:szCs w:val="20"/>
        </w:rPr>
        <w:t>small, medium and micro enterprises</w:t>
      </w:r>
      <w:r w:rsidR="004E31D2" w:rsidRPr="00921120">
        <w:rPr>
          <w:rFonts w:ascii="Arial" w:hAnsi="Arial" w:cs="Arial"/>
          <w:sz w:val="20"/>
          <w:szCs w:val="20"/>
        </w:rPr>
        <w:t xml:space="preserve"> and possibly sub-letting options to assist, in particular start-ups, with the affordability of rentals. </w:t>
      </w:r>
    </w:p>
    <w:p w:rsidR="004E31D2" w:rsidRPr="00921120" w:rsidRDefault="004E31D2" w:rsidP="00921120">
      <w:pPr>
        <w:spacing w:line="240" w:lineRule="auto"/>
        <w:ind w:left="567" w:hanging="567"/>
        <w:jc w:val="left"/>
        <w:rPr>
          <w:rFonts w:ascii="Arial" w:hAnsi="Arial" w:cs="Arial"/>
          <w:sz w:val="20"/>
          <w:szCs w:val="20"/>
        </w:rPr>
      </w:pPr>
    </w:p>
    <w:p w:rsidR="004E31D2" w:rsidRPr="00921120" w:rsidRDefault="000B422E" w:rsidP="00921120">
      <w:pPr>
        <w:spacing w:line="240" w:lineRule="auto"/>
        <w:ind w:left="567" w:hanging="567"/>
        <w:jc w:val="left"/>
        <w:rPr>
          <w:rFonts w:ascii="Arial" w:hAnsi="Arial" w:cs="Arial"/>
          <w:sz w:val="20"/>
          <w:szCs w:val="20"/>
        </w:rPr>
      </w:pPr>
      <w:r w:rsidRPr="00921120">
        <w:rPr>
          <w:rFonts w:ascii="Arial" w:hAnsi="Arial" w:cs="Arial"/>
          <w:sz w:val="20"/>
          <w:szCs w:val="20"/>
        </w:rPr>
        <w:t>6.8</w:t>
      </w:r>
      <w:r w:rsidRPr="00921120">
        <w:rPr>
          <w:rFonts w:ascii="Arial" w:hAnsi="Arial" w:cs="Arial"/>
          <w:sz w:val="20"/>
          <w:szCs w:val="20"/>
        </w:rPr>
        <w:tab/>
      </w:r>
      <w:r w:rsidR="004E31D2" w:rsidRPr="00921120">
        <w:rPr>
          <w:rFonts w:ascii="Arial" w:hAnsi="Arial" w:cs="Arial"/>
          <w:sz w:val="20"/>
          <w:szCs w:val="20"/>
        </w:rPr>
        <w:t xml:space="preserve">Furthermore, there </w:t>
      </w:r>
      <w:r w:rsidR="007D621D" w:rsidRPr="00921120">
        <w:rPr>
          <w:rFonts w:ascii="Arial" w:hAnsi="Arial" w:cs="Arial"/>
          <w:sz w:val="20"/>
          <w:szCs w:val="20"/>
        </w:rPr>
        <w:t>wa</w:t>
      </w:r>
      <w:r w:rsidR="004E31D2" w:rsidRPr="00921120">
        <w:rPr>
          <w:rFonts w:ascii="Arial" w:hAnsi="Arial" w:cs="Arial"/>
          <w:sz w:val="20"/>
          <w:szCs w:val="20"/>
        </w:rPr>
        <w:t>s a call for the various stakeholders, such as</w:t>
      </w:r>
      <w:r w:rsidR="006F59DC" w:rsidRPr="00921120">
        <w:rPr>
          <w:rFonts w:ascii="Arial" w:hAnsi="Arial" w:cs="Arial"/>
          <w:sz w:val="20"/>
          <w:szCs w:val="20"/>
        </w:rPr>
        <w:t xml:space="preserve"> the</w:t>
      </w:r>
      <w:r w:rsidR="004E31D2" w:rsidRPr="00921120">
        <w:rPr>
          <w:rFonts w:ascii="Arial" w:hAnsi="Arial" w:cs="Arial"/>
          <w:sz w:val="20"/>
          <w:szCs w:val="20"/>
        </w:rPr>
        <w:t xml:space="preserve"> </w:t>
      </w:r>
      <w:r w:rsidR="006F59DC" w:rsidRPr="00921120">
        <w:rPr>
          <w:rFonts w:ascii="Arial" w:hAnsi="Arial" w:cs="Arial"/>
          <w:sz w:val="20"/>
          <w:szCs w:val="20"/>
        </w:rPr>
        <w:t>Department of Trade, Industry and Competition</w:t>
      </w:r>
      <w:r w:rsidR="004E31D2" w:rsidRPr="00921120">
        <w:rPr>
          <w:rFonts w:ascii="Arial" w:hAnsi="Arial" w:cs="Arial"/>
          <w:sz w:val="20"/>
          <w:szCs w:val="20"/>
        </w:rPr>
        <w:t xml:space="preserve">, </w:t>
      </w:r>
      <w:r w:rsidR="006F59DC" w:rsidRPr="00921120">
        <w:rPr>
          <w:rFonts w:ascii="Arial" w:hAnsi="Arial" w:cs="Arial"/>
          <w:sz w:val="20"/>
          <w:szCs w:val="20"/>
        </w:rPr>
        <w:t xml:space="preserve">the </w:t>
      </w:r>
      <w:r w:rsidR="004E31D2" w:rsidRPr="00921120">
        <w:rPr>
          <w:rFonts w:ascii="Arial" w:hAnsi="Arial" w:cs="Arial"/>
          <w:sz w:val="20"/>
          <w:szCs w:val="20"/>
        </w:rPr>
        <w:t xml:space="preserve">Department of Small Business Development, </w:t>
      </w:r>
      <w:r w:rsidR="007D621D" w:rsidRPr="00921120">
        <w:rPr>
          <w:rFonts w:ascii="Arial" w:hAnsi="Arial" w:cs="Arial"/>
          <w:sz w:val="20"/>
          <w:szCs w:val="20"/>
        </w:rPr>
        <w:t xml:space="preserve">the </w:t>
      </w:r>
      <w:r w:rsidR="004E31D2" w:rsidRPr="00921120">
        <w:rPr>
          <w:rFonts w:ascii="Arial" w:hAnsi="Arial" w:cs="Arial"/>
          <w:sz w:val="20"/>
          <w:szCs w:val="20"/>
        </w:rPr>
        <w:t>S</w:t>
      </w:r>
      <w:r w:rsidR="006F59DC" w:rsidRPr="00921120">
        <w:rPr>
          <w:rFonts w:ascii="Arial" w:hAnsi="Arial" w:cs="Arial"/>
          <w:sz w:val="20"/>
          <w:szCs w:val="20"/>
        </w:rPr>
        <w:t xml:space="preserve">mall </w:t>
      </w:r>
      <w:r w:rsidR="004E31D2" w:rsidRPr="00921120">
        <w:rPr>
          <w:rFonts w:ascii="Arial" w:hAnsi="Arial" w:cs="Arial"/>
          <w:sz w:val="20"/>
          <w:szCs w:val="20"/>
        </w:rPr>
        <w:t>E</w:t>
      </w:r>
      <w:r w:rsidR="006F59DC" w:rsidRPr="00921120">
        <w:rPr>
          <w:rFonts w:ascii="Arial" w:hAnsi="Arial" w:cs="Arial"/>
          <w:sz w:val="20"/>
          <w:szCs w:val="20"/>
        </w:rPr>
        <w:t xml:space="preserve">nterprise </w:t>
      </w:r>
      <w:r w:rsidR="004E31D2" w:rsidRPr="00921120">
        <w:rPr>
          <w:rFonts w:ascii="Arial" w:hAnsi="Arial" w:cs="Arial"/>
          <w:sz w:val="20"/>
          <w:szCs w:val="20"/>
        </w:rPr>
        <w:t>F</w:t>
      </w:r>
      <w:r w:rsidR="006F59DC" w:rsidRPr="00921120">
        <w:rPr>
          <w:rFonts w:ascii="Arial" w:hAnsi="Arial" w:cs="Arial"/>
          <w:sz w:val="20"/>
          <w:szCs w:val="20"/>
        </w:rPr>
        <w:t xml:space="preserve">inance </w:t>
      </w:r>
      <w:r w:rsidR="004E31D2" w:rsidRPr="00921120">
        <w:rPr>
          <w:rFonts w:ascii="Arial" w:hAnsi="Arial" w:cs="Arial"/>
          <w:sz w:val="20"/>
          <w:szCs w:val="20"/>
        </w:rPr>
        <w:t>A</w:t>
      </w:r>
      <w:r w:rsidR="006F59DC" w:rsidRPr="00921120">
        <w:rPr>
          <w:rFonts w:ascii="Arial" w:hAnsi="Arial" w:cs="Arial"/>
          <w:sz w:val="20"/>
          <w:szCs w:val="20"/>
        </w:rPr>
        <w:t>gency</w:t>
      </w:r>
      <w:r w:rsidR="004E31D2" w:rsidRPr="00921120">
        <w:rPr>
          <w:rFonts w:ascii="Arial" w:hAnsi="Arial" w:cs="Arial"/>
          <w:sz w:val="20"/>
          <w:szCs w:val="20"/>
        </w:rPr>
        <w:t xml:space="preserve">, </w:t>
      </w:r>
      <w:r w:rsidR="006F59DC" w:rsidRPr="00921120">
        <w:rPr>
          <w:rFonts w:ascii="Arial" w:hAnsi="Arial" w:cs="Arial"/>
          <w:sz w:val="20"/>
          <w:szCs w:val="20"/>
        </w:rPr>
        <w:t xml:space="preserve">the </w:t>
      </w:r>
      <w:r w:rsidR="004E31D2" w:rsidRPr="00921120">
        <w:rPr>
          <w:rFonts w:ascii="Arial" w:hAnsi="Arial" w:cs="Arial"/>
          <w:sz w:val="20"/>
          <w:szCs w:val="20"/>
        </w:rPr>
        <w:t>N</w:t>
      </w:r>
      <w:r w:rsidR="006F59DC" w:rsidRPr="00921120">
        <w:rPr>
          <w:rFonts w:ascii="Arial" w:hAnsi="Arial" w:cs="Arial"/>
          <w:sz w:val="20"/>
          <w:szCs w:val="20"/>
        </w:rPr>
        <w:t xml:space="preserve">ational </w:t>
      </w:r>
      <w:r w:rsidR="004E31D2" w:rsidRPr="00921120">
        <w:rPr>
          <w:rFonts w:ascii="Arial" w:hAnsi="Arial" w:cs="Arial"/>
          <w:sz w:val="20"/>
          <w:szCs w:val="20"/>
        </w:rPr>
        <w:t>E</w:t>
      </w:r>
      <w:r w:rsidR="006F59DC" w:rsidRPr="00921120">
        <w:rPr>
          <w:rFonts w:ascii="Arial" w:hAnsi="Arial" w:cs="Arial"/>
          <w:sz w:val="20"/>
          <w:szCs w:val="20"/>
        </w:rPr>
        <w:t xml:space="preserve">mpowerment </w:t>
      </w:r>
      <w:r w:rsidR="004E31D2" w:rsidRPr="00921120">
        <w:rPr>
          <w:rFonts w:ascii="Arial" w:hAnsi="Arial" w:cs="Arial"/>
          <w:sz w:val="20"/>
          <w:szCs w:val="20"/>
        </w:rPr>
        <w:t>F</w:t>
      </w:r>
      <w:r w:rsidR="006F59DC" w:rsidRPr="00921120">
        <w:rPr>
          <w:rFonts w:ascii="Arial" w:hAnsi="Arial" w:cs="Arial"/>
          <w:sz w:val="20"/>
          <w:szCs w:val="20"/>
        </w:rPr>
        <w:t>und</w:t>
      </w:r>
      <w:r w:rsidR="004E31D2" w:rsidRPr="00921120">
        <w:rPr>
          <w:rFonts w:ascii="Arial" w:hAnsi="Arial" w:cs="Arial"/>
          <w:sz w:val="20"/>
          <w:szCs w:val="20"/>
        </w:rPr>
        <w:t xml:space="preserve">, and Provincial Governments to find a sustainable solution in this regard. </w:t>
      </w:r>
    </w:p>
    <w:p w:rsidR="004E31D2" w:rsidRPr="00921120" w:rsidRDefault="004E31D2" w:rsidP="00921120">
      <w:pPr>
        <w:spacing w:line="240" w:lineRule="auto"/>
        <w:ind w:left="567" w:hanging="567"/>
        <w:jc w:val="left"/>
        <w:rPr>
          <w:rFonts w:ascii="Arial" w:hAnsi="Arial" w:cs="Arial"/>
          <w:sz w:val="20"/>
          <w:szCs w:val="20"/>
        </w:rPr>
      </w:pPr>
    </w:p>
    <w:p w:rsidR="004E31D2" w:rsidRPr="00921120" w:rsidRDefault="000B422E" w:rsidP="00921120">
      <w:pPr>
        <w:spacing w:line="240" w:lineRule="auto"/>
        <w:ind w:left="567" w:hanging="567"/>
        <w:jc w:val="left"/>
        <w:rPr>
          <w:rFonts w:ascii="Arial" w:hAnsi="Arial" w:cs="Arial"/>
          <w:sz w:val="20"/>
          <w:szCs w:val="20"/>
        </w:rPr>
      </w:pPr>
      <w:r w:rsidRPr="00921120">
        <w:rPr>
          <w:rFonts w:ascii="Arial" w:hAnsi="Arial" w:cs="Arial"/>
          <w:sz w:val="20"/>
          <w:szCs w:val="20"/>
        </w:rPr>
        <w:t>6.9</w:t>
      </w:r>
      <w:r w:rsidRPr="00921120">
        <w:rPr>
          <w:rFonts w:ascii="Arial" w:hAnsi="Arial" w:cs="Arial"/>
          <w:sz w:val="20"/>
          <w:szCs w:val="20"/>
        </w:rPr>
        <w:tab/>
      </w:r>
      <w:r w:rsidR="007D621D" w:rsidRPr="00921120">
        <w:rPr>
          <w:rFonts w:ascii="Arial" w:hAnsi="Arial" w:cs="Arial"/>
          <w:sz w:val="20"/>
          <w:szCs w:val="20"/>
        </w:rPr>
        <w:t>in addition, t</w:t>
      </w:r>
      <w:r w:rsidR="004E31D2" w:rsidRPr="00921120">
        <w:rPr>
          <w:rFonts w:ascii="Arial" w:hAnsi="Arial" w:cs="Arial"/>
          <w:sz w:val="20"/>
          <w:szCs w:val="20"/>
        </w:rPr>
        <w:t xml:space="preserve">he Committee was concerned by the negative impact of municipal service delivery challenges, in particular the supply of water, on the operation of </w:t>
      </w:r>
      <w:r w:rsidR="006F59DC" w:rsidRPr="00921120">
        <w:rPr>
          <w:rFonts w:ascii="Arial" w:hAnsi="Arial" w:cs="Arial"/>
          <w:sz w:val="20"/>
          <w:szCs w:val="20"/>
        </w:rPr>
        <w:t>small, medium and micro enterprises</w:t>
      </w:r>
      <w:r w:rsidR="004E31D2" w:rsidRPr="00921120">
        <w:rPr>
          <w:rFonts w:ascii="Arial" w:hAnsi="Arial" w:cs="Arial"/>
          <w:sz w:val="20"/>
          <w:szCs w:val="20"/>
        </w:rPr>
        <w:t xml:space="preserve"> within the industrial parks, and the broader local economy, particularly on the ability to retain business investment in rural areas. </w:t>
      </w:r>
    </w:p>
    <w:p w:rsidR="00B26F24" w:rsidRPr="00921120" w:rsidRDefault="00B26F24" w:rsidP="00921120">
      <w:pPr>
        <w:spacing w:line="240" w:lineRule="auto"/>
        <w:ind w:left="567" w:hanging="567"/>
        <w:jc w:val="left"/>
        <w:rPr>
          <w:rFonts w:ascii="Arial" w:hAnsi="Arial" w:cs="Arial"/>
          <w:sz w:val="20"/>
          <w:szCs w:val="20"/>
        </w:rPr>
      </w:pPr>
    </w:p>
    <w:p w:rsidR="00B26F24" w:rsidRPr="00921120" w:rsidRDefault="000B422E" w:rsidP="00921120">
      <w:pPr>
        <w:spacing w:line="240" w:lineRule="auto"/>
        <w:ind w:left="567" w:hanging="567"/>
        <w:jc w:val="left"/>
        <w:rPr>
          <w:rFonts w:ascii="Arial" w:hAnsi="Arial" w:cs="Arial"/>
          <w:sz w:val="20"/>
          <w:szCs w:val="20"/>
        </w:rPr>
      </w:pPr>
      <w:r w:rsidRPr="00921120">
        <w:rPr>
          <w:rFonts w:ascii="Arial" w:hAnsi="Arial" w:cs="Arial"/>
          <w:sz w:val="20"/>
          <w:szCs w:val="20"/>
        </w:rPr>
        <w:t>6.10</w:t>
      </w:r>
      <w:r w:rsidRPr="00921120">
        <w:rPr>
          <w:rFonts w:ascii="Arial" w:hAnsi="Arial" w:cs="Arial"/>
          <w:sz w:val="20"/>
          <w:szCs w:val="20"/>
        </w:rPr>
        <w:tab/>
      </w:r>
      <w:r w:rsidR="00B26F24" w:rsidRPr="00921120">
        <w:rPr>
          <w:rFonts w:ascii="Arial" w:hAnsi="Arial" w:cs="Arial"/>
          <w:sz w:val="20"/>
          <w:szCs w:val="20"/>
        </w:rPr>
        <w:t>The Committee welcomed the visit by the Deputy Minister from the Department of Planning, Monitoring and Evaluation in the Presidency to the Nkowankowa Industrial Park last year.</w:t>
      </w:r>
    </w:p>
    <w:p w:rsidR="00B26F24" w:rsidRPr="00921120" w:rsidRDefault="00B26F24" w:rsidP="00921120">
      <w:pPr>
        <w:spacing w:line="240" w:lineRule="auto"/>
        <w:ind w:left="567" w:hanging="567"/>
        <w:jc w:val="left"/>
        <w:rPr>
          <w:rFonts w:ascii="Arial" w:hAnsi="Arial" w:cs="Arial"/>
          <w:sz w:val="20"/>
          <w:szCs w:val="20"/>
        </w:rPr>
      </w:pPr>
    </w:p>
    <w:p w:rsidR="004E31D2" w:rsidRPr="00921120" w:rsidRDefault="00B26F24" w:rsidP="00921120">
      <w:pPr>
        <w:spacing w:line="240" w:lineRule="auto"/>
        <w:ind w:left="567" w:hanging="567"/>
        <w:jc w:val="left"/>
        <w:rPr>
          <w:rFonts w:ascii="Arial" w:hAnsi="Arial" w:cs="Arial"/>
          <w:sz w:val="20"/>
          <w:szCs w:val="20"/>
        </w:rPr>
      </w:pPr>
      <w:r w:rsidRPr="00921120">
        <w:rPr>
          <w:rFonts w:ascii="Arial" w:hAnsi="Arial" w:cs="Arial"/>
          <w:sz w:val="20"/>
          <w:szCs w:val="20"/>
        </w:rPr>
        <w:t>6.11</w:t>
      </w:r>
      <w:r w:rsidRPr="00921120">
        <w:rPr>
          <w:rFonts w:ascii="Arial" w:hAnsi="Arial" w:cs="Arial"/>
          <w:sz w:val="20"/>
          <w:szCs w:val="20"/>
        </w:rPr>
        <w:tab/>
      </w:r>
      <w:r w:rsidR="004E31D2" w:rsidRPr="00921120">
        <w:rPr>
          <w:rFonts w:ascii="Arial" w:hAnsi="Arial" w:cs="Arial"/>
          <w:sz w:val="20"/>
          <w:szCs w:val="20"/>
        </w:rPr>
        <w:t>In this regard, the Committee requested the DTIC, the Local Authorities and the L</w:t>
      </w:r>
      <w:r w:rsidR="006F59DC" w:rsidRPr="00921120">
        <w:rPr>
          <w:rFonts w:ascii="Arial" w:hAnsi="Arial" w:cs="Arial"/>
          <w:sz w:val="20"/>
          <w:szCs w:val="20"/>
        </w:rPr>
        <w:t xml:space="preserve">impopo </w:t>
      </w:r>
      <w:r w:rsidR="004E31D2" w:rsidRPr="00921120">
        <w:rPr>
          <w:rFonts w:ascii="Arial" w:hAnsi="Arial" w:cs="Arial"/>
          <w:sz w:val="20"/>
          <w:szCs w:val="20"/>
        </w:rPr>
        <w:t>E</w:t>
      </w:r>
      <w:r w:rsidR="006F59DC" w:rsidRPr="00921120">
        <w:rPr>
          <w:rFonts w:ascii="Arial" w:hAnsi="Arial" w:cs="Arial"/>
          <w:sz w:val="20"/>
          <w:szCs w:val="20"/>
        </w:rPr>
        <w:t xml:space="preserve">conomic </w:t>
      </w:r>
      <w:r w:rsidR="004E31D2" w:rsidRPr="00921120">
        <w:rPr>
          <w:rFonts w:ascii="Arial" w:hAnsi="Arial" w:cs="Arial"/>
          <w:sz w:val="20"/>
          <w:szCs w:val="20"/>
        </w:rPr>
        <w:t>D</w:t>
      </w:r>
      <w:r w:rsidR="006F59DC" w:rsidRPr="00921120">
        <w:rPr>
          <w:rFonts w:ascii="Arial" w:hAnsi="Arial" w:cs="Arial"/>
          <w:sz w:val="20"/>
          <w:szCs w:val="20"/>
        </w:rPr>
        <w:t xml:space="preserve">evelopment </w:t>
      </w:r>
      <w:r w:rsidR="004E31D2" w:rsidRPr="00921120">
        <w:rPr>
          <w:rFonts w:ascii="Arial" w:hAnsi="Arial" w:cs="Arial"/>
          <w:sz w:val="20"/>
          <w:szCs w:val="20"/>
        </w:rPr>
        <w:t>A</w:t>
      </w:r>
      <w:r w:rsidR="006F59DC" w:rsidRPr="00921120">
        <w:rPr>
          <w:rFonts w:ascii="Arial" w:hAnsi="Arial" w:cs="Arial"/>
          <w:sz w:val="20"/>
          <w:szCs w:val="20"/>
        </w:rPr>
        <w:t>gency</w:t>
      </w:r>
      <w:r w:rsidR="004E31D2" w:rsidRPr="00921120">
        <w:rPr>
          <w:rFonts w:ascii="Arial" w:hAnsi="Arial" w:cs="Arial"/>
          <w:sz w:val="20"/>
          <w:szCs w:val="20"/>
        </w:rPr>
        <w:t xml:space="preserve"> to engage with Peppadew to see how they could assist to resolve the bulk water supply challenge for Peppadew and the broader Industrial Park. Failure to do so could result in the closure of Peppadew and the loss of thousands of jobs. </w:t>
      </w:r>
    </w:p>
    <w:p w:rsidR="004E31D2" w:rsidRPr="00921120" w:rsidRDefault="004E31D2" w:rsidP="00921120">
      <w:pPr>
        <w:spacing w:line="240" w:lineRule="auto"/>
        <w:ind w:left="567" w:hanging="567"/>
        <w:jc w:val="left"/>
        <w:rPr>
          <w:rFonts w:ascii="Arial" w:hAnsi="Arial" w:cs="Arial"/>
          <w:sz w:val="20"/>
          <w:szCs w:val="20"/>
        </w:rPr>
      </w:pPr>
    </w:p>
    <w:p w:rsidR="004E31D2" w:rsidRPr="00921120" w:rsidRDefault="00B26F24" w:rsidP="00921120">
      <w:pPr>
        <w:spacing w:line="240" w:lineRule="auto"/>
        <w:ind w:left="567" w:hanging="567"/>
        <w:jc w:val="left"/>
        <w:rPr>
          <w:rFonts w:ascii="Arial" w:hAnsi="Arial" w:cs="Arial"/>
          <w:sz w:val="20"/>
          <w:szCs w:val="20"/>
        </w:rPr>
      </w:pPr>
      <w:r w:rsidRPr="00921120">
        <w:rPr>
          <w:rFonts w:ascii="Arial" w:hAnsi="Arial" w:cs="Arial"/>
          <w:sz w:val="20"/>
          <w:szCs w:val="20"/>
        </w:rPr>
        <w:t>6.12</w:t>
      </w:r>
      <w:r w:rsidR="000B422E" w:rsidRPr="00921120">
        <w:rPr>
          <w:rFonts w:ascii="Arial" w:hAnsi="Arial" w:cs="Arial"/>
          <w:sz w:val="20"/>
          <w:szCs w:val="20"/>
        </w:rPr>
        <w:tab/>
      </w:r>
      <w:r w:rsidR="004E31D2" w:rsidRPr="00921120">
        <w:rPr>
          <w:rFonts w:ascii="Arial" w:hAnsi="Arial" w:cs="Arial"/>
          <w:sz w:val="20"/>
          <w:szCs w:val="20"/>
        </w:rPr>
        <w:t xml:space="preserve">The Committee commended Peppadew for its commitment to transformation and the upliftment of the surrounding communities. It encouraged Peppadew to pursue the proposed franchise model to expand production through smaller black manufacturing plants. </w:t>
      </w:r>
    </w:p>
    <w:p w:rsidR="004E31D2" w:rsidRPr="00921120" w:rsidRDefault="004E31D2" w:rsidP="00921120">
      <w:pPr>
        <w:spacing w:line="240" w:lineRule="auto"/>
        <w:ind w:left="567" w:hanging="567"/>
        <w:jc w:val="left"/>
        <w:rPr>
          <w:rFonts w:ascii="Arial" w:hAnsi="Arial" w:cs="Arial"/>
          <w:sz w:val="20"/>
          <w:szCs w:val="20"/>
        </w:rPr>
      </w:pPr>
    </w:p>
    <w:p w:rsidR="004E31D2" w:rsidRPr="00921120" w:rsidRDefault="00B26F24" w:rsidP="00921120">
      <w:pPr>
        <w:spacing w:line="240" w:lineRule="auto"/>
        <w:ind w:left="567" w:hanging="567"/>
        <w:jc w:val="left"/>
        <w:rPr>
          <w:rFonts w:ascii="Arial" w:hAnsi="Arial" w:cs="Arial"/>
          <w:sz w:val="20"/>
          <w:szCs w:val="20"/>
        </w:rPr>
      </w:pPr>
      <w:r w:rsidRPr="00921120">
        <w:rPr>
          <w:rFonts w:ascii="Arial" w:hAnsi="Arial" w:cs="Arial"/>
          <w:sz w:val="20"/>
          <w:szCs w:val="20"/>
        </w:rPr>
        <w:t>6.13</w:t>
      </w:r>
      <w:r w:rsidR="000B422E" w:rsidRPr="00921120">
        <w:rPr>
          <w:rFonts w:ascii="Arial" w:hAnsi="Arial" w:cs="Arial"/>
          <w:sz w:val="20"/>
          <w:szCs w:val="20"/>
        </w:rPr>
        <w:tab/>
      </w:r>
      <w:r w:rsidR="004E31D2" w:rsidRPr="00921120">
        <w:rPr>
          <w:rFonts w:ascii="Arial" w:hAnsi="Arial" w:cs="Arial"/>
          <w:sz w:val="20"/>
          <w:szCs w:val="20"/>
        </w:rPr>
        <w:t xml:space="preserve">The Committee encouraged better coordination between all spheres of government to ensure the viability of industrial parks. </w:t>
      </w:r>
    </w:p>
    <w:p w:rsidR="004E31D2" w:rsidRPr="00921120" w:rsidRDefault="004E31D2" w:rsidP="00921120">
      <w:pPr>
        <w:spacing w:line="240" w:lineRule="auto"/>
        <w:ind w:left="567" w:hanging="567"/>
        <w:jc w:val="left"/>
        <w:rPr>
          <w:rFonts w:ascii="Arial" w:hAnsi="Arial" w:cs="Arial"/>
          <w:sz w:val="20"/>
          <w:szCs w:val="20"/>
        </w:rPr>
      </w:pPr>
    </w:p>
    <w:p w:rsidR="004E31D2" w:rsidRPr="00921120" w:rsidRDefault="00B26F24" w:rsidP="00921120">
      <w:pPr>
        <w:spacing w:line="240" w:lineRule="auto"/>
        <w:ind w:left="567" w:hanging="567"/>
        <w:jc w:val="left"/>
        <w:rPr>
          <w:rFonts w:ascii="Arial" w:hAnsi="Arial" w:cs="Arial"/>
          <w:sz w:val="20"/>
          <w:szCs w:val="20"/>
        </w:rPr>
      </w:pPr>
      <w:r w:rsidRPr="00921120">
        <w:rPr>
          <w:rFonts w:ascii="Arial" w:hAnsi="Arial" w:cs="Arial"/>
          <w:sz w:val="20"/>
          <w:szCs w:val="20"/>
        </w:rPr>
        <w:t>6.14</w:t>
      </w:r>
      <w:r w:rsidR="000B422E" w:rsidRPr="00921120">
        <w:rPr>
          <w:rFonts w:ascii="Arial" w:hAnsi="Arial" w:cs="Arial"/>
          <w:sz w:val="20"/>
          <w:szCs w:val="20"/>
        </w:rPr>
        <w:tab/>
      </w:r>
      <w:r w:rsidR="004E31D2" w:rsidRPr="00921120">
        <w:rPr>
          <w:rFonts w:ascii="Arial" w:hAnsi="Arial" w:cs="Arial"/>
          <w:sz w:val="20"/>
          <w:szCs w:val="20"/>
        </w:rPr>
        <w:t>The Committee welcomed the progress made in the development of the northern side of the M</w:t>
      </w:r>
      <w:r w:rsidR="00E93916" w:rsidRPr="00921120">
        <w:rPr>
          <w:rFonts w:ascii="Arial" w:hAnsi="Arial" w:cs="Arial"/>
          <w:sz w:val="20"/>
          <w:szCs w:val="20"/>
        </w:rPr>
        <w:t>usina-</w:t>
      </w:r>
      <w:r w:rsidR="004E31D2" w:rsidRPr="00921120">
        <w:rPr>
          <w:rFonts w:ascii="Arial" w:hAnsi="Arial" w:cs="Arial"/>
          <w:sz w:val="20"/>
          <w:szCs w:val="20"/>
        </w:rPr>
        <w:t>M</w:t>
      </w:r>
      <w:r w:rsidR="00E93916" w:rsidRPr="00921120">
        <w:rPr>
          <w:rFonts w:ascii="Arial" w:hAnsi="Arial" w:cs="Arial"/>
          <w:sz w:val="20"/>
          <w:szCs w:val="20"/>
        </w:rPr>
        <w:t xml:space="preserve">akhado </w:t>
      </w:r>
      <w:r w:rsidR="004E31D2" w:rsidRPr="00921120">
        <w:rPr>
          <w:rFonts w:ascii="Arial" w:hAnsi="Arial" w:cs="Arial"/>
          <w:sz w:val="20"/>
          <w:szCs w:val="20"/>
        </w:rPr>
        <w:t>S</w:t>
      </w:r>
      <w:r w:rsidR="00E93916" w:rsidRPr="00921120">
        <w:rPr>
          <w:rFonts w:ascii="Arial" w:hAnsi="Arial" w:cs="Arial"/>
          <w:sz w:val="20"/>
          <w:szCs w:val="20"/>
        </w:rPr>
        <w:t xml:space="preserve">pecial </w:t>
      </w:r>
      <w:r w:rsidR="004E31D2" w:rsidRPr="00921120">
        <w:rPr>
          <w:rFonts w:ascii="Arial" w:hAnsi="Arial" w:cs="Arial"/>
          <w:sz w:val="20"/>
          <w:szCs w:val="20"/>
        </w:rPr>
        <w:t>E</w:t>
      </w:r>
      <w:r w:rsidR="00E93916" w:rsidRPr="00921120">
        <w:rPr>
          <w:rFonts w:ascii="Arial" w:hAnsi="Arial" w:cs="Arial"/>
          <w:sz w:val="20"/>
          <w:szCs w:val="20"/>
        </w:rPr>
        <w:t xml:space="preserve">conomic </w:t>
      </w:r>
      <w:r w:rsidR="004E31D2" w:rsidRPr="00921120">
        <w:rPr>
          <w:rFonts w:ascii="Arial" w:hAnsi="Arial" w:cs="Arial"/>
          <w:sz w:val="20"/>
          <w:szCs w:val="20"/>
        </w:rPr>
        <w:t>Z</w:t>
      </w:r>
      <w:r w:rsidR="00E93916" w:rsidRPr="00921120">
        <w:rPr>
          <w:rFonts w:ascii="Arial" w:hAnsi="Arial" w:cs="Arial"/>
          <w:sz w:val="20"/>
          <w:szCs w:val="20"/>
        </w:rPr>
        <w:t>one</w:t>
      </w:r>
      <w:r w:rsidR="004E31D2" w:rsidRPr="00921120">
        <w:rPr>
          <w:rFonts w:ascii="Arial" w:hAnsi="Arial" w:cs="Arial"/>
          <w:sz w:val="20"/>
          <w:szCs w:val="20"/>
        </w:rPr>
        <w:t xml:space="preserve">. It would continue its monitoring of the development bi-annually. It also welcomed the efforts by the </w:t>
      </w:r>
      <w:r w:rsidR="00A63CA6" w:rsidRPr="00921120">
        <w:rPr>
          <w:rFonts w:ascii="Arial" w:hAnsi="Arial" w:cs="Arial"/>
          <w:sz w:val="20"/>
          <w:szCs w:val="20"/>
        </w:rPr>
        <w:t>Musina-Makhado Special Economic Zone</w:t>
      </w:r>
      <w:r w:rsidR="004E31D2" w:rsidRPr="00921120">
        <w:rPr>
          <w:rFonts w:ascii="Arial" w:hAnsi="Arial" w:cs="Arial"/>
          <w:sz w:val="20"/>
          <w:szCs w:val="20"/>
        </w:rPr>
        <w:t xml:space="preserve"> Operator to involve local communities in the development of the </w:t>
      </w:r>
      <w:r w:rsidR="00A63CA6" w:rsidRPr="00921120">
        <w:rPr>
          <w:rFonts w:ascii="Arial" w:hAnsi="Arial" w:cs="Arial"/>
          <w:sz w:val="20"/>
          <w:szCs w:val="20"/>
        </w:rPr>
        <w:t>Special Economic Zone</w:t>
      </w:r>
      <w:r w:rsidR="004E31D2" w:rsidRPr="00921120">
        <w:rPr>
          <w:rFonts w:ascii="Arial" w:hAnsi="Arial" w:cs="Arial"/>
          <w:sz w:val="20"/>
          <w:szCs w:val="20"/>
        </w:rPr>
        <w:t>.</w:t>
      </w:r>
    </w:p>
    <w:p w:rsidR="004E31D2" w:rsidRPr="00921120" w:rsidRDefault="004E31D2" w:rsidP="00921120">
      <w:pPr>
        <w:spacing w:line="240" w:lineRule="auto"/>
        <w:ind w:left="567" w:hanging="567"/>
        <w:jc w:val="left"/>
        <w:rPr>
          <w:rFonts w:ascii="Arial" w:hAnsi="Arial" w:cs="Arial"/>
          <w:sz w:val="20"/>
          <w:szCs w:val="20"/>
        </w:rPr>
      </w:pPr>
    </w:p>
    <w:p w:rsidR="004E31D2" w:rsidRPr="00921120" w:rsidRDefault="00B26F24" w:rsidP="00921120">
      <w:pPr>
        <w:spacing w:line="240" w:lineRule="auto"/>
        <w:ind w:left="567" w:hanging="567"/>
        <w:jc w:val="left"/>
        <w:rPr>
          <w:rFonts w:ascii="Arial" w:hAnsi="Arial" w:cs="Arial"/>
          <w:sz w:val="20"/>
          <w:szCs w:val="20"/>
        </w:rPr>
      </w:pPr>
      <w:r w:rsidRPr="00921120">
        <w:rPr>
          <w:rFonts w:ascii="Arial" w:hAnsi="Arial" w:cs="Arial"/>
          <w:sz w:val="20"/>
          <w:szCs w:val="20"/>
        </w:rPr>
        <w:t>6.15</w:t>
      </w:r>
      <w:r w:rsidR="00D14B93" w:rsidRPr="00921120">
        <w:rPr>
          <w:rFonts w:ascii="Arial" w:hAnsi="Arial" w:cs="Arial"/>
          <w:sz w:val="20"/>
          <w:szCs w:val="20"/>
        </w:rPr>
        <w:tab/>
      </w:r>
      <w:r w:rsidR="004E31D2" w:rsidRPr="00921120">
        <w:rPr>
          <w:rFonts w:ascii="Arial" w:hAnsi="Arial" w:cs="Arial"/>
          <w:sz w:val="20"/>
          <w:szCs w:val="20"/>
        </w:rPr>
        <w:t xml:space="preserve">With regard to the National Lotteries Commission, the Committee was of the view that notwithstanding the call to expedite the investigation process, the Special Investigating Unit should follow due processes and take the necessary time to conclude its investigations. As investigations </w:t>
      </w:r>
      <w:r w:rsidR="00780D24" w:rsidRPr="00921120">
        <w:rPr>
          <w:rFonts w:ascii="Arial" w:hAnsi="Arial" w:cs="Arial"/>
          <w:sz w:val="20"/>
          <w:szCs w:val="20"/>
        </w:rPr>
        <w:t>we</w:t>
      </w:r>
      <w:r w:rsidR="004E31D2" w:rsidRPr="00921120">
        <w:rPr>
          <w:rFonts w:ascii="Arial" w:hAnsi="Arial" w:cs="Arial"/>
          <w:sz w:val="20"/>
          <w:szCs w:val="20"/>
        </w:rPr>
        <w:t xml:space="preserve">re being concluded, the </w:t>
      </w:r>
      <w:r w:rsidR="006F59DC" w:rsidRPr="00921120">
        <w:rPr>
          <w:rFonts w:ascii="Arial" w:hAnsi="Arial" w:cs="Arial"/>
          <w:sz w:val="20"/>
          <w:szCs w:val="20"/>
        </w:rPr>
        <w:t>Special Investigating Unit</w:t>
      </w:r>
      <w:r w:rsidR="004E31D2" w:rsidRPr="00921120">
        <w:rPr>
          <w:rFonts w:ascii="Arial" w:hAnsi="Arial" w:cs="Arial"/>
          <w:sz w:val="20"/>
          <w:szCs w:val="20"/>
        </w:rPr>
        <w:t xml:space="preserve"> should refer matters to the National Prosecuting Authority for prosecution. </w:t>
      </w:r>
    </w:p>
    <w:p w:rsidR="004E31D2" w:rsidRPr="00921120" w:rsidRDefault="004E31D2" w:rsidP="00921120">
      <w:pPr>
        <w:spacing w:line="240" w:lineRule="auto"/>
        <w:ind w:left="567" w:hanging="567"/>
        <w:jc w:val="left"/>
        <w:rPr>
          <w:rFonts w:ascii="Arial" w:hAnsi="Arial" w:cs="Arial"/>
          <w:sz w:val="20"/>
          <w:szCs w:val="20"/>
        </w:rPr>
      </w:pPr>
    </w:p>
    <w:p w:rsidR="004E31D2" w:rsidRPr="00921120" w:rsidRDefault="00B26F24" w:rsidP="00921120">
      <w:pPr>
        <w:spacing w:line="240" w:lineRule="auto"/>
        <w:ind w:left="567" w:hanging="567"/>
        <w:jc w:val="left"/>
        <w:rPr>
          <w:rFonts w:ascii="Arial" w:hAnsi="Arial" w:cs="Arial"/>
          <w:sz w:val="20"/>
          <w:szCs w:val="20"/>
        </w:rPr>
      </w:pPr>
      <w:r w:rsidRPr="00921120">
        <w:rPr>
          <w:rFonts w:ascii="Arial" w:hAnsi="Arial" w:cs="Arial"/>
          <w:sz w:val="20"/>
          <w:szCs w:val="20"/>
        </w:rPr>
        <w:t>6.16</w:t>
      </w:r>
      <w:r w:rsidR="00D14B93" w:rsidRPr="00921120">
        <w:rPr>
          <w:rFonts w:ascii="Arial" w:hAnsi="Arial" w:cs="Arial"/>
          <w:sz w:val="20"/>
          <w:szCs w:val="20"/>
        </w:rPr>
        <w:tab/>
      </w:r>
      <w:r w:rsidR="004E31D2" w:rsidRPr="00921120">
        <w:rPr>
          <w:rFonts w:ascii="Arial" w:hAnsi="Arial" w:cs="Arial"/>
          <w:sz w:val="20"/>
          <w:szCs w:val="20"/>
        </w:rPr>
        <w:t>With the proposed Revised Research-Based (Pro-active) Funding Model, the Committee support</w:t>
      </w:r>
      <w:r w:rsidR="00780D24" w:rsidRPr="00921120">
        <w:rPr>
          <w:rFonts w:ascii="Arial" w:hAnsi="Arial" w:cs="Arial"/>
          <w:sz w:val="20"/>
          <w:szCs w:val="20"/>
        </w:rPr>
        <w:t>ed</w:t>
      </w:r>
      <w:r w:rsidR="004E31D2" w:rsidRPr="00921120">
        <w:rPr>
          <w:rFonts w:ascii="Arial" w:hAnsi="Arial" w:cs="Arial"/>
          <w:sz w:val="20"/>
          <w:szCs w:val="20"/>
        </w:rPr>
        <w:t xml:space="preserve"> the approach that the Board identifies specific strategic areas to be researched to inform the relevance of funding such projects. It </w:t>
      </w:r>
      <w:r w:rsidR="00780D24" w:rsidRPr="00921120">
        <w:rPr>
          <w:rFonts w:ascii="Arial" w:hAnsi="Arial" w:cs="Arial"/>
          <w:sz w:val="20"/>
          <w:szCs w:val="20"/>
        </w:rPr>
        <w:t>wa</w:t>
      </w:r>
      <w:r w:rsidR="004E31D2" w:rsidRPr="00921120">
        <w:rPr>
          <w:rFonts w:ascii="Arial" w:hAnsi="Arial" w:cs="Arial"/>
          <w:sz w:val="20"/>
          <w:szCs w:val="20"/>
        </w:rPr>
        <w:t xml:space="preserve">s also important to consider how pro-active funding could assist with the triple challenges of poverty, inequality and unemployment in this regard. </w:t>
      </w:r>
    </w:p>
    <w:p w:rsidR="004E31D2" w:rsidRPr="00921120" w:rsidRDefault="004E31D2" w:rsidP="00921120">
      <w:pPr>
        <w:spacing w:line="240" w:lineRule="auto"/>
        <w:ind w:left="567" w:hanging="567"/>
        <w:jc w:val="left"/>
        <w:rPr>
          <w:rFonts w:ascii="Arial" w:hAnsi="Arial" w:cs="Arial"/>
          <w:sz w:val="20"/>
          <w:szCs w:val="20"/>
        </w:rPr>
      </w:pPr>
    </w:p>
    <w:p w:rsidR="004E31D2" w:rsidRPr="00921120" w:rsidRDefault="00B26F24" w:rsidP="00921120">
      <w:pPr>
        <w:spacing w:line="240" w:lineRule="auto"/>
        <w:ind w:left="567" w:hanging="567"/>
        <w:jc w:val="left"/>
        <w:rPr>
          <w:rFonts w:ascii="Arial" w:hAnsi="Arial" w:cs="Arial"/>
          <w:sz w:val="20"/>
          <w:szCs w:val="20"/>
        </w:rPr>
      </w:pPr>
      <w:r w:rsidRPr="00921120">
        <w:rPr>
          <w:rFonts w:ascii="Arial" w:hAnsi="Arial" w:cs="Arial"/>
          <w:sz w:val="20"/>
          <w:szCs w:val="20"/>
        </w:rPr>
        <w:t>6.17</w:t>
      </w:r>
      <w:r w:rsidR="00D14B93" w:rsidRPr="00921120">
        <w:rPr>
          <w:rFonts w:ascii="Arial" w:hAnsi="Arial" w:cs="Arial"/>
          <w:sz w:val="20"/>
          <w:szCs w:val="20"/>
        </w:rPr>
        <w:tab/>
      </w:r>
      <w:r w:rsidR="004E31D2" w:rsidRPr="00921120">
        <w:rPr>
          <w:rFonts w:ascii="Arial" w:hAnsi="Arial" w:cs="Arial"/>
          <w:sz w:val="20"/>
          <w:szCs w:val="20"/>
        </w:rPr>
        <w:t>While the Committee welcomed the C</w:t>
      </w:r>
      <w:r w:rsidR="002D1606" w:rsidRPr="00921120">
        <w:rPr>
          <w:rFonts w:ascii="Arial" w:hAnsi="Arial" w:cs="Arial"/>
          <w:sz w:val="20"/>
          <w:szCs w:val="20"/>
        </w:rPr>
        <w:t>ommission</w:t>
      </w:r>
      <w:r w:rsidR="004E31D2" w:rsidRPr="00921120">
        <w:rPr>
          <w:rFonts w:ascii="Arial" w:hAnsi="Arial" w:cs="Arial"/>
          <w:sz w:val="20"/>
          <w:szCs w:val="20"/>
        </w:rPr>
        <w:t xml:space="preserve">’s process to adopt a new approach with regard to pro-active funding, it emphasised that any policy changes around the proactive funding should be accompanied by the necessary legislative amendments. This would provide the necessary legal certainty for future decisions around proactive funding. However, the Committee remained concerned about the indefinite timeframe for the moratorium on pro-active funding. </w:t>
      </w:r>
    </w:p>
    <w:p w:rsidR="004E31D2" w:rsidRPr="00921120" w:rsidRDefault="004E31D2" w:rsidP="00921120">
      <w:pPr>
        <w:spacing w:line="240" w:lineRule="auto"/>
        <w:ind w:left="567" w:hanging="567"/>
        <w:jc w:val="left"/>
        <w:rPr>
          <w:rFonts w:ascii="Arial" w:hAnsi="Arial" w:cs="Arial"/>
          <w:sz w:val="20"/>
          <w:szCs w:val="20"/>
        </w:rPr>
      </w:pPr>
    </w:p>
    <w:p w:rsidR="004E31D2" w:rsidRPr="00921120" w:rsidRDefault="00B26F24" w:rsidP="00921120">
      <w:pPr>
        <w:spacing w:line="240" w:lineRule="auto"/>
        <w:ind w:left="567" w:hanging="567"/>
        <w:jc w:val="left"/>
        <w:rPr>
          <w:rFonts w:ascii="Arial" w:hAnsi="Arial" w:cs="Arial"/>
          <w:sz w:val="20"/>
          <w:szCs w:val="20"/>
        </w:rPr>
      </w:pPr>
      <w:r w:rsidRPr="00921120">
        <w:rPr>
          <w:rFonts w:ascii="Arial" w:hAnsi="Arial" w:cs="Arial"/>
          <w:sz w:val="20"/>
          <w:szCs w:val="20"/>
        </w:rPr>
        <w:t>6.18</w:t>
      </w:r>
      <w:r w:rsidR="00D14B93" w:rsidRPr="00921120">
        <w:rPr>
          <w:rFonts w:ascii="Arial" w:hAnsi="Arial" w:cs="Arial"/>
          <w:sz w:val="20"/>
          <w:szCs w:val="20"/>
        </w:rPr>
        <w:tab/>
      </w:r>
      <w:r w:rsidR="004E31D2" w:rsidRPr="00921120">
        <w:rPr>
          <w:rFonts w:ascii="Arial" w:hAnsi="Arial" w:cs="Arial"/>
          <w:sz w:val="20"/>
          <w:szCs w:val="20"/>
        </w:rPr>
        <w:t>The Committee welcomed the recognition by the C</w:t>
      </w:r>
      <w:r w:rsidR="002D1606" w:rsidRPr="00921120">
        <w:rPr>
          <w:rFonts w:ascii="Arial" w:hAnsi="Arial" w:cs="Arial"/>
          <w:sz w:val="20"/>
          <w:szCs w:val="20"/>
        </w:rPr>
        <w:t>ommission</w:t>
      </w:r>
      <w:r w:rsidR="004E31D2" w:rsidRPr="00921120">
        <w:rPr>
          <w:rFonts w:ascii="Arial" w:hAnsi="Arial" w:cs="Arial"/>
          <w:sz w:val="20"/>
          <w:szCs w:val="20"/>
        </w:rPr>
        <w:t xml:space="preserve"> that its due diligence with respect to pre</w:t>
      </w:r>
      <w:r w:rsidR="002D1606" w:rsidRPr="00921120">
        <w:rPr>
          <w:rFonts w:ascii="Arial" w:hAnsi="Arial" w:cs="Arial"/>
          <w:sz w:val="20"/>
          <w:szCs w:val="20"/>
        </w:rPr>
        <w:t>-</w:t>
      </w:r>
      <w:r w:rsidR="004E31D2" w:rsidRPr="00921120">
        <w:rPr>
          <w:rFonts w:ascii="Arial" w:hAnsi="Arial" w:cs="Arial"/>
          <w:sz w:val="20"/>
          <w:szCs w:val="20"/>
        </w:rPr>
        <w:t xml:space="preserve"> and post</w:t>
      </w:r>
      <w:r w:rsidR="002D1606" w:rsidRPr="00921120">
        <w:rPr>
          <w:rFonts w:ascii="Arial" w:hAnsi="Arial" w:cs="Arial"/>
          <w:sz w:val="20"/>
          <w:szCs w:val="20"/>
        </w:rPr>
        <w:t>-</w:t>
      </w:r>
      <w:r w:rsidR="004E31D2" w:rsidRPr="00921120">
        <w:rPr>
          <w:rFonts w:ascii="Arial" w:hAnsi="Arial" w:cs="Arial"/>
          <w:sz w:val="20"/>
          <w:szCs w:val="20"/>
        </w:rPr>
        <w:t xml:space="preserve">monitoring of grant-funded projects had been flawed. It acknowledged the proposed changes to strengthen monitoring including the consideration of geographical markers to improve the location of projects, particularly in rural areas. </w:t>
      </w:r>
      <w:r w:rsidR="002D1606" w:rsidRPr="00921120">
        <w:rPr>
          <w:rFonts w:ascii="Arial" w:hAnsi="Arial" w:cs="Arial"/>
          <w:sz w:val="20"/>
          <w:szCs w:val="20"/>
        </w:rPr>
        <w:t>Furthermore, it</w:t>
      </w:r>
      <w:r w:rsidR="004E31D2" w:rsidRPr="00921120">
        <w:rPr>
          <w:rFonts w:ascii="Arial" w:hAnsi="Arial" w:cs="Arial"/>
          <w:sz w:val="20"/>
          <w:szCs w:val="20"/>
        </w:rPr>
        <w:t xml:space="preserve"> welcomed the C</w:t>
      </w:r>
      <w:r w:rsidR="002D1606" w:rsidRPr="00921120">
        <w:rPr>
          <w:rFonts w:ascii="Arial" w:hAnsi="Arial" w:cs="Arial"/>
          <w:sz w:val="20"/>
          <w:szCs w:val="20"/>
        </w:rPr>
        <w:t>ommission</w:t>
      </w:r>
      <w:r w:rsidR="004E31D2" w:rsidRPr="00921120">
        <w:rPr>
          <w:rFonts w:ascii="Arial" w:hAnsi="Arial" w:cs="Arial"/>
          <w:sz w:val="20"/>
          <w:szCs w:val="20"/>
        </w:rPr>
        <w:t>’s commitment to move from “sample” monitoring to monitoring of all projects and to build it</w:t>
      </w:r>
      <w:r w:rsidR="002D1606" w:rsidRPr="00921120">
        <w:rPr>
          <w:rFonts w:ascii="Arial" w:hAnsi="Arial" w:cs="Arial"/>
          <w:sz w:val="20"/>
          <w:szCs w:val="20"/>
        </w:rPr>
        <w:t>s</w:t>
      </w:r>
      <w:r w:rsidR="004E31D2" w:rsidRPr="00921120">
        <w:rPr>
          <w:rFonts w:ascii="Arial" w:hAnsi="Arial" w:cs="Arial"/>
          <w:sz w:val="20"/>
          <w:szCs w:val="20"/>
        </w:rPr>
        <w:t xml:space="preserve"> monitoring and auditing capacity.</w:t>
      </w:r>
    </w:p>
    <w:p w:rsidR="004E31D2" w:rsidRPr="00921120" w:rsidRDefault="004E31D2" w:rsidP="00921120">
      <w:pPr>
        <w:spacing w:line="240" w:lineRule="auto"/>
        <w:ind w:left="567" w:hanging="567"/>
        <w:jc w:val="left"/>
        <w:rPr>
          <w:rFonts w:ascii="Arial" w:hAnsi="Arial" w:cs="Arial"/>
          <w:sz w:val="20"/>
          <w:szCs w:val="20"/>
        </w:rPr>
      </w:pPr>
    </w:p>
    <w:p w:rsidR="004E31D2" w:rsidRPr="00921120" w:rsidRDefault="00B26F24" w:rsidP="00921120">
      <w:pPr>
        <w:spacing w:line="240" w:lineRule="auto"/>
        <w:ind w:left="567" w:hanging="567"/>
        <w:jc w:val="left"/>
        <w:rPr>
          <w:rFonts w:ascii="Arial" w:hAnsi="Arial" w:cs="Arial"/>
          <w:sz w:val="20"/>
          <w:szCs w:val="20"/>
        </w:rPr>
      </w:pPr>
      <w:r w:rsidRPr="00921120">
        <w:rPr>
          <w:rFonts w:ascii="Arial" w:hAnsi="Arial" w:cs="Arial"/>
          <w:sz w:val="20"/>
          <w:szCs w:val="20"/>
        </w:rPr>
        <w:t>6.19</w:t>
      </w:r>
      <w:r w:rsidR="00D14B93" w:rsidRPr="00921120">
        <w:rPr>
          <w:rFonts w:ascii="Arial" w:hAnsi="Arial" w:cs="Arial"/>
          <w:sz w:val="20"/>
          <w:szCs w:val="20"/>
        </w:rPr>
        <w:tab/>
      </w:r>
      <w:r w:rsidR="004E31D2" w:rsidRPr="00921120">
        <w:rPr>
          <w:rFonts w:ascii="Arial" w:hAnsi="Arial" w:cs="Arial"/>
          <w:sz w:val="20"/>
          <w:szCs w:val="20"/>
        </w:rPr>
        <w:t>Notwithstanding the progress report around the filling of vacancies, the Committee expressed its concern around the continued failure to fill these critical positions. Given the negative perceptions by most South Africans regarding the C</w:t>
      </w:r>
      <w:r w:rsidR="002D1606" w:rsidRPr="00921120">
        <w:rPr>
          <w:rFonts w:ascii="Arial" w:hAnsi="Arial" w:cs="Arial"/>
          <w:sz w:val="20"/>
          <w:szCs w:val="20"/>
        </w:rPr>
        <w:t>ommission</w:t>
      </w:r>
      <w:r w:rsidR="004E31D2" w:rsidRPr="00921120">
        <w:rPr>
          <w:rFonts w:ascii="Arial" w:hAnsi="Arial" w:cs="Arial"/>
          <w:sz w:val="20"/>
          <w:szCs w:val="20"/>
        </w:rPr>
        <w:t xml:space="preserve">, it was imperative that the appointment processes regarding these senior executives were expedited. </w:t>
      </w:r>
    </w:p>
    <w:p w:rsidR="00EC50C1" w:rsidRPr="00921120" w:rsidRDefault="00EC50C1" w:rsidP="00921120">
      <w:pPr>
        <w:spacing w:line="240" w:lineRule="auto"/>
        <w:ind w:left="567" w:hanging="567"/>
        <w:jc w:val="left"/>
        <w:rPr>
          <w:rFonts w:ascii="Arial" w:hAnsi="Arial" w:cs="Arial"/>
          <w:sz w:val="20"/>
          <w:szCs w:val="20"/>
        </w:rPr>
      </w:pPr>
    </w:p>
    <w:p w:rsidR="00F80CF1" w:rsidRPr="00921120" w:rsidRDefault="00F80CF1" w:rsidP="00921120">
      <w:pPr>
        <w:spacing w:line="240" w:lineRule="auto"/>
        <w:jc w:val="left"/>
        <w:rPr>
          <w:rFonts w:ascii="Arial" w:hAnsi="Arial" w:cs="Arial"/>
          <w:sz w:val="20"/>
          <w:szCs w:val="20"/>
        </w:rPr>
      </w:pPr>
    </w:p>
    <w:p w:rsidR="00F51D73" w:rsidRPr="00921120" w:rsidRDefault="00F80CF1" w:rsidP="00921120">
      <w:pPr>
        <w:pStyle w:val="Heading1"/>
        <w:spacing w:line="240" w:lineRule="auto"/>
        <w:jc w:val="left"/>
        <w:rPr>
          <w:rFonts w:ascii="Arial" w:hAnsi="Arial" w:cs="Arial"/>
          <w:sz w:val="20"/>
          <w:szCs w:val="20"/>
        </w:rPr>
      </w:pPr>
      <w:r w:rsidRPr="00921120">
        <w:rPr>
          <w:rFonts w:ascii="Arial" w:hAnsi="Arial" w:cs="Arial"/>
          <w:sz w:val="20"/>
          <w:szCs w:val="20"/>
        </w:rPr>
        <w:t>Acknowledgements</w:t>
      </w:r>
    </w:p>
    <w:p w:rsidR="00F51D73" w:rsidRPr="00921120" w:rsidRDefault="00F51D73" w:rsidP="00921120">
      <w:pPr>
        <w:spacing w:line="240" w:lineRule="auto"/>
        <w:jc w:val="left"/>
        <w:rPr>
          <w:rFonts w:ascii="Arial" w:hAnsi="Arial" w:cs="Arial"/>
          <w:sz w:val="20"/>
          <w:szCs w:val="20"/>
        </w:rPr>
      </w:pPr>
    </w:p>
    <w:p w:rsidR="00F80CF1" w:rsidRPr="00921120" w:rsidRDefault="00F80CF1" w:rsidP="00921120">
      <w:pPr>
        <w:spacing w:line="240" w:lineRule="auto"/>
        <w:jc w:val="left"/>
        <w:rPr>
          <w:rFonts w:ascii="Arial" w:hAnsi="Arial" w:cs="Arial"/>
          <w:sz w:val="20"/>
          <w:szCs w:val="20"/>
        </w:rPr>
      </w:pPr>
      <w:r w:rsidRPr="00921120">
        <w:rPr>
          <w:rFonts w:ascii="Arial" w:hAnsi="Arial" w:cs="Arial"/>
          <w:sz w:val="20"/>
          <w:szCs w:val="20"/>
        </w:rPr>
        <w:t xml:space="preserve">The Committee </w:t>
      </w:r>
      <w:r w:rsidRPr="00921120">
        <w:rPr>
          <w:rFonts w:ascii="Arial" w:eastAsia="Times New Roman" w:hAnsi="Arial" w:cs="Arial"/>
          <w:sz w:val="20"/>
          <w:szCs w:val="20"/>
        </w:rPr>
        <w:t>would like to thank</w:t>
      </w:r>
      <w:r w:rsidRPr="00921120">
        <w:rPr>
          <w:rFonts w:ascii="Arial" w:hAnsi="Arial" w:cs="Arial"/>
          <w:sz w:val="20"/>
          <w:szCs w:val="20"/>
        </w:rPr>
        <w:t xml:space="preserve"> the management </w:t>
      </w:r>
      <w:r w:rsidR="0075389A" w:rsidRPr="00921120">
        <w:rPr>
          <w:rFonts w:ascii="Arial" w:hAnsi="Arial" w:cs="Arial"/>
          <w:sz w:val="20"/>
          <w:szCs w:val="20"/>
        </w:rPr>
        <w:t xml:space="preserve">and senior officials </w:t>
      </w:r>
      <w:r w:rsidRPr="00921120">
        <w:rPr>
          <w:rFonts w:ascii="Arial" w:hAnsi="Arial" w:cs="Arial"/>
          <w:sz w:val="20"/>
          <w:szCs w:val="20"/>
        </w:rPr>
        <w:t xml:space="preserve">of the </w:t>
      </w:r>
      <w:r w:rsidR="0071152E" w:rsidRPr="00921120">
        <w:rPr>
          <w:rFonts w:ascii="Arial" w:hAnsi="Arial" w:cs="Arial"/>
          <w:sz w:val="20"/>
          <w:szCs w:val="20"/>
        </w:rPr>
        <w:t xml:space="preserve">South African </w:t>
      </w:r>
      <w:r w:rsidR="007F3DBE" w:rsidRPr="00921120">
        <w:rPr>
          <w:rFonts w:ascii="Arial" w:hAnsi="Arial" w:cs="Arial"/>
          <w:sz w:val="20"/>
          <w:szCs w:val="20"/>
        </w:rPr>
        <w:t>R</w:t>
      </w:r>
      <w:r w:rsidR="0071152E" w:rsidRPr="00921120">
        <w:rPr>
          <w:rFonts w:ascii="Arial" w:hAnsi="Arial" w:cs="Arial"/>
          <w:sz w:val="20"/>
          <w:szCs w:val="20"/>
        </w:rPr>
        <w:t xml:space="preserve">evenue Service, </w:t>
      </w:r>
      <w:r w:rsidR="002D1606" w:rsidRPr="00921120">
        <w:rPr>
          <w:rFonts w:ascii="Arial" w:hAnsi="Arial" w:cs="Arial"/>
          <w:sz w:val="20"/>
          <w:szCs w:val="20"/>
        </w:rPr>
        <w:t xml:space="preserve">the </w:t>
      </w:r>
      <w:r w:rsidRPr="00921120">
        <w:rPr>
          <w:rFonts w:ascii="Arial" w:hAnsi="Arial" w:cs="Arial"/>
          <w:sz w:val="20"/>
          <w:szCs w:val="20"/>
        </w:rPr>
        <w:t>National Regulator for Compulsory Specifications</w:t>
      </w:r>
      <w:r w:rsidR="0075389A" w:rsidRPr="00921120">
        <w:rPr>
          <w:rFonts w:ascii="Arial" w:hAnsi="Arial" w:cs="Arial"/>
          <w:sz w:val="20"/>
          <w:szCs w:val="20"/>
        </w:rPr>
        <w:t>,</w:t>
      </w:r>
      <w:r w:rsidRPr="00921120">
        <w:rPr>
          <w:rFonts w:ascii="Arial" w:hAnsi="Arial" w:cs="Arial"/>
          <w:sz w:val="20"/>
          <w:szCs w:val="20"/>
        </w:rPr>
        <w:t xml:space="preserve"> </w:t>
      </w:r>
      <w:r w:rsidR="0075389A" w:rsidRPr="00921120">
        <w:rPr>
          <w:rFonts w:ascii="Arial" w:hAnsi="Arial" w:cs="Arial"/>
          <w:sz w:val="20"/>
          <w:szCs w:val="20"/>
        </w:rPr>
        <w:t xml:space="preserve">the </w:t>
      </w:r>
      <w:r w:rsidR="0071152E" w:rsidRPr="00921120">
        <w:rPr>
          <w:rFonts w:ascii="Arial" w:hAnsi="Arial" w:cs="Arial"/>
          <w:sz w:val="20"/>
          <w:szCs w:val="20"/>
        </w:rPr>
        <w:t xml:space="preserve">Limpopo </w:t>
      </w:r>
      <w:r w:rsidR="0075389A" w:rsidRPr="00921120">
        <w:rPr>
          <w:rFonts w:ascii="Arial" w:hAnsi="Arial" w:cs="Arial"/>
          <w:sz w:val="20"/>
          <w:szCs w:val="20"/>
        </w:rPr>
        <w:t>Department of Economic Development</w:t>
      </w:r>
      <w:r w:rsidR="0071152E" w:rsidRPr="00921120">
        <w:rPr>
          <w:rFonts w:ascii="Arial" w:hAnsi="Arial" w:cs="Arial"/>
          <w:sz w:val="20"/>
          <w:szCs w:val="20"/>
        </w:rPr>
        <w:t>, Environment</w:t>
      </w:r>
      <w:r w:rsidR="0075389A" w:rsidRPr="00921120">
        <w:rPr>
          <w:rFonts w:ascii="Arial" w:hAnsi="Arial" w:cs="Arial"/>
          <w:sz w:val="20"/>
          <w:szCs w:val="20"/>
        </w:rPr>
        <w:t xml:space="preserve"> and Tourism, the </w:t>
      </w:r>
      <w:r w:rsidR="0071152E" w:rsidRPr="00921120">
        <w:rPr>
          <w:rFonts w:ascii="Arial" w:hAnsi="Arial" w:cs="Arial"/>
          <w:sz w:val="20"/>
          <w:szCs w:val="20"/>
        </w:rPr>
        <w:t xml:space="preserve">Limpopo </w:t>
      </w:r>
      <w:r w:rsidR="0075389A" w:rsidRPr="00921120">
        <w:rPr>
          <w:rFonts w:ascii="Arial" w:hAnsi="Arial" w:cs="Arial"/>
          <w:sz w:val="20"/>
          <w:szCs w:val="20"/>
        </w:rPr>
        <w:t xml:space="preserve">Economic </w:t>
      </w:r>
      <w:r w:rsidR="0071152E" w:rsidRPr="00921120">
        <w:rPr>
          <w:rFonts w:ascii="Arial" w:hAnsi="Arial" w:cs="Arial"/>
          <w:sz w:val="20"/>
          <w:szCs w:val="20"/>
        </w:rPr>
        <w:t>Development Agency, the National Lotteries Commission</w:t>
      </w:r>
      <w:r w:rsidR="0075389A" w:rsidRPr="00921120">
        <w:rPr>
          <w:rFonts w:ascii="Arial" w:hAnsi="Arial" w:cs="Arial"/>
          <w:sz w:val="20"/>
          <w:szCs w:val="20"/>
        </w:rPr>
        <w:t>, and the DTIC</w:t>
      </w:r>
      <w:r w:rsidRPr="00921120">
        <w:rPr>
          <w:rFonts w:ascii="Arial" w:hAnsi="Arial" w:cs="Arial"/>
          <w:sz w:val="20"/>
          <w:szCs w:val="20"/>
        </w:rPr>
        <w:t xml:space="preserve"> for their cooperation </w:t>
      </w:r>
      <w:r w:rsidRPr="00921120">
        <w:rPr>
          <w:rFonts w:ascii="Arial" w:eastAsia="Times New Roman" w:hAnsi="Arial" w:cs="Arial"/>
          <w:sz w:val="20"/>
          <w:szCs w:val="20"/>
        </w:rPr>
        <w:t>and transparency during this process</w:t>
      </w:r>
      <w:r w:rsidRPr="00921120">
        <w:rPr>
          <w:rFonts w:ascii="Arial" w:hAnsi="Arial" w:cs="Arial"/>
          <w:sz w:val="20"/>
          <w:szCs w:val="20"/>
        </w:rPr>
        <w:t>.</w:t>
      </w:r>
    </w:p>
    <w:p w:rsidR="00F80CF1" w:rsidRPr="00921120" w:rsidRDefault="00F80CF1" w:rsidP="00921120">
      <w:pPr>
        <w:spacing w:line="240" w:lineRule="auto"/>
        <w:jc w:val="left"/>
        <w:rPr>
          <w:rFonts w:ascii="Arial" w:hAnsi="Arial" w:cs="Arial"/>
          <w:sz w:val="20"/>
          <w:szCs w:val="20"/>
        </w:rPr>
      </w:pPr>
    </w:p>
    <w:p w:rsidR="00F51D73" w:rsidRPr="00921120" w:rsidRDefault="00F80CF1" w:rsidP="00921120">
      <w:pPr>
        <w:spacing w:line="240" w:lineRule="auto"/>
        <w:jc w:val="left"/>
        <w:rPr>
          <w:rFonts w:ascii="Arial" w:hAnsi="Arial" w:cs="Arial"/>
          <w:sz w:val="20"/>
          <w:szCs w:val="20"/>
        </w:rPr>
      </w:pPr>
      <w:r w:rsidRPr="00921120">
        <w:rPr>
          <w:rFonts w:ascii="Arial" w:hAnsi="Arial" w:cs="Arial"/>
          <w:sz w:val="20"/>
          <w:szCs w:val="20"/>
        </w:rPr>
        <w:t>The Committee also wishe</w:t>
      </w:r>
      <w:r w:rsidR="002D1606" w:rsidRPr="00921120">
        <w:rPr>
          <w:rFonts w:ascii="Arial" w:hAnsi="Arial" w:cs="Arial"/>
          <w:sz w:val="20"/>
          <w:szCs w:val="20"/>
        </w:rPr>
        <w:t>d</w:t>
      </w:r>
      <w:r w:rsidRPr="00921120">
        <w:rPr>
          <w:rFonts w:ascii="Arial" w:hAnsi="Arial" w:cs="Arial"/>
          <w:sz w:val="20"/>
          <w:szCs w:val="20"/>
        </w:rPr>
        <w:t xml:space="preserve"> to thank its support staff in pa</w:t>
      </w:r>
      <w:r w:rsidR="001A0878" w:rsidRPr="00921120">
        <w:rPr>
          <w:rFonts w:ascii="Arial" w:hAnsi="Arial" w:cs="Arial"/>
          <w:sz w:val="20"/>
          <w:szCs w:val="20"/>
        </w:rPr>
        <w:t>rt</w:t>
      </w:r>
      <w:r w:rsidR="0071152E" w:rsidRPr="00921120">
        <w:rPr>
          <w:rFonts w:ascii="Arial" w:hAnsi="Arial" w:cs="Arial"/>
          <w:sz w:val="20"/>
          <w:szCs w:val="20"/>
        </w:rPr>
        <w:t>icular the committee secretary</w:t>
      </w:r>
      <w:r w:rsidRPr="00921120">
        <w:rPr>
          <w:rFonts w:ascii="Arial" w:hAnsi="Arial" w:cs="Arial"/>
          <w:sz w:val="20"/>
          <w:szCs w:val="20"/>
        </w:rPr>
        <w:t xml:space="preserve">, Mr </w:t>
      </w:r>
      <w:r w:rsidR="00587287" w:rsidRPr="00921120">
        <w:rPr>
          <w:rFonts w:ascii="Arial" w:hAnsi="Arial" w:cs="Arial"/>
          <w:sz w:val="20"/>
          <w:szCs w:val="20"/>
        </w:rPr>
        <w:t>A Hermans</w:t>
      </w:r>
      <w:r w:rsidR="00284D24" w:rsidRPr="00921120">
        <w:rPr>
          <w:rFonts w:ascii="Arial" w:hAnsi="Arial" w:cs="Arial"/>
          <w:sz w:val="20"/>
          <w:szCs w:val="20"/>
        </w:rPr>
        <w:t>;</w:t>
      </w:r>
      <w:r w:rsidRPr="00921120">
        <w:rPr>
          <w:rFonts w:ascii="Arial" w:hAnsi="Arial" w:cs="Arial"/>
          <w:sz w:val="20"/>
          <w:szCs w:val="20"/>
        </w:rPr>
        <w:t xml:space="preserve"> th</w:t>
      </w:r>
      <w:r w:rsidR="00284D24" w:rsidRPr="00921120">
        <w:rPr>
          <w:rFonts w:ascii="Arial" w:hAnsi="Arial" w:cs="Arial"/>
          <w:sz w:val="20"/>
          <w:szCs w:val="20"/>
        </w:rPr>
        <w:t>e content advisor, Ms M Sheldon;</w:t>
      </w:r>
      <w:r w:rsidRPr="00921120">
        <w:rPr>
          <w:rFonts w:ascii="Arial" w:hAnsi="Arial" w:cs="Arial"/>
          <w:sz w:val="20"/>
          <w:szCs w:val="20"/>
        </w:rPr>
        <w:t xml:space="preserve"> </w:t>
      </w:r>
      <w:r w:rsidR="002D1606" w:rsidRPr="00921120">
        <w:rPr>
          <w:rFonts w:ascii="Arial" w:hAnsi="Arial" w:cs="Arial"/>
          <w:sz w:val="20"/>
          <w:szCs w:val="20"/>
        </w:rPr>
        <w:t xml:space="preserve">the researcher, Ms Z Madalane; </w:t>
      </w:r>
      <w:r w:rsidRPr="00921120">
        <w:rPr>
          <w:rFonts w:ascii="Arial" w:hAnsi="Arial" w:cs="Arial"/>
          <w:sz w:val="20"/>
          <w:szCs w:val="20"/>
        </w:rPr>
        <w:t>and the committee assistant, Ms Y Manakaza, for their professional support and conscientious commitment and dedication to their work.  The Chairperson wishe</w:t>
      </w:r>
      <w:r w:rsidR="002D1606" w:rsidRPr="00921120">
        <w:rPr>
          <w:rFonts w:ascii="Arial" w:hAnsi="Arial" w:cs="Arial"/>
          <w:sz w:val="20"/>
          <w:szCs w:val="20"/>
        </w:rPr>
        <w:t>d</w:t>
      </w:r>
      <w:r w:rsidRPr="00921120">
        <w:rPr>
          <w:rFonts w:ascii="Arial" w:hAnsi="Arial" w:cs="Arial"/>
          <w:sz w:val="20"/>
          <w:szCs w:val="20"/>
        </w:rPr>
        <w:t xml:space="preserve"> to thank all Members of the Committee for their active participation during the process of engagement and deliberations and their constructive recommendations reflected in this report. </w:t>
      </w:r>
    </w:p>
    <w:p w:rsidR="00D14B93" w:rsidRPr="00921120" w:rsidRDefault="00D14B93" w:rsidP="00921120">
      <w:pPr>
        <w:pStyle w:val="Heading1"/>
        <w:numPr>
          <w:ilvl w:val="0"/>
          <w:numId w:val="0"/>
        </w:numPr>
        <w:spacing w:line="240" w:lineRule="auto"/>
        <w:jc w:val="left"/>
        <w:rPr>
          <w:rFonts w:ascii="Arial" w:hAnsi="Arial" w:cs="Arial"/>
          <w:b w:val="0"/>
          <w:sz w:val="20"/>
          <w:szCs w:val="20"/>
        </w:rPr>
      </w:pPr>
    </w:p>
    <w:p w:rsidR="00D14B93" w:rsidRPr="00921120" w:rsidRDefault="00D14B93" w:rsidP="00921120">
      <w:pPr>
        <w:pStyle w:val="Heading1"/>
        <w:numPr>
          <w:ilvl w:val="0"/>
          <w:numId w:val="0"/>
        </w:numPr>
        <w:spacing w:line="240" w:lineRule="auto"/>
        <w:jc w:val="left"/>
        <w:rPr>
          <w:rFonts w:ascii="Arial" w:hAnsi="Arial" w:cs="Arial"/>
          <w:sz w:val="20"/>
          <w:szCs w:val="20"/>
        </w:rPr>
      </w:pPr>
    </w:p>
    <w:p w:rsidR="00D14B93" w:rsidRPr="00921120" w:rsidRDefault="00D14B93" w:rsidP="00921120">
      <w:pPr>
        <w:pStyle w:val="Heading1"/>
        <w:spacing w:line="240" w:lineRule="auto"/>
        <w:jc w:val="left"/>
        <w:rPr>
          <w:rFonts w:ascii="Arial" w:hAnsi="Arial" w:cs="Arial"/>
          <w:sz w:val="20"/>
          <w:szCs w:val="20"/>
        </w:rPr>
      </w:pPr>
      <w:r w:rsidRPr="00921120">
        <w:rPr>
          <w:rFonts w:ascii="Arial" w:hAnsi="Arial" w:cs="Arial"/>
          <w:sz w:val="20"/>
          <w:szCs w:val="20"/>
        </w:rPr>
        <w:t>Recommendation</w:t>
      </w:r>
    </w:p>
    <w:p w:rsidR="00D14B93" w:rsidRPr="00921120" w:rsidRDefault="00D14B93" w:rsidP="00921120">
      <w:pPr>
        <w:pBdr>
          <w:bottom w:val="single" w:sz="12" w:space="1" w:color="auto"/>
        </w:pBdr>
        <w:spacing w:line="240" w:lineRule="auto"/>
        <w:jc w:val="left"/>
        <w:rPr>
          <w:rFonts w:ascii="Arial" w:hAnsi="Arial" w:cs="Arial"/>
          <w:sz w:val="20"/>
          <w:szCs w:val="20"/>
        </w:rPr>
      </w:pPr>
    </w:p>
    <w:p w:rsidR="00D14B93" w:rsidRPr="00921120" w:rsidRDefault="00D14B93" w:rsidP="00921120">
      <w:pPr>
        <w:pBdr>
          <w:bottom w:val="single" w:sz="12" w:space="1" w:color="auto"/>
        </w:pBdr>
        <w:spacing w:line="240" w:lineRule="auto"/>
        <w:jc w:val="left"/>
        <w:rPr>
          <w:rFonts w:ascii="Arial" w:hAnsi="Arial" w:cs="Arial"/>
          <w:sz w:val="20"/>
          <w:szCs w:val="20"/>
        </w:rPr>
      </w:pPr>
      <w:r w:rsidRPr="00921120">
        <w:rPr>
          <w:rFonts w:ascii="Arial" w:hAnsi="Arial" w:cs="Arial"/>
          <w:sz w:val="20"/>
          <w:szCs w:val="20"/>
        </w:rPr>
        <w:t>Informed by its deliberations, the Committee recommend</w:t>
      </w:r>
      <w:r w:rsidR="002D1606" w:rsidRPr="00921120">
        <w:rPr>
          <w:rFonts w:ascii="Arial" w:hAnsi="Arial" w:cs="Arial"/>
          <w:sz w:val="20"/>
          <w:szCs w:val="20"/>
        </w:rPr>
        <w:t>ed</w:t>
      </w:r>
      <w:r w:rsidRPr="00921120">
        <w:rPr>
          <w:rFonts w:ascii="Arial" w:hAnsi="Arial" w:cs="Arial"/>
          <w:sz w:val="20"/>
          <w:szCs w:val="20"/>
        </w:rPr>
        <w:t xml:space="preserve"> that the House requests that the Minister of Trade, Industry and Competition should consider determining a timeframe, in consultation with the </w:t>
      </w:r>
      <w:r w:rsidRPr="00921120">
        <w:rPr>
          <w:rFonts w:ascii="Arial" w:hAnsi="Arial" w:cs="Arial"/>
          <w:sz w:val="20"/>
          <w:szCs w:val="20"/>
        </w:rPr>
        <w:lastRenderedPageBreak/>
        <w:t>National Lotteries Commission, for ending the moratorium on proactive funding. This should also include legislative amendments (i.e. legislation or regulations) around the process in considering proactive funding.</w:t>
      </w:r>
    </w:p>
    <w:p w:rsidR="00D14B93" w:rsidRPr="00921120" w:rsidRDefault="00D14B93" w:rsidP="00921120">
      <w:pPr>
        <w:pBdr>
          <w:bottom w:val="single" w:sz="12" w:space="1" w:color="auto"/>
        </w:pBdr>
        <w:spacing w:line="240" w:lineRule="auto"/>
        <w:jc w:val="left"/>
        <w:rPr>
          <w:rFonts w:ascii="Arial" w:hAnsi="Arial" w:cs="Arial"/>
          <w:sz w:val="20"/>
          <w:szCs w:val="20"/>
        </w:rPr>
      </w:pPr>
    </w:p>
    <w:p w:rsidR="00D14B93" w:rsidRPr="00921120" w:rsidRDefault="00D14B93" w:rsidP="00921120">
      <w:pPr>
        <w:pBdr>
          <w:bottom w:val="single" w:sz="12" w:space="1" w:color="auto"/>
        </w:pBdr>
        <w:spacing w:line="240" w:lineRule="auto"/>
        <w:jc w:val="left"/>
        <w:rPr>
          <w:rFonts w:ascii="Arial" w:hAnsi="Arial" w:cs="Arial"/>
          <w:sz w:val="20"/>
          <w:szCs w:val="20"/>
        </w:rPr>
      </w:pPr>
      <w:r w:rsidRPr="00921120">
        <w:rPr>
          <w:rFonts w:ascii="Arial" w:hAnsi="Arial" w:cs="Arial"/>
          <w:sz w:val="20"/>
          <w:szCs w:val="20"/>
        </w:rPr>
        <w:t>Report to be considered.</w:t>
      </w:r>
    </w:p>
    <w:p w:rsidR="00D14B93" w:rsidRPr="00921120" w:rsidRDefault="00D14B93" w:rsidP="00921120">
      <w:pPr>
        <w:pBdr>
          <w:bottom w:val="single" w:sz="12" w:space="1" w:color="auto"/>
        </w:pBdr>
        <w:spacing w:line="240" w:lineRule="auto"/>
        <w:jc w:val="left"/>
        <w:rPr>
          <w:rFonts w:ascii="Arial" w:hAnsi="Arial" w:cs="Arial"/>
          <w:sz w:val="20"/>
          <w:szCs w:val="20"/>
        </w:rPr>
      </w:pPr>
    </w:p>
    <w:p w:rsidR="003D2E19" w:rsidRPr="00921120" w:rsidRDefault="003D2E19" w:rsidP="00921120">
      <w:pPr>
        <w:spacing w:line="240" w:lineRule="auto"/>
        <w:jc w:val="left"/>
        <w:rPr>
          <w:rFonts w:ascii="Arial" w:hAnsi="Arial" w:cs="Arial"/>
          <w:sz w:val="20"/>
          <w:szCs w:val="20"/>
        </w:rPr>
      </w:pPr>
    </w:p>
    <w:p w:rsidR="00F51D73" w:rsidRPr="00921120" w:rsidRDefault="00F51D73" w:rsidP="00921120">
      <w:pPr>
        <w:spacing w:line="240" w:lineRule="auto"/>
        <w:jc w:val="left"/>
        <w:rPr>
          <w:rFonts w:ascii="Arial" w:hAnsi="Arial" w:cs="Arial"/>
          <w:b/>
          <w:sz w:val="20"/>
          <w:szCs w:val="20"/>
        </w:rPr>
      </w:pPr>
      <w:r w:rsidRPr="00921120">
        <w:rPr>
          <w:rFonts w:ascii="Arial" w:hAnsi="Arial" w:cs="Arial"/>
          <w:b/>
          <w:sz w:val="20"/>
          <w:szCs w:val="20"/>
        </w:rPr>
        <w:t>References:</w:t>
      </w:r>
    </w:p>
    <w:p w:rsidR="0094390D" w:rsidRPr="00921120" w:rsidRDefault="0094390D" w:rsidP="00921120">
      <w:pPr>
        <w:spacing w:line="240" w:lineRule="auto"/>
        <w:jc w:val="left"/>
        <w:rPr>
          <w:rFonts w:ascii="Arial" w:hAnsi="Arial" w:cs="Arial"/>
          <w:sz w:val="20"/>
          <w:szCs w:val="20"/>
        </w:rPr>
      </w:pPr>
      <w:r w:rsidRPr="00921120">
        <w:rPr>
          <w:rFonts w:ascii="Arial" w:hAnsi="Arial" w:cs="Arial"/>
          <w:sz w:val="20"/>
          <w:szCs w:val="20"/>
        </w:rPr>
        <w:t xml:space="preserve">Cross Border Road Transport Agency (2021). Statistics on Trade Volumes and Value Flowing Through South African Commercial Border Posts and Destination Countries </w:t>
      </w:r>
      <w:r w:rsidR="00622AE6" w:rsidRPr="00921120">
        <w:rPr>
          <w:rFonts w:ascii="Arial" w:hAnsi="Arial" w:cs="Arial"/>
          <w:sz w:val="20"/>
          <w:szCs w:val="20"/>
        </w:rPr>
        <w:t xml:space="preserve">March </w:t>
      </w:r>
      <w:r w:rsidRPr="00921120">
        <w:rPr>
          <w:rFonts w:ascii="Arial" w:hAnsi="Arial" w:cs="Arial"/>
          <w:sz w:val="20"/>
          <w:szCs w:val="20"/>
        </w:rPr>
        <w:t>202</w:t>
      </w:r>
      <w:r w:rsidR="00622AE6" w:rsidRPr="00921120">
        <w:rPr>
          <w:rFonts w:ascii="Arial" w:hAnsi="Arial" w:cs="Arial"/>
          <w:sz w:val="20"/>
          <w:szCs w:val="20"/>
        </w:rPr>
        <w:t>2</w:t>
      </w:r>
      <w:r w:rsidRPr="00921120">
        <w:rPr>
          <w:rFonts w:ascii="Arial" w:hAnsi="Arial" w:cs="Arial"/>
          <w:sz w:val="20"/>
          <w:szCs w:val="20"/>
        </w:rPr>
        <w:t xml:space="preserve">. Internet. Available from: </w:t>
      </w:r>
      <w:r w:rsidR="00622AE6" w:rsidRPr="00921120">
        <w:rPr>
          <w:rFonts w:ascii="Arial" w:hAnsi="Arial" w:cs="Arial"/>
          <w:sz w:val="20"/>
          <w:szCs w:val="20"/>
        </w:rPr>
        <w:t>https://www.cbrta.co.za/resources/trade-volumes-and-values-report-march-2022</w:t>
      </w:r>
    </w:p>
    <w:p w:rsidR="00622AE6" w:rsidRPr="00921120" w:rsidRDefault="00622AE6" w:rsidP="00921120">
      <w:pPr>
        <w:spacing w:line="240" w:lineRule="auto"/>
        <w:jc w:val="left"/>
        <w:rPr>
          <w:rFonts w:ascii="Arial" w:hAnsi="Arial" w:cs="Arial"/>
          <w:sz w:val="20"/>
          <w:szCs w:val="20"/>
        </w:rPr>
      </w:pPr>
    </w:p>
    <w:p w:rsidR="0094390D" w:rsidRPr="00921120" w:rsidRDefault="0094390D" w:rsidP="00921120">
      <w:pPr>
        <w:spacing w:line="240" w:lineRule="auto"/>
        <w:jc w:val="left"/>
        <w:rPr>
          <w:rFonts w:ascii="Arial" w:hAnsi="Arial" w:cs="Arial"/>
          <w:sz w:val="20"/>
          <w:szCs w:val="20"/>
        </w:rPr>
      </w:pPr>
      <w:r w:rsidRPr="00921120">
        <w:rPr>
          <w:rFonts w:ascii="Arial" w:hAnsi="Arial" w:cs="Arial"/>
          <w:sz w:val="20"/>
          <w:szCs w:val="20"/>
        </w:rPr>
        <w:t>Department of Trade, Industry and Competition (2022). Status Update on the Implementation of Special Economic Zones and Industrial Parks. Presentation to the Portfolio Committee On Trade and Industry. Virtual Platform. 2 May 2022</w:t>
      </w:r>
    </w:p>
    <w:p w:rsidR="00622AE6" w:rsidRPr="00921120" w:rsidRDefault="00622AE6" w:rsidP="00921120">
      <w:pPr>
        <w:spacing w:line="240" w:lineRule="auto"/>
        <w:jc w:val="left"/>
        <w:rPr>
          <w:rFonts w:ascii="Arial" w:hAnsi="Arial" w:cs="Arial"/>
          <w:sz w:val="20"/>
          <w:szCs w:val="20"/>
        </w:rPr>
      </w:pPr>
    </w:p>
    <w:p w:rsidR="0094390D" w:rsidRPr="00921120" w:rsidRDefault="0094390D" w:rsidP="00921120">
      <w:pPr>
        <w:spacing w:line="240" w:lineRule="auto"/>
        <w:jc w:val="left"/>
        <w:rPr>
          <w:rFonts w:ascii="Arial" w:hAnsi="Arial" w:cs="Arial"/>
          <w:sz w:val="20"/>
          <w:szCs w:val="20"/>
        </w:rPr>
      </w:pPr>
      <w:r w:rsidRPr="00921120">
        <w:rPr>
          <w:rFonts w:ascii="Arial" w:hAnsi="Arial" w:cs="Arial"/>
          <w:sz w:val="20"/>
          <w:szCs w:val="20"/>
        </w:rPr>
        <w:t>Limpopo Enterprise Development Agency (2022). Presentation to the Portfolio Committee on Trade, Industry and Competition. Parliament. Virtual Platform, 21 September 2022.</w:t>
      </w:r>
    </w:p>
    <w:p w:rsidR="0094390D" w:rsidRPr="00921120" w:rsidRDefault="0094390D" w:rsidP="00921120">
      <w:pPr>
        <w:spacing w:line="240" w:lineRule="auto"/>
        <w:jc w:val="left"/>
        <w:rPr>
          <w:rFonts w:ascii="Arial" w:hAnsi="Arial" w:cs="Arial"/>
          <w:sz w:val="20"/>
          <w:szCs w:val="20"/>
        </w:rPr>
      </w:pPr>
      <w:r w:rsidRPr="00921120">
        <w:rPr>
          <w:rFonts w:ascii="Arial" w:hAnsi="Arial" w:cs="Arial"/>
          <w:sz w:val="20"/>
          <w:szCs w:val="20"/>
        </w:rPr>
        <w:t>Ramaphosa, C. (2022). State of the Nation Address 2022. Parliament, Cape Town. 10 February 2022.</w:t>
      </w:r>
    </w:p>
    <w:p w:rsidR="00622AE6" w:rsidRPr="00921120" w:rsidRDefault="00622AE6" w:rsidP="00921120">
      <w:pPr>
        <w:spacing w:line="240" w:lineRule="auto"/>
        <w:jc w:val="left"/>
        <w:rPr>
          <w:rFonts w:ascii="Arial" w:hAnsi="Arial" w:cs="Arial"/>
          <w:sz w:val="20"/>
          <w:szCs w:val="20"/>
        </w:rPr>
      </w:pPr>
    </w:p>
    <w:p w:rsidR="0094390D" w:rsidRPr="00921120" w:rsidRDefault="0094390D" w:rsidP="00921120">
      <w:pPr>
        <w:spacing w:line="240" w:lineRule="auto"/>
        <w:jc w:val="left"/>
        <w:rPr>
          <w:rFonts w:ascii="Arial" w:hAnsi="Arial" w:cs="Arial"/>
          <w:sz w:val="20"/>
          <w:szCs w:val="20"/>
        </w:rPr>
      </w:pPr>
      <w:r w:rsidRPr="00921120">
        <w:rPr>
          <w:rFonts w:ascii="Arial" w:hAnsi="Arial" w:cs="Arial"/>
          <w:sz w:val="20"/>
          <w:szCs w:val="20"/>
        </w:rPr>
        <w:t>Southern African Development Community (n.d). Protocol on Trade in the Southern African Development Community. Internet. Available from: https://www.sadc.int › file › download. (Accessed 23 January 2023)</w:t>
      </w:r>
    </w:p>
    <w:p w:rsidR="00622AE6" w:rsidRPr="00921120" w:rsidRDefault="00622AE6" w:rsidP="00921120">
      <w:pPr>
        <w:spacing w:line="240" w:lineRule="auto"/>
        <w:jc w:val="left"/>
        <w:rPr>
          <w:rFonts w:ascii="Arial" w:hAnsi="Arial" w:cs="Arial"/>
          <w:sz w:val="20"/>
          <w:szCs w:val="20"/>
        </w:rPr>
      </w:pPr>
    </w:p>
    <w:p w:rsidR="0094390D" w:rsidRPr="00921120" w:rsidRDefault="00622AE6" w:rsidP="00921120">
      <w:pPr>
        <w:spacing w:line="240" w:lineRule="auto"/>
        <w:jc w:val="left"/>
        <w:rPr>
          <w:rFonts w:ascii="Arial" w:hAnsi="Arial" w:cs="Arial"/>
          <w:sz w:val="20"/>
          <w:szCs w:val="20"/>
        </w:rPr>
      </w:pPr>
      <w:r w:rsidRPr="00921120">
        <w:rPr>
          <w:rFonts w:ascii="Arial" w:hAnsi="Arial" w:cs="Arial"/>
          <w:sz w:val="20"/>
          <w:szCs w:val="20"/>
        </w:rPr>
        <w:t>South African Revenue Service</w:t>
      </w:r>
      <w:r w:rsidR="0094390D" w:rsidRPr="00921120">
        <w:rPr>
          <w:rFonts w:ascii="Arial" w:hAnsi="Arial" w:cs="Arial"/>
          <w:sz w:val="20"/>
          <w:szCs w:val="20"/>
        </w:rPr>
        <w:t xml:space="preserve"> (2021). Border Posts. Internet. Available from: https://www.sars.gov.za/customs-and-excise/customs-offices-and-contacts/border-posts/. (Accessed 26 January 2023)</w:t>
      </w:r>
    </w:p>
    <w:p w:rsidR="00347883" w:rsidRPr="00921120" w:rsidRDefault="00347883" w:rsidP="00921120">
      <w:pPr>
        <w:spacing w:line="240" w:lineRule="auto"/>
        <w:jc w:val="left"/>
        <w:rPr>
          <w:rFonts w:ascii="Arial" w:hAnsi="Arial" w:cs="Arial"/>
          <w:sz w:val="20"/>
          <w:szCs w:val="20"/>
        </w:rPr>
      </w:pPr>
    </w:p>
    <w:p w:rsidR="00347883" w:rsidRPr="00921120" w:rsidRDefault="00347883" w:rsidP="00921120">
      <w:pPr>
        <w:spacing w:line="240" w:lineRule="auto"/>
        <w:jc w:val="left"/>
        <w:rPr>
          <w:rFonts w:ascii="Arial" w:hAnsi="Arial" w:cs="Arial"/>
          <w:sz w:val="20"/>
          <w:szCs w:val="20"/>
        </w:rPr>
      </w:pPr>
      <w:r w:rsidRPr="00921120">
        <w:rPr>
          <w:rFonts w:ascii="Arial" w:hAnsi="Arial" w:cs="Arial"/>
          <w:sz w:val="20"/>
          <w:szCs w:val="20"/>
        </w:rPr>
        <w:t>South African Revenue Service (2023). Customs Border Operations. Presentation to the Portfolio Committee on Trade, Industry and Competition. Beitbridge Border Post, 31 January 2023.</w:t>
      </w:r>
    </w:p>
    <w:p w:rsidR="00622AE6" w:rsidRPr="00921120" w:rsidRDefault="00622AE6" w:rsidP="00921120">
      <w:pPr>
        <w:spacing w:line="240" w:lineRule="auto"/>
        <w:jc w:val="left"/>
        <w:rPr>
          <w:rFonts w:ascii="Arial" w:hAnsi="Arial" w:cs="Arial"/>
          <w:sz w:val="20"/>
          <w:szCs w:val="20"/>
        </w:rPr>
      </w:pPr>
    </w:p>
    <w:p w:rsidR="0094390D" w:rsidRPr="00921120" w:rsidRDefault="0094390D" w:rsidP="00921120">
      <w:pPr>
        <w:spacing w:line="240" w:lineRule="auto"/>
        <w:jc w:val="left"/>
        <w:rPr>
          <w:rFonts w:ascii="Arial" w:hAnsi="Arial" w:cs="Arial"/>
          <w:sz w:val="20"/>
          <w:szCs w:val="20"/>
        </w:rPr>
      </w:pPr>
      <w:r w:rsidRPr="00921120">
        <w:rPr>
          <w:rFonts w:ascii="Arial" w:hAnsi="Arial" w:cs="Arial"/>
          <w:sz w:val="20"/>
          <w:szCs w:val="20"/>
        </w:rPr>
        <w:t>Tralac (2019). Trade facilitation and the African Continental Free Trade Area. Internet. Available from: https://www.tralac.org/documents/events/tralac/2740-tralac-brief-trade-facilitation-and-the-african-continental-free-trade-area-march-2019/file.html. (Accessed 23 January 2023)</w:t>
      </w:r>
    </w:p>
    <w:p w:rsidR="00622AE6" w:rsidRPr="00921120" w:rsidRDefault="00622AE6" w:rsidP="00921120">
      <w:pPr>
        <w:spacing w:line="240" w:lineRule="auto"/>
        <w:jc w:val="left"/>
        <w:rPr>
          <w:rFonts w:ascii="Arial" w:hAnsi="Arial" w:cs="Arial"/>
          <w:sz w:val="20"/>
          <w:szCs w:val="20"/>
        </w:rPr>
      </w:pPr>
    </w:p>
    <w:p w:rsidR="0094390D" w:rsidRPr="00921120" w:rsidRDefault="0094390D" w:rsidP="00921120">
      <w:pPr>
        <w:spacing w:line="240" w:lineRule="auto"/>
        <w:jc w:val="left"/>
        <w:rPr>
          <w:rFonts w:ascii="Arial" w:hAnsi="Arial" w:cs="Arial"/>
          <w:sz w:val="20"/>
          <w:szCs w:val="20"/>
        </w:rPr>
      </w:pPr>
      <w:r w:rsidRPr="00921120">
        <w:rPr>
          <w:rFonts w:ascii="Arial" w:hAnsi="Arial" w:cs="Arial"/>
          <w:sz w:val="20"/>
          <w:szCs w:val="20"/>
        </w:rPr>
        <w:t>United Nations (n.d). Implementation of the Trade Facilitation Agreement. Internet. Available from: (Accessed 23 January 2023)</w:t>
      </w:r>
    </w:p>
    <w:p w:rsidR="00622AE6" w:rsidRPr="00921120" w:rsidRDefault="00622AE6" w:rsidP="00921120">
      <w:pPr>
        <w:spacing w:line="240" w:lineRule="auto"/>
        <w:jc w:val="left"/>
        <w:rPr>
          <w:rFonts w:ascii="Arial" w:hAnsi="Arial" w:cs="Arial"/>
          <w:sz w:val="20"/>
          <w:szCs w:val="20"/>
        </w:rPr>
      </w:pPr>
    </w:p>
    <w:p w:rsidR="0094390D" w:rsidRPr="00921120" w:rsidRDefault="0094390D" w:rsidP="00921120">
      <w:pPr>
        <w:spacing w:line="240" w:lineRule="auto"/>
        <w:jc w:val="left"/>
        <w:rPr>
          <w:rFonts w:ascii="Arial" w:hAnsi="Arial" w:cs="Arial"/>
          <w:sz w:val="20"/>
          <w:szCs w:val="20"/>
        </w:rPr>
      </w:pPr>
      <w:r w:rsidRPr="00921120">
        <w:rPr>
          <w:rFonts w:ascii="Arial" w:hAnsi="Arial" w:cs="Arial"/>
          <w:sz w:val="20"/>
          <w:szCs w:val="20"/>
        </w:rPr>
        <w:t>World Trade Organisation (2022). Trade facilitation. Internet. Available from: https://www.wto.org/english/tratop_e/tradfa_e/tradfa_e.htm. (Accessed 23 January 2023)</w:t>
      </w:r>
    </w:p>
    <w:p w:rsidR="0094390D" w:rsidRPr="00921120" w:rsidRDefault="0094390D" w:rsidP="00921120">
      <w:pPr>
        <w:spacing w:line="240" w:lineRule="auto"/>
        <w:jc w:val="left"/>
        <w:rPr>
          <w:rFonts w:ascii="Arial" w:hAnsi="Arial" w:cs="Arial"/>
          <w:sz w:val="20"/>
          <w:szCs w:val="20"/>
        </w:rPr>
      </w:pPr>
    </w:p>
    <w:sectPr w:rsidR="0094390D" w:rsidRPr="00921120" w:rsidSect="00AC268F">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799" w:rsidRDefault="004A2799" w:rsidP="00B0083E">
      <w:r>
        <w:separator/>
      </w:r>
    </w:p>
  </w:endnote>
  <w:endnote w:type="continuationSeparator" w:id="0">
    <w:p w:rsidR="004A2799" w:rsidRDefault="004A2799" w:rsidP="00B0083E">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663540"/>
      <w:docPartObj>
        <w:docPartGallery w:val="Page Numbers (Bottom of Page)"/>
        <w:docPartUnique/>
      </w:docPartObj>
    </w:sdtPr>
    <w:sdtEndPr>
      <w:rPr>
        <w:noProof/>
      </w:rPr>
    </w:sdtEndPr>
    <w:sdtContent>
      <w:p w:rsidR="00EF662F" w:rsidRPr="00CA65EF" w:rsidRDefault="00AC268F" w:rsidP="00B0083E">
        <w:pPr>
          <w:pStyle w:val="Footer"/>
          <w:jc w:val="right"/>
        </w:pPr>
        <w:r w:rsidRPr="00CA65EF">
          <w:fldChar w:fldCharType="begin"/>
        </w:r>
        <w:r w:rsidR="00EF662F" w:rsidRPr="00CA65EF">
          <w:instrText xml:space="preserve"> PAGE   \* MERGEFORMAT </w:instrText>
        </w:r>
        <w:r w:rsidRPr="00CA65EF">
          <w:fldChar w:fldCharType="separate"/>
        </w:r>
        <w:r w:rsidR="00921120">
          <w:rPr>
            <w:noProof/>
          </w:rPr>
          <w:t>1</w:t>
        </w:r>
        <w:r w:rsidRPr="00CA65EF">
          <w:rPr>
            <w:noProof/>
          </w:rPr>
          <w:fldChar w:fldCharType="end"/>
        </w:r>
      </w:p>
    </w:sdtContent>
  </w:sdt>
  <w:p w:rsidR="00EF662F" w:rsidRDefault="00EF662F" w:rsidP="00B008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799" w:rsidRDefault="004A2799" w:rsidP="00B0083E">
      <w:r>
        <w:separator/>
      </w:r>
    </w:p>
  </w:footnote>
  <w:footnote w:type="continuationSeparator" w:id="0">
    <w:p w:rsidR="004A2799" w:rsidRDefault="004A2799" w:rsidP="00B0083E">
      <w:r>
        <w:continuationSeparator/>
      </w:r>
    </w:p>
  </w:footnote>
  <w:footnote w:id="1">
    <w:p w:rsidR="00EF662F" w:rsidRPr="000D3B57" w:rsidRDefault="00EF662F" w:rsidP="00A4421A">
      <w:pPr>
        <w:pStyle w:val="FootnoteText"/>
        <w:rPr>
          <w:lang w:val="en-ZA"/>
        </w:rPr>
      </w:pPr>
      <w:r>
        <w:rPr>
          <w:rStyle w:val="FootnoteReference"/>
        </w:rPr>
        <w:footnoteRef/>
      </w:r>
      <w:r>
        <w:t xml:space="preserve"> </w:t>
      </w:r>
      <w:r>
        <w:rPr>
          <w:lang w:val="en-ZA"/>
        </w:rPr>
        <w:t>SARS (2021)</w:t>
      </w:r>
    </w:p>
  </w:footnote>
  <w:footnote w:id="2">
    <w:p w:rsidR="00EF662F" w:rsidRPr="00915AAC" w:rsidRDefault="00EF662F" w:rsidP="00A4421A">
      <w:pPr>
        <w:pStyle w:val="FootnoteText"/>
        <w:rPr>
          <w:lang w:val="en-ZA"/>
        </w:rPr>
      </w:pPr>
      <w:r>
        <w:rPr>
          <w:rStyle w:val="FootnoteReference"/>
        </w:rPr>
        <w:footnoteRef/>
      </w:r>
      <w:r>
        <w:t xml:space="preserve"> C-BRTA</w:t>
      </w:r>
      <w:r w:rsidRPr="00345DE7">
        <w:t xml:space="preserve"> (2022</w:t>
      </w:r>
      <w:r>
        <w:t>: 54</w:t>
      </w:r>
      <w:r w:rsidRPr="00345DE7">
        <w:t>)</w:t>
      </w:r>
    </w:p>
  </w:footnote>
  <w:footnote w:id="3">
    <w:p w:rsidR="00EF662F" w:rsidRPr="000D3B57" w:rsidRDefault="00EF662F" w:rsidP="00A4421A">
      <w:pPr>
        <w:pStyle w:val="FootnoteText"/>
        <w:rPr>
          <w:lang w:val="en-ZA"/>
        </w:rPr>
      </w:pPr>
      <w:r>
        <w:rPr>
          <w:rStyle w:val="FootnoteReference"/>
        </w:rPr>
        <w:footnoteRef/>
      </w:r>
      <w:r>
        <w:t xml:space="preserve"> </w:t>
      </w:r>
      <w:r>
        <w:rPr>
          <w:lang w:val="en-ZA"/>
        </w:rPr>
        <w:t>Ibid</w:t>
      </w:r>
    </w:p>
  </w:footnote>
  <w:footnote w:id="4">
    <w:p w:rsidR="00EF662F" w:rsidRPr="000D3B57" w:rsidRDefault="00EF662F" w:rsidP="00A4421A">
      <w:pPr>
        <w:pStyle w:val="FootnoteText"/>
        <w:rPr>
          <w:lang w:val="en-ZA"/>
        </w:rPr>
      </w:pPr>
      <w:r>
        <w:rPr>
          <w:rStyle w:val="FootnoteReference"/>
        </w:rPr>
        <w:footnoteRef/>
      </w:r>
      <w:r>
        <w:t xml:space="preserve"> </w:t>
      </w:r>
      <w:r>
        <w:rPr>
          <w:lang w:val="en-ZA"/>
        </w:rPr>
        <w:t>C-BRTA (2022: 56)</w:t>
      </w:r>
    </w:p>
  </w:footnote>
  <w:footnote w:id="5">
    <w:p w:rsidR="00EF662F" w:rsidRPr="000D3B57" w:rsidRDefault="00EF662F" w:rsidP="00A4421A">
      <w:pPr>
        <w:pStyle w:val="FootnoteText"/>
        <w:rPr>
          <w:lang w:val="en-ZA"/>
        </w:rPr>
      </w:pPr>
      <w:r>
        <w:rPr>
          <w:rStyle w:val="FootnoteReference"/>
        </w:rPr>
        <w:footnoteRef/>
      </w:r>
      <w:r>
        <w:t xml:space="preserve"> </w:t>
      </w:r>
      <w:r>
        <w:rPr>
          <w:lang w:val="en-ZA"/>
        </w:rPr>
        <w:t>Ibid</w:t>
      </w:r>
    </w:p>
  </w:footnote>
  <w:footnote w:id="6">
    <w:p w:rsidR="00EF662F" w:rsidRPr="000D3B57" w:rsidRDefault="00EF662F" w:rsidP="00A4421A">
      <w:pPr>
        <w:pStyle w:val="FootnoteText"/>
        <w:rPr>
          <w:lang w:val="en-ZA"/>
        </w:rPr>
      </w:pPr>
      <w:r>
        <w:rPr>
          <w:rStyle w:val="FootnoteReference"/>
        </w:rPr>
        <w:footnoteRef/>
      </w:r>
      <w:r>
        <w:t xml:space="preserve"> </w:t>
      </w:r>
      <w:r>
        <w:rPr>
          <w:lang w:val="en-ZA"/>
        </w:rPr>
        <w:t>C-BRTA (2022: 49)</w:t>
      </w:r>
    </w:p>
  </w:footnote>
  <w:footnote w:id="7">
    <w:p w:rsidR="00EF662F" w:rsidRPr="0080647C" w:rsidRDefault="00EF662F">
      <w:pPr>
        <w:pStyle w:val="FootnoteText"/>
        <w:rPr>
          <w:lang w:val="en-ZA"/>
        </w:rPr>
      </w:pPr>
      <w:r>
        <w:rPr>
          <w:rStyle w:val="FootnoteReference"/>
        </w:rPr>
        <w:footnoteRef/>
      </w:r>
      <w:r>
        <w:t xml:space="preserve"> </w:t>
      </w:r>
      <w:r>
        <w:rPr>
          <w:lang w:val="en-ZA"/>
        </w:rPr>
        <w:t>SARS (2023) presentation</w:t>
      </w:r>
    </w:p>
  </w:footnote>
  <w:footnote w:id="8">
    <w:p w:rsidR="00EF662F" w:rsidRPr="0080647C" w:rsidRDefault="00EF662F">
      <w:pPr>
        <w:pStyle w:val="FootnoteText"/>
        <w:rPr>
          <w:lang w:val="en-ZA"/>
        </w:rPr>
      </w:pPr>
      <w:r>
        <w:rPr>
          <w:rStyle w:val="FootnoteReference"/>
        </w:rPr>
        <w:footnoteRef/>
      </w:r>
      <w:r>
        <w:t xml:space="preserve"> </w:t>
      </w:r>
      <w:r>
        <w:rPr>
          <w:lang w:val="en-ZA"/>
        </w:rPr>
        <w:t>Ibid</w:t>
      </w:r>
    </w:p>
  </w:footnote>
  <w:footnote w:id="9">
    <w:p w:rsidR="00EF662F" w:rsidRPr="000D3B57" w:rsidRDefault="00EF662F" w:rsidP="00A4421A">
      <w:pPr>
        <w:pStyle w:val="FootnoteText"/>
        <w:rPr>
          <w:lang w:val="en-ZA"/>
        </w:rPr>
      </w:pPr>
      <w:r>
        <w:rPr>
          <w:rStyle w:val="FootnoteReference"/>
        </w:rPr>
        <w:footnoteRef/>
      </w:r>
      <w:r>
        <w:t xml:space="preserve"> </w:t>
      </w:r>
      <w:r>
        <w:rPr>
          <w:lang w:val="en-ZA"/>
        </w:rPr>
        <w:t>TRALAC (2019)</w:t>
      </w:r>
    </w:p>
  </w:footnote>
  <w:footnote w:id="10">
    <w:p w:rsidR="00EF662F" w:rsidRPr="000D3B57" w:rsidRDefault="00EF662F" w:rsidP="00A4421A">
      <w:pPr>
        <w:pStyle w:val="FootnoteText"/>
        <w:rPr>
          <w:lang w:val="en-ZA"/>
        </w:rPr>
      </w:pPr>
      <w:r>
        <w:rPr>
          <w:rStyle w:val="FootnoteReference"/>
        </w:rPr>
        <w:footnoteRef/>
      </w:r>
      <w:r>
        <w:t xml:space="preserve"> </w:t>
      </w:r>
      <w:r>
        <w:rPr>
          <w:lang w:val="en-ZA"/>
        </w:rPr>
        <w:t>United Nations (n.d.)</w:t>
      </w:r>
    </w:p>
  </w:footnote>
  <w:footnote w:id="11">
    <w:p w:rsidR="00EF662F" w:rsidRPr="000D3B57" w:rsidRDefault="00EF662F" w:rsidP="00A4421A">
      <w:pPr>
        <w:pStyle w:val="FootnoteText"/>
        <w:rPr>
          <w:lang w:val="en-ZA"/>
        </w:rPr>
      </w:pPr>
      <w:r>
        <w:rPr>
          <w:rStyle w:val="FootnoteReference"/>
        </w:rPr>
        <w:footnoteRef/>
      </w:r>
      <w:r>
        <w:t xml:space="preserve"> </w:t>
      </w:r>
      <w:r>
        <w:rPr>
          <w:lang w:val="en-ZA"/>
        </w:rPr>
        <w:t>WTO (2022)</w:t>
      </w:r>
    </w:p>
  </w:footnote>
  <w:footnote w:id="12">
    <w:p w:rsidR="00EF662F" w:rsidRPr="000D3B57" w:rsidRDefault="00EF662F" w:rsidP="00A4421A">
      <w:pPr>
        <w:pStyle w:val="FootnoteText"/>
        <w:rPr>
          <w:lang w:val="en-ZA"/>
        </w:rPr>
      </w:pPr>
      <w:r>
        <w:rPr>
          <w:rStyle w:val="FootnoteReference"/>
        </w:rPr>
        <w:footnoteRef/>
      </w:r>
      <w:r>
        <w:t xml:space="preserve"> </w:t>
      </w:r>
      <w:r>
        <w:rPr>
          <w:lang w:val="en-ZA"/>
        </w:rPr>
        <w:t>TRALAC (2019)</w:t>
      </w:r>
    </w:p>
  </w:footnote>
  <w:footnote w:id="13">
    <w:p w:rsidR="00EF662F" w:rsidRPr="000D3B57" w:rsidRDefault="00EF662F" w:rsidP="00A4421A">
      <w:pPr>
        <w:pStyle w:val="FootnoteText"/>
        <w:rPr>
          <w:lang w:val="en-ZA"/>
        </w:rPr>
      </w:pPr>
      <w:r>
        <w:rPr>
          <w:rStyle w:val="FootnoteReference"/>
        </w:rPr>
        <w:footnoteRef/>
      </w:r>
      <w:r>
        <w:t xml:space="preserve"> </w:t>
      </w:r>
      <w:r>
        <w:rPr>
          <w:lang w:val="en-ZA"/>
        </w:rPr>
        <w:t>WTO (2022)</w:t>
      </w:r>
    </w:p>
  </w:footnote>
  <w:footnote w:id="14">
    <w:p w:rsidR="00EF662F" w:rsidRPr="0080647C" w:rsidRDefault="00EF662F">
      <w:pPr>
        <w:pStyle w:val="FootnoteText"/>
        <w:rPr>
          <w:lang w:val="en-ZA"/>
        </w:rPr>
      </w:pPr>
      <w:r>
        <w:rPr>
          <w:rStyle w:val="FootnoteReference"/>
        </w:rPr>
        <w:footnoteRef/>
      </w:r>
      <w:r>
        <w:t xml:space="preserve"> </w:t>
      </w:r>
      <w:r>
        <w:rPr>
          <w:lang w:val="en-ZA"/>
        </w:rPr>
        <w:t>SARS (2023)</w:t>
      </w:r>
    </w:p>
  </w:footnote>
  <w:footnote w:id="15">
    <w:p w:rsidR="00EF662F" w:rsidRPr="00C058AC" w:rsidRDefault="00EF662F" w:rsidP="005423DB">
      <w:pPr>
        <w:pStyle w:val="FootnoteText"/>
        <w:rPr>
          <w:lang w:val="en-ZA"/>
        </w:rPr>
      </w:pPr>
      <w:r w:rsidRPr="00622AE6">
        <w:rPr>
          <w:rStyle w:val="FootnoteReference"/>
        </w:rPr>
        <w:footnoteRef/>
      </w:r>
      <w:r w:rsidRPr="00622AE6">
        <w:t xml:space="preserve"> </w:t>
      </w:r>
      <w:r w:rsidRPr="00B07A44">
        <w:rPr>
          <w:color w:val="000000"/>
        </w:rPr>
        <w:t>SARS Act (Act No. 34 of 1997</w:t>
      </w:r>
      <w:r w:rsidRPr="00622AE6">
        <w:rPr>
          <w:color w:val="000000"/>
        </w:rPr>
        <w:t>)</w:t>
      </w:r>
    </w:p>
  </w:footnote>
  <w:footnote w:id="16">
    <w:p w:rsidR="00EF662F" w:rsidRPr="0080647C" w:rsidRDefault="00EF662F">
      <w:pPr>
        <w:pStyle w:val="FootnoteText"/>
        <w:rPr>
          <w:lang w:val="en-ZA"/>
        </w:rPr>
      </w:pPr>
      <w:r>
        <w:rPr>
          <w:rStyle w:val="FootnoteReference"/>
        </w:rPr>
        <w:footnoteRef/>
      </w:r>
      <w:r>
        <w:t xml:space="preserve"> </w:t>
      </w:r>
      <w:r w:rsidR="00347883">
        <w:t>SARS (2023)</w:t>
      </w:r>
    </w:p>
  </w:footnote>
  <w:footnote w:id="17">
    <w:p w:rsidR="00347883" w:rsidRPr="000C2545" w:rsidRDefault="00347883" w:rsidP="00347883">
      <w:pPr>
        <w:pStyle w:val="FootnoteText"/>
        <w:rPr>
          <w:lang w:val="en-ZA"/>
        </w:rPr>
      </w:pPr>
      <w:r>
        <w:rPr>
          <w:rStyle w:val="FootnoteReference"/>
        </w:rPr>
        <w:footnoteRef/>
      </w:r>
      <w:r>
        <w:t xml:space="preserve"> Ibid</w:t>
      </w:r>
    </w:p>
  </w:footnote>
  <w:footnote w:id="18">
    <w:p w:rsidR="00EF662F" w:rsidRPr="00233727" w:rsidRDefault="00EF662F" w:rsidP="002C780B">
      <w:pPr>
        <w:pStyle w:val="FootnoteText"/>
        <w:rPr>
          <w:lang w:val="en-ZA"/>
        </w:rPr>
      </w:pPr>
      <w:r>
        <w:rPr>
          <w:rStyle w:val="FootnoteReference"/>
        </w:rPr>
        <w:footnoteRef/>
      </w:r>
      <w:r>
        <w:t xml:space="preserve"> </w:t>
      </w:r>
      <w:r w:rsidR="00347883">
        <w:t>Ibid</w:t>
      </w:r>
    </w:p>
  </w:footnote>
  <w:footnote w:id="19">
    <w:p w:rsidR="00EF662F" w:rsidRPr="00233727" w:rsidRDefault="00EF662F">
      <w:pPr>
        <w:pStyle w:val="FootnoteText"/>
        <w:rPr>
          <w:lang w:val="en-ZA"/>
        </w:rPr>
      </w:pPr>
      <w:r w:rsidRPr="0080647C">
        <w:rPr>
          <w:rStyle w:val="FootnoteReference"/>
          <w:sz w:val="22"/>
        </w:rPr>
        <w:footnoteRef/>
      </w:r>
      <w:r w:rsidRPr="0080647C">
        <w:rPr>
          <w:sz w:val="22"/>
        </w:rPr>
        <w:t xml:space="preserve"> The process of making a business insolvent in order to evade paying debts and then setting the business up again under a new name. (online Collins Dictionary)</w:t>
      </w:r>
    </w:p>
  </w:footnote>
  <w:footnote w:id="20">
    <w:p w:rsidR="00EF662F" w:rsidRPr="009D501E" w:rsidRDefault="00EF662F" w:rsidP="007C79B9">
      <w:pPr>
        <w:pStyle w:val="FootnoteText"/>
      </w:pPr>
      <w:r w:rsidRPr="0080647C">
        <w:rPr>
          <w:rStyle w:val="FootnoteReference"/>
          <w:sz w:val="22"/>
        </w:rPr>
        <w:footnoteRef/>
      </w:r>
      <w:r w:rsidRPr="0080647C">
        <w:rPr>
          <w:sz w:val="22"/>
        </w:rPr>
        <w:t xml:space="preserve"> National Treasury (2022: 575)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A7F"/>
    <w:multiLevelType w:val="hybridMultilevel"/>
    <w:tmpl w:val="A2CE29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12066C4"/>
    <w:multiLevelType w:val="hybridMultilevel"/>
    <w:tmpl w:val="8C644E7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1512537"/>
    <w:multiLevelType w:val="hybridMultilevel"/>
    <w:tmpl w:val="C29C4CF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5827098"/>
    <w:multiLevelType w:val="hybridMultilevel"/>
    <w:tmpl w:val="6FC2EB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0C56676A"/>
    <w:multiLevelType w:val="hybridMultilevel"/>
    <w:tmpl w:val="4E72DEE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1A92258"/>
    <w:multiLevelType w:val="hybridMultilevel"/>
    <w:tmpl w:val="6B14453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4704EB6"/>
    <w:multiLevelType w:val="hybridMultilevel"/>
    <w:tmpl w:val="BDF028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278F65AE"/>
    <w:multiLevelType w:val="hybridMultilevel"/>
    <w:tmpl w:val="2C64460C"/>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C7D7AF0"/>
    <w:multiLevelType w:val="hybridMultilevel"/>
    <w:tmpl w:val="B53AF224"/>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E6A4220"/>
    <w:multiLevelType w:val="hybridMultilevel"/>
    <w:tmpl w:val="CCC63E7E"/>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39106127"/>
    <w:multiLevelType w:val="hybridMultilevel"/>
    <w:tmpl w:val="CB16C614"/>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3B561493"/>
    <w:multiLevelType w:val="hybridMultilevel"/>
    <w:tmpl w:val="1AB4E4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D96651F"/>
    <w:multiLevelType w:val="hybridMultilevel"/>
    <w:tmpl w:val="6B60A68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3E46465E"/>
    <w:multiLevelType w:val="multilevel"/>
    <w:tmpl w:val="3B26A8B0"/>
    <w:lvl w:ilvl="0">
      <w:start w:val="1"/>
      <w:numFmt w:val="decimal"/>
      <w:pStyle w:val="Heading1"/>
      <w:lvlText w:val="%1"/>
      <w:lvlJc w:val="left"/>
      <w:pPr>
        <w:ind w:left="432" w:hanging="432"/>
      </w:pPr>
      <w:rPr>
        <w:rFonts w:hint="default"/>
        <w:b/>
        <w:i w:val="0"/>
        <w:caps w:val="0"/>
        <w:strike w:val="0"/>
        <w:dstrike w:val="0"/>
        <w:vanish w:val="0"/>
        <w:sz w:val="24"/>
        <w:vertAlign w:val="base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40787F3F"/>
    <w:multiLevelType w:val="hybridMultilevel"/>
    <w:tmpl w:val="AC6402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460F717B"/>
    <w:multiLevelType w:val="hybridMultilevel"/>
    <w:tmpl w:val="7C52B5DC"/>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47BD4EA8"/>
    <w:multiLevelType w:val="hybridMultilevel"/>
    <w:tmpl w:val="A4944D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293266F"/>
    <w:multiLevelType w:val="hybridMultilevel"/>
    <w:tmpl w:val="564AD68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56E96138"/>
    <w:multiLevelType w:val="hybridMultilevel"/>
    <w:tmpl w:val="ED00A95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5C125BD2"/>
    <w:multiLevelType w:val="hybridMultilevel"/>
    <w:tmpl w:val="B59EF066"/>
    <w:lvl w:ilvl="0" w:tplc="1C090001">
      <w:start w:val="1"/>
      <w:numFmt w:val="bullet"/>
      <w:lvlText w:val=""/>
      <w:lvlJc w:val="left"/>
      <w:pPr>
        <w:ind w:left="360" w:hanging="360"/>
      </w:pPr>
      <w:rPr>
        <w:rFonts w:ascii="Symbol" w:hAnsi="Symbol" w:hint="default"/>
      </w:rPr>
    </w:lvl>
    <w:lvl w:ilvl="1" w:tplc="FAB80D84">
      <w:start w:val="1"/>
      <w:numFmt w:val="decimal"/>
      <w:lvlText w:val="%2."/>
      <w:lvlJc w:val="left"/>
      <w:pPr>
        <w:ind w:left="1080" w:hanging="36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61D7431F"/>
    <w:multiLevelType w:val="hybridMultilevel"/>
    <w:tmpl w:val="0F2EBD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64E03407"/>
    <w:multiLevelType w:val="hybridMultilevel"/>
    <w:tmpl w:val="50F2A9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67086A5C"/>
    <w:multiLevelType w:val="hybridMultilevel"/>
    <w:tmpl w:val="3C7CD5B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6A800398"/>
    <w:multiLevelType w:val="hybridMultilevel"/>
    <w:tmpl w:val="38686BB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6BA615B4"/>
    <w:multiLevelType w:val="hybridMultilevel"/>
    <w:tmpl w:val="888271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78BA5732"/>
    <w:multiLevelType w:val="multilevel"/>
    <w:tmpl w:val="6868F9F8"/>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hint="default"/>
      </w:rPr>
    </w:lvl>
    <w:lvl w:ilvl="2">
      <w:start w:val="1"/>
      <w:numFmt w:val="low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7C6C176D"/>
    <w:multiLevelType w:val="hybridMultilevel"/>
    <w:tmpl w:val="DB16868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7F1109BF"/>
    <w:multiLevelType w:val="hybridMultilevel"/>
    <w:tmpl w:val="807692D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1"/>
  </w:num>
  <w:num w:numId="2">
    <w:abstractNumId w:val="24"/>
  </w:num>
  <w:num w:numId="3">
    <w:abstractNumId w:val="25"/>
  </w:num>
  <w:num w:numId="4">
    <w:abstractNumId w:val="9"/>
  </w:num>
  <w:num w:numId="5">
    <w:abstractNumId w:val="16"/>
  </w:num>
  <w:num w:numId="6">
    <w:abstractNumId w:val="0"/>
  </w:num>
  <w:num w:numId="7">
    <w:abstractNumId w:val="3"/>
  </w:num>
  <w:num w:numId="8">
    <w:abstractNumId w:val="2"/>
  </w:num>
  <w:num w:numId="9">
    <w:abstractNumId w:val="21"/>
  </w:num>
  <w:num w:numId="10">
    <w:abstractNumId w:val="4"/>
  </w:num>
  <w:num w:numId="11">
    <w:abstractNumId w:val="5"/>
  </w:num>
  <w:num w:numId="12">
    <w:abstractNumId w:val="10"/>
  </w:num>
  <w:num w:numId="13">
    <w:abstractNumId w:val="18"/>
  </w:num>
  <w:num w:numId="14">
    <w:abstractNumId w:val="23"/>
  </w:num>
  <w:num w:numId="15">
    <w:abstractNumId w:val="1"/>
  </w:num>
  <w:num w:numId="16">
    <w:abstractNumId w:val="20"/>
  </w:num>
  <w:num w:numId="17">
    <w:abstractNumId w:val="14"/>
  </w:num>
  <w:num w:numId="18">
    <w:abstractNumId w:val="26"/>
  </w:num>
  <w:num w:numId="19">
    <w:abstractNumId w:val="12"/>
  </w:num>
  <w:num w:numId="20">
    <w:abstractNumId w:val="6"/>
  </w:num>
  <w:num w:numId="21">
    <w:abstractNumId w:val="7"/>
  </w:num>
  <w:num w:numId="22">
    <w:abstractNumId w:val="19"/>
  </w:num>
  <w:num w:numId="23">
    <w:abstractNumId w:val="17"/>
  </w:num>
  <w:num w:numId="24">
    <w:abstractNumId w:val="27"/>
  </w:num>
  <w:num w:numId="25">
    <w:abstractNumId w:val="8"/>
  </w:num>
  <w:num w:numId="26">
    <w:abstractNumId w:val="22"/>
  </w:num>
  <w:num w:numId="27">
    <w:abstractNumId w:val="13"/>
  </w:num>
  <w:num w:numId="28">
    <w:abstractNumId w:val="1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F51D73"/>
    <w:rsid w:val="00001065"/>
    <w:rsid w:val="00005A68"/>
    <w:rsid w:val="0000661D"/>
    <w:rsid w:val="00011E8D"/>
    <w:rsid w:val="00012CF2"/>
    <w:rsid w:val="000175CA"/>
    <w:rsid w:val="000207F6"/>
    <w:rsid w:val="00021499"/>
    <w:rsid w:val="00021821"/>
    <w:rsid w:val="00022BEB"/>
    <w:rsid w:val="0002421B"/>
    <w:rsid w:val="000265B1"/>
    <w:rsid w:val="00026FAA"/>
    <w:rsid w:val="00031F66"/>
    <w:rsid w:val="00033BD5"/>
    <w:rsid w:val="000347C3"/>
    <w:rsid w:val="00035F66"/>
    <w:rsid w:val="000375C0"/>
    <w:rsid w:val="00040258"/>
    <w:rsid w:val="00042B6A"/>
    <w:rsid w:val="000512FB"/>
    <w:rsid w:val="00051FF8"/>
    <w:rsid w:val="00057B67"/>
    <w:rsid w:val="000603EE"/>
    <w:rsid w:val="00062D8F"/>
    <w:rsid w:val="00062F97"/>
    <w:rsid w:val="000630F3"/>
    <w:rsid w:val="00065069"/>
    <w:rsid w:val="000673B8"/>
    <w:rsid w:val="0006749E"/>
    <w:rsid w:val="00070AA2"/>
    <w:rsid w:val="000719FB"/>
    <w:rsid w:val="00072BF7"/>
    <w:rsid w:val="000751B7"/>
    <w:rsid w:val="000779F1"/>
    <w:rsid w:val="00084691"/>
    <w:rsid w:val="000860C7"/>
    <w:rsid w:val="00087AAB"/>
    <w:rsid w:val="0009007A"/>
    <w:rsid w:val="00090E2B"/>
    <w:rsid w:val="00092323"/>
    <w:rsid w:val="000957A2"/>
    <w:rsid w:val="00095DD6"/>
    <w:rsid w:val="00096180"/>
    <w:rsid w:val="0009730E"/>
    <w:rsid w:val="000A09BB"/>
    <w:rsid w:val="000A42E4"/>
    <w:rsid w:val="000A59BD"/>
    <w:rsid w:val="000A7087"/>
    <w:rsid w:val="000B422E"/>
    <w:rsid w:val="000B4795"/>
    <w:rsid w:val="000B4FF9"/>
    <w:rsid w:val="000B52DD"/>
    <w:rsid w:val="000B6EF8"/>
    <w:rsid w:val="000B746B"/>
    <w:rsid w:val="000C18DA"/>
    <w:rsid w:val="000C1B94"/>
    <w:rsid w:val="000C1F08"/>
    <w:rsid w:val="000C2545"/>
    <w:rsid w:val="000C3FB4"/>
    <w:rsid w:val="000C451D"/>
    <w:rsid w:val="000C6233"/>
    <w:rsid w:val="000D0337"/>
    <w:rsid w:val="000D42E7"/>
    <w:rsid w:val="000D56D1"/>
    <w:rsid w:val="000D601E"/>
    <w:rsid w:val="000D6934"/>
    <w:rsid w:val="000D75A7"/>
    <w:rsid w:val="000E5D54"/>
    <w:rsid w:val="000E759B"/>
    <w:rsid w:val="000E7BBE"/>
    <w:rsid w:val="000F0237"/>
    <w:rsid w:val="000F0248"/>
    <w:rsid w:val="000F2315"/>
    <w:rsid w:val="000F37D5"/>
    <w:rsid w:val="000F5238"/>
    <w:rsid w:val="000F606E"/>
    <w:rsid w:val="000F6811"/>
    <w:rsid w:val="00100099"/>
    <w:rsid w:val="0010031B"/>
    <w:rsid w:val="0010048E"/>
    <w:rsid w:val="00101B6E"/>
    <w:rsid w:val="001026E2"/>
    <w:rsid w:val="00104695"/>
    <w:rsid w:val="00104FCD"/>
    <w:rsid w:val="00105584"/>
    <w:rsid w:val="00105CB1"/>
    <w:rsid w:val="0012365B"/>
    <w:rsid w:val="001243D8"/>
    <w:rsid w:val="00124B2F"/>
    <w:rsid w:val="00124B67"/>
    <w:rsid w:val="001250D4"/>
    <w:rsid w:val="00125A25"/>
    <w:rsid w:val="00126D8E"/>
    <w:rsid w:val="00130292"/>
    <w:rsid w:val="001310F6"/>
    <w:rsid w:val="0013193F"/>
    <w:rsid w:val="001357FF"/>
    <w:rsid w:val="00136E25"/>
    <w:rsid w:val="00137170"/>
    <w:rsid w:val="00137D1A"/>
    <w:rsid w:val="00140472"/>
    <w:rsid w:val="0014462F"/>
    <w:rsid w:val="0014560E"/>
    <w:rsid w:val="00147CE9"/>
    <w:rsid w:val="00150E94"/>
    <w:rsid w:val="0015182D"/>
    <w:rsid w:val="0015337B"/>
    <w:rsid w:val="00155CCD"/>
    <w:rsid w:val="0015612E"/>
    <w:rsid w:val="00157977"/>
    <w:rsid w:val="00162BF5"/>
    <w:rsid w:val="00164BCE"/>
    <w:rsid w:val="00164E6C"/>
    <w:rsid w:val="001660BD"/>
    <w:rsid w:val="00167624"/>
    <w:rsid w:val="00172A8C"/>
    <w:rsid w:val="00174007"/>
    <w:rsid w:val="00175E1C"/>
    <w:rsid w:val="0017666A"/>
    <w:rsid w:val="0018168E"/>
    <w:rsid w:val="001820B4"/>
    <w:rsid w:val="00182336"/>
    <w:rsid w:val="00186B12"/>
    <w:rsid w:val="00193180"/>
    <w:rsid w:val="00197B87"/>
    <w:rsid w:val="00197DCF"/>
    <w:rsid w:val="001A0878"/>
    <w:rsid w:val="001A0EC3"/>
    <w:rsid w:val="001A1CD9"/>
    <w:rsid w:val="001A2A28"/>
    <w:rsid w:val="001A2B5C"/>
    <w:rsid w:val="001A56DF"/>
    <w:rsid w:val="001A68DA"/>
    <w:rsid w:val="001A79EC"/>
    <w:rsid w:val="001B0C6F"/>
    <w:rsid w:val="001B2E31"/>
    <w:rsid w:val="001B4DBC"/>
    <w:rsid w:val="001B6B87"/>
    <w:rsid w:val="001B6DB9"/>
    <w:rsid w:val="001B722A"/>
    <w:rsid w:val="001D096A"/>
    <w:rsid w:val="001D2BC2"/>
    <w:rsid w:val="001D6608"/>
    <w:rsid w:val="001E14EE"/>
    <w:rsid w:val="001E3542"/>
    <w:rsid w:val="001E4D28"/>
    <w:rsid w:val="001E5E92"/>
    <w:rsid w:val="001E66D6"/>
    <w:rsid w:val="001F301F"/>
    <w:rsid w:val="001F39E9"/>
    <w:rsid w:val="001F4A2B"/>
    <w:rsid w:val="001F51A3"/>
    <w:rsid w:val="0020123D"/>
    <w:rsid w:val="002018F0"/>
    <w:rsid w:val="0020394C"/>
    <w:rsid w:val="002060C1"/>
    <w:rsid w:val="00211F19"/>
    <w:rsid w:val="00212BD1"/>
    <w:rsid w:val="0021648F"/>
    <w:rsid w:val="002172C5"/>
    <w:rsid w:val="0022348F"/>
    <w:rsid w:val="00226CD7"/>
    <w:rsid w:val="00230166"/>
    <w:rsid w:val="00230E65"/>
    <w:rsid w:val="00233055"/>
    <w:rsid w:val="00233727"/>
    <w:rsid w:val="0023519B"/>
    <w:rsid w:val="002367D4"/>
    <w:rsid w:val="00236EC5"/>
    <w:rsid w:val="0024171F"/>
    <w:rsid w:val="00241F13"/>
    <w:rsid w:val="00242572"/>
    <w:rsid w:val="00245C1D"/>
    <w:rsid w:val="00250CF8"/>
    <w:rsid w:val="0025182B"/>
    <w:rsid w:val="0025308E"/>
    <w:rsid w:val="002568AD"/>
    <w:rsid w:val="00257243"/>
    <w:rsid w:val="002576B7"/>
    <w:rsid w:val="00257E4A"/>
    <w:rsid w:val="002617F0"/>
    <w:rsid w:val="00272AD4"/>
    <w:rsid w:val="00276BBF"/>
    <w:rsid w:val="0027798A"/>
    <w:rsid w:val="002829DF"/>
    <w:rsid w:val="00284D24"/>
    <w:rsid w:val="002914E2"/>
    <w:rsid w:val="002914F1"/>
    <w:rsid w:val="00292881"/>
    <w:rsid w:val="002A39B0"/>
    <w:rsid w:val="002A6E4A"/>
    <w:rsid w:val="002B0092"/>
    <w:rsid w:val="002B1671"/>
    <w:rsid w:val="002B2FD1"/>
    <w:rsid w:val="002B4249"/>
    <w:rsid w:val="002B427E"/>
    <w:rsid w:val="002B45CD"/>
    <w:rsid w:val="002B75DD"/>
    <w:rsid w:val="002C111F"/>
    <w:rsid w:val="002C1E87"/>
    <w:rsid w:val="002C49FA"/>
    <w:rsid w:val="002C780B"/>
    <w:rsid w:val="002D0500"/>
    <w:rsid w:val="002D1606"/>
    <w:rsid w:val="002D1F94"/>
    <w:rsid w:val="002E2906"/>
    <w:rsid w:val="002E4A9A"/>
    <w:rsid w:val="002E7181"/>
    <w:rsid w:val="002E78BA"/>
    <w:rsid w:val="002F3B4C"/>
    <w:rsid w:val="002F52EA"/>
    <w:rsid w:val="002F672F"/>
    <w:rsid w:val="00300A96"/>
    <w:rsid w:val="0030435D"/>
    <w:rsid w:val="0030589F"/>
    <w:rsid w:val="003074ED"/>
    <w:rsid w:val="00307548"/>
    <w:rsid w:val="00313010"/>
    <w:rsid w:val="003319EF"/>
    <w:rsid w:val="003374C4"/>
    <w:rsid w:val="00337B7B"/>
    <w:rsid w:val="00340B5E"/>
    <w:rsid w:val="00345931"/>
    <w:rsid w:val="00345991"/>
    <w:rsid w:val="00345DE7"/>
    <w:rsid w:val="00347883"/>
    <w:rsid w:val="00347ED6"/>
    <w:rsid w:val="0035303A"/>
    <w:rsid w:val="00354CE2"/>
    <w:rsid w:val="003553CF"/>
    <w:rsid w:val="003561E3"/>
    <w:rsid w:val="003608C3"/>
    <w:rsid w:val="00361891"/>
    <w:rsid w:val="003625FE"/>
    <w:rsid w:val="0036269A"/>
    <w:rsid w:val="003626EC"/>
    <w:rsid w:val="00362910"/>
    <w:rsid w:val="0036299B"/>
    <w:rsid w:val="00362DDC"/>
    <w:rsid w:val="003631CA"/>
    <w:rsid w:val="003660DD"/>
    <w:rsid w:val="00371482"/>
    <w:rsid w:val="0037152B"/>
    <w:rsid w:val="00372EE9"/>
    <w:rsid w:val="0037307E"/>
    <w:rsid w:val="00373514"/>
    <w:rsid w:val="0037392B"/>
    <w:rsid w:val="00373A01"/>
    <w:rsid w:val="003753CE"/>
    <w:rsid w:val="0037598E"/>
    <w:rsid w:val="003765BE"/>
    <w:rsid w:val="003779D0"/>
    <w:rsid w:val="00381061"/>
    <w:rsid w:val="00381897"/>
    <w:rsid w:val="00385AE8"/>
    <w:rsid w:val="00390D01"/>
    <w:rsid w:val="00391EDC"/>
    <w:rsid w:val="0039203D"/>
    <w:rsid w:val="00392439"/>
    <w:rsid w:val="0039366A"/>
    <w:rsid w:val="003949F1"/>
    <w:rsid w:val="00396A4E"/>
    <w:rsid w:val="0039709A"/>
    <w:rsid w:val="00397C4A"/>
    <w:rsid w:val="003A1CFA"/>
    <w:rsid w:val="003A49BA"/>
    <w:rsid w:val="003A7252"/>
    <w:rsid w:val="003B0207"/>
    <w:rsid w:val="003B0E64"/>
    <w:rsid w:val="003C0BDF"/>
    <w:rsid w:val="003C392F"/>
    <w:rsid w:val="003C3ED7"/>
    <w:rsid w:val="003C3F77"/>
    <w:rsid w:val="003C6C7B"/>
    <w:rsid w:val="003C6DA4"/>
    <w:rsid w:val="003C6E74"/>
    <w:rsid w:val="003C7920"/>
    <w:rsid w:val="003D2E19"/>
    <w:rsid w:val="003D696E"/>
    <w:rsid w:val="003E04BE"/>
    <w:rsid w:val="003E1554"/>
    <w:rsid w:val="003E1B13"/>
    <w:rsid w:val="003E4A98"/>
    <w:rsid w:val="003E53A6"/>
    <w:rsid w:val="003E6EAB"/>
    <w:rsid w:val="003F14AD"/>
    <w:rsid w:val="003F2807"/>
    <w:rsid w:val="003F2BFD"/>
    <w:rsid w:val="003F3928"/>
    <w:rsid w:val="003F408C"/>
    <w:rsid w:val="003F746F"/>
    <w:rsid w:val="003F782B"/>
    <w:rsid w:val="004048BA"/>
    <w:rsid w:val="00404A07"/>
    <w:rsid w:val="0041041F"/>
    <w:rsid w:val="00411A54"/>
    <w:rsid w:val="00412783"/>
    <w:rsid w:val="0042087F"/>
    <w:rsid w:val="004249CC"/>
    <w:rsid w:val="004256F2"/>
    <w:rsid w:val="0042726A"/>
    <w:rsid w:val="00432D4A"/>
    <w:rsid w:val="004347DE"/>
    <w:rsid w:val="00436721"/>
    <w:rsid w:val="004373A9"/>
    <w:rsid w:val="00440718"/>
    <w:rsid w:val="0044116B"/>
    <w:rsid w:val="00441A53"/>
    <w:rsid w:val="004514A7"/>
    <w:rsid w:val="00453ADB"/>
    <w:rsid w:val="00454722"/>
    <w:rsid w:val="004561D1"/>
    <w:rsid w:val="00473015"/>
    <w:rsid w:val="00474645"/>
    <w:rsid w:val="004747F1"/>
    <w:rsid w:val="00476209"/>
    <w:rsid w:val="0047627A"/>
    <w:rsid w:val="00477D08"/>
    <w:rsid w:val="0048302E"/>
    <w:rsid w:val="00483F93"/>
    <w:rsid w:val="00484658"/>
    <w:rsid w:val="00484905"/>
    <w:rsid w:val="00486E1F"/>
    <w:rsid w:val="00491643"/>
    <w:rsid w:val="004918DC"/>
    <w:rsid w:val="004926C2"/>
    <w:rsid w:val="004A06BC"/>
    <w:rsid w:val="004A0B99"/>
    <w:rsid w:val="004A269C"/>
    <w:rsid w:val="004A2799"/>
    <w:rsid w:val="004A7D6C"/>
    <w:rsid w:val="004B0143"/>
    <w:rsid w:val="004B0498"/>
    <w:rsid w:val="004B0669"/>
    <w:rsid w:val="004B12FE"/>
    <w:rsid w:val="004B2FFF"/>
    <w:rsid w:val="004B4166"/>
    <w:rsid w:val="004B552A"/>
    <w:rsid w:val="004C07DE"/>
    <w:rsid w:val="004C2E38"/>
    <w:rsid w:val="004C3680"/>
    <w:rsid w:val="004C6047"/>
    <w:rsid w:val="004C6554"/>
    <w:rsid w:val="004D2F81"/>
    <w:rsid w:val="004D4B3B"/>
    <w:rsid w:val="004D4CF3"/>
    <w:rsid w:val="004D523D"/>
    <w:rsid w:val="004E0671"/>
    <w:rsid w:val="004E15EC"/>
    <w:rsid w:val="004E2EFF"/>
    <w:rsid w:val="004E31D2"/>
    <w:rsid w:val="004E60B7"/>
    <w:rsid w:val="004F04C8"/>
    <w:rsid w:val="004F14B5"/>
    <w:rsid w:val="004F3BB2"/>
    <w:rsid w:val="005022A4"/>
    <w:rsid w:val="00502423"/>
    <w:rsid w:val="00502912"/>
    <w:rsid w:val="00503ACB"/>
    <w:rsid w:val="00504680"/>
    <w:rsid w:val="00504A4D"/>
    <w:rsid w:val="00504FB3"/>
    <w:rsid w:val="00506115"/>
    <w:rsid w:val="0051141D"/>
    <w:rsid w:val="00513560"/>
    <w:rsid w:val="00515C8F"/>
    <w:rsid w:val="00524349"/>
    <w:rsid w:val="00524696"/>
    <w:rsid w:val="00527C90"/>
    <w:rsid w:val="00530472"/>
    <w:rsid w:val="00534B17"/>
    <w:rsid w:val="00537F69"/>
    <w:rsid w:val="005423DB"/>
    <w:rsid w:val="00543004"/>
    <w:rsid w:val="005432A5"/>
    <w:rsid w:val="00544AAB"/>
    <w:rsid w:val="00544D88"/>
    <w:rsid w:val="005452D7"/>
    <w:rsid w:val="00550427"/>
    <w:rsid w:val="0055217E"/>
    <w:rsid w:val="005544D3"/>
    <w:rsid w:val="005550BD"/>
    <w:rsid w:val="00555F88"/>
    <w:rsid w:val="00557E79"/>
    <w:rsid w:val="005624EC"/>
    <w:rsid w:val="0056288C"/>
    <w:rsid w:val="00564B70"/>
    <w:rsid w:val="00566F8B"/>
    <w:rsid w:val="00570901"/>
    <w:rsid w:val="00573621"/>
    <w:rsid w:val="00575FC7"/>
    <w:rsid w:val="00577168"/>
    <w:rsid w:val="0057785A"/>
    <w:rsid w:val="00583085"/>
    <w:rsid w:val="00584459"/>
    <w:rsid w:val="00585514"/>
    <w:rsid w:val="00586269"/>
    <w:rsid w:val="005865E2"/>
    <w:rsid w:val="0058698A"/>
    <w:rsid w:val="00587287"/>
    <w:rsid w:val="00591370"/>
    <w:rsid w:val="0059198C"/>
    <w:rsid w:val="00595B5A"/>
    <w:rsid w:val="0059662B"/>
    <w:rsid w:val="005A1118"/>
    <w:rsid w:val="005A33DC"/>
    <w:rsid w:val="005A3CE4"/>
    <w:rsid w:val="005A4415"/>
    <w:rsid w:val="005B4721"/>
    <w:rsid w:val="005B55A1"/>
    <w:rsid w:val="005C1697"/>
    <w:rsid w:val="005C28C0"/>
    <w:rsid w:val="005C421F"/>
    <w:rsid w:val="005C44CD"/>
    <w:rsid w:val="005C57A1"/>
    <w:rsid w:val="005D26AD"/>
    <w:rsid w:val="005D4720"/>
    <w:rsid w:val="005D4798"/>
    <w:rsid w:val="005D6BA0"/>
    <w:rsid w:val="005D73D5"/>
    <w:rsid w:val="005D7F5E"/>
    <w:rsid w:val="005E312E"/>
    <w:rsid w:val="005E3F73"/>
    <w:rsid w:val="005E4F96"/>
    <w:rsid w:val="005E5EB0"/>
    <w:rsid w:val="005E5FD3"/>
    <w:rsid w:val="005E6F50"/>
    <w:rsid w:val="005F0F06"/>
    <w:rsid w:val="005F1868"/>
    <w:rsid w:val="005F7748"/>
    <w:rsid w:val="0060087C"/>
    <w:rsid w:val="0060184E"/>
    <w:rsid w:val="006023E6"/>
    <w:rsid w:val="00607148"/>
    <w:rsid w:val="0060719B"/>
    <w:rsid w:val="006072C0"/>
    <w:rsid w:val="006072C2"/>
    <w:rsid w:val="0060761A"/>
    <w:rsid w:val="006076AA"/>
    <w:rsid w:val="00607C68"/>
    <w:rsid w:val="00607EC0"/>
    <w:rsid w:val="006117BE"/>
    <w:rsid w:val="00611EE8"/>
    <w:rsid w:val="00622069"/>
    <w:rsid w:val="00622AE6"/>
    <w:rsid w:val="006236B9"/>
    <w:rsid w:val="00626D78"/>
    <w:rsid w:val="006271ED"/>
    <w:rsid w:val="00630385"/>
    <w:rsid w:val="00632DFB"/>
    <w:rsid w:val="00632E59"/>
    <w:rsid w:val="00634333"/>
    <w:rsid w:val="00634AF3"/>
    <w:rsid w:val="0063551C"/>
    <w:rsid w:val="0063602F"/>
    <w:rsid w:val="00636867"/>
    <w:rsid w:val="00636985"/>
    <w:rsid w:val="006403A3"/>
    <w:rsid w:val="00641B2F"/>
    <w:rsid w:val="006426CE"/>
    <w:rsid w:val="00643F73"/>
    <w:rsid w:val="00647552"/>
    <w:rsid w:val="0065176A"/>
    <w:rsid w:val="00653DB2"/>
    <w:rsid w:val="00657596"/>
    <w:rsid w:val="0066186F"/>
    <w:rsid w:val="00661AA0"/>
    <w:rsid w:val="00671245"/>
    <w:rsid w:val="00671836"/>
    <w:rsid w:val="0067242A"/>
    <w:rsid w:val="00675526"/>
    <w:rsid w:val="00675D2C"/>
    <w:rsid w:val="006803AE"/>
    <w:rsid w:val="00683B27"/>
    <w:rsid w:val="00685762"/>
    <w:rsid w:val="006907A3"/>
    <w:rsid w:val="00692408"/>
    <w:rsid w:val="006936FB"/>
    <w:rsid w:val="00694810"/>
    <w:rsid w:val="00696B49"/>
    <w:rsid w:val="006A1B14"/>
    <w:rsid w:val="006A639E"/>
    <w:rsid w:val="006B1034"/>
    <w:rsid w:val="006B1302"/>
    <w:rsid w:val="006B2404"/>
    <w:rsid w:val="006B3B38"/>
    <w:rsid w:val="006B4C4B"/>
    <w:rsid w:val="006B6B93"/>
    <w:rsid w:val="006B6C11"/>
    <w:rsid w:val="006B7000"/>
    <w:rsid w:val="006D0F55"/>
    <w:rsid w:val="006D1C0D"/>
    <w:rsid w:val="006D1D1F"/>
    <w:rsid w:val="006D3409"/>
    <w:rsid w:val="006D435E"/>
    <w:rsid w:val="006E264C"/>
    <w:rsid w:val="006E28AF"/>
    <w:rsid w:val="006E348A"/>
    <w:rsid w:val="006E5609"/>
    <w:rsid w:val="006F0F3E"/>
    <w:rsid w:val="006F58D7"/>
    <w:rsid w:val="006F59DC"/>
    <w:rsid w:val="00700E3C"/>
    <w:rsid w:val="00701497"/>
    <w:rsid w:val="0070309D"/>
    <w:rsid w:val="007045FF"/>
    <w:rsid w:val="00704E2E"/>
    <w:rsid w:val="007068FF"/>
    <w:rsid w:val="00707F12"/>
    <w:rsid w:val="0071152E"/>
    <w:rsid w:val="007125BC"/>
    <w:rsid w:val="00714988"/>
    <w:rsid w:val="00715CC7"/>
    <w:rsid w:val="00722452"/>
    <w:rsid w:val="00722932"/>
    <w:rsid w:val="00724D6F"/>
    <w:rsid w:val="007358DF"/>
    <w:rsid w:val="00735B2F"/>
    <w:rsid w:val="00736F48"/>
    <w:rsid w:val="0074245C"/>
    <w:rsid w:val="00742C67"/>
    <w:rsid w:val="00743854"/>
    <w:rsid w:val="007469E3"/>
    <w:rsid w:val="00746E3E"/>
    <w:rsid w:val="0075049A"/>
    <w:rsid w:val="00750DAA"/>
    <w:rsid w:val="00753041"/>
    <w:rsid w:val="0075326B"/>
    <w:rsid w:val="0075389A"/>
    <w:rsid w:val="0075425C"/>
    <w:rsid w:val="0075678F"/>
    <w:rsid w:val="007568B6"/>
    <w:rsid w:val="007612BB"/>
    <w:rsid w:val="00763AA0"/>
    <w:rsid w:val="00773B46"/>
    <w:rsid w:val="00780D24"/>
    <w:rsid w:val="00780FE1"/>
    <w:rsid w:val="00781886"/>
    <w:rsid w:val="007831DC"/>
    <w:rsid w:val="00794890"/>
    <w:rsid w:val="007A654A"/>
    <w:rsid w:val="007B028D"/>
    <w:rsid w:val="007B0AE0"/>
    <w:rsid w:val="007B1A1D"/>
    <w:rsid w:val="007B2D35"/>
    <w:rsid w:val="007B32CF"/>
    <w:rsid w:val="007B3832"/>
    <w:rsid w:val="007B68CC"/>
    <w:rsid w:val="007C0D2F"/>
    <w:rsid w:val="007C135A"/>
    <w:rsid w:val="007C181B"/>
    <w:rsid w:val="007C2AFD"/>
    <w:rsid w:val="007C3168"/>
    <w:rsid w:val="007C40B4"/>
    <w:rsid w:val="007C59D6"/>
    <w:rsid w:val="007C79B9"/>
    <w:rsid w:val="007D46D2"/>
    <w:rsid w:val="007D5B78"/>
    <w:rsid w:val="007D621D"/>
    <w:rsid w:val="007D67CE"/>
    <w:rsid w:val="007E061C"/>
    <w:rsid w:val="007E0883"/>
    <w:rsid w:val="007E25C6"/>
    <w:rsid w:val="007E2C5D"/>
    <w:rsid w:val="007E328D"/>
    <w:rsid w:val="007E662A"/>
    <w:rsid w:val="007E6DE9"/>
    <w:rsid w:val="007E7626"/>
    <w:rsid w:val="007E7763"/>
    <w:rsid w:val="007F3DBE"/>
    <w:rsid w:val="007F55F9"/>
    <w:rsid w:val="007F65A5"/>
    <w:rsid w:val="008016FE"/>
    <w:rsid w:val="008039FB"/>
    <w:rsid w:val="008041FA"/>
    <w:rsid w:val="008063B0"/>
    <w:rsid w:val="0080647C"/>
    <w:rsid w:val="008079F3"/>
    <w:rsid w:val="00813836"/>
    <w:rsid w:val="00814F19"/>
    <w:rsid w:val="008174B9"/>
    <w:rsid w:val="00825B61"/>
    <w:rsid w:val="00830BA9"/>
    <w:rsid w:val="008312A8"/>
    <w:rsid w:val="0083442F"/>
    <w:rsid w:val="008355B8"/>
    <w:rsid w:val="00836791"/>
    <w:rsid w:val="00840766"/>
    <w:rsid w:val="008438D4"/>
    <w:rsid w:val="00844733"/>
    <w:rsid w:val="00852221"/>
    <w:rsid w:val="0085317B"/>
    <w:rsid w:val="00853BEB"/>
    <w:rsid w:val="0085610B"/>
    <w:rsid w:val="00856C99"/>
    <w:rsid w:val="0085797B"/>
    <w:rsid w:val="00863A10"/>
    <w:rsid w:val="00865B38"/>
    <w:rsid w:val="008670E8"/>
    <w:rsid w:val="00870197"/>
    <w:rsid w:val="00872913"/>
    <w:rsid w:val="008753CB"/>
    <w:rsid w:val="00876428"/>
    <w:rsid w:val="00876E95"/>
    <w:rsid w:val="00877460"/>
    <w:rsid w:val="00880148"/>
    <w:rsid w:val="00881DDA"/>
    <w:rsid w:val="00882B80"/>
    <w:rsid w:val="00883435"/>
    <w:rsid w:val="00886523"/>
    <w:rsid w:val="0089219B"/>
    <w:rsid w:val="00892B1E"/>
    <w:rsid w:val="0089436A"/>
    <w:rsid w:val="008A0782"/>
    <w:rsid w:val="008A329C"/>
    <w:rsid w:val="008A3BA1"/>
    <w:rsid w:val="008A762B"/>
    <w:rsid w:val="008B0CB8"/>
    <w:rsid w:val="008B0F36"/>
    <w:rsid w:val="008B2F18"/>
    <w:rsid w:val="008B3D3A"/>
    <w:rsid w:val="008B4DAB"/>
    <w:rsid w:val="008C0BFA"/>
    <w:rsid w:val="008C2DD7"/>
    <w:rsid w:val="008C2FA6"/>
    <w:rsid w:val="008C43F3"/>
    <w:rsid w:val="008C4E65"/>
    <w:rsid w:val="008C5CD9"/>
    <w:rsid w:val="008D1512"/>
    <w:rsid w:val="008D2744"/>
    <w:rsid w:val="008D4BE0"/>
    <w:rsid w:val="008D4FEF"/>
    <w:rsid w:val="008E08AB"/>
    <w:rsid w:val="008E2101"/>
    <w:rsid w:val="008E3371"/>
    <w:rsid w:val="008E4245"/>
    <w:rsid w:val="008E5368"/>
    <w:rsid w:val="008E590F"/>
    <w:rsid w:val="008F0BF3"/>
    <w:rsid w:val="008F3992"/>
    <w:rsid w:val="008F526F"/>
    <w:rsid w:val="008F750D"/>
    <w:rsid w:val="009016A1"/>
    <w:rsid w:val="00902C2B"/>
    <w:rsid w:val="009117C4"/>
    <w:rsid w:val="009160B5"/>
    <w:rsid w:val="00916412"/>
    <w:rsid w:val="00921120"/>
    <w:rsid w:val="00921CF1"/>
    <w:rsid w:val="00923FF8"/>
    <w:rsid w:val="009241C1"/>
    <w:rsid w:val="0092625F"/>
    <w:rsid w:val="00926B88"/>
    <w:rsid w:val="009314CA"/>
    <w:rsid w:val="00932002"/>
    <w:rsid w:val="0093527F"/>
    <w:rsid w:val="00936008"/>
    <w:rsid w:val="00937B5B"/>
    <w:rsid w:val="009407B7"/>
    <w:rsid w:val="0094390D"/>
    <w:rsid w:val="009469C8"/>
    <w:rsid w:val="00946EB1"/>
    <w:rsid w:val="00947EB9"/>
    <w:rsid w:val="0095068B"/>
    <w:rsid w:val="00952878"/>
    <w:rsid w:val="009540ED"/>
    <w:rsid w:val="00954D20"/>
    <w:rsid w:val="00960AEB"/>
    <w:rsid w:val="00960E20"/>
    <w:rsid w:val="00961B15"/>
    <w:rsid w:val="00962D69"/>
    <w:rsid w:val="00964A26"/>
    <w:rsid w:val="009664C8"/>
    <w:rsid w:val="00967AFB"/>
    <w:rsid w:val="0097077E"/>
    <w:rsid w:val="00972683"/>
    <w:rsid w:val="00973B5D"/>
    <w:rsid w:val="00975C8D"/>
    <w:rsid w:val="00976B5C"/>
    <w:rsid w:val="0098158F"/>
    <w:rsid w:val="009836AF"/>
    <w:rsid w:val="0098399B"/>
    <w:rsid w:val="0098537F"/>
    <w:rsid w:val="009859E0"/>
    <w:rsid w:val="009861EB"/>
    <w:rsid w:val="0099088C"/>
    <w:rsid w:val="00992044"/>
    <w:rsid w:val="00995D1A"/>
    <w:rsid w:val="00997426"/>
    <w:rsid w:val="009A2313"/>
    <w:rsid w:val="009A32C7"/>
    <w:rsid w:val="009A3A86"/>
    <w:rsid w:val="009A6849"/>
    <w:rsid w:val="009B08A7"/>
    <w:rsid w:val="009B179F"/>
    <w:rsid w:val="009B196C"/>
    <w:rsid w:val="009B28D0"/>
    <w:rsid w:val="009B6C9D"/>
    <w:rsid w:val="009C02B7"/>
    <w:rsid w:val="009C0AE1"/>
    <w:rsid w:val="009C1B60"/>
    <w:rsid w:val="009C1EC2"/>
    <w:rsid w:val="009C513B"/>
    <w:rsid w:val="009C5DF4"/>
    <w:rsid w:val="009C70B8"/>
    <w:rsid w:val="009D2323"/>
    <w:rsid w:val="009D318C"/>
    <w:rsid w:val="009D501E"/>
    <w:rsid w:val="009D70E7"/>
    <w:rsid w:val="009D7D15"/>
    <w:rsid w:val="009E02D0"/>
    <w:rsid w:val="009E2674"/>
    <w:rsid w:val="009E5F99"/>
    <w:rsid w:val="009E61B3"/>
    <w:rsid w:val="009F09C2"/>
    <w:rsid w:val="009F4BE8"/>
    <w:rsid w:val="009F5F00"/>
    <w:rsid w:val="009F7043"/>
    <w:rsid w:val="00A004D5"/>
    <w:rsid w:val="00A00952"/>
    <w:rsid w:val="00A021B3"/>
    <w:rsid w:val="00A02CBE"/>
    <w:rsid w:val="00A049D5"/>
    <w:rsid w:val="00A06EDD"/>
    <w:rsid w:val="00A070EC"/>
    <w:rsid w:val="00A07D08"/>
    <w:rsid w:val="00A116DF"/>
    <w:rsid w:val="00A1652E"/>
    <w:rsid w:val="00A216FF"/>
    <w:rsid w:val="00A2373D"/>
    <w:rsid w:val="00A23DAA"/>
    <w:rsid w:val="00A32A01"/>
    <w:rsid w:val="00A35917"/>
    <w:rsid w:val="00A36E41"/>
    <w:rsid w:val="00A40FAA"/>
    <w:rsid w:val="00A43BC0"/>
    <w:rsid w:val="00A4421A"/>
    <w:rsid w:val="00A45DB6"/>
    <w:rsid w:val="00A50285"/>
    <w:rsid w:val="00A508CF"/>
    <w:rsid w:val="00A50BC8"/>
    <w:rsid w:val="00A551A5"/>
    <w:rsid w:val="00A5561C"/>
    <w:rsid w:val="00A55BE2"/>
    <w:rsid w:val="00A56D7E"/>
    <w:rsid w:val="00A57964"/>
    <w:rsid w:val="00A57F38"/>
    <w:rsid w:val="00A61600"/>
    <w:rsid w:val="00A63CA6"/>
    <w:rsid w:val="00A64899"/>
    <w:rsid w:val="00A64ACF"/>
    <w:rsid w:val="00A64D8D"/>
    <w:rsid w:val="00A65042"/>
    <w:rsid w:val="00A66D58"/>
    <w:rsid w:val="00A6775F"/>
    <w:rsid w:val="00A7109D"/>
    <w:rsid w:val="00A7267D"/>
    <w:rsid w:val="00A73C44"/>
    <w:rsid w:val="00A7436A"/>
    <w:rsid w:val="00A7571D"/>
    <w:rsid w:val="00A82221"/>
    <w:rsid w:val="00A82DC5"/>
    <w:rsid w:val="00A82EA3"/>
    <w:rsid w:val="00A83A5D"/>
    <w:rsid w:val="00A84F62"/>
    <w:rsid w:val="00A8540E"/>
    <w:rsid w:val="00A859C2"/>
    <w:rsid w:val="00A877F2"/>
    <w:rsid w:val="00A8793D"/>
    <w:rsid w:val="00A90FD9"/>
    <w:rsid w:val="00A91371"/>
    <w:rsid w:val="00A92155"/>
    <w:rsid w:val="00A955F8"/>
    <w:rsid w:val="00AA1613"/>
    <w:rsid w:val="00AA1D6B"/>
    <w:rsid w:val="00AA37A4"/>
    <w:rsid w:val="00AA7E6B"/>
    <w:rsid w:val="00AB2BCA"/>
    <w:rsid w:val="00AB4126"/>
    <w:rsid w:val="00AB4359"/>
    <w:rsid w:val="00AC0EDA"/>
    <w:rsid w:val="00AC1685"/>
    <w:rsid w:val="00AC268F"/>
    <w:rsid w:val="00AC3151"/>
    <w:rsid w:val="00AC4028"/>
    <w:rsid w:val="00AC40CC"/>
    <w:rsid w:val="00AC5F10"/>
    <w:rsid w:val="00AD39BE"/>
    <w:rsid w:val="00AD7144"/>
    <w:rsid w:val="00AE1860"/>
    <w:rsid w:val="00AE190C"/>
    <w:rsid w:val="00AE2302"/>
    <w:rsid w:val="00AE246F"/>
    <w:rsid w:val="00AE3396"/>
    <w:rsid w:val="00AE6EE2"/>
    <w:rsid w:val="00AE70E0"/>
    <w:rsid w:val="00AF09AB"/>
    <w:rsid w:val="00AF3671"/>
    <w:rsid w:val="00AF3E18"/>
    <w:rsid w:val="00AF6BC4"/>
    <w:rsid w:val="00AF6DBE"/>
    <w:rsid w:val="00B0083E"/>
    <w:rsid w:val="00B01AAE"/>
    <w:rsid w:val="00B0430A"/>
    <w:rsid w:val="00B04A3D"/>
    <w:rsid w:val="00B060B1"/>
    <w:rsid w:val="00B07A44"/>
    <w:rsid w:val="00B10246"/>
    <w:rsid w:val="00B10B3C"/>
    <w:rsid w:val="00B12893"/>
    <w:rsid w:val="00B13544"/>
    <w:rsid w:val="00B16149"/>
    <w:rsid w:val="00B23ECC"/>
    <w:rsid w:val="00B2443A"/>
    <w:rsid w:val="00B24637"/>
    <w:rsid w:val="00B26F24"/>
    <w:rsid w:val="00B32AAF"/>
    <w:rsid w:val="00B369CF"/>
    <w:rsid w:val="00B41493"/>
    <w:rsid w:val="00B428AE"/>
    <w:rsid w:val="00B44987"/>
    <w:rsid w:val="00B44D5E"/>
    <w:rsid w:val="00B47557"/>
    <w:rsid w:val="00B565F0"/>
    <w:rsid w:val="00B575B6"/>
    <w:rsid w:val="00B61BA2"/>
    <w:rsid w:val="00B620C5"/>
    <w:rsid w:val="00B67347"/>
    <w:rsid w:val="00B67AF5"/>
    <w:rsid w:val="00B711E8"/>
    <w:rsid w:val="00B7150F"/>
    <w:rsid w:val="00B73CE1"/>
    <w:rsid w:val="00B756CC"/>
    <w:rsid w:val="00B84A8F"/>
    <w:rsid w:val="00B84DF3"/>
    <w:rsid w:val="00B900D0"/>
    <w:rsid w:val="00B904AC"/>
    <w:rsid w:val="00B916BE"/>
    <w:rsid w:val="00B92857"/>
    <w:rsid w:val="00B939A1"/>
    <w:rsid w:val="00B93C64"/>
    <w:rsid w:val="00B953C4"/>
    <w:rsid w:val="00B97596"/>
    <w:rsid w:val="00BA0181"/>
    <w:rsid w:val="00BA1497"/>
    <w:rsid w:val="00BA1CA2"/>
    <w:rsid w:val="00BB2016"/>
    <w:rsid w:val="00BB316D"/>
    <w:rsid w:val="00BB3759"/>
    <w:rsid w:val="00BC1BD9"/>
    <w:rsid w:val="00BC2E8E"/>
    <w:rsid w:val="00BC59C9"/>
    <w:rsid w:val="00BC6B08"/>
    <w:rsid w:val="00BC6C41"/>
    <w:rsid w:val="00BC77C9"/>
    <w:rsid w:val="00BD4427"/>
    <w:rsid w:val="00BE0A5D"/>
    <w:rsid w:val="00BE0A7F"/>
    <w:rsid w:val="00BE0E98"/>
    <w:rsid w:val="00BE25BF"/>
    <w:rsid w:val="00BE6BCA"/>
    <w:rsid w:val="00BF028D"/>
    <w:rsid w:val="00BF4076"/>
    <w:rsid w:val="00BF4AFC"/>
    <w:rsid w:val="00BF667F"/>
    <w:rsid w:val="00C0043D"/>
    <w:rsid w:val="00C02319"/>
    <w:rsid w:val="00C023D2"/>
    <w:rsid w:val="00C04B68"/>
    <w:rsid w:val="00C059CA"/>
    <w:rsid w:val="00C06C07"/>
    <w:rsid w:val="00C06F65"/>
    <w:rsid w:val="00C135D0"/>
    <w:rsid w:val="00C145B0"/>
    <w:rsid w:val="00C212A6"/>
    <w:rsid w:val="00C21BC4"/>
    <w:rsid w:val="00C25201"/>
    <w:rsid w:val="00C27B3E"/>
    <w:rsid w:val="00C30E80"/>
    <w:rsid w:val="00C3100F"/>
    <w:rsid w:val="00C31212"/>
    <w:rsid w:val="00C336CB"/>
    <w:rsid w:val="00C355EB"/>
    <w:rsid w:val="00C428A4"/>
    <w:rsid w:val="00C42EA7"/>
    <w:rsid w:val="00C43DDB"/>
    <w:rsid w:val="00C5078E"/>
    <w:rsid w:val="00C5245D"/>
    <w:rsid w:val="00C568D9"/>
    <w:rsid w:val="00C60BDA"/>
    <w:rsid w:val="00C626A8"/>
    <w:rsid w:val="00C706A6"/>
    <w:rsid w:val="00C70FB0"/>
    <w:rsid w:val="00C718B2"/>
    <w:rsid w:val="00C7329E"/>
    <w:rsid w:val="00C73820"/>
    <w:rsid w:val="00C73C26"/>
    <w:rsid w:val="00C8058E"/>
    <w:rsid w:val="00C80793"/>
    <w:rsid w:val="00C807BF"/>
    <w:rsid w:val="00C82E30"/>
    <w:rsid w:val="00C831DB"/>
    <w:rsid w:val="00C835B0"/>
    <w:rsid w:val="00C846A0"/>
    <w:rsid w:val="00C86CE1"/>
    <w:rsid w:val="00C92089"/>
    <w:rsid w:val="00C95B74"/>
    <w:rsid w:val="00C97886"/>
    <w:rsid w:val="00C978C4"/>
    <w:rsid w:val="00C97A8C"/>
    <w:rsid w:val="00CA00C0"/>
    <w:rsid w:val="00CA3DBD"/>
    <w:rsid w:val="00CA4159"/>
    <w:rsid w:val="00CA4387"/>
    <w:rsid w:val="00CA5653"/>
    <w:rsid w:val="00CA65EF"/>
    <w:rsid w:val="00CB0511"/>
    <w:rsid w:val="00CB3085"/>
    <w:rsid w:val="00CB4333"/>
    <w:rsid w:val="00CB4671"/>
    <w:rsid w:val="00CB60DB"/>
    <w:rsid w:val="00CB65E6"/>
    <w:rsid w:val="00CB7142"/>
    <w:rsid w:val="00CB7CDC"/>
    <w:rsid w:val="00CC0E57"/>
    <w:rsid w:val="00CC4CB2"/>
    <w:rsid w:val="00CC7F3B"/>
    <w:rsid w:val="00CD190C"/>
    <w:rsid w:val="00CD346A"/>
    <w:rsid w:val="00CD4D5A"/>
    <w:rsid w:val="00CD5189"/>
    <w:rsid w:val="00CD6105"/>
    <w:rsid w:val="00CD6A4F"/>
    <w:rsid w:val="00CE0D07"/>
    <w:rsid w:val="00CE43FB"/>
    <w:rsid w:val="00CF0FDE"/>
    <w:rsid w:val="00CF25BA"/>
    <w:rsid w:val="00CF46BB"/>
    <w:rsid w:val="00CF6679"/>
    <w:rsid w:val="00D002F9"/>
    <w:rsid w:val="00D01BDB"/>
    <w:rsid w:val="00D1350B"/>
    <w:rsid w:val="00D137D9"/>
    <w:rsid w:val="00D14B93"/>
    <w:rsid w:val="00D15A20"/>
    <w:rsid w:val="00D178F4"/>
    <w:rsid w:val="00D203CF"/>
    <w:rsid w:val="00D21A52"/>
    <w:rsid w:val="00D22F13"/>
    <w:rsid w:val="00D23120"/>
    <w:rsid w:val="00D2612B"/>
    <w:rsid w:val="00D305F6"/>
    <w:rsid w:val="00D31223"/>
    <w:rsid w:val="00D32839"/>
    <w:rsid w:val="00D35BD9"/>
    <w:rsid w:val="00D378C5"/>
    <w:rsid w:val="00D37BD6"/>
    <w:rsid w:val="00D41B85"/>
    <w:rsid w:val="00D41E3A"/>
    <w:rsid w:val="00D4335C"/>
    <w:rsid w:val="00D46A06"/>
    <w:rsid w:val="00D55951"/>
    <w:rsid w:val="00D61AF2"/>
    <w:rsid w:val="00D63D0F"/>
    <w:rsid w:val="00D63E64"/>
    <w:rsid w:val="00D6509D"/>
    <w:rsid w:val="00D652D7"/>
    <w:rsid w:val="00D66452"/>
    <w:rsid w:val="00D70CBE"/>
    <w:rsid w:val="00D72CD6"/>
    <w:rsid w:val="00D8396E"/>
    <w:rsid w:val="00D861B8"/>
    <w:rsid w:val="00D8729D"/>
    <w:rsid w:val="00D8772D"/>
    <w:rsid w:val="00D90BFF"/>
    <w:rsid w:val="00D92F72"/>
    <w:rsid w:val="00D9514C"/>
    <w:rsid w:val="00DA1C38"/>
    <w:rsid w:val="00DA22DE"/>
    <w:rsid w:val="00DA5728"/>
    <w:rsid w:val="00DA7439"/>
    <w:rsid w:val="00DB7A2E"/>
    <w:rsid w:val="00DC085B"/>
    <w:rsid w:val="00DC2B39"/>
    <w:rsid w:val="00DC55F9"/>
    <w:rsid w:val="00DC660D"/>
    <w:rsid w:val="00DD249F"/>
    <w:rsid w:val="00DD2D77"/>
    <w:rsid w:val="00DD45A1"/>
    <w:rsid w:val="00DD64BC"/>
    <w:rsid w:val="00DE1D5D"/>
    <w:rsid w:val="00DE52B9"/>
    <w:rsid w:val="00DF06A4"/>
    <w:rsid w:val="00DF323F"/>
    <w:rsid w:val="00DF40F7"/>
    <w:rsid w:val="00E01E73"/>
    <w:rsid w:val="00E02896"/>
    <w:rsid w:val="00E03549"/>
    <w:rsid w:val="00E0451A"/>
    <w:rsid w:val="00E057BE"/>
    <w:rsid w:val="00E068B4"/>
    <w:rsid w:val="00E12E19"/>
    <w:rsid w:val="00E139AE"/>
    <w:rsid w:val="00E13BD1"/>
    <w:rsid w:val="00E14532"/>
    <w:rsid w:val="00E168A8"/>
    <w:rsid w:val="00E168F1"/>
    <w:rsid w:val="00E17870"/>
    <w:rsid w:val="00E2158D"/>
    <w:rsid w:val="00E225D3"/>
    <w:rsid w:val="00E243E7"/>
    <w:rsid w:val="00E24A41"/>
    <w:rsid w:val="00E27905"/>
    <w:rsid w:val="00E3042E"/>
    <w:rsid w:val="00E3467C"/>
    <w:rsid w:val="00E35D80"/>
    <w:rsid w:val="00E37E0C"/>
    <w:rsid w:val="00E41DEB"/>
    <w:rsid w:val="00E440E6"/>
    <w:rsid w:val="00E442B2"/>
    <w:rsid w:val="00E44BDD"/>
    <w:rsid w:val="00E45518"/>
    <w:rsid w:val="00E4556F"/>
    <w:rsid w:val="00E516E8"/>
    <w:rsid w:val="00E53074"/>
    <w:rsid w:val="00E60058"/>
    <w:rsid w:val="00E64CC0"/>
    <w:rsid w:val="00E652EE"/>
    <w:rsid w:val="00E77C0B"/>
    <w:rsid w:val="00E8155D"/>
    <w:rsid w:val="00E815DA"/>
    <w:rsid w:val="00E8389C"/>
    <w:rsid w:val="00E85C55"/>
    <w:rsid w:val="00E9029B"/>
    <w:rsid w:val="00E90F42"/>
    <w:rsid w:val="00E93916"/>
    <w:rsid w:val="00E94424"/>
    <w:rsid w:val="00E949B7"/>
    <w:rsid w:val="00E94D27"/>
    <w:rsid w:val="00E975A0"/>
    <w:rsid w:val="00EA4619"/>
    <w:rsid w:val="00EA652B"/>
    <w:rsid w:val="00EB0EFF"/>
    <w:rsid w:val="00EB314B"/>
    <w:rsid w:val="00EB364B"/>
    <w:rsid w:val="00EB626F"/>
    <w:rsid w:val="00EB64FD"/>
    <w:rsid w:val="00EB671D"/>
    <w:rsid w:val="00EB6C41"/>
    <w:rsid w:val="00EB7C0E"/>
    <w:rsid w:val="00EC1198"/>
    <w:rsid w:val="00EC1CCF"/>
    <w:rsid w:val="00EC50C1"/>
    <w:rsid w:val="00EC6CC4"/>
    <w:rsid w:val="00ED0924"/>
    <w:rsid w:val="00ED117E"/>
    <w:rsid w:val="00ED2664"/>
    <w:rsid w:val="00ED515F"/>
    <w:rsid w:val="00ED5724"/>
    <w:rsid w:val="00ED60B1"/>
    <w:rsid w:val="00ED6D47"/>
    <w:rsid w:val="00EE284B"/>
    <w:rsid w:val="00EE2C48"/>
    <w:rsid w:val="00EE34C1"/>
    <w:rsid w:val="00EE38BA"/>
    <w:rsid w:val="00EE38DF"/>
    <w:rsid w:val="00EE67D2"/>
    <w:rsid w:val="00EF02D7"/>
    <w:rsid w:val="00EF19FA"/>
    <w:rsid w:val="00EF662F"/>
    <w:rsid w:val="00F00FCF"/>
    <w:rsid w:val="00F01D3B"/>
    <w:rsid w:val="00F03132"/>
    <w:rsid w:val="00F03444"/>
    <w:rsid w:val="00F0510C"/>
    <w:rsid w:val="00F12F8F"/>
    <w:rsid w:val="00F13993"/>
    <w:rsid w:val="00F14203"/>
    <w:rsid w:val="00F14C07"/>
    <w:rsid w:val="00F219C3"/>
    <w:rsid w:val="00F21B14"/>
    <w:rsid w:val="00F23190"/>
    <w:rsid w:val="00F244B3"/>
    <w:rsid w:val="00F26A82"/>
    <w:rsid w:val="00F26EB2"/>
    <w:rsid w:val="00F3432C"/>
    <w:rsid w:val="00F34DC2"/>
    <w:rsid w:val="00F35C25"/>
    <w:rsid w:val="00F37D92"/>
    <w:rsid w:val="00F4079C"/>
    <w:rsid w:val="00F409A9"/>
    <w:rsid w:val="00F43E63"/>
    <w:rsid w:val="00F43E67"/>
    <w:rsid w:val="00F453AE"/>
    <w:rsid w:val="00F472A0"/>
    <w:rsid w:val="00F516EE"/>
    <w:rsid w:val="00F51D73"/>
    <w:rsid w:val="00F52BF7"/>
    <w:rsid w:val="00F53206"/>
    <w:rsid w:val="00F542EF"/>
    <w:rsid w:val="00F55A8D"/>
    <w:rsid w:val="00F5635A"/>
    <w:rsid w:val="00F56E3F"/>
    <w:rsid w:val="00F61349"/>
    <w:rsid w:val="00F6299A"/>
    <w:rsid w:val="00F67E3E"/>
    <w:rsid w:val="00F70327"/>
    <w:rsid w:val="00F71167"/>
    <w:rsid w:val="00F726BA"/>
    <w:rsid w:val="00F749CC"/>
    <w:rsid w:val="00F80CF1"/>
    <w:rsid w:val="00F83152"/>
    <w:rsid w:val="00F84217"/>
    <w:rsid w:val="00F84A08"/>
    <w:rsid w:val="00F91EB3"/>
    <w:rsid w:val="00F9204F"/>
    <w:rsid w:val="00F92EDD"/>
    <w:rsid w:val="00FA1BF2"/>
    <w:rsid w:val="00FA5D5A"/>
    <w:rsid w:val="00FA7ED2"/>
    <w:rsid w:val="00FB11A1"/>
    <w:rsid w:val="00FB247F"/>
    <w:rsid w:val="00FB250E"/>
    <w:rsid w:val="00FB48AC"/>
    <w:rsid w:val="00FB507F"/>
    <w:rsid w:val="00FB5B93"/>
    <w:rsid w:val="00FB606F"/>
    <w:rsid w:val="00FB6F67"/>
    <w:rsid w:val="00FC118A"/>
    <w:rsid w:val="00FC1EA8"/>
    <w:rsid w:val="00FC2D13"/>
    <w:rsid w:val="00FC3880"/>
    <w:rsid w:val="00FC3A05"/>
    <w:rsid w:val="00FC3AFB"/>
    <w:rsid w:val="00FC64A3"/>
    <w:rsid w:val="00FC65BD"/>
    <w:rsid w:val="00FC7FDD"/>
    <w:rsid w:val="00FD11CE"/>
    <w:rsid w:val="00FD2B5E"/>
    <w:rsid w:val="00FD325A"/>
    <w:rsid w:val="00FD360A"/>
    <w:rsid w:val="00FD3CF2"/>
    <w:rsid w:val="00FD6257"/>
    <w:rsid w:val="00FE19C9"/>
    <w:rsid w:val="00FE28B8"/>
    <w:rsid w:val="00FE28FF"/>
    <w:rsid w:val="00FE38C1"/>
    <w:rsid w:val="00FE694B"/>
    <w:rsid w:val="00FE6C8A"/>
    <w:rsid w:val="00FE769F"/>
    <w:rsid w:val="00FF638B"/>
    <w:rsid w:val="00FF70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ZA" w:eastAsia="en-US" w:bidi="ar-SA"/>
      </w:rPr>
    </w:rPrDefault>
    <w:pPrDefault>
      <w:pPr>
        <w:spacing w:line="2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83E"/>
    <w:pPr>
      <w:spacing w:line="360" w:lineRule="auto"/>
    </w:pPr>
    <w:rPr>
      <w:rFonts w:ascii="Times New Roman" w:hAnsi="Times New Roman" w:cs="Times New Roman"/>
      <w:sz w:val="24"/>
      <w:szCs w:val="24"/>
    </w:rPr>
  </w:style>
  <w:style w:type="paragraph" w:styleId="Heading1">
    <w:name w:val="heading 1"/>
    <w:basedOn w:val="ListParagraph"/>
    <w:link w:val="Heading1Char"/>
    <w:uiPriority w:val="9"/>
    <w:qFormat/>
    <w:rsid w:val="00B0083E"/>
    <w:pPr>
      <w:numPr>
        <w:numId w:val="27"/>
      </w:numPr>
      <w:outlineLvl w:val="0"/>
    </w:pPr>
    <w:rPr>
      <w:b/>
    </w:rPr>
  </w:style>
  <w:style w:type="paragraph" w:styleId="Heading2">
    <w:name w:val="heading 2"/>
    <w:basedOn w:val="ListParagraph"/>
    <w:next w:val="Normal"/>
    <w:link w:val="Heading2Char"/>
    <w:uiPriority w:val="9"/>
    <w:unhideWhenUsed/>
    <w:qFormat/>
    <w:rsid w:val="00C336CB"/>
    <w:pPr>
      <w:numPr>
        <w:ilvl w:val="1"/>
        <w:numId w:val="27"/>
      </w:numPr>
      <w:outlineLvl w:val="1"/>
    </w:pPr>
    <w:rPr>
      <w:b/>
    </w:rPr>
  </w:style>
  <w:style w:type="paragraph" w:styleId="Heading3">
    <w:name w:val="heading 3"/>
    <w:basedOn w:val="Heading2"/>
    <w:next w:val="Normal"/>
    <w:link w:val="Heading3Char"/>
    <w:uiPriority w:val="9"/>
    <w:unhideWhenUsed/>
    <w:qFormat/>
    <w:rsid w:val="00D203CF"/>
    <w:pPr>
      <w:numPr>
        <w:ilvl w:val="2"/>
      </w:numPr>
      <w:outlineLvl w:val="2"/>
    </w:pPr>
  </w:style>
  <w:style w:type="paragraph" w:styleId="Heading4">
    <w:name w:val="heading 4"/>
    <w:basedOn w:val="ListParagraph"/>
    <w:next w:val="Normal"/>
    <w:link w:val="Heading4Char"/>
    <w:uiPriority w:val="9"/>
    <w:unhideWhenUsed/>
    <w:qFormat/>
    <w:rsid w:val="007B0AE0"/>
    <w:pPr>
      <w:numPr>
        <w:ilvl w:val="3"/>
        <w:numId w:val="27"/>
      </w:numPr>
      <w:outlineLvl w:val="3"/>
    </w:pPr>
    <w:rPr>
      <w:b/>
    </w:rPr>
  </w:style>
  <w:style w:type="paragraph" w:styleId="Heading5">
    <w:name w:val="heading 5"/>
    <w:basedOn w:val="ListParagraph"/>
    <w:next w:val="Normal"/>
    <w:link w:val="Heading5Char"/>
    <w:uiPriority w:val="9"/>
    <w:unhideWhenUsed/>
    <w:qFormat/>
    <w:rsid w:val="00B47557"/>
    <w:pPr>
      <w:numPr>
        <w:ilvl w:val="4"/>
        <w:numId w:val="27"/>
      </w:numPr>
      <w:outlineLvl w:val="4"/>
    </w:pPr>
    <w:rPr>
      <w:b/>
    </w:rPr>
  </w:style>
  <w:style w:type="paragraph" w:styleId="Heading6">
    <w:name w:val="heading 6"/>
    <w:basedOn w:val="Normal"/>
    <w:next w:val="Normal"/>
    <w:link w:val="Heading6Char"/>
    <w:uiPriority w:val="9"/>
    <w:semiHidden/>
    <w:unhideWhenUsed/>
    <w:qFormat/>
    <w:rsid w:val="00D203CF"/>
    <w:pPr>
      <w:keepNext/>
      <w:keepLines/>
      <w:numPr>
        <w:ilvl w:val="5"/>
        <w:numId w:val="2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203CF"/>
    <w:pPr>
      <w:keepNext/>
      <w:keepLines/>
      <w:numPr>
        <w:ilvl w:val="6"/>
        <w:numId w:val="2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203CF"/>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203CF"/>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rey Bullet List,Grey Bullet Style,List Paragraph 1,Bullet point,Bullets,Indent Paragraph,References,Riana Table Bullets 1,Table of contents numbered,Heading1,Recommendation,List Paragraph1,Body text,normal,Normal1,Normal2,Normal3,Normal4"/>
    <w:basedOn w:val="Normal"/>
    <w:link w:val="ListParagraphChar"/>
    <w:uiPriority w:val="34"/>
    <w:qFormat/>
    <w:rsid w:val="00F51D73"/>
    <w:pPr>
      <w:ind w:left="720"/>
      <w:contextualSpacing/>
    </w:pPr>
  </w:style>
  <w:style w:type="character" w:styleId="CommentReference">
    <w:name w:val="annotation reference"/>
    <w:basedOn w:val="DefaultParagraphFont"/>
    <w:uiPriority w:val="99"/>
    <w:semiHidden/>
    <w:unhideWhenUsed/>
    <w:rsid w:val="0037152B"/>
    <w:rPr>
      <w:sz w:val="16"/>
      <w:szCs w:val="16"/>
    </w:rPr>
  </w:style>
  <w:style w:type="paragraph" w:styleId="CommentText">
    <w:name w:val="annotation text"/>
    <w:basedOn w:val="Normal"/>
    <w:link w:val="CommentTextChar"/>
    <w:uiPriority w:val="99"/>
    <w:unhideWhenUsed/>
    <w:rsid w:val="0037152B"/>
    <w:pPr>
      <w:spacing w:line="240" w:lineRule="auto"/>
    </w:pPr>
    <w:rPr>
      <w:sz w:val="20"/>
      <w:szCs w:val="20"/>
    </w:rPr>
  </w:style>
  <w:style w:type="character" w:customStyle="1" w:styleId="CommentTextChar">
    <w:name w:val="Comment Text Char"/>
    <w:basedOn w:val="DefaultParagraphFont"/>
    <w:link w:val="CommentText"/>
    <w:uiPriority w:val="99"/>
    <w:rsid w:val="0037152B"/>
    <w:rPr>
      <w:sz w:val="20"/>
      <w:szCs w:val="20"/>
    </w:rPr>
  </w:style>
  <w:style w:type="paragraph" w:styleId="CommentSubject">
    <w:name w:val="annotation subject"/>
    <w:basedOn w:val="CommentText"/>
    <w:next w:val="CommentText"/>
    <w:link w:val="CommentSubjectChar"/>
    <w:uiPriority w:val="99"/>
    <w:semiHidden/>
    <w:unhideWhenUsed/>
    <w:rsid w:val="0037152B"/>
    <w:rPr>
      <w:b/>
      <w:bCs/>
    </w:rPr>
  </w:style>
  <w:style w:type="character" w:customStyle="1" w:styleId="CommentSubjectChar">
    <w:name w:val="Comment Subject Char"/>
    <w:basedOn w:val="CommentTextChar"/>
    <w:link w:val="CommentSubject"/>
    <w:uiPriority w:val="99"/>
    <w:semiHidden/>
    <w:rsid w:val="0037152B"/>
    <w:rPr>
      <w:b/>
      <w:bCs/>
      <w:sz w:val="20"/>
      <w:szCs w:val="20"/>
    </w:rPr>
  </w:style>
  <w:style w:type="paragraph" w:styleId="BalloonText">
    <w:name w:val="Balloon Text"/>
    <w:basedOn w:val="Normal"/>
    <w:link w:val="BalloonTextChar"/>
    <w:uiPriority w:val="99"/>
    <w:semiHidden/>
    <w:unhideWhenUsed/>
    <w:rsid w:val="003715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52B"/>
    <w:rPr>
      <w:rFonts w:ascii="Segoe UI" w:hAnsi="Segoe UI" w:cs="Segoe UI"/>
      <w:sz w:val="18"/>
      <w:szCs w:val="18"/>
    </w:rPr>
  </w:style>
  <w:style w:type="paragraph" w:styleId="FootnoteText">
    <w:name w:val="footnote text"/>
    <w:aliases w:val="Footnote Text Char Char,fn Char,ft"/>
    <w:basedOn w:val="Normal"/>
    <w:link w:val="FootnoteTextChar"/>
    <w:uiPriority w:val="99"/>
    <w:qFormat/>
    <w:rsid w:val="00C5078E"/>
    <w:pPr>
      <w:spacing w:line="240" w:lineRule="auto"/>
      <w:jc w:val="left"/>
    </w:pPr>
    <w:rPr>
      <w:rFonts w:eastAsia="Times New Roman"/>
      <w:sz w:val="20"/>
      <w:szCs w:val="20"/>
      <w:lang w:val="en-US"/>
    </w:rPr>
  </w:style>
  <w:style w:type="character" w:customStyle="1" w:styleId="FootnoteTextChar">
    <w:name w:val="Footnote Text Char"/>
    <w:aliases w:val="Footnote Text Char Char Char,fn Char Char,ft Char"/>
    <w:basedOn w:val="DefaultParagraphFont"/>
    <w:link w:val="FootnoteText"/>
    <w:uiPriority w:val="99"/>
    <w:rsid w:val="00C5078E"/>
    <w:rPr>
      <w:rFonts w:ascii="Times New Roman" w:eastAsia="Times New Roman" w:hAnsi="Times New Roman" w:cs="Times New Roman"/>
      <w:sz w:val="20"/>
      <w:szCs w:val="20"/>
      <w:lang w:val="en-US"/>
    </w:rPr>
  </w:style>
  <w:style w:type="character" w:styleId="FootnoteReference">
    <w:name w:val="footnote reference"/>
    <w:aliases w:val="ftref,Ref,de nota al pie"/>
    <w:uiPriority w:val="99"/>
    <w:rsid w:val="00C5078E"/>
    <w:rPr>
      <w:vertAlign w:val="superscript"/>
    </w:rPr>
  </w:style>
  <w:style w:type="paragraph" w:styleId="Header">
    <w:name w:val="header"/>
    <w:basedOn w:val="Normal"/>
    <w:link w:val="HeaderChar"/>
    <w:uiPriority w:val="99"/>
    <w:unhideWhenUsed/>
    <w:rsid w:val="004E2EFF"/>
    <w:pPr>
      <w:tabs>
        <w:tab w:val="center" w:pos="4513"/>
        <w:tab w:val="right" w:pos="9026"/>
      </w:tabs>
      <w:spacing w:line="240" w:lineRule="auto"/>
    </w:pPr>
  </w:style>
  <w:style w:type="character" w:customStyle="1" w:styleId="HeaderChar">
    <w:name w:val="Header Char"/>
    <w:basedOn w:val="DefaultParagraphFont"/>
    <w:link w:val="Header"/>
    <w:uiPriority w:val="99"/>
    <w:rsid w:val="004E2EFF"/>
  </w:style>
  <w:style w:type="paragraph" w:styleId="Footer">
    <w:name w:val="footer"/>
    <w:basedOn w:val="Normal"/>
    <w:link w:val="FooterChar"/>
    <w:uiPriority w:val="99"/>
    <w:unhideWhenUsed/>
    <w:rsid w:val="004E2EFF"/>
    <w:pPr>
      <w:tabs>
        <w:tab w:val="center" w:pos="4513"/>
        <w:tab w:val="right" w:pos="9026"/>
      </w:tabs>
      <w:spacing w:line="240" w:lineRule="auto"/>
    </w:pPr>
  </w:style>
  <w:style w:type="character" w:customStyle="1" w:styleId="FooterChar">
    <w:name w:val="Footer Char"/>
    <w:basedOn w:val="DefaultParagraphFont"/>
    <w:link w:val="Footer"/>
    <w:uiPriority w:val="99"/>
    <w:rsid w:val="004E2EFF"/>
  </w:style>
  <w:style w:type="paragraph" w:styleId="Revision">
    <w:name w:val="Revision"/>
    <w:hidden/>
    <w:uiPriority w:val="99"/>
    <w:semiHidden/>
    <w:rsid w:val="008C5CD9"/>
    <w:pPr>
      <w:spacing w:line="240" w:lineRule="auto"/>
      <w:jc w:val="left"/>
    </w:pPr>
  </w:style>
  <w:style w:type="table" w:styleId="TableGrid">
    <w:name w:val="Table Grid"/>
    <w:basedOn w:val="TableNormal"/>
    <w:uiPriority w:val="39"/>
    <w:rsid w:val="00FC118A"/>
    <w:pPr>
      <w:spacing w:line="240" w:lineRule="auto"/>
      <w:jc w:val="left"/>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97B87"/>
    <w:pPr>
      <w:autoSpaceDE w:val="0"/>
      <w:autoSpaceDN w:val="0"/>
      <w:adjustRightInd w:val="0"/>
      <w:spacing w:line="240" w:lineRule="auto"/>
      <w:jc w:val="left"/>
    </w:pPr>
    <w:rPr>
      <w:rFonts w:ascii="Calibri" w:hAnsi="Calibri" w:cs="Calibri"/>
      <w:color w:val="000000"/>
      <w:sz w:val="24"/>
      <w:szCs w:val="24"/>
    </w:rPr>
  </w:style>
  <w:style w:type="paragraph" w:styleId="NormalWeb">
    <w:name w:val="Normal (Web)"/>
    <w:basedOn w:val="Normal"/>
    <w:uiPriority w:val="99"/>
    <w:unhideWhenUsed/>
    <w:rsid w:val="00ED6D47"/>
    <w:pPr>
      <w:spacing w:before="100" w:beforeAutospacing="1" w:after="100" w:afterAutospacing="1" w:line="240" w:lineRule="auto"/>
      <w:jc w:val="left"/>
    </w:pPr>
    <w:rPr>
      <w:rFonts w:eastAsia="Times New Roman"/>
      <w:lang w:eastAsia="en-ZA"/>
    </w:rPr>
  </w:style>
  <w:style w:type="character" w:styleId="Strong">
    <w:name w:val="Strong"/>
    <w:basedOn w:val="DefaultParagraphFont"/>
    <w:uiPriority w:val="22"/>
    <w:qFormat/>
    <w:rsid w:val="00ED6D47"/>
    <w:rPr>
      <w:b/>
      <w:bCs/>
    </w:rPr>
  </w:style>
  <w:style w:type="character" w:customStyle="1" w:styleId="Heading1Char">
    <w:name w:val="Heading 1 Char"/>
    <w:basedOn w:val="DefaultParagraphFont"/>
    <w:link w:val="Heading1"/>
    <w:uiPriority w:val="9"/>
    <w:rsid w:val="00B0083E"/>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D203CF"/>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C336CB"/>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7B0AE0"/>
    <w:rPr>
      <w:rFonts w:ascii="Times New Roman" w:hAnsi="Times New Roman" w:cs="Times New Roman"/>
      <w:b/>
      <w:sz w:val="24"/>
      <w:szCs w:val="24"/>
    </w:rPr>
  </w:style>
  <w:style w:type="character" w:customStyle="1" w:styleId="Heading5Char">
    <w:name w:val="Heading 5 Char"/>
    <w:basedOn w:val="DefaultParagraphFont"/>
    <w:link w:val="Heading5"/>
    <w:uiPriority w:val="9"/>
    <w:rsid w:val="00B47557"/>
    <w:rPr>
      <w:rFonts w:ascii="Times New Roman" w:hAnsi="Times New Roman" w:cs="Times New Roman"/>
      <w:b/>
      <w:sz w:val="24"/>
      <w:szCs w:val="24"/>
    </w:rPr>
  </w:style>
  <w:style w:type="paragraph" w:styleId="PlainText">
    <w:name w:val="Plain Text"/>
    <w:basedOn w:val="Normal"/>
    <w:link w:val="PlainTextChar"/>
    <w:uiPriority w:val="99"/>
    <w:unhideWhenUsed/>
    <w:rsid w:val="00AA1D6B"/>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AA1D6B"/>
    <w:rPr>
      <w:rFonts w:ascii="Calibri" w:hAnsi="Calibri" w:cstheme="minorBidi"/>
      <w:szCs w:val="21"/>
    </w:rPr>
  </w:style>
  <w:style w:type="character" w:customStyle="1" w:styleId="hgkelc">
    <w:name w:val="hgkelc"/>
    <w:basedOn w:val="DefaultParagraphFont"/>
    <w:rsid w:val="00A36E41"/>
  </w:style>
  <w:style w:type="character" w:customStyle="1" w:styleId="ListParagraphChar">
    <w:name w:val="List Paragraph Char"/>
    <w:aliases w:val="Grey Bullet List Char,Grey Bullet Style Char,List Paragraph 1 Char,Bullet point Char,Bullets Char,Indent Paragraph Char,References Char,Riana Table Bullets 1 Char,Table of contents numbered Char,Heading1 Char,Recommendation Char"/>
    <w:basedOn w:val="DefaultParagraphFont"/>
    <w:link w:val="ListParagraph"/>
    <w:uiPriority w:val="34"/>
    <w:qFormat/>
    <w:locked/>
    <w:rsid w:val="007E061C"/>
    <w:rPr>
      <w:rFonts w:ascii="Times New Roman" w:hAnsi="Times New Roman" w:cs="Times New Roman"/>
      <w:sz w:val="24"/>
      <w:szCs w:val="24"/>
    </w:rPr>
  </w:style>
  <w:style w:type="paragraph" w:customStyle="1" w:styleId="Char">
    <w:name w:val="Char"/>
    <w:basedOn w:val="Normal"/>
    <w:rsid w:val="00F219C3"/>
    <w:pPr>
      <w:spacing w:after="160" w:line="240" w:lineRule="exact"/>
      <w:jc w:val="left"/>
    </w:pPr>
    <w:rPr>
      <w:rFonts w:ascii="Arial" w:eastAsia="Times New Roman" w:hAnsi="Arial"/>
      <w:bCs/>
      <w:sz w:val="22"/>
      <w:lang w:val="en-US"/>
    </w:rPr>
  </w:style>
  <w:style w:type="character" w:styleId="Emphasis">
    <w:name w:val="Emphasis"/>
    <w:basedOn w:val="DefaultParagraphFont"/>
    <w:uiPriority w:val="20"/>
    <w:qFormat/>
    <w:rsid w:val="009241C1"/>
    <w:rPr>
      <w:i/>
      <w:iCs/>
    </w:rPr>
  </w:style>
  <w:style w:type="character" w:styleId="Hyperlink">
    <w:name w:val="Hyperlink"/>
    <w:basedOn w:val="DefaultParagraphFont"/>
    <w:uiPriority w:val="99"/>
    <w:unhideWhenUsed/>
    <w:rsid w:val="00AE6EE2"/>
    <w:rPr>
      <w:color w:val="0563C1" w:themeColor="hyperlink"/>
      <w:u w:val="single"/>
    </w:rPr>
  </w:style>
  <w:style w:type="character" w:customStyle="1" w:styleId="markedcontent">
    <w:name w:val="markedcontent"/>
    <w:basedOn w:val="DefaultParagraphFont"/>
    <w:rsid w:val="00A4421A"/>
  </w:style>
  <w:style w:type="character" w:customStyle="1" w:styleId="Heading6Char">
    <w:name w:val="Heading 6 Char"/>
    <w:basedOn w:val="DefaultParagraphFont"/>
    <w:link w:val="Heading6"/>
    <w:uiPriority w:val="9"/>
    <w:semiHidden/>
    <w:rsid w:val="00D203CF"/>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D203CF"/>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D203C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203C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r="http://schemas.openxmlformats.org/officeDocument/2006/relationships" xmlns:w="http://schemas.openxmlformats.org/wordprocessingml/2006/main">
  <w:divs>
    <w:div w:id="367686217">
      <w:bodyDiv w:val="1"/>
      <w:marLeft w:val="0"/>
      <w:marRight w:val="0"/>
      <w:marTop w:val="0"/>
      <w:marBottom w:val="0"/>
      <w:divBdr>
        <w:top w:val="none" w:sz="0" w:space="0" w:color="auto"/>
        <w:left w:val="none" w:sz="0" w:space="0" w:color="auto"/>
        <w:bottom w:val="none" w:sz="0" w:space="0" w:color="auto"/>
        <w:right w:val="none" w:sz="0" w:space="0" w:color="auto"/>
      </w:divBdr>
    </w:div>
    <w:div w:id="688600464">
      <w:bodyDiv w:val="1"/>
      <w:marLeft w:val="0"/>
      <w:marRight w:val="0"/>
      <w:marTop w:val="0"/>
      <w:marBottom w:val="0"/>
      <w:divBdr>
        <w:top w:val="none" w:sz="0" w:space="0" w:color="auto"/>
        <w:left w:val="none" w:sz="0" w:space="0" w:color="auto"/>
        <w:bottom w:val="none" w:sz="0" w:space="0" w:color="auto"/>
        <w:right w:val="none" w:sz="0" w:space="0" w:color="auto"/>
      </w:divBdr>
    </w:div>
    <w:div w:id="1514370452">
      <w:bodyDiv w:val="1"/>
      <w:marLeft w:val="0"/>
      <w:marRight w:val="0"/>
      <w:marTop w:val="0"/>
      <w:marBottom w:val="0"/>
      <w:divBdr>
        <w:top w:val="none" w:sz="0" w:space="0" w:color="auto"/>
        <w:left w:val="none" w:sz="0" w:space="0" w:color="auto"/>
        <w:bottom w:val="none" w:sz="0" w:space="0" w:color="auto"/>
        <w:right w:val="none" w:sz="0" w:space="0" w:color="auto"/>
      </w:divBdr>
      <w:divsChild>
        <w:div w:id="505051636">
          <w:marLeft w:val="0"/>
          <w:marRight w:val="0"/>
          <w:marTop w:val="0"/>
          <w:marBottom w:val="0"/>
          <w:divBdr>
            <w:top w:val="none" w:sz="0" w:space="0" w:color="auto"/>
            <w:left w:val="none" w:sz="0" w:space="0" w:color="auto"/>
            <w:bottom w:val="none" w:sz="0" w:space="0" w:color="auto"/>
            <w:right w:val="none" w:sz="0" w:space="0" w:color="auto"/>
          </w:divBdr>
          <w:divsChild>
            <w:div w:id="724524983">
              <w:marLeft w:val="0"/>
              <w:marRight w:val="0"/>
              <w:marTop w:val="0"/>
              <w:marBottom w:val="0"/>
              <w:divBdr>
                <w:top w:val="none" w:sz="0" w:space="0" w:color="auto"/>
                <w:left w:val="none" w:sz="0" w:space="0" w:color="auto"/>
                <w:bottom w:val="none" w:sz="0" w:space="0" w:color="auto"/>
                <w:right w:val="none" w:sz="0" w:space="0" w:color="auto"/>
              </w:divBdr>
              <w:divsChild>
                <w:div w:id="1275869543">
                  <w:marLeft w:val="0"/>
                  <w:marRight w:val="0"/>
                  <w:marTop w:val="0"/>
                  <w:marBottom w:val="0"/>
                  <w:divBdr>
                    <w:top w:val="none" w:sz="0" w:space="0" w:color="auto"/>
                    <w:left w:val="none" w:sz="0" w:space="0" w:color="auto"/>
                    <w:bottom w:val="none" w:sz="0" w:space="0" w:color="auto"/>
                    <w:right w:val="none" w:sz="0" w:space="0" w:color="auto"/>
                  </w:divBdr>
                  <w:divsChild>
                    <w:div w:id="1236427868">
                      <w:marLeft w:val="0"/>
                      <w:marRight w:val="0"/>
                      <w:marTop w:val="0"/>
                      <w:marBottom w:val="0"/>
                      <w:divBdr>
                        <w:top w:val="none" w:sz="0" w:space="0" w:color="auto"/>
                        <w:left w:val="none" w:sz="0" w:space="0" w:color="auto"/>
                        <w:bottom w:val="none" w:sz="0" w:space="0" w:color="auto"/>
                        <w:right w:val="none" w:sz="0" w:space="0" w:color="auto"/>
                      </w:divBdr>
                      <w:divsChild>
                        <w:div w:id="1526137851">
                          <w:marLeft w:val="0"/>
                          <w:marRight w:val="0"/>
                          <w:marTop w:val="0"/>
                          <w:marBottom w:val="0"/>
                          <w:divBdr>
                            <w:top w:val="none" w:sz="0" w:space="0" w:color="auto"/>
                            <w:left w:val="none" w:sz="0" w:space="0" w:color="auto"/>
                            <w:bottom w:val="none" w:sz="0" w:space="0" w:color="auto"/>
                            <w:right w:val="none" w:sz="0" w:space="0" w:color="auto"/>
                          </w:divBdr>
                          <w:divsChild>
                            <w:div w:id="1092093898">
                              <w:marLeft w:val="0"/>
                              <w:marRight w:val="0"/>
                              <w:marTop w:val="0"/>
                              <w:marBottom w:val="0"/>
                              <w:divBdr>
                                <w:top w:val="none" w:sz="0" w:space="0" w:color="auto"/>
                                <w:left w:val="none" w:sz="0" w:space="0" w:color="auto"/>
                                <w:bottom w:val="none" w:sz="0" w:space="0" w:color="auto"/>
                                <w:right w:val="none" w:sz="0" w:space="0" w:color="auto"/>
                              </w:divBdr>
                              <w:divsChild>
                                <w:div w:id="41093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62136">
          <w:marLeft w:val="0"/>
          <w:marRight w:val="0"/>
          <w:marTop w:val="0"/>
          <w:marBottom w:val="0"/>
          <w:divBdr>
            <w:top w:val="none" w:sz="0" w:space="0" w:color="auto"/>
            <w:left w:val="none" w:sz="0" w:space="0" w:color="auto"/>
            <w:bottom w:val="none" w:sz="0" w:space="0" w:color="auto"/>
            <w:right w:val="none" w:sz="0" w:space="0" w:color="auto"/>
          </w:divBdr>
          <w:divsChild>
            <w:div w:id="1297183151">
              <w:marLeft w:val="0"/>
              <w:marRight w:val="0"/>
              <w:marTop w:val="0"/>
              <w:marBottom w:val="0"/>
              <w:divBdr>
                <w:top w:val="none" w:sz="0" w:space="0" w:color="auto"/>
                <w:left w:val="none" w:sz="0" w:space="0" w:color="auto"/>
                <w:bottom w:val="none" w:sz="0" w:space="0" w:color="auto"/>
                <w:right w:val="none" w:sz="0" w:space="0" w:color="auto"/>
              </w:divBdr>
              <w:divsChild>
                <w:div w:id="832988346">
                  <w:marLeft w:val="0"/>
                  <w:marRight w:val="0"/>
                  <w:marTop w:val="0"/>
                  <w:marBottom w:val="0"/>
                  <w:divBdr>
                    <w:top w:val="none" w:sz="0" w:space="0" w:color="auto"/>
                    <w:left w:val="none" w:sz="0" w:space="0" w:color="auto"/>
                    <w:bottom w:val="none" w:sz="0" w:space="0" w:color="auto"/>
                    <w:right w:val="none" w:sz="0" w:space="0" w:color="auto"/>
                  </w:divBdr>
                  <w:divsChild>
                    <w:div w:id="1183125249">
                      <w:marLeft w:val="0"/>
                      <w:marRight w:val="0"/>
                      <w:marTop w:val="0"/>
                      <w:marBottom w:val="0"/>
                      <w:divBdr>
                        <w:top w:val="none" w:sz="0" w:space="0" w:color="auto"/>
                        <w:left w:val="none" w:sz="0" w:space="0" w:color="auto"/>
                        <w:bottom w:val="none" w:sz="0" w:space="0" w:color="auto"/>
                        <w:right w:val="none" w:sz="0" w:space="0" w:color="auto"/>
                      </w:divBdr>
                      <w:divsChild>
                        <w:div w:id="517697559">
                          <w:marLeft w:val="0"/>
                          <w:marRight w:val="0"/>
                          <w:marTop w:val="0"/>
                          <w:marBottom w:val="0"/>
                          <w:divBdr>
                            <w:top w:val="none" w:sz="0" w:space="0" w:color="auto"/>
                            <w:left w:val="none" w:sz="0" w:space="0" w:color="auto"/>
                            <w:bottom w:val="none" w:sz="0" w:space="0" w:color="auto"/>
                            <w:right w:val="none" w:sz="0" w:space="0" w:color="auto"/>
                          </w:divBdr>
                          <w:divsChild>
                            <w:div w:id="243688149">
                              <w:marLeft w:val="0"/>
                              <w:marRight w:val="0"/>
                              <w:marTop w:val="0"/>
                              <w:marBottom w:val="0"/>
                              <w:divBdr>
                                <w:top w:val="none" w:sz="0" w:space="0" w:color="auto"/>
                                <w:left w:val="none" w:sz="0" w:space="0" w:color="auto"/>
                                <w:bottom w:val="none" w:sz="0" w:space="0" w:color="auto"/>
                                <w:right w:val="none" w:sz="0" w:space="0" w:color="auto"/>
                              </w:divBdr>
                              <w:divsChild>
                                <w:div w:id="70995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376970">
          <w:marLeft w:val="0"/>
          <w:marRight w:val="0"/>
          <w:marTop w:val="0"/>
          <w:marBottom w:val="0"/>
          <w:divBdr>
            <w:top w:val="none" w:sz="0" w:space="0" w:color="auto"/>
            <w:left w:val="none" w:sz="0" w:space="0" w:color="auto"/>
            <w:bottom w:val="none" w:sz="0" w:space="0" w:color="auto"/>
            <w:right w:val="none" w:sz="0" w:space="0" w:color="auto"/>
          </w:divBdr>
          <w:divsChild>
            <w:div w:id="1996495472">
              <w:marLeft w:val="0"/>
              <w:marRight w:val="0"/>
              <w:marTop w:val="0"/>
              <w:marBottom w:val="0"/>
              <w:divBdr>
                <w:top w:val="none" w:sz="0" w:space="0" w:color="auto"/>
                <w:left w:val="none" w:sz="0" w:space="0" w:color="auto"/>
                <w:bottom w:val="none" w:sz="0" w:space="0" w:color="auto"/>
                <w:right w:val="none" w:sz="0" w:space="0" w:color="auto"/>
              </w:divBdr>
              <w:divsChild>
                <w:div w:id="2136556885">
                  <w:marLeft w:val="0"/>
                  <w:marRight w:val="0"/>
                  <w:marTop w:val="0"/>
                  <w:marBottom w:val="0"/>
                  <w:divBdr>
                    <w:top w:val="none" w:sz="0" w:space="0" w:color="auto"/>
                    <w:left w:val="none" w:sz="0" w:space="0" w:color="auto"/>
                    <w:bottom w:val="none" w:sz="0" w:space="0" w:color="auto"/>
                    <w:right w:val="none" w:sz="0" w:space="0" w:color="auto"/>
                  </w:divBdr>
                  <w:divsChild>
                    <w:div w:id="1527786612">
                      <w:marLeft w:val="0"/>
                      <w:marRight w:val="0"/>
                      <w:marTop w:val="0"/>
                      <w:marBottom w:val="0"/>
                      <w:divBdr>
                        <w:top w:val="none" w:sz="0" w:space="0" w:color="auto"/>
                        <w:left w:val="none" w:sz="0" w:space="0" w:color="auto"/>
                        <w:bottom w:val="none" w:sz="0" w:space="0" w:color="auto"/>
                        <w:right w:val="none" w:sz="0" w:space="0" w:color="auto"/>
                      </w:divBdr>
                      <w:divsChild>
                        <w:div w:id="666517587">
                          <w:marLeft w:val="0"/>
                          <w:marRight w:val="0"/>
                          <w:marTop w:val="0"/>
                          <w:marBottom w:val="0"/>
                          <w:divBdr>
                            <w:top w:val="none" w:sz="0" w:space="0" w:color="auto"/>
                            <w:left w:val="none" w:sz="0" w:space="0" w:color="auto"/>
                            <w:bottom w:val="none" w:sz="0" w:space="0" w:color="auto"/>
                            <w:right w:val="none" w:sz="0" w:space="0" w:color="auto"/>
                          </w:divBdr>
                          <w:divsChild>
                            <w:div w:id="935672080">
                              <w:marLeft w:val="0"/>
                              <w:marRight w:val="0"/>
                              <w:marTop w:val="0"/>
                              <w:marBottom w:val="0"/>
                              <w:divBdr>
                                <w:top w:val="none" w:sz="0" w:space="0" w:color="auto"/>
                                <w:left w:val="none" w:sz="0" w:space="0" w:color="auto"/>
                                <w:bottom w:val="none" w:sz="0" w:space="0" w:color="auto"/>
                                <w:right w:val="none" w:sz="0" w:space="0" w:color="auto"/>
                              </w:divBdr>
                              <w:divsChild>
                                <w:div w:id="9694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8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1595D-378C-4088-A8C6-A05CD09BA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19974</Words>
  <Characters>113855</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133562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Sheldon</dc:creator>
  <cp:lastModifiedBy>User</cp:lastModifiedBy>
  <cp:revision>2</cp:revision>
  <dcterms:created xsi:type="dcterms:W3CDTF">2023-05-17T06:43:00Z</dcterms:created>
  <dcterms:modified xsi:type="dcterms:W3CDTF">2023-05-17T06:43:00Z</dcterms:modified>
</cp:coreProperties>
</file>