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48D" w:rsidRPr="005C1B1B" w:rsidRDefault="005C1B1B" w:rsidP="005C1B1B">
      <w:pPr>
        <w:spacing w:after="0" w:line="240" w:lineRule="auto"/>
        <w:rPr>
          <w:rFonts w:ascii="Arial" w:eastAsia="Times New Roman" w:hAnsi="Arial" w:cs="Arial"/>
          <w:b/>
          <w:color w:val="000000" w:themeColor="text1"/>
          <w:sz w:val="20"/>
          <w:szCs w:val="20"/>
          <w:lang w:val="en-GB" w:eastAsia="en-GB"/>
        </w:rPr>
      </w:pPr>
      <w:bookmarkStart w:id="0" w:name="_Toc118982107"/>
      <w:r w:rsidRPr="005C1B1B">
        <w:rPr>
          <w:rFonts w:ascii="Arial" w:hAnsi="Arial" w:cs="Arial"/>
          <w:b/>
          <w:color w:val="000000" w:themeColor="text1"/>
          <w:sz w:val="20"/>
          <w:szCs w:val="20"/>
          <w:lang w:val="en-GB"/>
        </w:rPr>
        <w:t xml:space="preserve">Report of the Portfolio Committee on Transport on the 2022/23 Second Quarter Expenditure of the Department Of Transport Dated </w:t>
      </w:r>
      <w:r w:rsidRPr="005C1B1B">
        <w:rPr>
          <w:rFonts w:ascii="Arial" w:eastAsia="Times New Roman" w:hAnsi="Arial" w:cs="Arial"/>
          <w:b/>
          <w:color w:val="000000" w:themeColor="text1"/>
          <w:sz w:val="20"/>
          <w:szCs w:val="20"/>
          <w:lang w:val="en-GB" w:eastAsia="en-GB"/>
        </w:rPr>
        <w:t>2 May 2023</w:t>
      </w:r>
    </w:p>
    <w:p w:rsidR="0062548D" w:rsidRPr="005C1B1B" w:rsidRDefault="0062548D" w:rsidP="005C1B1B">
      <w:pPr>
        <w:spacing w:after="0" w:line="240" w:lineRule="auto"/>
        <w:rPr>
          <w:rFonts w:ascii="Arial" w:eastAsia="Times New Roman" w:hAnsi="Arial" w:cs="Arial"/>
          <w:b/>
          <w:color w:val="000000" w:themeColor="text1"/>
          <w:sz w:val="20"/>
          <w:szCs w:val="20"/>
          <w:lang w:val="en-GB" w:eastAsia="en-GB"/>
        </w:rPr>
      </w:pPr>
    </w:p>
    <w:p w:rsidR="0062548D" w:rsidRPr="005C1B1B" w:rsidRDefault="0062548D" w:rsidP="005C1B1B">
      <w:pPr>
        <w:spacing w:after="0" w:line="240" w:lineRule="auto"/>
        <w:rPr>
          <w:rFonts w:ascii="Arial" w:hAnsi="Arial" w:cs="Arial"/>
          <w:color w:val="000000" w:themeColor="text1"/>
          <w:sz w:val="20"/>
          <w:szCs w:val="20"/>
          <w:lang w:val="en-GB"/>
        </w:rPr>
      </w:pPr>
      <w:r w:rsidRPr="005C1B1B">
        <w:rPr>
          <w:rFonts w:ascii="Arial" w:hAnsi="Arial" w:cs="Arial"/>
          <w:color w:val="000000" w:themeColor="text1"/>
          <w:sz w:val="20"/>
          <w:szCs w:val="20"/>
          <w:lang w:val="en-GB"/>
        </w:rPr>
        <w:t xml:space="preserve">The Portfolio Committee on Transport, having considered the expenditure of the Department of Transport for </w:t>
      </w:r>
      <w:r w:rsidR="003218B9" w:rsidRPr="005C1B1B">
        <w:rPr>
          <w:rFonts w:ascii="Arial" w:hAnsi="Arial" w:cs="Arial"/>
          <w:color w:val="000000" w:themeColor="text1"/>
          <w:sz w:val="20"/>
          <w:szCs w:val="20"/>
          <w:lang w:val="en-GB"/>
        </w:rPr>
        <w:t>the Second Quarter of the 2022/23</w:t>
      </w:r>
      <w:r w:rsidRPr="005C1B1B">
        <w:rPr>
          <w:rFonts w:ascii="Arial" w:hAnsi="Arial" w:cs="Arial"/>
          <w:color w:val="000000" w:themeColor="text1"/>
          <w:sz w:val="20"/>
          <w:szCs w:val="20"/>
          <w:lang w:val="en-GB"/>
        </w:rPr>
        <w:t xml:space="preserve"> financial year</w:t>
      </w:r>
      <w:r w:rsidR="003218B9" w:rsidRPr="005C1B1B">
        <w:rPr>
          <w:rFonts w:ascii="Arial" w:hAnsi="Arial" w:cs="Arial"/>
          <w:color w:val="000000" w:themeColor="text1"/>
          <w:sz w:val="20"/>
          <w:szCs w:val="20"/>
          <w:lang w:val="en-GB"/>
        </w:rPr>
        <w:t xml:space="preserve"> on 29 November 2022</w:t>
      </w:r>
      <w:r w:rsidRPr="005C1B1B">
        <w:rPr>
          <w:rFonts w:ascii="Arial" w:hAnsi="Arial" w:cs="Arial"/>
          <w:color w:val="000000" w:themeColor="text1"/>
          <w:sz w:val="20"/>
          <w:szCs w:val="20"/>
          <w:lang w:val="en-GB"/>
        </w:rPr>
        <w:t>, reports as follows:</w:t>
      </w:r>
    </w:p>
    <w:p w:rsidR="0062548D" w:rsidRPr="005C1B1B" w:rsidRDefault="0062548D" w:rsidP="005C1B1B">
      <w:pPr>
        <w:spacing w:after="0" w:line="240" w:lineRule="auto"/>
        <w:rPr>
          <w:rFonts w:ascii="Arial" w:hAnsi="Arial" w:cs="Arial"/>
          <w:color w:val="000000" w:themeColor="text1"/>
          <w:sz w:val="20"/>
          <w:szCs w:val="20"/>
          <w:lang w:val="en-GB"/>
        </w:rPr>
      </w:pPr>
    </w:p>
    <w:p w:rsidR="0062548D" w:rsidRPr="005C1B1B" w:rsidRDefault="0062548D" w:rsidP="005C1B1B">
      <w:pPr>
        <w:numPr>
          <w:ilvl w:val="0"/>
          <w:numId w:val="12"/>
        </w:numPr>
        <w:spacing w:after="0" w:line="240" w:lineRule="auto"/>
        <w:ind w:hanging="720"/>
        <w:contextualSpacing/>
        <w:rPr>
          <w:rFonts w:ascii="Arial" w:hAnsi="Arial" w:cs="Arial"/>
          <w:b/>
          <w:color w:val="000000" w:themeColor="text1"/>
          <w:sz w:val="20"/>
          <w:szCs w:val="20"/>
          <w:lang w:val="en-GB"/>
        </w:rPr>
      </w:pPr>
      <w:r w:rsidRPr="005C1B1B">
        <w:rPr>
          <w:rFonts w:ascii="Arial" w:hAnsi="Arial" w:cs="Arial"/>
          <w:b/>
          <w:color w:val="000000" w:themeColor="text1"/>
          <w:sz w:val="20"/>
          <w:szCs w:val="20"/>
          <w:lang w:val="en-GB"/>
        </w:rPr>
        <w:t>INTRODUCTION</w:t>
      </w:r>
    </w:p>
    <w:p w:rsidR="00A907F6" w:rsidRPr="005C1B1B" w:rsidRDefault="00A907F6" w:rsidP="005C1B1B">
      <w:pPr>
        <w:spacing w:after="0" w:line="240" w:lineRule="auto"/>
        <w:rPr>
          <w:rFonts w:ascii="Arial" w:hAnsi="Arial" w:cs="Arial"/>
          <w:color w:val="000000" w:themeColor="text1"/>
          <w:sz w:val="20"/>
          <w:szCs w:val="20"/>
          <w:lang w:val="en-GB"/>
        </w:rPr>
      </w:pPr>
    </w:p>
    <w:p w:rsidR="0062548D" w:rsidRPr="005C1B1B" w:rsidRDefault="0062548D" w:rsidP="005C1B1B">
      <w:pPr>
        <w:spacing w:after="0" w:line="240" w:lineRule="auto"/>
        <w:rPr>
          <w:rFonts w:ascii="Arial" w:hAnsi="Arial" w:cs="Arial"/>
          <w:color w:val="000000" w:themeColor="text1"/>
          <w:sz w:val="20"/>
          <w:szCs w:val="20"/>
          <w:lang w:val="en-GB"/>
        </w:rPr>
      </w:pPr>
      <w:r w:rsidRPr="005C1B1B">
        <w:rPr>
          <w:rFonts w:ascii="Arial" w:hAnsi="Arial" w:cs="Arial"/>
          <w:color w:val="000000" w:themeColor="text1"/>
          <w:sz w:val="20"/>
          <w:szCs w:val="20"/>
          <w:lang w:val="en-GB"/>
        </w:rPr>
        <w:t>The prime mandate of the Committee is governed by the Constitution of the Republic of South Africa, 1996 (“the Constitution”), in respect of its legislative and oversight responsibilities as public representatives. It is required to consider legislation referred to it and consider all matters referred to it in terms of the Constitution, the Rules of the National Assembly or resolutions of the House. It is also required to respond to matters referred to it by Government within its mandate. In addition, the Committee is entrusted with considering the budgets, Strategic Plans and Annual Performance Plans of the Department and entities that fall within the transport portfolio. This report provides an overview of the expenditure of the Depart</w:t>
      </w:r>
      <w:r w:rsidR="008010DB" w:rsidRPr="005C1B1B">
        <w:rPr>
          <w:rFonts w:ascii="Arial" w:hAnsi="Arial" w:cs="Arial"/>
          <w:color w:val="000000" w:themeColor="text1"/>
          <w:sz w:val="20"/>
          <w:szCs w:val="20"/>
          <w:lang w:val="en-GB"/>
        </w:rPr>
        <w:t xml:space="preserve">ment of Transport for the Second Quarter of the 2022/23 </w:t>
      </w:r>
      <w:r w:rsidRPr="005C1B1B">
        <w:rPr>
          <w:rFonts w:ascii="Arial" w:hAnsi="Arial" w:cs="Arial"/>
          <w:color w:val="000000" w:themeColor="text1"/>
          <w:sz w:val="20"/>
          <w:szCs w:val="20"/>
          <w:lang w:val="en-GB"/>
        </w:rPr>
        <w:t>financial year, as presented to th</w:t>
      </w:r>
      <w:r w:rsidR="008010DB" w:rsidRPr="005C1B1B">
        <w:rPr>
          <w:rFonts w:ascii="Arial" w:hAnsi="Arial" w:cs="Arial"/>
          <w:color w:val="000000" w:themeColor="text1"/>
          <w:sz w:val="20"/>
          <w:szCs w:val="20"/>
          <w:lang w:val="en-GB"/>
        </w:rPr>
        <w:t>e Committee on 29 November 2022.</w:t>
      </w:r>
      <w:r w:rsidRPr="005C1B1B">
        <w:rPr>
          <w:rFonts w:ascii="Arial" w:hAnsi="Arial" w:cs="Arial"/>
          <w:color w:val="000000" w:themeColor="text1"/>
          <w:sz w:val="20"/>
          <w:szCs w:val="20"/>
          <w:lang w:val="en-GB"/>
        </w:rPr>
        <w:t xml:space="preserve"> </w:t>
      </w:r>
    </w:p>
    <w:p w:rsidR="0062548D" w:rsidRPr="005C1B1B" w:rsidRDefault="0062548D" w:rsidP="005C1B1B">
      <w:pPr>
        <w:spacing w:after="0" w:line="240" w:lineRule="auto"/>
        <w:rPr>
          <w:rFonts w:ascii="Arial" w:hAnsi="Arial" w:cs="Arial"/>
          <w:b/>
          <w:color w:val="000000" w:themeColor="text1"/>
          <w:sz w:val="20"/>
          <w:szCs w:val="20"/>
          <w:lang w:val="en-GB"/>
        </w:rPr>
      </w:pPr>
    </w:p>
    <w:p w:rsidR="0062548D" w:rsidRPr="005C1B1B" w:rsidRDefault="0062548D" w:rsidP="005C1B1B">
      <w:pPr>
        <w:spacing w:after="0" w:line="240" w:lineRule="auto"/>
        <w:ind w:left="720" w:hanging="720"/>
        <w:rPr>
          <w:rFonts w:ascii="Arial" w:hAnsi="Arial" w:cs="Arial"/>
          <w:b/>
          <w:color w:val="000000" w:themeColor="text1"/>
          <w:sz w:val="20"/>
          <w:szCs w:val="20"/>
          <w:lang w:val="en-GB"/>
        </w:rPr>
      </w:pPr>
      <w:r w:rsidRPr="005C1B1B">
        <w:rPr>
          <w:rFonts w:ascii="Arial" w:hAnsi="Arial" w:cs="Arial"/>
          <w:b/>
          <w:color w:val="000000" w:themeColor="text1"/>
          <w:sz w:val="20"/>
          <w:szCs w:val="20"/>
          <w:lang w:val="en-GB"/>
        </w:rPr>
        <w:t>2.</w:t>
      </w:r>
      <w:r w:rsidR="008010DB" w:rsidRPr="005C1B1B">
        <w:rPr>
          <w:rFonts w:ascii="Arial" w:hAnsi="Arial" w:cs="Arial"/>
          <w:b/>
          <w:color w:val="000000" w:themeColor="text1"/>
          <w:sz w:val="20"/>
          <w:szCs w:val="20"/>
          <w:lang w:val="en-GB"/>
        </w:rPr>
        <w:tab/>
        <w:t>ANALYSIS OF THE 2022/23 SECOND</w:t>
      </w:r>
      <w:r w:rsidRPr="005C1B1B">
        <w:rPr>
          <w:rFonts w:ascii="Arial" w:hAnsi="Arial" w:cs="Arial"/>
          <w:b/>
          <w:color w:val="000000" w:themeColor="text1"/>
          <w:sz w:val="20"/>
          <w:szCs w:val="20"/>
          <w:lang w:val="en-GB"/>
        </w:rPr>
        <w:t xml:space="preserve"> QUARTER EXPENDITURE OF THE DEPARTMENT OF TRANSPORT</w:t>
      </w:r>
    </w:p>
    <w:p w:rsidR="0062548D" w:rsidRPr="005C1B1B" w:rsidRDefault="0062548D" w:rsidP="005C1B1B">
      <w:pPr>
        <w:spacing w:after="0" w:line="240" w:lineRule="auto"/>
        <w:rPr>
          <w:rFonts w:ascii="Arial" w:hAnsi="Arial" w:cs="Arial"/>
          <w:color w:val="000000" w:themeColor="text1"/>
          <w:sz w:val="20"/>
          <w:szCs w:val="20"/>
          <w:lang w:val="en-GB"/>
        </w:rPr>
      </w:pPr>
      <w:r w:rsidRPr="005C1B1B">
        <w:rPr>
          <w:rFonts w:ascii="Arial" w:hAnsi="Arial" w:cs="Arial"/>
          <w:color w:val="000000" w:themeColor="text1"/>
          <w:sz w:val="20"/>
          <w:szCs w:val="20"/>
          <w:lang w:val="en-GB"/>
        </w:rPr>
        <w:tab/>
      </w:r>
    </w:p>
    <w:bookmarkEnd w:id="0"/>
    <w:p w:rsidR="00611B06" w:rsidRPr="005C1B1B" w:rsidRDefault="00611B06" w:rsidP="005C1B1B">
      <w:pPr>
        <w:spacing w:after="0" w:line="240" w:lineRule="auto"/>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In 2022/23, the budget allocation of the Department of Transport (“the Department”) stands at appropriately R71 billion. By the end of the Second Quarter of the financial year, the Department had spent R34.7 billion (or 48.2%) of the total available budget.</w:t>
      </w:r>
      <w:r w:rsidRPr="005C1B1B">
        <w:rPr>
          <w:rFonts w:ascii="Arial" w:eastAsia="Calibri" w:hAnsi="Arial" w:cs="Arial"/>
          <w:color w:val="000000" w:themeColor="text1"/>
          <w:sz w:val="20"/>
          <w:szCs w:val="20"/>
          <w:vertAlign w:val="superscript"/>
          <w:lang w:val="en-GB"/>
        </w:rPr>
        <w:footnoteReference w:id="1"/>
      </w:r>
      <w:r w:rsidRPr="005C1B1B">
        <w:rPr>
          <w:rFonts w:ascii="Arial" w:eastAsia="Calibri" w:hAnsi="Arial" w:cs="Arial"/>
          <w:color w:val="000000" w:themeColor="text1"/>
          <w:sz w:val="20"/>
          <w:szCs w:val="20"/>
          <w:lang w:val="en-GB"/>
        </w:rPr>
        <w:t xml:space="preserve"> The delay in the spending of R422.9 million (or 1.2%) was largely due to the expenditure delays under the Public Transport Network Grant (PTNG), as transfers to</w:t>
      </w:r>
      <w:r w:rsidR="00104685" w:rsidRPr="005C1B1B">
        <w:rPr>
          <w:rFonts w:ascii="Arial" w:eastAsia="Calibri" w:hAnsi="Arial" w:cs="Arial"/>
          <w:color w:val="000000" w:themeColor="text1"/>
          <w:sz w:val="20"/>
          <w:szCs w:val="20"/>
          <w:lang w:val="en-GB"/>
        </w:rPr>
        <w:t xml:space="preserve"> the</w:t>
      </w:r>
      <w:r w:rsidRPr="005C1B1B">
        <w:rPr>
          <w:rFonts w:ascii="Arial" w:eastAsia="Calibri" w:hAnsi="Arial" w:cs="Arial"/>
          <w:color w:val="000000" w:themeColor="text1"/>
          <w:sz w:val="20"/>
          <w:szCs w:val="20"/>
          <w:lang w:val="en-GB"/>
        </w:rPr>
        <w:t xml:space="preserve"> eThekwini </w:t>
      </w:r>
      <w:r w:rsidR="00104685" w:rsidRPr="005C1B1B">
        <w:rPr>
          <w:rFonts w:ascii="Arial" w:eastAsia="Calibri" w:hAnsi="Arial" w:cs="Arial"/>
          <w:color w:val="000000" w:themeColor="text1"/>
          <w:sz w:val="20"/>
          <w:szCs w:val="20"/>
          <w:lang w:val="en-GB"/>
        </w:rPr>
        <w:t xml:space="preserve">municipality </w:t>
      </w:r>
      <w:r w:rsidRPr="005C1B1B">
        <w:rPr>
          <w:rFonts w:ascii="Arial" w:eastAsia="Calibri" w:hAnsi="Arial" w:cs="Arial"/>
          <w:color w:val="000000" w:themeColor="text1"/>
          <w:sz w:val="20"/>
          <w:szCs w:val="20"/>
          <w:lang w:val="en-GB"/>
        </w:rPr>
        <w:t>had been withheld for non-compliance.</w:t>
      </w:r>
      <w:r w:rsidRPr="005C1B1B">
        <w:rPr>
          <w:rFonts w:ascii="Arial" w:eastAsia="Calibri" w:hAnsi="Arial" w:cs="Arial"/>
          <w:color w:val="000000" w:themeColor="text1"/>
          <w:sz w:val="20"/>
          <w:szCs w:val="20"/>
          <w:vertAlign w:val="superscript"/>
          <w:lang w:val="en-GB"/>
        </w:rPr>
        <w:footnoteReference w:id="2"/>
      </w:r>
      <w:r w:rsidRPr="005C1B1B">
        <w:rPr>
          <w:rFonts w:ascii="Arial" w:eastAsia="Calibri" w:hAnsi="Arial" w:cs="Arial"/>
          <w:color w:val="000000" w:themeColor="text1"/>
          <w:sz w:val="20"/>
          <w:szCs w:val="20"/>
          <w:lang w:val="en-GB"/>
        </w:rPr>
        <w:t xml:space="preserve"> Slow spending under the Compensation of Employees (CoE)</w:t>
      </w:r>
      <w:r w:rsidR="00104685" w:rsidRPr="005C1B1B">
        <w:rPr>
          <w:rFonts w:ascii="Arial" w:eastAsia="Calibri" w:hAnsi="Arial" w:cs="Arial"/>
          <w:color w:val="000000" w:themeColor="text1"/>
          <w:sz w:val="20"/>
          <w:szCs w:val="20"/>
          <w:lang w:val="en-GB"/>
        </w:rPr>
        <w:t xml:space="preserve"> line item</w:t>
      </w:r>
      <w:r w:rsidRPr="005C1B1B">
        <w:rPr>
          <w:rFonts w:ascii="Arial" w:eastAsia="Calibri" w:hAnsi="Arial" w:cs="Arial"/>
          <w:color w:val="000000" w:themeColor="text1"/>
          <w:sz w:val="20"/>
          <w:szCs w:val="20"/>
          <w:lang w:val="en-GB"/>
        </w:rPr>
        <w:t xml:space="preserve"> also contributed to lower than planned expenditure.</w:t>
      </w:r>
    </w:p>
    <w:p w:rsidR="00611B06" w:rsidRPr="005C1B1B" w:rsidRDefault="00611B06" w:rsidP="005C1B1B">
      <w:pPr>
        <w:spacing w:after="0" w:line="240" w:lineRule="auto"/>
        <w:rPr>
          <w:rFonts w:ascii="Arial" w:eastAsia="Calibri" w:hAnsi="Arial" w:cs="Arial"/>
          <w:color w:val="000000" w:themeColor="text1"/>
          <w:sz w:val="20"/>
          <w:szCs w:val="20"/>
          <w:lang w:val="en-GB"/>
        </w:rPr>
      </w:pPr>
    </w:p>
    <w:p w:rsidR="00611B06" w:rsidRPr="005C1B1B" w:rsidRDefault="00611B06" w:rsidP="005C1B1B">
      <w:pPr>
        <w:spacing w:after="0" w:line="240" w:lineRule="auto"/>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As at the end of the Second Quarter of 2022/23, the Department had spent R240.1 million</w:t>
      </w:r>
      <w:r w:rsidRPr="005C1B1B">
        <w:rPr>
          <w:rFonts w:ascii="Arial" w:eastAsia="Calibri" w:hAnsi="Arial" w:cs="Arial"/>
          <w:b/>
          <w:color w:val="000000" w:themeColor="text1"/>
          <w:sz w:val="20"/>
          <w:szCs w:val="20"/>
          <w:lang w:val="en-GB"/>
        </w:rPr>
        <w:t xml:space="preserve"> </w:t>
      </w:r>
      <w:r w:rsidRPr="005C1B1B">
        <w:rPr>
          <w:rFonts w:ascii="Arial" w:eastAsia="Calibri" w:hAnsi="Arial" w:cs="Arial"/>
          <w:color w:val="000000" w:themeColor="text1"/>
          <w:sz w:val="20"/>
          <w:szCs w:val="20"/>
          <w:lang w:val="en-GB"/>
        </w:rPr>
        <w:t>against the Quarter’s projection of R264.9 million on the CoE. The Department spent R24.9 million lower than projected owing to the slow filling of vacant posts.</w:t>
      </w:r>
      <w:r w:rsidRPr="005C1B1B">
        <w:rPr>
          <w:rFonts w:ascii="Arial" w:eastAsia="Calibri" w:hAnsi="Arial" w:cs="Arial"/>
          <w:color w:val="000000" w:themeColor="text1"/>
          <w:sz w:val="20"/>
          <w:szCs w:val="20"/>
          <w:vertAlign w:val="superscript"/>
          <w:lang w:val="en-GB"/>
        </w:rPr>
        <w:footnoteReference w:id="3"/>
      </w:r>
      <w:r w:rsidRPr="005C1B1B">
        <w:rPr>
          <w:rFonts w:ascii="Arial" w:eastAsia="Calibri" w:hAnsi="Arial" w:cs="Arial"/>
          <w:color w:val="000000" w:themeColor="text1"/>
          <w:sz w:val="20"/>
          <w:szCs w:val="20"/>
          <w:lang w:val="en-GB"/>
        </w:rPr>
        <w:t xml:space="preserve"> The Department had 739 filled posts against a funded establishment of 813 posts. This represented a vacancy rate of 9.1% (or 74 vacant posts).</w:t>
      </w:r>
      <w:r w:rsidRPr="005C1B1B">
        <w:rPr>
          <w:rFonts w:ascii="Arial" w:eastAsia="Calibri" w:hAnsi="Arial" w:cs="Arial"/>
          <w:color w:val="000000" w:themeColor="text1"/>
          <w:sz w:val="20"/>
          <w:szCs w:val="20"/>
          <w:vertAlign w:val="superscript"/>
          <w:lang w:val="en-GB"/>
        </w:rPr>
        <w:footnoteReference w:id="4"/>
      </w:r>
    </w:p>
    <w:p w:rsidR="00611B06" w:rsidRPr="005C1B1B" w:rsidRDefault="00611B06" w:rsidP="005C1B1B">
      <w:pPr>
        <w:spacing w:after="0" w:line="240" w:lineRule="auto"/>
        <w:rPr>
          <w:rFonts w:ascii="Arial" w:eastAsia="Calibri" w:hAnsi="Arial" w:cs="Arial"/>
          <w:color w:val="000000" w:themeColor="text1"/>
          <w:sz w:val="20"/>
          <w:szCs w:val="20"/>
          <w:lang w:val="en-GB"/>
        </w:rPr>
      </w:pPr>
    </w:p>
    <w:p w:rsidR="00611B06" w:rsidRPr="005C1B1B" w:rsidRDefault="00287E1B" w:rsidP="005C1B1B">
      <w:pPr>
        <w:pStyle w:val="ListParagraph"/>
        <w:keepNext/>
        <w:keepLines/>
        <w:numPr>
          <w:ilvl w:val="1"/>
          <w:numId w:val="14"/>
        </w:numPr>
        <w:spacing w:after="0" w:line="240" w:lineRule="auto"/>
        <w:outlineLvl w:val="0"/>
        <w:rPr>
          <w:rFonts w:ascii="Arial" w:eastAsia="Times New Roman" w:hAnsi="Arial" w:cs="Arial"/>
          <w:b/>
          <w:caps/>
          <w:color w:val="000000" w:themeColor="text1"/>
          <w:sz w:val="20"/>
          <w:szCs w:val="20"/>
          <w:lang w:val="en-GB"/>
        </w:rPr>
      </w:pPr>
      <w:bookmarkStart w:id="1" w:name="_Toc118982108"/>
      <w:r w:rsidRPr="005C1B1B">
        <w:rPr>
          <w:rFonts w:ascii="Arial" w:eastAsia="Times New Roman" w:hAnsi="Arial" w:cs="Arial"/>
          <w:b/>
          <w:caps/>
          <w:color w:val="000000" w:themeColor="text1"/>
          <w:sz w:val="20"/>
          <w:szCs w:val="20"/>
          <w:lang w:val="en-GB"/>
        </w:rPr>
        <w:t xml:space="preserve"> </w:t>
      </w:r>
      <w:r w:rsidR="00611B06" w:rsidRPr="005C1B1B">
        <w:rPr>
          <w:rFonts w:ascii="Arial" w:eastAsia="Times New Roman" w:hAnsi="Arial" w:cs="Arial"/>
          <w:b/>
          <w:caps/>
          <w:color w:val="000000" w:themeColor="text1"/>
          <w:sz w:val="20"/>
          <w:szCs w:val="20"/>
          <w:lang w:val="en-GB"/>
        </w:rPr>
        <w:t>budget expenditure per programme</w:t>
      </w:r>
      <w:bookmarkEnd w:id="1"/>
    </w:p>
    <w:p w:rsidR="00611B06" w:rsidRPr="005C1B1B" w:rsidRDefault="00611B06" w:rsidP="005C1B1B">
      <w:pPr>
        <w:spacing w:after="0" w:line="240" w:lineRule="auto"/>
        <w:rPr>
          <w:rFonts w:ascii="Arial" w:eastAsia="Calibri" w:hAnsi="Arial" w:cs="Arial"/>
          <w:b/>
          <w:color w:val="000000" w:themeColor="text1"/>
          <w:sz w:val="20"/>
          <w:szCs w:val="20"/>
          <w:lang w:val="en-GB"/>
        </w:rPr>
      </w:pPr>
    </w:p>
    <w:p w:rsidR="00611B06" w:rsidRPr="005C1B1B" w:rsidRDefault="00611B06" w:rsidP="005C1B1B">
      <w:pPr>
        <w:spacing w:after="0" w:line="240" w:lineRule="auto"/>
        <w:rPr>
          <w:rFonts w:ascii="Arial" w:eastAsia="Calibri" w:hAnsi="Arial" w:cs="Arial"/>
          <w:b/>
          <w:color w:val="000000" w:themeColor="text1"/>
          <w:sz w:val="20"/>
          <w:szCs w:val="20"/>
          <w:lang w:val="en-GB"/>
        </w:rPr>
      </w:pPr>
      <w:r w:rsidRPr="005C1B1B">
        <w:rPr>
          <w:rFonts w:ascii="Arial" w:eastAsia="Calibri" w:hAnsi="Arial" w:cs="Arial"/>
          <w:b/>
          <w:color w:val="000000" w:themeColor="text1"/>
          <w:sz w:val="20"/>
          <w:szCs w:val="20"/>
          <w:lang w:val="en-GB"/>
        </w:rPr>
        <w:t>Table 1: Budget Expenditure per Programme</w:t>
      </w:r>
    </w:p>
    <w:tbl>
      <w:tblPr>
        <w:tblStyle w:val="TableGrid1"/>
        <w:tblW w:w="11329" w:type="dxa"/>
        <w:tblInd w:w="-719" w:type="dxa"/>
        <w:tblLayout w:type="fixed"/>
        <w:tblLook w:val="04A0"/>
      </w:tblPr>
      <w:tblGrid>
        <w:gridCol w:w="1519"/>
        <w:gridCol w:w="1260"/>
        <w:gridCol w:w="1170"/>
        <w:gridCol w:w="1260"/>
        <w:gridCol w:w="900"/>
        <w:gridCol w:w="1350"/>
        <w:gridCol w:w="1170"/>
        <w:gridCol w:w="1080"/>
        <w:gridCol w:w="900"/>
        <w:gridCol w:w="720"/>
      </w:tblGrid>
      <w:tr w:rsidR="00675234" w:rsidRPr="005C1B1B" w:rsidTr="00675234">
        <w:trPr>
          <w:cantSplit/>
          <w:trHeight w:val="2634"/>
          <w:tblHeader/>
        </w:trPr>
        <w:tc>
          <w:tcPr>
            <w:tcW w:w="1519" w:type="dxa"/>
            <w:tcBorders>
              <w:top w:val="single" w:sz="8" w:space="0" w:color="auto"/>
              <w:left w:val="single" w:sz="8" w:space="0" w:color="auto"/>
              <w:bottom w:val="single" w:sz="8" w:space="0" w:color="auto"/>
              <w:right w:val="single" w:sz="8" w:space="0" w:color="auto"/>
            </w:tcBorders>
            <w:shd w:val="clear" w:color="auto" w:fill="BDD6EE"/>
            <w:textDirection w:val="btLr"/>
          </w:tcPr>
          <w:p w:rsidR="00611B06" w:rsidRPr="005C1B1B" w:rsidRDefault="00611B06" w:rsidP="005C1B1B">
            <w:pPr>
              <w:ind w:left="113" w:right="113"/>
              <w:rPr>
                <w:rFonts w:ascii="Arial" w:eastAsia="Calibri" w:hAnsi="Arial" w:cs="Arial"/>
                <w:b/>
                <w:color w:val="000000" w:themeColor="text1"/>
                <w:sz w:val="20"/>
                <w:szCs w:val="20"/>
                <w:lang w:val="en-GB"/>
              </w:rPr>
            </w:pPr>
            <w:r w:rsidRPr="005C1B1B">
              <w:rPr>
                <w:rFonts w:ascii="Arial" w:eastAsia="Calibri" w:hAnsi="Arial" w:cs="Arial"/>
                <w:b/>
                <w:color w:val="000000" w:themeColor="text1"/>
                <w:sz w:val="20"/>
                <w:szCs w:val="20"/>
                <w:lang w:val="en-GB"/>
              </w:rPr>
              <w:t>Programme</w:t>
            </w:r>
          </w:p>
          <w:p w:rsidR="00611B06" w:rsidRPr="005C1B1B" w:rsidRDefault="00611B06" w:rsidP="005C1B1B">
            <w:pPr>
              <w:ind w:left="113" w:right="113"/>
              <w:rPr>
                <w:rFonts w:ascii="Arial" w:eastAsia="Calibri" w:hAnsi="Arial" w:cs="Arial"/>
                <w:b/>
                <w:color w:val="000000" w:themeColor="text1"/>
                <w:sz w:val="20"/>
                <w:szCs w:val="20"/>
                <w:lang w:val="en-GB"/>
              </w:rPr>
            </w:pPr>
            <w:r w:rsidRPr="005C1B1B">
              <w:rPr>
                <w:rFonts w:ascii="Arial" w:eastAsia="Calibri" w:hAnsi="Arial" w:cs="Arial"/>
                <w:b/>
                <w:color w:val="000000" w:themeColor="text1"/>
                <w:sz w:val="20"/>
                <w:szCs w:val="20"/>
                <w:lang w:val="en-GB"/>
              </w:rPr>
              <w:t xml:space="preserve"> R’Million</w:t>
            </w:r>
          </w:p>
        </w:tc>
        <w:tc>
          <w:tcPr>
            <w:tcW w:w="1260" w:type="dxa"/>
            <w:tcBorders>
              <w:top w:val="single" w:sz="8" w:space="0" w:color="auto"/>
              <w:left w:val="single" w:sz="8" w:space="0" w:color="auto"/>
              <w:bottom w:val="single" w:sz="8" w:space="0" w:color="auto"/>
              <w:right w:val="single" w:sz="8" w:space="0" w:color="auto"/>
            </w:tcBorders>
            <w:shd w:val="clear" w:color="auto" w:fill="BDD6EE"/>
            <w:textDirection w:val="btLr"/>
          </w:tcPr>
          <w:p w:rsidR="00611B06" w:rsidRPr="005C1B1B" w:rsidRDefault="00611B06" w:rsidP="005C1B1B">
            <w:pPr>
              <w:ind w:left="113" w:right="113"/>
              <w:rPr>
                <w:rFonts w:ascii="Arial" w:eastAsia="Calibri" w:hAnsi="Arial" w:cs="Arial"/>
                <w:b/>
                <w:color w:val="000000" w:themeColor="text1"/>
                <w:sz w:val="20"/>
                <w:szCs w:val="20"/>
                <w:lang w:val="en-GB"/>
              </w:rPr>
            </w:pPr>
            <w:r w:rsidRPr="005C1B1B">
              <w:rPr>
                <w:rFonts w:ascii="Arial" w:eastAsia="Calibri" w:hAnsi="Arial" w:cs="Arial"/>
                <w:b/>
                <w:color w:val="000000" w:themeColor="text1"/>
                <w:sz w:val="20"/>
                <w:szCs w:val="20"/>
                <w:lang w:val="en-GB"/>
              </w:rPr>
              <w:t>Main Appropriation</w:t>
            </w:r>
          </w:p>
        </w:tc>
        <w:tc>
          <w:tcPr>
            <w:tcW w:w="1170" w:type="dxa"/>
            <w:tcBorders>
              <w:top w:val="single" w:sz="8" w:space="0" w:color="auto"/>
              <w:left w:val="single" w:sz="8" w:space="0" w:color="auto"/>
              <w:bottom w:val="single" w:sz="8" w:space="0" w:color="auto"/>
              <w:right w:val="single" w:sz="8" w:space="0" w:color="auto"/>
            </w:tcBorders>
            <w:shd w:val="clear" w:color="auto" w:fill="BDD6EE"/>
            <w:textDirection w:val="btLr"/>
          </w:tcPr>
          <w:p w:rsidR="00611B06" w:rsidRPr="005C1B1B" w:rsidRDefault="00611B06" w:rsidP="005C1B1B">
            <w:pPr>
              <w:ind w:left="113" w:right="113"/>
              <w:rPr>
                <w:rFonts w:ascii="Arial" w:eastAsia="Calibri" w:hAnsi="Arial" w:cs="Arial"/>
                <w:b/>
                <w:color w:val="000000" w:themeColor="text1"/>
                <w:sz w:val="20"/>
                <w:szCs w:val="20"/>
                <w:lang w:val="en-GB"/>
              </w:rPr>
            </w:pPr>
            <w:r w:rsidRPr="005C1B1B">
              <w:rPr>
                <w:rFonts w:ascii="Arial" w:eastAsia="Calibri" w:hAnsi="Arial" w:cs="Arial"/>
                <w:b/>
                <w:color w:val="000000" w:themeColor="text1"/>
                <w:sz w:val="20"/>
                <w:szCs w:val="20"/>
                <w:lang w:val="en-GB"/>
              </w:rPr>
              <w:t>Available Budget</w:t>
            </w:r>
          </w:p>
        </w:tc>
        <w:tc>
          <w:tcPr>
            <w:tcW w:w="1260" w:type="dxa"/>
            <w:tcBorders>
              <w:top w:val="single" w:sz="8" w:space="0" w:color="auto"/>
              <w:left w:val="single" w:sz="8" w:space="0" w:color="auto"/>
              <w:bottom w:val="single" w:sz="8" w:space="0" w:color="auto"/>
              <w:right w:val="single" w:sz="8" w:space="0" w:color="auto"/>
            </w:tcBorders>
            <w:shd w:val="clear" w:color="auto" w:fill="BDD6EE"/>
            <w:textDirection w:val="btLr"/>
          </w:tcPr>
          <w:p w:rsidR="00611B06" w:rsidRPr="005C1B1B" w:rsidRDefault="00611B06" w:rsidP="005C1B1B">
            <w:pPr>
              <w:ind w:left="113" w:right="113"/>
              <w:rPr>
                <w:rFonts w:ascii="Arial" w:eastAsia="Calibri" w:hAnsi="Arial" w:cs="Arial"/>
                <w:b/>
                <w:color w:val="000000" w:themeColor="text1"/>
                <w:sz w:val="20"/>
                <w:szCs w:val="20"/>
                <w:lang w:val="en-GB"/>
              </w:rPr>
            </w:pPr>
            <w:r w:rsidRPr="005C1B1B">
              <w:rPr>
                <w:rFonts w:ascii="Arial" w:eastAsia="Calibri" w:hAnsi="Arial" w:cs="Arial"/>
                <w:b/>
                <w:color w:val="000000" w:themeColor="text1"/>
                <w:sz w:val="20"/>
                <w:szCs w:val="20"/>
                <w:lang w:val="en-GB"/>
              </w:rPr>
              <w:t>Quarter 2 Actual Expenditure</w:t>
            </w:r>
          </w:p>
        </w:tc>
        <w:tc>
          <w:tcPr>
            <w:tcW w:w="900" w:type="dxa"/>
            <w:tcBorders>
              <w:top w:val="single" w:sz="8" w:space="0" w:color="auto"/>
              <w:left w:val="single" w:sz="8" w:space="0" w:color="auto"/>
              <w:bottom w:val="single" w:sz="8" w:space="0" w:color="auto"/>
              <w:right w:val="single" w:sz="8" w:space="0" w:color="auto"/>
            </w:tcBorders>
            <w:shd w:val="clear" w:color="auto" w:fill="BDD6EE"/>
            <w:textDirection w:val="btLr"/>
          </w:tcPr>
          <w:p w:rsidR="00611B06" w:rsidRPr="005C1B1B" w:rsidRDefault="00611B06" w:rsidP="005C1B1B">
            <w:pPr>
              <w:ind w:left="113" w:right="113"/>
              <w:rPr>
                <w:rFonts w:ascii="Arial" w:eastAsia="Calibri" w:hAnsi="Arial" w:cs="Arial"/>
                <w:b/>
                <w:color w:val="000000" w:themeColor="text1"/>
                <w:sz w:val="20"/>
                <w:szCs w:val="20"/>
                <w:lang w:val="en-GB"/>
              </w:rPr>
            </w:pPr>
            <w:r w:rsidRPr="005C1B1B">
              <w:rPr>
                <w:rFonts w:ascii="Arial" w:eastAsia="Calibri" w:hAnsi="Arial" w:cs="Arial"/>
                <w:b/>
                <w:color w:val="000000" w:themeColor="text1"/>
                <w:sz w:val="20"/>
                <w:szCs w:val="20"/>
                <w:lang w:val="en-GB"/>
              </w:rPr>
              <w:t>Expenditure as % of Available Budget</w:t>
            </w:r>
          </w:p>
        </w:tc>
        <w:tc>
          <w:tcPr>
            <w:tcW w:w="1350" w:type="dxa"/>
            <w:tcBorders>
              <w:top w:val="single" w:sz="8" w:space="0" w:color="auto"/>
              <w:left w:val="single" w:sz="8" w:space="0" w:color="auto"/>
              <w:bottom w:val="single" w:sz="8" w:space="0" w:color="auto"/>
              <w:right w:val="single" w:sz="8" w:space="0" w:color="auto"/>
            </w:tcBorders>
            <w:shd w:val="clear" w:color="auto" w:fill="BDD6EE"/>
            <w:textDirection w:val="btLr"/>
          </w:tcPr>
          <w:p w:rsidR="00611B06" w:rsidRPr="005C1B1B" w:rsidRDefault="00611B06" w:rsidP="005C1B1B">
            <w:pPr>
              <w:ind w:left="113" w:right="113"/>
              <w:rPr>
                <w:rFonts w:ascii="Arial" w:eastAsia="Calibri" w:hAnsi="Arial" w:cs="Arial"/>
                <w:b/>
                <w:color w:val="000000" w:themeColor="text1"/>
                <w:sz w:val="20"/>
                <w:szCs w:val="20"/>
                <w:lang w:val="en-GB"/>
              </w:rPr>
            </w:pPr>
            <w:r w:rsidRPr="005C1B1B">
              <w:rPr>
                <w:rFonts w:ascii="Arial" w:eastAsia="Calibri" w:hAnsi="Arial" w:cs="Arial"/>
                <w:b/>
                <w:color w:val="000000" w:themeColor="text1"/>
                <w:sz w:val="20"/>
                <w:szCs w:val="20"/>
                <w:lang w:val="en-GB"/>
              </w:rPr>
              <w:t>Quarter 2 Projected Expenditure</w:t>
            </w:r>
          </w:p>
        </w:tc>
        <w:tc>
          <w:tcPr>
            <w:tcW w:w="1170" w:type="dxa"/>
            <w:tcBorders>
              <w:top w:val="single" w:sz="8" w:space="0" w:color="auto"/>
              <w:left w:val="single" w:sz="8" w:space="0" w:color="auto"/>
              <w:bottom w:val="single" w:sz="8" w:space="0" w:color="auto"/>
              <w:right w:val="single" w:sz="8" w:space="0" w:color="auto"/>
            </w:tcBorders>
            <w:shd w:val="clear" w:color="auto" w:fill="BDD6EE"/>
            <w:textDirection w:val="btLr"/>
          </w:tcPr>
          <w:p w:rsidR="00611B06" w:rsidRPr="005C1B1B" w:rsidRDefault="00611B06" w:rsidP="005C1B1B">
            <w:pPr>
              <w:ind w:left="113" w:right="113"/>
              <w:rPr>
                <w:rFonts w:ascii="Arial" w:eastAsia="Calibri" w:hAnsi="Arial" w:cs="Arial"/>
                <w:b/>
                <w:color w:val="000000" w:themeColor="text1"/>
                <w:sz w:val="20"/>
                <w:szCs w:val="20"/>
                <w:lang w:val="en-GB"/>
              </w:rPr>
            </w:pPr>
            <w:r w:rsidRPr="005C1B1B">
              <w:rPr>
                <w:rFonts w:ascii="Arial" w:eastAsia="Calibri" w:hAnsi="Arial" w:cs="Arial"/>
                <w:b/>
                <w:color w:val="000000" w:themeColor="text1"/>
                <w:sz w:val="20"/>
                <w:szCs w:val="20"/>
                <w:lang w:val="en-GB"/>
              </w:rPr>
              <w:t>Variance from Projected Expenditure</w:t>
            </w:r>
          </w:p>
        </w:tc>
        <w:tc>
          <w:tcPr>
            <w:tcW w:w="1080" w:type="dxa"/>
            <w:tcBorders>
              <w:top w:val="single" w:sz="8" w:space="0" w:color="auto"/>
              <w:left w:val="single" w:sz="8" w:space="0" w:color="auto"/>
              <w:bottom w:val="single" w:sz="8" w:space="0" w:color="auto"/>
              <w:right w:val="single" w:sz="8" w:space="0" w:color="auto"/>
            </w:tcBorders>
            <w:shd w:val="clear" w:color="auto" w:fill="BDD6EE"/>
            <w:textDirection w:val="btLr"/>
          </w:tcPr>
          <w:p w:rsidR="00611B06" w:rsidRPr="005C1B1B" w:rsidRDefault="00611B06" w:rsidP="005C1B1B">
            <w:pPr>
              <w:ind w:left="113" w:right="113"/>
              <w:rPr>
                <w:rFonts w:ascii="Arial" w:eastAsia="Calibri" w:hAnsi="Arial" w:cs="Arial"/>
                <w:b/>
                <w:color w:val="000000" w:themeColor="text1"/>
                <w:sz w:val="20"/>
                <w:szCs w:val="20"/>
                <w:lang w:val="en-GB"/>
              </w:rPr>
            </w:pPr>
            <w:r w:rsidRPr="005C1B1B">
              <w:rPr>
                <w:rFonts w:ascii="Arial" w:eastAsia="Calibri" w:hAnsi="Arial" w:cs="Arial"/>
                <w:b/>
                <w:color w:val="000000" w:themeColor="text1"/>
                <w:sz w:val="20"/>
                <w:szCs w:val="20"/>
                <w:lang w:val="en-GB"/>
              </w:rPr>
              <w:t>% Variance from Projected Expenditure</w:t>
            </w:r>
          </w:p>
        </w:tc>
        <w:tc>
          <w:tcPr>
            <w:tcW w:w="900" w:type="dxa"/>
            <w:tcBorders>
              <w:top w:val="single" w:sz="8" w:space="0" w:color="auto"/>
              <w:left w:val="single" w:sz="8" w:space="0" w:color="auto"/>
              <w:bottom w:val="single" w:sz="8" w:space="0" w:color="auto"/>
              <w:right w:val="single" w:sz="8" w:space="0" w:color="auto"/>
            </w:tcBorders>
            <w:shd w:val="clear" w:color="auto" w:fill="BDD6EE"/>
            <w:textDirection w:val="btLr"/>
          </w:tcPr>
          <w:p w:rsidR="00611B06" w:rsidRPr="005C1B1B" w:rsidRDefault="00611B06" w:rsidP="005C1B1B">
            <w:pPr>
              <w:ind w:left="113" w:right="113"/>
              <w:rPr>
                <w:rFonts w:ascii="Arial" w:eastAsia="Calibri" w:hAnsi="Arial" w:cs="Arial"/>
                <w:b/>
                <w:color w:val="000000" w:themeColor="text1"/>
                <w:sz w:val="20"/>
                <w:szCs w:val="20"/>
                <w:lang w:val="en-GB"/>
              </w:rPr>
            </w:pPr>
            <w:r w:rsidRPr="005C1B1B">
              <w:rPr>
                <w:rFonts w:ascii="Arial" w:eastAsia="Calibri" w:hAnsi="Arial" w:cs="Arial"/>
                <w:b/>
                <w:color w:val="000000" w:themeColor="text1"/>
                <w:sz w:val="20"/>
                <w:szCs w:val="20"/>
                <w:lang w:val="en-GB"/>
              </w:rPr>
              <w:t>COVID-19 Spending</w:t>
            </w:r>
          </w:p>
        </w:tc>
        <w:tc>
          <w:tcPr>
            <w:tcW w:w="720" w:type="dxa"/>
            <w:tcBorders>
              <w:top w:val="single" w:sz="8" w:space="0" w:color="auto"/>
              <w:left w:val="single" w:sz="8" w:space="0" w:color="auto"/>
              <w:bottom w:val="single" w:sz="8" w:space="0" w:color="auto"/>
              <w:right w:val="single" w:sz="8" w:space="0" w:color="auto"/>
            </w:tcBorders>
            <w:shd w:val="clear" w:color="auto" w:fill="BDD6EE"/>
            <w:textDirection w:val="btLr"/>
          </w:tcPr>
          <w:p w:rsidR="00611B06" w:rsidRPr="005C1B1B" w:rsidRDefault="00611B06" w:rsidP="005C1B1B">
            <w:pPr>
              <w:ind w:left="113" w:right="113"/>
              <w:rPr>
                <w:rFonts w:ascii="Arial" w:eastAsia="Calibri" w:hAnsi="Arial" w:cs="Arial"/>
                <w:b/>
                <w:color w:val="000000" w:themeColor="text1"/>
                <w:sz w:val="20"/>
                <w:szCs w:val="20"/>
                <w:lang w:val="en-GB"/>
              </w:rPr>
            </w:pPr>
            <w:r w:rsidRPr="005C1B1B">
              <w:rPr>
                <w:rFonts w:ascii="Arial" w:eastAsia="Calibri" w:hAnsi="Arial" w:cs="Arial"/>
                <w:b/>
                <w:color w:val="000000" w:themeColor="text1"/>
                <w:sz w:val="20"/>
                <w:szCs w:val="20"/>
                <w:lang w:val="en-GB"/>
              </w:rPr>
              <w:t>Disaster Spending</w:t>
            </w:r>
          </w:p>
        </w:tc>
      </w:tr>
      <w:tr w:rsidR="008E6B1C" w:rsidRPr="005C1B1B" w:rsidTr="00675234">
        <w:tc>
          <w:tcPr>
            <w:tcW w:w="1519" w:type="dxa"/>
            <w:tcBorders>
              <w:top w:val="single" w:sz="8" w:space="0" w:color="auto"/>
              <w:left w:val="single" w:sz="8" w:space="0" w:color="auto"/>
            </w:tcBorders>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Administration</w:t>
            </w:r>
          </w:p>
        </w:tc>
        <w:tc>
          <w:tcPr>
            <w:tcW w:w="1260" w:type="dxa"/>
            <w:tcBorders>
              <w:top w:val="single" w:sz="8" w:space="0" w:color="auto"/>
            </w:tcBorders>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507.8</w:t>
            </w:r>
          </w:p>
        </w:tc>
        <w:tc>
          <w:tcPr>
            <w:tcW w:w="1170" w:type="dxa"/>
            <w:tcBorders>
              <w:top w:val="single" w:sz="8" w:space="0" w:color="auto"/>
            </w:tcBorders>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514.9</w:t>
            </w:r>
          </w:p>
        </w:tc>
        <w:tc>
          <w:tcPr>
            <w:tcW w:w="1260" w:type="dxa"/>
            <w:tcBorders>
              <w:top w:val="single" w:sz="8" w:space="0" w:color="auto"/>
            </w:tcBorders>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209.5</w:t>
            </w:r>
          </w:p>
        </w:tc>
        <w:tc>
          <w:tcPr>
            <w:tcW w:w="900" w:type="dxa"/>
            <w:tcBorders>
              <w:top w:val="single" w:sz="8" w:space="0" w:color="auto"/>
            </w:tcBorders>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40.7%</w:t>
            </w:r>
          </w:p>
        </w:tc>
        <w:tc>
          <w:tcPr>
            <w:tcW w:w="1350" w:type="dxa"/>
            <w:tcBorders>
              <w:top w:val="single" w:sz="8" w:space="0" w:color="auto"/>
            </w:tcBorders>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238.3</w:t>
            </w:r>
          </w:p>
        </w:tc>
        <w:tc>
          <w:tcPr>
            <w:tcW w:w="1170" w:type="dxa"/>
            <w:tcBorders>
              <w:top w:val="single" w:sz="8" w:space="0" w:color="auto"/>
            </w:tcBorders>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28.7</w:t>
            </w:r>
          </w:p>
        </w:tc>
        <w:tc>
          <w:tcPr>
            <w:tcW w:w="1080" w:type="dxa"/>
            <w:tcBorders>
              <w:top w:val="single" w:sz="8" w:space="0" w:color="auto"/>
            </w:tcBorders>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12.1%</w:t>
            </w:r>
          </w:p>
        </w:tc>
        <w:tc>
          <w:tcPr>
            <w:tcW w:w="900" w:type="dxa"/>
            <w:tcBorders>
              <w:top w:val="single" w:sz="8" w:space="0" w:color="auto"/>
            </w:tcBorders>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0.1</w:t>
            </w:r>
          </w:p>
        </w:tc>
        <w:tc>
          <w:tcPr>
            <w:tcW w:w="720" w:type="dxa"/>
            <w:tcBorders>
              <w:top w:val="single" w:sz="8" w:space="0" w:color="auto"/>
              <w:right w:val="single" w:sz="8" w:space="0" w:color="auto"/>
            </w:tcBorders>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0.0</w:t>
            </w:r>
          </w:p>
        </w:tc>
      </w:tr>
      <w:tr w:rsidR="008E6B1C" w:rsidRPr="005C1B1B" w:rsidTr="00675234">
        <w:tc>
          <w:tcPr>
            <w:tcW w:w="1519" w:type="dxa"/>
            <w:tcBorders>
              <w:left w:val="single" w:sz="8" w:space="0" w:color="auto"/>
            </w:tcBorders>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 xml:space="preserve">Integrated </w:t>
            </w:r>
            <w:r w:rsidRPr="005C1B1B">
              <w:rPr>
                <w:rFonts w:ascii="Arial" w:eastAsia="Calibri" w:hAnsi="Arial" w:cs="Arial"/>
                <w:color w:val="000000" w:themeColor="text1"/>
                <w:sz w:val="20"/>
                <w:szCs w:val="20"/>
                <w:lang w:val="en-GB"/>
              </w:rPr>
              <w:lastRenderedPageBreak/>
              <w:t>Transport Planning</w:t>
            </w:r>
          </w:p>
        </w:tc>
        <w:tc>
          <w:tcPr>
            <w:tcW w:w="126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lastRenderedPageBreak/>
              <w:t>93</w:t>
            </w:r>
          </w:p>
        </w:tc>
        <w:tc>
          <w:tcPr>
            <w:tcW w:w="117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93</w:t>
            </w:r>
          </w:p>
        </w:tc>
        <w:tc>
          <w:tcPr>
            <w:tcW w:w="126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34</w:t>
            </w:r>
          </w:p>
        </w:tc>
        <w:tc>
          <w:tcPr>
            <w:tcW w:w="90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36.5%</w:t>
            </w:r>
          </w:p>
        </w:tc>
        <w:tc>
          <w:tcPr>
            <w:tcW w:w="135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36.8</w:t>
            </w:r>
          </w:p>
        </w:tc>
        <w:tc>
          <w:tcPr>
            <w:tcW w:w="117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2.8</w:t>
            </w:r>
          </w:p>
        </w:tc>
        <w:tc>
          <w:tcPr>
            <w:tcW w:w="108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7.7%</w:t>
            </w:r>
          </w:p>
        </w:tc>
        <w:tc>
          <w:tcPr>
            <w:tcW w:w="90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0.0</w:t>
            </w:r>
          </w:p>
        </w:tc>
        <w:tc>
          <w:tcPr>
            <w:tcW w:w="720" w:type="dxa"/>
            <w:tcBorders>
              <w:right w:val="single" w:sz="8" w:space="0" w:color="auto"/>
            </w:tcBorders>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0.0</w:t>
            </w:r>
          </w:p>
        </w:tc>
      </w:tr>
      <w:tr w:rsidR="008E6B1C" w:rsidRPr="005C1B1B" w:rsidTr="00675234">
        <w:tc>
          <w:tcPr>
            <w:tcW w:w="1519" w:type="dxa"/>
            <w:tcBorders>
              <w:left w:val="single" w:sz="8" w:space="0" w:color="auto"/>
            </w:tcBorders>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lastRenderedPageBreak/>
              <w:t>Rail Transport</w:t>
            </w:r>
          </w:p>
        </w:tc>
        <w:tc>
          <w:tcPr>
            <w:tcW w:w="126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19 991.8</w:t>
            </w:r>
          </w:p>
        </w:tc>
        <w:tc>
          <w:tcPr>
            <w:tcW w:w="117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20 012.4</w:t>
            </w:r>
          </w:p>
        </w:tc>
        <w:tc>
          <w:tcPr>
            <w:tcW w:w="126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10 019.8</w:t>
            </w:r>
          </w:p>
        </w:tc>
        <w:tc>
          <w:tcPr>
            <w:tcW w:w="90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50.1%</w:t>
            </w:r>
          </w:p>
        </w:tc>
        <w:tc>
          <w:tcPr>
            <w:tcW w:w="135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10 035.9</w:t>
            </w:r>
          </w:p>
        </w:tc>
        <w:tc>
          <w:tcPr>
            <w:tcW w:w="117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16.1</w:t>
            </w:r>
          </w:p>
        </w:tc>
        <w:tc>
          <w:tcPr>
            <w:tcW w:w="108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0.2%</w:t>
            </w:r>
          </w:p>
        </w:tc>
        <w:tc>
          <w:tcPr>
            <w:tcW w:w="90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0.0</w:t>
            </w:r>
          </w:p>
        </w:tc>
        <w:tc>
          <w:tcPr>
            <w:tcW w:w="720" w:type="dxa"/>
            <w:tcBorders>
              <w:right w:val="single" w:sz="8" w:space="0" w:color="auto"/>
            </w:tcBorders>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0.0</w:t>
            </w:r>
          </w:p>
        </w:tc>
      </w:tr>
      <w:tr w:rsidR="008E6B1C" w:rsidRPr="005C1B1B" w:rsidTr="00675234">
        <w:trPr>
          <w:trHeight w:val="122"/>
        </w:trPr>
        <w:tc>
          <w:tcPr>
            <w:tcW w:w="1519" w:type="dxa"/>
            <w:tcBorders>
              <w:left w:val="single" w:sz="8" w:space="0" w:color="auto"/>
            </w:tcBorders>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Road Transport</w:t>
            </w:r>
          </w:p>
        </w:tc>
        <w:tc>
          <w:tcPr>
            <w:tcW w:w="126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33 983.4</w:t>
            </w:r>
          </w:p>
        </w:tc>
        <w:tc>
          <w:tcPr>
            <w:tcW w:w="117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35 822.8</w:t>
            </w:r>
          </w:p>
        </w:tc>
        <w:tc>
          <w:tcPr>
            <w:tcW w:w="126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18 400.8</w:t>
            </w:r>
          </w:p>
        </w:tc>
        <w:tc>
          <w:tcPr>
            <w:tcW w:w="90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51.4%</w:t>
            </w:r>
          </w:p>
        </w:tc>
        <w:tc>
          <w:tcPr>
            <w:tcW w:w="135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18 433.1</w:t>
            </w:r>
          </w:p>
        </w:tc>
        <w:tc>
          <w:tcPr>
            <w:tcW w:w="117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32.2</w:t>
            </w:r>
          </w:p>
        </w:tc>
        <w:tc>
          <w:tcPr>
            <w:tcW w:w="108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0.2%</w:t>
            </w:r>
          </w:p>
        </w:tc>
        <w:tc>
          <w:tcPr>
            <w:tcW w:w="90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0.0</w:t>
            </w:r>
          </w:p>
        </w:tc>
        <w:tc>
          <w:tcPr>
            <w:tcW w:w="720" w:type="dxa"/>
            <w:tcBorders>
              <w:right w:val="single" w:sz="8" w:space="0" w:color="auto"/>
            </w:tcBorders>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294</w:t>
            </w:r>
          </w:p>
        </w:tc>
      </w:tr>
      <w:tr w:rsidR="008E6B1C" w:rsidRPr="005C1B1B" w:rsidTr="00675234">
        <w:tc>
          <w:tcPr>
            <w:tcW w:w="1519" w:type="dxa"/>
            <w:tcBorders>
              <w:left w:val="single" w:sz="8" w:space="0" w:color="auto"/>
            </w:tcBorders>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Civil Aviation Transport</w:t>
            </w:r>
          </w:p>
        </w:tc>
        <w:tc>
          <w:tcPr>
            <w:tcW w:w="126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428.4</w:t>
            </w:r>
          </w:p>
        </w:tc>
        <w:tc>
          <w:tcPr>
            <w:tcW w:w="117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424.8</w:t>
            </w:r>
          </w:p>
        </w:tc>
        <w:tc>
          <w:tcPr>
            <w:tcW w:w="126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198.3</w:t>
            </w:r>
          </w:p>
        </w:tc>
        <w:tc>
          <w:tcPr>
            <w:tcW w:w="90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46.7%</w:t>
            </w:r>
          </w:p>
        </w:tc>
        <w:tc>
          <w:tcPr>
            <w:tcW w:w="135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209.3</w:t>
            </w:r>
          </w:p>
        </w:tc>
        <w:tc>
          <w:tcPr>
            <w:tcW w:w="117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11</w:t>
            </w:r>
          </w:p>
        </w:tc>
        <w:tc>
          <w:tcPr>
            <w:tcW w:w="108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5.2%</w:t>
            </w:r>
          </w:p>
        </w:tc>
        <w:tc>
          <w:tcPr>
            <w:tcW w:w="90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0.0</w:t>
            </w:r>
          </w:p>
        </w:tc>
        <w:tc>
          <w:tcPr>
            <w:tcW w:w="720" w:type="dxa"/>
            <w:tcBorders>
              <w:right w:val="single" w:sz="8" w:space="0" w:color="auto"/>
            </w:tcBorders>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0.0</w:t>
            </w:r>
          </w:p>
        </w:tc>
      </w:tr>
      <w:tr w:rsidR="008E6B1C" w:rsidRPr="005C1B1B" w:rsidTr="00675234">
        <w:tc>
          <w:tcPr>
            <w:tcW w:w="1519" w:type="dxa"/>
            <w:tcBorders>
              <w:left w:val="single" w:sz="8" w:space="0" w:color="auto"/>
            </w:tcBorders>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Maritime Transport</w:t>
            </w:r>
          </w:p>
        </w:tc>
        <w:tc>
          <w:tcPr>
            <w:tcW w:w="126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155.4</w:t>
            </w:r>
          </w:p>
        </w:tc>
        <w:tc>
          <w:tcPr>
            <w:tcW w:w="117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155.4</w:t>
            </w:r>
          </w:p>
        </w:tc>
        <w:tc>
          <w:tcPr>
            <w:tcW w:w="126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71.7</w:t>
            </w:r>
          </w:p>
        </w:tc>
        <w:tc>
          <w:tcPr>
            <w:tcW w:w="90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46.2%</w:t>
            </w:r>
          </w:p>
        </w:tc>
        <w:tc>
          <w:tcPr>
            <w:tcW w:w="135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77.6</w:t>
            </w:r>
          </w:p>
        </w:tc>
        <w:tc>
          <w:tcPr>
            <w:tcW w:w="117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5.9</w:t>
            </w:r>
          </w:p>
        </w:tc>
        <w:tc>
          <w:tcPr>
            <w:tcW w:w="108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7.6%</w:t>
            </w:r>
          </w:p>
        </w:tc>
        <w:tc>
          <w:tcPr>
            <w:tcW w:w="900" w:type="dxa"/>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0.0</w:t>
            </w:r>
          </w:p>
        </w:tc>
        <w:tc>
          <w:tcPr>
            <w:tcW w:w="720" w:type="dxa"/>
            <w:tcBorders>
              <w:right w:val="single" w:sz="8" w:space="0" w:color="auto"/>
            </w:tcBorders>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0.0</w:t>
            </w:r>
          </w:p>
        </w:tc>
      </w:tr>
      <w:tr w:rsidR="008E6B1C" w:rsidRPr="005C1B1B" w:rsidTr="00675234">
        <w:tc>
          <w:tcPr>
            <w:tcW w:w="1519" w:type="dxa"/>
            <w:tcBorders>
              <w:top w:val="single" w:sz="8" w:space="0" w:color="auto"/>
              <w:left w:val="single" w:sz="8" w:space="0" w:color="auto"/>
              <w:bottom w:val="single" w:sz="8" w:space="0" w:color="auto"/>
            </w:tcBorders>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Public Transport</w:t>
            </w:r>
          </w:p>
        </w:tc>
        <w:tc>
          <w:tcPr>
            <w:tcW w:w="1260" w:type="dxa"/>
            <w:tcBorders>
              <w:top w:val="single" w:sz="8" w:space="0" w:color="auto"/>
              <w:bottom w:val="single" w:sz="8" w:space="0" w:color="auto"/>
            </w:tcBorders>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13 969.9</w:t>
            </w:r>
          </w:p>
        </w:tc>
        <w:tc>
          <w:tcPr>
            <w:tcW w:w="1170" w:type="dxa"/>
            <w:tcBorders>
              <w:top w:val="single" w:sz="8" w:space="0" w:color="auto"/>
              <w:bottom w:val="single" w:sz="8" w:space="0" w:color="auto"/>
            </w:tcBorders>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13 969.9</w:t>
            </w:r>
          </w:p>
        </w:tc>
        <w:tc>
          <w:tcPr>
            <w:tcW w:w="1260" w:type="dxa"/>
            <w:tcBorders>
              <w:top w:val="single" w:sz="8" w:space="0" w:color="auto"/>
              <w:bottom w:val="single" w:sz="8" w:space="0" w:color="auto"/>
            </w:tcBorders>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5 319.9</w:t>
            </w:r>
          </w:p>
        </w:tc>
        <w:tc>
          <w:tcPr>
            <w:tcW w:w="900" w:type="dxa"/>
            <w:tcBorders>
              <w:top w:val="single" w:sz="8" w:space="0" w:color="auto"/>
              <w:bottom w:val="single" w:sz="8" w:space="0" w:color="auto"/>
            </w:tcBorders>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38.1%</w:t>
            </w:r>
          </w:p>
        </w:tc>
        <w:tc>
          <w:tcPr>
            <w:tcW w:w="1350" w:type="dxa"/>
            <w:tcBorders>
              <w:top w:val="single" w:sz="8" w:space="0" w:color="auto"/>
              <w:bottom w:val="single" w:sz="8" w:space="0" w:color="auto"/>
            </w:tcBorders>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5 646</w:t>
            </w:r>
          </w:p>
        </w:tc>
        <w:tc>
          <w:tcPr>
            <w:tcW w:w="1170" w:type="dxa"/>
            <w:tcBorders>
              <w:top w:val="single" w:sz="8" w:space="0" w:color="auto"/>
              <w:bottom w:val="single" w:sz="8" w:space="0" w:color="auto"/>
            </w:tcBorders>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326.2</w:t>
            </w:r>
          </w:p>
        </w:tc>
        <w:tc>
          <w:tcPr>
            <w:tcW w:w="1080" w:type="dxa"/>
            <w:tcBorders>
              <w:top w:val="single" w:sz="8" w:space="0" w:color="auto"/>
              <w:bottom w:val="single" w:sz="8" w:space="0" w:color="auto"/>
            </w:tcBorders>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5.8%</w:t>
            </w:r>
          </w:p>
        </w:tc>
        <w:tc>
          <w:tcPr>
            <w:tcW w:w="900" w:type="dxa"/>
            <w:tcBorders>
              <w:top w:val="single" w:sz="8" w:space="0" w:color="auto"/>
              <w:bottom w:val="single" w:sz="8" w:space="0" w:color="auto"/>
            </w:tcBorders>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0.0</w:t>
            </w:r>
          </w:p>
        </w:tc>
        <w:tc>
          <w:tcPr>
            <w:tcW w:w="720" w:type="dxa"/>
            <w:tcBorders>
              <w:top w:val="single" w:sz="8" w:space="0" w:color="auto"/>
              <w:bottom w:val="single" w:sz="8" w:space="0" w:color="auto"/>
              <w:right w:val="single" w:sz="8" w:space="0" w:color="auto"/>
            </w:tcBorders>
          </w:tcPr>
          <w:p w:rsidR="00611B06" w:rsidRPr="005C1B1B" w:rsidRDefault="00611B06" w:rsidP="005C1B1B">
            <w:pPr>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0.0</w:t>
            </w:r>
          </w:p>
        </w:tc>
      </w:tr>
      <w:tr w:rsidR="00675234" w:rsidRPr="005C1B1B" w:rsidTr="00675234">
        <w:tc>
          <w:tcPr>
            <w:tcW w:w="1519" w:type="dxa"/>
            <w:tcBorders>
              <w:top w:val="single" w:sz="8" w:space="0" w:color="auto"/>
              <w:left w:val="single" w:sz="8" w:space="0" w:color="auto"/>
              <w:bottom w:val="single" w:sz="8" w:space="0" w:color="auto"/>
              <w:right w:val="single" w:sz="8" w:space="0" w:color="auto"/>
            </w:tcBorders>
            <w:shd w:val="clear" w:color="auto" w:fill="BDD6EE"/>
          </w:tcPr>
          <w:p w:rsidR="00611B06" w:rsidRPr="005C1B1B" w:rsidRDefault="00611B06" w:rsidP="005C1B1B">
            <w:pPr>
              <w:rPr>
                <w:rFonts w:ascii="Arial" w:eastAsia="Calibri" w:hAnsi="Arial" w:cs="Arial"/>
                <w:b/>
                <w:color w:val="000000" w:themeColor="text1"/>
                <w:sz w:val="20"/>
                <w:szCs w:val="20"/>
                <w:lang w:val="en-GB"/>
              </w:rPr>
            </w:pPr>
            <w:r w:rsidRPr="005C1B1B">
              <w:rPr>
                <w:rFonts w:ascii="Arial" w:eastAsia="Calibri" w:hAnsi="Arial" w:cs="Arial"/>
                <w:b/>
                <w:color w:val="000000" w:themeColor="text1"/>
                <w:sz w:val="20"/>
                <w:szCs w:val="20"/>
                <w:lang w:val="en-GB"/>
              </w:rPr>
              <w:t>Total</w:t>
            </w:r>
          </w:p>
        </w:tc>
        <w:tc>
          <w:tcPr>
            <w:tcW w:w="1260" w:type="dxa"/>
            <w:tcBorders>
              <w:top w:val="single" w:sz="8" w:space="0" w:color="auto"/>
              <w:left w:val="single" w:sz="8" w:space="0" w:color="auto"/>
              <w:bottom w:val="single" w:sz="8" w:space="0" w:color="auto"/>
              <w:right w:val="single" w:sz="8" w:space="0" w:color="auto"/>
            </w:tcBorders>
            <w:shd w:val="clear" w:color="auto" w:fill="BDD6EE"/>
          </w:tcPr>
          <w:p w:rsidR="00611B06" w:rsidRPr="005C1B1B" w:rsidRDefault="00611B06" w:rsidP="005C1B1B">
            <w:pPr>
              <w:rPr>
                <w:rFonts w:ascii="Arial" w:eastAsia="Calibri" w:hAnsi="Arial" w:cs="Arial"/>
                <w:b/>
                <w:color w:val="000000" w:themeColor="text1"/>
                <w:sz w:val="20"/>
                <w:szCs w:val="20"/>
                <w:lang w:val="en-GB"/>
              </w:rPr>
            </w:pPr>
            <w:r w:rsidRPr="005C1B1B">
              <w:rPr>
                <w:rFonts w:ascii="Arial" w:eastAsia="Calibri" w:hAnsi="Arial" w:cs="Arial"/>
                <w:b/>
                <w:color w:val="000000" w:themeColor="text1"/>
                <w:sz w:val="20"/>
                <w:szCs w:val="20"/>
                <w:lang w:val="en-GB"/>
              </w:rPr>
              <w:t>69 125.9</w:t>
            </w:r>
          </w:p>
        </w:tc>
        <w:tc>
          <w:tcPr>
            <w:tcW w:w="1170" w:type="dxa"/>
            <w:tcBorders>
              <w:top w:val="single" w:sz="8" w:space="0" w:color="auto"/>
              <w:left w:val="single" w:sz="8" w:space="0" w:color="auto"/>
              <w:bottom w:val="single" w:sz="8" w:space="0" w:color="auto"/>
              <w:right w:val="single" w:sz="8" w:space="0" w:color="auto"/>
            </w:tcBorders>
            <w:shd w:val="clear" w:color="auto" w:fill="BDD6EE"/>
          </w:tcPr>
          <w:p w:rsidR="00611B06" w:rsidRPr="005C1B1B" w:rsidRDefault="00611B06" w:rsidP="005C1B1B">
            <w:pPr>
              <w:rPr>
                <w:rFonts w:ascii="Arial" w:eastAsia="Calibri" w:hAnsi="Arial" w:cs="Arial"/>
                <w:b/>
                <w:color w:val="000000" w:themeColor="text1"/>
                <w:sz w:val="20"/>
                <w:szCs w:val="20"/>
                <w:lang w:val="en-GB"/>
              </w:rPr>
            </w:pPr>
            <w:r w:rsidRPr="005C1B1B">
              <w:rPr>
                <w:rFonts w:ascii="Arial" w:eastAsia="Calibri" w:hAnsi="Arial" w:cs="Arial"/>
                <w:b/>
                <w:color w:val="000000" w:themeColor="text1"/>
                <w:sz w:val="20"/>
                <w:szCs w:val="20"/>
                <w:lang w:val="en-GB"/>
              </w:rPr>
              <w:t>70 993.1</w:t>
            </w:r>
          </w:p>
        </w:tc>
        <w:tc>
          <w:tcPr>
            <w:tcW w:w="1260" w:type="dxa"/>
            <w:tcBorders>
              <w:top w:val="single" w:sz="8" w:space="0" w:color="auto"/>
              <w:left w:val="single" w:sz="8" w:space="0" w:color="auto"/>
              <w:bottom w:val="single" w:sz="8" w:space="0" w:color="auto"/>
              <w:right w:val="single" w:sz="8" w:space="0" w:color="auto"/>
            </w:tcBorders>
            <w:shd w:val="clear" w:color="auto" w:fill="BDD6EE"/>
          </w:tcPr>
          <w:p w:rsidR="00611B06" w:rsidRPr="005C1B1B" w:rsidRDefault="00611B06" w:rsidP="005C1B1B">
            <w:pPr>
              <w:rPr>
                <w:rFonts w:ascii="Arial" w:eastAsia="Calibri" w:hAnsi="Arial" w:cs="Arial"/>
                <w:b/>
                <w:color w:val="000000" w:themeColor="text1"/>
                <w:sz w:val="20"/>
                <w:szCs w:val="20"/>
                <w:lang w:val="en-GB"/>
              </w:rPr>
            </w:pPr>
            <w:r w:rsidRPr="005C1B1B">
              <w:rPr>
                <w:rFonts w:ascii="Arial" w:eastAsia="Calibri" w:hAnsi="Arial" w:cs="Arial"/>
                <w:b/>
                <w:color w:val="000000" w:themeColor="text1"/>
                <w:sz w:val="20"/>
                <w:szCs w:val="20"/>
                <w:lang w:val="en-GB"/>
              </w:rPr>
              <w:t>34 254.1</w:t>
            </w:r>
          </w:p>
        </w:tc>
        <w:tc>
          <w:tcPr>
            <w:tcW w:w="900" w:type="dxa"/>
            <w:tcBorders>
              <w:top w:val="single" w:sz="8" w:space="0" w:color="auto"/>
              <w:left w:val="single" w:sz="8" w:space="0" w:color="auto"/>
              <w:bottom w:val="single" w:sz="8" w:space="0" w:color="auto"/>
              <w:right w:val="single" w:sz="8" w:space="0" w:color="auto"/>
            </w:tcBorders>
            <w:shd w:val="clear" w:color="auto" w:fill="BDD6EE"/>
          </w:tcPr>
          <w:p w:rsidR="00611B06" w:rsidRPr="005C1B1B" w:rsidRDefault="00611B06" w:rsidP="005C1B1B">
            <w:pPr>
              <w:rPr>
                <w:rFonts w:ascii="Arial" w:eastAsia="Calibri" w:hAnsi="Arial" w:cs="Arial"/>
                <w:b/>
                <w:color w:val="000000" w:themeColor="text1"/>
                <w:sz w:val="20"/>
                <w:szCs w:val="20"/>
                <w:lang w:val="en-GB"/>
              </w:rPr>
            </w:pPr>
            <w:r w:rsidRPr="005C1B1B">
              <w:rPr>
                <w:rFonts w:ascii="Arial" w:eastAsia="Calibri" w:hAnsi="Arial" w:cs="Arial"/>
                <w:b/>
                <w:color w:val="000000" w:themeColor="text1"/>
                <w:sz w:val="20"/>
                <w:szCs w:val="20"/>
                <w:lang w:val="en-GB"/>
              </w:rPr>
              <w:t>48.2%</w:t>
            </w:r>
          </w:p>
        </w:tc>
        <w:tc>
          <w:tcPr>
            <w:tcW w:w="1350" w:type="dxa"/>
            <w:tcBorders>
              <w:top w:val="single" w:sz="8" w:space="0" w:color="auto"/>
              <w:left w:val="single" w:sz="8" w:space="0" w:color="auto"/>
              <w:bottom w:val="single" w:sz="8" w:space="0" w:color="auto"/>
              <w:right w:val="single" w:sz="8" w:space="0" w:color="auto"/>
            </w:tcBorders>
            <w:shd w:val="clear" w:color="auto" w:fill="BDD6EE"/>
          </w:tcPr>
          <w:p w:rsidR="00611B06" w:rsidRPr="005C1B1B" w:rsidRDefault="00611B06" w:rsidP="005C1B1B">
            <w:pPr>
              <w:rPr>
                <w:rFonts w:ascii="Arial" w:eastAsia="Calibri" w:hAnsi="Arial" w:cs="Arial"/>
                <w:b/>
                <w:color w:val="000000" w:themeColor="text1"/>
                <w:sz w:val="20"/>
                <w:szCs w:val="20"/>
                <w:lang w:val="en-GB"/>
              </w:rPr>
            </w:pPr>
            <w:r w:rsidRPr="005C1B1B">
              <w:rPr>
                <w:rFonts w:ascii="Arial" w:eastAsia="Calibri" w:hAnsi="Arial" w:cs="Arial"/>
                <w:b/>
                <w:color w:val="000000" w:themeColor="text1"/>
                <w:sz w:val="20"/>
                <w:szCs w:val="20"/>
                <w:lang w:val="en-GB"/>
              </w:rPr>
              <w:t>34 677</w:t>
            </w:r>
          </w:p>
        </w:tc>
        <w:tc>
          <w:tcPr>
            <w:tcW w:w="1170" w:type="dxa"/>
            <w:tcBorders>
              <w:top w:val="single" w:sz="8" w:space="0" w:color="auto"/>
              <w:left w:val="single" w:sz="8" w:space="0" w:color="auto"/>
              <w:bottom w:val="single" w:sz="8" w:space="0" w:color="auto"/>
              <w:right w:val="single" w:sz="8" w:space="0" w:color="auto"/>
            </w:tcBorders>
            <w:shd w:val="clear" w:color="auto" w:fill="BDD6EE"/>
          </w:tcPr>
          <w:p w:rsidR="00611B06" w:rsidRPr="005C1B1B" w:rsidRDefault="00611B06" w:rsidP="005C1B1B">
            <w:pPr>
              <w:rPr>
                <w:rFonts w:ascii="Arial" w:eastAsia="Calibri" w:hAnsi="Arial" w:cs="Arial"/>
                <w:b/>
                <w:color w:val="000000" w:themeColor="text1"/>
                <w:sz w:val="20"/>
                <w:szCs w:val="20"/>
                <w:lang w:val="en-GB"/>
              </w:rPr>
            </w:pPr>
            <w:r w:rsidRPr="005C1B1B">
              <w:rPr>
                <w:rFonts w:ascii="Arial" w:eastAsia="Calibri" w:hAnsi="Arial" w:cs="Arial"/>
                <w:b/>
                <w:color w:val="000000" w:themeColor="text1"/>
                <w:sz w:val="20"/>
                <w:szCs w:val="20"/>
                <w:lang w:val="en-GB"/>
              </w:rPr>
              <w:t>422.9</w:t>
            </w:r>
          </w:p>
        </w:tc>
        <w:tc>
          <w:tcPr>
            <w:tcW w:w="1080" w:type="dxa"/>
            <w:tcBorders>
              <w:top w:val="single" w:sz="8" w:space="0" w:color="auto"/>
              <w:left w:val="single" w:sz="8" w:space="0" w:color="auto"/>
              <w:bottom w:val="single" w:sz="8" w:space="0" w:color="auto"/>
              <w:right w:val="single" w:sz="8" w:space="0" w:color="auto"/>
            </w:tcBorders>
            <w:shd w:val="clear" w:color="auto" w:fill="BDD6EE"/>
          </w:tcPr>
          <w:p w:rsidR="00611B06" w:rsidRPr="005C1B1B" w:rsidRDefault="00611B06" w:rsidP="005C1B1B">
            <w:pPr>
              <w:rPr>
                <w:rFonts w:ascii="Arial" w:eastAsia="Calibri" w:hAnsi="Arial" w:cs="Arial"/>
                <w:b/>
                <w:color w:val="000000" w:themeColor="text1"/>
                <w:sz w:val="20"/>
                <w:szCs w:val="20"/>
                <w:lang w:val="en-GB"/>
              </w:rPr>
            </w:pPr>
            <w:r w:rsidRPr="005C1B1B">
              <w:rPr>
                <w:rFonts w:ascii="Arial" w:eastAsia="Calibri" w:hAnsi="Arial" w:cs="Arial"/>
                <w:b/>
                <w:color w:val="000000" w:themeColor="text1"/>
                <w:sz w:val="20"/>
                <w:szCs w:val="20"/>
                <w:lang w:val="en-GB"/>
              </w:rPr>
              <w:t>1.2%</w:t>
            </w:r>
          </w:p>
        </w:tc>
        <w:tc>
          <w:tcPr>
            <w:tcW w:w="900" w:type="dxa"/>
            <w:tcBorders>
              <w:top w:val="single" w:sz="8" w:space="0" w:color="auto"/>
              <w:left w:val="single" w:sz="8" w:space="0" w:color="auto"/>
              <w:bottom w:val="single" w:sz="8" w:space="0" w:color="auto"/>
            </w:tcBorders>
            <w:shd w:val="clear" w:color="auto" w:fill="BDD6EE"/>
          </w:tcPr>
          <w:p w:rsidR="00611B06" w:rsidRPr="005C1B1B" w:rsidRDefault="00611B06" w:rsidP="005C1B1B">
            <w:pPr>
              <w:rPr>
                <w:rFonts w:ascii="Arial" w:eastAsia="Calibri" w:hAnsi="Arial" w:cs="Arial"/>
                <w:b/>
                <w:color w:val="000000" w:themeColor="text1"/>
                <w:sz w:val="20"/>
                <w:szCs w:val="20"/>
                <w:lang w:val="en-GB"/>
              </w:rPr>
            </w:pPr>
            <w:r w:rsidRPr="005C1B1B">
              <w:rPr>
                <w:rFonts w:ascii="Arial" w:eastAsia="Calibri" w:hAnsi="Arial" w:cs="Arial"/>
                <w:b/>
                <w:color w:val="000000" w:themeColor="text1"/>
                <w:sz w:val="20"/>
                <w:szCs w:val="20"/>
                <w:lang w:val="en-GB"/>
              </w:rPr>
              <w:t>0.1</w:t>
            </w:r>
          </w:p>
        </w:tc>
        <w:tc>
          <w:tcPr>
            <w:tcW w:w="720" w:type="dxa"/>
            <w:tcBorders>
              <w:top w:val="single" w:sz="8" w:space="0" w:color="auto"/>
              <w:bottom w:val="single" w:sz="8" w:space="0" w:color="auto"/>
              <w:right w:val="single" w:sz="8" w:space="0" w:color="auto"/>
            </w:tcBorders>
            <w:shd w:val="clear" w:color="auto" w:fill="BDD6EE"/>
          </w:tcPr>
          <w:p w:rsidR="00611B06" w:rsidRPr="005C1B1B" w:rsidRDefault="00611B06" w:rsidP="005C1B1B">
            <w:pPr>
              <w:rPr>
                <w:rFonts w:ascii="Arial" w:eastAsia="Calibri" w:hAnsi="Arial" w:cs="Arial"/>
                <w:b/>
                <w:color w:val="000000" w:themeColor="text1"/>
                <w:sz w:val="20"/>
                <w:szCs w:val="20"/>
                <w:lang w:val="en-GB"/>
              </w:rPr>
            </w:pPr>
            <w:r w:rsidRPr="005C1B1B">
              <w:rPr>
                <w:rFonts w:ascii="Arial" w:eastAsia="Calibri" w:hAnsi="Arial" w:cs="Arial"/>
                <w:b/>
                <w:color w:val="000000" w:themeColor="text1"/>
                <w:sz w:val="20"/>
                <w:szCs w:val="20"/>
                <w:lang w:val="en-GB"/>
              </w:rPr>
              <w:t>294</w:t>
            </w:r>
          </w:p>
        </w:tc>
      </w:tr>
    </w:tbl>
    <w:p w:rsidR="00611B06" w:rsidRPr="005C1B1B" w:rsidRDefault="00611B06" w:rsidP="005C1B1B">
      <w:pPr>
        <w:spacing w:after="0" w:line="240" w:lineRule="auto"/>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w:t>
      </w:r>
      <w:r w:rsidRPr="005C1B1B">
        <w:rPr>
          <w:rFonts w:ascii="Arial" w:eastAsia="Calibri" w:hAnsi="Arial" w:cs="Arial"/>
          <w:b/>
          <w:color w:val="000000" w:themeColor="text1"/>
          <w:sz w:val="20"/>
          <w:szCs w:val="20"/>
          <w:lang w:val="en-GB"/>
        </w:rPr>
        <w:t>Source: National Treasury (2022a)</w:t>
      </w:r>
      <w:r w:rsidRPr="005C1B1B">
        <w:rPr>
          <w:rFonts w:ascii="Arial" w:eastAsia="Calibri" w:hAnsi="Arial" w:cs="Arial"/>
          <w:color w:val="000000" w:themeColor="text1"/>
          <w:sz w:val="20"/>
          <w:szCs w:val="20"/>
          <w:lang w:val="en-GB"/>
        </w:rPr>
        <w:t>.</w:t>
      </w:r>
    </w:p>
    <w:p w:rsidR="00611B06" w:rsidRPr="005C1B1B" w:rsidRDefault="00611B06" w:rsidP="005C1B1B">
      <w:pPr>
        <w:spacing w:after="0" w:line="240" w:lineRule="auto"/>
        <w:rPr>
          <w:rFonts w:ascii="Arial" w:eastAsia="Calibri" w:hAnsi="Arial" w:cs="Arial"/>
          <w:color w:val="000000" w:themeColor="text1"/>
          <w:sz w:val="20"/>
          <w:szCs w:val="20"/>
          <w:lang w:val="en-GB"/>
        </w:rPr>
      </w:pPr>
    </w:p>
    <w:p w:rsidR="00611B06" w:rsidRPr="005C1B1B" w:rsidRDefault="00611B06" w:rsidP="005C1B1B">
      <w:pPr>
        <w:keepNext/>
        <w:keepLines/>
        <w:spacing w:after="0" w:line="240" w:lineRule="auto"/>
        <w:outlineLvl w:val="1"/>
        <w:rPr>
          <w:rFonts w:ascii="Arial" w:eastAsia="Times New Roman" w:hAnsi="Arial" w:cs="Arial"/>
          <w:b/>
          <w:color w:val="000000" w:themeColor="text1"/>
          <w:sz w:val="20"/>
          <w:szCs w:val="20"/>
          <w:lang w:val="en-GB"/>
        </w:rPr>
      </w:pPr>
      <w:bookmarkStart w:id="2" w:name="_Toc118982109"/>
      <w:r w:rsidRPr="005C1B1B">
        <w:rPr>
          <w:rFonts w:ascii="Arial" w:eastAsia="Times New Roman" w:hAnsi="Arial" w:cs="Arial"/>
          <w:b/>
          <w:color w:val="000000" w:themeColor="text1"/>
          <w:sz w:val="20"/>
          <w:szCs w:val="20"/>
          <w:lang w:val="en-GB"/>
        </w:rPr>
        <w:t>2.1</w:t>
      </w:r>
      <w:r w:rsidR="0062548D" w:rsidRPr="005C1B1B">
        <w:rPr>
          <w:rFonts w:ascii="Arial" w:eastAsia="Times New Roman" w:hAnsi="Arial" w:cs="Arial"/>
          <w:b/>
          <w:color w:val="000000" w:themeColor="text1"/>
          <w:sz w:val="20"/>
          <w:szCs w:val="20"/>
          <w:lang w:val="en-GB"/>
        </w:rPr>
        <w:t>.1</w:t>
      </w:r>
      <w:r w:rsidRPr="005C1B1B">
        <w:rPr>
          <w:rFonts w:ascii="Arial" w:eastAsia="Times New Roman" w:hAnsi="Arial" w:cs="Arial"/>
          <w:b/>
          <w:color w:val="000000" w:themeColor="text1"/>
          <w:sz w:val="20"/>
          <w:szCs w:val="20"/>
          <w:lang w:val="en-GB"/>
        </w:rPr>
        <w:t xml:space="preserve"> </w:t>
      </w:r>
      <w:r w:rsidR="003218B9" w:rsidRPr="005C1B1B">
        <w:rPr>
          <w:rFonts w:ascii="Arial" w:eastAsia="Times New Roman" w:hAnsi="Arial" w:cs="Arial"/>
          <w:b/>
          <w:color w:val="000000" w:themeColor="text1"/>
          <w:sz w:val="20"/>
          <w:szCs w:val="20"/>
          <w:lang w:val="en-GB"/>
        </w:rPr>
        <w:t xml:space="preserve">    </w:t>
      </w:r>
      <w:r w:rsidRPr="005C1B1B">
        <w:rPr>
          <w:rFonts w:ascii="Arial" w:eastAsia="Times New Roman" w:hAnsi="Arial" w:cs="Arial"/>
          <w:b/>
          <w:color w:val="000000" w:themeColor="text1"/>
          <w:sz w:val="20"/>
          <w:szCs w:val="20"/>
          <w:lang w:val="en-GB"/>
        </w:rPr>
        <w:t>Programme 1: Administration</w:t>
      </w:r>
      <w:bookmarkEnd w:id="2"/>
    </w:p>
    <w:p w:rsidR="000D71E2" w:rsidRPr="005C1B1B" w:rsidRDefault="000D71E2" w:rsidP="005C1B1B">
      <w:pPr>
        <w:spacing w:after="0" w:line="240" w:lineRule="auto"/>
        <w:rPr>
          <w:rFonts w:ascii="Arial" w:eastAsia="Calibri" w:hAnsi="Arial" w:cs="Arial"/>
          <w:color w:val="000000" w:themeColor="text1"/>
          <w:sz w:val="20"/>
          <w:szCs w:val="20"/>
          <w:lang w:val="en-GB"/>
        </w:rPr>
      </w:pPr>
    </w:p>
    <w:p w:rsidR="00611B06" w:rsidRPr="005C1B1B" w:rsidRDefault="00611B06" w:rsidP="005C1B1B">
      <w:pPr>
        <w:spacing w:after="0" w:line="240" w:lineRule="auto"/>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By the end of the Second Quarter of 2022/23, the Administration programme had spent R209.5 million against the Quarter’s projection of R238.3 million, indicating a delay in spending of 12.1% – equivalent to R28.7 million. Expenditure delays were mainly</w:t>
      </w:r>
      <w:r w:rsidRPr="005C1B1B">
        <w:rPr>
          <w:rFonts w:ascii="Arial" w:eastAsia="Calibri" w:hAnsi="Arial" w:cs="Arial"/>
          <w:b/>
          <w:color w:val="000000" w:themeColor="text1"/>
          <w:sz w:val="20"/>
          <w:szCs w:val="20"/>
          <w:lang w:val="en-GB"/>
        </w:rPr>
        <w:t xml:space="preserve"> </w:t>
      </w:r>
      <w:r w:rsidRPr="005C1B1B">
        <w:rPr>
          <w:rFonts w:ascii="Arial" w:eastAsia="Calibri" w:hAnsi="Arial" w:cs="Arial"/>
          <w:color w:val="000000" w:themeColor="text1"/>
          <w:sz w:val="20"/>
          <w:szCs w:val="20"/>
          <w:lang w:val="en-GB"/>
        </w:rPr>
        <w:t>on the</w:t>
      </w:r>
      <w:r w:rsidRPr="005C1B1B">
        <w:rPr>
          <w:rFonts w:ascii="Arial" w:eastAsia="Calibri" w:hAnsi="Arial" w:cs="Arial"/>
          <w:b/>
          <w:color w:val="000000" w:themeColor="text1"/>
          <w:sz w:val="20"/>
          <w:szCs w:val="20"/>
          <w:lang w:val="en-GB"/>
        </w:rPr>
        <w:t xml:space="preserve"> </w:t>
      </w:r>
      <w:r w:rsidRPr="005C1B1B">
        <w:rPr>
          <w:rFonts w:ascii="Arial" w:eastAsia="Calibri" w:hAnsi="Arial" w:cs="Arial"/>
          <w:color w:val="000000" w:themeColor="text1"/>
          <w:sz w:val="20"/>
          <w:szCs w:val="20"/>
          <w:lang w:val="en-GB"/>
        </w:rPr>
        <w:t>CoE</w:t>
      </w:r>
      <w:r w:rsidRPr="005C1B1B">
        <w:rPr>
          <w:rFonts w:ascii="Arial" w:eastAsia="Calibri" w:hAnsi="Arial" w:cs="Arial"/>
          <w:b/>
          <w:color w:val="000000" w:themeColor="text1"/>
          <w:sz w:val="20"/>
          <w:szCs w:val="20"/>
          <w:lang w:val="en-GB"/>
        </w:rPr>
        <w:t xml:space="preserve"> </w:t>
      </w:r>
      <w:r w:rsidRPr="005C1B1B">
        <w:rPr>
          <w:rFonts w:ascii="Arial" w:eastAsia="Calibri" w:hAnsi="Arial" w:cs="Arial"/>
          <w:color w:val="000000" w:themeColor="text1"/>
          <w:sz w:val="20"/>
          <w:szCs w:val="20"/>
          <w:lang w:val="en-GB"/>
        </w:rPr>
        <w:t>and</w:t>
      </w:r>
      <w:r w:rsidRPr="005C1B1B">
        <w:rPr>
          <w:rFonts w:ascii="Arial" w:eastAsia="Calibri" w:hAnsi="Arial" w:cs="Arial"/>
          <w:b/>
          <w:color w:val="000000" w:themeColor="text1"/>
          <w:sz w:val="20"/>
          <w:szCs w:val="20"/>
          <w:lang w:val="en-GB"/>
        </w:rPr>
        <w:t xml:space="preserve"> </w:t>
      </w:r>
      <w:r w:rsidRPr="005C1B1B">
        <w:rPr>
          <w:rFonts w:ascii="Arial" w:eastAsia="Calibri" w:hAnsi="Arial" w:cs="Arial"/>
          <w:color w:val="000000" w:themeColor="text1"/>
          <w:sz w:val="20"/>
          <w:szCs w:val="20"/>
          <w:lang w:val="en-GB"/>
        </w:rPr>
        <w:t>on Goods and Services “for the bulk procurement of laptops and legal services”, as well as less than anticipated travelling.</w:t>
      </w:r>
      <w:r w:rsidRPr="005C1B1B">
        <w:rPr>
          <w:rFonts w:ascii="Arial" w:eastAsia="Calibri" w:hAnsi="Arial" w:cs="Arial"/>
          <w:color w:val="000000" w:themeColor="text1"/>
          <w:sz w:val="20"/>
          <w:szCs w:val="20"/>
          <w:vertAlign w:val="superscript"/>
          <w:lang w:val="en-GB"/>
        </w:rPr>
        <w:footnoteReference w:id="5"/>
      </w:r>
    </w:p>
    <w:p w:rsidR="00611B06" w:rsidRPr="005C1B1B" w:rsidRDefault="00611B06" w:rsidP="005C1B1B">
      <w:pPr>
        <w:keepNext/>
        <w:keepLines/>
        <w:spacing w:after="0" w:line="240" w:lineRule="auto"/>
        <w:outlineLvl w:val="1"/>
        <w:rPr>
          <w:rFonts w:ascii="Arial" w:eastAsia="Times New Roman" w:hAnsi="Arial" w:cs="Arial"/>
          <w:b/>
          <w:color w:val="000000" w:themeColor="text1"/>
          <w:sz w:val="20"/>
          <w:szCs w:val="20"/>
          <w:lang w:val="en-GB"/>
        </w:rPr>
      </w:pPr>
    </w:p>
    <w:p w:rsidR="00611B06" w:rsidRPr="005C1B1B" w:rsidRDefault="00611B06" w:rsidP="005C1B1B">
      <w:pPr>
        <w:keepNext/>
        <w:keepLines/>
        <w:spacing w:after="0" w:line="240" w:lineRule="auto"/>
        <w:outlineLvl w:val="1"/>
        <w:rPr>
          <w:rFonts w:ascii="Arial" w:eastAsia="Times New Roman" w:hAnsi="Arial" w:cs="Arial"/>
          <w:b/>
          <w:color w:val="000000" w:themeColor="text1"/>
          <w:sz w:val="20"/>
          <w:szCs w:val="20"/>
          <w:lang w:val="en-GB"/>
        </w:rPr>
      </w:pPr>
      <w:bookmarkStart w:id="3" w:name="_Toc118982110"/>
      <w:r w:rsidRPr="005C1B1B">
        <w:rPr>
          <w:rFonts w:ascii="Arial" w:eastAsia="Times New Roman" w:hAnsi="Arial" w:cs="Arial"/>
          <w:b/>
          <w:color w:val="000000" w:themeColor="text1"/>
          <w:sz w:val="20"/>
          <w:szCs w:val="20"/>
          <w:lang w:val="en-GB"/>
        </w:rPr>
        <w:t>2.</w:t>
      </w:r>
      <w:r w:rsidR="0062548D" w:rsidRPr="005C1B1B">
        <w:rPr>
          <w:rFonts w:ascii="Arial" w:eastAsia="Times New Roman" w:hAnsi="Arial" w:cs="Arial"/>
          <w:b/>
          <w:color w:val="000000" w:themeColor="text1"/>
          <w:sz w:val="20"/>
          <w:szCs w:val="20"/>
          <w:lang w:val="en-GB"/>
        </w:rPr>
        <w:t>1.</w:t>
      </w:r>
      <w:r w:rsidRPr="005C1B1B">
        <w:rPr>
          <w:rFonts w:ascii="Arial" w:eastAsia="Times New Roman" w:hAnsi="Arial" w:cs="Arial"/>
          <w:b/>
          <w:color w:val="000000" w:themeColor="text1"/>
          <w:sz w:val="20"/>
          <w:szCs w:val="20"/>
          <w:lang w:val="en-GB"/>
        </w:rPr>
        <w:t xml:space="preserve">2 </w:t>
      </w:r>
      <w:r w:rsidR="003218B9" w:rsidRPr="005C1B1B">
        <w:rPr>
          <w:rFonts w:ascii="Arial" w:eastAsia="Times New Roman" w:hAnsi="Arial" w:cs="Arial"/>
          <w:b/>
          <w:color w:val="000000" w:themeColor="text1"/>
          <w:sz w:val="20"/>
          <w:szCs w:val="20"/>
          <w:lang w:val="en-GB"/>
        </w:rPr>
        <w:t xml:space="preserve">      </w:t>
      </w:r>
      <w:r w:rsidRPr="005C1B1B">
        <w:rPr>
          <w:rFonts w:ascii="Arial" w:eastAsia="Times New Roman" w:hAnsi="Arial" w:cs="Arial"/>
          <w:b/>
          <w:color w:val="000000" w:themeColor="text1"/>
          <w:sz w:val="20"/>
          <w:szCs w:val="20"/>
          <w:lang w:val="en-GB"/>
        </w:rPr>
        <w:t>Programme 2: Integrated Transport Planning</w:t>
      </w:r>
      <w:bookmarkEnd w:id="3"/>
    </w:p>
    <w:p w:rsidR="000D71E2" w:rsidRPr="005C1B1B" w:rsidRDefault="000D71E2" w:rsidP="005C1B1B">
      <w:pPr>
        <w:spacing w:after="0" w:line="240" w:lineRule="auto"/>
        <w:rPr>
          <w:rFonts w:ascii="Arial" w:eastAsia="Calibri" w:hAnsi="Arial" w:cs="Arial"/>
          <w:color w:val="000000" w:themeColor="text1"/>
          <w:sz w:val="20"/>
          <w:szCs w:val="20"/>
          <w:lang w:val="en-GB"/>
        </w:rPr>
      </w:pPr>
    </w:p>
    <w:p w:rsidR="00611B06" w:rsidRPr="005C1B1B" w:rsidRDefault="00611B06" w:rsidP="005C1B1B">
      <w:pPr>
        <w:spacing w:after="0" w:line="240" w:lineRule="auto"/>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In the Integrated Transport Planning programme, the Department spent R34 million against the Second Quarter projection of R36.8 million. The delay in the expenditure of 7.7%, equivalent to R2.8 million, was due to</w:t>
      </w:r>
      <w:r w:rsidRPr="005C1B1B">
        <w:rPr>
          <w:rFonts w:ascii="Arial" w:eastAsia="Calibri" w:hAnsi="Arial" w:cs="Arial"/>
          <w:b/>
          <w:color w:val="000000" w:themeColor="text1"/>
          <w:sz w:val="20"/>
          <w:szCs w:val="20"/>
          <w:lang w:val="en-GB"/>
        </w:rPr>
        <w:t xml:space="preserve"> </w:t>
      </w:r>
      <w:r w:rsidRPr="005C1B1B">
        <w:rPr>
          <w:rFonts w:ascii="Arial" w:eastAsia="Calibri" w:hAnsi="Arial" w:cs="Arial"/>
          <w:color w:val="000000" w:themeColor="text1"/>
          <w:sz w:val="20"/>
          <w:szCs w:val="20"/>
          <w:lang w:val="en-GB"/>
        </w:rPr>
        <w:t>the slow progress on the</w:t>
      </w:r>
      <w:r w:rsidRPr="005C1B1B">
        <w:rPr>
          <w:rFonts w:ascii="Arial" w:eastAsia="Calibri" w:hAnsi="Arial" w:cs="Arial"/>
          <w:b/>
          <w:color w:val="000000" w:themeColor="text1"/>
          <w:sz w:val="20"/>
          <w:szCs w:val="20"/>
          <w:lang w:val="en-GB"/>
        </w:rPr>
        <w:t xml:space="preserve"> </w:t>
      </w:r>
      <w:r w:rsidRPr="005C1B1B">
        <w:rPr>
          <w:rFonts w:ascii="Arial" w:eastAsia="Calibri" w:hAnsi="Arial" w:cs="Arial"/>
          <w:color w:val="000000" w:themeColor="text1"/>
          <w:sz w:val="20"/>
          <w:szCs w:val="20"/>
          <w:lang w:val="en-GB"/>
        </w:rPr>
        <w:t>Regional Corridor Strategy</w:t>
      </w:r>
      <w:r w:rsidRPr="005C1B1B">
        <w:rPr>
          <w:rFonts w:ascii="Arial" w:eastAsia="Calibri" w:hAnsi="Arial" w:cs="Arial"/>
          <w:b/>
          <w:color w:val="000000" w:themeColor="text1"/>
          <w:sz w:val="20"/>
          <w:szCs w:val="20"/>
          <w:lang w:val="en-GB"/>
        </w:rPr>
        <w:t xml:space="preserve"> </w:t>
      </w:r>
      <w:r w:rsidRPr="005C1B1B">
        <w:rPr>
          <w:rFonts w:ascii="Arial" w:eastAsia="Calibri" w:hAnsi="Arial" w:cs="Arial"/>
          <w:color w:val="000000" w:themeColor="text1"/>
          <w:sz w:val="20"/>
          <w:szCs w:val="20"/>
          <w:lang w:val="en-GB"/>
        </w:rPr>
        <w:t>and the</w:t>
      </w:r>
      <w:r w:rsidRPr="005C1B1B">
        <w:rPr>
          <w:rFonts w:ascii="Arial" w:eastAsia="Calibri" w:hAnsi="Arial" w:cs="Arial"/>
          <w:b/>
          <w:color w:val="000000" w:themeColor="text1"/>
          <w:sz w:val="20"/>
          <w:szCs w:val="20"/>
          <w:lang w:val="en-GB"/>
        </w:rPr>
        <w:t xml:space="preserve"> </w:t>
      </w:r>
      <w:r w:rsidRPr="005C1B1B">
        <w:rPr>
          <w:rFonts w:ascii="Arial" w:eastAsia="Calibri" w:hAnsi="Arial" w:cs="Arial"/>
          <w:color w:val="000000" w:themeColor="text1"/>
          <w:sz w:val="20"/>
          <w:szCs w:val="20"/>
          <w:lang w:val="en-GB"/>
        </w:rPr>
        <w:t>Autonomous Vehicles Regulations.</w:t>
      </w:r>
      <w:r w:rsidRPr="005C1B1B">
        <w:rPr>
          <w:rFonts w:ascii="Arial" w:eastAsia="Calibri" w:hAnsi="Arial" w:cs="Arial"/>
          <w:color w:val="000000" w:themeColor="text1"/>
          <w:sz w:val="20"/>
          <w:szCs w:val="20"/>
          <w:vertAlign w:val="superscript"/>
          <w:lang w:val="en-GB"/>
        </w:rPr>
        <w:footnoteReference w:id="6"/>
      </w:r>
      <w:r w:rsidRPr="005C1B1B">
        <w:rPr>
          <w:rFonts w:ascii="Arial" w:eastAsia="Calibri" w:hAnsi="Arial" w:cs="Arial"/>
          <w:color w:val="000000" w:themeColor="text1"/>
          <w:sz w:val="20"/>
          <w:szCs w:val="20"/>
          <w:lang w:val="en-GB"/>
        </w:rPr>
        <w:t xml:space="preserve"> </w:t>
      </w:r>
    </w:p>
    <w:p w:rsidR="00611B06" w:rsidRPr="005C1B1B" w:rsidRDefault="00611B06" w:rsidP="005C1B1B">
      <w:pPr>
        <w:spacing w:after="0" w:line="240" w:lineRule="auto"/>
        <w:rPr>
          <w:rFonts w:ascii="Arial" w:eastAsia="Calibri" w:hAnsi="Arial" w:cs="Arial"/>
          <w:color w:val="000000" w:themeColor="text1"/>
          <w:sz w:val="20"/>
          <w:szCs w:val="20"/>
          <w:lang w:val="en-GB"/>
        </w:rPr>
      </w:pPr>
    </w:p>
    <w:p w:rsidR="00611B06" w:rsidRPr="005C1B1B" w:rsidRDefault="00611B06" w:rsidP="005C1B1B">
      <w:pPr>
        <w:keepNext/>
        <w:keepLines/>
        <w:spacing w:after="0" w:line="240" w:lineRule="auto"/>
        <w:outlineLvl w:val="1"/>
        <w:rPr>
          <w:rFonts w:ascii="Arial" w:eastAsia="Times New Roman" w:hAnsi="Arial" w:cs="Arial"/>
          <w:b/>
          <w:color w:val="000000" w:themeColor="text1"/>
          <w:sz w:val="20"/>
          <w:szCs w:val="20"/>
          <w:lang w:val="en-GB"/>
        </w:rPr>
      </w:pPr>
      <w:bookmarkStart w:id="4" w:name="_Toc118982111"/>
      <w:r w:rsidRPr="005C1B1B">
        <w:rPr>
          <w:rFonts w:ascii="Arial" w:eastAsia="Times New Roman" w:hAnsi="Arial" w:cs="Arial"/>
          <w:b/>
          <w:color w:val="000000" w:themeColor="text1"/>
          <w:sz w:val="20"/>
          <w:szCs w:val="20"/>
          <w:lang w:val="en-GB"/>
        </w:rPr>
        <w:t>2.</w:t>
      </w:r>
      <w:r w:rsidR="0062548D" w:rsidRPr="005C1B1B">
        <w:rPr>
          <w:rFonts w:ascii="Arial" w:eastAsia="Times New Roman" w:hAnsi="Arial" w:cs="Arial"/>
          <w:b/>
          <w:color w:val="000000" w:themeColor="text1"/>
          <w:sz w:val="20"/>
          <w:szCs w:val="20"/>
          <w:lang w:val="en-GB"/>
        </w:rPr>
        <w:t>1.</w:t>
      </w:r>
      <w:r w:rsidRPr="005C1B1B">
        <w:rPr>
          <w:rFonts w:ascii="Arial" w:eastAsia="Times New Roman" w:hAnsi="Arial" w:cs="Arial"/>
          <w:b/>
          <w:color w:val="000000" w:themeColor="text1"/>
          <w:sz w:val="20"/>
          <w:szCs w:val="20"/>
          <w:lang w:val="en-GB"/>
        </w:rPr>
        <w:t xml:space="preserve">3 </w:t>
      </w:r>
      <w:r w:rsidR="003218B9" w:rsidRPr="005C1B1B">
        <w:rPr>
          <w:rFonts w:ascii="Arial" w:eastAsia="Times New Roman" w:hAnsi="Arial" w:cs="Arial"/>
          <w:b/>
          <w:color w:val="000000" w:themeColor="text1"/>
          <w:sz w:val="20"/>
          <w:szCs w:val="20"/>
          <w:lang w:val="en-GB"/>
        </w:rPr>
        <w:t xml:space="preserve">    </w:t>
      </w:r>
      <w:r w:rsidRPr="005C1B1B">
        <w:rPr>
          <w:rFonts w:ascii="Arial" w:eastAsia="Times New Roman" w:hAnsi="Arial" w:cs="Arial"/>
          <w:b/>
          <w:color w:val="000000" w:themeColor="text1"/>
          <w:sz w:val="20"/>
          <w:szCs w:val="20"/>
          <w:lang w:val="en-GB"/>
        </w:rPr>
        <w:t>Programme 3: Rail Transport</w:t>
      </w:r>
      <w:bookmarkEnd w:id="4"/>
    </w:p>
    <w:p w:rsidR="000D71E2" w:rsidRPr="005C1B1B" w:rsidRDefault="000D71E2" w:rsidP="005C1B1B">
      <w:pPr>
        <w:spacing w:after="0" w:line="240" w:lineRule="auto"/>
        <w:rPr>
          <w:rFonts w:ascii="Arial" w:eastAsia="Calibri" w:hAnsi="Arial" w:cs="Arial"/>
          <w:color w:val="000000" w:themeColor="text1"/>
          <w:sz w:val="20"/>
          <w:szCs w:val="20"/>
          <w:lang w:val="en-GB"/>
        </w:rPr>
      </w:pPr>
    </w:p>
    <w:p w:rsidR="00611B06" w:rsidRPr="005C1B1B" w:rsidRDefault="00611B06" w:rsidP="005C1B1B">
      <w:pPr>
        <w:spacing w:after="0" w:line="240" w:lineRule="auto"/>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The Department spent R10.02 billion against the Second Quarter projection of R10.04 billion in the Rail Transport programme. The delay in the spending of 0.2%, equivalent to R16.1 million was owing to slow expenditure on Goods and Services for projects such as the establishment of the Interim Rail Economic Regulator and the CoE.</w:t>
      </w:r>
      <w:r w:rsidRPr="005C1B1B">
        <w:rPr>
          <w:rFonts w:ascii="Arial" w:eastAsia="Calibri" w:hAnsi="Arial" w:cs="Arial"/>
          <w:color w:val="000000" w:themeColor="text1"/>
          <w:sz w:val="20"/>
          <w:szCs w:val="20"/>
          <w:vertAlign w:val="superscript"/>
          <w:lang w:val="en-GB"/>
        </w:rPr>
        <w:footnoteReference w:id="7"/>
      </w:r>
    </w:p>
    <w:p w:rsidR="00611B06" w:rsidRPr="005C1B1B" w:rsidRDefault="00611B06" w:rsidP="005C1B1B">
      <w:pPr>
        <w:spacing w:after="0" w:line="240" w:lineRule="auto"/>
        <w:rPr>
          <w:rFonts w:ascii="Arial" w:eastAsia="Calibri" w:hAnsi="Arial" w:cs="Arial"/>
          <w:color w:val="000000" w:themeColor="text1"/>
          <w:sz w:val="20"/>
          <w:szCs w:val="20"/>
          <w:lang w:val="en-GB"/>
        </w:rPr>
      </w:pPr>
    </w:p>
    <w:p w:rsidR="00611B06" w:rsidRPr="005C1B1B" w:rsidRDefault="00611B06" w:rsidP="005C1B1B">
      <w:pPr>
        <w:keepNext/>
        <w:keepLines/>
        <w:spacing w:after="0" w:line="240" w:lineRule="auto"/>
        <w:outlineLvl w:val="1"/>
        <w:rPr>
          <w:rFonts w:ascii="Arial" w:eastAsia="Times New Roman" w:hAnsi="Arial" w:cs="Arial"/>
          <w:b/>
          <w:color w:val="000000" w:themeColor="text1"/>
          <w:sz w:val="20"/>
          <w:szCs w:val="20"/>
          <w:lang w:val="en-GB"/>
        </w:rPr>
      </w:pPr>
      <w:bookmarkStart w:id="5" w:name="_Toc118982112"/>
      <w:r w:rsidRPr="005C1B1B">
        <w:rPr>
          <w:rFonts w:ascii="Arial" w:eastAsia="Times New Roman" w:hAnsi="Arial" w:cs="Arial"/>
          <w:b/>
          <w:color w:val="000000" w:themeColor="text1"/>
          <w:sz w:val="20"/>
          <w:szCs w:val="20"/>
          <w:lang w:val="en-GB"/>
        </w:rPr>
        <w:t>2.</w:t>
      </w:r>
      <w:r w:rsidR="0062548D" w:rsidRPr="005C1B1B">
        <w:rPr>
          <w:rFonts w:ascii="Arial" w:eastAsia="Times New Roman" w:hAnsi="Arial" w:cs="Arial"/>
          <w:b/>
          <w:color w:val="000000" w:themeColor="text1"/>
          <w:sz w:val="20"/>
          <w:szCs w:val="20"/>
          <w:lang w:val="en-GB"/>
        </w:rPr>
        <w:t>1.</w:t>
      </w:r>
      <w:r w:rsidRPr="005C1B1B">
        <w:rPr>
          <w:rFonts w:ascii="Arial" w:eastAsia="Times New Roman" w:hAnsi="Arial" w:cs="Arial"/>
          <w:b/>
          <w:color w:val="000000" w:themeColor="text1"/>
          <w:sz w:val="20"/>
          <w:szCs w:val="20"/>
          <w:lang w:val="en-GB"/>
        </w:rPr>
        <w:t xml:space="preserve">4 </w:t>
      </w:r>
      <w:r w:rsidR="003218B9" w:rsidRPr="005C1B1B">
        <w:rPr>
          <w:rFonts w:ascii="Arial" w:eastAsia="Times New Roman" w:hAnsi="Arial" w:cs="Arial"/>
          <w:b/>
          <w:color w:val="000000" w:themeColor="text1"/>
          <w:sz w:val="20"/>
          <w:szCs w:val="20"/>
          <w:lang w:val="en-GB"/>
        </w:rPr>
        <w:t xml:space="preserve">    </w:t>
      </w:r>
      <w:r w:rsidRPr="005C1B1B">
        <w:rPr>
          <w:rFonts w:ascii="Arial" w:eastAsia="Times New Roman" w:hAnsi="Arial" w:cs="Arial"/>
          <w:b/>
          <w:color w:val="000000" w:themeColor="text1"/>
          <w:sz w:val="20"/>
          <w:szCs w:val="20"/>
          <w:lang w:val="en-GB"/>
        </w:rPr>
        <w:t>Programme 4: Road Transport</w:t>
      </w:r>
      <w:bookmarkEnd w:id="5"/>
    </w:p>
    <w:p w:rsidR="000D71E2" w:rsidRPr="005C1B1B" w:rsidRDefault="000D71E2" w:rsidP="005C1B1B">
      <w:pPr>
        <w:spacing w:after="0" w:line="240" w:lineRule="auto"/>
        <w:rPr>
          <w:rFonts w:ascii="Arial" w:eastAsia="Calibri" w:hAnsi="Arial" w:cs="Arial"/>
          <w:color w:val="000000" w:themeColor="text1"/>
          <w:sz w:val="20"/>
          <w:szCs w:val="20"/>
          <w:lang w:val="en-GB"/>
        </w:rPr>
      </w:pPr>
    </w:p>
    <w:p w:rsidR="00611B06" w:rsidRPr="005C1B1B" w:rsidRDefault="00611B06" w:rsidP="005C1B1B">
      <w:pPr>
        <w:spacing w:after="0" w:line="240" w:lineRule="auto"/>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In the Road Transport programme, the Department spent R18.40 billion against the Second Quarter projection of R18.43 billion, indicating a delay in spending of 0.2% – equivalent to R32.2 million. Slower spending was largely attributed to the outstanding payment to the</w:t>
      </w:r>
      <w:r w:rsidRPr="005C1B1B">
        <w:rPr>
          <w:rFonts w:ascii="Arial" w:eastAsia="Calibri" w:hAnsi="Arial" w:cs="Arial"/>
          <w:b/>
          <w:color w:val="000000" w:themeColor="text1"/>
          <w:sz w:val="20"/>
          <w:szCs w:val="20"/>
          <w:lang w:val="en-GB"/>
        </w:rPr>
        <w:t xml:space="preserve"> </w:t>
      </w:r>
      <w:r w:rsidRPr="005C1B1B">
        <w:rPr>
          <w:rFonts w:ascii="Arial" w:eastAsia="Calibri" w:hAnsi="Arial" w:cs="Arial"/>
          <w:color w:val="000000" w:themeColor="text1"/>
          <w:sz w:val="20"/>
          <w:szCs w:val="20"/>
          <w:lang w:val="en-GB"/>
        </w:rPr>
        <w:t xml:space="preserve">Road Traffic Infringement Agency </w:t>
      </w:r>
      <w:r w:rsidRPr="005C1B1B">
        <w:rPr>
          <w:rFonts w:ascii="Arial" w:eastAsia="Calibri" w:hAnsi="Arial" w:cs="Arial"/>
          <w:color w:val="000000" w:themeColor="text1"/>
          <w:sz w:val="20"/>
          <w:szCs w:val="20"/>
          <w:lang w:val="en-GB"/>
        </w:rPr>
        <w:lastRenderedPageBreak/>
        <w:t>(RTIA)</w:t>
      </w:r>
      <w:r w:rsidRPr="005C1B1B">
        <w:rPr>
          <w:rFonts w:ascii="Arial" w:eastAsia="Calibri" w:hAnsi="Arial" w:cs="Arial"/>
          <w:b/>
          <w:color w:val="000000" w:themeColor="text1"/>
          <w:sz w:val="20"/>
          <w:szCs w:val="20"/>
          <w:lang w:val="en-GB"/>
        </w:rPr>
        <w:t xml:space="preserve"> </w:t>
      </w:r>
      <w:r w:rsidRPr="005C1B1B">
        <w:rPr>
          <w:rFonts w:ascii="Arial" w:eastAsia="Calibri" w:hAnsi="Arial" w:cs="Arial"/>
          <w:color w:val="000000" w:themeColor="text1"/>
          <w:sz w:val="20"/>
          <w:szCs w:val="20"/>
          <w:lang w:val="en-GB"/>
        </w:rPr>
        <w:t>for operations and the Administrative Adjudication of Road Traffic Offences (AARTO) rollout, as well as the delayed invoice for the Road Traffic Management Corporation (RTMC).</w:t>
      </w:r>
      <w:r w:rsidRPr="005C1B1B">
        <w:rPr>
          <w:rFonts w:ascii="Arial" w:eastAsia="Calibri" w:hAnsi="Arial" w:cs="Arial"/>
          <w:color w:val="000000" w:themeColor="text1"/>
          <w:sz w:val="20"/>
          <w:szCs w:val="20"/>
          <w:vertAlign w:val="superscript"/>
          <w:lang w:val="en-GB"/>
        </w:rPr>
        <w:footnoteReference w:id="8"/>
      </w:r>
      <w:r w:rsidRPr="005C1B1B">
        <w:rPr>
          <w:rFonts w:ascii="Arial" w:eastAsia="Calibri" w:hAnsi="Arial" w:cs="Arial"/>
          <w:color w:val="000000" w:themeColor="text1"/>
          <w:sz w:val="20"/>
          <w:szCs w:val="20"/>
          <w:lang w:val="en-GB"/>
        </w:rPr>
        <w:t xml:space="preserve"> Additional delays emanated from slow spending on the </w:t>
      </w:r>
      <w:r w:rsidRPr="005C1B1B">
        <w:rPr>
          <w:rFonts w:ascii="Arial" w:eastAsia="Calibri" w:hAnsi="Arial" w:cs="Arial"/>
          <w:i/>
          <w:color w:val="000000" w:themeColor="text1"/>
          <w:sz w:val="20"/>
          <w:szCs w:val="20"/>
          <w:lang w:val="en-GB"/>
        </w:rPr>
        <w:t>S’hamba Sonke</w:t>
      </w:r>
      <w:r w:rsidRPr="005C1B1B">
        <w:rPr>
          <w:rFonts w:ascii="Arial" w:eastAsia="Calibri" w:hAnsi="Arial" w:cs="Arial"/>
          <w:color w:val="000000" w:themeColor="text1"/>
          <w:sz w:val="20"/>
          <w:szCs w:val="20"/>
          <w:lang w:val="en-GB"/>
        </w:rPr>
        <w:t xml:space="preserve"> programme and the Development of the Road Disaster Management Plan</w:t>
      </w:r>
      <w:r w:rsidRPr="005C1B1B">
        <w:rPr>
          <w:rFonts w:ascii="Arial" w:eastAsia="Calibri" w:hAnsi="Arial" w:cs="Arial"/>
          <w:b/>
          <w:color w:val="000000" w:themeColor="text1"/>
          <w:sz w:val="20"/>
          <w:szCs w:val="20"/>
          <w:lang w:val="en-GB"/>
        </w:rPr>
        <w:t>.</w:t>
      </w:r>
      <w:r w:rsidRPr="005C1B1B">
        <w:rPr>
          <w:rFonts w:ascii="Arial" w:eastAsia="Calibri" w:hAnsi="Arial" w:cs="Arial"/>
          <w:color w:val="000000" w:themeColor="text1"/>
          <w:sz w:val="20"/>
          <w:szCs w:val="20"/>
          <w:vertAlign w:val="superscript"/>
          <w:lang w:val="en-GB"/>
        </w:rPr>
        <w:footnoteReference w:id="9"/>
      </w:r>
    </w:p>
    <w:p w:rsidR="00611B06" w:rsidRPr="005C1B1B" w:rsidRDefault="00611B06" w:rsidP="005C1B1B">
      <w:pPr>
        <w:spacing w:after="0" w:line="240" w:lineRule="auto"/>
        <w:rPr>
          <w:rFonts w:ascii="Arial" w:eastAsia="Calibri" w:hAnsi="Arial" w:cs="Arial"/>
          <w:color w:val="000000" w:themeColor="text1"/>
          <w:sz w:val="20"/>
          <w:szCs w:val="20"/>
          <w:lang w:val="en-GB"/>
        </w:rPr>
      </w:pPr>
    </w:p>
    <w:p w:rsidR="00611B06" w:rsidRPr="005C1B1B" w:rsidRDefault="00611B06" w:rsidP="005C1B1B">
      <w:pPr>
        <w:keepNext/>
        <w:keepLines/>
        <w:spacing w:after="0" w:line="240" w:lineRule="auto"/>
        <w:outlineLvl w:val="1"/>
        <w:rPr>
          <w:rFonts w:ascii="Arial" w:eastAsia="Times New Roman" w:hAnsi="Arial" w:cs="Arial"/>
          <w:b/>
          <w:color w:val="000000" w:themeColor="text1"/>
          <w:sz w:val="20"/>
          <w:szCs w:val="20"/>
          <w:lang w:val="en-GB"/>
        </w:rPr>
      </w:pPr>
      <w:bookmarkStart w:id="6" w:name="_Toc118982113"/>
      <w:r w:rsidRPr="005C1B1B">
        <w:rPr>
          <w:rFonts w:ascii="Arial" w:eastAsia="Times New Roman" w:hAnsi="Arial" w:cs="Arial"/>
          <w:b/>
          <w:color w:val="000000" w:themeColor="text1"/>
          <w:sz w:val="20"/>
          <w:szCs w:val="20"/>
          <w:lang w:val="en-GB"/>
        </w:rPr>
        <w:t>2.</w:t>
      </w:r>
      <w:r w:rsidR="0062548D" w:rsidRPr="005C1B1B">
        <w:rPr>
          <w:rFonts w:ascii="Arial" w:eastAsia="Times New Roman" w:hAnsi="Arial" w:cs="Arial"/>
          <w:b/>
          <w:color w:val="000000" w:themeColor="text1"/>
          <w:sz w:val="20"/>
          <w:szCs w:val="20"/>
          <w:lang w:val="en-GB"/>
        </w:rPr>
        <w:t>1.</w:t>
      </w:r>
      <w:r w:rsidRPr="005C1B1B">
        <w:rPr>
          <w:rFonts w:ascii="Arial" w:eastAsia="Times New Roman" w:hAnsi="Arial" w:cs="Arial"/>
          <w:b/>
          <w:color w:val="000000" w:themeColor="text1"/>
          <w:sz w:val="20"/>
          <w:szCs w:val="20"/>
          <w:lang w:val="en-GB"/>
        </w:rPr>
        <w:t xml:space="preserve">5 </w:t>
      </w:r>
      <w:r w:rsidR="003218B9" w:rsidRPr="005C1B1B">
        <w:rPr>
          <w:rFonts w:ascii="Arial" w:eastAsia="Times New Roman" w:hAnsi="Arial" w:cs="Arial"/>
          <w:b/>
          <w:color w:val="000000" w:themeColor="text1"/>
          <w:sz w:val="20"/>
          <w:szCs w:val="20"/>
          <w:lang w:val="en-GB"/>
        </w:rPr>
        <w:t xml:space="preserve">    </w:t>
      </w:r>
      <w:r w:rsidRPr="005C1B1B">
        <w:rPr>
          <w:rFonts w:ascii="Arial" w:eastAsia="Times New Roman" w:hAnsi="Arial" w:cs="Arial"/>
          <w:b/>
          <w:color w:val="000000" w:themeColor="text1"/>
          <w:sz w:val="20"/>
          <w:szCs w:val="20"/>
          <w:lang w:val="en-GB"/>
        </w:rPr>
        <w:t>Programme 5: Civil Aviation Transport</w:t>
      </w:r>
      <w:bookmarkEnd w:id="6"/>
    </w:p>
    <w:p w:rsidR="000D71E2" w:rsidRPr="005C1B1B" w:rsidRDefault="000D71E2" w:rsidP="005C1B1B">
      <w:pPr>
        <w:spacing w:after="0" w:line="240" w:lineRule="auto"/>
        <w:rPr>
          <w:rFonts w:ascii="Arial" w:eastAsia="Calibri" w:hAnsi="Arial" w:cs="Arial"/>
          <w:color w:val="000000" w:themeColor="text1"/>
          <w:sz w:val="20"/>
          <w:szCs w:val="20"/>
          <w:lang w:val="en-GB"/>
        </w:rPr>
      </w:pPr>
    </w:p>
    <w:p w:rsidR="00611B06" w:rsidRPr="005C1B1B" w:rsidRDefault="00611B06" w:rsidP="005C1B1B">
      <w:pPr>
        <w:spacing w:after="0" w:line="240" w:lineRule="auto"/>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The Department spent R198.3 million against the Second Quarter projection of R209.3 million, translating into a delay in planned spending of 5.2% – equivalent to R11 million. The delay in expenditure was mainly on the CoE and on Goods and Services</w:t>
      </w:r>
      <w:r w:rsidRPr="005C1B1B">
        <w:rPr>
          <w:rFonts w:ascii="Arial" w:eastAsia="Calibri" w:hAnsi="Arial" w:cs="Arial"/>
          <w:b/>
          <w:color w:val="000000" w:themeColor="text1"/>
          <w:sz w:val="20"/>
          <w:szCs w:val="20"/>
          <w:lang w:val="en-GB"/>
        </w:rPr>
        <w:t xml:space="preserve"> </w:t>
      </w:r>
      <w:r w:rsidRPr="005C1B1B">
        <w:rPr>
          <w:rFonts w:ascii="Arial" w:eastAsia="Calibri" w:hAnsi="Arial" w:cs="Arial"/>
          <w:color w:val="000000" w:themeColor="text1"/>
          <w:sz w:val="20"/>
          <w:szCs w:val="20"/>
          <w:lang w:val="en-GB"/>
        </w:rPr>
        <w:t>for projects such as the National Aviation Transformation Strategy and the Review of the Airlift Strategy Implementation.</w:t>
      </w:r>
      <w:r w:rsidRPr="005C1B1B">
        <w:rPr>
          <w:rFonts w:ascii="Arial" w:eastAsia="Calibri" w:hAnsi="Arial" w:cs="Arial"/>
          <w:color w:val="000000" w:themeColor="text1"/>
          <w:sz w:val="20"/>
          <w:szCs w:val="20"/>
          <w:vertAlign w:val="superscript"/>
          <w:lang w:val="en-GB"/>
        </w:rPr>
        <w:footnoteReference w:id="10"/>
      </w:r>
    </w:p>
    <w:p w:rsidR="00CF1822" w:rsidRPr="005C1B1B" w:rsidRDefault="00CF1822" w:rsidP="005C1B1B">
      <w:pPr>
        <w:spacing w:after="0" w:line="240" w:lineRule="auto"/>
        <w:rPr>
          <w:rFonts w:ascii="Arial" w:eastAsia="Calibri" w:hAnsi="Arial" w:cs="Arial"/>
          <w:color w:val="000000" w:themeColor="text1"/>
          <w:sz w:val="20"/>
          <w:szCs w:val="20"/>
          <w:lang w:val="en-GB"/>
        </w:rPr>
      </w:pPr>
    </w:p>
    <w:p w:rsidR="00611B06" w:rsidRPr="005C1B1B" w:rsidRDefault="00611B06" w:rsidP="005C1B1B">
      <w:pPr>
        <w:keepNext/>
        <w:keepLines/>
        <w:spacing w:after="0" w:line="240" w:lineRule="auto"/>
        <w:outlineLvl w:val="1"/>
        <w:rPr>
          <w:rFonts w:ascii="Arial" w:eastAsia="Times New Roman" w:hAnsi="Arial" w:cs="Arial"/>
          <w:b/>
          <w:color w:val="000000" w:themeColor="text1"/>
          <w:sz w:val="20"/>
          <w:szCs w:val="20"/>
          <w:lang w:val="en-GB"/>
        </w:rPr>
      </w:pPr>
      <w:bookmarkStart w:id="7" w:name="_Toc118982114"/>
      <w:r w:rsidRPr="005C1B1B">
        <w:rPr>
          <w:rFonts w:ascii="Arial" w:eastAsia="Times New Roman" w:hAnsi="Arial" w:cs="Arial"/>
          <w:b/>
          <w:color w:val="000000" w:themeColor="text1"/>
          <w:sz w:val="20"/>
          <w:szCs w:val="20"/>
          <w:lang w:val="en-GB"/>
        </w:rPr>
        <w:t>2.</w:t>
      </w:r>
      <w:r w:rsidR="0062548D" w:rsidRPr="005C1B1B">
        <w:rPr>
          <w:rFonts w:ascii="Arial" w:eastAsia="Times New Roman" w:hAnsi="Arial" w:cs="Arial"/>
          <w:b/>
          <w:color w:val="000000" w:themeColor="text1"/>
          <w:sz w:val="20"/>
          <w:szCs w:val="20"/>
          <w:lang w:val="en-GB"/>
        </w:rPr>
        <w:t>1.</w:t>
      </w:r>
      <w:r w:rsidRPr="005C1B1B">
        <w:rPr>
          <w:rFonts w:ascii="Arial" w:eastAsia="Times New Roman" w:hAnsi="Arial" w:cs="Arial"/>
          <w:b/>
          <w:color w:val="000000" w:themeColor="text1"/>
          <w:sz w:val="20"/>
          <w:szCs w:val="20"/>
          <w:lang w:val="en-GB"/>
        </w:rPr>
        <w:t xml:space="preserve">6 </w:t>
      </w:r>
      <w:r w:rsidR="003218B9" w:rsidRPr="005C1B1B">
        <w:rPr>
          <w:rFonts w:ascii="Arial" w:eastAsia="Times New Roman" w:hAnsi="Arial" w:cs="Arial"/>
          <w:b/>
          <w:color w:val="000000" w:themeColor="text1"/>
          <w:sz w:val="20"/>
          <w:szCs w:val="20"/>
          <w:lang w:val="en-GB"/>
        </w:rPr>
        <w:t xml:space="preserve">     </w:t>
      </w:r>
      <w:r w:rsidRPr="005C1B1B">
        <w:rPr>
          <w:rFonts w:ascii="Arial" w:eastAsia="Times New Roman" w:hAnsi="Arial" w:cs="Arial"/>
          <w:b/>
          <w:color w:val="000000" w:themeColor="text1"/>
          <w:sz w:val="20"/>
          <w:szCs w:val="20"/>
          <w:lang w:val="en-GB"/>
        </w:rPr>
        <w:t>Programme 6: Maritime Transport</w:t>
      </w:r>
      <w:bookmarkEnd w:id="7"/>
    </w:p>
    <w:p w:rsidR="000D71E2" w:rsidRPr="005C1B1B" w:rsidRDefault="000D71E2" w:rsidP="005C1B1B">
      <w:pPr>
        <w:spacing w:after="0" w:line="240" w:lineRule="auto"/>
        <w:rPr>
          <w:rFonts w:ascii="Arial" w:eastAsia="Calibri" w:hAnsi="Arial" w:cs="Arial"/>
          <w:color w:val="000000" w:themeColor="text1"/>
          <w:sz w:val="20"/>
          <w:szCs w:val="20"/>
          <w:lang w:val="en-GB"/>
        </w:rPr>
      </w:pPr>
    </w:p>
    <w:p w:rsidR="00611B06" w:rsidRPr="005C1B1B" w:rsidRDefault="00611B06" w:rsidP="005C1B1B">
      <w:pPr>
        <w:spacing w:after="0" w:line="240" w:lineRule="auto"/>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In the Maritime Transport programme, the Department spent R71.7 million against the Second Quarter projection of R77.6 million, translating into a slower than planned spending of 7.6% – equivalent to R5.9 million. Spending delays</w:t>
      </w:r>
      <w:r w:rsidRPr="005C1B1B">
        <w:rPr>
          <w:rFonts w:ascii="Arial" w:eastAsia="Calibri" w:hAnsi="Arial" w:cs="Arial"/>
          <w:b/>
          <w:color w:val="000000" w:themeColor="text1"/>
          <w:sz w:val="20"/>
          <w:szCs w:val="20"/>
          <w:lang w:val="en-GB"/>
        </w:rPr>
        <w:t xml:space="preserve"> </w:t>
      </w:r>
      <w:r w:rsidRPr="005C1B1B">
        <w:rPr>
          <w:rFonts w:ascii="Arial" w:eastAsia="Calibri" w:hAnsi="Arial" w:cs="Arial"/>
          <w:color w:val="000000" w:themeColor="text1"/>
          <w:sz w:val="20"/>
          <w:szCs w:val="20"/>
          <w:lang w:val="en-GB"/>
        </w:rPr>
        <w:t>were</w:t>
      </w:r>
      <w:r w:rsidRPr="005C1B1B">
        <w:rPr>
          <w:rFonts w:ascii="Arial" w:eastAsia="Calibri" w:hAnsi="Arial" w:cs="Arial"/>
          <w:b/>
          <w:color w:val="000000" w:themeColor="text1"/>
          <w:sz w:val="20"/>
          <w:szCs w:val="20"/>
          <w:lang w:val="en-GB"/>
        </w:rPr>
        <w:t xml:space="preserve"> </w:t>
      </w:r>
      <w:r w:rsidRPr="005C1B1B">
        <w:rPr>
          <w:rFonts w:ascii="Arial" w:eastAsia="Calibri" w:hAnsi="Arial" w:cs="Arial"/>
          <w:color w:val="000000" w:themeColor="text1"/>
          <w:sz w:val="20"/>
          <w:szCs w:val="20"/>
          <w:lang w:val="en-GB"/>
        </w:rPr>
        <w:t>on</w:t>
      </w:r>
      <w:r w:rsidRPr="005C1B1B">
        <w:rPr>
          <w:rFonts w:ascii="Arial" w:eastAsia="Calibri" w:hAnsi="Arial" w:cs="Arial"/>
          <w:b/>
          <w:color w:val="000000" w:themeColor="text1"/>
          <w:sz w:val="20"/>
          <w:szCs w:val="20"/>
          <w:lang w:val="en-GB"/>
        </w:rPr>
        <w:t xml:space="preserve"> </w:t>
      </w:r>
      <w:r w:rsidRPr="005C1B1B">
        <w:rPr>
          <w:rFonts w:ascii="Arial" w:eastAsia="Calibri" w:hAnsi="Arial" w:cs="Arial"/>
          <w:color w:val="000000" w:themeColor="text1"/>
          <w:sz w:val="20"/>
          <w:szCs w:val="20"/>
          <w:lang w:val="en-GB"/>
        </w:rPr>
        <w:t>Goods and Services and slow progress on projects</w:t>
      </w:r>
      <w:r w:rsidRPr="005C1B1B">
        <w:rPr>
          <w:rFonts w:ascii="Arial" w:eastAsia="Calibri" w:hAnsi="Arial" w:cs="Arial"/>
          <w:b/>
          <w:color w:val="000000" w:themeColor="text1"/>
          <w:sz w:val="20"/>
          <w:szCs w:val="20"/>
          <w:lang w:val="en-GB"/>
        </w:rPr>
        <w:t xml:space="preserve"> </w:t>
      </w:r>
      <w:r w:rsidRPr="005C1B1B">
        <w:rPr>
          <w:rFonts w:ascii="Arial" w:eastAsia="Calibri" w:hAnsi="Arial" w:cs="Arial"/>
          <w:color w:val="000000" w:themeColor="text1"/>
          <w:sz w:val="20"/>
          <w:szCs w:val="20"/>
          <w:lang w:val="en-GB"/>
        </w:rPr>
        <w:t>such as</w:t>
      </w:r>
      <w:r w:rsidRPr="005C1B1B">
        <w:rPr>
          <w:rFonts w:ascii="Arial" w:eastAsia="Calibri" w:hAnsi="Arial" w:cs="Arial"/>
          <w:b/>
          <w:color w:val="000000" w:themeColor="text1"/>
          <w:sz w:val="20"/>
          <w:szCs w:val="20"/>
          <w:lang w:val="en-GB"/>
        </w:rPr>
        <w:t>:</w:t>
      </w:r>
      <w:r w:rsidRPr="005C1B1B">
        <w:rPr>
          <w:rFonts w:ascii="Arial" w:eastAsia="Calibri" w:hAnsi="Arial" w:cs="Arial"/>
          <w:color w:val="000000" w:themeColor="text1"/>
          <w:sz w:val="20"/>
          <w:szCs w:val="20"/>
          <w:vertAlign w:val="superscript"/>
          <w:lang w:val="en-GB"/>
        </w:rPr>
        <w:footnoteReference w:id="11"/>
      </w:r>
    </w:p>
    <w:p w:rsidR="00611B06" w:rsidRPr="005C1B1B" w:rsidRDefault="00611B06" w:rsidP="005C1B1B">
      <w:pPr>
        <w:numPr>
          <w:ilvl w:val="0"/>
          <w:numId w:val="5"/>
        </w:numPr>
        <w:spacing w:after="0" w:line="240" w:lineRule="auto"/>
        <w:contextualSpacing/>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The Ballast Water Management Bill; and</w:t>
      </w:r>
    </w:p>
    <w:p w:rsidR="00611B06" w:rsidRPr="005C1B1B" w:rsidRDefault="00611B06" w:rsidP="005C1B1B">
      <w:pPr>
        <w:numPr>
          <w:ilvl w:val="0"/>
          <w:numId w:val="5"/>
        </w:numPr>
        <w:spacing w:after="0" w:line="240" w:lineRule="auto"/>
        <w:contextualSpacing/>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Review of the Merchant Shipping Bill.</w:t>
      </w:r>
    </w:p>
    <w:p w:rsidR="00611B06" w:rsidRPr="005C1B1B" w:rsidRDefault="00611B06" w:rsidP="005C1B1B">
      <w:pPr>
        <w:spacing w:after="0" w:line="240" w:lineRule="auto"/>
        <w:rPr>
          <w:rFonts w:ascii="Arial" w:eastAsia="Calibri" w:hAnsi="Arial" w:cs="Arial"/>
          <w:color w:val="000000" w:themeColor="text1"/>
          <w:sz w:val="20"/>
          <w:szCs w:val="20"/>
          <w:lang w:val="en-GB"/>
        </w:rPr>
      </w:pPr>
    </w:p>
    <w:p w:rsidR="00611B06" w:rsidRPr="005C1B1B" w:rsidRDefault="00611B06" w:rsidP="005C1B1B">
      <w:pPr>
        <w:keepNext/>
        <w:keepLines/>
        <w:spacing w:after="0" w:line="240" w:lineRule="auto"/>
        <w:outlineLvl w:val="1"/>
        <w:rPr>
          <w:rFonts w:ascii="Arial" w:eastAsia="Times New Roman" w:hAnsi="Arial" w:cs="Arial"/>
          <w:b/>
          <w:color w:val="000000" w:themeColor="text1"/>
          <w:sz w:val="20"/>
          <w:szCs w:val="20"/>
          <w:lang w:val="en-GB"/>
        </w:rPr>
      </w:pPr>
      <w:bookmarkStart w:id="8" w:name="_Toc118982115"/>
      <w:r w:rsidRPr="005C1B1B">
        <w:rPr>
          <w:rFonts w:ascii="Arial" w:eastAsia="Times New Roman" w:hAnsi="Arial" w:cs="Arial"/>
          <w:b/>
          <w:color w:val="000000" w:themeColor="text1"/>
          <w:sz w:val="20"/>
          <w:szCs w:val="20"/>
          <w:lang w:val="en-GB"/>
        </w:rPr>
        <w:t>2.</w:t>
      </w:r>
      <w:r w:rsidR="0062548D" w:rsidRPr="005C1B1B">
        <w:rPr>
          <w:rFonts w:ascii="Arial" w:eastAsia="Times New Roman" w:hAnsi="Arial" w:cs="Arial"/>
          <w:b/>
          <w:color w:val="000000" w:themeColor="text1"/>
          <w:sz w:val="20"/>
          <w:szCs w:val="20"/>
          <w:lang w:val="en-GB"/>
        </w:rPr>
        <w:t>1.</w:t>
      </w:r>
      <w:r w:rsidRPr="005C1B1B">
        <w:rPr>
          <w:rFonts w:ascii="Arial" w:eastAsia="Times New Roman" w:hAnsi="Arial" w:cs="Arial"/>
          <w:b/>
          <w:color w:val="000000" w:themeColor="text1"/>
          <w:sz w:val="20"/>
          <w:szCs w:val="20"/>
          <w:lang w:val="en-GB"/>
        </w:rPr>
        <w:t>7</w:t>
      </w:r>
      <w:r w:rsidR="003218B9" w:rsidRPr="005C1B1B">
        <w:rPr>
          <w:rFonts w:ascii="Arial" w:eastAsia="Times New Roman" w:hAnsi="Arial" w:cs="Arial"/>
          <w:b/>
          <w:color w:val="000000" w:themeColor="text1"/>
          <w:sz w:val="20"/>
          <w:szCs w:val="20"/>
          <w:lang w:val="en-GB"/>
        </w:rPr>
        <w:t xml:space="preserve">     </w:t>
      </w:r>
      <w:r w:rsidRPr="005C1B1B">
        <w:rPr>
          <w:rFonts w:ascii="Arial" w:eastAsia="Times New Roman" w:hAnsi="Arial" w:cs="Arial"/>
          <w:b/>
          <w:color w:val="000000" w:themeColor="text1"/>
          <w:sz w:val="20"/>
          <w:szCs w:val="20"/>
          <w:lang w:val="en-GB"/>
        </w:rPr>
        <w:t xml:space="preserve"> Programme 7: Public Transport</w:t>
      </w:r>
      <w:bookmarkEnd w:id="8"/>
    </w:p>
    <w:p w:rsidR="000D71E2" w:rsidRPr="005C1B1B" w:rsidRDefault="000D71E2" w:rsidP="005C1B1B">
      <w:pPr>
        <w:spacing w:after="0" w:line="240" w:lineRule="auto"/>
        <w:rPr>
          <w:rFonts w:ascii="Arial" w:eastAsia="Calibri" w:hAnsi="Arial" w:cs="Arial"/>
          <w:color w:val="000000" w:themeColor="text1"/>
          <w:sz w:val="20"/>
          <w:szCs w:val="20"/>
          <w:lang w:val="en-GB"/>
        </w:rPr>
      </w:pPr>
    </w:p>
    <w:p w:rsidR="00611B06" w:rsidRPr="005C1B1B" w:rsidRDefault="00611B06" w:rsidP="005C1B1B">
      <w:pPr>
        <w:spacing w:after="0" w:line="240" w:lineRule="auto"/>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As at the end of the Second Quarter of 2022/23, the Department had spent R5.3 billion against the Quarter’s projection of R5.6 billion, indicating a slower than planned spending of 5.8% – equivalent to R326.2 million. Spending delays were largely</w:t>
      </w:r>
      <w:r w:rsidRPr="005C1B1B">
        <w:rPr>
          <w:rFonts w:ascii="Arial" w:eastAsia="Calibri" w:hAnsi="Arial" w:cs="Arial"/>
          <w:b/>
          <w:color w:val="000000" w:themeColor="text1"/>
          <w:sz w:val="20"/>
          <w:szCs w:val="20"/>
          <w:lang w:val="en-GB"/>
        </w:rPr>
        <w:t xml:space="preserve"> </w:t>
      </w:r>
      <w:r w:rsidRPr="005C1B1B">
        <w:rPr>
          <w:rFonts w:ascii="Arial" w:eastAsia="Calibri" w:hAnsi="Arial" w:cs="Arial"/>
          <w:color w:val="000000" w:themeColor="text1"/>
          <w:sz w:val="20"/>
          <w:szCs w:val="20"/>
          <w:lang w:val="en-GB"/>
        </w:rPr>
        <w:t>in</w:t>
      </w:r>
      <w:r w:rsidRPr="005C1B1B">
        <w:rPr>
          <w:rFonts w:ascii="Arial" w:eastAsia="Calibri" w:hAnsi="Arial" w:cs="Arial"/>
          <w:b/>
          <w:color w:val="000000" w:themeColor="text1"/>
          <w:sz w:val="20"/>
          <w:szCs w:val="20"/>
          <w:lang w:val="en-GB"/>
        </w:rPr>
        <w:t xml:space="preserve"> </w:t>
      </w:r>
      <w:r w:rsidRPr="005C1B1B">
        <w:rPr>
          <w:rFonts w:ascii="Arial" w:eastAsia="Calibri" w:hAnsi="Arial" w:cs="Arial"/>
          <w:color w:val="000000" w:themeColor="text1"/>
          <w:sz w:val="20"/>
          <w:szCs w:val="20"/>
          <w:lang w:val="en-GB"/>
        </w:rPr>
        <w:t xml:space="preserve">Transfers and Subsidies as funds under the PTNG for </w:t>
      </w:r>
      <w:r w:rsidR="00357C28" w:rsidRPr="005C1B1B">
        <w:rPr>
          <w:rFonts w:ascii="Arial" w:eastAsia="Calibri" w:hAnsi="Arial" w:cs="Arial"/>
          <w:color w:val="000000" w:themeColor="text1"/>
          <w:sz w:val="20"/>
          <w:szCs w:val="20"/>
          <w:lang w:val="en-GB"/>
        </w:rPr>
        <w:t xml:space="preserve">the </w:t>
      </w:r>
      <w:r w:rsidRPr="005C1B1B">
        <w:rPr>
          <w:rFonts w:ascii="Arial" w:eastAsia="Calibri" w:hAnsi="Arial" w:cs="Arial"/>
          <w:color w:val="000000" w:themeColor="text1"/>
          <w:sz w:val="20"/>
          <w:szCs w:val="20"/>
          <w:lang w:val="en-GB"/>
        </w:rPr>
        <w:t>eThekwini</w:t>
      </w:r>
      <w:r w:rsidR="00357C28" w:rsidRPr="005C1B1B">
        <w:rPr>
          <w:rFonts w:ascii="Arial" w:eastAsia="Calibri" w:hAnsi="Arial" w:cs="Arial"/>
          <w:color w:val="000000" w:themeColor="text1"/>
          <w:sz w:val="20"/>
          <w:szCs w:val="20"/>
          <w:lang w:val="en-GB"/>
        </w:rPr>
        <w:t xml:space="preserve"> municipality</w:t>
      </w:r>
      <w:r w:rsidRPr="005C1B1B">
        <w:rPr>
          <w:rFonts w:ascii="Arial" w:eastAsia="Calibri" w:hAnsi="Arial" w:cs="Arial"/>
          <w:color w:val="000000" w:themeColor="text1"/>
          <w:sz w:val="20"/>
          <w:szCs w:val="20"/>
          <w:lang w:val="en-GB"/>
        </w:rPr>
        <w:t xml:space="preserve"> had been withheld due to non-compliance.</w:t>
      </w:r>
      <w:r w:rsidRPr="005C1B1B">
        <w:rPr>
          <w:rFonts w:ascii="Arial" w:eastAsia="Calibri" w:hAnsi="Arial" w:cs="Arial"/>
          <w:color w:val="000000" w:themeColor="text1"/>
          <w:sz w:val="20"/>
          <w:szCs w:val="20"/>
          <w:vertAlign w:val="superscript"/>
          <w:lang w:val="en-GB"/>
        </w:rPr>
        <w:footnoteReference w:id="12"/>
      </w:r>
      <w:r w:rsidRPr="005C1B1B">
        <w:rPr>
          <w:rFonts w:ascii="Arial" w:eastAsia="Calibri" w:hAnsi="Arial" w:cs="Arial"/>
          <w:color w:val="000000" w:themeColor="text1"/>
          <w:sz w:val="20"/>
          <w:szCs w:val="20"/>
          <w:lang w:val="en-GB"/>
        </w:rPr>
        <w:t xml:space="preserve"> Moreover, there was slower than planned expenditure on Goods and Services for the implementation of integrated public transport networks (IPTNs) in district municipalities, and </w:t>
      </w:r>
      <w:r w:rsidRPr="005C1B1B">
        <w:rPr>
          <w:rFonts w:ascii="Arial" w:eastAsia="Calibri" w:hAnsi="Arial" w:cs="Arial"/>
          <w:i/>
          <w:color w:val="000000" w:themeColor="text1"/>
          <w:sz w:val="20"/>
          <w:szCs w:val="20"/>
          <w:lang w:val="en-GB"/>
        </w:rPr>
        <w:t>Shova Kalula</w:t>
      </w:r>
      <w:r w:rsidRPr="005C1B1B">
        <w:rPr>
          <w:rFonts w:ascii="Arial" w:eastAsia="Calibri" w:hAnsi="Arial" w:cs="Arial"/>
          <w:color w:val="000000" w:themeColor="text1"/>
          <w:sz w:val="20"/>
          <w:szCs w:val="20"/>
          <w:lang w:val="en-GB"/>
        </w:rPr>
        <w:t xml:space="preserve"> bicycle programme.</w:t>
      </w:r>
      <w:r w:rsidRPr="005C1B1B">
        <w:rPr>
          <w:rFonts w:ascii="Arial" w:eastAsia="Calibri" w:hAnsi="Arial" w:cs="Arial"/>
          <w:color w:val="000000" w:themeColor="text1"/>
          <w:sz w:val="20"/>
          <w:szCs w:val="20"/>
          <w:vertAlign w:val="superscript"/>
          <w:lang w:val="en-GB"/>
        </w:rPr>
        <w:footnoteReference w:id="13"/>
      </w:r>
    </w:p>
    <w:p w:rsidR="00611B06" w:rsidRPr="005C1B1B" w:rsidRDefault="00611B06" w:rsidP="005C1B1B">
      <w:pPr>
        <w:spacing w:after="0" w:line="240" w:lineRule="auto"/>
        <w:rPr>
          <w:rFonts w:ascii="Arial" w:eastAsia="Calibri" w:hAnsi="Arial" w:cs="Arial"/>
          <w:color w:val="000000" w:themeColor="text1"/>
          <w:sz w:val="20"/>
          <w:szCs w:val="20"/>
          <w:lang w:val="en-GB"/>
        </w:rPr>
      </w:pPr>
    </w:p>
    <w:p w:rsidR="00611B06" w:rsidRPr="005C1B1B" w:rsidRDefault="0062548D" w:rsidP="005C1B1B">
      <w:pPr>
        <w:keepNext/>
        <w:keepLines/>
        <w:spacing w:after="0" w:line="240" w:lineRule="auto"/>
        <w:outlineLvl w:val="0"/>
        <w:rPr>
          <w:rFonts w:ascii="Arial" w:eastAsia="Times New Roman" w:hAnsi="Arial" w:cs="Arial"/>
          <w:b/>
          <w:caps/>
          <w:color w:val="000000" w:themeColor="text1"/>
          <w:sz w:val="20"/>
          <w:szCs w:val="20"/>
          <w:lang w:val="en-GB"/>
        </w:rPr>
      </w:pPr>
      <w:bookmarkStart w:id="9" w:name="_Toc118982116"/>
      <w:r w:rsidRPr="005C1B1B">
        <w:rPr>
          <w:rFonts w:ascii="Arial" w:eastAsia="Times New Roman" w:hAnsi="Arial" w:cs="Arial"/>
          <w:b/>
          <w:caps/>
          <w:color w:val="000000" w:themeColor="text1"/>
          <w:sz w:val="20"/>
          <w:szCs w:val="20"/>
          <w:lang w:val="en-GB"/>
        </w:rPr>
        <w:t xml:space="preserve">2.2 </w:t>
      </w:r>
      <w:r w:rsidR="003218B9" w:rsidRPr="005C1B1B">
        <w:rPr>
          <w:rFonts w:ascii="Arial" w:eastAsia="Times New Roman" w:hAnsi="Arial" w:cs="Arial"/>
          <w:b/>
          <w:caps/>
          <w:color w:val="000000" w:themeColor="text1"/>
          <w:sz w:val="20"/>
          <w:szCs w:val="20"/>
          <w:lang w:val="en-GB"/>
        </w:rPr>
        <w:t xml:space="preserve">       </w:t>
      </w:r>
      <w:r w:rsidR="00611B06" w:rsidRPr="005C1B1B">
        <w:rPr>
          <w:rFonts w:ascii="Arial" w:eastAsia="Times New Roman" w:hAnsi="Arial" w:cs="Arial"/>
          <w:b/>
          <w:caps/>
          <w:color w:val="000000" w:themeColor="text1"/>
          <w:sz w:val="20"/>
          <w:szCs w:val="20"/>
          <w:lang w:val="en-GB"/>
        </w:rPr>
        <w:t>COVID-19 RESPONSE</w:t>
      </w:r>
      <w:bookmarkEnd w:id="9"/>
    </w:p>
    <w:p w:rsidR="000D71E2" w:rsidRPr="005C1B1B" w:rsidRDefault="000D71E2" w:rsidP="005C1B1B">
      <w:pPr>
        <w:spacing w:after="0" w:line="240" w:lineRule="auto"/>
        <w:rPr>
          <w:rFonts w:ascii="Arial" w:eastAsia="Calibri" w:hAnsi="Arial" w:cs="Arial"/>
          <w:color w:val="000000" w:themeColor="text1"/>
          <w:sz w:val="20"/>
          <w:szCs w:val="20"/>
          <w:lang w:val="en-GB"/>
        </w:rPr>
      </w:pPr>
    </w:p>
    <w:p w:rsidR="00611B06" w:rsidRPr="005C1B1B" w:rsidRDefault="00611B06" w:rsidP="005C1B1B">
      <w:pPr>
        <w:spacing w:after="0" w:line="240" w:lineRule="auto"/>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As at 30 September 2022, the Department had spent R125</w:t>
      </w:r>
      <w:r w:rsidR="00124806" w:rsidRPr="005C1B1B">
        <w:rPr>
          <w:rFonts w:ascii="Arial" w:eastAsia="Calibri" w:hAnsi="Arial" w:cs="Arial"/>
          <w:color w:val="000000" w:themeColor="text1"/>
          <w:sz w:val="20"/>
          <w:szCs w:val="20"/>
          <w:lang w:val="en-GB"/>
        </w:rPr>
        <w:t> </w:t>
      </w:r>
      <w:r w:rsidRPr="005C1B1B">
        <w:rPr>
          <w:rFonts w:ascii="Arial" w:eastAsia="Calibri" w:hAnsi="Arial" w:cs="Arial"/>
          <w:color w:val="000000" w:themeColor="text1"/>
          <w:sz w:val="20"/>
          <w:szCs w:val="20"/>
          <w:lang w:val="en-GB"/>
        </w:rPr>
        <w:t>000</w:t>
      </w:r>
      <w:r w:rsidR="00124806" w:rsidRPr="005C1B1B">
        <w:rPr>
          <w:rFonts w:ascii="Arial" w:eastAsia="Calibri" w:hAnsi="Arial" w:cs="Arial"/>
          <w:color w:val="000000" w:themeColor="text1"/>
          <w:sz w:val="20"/>
          <w:szCs w:val="20"/>
          <w:lang w:val="en-GB"/>
        </w:rPr>
        <w:t>.</w:t>
      </w:r>
      <w:r w:rsidRPr="005C1B1B">
        <w:rPr>
          <w:rFonts w:ascii="Arial" w:eastAsia="Calibri" w:hAnsi="Arial" w:cs="Arial"/>
          <w:color w:val="000000" w:themeColor="text1"/>
          <w:sz w:val="20"/>
          <w:szCs w:val="20"/>
          <w:lang w:val="en-GB"/>
        </w:rPr>
        <w:t>00 on COVID-19 related projects and business activities. The COVID-19 spending mostly pertained to the procurement of protective equipment within the Department, as well as support to public transport operators in response to the pandemic.</w:t>
      </w:r>
      <w:r w:rsidRPr="005C1B1B">
        <w:rPr>
          <w:rFonts w:ascii="Arial" w:eastAsia="Calibri" w:hAnsi="Arial" w:cs="Arial"/>
          <w:color w:val="000000" w:themeColor="text1"/>
          <w:sz w:val="20"/>
          <w:szCs w:val="20"/>
          <w:vertAlign w:val="superscript"/>
          <w:lang w:val="en-GB"/>
        </w:rPr>
        <w:footnoteReference w:id="14"/>
      </w:r>
    </w:p>
    <w:p w:rsidR="00CF1822" w:rsidRPr="005C1B1B" w:rsidRDefault="00CF1822" w:rsidP="005C1B1B">
      <w:pPr>
        <w:spacing w:after="0" w:line="240" w:lineRule="auto"/>
        <w:rPr>
          <w:rFonts w:ascii="Arial" w:eastAsia="Calibri" w:hAnsi="Arial" w:cs="Arial"/>
          <w:color w:val="000000" w:themeColor="text1"/>
          <w:sz w:val="20"/>
          <w:szCs w:val="20"/>
          <w:lang w:val="en-GB"/>
        </w:rPr>
      </w:pPr>
    </w:p>
    <w:p w:rsidR="00611B06" w:rsidRPr="005C1B1B" w:rsidRDefault="0062548D" w:rsidP="005C1B1B">
      <w:pPr>
        <w:keepNext/>
        <w:keepLines/>
        <w:spacing w:after="0" w:line="240" w:lineRule="auto"/>
        <w:outlineLvl w:val="0"/>
        <w:rPr>
          <w:rFonts w:ascii="Arial" w:eastAsia="Times New Roman" w:hAnsi="Arial" w:cs="Arial"/>
          <w:b/>
          <w:caps/>
          <w:color w:val="000000" w:themeColor="text1"/>
          <w:sz w:val="20"/>
          <w:szCs w:val="20"/>
          <w:lang w:val="en-GB"/>
        </w:rPr>
      </w:pPr>
      <w:bookmarkStart w:id="10" w:name="_Toc118982117"/>
      <w:r w:rsidRPr="005C1B1B">
        <w:rPr>
          <w:rFonts w:ascii="Arial" w:eastAsia="Times New Roman" w:hAnsi="Arial" w:cs="Arial"/>
          <w:b/>
          <w:caps/>
          <w:color w:val="000000" w:themeColor="text1"/>
          <w:sz w:val="20"/>
          <w:szCs w:val="20"/>
          <w:lang w:val="en-GB"/>
        </w:rPr>
        <w:t>2.3</w:t>
      </w:r>
      <w:r w:rsidR="003218B9" w:rsidRPr="005C1B1B">
        <w:rPr>
          <w:rFonts w:ascii="Arial" w:eastAsia="Times New Roman" w:hAnsi="Arial" w:cs="Arial"/>
          <w:b/>
          <w:caps/>
          <w:color w:val="000000" w:themeColor="text1"/>
          <w:sz w:val="20"/>
          <w:szCs w:val="20"/>
          <w:lang w:val="en-GB"/>
        </w:rPr>
        <w:t xml:space="preserve">        </w:t>
      </w:r>
      <w:r w:rsidR="00611B06" w:rsidRPr="005C1B1B">
        <w:rPr>
          <w:rFonts w:ascii="Arial" w:eastAsia="Times New Roman" w:hAnsi="Arial" w:cs="Arial"/>
          <w:b/>
          <w:caps/>
          <w:color w:val="000000" w:themeColor="text1"/>
          <w:sz w:val="20"/>
          <w:szCs w:val="20"/>
          <w:lang w:val="en-GB"/>
        </w:rPr>
        <w:t>disaster response</w:t>
      </w:r>
      <w:bookmarkEnd w:id="10"/>
    </w:p>
    <w:p w:rsidR="000D71E2" w:rsidRPr="005C1B1B" w:rsidRDefault="000D71E2" w:rsidP="005C1B1B">
      <w:pPr>
        <w:spacing w:after="0" w:line="240" w:lineRule="auto"/>
        <w:rPr>
          <w:rFonts w:ascii="Arial" w:eastAsia="Calibri" w:hAnsi="Arial" w:cs="Arial"/>
          <w:color w:val="000000" w:themeColor="text1"/>
          <w:sz w:val="20"/>
          <w:szCs w:val="20"/>
          <w:lang w:val="en-GB"/>
        </w:rPr>
      </w:pPr>
    </w:p>
    <w:p w:rsidR="00611B06" w:rsidRPr="005C1B1B" w:rsidRDefault="00611B06" w:rsidP="005C1B1B">
      <w:pPr>
        <w:spacing w:after="0" w:line="240" w:lineRule="auto"/>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By the end of the period under review, the Department had spent R249 million for flood damages from the 2019 flood disaster in KwaZulu-Natal.</w:t>
      </w:r>
      <w:r w:rsidRPr="005C1B1B">
        <w:rPr>
          <w:rFonts w:ascii="Arial" w:eastAsia="Calibri" w:hAnsi="Arial" w:cs="Arial"/>
          <w:color w:val="000000" w:themeColor="text1"/>
          <w:sz w:val="20"/>
          <w:szCs w:val="20"/>
          <w:vertAlign w:val="superscript"/>
          <w:lang w:val="en-GB"/>
        </w:rPr>
        <w:footnoteReference w:id="15"/>
      </w:r>
      <w:r w:rsidRPr="005C1B1B">
        <w:rPr>
          <w:rFonts w:ascii="Arial" w:eastAsia="Calibri" w:hAnsi="Arial" w:cs="Arial"/>
          <w:color w:val="000000" w:themeColor="text1"/>
          <w:sz w:val="20"/>
          <w:szCs w:val="20"/>
          <w:lang w:val="en-GB"/>
        </w:rPr>
        <w:t xml:space="preserve"> This was through the Provincial Roads Maintenance Grant (PRMG). It was reported that the allocation for disaster repairs from the 2022 flood damages will only be reflected in the 2022 Adjustment, as part of the next year’s baseline allocation.</w:t>
      </w:r>
      <w:r w:rsidRPr="005C1B1B">
        <w:rPr>
          <w:rFonts w:ascii="Arial" w:eastAsia="Calibri" w:hAnsi="Arial" w:cs="Arial"/>
          <w:color w:val="000000" w:themeColor="text1"/>
          <w:sz w:val="20"/>
          <w:szCs w:val="20"/>
          <w:vertAlign w:val="superscript"/>
          <w:lang w:val="en-GB"/>
        </w:rPr>
        <w:footnoteReference w:id="16"/>
      </w:r>
    </w:p>
    <w:p w:rsidR="001C2443" w:rsidRPr="005C1B1B" w:rsidRDefault="001C2443" w:rsidP="005C1B1B">
      <w:pPr>
        <w:spacing w:after="0" w:line="240" w:lineRule="auto"/>
        <w:rPr>
          <w:rFonts w:ascii="Arial" w:eastAsia="Calibri" w:hAnsi="Arial" w:cs="Arial"/>
          <w:color w:val="000000" w:themeColor="text1"/>
          <w:sz w:val="20"/>
          <w:szCs w:val="20"/>
          <w:lang w:val="en-GB"/>
        </w:rPr>
      </w:pPr>
    </w:p>
    <w:p w:rsidR="00676D20" w:rsidRPr="005C1B1B" w:rsidRDefault="00676D20" w:rsidP="005C1B1B">
      <w:pPr>
        <w:pStyle w:val="ListParagraph"/>
        <w:numPr>
          <w:ilvl w:val="0"/>
          <w:numId w:val="16"/>
        </w:numPr>
        <w:spacing w:after="0" w:line="240" w:lineRule="auto"/>
        <w:ind w:hanging="720"/>
        <w:rPr>
          <w:rFonts w:ascii="Arial" w:eastAsia="Calibri" w:hAnsi="Arial" w:cs="Arial"/>
          <w:color w:val="000000" w:themeColor="text1"/>
          <w:sz w:val="20"/>
          <w:szCs w:val="20"/>
          <w:lang w:val="en-GB"/>
        </w:rPr>
      </w:pPr>
      <w:r w:rsidRPr="005C1B1B">
        <w:rPr>
          <w:rFonts w:ascii="Arial" w:eastAsia="Calibri" w:hAnsi="Arial" w:cs="Arial"/>
          <w:b/>
          <w:color w:val="000000" w:themeColor="text1"/>
          <w:sz w:val="20"/>
          <w:szCs w:val="20"/>
          <w:lang w:val="en-GB"/>
        </w:rPr>
        <w:t>COMMITTEE OBSERVATIONS</w:t>
      </w:r>
    </w:p>
    <w:p w:rsidR="000D71E2" w:rsidRPr="005C1B1B" w:rsidRDefault="000D71E2" w:rsidP="005C1B1B">
      <w:pPr>
        <w:spacing w:after="0" w:line="240" w:lineRule="auto"/>
        <w:rPr>
          <w:rFonts w:ascii="Arial" w:eastAsia="Calibri" w:hAnsi="Arial" w:cs="Arial"/>
          <w:color w:val="000000" w:themeColor="text1"/>
          <w:sz w:val="20"/>
          <w:szCs w:val="20"/>
          <w:lang w:val="en-GB"/>
        </w:rPr>
      </w:pPr>
    </w:p>
    <w:p w:rsidR="00382488" w:rsidRPr="005C1B1B" w:rsidRDefault="00676D20" w:rsidP="005C1B1B">
      <w:pPr>
        <w:spacing w:after="0" w:line="240" w:lineRule="auto"/>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lastRenderedPageBreak/>
        <w:t>Members made the following observations during discussions:</w:t>
      </w:r>
      <w:r w:rsidR="005A3F3B" w:rsidRPr="005C1B1B">
        <w:rPr>
          <w:rFonts w:ascii="Arial" w:eastAsia="Calibri" w:hAnsi="Arial" w:cs="Arial"/>
          <w:color w:val="000000" w:themeColor="text1"/>
          <w:sz w:val="20"/>
          <w:szCs w:val="20"/>
          <w:lang w:val="en-GB"/>
        </w:rPr>
        <w:t xml:space="preserve"> </w:t>
      </w:r>
    </w:p>
    <w:p w:rsidR="00382488" w:rsidRPr="005C1B1B" w:rsidRDefault="001C2443" w:rsidP="005C1B1B">
      <w:pPr>
        <w:pStyle w:val="ListParagraph"/>
        <w:numPr>
          <w:ilvl w:val="1"/>
          <w:numId w:val="16"/>
        </w:numPr>
        <w:spacing w:after="0" w:line="240" w:lineRule="auto"/>
        <w:ind w:hanging="720"/>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There was still a misalignment bet</w:t>
      </w:r>
      <w:r w:rsidR="007427A1" w:rsidRPr="005C1B1B">
        <w:rPr>
          <w:rFonts w:ascii="Arial" w:eastAsia="Calibri" w:hAnsi="Arial" w:cs="Arial"/>
          <w:color w:val="000000" w:themeColor="text1"/>
          <w:sz w:val="20"/>
          <w:szCs w:val="20"/>
          <w:lang w:val="en-GB"/>
        </w:rPr>
        <w:t>ween KPIs and service delivery.</w:t>
      </w:r>
    </w:p>
    <w:p w:rsidR="001C2443" w:rsidRPr="005C1B1B" w:rsidRDefault="001C2443" w:rsidP="005C1B1B">
      <w:pPr>
        <w:pStyle w:val="ListParagraph"/>
        <w:numPr>
          <w:ilvl w:val="1"/>
          <w:numId w:val="16"/>
        </w:numPr>
        <w:spacing w:after="0" w:line="240" w:lineRule="auto"/>
        <w:ind w:hanging="720"/>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 xml:space="preserve">The presentation did not cover the scholar transport programme and the Department was asked whether plans </w:t>
      </w:r>
      <w:r w:rsidR="008D48C9" w:rsidRPr="005C1B1B">
        <w:rPr>
          <w:rFonts w:ascii="Arial" w:eastAsia="Calibri" w:hAnsi="Arial" w:cs="Arial"/>
          <w:color w:val="000000" w:themeColor="text1"/>
          <w:sz w:val="20"/>
          <w:szCs w:val="20"/>
          <w:lang w:val="en-GB"/>
        </w:rPr>
        <w:t xml:space="preserve">were </w:t>
      </w:r>
      <w:r w:rsidRPr="005C1B1B">
        <w:rPr>
          <w:rFonts w:ascii="Arial" w:eastAsia="Calibri" w:hAnsi="Arial" w:cs="Arial"/>
          <w:color w:val="000000" w:themeColor="text1"/>
          <w:sz w:val="20"/>
          <w:szCs w:val="20"/>
          <w:lang w:val="en-GB"/>
        </w:rPr>
        <w:t>in place to put the programme</w:t>
      </w:r>
      <w:r w:rsidR="007427A1" w:rsidRPr="005C1B1B">
        <w:rPr>
          <w:rFonts w:ascii="Arial" w:eastAsia="Calibri" w:hAnsi="Arial" w:cs="Arial"/>
          <w:color w:val="000000" w:themeColor="text1"/>
          <w:sz w:val="20"/>
          <w:szCs w:val="20"/>
          <w:lang w:val="en-GB"/>
        </w:rPr>
        <w:t xml:space="preserve"> under one Department.</w:t>
      </w:r>
    </w:p>
    <w:p w:rsidR="001C2443" w:rsidRPr="005C1B1B" w:rsidRDefault="001C2443" w:rsidP="005C1B1B">
      <w:pPr>
        <w:pStyle w:val="ListParagraph"/>
        <w:numPr>
          <w:ilvl w:val="1"/>
          <w:numId w:val="16"/>
        </w:numPr>
        <w:spacing w:after="0" w:line="240" w:lineRule="auto"/>
        <w:ind w:hanging="720"/>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 xml:space="preserve">Every quarterly report </w:t>
      </w:r>
      <w:r w:rsidR="008D48C9" w:rsidRPr="005C1B1B">
        <w:rPr>
          <w:rFonts w:ascii="Arial" w:eastAsia="Calibri" w:hAnsi="Arial" w:cs="Arial"/>
          <w:color w:val="000000" w:themeColor="text1"/>
          <w:sz w:val="20"/>
          <w:szCs w:val="20"/>
          <w:lang w:val="en-GB"/>
        </w:rPr>
        <w:t xml:space="preserve">has </w:t>
      </w:r>
      <w:r w:rsidRPr="005C1B1B">
        <w:rPr>
          <w:rFonts w:ascii="Arial" w:eastAsia="Calibri" w:hAnsi="Arial" w:cs="Arial"/>
          <w:color w:val="000000" w:themeColor="text1"/>
          <w:sz w:val="20"/>
          <w:szCs w:val="20"/>
          <w:lang w:val="en-GB"/>
        </w:rPr>
        <w:t xml:space="preserve">shown underspending </w:t>
      </w:r>
      <w:r w:rsidR="007427A1" w:rsidRPr="005C1B1B">
        <w:rPr>
          <w:rFonts w:ascii="Arial" w:eastAsia="Calibri" w:hAnsi="Arial" w:cs="Arial"/>
          <w:color w:val="000000" w:themeColor="text1"/>
          <w:sz w:val="20"/>
          <w:szCs w:val="20"/>
          <w:lang w:val="en-GB"/>
        </w:rPr>
        <w:t>by the programmes.</w:t>
      </w:r>
    </w:p>
    <w:p w:rsidR="00382488" w:rsidRPr="005C1B1B" w:rsidRDefault="005A3F3B" w:rsidP="005C1B1B">
      <w:pPr>
        <w:spacing w:after="0" w:line="240" w:lineRule="auto"/>
        <w:ind w:left="720" w:hanging="720"/>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3.4</w:t>
      </w:r>
      <w:r w:rsidR="00382488" w:rsidRPr="005C1B1B">
        <w:rPr>
          <w:rFonts w:ascii="Arial" w:eastAsia="Calibri" w:hAnsi="Arial" w:cs="Arial"/>
          <w:color w:val="000000" w:themeColor="text1"/>
          <w:sz w:val="20"/>
          <w:szCs w:val="20"/>
          <w:lang w:val="en-GB"/>
        </w:rPr>
        <w:tab/>
      </w:r>
      <w:r w:rsidR="001C2443" w:rsidRPr="005C1B1B">
        <w:rPr>
          <w:rFonts w:ascii="Arial" w:eastAsia="Calibri" w:hAnsi="Arial" w:cs="Arial"/>
          <w:color w:val="000000" w:themeColor="text1"/>
          <w:sz w:val="20"/>
          <w:szCs w:val="20"/>
          <w:lang w:val="en-GB"/>
        </w:rPr>
        <w:t xml:space="preserve">The </w:t>
      </w:r>
      <w:r w:rsidR="001C2443" w:rsidRPr="005C1B1B">
        <w:rPr>
          <w:rFonts w:ascii="Arial" w:eastAsia="Calibri" w:hAnsi="Arial" w:cs="Arial"/>
          <w:i/>
          <w:color w:val="000000" w:themeColor="text1"/>
          <w:sz w:val="20"/>
          <w:szCs w:val="20"/>
          <w:lang w:val="en-GB"/>
        </w:rPr>
        <w:t xml:space="preserve">Shova Kalula </w:t>
      </w:r>
      <w:r w:rsidR="001C2443" w:rsidRPr="005C1B1B">
        <w:rPr>
          <w:rFonts w:ascii="Arial" w:eastAsia="Calibri" w:hAnsi="Arial" w:cs="Arial"/>
          <w:color w:val="000000" w:themeColor="text1"/>
          <w:sz w:val="20"/>
          <w:szCs w:val="20"/>
          <w:lang w:val="en-GB"/>
        </w:rPr>
        <w:t xml:space="preserve">programme seemed on track, but was not well monitored and the </w:t>
      </w:r>
      <w:r w:rsidR="00382488" w:rsidRPr="005C1B1B">
        <w:rPr>
          <w:rFonts w:ascii="Arial" w:eastAsia="Calibri" w:hAnsi="Arial" w:cs="Arial"/>
          <w:color w:val="000000" w:themeColor="text1"/>
          <w:sz w:val="20"/>
          <w:szCs w:val="20"/>
          <w:lang w:val="en-GB"/>
        </w:rPr>
        <w:t xml:space="preserve">  </w:t>
      </w:r>
      <w:r w:rsidR="001C2443" w:rsidRPr="005C1B1B">
        <w:rPr>
          <w:rFonts w:ascii="Arial" w:eastAsia="Calibri" w:hAnsi="Arial" w:cs="Arial"/>
          <w:color w:val="000000" w:themeColor="text1"/>
          <w:sz w:val="20"/>
          <w:szCs w:val="20"/>
          <w:lang w:val="en-GB"/>
        </w:rPr>
        <w:t>Department had to consider opening service centres where the bicycles could be serviced</w:t>
      </w:r>
      <w:r w:rsidR="007427A1" w:rsidRPr="005C1B1B">
        <w:rPr>
          <w:rFonts w:ascii="Arial" w:eastAsia="Calibri" w:hAnsi="Arial" w:cs="Arial"/>
          <w:color w:val="000000" w:themeColor="text1"/>
          <w:sz w:val="20"/>
          <w:szCs w:val="20"/>
          <w:lang w:val="en-GB"/>
        </w:rPr>
        <w:t>.</w:t>
      </w:r>
    </w:p>
    <w:p w:rsidR="00382488" w:rsidRPr="005C1B1B" w:rsidRDefault="00382488" w:rsidP="005C1B1B">
      <w:pPr>
        <w:spacing w:after="0" w:line="240" w:lineRule="auto"/>
        <w:ind w:left="720" w:hanging="720"/>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3.5</w:t>
      </w:r>
      <w:r w:rsidRPr="005C1B1B">
        <w:rPr>
          <w:rFonts w:ascii="Arial" w:eastAsia="Calibri" w:hAnsi="Arial" w:cs="Arial"/>
          <w:color w:val="000000" w:themeColor="text1"/>
          <w:sz w:val="20"/>
          <w:szCs w:val="20"/>
          <w:lang w:val="en-GB"/>
        </w:rPr>
        <w:tab/>
        <w:t xml:space="preserve"> </w:t>
      </w:r>
      <w:r w:rsidR="001C2443" w:rsidRPr="005C1B1B">
        <w:rPr>
          <w:rFonts w:ascii="Arial" w:eastAsia="Calibri" w:hAnsi="Arial" w:cs="Arial"/>
          <w:color w:val="000000" w:themeColor="text1"/>
          <w:sz w:val="20"/>
          <w:szCs w:val="20"/>
          <w:lang w:val="en-GB"/>
        </w:rPr>
        <w:t>It was noted that out of 172 beneficiaries for the Bursary scheme 0.58% were disabled persons whereas the national standard was a 2% threshold. The Department was asked whether the bursaries contributed to its targets for employing persons with disabilities</w:t>
      </w:r>
      <w:r w:rsidR="007427A1" w:rsidRPr="005C1B1B">
        <w:rPr>
          <w:rFonts w:ascii="Arial" w:eastAsia="Calibri" w:hAnsi="Arial" w:cs="Arial"/>
          <w:color w:val="000000" w:themeColor="text1"/>
          <w:sz w:val="20"/>
          <w:szCs w:val="20"/>
          <w:lang w:val="en-GB"/>
        </w:rPr>
        <w:t>.</w:t>
      </w:r>
    </w:p>
    <w:p w:rsidR="000E7EE3" w:rsidRPr="005C1B1B" w:rsidRDefault="00382488" w:rsidP="005C1B1B">
      <w:pPr>
        <w:spacing w:after="0" w:line="240" w:lineRule="auto"/>
        <w:ind w:left="720" w:hanging="720"/>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3.6</w:t>
      </w:r>
      <w:r w:rsidRPr="005C1B1B">
        <w:rPr>
          <w:rFonts w:ascii="Arial" w:eastAsia="Calibri" w:hAnsi="Arial" w:cs="Arial"/>
          <w:color w:val="000000" w:themeColor="text1"/>
          <w:sz w:val="20"/>
          <w:szCs w:val="20"/>
          <w:lang w:val="en-GB"/>
        </w:rPr>
        <w:tab/>
      </w:r>
      <w:r w:rsidR="001C2443" w:rsidRPr="005C1B1B">
        <w:rPr>
          <w:rFonts w:ascii="Arial" w:eastAsia="Calibri" w:hAnsi="Arial" w:cs="Arial"/>
          <w:color w:val="000000" w:themeColor="text1"/>
          <w:sz w:val="20"/>
          <w:szCs w:val="20"/>
          <w:lang w:val="en-GB"/>
        </w:rPr>
        <w:t>In terms of the implementation of the PRMG it was noted that regional roads were in a state of disrepair and that many of the recently constructed roads were of such poor condition that they would be washed away within 2 years</w:t>
      </w:r>
      <w:r w:rsidR="007427A1" w:rsidRPr="005C1B1B">
        <w:rPr>
          <w:rFonts w:ascii="Arial" w:eastAsia="Calibri" w:hAnsi="Arial" w:cs="Arial"/>
          <w:color w:val="000000" w:themeColor="text1"/>
          <w:sz w:val="20"/>
          <w:szCs w:val="20"/>
          <w:lang w:val="en-GB"/>
        </w:rPr>
        <w:t>.</w:t>
      </w:r>
    </w:p>
    <w:p w:rsidR="001C2443" w:rsidRPr="005C1B1B" w:rsidRDefault="000E7EE3" w:rsidP="005C1B1B">
      <w:pPr>
        <w:spacing w:after="0" w:line="240" w:lineRule="auto"/>
        <w:ind w:left="720" w:hanging="720"/>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3.7</w:t>
      </w:r>
      <w:r w:rsidRPr="005C1B1B">
        <w:rPr>
          <w:rFonts w:ascii="Arial" w:eastAsia="Calibri" w:hAnsi="Arial" w:cs="Arial"/>
          <w:color w:val="000000" w:themeColor="text1"/>
          <w:sz w:val="20"/>
          <w:szCs w:val="20"/>
          <w:lang w:val="en-GB"/>
        </w:rPr>
        <w:tab/>
      </w:r>
      <w:r w:rsidR="001C2443" w:rsidRPr="005C1B1B">
        <w:rPr>
          <w:rFonts w:ascii="Arial" w:eastAsia="Calibri" w:hAnsi="Arial" w:cs="Arial"/>
          <w:color w:val="000000" w:themeColor="text1"/>
          <w:sz w:val="20"/>
          <w:szCs w:val="20"/>
          <w:lang w:val="en-GB"/>
        </w:rPr>
        <w:t xml:space="preserve">Provinces were incapable of fixing roads. It was noted that SANRAL currently received </w:t>
      </w:r>
      <w:r w:rsidR="00382488" w:rsidRPr="005C1B1B">
        <w:rPr>
          <w:rFonts w:ascii="Arial" w:eastAsia="Calibri" w:hAnsi="Arial" w:cs="Arial"/>
          <w:color w:val="000000" w:themeColor="text1"/>
          <w:sz w:val="20"/>
          <w:szCs w:val="20"/>
          <w:lang w:val="en-GB"/>
        </w:rPr>
        <w:t xml:space="preserve">     </w:t>
      </w:r>
      <w:r w:rsidR="001C2443" w:rsidRPr="005C1B1B">
        <w:rPr>
          <w:rFonts w:ascii="Arial" w:eastAsia="Calibri" w:hAnsi="Arial" w:cs="Arial"/>
          <w:color w:val="000000" w:themeColor="text1"/>
          <w:sz w:val="20"/>
          <w:szCs w:val="20"/>
          <w:lang w:val="en-GB"/>
        </w:rPr>
        <w:t xml:space="preserve">75% of the budget for road maintenance, compared to the 25% allocated to provinces while SANRAL was responsible for the maintenance of </w:t>
      </w:r>
      <w:r w:rsidR="007427A1" w:rsidRPr="005C1B1B">
        <w:rPr>
          <w:rFonts w:ascii="Arial" w:eastAsia="Calibri" w:hAnsi="Arial" w:cs="Arial"/>
          <w:color w:val="000000" w:themeColor="text1"/>
          <w:sz w:val="20"/>
          <w:szCs w:val="20"/>
          <w:lang w:val="en-GB"/>
        </w:rPr>
        <w:t>a smaller road network.</w:t>
      </w:r>
    </w:p>
    <w:p w:rsidR="001C2443" w:rsidRPr="005C1B1B" w:rsidRDefault="000E7EE3" w:rsidP="005C1B1B">
      <w:pPr>
        <w:spacing w:after="0" w:line="240" w:lineRule="auto"/>
        <w:ind w:left="720" w:hanging="720"/>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3.8</w:t>
      </w:r>
      <w:r w:rsidRPr="005C1B1B">
        <w:rPr>
          <w:rFonts w:ascii="Arial" w:eastAsia="Calibri" w:hAnsi="Arial" w:cs="Arial"/>
          <w:color w:val="000000" w:themeColor="text1"/>
          <w:sz w:val="20"/>
          <w:szCs w:val="20"/>
          <w:lang w:val="en-GB"/>
        </w:rPr>
        <w:tab/>
        <w:t>T</w:t>
      </w:r>
      <w:r w:rsidR="001C2443" w:rsidRPr="005C1B1B">
        <w:rPr>
          <w:rFonts w:ascii="Arial" w:eastAsia="Calibri" w:hAnsi="Arial" w:cs="Arial"/>
          <w:color w:val="000000" w:themeColor="text1"/>
          <w:sz w:val="20"/>
          <w:szCs w:val="20"/>
          <w:lang w:val="en-GB"/>
        </w:rPr>
        <w:t>he amount paid for taxi scrapping was small, if one considered the loss of business by the taxi owners and while the programme remains voluntary it will always be underspent and used under virements</w:t>
      </w:r>
      <w:r w:rsidR="007427A1" w:rsidRPr="005C1B1B">
        <w:rPr>
          <w:rFonts w:ascii="Arial" w:eastAsia="Calibri" w:hAnsi="Arial" w:cs="Arial"/>
          <w:color w:val="000000" w:themeColor="text1"/>
          <w:sz w:val="20"/>
          <w:szCs w:val="20"/>
          <w:lang w:val="en-GB"/>
        </w:rPr>
        <w:t>.</w:t>
      </w:r>
    </w:p>
    <w:p w:rsidR="008D48C9" w:rsidRPr="005C1B1B" w:rsidRDefault="008D48C9" w:rsidP="005C1B1B">
      <w:pPr>
        <w:spacing w:after="0" w:line="240" w:lineRule="auto"/>
        <w:ind w:left="720" w:hanging="720"/>
        <w:rPr>
          <w:rFonts w:ascii="Arial" w:eastAsia="Calibri" w:hAnsi="Arial" w:cs="Arial"/>
          <w:color w:val="000000" w:themeColor="text1"/>
          <w:sz w:val="20"/>
          <w:szCs w:val="20"/>
          <w:lang w:val="en-GB"/>
        </w:rPr>
      </w:pPr>
      <w:r w:rsidRPr="005C1B1B">
        <w:rPr>
          <w:rFonts w:ascii="Arial" w:eastAsia="Calibri" w:hAnsi="Arial" w:cs="Arial"/>
          <w:color w:val="000000" w:themeColor="text1"/>
          <w:sz w:val="20"/>
          <w:szCs w:val="20"/>
          <w:lang w:val="en-GB"/>
        </w:rPr>
        <w:t>3.9</w:t>
      </w:r>
      <w:r w:rsidRPr="005C1B1B">
        <w:rPr>
          <w:rFonts w:ascii="Arial" w:eastAsia="Calibri" w:hAnsi="Arial" w:cs="Arial"/>
          <w:color w:val="000000" w:themeColor="text1"/>
          <w:sz w:val="20"/>
          <w:szCs w:val="20"/>
          <w:lang w:val="en-GB"/>
        </w:rPr>
        <w:tab/>
        <w:t>The Department replies to questions from members were regarded as inadequate and this should be improved on.</w:t>
      </w:r>
    </w:p>
    <w:p w:rsidR="000E7EE3" w:rsidRPr="005C1B1B" w:rsidRDefault="000E7EE3" w:rsidP="005C1B1B">
      <w:pPr>
        <w:spacing w:after="0" w:line="240" w:lineRule="auto"/>
        <w:rPr>
          <w:rFonts w:ascii="Arial" w:eastAsia="Calibri" w:hAnsi="Arial" w:cs="Arial"/>
          <w:color w:val="000000" w:themeColor="text1"/>
          <w:sz w:val="20"/>
          <w:szCs w:val="20"/>
          <w:lang w:val="en-GB"/>
        </w:rPr>
      </w:pPr>
    </w:p>
    <w:p w:rsidR="00D83163" w:rsidRPr="005C1B1B" w:rsidRDefault="00D83163" w:rsidP="005C1B1B">
      <w:pPr>
        <w:pStyle w:val="ListParagraph"/>
        <w:numPr>
          <w:ilvl w:val="0"/>
          <w:numId w:val="16"/>
        </w:numPr>
        <w:spacing w:after="0" w:line="240" w:lineRule="auto"/>
        <w:ind w:hanging="720"/>
        <w:rPr>
          <w:rFonts w:ascii="Arial" w:hAnsi="Arial" w:cs="Arial"/>
          <w:b/>
          <w:sz w:val="20"/>
          <w:szCs w:val="20"/>
          <w:lang w:val="en-GB"/>
        </w:rPr>
      </w:pPr>
      <w:r w:rsidRPr="005C1B1B">
        <w:rPr>
          <w:rFonts w:ascii="Arial" w:hAnsi="Arial" w:cs="Arial"/>
          <w:b/>
          <w:sz w:val="20"/>
          <w:szCs w:val="20"/>
          <w:lang w:val="en-GB"/>
        </w:rPr>
        <w:t xml:space="preserve"> COMMITTEE RECOMMENDATIONS</w:t>
      </w:r>
    </w:p>
    <w:p w:rsidR="00D83163" w:rsidRPr="005C1B1B" w:rsidRDefault="00D83163" w:rsidP="005C1B1B">
      <w:pPr>
        <w:spacing w:after="0" w:line="240" w:lineRule="auto"/>
        <w:ind w:left="360"/>
        <w:contextualSpacing/>
        <w:rPr>
          <w:rFonts w:ascii="Arial" w:hAnsi="Arial" w:cs="Arial"/>
          <w:b/>
          <w:sz w:val="20"/>
          <w:szCs w:val="20"/>
          <w:lang w:val="en-GB"/>
        </w:rPr>
      </w:pPr>
    </w:p>
    <w:p w:rsidR="002C5C84" w:rsidRPr="005C1B1B" w:rsidRDefault="00D83163" w:rsidP="005C1B1B">
      <w:pPr>
        <w:spacing w:after="0" w:line="240" w:lineRule="auto"/>
        <w:rPr>
          <w:rFonts w:ascii="Arial" w:hAnsi="Arial" w:cs="Arial"/>
          <w:sz w:val="20"/>
          <w:szCs w:val="20"/>
          <w:lang w:val="en-GB"/>
        </w:rPr>
      </w:pPr>
      <w:r w:rsidRPr="005C1B1B">
        <w:rPr>
          <w:rFonts w:ascii="Arial" w:hAnsi="Arial" w:cs="Arial"/>
          <w:sz w:val="20"/>
          <w:szCs w:val="20"/>
          <w:lang w:val="en-GB"/>
        </w:rPr>
        <w:t>The Committee recommends that the Minister, through the Department, should ensure the following:</w:t>
      </w:r>
    </w:p>
    <w:p w:rsidR="002C5C84" w:rsidRPr="005C1B1B" w:rsidRDefault="002C5C84" w:rsidP="005C1B1B">
      <w:pPr>
        <w:pStyle w:val="ListParagraph"/>
        <w:numPr>
          <w:ilvl w:val="1"/>
          <w:numId w:val="16"/>
        </w:numPr>
        <w:spacing w:after="0" w:line="240" w:lineRule="auto"/>
        <w:rPr>
          <w:rFonts w:ascii="Arial" w:hAnsi="Arial" w:cs="Arial"/>
          <w:sz w:val="20"/>
          <w:szCs w:val="20"/>
          <w:lang w:val="en-GB"/>
        </w:rPr>
      </w:pPr>
      <w:r w:rsidRPr="005C1B1B">
        <w:rPr>
          <w:rFonts w:ascii="Arial" w:hAnsi="Arial" w:cs="Arial"/>
          <w:sz w:val="20"/>
          <w:szCs w:val="20"/>
          <w:lang w:val="en-GB"/>
        </w:rPr>
        <w:t>The Department should provide re</w:t>
      </w:r>
      <w:r w:rsidR="00626279" w:rsidRPr="005C1B1B">
        <w:rPr>
          <w:rFonts w:ascii="Arial" w:hAnsi="Arial" w:cs="Arial"/>
          <w:sz w:val="20"/>
          <w:szCs w:val="20"/>
          <w:lang w:val="en-GB"/>
        </w:rPr>
        <w:t xml:space="preserve">asons for expenditure delays on </w:t>
      </w:r>
      <w:r w:rsidRPr="005C1B1B">
        <w:rPr>
          <w:rFonts w:ascii="Arial" w:hAnsi="Arial" w:cs="Arial"/>
          <w:sz w:val="20"/>
          <w:szCs w:val="20"/>
          <w:lang w:val="en-GB"/>
        </w:rPr>
        <w:t>Goods and Services and the Compensation of Employees.</w:t>
      </w:r>
    </w:p>
    <w:p w:rsidR="004D7B40" w:rsidRPr="005C1B1B" w:rsidRDefault="00626279" w:rsidP="005C1B1B">
      <w:pPr>
        <w:pStyle w:val="ListParagraph"/>
        <w:numPr>
          <w:ilvl w:val="1"/>
          <w:numId w:val="16"/>
        </w:numPr>
        <w:spacing w:after="0" w:line="240" w:lineRule="auto"/>
        <w:rPr>
          <w:rFonts w:ascii="Arial" w:hAnsi="Arial" w:cs="Arial"/>
          <w:sz w:val="20"/>
          <w:szCs w:val="20"/>
          <w:lang w:val="en-GB"/>
        </w:rPr>
      </w:pPr>
      <w:r w:rsidRPr="005C1B1B">
        <w:rPr>
          <w:rFonts w:ascii="Arial" w:hAnsi="Arial" w:cs="Arial"/>
          <w:sz w:val="20"/>
          <w:szCs w:val="20"/>
          <w:lang w:val="en-GB"/>
        </w:rPr>
        <w:t xml:space="preserve">The </w:t>
      </w:r>
      <w:r w:rsidR="004D7B40" w:rsidRPr="005C1B1B">
        <w:rPr>
          <w:rFonts w:ascii="Arial" w:hAnsi="Arial" w:cs="Arial"/>
          <w:sz w:val="20"/>
          <w:szCs w:val="20"/>
          <w:lang w:val="en-GB"/>
        </w:rPr>
        <w:t>Department should provide reasons for the und</w:t>
      </w:r>
      <w:r w:rsidRPr="005C1B1B">
        <w:rPr>
          <w:rFonts w:ascii="Arial" w:hAnsi="Arial" w:cs="Arial"/>
          <w:sz w:val="20"/>
          <w:szCs w:val="20"/>
          <w:lang w:val="en-GB"/>
        </w:rPr>
        <w:t>er-expenditure</w:t>
      </w:r>
      <w:r w:rsidR="004D7B40" w:rsidRPr="005C1B1B">
        <w:rPr>
          <w:rFonts w:ascii="Arial" w:hAnsi="Arial" w:cs="Arial"/>
          <w:sz w:val="20"/>
          <w:szCs w:val="20"/>
          <w:lang w:val="en-GB"/>
        </w:rPr>
        <w:t xml:space="preserve"> </w:t>
      </w:r>
      <w:r w:rsidRPr="005C1B1B">
        <w:rPr>
          <w:rFonts w:ascii="Arial" w:hAnsi="Arial" w:cs="Arial"/>
          <w:sz w:val="20"/>
          <w:szCs w:val="20"/>
          <w:lang w:val="en-GB"/>
        </w:rPr>
        <w:t>and should</w:t>
      </w:r>
      <w:r w:rsidR="004D7B40" w:rsidRPr="005C1B1B">
        <w:rPr>
          <w:rFonts w:ascii="Arial" w:hAnsi="Arial" w:cs="Arial"/>
          <w:sz w:val="20"/>
          <w:szCs w:val="20"/>
          <w:lang w:val="en-GB"/>
        </w:rPr>
        <w:t xml:space="preserve"> </w:t>
      </w:r>
      <w:r w:rsidRPr="005C1B1B">
        <w:rPr>
          <w:rFonts w:ascii="Arial" w:hAnsi="Arial" w:cs="Arial"/>
          <w:sz w:val="20"/>
          <w:szCs w:val="20"/>
          <w:lang w:val="en-GB"/>
        </w:rPr>
        <w:t xml:space="preserve">indicate whether it has </w:t>
      </w:r>
      <w:r w:rsidR="004D7B40" w:rsidRPr="005C1B1B">
        <w:rPr>
          <w:rFonts w:ascii="Arial" w:hAnsi="Arial" w:cs="Arial"/>
          <w:sz w:val="20"/>
          <w:szCs w:val="20"/>
          <w:lang w:val="en-GB"/>
        </w:rPr>
        <w:t>plans to stop the under-expenditure.</w:t>
      </w:r>
    </w:p>
    <w:p w:rsidR="008D48C9" w:rsidRPr="005C1B1B" w:rsidRDefault="00F418BB" w:rsidP="005C1B1B">
      <w:pPr>
        <w:pStyle w:val="ListParagraph"/>
        <w:numPr>
          <w:ilvl w:val="1"/>
          <w:numId w:val="16"/>
        </w:numPr>
        <w:spacing w:after="0" w:line="240" w:lineRule="auto"/>
        <w:rPr>
          <w:rFonts w:ascii="Arial" w:hAnsi="Arial" w:cs="Arial"/>
          <w:sz w:val="20"/>
          <w:szCs w:val="20"/>
          <w:lang w:val="en-GB"/>
        </w:rPr>
      </w:pPr>
      <w:r w:rsidRPr="005C1B1B">
        <w:rPr>
          <w:rFonts w:ascii="Arial" w:hAnsi="Arial" w:cs="Arial"/>
          <w:sz w:val="20"/>
          <w:szCs w:val="20"/>
          <w:lang w:val="en-GB"/>
        </w:rPr>
        <w:t>The Department should ensure alignment of the KPIs to achieve actual service delivery during the finalisation of the 2023/24 Annual Performance Plan as well as future Strategic Plans.</w:t>
      </w:r>
    </w:p>
    <w:p w:rsidR="00F418BB" w:rsidRPr="005C1B1B" w:rsidRDefault="00F418BB" w:rsidP="005C1B1B">
      <w:pPr>
        <w:pStyle w:val="ListParagraph"/>
        <w:numPr>
          <w:ilvl w:val="1"/>
          <w:numId w:val="16"/>
        </w:numPr>
        <w:spacing w:after="0" w:line="240" w:lineRule="auto"/>
        <w:rPr>
          <w:rFonts w:ascii="Arial" w:hAnsi="Arial" w:cs="Arial"/>
          <w:sz w:val="20"/>
          <w:szCs w:val="20"/>
          <w:lang w:val="en-GB"/>
        </w:rPr>
      </w:pPr>
      <w:r w:rsidRPr="005C1B1B">
        <w:rPr>
          <w:rFonts w:ascii="Arial" w:hAnsi="Arial" w:cs="Arial"/>
          <w:sz w:val="20"/>
          <w:szCs w:val="20"/>
          <w:lang w:val="en-GB"/>
        </w:rPr>
        <w:t xml:space="preserve">The Department should report back to the committee during each quarterly expenditure meeting on the progress in resolving the issues around scholar transport regulation as well as progress in delivering the </w:t>
      </w:r>
      <w:r w:rsidRPr="005C1B1B">
        <w:rPr>
          <w:rFonts w:ascii="Arial" w:hAnsi="Arial" w:cs="Arial"/>
          <w:i/>
          <w:sz w:val="20"/>
          <w:szCs w:val="20"/>
          <w:lang w:val="en-GB"/>
        </w:rPr>
        <w:t xml:space="preserve">Shova Kalula </w:t>
      </w:r>
      <w:r w:rsidRPr="005C1B1B">
        <w:rPr>
          <w:rFonts w:ascii="Arial" w:hAnsi="Arial" w:cs="Arial"/>
          <w:sz w:val="20"/>
          <w:szCs w:val="20"/>
          <w:lang w:val="en-GB"/>
        </w:rPr>
        <w:t>programme</w:t>
      </w:r>
      <w:r w:rsidR="000756CB" w:rsidRPr="005C1B1B">
        <w:rPr>
          <w:rFonts w:ascii="Arial" w:hAnsi="Arial" w:cs="Arial"/>
          <w:sz w:val="20"/>
          <w:szCs w:val="20"/>
          <w:lang w:val="en-GB"/>
        </w:rPr>
        <w:t>.</w:t>
      </w:r>
    </w:p>
    <w:p w:rsidR="00F418BB" w:rsidRPr="005C1B1B" w:rsidRDefault="000756CB" w:rsidP="005C1B1B">
      <w:pPr>
        <w:pStyle w:val="ListParagraph"/>
        <w:numPr>
          <w:ilvl w:val="1"/>
          <w:numId w:val="16"/>
        </w:numPr>
        <w:spacing w:after="0" w:line="240" w:lineRule="auto"/>
        <w:rPr>
          <w:rFonts w:ascii="Arial" w:hAnsi="Arial" w:cs="Arial"/>
          <w:sz w:val="20"/>
          <w:szCs w:val="20"/>
          <w:lang w:val="en-GB"/>
        </w:rPr>
      </w:pPr>
      <w:r w:rsidRPr="005C1B1B">
        <w:rPr>
          <w:rFonts w:ascii="Arial" w:hAnsi="Arial" w:cs="Arial"/>
          <w:sz w:val="20"/>
          <w:szCs w:val="20"/>
          <w:lang w:val="en-GB"/>
        </w:rPr>
        <w:t>The Department should improve on its monitoring, audit, tracking and intervention in the implementation of the PRMG in order to improve on regional road quality and receiving quality road works that can add to the longevity of the road network.</w:t>
      </w:r>
    </w:p>
    <w:p w:rsidR="000756CB" w:rsidRPr="005C1B1B" w:rsidRDefault="000756CB" w:rsidP="005C1B1B">
      <w:pPr>
        <w:pStyle w:val="ListParagraph"/>
        <w:numPr>
          <w:ilvl w:val="1"/>
          <w:numId w:val="16"/>
        </w:numPr>
        <w:spacing w:after="0" w:line="240" w:lineRule="auto"/>
        <w:rPr>
          <w:rFonts w:ascii="Arial" w:hAnsi="Arial" w:cs="Arial"/>
          <w:sz w:val="20"/>
          <w:szCs w:val="20"/>
          <w:lang w:val="en-GB"/>
        </w:rPr>
      </w:pPr>
      <w:r w:rsidRPr="005C1B1B">
        <w:rPr>
          <w:rFonts w:ascii="Arial" w:hAnsi="Arial" w:cs="Arial"/>
          <w:sz w:val="20"/>
          <w:szCs w:val="20"/>
          <w:lang w:val="en-GB"/>
        </w:rPr>
        <w:t>The Department should ensure that measures are put in place to improve on the uptake of taxi scrapping under the Revised Taxi Recapitalisation Programme and report back during the next quarterly expenditure meeting on progress.</w:t>
      </w:r>
    </w:p>
    <w:p w:rsidR="00626279" w:rsidRPr="005C1B1B" w:rsidRDefault="000756CB" w:rsidP="005C1B1B">
      <w:pPr>
        <w:pStyle w:val="ListParagraph"/>
        <w:spacing w:after="0" w:line="240" w:lineRule="auto"/>
        <w:rPr>
          <w:rFonts w:ascii="Arial" w:hAnsi="Arial" w:cs="Arial"/>
          <w:sz w:val="20"/>
          <w:szCs w:val="20"/>
          <w:lang w:val="en-GB"/>
        </w:rPr>
      </w:pPr>
      <w:r w:rsidRPr="005C1B1B">
        <w:rPr>
          <w:rFonts w:ascii="Arial" w:hAnsi="Arial" w:cs="Arial"/>
          <w:sz w:val="20"/>
          <w:szCs w:val="20"/>
          <w:lang w:val="en-GB"/>
        </w:rPr>
        <w:t xml:space="preserve"> </w:t>
      </w:r>
    </w:p>
    <w:p w:rsidR="00626279" w:rsidRPr="005C1B1B" w:rsidRDefault="00626279" w:rsidP="005C1B1B">
      <w:pPr>
        <w:spacing w:after="0" w:line="240" w:lineRule="auto"/>
        <w:rPr>
          <w:rFonts w:ascii="Arial" w:hAnsi="Arial" w:cs="Arial"/>
          <w:sz w:val="20"/>
          <w:szCs w:val="20"/>
          <w:lang w:val="en-GB"/>
        </w:rPr>
      </w:pPr>
      <w:r w:rsidRPr="005C1B1B">
        <w:rPr>
          <w:rFonts w:ascii="Arial" w:hAnsi="Arial" w:cs="Arial"/>
          <w:sz w:val="20"/>
          <w:szCs w:val="20"/>
          <w:lang w:val="en-GB"/>
        </w:rPr>
        <w:t>Report to be considered.</w:t>
      </w:r>
    </w:p>
    <w:p w:rsidR="004D7B40" w:rsidRPr="005C1B1B" w:rsidRDefault="004D7B40" w:rsidP="005C1B1B">
      <w:pPr>
        <w:spacing w:after="0" w:line="240" w:lineRule="auto"/>
        <w:ind w:left="360"/>
        <w:rPr>
          <w:rFonts w:ascii="Arial" w:hAnsi="Arial" w:cs="Arial"/>
          <w:sz w:val="20"/>
          <w:szCs w:val="20"/>
          <w:lang w:val="en-GB"/>
        </w:rPr>
      </w:pPr>
    </w:p>
    <w:p w:rsidR="00D83163" w:rsidRPr="005C1B1B" w:rsidRDefault="00D83163" w:rsidP="005C1B1B">
      <w:pPr>
        <w:spacing w:after="0" w:line="240" w:lineRule="auto"/>
        <w:rPr>
          <w:rFonts w:ascii="Arial" w:eastAsia="Calibri" w:hAnsi="Arial" w:cs="Arial"/>
          <w:color w:val="000000" w:themeColor="text1"/>
          <w:sz w:val="20"/>
          <w:szCs w:val="20"/>
          <w:lang w:val="en-GB"/>
        </w:rPr>
      </w:pPr>
    </w:p>
    <w:sectPr w:rsidR="00D83163" w:rsidRPr="005C1B1B" w:rsidSect="009F0D1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B25" w:rsidRDefault="00F60B25" w:rsidP="00611B06">
      <w:pPr>
        <w:spacing w:after="0" w:line="240" w:lineRule="auto"/>
      </w:pPr>
      <w:r>
        <w:separator/>
      </w:r>
    </w:p>
  </w:endnote>
  <w:endnote w:type="continuationSeparator" w:id="0">
    <w:p w:rsidR="00F60B25" w:rsidRDefault="00F60B25" w:rsidP="00611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B25" w:rsidRDefault="00F60B25" w:rsidP="00611B06">
      <w:pPr>
        <w:spacing w:after="0" w:line="240" w:lineRule="auto"/>
      </w:pPr>
      <w:r>
        <w:separator/>
      </w:r>
    </w:p>
  </w:footnote>
  <w:footnote w:type="continuationSeparator" w:id="0">
    <w:p w:rsidR="00F60B25" w:rsidRDefault="00F60B25" w:rsidP="00611B06">
      <w:pPr>
        <w:spacing w:after="0" w:line="240" w:lineRule="auto"/>
      </w:pPr>
      <w:r>
        <w:continuationSeparator/>
      </w:r>
    </w:p>
  </w:footnote>
  <w:footnote w:id="1">
    <w:p w:rsidR="00611B06" w:rsidRPr="007C06D1" w:rsidRDefault="00611B06" w:rsidP="007C06D1">
      <w:pPr>
        <w:pStyle w:val="fnChar1"/>
        <w:tabs>
          <w:tab w:val="left" w:pos="5453"/>
        </w:tabs>
        <w:spacing w:line="280" w:lineRule="exact"/>
        <w:rPr>
          <w:rFonts w:ascii="Times New Roman" w:hAnsi="Times New Roman" w:cs="Times New Roman"/>
          <w:lang w:val="en-ZA"/>
        </w:rPr>
      </w:pPr>
      <w:r w:rsidRPr="007C06D1">
        <w:rPr>
          <w:rStyle w:val="FootnoteReference"/>
          <w:rFonts w:ascii="Times New Roman" w:hAnsi="Times New Roman" w:cs="Times New Roman"/>
        </w:rPr>
        <w:footnoteRef/>
      </w:r>
      <w:r w:rsidRPr="007C06D1">
        <w:rPr>
          <w:rFonts w:ascii="Times New Roman" w:hAnsi="Times New Roman" w:cs="Times New Roman"/>
        </w:rPr>
        <w:t xml:space="preserve"> National Treasury (2022a), p. 145.</w:t>
      </w:r>
      <w:r w:rsidR="00373224" w:rsidRPr="007C06D1">
        <w:rPr>
          <w:rFonts w:ascii="Times New Roman" w:hAnsi="Times New Roman" w:cs="Times New Roman"/>
        </w:rPr>
        <w:tab/>
      </w:r>
    </w:p>
  </w:footnote>
  <w:footnote w:id="2">
    <w:p w:rsidR="00611B06" w:rsidRPr="007C06D1" w:rsidRDefault="00611B06" w:rsidP="00611B06">
      <w:pPr>
        <w:pStyle w:val="fnChar1"/>
        <w:spacing w:line="280" w:lineRule="exact"/>
        <w:rPr>
          <w:rFonts w:ascii="Times New Roman" w:hAnsi="Times New Roman" w:cs="Times New Roman"/>
          <w:lang w:val="en-ZA"/>
        </w:rPr>
      </w:pPr>
      <w:r w:rsidRPr="007C06D1">
        <w:rPr>
          <w:rStyle w:val="FootnoteReference"/>
          <w:rFonts w:ascii="Times New Roman" w:hAnsi="Times New Roman" w:cs="Times New Roman"/>
        </w:rPr>
        <w:footnoteRef/>
      </w:r>
      <w:r w:rsidRPr="007C06D1">
        <w:rPr>
          <w:rFonts w:ascii="Times New Roman" w:hAnsi="Times New Roman" w:cs="Times New Roman"/>
          <w:lang w:val="en-ZA"/>
        </w:rPr>
        <w:t xml:space="preserve"> </w:t>
      </w:r>
      <w:r w:rsidR="00517596" w:rsidRPr="00517596">
        <w:rPr>
          <w:rFonts w:ascii="Times New Roman" w:hAnsi="Times New Roman" w:cs="Times New Roman"/>
          <w:lang w:val="en-ZA"/>
        </w:rPr>
        <w:t>National Treasury (2022a), p. 145.</w:t>
      </w:r>
    </w:p>
  </w:footnote>
  <w:footnote w:id="3">
    <w:p w:rsidR="00611B06" w:rsidRPr="007C06D1" w:rsidRDefault="00611B06" w:rsidP="00611B06">
      <w:pPr>
        <w:pStyle w:val="fnChar1"/>
        <w:spacing w:line="280" w:lineRule="exact"/>
        <w:rPr>
          <w:rFonts w:ascii="Times New Roman" w:hAnsi="Times New Roman" w:cs="Times New Roman"/>
          <w:lang w:val="en-ZA"/>
        </w:rPr>
      </w:pPr>
      <w:r w:rsidRPr="007C06D1">
        <w:rPr>
          <w:rStyle w:val="FootnoteReference"/>
          <w:rFonts w:ascii="Times New Roman" w:hAnsi="Times New Roman" w:cs="Times New Roman"/>
        </w:rPr>
        <w:footnoteRef/>
      </w:r>
      <w:r w:rsidRPr="007C06D1">
        <w:rPr>
          <w:rFonts w:ascii="Times New Roman" w:hAnsi="Times New Roman" w:cs="Times New Roman"/>
        </w:rPr>
        <w:t xml:space="preserve"> </w:t>
      </w:r>
      <w:r w:rsidR="00517596" w:rsidRPr="00517596">
        <w:rPr>
          <w:rFonts w:ascii="Times New Roman" w:hAnsi="Times New Roman" w:cs="Times New Roman"/>
        </w:rPr>
        <w:t>N</w:t>
      </w:r>
      <w:r w:rsidR="00CF1822">
        <w:rPr>
          <w:rFonts w:ascii="Times New Roman" w:hAnsi="Times New Roman" w:cs="Times New Roman"/>
        </w:rPr>
        <w:t>ational Treasury (2022a)</w:t>
      </w:r>
      <w:r w:rsidRPr="007C06D1">
        <w:rPr>
          <w:rFonts w:ascii="Times New Roman" w:hAnsi="Times New Roman" w:cs="Times New Roman"/>
        </w:rPr>
        <w:t>, p. 147.</w:t>
      </w:r>
    </w:p>
  </w:footnote>
  <w:footnote w:id="4">
    <w:p w:rsidR="00611B06" w:rsidRPr="007C06D1" w:rsidRDefault="00611B06" w:rsidP="00611B06">
      <w:pPr>
        <w:pStyle w:val="fnChar1"/>
        <w:spacing w:line="280" w:lineRule="exact"/>
        <w:rPr>
          <w:rFonts w:ascii="Times New Roman" w:hAnsi="Times New Roman" w:cs="Times New Roman"/>
          <w:lang w:val="en-ZA"/>
        </w:rPr>
      </w:pPr>
      <w:r w:rsidRPr="007C06D1">
        <w:rPr>
          <w:rStyle w:val="FootnoteReference"/>
          <w:rFonts w:ascii="Times New Roman" w:hAnsi="Times New Roman" w:cs="Times New Roman"/>
        </w:rPr>
        <w:footnoteRef/>
      </w:r>
      <w:r w:rsidRPr="007C06D1">
        <w:rPr>
          <w:rFonts w:ascii="Times New Roman" w:hAnsi="Times New Roman" w:cs="Times New Roman"/>
        </w:rPr>
        <w:t xml:space="preserve"> Ibid.</w:t>
      </w:r>
    </w:p>
  </w:footnote>
  <w:footnote w:id="5">
    <w:p w:rsidR="00611B06" w:rsidRPr="007C06D1" w:rsidRDefault="00611B06" w:rsidP="00611B06">
      <w:pPr>
        <w:pStyle w:val="fnChar1"/>
        <w:spacing w:line="280" w:lineRule="exact"/>
        <w:rPr>
          <w:rFonts w:ascii="Times New Roman" w:hAnsi="Times New Roman" w:cs="Times New Roman"/>
          <w:lang w:val="en-ZA"/>
        </w:rPr>
      </w:pPr>
      <w:r w:rsidRPr="007C06D1">
        <w:rPr>
          <w:rStyle w:val="FootnoteReference"/>
          <w:rFonts w:ascii="Times New Roman" w:hAnsi="Times New Roman" w:cs="Times New Roman"/>
        </w:rPr>
        <w:footnoteRef/>
      </w:r>
      <w:r w:rsidRPr="007C06D1">
        <w:rPr>
          <w:rFonts w:ascii="Times New Roman" w:hAnsi="Times New Roman" w:cs="Times New Roman"/>
        </w:rPr>
        <w:t xml:space="preserve"> </w:t>
      </w:r>
      <w:r w:rsidR="00517596" w:rsidRPr="00517596">
        <w:rPr>
          <w:rFonts w:ascii="Times New Roman" w:hAnsi="Times New Roman" w:cs="Times New Roman"/>
        </w:rPr>
        <w:t>N</w:t>
      </w:r>
      <w:r w:rsidR="00517596">
        <w:rPr>
          <w:rFonts w:ascii="Times New Roman" w:hAnsi="Times New Roman" w:cs="Times New Roman"/>
        </w:rPr>
        <w:t>ational Treasury (2022a), p. 147</w:t>
      </w:r>
      <w:r w:rsidR="00517596" w:rsidRPr="00517596">
        <w:rPr>
          <w:rFonts w:ascii="Times New Roman" w:hAnsi="Times New Roman" w:cs="Times New Roman"/>
        </w:rPr>
        <w:t>.</w:t>
      </w:r>
    </w:p>
  </w:footnote>
  <w:footnote w:id="6">
    <w:p w:rsidR="00611B06" w:rsidRPr="007C06D1" w:rsidRDefault="00611B06" w:rsidP="00611B06">
      <w:pPr>
        <w:pStyle w:val="fnChar1"/>
        <w:spacing w:line="280" w:lineRule="exact"/>
        <w:rPr>
          <w:rFonts w:ascii="Times New Roman" w:hAnsi="Times New Roman" w:cs="Times New Roman"/>
          <w:lang w:val="en-ZA"/>
        </w:rPr>
      </w:pPr>
      <w:r w:rsidRPr="007C06D1">
        <w:rPr>
          <w:rStyle w:val="FootnoteReference"/>
          <w:rFonts w:ascii="Times New Roman" w:hAnsi="Times New Roman" w:cs="Times New Roman"/>
        </w:rPr>
        <w:footnoteRef/>
      </w:r>
      <w:r w:rsidRPr="007C06D1">
        <w:rPr>
          <w:rFonts w:ascii="Times New Roman" w:hAnsi="Times New Roman" w:cs="Times New Roman"/>
        </w:rPr>
        <w:t xml:space="preserve"> National Treasury (2022a), p. 146.</w:t>
      </w:r>
    </w:p>
  </w:footnote>
  <w:footnote w:id="7">
    <w:p w:rsidR="00611B06" w:rsidRPr="007C06D1" w:rsidRDefault="00611B06" w:rsidP="00611B06">
      <w:pPr>
        <w:pStyle w:val="fnChar1"/>
        <w:spacing w:line="280" w:lineRule="exact"/>
        <w:rPr>
          <w:rFonts w:ascii="Times New Roman" w:hAnsi="Times New Roman" w:cs="Times New Roman"/>
          <w:lang w:val="en-ZA"/>
        </w:rPr>
      </w:pPr>
      <w:r w:rsidRPr="007C06D1">
        <w:rPr>
          <w:rStyle w:val="FootnoteReference"/>
          <w:rFonts w:ascii="Times New Roman" w:hAnsi="Times New Roman" w:cs="Times New Roman"/>
        </w:rPr>
        <w:footnoteRef/>
      </w:r>
      <w:r w:rsidRPr="007C06D1">
        <w:rPr>
          <w:rFonts w:ascii="Times New Roman" w:hAnsi="Times New Roman" w:cs="Times New Roman"/>
        </w:rPr>
        <w:t xml:space="preserve"> National Treasury (2022a), p. 146.</w:t>
      </w:r>
    </w:p>
  </w:footnote>
  <w:footnote w:id="8">
    <w:p w:rsidR="00611B06" w:rsidRPr="007C06D1" w:rsidRDefault="00611B06" w:rsidP="00611B06">
      <w:pPr>
        <w:pStyle w:val="fnChar1"/>
        <w:spacing w:line="240" w:lineRule="exact"/>
        <w:rPr>
          <w:rFonts w:ascii="Times New Roman" w:hAnsi="Times New Roman" w:cs="Times New Roman"/>
          <w:lang w:val="en-ZA"/>
        </w:rPr>
      </w:pPr>
      <w:r w:rsidRPr="007C06D1">
        <w:rPr>
          <w:rStyle w:val="FootnoteReference"/>
          <w:rFonts w:ascii="Times New Roman" w:hAnsi="Times New Roman" w:cs="Times New Roman"/>
        </w:rPr>
        <w:footnoteRef/>
      </w:r>
      <w:r w:rsidRPr="007C06D1">
        <w:rPr>
          <w:rFonts w:ascii="Times New Roman" w:hAnsi="Times New Roman" w:cs="Times New Roman"/>
        </w:rPr>
        <w:t xml:space="preserve"> Ibid.</w:t>
      </w:r>
    </w:p>
  </w:footnote>
  <w:footnote w:id="9">
    <w:p w:rsidR="00611B06" w:rsidRPr="007C06D1" w:rsidRDefault="00611B06" w:rsidP="00611B06">
      <w:pPr>
        <w:pStyle w:val="fnChar1"/>
        <w:spacing w:line="280" w:lineRule="exact"/>
        <w:rPr>
          <w:rFonts w:ascii="Times New Roman" w:hAnsi="Times New Roman" w:cs="Times New Roman"/>
          <w:lang w:val="en-ZA"/>
        </w:rPr>
      </w:pPr>
      <w:r w:rsidRPr="007C06D1">
        <w:rPr>
          <w:rStyle w:val="FootnoteReference"/>
          <w:rFonts w:ascii="Times New Roman" w:hAnsi="Times New Roman" w:cs="Times New Roman"/>
        </w:rPr>
        <w:footnoteRef/>
      </w:r>
      <w:r w:rsidRPr="007C06D1">
        <w:rPr>
          <w:rFonts w:ascii="Times New Roman" w:hAnsi="Times New Roman" w:cs="Times New Roman"/>
        </w:rPr>
        <w:t xml:space="preserve"> Ibid.</w:t>
      </w:r>
    </w:p>
  </w:footnote>
  <w:footnote w:id="10">
    <w:p w:rsidR="00611B06" w:rsidRPr="007C06D1" w:rsidRDefault="00611B06" w:rsidP="00611B06">
      <w:pPr>
        <w:pStyle w:val="fnChar1"/>
        <w:spacing w:line="280" w:lineRule="exact"/>
        <w:rPr>
          <w:rFonts w:ascii="Times New Roman" w:hAnsi="Times New Roman" w:cs="Times New Roman"/>
          <w:lang w:val="en-ZA"/>
        </w:rPr>
      </w:pPr>
      <w:r w:rsidRPr="007C06D1">
        <w:rPr>
          <w:rStyle w:val="FootnoteReference"/>
          <w:rFonts w:ascii="Times New Roman" w:hAnsi="Times New Roman" w:cs="Times New Roman"/>
        </w:rPr>
        <w:footnoteRef/>
      </w:r>
      <w:r w:rsidRPr="007C06D1">
        <w:rPr>
          <w:rFonts w:ascii="Times New Roman" w:hAnsi="Times New Roman" w:cs="Times New Roman"/>
        </w:rPr>
        <w:t xml:space="preserve"> </w:t>
      </w:r>
      <w:r w:rsidR="00CF1822">
        <w:rPr>
          <w:rFonts w:ascii="Times New Roman" w:hAnsi="Times New Roman" w:cs="Times New Roman"/>
        </w:rPr>
        <w:t>Ibid.</w:t>
      </w:r>
    </w:p>
  </w:footnote>
  <w:footnote w:id="11">
    <w:p w:rsidR="00611B06" w:rsidRPr="007C06D1" w:rsidRDefault="00611B06" w:rsidP="00611B06">
      <w:pPr>
        <w:pStyle w:val="fnChar1"/>
        <w:spacing w:line="280" w:lineRule="exact"/>
        <w:rPr>
          <w:rFonts w:ascii="Times New Roman" w:hAnsi="Times New Roman" w:cs="Times New Roman"/>
          <w:lang w:val="en-ZA"/>
        </w:rPr>
      </w:pPr>
      <w:r w:rsidRPr="007C06D1">
        <w:rPr>
          <w:rStyle w:val="FootnoteReference"/>
          <w:rFonts w:ascii="Times New Roman" w:hAnsi="Times New Roman" w:cs="Times New Roman"/>
        </w:rPr>
        <w:footnoteRef/>
      </w:r>
      <w:r w:rsidRPr="007C06D1">
        <w:rPr>
          <w:rFonts w:ascii="Times New Roman" w:hAnsi="Times New Roman" w:cs="Times New Roman"/>
        </w:rPr>
        <w:t xml:space="preserve"> </w:t>
      </w:r>
      <w:r w:rsidR="00CF1822" w:rsidRPr="00CF1822">
        <w:rPr>
          <w:rFonts w:ascii="Times New Roman" w:hAnsi="Times New Roman" w:cs="Times New Roman"/>
        </w:rPr>
        <w:t>National Treasury (2022a), p. 146</w:t>
      </w:r>
      <w:r w:rsidR="00CF1822">
        <w:rPr>
          <w:rFonts w:ascii="Times New Roman" w:hAnsi="Times New Roman" w:cs="Times New Roman"/>
        </w:rPr>
        <w:t>.</w:t>
      </w:r>
    </w:p>
  </w:footnote>
  <w:footnote w:id="12">
    <w:p w:rsidR="00611B06" w:rsidRPr="007C06D1" w:rsidRDefault="00611B06" w:rsidP="00611B06">
      <w:pPr>
        <w:pStyle w:val="fnChar1"/>
        <w:spacing w:line="280" w:lineRule="exact"/>
        <w:rPr>
          <w:rFonts w:ascii="Times New Roman" w:hAnsi="Times New Roman" w:cs="Times New Roman"/>
          <w:lang w:val="en-ZA"/>
        </w:rPr>
      </w:pPr>
      <w:r w:rsidRPr="007C06D1">
        <w:rPr>
          <w:rStyle w:val="FootnoteReference"/>
          <w:rFonts w:ascii="Times New Roman" w:hAnsi="Times New Roman" w:cs="Times New Roman"/>
        </w:rPr>
        <w:footnoteRef/>
      </w:r>
      <w:r w:rsidRPr="007C06D1">
        <w:rPr>
          <w:rFonts w:ascii="Times New Roman" w:hAnsi="Times New Roman" w:cs="Times New Roman"/>
        </w:rPr>
        <w:t xml:space="preserve"> </w:t>
      </w:r>
      <w:r w:rsidR="00517596">
        <w:rPr>
          <w:rFonts w:ascii="Times New Roman" w:hAnsi="Times New Roman" w:cs="Times New Roman"/>
        </w:rPr>
        <w:t>Ibid.</w:t>
      </w:r>
    </w:p>
  </w:footnote>
  <w:footnote w:id="13">
    <w:p w:rsidR="00611B06" w:rsidRPr="007C06D1" w:rsidRDefault="00611B06" w:rsidP="00611B06">
      <w:pPr>
        <w:pStyle w:val="fnChar1"/>
        <w:spacing w:line="280" w:lineRule="exact"/>
        <w:rPr>
          <w:rFonts w:ascii="Times New Roman" w:hAnsi="Times New Roman" w:cs="Times New Roman"/>
          <w:lang w:val="en-ZA"/>
        </w:rPr>
      </w:pPr>
      <w:r w:rsidRPr="007C06D1">
        <w:rPr>
          <w:rStyle w:val="FootnoteReference"/>
          <w:rFonts w:ascii="Times New Roman" w:hAnsi="Times New Roman" w:cs="Times New Roman"/>
        </w:rPr>
        <w:footnoteRef/>
      </w:r>
      <w:r w:rsidRPr="007C06D1">
        <w:rPr>
          <w:rFonts w:ascii="Times New Roman" w:hAnsi="Times New Roman" w:cs="Times New Roman"/>
        </w:rPr>
        <w:t xml:space="preserve"> Ibid.</w:t>
      </w:r>
    </w:p>
  </w:footnote>
  <w:footnote w:id="14">
    <w:p w:rsidR="00611B06" w:rsidRPr="007C06D1" w:rsidRDefault="00611B06" w:rsidP="00611B06">
      <w:pPr>
        <w:pStyle w:val="fnChar1"/>
        <w:spacing w:line="280" w:lineRule="exact"/>
        <w:rPr>
          <w:rFonts w:ascii="Times New Roman" w:hAnsi="Times New Roman" w:cs="Times New Roman"/>
          <w:lang w:val="en-ZA"/>
        </w:rPr>
      </w:pPr>
      <w:r w:rsidRPr="007C06D1">
        <w:rPr>
          <w:rStyle w:val="FootnoteReference"/>
          <w:rFonts w:ascii="Times New Roman" w:hAnsi="Times New Roman" w:cs="Times New Roman"/>
        </w:rPr>
        <w:footnoteRef/>
      </w:r>
      <w:r w:rsidRPr="007C06D1">
        <w:rPr>
          <w:rFonts w:ascii="Times New Roman" w:hAnsi="Times New Roman" w:cs="Times New Roman"/>
        </w:rPr>
        <w:t xml:space="preserve"> </w:t>
      </w:r>
      <w:r w:rsidR="00CF1822">
        <w:rPr>
          <w:rFonts w:ascii="Times New Roman" w:hAnsi="Times New Roman" w:cs="Times New Roman"/>
        </w:rPr>
        <w:t>Ibid.</w:t>
      </w:r>
    </w:p>
  </w:footnote>
  <w:footnote w:id="15">
    <w:p w:rsidR="00611B06" w:rsidRPr="007C06D1" w:rsidRDefault="00611B06" w:rsidP="00611B06">
      <w:pPr>
        <w:pStyle w:val="fnChar1"/>
        <w:spacing w:line="280" w:lineRule="exact"/>
        <w:rPr>
          <w:rFonts w:ascii="Times New Roman" w:hAnsi="Times New Roman" w:cs="Times New Roman"/>
          <w:lang w:val="en-ZA"/>
        </w:rPr>
      </w:pPr>
      <w:r w:rsidRPr="007C06D1">
        <w:rPr>
          <w:rStyle w:val="FootnoteReference"/>
          <w:rFonts w:ascii="Times New Roman" w:hAnsi="Times New Roman" w:cs="Times New Roman"/>
        </w:rPr>
        <w:footnoteRef/>
      </w:r>
      <w:r w:rsidRPr="007C06D1">
        <w:rPr>
          <w:rFonts w:ascii="Times New Roman" w:hAnsi="Times New Roman" w:cs="Times New Roman"/>
        </w:rPr>
        <w:t xml:space="preserve"> National Treasury (2022a), p. 147.</w:t>
      </w:r>
    </w:p>
  </w:footnote>
  <w:footnote w:id="16">
    <w:p w:rsidR="00611B06" w:rsidRPr="007C06D1" w:rsidRDefault="00611B06" w:rsidP="00611B06">
      <w:pPr>
        <w:pStyle w:val="fnChar1"/>
        <w:spacing w:line="280" w:lineRule="exact"/>
        <w:rPr>
          <w:rFonts w:ascii="Times New Roman" w:hAnsi="Times New Roman" w:cs="Times New Roman"/>
          <w:lang w:val="en-ZA"/>
        </w:rPr>
      </w:pPr>
      <w:r w:rsidRPr="007C06D1">
        <w:rPr>
          <w:rStyle w:val="FootnoteReference"/>
          <w:rFonts w:ascii="Times New Roman" w:hAnsi="Times New Roman" w:cs="Times New Roman"/>
        </w:rPr>
        <w:footnoteRef/>
      </w:r>
      <w:r w:rsidRPr="007C06D1">
        <w:rPr>
          <w:rFonts w:ascii="Times New Roman" w:hAnsi="Times New Roman" w:cs="Times New Roman"/>
        </w:rPr>
        <w:t xml:space="preserve"> 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470AF"/>
    <w:multiLevelType w:val="hybridMultilevel"/>
    <w:tmpl w:val="7C763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B87E8D"/>
    <w:multiLevelType w:val="multilevel"/>
    <w:tmpl w:val="913C515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C77BBB"/>
    <w:multiLevelType w:val="hybridMultilevel"/>
    <w:tmpl w:val="0BB6B63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6532D9C"/>
    <w:multiLevelType w:val="hybridMultilevel"/>
    <w:tmpl w:val="E4D2E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6A72691"/>
    <w:multiLevelType w:val="multilevel"/>
    <w:tmpl w:val="686092E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8D67B34"/>
    <w:multiLevelType w:val="hybridMultilevel"/>
    <w:tmpl w:val="B3F8D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9225929"/>
    <w:multiLevelType w:val="multilevel"/>
    <w:tmpl w:val="805843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AAE43C4"/>
    <w:multiLevelType w:val="multilevel"/>
    <w:tmpl w:val="FC5ACECC"/>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D795EDC"/>
    <w:multiLevelType w:val="hybridMultilevel"/>
    <w:tmpl w:val="F544E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9A41FDF"/>
    <w:multiLevelType w:val="hybridMultilevel"/>
    <w:tmpl w:val="89E45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AB34511"/>
    <w:multiLevelType w:val="hybridMultilevel"/>
    <w:tmpl w:val="DB784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BB44908"/>
    <w:multiLevelType w:val="hybridMultilevel"/>
    <w:tmpl w:val="F47AA2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DDC18DC"/>
    <w:multiLevelType w:val="multilevel"/>
    <w:tmpl w:val="AC141C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22E397C"/>
    <w:multiLevelType w:val="hybridMultilevel"/>
    <w:tmpl w:val="1F8EF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39C1FDA"/>
    <w:multiLevelType w:val="hybridMultilevel"/>
    <w:tmpl w:val="4CA26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B4C0091"/>
    <w:multiLevelType w:val="hybridMultilevel"/>
    <w:tmpl w:val="A6C6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F7146B"/>
    <w:multiLevelType w:val="hybridMultilevel"/>
    <w:tmpl w:val="A6964A42"/>
    <w:lvl w:ilvl="0" w:tplc="26C0E7A2">
      <w:start w:val="1"/>
      <w:numFmt w:val="decimal"/>
      <w:lvlText w:val="%1."/>
      <w:lvlJc w:val="left"/>
      <w:pPr>
        <w:ind w:left="360" w:hanging="360"/>
      </w:pPr>
      <w:rPr>
        <w:rFonts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36F4CCB"/>
    <w:multiLevelType w:val="multilevel"/>
    <w:tmpl w:val="99A497D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55B716D"/>
    <w:multiLevelType w:val="multilevel"/>
    <w:tmpl w:val="607E514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6945F81"/>
    <w:multiLevelType w:val="hybridMultilevel"/>
    <w:tmpl w:val="34ECD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9"/>
  </w:num>
  <w:num w:numId="3">
    <w:abstractNumId w:val="3"/>
  </w:num>
  <w:num w:numId="4">
    <w:abstractNumId w:val="14"/>
  </w:num>
  <w:num w:numId="5">
    <w:abstractNumId w:val="0"/>
  </w:num>
  <w:num w:numId="6">
    <w:abstractNumId w:val="10"/>
  </w:num>
  <w:num w:numId="7">
    <w:abstractNumId w:val="2"/>
  </w:num>
  <w:num w:numId="8">
    <w:abstractNumId w:val="9"/>
  </w:num>
  <w:num w:numId="9">
    <w:abstractNumId w:val="8"/>
  </w:num>
  <w:num w:numId="10">
    <w:abstractNumId w:val="5"/>
  </w:num>
  <w:num w:numId="11">
    <w:abstractNumId w:val="13"/>
  </w:num>
  <w:num w:numId="12">
    <w:abstractNumId w:val="11"/>
  </w:num>
  <w:num w:numId="13">
    <w:abstractNumId w:val="12"/>
  </w:num>
  <w:num w:numId="14">
    <w:abstractNumId w:val="6"/>
  </w:num>
  <w:num w:numId="15">
    <w:abstractNumId w:val="15"/>
  </w:num>
  <w:num w:numId="16">
    <w:abstractNumId w:val="7"/>
  </w:num>
  <w:num w:numId="17">
    <w:abstractNumId w:val="1"/>
  </w:num>
  <w:num w:numId="18">
    <w:abstractNumId w:val="17"/>
  </w:num>
  <w:num w:numId="19">
    <w:abstractNumId w:val="1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611B06"/>
    <w:rsid w:val="00013A3F"/>
    <w:rsid w:val="00054FF1"/>
    <w:rsid w:val="000756CB"/>
    <w:rsid w:val="000D71E2"/>
    <w:rsid w:val="000E7EE3"/>
    <w:rsid w:val="000F2FB8"/>
    <w:rsid w:val="00104685"/>
    <w:rsid w:val="00124806"/>
    <w:rsid w:val="001C2443"/>
    <w:rsid w:val="0021019C"/>
    <w:rsid w:val="00287E1B"/>
    <w:rsid w:val="002C5C84"/>
    <w:rsid w:val="00305F5F"/>
    <w:rsid w:val="003218B9"/>
    <w:rsid w:val="00357C28"/>
    <w:rsid w:val="00373224"/>
    <w:rsid w:val="00382488"/>
    <w:rsid w:val="00391B68"/>
    <w:rsid w:val="0042111E"/>
    <w:rsid w:val="004442FA"/>
    <w:rsid w:val="004D7B40"/>
    <w:rsid w:val="00517596"/>
    <w:rsid w:val="0056687D"/>
    <w:rsid w:val="005A3F3B"/>
    <w:rsid w:val="005C1B1B"/>
    <w:rsid w:val="00604619"/>
    <w:rsid w:val="00611B06"/>
    <w:rsid w:val="0062548D"/>
    <w:rsid w:val="00626279"/>
    <w:rsid w:val="00667BDE"/>
    <w:rsid w:val="00675234"/>
    <w:rsid w:val="00676D20"/>
    <w:rsid w:val="00706F47"/>
    <w:rsid w:val="007427A1"/>
    <w:rsid w:val="007C06D1"/>
    <w:rsid w:val="007C1A6D"/>
    <w:rsid w:val="008010DB"/>
    <w:rsid w:val="008C256A"/>
    <w:rsid w:val="008D48C9"/>
    <w:rsid w:val="008E31F7"/>
    <w:rsid w:val="008E6B1C"/>
    <w:rsid w:val="009158D6"/>
    <w:rsid w:val="009F0D1F"/>
    <w:rsid w:val="00A43A2C"/>
    <w:rsid w:val="00A70E19"/>
    <w:rsid w:val="00A907F6"/>
    <w:rsid w:val="00B50E39"/>
    <w:rsid w:val="00B943A8"/>
    <w:rsid w:val="00BE6AD9"/>
    <w:rsid w:val="00BF6DFC"/>
    <w:rsid w:val="00CF1822"/>
    <w:rsid w:val="00CF7AC8"/>
    <w:rsid w:val="00D83163"/>
    <w:rsid w:val="00D926E5"/>
    <w:rsid w:val="00DF0791"/>
    <w:rsid w:val="00E0385D"/>
    <w:rsid w:val="00F22D64"/>
    <w:rsid w:val="00F418BB"/>
    <w:rsid w:val="00F5375F"/>
    <w:rsid w:val="00F60B25"/>
    <w:rsid w:val="00F65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611B06"/>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nChar1">
    <w:name w:val="fn Char1"/>
    <w:basedOn w:val="Normal"/>
    <w:next w:val="FootnoteText"/>
    <w:link w:val="FootnoteTextChar"/>
    <w:unhideWhenUsed/>
    <w:rsid w:val="00611B06"/>
    <w:pPr>
      <w:spacing w:after="0" w:line="240" w:lineRule="auto"/>
      <w:jc w:val="both"/>
    </w:pPr>
    <w:rPr>
      <w:rFonts w:ascii="Arial" w:hAnsi="Arial"/>
      <w:sz w:val="20"/>
      <w:szCs w:val="20"/>
      <w:lang w:val="en-GB"/>
    </w:rPr>
  </w:style>
  <w:style w:type="character" w:customStyle="1" w:styleId="FootnoteTextChar">
    <w:name w:val="Footnote Text Char"/>
    <w:aliases w:val="Footnote Text Char Char Char,Footnote Text Char1 Char,fn Char Char"/>
    <w:basedOn w:val="DefaultParagraphFont"/>
    <w:link w:val="fnChar1"/>
    <w:rsid w:val="00611B06"/>
    <w:rPr>
      <w:rFonts w:ascii="Arial" w:hAnsi="Arial"/>
      <w:sz w:val="20"/>
      <w:szCs w:val="20"/>
      <w:lang w:val="en-GB"/>
    </w:rPr>
  </w:style>
  <w:style w:type="character" w:styleId="FootnoteReference">
    <w:name w:val="footnote reference"/>
    <w:aliases w:val="ftref"/>
    <w:basedOn w:val="DefaultParagraphFont"/>
    <w:rsid w:val="00611B06"/>
    <w:rPr>
      <w:vertAlign w:val="superscript"/>
    </w:rPr>
  </w:style>
  <w:style w:type="table" w:styleId="TableGrid">
    <w:name w:val="Table Grid"/>
    <w:basedOn w:val="TableNormal"/>
    <w:uiPriority w:val="39"/>
    <w:rsid w:val="00611B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1"/>
    <w:uiPriority w:val="99"/>
    <w:semiHidden/>
    <w:unhideWhenUsed/>
    <w:rsid w:val="00611B06"/>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611B06"/>
    <w:rPr>
      <w:sz w:val="20"/>
      <w:szCs w:val="20"/>
    </w:rPr>
  </w:style>
  <w:style w:type="paragraph" w:styleId="ListParagraph">
    <w:name w:val="List Paragraph"/>
    <w:basedOn w:val="Normal"/>
    <w:uiPriority w:val="34"/>
    <w:qFormat/>
    <w:rsid w:val="0062548D"/>
    <w:pPr>
      <w:ind w:left="720"/>
      <w:contextualSpacing/>
    </w:pPr>
  </w:style>
  <w:style w:type="paragraph" w:styleId="Header">
    <w:name w:val="header"/>
    <w:basedOn w:val="Normal"/>
    <w:link w:val="HeaderChar"/>
    <w:uiPriority w:val="99"/>
    <w:unhideWhenUsed/>
    <w:rsid w:val="00421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11E"/>
  </w:style>
  <w:style w:type="paragraph" w:styleId="Footer">
    <w:name w:val="footer"/>
    <w:basedOn w:val="Normal"/>
    <w:link w:val="FooterChar"/>
    <w:uiPriority w:val="99"/>
    <w:unhideWhenUsed/>
    <w:rsid w:val="00421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11E"/>
  </w:style>
  <w:style w:type="paragraph" w:styleId="BalloonText">
    <w:name w:val="Balloon Text"/>
    <w:basedOn w:val="Normal"/>
    <w:link w:val="BalloonTextChar"/>
    <w:uiPriority w:val="99"/>
    <w:semiHidden/>
    <w:unhideWhenUsed/>
    <w:rsid w:val="000D7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E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Carelse</dc:creator>
  <cp:lastModifiedBy>User</cp:lastModifiedBy>
  <cp:revision>2</cp:revision>
  <dcterms:created xsi:type="dcterms:W3CDTF">2023-05-04T20:38:00Z</dcterms:created>
  <dcterms:modified xsi:type="dcterms:W3CDTF">2023-05-04T20:38:00Z</dcterms:modified>
</cp:coreProperties>
</file>