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BD" w:rsidRPr="008C0BE5" w:rsidRDefault="008C0BE5" w:rsidP="008C0BE5">
      <w:pPr>
        <w:widowControl w:val="0"/>
        <w:autoSpaceDE w:val="0"/>
        <w:autoSpaceDN w:val="0"/>
        <w:adjustRightInd w:val="0"/>
        <w:rPr>
          <w:rFonts w:ascii="Arial" w:hAnsi="Arial" w:cs="Arial"/>
          <w:b/>
          <w:bCs/>
          <w:sz w:val="20"/>
          <w:szCs w:val="20"/>
        </w:rPr>
      </w:pPr>
      <w:r w:rsidRPr="008C0BE5">
        <w:rPr>
          <w:rFonts w:ascii="Arial" w:hAnsi="Arial" w:cs="Arial"/>
          <w:b/>
          <w:bCs/>
          <w:sz w:val="20"/>
          <w:szCs w:val="20"/>
        </w:rPr>
        <w:t>Report of the Standing Committee on Finance on Budget Vote 8: National Treasury, Dated 03 May 2023</w:t>
      </w:r>
    </w:p>
    <w:p w:rsidR="004847E9" w:rsidRPr="008C0BE5" w:rsidRDefault="004847E9" w:rsidP="008C0BE5">
      <w:pPr>
        <w:widowControl w:val="0"/>
        <w:autoSpaceDE w:val="0"/>
        <w:autoSpaceDN w:val="0"/>
        <w:adjustRightInd w:val="0"/>
        <w:rPr>
          <w:rFonts w:ascii="Arial" w:hAnsi="Arial" w:cs="Arial"/>
          <w:sz w:val="20"/>
          <w:szCs w:val="20"/>
        </w:rPr>
      </w:pPr>
    </w:p>
    <w:p w:rsidR="009E67BD" w:rsidRPr="008C0BE5" w:rsidRDefault="009E67BD" w:rsidP="008C0BE5">
      <w:pPr>
        <w:widowControl w:val="0"/>
        <w:autoSpaceDE w:val="0"/>
        <w:autoSpaceDN w:val="0"/>
        <w:adjustRightInd w:val="0"/>
        <w:rPr>
          <w:rFonts w:ascii="Arial" w:hAnsi="Arial" w:cs="Arial"/>
          <w:sz w:val="20"/>
          <w:szCs w:val="20"/>
        </w:rPr>
      </w:pPr>
      <w:r w:rsidRPr="008C0BE5">
        <w:rPr>
          <w:rFonts w:ascii="Arial" w:hAnsi="Arial" w:cs="Arial"/>
          <w:sz w:val="20"/>
          <w:szCs w:val="20"/>
        </w:rPr>
        <w:t>The Standing Committee on Finance (SCOF/ the Committee), having considered the National Treasury and the South African Revenue Service’s annual performance plans (202</w:t>
      </w:r>
      <w:r w:rsidR="00D041FB" w:rsidRPr="008C0BE5">
        <w:rPr>
          <w:rFonts w:ascii="Arial" w:hAnsi="Arial" w:cs="Arial"/>
          <w:sz w:val="20"/>
          <w:szCs w:val="20"/>
        </w:rPr>
        <w:t>3</w:t>
      </w:r>
      <w:r w:rsidR="008B0028" w:rsidRPr="008C0BE5">
        <w:rPr>
          <w:rFonts w:ascii="Arial" w:hAnsi="Arial" w:cs="Arial"/>
          <w:sz w:val="20"/>
          <w:szCs w:val="20"/>
        </w:rPr>
        <w:t>/24</w:t>
      </w:r>
      <w:r w:rsidRPr="008C0BE5">
        <w:rPr>
          <w:rFonts w:ascii="Arial" w:hAnsi="Arial" w:cs="Arial"/>
          <w:sz w:val="20"/>
          <w:szCs w:val="20"/>
        </w:rPr>
        <w:t>), reports as follows:</w:t>
      </w:r>
    </w:p>
    <w:p w:rsidR="009E67BD" w:rsidRPr="008C0BE5" w:rsidRDefault="009E67BD" w:rsidP="008C0BE5">
      <w:pPr>
        <w:pStyle w:val="ListParagraph"/>
        <w:numPr>
          <w:ilvl w:val="0"/>
          <w:numId w:val="1"/>
        </w:numPr>
        <w:spacing w:after="0" w:line="240" w:lineRule="auto"/>
        <w:ind w:left="0" w:firstLine="0"/>
        <w:rPr>
          <w:rFonts w:ascii="Arial" w:hAnsi="Arial" w:cs="Arial"/>
          <w:b/>
          <w:sz w:val="20"/>
          <w:szCs w:val="20"/>
        </w:rPr>
      </w:pPr>
      <w:r w:rsidRPr="008C0BE5">
        <w:rPr>
          <w:rFonts w:ascii="Arial" w:hAnsi="Arial" w:cs="Arial"/>
          <w:b/>
          <w:sz w:val="20"/>
          <w:szCs w:val="20"/>
        </w:rPr>
        <w:t>INTRODUCTION</w:t>
      </w:r>
    </w:p>
    <w:p w:rsidR="009E67BD" w:rsidRPr="008C0BE5" w:rsidRDefault="00FC0F47" w:rsidP="008C0BE5">
      <w:pPr>
        <w:pStyle w:val="ListParagraph"/>
        <w:numPr>
          <w:ilvl w:val="1"/>
          <w:numId w:val="1"/>
        </w:numPr>
        <w:spacing w:after="0" w:line="240" w:lineRule="auto"/>
        <w:rPr>
          <w:rFonts w:ascii="Arial" w:hAnsi="Arial" w:cs="Arial"/>
          <w:sz w:val="20"/>
          <w:szCs w:val="20"/>
        </w:rPr>
      </w:pPr>
      <w:r w:rsidRPr="008C0BE5">
        <w:rPr>
          <w:rFonts w:ascii="Arial" w:hAnsi="Arial" w:cs="Arial"/>
          <w:sz w:val="20"/>
          <w:szCs w:val="20"/>
        </w:rPr>
        <w:t xml:space="preserve"> </w:t>
      </w:r>
      <w:r w:rsidR="009E67BD" w:rsidRPr="008C0BE5">
        <w:rPr>
          <w:rFonts w:ascii="Arial" w:hAnsi="Arial" w:cs="Arial"/>
          <w:sz w:val="20"/>
          <w:szCs w:val="20"/>
        </w:rPr>
        <w:t>The Minister of Finance tabled the annual performance plans of the National Treasury (NT), the South African Revenue Services (SARS) and other entities under the Finance portfolio in line with s</w:t>
      </w:r>
      <w:r w:rsidR="009E67BD" w:rsidRPr="008C0BE5">
        <w:rPr>
          <w:rFonts w:ascii="Arial" w:hAnsi="Arial" w:cs="Arial"/>
          <w:sz w:val="20"/>
          <w:szCs w:val="20"/>
          <w:lang w:val="en-US"/>
        </w:rPr>
        <w:t>e</w:t>
      </w:r>
      <w:r w:rsidR="009E67BD" w:rsidRPr="008C0BE5">
        <w:rPr>
          <w:rFonts w:ascii="Arial" w:hAnsi="Arial" w:cs="Arial"/>
          <w:sz w:val="20"/>
          <w:szCs w:val="20"/>
        </w:rPr>
        <w:t xml:space="preserve">ction 10(1)(c) of the Money Bills Amendment Procedure and Related Matters Act, Act No. 9 of 2009 (Money Bills Act), for consideration and report. </w:t>
      </w:r>
    </w:p>
    <w:p w:rsidR="007D1D55" w:rsidRPr="008C0BE5" w:rsidRDefault="00FC0F47" w:rsidP="008C0BE5">
      <w:pPr>
        <w:pStyle w:val="ListParagraph"/>
        <w:numPr>
          <w:ilvl w:val="1"/>
          <w:numId w:val="1"/>
        </w:numPr>
        <w:spacing w:after="0" w:line="240" w:lineRule="auto"/>
        <w:rPr>
          <w:rFonts w:ascii="Arial" w:hAnsi="Arial" w:cs="Arial"/>
          <w:sz w:val="20"/>
          <w:szCs w:val="20"/>
        </w:rPr>
      </w:pPr>
      <w:r w:rsidRPr="008C0BE5">
        <w:rPr>
          <w:rFonts w:ascii="Arial" w:hAnsi="Arial" w:cs="Arial"/>
          <w:sz w:val="20"/>
          <w:szCs w:val="20"/>
        </w:rPr>
        <w:t xml:space="preserve"> </w:t>
      </w:r>
      <w:r w:rsidR="009E67BD" w:rsidRPr="008C0BE5">
        <w:rPr>
          <w:rFonts w:ascii="Arial" w:hAnsi="Arial" w:cs="Arial"/>
          <w:sz w:val="20"/>
          <w:szCs w:val="20"/>
        </w:rPr>
        <w:t xml:space="preserve">The </w:t>
      </w:r>
      <w:r w:rsidR="00D13070" w:rsidRPr="008C0BE5">
        <w:rPr>
          <w:rFonts w:ascii="Arial" w:hAnsi="Arial" w:cs="Arial"/>
          <w:sz w:val="20"/>
          <w:szCs w:val="20"/>
        </w:rPr>
        <w:t>Minister of Finance, Mr Enoch Godongwan</w:t>
      </w:r>
      <w:r w:rsidR="00B41338" w:rsidRPr="008C0BE5">
        <w:rPr>
          <w:rFonts w:ascii="Arial" w:hAnsi="Arial" w:cs="Arial"/>
          <w:sz w:val="20"/>
          <w:szCs w:val="20"/>
        </w:rPr>
        <w:t>A</w:t>
      </w:r>
      <w:r w:rsidR="00D13070" w:rsidRPr="008C0BE5">
        <w:rPr>
          <w:rFonts w:ascii="Arial" w:hAnsi="Arial" w:cs="Arial"/>
          <w:sz w:val="20"/>
          <w:szCs w:val="20"/>
        </w:rPr>
        <w:t xml:space="preserve">, accompanied by the </w:t>
      </w:r>
      <w:r w:rsidR="009E67BD" w:rsidRPr="008C0BE5">
        <w:rPr>
          <w:rFonts w:ascii="Arial" w:hAnsi="Arial" w:cs="Arial"/>
          <w:sz w:val="20"/>
          <w:szCs w:val="20"/>
        </w:rPr>
        <w:t>Deputy Minister, Dr. David Masondo, and the accounting and senior officials of National Treasury and SARS, through virtual meeting</w:t>
      </w:r>
      <w:r w:rsidR="00D041FB" w:rsidRPr="008C0BE5">
        <w:rPr>
          <w:rFonts w:ascii="Arial" w:hAnsi="Arial" w:cs="Arial"/>
          <w:sz w:val="20"/>
          <w:szCs w:val="20"/>
        </w:rPr>
        <w:t>s</w:t>
      </w:r>
      <w:r w:rsidR="009E67BD" w:rsidRPr="008C0BE5">
        <w:rPr>
          <w:rFonts w:ascii="Arial" w:hAnsi="Arial" w:cs="Arial"/>
          <w:sz w:val="20"/>
          <w:szCs w:val="20"/>
        </w:rPr>
        <w:t xml:space="preserve">, briefed SCOF on </w:t>
      </w:r>
      <w:r w:rsidR="00D13070" w:rsidRPr="008C0BE5">
        <w:rPr>
          <w:rFonts w:ascii="Arial" w:hAnsi="Arial" w:cs="Arial"/>
          <w:sz w:val="20"/>
          <w:szCs w:val="20"/>
        </w:rPr>
        <w:t>18 and 19</w:t>
      </w:r>
      <w:r w:rsidR="00D041FB" w:rsidRPr="008C0BE5">
        <w:rPr>
          <w:rFonts w:ascii="Arial" w:hAnsi="Arial" w:cs="Arial"/>
          <w:sz w:val="20"/>
          <w:szCs w:val="20"/>
        </w:rPr>
        <w:t xml:space="preserve"> </w:t>
      </w:r>
      <w:r w:rsidR="00D13070" w:rsidRPr="008C0BE5">
        <w:rPr>
          <w:rFonts w:ascii="Arial" w:hAnsi="Arial" w:cs="Arial"/>
          <w:sz w:val="20"/>
          <w:szCs w:val="20"/>
        </w:rPr>
        <w:t>April</w:t>
      </w:r>
      <w:r w:rsidR="00D041FB" w:rsidRPr="008C0BE5">
        <w:rPr>
          <w:rFonts w:ascii="Arial" w:hAnsi="Arial" w:cs="Arial"/>
          <w:sz w:val="20"/>
          <w:szCs w:val="20"/>
        </w:rPr>
        <w:t xml:space="preserve"> 202</w:t>
      </w:r>
      <w:r w:rsidR="00D13070" w:rsidRPr="008C0BE5">
        <w:rPr>
          <w:rFonts w:ascii="Arial" w:hAnsi="Arial" w:cs="Arial"/>
          <w:sz w:val="20"/>
          <w:szCs w:val="20"/>
        </w:rPr>
        <w:t>3</w:t>
      </w:r>
      <w:r w:rsidR="00D041FB" w:rsidRPr="008C0BE5">
        <w:rPr>
          <w:rFonts w:ascii="Arial" w:hAnsi="Arial" w:cs="Arial"/>
          <w:sz w:val="20"/>
          <w:szCs w:val="20"/>
        </w:rPr>
        <w:t>, respectively</w:t>
      </w:r>
      <w:r w:rsidR="009E67BD" w:rsidRPr="008C0BE5">
        <w:rPr>
          <w:rFonts w:ascii="Arial" w:hAnsi="Arial" w:cs="Arial"/>
          <w:sz w:val="20"/>
          <w:szCs w:val="20"/>
        </w:rPr>
        <w:t>.</w:t>
      </w:r>
      <w:r w:rsidR="00D041FB" w:rsidRPr="008C0BE5">
        <w:rPr>
          <w:rFonts w:ascii="Arial" w:hAnsi="Arial" w:cs="Arial"/>
          <w:sz w:val="20"/>
          <w:szCs w:val="20"/>
        </w:rPr>
        <w:t xml:space="preserve"> </w:t>
      </w:r>
    </w:p>
    <w:p w:rsidR="009E67BD" w:rsidRPr="008C0BE5" w:rsidRDefault="00FC0F47" w:rsidP="008C0BE5">
      <w:pPr>
        <w:pStyle w:val="ListParagraph"/>
        <w:numPr>
          <w:ilvl w:val="1"/>
          <w:numId w:val="1"/>
        </w:numPr>
        <w:spacing w:after="0" w:line="240" w:lineRule="auto"/>
        <w:rPr>
          <w:rFonts w:ascii="Arial" w:hAnsi="Arial" w:cs="Arial"/>
          <w:sz w:val="20"/>
          <w:szCs w:val="20"/>
        </w:rPr>
      </w:pPr>
      <w:r w:rsidRPr="008C0BE5">
        <w:rPr>
          <w:rFonts w:ascii="Arial" w:hAnsi="Arial" w:cs="Arial"/>
          <w:sz w:val="20"/>
          <w:szCs w:val="20"/>
        </w:rPr>
        <w:t xml:space="preserve"> </w:t>
      </w:r>
      <w:r w:rsidR="00D041FB" w:rsidRPr="008C0BE5">
        <w:rPr>
          <w:rFonts w:ascii="Arial" w:hAnsi="Arial" w:cs="Arial"/>
          <w:sz w:val="20"/>
          <w:szCs w:val="20"/>
        </w:rPr>
        <w:t xml:space="preserve">The Committee further conducted an oversight visit to </w:t>
      </w:r>
      <w:r w:rsidR="006F2883" w:rsidRPr="008C0BE5">
        <w:rPr>
          <w:rFonts w:ascii="Arial" w:hAnsi="Arial" w:cs="Arial"/>
          <w:sz w:val="20"/>
          <w:szCs w:val="20"/>
        </w:rPr>
        <w:t>NT</w:t>
      </w:r>
      <w:r w:rsidR="00D041FB" w:rsidRPr="008C0BE5">
        <w:rPr>
          <w:rFonts w:ascii="Arial" w:hAnsi="Arial" w:cs="Arial"/>
          <w:sz w:val="20"/>
          <w:szCs w:val="20"/>
        </w:rPr>
        <w:t xml:space="preserve">, </w:t>
      </w:r>
      <w:r w:rsidR="0052597D" w:rsidRPr="008C0BE5">
        <w:rPr>
          <w:rFonts w:ascii="Arial" w:hAnsi="Arial" w:cs="Arial"/>
          <w:sz w:val="20"/>
          <w:szCs w:val="20"/>
        </w:rPr>
        <w:t>Cooperative Banks Development Agency (CBDA)</w:t>
      </w:r>
      <w:r w:rsidR="00D041FB" w:rsidRPr="008C0BE5">
        <w:rPr>
          <w:rFonts w:ascii="Arial" w:hAnsi="Arial" w:cs="Arial"/>
          <w:sz w:val="20"/>
          <w:szCs w:val="20"/>
        </w:rPr>
        <w:t xml:space="preserve">, </w:t>
      </w:r>
      <w:r w:rsidR="007568DA" w:rsidRPr="008C0BE5">
        <w:rPr>
          <w:rFonts w:ascii="Arial" w:hAnsi="Arial" w:cs="Arial"/>
          <w:sz w:val="20"/>
          <w:szCs w:val="20"/>
        </w:rPr>
        <w:t>The Office of the Ombud for Financial Service Providers (</w:t>
      </w:r>
      <w:r w:rsidR="0052597D" w:rsidRPr="008C0BE5">
        <w:rPr>
          <w:rFonts w:ascii="Arial" w:hAnsi="Arial" w:cs="Arial"/>
          <w:sz w:val="20"/>
          <w:szCs w:val="20"/>
        </w:rPr>
        <w:t>FAIS Ombud</w:t>
      </w:r>
      <w:r w:rsidR="007568DA" w:rsidRPr="008C0BE5">
        <w:rPr>
          <w:rFonts w:ascii="Arial" w:hAnsi="Arial" w:cs="Arial"/>
          <w:sz w:val="20"/>
          <w:szCs w:val="20"/>
        </w:rPr>
        <w:t>)</w:t>
      </w:r>
      <w:r w:rsidR="0052597D" w:rsidRPr="008C0BE5">
        <w:rPr>
          <w:rFonts w:ascii="Arial" w:hAnsi="Arial" w:cs="Arial"/>
          <w:sz w:val="20"/>
          <w:szCs w:val="20"/>
        </w:rPr>
        <w:t xml:space="preserve">, </w:t>
      </w:r>
      <w:r w:rsidR="00D041FB" w:rsidRPr="008C0BE5">
        <w:rPr>
          <w:rFonts w:ascii="Arial" w:hAnsi="Arial" w:cs="Arial"/>
          <w:sz w:val="20"/>
          <w:szCs w:val="20"/>
        </w:rPr>
        <w:t>Financial and Fiscal Commission (FFC)</w:t>
      </w:r>
      <w:r w:rsidR="0052597D" w:rsidRPr="008C0BE5">
        <w:rPr>
          <w:rFonts w:ascii="Arial" w:hAnsi="Arial" w:cs="Arial"/>
          <w:sz w:val="20"/>
          <w:szCs w:val="20"/>
        </w:rPr>
        <w:t xml:space="preserve">, Financial Intelligence Centre (FIC), Office of the Pension Fund Adjudicator (OPFA), Government Technical Advisory Centre (GTAC), Government Pensions Administration Agency (GPAA),  and the Public Investment Corporation (PIC) </w:t>
      </w:r>
      <w:r w:rsidR="00D041FB" w:rsidRPr="008C0BE5">
        <w:rPr>
          <w:rFonts w:ascii="Arial" w:hAnsi="Arial" w:cs="Arial"/>
          <w:sz w:val="20"/>
          <w:szCs w:val="20"/>
        </w:rPr>
        <w:t xml:space="preserve">on </w:t>
      </w:r>
      <w:r w:rsidR="0052597D" w:rsidRPr="008C0BE5">
        <w:rPr>
          <w:rFonts w:ascii="Arial" w:hAnsi="Arial" w:cs="Arial"/>
          <w:sz w:val="20"/>
          <w:szCs w:val="20"/>
        </w:rPr>
        <w:t xml:space="preserve">29 and 30 March </w:t>
      </w:r>
      <w:r w:rsidR="00D041FB" w:rsidRPr="008C0BE5">
        <w:rPr>
          <w:rFonts w:ascii="Arial" w:hAnsi="Arial" w:cs="Arial"/>
          <w:sz w:val="20"/>
          <w:szCs w:val="20"/>
        </w:rPr>
        <w:t>202</w:t>
      </w:r>
      <w:r w:rsidR="0052597D" w:rsidRPr="008C0BE5">
        <w:rPr>
          <w:rFonts w:ascii="Arial" w:hAnsi="Arial" w:cs="Arial"/>
          <w:sz w:val="20"/>
          <w:szCs w:val="20"/>
        </w:rPr>
        <w:t>3</w:t>
      </w:r>
      <w:r w:rsidR="00D041FB" w:rsidRPr="008C0BE5">
        <w:rPr>
          <w:rFonts w:ascii="Arial" w:hAnsi="Arial" w:cs="Arial"/>
          <w:sz w:val="20"/>
          <w:szCs w:val="20"/>
        </w:rPr>
        <w:t>, where it</w:t>
      </w:r>
      <w:r w:rsidR="00CF1A55" w:rsidRPr="008C0BE5">
        <w:rPr>
          <w:rFonts w:ascii="Arial" w:hAnsi="Arial" w:cs="Arial"/>
          <w:sz w:val="20"/>
          <w:szCs w:val="20"/>
        </w:rPr>
        <w:t>, among other things</w:t>
      </w:r>
      <w:r w:rsidR="00D041FB" w:rsidRPr="008C0BE5">
        <w:rPr>
          <w:rFonts w:ascii="Arial" w:hAnsi="Arial" w:cs="Arial"/>
          <w:sz w:val="20"/>
          <w:szCs w:val="20"/>
        </w:rPr>
        <w:t xml:space="preserve">, received </w:t>
      </w:r>
      <w:r w:rsidR="0052597D" w:rsidRPr="008C0BE5">
        <w:rPr>
          <w:rFonts w:ascii="Arial" w:hAnsi="Arial" w:cs="Arial"/>
          <w:sz w:val="20"/>
          <w:szCs w:val="20"/>
        </w:rPr>
        <w:t>briefings on the implementation of audit action plans</w:t>
      </w:r>
      <w:r w:rsidR="00D041FB" w:rsidRPr="008C0BE5">
        <w:rPr>
          <w:rFonts w:ascii="Arial" w:hAnsi="Arial" w:cs="Arial"/>
          <w:sz w:val="20"/>
          <w:szCs w:val="20"/>
        </w:rPr>
        <w:t xml:space="preserve"> o</w:t>
      </w:r>
      <w:r w:rsidR="0052597D" w:rsidRPr="008C0BE5">
        <w:rPr>
          <w:rFonts w:ascii="Arial" w:hAnsi="Arial" w:cs="Arial"/>
          <w:sz w:val="20"/>
          <w:szCs w:val="20"/>
        </w:rPr>
        <w:t>f</w:t>
      </w:r>
      <w:r w:rsidR="00D041FB" w:rsidRPr="008C0BE5">
        <w:rPr>
          <w:rFonts w:ascii="Arial" w:hAnsi="Arial" w:cs="Arial"/>
          <w:sz w:val="20"/>
          <w:szCs w:val="20"/>
        </w:rPr>
        <w:t xml:space="preserve"> the</w:t>
      </w:r>
      <w:r w:rsidR="0052597D" w:rsidRPr="008C0BE5">
        <w:rPr>
          <w:rFonts w:ascii="Arial" w:hAnsi="Arial" w:cs="Arial"/>
          <w:sz w:val="20"/>
          <w:szCs w:val="20"/>
        </w:rPr>
        <w:t>se</w:t>
      </w:r>
      <w:r w:rsidR="00D041FB" w:rsidRPr="008C0BE5">
        <w:rPr>
          <w:rFonts w:ascii="Arial" w:hAnsi="Arial" w:cs="Arial"/>
          <w:sz w:val="20"/>
          <w:szCs w:val="20"/>
        </w:rPr>
        <w:t xml:space="preserve"> </w:t>
      </w:r>
      <w:r w:rsidR="00CF1A55" w:rsidRPr="008C0BE5">
        <w:rPr>
          <w:rFonts w:ascii="Arial" w:hAnsi="Arial" w:cs="Arial"/>
          <w:sz w:val="20"/>
          <w:szCs w:val="20"/>
        </w:rPr>
        <w:t>entities</w:t>
      </w:r>
      <w:r w:rsidR="0052597D" w:rsidRPr="008C0BE5">
        <w:rPr>
          <w:rFonts w:ascii="Arial" w:hAnsi="Arial" w:cs="Arial"/>
          <w:sz w:val="20"/>
          <w:szCs w:val="20"/>
        </w:rPr>
        <w:t xml:space="preserve"> following the 2021/22 audit outcomes of their annual performance and financial statements by the Auditor-General of South Africa</w:t>
      </w:r>
      <w:r w:rsidR="00CF1A55" w:rsidRPr="008C0BE5">
        <w:rPr>
          <w:rFonts w:ascii="Arial" w:hAnsi="Arial" w:cs="Arial"/>
          <w:sz w:val="20"/>
          <w:szCs w:val="20"/>
        </w:rPr>
        <w:t xml:space="preserve">. </w:t>
      </w:r>
      <w:r w:rsidR="00D041FB" w:rsidRPr="008C0BE5">
        <w:rPr>
          <w:rFonts w:ascii="Arial" w:hAnsi="Arial" w:cs="Arial"/>
          <w:sz w:val="20"/>
          <w:szCs w:val="20"/>
        </w:rPr>
        <w:t xml:space="preserve"> </w:t>
      </w:r>
    </w:p>
    <w:p w:rsidR="009E67BD" w:rsidRPr="008C0BE5" w:rsidRDefault="009E67BD" w:rsidP="008C0BE5">
      <w:pPr>
        <w:pStyle w:val="ListParagraph"/>
        <w:numPr>
          <w:ilvl w:val="1"/>
          <w:numId w:val="1"/>
        </w:numPr>
        <w:spacing w:after="0" w:line="240" w:lineRule="auto"/>
        <w:rPr>
          <w:rFonts w:ascii="Arial" w:hAnsi="Arial" w:cs="Arial"/>
          <w:sz w:val="20"/>
          <w:szCs w:val="20"/>
        </w:rPr>
      </w:pPr>
      <w:r w:rsidRPr="008C0BE5">
        <w:rPr>
          <w:rFonts w:ascii="Arial" w:hAnsi="Arial" w:cs="Arial"/>
          <w:sz w:val="20"/>
          <w:szCs w:val="20"/>
        </w:rPr>
        <w:t xml:space="preserve">The mandate of NT is based on section 216 (1) of the Constitution which establishes it to ensure transparency, accountability and sound financial controls in the management of the country’s finances and on the Public Finance Management Act of 1999 (PFMA).  </w:t>
      </w:r>
    </w:p>
    <w:p w:rsidR="009E67BD" w:rsidRPr="008C0BE5" w:rsidRDefault="009E67BD" w:rsidP="008C0BE5">
      <w:pPr>
        <w:pStyle w:val="ListParagraph"/>
        <w:numPr>
          <w:ilvl w:val="1"/>
          <w:numId w:val="1"/>
        </w:numPr>
        <w:spacing w:after="0" w:line="240" w:lineRule="auto"/>
        <w:rPr>
          <w:rFonts w:ascii="Arial" w:hAnsi="Arial" w:cs="Arial"/>
          <w:sz w:val="20"/>
          <w:szCs w:val="20"/>
        </w:rPr>
      </w:pPr>
      <w:r w:rsidRPr="008C0BE5">
        <w:rPr>
          <w:rFonts w:ascii="Arial" w:hAnsi="Arial" w:cs="Arial"/>
          <w:sz w:val="20"/>
          <w:szCs w:val="20"/>
        </w:rPr>
        <w:t>Its mandate is to coordinate intergovernmental financial and fiscal relations, promote national government’s fiscal policy and coordination of macroeconomic policy, enforce transparency and effective management of revenue and expenditure, assets and liabilities, public entities and constitutional institutions, manage the budget preparation process and, ensure the stability and soundness of the financial system and financial services.</w:t>
      </w:r>
    </w:p>
    <w:p w:rsidR="009E67BD" w:rsidRPr="008C0BE5" w:rsidRDefault="009E67BD" w:rsidP="008C0BE5">
      <w:pPr>
        <w:pStyle w:val="ListParagraph"/>
        <w:numPr>
          <w:ilvl w:val="1"/>
          <w:numId w:val="1"/>
        </w:numPr>
        <w:spacing w:after="0" w:line="240" w:lineRule="auto"/>
        <w:rPr>
          <w:rFonts w:ascii="Arial" w:hAnsi="Arial" w:cs="Arial"/>
          <w:sz w:val="20"/>
          <w:szCs w:val="20"/>
        </w:rPr>
      </w:pPr>
      <w:r w:rsidRPr="008C0BE5">
        <w:rPr>
          <w:rFonts w:ascii="Arial" w:hAnsi="Arial" w:cs="Arial"/>
          <w:sz w:val="20"/>
          <w:szCs w:val="20"/>
        </w:rPr>
        <w:t>SARS’s mandate is to contribute to the economic and social development of the country by collecting all taxes, duties and levies due to fund public service programs and priorities.</w:t>
      </w:r>
    </w:p>
    <w:p w:rsidR="009E67BD" w:rsidRPr="008C0BE5" w:rsidRDefault="009E67BD" w:rsidP="008C0BE5">
      <w:pPr>
        <w:pStyle w:val="ListParagraph"/>
        <w:spacing w:after="0" w:line="240" w:lineRule="auto"/>
        <w:rPr>
          <w:rFonts w:ascii="Arial" w:hAnsi="Arial" w:cs="Arial"/>
          <w:sz w:val="20"/>
          <w:szCs w:val="20"/>
        </w:rPr>
      </w:pPr>
    </w:p>
    <w:p w:rsidR="009E67BD" w:rsidRPr="008C0BE5" w:rsidRDefault="009E67BD" w:rsidP="008C0BE5">
      <w:pPr>
        <w:pStyle w:val="ListParagraph"/>
        <w:numPr>
          <w:ilvl w:val="0"/>
          <w:numId w:val="1"/>
        </w:numPr>
        <w:spacing w:after="0" w:line="240" w:lineRule="auto"/>
        <w:rPr>
          <w:rFonts w:ascii="Arial" w:hAnsi="Arial" w:cs="Arial"/>
          <w:b/>
          <w:sz w:val="20"/>
          <w:szCs w:val="20"/>
        </w:rPr>
      </w:pPr>
      <w:r w:rsidRPr="008C0BE5">
        <w:rPr>
          <w:rFonts w:ascii="Arial" w:hAnsi="Arial" w:cs="Arial"/>
          <w:b/>
          <w:sz w:val="20"/>
          <w:szCs w:val="20"/>
        </w:rPr>
        <w:t>POLITICAL OVERVIEW BY THE DEPUTY MINISTER OF FINANCE</w:t>
      </w:r>
    </w:p>
    <w:p w:rsidR="00585937" w:rsidRPr="008C0BE5" w:rsidRDefault="00711EDA" w:rsidP="008C0BE5">
      <w:pPr>
        <w:pStyle w:val="ListParagraph"/>
        <w:numPr>
          <w:ilvl w:val="1"/>
          <w:numId w:val="1"/>
        </w:numPr>
        <w:spacing w:after="0" w:line="240" w:lineRule="auto"/>
        <w:rPr>
          <w:rFonts w:ascii="Arial" w:hAnsi="Arial" w:cs="Arial"/>
          <w:sz w:val="20"/>
          <w:szCs w:val="20"/>
        </w:rPr>
      </w:pPr>
      <w:r w:rsidRPr="008C0BE5">
        <w:rPr>
          <w:rFonts w:ascii="Arial" w:hAnsi="Arial" w:cs="Arial"/>
          <w:sz w:val="20"/>
          <w:szCs w:val="20"/>
        </w:rPr>
        <w:t xml:space="preserve"> </w:t>
      </w:r>
      <w:r w:rsidR="009E67BD" w:rsidRPr="008C0BE5">
        <w:rPr>
          <w:rFonts w:ascii="Arial" w:hAnsi="Arial" w:cs="Arial"/>
          <w:sz w:val="20"/>
          <w:szCs w:val="20"/>
        </w:rPr>
        <w:t>The Minister of Finance</w:t>
      </w:r>
      <w:r w:rsidR="00E10437" w:rsidRPr="008C0BE5">
        <w:rPr>
          <w:rFonts w:ascii="Arial" w:hAnsi="Arial" w:cs="Arial"/>
          <w:sz w:val="20"/>
          <w:szCs w:val="20"/>
        </w:rPr>
        <w:t xml:space="preserve">, </w:t>
      </w:r>
      <w:r w:rsidR="00585937" w:rsidRPr="008C0BE5">
        <w:rPr>
          <w:rFonts w:ascii="Arial" w:hAnsi="Arial" w:cs="Arial"/>
          <w:sz w:val="20"/>
          <w:szCs w:val="20"/>
        </w:rPr>
        <w:t>Mr Enoch Godongwan</w:t>
      </w:r>
      <w:r w:rsidR="0087572D" w:rsidRPr="008C0BE5">
        <w:rPr>
          <w:rFonts w:ascii="Arial" w:hAnsi="Arial" w:cs="Arial"/>
          <w:sz w:val="20"/>
          <w:szCs w:val="20"/>
        </w:rPr>
        <w:t>a</w:t>
      </w:r>
      <w:r w:rsidR="00585937" w:rsidRPr="008C0BE5">
        <w:rPr>
          <w:rFonts w:ascii="Arial" w:hAnsi="Arial" w:cs="Arial"/>
          <w:sz w:val="20"/>
          <w:szCs w:val="20"/>
        </w:rPr>
        <w:t xml:space="preserve">, explained to the Committee that NT’s plan was ambitious as the department was concluding its delivery of commitments set in the revised MTSF 2019-2024. He said that this plan focussed on economic </w:t>
      </w:r>
      <w:r w:rsidR="00257F43" w:rsidRPr="008C0BE5">
        <w:rPr>
          <w:rFonts w:ascii="Arial" w:hAnsi="Arial" w:cs="Arial"/>
          <w:sz w:val="20"/>
          <w:szCs w:val="20"/>
        </w:rPr>
        <w:t>growth,</w:t>
      </w:r>
      <w:r w:rsidR="00585937" w:rsidRPr="008C0BE5">
        <w:rPr>
          <w:rFonts w:ascii="Arial" w:hAnsi="Arial" w:cs="Arial"/>
          <w:sz w:val="20"/>
          <w:szCs w:val="20"/>
        </w:rPr>
        <w:t xml:space="preserve"> which is critical for improving employment levels, eradicating poverty, and reducing inequality. </w:t>
      </w:r>
    </w:p>
    <w:p w:rsidR="00585937" w:rsidRPr="008C0BE5" w:rsidRDefault="00711EDA" w:rsidP="008C0BE5">
      <w:pPr>
        <w:pStyle w:val="ListParagraph"/>
        <w:numPr>
          <w:ilvl w:val="1"/>
          <w:numId w:val="1"/>
        </w:numPr>
        <w:spacing w:after="0" w:line="240" w:lineRule="auto"/>
        <w:rPr>
          <w:rFonts w:ascii="Arial" w:hAnsi="Arial" w:cs="Arial"/>
          <w:sz w:val="20"/>
          <w:szCs w:val="20"/>
        </w:rPr>
      </w:pPr>
      <w:r w:rsidRPr="008C0BE5">
        <w:rPr>
          <w:rFonts w:ascii="Arial" w:hAnsi="Arial" w:cs="Arial"/>
          <w:sz w:val="20"/>
          <w:szCs w:val="20"/>
        </w:rPr>
        <w:t xml:space="preserve"> </w:t>
      </w:r>
      <w:r w:rsidR="00585937" w:rsidRPr="008C0BE5">
        <w:rPr>
          <w:rFonts w:ascii="Arial" w:hAnsi="Arial" w:cs="Arial"/>
          <w:sz w:val="20"/>
          <w:szCs w:val="20"/>
        </w:rPr>
        <w:t xml:space="preserve">He said that NT endeavours include the primary responsibility of ensuring fiscal sustainability, monitoring efficient and effective use of scarce public resources by spending agencies and coordinating fiscal relations between the three spheres of government. </w:t>
      </w:r>
    </w:p>
    <w:p w:rsidR="00585937" w:rsidRPr="008C0BE5" w:rsidRDefault="00711EDA" w:rsidP="008C0BE5">
      <w:pPr>
        <w:pStyle w:val="ListParagraph"/>
        <w:numPr>
          <w:ilvl w:val="1"/>
          <w:numId w:val="1"/>
        </w:numPr>
        <w:spacing w:after="0" w:line="240" w:lineRule="auto"/>
        <w:rPr>
          <w:rFonts w:ascii="Arial" w:hAnsi="Arial" w:cs="Arial"/>
          <w:sz w:val="20"/>
          <w:szCs w:val="20"/>
        </w:rPr>
      </w:pPr>
      <w:r w:rsidRPr="008C0BE5">
        <w:rPr>
          <w:rFonts w:ascii="Arial" w:hAnsi="Arial" w:cs="Arial"/>
          <w:sz w:val="20"/>
          <w:szCs w:val="20"/>
        </w:rPr>
        <w:t xml:space="preserve"> </w:t>
      </w:r>
      <w:r w:rsidR="00585937" w:rsidRPr="008C0BE5">
        <w:rPr>
          <w:rFonts w:ascii="Arial" w:hAnsi="Arial" w:cs="Arial"/>
          <w:sz w:val="20"/>
          <w:szCs w:val="20"/>
        </w:rPr>
        <w:t>The Minister said that similar efforts will be dedicated towards stabilising state-owned companies (SOCs) to be financially and fiscally sustainable while delivering on the national growth and development objectives.  He said that NT will continue with efforts to narrow the budget deficit, which is key to stabilising the debt-to-GDP ratio. This will be achieved in the main by controlling non-interest expenditure growth.</w:t>
      </w:r>
    </w:p>
    <w:p w:rsidR="00585937" w:rsidRPr="008C0BE5" w:rsidRDefault="00711EDA" w:rsidP="008C0BE5">
      <w:pPr>
        <w:pStyle w:val="ListParagraph"/>
        <w:numPr>
          <w:ilvl w:val="1"/>
          <w:numId w:val="1"/>
        </w:numPr>
        <w:spacing w:after="0" w:line="240" w:lineRule="auto"/>
        <w:rPr>
          <w:rFonts w:ascii="Arial" w:hAnsi="Arial" w:cs="Arial"/>
          <w:sz w:val="20"/>
          <w:szCs w:val="20"/>
        </w:rPr>
      </w:pPr>
      <w:r w:rsidRPr="008C0BE5">
        <w:rPr>
          <w:rFonts w:ascii="Arial" w:hAnsi="Arial" w:cs="Arial"/>
          <w:sz w:val="20"/>
          <w:szCs w:val="20"/>
        </w:rPr>
        <w:t xml:space="preserve"> </w:t>
      </w:r>
      <w:r w:rsidR="00585937" w:rsidRPr="008C0BE5">
        <w:rPr>
          <w:rFonts w:ascii="Arial" w:hAnsi="Arial" w:cs="Arial"/>
          <w:sz w:val="20"/>
          <w:szCs w:val="20"/>
        </w:rPr>
        <w:t xml:space="preserve">Mr Godongwana said that the fiscal framework contains growth in compensation spending while also increasing capital expenditure. He said that infrastructure projects will be financed through the Infrastructure Fund, using public-private partnerships and other funding arrangements to improve planning and speed up delivery. </w:t>
      </w:r>
    </w:p>
    <w:p w:rsidR="00D372C8" w:rsidRPr="008C0BE5" w:rsidRDefault="00711EDA" w:rsidP="008C0BE5">
      <w:pPr>
        <w:pStyle w:val="ListParagraph"/>
        <w:numPr>
          <w:ilvl w:val="1"/>
          <w:numId w:val="1"/>
        </w:numPr>
        <w:spacing w:after="0" w:line="240" w:lineRule="auto"/>
        <w:rPr>
          <w:rFonts w:ascii="Arial" w:hAnsi="Arial" w:cs="Arial"/>
          <w:sz w:val="20"/>
          <w:szCs w:val="20"/>
        </w:rPr>
      </w:pPr>
      <w:r w:rsidRPr="008C0BE5">
        <w:rPr>
          <w:rFonts w:ascii="Arial" w:hAnsi="Arial" w:cs="Arial"/>
          <w:sz w:val="20"/>
          <w:szCs w:val="20"/>
        </w:rPr>
        <w:t xml:space="preserve"> </w:t>
      </w:r>
      <w:r w:rsidR="00585937" w:rsidRPr="008C0BE5">
        <w:rPr>
          <w:rFonts w:ascii="Arial" w:hAnsi="Arial" w:cs="Arial"/>
          <w:sz w:val="20"/>
          <w:szCs w:val="20"/>
        </w:rPr>
        <w:t xml:space="preserve">The Minister explained that the plan continues NT’s commitment to implement high impact programmes such as the Cities Support Programme, Neighbourhood Development Partnership Programme (NDPP), Jobs Fund, and the Municipal Finance Improvement Programme to deliver on national imperatives and departmental priorities. He said that strengthening public sector financial management as well as improving financial management governance and compliance across all spheres of government and in government entities is a priority. He said that during 2023/24, NT will continue with the development of the Integrated Financial Management System (IFMS) and concerted effort will be put on ensuring the system is rolled out.  </w:t>
      </w:r>
    </w:p>
    <w:p w:rsidR="00D372C8" w:rsidRPr="008C0BE5" w:rsidRDefault="00711EDA" w:rsidP="008C0BE5">
      <w:pPr>
        <w:pStyle w:val="ListParagraph"/>
        <w:numPr>
          <w:ilvl w:val="1"/>
          <w:numId w:val="1"/>
        </w:numPr>
        <w:spacing w:after="0" w:line="240" w:lineRule="auto"/>
        <w:rPr>
          <w:rFonts w:ascii="Arial" w:hAnsi="Arial" w:cs="Arial"/>
          <w:sz w:val="20"/>
          <w:szCs w:val="20"/>
        </w:rPr>
      </w:pPr>
      <w:r w:rsidRPr="008C0BE5">
        <w:rPr>
          <w:rFonts w:ascii="Arial" w:hAnsi="Arial" w:cs="Arial"/>
          <w:sz w:val="20"/>
          <w:szCs w:val="20"/>
        </w:rPr>
        <w:t xml:space="preserve"> </w:t>
      </w:r>
      <w:r w:rsidR="00D372C8" w:rsidRPr="008C0BE5">
        <w:rPr>
          <w:rFonts w:ascii="Arial" w:hAnsi="Arial" w:cs="Arial"/>
          <w:sz w:val="20"/>
          <w:szCs w:val="20"/>
        </w:rPr>
        <w:t>The Minister stated that i</w:t>
      </w:r>
      <w:r w:rsidR="00585937" w:rsidRPr="008C0BE5">
        <w:rPr>
          <w:rFonts w:ascii="Arial" w:hAnsi="Arial" w:cs="Arial"/>
          <w:sz w:val="20"/>
          <w:szCs w:val="20"/>
        </w:rPr>
        <w:t>n support of the M</w:t>
      </w:r>
      <w:r w:rsidR="00D372C8" w:rsidRPr="008C0BE5">
        <w:rPr>
          <w:rFonts w:ascii="Arial" w:hAnsi="Arial" w:cs="Arial"/>
          <w:sz w:val="20"/>
          <w:szCs w:val="20"/>
        </w:rPr>
        <w:t xml:space="preserve">unicipal </w:t>
      </w:r>
      <w:r w:rsidR="00585937" w:rsidRPr="008C0BE5">
        <w:rPr>
          <w:rFonts w:ascii="Arial" w:hAnsi="Arial" w:cs="Arial"/>
          <w:sz w:val="20"/>
          <w:szCs w:val="20"/>
        </w:rPr>
        <w:t>F</w:t>
      </w:r>
      <w:r w:rsidR="00D372C8" w:rsidRPr="008C0BE5">
        <w:rPr>
          <w:rFonts w:ascii="Arial" w:hAnsi="Arial" w:cs="Arial"/>
          <w:sz w:val="20"/>
          <w:szCs w:val="20"/>
        </w:rPr>
        <w:t xml:space="preserve">inance </w:t>
      </w:r>
      <w:r w:rsidR="00585937" w:rsidRPr="008C0BE5">
        <w:rPr>
          <w:rFonts w:ascii="Arial" w:hAnsi="Arial" w:cs="Arial"/>
          <w:sz w:val="20"/>
          <w:szCs w:val="20"/>
        </w:rPr>
        <w:t>M</w:t>
      </w:r>
      <w:r w:rsidR="00D372C8" w:rsidRPr="008C0BE5">
        <w:rPr>
          <w:rFonts w:ascii="Arial" w:hAnsi="Arial" w:cs="Arial"/>
          <w:sz w:val="20"/>
          <w:szCs w:val="20"/>
        </w:rPr>
        <w:t xml:space="preserve">anagement </w:t>
      </w:r>
      <w:r w:rsidR="00585937" w:rsidRPr="008C0BE5">
        <w:rPr>
          <w:rFonts w:ascii="Arial" w:hAnsi="Arial" w:cs="Arial"/>
          <w:sz w:val="20"/>
          <w:szCs w:val="20"/>
        </w:rPr>
        <w:t>A</w:t>
      </w:r>
      <w:r w:rsidR="00D372C8" w:rsidRPr="008C0BE5">
        <w:rPr>
          <w:rFonts w:ascii="Arial" w:hAnsi="Arial" w:cs="Arial"/>
          <w:sz w:val="20"/>
          <w:szCs w:val="20"/>
        </w:rPr>
        <w:t>ct</w:t>
      </w:r>
      <w:r w:rsidR="00585937" w:rsidRPr="008C0BE5">
        <w:rPr>
          <w:rFonts w:ascii="Arial" w:hAnsi="Arial" w:cs="Arial"/>
          <w:sz w:val="20"/>
          <w:szCs w:val="20"/>
        </w:rPr>
        <w:t xml:space="preserve"> U</w:t>
      </w:r>
      <w:r w:rsidR="00D372C8" w:rsidRPr="008C0BE5">
        <w:rPr>
          <w:rFonts w:ascii="Arial" w:hAnsi="Arial" w:cs="Arial"/>
          <w:sz w:val="20"/>
          <w:szCs w:val="20"/>
        </w:rPr>
        <w:t xml:space="preserve">nauthorised, </w:t>
      </w:r>
      <w:r w:rsidR="00585937" w:rsidRPr="008C0BE5">
        <w:rPr>
          <w:rFonts w:ascii="Arial" w:hAnsi="Arial" w:cs="Arial"/>
          <w:sz w:val="20"/>
          <w:szCs w:val="20"/>
        </w:rPr>
        <w:t>I</w:t>
      </w:r>
      <w:r w:rsidR="00D372C8" w:rsidRPr="008C0BE5">
        <w:rPr>
          <w:rFonts w:ascii="Arial" w:hAnsi="Arial" w:cs="Arial"/>
          <w:sz w:val="20"/>
          <w:szCs w:val="20"/>
        </w:rPr>
        <w:t xml:space="preserve">rregular, </w:t>
      </w:r>
      <w:r w:rsidR="00585937" w:rsidRPr="008C0BE5">
        <w:rPr>
          <w:rFonts w:ascii="Arial" w:hAnsi="Arial" w:cs="Arial"/>
          <w:sz w:val="20"/>
          <w:szCs w:val="20"/>
        </w:rPr>
        <w:t>F</w:t>
      </w:r>
      <w:r w:rsidR="00D372C8" w:rsidRPr="008C0BE5">
        <w:rPr>
          <w:rFonts w:ascii="Arial" w:hAnsi="Arial" w:cs="Arial"/>
          <w:sz w:val="20"/>
          <w:szCs w:val="20"/>
        </w:rPr>
        <w:t xml:space="preserve">ruitless and </w:t>
      </w:r>
      <w:r w:rsidR="00585937" w:rsidRPr="008C0BE5">
        <w:rPr>
          <w:rFonts w:ascii="Arial" w:hAnsi="Arial" w:cs="Arial"/>
          <w:sz w:val="20"/>
          <w:szCs w:val="20"/>
        </w:rPr>
        <w:t>W</w:t>
      </w:r>
      <w:r w:rsidR="00D372C8" w:rsidRPr="008C0BE5">
        <w:rPr>
          <w:rFonts w:ascii="Arial" w:hAnsi="Arial" w:cs="Arial"/>
          <w:sz w:val="20"/>
          <w:szCs w:val="20"/>
        </w:rPr>
        <w:t>asteful</w:t>
      </w:r>
      <w:r w:rsidR="00585937" w:rsidRPr="008C0BE5">
        <w:rPr>
          <w:rFonts w:ascii="Arial" w:hAnsi="Arial" w:cs="Arial"/>
          <w:sz w:val="20"/>
          <w:szCs w:val="20"/>
        </w:rPr>
        <w:t xml:space="preserve"> Expenditure Reduction Strategy, </w:t>
      </w:r>
      <w:r w:rsidR="00D372C8" w:rsidRPr="008C0BE5">
        <w:rPr>
          <w:rFonts w:ascii="Arial" w:hAnsi="Arial" w:cs="Arial"/>
          <w:sz w:val="20"/>
          <w:szCs w:val="20"/>
        </w:rPr>
        <w:t xml:space="preserve">NT </w:t>
      </w:r>
      <w:r w:rsidR="00585937" w:rsidRPr="008C0BE5">
        <w:rPr>
          <w:rFonts w:ascii="Arial" w:hAnsi="Arial" w:cs="Arial"/>
          <w:sz w:val="20"/>
          <w:szCs w:val="20"/>
        </w:rPr>
        <w:t xml:space="preserve">has embarked on a project </w:t>
      </w:r>
      <w:r w:rsidR="00585937" w:rsidRPr="008C0BE5">
        <w:rPr>
          <w:rFonts w:ascii="Arial" w:hAnsi="Arial" w:cs="Arial"/>
          <w:sz w:val="20"/>
          <w:szCs w:val="20"/>
        </w:rPr>
        <w:lastRenderedPageBreak/>
        <w:t xml:space="preserve">to develop a consequence management and accountability framework (CMA) for implementation by municipalities and municipal entities and </w:t>
      </w:r>
      <w:r w:rsidR="00D372C8" w:rsidRPr="008C0BE5">
        <w:rPr>
          <w:rFonts w:ascii="Arial" w:hAnsi="Arial" w:cs="Arial"/>
          <w:sz w:val="20"/>
          <w:szCs w:val="20"/>
        </w:rPr>
        <w:t>in</w:t>
      </w:r>
      <w:r w:rsidR="00585937" w:rsidRPr="008C0BE5">
        <w:rPr>
          <w:rFonts w:ascii="Arial" w:hAnsi="Arial" w:cs="Arial"/>
          <w:sz w:val="20"/>
          <w:szCs w:val="20"/>
        </w:rPr>
        <w:t xml:space="preserve"> respect of consequence management. </w:t>
      </w:r>
    </w:p>
    <w:p w:rsidR="00D372C8" w:rsidRPr="008C0BE5" w:rsidRDefault="00711EDA" w:rsidP="008C0BE5">
      <w:pPr>
        <w:pStyle w:val="ListParagraph"/>
        <w:numPr>
          <w:ilvl w:val="1"/>
          <w:numId w:val="1"/>
        </w:numPr>
        <w:spacing w:after="0" w:line="240" w:lineRule="auto"/>
        <w:rPr>
          <w:rFonts w:ascii="Arial" w:hAnsi="Arial" w:cs="Arial"/>
          <w:sz w:val="20"/>
          <w:szCs w:val="20"/>
        </w:rPr>
      </w:pPr>
      <w:r w:rsidRPr="008C0BE5">
        <w:rPr>
          <w:rFonts w:ascii="Arial" w:hAnsi="Arial" w:cs="Arial"/>
          <w:sz w:val="20"/>
          <w:szCs w:val="20"/>
        </w:rPr>
        <w:t xml:space="preserve"> </w:t>
      </w:r>
      <w:r w:rsidR="00D372C8" w:rsidRPr="008C0BE5">
        <w:rPr>
          <w:rFonts w:ascii="Arial" w:hAnsi="Arial" w:cs="Arial"/>
          <w:sz w:val="20"/>
          <w:szCs w:val="20"/>
        </w:rPr>
        <w:t>He said that a</w:t>
      </w:r>
      <w:r w:rsidR="00585937" w:rsidRPr="008C0BE5">
        <w:rPr>
          <w:rFonts w:ascii="Arial" w:hAnsi="Arial" w:cs="Arial"/>
          <w:sz w:val="20"/>
          <w:szCs w:val="20"/>
        </w:rPr>
        <w:t xml:space="preserve"> key focus area is overseeing and modernising government’s supply chain management systems and making government procurement more transparent, efficient, </w:t>
      </w:r>
      <w:r w:rsidR="0087572D" w:rsidRPr="008C0BE5">
        <w:rPr>
          <w:rFonts w:ascii="Arial" w:hAnsi="Arial" w:cs="Arial"/>
          <w:sz w:val="20"/>
          <w:szCs w:val="20"/>
        </w:rPr>
        <w:t>effective,</w:t>
      </w:r>
      <w:r w:rsidR="00585937" w:rsidRPr="008C0BE5">
        <w:rPr>
          <w:rFonts w:ascii="Arial" w:hAnsi="Arial" w:cs="Arial"/>
          <w:sz w:val="20"/>
          <w:szCs w:val="20"/>
        </w:rPr>
        <w:t xml:space="preserve"> and economical. </w:t>
      </w:r>
      <w:r w:rsidR="00D372C8" w:rsidRPr="008C0BE5">
        <w:rPr>
          <w:rFonts w:ascii="Arial" w:hAnsi="Arial" w:cs="Arial"/>
          <w:sz w:val="20"/>
          <w:szCs w:val="20"/>
        </w:rPr>
        <w:t>He assured the Committee that w</w:t>
      </w:r>
      <w:r w:rsidR="00585937" w:rsidRPr="008C0BE5">
        <w:rPr>
          <w:rFonts w:ascii="Arial" w:hAnsi="Arial" w:cs="Arial"/>
          <w:sz w:val="20"/>
          <w:szCs w:val="20"/>
        </w:rPr>
        <w:t xml:space="preserve">ork on the public procurement reforms will be accelerated with the revised draft Public Procurement Bill be taken through the Parliamentary process. In addition, oversight over compliance with SCM policies, procedures, </w:t>
      </w:r>
      <w:r w:rsidR="004847E9" w:rsidRPr="008C0BE5">
        <w:rPr>
          <w:rFonts w:ascii="Arial" w:hAnsi="Arial" w:cs="Arial"/>
          <w:sz w:val="20"/>
          <w:szCs w:val="20"/>
        </w:rPr>
        <w:t>norms,</w:t>
      </w:r>
      <w:r w:rsidR="00585937" w:rsidRPr="008C0BE5">
        <w:rPr>
          <w:rFonts w:ascii="Arial" w:hAnsi="Arial" w:cs="Arial"/>
          <w:sz w:val="20"/>
          <w:szCs w:val="20"/>
        </w:rPr>
        <w:t xml:space="preserve"> and standards will continue. </w:t>
      </w:r>
    </w:p>
    <w:p w:rsidR="00585937" w:rsidRPr="008C0BE5" w:rsidRDefault="00711EDA" w:rsidP="008C0BE5">
      <w:pPr>
        <w:pStyle w:val="ListParagraph"/>
        <w:numPr>
          <w:ilvl w:val="1"/>
          <w:numId w:val="1"/>
        </w:numPr>
        <w:spacing w:after="0" w:line="240" w:lineRule="auto"/>
        <w:rPr>
          <w:rFonts w:ascii="Arial" w:hAnsi="Arial" w:cs="Arial"/>
          <w:sz w:val="20"/>
          <w:szCs w:val="20"/>
        </w:rPr>
      </w:pPr>
      <w:r w:rsidRPr="008C0BE5">
        <w:rPr>
          <w:rFonts w:ascii="Arial" w:hAnsi="Arial" w:cs="Arial"/>
          <w:sz w:val="20"/>
          <w:szCs w:val="20"/>
        </w:rPr>
        <w:t xml:space="preserve"> </w:t>
      </w:r>
      <w:r w:rsidR="00D372C8" w:rsidRPr="008C0BE5">
        <w:rPr>
          <w:rFonts w:ascii="Arial" w:hAnsi="Arial" w:cs="Arial"/>
          <w:sz w:val="20"/>
          <w:szCs w:val="20"/>
        </w:rPr>
        <w:t xml:space="preserve">He further assured that NT </w:t>
      </w:r>
      <w:r w:rsidR="00585937" w:rsidRPr="008C0BE5">
        <w:rPr>
          <w:rFonts w:ascii="Arial" w:hAnsi="Arial" w:cs="Arial"/>
          <w:sz w:val="20"/>
          <w:szCs w:val="20"/>
        </w:rPr>
        <w:t>will continue to advance and protect South Africa’s interests in shaping regional and global policies that advance the economic, financial and development objectives of the country and Africa</w:t>
      </w:r>
      <w:r w:rsidR="00D372C8" w:rsidRPr="008C0BE5">
        <w:rPr>
          <w:rFonts w:ascii="Arial" w:hAnsi="Arial" w:cs="Arial"/>
          <w:sz w:val="20"/>
          <w:szCs w:val="20"/>
        </w:rPr>
        <w:t xml:space="preserve">. </w:t>
      </w:r>
    </w:p>
    <w:p w:rsidR="00BC1C3A" w:rsidRPr="008C0BE5" w:rsidRDefault="00BC1C3A" w:rsidP="008C0BE5">
      <w:pPr>
        <w:pStyle w:val="ListParagraph"/>
        <w:spacing w:after="0" w:line="240" w:lineRule="auto"/>
        <w:ind w:left="360"/>
        <w:rPr>
          <w:rFonts w:ascii="Arial" w:hAnsi="Arial" w:cs="Arial"/>
          <w:sz w:val="20"/>
          <w:szCs w:val="20"/>
        </w:rPr>
      </w:pPr>
    </w:p>
    <w:p w:rsidR="009E67BD" w:rsidRPr="008C0BE5" w:rsidRDefault="009E67BD" w:rsidP="008C0BE5">
      <w:pPr>
        <w:pStyle w:val="ListParagraph"/>
        <w:numPr>
          <w:ilvl w:val="0"/>
          <w:numId w:val="1"/>
        </w:numPr>
        <w:spacing w:after="0" w:line="240" w:lineRule="auto"/>
        <w:rPr>
          <w:rFonts w:ascii="Arial" w:hAnsi="Arial" w:cs="Arial"/>
          <w:b/>
          <w:sz w:val="20"/>
          <w:szCs w:val="20"/>
        </w:rPr>
      </w:pPr>
      <w:r w:rsidRPr="008C0BE5">
        <w:rPr>
          <w:rFonts w:ascii="Arial" w:hAnsi="Arial" w:cs="Arial"/>
          <w:b/>
          <w:sz w:val="20"/>
          <w:szCs w:val="20"/>
        </w:rPr>
        <w:t>OVERVIEW OF THE NATIONAL TREASURY BUDGET AND PROGRAMMES</w:t>
      </w:r>
      <w:r w:rsidRPr="008C0BE5">
        <w:rPr>
          <w:rFonts w:ascii="Arial" w:hAnsi="Arial" w:cs="Arial"/>
          <w:sz w:val="20"/>
          <w:szCs w:val="20"/>
        </w:rPr>
        <w:t xml:space="preserve"> </w:t>
      </w:r>
    </w:p>
    <w:p w:rsidR="00770C6E" w:rsidRPr="008C0BE5" w:rsidRDefault="008B57EB" w:rsidP="008C0BE5">
      <w:pPr>
        <w:pStyle w:val="ListParagraph"/>
        <w:numPr>
          <w:ilvl w:val="1"/>
          <w:numId w:val="1"/>
        </w:numPr>
        <w:spacing w:after="0" w:line="240" w:lineRule="auto"/>
        <w:rPr>
          <w:rFonts w:ascii="Arial" w:hAnsi="Arial" w:cs="Arial"/>
          <w:sz w:val="20"/>
          <w:szCs w:val="20"/>
        </w:rPr>
      </w:pPr>
      <w:r w:rsidRPr="008C0BE5">
        <w:rPr>
          <w:rFonts w:ascii="Arial" w:hAnsi="Arial" w:cs="Arial"/>
          <w:sz w:val="20"/>
          <w:szCs w:val="20"/>
        </w:rPr>
        <w:t xml:space="preserve"> A total of R3</w:t>
      </w:r>
      <w:r w:rsidR="00BC1C3A" w:rsidRPr="008C0BE5">
        <w:rPr>
          <w:rFonts w:ascii="Arial" w:hAnsi="Arial" w:cs="Arial"/>
          <w:sz w:val="20"/>
          <w:szCs w:val="20"/>
        </w:rPr>
        <w:t>4</w:t>
      </w:r>
      <w:r w:rsidRPr="008C0BE5">
        <w:rPr>
          <w:rFonts w:ascii="Arial" w:hAnsi="Arial" w:cs="Arial"/>
          <w:sz w:val="20"/>
          <w:szCs w:val="20"/>
        </w:rPr>
        <w:t xml:space="preserve">.9 billion is </w:t>
      </w:r>
      <w:r w:rsidR="009E67BD" w:rsidRPr="008C0BE5">
        <w:rPr>
          <w:rFonts w:ascii="Arial" w:hAnsi="Arial" w:cs="Arial"/>
          <w:sz w:val="20"/>
          <w:szCs w:val="20"/>
        </w:rPr>
        <w:t>allocated to N</w:t>
      </w:r>
      <w:r w:rsidRPr="008C0BE5">
        <w:rPr>
          <w:rFonts w:ascii="Arial" w:hAnsi="Arial" w:cs="Arial"/>
          <w:sz w:val="20"/>
          <w:szCs w:val="20"/>
        </w:rPr>
        <w:t>T</w:t>
      </w:r>
      <w:r w:rsidR="009E67BD" w:rsidRPr="008C0BE5">
        <w:rPr>
          <w:rFonts w:ascii="Arial" w:hAnsi="Arial" w:cs="Arial"/>
          <w:sz w:val="20"/>
          <w:szCs w:val="20"/>
        </w:rPr>
        <w:t xml:space="preserve"> in 202</w:t>
      </w:r>
      <w:r w:rsidR="00BC1C3A" w:rsidRPr="008C0BE5">
        <w:rPr>
          <w:rFonts w:ascii="Arial" w:hAnsi="Arial" w:cs="Arial"/>
          <w:sz w:val="20"/>
          <w:szCs w:val="20"/>
        </w:rPr>
        <w:t>3</w:t>
      </w:r>
      <w:r w:rsidRPr="008C0BE5">
        <w:rPr>
          <w:rFonts w:ascii="Arial" w:hAnsi="Arial" w:cs="Arial"/>
          <w:sz w:val="20"/>
          <w:szCs w:val="20"/>
        </w:rPr>
        <w:t>/2</w:t>
      </w:r>
      <w:r w:rsidR="00BC1C3A" w:rsidRPr="008C0BE5">
        <w:rPr>
          <w:rFonts w:ascii="Arial" w:hAnsi="Arial" w:cs="Arial"/>
          <w:sz w:val="20"/>
          <w:szCs w:val="20"/>
        </w:rPr>
        <w:t>4</w:t>
      </w:r>
      <w:r w:rsidR="00CD1F3F" w:rsidRPr="008C0BE5">
        <w:rPr>
          <w:rFonts w:ascii="Arial" w:hAnsi="Arial" w:cs="Arial"/>
          <w:sz w:val="20"/>
          <w:szCs w:val="20"/>
        </w:rPr>
        <w:t xml:space="preserve"> (3,2% of total appropriated funds per Vote)</w:t>
      </w:r>
      <w:r w:rsidRPr="008C0BE5">
        <w:rPr>
          <w:rFonts w:ascii="Arial" w:hAnsi="Arial" w:cs="Arial"/>
          <w:sz w:val="20"/>
          <w:szCs w:val="20"/>
        </w:rPr>
        <w:t>, of which 8</w:t>
      </w:r>
      <w:r w:rsidR="00BC1C3A" w:rsidRPr="008C0BE5">
        <w:rPr>
          <w:rFonts w:ascii="Arial" w:hAnsi="Arial" w:cs="Arial"/>
          <w:sz w:val="20"/>
          <w:szCs w:val="20"/>
        </w:rPr>
        <w:t>5</w:t>
      </w:r>
      <w:r w:rsidRPr="008C0BE5">
        <w:rPr>
          <w:rFonts w:ascii="Arial" w:hAnsi="Arial" w:cs="Arial"/>
          <w:sz w:val="20"/>
          <w:szCs w:val="20"/>
        </w:rPr>
        <w:t xml:space="preserve"> percent will be appropriated to transfers and subsidies</w:t>
      </w:r>
      <w:r w:rsidR="00BC1C3A" w:rsidRPr="008C0BE5">
        <w:rPr>
          <w:rFonts w:ascii="Arial" w:hAnsi="Arial" w:cs="Arial"/>
          <w:sz w:val="20"/>
          <w:szCs w:val="20"/>
        </w:rPr>
        <w:t xml:space="preserve"> mainly to: entities reporting under the Minister of Finance, conditional grants to municipalities, and social households for </w:t>
      </w:r>
      <w:r w:rsidR="002028C8" w:rsidRPr="008C0BE5">
        <w:rPr>
          <w:rFonts w:ascii="Arial" w:hAnsi="Arial" w:cs="Arial"/>
          <w:sz w:val="20"/>
          <w:szCs w:val="20"/>
        </w:rPr>
        <w:t>c</w:t>
      </w:r>
      <w:r w:rsidR="00BC1C3A" w:rsidRPr="008C0BE5">
        <w:rPr>
          <w:rFonts w:ascii="Arial" w:hAnsi="Arial" w:cs="Arial"/>
          <w:sz w:val="20"/>
          <w:szCs w:val="20"/>
        </w:rPr>
        <w:t xml:space="preserve">ivil and </w:t>
      </w:r>
      <w:r w:rsidR="002028C8" w:rsidRPr="008C0BE5">
        <w:rPr>
          <w:rFonts w:ascii="Arial" w:hAnsi="Arial" w:cs="Arial"/>
          <w:sz w:val="20"/>
          <w:szCs w:val="20"/>
        </w:rPr>
        <w:t>m</w:t>
      </w:r>
      <w:r w:rsidR="00BC1C3A" w:rsidRPr="008C0BE5">
        <w:rPr>
          <w:rFonts w:ascii="Arial" w:hAnsi="Arial" w:cs="Arial"/>
          <w:sz w:val="20"/>
          <w:szCs w:val="20"/>
        </w:rPr>
        <w:t xml:space="preserve">ilitary </w:t>
      </w:r>
      <w:r w:rsidR="002028C8" w:rsidRPr="008C0BE5">
        <w:rPr>
          <w:rFonts w:ascii="Arial" w:hAnsi="Arial" w:cs="Arial"/>
          <w:sz w:val="20"/>
          <w:szCs w:val="20"/>
        </w:rPr>
        <w:t>pensions</w:t>
      </w:r>
      <w:r w:rsidRPr="008C0BE5">
        <w:rPr>
          <w:rFonts w:ascii="Arial" w:hAnsi="Arial" w:cs="Arial"/>
          <w:sz w:val="20"/>
          <w:szCs w:val="20"/>
        </w:rPr>
        <w:t xml:space="preserve">. </w:t>
      </w:r>
      <w:r w:rsidR="009E67BD" w:rsidRPr="008C0BE5">
        <w:rPr>
          <w:rFonts w:ascii="Arial" w:hAnsi="Arial" w:cs="Arial"/>
          <w:sz w:val="20"/>
          <w:szCs w:val="20"/>
        </w:rPr>
        <w:t>The projected allocations for the 202</w:t>
      </w:r>
      <w:r w:rsidRPr="008C0BE5">
        <w:rPr>
          <w:rFonts w:ascii="Arial" w:hAnsi="Arial" w:cs="Arial"/>
          <w:sz w:val="20"/>
          <w:szCs w:val="20"/>
        </w:rPr>
        <w:t>4</w:t>
      </w:r>
      <w:r w:rsidR="002028C8" w:rsidRPr="008C0BE5">
        <w:rPr>
          <w:rFonts w:ascii="Arial" w:hAnsi="Arial" w:cs="Arial"/>
          <w:sz w:val="20"/>
          <w:szCs w:val="20"/>
        </w:rPr>
        <w:t>/25</w:t>
      </w:r>
      <w:r w:rsidR="009E67BD" w:rsidRPr="008C0BE5">
        <w:rPr>
          <w:rFonts w:ascii="Arial" w:hAnsi="Arial" w:cs="Arial"/>
          <w:sz w:val="20"/>
          <w:szCs w:val="20"/>
        </w:rPr>
        <w:t xml:space="preserve"> and 202</w:t>
      </w:r>
      <w:r w:rsidR="002028C8" w:rsidRPr="008C0BE5">
        <w:rPr>
          <w:rFonts w:ascii="Arial" w:hAnsi="Arial" w:cs="Arial"/>
          <w:sz w:val="20"/>
          <w:szCs w:val="20"/>
        </w:rPr>
        <w:t>5</w:t>
      </w:r>
      <w:r w:rsidR="009E67BD" w:rsidRPr="008C0BE5">
        <w:rPr>
          <w:rFonts w:ascii="Arial" w:hAnsi="Arial" w:cs="Arial"/>
          <w:sz w:val="20"/>
          <w:szCs w:val="20"/>
        </w:rPr>
        <w:t>/2</w:t>
      </w:r>
      <w:r w:rsidR="002028C8" w:rsidRPr="008C0BE5">
        <w:rPr>
          <w:rFonts w:ascii="Arial" w:hAnsi="Arial" w:cs="Arial"/>
          <w:sz w:val="20"/>
          <w:szCs w:val="20"/>
        </w:rPr>
        <w:t>6</w:t>
      </w:r>
      <w:r w:rsidR="009E67BD" w:rsidRPr="008C0BE5">
        <w:rPr>
          <w:rFonts w:ascii="Arial" w:hAnsi="Arial" w:cs="Arial"/>
          <w:sz w:val="20"/>
          <w:szCs w:val="20"/>
        </w:rPr>
        <w:t xml:space="preserve"> are R3</w:t>
      </w:r>
      <w:r w:rsidR="002028C8" w:rsidRPr="008C0BE5">
        <w:rPr>
          <w:rFonts w:ascii="Arial" w:hAnsi="Arial" w:cs="Arial"/>
          <w:sz w:val="20"/>
          <w:szCs w:val="20"/>
        </w:rPr>
        <w:t>3</w:t>
      </w:r>
      <w:r w:rsidR="009E67BD" w:rsidRPr="008C0BE5">
        <w:rPr>
          <w:rFonts w:ascii="Arial" w:hAnsi="Arial" w:cs="Arial"/>
          <w:sz w:val="20"/>
          <w:szCs w:val="20"/>
        </w:rPr>
        <w:t>.</w:t>
      </w:r>
      <w:r w:rsidR="002028C8" w:rsidRPr="008C0BE5">
        <w:rPr>
          <w:rFonts w:ascii="Arial" w:hAnsi="Arial" w:cs="Arial"/>
          <w:sz w:val="20"/>
          <w:szCs w:val="20"/>
        </w:rPr>
        <w:t>1</w:t>
      </w:r>
      <w:r w:rsidR="009E67BD" w:rsidRPr="008C0BE5">
        <w:rPr>
          <w:rFonts w:ascii="Arial" w:hAnsi="Arial" w:cs="Arial"/>
          <w:sz w:val="20"/>
          <w:szCs w:val="20"/>
        </w:rPr>
        <w:t xml:space="preserve"> and 3</w:t>
      </w:r>
      <w:r w:rsidR="002028C8" w:rsidRPr="008C0BE5">
        <w:rPr>
          <w:rFonts w:ascii="Arial" w:hAnsi="Arial" w:cs="Arial"/>
          <w:sz w:val="20"/>
          <w:szCs w:val="20"/>
        </w:rPr>
        <w:t>4</w:t>
      </w:r>
      <w:r w:rsidR="009E67BD" w:rsidRPr="008C0BE5">
        <w:rPr>
          <w:rFonts w:ascii="Arial" w:hAnsi="Arial" w:cs="Arial"/>
          <w:sz w:val="20"/>
          <w:szCs w:val="20"/>
        </w:rPr>
        <w:t>.</w:t>
      </w:r>
      <w:r w:rsidR="002028C8" w:rsidRPr="008C0BE5">
        <w:rPr>
          <w:rFonts w:ascii="Arial" w:hAnsi="Arial" w:cs="Arial"/>
          <w:sz w:val="20"/>
          <w:szCs w:val="20"/>
        </w:rPr>
        <w:t>6</w:t>
      </w:r>
      <w:r w:rsidR="009E67BD" w:rsidRPr="008C0BE5">
        <w:rPr>
          <w:rFonts w:ascii="Arial" w:hAnsi="Arial" w:cs="Arial"/>
          <w:sz w:val="20"/>
          <w:szCs w:val="20"/>
        </w:rPr>
        <w:t xml:space="preserve"> billion, respectively.  </w:t>
      </w:r>
    </w:p>
    <w:p w:rsidR="00542B17" w:rsidRPr="008C0BE5" w:rsidRDefault="00711EDA" w:rsidP="008C0BE5">
      <w:pPr>
        <w:pStyle w:val="ListParagraph"/>
        <w:numPr>
          <w:ilvl w:val="1"/>
          <w:numId w:val="1"/>
        </w:numPr>
        <w:spacing w:after="0" w:line="240" w:lineRule="auto"/>
        <w:rPr>
          <w:rFonts w:ascii="Arial" w:hAnsi="Arial" w:cs="Arial"/>
          <w:sz w:val="20"/>
          <w:szCs w:val="20"/>
        </w:rPr>
      </w:pPr>
      <w:r w:rsidRPr="008C0BE5">
        <w:rPr>
          <w:rFonts w:ascii="Arial" w:hAnsi="Arial" w:cs="Arial"/>
          <w:sz w:val="20"/>
          <w:szCs w:val="20"/>
        </w:rPr>
        <w:t xml:space="preserve"> </w:t>
      </w:r>
      <w:r w:rsidR="001C5356" w:rsidRPr="008C0BE5">
        <w:rPr>
          <w:rFonts w:ascii="Arial" w:hAnsi="Arial" w:cs="Arial"/>
          <w:sz w:val="20"/>
          <w:szCs w:val="20"/>
        </w:rPr>
        <w:t xml:space="preserve">NT’s Compensation of Employees (COE) amounts to R920 million, which is only 2.6% of the 2023/24 budget, with a marginal increase in posts from 1048 (2022/23) to 1135 in 2023/24. </w:t>
      </w:r>
      <w:r w:rsidR="00CD1F3F" w:rsidRPr="008C0BE5">
        <w:rPr>
          <w:rFonts w:ascii="Arial" w:hAnsi="Arial" w:cs="Arial"/>
          <w:sz w:val="20"/>
          <w:szCs w:val="20"/>
        </w:rPr>
        <w:t xml:space="preserve">Approximately R91.3 million will be allocated for COE cost of living adjustments. </w:t>
      </w:r>
    </w:p>
    <w:p w:rsidR="00542B17" w:rsidRPr="008C0BE5" w:rsidRDefault="00542B17" w:rsidP="008C0BE5">
      <w:pPr>
        <w:pStyle w:val="ListParagraph"/>
        <w:spacing w:after="0" w:line="240" w:lineRule="auto"/>
        <w:ind w:left="360"/>
        <w:rPr>
          <w:rFonts w:ascii="Arial" w:hAnsi="Arial" w:cs="Arial"/>
          <w:sz w:val="20"/>
          <w:szCs w:val="20"/>
        </w:rPr>
      </w:pPr>
    </w:p>
    <w:p w:rsidR="009E67BD" w:rsidRPr="008C0BE5" w:rsidRDefault="00542B17" w:rsidP="008C0BE5">
      <w:pPr>
        <w:pStyle w:val="ListParagraph"/>
        <w:spacing w:after="0" w:line="240" w:lineRule="auto"/>
        <w:ind w:left="360"/>
        <w:rPr>
          <w:rFonts w:ascii="Arial" w:hAnsi="Arial" w:cs="Arial"/>
          <w:sz w:val="20"/>
          <w:szCs w:val="20"/>
        </w:rPr>
      </w:pPr>
      <w:r w:rsidRPr="008C0BE5">
        <w:rPr>
          <w:rFonts w:ascii="Arial" w:hAnsi="Arial" w:cs="Arial"/>
          <w:b/>
          <w:sz w:val="20"/>
          <w:szCs w:val="20"/>
        </w:rPr>
        <w:t>TABLE 1: NT budget summary and vote expenditure trends 2023/24 MTEF</w:t>
      </w:r>
    </w:p>
    <w:tbl>
      <w:tblPr>
        <w:tblpPr w:leftFromText="180" w:rightFromText="180" w:vertAnchor="text" w:horzAnchor="margin" w:tblpXSpec="center" w:tblpY="342"/>
        <w:tblW w:w="1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850"/>
        <w:gridCol w:w="992"/>
        <w:gridCol w:w="1046"/>
        <w:gridCol w:w="1023"/>
        <w:gridCol w:w="700"/>
        <w:gridCol w:w="732"/>
        <w:gridCol w:w="752"/>
        <w:gridCol w:w="850"/>
        <w:gridCol w:w="851"/>
        <w:gridCol w:w="850"/>
        <w:gridCol w:w="803"/>
      </w:tblGrid>
      <w:tr w:rsidR="00DB1856" w:rsidRPr="008C0BE5" w:rsidTr="00971D87">
        <w:trPr>
          <w:trHeight w:val="984"/>
        </w:trPr>
        <w:tc>
          <w:tcPr>
            <w:tcW w:w="1555" w:type="dxa"/>
            <w:shd w:val="clear" w:color="auto" w:fill="auto"/>
            <w:hideMark/>
          </w:tcPr>
          <w:p w:rsidR="00DB1856" w:rsidRPr="008C0BE5" w:rsidRDefault="00DB1856" w:rsidP="008C0BE5">
            <w:pPr>
              <w:rPr>
                <w:rFonts w:ascii="Arial" w:eastAsia="Times New Roman" w:hAnsi="Arial" w:cs="Arial"/>
                <w:b/>
                <w:bCs/>
                <w:sz w:val="20"/>
                <w:szCs w:val="20"/>
                <w:lang w:eastAsia="en-ZA"/>
              </w:rPr>
            </w:pPr>
          </w:p>
        </w:tc>
        <w:tc>
          <w:tcPr>
            <w:tcW w:w="2888" w:type="dxa"/>
            <w:gridSpan w:val="3"/>
            <w:shd w:val="clear" w:color="auto" w:fill="auto"/>
            <w:noWrap/>
            <w:hideMark/>
          </w:tcPr>
          <w:p w:rsidR="00DB1856" w:rsidRPr="008C0BE5" w:rsidRDefault="00DB1856"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Audited outcome</w:t>
            </w:r>
          </w:p>
        </w:tc>
        <w:tc>
          <w:tcPr>
            <w:tcW w:w="1023" w:type="dxa"/>
            <w:shd w:val="clear" w:color="auto" w:fill="auto"/>
            <w:hideMark/>
          </w:tcPr>
          <w:p w:rsidR="00DB1856" w:rsidRPr="008C0BE5" w:rsidRDefault="00DB1856"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xml:space="preserve">Adjusted </w:t>
            </w:r>
            <w:r w:rsidRPr="008C0BE5">
              <w:rPr>
                <w:rFonts w:ascii="Arial" w:eastAsia="Times New Roman" w:hAnsi="Arial" w:cs="Arial"/>
                <w:b/>
                <w:bCs/>
                <w:sz w:val="20"/>
                <w:szCs w:val="20"/>
                <w:lang w:eastAsia="en-ZA"/>
              </w:rPr>
              <w:br/>
              <w:t>appropriation</w:t>
            </w:r>
          </w:p>
        </w:tc>
        <w:tc>
          <w:tcPr>
            <w:tcW w:w="700" w:type="dxa"/>
            <w:shd w:val="clear" w:color="000000" w:fill="D9D9D9"/>
            <w:hideMark/>
          </w:tcPr>
          <w:p w:rsidR="00DB1856" w:rsidRPr="008C0BE5" w:rsidRDefault="00DB1856"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Average</w:t>
            </w:r>
            <w:r w:rsidRPr="008C0BE5">
              <w:rPr>
                <w:rFonts w:ascii="Arial" w:eastAsia="Times New Roman" w:hAnsi="Arial" w:cs="Arial"/>
                <w:b/>
                <w:bCs/>
                <w:sz w:val="20"/>
                <w:szCs w:val="20"/>
                <w:lang w:eastAsia="en-ZA"/>
              </w:rPr>
              <w:br/>
              <w:t>growth</w:t>
            </w:r>
            <w:r w:rsidRPr="008C0BE5">
              <w:rPr>
                <w:rFonts w:ascii="Arial" w:eastAsia="Times New Roman" w:hAnsi="Arial" w:cs="Arial"/>
                <w:b/>
                <w:bCs/>
                <w:sz w:val="20"/>
                <w:szCs w:val="20"/>
                <w:lang w:eastAsia="en-ZA"/>
              </w:rPr>
              <w:br/>
              <w:t>rate</w:t>
            </w:r>
            <w:r w:rsidRPr="008C0BE5">
              <w:rPr>
                <w:rFonts w:ascii="Arial" w:eastAsia="Times New Roman" w:hAnsi="Arial" w:cs="Arial"/>
                <w:b/>
                <w:bCs/>
                <w:sz w:val="20"/>
                <w:szCs w:val="20"/>
                <w:lang w:eastAsia="en-ZA"/>
              </w:rPr>
              <w:br/>
              <w:t>(%)</w:t>
            </w:r>
          </w:p>
        </w:tc>
        <w:tc>
          <w:tcPr>
            <w:tcW w:w="732" w:type="dxa"/>
            <w:shd w:val="clear" w:color="000000" w:fill="D9D9D9"/>
            <w:hideMark/>
          </w:tcPr>
          <w:p w:rsidR="00DB1856" w:rsidRPr="008C0BE5" w:rsidRDefault="00DB1856"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xml:space="preserve">Average: </w:t>
            </w:r>
            <w:r w:rsidRPr="008C0BE5">
              <w:rPr>
                <w:rFonts w:ascii="Arial" w:eastAsia="Times New Roman" w:hAnsi="Arial" w:cs="Arial"/>
                <w:b/>
                <w:bCs/>
                <w:sz w:val="20"/>
                <w:szCs w:val="20"/>
                <w:lang w:eastAsia="en-ZA"/>
              </w:rPr>
              <w:br/>
              <w:t>Expen-</w:t>
            </w:r>
            <w:r w:rsidRPr="008C0BE5">
              <w:rPr>
                <w:rFonts w:ascii="Arial" w:eastAsia="Times New Roman" w:hAnsi="Arial" w:cs="Arial"/>
                <w:b/>
                <w:bCs/>
                <w:sz w:val="20"/>
                <w:szCs w:val="20"/>
                <w:lang w:eastAsia="en-ZA"/>
              </w:rPr>
              <w:br/>
              <w:t>diture/</w:t>
            </w:r>
            <w:r w:rsidRPr="008C0BE5">
              <w:rPr>
                <w:rFonts w:ascii="Arial" w:eastAsia="Times New Roman" w:hAnsi="Arial" w:cs="Arial"/>
                <w:b/>
                <w:bCs/>
                <w:sz w:val="20"/>
                <w:szCs w:val="20"/>
                <w:lang w:eastAsia="en-ZA"/>
              </w:rPr>
              <w:br/>
              <w:t>Total</w:t>
            </w:r>
            <w:r w:rsidRPr="008C0BE5">
              <w:rPr>
                <w:rFonts w:ascii="Arial" w:eastAsia="Times New Roman" w:hAnsi="Arial" w:cs="Arial"/>
                <w:b/>
                <w:bCs/>
                <w:sz w:val="20"/>
                <w:szCs w:val="20"/>
                <w:lang w:eastAsia="en-ZA"/>
              </w:rPr>
              <w:br/>
              <w:t>(%)</w:t>
            </w:r>
          </w:p>
        </w:tc>
        <w:tc>
          <w:tcPr>
            <w:tcW w:w="2453" w:type="dxa"/>
            <w:gridSpan w:val="3"/>
            <w:shd w:val="clear" w:color="auto" w:fill="auto"/>
            <w:hideMark/>
          </w:tcPr>
          <w:p w:rsidR="00DB1856" w:rsidRPr="008C0BE5" w:rsidRDefault="00DB1856"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xml:space="preserve">Medium-term expenditure </w:t>
            </w:r>
            <w:r w:rsidRPr="008C0BE5">
              <w:rPr>
                <w:rFonts w:ascii="Arial" w:eastAsia="Times New Roman" w:hAnsi="Arial" w:cs="Arial"/>
                <w:b/>
                <w:bCs/>
                <w:sz w:val="20"/>
                <w:szCs w:val="20"/>
                <w:lang w:eastAsia="en-ZA"/>
              </w:rPr>
              <w:br/>
              <w:t>estimate</w:t>
            </w:r>
          </w:p>
        </w:tc>
        <w:tc>
          <w:tcPr>
            <w:tcW w:w="850" w:type="dxa"/>
            <w:shd w:val="clear" w:color="000000" w:fill="D9D9D9"/>
            <w:hideMark/>
          </w:tcPr>
          <w:p w:rsidR="00DB1856" w:rsidRPr="008C0BE5" w:rsidRDefault="00DB1856"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Average</w:t>
            </w:r>
            <w:r w:rsidRPr="008C0BE5">
              <w:rPr>
                <w:rFonts w:ascii="Arial" w:eastAsia="Times New Roman" w:hAnsi="Arial" w:cs="Arial"/>
                <w:b/>
                <w:bCs/>
                <w:sz w:val="20"/>
                <w:szCs w:val="20"/>
                <w:lang w:eastAsia="en-ZA"/>
              </w:rPr>
              <w:br/>
              <w:t>growth</w:t>
            </w:r>
            <w:r w:rsidRPr="008C0BE5">
              <w:rPr>
                <w:rFonts w:ascii="Arial" w:eastAsia="Times New Roman" w:hAnsi="Arial" w:cs="Arial"/>
                <w:b/>
                <w:bCs/>
                <w:sz w:val="20"/>
                <w:szCs w:val="20"/>
                <w:lang w:eastAsia="en-ZA"/>
              </w:rPr>
              <w:br/>
              <w:t>rate</w:t>
            </w:r>
            <w:r w:rsidRPr="008C0BE5">
              <w:rPr>
                <w:rFonts w:ascii="Arial" w:eastAsia="Times New Roman" w:hAnsi="Arial" w:cs="Arial"/>
                <w:b/>
                <w:bCs/>
                <w:sz w:val="20"/>
                <w:szCs w:val="20"/>
                <w:lang w:eastAsia="en-ZA"/>
              </w:rPr>
              <w:br/>
              <w:t>(%)</w:t>
            </w:r>
          </w:p>
        </w:tc>
        <w:tc>
          <w:tcPr>
            <w:tcW w:w="803" w:type="dxa"/>
            <w:shd w:val="clear" w:color="000000" w:fill="D9D9D9"/>
            <w:hideMark/>
          </w:tcPr>
          <w:p w:rsidR="00DB1856" w:rsidRPr="008C0BE5" w:rsidRDefault="00DB1856"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Average:</w:t>
            </w:r>
            <w:r w:rsidRPr="008C0BE5">
              <w:rPr>
                <w:rFonts w:ascii="Arial" w:eastAsia="Times New Roman" w:hAnsi="Arial" w:cs="Arial"/>
                <w:b/>
                <w:bCs/>
                <w:sz w:val="20"/>
                <w:szCs w:val="20"/>
                <w:lang w:eastAsia="en-ZA"/>
              </w:rPr>
              <w:br/>
              <w:t>Expen</w:t>
            </w:r>
            <w:r w:rsidRPr="008C0BE5">
              <w:rPr>
                <w:rFonts w:ascii="Arial" w:eastAsia="Times New Roman" w:hAnsi="Arial" w:cs="Arial"/>
                <w:b/>
                <w:bCs/>
                <w:sz w:val="20"/>
                <w:szCs w:val="20"/>
                <w:lang w:eastAsia="en-ZA"/>
              </w:rPr>
              <w:br/>
              <w:t>diture/</w:t>
            </w:r>
            <w:r w:rsidRPr="008C0BE5">
              <w:rPr>
                <w:rFonts w:ascii="Arial" w:eastAsia="Times New Roman" w:hAnsi="Arial" w:cs="Arial"/>
                <w:b/>
                <w:bCs/>
                <w:sz w:val="20"/>
                <w:szCs w:val="20"/>
                <w:lang w:eastAsia="en-ZA"/>
              </w:rPr>
              <w:br/>
              <w:t>Total</w:t>
            </w:r>
            <w:r w:rsidRPr="008C0BE5">
              <w:rPr>
                <w:rFonts w:ascii="Arial" w:eastAsia="Times New Roman" w:hAnsi="Arial" w:cs="Arial"/>
                <w:b/>
                <w:bCs/>
                <w:sz w:val="20"/>
                <w:szCs w:val="20"/>
                <w:lang w:eastAsia="en-ZA"/>
              </w:rPr>
              <w:br/>
              <w:t>(%)</w:t>
            </w:r>
          </w:p>
        </w:tc>
      </w:tr>
      <w:tr w:rsidR="00DB1856" w:rsidRPr="008C0BE5" w:rsidTr="00971D87">
        <w:trPr>
          <w:trHeight w:val="288"/>
        </w:trPr>
        <w:tc>
          <w:tcPr>
            <w:tcW w:w="1555"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R million</w:t>
            </w:r>
          </w:p>
        </w:tc>
        <w:tc>
          <w:tcPr>
            <w:tcW w:w="850" w:type="dxa"/>
            <w:shd w:val="clear" w:color="auto" w:fill="auto"/>
            <w:noWrap/>
            <w:hideMark/>
          </w:tcPr>
          <w:p w:rsidR="00DB1856" w:rsidRPr="008C0BE5" w:rsidRDefault="00DB1856"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xml:space="preserve"> 2019/20 </w:t>
            </w:r>
          </w:p>
        </w:tc>
        <w:tc>
          <w:tcPr>
            <w:tcW w:w="992" w:type="dxa"/>
            <w:shd w:val="clear" w:color="auto" w:fill="auto"/>
            <w:noWrap/>
            <w:hideMark/>
          </w:tcPr>
          <w:p w:rsidR="00DB1856" w:rsidRPr="008C0BE5" w:rsidRDefault="00DB1856"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xml:space="preserve"> 2020/21 </w:t>
            </w:r>
          </w:p>
        </w:tc>
        <w:tc>
          <w:tcPr>
            <w:tcW w:w="1046" w:type="dxa"/>
            <w:shd w:val="clear" w:color="auto" w:fill="auto"/>
            <w:noWrap/>
            <w:hideMark/>
          </w:tcPr>
          <w:p w:rsidR="00DB1856" w:rsidRPr="008C0BE5" w:rsidRDefault="00DB1856"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xml:space="preserve"> 2021/22 </w:t>
            </w:r>
          </w:p>
        </w:tc>
        <w:tc>
          <w:tcPr>
            <w:tcW w:w="1023" w:type="dxa"/>
            <w:shd w:val="clear" w:color="auto" w:fill="auto"/>
            <w:noWrap/>
            <w:hideMark/>
          </w:tcPr>
          <w:p w:rsidR="00DB1856" w:rsidRPr="008C0BE5" w:rsidRDefault="00DB1856"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xml:space="preserve"> 2022/23 </w:t>
            </w:r>
          </w:p>
        </w:tc>
        <w:tc>
          <w:tcPr>
            <w:tcW w:w="1432" w:type="dxa"/>
            <w:gridSpan w:val="2"/>
            <w:shd w:val="clear" w:color="000000" w:fill="D9D9D9"/>
            <w:noWrap/>
            <w:hideMark/>
          </w:tcPr>
          <w:p w:rsidR="00DB1856" w:rsidRPr="008C0BE5" w:rsidRDefault="00DB1856"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xml:space="preserve"> 2019/20 - 2022/23 </w:t>
            </w:r>
          </w:p>
        </w:tc>
        <w:tc>
          <w:tcPr>
            <w:tcW w:w="752" w:type="dxa"/>
            <w:shd w:val="clear" w:color="auto" w:fill="auto"/>
            <w:noWrap/>
            <w:hideMark/>
          </w:tcPr>
          <w:p w:rsidR="00DB1856" w:rsidRPr="008C0BE5" w:rsidRDefault="00DB1856"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xml:space="preserve"> 2023/24 </w:t>
            </w:r>
          </w:p>
        </w:tc>
        <w:tc>
          <w:tcPr>
            <w:tcW w:w="850" w:type="dxa"/>
            <w:shd w:val="clear" w:color="auto" w:fill="auto"/>
            <w:noWrap/>
            <w:hideMark/>
          </w:tcPr>
          <w:p w:rsidR="00DB1856" w:rsidRPr="008C0BE5" w:rsidRDefault="00DB1856"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xml:space="preserve"> 2024/25 </w:t>
            </w:r>
          </w:p>
        </w:tc>
        <w:tc>
          <w:tcPr>
            <w:tcW w:w="851" w:type="dxa"/>
            <w:shd w:val="clear" w:color="auto" w:fill="auto"/>
            <w:noWrap/>
            <w:hideMark/>
          </w:tcPr>
          <w:p w:rsidR="00DB1856" w:rsidRPr="008C0BE5" w:rsidRDefault="00DB1856"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xml:space="preserve"> 2025/26 </w:t>
            </w:r>
          </w:p>
        </w:tc>
        <w:tc>
          <w:tcPr>
            <w:tcW w:w="1653" w:type="dxa"/>
            <w:gridSpan w:val="2"/>
            <w:shd w:val="clear" w:color="000000" w:fill="D9D9D9"/>
            <w:noWrap/>
            <w:hideMark/>
          </w:tcPr>
          <w:p w:rsidR="00DB1856" w:rsidRPr="008C0BE5" w:rsidRDefault="00DB1856"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xml:space="preserve"> 2022/23 - 2025/26 </w:t>
            </w:r>
          </w:p>
        </w:tc>
      </w:tr>
      <w:tr w:rsidR="00DB1856" w:rsidRPr="008C0BE5" w:rsidTr="00971D87">
        <w:trPr>
          <w:trHeight w:val="288"/>
        </w:trPr>
        <w:tc>
          <w:tcPr>
            <w:tcW w:w="1555" w:type="dxa"/>
            <w:shd w:val="clear" w:color="auto" w:fill="auto"/>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Programme 1: Administration</w:t>
            </w:r>
          </w:p>
        </w:tc>
        <w:tc>
          <w:tcPr>
            <w:tcW w:w="850"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453,6</w:t>
            </w:r>
          </w:p>
        </w:tc>
        <w:tc>
          <w:tcPr>
            <w:tcW w:w="992"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496,3</w:t>
            </w:r>
          </w:p>
        </w:tc>
        <w:tc>
          <w:tcPr>
            <w:tcW w:w="1046"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455,1</w:t>
            </w:r>
          </w:p>
        </w:tc>
        <w:tc>
          <w:tcPr>
            <w:tcW w:w="1023"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541,6</w:t>
            </w:r>
          </w:p>
        </w:tc>
        <w:tc>
          <w:tcPr>
            <w:tcW w:w="700"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6,1%</w:t>
            </w:r>
          </w:p>
        </w:tc>
        <w:tc>
          <w:tcPr>
            <w:tcW w:w="732"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0,1%</w:t>
            </w:r>
          </w:p>
        </w:tc>
        <w:tc>
          <w:tcPr>
            <w:tcW w:w="752"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706,1</w:t>
            </w:r>
          </w:p>
        </w:tc>
        <w:tc>
          <w:tcPr>
            <w:tcW w:w="850"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570,9</w:t>
            </w:r>
          </w:p>
        </w:tc>
        <w:tc>
          <w:tcPr>
            <w:tcW w:w="851"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596,2</w:t>
            </w:r>
          </w:p>
        </w:tc>
        <w:tc>
          <w:tcPr>
            <w:tcW w:w="850"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3,3%</w:t>
            </w:r>
          </w:p>
        </w:tc>
        <w:tc>
          <w:tcPr>
            <w:tcW w:w="803"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0,1%</w:t>
            </w:r>
          </w:p>
        </w:tc>
      </w:tr>
      <w:tr w:rsidR="00542B17" w:rsidRPr="008C0BE5" w:rsidTr="00971D87">
        <w:trPr>
          <w:trHeight w:val="288"/>
        </w:trPr>
        <w:tc>
          <w:tcPr>
            <w:tcW w:w="1555" w:type="dxa"/>
            <w:tcBorders>
              <w:top w:val="nil"/>
              <w:left w:val="single" w:sz="4" w:space="0" w:color="auto"/>
              <w:bottom w:val="single" w:sz="4" w:space="0" w:color="auto"/>
              <w:right w:val="single" w:sz="4" w:space="0" w:color="auto"/>
            </w:tcBorders>
            <w:shd w:val="clear" w:color="auto" w:fill="auto"/>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rPr>
              <w:t>Programme 2: Economic Policy, Tax, Financial Regulation and Research</w:t>
            </w:r>
          </w:p>
        </w:tc>
        <w:tc>
          <w:tcPr>
            <w:tcW w:w="850"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124,9</w:t>
            </w:r>
          </w:p>
        </w:tc>
        <w:tc>
          <w:tcPr>
            <w:tcW w:w="992"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124,7</w:t>
            </w:r>
          </w:p>
        </w:tc>
        <w:tc>
          <w:tcPr>
            <w:tcW w:w="1046"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125,3</w:t>
            </w:r>
          </w:p>
        </w:tc>
        <w:tc>
          <w:tcPr>
            <w:tcW w:w="1023"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158,2</w:t>
            </w:r>
          </w:p>
        </w:tc>
        <w:tc>
          <w:tcPr>
            <w:tcW w:w="700"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8,2%</w:t>
            </w:r>
          </w:p>
        </w:tc>
        <w:tc>
          <w:tcPr>
            <w:tcW w:w="732"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0,0%</w:t>
            </w:r>
          </w:p>
        </w:tc>
        <w:tc>
          <w:tcPr>
            <w:tcW w:w="752"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172,5</w:t>
            </w:r>
          </w:p>
        </w:tc>
        <w:tc>
          <w:tcPr>
            <w:tcW w:w="850"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172,4</w:t>
            </w:r>
          </w:p>
        </w:tc>
        <w:tc>
          <w:tcPr>
            <w:tcW w:w="851"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180,8</w:t>
            </w:r>
          </w:p>
        </w:tc>
        <w:tc>
          <w:tcPr>
            <w:tcW w:w="850"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4,6%</w:t>
            </w:r>
          </w:p>
        </w:tc>
        <w:tc>
          <w:tcPr>
            <w:tcW w:w="803"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0,0%</w:t>
            </w:r>
          </w:p>
        </w:tc>
      </w:tr>
      <w:tr w:rsidR="00542B17" w:rsidRPr="008C0BE5" w:rsidTr="00971D87">
        <w:trPr>
          <w:trHeight w:val="288"/>
        </w:trPr>
        <w:tc>
          <w:tcPr>
            <w:tcW w:w="1555" w:type="dxa"/>
            <w:tcBorders>
              <w:top w:val="nil"/>
              <w:left w:val="single" w:sz="4" w:space="0" w:color="auto"/>
              <w:bottom w:val="single" w:sz="4" w:space="0" w:color="auto"/>
              <w:right w:val="single" w:sz="4" w:space="0" w:color="auto"/>
            </w:tcBorders>
            <w:shd w:val="clear" w:color="auto" w:fill="auto"/>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rPr>
              <w:t>Programme 3: Public Finance and Budget Management</w:t>
            </w:r>
          </w:p>
        </w:tc>
        <w:tc>
          <w:tcPr>
            <w:tcW w:w="850"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2 936,1</w:t>
            </w:r>
          </w:p>
        </w:tc>
        <w:tc>
          <w:tcPr>
            <w:tcW w:w="992"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2 697,2</w:t>
            </w:r>
          </w:p>
        </w:tc>
        <w:tc>
          <w:tcPr>
            <w:tcW w:w="1046"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4 200,8</w:t>
            </w:r>
          </w:p>
        </w:tc>
        <w:tc>
          <w:tcPr>
            <w:tcW w:w="1023"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4 425,2</w:t>
            </w:r>
          </w:p>
        </w:tc>
        <w:tc>
          <w:tcPr>
            <w:tcW w:w="700"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14,7%</w:t>
            </w:r>
          </w:p>
        </w:tc>
        <w:tc>
          <w:tcPr>
            <w:tcW w:w="732"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0,4%</w:t>
            </w:r>
          </w:p>
        </w:tc>
        <w:tc>
          <w:tcPr>
            <w:tcW w:w="752"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4 305,6</w:t>
            </w:r>
          </w:p>
        </w:tc>
        <w:tc>
          <w:tcPr>
            <w:tcW w:w="850"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3 411,3</w:t>
            </w:r>
          </w:p>
        </w:tc>
        <w:tc>
          <w:tcPr>
            <w:tcW w:w="851"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3 565,7</w:t>
            </w:r>
          </w:p>
        </w:tc>
        <w:tc>
          <w:tcPr>
            <w:tcW w:w="850"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-6,9%</w:t>
            </w:r>
          </w:p>
        </w:tc>
        <w:tc>
          <w:tcPr>
            <w:tcW w:w="803"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0,4%</w:t>
            </w:r>
          </w:p>
        </w:tc>
      </w:tr>
      <w:tr w:rsidR="00542B17" w:rsidRPr="008C0BE5" w:rsidTr="00971D87">
        <w:trPr>
          <w:trHeight w:val="288"/>
        </w:trPr>
        <w:tc>
          <w:tcPr>
            <w:tcW w:w="1555" w:type="dxa"/>
            <w:tcBorders>
              <w:top w:val="nil"/>
              <w:left w:val="single" w:sz="4" w:space="0" w:color="auto"/>
              <w:bottom w:val="single" w:sz="4" w:space="0" w:color="auto"/>
              <w:right w:val="single" w:sz="4" w:space="0" w:color="auto"/>
            </w:tcBorders>
            <w:shd w:val="clear" w:color="auto" w:fill="auto"/>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rPr>
              <w:t>Programme 4: Asset and Liability Management</w:t>
            </w:r>
          </w:p>
        </w:tc>
        <w:tc>
          <w:tcPr>
            <w:tcW w:w="850"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96,7</w:t>
            </w:r>
          </w:p>
        </w:tc>
        <w:tc>
          <w:tcPr>
            <w:tcW w:w="992"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3 022,6</w:t>
            </w:r>
          </w:p>
        </w:tc>
        <w:tc>
          <w:tcPr>
            <w:tcW w:w="1046"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26 663,2</w:t>
            </w:r>
          </w:p>
        </w:tc>
        <w:tc>
          <w:tcPr>
            <w:tcW w:w="1023"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6 024,4</w:t>
            </w:r>
          </w:p>
        </w:tc>
        <w:tc>
          <w:tcPr>
            <w:tcW w:w="700"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296,4%</w:t>
            </w:r>
          </w:p>
        </w:tc>
        <w:tc>
          <w:tcPr>
            <w:tcW w:w="732"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1,1%</w:t>
            </w:r>
          </w:p>
        </w:tc>
        <w:tc>
          <w:tcPr>
            <w:tcW w:w="752"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1 135,4</w:t>
            </w:r>
          </w:p>
        </w:tc>
        <w:tc>
          <w:tcPr>
            <w:tcW w:w="850"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135,0</w:t>
            </w:r>
          </w:p>
        </w:tc>
        <w:tc>
          <w:tcPr>
            <w:tcW w:w="851"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139,5</w:t>
            </w:r>
          </w:p>
        </w:tc>
        <w:tc>
          <w:tcPr>
            <w:tcW w:w="850"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-71,5%</w:t>
            </w:r>
          </w:p>
        </w:tc>
        <w:tc>
          <w:tcPr>
            <w:tcW w:w="803"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0,2%</w:t>
            </w:r>
          </w:p>
        </w:tc>
      </w:tr>
      <w:tr w:rsidR="00542B17" w:rsidRPr="008C0BE5" w:rsidTr="00971D87">
        <w:trPr>
          <w:trHeight w:val="288"/>
        </w:trPr>
        <w:tc>
          <w:tcPr>
            <w:tcW w:w="1555" w:type="dxa"/>
            <w:tcBorders>
              <w:top w:val="nil"/>
              <w:left w:val="single" w:sz="4" w:space="0" w:color="auto"/>
              <w:bottom w:val="single" w:sz="4" w:space="0" w:color="auto"/>
              <w:right w:val="single" w:sz="4" w:space="0" w:color="auto"/>
            </w:tcBorders>
            <w:shd w:val="clear" w:color="auto" w:fill="auto"/>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rPr>
              <w:t>Programme 5: Financial Accounting and Supply Chain Management Systems</w:t>
            </w:r>
          </w:p>
        </w:tc>
        <w:tc>
          <w:tcPr>
            <w:tcW w:w="850"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733,9</w:t>
            </w:r>
          </w:p>
        </w:tc>
        <w:tc>
          <w:tcPr>
            <w:tcW w:w="992"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696,6</w:t>
            </w:r>
          </w:p>
        </w:tc>
        <w:tc>
          <w:tcPr>
            <w:tcW w:w="1046"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761,7</w:t>
            </w:r>
          </w:p>
        </w:tc>
        <w:tc>
          <w:tcPr>
            <w:tcW w:w="1023"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946,1</w:t>
            </w:r>
          </w:p>
        </w:tc>
        <w:tc>
          <w:tcPr>
            <w:tcW w:w="700"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8,8%</w:t>
            </w:r>
          </w:p>
        </w:tc>
        <w:tc>
          <w:tcPr>
            <w:tcW w:w="732"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0,1%</w:t>
            </w:r>
          </w:p>
        </w:tc>
        <w:tc>
          <w:tcPr>
            <w:tcW w:w="752"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1 237,3</w:t>
            </w:r>
          </w:p>
        </w:tc>
        <w:tc>
          <w:tcPr>
            <w:tcW w:w="850"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1 179,8</w:t>
            </w:r>
          </w:p>
        </w:tc>
        <w:tc>
          <w:tcPr>
            <w:tcW w:w="851"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1 232,4</w:t>
            </w:r>
          </w:p>
        </w:tc>
        <w:tc>
          <w:tcPr>
            <w:tcW w:w="850"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9,2%</w:t>
            </w:r>
          </w:p>
        </w:tc>
        <w:tc>
          <w:tcPr>
            <w:tcW w:w="803"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0,1%</w:t>
            </w:r>
          </w:p>
        </w:tc>
      </w:tr>
      <w:tr w:rsidR="00542B17" w:rsidRPr="008C0BE5" w:rsidTr="00971D87">
        <w:trPr>
          <w:trHeight w:val="288"/>
        </w:trPr>
        <w:tc>
          <w:tcPr>
            <w:tcW w:w="1555" w:type="dxa"/>
            <w:tcBorders>
              <w:top w:val="nil"/>
              <w:left w:val="single" w:sz="4" w:space="0" w:color="auto"/>
              <w:bottom w:val="single" w:sz="4" w:space="0" w:color="auto"/>
              <w:right w:val="single" w:sz="4" w:space="0" w:color="auto"/>
            </w:tcBorders>
            <w:shd w:val="clear" w:color="auto" w:fill="auto"/>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rPr>
              <w:t xml:space="preserve">Programme 6: </w:t>
            </w:r>
            <w:r w:rsidRPr="008C0BE5">
              <w:rPr>
                <w:rFonts w:ascii="Arial" w:eastAsia="Times New Roman" w:hAnsi="Arial" w:cs="Arial"/>
                <w:sz w:val="20"/>
                <w:szCs w:val="20"/>
              </w:rPr>
              <w:lastRenderedPageBreak/>
              <w:t>International Financial Relations</w:t>
            </w:r>
          </w:p>
        </w:tc>
        <w:tc>
          <w:tcPr>
            <w:tcW w:w="850"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lastRenderedPageBreak/>
              <w:t xml:space="preserve">5 </w:t>
            </w:r>
            <w:r w:rsidRPr="008C0BE5">
              <w:rPr>
                <w:rFonts w:ascii="Arial" w:eastAsia="Times New Roman" w:hAnsi="Arial" w:cs="Arial"/>
                <w:sz w:val="20"/>
                <w:szCs w:val="20"/>
                <w:lang w:eastAsia="en-ZA"/>
              </w:rPr>
              <w:lastRenderedPageBreak/>
              <w:t>458,8</w:t>
            </w:r>
          </w:p>
        </w:tc>
        <w:tc>
          <w:tcPr>
            <w:tcW w:w="992"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lastRenderedPageBreak/>
              <w:t>6 640,5</w:t>
            </w:r>
          </w:p>
        </w:tc>
        <w:tc>
          <w:tcPr>
            <w:tcW w:w="1046"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7 826,5</w:t>
            </w:r>
          </w:p>
        </w:tc>
        <w:tc>
          <w:tcPr>
            <w:tcW w:w="1023"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2 806,8</w:t>
            </w:r>
          </w:p>
        </w:tc>
        <w:tc>
          <w:tcPr>
            <w:tcW w:w="700"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w:t>
            </w:r>
            <w:r w:rsidRPr="008C0BE5">
              <w:rPr>
                <w:rFonts w:ascii="Arial" w:eastAsia="Times New Roman" w:hAnsi="Arial" w:cs="Arial"/>
                <w:sz w:val="20"/>
                <w:szCs w:val="20"/>
                <w:lang w:eastAsia="en-ZA"/>
              </w:rPr>
              <w:lastRenderedPageBreak/>
              <w:t>19,9%</w:t>
            </w:r>
          </w:p>
        </w:tc>
        <w:tc>
          <w:tcPr>
            <w:tcW w:w="732"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lastRenderedPageBreak/>
              <w:t>0,7%</w:t>
            </w:r>
          </w:p>
        </w:tc>
        <w:tc>
          <w:tcPr>
            <w:tcW w:w="752"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 xml:space="preserve">2 </w:t>
            </w:r>
            <w:r w:rsidRPr="008C0BE5">
              <w:rPr>
                <w:rFonts w:ascii="Arial" w:eastAsia="Times New Roman" w:hAnsi="Arial" w:cs="Arial"/>
                <w:sz w:val="20"/>
                <w:szCs w:val="20"/>
                <w:lang w:eastAsia="en-ZA"/>
              </w:rPr>
              <w:lastRenderedPageBreak/>
              <w:t>591,3</w:t>
            </w:r>
          </w:p>
        </w:tc>
        <w:tc>
          <w:tcPr>
            <w:tcW w:w="850"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lastRenderedPageBreak/>
              <w:t xml:space="preserve">2 </w:t>
            </w:r>
            <w:r w:rsidRPr="008C0BE5">
              <w:rPr>
                <w:rFonts w:ascii="Arial" w:eastAsia="Times New Roman" w:hAnsi="Arial" w:cs="Arial"/>
                <w:sz w:val="20"/>
                <w:szCs w:val="20"/>
                <w:lang w:eastAsia="en-ZA"/>
              </w:rPr>
              <w:lastRenderedPageBreak/>
              <w:t>876,1</w:t>
            </w:r>
          </w:p>
        </w:tc>
        <w:tc>
          <w:tcPr>
            <w:tcW w:w="851"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lastRenderedPageBreak/>
              <w:t xml:space="preserve">3 </w:t>
            </w:r>
            <w:r w:rsidRPr="008C0BE5">
              <w:rPr>
                <w:rFonts w:ascii="Arial" w:eastAsia="Times New Roman" w:hAnsi="Arial" w:cs="Arial"/>
                <w:sz w:val="20"/>
                <w:szCs w:val="20"/>
                <w:lang w:eastAsia="en-ZA"/>
              </w:rPr>
              <w:lastRenderedPageBreak/>
              <w:t>004,9</w:t>
            </w:r>
          </w:p>
        </w:tc>
        <w:tc>
          <w:tcPr>
            <w:tcW w:w="850"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lastRenderedPageBreak/>
              <w:t>2,3%</w:t>
            </w:r>
          </w:p>
        </w:tc>
        <w:tc>
          <w:tcPr>
            <w:tcW w:w="803"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0,3%</w:t>
            </w:r>
          </w:p>
        </w:tc>
      </w:tr>
      <w:tr w:rsidR="00542B17" w:rsidRPr="008C0BE5" w:rsidTr="00971D87">
        <w:trPr>
          <w:trHeight w:val="288"/>
        </w:trPr>
        <w:tc>
          <w:tcPr>
            <w:tcW w:w="1555" w:type="dxa"/>
            <w:tcBorders>
              <w:top w:val="nil"/>
              <w:left w:val="single" w:sz="4" w:space="0" w:color="auto"/>
              <w:bottom w:val="single" w:sz="4" w:space="0" w:color="auto"/>
              <w:right w:val="single" w:sz="4" w:space="0" w:color="auto"/>
            </w:tcBorders>
            <w:shd w:val="clear" w:color="auto" w:fill="auto"/>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rPr>
              <w:lastRenderedPageBreak/>
              <w:t>Programme 7: Civil and Military Pensions, Contributions to funds and Other benefits</w:t>
            </w:r>
          </w:p>
        </w:tc>
        <w:tc>
          <w:tcPr>
            <w:tcW w:w="850"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5 487,1</w:t>
            </w:r>
          </w:p>
        </w:tc>
        <w:tc>
          <w:tcPr>
            <w:tcW w:w="992"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5 188,8</w:t>
            </w:r>
          </w:p>
        </w:tc>
        <w:tc>
          <w:tcPr>
            <w:tcW w:w="1046"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6 042,8</w:t>
            </w:r>
          </w:p>
        </w:tc>
        <w:tc>
          <w:tcPr>
            <w:tcW w:w="1023"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7 012,1</w:t>
            </w:r>
          </w:p>
        </w:tc>
        <w:tc>
          <w:tcPr>
            <w:tcW w:w="700"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8,5%</w:t>
            </w:r>
          </w:p>
        </w:tc>
        <w:tc>
          <w:tcPr>
            <w:tcW w:w="732"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0,7%</w:t>
            </w:r>
          </w:p>
        </w:tc>
        <w:tc>
          <w:tcPr>
            <w:tcW w:w="752"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7 039,0</w:t>
            </w:r>
          </w:p>
        </w:tc>
        <w:tc>
          <w:tcPr>
            <w:tcW w:w="850"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7 355,1</w:t>
            </w:r>
          </w:p>
        </w:tc>
        <w:tc>
          <w:tcPr>
            <w:tcW w:w="851"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7 684,6</w:t>
            </w:r>
          </w:p>
        </w:tc>
        <w:tc>
          <w:tcPr>
            <w:tcW w:w="850"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3,1%</w:t>
            </w:r>
          </w:p>
        </w:tc>
        <w:tc>
          <w:tcPr>
            <w:tcW w:w="803"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0,7%</w:t>
            </w:r>
          </w:p>
        </w:tc>
      </w:tr>
      <w:tr w:rsidR="00542B17" w:rsidRPr="008C0BE5" w:rsidTr="00971D87">
        <w:trPr>
          <w:trHeight w:val="288"/>
        </w:trPr>
        <w:tc>
          <w:tcPr>
            <w:tcW w:w="1555" w:type="dxa"/>
            <w:tcBorders>
              <w:top w:val="nil"/>
              <w:left w:val="single" w:sz="4" w:space="0" w:color="auto"/>
              <w:bottom w:val="single" w:sz="4" w:space="0" w:color="auto"/>
              <w:right w:val="single" w:sz="4" w:space="0" w:color="auto"/>
            </w:tcBorders>
            <w:shd w:val="clear" w:color="auto" w:fill="auto"/>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rPr>
              <w:t>Programme 8: Revenue Administration</w:t>
            </w:r>
          </w:p>
        </w:tc>
        <w:tc>
          <w:tcPr>
            <w:tcW w:w="850"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9 529,0</w:t>
            </w:r>
          </w:p>
        </w:tc>
        <w:tc>
          <w:tcPr>
            <w:tcW w:w="992"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10 271,9</w:t>
            </w:r>
          </w:p>
        </w:tc>
        <w:tc>
          <w:tcPr>
            <w:tcW w:w="1046"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11 295,2</w:t>
            </w:r>
          </w:p>
        </w:tc>
        <w:tc>
          <w:tcPr>
            <w:tcW w:w="1023"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11 527,8</w:t>
            </w:r>
          </w:p>
        </w:tc>
        <w:tc>
          <w:tcPr>
            <w:tcW w:w="700"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6,6%</w:t>
            </w:r>
          </w:p>
        </w:tc>
        <w:tc>
          <w:tcPr>
            <w:tcW w:w="732"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1,3%</w:t>
            </w:r>
          </w:p>
        </w:tc>
        <w:tc>
          <w:tcPr>
            <w:tcW w:w="752"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12 157,6</w:t>
            </w:r>
          </w:p>
        </w:tc>
        <w:tc>
          <w:tcPr>
            <w:tcW w:w="850"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11 636,2</w:t>
            </w:r>
          </w:p>
        </w:tc>
        <w:tc>
          <w:tcPr>
            <w:tcW w:w="851"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12 135,1</w:t>
            </w:r>
          </w:p>
        </w:tc>
        <w:tc>
          <w:tcPr>
            <w:tcW w:w="850"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1,7%</w:t>
            </w:r>
          </w:p>
        </w:tc>
        <w:tc>
          <w:tcPr>
            <w:tcW w:w="803"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1,2%</w:t>
            </w:r>
          </w:p>
        </w:tc>
      </w:tr>
      <w:tr w:rsidR="00542B17" w:rsidRPr="008C0BE5" w:rsidTr="00971D87">
        <w:trPr>
          <w:trHeight w:val="288"/>
        </w:trPr>
        <w:tc>
          <w:tcPr>
            <w:tcW w:w="1555" w:type="dxa"/>
            <w:tcBorders>
              <w:top w:val="nil"/>
              <w:left w:val="single" w:sz="4" w:space="0" w:color="auto"/>
              <w:bottom w:val="single" w:sz="4" w:space="0" w:color="auto"/>
              <w:right w:val="single" w:sz="4" w:space="0" w:color="auto"/>
            </w:tcBorders>
            <w:shd w:val="clear" w:color="auto" w:fill="auto"/>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rPr>
              <w:t>Programme 9: Financial Intelligence and State Security.</w:t>
            </w:r>
          </w:p>
        </w:tc>
        <w:tc>
          <w:tcPr>
            <w:tcW w:w="850"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4 951,1</w:t>
            </w:r>
          </w:p>
        </w:tc>
        <w:tc>
          <w:tcPr>
            <w:tcW w:w="992"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4 942,9</w:t>
            </w:r>
          </w:p>
        </w:tc>
        <w:tc>
          <w:tcPr>
            <w:tcW w:w="1046"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4 999,5</w:t>
            </w:r>
          </w:p>
        </w:tc>
        <w:tc>
          <w:tcPr>
            <w:tcW w:w="1023"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5 395,5</w:t>
            </w:r>
          </w:p>
        </w:tc>
        <w:tc>
          <w:tcPr>
            <w:tcW w:w="700"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2,9%</w:t>
            </w:r>
          </w:p>
        </w:tc>
        <w:tc>
          <w:tcPr>
            <w:tcW w:w="732"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0,6%</w:t>
            </w:r>
          </w:p>
        </w:tc>
        <w:tc>
          <w:tcPr>
            <w:tcW w:w="752"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5 544,5</w:t>
            </w:r>
          </w:p>
        </w:tc>
        <w:tc>
          <w:tcPr>
            <w:tcW w:w="850"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5 804,0</w:t>
            </w:r>
          </w:p>
        </w:tc>
        <w:tc>
          <w:tcPr>
            <w:tcW w:w="851" w:type="dxa"/>
            <w:shd w:val="clear" w:color="auto" w:fill="auto"/>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6 085,8</w:t>
            </w:r>
          </w:p>
        </w:tc>
        <w:tc>
          <w:tcPr>
            <w:tcW w:w="850"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4,1%</w:t>
            </w:r>
          </w:p>
        </w:tc>
        <w:tc>
          <w:tcPr>
            <w:tcW w:w="803" w:type="dxa"/>
            <w:shd w:val="clear" w:color="000000" w:fill="D9D9D9"/>
            <w:noWrap/>
            <w:hideMark/>
          </w:tcPr>
          <w:p w:rsidR="00DB1856" w:rsidRPr="008C0BE5" w:rsidRDefault="00DB1856"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0,6%</w:t>
            </w:r>
          </w:p>
        </w:tc>
      </w:tr>
      <w:tr w:rsidR="00DB1856" w:rsidRPr="008C0BE5" w:rsidTr="00971D87">
        <w:trPr>
          <w:trHeight w:val="288"/>
        </w:trPr>
        <w:tc>
          <w:tcPr>
            <w:tcW w:w="1555" w:type="dxa"/>
            <w:shd w:val="clear" w:color="auto" w:fill="auto"/>
            <w:noWrap/>
            <w:hideMark/>
          </w:tcPr>
          <w:p w:rsidR="00DB1856" w:rsidRPr="008C0BE5" w:rsidRDefault="00DB1856"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xml:space="preserve">Subtotal </w:t>
            </w:r>
          </w:p>
        </w:tc>
        <w:tc>
          <w:tcPr>
            <w:tcW w:w="850" w:type="dxa"/>
            <w:shd w:val="clear" w:color="auto" w:fill="auto"/>
            <w:noWrap/>
            <w:hideMark/>
          </w:tcPr>
          <w:p w:rsidR="00DB1856" w:rsidRPr="008C0BE5" w:rsidRDefault="00DB1856"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29 771,2</w:t>
            </w:r>
          </w:p>
        </w:tc>
        <w:tc>
          <w:tcPr>
            <w:tcW w:w="992" w:type="dxa"/>
            <w:shd w:val="clear" w:color="auto" w:fill="auto"/>
            <w:noWrap/>
            <w:hideMark/>
          </w:tcPr>
          <w:p w:rsidR="00DB1856" w:rsidRPr="008C0BE5" w:rsidRDefault="00DB1856"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34 081,5</w:t>
            </w:r>
          </w:p>
        </w:tc>
        <w:tc>
          <w:tcPr>
            <w:tcW w:w="1046" w:type="dxa"/>
            <w:shd w:val="clear" w:color="auto" w:fill="auto"/>
            <w:noWrap/>
            <w:hideMark/>
          </w:tcPr>
          <w:p w:rsidR="00DB1856" w:rsidRPr="008C0BE5" w:rsidRDefault="00DB1856"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62 369,9</w:t>
            </w:r>
          </w:p>
        </w:tc>
        <w:tc>
          <w:tcPr>
            <w:tcW w:w="1023" w:type="dxa"/>
            <w:shd w:val="clear" w:color="auto" w:fill="auto"/>
            <w:noWrap/>
            <w:hideMark/>
          </w:tcPr>
          <w:p w:rsidR="00DB1856" w:rsidRPr="008C0BE5" w:rsidRDefault="00DB1856"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38 837,7</w:t>
            </w:r>
          </w:p>
        </w:tc>
        <w:tc>
          <w:tcPr>
            <w:tcW w:w="700" w:type="dxa"/>
            <w:shd w:val="clear" w:color="000000" w:fill="D9D9D9"/>
            <w:noWrap/>
            <w:hideMark/>
          </w:tcPr>
          <w:p w:rsidR="00DB1856" w:rsidRPr="008C0BE5" w:rsidRDefault="00DB1856"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9,3%</w:t>
            </w:r>
          </w:p>
        </w:tc>
        <w:tc>
          <w:tcPr>
            <w:tcW w:w="732" w:type="dxa"/>
            <w:shd w:val="clear" w:color="000000" w:fill="D9D9D9"/>
            <w:noWrap/>
            <w:hideMark/>
          </w:tcPr>
          <w:p w:rsidR="00DB1856" w:rsidRPr="008C0BE5" w:rsidRDefault="00DB1856"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4,9%</w:t>
            </w:r>
          </w:p>
        </w:tc>
        <w:tc>
          <w:tcPr>
            <w:tcW w:w="752" w:type="dxa"/>
            <w:shd w:val="clear" w:color="auto" w:fill="auto"/>
            <w:noWrap/>
            <w:hideMark/>
          </w:tcPr>
          <w:p w:rsidR="00DB1856" w:rsidRPr="008C0BE5" w:rsidRDefault="00DB1856"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34 889,4</w:t>
            </w:r>
          </w:p>
        </w:tc>
        <w:tc>
          <w:tcPr>
            <w:tcW w:w="850" w:type="dxa"/>
            <w:shd w:val="clear" w:color="auto" w:fill="auto"/>
            <w:noWrap/>
            <w:hideMark/>
          </w:tcPr>
          <w:p w:rsidR="00DB1856" w:rsidRPr="008C0BE5" w:rsidRDefault="00DB1856"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33 140,8</w:t>
            </w:r>
          </w:p>
        </w:tc>
        <w:tc>
          <w:tcPr>
            <w:tcW w:w="851" w:type="dxa"/>
            <w:shd w:val="clear" w:color="auto" w:fill="auto"/>
            <w:noWrap/>
            <w:hideMark/>
          </w:tcPr>
          <w:p w:rsidR="00DB1856" w:rsidRPr="008C0BE5" w:rsidRDefault="00DB1856"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34 625,2</w:t>
            </w:r>
          </w:p>
        </w:tc>
        <w:tc>
          <w:tcPr>
            <w:tcW w:w="850" w:type="dxa"/>
            <w:shd w:val="clear" w:color="000000" w:fill="D9D9D9"/>
            <w:noWrap/>
            <w:hideMark/>
          </w:tcPr>
          <w:p w:rsidR="00DB1856" w:rsidRPr="008C0BE5" w:rsidRDefault="00DB1856"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-3,8%</w:t>
            </w:r>
          </w:p>
        </w:tc>
        <w:tc>
          <w:tcPr>
            <w:tcW w:w="803" w:type="dxa"/>
            <w:shd w:val="clear" w:color="000000" w:fill="D9D9D9"/>
            <w:noWrap/>
            <w:hideMark/>
          </w:tcPr>
          <w:p w:rsidR="00DB1856" w:rsidRPr="008C0BE5" w:rsidRDefault="00DB1856"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3,6%</w:t>
            </w:r>
          </w:p>
        </w:tc>
      </w:tr>
    </w:tbl>
    <w:p w:rsidR="00C16F65" w:rsidRPr="008C0BE5" w:rsidRDefault="00770C6E" w:rsidP="008C0BE5">
      <w:pPr>
        <w:pStyle w:val="ListParagraph"/>
        <w:spacing w:after="0" w:line="240" w:lineRule="auto"/>
        <w:ind w:left="360"/>
        <w:rPr>
          <w:rFonts w:ascii="Arial" w:hAnsi="Arial" w:cs="Arial"/>
          <w:bCs/>
          <w:sz w:val="20"/>
          <w:szCs w:val="20"/>
        </w:rPr>
      </w:pPr>
      <w:r w:rsidRPr="008C0BE5">
        <w:rPr>
          <w:rFonts w:ascii="Arial" w:hAnsi="Arial" w:cs="Arial"/>
          <w:b/>
          <w:sz w:val="20"/>
          <w:szCs w:val="20"/>
        </w:rPr>
        <w:t>Source</w:t>
      </w:r>
      <w:r w:rsidRPr="008C0BE5">
        <w:rPr>
          <w:rFonts w:ascii="Arial" w:hAnsi="Arial" w:cs="Arial"/>
          <w:bCs/>
          <w:sz w:val="20"/>
          <w:szCs w:val="20"/>
        </w:rPr>
        <w:t>: National Treasury ENE2</w:t>
      </w:r>
      <w:r w:rsidR="007F48BF" w:rsidRPr="008C0BE5">
        <w:rPr>
          <w:rFonts w:ascii="Arial" w:hAnsi="Arial" w:cs="Arial"/>
          <w:bCs/>
          <w:sz w:val="20"/>
          <w:szCs w:val="20"/>
        </w:rPr>
        <w:t>3</w:t>
      </w:r>
      <w:r w:rsidR="00AA3D6C" w:rsidRPr="008C0BE5">
        <w:rPr>
          <w:rFonts w:ascii="Arial" w:hAnsi="Arial" w:cs="Arial"/>
          <w:bCs/>
          <w:sz w:val="20"/>
          <w:szCs w:val="20"/>
        </w:rPr>
        <w:t xml:space="preserve"> MTEF</w:t>
      </w:r>
      <w:r w:rsidRPr="008C0BE5">
        <w:rPr>
          <w:rFonts w:ascii="Arial" w:hAnsi="Arial" w:cs="Arial"/>
          <w:bCs/>
          <w:sz w:val="20"/>
          <w:szCs w:val="20"/>
        </w:rPr>
        <w:t xml:space="preserve"> Vote 8</w:t>
      </w:r>
    </w:p>
    <w:p w:rsidR="0022288C" w:rsidRPr="008C0BE5" w:rsidRDefault="0022288C" w:rsidP="008C0BE5">
      <w:pPr>
        <w:pStyle w:val="ListParagraph"/>
        <w:spacing w:after="0" w:line="240" w:lineRule="auto"/>
        <w:ind w:left="360"/>
        <w:rPr>
          <w:rFonts w:ascii="Arial" w:hAnsi="Arial" w:cs="Arial"/>
          <w:b/>
          <w:sz w:val="20"/>
          <w:szCs w:val="20"/>
        </w:rPr>
      </w:pPr>
    </w:p>
    <w:p w:rsidR="009E67BD" w:rsidRPr="008C0BE5" w:rsidRDefault="009E67BD" w:rsidP="008C0BE5">
      <w:pPr>
        <w:pStyle w:val="ListParagraph"/>
        <w:numPr>
          <w:ilvl w:val="1"/>
          <w:numId w:val="1"/>
        </w:numPr>
        <w:spacing w:after="0" w:line="240" w:lineRule="auto"/>
        <w:rPr>
          <w:rFonts w:ascii="Arial" w:hAnsi="Arial" w:cs="Arial"/>
          <w:b/>
          <w:sz w:val="20"/>
          <w:szCs w:val="20"/>
        </w:rPr>
      </w:pPr>
      <w:r w:rsidRPr="008C0BE5">
        <w:rPr>
          <w:rFonts w:ascii="Arial" w:hAnsi="Arial" w:cs="Arial"/>
          <w:b/>
          <w:sz w:val="20"/>
          <w:szCs w:val="20"/>
        </w:rPr>
        <w:t>Programme 1: Administration</w:t>
      </w:r>
    </w:p>
    <w:p w:rsidR="00FC14B4" w:rsidRPr="008C0BE5" w:rsidRDefault="009E67BD" w:rsidP="008C0BE5">
      <w:pPr>
        <w:pStyle w:val="ListParagraph"/>
        <w:numPr>
          <w:ilvl w:val="2"/>
          <w:numId w:val="1"/>
        </w:numPr>
        <w:spacing w:after="0" w:line="240" w:lineRule="auto"/>
        <w:rPr>
          <w:rFonts w:ascii="Arial" w:hAnsi="Arial" w:cs="Arial"/>
          <w:sz w:val="20"/>
          <w:szCs w:val="20"/>
        </w:rPr>
      </w:pPr>
      <w:r w:rsidRPr="008C0BE5">
        <w:rPr>
          <w:rFonts w:ascii="Arial" w:eastAsia="MS Mincho" w:hAnsi="Arial" w:cs="Arial"/>
          <w:sz w:val="20"/>
          <w:szCs w:val="20"/>
          <w:lang w:val="en-US"/>
        </w:rPr>
        <w:t>The Administration programme provides strategic leadership, management and administrative support and capacity building to the Nationa</w:t>
      </w:r>
      <w:r w:rsidR="00EF5EF7" w:rsidRPr="008C0BE5">
        <w:rPr>
          <w:rFonts w:ascii="Arial" w:eastAsia="MS Mincho" w:hAnsi="Arial" w:cs="Arial"/>
          <w:sz w:val="20"/>
          <w:szCs w:val="20"/>
          <w:lang w:val="en-US"/>
        </w:rPr>
        <w:t xml:space="preserve">l Treasury. A </w:t>
      </w:r>
      <w:r w:rsidR="00CD1F3F" w:rsidRPr="008C0BE5">
        <w:rPr>
          <w:rFonts w:ascii="Arial" w:eastAsia="MS Mincho" w:hAnsi="Arial" w:cs="Arial"/>
          <w:sz w:val="20"/>
          <w:szCs w:val="20"/>
          <w:lang w:val="en-US"/>
        </w:rPr>
        <w:t xml:space="preserve">nominal increase of R164.5 million from </w:t>
      </w:r>
      <w:r w:rsidRPr="008C0BE5">
        <w:rPr>
          <w:rFonts w:ascii="Arial" w:eastAsia="MS Mincho" w:hAnsi="Arial" w:cs="Arial"/>
          <w:sz w:val="20"/>
          <w:szCs w:val="20"/>
          <w:lang w:val="en-US"/>
        </w:rPr>
        <w:t>R5</w:t>
      </w:r>
      <w:r w:rsidR="00EF5EF7" w:rsidRPr="008C0BE5">
        <w:rPr>
          <w:rFonts w:ascii="Arial" w:eastAsia="MS Mincho" w:hAnsi="Arial" w:cs="Arial"/>
          <w:sz w:val="20"/>
          <w:szCs w:val="20"/>
          <w:lang w:val="en-US"/>
        </w:rPr>
        <w:t>41.4</w:t>
      </w:r>
      <w:r w:rsidRPr="008C0BE5">
        <w:rPr>
          <w:rFonts w:ascii="Arial" w:eastAsia="MS Mincho" w:hAnsi="Arial" w:cs="Arial"/>
          <w:sz w:val="20"/>
          <w:szCs w:val="20"/>
          <w:lang w:val="en-US"/>
        </w:rPr>
        <w:t xml:space="preserve"> million in 202</w:t>
      </w:r>
      <w:r w:rsidR="00EF5EF7" w:rsidRPr="008C0BE5">
        <w:rPr>
          <w:rFonts w:ascii="Arial" w:eastAsia="MS Mincho" w:hAnsi="Arial" w:cs="Arial"/>
          <w:sz w:val="20"/>
          <w:szCs w:val="20"/>
          <w:lang w:val="en-US"/>
        </w:rPr>
        <w:t>2</w:t>
      </w:r>
      <w:r w:rsidR="00CD1F3F" w:rsidRPr="008C0BE5">
        <w:rPr>
          <w:rFonts w:ascii="Arial" w:eastAsia="MS Mincho" w:hAnsi="Arial" w:cs="Arial"/>
          <w:sz w:val="20"/>
          <w:szCs w:val="20"/>
          <w:lang w:val="en-US"/>
        </w:rPr>
        <w:t>/23 to R706.1 million in 2023/24</w:t>
      </w:r>
      <w:r w:rsidR="00C34E36" w:rsidRPr="008C0BE5">
        <w:rPr>
          <w:rFonts w:ascii="Arial" w:eastAsia="MS Mincho" w:hAnsi="Arial" w:cs="Arial"/>
          <w:sz w:val="20"/>
          <w:szCs w:val="20"/>
          <w:lang w:val="en-US"/>
        </w:rPr>
        <w:t>. The projected allocation</w:t>
      </w:r>
      <w:r w:rsidRPr="008C0BE5">
        <w:rPr>
          <w:rFonts w:ascii="Arial" w:eastAsia="MS Mincho" w:hAnsi="Arial" w:cs="Arial"/>
          <w:sz w:val="20"/>
          <w:szCs w:val="20"/>
          <w:lang w:val="en-US"/>
        </w:rPr>
        <w:t xml:space="preserve"> for the outer two</w:t>
      </w:r>
      <w:r w:rsidR="00C34E36" w:rsidRPr="008C0BE5">
        <w:rPr>
          <w:rFonts w:ascii="Arial" w:eastAsia="MS Mincho" w:hAnsi="Arial" w:cs="Arial"/>
          <w:sz w:val="20"/>
          <w:szCs w:val="20"/>
          <w:lang w:val="en-US"/>
        </w:rPr>
        <w:t xml:space="preserve"> financial years of the MTEF is</w:t>
      </w:r>
      <w:r w:rsidRPr="008C0BE5">
        <w:rPr>
          <w:rFonts w:ascii="Arial" w:eastAsia="MS Mincho" w:hAnsi="Arial" w:cs="Arial"/>
          <w:sz w:val="20"/>
          <w:szCs w:val="20"/>
          <w:lang w:val="en-US"/>
        </w:rPr>
        <w:t xml:space="preserve"> R5</w:t>
      </w:r>
      <w:r w:rsidR="00CD1F3F" w:rsidRPr="008C0BE5">
        <w:rPr>
          <w:rFonts w:ascii="Arial" w:eastAsia="MS Mincho" w:hAnsi="Arial" w:cs="Arial"/>
          <w:sz w:val="20"/>
          <w:szCs w:val="20"/>
          <w:lang w:val="en-US"/>
        </w:rPr>
        <w:t>70</w:t>
      </w:r>
      <w:r w:rsidRPr="008C0BE5">
        <w:rPr>
          <w:rFonts w:ascii="Arial" w:eastAsia="MS Mincho" w:hAnsi="Arial" w:cs="Arial"/>
          <w:sz w:val="20"/>
          <w:szCs w:val="20"/>
          <w:lang w:val="en-US"/>
        </w:rPr>
        <w:t>.</w:t>
      </w:r>
      <w:r w:rsidR="00CD1F3F" w:rsidRPr="008C0BE5">
        <w:rPr>
          <w:rFonts w:ascii="Arial" w:eastAsia="MS Mincho" w:hAnsi="Arial" w:cs="Arial"/>
          <w:sz w:val="20"/>
          <w:szCs w:val="20"/>
          <w:lang w:val="en-US"/>
        </w:rPr>
        <w:t>9</w:t>
      </w:r>
      <w:r w:rsidRPr="008C0BE5">
        <w:rPr>
          <w:rFonts w:ascii="Arial" w:eastAsia="MS Mincho" w:hAnsi="Arial" w:cs="Arial"/>
          <w:sz w:val="20"/>
          <w:szCs w:val="20"/>
          <w:lang w:val="en-US"/>
        </w:rPr>
        <w:t xml:space="preserve"> and R5</w:t>
      </w:r>
      <w:r w:rsidR="00CD1F3F" w:rsidRPr="008C0BE5">
        <w:rPr>
          <w:rFonts w:ascii="Arial" w:eastAsia="MS Mincho" w:hAnsi="Arial" w:cs="Arial"/>
          <w:sz w:val="20"/>
          <w:szCs w:val="20"/>
          <w:lang w:val="en-US"/>
        </w:rPr>
        <w:t>96</w:t>
      </w:r>
      <w:r w:rsidRPr="008C0BE5">
        <w:rPr>
          <w:rFonts w:ascii="Arial" w:eastAsia="MS Mincho" w:hAnsi="Arial" w:cs="Arial"/>
          <w:sz w:val="20"/>
          <w:szCs w:val="20"/>
          <w:lang w:val="en-US"/>
        </w:rPr>
        <w:t>.</w:t>
      </w:r>
      <w:r w:rsidR="00CD1F3F" w:rsidRPr="008C0BE5">
        <w:rPr>
          <w:rFonts w:ascii="Arial" w:eastAsia="MS Mincho" w:hAnsi="Arial" w:cs="Arial"/>
          <w:sz w:val="20"/>
          <w:szCs w:val="20"/>
          <w:lang w:val="en-US"/>
        </w:rPr>
        <w:t>2</w:t>
      </w:r>
      <w:r w:rsidRPr="008C0BE5">
        <w:rPr>
          <w:rFonts w:ascii="Arial" w:eastAsia="MS Mincho" w:hAnsi="Arial" w:cs="Arial"/>
          <w:sz w:val="20"/>
          <w:szCs w:val="20"/>
          <w:lang w:val="en-US"/>
        </w:rPr>
        <w:t xml:space="preserve"> million</w:t>
      </w:r>
      <w:r w:rsidR="00C34E36" w:rsidRPr="008C0BE5">
        <w:rPr>
          <w:rFonts w:ascii="Arial" w:eastAsia="MS Mincho" w:hAnsi="Arial" w:cs="Arial"/>
          <w:sz w:val="20"/>
          <w:szCs w:val="20"/>
          <w:lang w:val="en-US"/>
        </w:rPr>
        <w:t>,</w:t>
      </w:r>
      <w:r w:rsidRPr="008C0BE5">
        <w:rPr>
          <w:rFonts w:ascii="Arial" w:eastAsia="MS Mincho" w:hAnsi="Arial" w:cs="Arial"/>
          <w:sz w:val="20"/>
          <w:szCs w:val="20"/>
          <w:lang w:val="en-US"/>
        </w:rPr>
        <w:t xml:space="preserve"> respectively. </w:t>
      </w:r>
      <w:r w:rsidR="00520427" w:rsidRPr="008C0BE5">
        <w:rPr>
          <w:rFonts w:ascii="Arial" w:eastAsia="MS Mincho" w:hAnsi="Arial" w:cs="Arial"/>
          <w:sz w:val="20"/>
          <w:szCs w:val="20"/>
          <w:lang w:val="en-US"/>
        </w:rPr>
        <w:t xml:space="preserve"> </w:t>
      </w:r>
    </w:p>
    <w:p w:rsidR="00FC14B4" w:rsidRPr="008C0BE5" w:rsidRDefault="00FC14B4" w:rsidP="008C0BE5">
      <w:pPr>
        <w:pStyle w:val="ListParagraph"/>
        <w:numPr>
          <w:ilvl w:val="2"/>
          <w:numId w:val="1"/>
        </w:numPr>
        <w:spacing w:after="0" w:line="240" w:lineRule="auto"/>
        <w:rPr>
          <w:rFonts w:ascii="Arial" w:hAnsi="Arial" w:cs="Arial"/>
          <w:sz w:val="20"/>
          <w:szCs w:val="20"/>
        </w:rPr>
      </w:pPr>
      <w:r w:rsidRPr="008C0BE5">
        <w:rPr>
          <w:rFonts w:ascii="Arial" w:eastAsia="Times New Roman" w:hAnsi="Arial" w:cs="Arial"/>
          <w:color w:val="000000"/>
          <w:spacing w:val="6"/>
          <w:sz w:val="20"/>
          <w:szCs w:val="20"/>
          <w:lang w:eastAsia="en-GB"/>
        </w:rPr>
        <w:t xml:space="preserve">In terms of economic classifications, allocations increased significantly for payments for capital assets.  </w:t>
      </w:r>
      <w:r w:rsidRPr="008C0BE5">
        <w:rPr>
          <w:rFonts w:ascii="Arial" w:eastAsia="Times New Roman" w:hAnsi="Arial" w:cs="Arial"/>
          <w:i/>
          <w:color w:val="000000"/>
          <w:spacing w:val="6"/>
          <w:sz w:val="20"/>
          <w:szCs w:val="20"/>
          <w:lang w:eastAsia="en-GB"/>
        </w:rPr>
        <w:t xml:space="preserve">Machinery and equipment </w:t>
      </w:r>
      <w:r w:rsidRPr="008C0BE5">
        <w:rPr>
          <w:rFonts w:ascii="Arial" w:eastAsia="Times New Roman" w:hAnsi="Arial" w:cs="Arial"/>
          <w:color w:val="000000"/>
          <w:spacing w:val="6"/>
          <w:sz w:val="20"/>
          <w:szCs w:val="20"/>
          <w:lang w:eastAsia="en-GB"/>
        </w:rPr>
        <w:t xml:space="preserve">is set to increase from R25.6 million in 2022/23 to R143.8 million in 2023/24. </w:t>
      </w:r>
      <w:r w:rsidRPr="008C0BE5">
        <w:rPr>
          <w:rFonts w:ascii="Arial" w:eastAsia="Times New Roman" w:hAnsi="Arial" w:cs="Arial"/>
          <w:i/>
          <w:color w:val="000000"/>
          <w:spacing w:val="6"/>
          <w:sz w:val="20"/>
          <w:szCs w:val="20"/>
          <w:lang w:eastAsia="en-GB"/>
        </w:rPr>
        <w:t xml:space="preserve">Software and other intangibles assets </w:t>
      </w:r>
      <w:r w:rsidRPr="008C0BE5">
        <w:rPr>
          <w:rFonts w:ascii="Arial" w:eastAsia="Times New Roman" w:hAnsi="Arial" w:cs="Arial"/>
          <w:color w:val="000000"/>
          <w:spacing w:val="6"/>
          <w:sz w:val="20"/>
          <w:szCs w:val="20"/>
          <w:lang w:eastAsia="en-GB"/>
        </w:rPr>
        <w:t>is set to increase R0.5 million to R5.5 million in 2023/24.</w:t>
      </w:r>
    </w:p>
    <w:p w:rsidR="00520427" w:rsidRPr="008C0BE5" w:rsidRDefault="00520427" w:rsidP="008C0BE5">
      <w:pPr>
        <w:pStyle w:val="ListParagraph"/>
        <w:numPr>
          <w:ilvl w:val="2"/>
          <w:numId w:val="1"/>
        </w:numPr>
        <w:spacing w:after="0" w:line="240" w:lineRule="auto"/>
        <w:rPr>
          <w:rFonts w:ascii="Arial" w:hAnsi="Arial" w:cs="Arial"/>
          <w:sz w:val="20"/>
          <w:szCs w:val="20"/>
        </w:rPr>
      </w:pPr>
      <w:r w:rsidRPr="008C0BE5">
        <w:rPr>
          <w:rFonts w:ascii="Arial" w:eastAsia="MS Mincho" w:hAnsi="Arial" w:cs="Arial"/>
          <w:sz w:val="20"/>
          <w:szCs w:val="20"/>
          <w:lang w:val="en-US"/>
        </w:rPr>
        <w:t>Th</w:t>
      </w:r>
      <w:r w:rsidR="006E79CC" w:rsidRPr="008C0BE5">
        <w:rPr>
          <w:rFonts w:ascii="Arial" w:eastAsia="MS Mincho" w:hAnsi="Arial" w:cs="Arial"/>
          <w:sz w:val="20"/>
          <w:szCs w:val="20"/>
          <w:lang w:val="en-US"/>
        </w:rPr>
        <w:t>e</w:t>
      </w:r>
      <w:r w:rsidRPr="008C0BE5">
        <w:rPr>
          <w:rFonts w:ascii="Arial" w:eastAsia="MS Mincho" w:hAnsi="Arial" w:cs="Arial"/>
          <w:sz w:val="20"/>
          <w:szCs w:val="20"/>
          <w:lang w:val="en-US"/>
        </w:rPr>
        <w:t xml:space="preserve"> </w:t>
      </w:r>
      <w:r w:rsidR="006E79CC" w:rsidRPr="008C0BE5">
        <w:rPr>
          <w:rFonts w:ascii="Arial" w:eastAsia="MS Mincho" w:hAnsi="Arial" w:cs="Arial"/>
          <w:sz w:val="20"/>
          <w:szCs w:val="20"/>
          <w:lang w:val="en-US"/>
        </w:rPr>
        <w:t xml:space="preserve">subprograms are </w:t>
      </w:r>
      <w:r w:rsidRPr="008C0BE5">
        <w:rPr>
          <w:rFonts w:ascii="Arial" w:eastAsia="MS Mincho" w:hAnsi="Arial" w:cs="Arial"/>
          <w:sz w:val="20"/>
          <w:szCs w:val="20"/>
          <w:lang w:val="en-US"/>
        </w:rPr>
        <w:t>Ministry</w:t>
      </w:r>
      <w:r w:rsidR="006E79CC" w:rsidRPr="008C0BE5">
        <w:rPr>
          <w:rFonts w:ascii="Arial" w:eastAsia="MS Mincho" w:hAnsi="Arial" w:cs="Arial"/>
          <w:sz w:val="20"/>
          <w:szCs w:val="20"/>
          <w:lang w:val="en-US"/>
        </w:rPr>
        <w:t>,</w:t>
      </w:r>
      <w:r w:rsidRPr="008C0BE5">
        <w:rPr>
          <w:rFonts w:ascii="Arial" w:eastAsia="MS Mincho" w:hAnsi="Arial" w:cs="Arial"/>
          <w:sz w:val="20"/>
          <w:szCs w:val="20"/>
          <w:lang w:val="en-US"/>
        </w:rPr>
        <w:t xml:space="preserve"> Departmental Management</w:t>
      </w:r>
      <w:r w:rsidR="006E79CC" w:rsidRPr="008C0BE5">
        <w:rPr>
          <w:rFonts w:ascii="Arial" w:eastAsia="MS Mincho" w:hAnsi="Arial" w:cs="Arial"/>
          <w:sz w:val="20"/>
          <w:szCs w:val="20"/>
          <w:lang w:val="en-US"/>
        </w:rPr>
        <w:t>,</w:t>
      </w:r>
      <w:r w:rsidRPr="008C0BE5">
        <w:rPr>
          <w:rFonts w:ascii="Arial" w:eastAsia="MS Mincho" w:hAnsi="Arial" w:cs="Arial"/>
          <w:sz w:val="20"/>
          <w:szCs w:val="20"/>
          <w:lang w:val="en-US"/>
        </w:rPr>
        <w:t xml:space="preserve"> Corporate Services</w:t>
      </w:r>
      <w:r w:rsidR="006E79CC" w:rsidRPr="008C0BE5">
        <w:rPr>
          <w:rFonts w:ascii="Arial" w:eastAsia="MS Mincho" w:hAnsi="Arial" w:cs="Arial"/>
          <w:sz w:val="20"/>
          <w:szCs w:val="20"/>
          <w:lang w:val="en-US"/>
        </w:rPr>
        <w:t>,</w:t>
      </w:r>
      <w:r w:rsidRPr="008C0BE5">
        <w:rPr>
          <w:rFonts w:ascii="Arial" w:eastAsia="MS Mincho" w:hAnsi="Arial" w:cs="Arial"/>
          <w:sz w:val="20"/>
          <w:szCs w:val="20"/>
          <w:lang w:val="en-US"/>
        </w:rPr>
        <w:t xml:space="preserve"> Enterprise-wide Risk Management</w:t>
      </w:r>
      <w:r w:rsidR="006E79CC" w:rsidRPr="008C0BE5">
        <w:rPr>
          <w:rFonts w:ascii="Arial" w:eastAsia="MS Mincho" w:hAnsi="Arial" w:cs="Arial"/>
          <w:sz w:val="20"/>
          <w:szCs w:val="20"/>
          <w:lang w:val="en-US"/>
        </w:rPr>
        <w:t xml:space="preserve">, </w:t>
      </w:r>
      <w:r w:rsidRPr="008C0BE5">
        <w:rPr>
          <w:rFonts w:ascii="Arial" w:eastAsia="MS Mincho" w:hAnsi="Arial" w:cs="Arial"/>
          <w:sz w:val="20"/>
          <w:szCs w:val="20"/>
          <w:lang w:val="en-US"/>
        </w:rPr>
        <w:t>Financial Administration</w:t>
      </w:r>
      <w:r w:rsidR="006E79CC" w:rsidRPr="008C0BE5">
        <w:rPr>
          <w:rFonts w:ascii="Arial" w:eastAsia="MS Mincho" w:hAnsi="Arial" w:cs="Arial"/>
          <w:sz w:val="20"/>
          <w:szCs w:val="20"/>
          <w:lang w:val="en-US"/>
        </w:rPr>
        <w:t>,</w:t>
      </w:r>
      <w:r w:rsidRPr="008C0BE5">
        <w:rPr>
          <w:rFonts w:ascii="Arial" w:eastAsia="MS Mincho" w:hAnsi="Arial" w:cs="Arial"/>
          <w:sz w:val="20"/>
          <w:szCs w:val="20"/>
          <w:lang w:val="en-US"/>
        </w:rPr>
        <w:t xml:space="preserve"> Legal Services</w:t>
      </w:r>
      <w:r w:rsidR="006E79CC" w:rsidRPr="008C0BE5">
        <w:rPr>
          <w:rFonts w:ascii="Arial" w:eastAsia="MS Mincho" w:hAnsi="Arial" w:cs="Arial"/>
          <w:sz w:val="20"/>
          <w:szCs w:val="20"/>
          <w:lang w:val="en-US"/>
        </w:rPr>
        <w:t>,</w:t>
      </w:r>
      <w:r w:rsidRPr="008C0BE5">
        <w:rPr>
          <w:rFonts w:ascii="Arial" w:eastAsia="MS Mincho" w:hAnsi="Arial" w:cs="Arial"/>
          <w:sz w:val="20"/>
          <w:szCs w:val="20"/>
          <w:lang w:val="en-US"/>
        </w:rPr>
        <w:t xml:space="preserve"> Internal Audit</w:t>
      </w:r>
      <w:r w:rsidR="006E79CC" w:rsidRPr="008C0BE5">
        <w:rPr>
          <w:rFonts w:ascii="Arial" w:eastAsia="MS Mincho" w:hAnsi="Arial" w:cs="Arial"/>
          <w:sz w:val="20"/>
          <w:szCs w:val="20"/>
          <w:lang w:val="en-US"/>
        </w:rPr>
        <w:t xml:space="preserve">, </w:t>
      </w:r>
      <w:r w:rsidR="00A17486" w:rsidRPr="008C0BE5">
        <w:rPr>
          <w:rFonts w:ascii="Arial" w:eastAsia="MS Mincho" w:hAnsi="Arial" w:cs="Arial"/>
          <w:sz w:val="20"/>
          <w:szCs w:val="20"/>
          <w:lang w:val="en-US"/>
        </w:rPr>
        <w:t>Communications</w:t>
      </w:r>
      <w:r w:rsidR="006E79CC" w:rsidRPr="008C0BE5">
        <w:rPr>
          <w:rFonts w:ascii="Arial" w:eastAsia="MS Mincho" w:hAnsi="Arial" w:cs="Arial"/>
          <w:sz w:val="20"/>
          <w:szCs w:val="20"/>
          <w:lang w:val="en-US"/>
        </w:rPr>
        <w:t xml:space="preserve">, </w:t>
      </w:r>
      <w:r w:rsidR="00A17486" w:rsidRPr="008C0BE5">
        <w:rPr>
          <w:rFonts w:ascii="Arial" w:eastAsia="MS Mincho" w:hAnsi="Arial" w:cs="Arial"/>
          <w:sz w:val="20"/>
          <w:szCs w:val="20"/>
          <w:lang w:val="en-US"/>
        </w:rPr>
        <w:t xml:space="preserve">and Office Accommodation. </w:t>
      </w:r>
    </w:p>
    <w:p w:rsidR="009E67BD" w:rsidRPr="008C0BE5" w:rsidRDefault="009E67BD" w:rsidP="008C0BE5">
      <w:pPr>
        <w:pStyle w:val="ListParagraph"/>
        <w:numPr>
          <w:ilvl w:val="2"/>
          <w:numId w:val="1"/>
        </w:numPr>
        <w:spacing w:after="0" w:line="240" w:lineRule="auto"/>
        <w:rPr>
          <w:rFonts w:ascii="Arial" w:hAnsi="Arial" w:cs="Arial"/>
          <w:sz w:val="20"/>
          <w:szCs w:val="20"/>
        </w:rPr>
      </w:pPr>
      <w:r w:rsidRPr="008C0BE5">
        <w:rPr>
          <w:rFonts w:ascii="Arial" w:eastAsia="MS Mincho" w:hAnsi="Arial" w:cs="Arial"/>
          <w:sz w:val="20"/>
          <w:szCs w:val="20"/>
          <w:lang w:val="en-US"/>
        </w:rPr>
        <w:t xml:space="preserve">The priorities of this programme include: monitoring of </w:t>
      </w:r>
      <w:r w:rsidRPr="008C0BE5">
        <w:rPr>
          <w:rFonts w:ascii="Arial" w:hAnsi="Arial" w:cs="Arial"/>
          <w:sz w:val="20"/>
          <w:szCs w:val="20"/>
        </w:rPr>
        <w:t xml:space="preserve">the </w:t>
      </w:r>
      <w:r w:rsidR="00750411" w:rsidRPr="008C0BE5">
        <w:rPr>
          <w:rFonts w:ascii="Arial" w:hAnsi="Arial" w:cs="Arial"/>
          <w:sz w:val="20"/>
          <w:szCs w:val="20"/>
        </w:rPr>
        <w:t>efficiency of ICT by ensuring 93</w:t>
      </w:r>
      <w:r w:rsidRPr="008C0BE5">
        <w:rPr>
          <w:rFonts w:ascii="Arial" w:hAnsi="Arial" w:cs="Arial"/>
          <w:sz w:val="20"/>
          <w:szCs w:val="20"/>
        </w:rPr>
        <w:t xml:space="preserve"> per cent delivery against the service level agreements; ensuring the usefulness and reliability of the reported performance information in accordance with the performance management and reporting framework by obtaining an unqualified audit opinion with </w:t>
      </w:r>
      <w:r w:rsidR="006E79CC" w:rsidRPr="008C0BE5">
        <w:rPr>
          <w:rFonts w:ascii="Arial" w:hAnsi="Arial" w:cs="Arial"/>
          <w:sz w:val="20"/>
          <w:szCs w:val="20"/>
        </w:rPr>
        <w:t>1</w:t>
      </w:r>
      <w:r w:rsidRPr="008C0BE5">
        <w:rPr>
          <w:rFonts w:ascii="Arial" w:hAnsi="Arial" w:cs="Arial"/>
          <w:sz w:val="20"/>
          <w:szCs w:val="20"/>
        </w:rPr>
        <w:t>5% fewer findings than 202</w:t>
      </w:r>
      <w:r w:rsidR="006E79CC" w:rsidRPr="008C0BE5">
        <w:rPr>
          <w:rFonts w:ascii="Arial" w:hAnsi="Arial" w:cs="Arial"/>
          <w:sz w:val="20"/>
          <w:szCs w:val="20"/>
        </w:rPr>
        <w:t>2</w:t>
      </w:r>
      <w:r w:rsidR="00750411" w:rsidRPr="008C0BE5">
        <w:rPr>
          <w:rFonts w:ascii="Arial" w:hAnsi="Arial" w:cs="Arial"/>
          <w:sz w:val="20"/>
          <w:szCs w:val="20"/>
        </w:rPr>
        <w:t>/2</w:t>
      </w:r>
      <w:r w:rsidR="006E79CC" w:rsidRPr="008C0BE5">
        <w:rPr>
          <w:rFonts w:ascii="Arial" w:hAnsi="Arial" w:cs="Arial"/>
          <w:sz w:val="20"/>
          <w:szCs w:val="20"/>
        </w:rPr>
        <w:t>3</w:t>
      </w:r>
      <w:r w:rsidRPr="008C0BE5">
        <w:rPr>
          <w:rFonts w:ascii="Arial" w:hAnsi="Arial" w:cs="Arial"/>
          <w:sz w:val="20"/>
          <w:szCs w:val="20"/>
        </w:rPr>
        <w:t xml:space="preserve"> on financial and non</w:t>
      </w:r>
      <w:r w:rsidR="006E79CC" w:rsidRPr="008C0BE5">
        <w:rPr>
          <w:rFonts w:ascii="Arial" w:hAnsi="Arial" w:cs="Arial"/>
          <w:sz w:val="20"/>
          <w:szCs w:val="20"/>
        </w:rPr>
        <w:t>-</w:t>
      </w:r>
      <w:r w:rsidRPr="008C0BE5">
        <w:rPr>
          <w:rFonts w:ascii="Arial" w:hAnsi="Arial" w:cs="Arial"/>
          <w:sz w:val="20"/>
          <w:szCs w:val="20"/>
        </w:rPr>
        <w:t>financial performance information; ensuring good governance and sound control en</w:t>
      </w:r>
      <w:r w:rsidR="00750411" w:rsidRPr="008C0BE5">
        <w:rPr>
          <w:rFonts w:ascii="Arial" w:hAnsi="Arial" w:cs="Arial"/>
          <w:sz w:val="20"/>
          <w:szCs w:val="20"/>
        </w:rPr>
        <w:t>vironment by achieving level 4</w:t>
      </w:r>
      <w:r w:rsidRPr="008C0BE5">
        <w:rPr>
          <w:rFonts w:ascii="Arial" w:hAnsi="Arial" w:cs="Arial"/>
          <w:sz w:val="20"/>
          <w:szCs w:val="20"/>
        </w:rPr>
        <w:t xml:space="preserve"> of the risk managem</w:t>
      </w:r>
      <w:r w:rsidR="00750411" w:rsidRPr="008C0BE5">
        <w:rPr>
          <w:rFonts w:ascii="Arial" w:hAnsi="Arial" w:cs="Arial"/>
          <w:sz w:val="20"/>
          <w:szCs w:val="20"/>
        </w:rPr>
        <w:t>ent maturity assessment; advancing</w:t>
      </w:r>
      <w:r w:rsidRPr="008C0BE5">
        <w:rPr>
          <w:rFonts w:ascii="Arial" w:hAnsi="Arial" w:cs="Arial"/>
          <w:sz w:val="20"/>
          <w:szCs w:val="20"/>
        </w:rPr>
        <w:t xml:space="preserve"> organisational optimisation by utilising 70% of the training and development budget</w:t>
      </w:r>
      <w:r w:rsidR="006E79CC" w:rsidRPr="008C0BE5">
        <w:rPr>
          <w:rFonts w:ascii="Arial" w:hAnsi="Arial" w:cs="Arial"/>
          <w:sz w:val="20"/>
          <w:szCs w:val="20"/>
        </w:rPr>
        <w:t xml:space="preserve"> and</w:t>
      </w:r>
      <w:r w:rsidRPr="008C0BE5">
        <w:rPr>
          <w:rFonts w:ascii="Arial" w:hAnsi="Arial" w:cs="Arial"/>
          <w:sz w:val="20"/>
          <w:szCs w:val="20"/>
        </w:rPr>
        <w:t>; producing 4 quarterly progress reports on the extent of mainstreaming and institutionalisation of Women, Youth, Persons with Disabilities (WYPD) in the department through the implementation of the action plan on gender mainstreaming.</w:t>
      </w:r>
    </w:p>
    <w:p w:rsidR="009E67BD" w:rsidRPr="008C0BE5" w:rsidRDefault="009E67BD" w:rsidP="008C0BE5">
      <w:pPr>
        <w:pStyle w:val="ListParagraph"/>
        <w:numPr>
          <w:ilvl w:val="1"/>
          <w:numId w:val="1"/>
        </w:numPr>
        <w:spacing w:after="0" w:line="240" w:lineRule="auto"/>
        <w:rPr>
          <w:rFonts w:ascii="Arial" w:hAnsi="Arial" w:cs="Arial"/>
          <w:b/>
          <w:sz w:val="20"/>
          <w:szCs w:val="20"/>
        </w:rPr>
      </w:pPr>
      <w:r w:rsidRPr="008C0BE5">
        <w:rPr>
          <w:rFonts w:ascii="Arial" w:hAnsi="Arial" w:cs="Arial"/>
          <w:b/>
          <w:sz w:val="20"/>
          <w:szCs w:val="20"/>
        </w:rPr>
        <w:t>Programme 2: Economic Policy, Tax, Financial Regulation and Research</w:t>
      </w:r>
    </w:p>
    <w:p w:rsidR="008641B9" w:rsidRPr="008C0BE5" w:rsidRDefault="009E67BD" w:rsidP="008C0BE5">
      <w:pPr>
        <w:pStyle w:val="ListParagraph"/>
        <w:numPr>
          <w:ilvl w:val="2"/>
          <w:numId w:val="1"/>
        </w:numPr>
        <w:spacing w:after="0" w:line="240" w:lineRule="auto"/>
        <w:rPr>
          <w:rFonts w:ascii="Arial" w:hAnsi="Arial" w:cs="Arial"/>
          <w:b/>
          <w:sz w:val="20"/>
          <w:szCs w:val="20"/>
        </w:rPr>
      </w:pPr>
      <w:r w:rsidRPr="008C0BE5">
        <w:rPr>
          <w:rFonts w:ascii="Arial" w:hAnsi="Arial" w:cs="Arial"/>
          <w:sz w:val="20"/>
          <w:szCs w:val="20"/>
        </w:rPr>
        <w:t>This programme is dedicated to economic policy research, analysis and advisory services in the areas of macroeconomics, microeconomics, the financial sector, taxation and regulatory reforms. The 202</w:t>
      </w:r>
      <w:r w:rsidR="008641B9" w:rsidRPr="008C0BE5">
        <w:rPr>
          <w:rFonts w:ascii="Arial" w:hAnsi="Arial" w:cs="Arial"/>
          <w:sz w:val="20"/>
          <w:szCs w:val="20"/>
        </w:rPr>
        <w:t>3</w:t>
      </w:r>
      <w:r w:rsidR="00FC14B4" w:rsidRPr="008C0BE5">
        <w:rPr>
          <w:rFonts w:ascii="Arial" w:hAnsi="Arial" w:cs="Arial"/>
          <w:sz w:val="20"/>
          <w:szCs w:val="20"/>
        </w:rPr>
        <w:t>/24</w:t>
      </w:r>
      <w:r w:rsidRPr="008C0BE5">
        <w:rPr>
          <w:rFonts w:ascii="Arial" w:hAnsi="Arial" w:cs="Arial"/>
          <w:sz w:val="20"/>
          <w:szCs w:val="20"/>
        </w:rPr>
        <w:t xml:space="preserve"> allocation is R</w:t>
      </w:r>
      <w:r w:rsidR="00FC14B4" w:rsidRPr="008C0BE5">
        <w:rPr>
          <w:rFonts w:ascii="Arial" w:hAnsi="Arial" w:cs="Arial"/>
          <w:sz w:val="20"/>
          <w:szCs w:val="20"/>
        </w:rPr>
        <w:t>172.4</w:t>
      </w:r>
      <w:r w:rsidRPr="008C0BE5">
        <w:rPr>
          <w:rFonts w:ascii="Arial" w:hAnsi="Arial" w:cs="Arial"/>
          <w:sz w:val="20"/>
          <w:szCs w:val="20"/>
        </w:rPr>
        <w:t xml:space="preserve">, </w:t>
      </w:r>
      <w:r w:rsidR="008641B9" w:rsidRPr="008C0BE5">
        <w:rPr>
          <w:rFonts w:ascii="Arial" w:hAnsi="Arial" w:cs="Arial"/>
          <w:sz w:val="20"/>
          <w:szCs w:val="20"/>
        </w:rPr>
        <w:t>up from 15</w:t>
      </w:r>
      <w:r w:rsidR="00FC14B4" w:rsidRPr="008C0BE5">
        <w:rPr>
          <w:rFonts w:ascii="Arial" w:hAnsi="Arial" w:cs="Arial"/>
          <w:sz w:val="20"/>
          <w:szCs w:val="20"/>
        </w:rPr>
        <w:t>8</w:t>
      </w:r>
      <w:r w:rsidR="008641B9" w:rsidRPr="008C0BE5">
        <w:rPr>
          <w:rFonts w:ascii="Arial" w:hAnsi="Arial" w:cs="Arial"/>
          <w:sz w:val="20"/>
          <w:szCs w:val="20"/>
        </w:rPr>
        <w:t>.</w:t>
      </w:r>
      <w:r w:rsidR="00FC14B4" w:rsidRPr="008C0BE5">
        <w:rPr>
          <w:rFonts w:ascii="Arial" w:hAnsi="Arial" w:cs="Arial"/>
          <w:sz w:val="20"/>
          <w:szCs w:val="20"/>
        </w:rPr>
        <w:t>3</w:t>
      </w:r>
      <w:r w:rsidRPr="008C0BE5">
        <w:rPr>
          <w:rFonts w:ascii="Arial" w:hAnsi="Arial" w:cs="Arial"/>
          <w:sz w:val="20"/>
          <w:szCs w:val="20"/>
        </w:rPr>
        <w:t xml:space="preserve"> million in </w:t>
      </w:r>
      <w:r w:rsidR="008641B9" w:rsidRPr="008C0BE5">
        <w:rPr>
          <w:rFonts w:ascii="Arial" w:hAnsi="Arial" w:cs="Arial"/>
          <w:sz w:val="20"/>
          <w:szCs w:val="20"/>
        </w:rPr>
        <w:t xml:space="preserve">the </w:t>
      </w:r>
      <w:r w:rsidRPr="008C0BE5">
        <w:rPr>
          <w:rFonts w:ascii="Arial" w:hAnsi="Arial" w:cs="Arial"/>
          <w:sz w:val="20"/>
          <w:szCs w:val="20"/>
        </w:rPr>
        <w:t>202</w:t>
      </w:r>
      <w:r w:rsidR="008641B9" w:rsidRPr="008C0BE5">
        <w:rPr>
          <w:rFonts w:ascii="Arial" w:hAnsi="Arial" w:cs="Arial"/>
          <w:sz w:val="20"/>
          <w:szCs w:val="20"/>
        </w:rPr>
        <w:t>2</w:t>
      </w:r>
      <w:r w:rsidR="00FC14B4" w:rsidRPr="008C0BE5">
        <w:rPr>
          <w:rFonts w:ascii="Arial" w:hAnsi="Arial" w:cs="Arial"/>
          <w:sz w:val="20"/>
          <w:szCs w:val="20"/>
        </w:rPr>
        <w:t>/23</w:t>
      </w:r>
      <w:r w:rsidR="008641B9" w:rsidRPr="008C0BE5">
        <w:rPr>
          <w:rFonts w:ascii="Arial" w:hAnsi="Arial" w:cs="Arial"/>
          <w:sz w:val="20"/>
          <w:szCs w:val="20"/>
        </w:rPr>
        <w:t xml:space="preserve"> adjustment budget</w:t>
      </w:r>
      <w:r w:rsidRPr="008C0BE5">
        <w:rPr>
          <w:rFonts w:ascii="Arial" w:hAnsi="Arial" w:cs="Arial"/>
          <w:sz w:val="20"/>
          <w:szCs w:val="20"/>
        </w:rPr>
        <w:t>. Over the medium term, the bu</w:t>
      </w:r>
      <w:r w:rsidR="008641B9" w:rsidRPr="008C0BE5">
        <w:rPr>
          <w:rFonts w:ascii="Arial" w:hAnsi="Arial" w:cs="Arial"/>
          <w:sz w:val="20"/>
          <w:szCs w:val="20"/>
        </w:rPr>
        <w:t>dget is projected to grow by 4</w:t>
      </w:r>
      <w:r w:rsidR="00FC14B4" w:rsidRPr="008C0BE5">
        <w:rPr>
          <w:rFonts w:ascii="Arial" w:hAnsi="Arial" w:cs="Arial"/>
          <w:sz w:val="20"/>
          <w:szCs w:val="20"/>
        </w:rPr>
        <w:t>.6</w:t>
      </w:r>
      <w:r w:rsidRPr="008C0BE5">
        <w:rPr>
          <w:rFonts w:ascii="Arial" w:hAnsi="Arial" w:cs="Arial"/>
          <w:sz w:val="20"/>
          <w:szCs w:val="20"/>
        </w:rPr>
        <w:t>%, to R1</w:t>
      </w:r>
      <w:r w:rsidR="00FC14B4" w:rsidRPr="008C0BE5">
        <w:rPr>
          <w:rFonts w:ascii="Arial" w:hAnsi="Arial" w:cs="Arial"/>
          <w:sz w:val="20"/>
          <w:szCs w:val="20"/>
        </w:rPr>
        <w:t>80</w:t>
      </w:r>
      <w:r w:rsidR="008641B9" w:rsidRPr="008C0BE5">
        <w:rPr>
          <w:rFonts w:ascii="Arial" w:hAnsi="Arial" w:cs="Arial"/>
          <w:sz w:val="20"/>
          <w:szCs w:val="20"/>
        </w:rPr>
        <w:t>.</w:t>
      </w:r>
      <w:r w:rsidR="00FC14B4" w:rsidRPr="008C0BE5">
        <w:rPr>
          <w:rFonts w:ascii="Arial" w:hAnsi="Arial" w:cs="Arial"/>
          <w:sz w:val="20"/>
          <w:szCs w:val="20"/>
        </w:rPr>
        <w:t>6</w:t>
      </w:r>
      <w:r w:rsidRPr="008C0BE5">
        <w:rPr>
          <w:rFonts w:ascii="Arial" w:hAnsi="Arial" w:cs="Arial"/>
          <w:sz w:val="20"/>
          <w:szCs w:val="20"/>
        </w:rPr>
        <w:t xml:space="preserve"> million in the </w:t>
      </w:r>
      <w:r w:rsidR="00FC14B4" w:rsidRPr="008C0BE5">
        <w:rPr>
          <w:rFonts w:ascii="Arial" w:hAnsi="Arial" w:cs="Arial"/>
          <w:sz w:val="20"/>
          <w:szCs w:val="20"/>
        </w:rPr>
        <w:t xml:space="preserve">outer </w:t>
      </w:r>
      <w:r w:rsidRPr="008C0BE5">
        <w:rPr>
          <w:rFonts w:ascii="Arial" w:hAnsi="Arial" w:cs="Arial"/>
          <w:sz w:val="20"/>
          <w:szCs w:val="20"/>
        </w:rPr>
        <w:t>year.</w:t>
      </w:r>
      <w:r w:rsidR="008641B9" w:rsidRPr="008C0BE5">
        <w:rPr>
          <w:rFonts w:ascii="Arial" w:hAnsi="Arial" w:cs="Arial"/>
          <w:b/>
          <w:sz w:val="20"/>
          <w:szCs w:val="20"/>
        </w:rPr>
        <w:t xml:space="preserve"> </w:t>
      </w:r>
    </w:p>
    <w:p w:rsidR="009E67BD" w:rsidRPr="008C0BE5" w:rsidRDefault="008641B9" w:rsidP="008C0BE5">
      <w:pPr>
        <w:pStyle w:val="ListParagraph"/>
        <w:numPr>
          <w:ilvl w:val="2"/>
          <w:numId w:val="1"/>
        </w:numPr>
        <w:spacing w:after="0" w:line="240" w:lineRule="auto"/>
        <w:rPr>
          <w:rFonts w:ascii="Arial" w:hAnsi="Arial" w:cs="Arial"/>
          <w:b/>
          <w:sz w:val="20"/>
          <w:szCs w:val="20"/>
        </w:rPr>
      </w:pPr>
      <w:r w:rsidRPr="008C0BE5">
        <w:rPr>
          <w:rFonts w:ascii="Arial" w:hAnsi="Arial" w:cs="Arial"/>
          <w:sz w:val="20"/>
          <w:szCs w:val="20"/>
        </w:rPr>
        <w:t>This programme a</w:t>
      </w:r>
      <w:r w:rsidR="009E67BD" w:rsidRPr="008C0BE5">
        <w:rPr>
          <w:rFonts w:ascii="Arial" w:hAnsi="Arial" w:cs="Arial"/>
          <w:sz w:val="20"/>
          <w:szCs w:val="20"/>
        </w:rPr>
        <w:t xml:space="preserve">ims to publish </w:t>
      </w:r>
      <w:r w:rsidR="00BD081B" w:rsidRPr="008C0BE5">
        <w:rPr>
          <w:rFonts w:ascii="Arial" w:hAnsi="Arial" w:cs="Arial"/>
          <w:sz w:val="20"/>
          <w:szCs w:val="20"/>
        </w:rPr>
        <w:t>30</w:t>
      </w:r>
      <w:r w:rsidR="009E67BD" w:rsidRPr="008C0BE5">
        <w:rPr>
          <w:rFonts w:ascii="Arial" w:hAnsi="Arial" w:cs="Arial"/>
          <w:sz w:val="20"/>
          <w:szCs w:val="20"/>
        </w:rPr>
        <w:t xml:space="preserve"> research papers through the SA-TIED programme, table financial sector and tax legislation in Parliament, develop four economic forecasts that provide reliable macro-economic projections to aid </w:t>
      </w:r>
      <w:r w:rsidR="003858D8" w:rsidRPr="008C0BE5">
        <w:rPr>
          <w:rFonts w:ascii="Arial" w:hAnsi="Arial" w:cs="Arial"/>
          <w:sz w:val="20"/>
          <w:szCs w:val="20"/>
        </w:rPr>
        <w:t>policymaking</w:t>
      </w:r>
      <w:r w:rsidR="009E67BD" w:rsidRPr="008C0BE5">
        <w:rPr>
          <w:rFonts w:ascii="Arial" w:hAnsi="Arial" w:cs="Arial"/>
          <w:sz w:val="20"/>
          <w:szCs w:val="20"/>
        </w:rPr>
        <w:t xml:space="preserve">, produce </w:t>
      </w:r>
      <w:r w:rsidR="00BD081B" w:rsidRPr="008C0BE5">
        <w:rPr>
          <w:rFonts w:ascii="Arial" w:hAnsi="Arial" w:cs="Arial"/>
          <w:sz w:val="20"/>
          <w:szCs w:val="20"/>
        </w:rPr>
        <w:t>eight</w:t>
      </w:r>
      <w:r w:rsidR="009E67BD" w:rsidRPr="008C0BE5">
        <w:rPr>
          <w:rFonts w:ascii="Arial" w:hAnsi="Arial" w:cs="Arial"/>
          <w:sz w:val="20"/>
          <w:szCs w:val="20"/>
        </w:rPr>
        <w:t xml:space="preserve"> relevant micro and macro-economic research outputs that contribute to the promotion of macroeconomic stability, poverty alleviation, retirement reform, social security and the development of inclusive growth and job creating </w:t>
      </w:r>
      <w:r w:rsidRPr="008C0BE5">
        <w:rPr>
          <w:rFonts w:ascii="Arial" w:hAnsi="Arial" w:cs="Arial"/>
          <w:sz w:val="20"/>
          <w:szCs w:val="20"/>
        </w:rPr>
        <w:t>policies</w:t>
      </w:r>
      <w:r w:rsidR="009E67BD" w:rsidRPr="008C0BE5">
        <w:rPr>
          <w:rFonts w:ascii="Arial" w:hAnsi="Arial" w:cs="Arial"/>
          <w:sz w:val="20"/>
          <w:szCs w:val="20"/>
        </w:rPr>
        <w:t xml:space="preserve">. </w:t>
      </w:r>
    </w:p>
    <w:p w:rsidR="00A17486" w:rsidRPr="008C0BE5" w:rsidRDefault="00A17486" w:rsidP="008C0BE5">
      <w:pPr>
        <w:pStyle w:val="ListParagraph"/>
        <w:numPr>
          <w:ilvl w:val="2"/>
          <w:numId w:val="1"/>
        </w:numPr>
        <w:spacing w:after="0" w:line="240" w:lineRule="auto"/>
        <w:rPr>
          <w:rFonts w:ascii="Arial" w:hAnsi="Arial" w:cs="Arial"/>
          <w:b/>
          <w:sz w:val="20"/>
          <w:szCs w:val="20"/>
        </w:rPr>
      </w:pPr>
      <w:r w:rsidRPr="008C0BE5">
        <w:rPr>
          <w:rFonts w:ascii="Arial" w:hAnsi="Arial" w:cs="Arial"/>
          <w:sz w:val="20"/>
          <w:szCs w:val="20"/>
        </w:rPr>
        <w:t>It has the following sub-programmes: Programme Management for Economic Policy, Tax, Financial Regulation and Research</w:t>
      </w:r>
      <w:r w:rsidR="00BD081B" w:rsidRPr="008C0BE5">
        <w:rPr>
          <w:rFonts w:ascii="Arial" w:hAnsi="Arial" w:cs="Arial"/>
          <w:sz w:val="20"/>
          <w:szCs w:val="20"/>
        </w:rPr>
        <w:t>;</w:t>
      </w:r>
      <w:r w:rsidRPr="008C0BE5">
        <w:rPr>
          <w:rFonts w:ascii="Arial" w:hAnsi="Arial" w:cs="Arial"/>
          <w:sz w:val="20"/>
          <w:szCs w:val="20"/>
        </w:rPr>
        <w:t xml:space="preserve"> Financial Sector Policy; Tax Policy; Economic Policy; and Cooperative Banks Development Agency. </w:t>
      </w:r>
    </w:p>
    <w:p w:rsidR="009E67BD" w:rsidRPr="008C0BE5" w:rsidRDefault="009E67BD" w:rsidP="008C0BE5">
      <w:pPr>
        <w:pStyle w:val="ListParagraph"/>
        <w:numPr>
          <w:ilvl w:val="1"/>
          <w:numId w:val="1"/>
        </w:numPr>
        <w:spacing w:after="0" w:line="240" w:lineRule="auto"/>
        <w:rPr>
          <w:rFonts w:ascii="Arial" w:hAnsi="Arial" w:cs="Arial"/>
          <w:b/>
          <w:sz w:val="20"/>
          <w:szCs w:val="20"/>
        </w:rPr>
      </w:pPr>
      <w:r w:rsidRPr="008C0BE5">
        <w:rPr>
          <w:rFonts w:ascii="Arial" w:hAnsi="Arial" w:cs="Arial"/>
          <w:b/>
          <w:sz w:val="20"/>
          <w:szCs w:val="20"/>
        </w:rPr>
        <w:t>Programme 3: Public Finance and Budget Management</w:t>
      </w:r>
    </w:p>
    <w:p w:rsidR="009E67BD" w:rsidRPr="008C0BE5" w:rsidRDefault="009E67BD" w:rsidP="008C0BE5">
      <w:pPr>
        <w:pStyle w:val="ListParagraph"/>
        <w:numPr>
          <w:ilvl w:val="2"/>
          <w:numId w:val="1"/>
        </w:numPr>
        <w:spacing w:after="0" w:line="240" w:lineRule="auto"/>
        <w:rPr>
          <w:rFonts w:ascii="Arial" w:hAnsi="Arial" w:cs="Arial"/>
          <w:b/>
          <w:sz w:val="20"/>
          <w:szCs w:val="20"/>
        </w:rPr>
      </w:pPr>
      <w:r w:rsidRPr="008C0BE5">
        <w:rPr>
          <w:rFonts w:ascii="Arial" w:hAnsi="Arial" w:cs="Arial"/>
          <w:sz w:val="20"/>
          <w:szCs w:val="20"/>
        </w:rPr>
        <w:lastRenderedPageBreak/>
        <w:t xml:space="preserve">This programme provides analysis and advice on fiscal policy, public </w:t>
      </w:r>
      <w:r w:rsidR="007F6AE0" w:rsidRPr="008C0BE5">
        <w:rPr>
          <w:rFonts w:ascii="Arial" w:hAnsi="Arial" w:cs="Arial"/>
          <w:sz w:val="20"/>
          <w:szCs w:val="20"/>
        </w:rPr>
        <w:t>finances,</w:t>
      </w:r>
      <w:r w:rsidRPr="008C0BE5">
        <w:rPr>
          <w:rFonts w:ascii="Arial" w:hAnsi="Arial" w:cs="Arial"/>
          <w:sz w:val="20"/>
          <w:szCs w:val="20"/>
        </w:rPr>
        <w:t xml:space="preserve"> </w:t>
      </w:r>
      <w:r w:rsidR="0016216A" w:rsidRPr="008C0BE5">
        <w:rPr>
          <w:rFonts w:ascii="Arial" w:hAnsi="Arial" w:cs="Arial"/>
          <w:sz w:val="20"/>
          <w:szCs w:val="20"/>
        </w:rPr>
        <w:t>and</w:t>
      </w:r>
      <w:r w:rsidRPr="008C0BE5">
        <w:rPr>
          <w:rFonts w:ascii="Arial" w:hAnsi="Arial" w:cs="Arial"/>
          <w:sz w:val="20"/>
          <w:szCs w:val="20"/>
        </w:rPr>
        <w:t xml:space="preserve"> intergovernmental financial relations.  It man</w:t>
      </w:r>
      <w:r w:rsidR="00A17486" w:rsidRPr="008C0BE5">
        <w:rPr>
          <w:rFonts w:ascii="Arial" w:hAnsi="Arial" w:cs="Arial"/>
          <w:sz w:val="20"/>
          <w:szCs w:val="20"/>
        </w:rPr>
        <w:t xml:space="preserve">ages the annual budget process </w:t>
      </w:r>
      <w:r w:rsidR="00CF5634" w:rsidRPr="008C0BE5">
        <w:rPr>
          <w:rFonts w:ascii="Arial" w:hAnsi="Arial" w:cs="Arial"/>
          <w:sz w:val="20"/>
          <w:szCs w:val="20"/>
        </w:rPr>
        <w:t xml:space="preserve">of government </w:t>
      </w:r>
      <w:r w:rsidR="00A17486" w:rsidRPr="008C0BE5">
        <w:rPr>
          <w:rFonts w:ascii="Arial" w:hAnsi="Arial" w:cs="Arial"/>
          <w:sz w:val="20"/>
          <w:szCs w:val="20"/>
        </w:rPr>
        <w:t>a</w:t>
      </w:r>
      <w:r w:rsidRPr="008C0BE5">
        <w:rPr>
          <w:rFonts w:ascii="Arial" w:hAnsi="Arial" w:cs="Arial"/>
          <w:sz w:val="20"/>
          <w:szCs w:val="20"/>
        </w:rPr>
        <w:t xml:space="preserve">nd provides public finance management support. </w:t>
      </w:r>
      <w:r w:rsidR="00014540" w:rsidRPr="008C0BE5">
        <w:rPr>
          <w:rFonts w:ascii="Arial" w:hAnsi="Arial" w:cs="Arial"/>
          <w:sz w:val="20"/>
          <w:szCs w:val="20"/>
        </w:rPr>
        <w:t>This programme was</w:t>
      </w:r>
      <w:r w:rsidRPr="008C0BE5">
        <w:rPr>
          <w:rFonts w:ascii="Arial" w:hAnsi="Arial" w:cs="Arial"/>
          <w:sz w:val="20"/>
          <w:szCs w:val="20"/>
        </w:rPr>
        <w:t xml:space="preserve"> expanded to incorporate what was previously programme 8 “Technical Support and Development Finance” in the previous strategic plan</w:t>
      </w:r>
      <w:r w:rsidR="00014540" w:rsidRPr="008C0BE5">
        <w:rPr>
          <w:rFonts w:ascii="Arial" w:hAnsi="Arial" w:cs="Arial"/>
          <w:sz w:val="20"/>
          <w:szCs w:val="20"/>
        </w:rPr>
        <w:t xml:space="preserve"> of NT</w:t>
      </w:r>
      <w:r w:rsidRPr="008C0BE5">
        <w:rPr>
          <w:rFonts w:ascii="Arial" w:hAnsi="Arial" w:cs="Arial"/>
          <w:sz w:val="20"/>
          <w:szCs w:val="20"/>
        </w:rPr>
        <w:t xml:space="preserve">. </w:t>
      </w:r>
      <w:r w:rsidR="00014540" w:rsidRPr="008C0BE5">
        <w:rPr>
          <w:rFonts w:ascii="Arial" w:hAnsi="Arial" w:cs="Arial"/>
          <w:sz w:val="20"/>
          <w:szCs w:val="20"/>
        </w:rPr>
        <w:t xml:space="preserve"> It is also aimed at facilitating employment creation and high-impact government </w:t>
      </w:r>
      <w:r w:rsidR="0019765C" w:rsidRPr="008C0BE5">
        <w:rPr>
          <w:rFonts w:ascii="Arial" w:hAnsi="Arial" w:cs="Arial"/>
          <w:sz w:val="20"/>
          <w:szCs w:val="20"/>
        </w:rPr>
        <w:t>initiatives and</w:t>
      </w:r>
      <w:r w:rsidR="00014540" w:rsidRPr="008C0BE5">
        <w:rPr>
          <w:rFonts w:ascii="Arial" w:hAnsi="Arial" w:cs="Arial"/>
          <w:sz w:val="20"/>
          <w:szCs w:val="20"/>
        </w:rPr>
        <w:t xml:space="preserve"> strengthen infrastructure planning and </w:t>
      </w:r>
      <w:r w:rsidR="00756416" w:rsidRPr="008C0BE5">
        <w:rPr>
          <w:rFonts w:ascii="Arial" w:hAnsi="Arial" w:cs="Arial"/>
          <w:sz w:val="20"/>
          <w:szCs w:val="20"/>
        </w:rPr>
        <w:t>delivery.</w:t>
      </w:r>
      <w:r w:rsidR="00014540" w:rsidRPr="008C0BE5">
        <w:rPr>
          <w:rFonts w:ascii="Arial" w:hAnsi="Arial" w:cs="Arial"/>
          <w:sz w:val="20"/>
          <w:szCs w:val="20"/>
        </w:rPr>
        <w:t xml:space="preserve"> </w:t>
      </w:r>
    </w:p>
    <w:p w:rsidR="00EB5352" w:rsidRPr="008C0BE5" w:rsidRDefault="009E67BD" w:rsidP="008C0BE5">
      <w:pPr>
        <w:pStyle w:val="ListParagraph"/>
        <w:numPr>
          <w:ilvl w:val="2"/>
          <w:numId w:val="1"/>
        </w:numPr>
        <w:spacing w:after="0" w:line="240" w:lineRule="auto"/>
        <w:rPr>
          <w:rFonts w:ascii="Arial" w:hAnsi="Arial" w:cs="Arial"/>
          <w:b/>
          <w:sz w:val="20"/>
          <w:szCs w:val="20"/>
        </w:rPr>
      </w:pPr>
      <w:r w:rsidRPr="008C0BE5">
        <w:rPr>
          <w:rFonts w:ascii="Arial" w:hAnsi="Arial" w:cs="Arial"/>
          <w:sz w:val="20"/>
          <w:szCs w:val="20"/>
        </w:rPr>
        <w:t>This programme will be allocated R</w:t>
      </w:r>
      <w:r w:rsidR="003E561B" w:rsidRPr="008C0BE5">
        <w:rPr>
          <w:rFonts w:ascii="Arial" w:hAnsi="Arial" w:cs="Arial"/>
          <w:sz w:val="20"/>
          <w:szCs w:val="20"/>
        </w:rPr>
        <w:t>4</w:t>
      </w:r>
      <w:r w:rsidRPr="008C0BE5">
        <w:rPr>
          <w:rFonts w:ascii="Arial" w:hAnsi="Arial" w:cs="Arial"/>
          <w:sz w:val="20"/>
          <w:szCs w:val="20"/>
        </w:rPr>
        <w:t>,</w:t>
      </w:r>
      <w:r w:rsidR="001021F1" w:rsidRPr="008C0BE5">
        <w:rPr>
          <w:rFonts w:ascii="Arial" w:hAnsi="Arial" w:cs="Arial"/>
          <w:sz w:val="20"/>
          <w:szCs w:val="20"/>
        </w:rPr>
        <w:t>3</w:t>
      </w:r>
      <w:r w:rsidR="003E561B" w:rsidRPr="008C0BE5">
        <w:rPr>
          <w:rFonts w:ascii="Arial" w:hAnsi="Arial" w:cs="Arial"/>
          <w:sz w:val="20"/>
          <w:szCs w:val="20"/>
        </w:rPr>
        <w:t xml:space="preserve"> billion in 20</w:t>
      </w:r>
      <w:r w:rsidRPr="008C0BE5">
        <w:rPr>
          <w:rFonts w:ascii="Arial" w:hAnsi="Arial" w:cs="Arial"/>
          <w:sz w:val="20"/>
          <w:szCs w:val="20"/>
        </w:rPr>
        <w:t>2</w:t>
      </w:r>
      <w:r w:rsidR="001021F1" w:rsidRPr="008C0BE5">
        <w:rPr>
          <w:rFonts w:ascii="Arial" w:hAnsi="Arial" w:cs="Arial"/>
          <w:sz w:val="20"/>
          <w:szCs w:val="20"/>
        </w:rPr>
        <w:t>3</w:t>
      </w:r>
      <w:r w:rsidR="003E561B" w:rsidRPr="008C0BE5">
        <w:rPr>
          <w:rFonts w:ascii="Arial" w:hAnsi="Arial" w:cs="Arial"/>
          <w:sz w:val="20"/>
          <w:szCs w:val="20"/>
        </w:rPr>
        <w:t>/2</w:t>
      </w:r>
      <w:r w:rsidR="001021F1" w:rsidRPr="008C0BE5">
        <w:rPr>
          <w:rFonts w:ascii="Arial" w:hAnsi="Arial" w:cs="Arial"/>
          <w:sz w:val="20"/>
          <w:szCs w:val="20"/>
        </w:rPr>
        <w:t>4</w:t>
      </w:r>
      <w:r w:rsidR="003E561B" w:rsidRPr="008C0BE5">
        <w:rPr>
          <w:rFonts w:ascii="Arial" w:hAnsi="Arial" w:cs="Arial"/>
          <w:sz w:val="20"/>
          <w:szCs w:val="20"/>
        </w:rPr>
        <w:t xml:space="preserve">, </w:t>
      </w:r>
      <w:r w:rsidR="001021F1" w:rsidRPr="008C0BE5">
        <w:rPr>
          <w:rFonts w:ascii="Arial" w:hAnsi="Arial" w:cs="Arial"/>
          <w:sz w:val="20"/>
          <w:szCs w:val="20"/>
        </w:rPr>
        <w:t>down</w:t>
      </w:r>
      <w:r w:rsidR="003E561B" w:rsidRPr="008C0BE5">
        <w:rPr>
          <w:rFonts w:ascii="Arial" w:hAnsi="Arial" w:cs="Arial"/>
          <w:sz w:val="20"/>
          <w:szCs w:val="20"/>
        </w:rPr>
        <w:t xml:space="preserve"> from 4,</w:t>
      </w:r>
      <w:r w:rsidR="001021F1" w:rsidRPr="008C0BE5">
        <w:rPr>
          <w:rFonts w:ascii="Arial" w:hAnsi="Arial" w:cs="Arial"/>
          <w:sz w:val="20"/>
          <w:szCs w:val="20"/>
        </w:rPr>
        <w:t>4</w:t>
      </w:r>
      <w:r w:rsidR="003E561B" w:rsidRPr="008C0BE5">
        <w:rPr>
          <w:rFonts w:ascii="Arial" w:hAnsi="Arial" w:cs="Arial"/>
          <w:sz w:val="20"/>
          <w:szCs w:val="20"/>
        </w:rPr>
        <w:t xml:space="preserve"> billion in the adjustment budget</w:t>
      </w:r>
      <w:r w:rsidRPr="008C0BE5">
        <w:rPr>
          <w:rFonts w:ascii="Arial" w:hAnsi="Arial" w:cs="Arial"/>
          <w:sz w:val="20"/>
          <w:szCs w:val="20"/>
        </w:rPr>
        <w:t>. The projected allocations are R</w:t>
      </w:r>
      <w:r w:rsidR="003E561B" w:rsidRPr="008C0BE5">
        <w:rPr>
          <w:rFonts w:ascii="Arial" w:hAnsi="Arial" w:cs="Arial"/>
          <w:sz w:val="20"/>
          <w:szCs w:val="20"/>
        </w:rPr>
        <w:t>3</w:t>
      </w:r>
      <w:r w:rsidR="00102478" w:rsidRPr="008C0BE5">
        <w:rPr>
          <w:rFonts w:ascii="Arial" w:hAnsi="Arial" w:cs="Arial"/>
          <w:sz w:val="20"/>
          <w:szCs w:val="20"/>
        </w:rPr>
        <w:t>.4</w:t>
      </w:r>
      <w:r w:rsidRPr="008C0BE5">
        <w:rPr>
          <w:rFonts w:ascii="Arial" w:hAnsi="Arial" w:cs="Arial"/>
          <w:sz w:val="20"/>
          <w:szCs w:val="20"/>
        </w:rPr>
        <w:t xml:space="preserve"> </w:t>
      </w:r>
      <w:r w:rsidR="003E561B" w:rsidRPr="008C0BE5">
        <w:rPr>
          <w:rFonts w:ascii="Arial" w:hAnsi="Arial" w:cs="Arial"/>
          <w:sz w:val="20"/>
          <w:szCs w:val="20"/>
        </w:rPr>
        <w:t>and 3,</w:t>
      </w:r>
      <w:r w:rsidR="003A4D91" w:rsidRPr="008C0BE5">
        <w:rPr>
          <w:rFonts w:ascii="Arial" w:hAnsi="Arial" w:cs="Arial"/>
          <w:sz w:val="20"/>
          <w:szCs w:val="20"/>
        </w:rPr>
        <w:t>5</w:t>
      </w:r>
      <w:r w:rsidR="003E561B" w:rsidRPr="008C0BE5">
        <w:rPr>
          <w:rFonts w:ascii="Arial" w:hAnsi="Arial" w:cs="Arial"/>
          <w:sz w:val="20"/>
          <w:szCs w:val="20"/>
        </w:rPr>
        <w:t xml:space="preserve"> </w:t>
      </w:r>
      <w:r w:rsidRPr="008C0BE5">
        <w:rPr>
          <w:rFonts w:ascii="Arial" w:hAnsi="Arial" w:cs="Arial"/>
          <w:sz w:val="20"/>
          <w:szCs w:val="20"/>
        </w:rPr>
        <w:t>billion for the outer two years of the MTEF</w:t>
      </w:r>
      <w:r w:rsidR="005010FF" w:rsidRPr="008C0BE5">
        <w:rPr>
          <w:rFonts w:ascii="Arial" w:hAnsi="Arial" w:cs="Arial"/>
          <w:sz w:val="20"/>
          <w:szCs w:val="20"/>
        </w:rPr>
        <w:t>, a dec</w:t>
      </w:r>
      <w:r w:rsidR="00FE737F" w:rsidRPr="008C0BE5">
        <w:rPr>
          <w:rFonts w:ascii="Arial" w:hAnsi="Arial" w:cs="Arial"/>
          <w:sz w:val="20"/>
          <w:szCs w:val="20"/>
        </w:rPr>
        <w:t>line</w:t>
      </w:r>
      <w:r w:rsidR="005010FF" w:rsidRPr="008C0BE5">
        <w:rPr>
          <w:rFonts w:ascii="Arial" w:hAnsi="Arial" w:cs="Arial"/>
          <w:sz w:val="20"/>
          <w:szCs w:val="20"/>
        </w:rPr>
        <w:t xml:space="preserve"> of 6.9%</w:t>
      </w:r>
      <w:r w:rsidRPr="008C0BE5">
        <w:rPr>
          <w:rFonts w:ascii="Arial" w:hAnsi="Arial" w:cs="Arial"/>
          <w:sz w:val="20"/>
          <w:szCs w:val="20"/>
        </w:rPr>
        <w:t>.</w:t>
      </w:r>
    </w:p>
    <w:p w:rsidR="00A03BEF" w:rsidRPr="008C0BE5" w:rsidRDefault="003A4D91" w:rsidP="008C0BE5">
      <w:pPr>
        <w:pStyle w:val="ListParagraph"/>
        <w:numPr>
          <w:ilvl w:val="2"/>
          <w:numId w:val="1"/>
        </w:numPr>
        <w:spacing w:after="0" w:line="240" w:lineRule="auto"/>
        <w:rPr>
          <w:rFonts w:ascii="Arial" w:hAnsi="Arial" w:cs="Arial"/>
          <w:b/>
          <w:sz w:val="20"/>
          <w:szCs w:val="20"/>
        </w:rPr>
      </w:pPr>
      <w:r w:rsidRPr="008C0BE5">
        <w:rPr>
          <w:rFonts w:ascii="Arial" w:hAnsi="Arial" w:cs="Arial"/>
          <w:sz w:val="20"/>
          <w:szCs w:val="20"/>
        </w:rPr>
        <w:t>T</w:t>
      </w:r>
      <w:r w:rsidR="003606F5" w:rsidRPr="008C0BE5">
        <w:rPr>
          <w:rFonts w:ascii="Arial" w:hAnsi="Arial" w:cs="Arial"/>
          <w:sz w:val="20"/>
          <w:szCs w:val="20"/>
        </w:rPr>
        <w:t xml:space="preserve">his </w:t>
      </w:r>
      <w:r w:rsidR="00EB5352" w:rsidRPr="008C0BE5">
        <w:rPr>
          <w:rFonts w:ascii="Arial" w:hAnsi="Arial" w:cs="Arial"/>
          <w:sz w:val="20"/>
          <w:szCs w:val="20"/>
        </w:rPr>
        <w:t>p</w:t>
      </w:r>
      <w:r w:rsidR="003606F5" w:rsidRPr="008C0BE5">
        <w:rPr>
          <w:rFonts w:ascii="Arial" w:hAnsi="Arial" w:cs="Arial"/>
          <w:sz w:val="20"/>
          <w:szCs w:val="20"/>
        </w:rPr>
        <w:t>rogramme</w:t>
      </w:r>
      <w:r w:rsidR="00EB5352" w:rsidRPr="008C0BE5">
        <w:rPr>
          <w:rFonts w:ascii="Arial" w:hAnsi="Arial" w:cs="Arial"/>
          <w:sz w:val="20"/>
          <w:szCs w:val="20"/>
        </w:rPr>
        <w:t>,</w:t>
      </w:r>
      <w:r w:rsidR="003606F5" w:rsidRPr="008C0BE5">
        <w:rPr>
          <w:rFonts w:ascii="Arial" w:hAnsi="Arial" w:cs="Arial"/>
          <w:sz w:val="20"/>
          <w:szCs w:val="20"/>
        </w:rPr>
        <w:t xml:space="preserve"> as it did in the previous financial year, has twelve (12) targets for the 2023/24 financial year. The key targets for the programme include</w:t>
      </w:r>
      <w:r w:rsidR="00EB5352" w:rsidRPr="008C0BE5">
        <w:rPr>
          <w:rFonts w:ascii="Arial" w:hAnsi="Arial" w:cs="Arial"/>
          <w:sz w:val="20"/>
          <w:szCs w:val="20"/>
        </w:rPr>
        <w:t xml:space="preserve"> the p</w:t>
      </w:r>
      <w:r w:rsidR="003606F5" w:rsidRPr="008C0BE5">
        <w:rPr>
          <w:rFonts w:ascii="Arial" w:hAnsi="Arial" w:cs="Arial"/>
          <w:sz w:val="20"/>
          <w:szCs w:val="20"/>
        </w:rPr>
        <w:t xml:space="preserve">ublication of key legislation:  Division of Revenue Bill, Appropriation Bill (AP), Adjusted Estimates of National Expenditure (AENE), Estimates of National Expenditure (ENE), and </w:t>
      </w:r>
      <w:r w:rsidR="00AF38E6" w:rsidRPr="008C0BE5">
        <w:rPr>
          <w:rFonts w:ascii="Arial" w:hAnsi="Arial" w:cs="Arial"/>
          <w:sz w:val="20"/>
          <w:szCs w:val="20"/>
        </w:rPr>
        <w:t xml:space="preserve">the </w:t>
      </w:r>
      <w:r w:rsidR="00FE737F" w:rsidRPr="008C0BE5">
        <w:rPr>
          <w:rFonts w:ascii="Arial" w:hAnsi="Arial" w:cs="Arial"/>
          <w:sz w:val="20"/>
          <w:szCs w:val="20"/>
        </w:rPr>
        <w:t>Medium-Term</w:t>
      </w:r>
      <w:r w:rsidR="003606F5" w:rsidRPr="008C0BE5">
        <w:rPr>
          <w:rFonts w:ascii="Arial" w:hAnsi="Arial" w:cs="Arial"/>
          <w:sz w:val="20"/>
          <w:szCs w:val="20"/>
        </w:rPr>
        <w:t xml:space="preserve"> Budget Policy Statement (MTBPS)</w:t>
      </w:r>
      <w:r w:rsidR="00AF38E6" w:rsidRPr="008C0BE5">
        <w:rPr>
          <w:rFonts w:ascii="Arial" w:hAnsi="Arial" w:cs="Arial"/>
          <w:sz w:val="20"/>
          <w:szCs w:val="20"/>
        </w:rPr>
        <w:t>; e</w:t>
      </w:r>
      <w:r w:rsidR="003606F5" w:rsidRPr="008C0BE5">
        <w:rPr>
          <w:rFonts w:ascii="Arial" w:hAnsi="Arial" w:cs="Arial"/>
          <w:sz w:val="20"/>
          <w:szCs w:val="20"/>
        </w:rPr>
        <w:t>nhancements to the provincial and local government fiscal frameworks</w:t>
      </w:r>
      <w:r w:rsidR="00FE737F" w:rsidRPr="008C0BE5">
        <w:rPr>
          <w:rFonts w:ascii="Arial" w:hAnsi="Arial" w:cs="Arial"/>
          <w:sz w:val="20"/>
          <w:szCs w:val="20"/>
        </w:rPr>
        <w:t>; m</w:t>
      </w:r>
      <w:r w:rsidR="003606F5" w:rsidRPr="008C0BE5">
        <w:rPr>
          <w:rFonts w:ascii="Arial" w:hAnsi="Arial" w:cs="Arial"/>
          <w:sz w:val="20"/>
          <w:szCs w:val="20"/>
        </w:rPr>
        <w:t>andatory financial recovery plans</w:t>
      </w:r>
      <w:r w:rsidR="00FE737F" w:rsidRPr="008C0BE5">
        <w:rPr>
          <w:rFonts w:ascii="Arial" w:hAnsi="Arial" w:cs="Arial"/>
          <w:sz w:val="20"/>
          <w:szCs w:val="20"/>
        </w:rPr>
        <w:t xml:space="preserve">; </w:t>
      </w:r>
      <w:r w:rsidR="00ED4923" w:rsidRPr="008C0BE5">
        <w:rPr>
          <w:rFonts w:ascii="Arial" w:hAnsi="Arial" w:cs="Arial"/>
          <w:sz w:val="20"/>
          <w:szCs w:val="20"/>
        </w:rPr>
        <w:t>80</w:t>
      </w:r>
      <w:r w:rsidR="00FE737F" w:rsidRPr="008C0BE5">
        <w:rPr>
          <w:rFonts w:ascii="Arial" w:hAnsi="Arial" w:cs="Arial"/>
          <w:sz w:val="20"/>
          <w:szCs w:val="20"/>
        </w:rPr>
        <w:t xml:space="preserve"> t</w:t>
      </w:r>
      <w:r w:rsidR="003606F5" w:rsidRPr="008C0BE5">
        <w:rPr>
          <w:rFonts w:ascii="Arial" w:hAnsi="Arial" w:cs="Arial"/>
          <w:sz w:val="20"/>
          <w:szCs w:val="20"/>
        </w:rPr>
        <w:t>echnical advisors placed at NT</w:t>
      </w:r>
      <w:r w:rsidR="00ED4923" w:rsidRPr="008C0BE5">
        <w:rPr>
          <w:rFonts w:ascii="Arial" w:hAnsi="Arial" w:cs="Arial"/>
          <w:sz w:val="20"/>
          <w:szCs w:val="20"/>
        </w:rPr>
        <w:t>, provincial treasuries and municipalities</w:t>
      </w:r>
      <w:r w:rsidR="006718EB" w:rsidRPr="008C0BE5">
        <w:rPr>
          <w:rFonts w:ascii="Arial" w:hAnsi="Arial" w:cs="Arial"/>
          <w:sz w:val="20"/>
          <w:szCs w:val="20"/>
        </w:rPr>
        <w:t xml:space="preserve"> and</w:t>
      </w:r>
      <w:r w:rsidR="007B11CE" w:rsidRPr="008C0BE5">
        <w:rPr>
          <w:rFonts w:ascii="Arial" w:hAnsi="Arial" w:cs="Arial"/>
          <w:sz w:val="20"/>
          <w:szCs w:val="20"/>
        </w:rPr>
        <w:t xml:space="preserve">; </w:t>
      </w:r>
      <w:r w:rsidR="00ED4923" w:rsidRPr="008C0BE5">
        <w:rPr>
          <w:rFonts w:ascii="Arial" w:hAnsi="Arial" w:cs="Arial"/>
          <w:sz w:val="20"/>
          <w:szCs w:val="20"/>
        </w:rPr>
        <w:t>i</w:t>
      </w:r>
      <w:r w:rsidR="00A03BEF" w:rsidRPr="008C0BE5">
        <w:rPr>
          <w:rFonts w:ascii="Arial" w:hAnsi="Arial" w:cs="Arial"/>
          <w:sz w:val="20"/>
          <w:szCs w:val="20"/>
        </w:rPr>
        <w:t>dentify</w:t>
      </w:r>
      <w:r w:rsidR="00ED4923" w:rsidRPr="008C0BE5">
        <w:rPr>
          <w:rFonts w:ascii="Arial" w:hAnsi="Arial" w:cs="Arial"/>
          <w:sz w:val="20"/>
          <w:szCs w:val="20"/>
        </w:rPr>
        <w:t>ing</w:t>
      </w:r>
      <w:r w:rsidR="00A03BEF" w:rsidRPr="008C0BE5">
        <w:rPr>
          <w:rFonts w:ascii="Arial" w:hAnsi="Arial" w:cs="Arial"/>
          <w:sz w:val="20"/>
          <w:szCs w:val="20"/>
        </w:rPr>
        <w:t xml:space="preserve"> and approv</w:t>
      </w:r>
      <w:r w:rsidR="00ED4923" w:rsidRPr="008C0BE5">
        <w:rPr>
          <w:rFonts w:ascii="Arial" w:hAnsi="Arial" w:cs="Arial"/>
          <w:sz w:val="20"/>
          <w:szCs w:val="20"/>
        </w:rPr>
        <w:t>ing</w:t>
      </w:r>
      <w:r w:rsidR="00A03BEF" w:rsidRPr="008C0BE5">
        <w:rPr>
          <w:rFonts w:ascii="Arial" w:hAnsi="Arial" w:cs="Arial"/>
          <w:sz w:val="20"/>
          <w:szCs w:val="20"/>
        </w:rPr>
        <w:t xml:space="preserve"> 35 catalytic projects in spatially targeted areas within metropolitan cities, secondary cities and rural towns to provide technical support to cities to strengthen infrastructure planning, delivery capacity and to support spatial transformation and inclusive developments. </w:t>
      </w:r>
    </w:p>
    <w:p w:rsidR="003606F5" w:rsidRPr="008C0BE5" w:rsidRDefault="003606F5" w:rsidP="008C0BE5">
      <w:pPr>
        <w:pStyle w:val="ListParagraph"/>
        <w:numPr>
          <w:ilvl w:val="2"/>
          <w:numId w:val="1"/>
        </w:numPr>
        <w:spacing w:after="0" w:line="240" w:lineRule="auto"/>
        <w:rPr>
          <w:rFonts w:ascii="Arial" w:hAnsi="Arial" w:cs="Arial"/>
          <w:b/>
          <w:sz w:val="20"/>
          <w:szCs w:val="20"/>
        </w:rPr>
      </w:pPr>
      <w:r w:rsidRPr="008C0BE5">
        <w:rPr>
          <w:rFonts w:ascii="Arial" w:hAnsi="Arial" w:cs="Arial"/>
          <w:sz w:val="20"/>
          <w:szCs w:val="20"/>
        </w:rPr>
        <w:t xml:space="preserve">In terms of economic classification, over R599 million from Goods and services is earmarked for </w:t>
      </w:r>
      <w:r w:rsidRPr="008C0BE5">
        <w:rPr>
          <w:rFonts w:ascii="Arial" w:hAnsi="Arial" w:cs="Arial"/>
          <w:i/>
          <w:sz w:val="20"/>
          <w:szCs w:val="20"/>
        </w:rPr>
        <w:t>Consultants: Business and Advisory</w:t>
      </w:r>
      <w:r w:rsidRPr="008C0BE5">
        <w:rPr>
          <w:rFonts w:ascii="Arial" w:hAnsi="Arial" w:cs="Arial"/>
          <w:sz w:val="20"/>
          <w:szCs w:val="20"/>
        </w:rPr>
        <w:t>. The largest amount R3.4 billion from this programme budget goes towards transfers and subsidies to Provinces, Municipalities and Departmental Agencies.</w:t>
      </w:r>
    </w:p>
    <w:p w:rsidR="009E67BD" w:rsidRPr="008C0BE5" w:rsidRDefault="002E6883" w:rsidP="008C0BE5">
      <w:pPr>
        <w:pStyle w:val="ListParagraph"/>
        <w:numPr>
          <w:ilvl w:val="2"/>
          <w:numId w:val="1"/>
        </w:numPr>
        <w:spacing w:after="0" w:line="240" w:lineRule="auto"/>
        <w:rPr>
          <w:rFonts w:ascii="Arial" w:hAnsi="Arial" w:cs="Arial"/>
          <w:b/>
          <w:sz w:val="20"/>
          <w:szCs w:val="20"/>
        </w:rPr>
      </w:pPr>
      <w:r w:rsidRPr="008C0BE5">
        <w:rPr>
          <w:rFonts w:ascii="Arial" w:hAnsi="Arial" w:cs="Arial"/>
          <w:sz w:val="20"/>
          <w:szCs w:val="20"/>
        </w:rPr>
        <w:t>This programme has got the following sub-programmes: Programme Management for Public Finance and Budget Management; Public Finance; Budget Office and Coordination; Intergovernmental Relations; Financial and Fiscal Commission; Facilitation of Conditional Grants; Catalytic Infrastructure and Development Support Programme</w:t>
      </w:r>
      <w:r w:rsidR="00DC7AB8" w:rsidRPr="008C0BE5">
        <w:rPr>
          <w:rFonts w:ascii="Arial" w:hAnsi="Arial" w:cs="Arial"/>
          <w:sz w:val="20"/>
          <w:szCs w:val="20"/>
        </w:rPr>
        <w:t>;</w:t>
      </w:r>
      <w:r w:rsidR="00A024AA" w:rsidRPr="008C0BE5">
        <w:rPr>
          <w:rFonts w:ascii="Arial" w:hAnsi="Arial" w:cs="Arial"/>
          <w:sz w:val="20"/>
          <w:szCs w:val="20"/>
        </w:rPr>
        <w:t xml:space="preserve"> and</w:t>
      </w:r>
      <w:r w:rsidRPr="008C0BE5">
        <w:rPr>
          <w:rFonts w:ascii="Arial" w:hAnsi="Arial" w:cs="Arial"/>
          <w:sz w:val="20"/>
          <w:szCs w:val="20"/>
        </w:rPr>
        <w:t xml:space="preserve"> the Government Technical Advisory Centre. </w:t>
      </w:r>
    </w:p>
    <w:p w:rsidR="009E67BD" w:rsidRPr="008C0BE5" w:rsidRDefault="009E67BD" w:rsidP="008C0BE5">
      <w:pPr>
        <w:pStyle w:val="ListParagraph"/>
        <w:numPr>
          <w:ilvl w:val="1"/>
          <w:numId w:val="1"/>
        </w:numPr>
        <w:spacing w:after="0" w:line="240" w:lineRule="auto"/>
        <w:rPr>
          <w:rFonts w:ascii="Arial" w:hAnsi="Arial" w:cs="Arial"/>
          <w:b/>
          <w:sz w:val="20"/>
          <w:szCs w:val="20"/>
        </w:rPr>
      </w:pPr>
      <w:r w:rsidRPr="008C0BE5">
        <w:rPr>
          <w:rFonts w:ascii="Arial" w:hAnsi="Arial" w:cs="Arial"/>
          <w:b/>
          <w:sz w:val="20"/>
          <w:szCs w:val="20"/>
        </w:rPr>
        <w:t>Programme 4: Asset and Liability Management</w:t>
      </w:r>
    </w:p>
    <w:p w:rsidR="009E67BD" w:rsidRPr="008C0BE5" w:rsidRDefault="009E67BD" w:rsidP="008C0BE5">
      <w:pPr>
        <w:pStyle w:val="ListParagraph"/>
        <w:numPr>
          <w:ilvl w:val="2"/>
          <w:numId w:val="1"/>
        </w:numPr>
        <w:spacing w:after="0" w:line="240" w:lineRule="auto"/>
        <w:rPr>
          <w:rFonts w:ascii="Arial" w:hAnsi="Arial" w:cs="Arial"/>
          <w:b/>
          <w:sz w:val="20"/>
          <w:szCs w:val="20"/>
        </w:rPr>
      </w:pPr>
      <w:r w:rsidRPr="008C0BE5">
        <w:rPr>
          <w:rFonts w:ascii="Arial" w:hAnsi="Arial" w:cs="Arial"/>
          <w:sz w:val="20"/>
          <w:szCs w:val="20"/>
        </w:rPr>
        <w:t xml:space="preserve">The Asset and Liability Management programme manages financial assets, national debt and liquidity requirements of the fiscus in order to facilitate national expenditure and maintain favourable sovereign debt ratings. Over the medium term, the strategic focus of this programme continues to be its oversight of </w:t>
      </w:r>
      <w:r w:rsidR="005936D7" w:rsidRPr="008C0BE5">
        <w:rPr>
          <w:rFonts w:ascii="Arial" w:hAnsi="Arial" w:cs="Arial"/>
          <w:sz w:val="20"/>
          <w:szCs w:val="20"/>
        </w:rPr>
        <w:t>state-owned</w:t>
      </w:r>
      <w:r w:rsidRPr="008C0BE5">
        <w:rPr>
          <w:rFonts w:ascii="Arial" w:hAnsi="Arial" w:cs="Arial"/>
          <w:sz w:val="20"/>
          <w:szCs w:val="20"/>
        </w:rPr>
        <w:t xml:space="preserve"> companies (SOCs) by enabling them to meet government’s policy objectives in a financially and fiscally sustainable manner, as well as promote sound corporate governance. </w:t>
      </w:r>
    </w:p>
    <w:p w:rsidR="009E67BD" w:rsidRPr="008C0BE5" w:rsidRDefault="009E67BD" w:rsidP="008C0BE5">
      <w:pPr>
        <w:pStyle w:val="ListParagraph"/>
        <w:numPr>
          <w:ilvl w:val="2"/>
          <w:numId w:val="1"/>
        </w:numPr>
        <w:spacing w:after="0" w:line="240" w:lineRule="auto"/>
        <w:rPr>
          <w:rFonts w:ascii="Arial" w:hAnsi="Arial" w:cs="Arial"/>
          <w:b/>
          <w:sz w:val="20"/>
          <w:szCs w:val="20"/>
        </w:rPr>
      </w:pPr>
      <w:r w:rsidRPr="008C0BE5">
        <w:rPr>
          <w:rFonts w:ascii="Arial" w:hAnsi="Arial" w:cs="Arial"/>
          <w:sz w:val="20"/>
          <w:szCs w:val="20"/>
        </w:rPr>
        <w:t>Other targets are to: ensure timely and accurate payment of government debt obligations to avoid any credit defaults; finance government’s gross borrowing requirement over the MTEF and minimise risk</w:t>
      </w:r>
      <w:r w:rsidR="00270DFD" w:rsidRPr="008C0BE5">
        <w:rPr>
          <w:rFonts w:ascii="Arial" w:hAnsi="Arial" w:cs="Arial"/>
          <w:sz w:val="20"/>
          <w:szCs w:val="20"/>
        </w:rPr>
        <w:t>s</w:t>
      </w:r>
      <w:r w:rsidRPr="008C0BE5">
        <w:rPr>
          <w:rFonts w:ascii="Arial" w:hAnsi="Arial" w:cs="Arial"/>
          <w:sz w:val="20"/>
          <w:szCs w:val="20"/>
        </w:rPr>
        <w:t xml:space="preserve"> emanating from government’s fiscal obligations by measuring performance and ensuring compliance with market and refinancing risk benchmarks; ensure sound management of government’s cash resources by meeting government’s liquidity requirements at all times and; produce 4 reports on the management of government’s contingent liabilities.</w:t>
      </w:r>
    </w:p>
    <w:p w:rsidR="009E67BD" w:rsidRPr="008C0BE5" w:rsidRDefault="009E67BD" w:rsidP="008C0BE5">
      <w:pPr>
        <w:pStyle w:val="ListParagraph"/>
        <w:numPr>
          <w:ilvl w:val="2"/>
          <w:numId w:val="1"/>
        </w:numPr>
        <w:spacing w:after="0" w:line="240" w:lineRule="auto"/>
        <w:rPr>
          <w:rFonts w:ascii="Arial" w:eastAsia="MS Mincho" w:hAnsi="Arial" w:cs="Arial"/>
          <w:sz w:val="20"/>
          <w:szCs w:val="20"/>
          <w:lang w:val="en-US"/>
        </w:rPr>
      </w:pPr>
      <w:r w:rsidRPr="008C0BE5">
        <w:rPr>
          <w:rFonts w:ascii="Arial" w:eastAsia="MS Mincho" w:hAnsi="Arial" w:cs="Arial"/>
          <w:sz w:val="20"/>
          <w:szCs w:val="20"/>
          <w:lang w:val="en-US"/>
        </w:rPr>
        <w:t>This programme’s budget allocation for 202</w:t>
      </w:r>
      <w:r w:rsidR="00270DFD" w:rsidRPr="008C0BE5">
        <w:rPr>
          <w:rFonts w:ascii="Arial" w:eastAsia="MS Mincho" w:hAnsi="Arial" w:cs="Arial"/>
          <w:sz w:val="20"/>
          <w:szCs w:val="20"/>
          <w:lang w:val="en-US"/>
        </w:rPr>
        <w:t>3</w:t>
      </w:r>
      <w:r w:rsidR="00CA6976" w:rsidRPr="008C0BE5">
        <w:rPr>
          <w:rFonts w:ascii="Arial" w:eastAsia="MS Mincho" w:hAnsi="Arial" w:cs="Arial"/>
          <w:sz w:val="20"/>
          <w:szCs w:val="20"/>
          <w:lang w:val="en-US"/>
        </w:rPr>
        <w:t>/24</w:t>
      </w:r>
      <w:r w:rsidRPr="008C0BE5">
        <w:rPr>
          <w:rFonts w:ascii="Arial" w:eastAsia="MS Mincho" w:hAnsi="Arial" w:cs="Arial"/>
          <w:sz w:val="20"/>
          <w:szCs w:val="20"/>
          <w:lang w:val="en-US"/>
        </w:rPr>
        <w:t xml:space="preserve"> is R</w:t>
      </w:r>
      <w:r w:rsidR="00270DFD" w:rsidRPr="008C0BE5">
        <w:rPr>
          <w:rFonts w:ascii="Arial" w:eastAsia="MS Mincho" w:hAnsi="Arial" w:cs="Arial"/>
          <w:sz w:val="20"/>
          <w:szCs w:val="20"/>
          <w:lang w:val="en-US"/>
        </w:rPr>
        <w:t>1</w:t>
      </w:r>
      <w:r w:rsidRPr="008C0BE5">
        <w:rPr>
          <w:rFonts w:ascii="Arial" w:eastAsia="MS Mincho" w:hAnsi="Arial" w:cs="Arial"/>
          <w:sz w:val="20"/>
          <w:szCs w:val="20"/>
          <w:lang w:val="en-US"/>
        </w:rPr>
        <w:t xml:space="preserve">,1 billion, </w:t>
      </w:r>
      <w:r w:rsidR="00270DFD" w:rsidRPr="008C0BE5">
        <w:rPr>
          <w:rFonts w:ascii="Arial" w:eastAsia="MS Mincho" w:hAnsi="Arial" w:cs="Arial"/>
          <w:sz w:val="20"/>
          <w:szCs w:val="20"/>
          <w:lang w:val="en-US"/>
        </w:rPr>
        <w:t xml:space="preserve">down </w:t>
      </w:r>
      <w:r w:rsidR="00E0686A" w:rsidRPr="008C0BE5">
        <w:rPr>
          <w:rFonts w:ascii="Arial" w:eastAsia="MS Mincho" w:hAnsi="Arial" w:cs="Arial"/>
          <w:sz w:val="20"/>
          <w:szCs w:val="20"/>
          <w:lang w:val="en-US"/>
        </w:rPr>
        <w:t>71</w:t>
      </w:r>
      <w:r w:rsidR="00C13329" w:rsidRPr="008C0BE5">
        <w:rPr>
          <w:rFonts w:ascii="Arial" w:eastAsia="MS Mincho" w:hAnsi="Arial" w:cs="Arial"/>
          <w:sz w:val="20"/>
          <w:szCs w:val="20"/>
          <w:lang w:val="en-US"/>
        </w:rPr>
        <w:t xml:space="preserve">% </w:t>
      </w:r>
      <w:r w:rsidR="00270DFD" w:rsidRPr="008C0BE5">
        <w:rPr>
          <w:rFonts w:ascii="Arial" w:eastAsia="MS Mincho" w:hAnsi="Arial" w:cs="Arial"/>
          <w:sz w:val="20"/>
          <w:szCs w:val="20"/>
          <w:lang w:val="en-US"/>
        </w:rPr>
        <w:t>from an adjustment allocation of R</w:t>
      </w:r>
      <w:r w:rsidR="00902538" w:rsidRPr="008C0BE5">
        <w:rPr>
          <w:rFonts w:ascii="Arial" w:eastAsia="MS Mincho" w:hAnsi="Arial" w:cs="Arial"/>
          <w:sz w:val="20"/>
          <w:szCs w:val="20"/>
          <w:lang w:val="en-US"/>
        </w:rPr>
        <w:t>6</w:t>
      </w:r>
      <w:r w:rsidR="00270DFD" w:rsidRPr="008C0BE5">
        <w:rPr>
          <w:rFonts w:ascii="Arial" w:eastAsia="MS Mincho" w:hAnsi="Arial" w:cs="Arial"/>
          <w:sz w:val="20"/>
          <w:szCs w:val="20"/>
          <w:lang w:val="en-US"/>
        </w:rPr>
        <w:t xml:space="preserve">.0 billion </w:t>
      </w:r>
      <w:r w:rsidRPr="008C0BE5">
        <w:rPr>
          <w:rFonts w:ascii="Arial" w:eastAsia="MS Mincho" w:hAnsi="Arial" w:cs="Arial"/>
          <w:sz w:val="20"/>
          <w:szCs w:val="20"/>
          <w:lang w:val="en-US"/>
        </w:rPr>
        <w:t xml:space="preserve">the previous year. </w:t>
      </w:r>
      <w:r w:rsidR="00270DFD" w:rsidRPr="008C0BE5">
        <w:rPr>
          <w:rFonts w:ascii="Arial" w:eastAsia="MS Mincho" w:hAnsi="Arial" w:cs="Arial"/>
          <w:sz w:val="20"/>
          <w:szCs w:val="20"/>
          <w:lang w:val="en-US"/>
        </w:rPr>
        <w:t>The programme is allocated R1</w:t>
      </w:r>
      <w:r w:rsidR="00A657AA" w:rsidRPr="008C0BE5">
        <w:rPr>
          <w:rFonts w:ascii="Arial" w:eastAsia="MS Mincho" w:hAnsi="Arial" w:cs="Arial"/>
          <w:sz w:val="20"/>
          <w:szCs w:val="20"/>
          <w:lang w:val="en-US"/>
        </w:rPr>
        <w:t xml:space="preserve">34 and R139.5 million </w:t>
      </w:r>
      <w:r w:rsidR="00270DFD" w:rsidRPr="008C0BE5">
        <w:rPr>
          <w:rFonts w:ascii="Arial" w:eastAsia="MS Mincho" w:hAnsi="Arial" w:cs="Arial"/>
          <w:sz w:val="20"/>
          <w:szCs w:val="20"/>
          <w:lang w:val="en-US"/>
        </w:rPr>
        <w:t xml:space="preserve">in </w:t>
      </w:r>
      <w:r w:rsidR="00A657AA" w:rsidRPr="008C0BE5">
        <w:rPr>
          <w:rFonts w:ascii="Arial" w:eastAsia="MS Mincho" w:hAnsi="Arial" w:cs="Arial"/>
          <w:sz w:val="20"/>
          <w:szCs w:val="20"/>
          <w:lang w:val="en-US"/>
        </w:rPr>
        <w:t>the two outer years</w:t>
      </w:r>
      <w:r w:rsidR="00270DFD" w:rsidRPr="008C0BE5">
        <w:rPr>
          <w:rFonts w:ascii="Arial" w:eastAsia="MS Mincho" w:hAnsi="Arial" w:cs="Arial"/>
          <w:sz w:val="20"/>
          <w:szCs w:val="20"/>
          <w:lang w:val="en-US"/>
        </w:rPr>
        <w:t xml:space="preserve">. </w:t>
      </w:r>
    </w:p>
    <w:p w:rsidR="00270DFD" w:rsidRPr="008C0BE5" w:rsidRDefault="00270DFD" w:rsidP="008C0BE5">
      <w:pPr>
        <w:pStyle w:val="ListParagraph"/>
        <w:numPr>
          <w:ilvl w:val="2"/>
          <w:numId w:val="1"/>
        </w:numPr>
        <w:spacing w:after="0" w:line="240" w:lineRule="auto"/>
        <w:rPr>
          <w:rFonts w:ascii="Arial" w:eastAsia="MS Mincho" w:hAnsi="Arial" w:cs="Arial"/>
          <w:sz w:val="20"/>
          <w:szCs w:val="20"/>
          <w:lang w:val="en-US"/>
        </w:rPr>
      </w:pPr>
      <w:r w:rsidRPr="008C0BE5">
        <w:rPr>
          <w:rFonts w:ascii="Arial" w:eastAsia="MS Mincho" w:hAnsi="Arial" w:cs="Arial"/>
          <w:sz w:val="20"/>
          <w:szCs w:val="20"/>
          <w:lang w:val="en-US"/>
        </w:rPr>
        <w:t>This programme consists of the following sub</w:t>
      </w:r>
      <w:r w:rsidR="00CF20EC" w:rsidRPr="008C0BE5">
        <w:rPr>
          <w:rFonts w:ascii="Arial" w:eastAsia="MS Mincho" w:hAnsi="Arial" w:cs="Arial"/>
          <w:sz w:val="20"/>
          <w:szCs w:val="20"/>
          <w:lang w:val="en-US"/>
        </w:rPr>
        <w:t>-</w:t>
      </w:r>
      <w:r w:rsidRPr="008C0BE5">
        <w:rPr>
          <w:rFonts w:ascii="Arial" w:eastAsia="MS Mincho" w:hAnsi="Arial" w:cs="Arial"/>
          <w:sz w:val="20"/>
          <w:szCs w:val="20"/>
          <w:lang w:val="en-US"/>
        </w:rPr>
        <w:t>programmes</w:t>
      </w:r>
      <w:r w:rsidR="00D351D6" w:rsidRPr="008C0BE5">
        <w:rPr>
          <w:rFonts w:ascii="Arial" w:eastAsia="MS Mincho" w:hAnsi="Arial" w:cs="Arial"/>
          <w:sz w:val="20"/>
          <w:szCs w:val="20"/>
          <w:lang w:val="en-US"/>
        </w:rPr>
        <w:t xml:space="preserve"> and allocations</w:t>
      </w:r>
      <w:r w:rsidRPr="008C0BE5">
        <w:rPr>
          <w:rFonts w:ascii="Arial" w:eastAsia="MS Mincho" w:hAnsi="Arial" w:cs="Arial"/>
          <w:sz w:val="20"/>
          <w:szCs w:val="20"/>
          <w:lang w:val="en-US"/>
        </w:rPr>
        <w:t>: Programme Management for Asset and Liability Management</w:t>
      </w:r>
      <w:r w:rsidR="00D351D6" w:rsidRPr="008C0BE5">
        <w:rPr>
          <w:rFonts w:ascii="Arial" w:eastAsia="MS Mincho" w:hAnsi="Arial" w:cs="Arial"/>
          <w:sz w:val="20"/>
          <w:szCs w:val="20"/>
          <w:lang w:val="en-US"/>
        </w:rPr>
        <w:t>; State-O</w:t>
      </w:r>
      <w:r w:rsidRPr="008C0BE5">
        <w:rPr>
          <w:rFonts w:ascii="Arial" w:eastAsia="MS Mincho" w:hAnsi="Arial" w:cs="Arial"/>
          <w:sz w:val="20"/>
          <w:szCs w:val="20"/>
          <w:lang w:val="en-US"/>
        </w:rPr>
        <w:t xml:space="preserve">wned Entity Financial Management and Governance; Government Debt Management; Financial Operations; and Strategy and Risk Management. </w:t>
      </w:r>
    </w:p>
    <w:p w:rsidR="009E67BD" w:rsidRPr="008C0BE5" w:rsidRDefault="009E67BD" w:rsidP="008C0BE5">
      <w:pPr>
        <w:pStyle w:val="ListParagraph"/>
        <w:numPr>
          <w:ilvl w:val="1"/>
          <w:numId w:val="1"/>
        </w:numPr>
        <w:spacing w:after="0" w:line="240" w:lineRule="auto"/>
        <w:rPr>
          <w:rFonts w:ascii="Arial" w:hAnsi="Arial" w:cs="Arial"/>
          <w:b/>
          <w:sz w:val="20"/>
          <w:szCs w:val="20"/>
        </w:rPr>
      </w:pPr>
      <w:r w:rsidRPr="008C0BE5">
        <w:rPr>
          <w:rFonts w:ascii="Arial" w:hAnsi="Arial" w:cs="Arial"/>
          <w:b/>
          <w:sz w:val="20"/>
          <w:szCs w:val="20"/>
        </w:rPr>
        <w:t>Programme 5: Financial Accounting and Supply Chain Management System</w:t>
      </w:r>
    </w:p>
    <w:p w:rsidR="006C6E43" w:rsidRPr="008C0BE5" w:rsidRDefault="009E67BD" w:rsidP="008C0BE5">
      <w:pPr>
        <w:pStyle w:val="ListParagraph"/>
        <w:numPr>
          <w:ilvl w:val="2"/>
          <w:numId w:val="1"/>
        </w:numPr>
        <w:tabs>
          <w:tab w:val="center" w:pos="3148"/>
          <w:tab w:val="center" w:pos="4049"/>
          <w:tab w:val="center" w:pos="7141"/>
        </w:tabs>
        <w:spacing w:after="0" w:line="240" w:lineRule="auto"/>
        <w:ind w:left="683" w:right="36"/>
        <w:rPr>
          <w:rFonts w:ascii="Arial" w:hAnsi="Arial" w:cs="Arial"/>
          <w:b/>
          <w:sz w:val="20"/>
          <w:szCs w:val="20"/>
        </w:rPr>
      </w:pPr>
      <w:r w:rsidRPr="008C0BE5">
        <w:rPr>
          <w:rFonts w:ascii="Arial" w:hAnsi="Arial" w:cs="Arial"/>
          <w:sz w:val="20"/>
          <w:szCs w:val="20"/>
        </w:rPr>
        <w:t>This programme has been allocated R1</w:t>
      </w:r>
      <w:r w:rsidR="0081632F" w:rsidRPr="008C0BE5">
        <w:rPr>
          <w:rFonts w:ascii="Arial" w:hAnsi="Arial" w:cs="Arial"/>
          <w:sz w:val="20"/>
          <w:szCs w:val="20"/>
        </w:rPr>
        <w:t>.23</w:t>
      </w:r>
      <w:r w:rsidRPr="008C0BE5">
        <w:rPr>
          <w:rFonts w:ascii="Arial" w:hAnsi="Arial" w:cs="Arial"/>
          <w:sz w:val="20"/>
          <w:szCs w:val="20"/>
        </w:rPr>
        <w:t xml:space="preserve"> billion in 202</w:t>
      </w:r>
      <w:r w:rsidR="00D351D6" w:rsidRPr="008C0BE5">
        <w:rPr>
          <w:rFonts w:ascii="Arial" w:hAnsi="Arial" w:cs="Arial"/>
          <w:sz w:val="20"/>
          <w:szCs w:val="20"/>
        </w:rPr>
        <w:t>3</w:t>
      </w:r>
      <w:r w:rsidR="0081632F" w:rsidRPr="008C0BE5">
        <w:rPr>
          <w:rFonts w:ascii="Arial" w:hAnsi="Arial" w:cs="Arial"/>
          <w:sz w:val="20"/>
          <w:szCs w:val="20"/>
        </w:rPr>
        <w:t>/24</w:t>
      </w:r>
      <w:r w:rsidRPr="008C0BE5">
        <w:rPr>
          <w:rFonts w:ascii="Arial" w:hAnsi="Arial" w:cs="Arial"/>
          <w:sz w:val="20"/>
          <w:szCs w:val="20"/>
        </w:rPr>
        <w:t xml:space="preserve">, from </w:t>
      </w:r>
      <w:r w:rsidR="007E3E52" w:rsidRPr="008C0BE5">
        <w:rPr>
          <w:rFonts w:ascii="Arial" w:hAnsi="Arial" w:cs="Arial"/>
          <w:sz w:val="20"/>
          <w:szCs w:val="20"/>
        </w:rPr>
        <w:t xml:space="preserve">an adjustment budget of </w:t>
      </w:r>
      <w:r w:rsidRPr="008C0BE5">
        <w:rPr>
          <w:rFonts w:ascii="Arial" w:hAnsi="Arial" w:cs="Arial"/>
          <w:sz w:val="20"/>
          <w:szCs w:val="20"/>
        </w:rPr>
        <w:t>R</w:t>
      </w:r>
      <w:r w:rsidR="0081632F" w:rsidRPr="008C0BE5">
        <w:rPr>
          <w:rFonts w:ascii="Arial" w:hAnsi="Arial" w:cs="Arial"/>
          <w:sz w:val="20"/>
          <w:szCs w:val="20"/>
        </w:rPr>
        <w:t xml:space="preserve">946 million </w:t>
      </w:r>
      <w:r w:rsidRPr="008C0BE5">
        <w:rPr>
          <w:rFonts w:ascii="Arial" w:hAnsi="Arial" w:cs="Arial"/>
          <w:sz w:val="20"/>
          <w:szCs w:val="20"/>
        </w:rPr>
        <w:t>the previous year. The projected allocations in the outer financial years of the MTEF are R1</w:t>
      </w:r>
      <w:r w:rsidR="007E22F7" w:rsidRPr="008C0BE5">
        <w:rPr>
          <w:rFonts w:ascii="Arial" w:hAnsi="Arial" w:cs="Arial"/>
          <w:sz w:val="20"/>
          <w:szCs w:val="20"/>
        </w:rPr>
        <w:t>.17</w:t>
      </w:r>
      <w:r w:rsidR="007E3E52" w:rsidRPr="008C0BE5">
        <w:rPr>
          <w:rFonts w:ascii="Arial" w:hAnsi="Arial" w:cs="Arial"/>
          <w:sz w:val="20"/>
          <w:szCs w:val="20"/>
        </w:rPr>
        <w:t xml:space="preserve"> and R1.</w:t>
      </w:r>
      <w:r w:rsidR="007E22F7" w:rsidRPr="008C0BE5">
        <w:rPr>
          <w:rFonts w:ascii="Arial" w:hAnsi="Arial" w:cs="Arial"/>
          <w:sz w:val="20"/>
          <w:szCs w:val="20"/>
        </w:rPr>
        <w:t>23</w:t>
      </w:r>
      <w:r w:rsidRPr="008C0BE5">
        <w:rPr>
          <w:rFonts w:ascii="Arial" w:hAnsi="Arial" w:cs="Arial"/>
          <w:sz w:val="20"/>
          <w:szCs w:val="20"/>
        </w:rPr>
        <w:t xml:space="preserve"> billion</w:t>
      </w:r>
      <w:r w:rsidR="007E3E52" w:rsidRPr="008C0BE5">
        <w:rPr>
          <w:rFonts w:ascii="Arial" w:hAnsi="Arial" w:cs="Arial"/>
          <w:sz w:val="20"/>
          <w:szCs w:val="20"/>
        </w:rPr>
        <w:t>,</w:t>
      </w:r>
      <w:r w:rsidRPr="008C0BE5">
        <w:rPr>
          <w:rFonts w:ascii="Arial" w:hAnsi="Arial" w:cs="Arial"/>
          <w:sz w:val="20"/>
          <w:szCs w:val="20"/>
        </w:rPr>
        <w:t xml:space="preserve"> respectively. </w:t>
      </w:r>
      <w:r w:rsidR="006C6E43" w:rsidRPr="008C0BE5">
        <w:rPr>
          <w:rFonts w:ascii="Arial" w:hAnsi="Arial" w:cs="Arial"/>
          <w:sz w:val="20"/>
          <w:szCs w:val="20"/>
        </w:rPr>
        <w:t xml:space="preserve">In terms of economic classifications, allocations remain static with no significant increases except for the following: </w:t>
      </w:r>
      <w:r w:rsidR="006C6E43" w:rsidRPr="008C0BE5">
        <w:rPr>
          <w:rFonts w:ascii="Arial" w:hAnsi="Arial" w:cs="Arial"/>
          <w:i/>
          <w:sz w:val="20"/>
          <w:szCs w:val="20"/>
        </w:rPr>
        <w:t xml:space="preserve">Goods and services: computers </w:t>
      </w:r>
      <w:r w:rsidR="00215E99" w:rsidRPr="008C0BE5">
        <w:rPr>
          <w:rFonts w:ascii="Arial" w:hAnsi="Arial" w:cs="Arial"/>
          <w:i/>
          <w:sz w:val="20"/>
          <w:szCs w:val="20"/>
        </w:rPr>
        <w:t>-</w:t>
      </w:r>
      <w:r w:rsidR="00215E99" w:rsidRPr="008C0BE5">
        <w:rPr>
          <w:rFonts w:ascii="Arial" w:hAnsi="Arial" w:cs="Arial"/>
          <w:sz w:val="20"/>
          <w:szCs w:val="20"/>
        </w:rPr>
        <w:t xml:space="preserve"> increased</w:t>
      </w:r>
      <w:r w:rsidR="006C6E43" w:rsidRPr="008C0BE5">
        <w:rPr>
          <w:rFonts w:ascii="Arial" w:hAnsi="Arial" w:cs="Arial"/>
          <w:sz w:val="20"/>
          <w:szCs w:val="20"/>
        </w:rPr>
        <w:t xml:space="preserve"> to R733.3 million from R408 million in the previous year</w:t>
      </w:r>
      <w:r w:rsidR="0089372C" w:rsidRPr="008C0BE5">
        <w:rPr>
          <w:rFonts w:ascii="Arial" w:hAnsi="Arial" w:cs="Arial"/>
          <w:sz w:val="20"/>
          <w:szCs w:val="20"/>
        </w:rPr>
        <w:t xml:space="preserve"> and; </w:t>
      </w:r>
      <w:r w:rsidR="006C6E43" w:rsidRPr="008C0BE5">
        <w:rPr>
          <w:rFonts w:ascii="Arial" w:hAnsi="Arial" w:cs="Arial"/>
          <w:i/>
          <w:sz w:val="20"/>
          <w:szCs w:val="20"/>
        </w:rPr>
        <w:t>Payments for financial assets</w:t>
      </w:r>
      <w:r w:rsidR="006C6E43" w:rsidRPr="008C0BE5">
        <w:rPr>
          <w:rFonts w:ascii="Arial" w:hAnsi="Arial" w:cs="Arial"/>
          <w:sz w:val="20"/>
          <w:szCs w:val="20"/>
        </w:rPr>
        <w:t xml:space="preserve"> and transfers and subsidies decreased, respectively to R8.2 million and R62.2 million.</w:t>
      </w:r>
    </w:p>
    <w:p w:rsidR="00D351D6" w:rsidRPr="008C0BE5" w:rsidRDefault="007E3E52" w:rsidP="008C0BE5">
      <w:pPr>
        <w:pStyle w:val="ListParagraph"/>
        <w:numPr>
          <w:ilvl w:val="2"/>
          <w:numId w:val="1"/>
        </w:numPr>
        <w:tabs>
          <w:tab w:val="center" w:pos="3148"/>
          <w:tab w:val="center" w:pos="4049"/>
          <w:tab w:val="center" w:pos="7141"/>
        </w:tabs>
        <w:spacing w:after="0" w:line="240" w:lineRule="auto"/>
        <w:ind w:left="683" w:right="36"/>
        <w:rPr>
          <w:rFonts w:ascii="Arial" w:hAnsi="Arial" w:cs="Arial"/>
          <w:b/>
          <w:sz w:val="20"/>
          <w:szCs w:val="20"/>
        </w:rPr>
      </w:pPr>
      <w:r w:rsidRPr="008C0BE5">
        <w:rPr>
          <w:rFonts w:ascii="Arial" w:hAnsi="Arial" w:cs="Arial"/>
          <w:sz w:val="20"/>
          <w:szCs w:val="20"/>
        </w:rPr>
        <w:t xml:space="preserve">The purpose of this programme is to facilitate governance and accountability by promoting and enforcing the transparent, </w:t>
      </w:r>
      <w:r w:rsidR="00215E99" w:rsidRPr="008C0BE5">
        <w:rPr>
          <w:rFonts w:ascii="Arial" w:hAnsi="Arial" w:cs="Arial"/>
          <w:sz w:val="20"/>
          <w:szCs w:val="20"/>
        </w:rPr>
        <w:t>economic,</w:t>
      </w:r>
      <w:r w:rsidRPr="008C0BE5">
        <w:rPr>
          <w:rFonts w:ascii="Arial" w:hAnsi="Arial" w:cs="Arial"/>
          <w:sz w:val="20"/>
          <w:szCs w:val="20"/>
        </w:rPr>
        <w:t xml:space="preserve"> and effective management of revenue, expenditure, assets, </w:t>
      </w:r>
      <w:r w:rsidR="00001226" w:rsidRPr="008C0BE5">
        <w:rPr>
          <w:rFonts w:ascii="Arial" w:hAnsi="Arial" w:cs="Arial"/>
          <w:sz w:val="20"/>
          <w:szCs w:val="20"/>
        </w:rPr>
        <w:t>liabilities,</w:t>
      </w:r>
      <w:r w:rsidRPr="008C0BE5">
        <w:rPr>
          <w:rFonts w:ascii="Arial" w:hAnsi="Arial" w:cs="Arial"/>
          <w:sz w:val="20"/>
          <w:szCs w:val="20"/>
        </w:rPr>
        <w:t xml:space="preserve"> and supply chain processes in the public sector. </w:t>
      </w:r>
    </w:p>
    <w:p w:rsidR="009E67BD" w:rsidRPr="008C0BE5" w:rsidRDefault="009E67BD" w:rsidP="008C0BE5">
      <w:pPr>
        <w:pStyle w:val="ListParagraph"/>
        <w:numPr>
          <w:ilvl w:val="2"/>
          <w:numId w:val="1"/>
        </w:numPr>
        <w:tabs>
          <w:tab w:val="center" w:pos="3148"/>
          <w:tab w:val="center" w:pos="4049"/>
          <w:tab w:val="center" w:pos="7141"/>
        </w:tabs>
        <w:spacing w:after="0" w:line="240" w:lineRule="auto"/>
        <w:ind w:left="683" w:right="36"/>
        <w:rPr>
          <w:rFonts w:ascii="Arial" w:hAnsi="Arial" w:cs="Arial"/>
          <w:b/>
          <w:sz w:val="20"/>
          <w:szCs w:val="20"/>
        </w:rPr>
      </w:pPr>
      <w:r w:rsidRPr="008C0BE5">
        <w:rPr>
          <w:rFonts w:ascii="Arial" w:hAnsi="Arial" w:cs="Arial"/>
          <w:sz w:val="20"/>
          <w:szCs w:val="20"/>
        </w:rPr>
        <w:lastRenderedPageBreak/>
        <w:t xml:space="preserve">The programme seeks to promote effective and efficient government financial management and accountability across the three spheres of government. A major focus has been placed on improving government procurement processes and identifying malpractices </w:t>
      </w:r>
      <w:r w:rsidR="00001226" w:rsidRPr="008C0BE5">
        <w:rPr>
          <w:rFonts w:ascii="Arial" w:hAnsi="Arial" w:cs="Arial"/>
          <w:sz w:val="20"/>
          <w:szCs w:val="20"/>
        </w:rPr>
        <w:t>because of</w:t>
      </w:r>
      <w:r w:rsidRPr="008C0BE5">
        <w:rPr>
          <w:rFonts w:ascii="Arial" w:hAnsi="Arial" w:cs="Arial"/>
          <w:sz w:val="20"/>
          <w:szCs w:val="20"/>
        </w:rPr>
        <w:t xml:space="preserve"> procurement irregularities through the Office of the Chief Procurement Officer sub-programme. </w:t>
      </w:r>
    </w:p>
    <w:p w:rsidR="00FF6A99" w:rsidRPr="008C0BE5" w:rsidRDefault="007E3E52" w:rsidP="008C0BE5">
      <w:pPr>
        <w:pStyle w:val="ListParagraph"/>
        <w:numPr>
          <w:ilvl w:val="2"/>
          <w:numId w:val="1"/>
        </w:numPr>
        <w:tabs>
          <w:tab w:val="center" w:pos="3148"/>
          <w:tab w:val="center" w:pos="4049"/>
          <w:tab w:val="center" w:pos="7141"/>
        </w:tabs>
        <w:spacing w:after="0" w:line="240" w:lineRule="auto"/>
        <w:ind w:left="683" w:right="36"/>
        <w:rPr>
          <w:rFonts w:ascii="Arial" w:hAnsi="Arial" w:cs="Arial"/>
          <w:b/>
          <w:sz w:val="20"/>
          <w:szCs w:val="20"/>
        </w:rPr>
      </w:pPr>
      <w:r w:rsidRPr="008C0BE5">
        <w:rPr>
          <w:rFonts w:ascii="Arial" w:hAnsi="Arial" w:cs="Arial"/>
          <w:sz w:val="20"/>
          <w:szCs w:val="20"/>
        </w:rPr>
        <w:t>This programme has the following sub</w:t>
      </w:r>
      <w:r w:rsidR="00CF20EC" w:rsidRPr="008C0BE5">
        <w:rPr>
          <w:rFonts w:ascii="Arial" w:hAnsi="Arial" w:cs="Arial"/>
          <w:sz w:val="20"/>
          <w:szCs w:val="20"/>
        </w:rPr>
        <w:t>-</w:t>
      </w:r>
      <w:r w:rsidRPr="008C0BE5">
        <w:rPr>
          <w:rFonts w:ascii="Arial" w:hAnsi="Arial" w:cs="Arial"/>
          <w:sz w:val="20"/>
          <w:szCs w:val="20"/>
        </w:rPr>
        <w:t xml:space="preserve">programmes (and </w:t>
      </w:r>
      <w:r w:rsidR="00CF20EC" w:rsidRPr="008C0BE5">
        <w:rPr>
          <w:rFonts w:ascii="Arial" w:hAnsi="Arial" w:cs="Arial"/>
          <w:sz w:val="20"/>
          <w:szCs w:val="20"/>
        </w:rPr>
        <w:t xml:space="preserve">their </w:t>
      </w:r>
      <w:r w:rsidRPr="008C0BE5">
        <w:rPr>
          <w:rFonts w:ascii="Arial" w:hAnsi="Arial" w:cs="Arial"/>
          <w:sz w:val="20"/>
          <w:szCs w:val="20"/>
        </w:rPr>
        <w:t>allocations): Programme Management for Financial Accounting and Supply Chain Management Systems; Office of the Chief Procurement Officer; Financial Systems; Financial Reporting for National Accounts; Financial Management Policy and Compliance Improvement; Audit Statutory Bodies; and Service Charges: Commercial Banks</w:t>
      </w:r>
      <w:r w:rsidR="00747111" w:rsidRPr="008C0BE5">
        <w:rPr>
          <w:rFonts w:ascii="Arial" w:hAnsi="Arial" w:cs="Arial"/>
          <w:sz w:val="20"/>
          <w:szCs w:val="20"/>
        </w:rPr>
        <w:t>.</w:t>
      </w:r>
      <w:r w:rsidRPr="008C0BE5">
        <w:rPr>
          <w:rFonts w:ascii="Arial" w:hAnsi="Arial" w:cs="Arial"/>
          <w:sz w:val="20"/>
          <w:szCs w:val="20"/>
        </w:rPr>
        <w:t xml:space="preserve"> </w:t>
      </w:r>
    </w:p>
    <w:p w:rsidR="00FF6A99" w:rsidRPr="008C0BE5" w:rsidRDefault="00747111" w:rsidP="008C0BE5">
      <w:pPr>
        <w:pStyle w:val="ListParagraph"/>
        <w:numPr>
          <w:ilvl w:val="2"/>
          <w:numId w:val="1"/>
        </w:numPr>
        <w:tabs>
          <w:tab w:val="center" w:pos="3148"/>
          <w:tab w:val="center" w:pos="4049"/>
          <w:tab w:val="center" w:pos="7141"/>
        </w:tabs>
        <w:spacing w:after="0" w:line="240" w:lineRule="auto"/>
        <w:ind w:left="683" w:right="36"/>
        <w:rPr>
          <w:rFonts w:ascii="Arial" w:hAnsi="Arial" w:cs="Arial"/>
          <w:b/>
          <w:sz w:val="20"/>
          <w:szCs w:val="20"/>
        </w:rPr>
      </w:pPr>
      <w:r w:rsidRPr="008C0BE5">
        <w:rPr>
          <w:rFonts w:ascii="Arial" w:hAnsi="Arial" w:cs="Arial"/>
          <w:sz w:val="20"/>
          <w:szCs w:val="20"/>
        </w:rPr>
        <w:t>The pro</w:t>
      </w:r>
      <w:r w:rsidR="005D751F" w:rsidRPr="008C0BE5">
        <w:rPr>
          <w:rFonts w:ascii="Arial" w:hAnsi="Arial" w:cs="Arial"/>
          <w:sz w:val="20"/>
          <w:szCs w:val="20"/>
        </w:rPr>
        <w:t>gramme has 12 planned targets in 2023/24</w:t>
      </w:r>
      <w:r w:rsidR="00153016" w:rsidRPr="008C0BE5">
        <w:rPr>
          <w:rFonts w:ascii="Arial" w:hAnsi="Arial" w:cs="Arial"/>
          <w:sz w:val="20"/>
          <w:szCs w:val="20"/>
        </w:rPr>
        <w:t xml:space="preserve"> which include</w:t>
      </w:r>
      <w:r w:rsidR="00F82FA5" w:rsidRPr="008C0BE5">
        <w:rPr>
          <w:rFonts w:ascii="Arial" w:hAnsi="Arial" w:cs="Arial"/>
          <w:sz w:val="20"/>
          <w:szCs w:val="20"/>
        </w:rPr>
        <w:t>:</w:t>
      </w:r>
      <w:r w:rsidR="00153016" w:rsidRPr="008C0BE5">
        <w:rPr>
          <w:rFonts w:ascii="Arial" w:hAnsi="Arial" w:cs="Arial"/>
          <w:sz w:val="20"/>
          <w:szCs w:val="20"/>
        </w:rPr>
        <w:t xml:space="preserve"> i</w:t>
      </w:r>
      <w:r w:rsidR="00FF6A99" w:rsidRPr="008C0BE5">
        <w:rPr>
          <w:rFonts w:ascii="Arial" w:hAnsi="Arial" w:cs="Arial"/>
          <w:sz w:val="20"/>
          <w:szCs w:val="20"/>
        </w:rPr>
        <w:t>mprov</w:t>
      </w:r>
      <w:r w:rsidR="00F82FA5" w:rsidRPr="008C0BE5">
        <w:rPr>
          <w:rFonts w:ascii="Arial" w:hAnsi="Arial" w:cs="Arial"/>
          <w:sz w:val="20"/>
          <w:szCs w:val="20"/>
        </w:rPr>
        <w:t>ing</w:t>
      </w:r>
      <w:r w:rsidR="00FF6A99" w:rsidRPr="008C0BE5">
        <w:rPr>
          <w:rFonts w:ascii="Arial" w:hAnsi="Arial" w:cs="Arial"/>
          <w:sz w:val="20"/>
          <w:szCs w:val="20"/>
        </w:rPr>
        <w:t xml:space="preserve"> governance and compliance across all spheres of government by </w:t>
      </w:r>
      <w:r w:rsidR="00153016" w:rsidRPr="008C0BE5">
        <w:rPr>
          <w:rFonts w:ascii="Arial" w:hAnsi="Arial" w:cs="Arial"/>
          <w:sz w:val="20"/>
          <w:szCs w:val="20"/>
        </w:rPr>
        <w:t>developing</w:t>
      </w:r>
      <w:r w:rsidR="00FF6A99" w:rsidRPr="008C0BE5">
        <w:rPr>
          <w:rFonts w:ascii="Arial" w:hAnsi="Arial" w:cs="Arial"/>
          <w:sz w:val="20"/>
          <w:szCs w:val="20"/>
        </w:rPr>
        <w:t xml:space="preserve"> 100% of norms and standard</w:t>
      </w:r>
      <w:r w:rsidR="00F82FA5" w:rsidRPr="008C0BE5">
        <w:rPr>
          <w:rFonts w:ascii="Arial" w:hAnsi="Arial" w:cs="Arial"/>
          <w:sz w:val="20"/>
          <w:szCs w:val="20"/>
        </w:rPr>
        <w:t xml:space="preserve">s; </w:t>
      </w:r>
      <w:r w:rsidR="00FF6A99" w:rsidRPr="008C0BE5">
        <w:rPr>
          <w:rFonts w:ascii="Arial" w:hAnsi="Arial" w:cs="Arial"/>
          <w:sz w:val="20"/>
          <w:szCs w:val="20"/>
        </w:rPr>
        <w:t xml:space="preserve"> </w:t>
      </w:r>
      <w:r w:rsidR="00F82FA5" w:rsidRPr="008C0BE5">
        <w:rPr>
          <w:rFonts w:ascii="Arial" w:hAnsi="Arial" w:cs="Arial"/>
          <w:sz w:val="20"/>
          <w:szCs w:val="20"/>
        </w:rPr>
        <w:t>p</w:t>
      </w:r>
      <w:r w:rsidR="00FF6A99" w:rsidRPr="008C0BE5">
        <w:rPr>
          <w:rFonts w:ascii="Arial" w:hAnsi="Arial" w:cs="Arial"/>
          <w:sz w:val="20"/>
          <w:szCs w:val="20"/>
        </w:rPr>
        <w:t>roducing 32 governance reports to provide an update to oversight structures of government on the improvement of financial management governance and compliance across all spheres and entities in government</w:t>
      </w:r>
      <w:r w:rsidR="00F82FA5" w:rsidRPr="008C0BE5">
        <w:rPr>
          <w:rFonts w:ascii="Arial" w:hAnsi="Arial" w:cs="Arial"/>
          <w:sz w:val="20"/>
          <w:szCs w:val="20"/>
        </w:rPr>
        <w:t>; p</w:t>
      </w:r>
      <w:r w:rsidR="00FF6A99" w:rsidRPr="008C0BE5">
        <w:rPr>
          <w:rFonts w:ascii="Arial" w:hAnsi="Arial" w:cs="Arial"/>
          <w:sz w:val="20"/>
          <w:szCs w:val="20"/>
        </w:rPr>
        <w:t>roducing 22 Public Finance Management Capacity Development Programmes progress reports across all spheres of government in order to improve financial management execution</w:t>
      </w:r>
      <w:r w:rsidR="00F82FA5" w:rsidRPr="008C0BE5">
        <w:rPr>
          <w:rFonts w:ascii="Arial" w:hAnsi="Arial" w:cs="Arial"/>
          <w:sz w:val="20"/>
          <w:szCs w:val="20"/>
        </w:rPr>
        <w:t>;</w:t>
      </w:r>
      <w:r w:rsidR="00FF6A99" w:rsidRPr="008C0BE5">
        <w:rPr>
          <w:rFonts w:ascii="Arial" w:hAnsi="Arial" w:cs="Arial"/>
          <w:sz w:val="20"/>
          <w:szCs w:val="20"/>
        </w:rPr>
        <w:t xml:space="preserve"> </w:t>
      </w:r>
      <w:r w:rsidR="00F82FA5" w:rsidRPr="008C0BE5">
        <w:rPr>
          <w:rFonts w:ascii="Arial" w:hAnsi="Arial" w:cs="Arial"/>
          <w:sz w:val="20"/>
          <w:szCs w:val="20"/>
        </w:rPr>
        <w:t>e</w:t>
      </w:r>
      <w:r w:rsidR="00FF6A99" w:rsidRPr="008C0BE5">
        <w:rPr>
          <w:rFonts w:ascii="Arial" w:hAnsi="Arial" w:cs="Arial"/>
          <w:sz w:val="20"/>
          <w:szCs w:val="20"/>
        </w:rPr>
        <w:t>nsuring 98% availability of transversal</w:t>
      </w:r>
      <w:r w:rsidR="00F82FA5" w:rsidRPr="008C0BE5">
        <w:rPr>
          <w:rFonts w:ascii="Arial" w:hAnsi="Arial" w:cs="Arial"/>
          <w:sz w:val="20"/>
          <w:szCs w:val="20"/>
        </w:rPr>
        <w:t xml:space="preserve"> </w:t>
      </w:r>
      <w:r w:rsidR="00FF6A99" w:rsidRPr="008C0BE5">
        <w:rPr>
          <w:rFonts w:ascii="Arial" w:hAnsi="Arial" w:cs="Arial"/>
          <w:sz w:val="20"/>
          <w:szCs w:val="20"/>
        </w:rPr>
        <w:t>systems</w:t>
      </w:r>
      <w:r w:rsidR="00F82FA5" w:rsidRPr="008C0BE5">
        <w:rPr>
          <w:rFonts w:ascii="Arial" w:hAnsi="Arial" w:cs="Arial"/>
          <w:sz w:val="20"/>
          <w:szCs w:val="20"/>
        </w:rPr>
        <w:t xml:space="preserve"> </w:t>
      </w:r>
      <w:r w:rsidR="00FF6A99" w:rsidRPr="008C0BE5">
        <w:rPr>
          <w:rFonts w:ascii="Arial" w:hAnsi="Arial" w:cs="Arial"/>
          <w:sz w:val="20"/>
          <w:szCs w:val="20"/>
        </w:rPr>
        <w:t>to users in line with SLA agreements</w:t>
      </w:r>
      <w:r w:rsidR="00F82FA5" w:rsidRPr="008C0BE5">
        <w:rPr>
          <w:rFonts w:ascii="Arial" w:hAnsi="Arial" w:cs="Arial"/>
          <w:sz w:val="20"/>
          <w:szCs w:val="20"/>
        </w:rPr>
        <w:t>; p</w:t>
      </w:r>
      <w:r w:rsidR="00FF6A99" w:rsidRPr="008C0BE5">
        <w:rPr>
          <w:rFonts w:ascii="Arial" w:hAnsi="Arial" w:cs="Arial"/>
          <w:sz w:val="20"/>
          <w:szCs w:val="20"/>
        </w:rPr>
        <w:t>roducing 20 statutory reports to improve financial management statutory compliance across all spheres and entities in government</w:t>
      </w:r>
      <w:r w:rsidR="002F7B20" w:rsidRPr="008C0BE5">
        <w:rPr>
          <w:rFonts w:ascii="Arial" w:hAnsi="Arial" w:cs="Arial"/>
          <w:sz w:val="20"/>
          <w:szCs w:val="20"/>
        </w:rPr>
        <w:t>; i</w:t>
      </w:r>
      <w:r w:rsidR="00FF6A99" w:rsidRPr="008C0BE5">
        <w:rPr>
          <w:rFonts w:ascii="Arial" w:hAnsi="Arial" w:cs="Arial"/>
          <w:sz w:val="20"/>
          <w:szCs w:val="20"/>
        </w:rPr>
        <w:t>ssuing frameworks, guidelines, circulars, treasury instructions and other tools to enable proper implementation of the legislation</w:t>
      </w:r>
      <w:r w:rsidR="00503D23" w:rsidRPr="008C0BE5">
        <w:rPr>
          <w:rFonts w:ascii="Arial" w:hAnsi="Arial" w:cs="Arial"/>
          <w:sz w:val="20"/>
          <w:szCs w:val="20"/>
        </w:rPr>
        <w:t>;</w:t>
      </w:r>
      <w:r w:rsidR="004043B9" w:rsidRPr="008C0BE5">
        <w:rPr>
          <w:rFonts w:ascii="Arial" w:hAnsi="Arial" w:cs="Arial"/>
          <w:sz w:val="20"/>
          <w:szCs w:val="20"/>
        </w:rPr>
        <w:t xml:space="preserve"> </w:t>
      </w:r>
      <w:r w:rsidR="008E5CF1" w:rsidRPr="008C0BE5">
        <w:rPr>
          <w:rFonts w:ascii="Arial" w:hAnsi="Arial" w:cs="Arial"/>
          <w:sz w:val="20"/>
          <w:szCs w:val="20"/>
        </w:rPr>
        <w:t>implementation of the IFMS</w:t>
      </w:r>
      <w:r w:rsidR="002C5AC3" w:rsidRPr="008C0BE5">
        <w:rPr>
          <w:rFonts w:ascii="Arial" w:hAnsi="Arial" w:cs="Arial"/>
          <w:sz w:val="20"/>
          <w:szCs w:val="20"/>
        </w:rPr>
        <w:t xml:space="preserve"> </w:t>
      </w:r>
      <w:r w:rsidR="008E5CF1" w:rsidRPr="008C0BE5">
        <w:rPr>
          <w:rFonts w:ascii="Arial" w:hAnsi="Arial" w:cs="Arial"/>
          <w:sz w:val="20"/>
          <w:szCs w:val="20"/>
        </w:rPr>
        <w:t>II Plan</w:t>
      </w:r>
      <w:r w:rsidR="004043B9" w:rsidRPr="008C0BE5">
        <w:rPr>
          <w:rFonts w:ascii="Arial" w:hAnsi="Arial" w:cs="Arial"/>
          <w:sz w:val="20"/>
          <w:szCs w:val="20"/>
        </w:rPr>
        <w:t xml:space="preserve">; </w:t>
      </w:r>
      <w:r w:rsidR="00C35F48" w:rsidRPr="008C0BE5">
        <w:rPr>
          <w:rFonts w:ascii="Arial" w:hAnsi="Arial" w:cs="Arial"/>
          <w:sz w:val="20"/>
          <w:szCs w:val="20"/>
        </w:rPr>
        <w:t>producing Draft Public Procurement Regulations</w:t>
      </w:r>
      <w:r w:rsidR="002F7B20" w:rsidRPr="008C0BE5">
        <w:rPr>
          <w:rFonts w:ascii="Arial" w:hAnsi="Arial" w:cs="Arial"/>
          <w:sz w:val="20"/>
          <w:szCs w:val="20"/>
        </w:rPr>
        <w:t>.</w:t>
      </w:r>
    </w:p>
    <w:p w:rsidR="009E67BD" w:rsidRPr="008C0BE5" w:rsidRDefault="009E67BD" w:rsidP="008C0BE5">
      <w:pPr>
        <w:pStyle w:val="ListParagraph"/>
        <w:numPr>
          <w:ilvl w:val="1"/>
          <w:numId w:val="1"/>
        </w:numPr>
        <w:spacing w:after="0" w:line="240" w:lineRule="auto"/>
        <w:rPr>
          <w:rFonts w:ascii="Arial" w:hAnsi="Arial" w:cs="Arial"/>
          <w:b/>
          <w:sz w:val="20"/>
          <w:szCs w:val="20"/>
        </w:rPr>
      </w:pPr>
      <w:r w:rsidRPr="008C0BE5">
        <w:rPr>
          <w:rFonts w:ascii="Arial" w:hAnsi="Arial" w:cs="Arial"/>
          <w:b/>
          <w:sz w:val="20"/>
          <w:szCs w:val="20"/>
        </w:rPr>
        <w:t>Programme 6: International Financial Relations</w:t>
      </w:r>
    </w:p>
    <w:p w:rsidR="009E67BD" w:rsidRPr="008C0BE5" w:rsidRDefault="009E67BD" w:rsidP="008C0BE5">
      <w:pPr>
        <w:pStyle w:val="ListParagraph"/>
        <w:numPr>
          <w:ilvl w:val="2"/>
          <w:numId w:val="1"/>
        </w:numPr>
        <w:spacing w:after="0" w:line="240" w:lineRule="auto"/>
        <w:rPr>
          <w:rFonts w:ascii="Arial" w:hAnsi="Arial" w:cs="Arial"/>
          <w:sz w:val="20"/>
          <w:szCs w:val="20"/>
        </w:rPr>
      </w:pPr>
      <w:r w:rsidRPr="008C0BE5">
        <w:rPr>
          <w:rFonts w:ascii="Arial" w:hAnsi="Arial" w:cs="Arial"/>
          <w:sz w:val="20"/>
          <w:szCs w:val="20"/>
        </w:rPr>
        <w:t>The programme</w:t>
      </w:r>
      <w:r w:rsidR="00C217A4" w:rsidRPr="008C0BE5">
        <w:rPr>
          <w:rFonts w:ascii="Arial" w:hAnsi="Arial" w:cs="Arial"/>
          <w:sz w:val="20"/>
          <w:szCs w:val="20"/>
        </w:rPr>
        <w:t xml:space="preserve"> has six planned targets for 2023/34 </w:t>
      </w:r>
      <w:r w:rsidR="00CA11C4" w:rsidRPr="008C0BE5">
        <w:rPr>
          <w:rFonts w:ascii="Arial" w:hAnsi="Arial" w:cs="Arial"/>
          <w:sz w:val="20"/>
          <w:szCs w:val="20"/>
        </w:rPr>
        <w:t>and its</w:t>
      </w:r>
      <w:r w:rsidRPr="008C0BE5">
        <w:rPr>
          <w:rFonts w:ascii="Arial" w:hAnsi="Arial" w:cs="Arial"/>
          <w:sz w:val="20"/>
          <w:szCs w:val="20"/>
        </w:rPr>
        <w:t xml:space="preserve"> mandate is to manage South Africa’s interests in shaping regional and global policies that advance the economic, financial and development objectives of the country and the African continent. </w:t>
      </w:r>
    </w:p>
    <w:p w:rsidR="009E67BD" w:rsidRPr="008C0BE5" w:rsidRDefault="009E67BD" w:rsidP="008C0BE5">
      <w:pPr>
        <w:pStyle w:val="ListParagraph"/>
        <w:numPr>
          <w:ilvl w:val="2"/>
          <w:numId w:val="1"/>
        </w:numPr>
        <w:spacing w:after="0" w:line="240" w:lineRule="auto"/>
        <w:rPr>
          <w:rFonts w:ascii="Arial" w:hAnsi="Arial" w:cs="Arial"/>
          <w:sz w:val="20"/>
          <w:szCs w:val="20"/>
        </w:rPr>
      </w:pPr>
      <w:r w:rsidRPr="008C0BE5">
        <w:rPr>
          <w:rFonts w:ascii="Arial" w:hAnsi="Arial" w:cs="Arial"/>
          <w:sz w:val="20"/>
          <w:szCs w:val="20"/>
        </w:rPr>
        <w:t>The focus and targets of this programme this year are to: ensure 100% response to all economic surveillance reports; host</w:t>
      </w:r>
      <w:r w:rsidR="00D22B3F" w:rsidRPr="008C0BE5">
        <w:rPr>
          <w:rFonts w:ascii="Arial" w:hAnsi="Arial" w:cs="Arial"/>
          <w:sz w:val="20"/>
          <w:szCs w:val="20"/>
        </w:rPr>
        <w:t>ing</w:t>
      </w:r>
      <w:r w:rsidRPr="008C0BE5">
        <w:rPr>
          <w:rFonts w:ascii="Arial" w:hAnsi="Arial" w:cs="Arial"/>
          <w:sz w:val="20"/>
          <w:szCs w:val="20"/>
        </w:rPr>
        <w:t xml:space="preserve"> </w:t>
      </w:r>
      <w:r w:rsidR="00D22B3F" w:rsidRPr="008C0BE5">
        <w:rPr>
          <w:rFonts w:ascii="Arial" w:hAnsi="Arial" w:cs="Arial"/>
          <w:sz w:val="20"/>
          <w:szCs w:val="20"/>
        </w:rPr>
        <w:t>two</w:t>
      </w:r>
      <w:r w:rsidRPr="008C0BE5">
        <w:rPr>
          <w:rFonts w:ascii="Arial" w:hAnsi="Arial" w:cs="Arial"/>
          <w:sz w:val="20"/>
          <w:szCs w:val="20"/>
        </w:rPr>
        <w:t xml:space="preserve"> advocacy forum</w:t>
      </w:r>
      <w:r w:rsidR="00D22B3F" w:rsidRPr="008C0BE5">
        <w:rPr>
          <w:rFonts w:ascii="Arial" w:hAnsi="Arial" w:cs="Arial"/>
          <w:sz w:val="20"/>
          <w:szCs w:val="20"/>
        </w:rPr>
        <w:t>s</w:t>
      </w:r>
      <w:r w:rsidRPr="008C0BE5">
        <w:rPr>
          <w:rFonts w:ascii="Arial" w:hAnsi="Arial" w:cs="Arial"/>
          <w:sz w:val="20"/>
          <w:szCs w:val="20"/>
        </w:rPr>
        <w:t xml:space="preserve"> to increase the uptake of development finan</w:t>
      </w:r>
      <w:r w:rsidR="003672AD" w:rsidRPr="008C0BE5">
        <w:rPr>
          <w:rFonts w:ascii="Arial" w:hAnsi="Arial" w:cs="Arial"/>
          <w:sz w:val="20"/>
          <w:szCs w:val="20"/>
        </w:rPr>
        <w:t>ce; produc</w:t>
      </w:r>
      <w:r w:rsidR="005A39AE" w:rsidRPr="008C0BE5">
        <w:rPr>
          <w:rFonts w:ascii="Arial" w:hAnsi="Arial" w:cs="Arial"/>
          <w:sz w:val="20"/>
          <w:szCs w:val="20"/>
        </w:rPr>
        <w:t>e</w:t>
      </w:r>
      <w:r w:rsidR="003672AD" w:rsidRPr="008C0BE5">
        <w:rPr>
          <w:rFonts w:ascii="Arial" w:hAnsi="Arial" w:cs="Arial"/>
          <w:sz w:val="20"/>
          <w:szCs w:val="20"/>
        </w:rPr>
        <w:t xml:space="preserve"> two</w:t>
      </w:r>
      <w:r w:rsidRPr="008C0BE5">
        <w:rPr>
          <w:rFonts w:ascii="Arial" w:hAnsi="Arial" w:cs="Arial"/>
          <w:sz w:val="20"/>
          <w:szCs w:val="20"/>
        </w:rPr>
        <w:t xml:space="preserve"> country partnership framework progress reports that report on the relationship between the government of South Africa and various Multilateral Development Banks that operate within the Republic of South Africa; produce one analysis report on the outcomes of South Africa’s engagements in regional and global forums; develop policy positions to measure South Africa’s engagement in various global forums and institutions.</w:t>
      </w:r>
    </w:p>
    <w:p w:rsidR="009E67BD" w:rsidRPr="008C0BE5" w:rsidRDefault="009E67BD" w:rsidP="008C0BE5">
      <w:pPr>
        <w:pStyle w:val="ListParagraph"/>
        <w:numPr>
          <w:ilvl w:val="2"/>
          <w:numId w:val="1"/>
        </w:numPr>
        <w:spacing w:after="0" w:line="240" w:lineRule="auto"/>
        <w:rPr>
          <w:rFonts w:ascii="Arial" w:hAnsi="Arial" w:cs="Arial"/>
          <w:sz w:val="20"/>
          <w:szCs w:val="20"/>
        </w:rPr>
      </w:pPr>
      <w:r w:rsidRPr="008C0BE5">
        <w:rPr>
          <w:rFonts w:ascii="Arial" w:hAnsi="Arial" w:cs="Arial"/>
          <w:sz w:val="20"/>
          <w:szCs w:val="20"/>
        </w:rPr>
        <w:t>This programme has been allocated R2</w:t>
      </w:r>
      <w:r w:rsidR="00C631F3" w:rsidRPr="008C0BE5">
        <w:rPr>
          <w:rFonts w:ascii="Arial" w:hAnsi="Arial" w:cs="Arial"/>
          <w:sz w:val="20"/>
          <w:szCs w:val="20"/>
        </w:rPr>
        <w:t>.59</w:t>
      </w:r>
      <w:r w:rsidR="00E90FF0" w:rsidRPr="008C0BE5">
        <w:rPr>
          <w:rFonts w:ascii="Arial" w:hAnsi="Arial" w:cs="Arial"/>
          <w:sz w:val="20"/>
          <w:szCs w:val="20"/>
        </w:rPr>
        <w:t xml:space="preserve"> billion in 2023</w:t>
      </w:r>
      <w:r w:rsidR="00C631F3" w:rsidRPr="008C0BE5">
        <w:rPr>
          <w:rFonts w:ascii="Arial" w:hAnsi="Arial" w:cs="Arial"/>
          <w:sz w:val="20"/>
          <w:szCs w:val="20"/>
        </w:rPr>
        <w:t>/24</w:t>
      </w:r>
      <w:r w:rsidR="00E90FF0" w:rsidRPr="008C0BE5">
        <w:rPr>
          <w:rFonts w:ascii="Arial" w:hAnsi="Arial" w:cs="Arial"/>
          <w:sz w:val="20"/>
          <w:szCs w:val="20"/>
        </w:rPr>
        <w:t>, d</w:t>
      </w:r>
      <w:r w:rsidR="00C631F3" w:rsidRPr="008C0BE5">
        <w:rPr>
          <w:rFonts w:ascii="Arial" w:hAnsi="Arial" w:cs="Arial"/>
          <w:sz w:val="20"/>
          <w:szCs w:val="20"/>
        </w:rPr>
        <w:t>own</w:t>
      </w:r>
      <w:r w:rsidR="00E90FF0" w:rsidRPr="008C0BE5">
        <w:rPr>
          <w:rFonts w:ascii="Arial" w:hAnsi="Arial" w:cs="Arial"/>
          <w:sz w:val="20"/>
          <w:szCs w:val="20"/>
        </w:rPr>
        <w:t xml:space="preserve"> from R</w:t>
      </w:r>
      <w:r w:rsidR="00C631F3" w:rsidRPr="008C0BE5">
        <w:rPr>
          <w:rFonts w:ascii="Arial" w:hAnsi="Arial" w:cs="Arial"/>
          <w:sz w:val="20"/>
          <w:szCs w:val="20"/>
        </w:rPr>
        <w:t>2</w:t>
      </w:r>
      <w:r w:rsidR="00113FDA" w:rsidRPr="008C0BE5">
        <w:rPr>
          <w:rFonts w:ascii="Arial" w:hAnsi="Arial" w:cs="Arial"/>
          <w:sz w:val="20"/>
          <w:szCs w:val="20"/>
        </w:rPr>
        <w:t>.80</w:t>
      </w:r>
      <w:r w:rsidR="00E90FF0" w:rsidRPr="008C0BE5">
        <w:rPr>
          <w:rFonts w:ascii="Arial" w:hAnsi="Arial" w:cs="Arial"/>
          <w:sz w:val="20"/>
          <w:szCs w:val="20"/>
        </w:rPr>
        <w:t xml:space="preserve"> billion in the adjustment budget of </w:t>
      </w:r>
      <w:r w:rsidR="00EB2772" w:rsidRPr="008C0BE5">
        <w:rPr>
          <w:rFonts w:ascii="Arial" w:hAnsi="Arial" w:cs="Arial"/>
          <w:sz w:val="20"/>
          <w:szCs w:val="20"/>
        </w:rPr>
        <w:t>2022</w:t>
      </w:r>
      <w:r w:rsidR="00113FDA" w:rsidRPr="008C0BE5">
        <w:rPr>
          <w:rFonts w:ascii="Arial" w:hAnsi="Arial" w:cs="Arial"/>
          <w:sz w:val="20"/>
          <w:szCs w:val="20"/>
        </w:rPr>
        <w:t>/</w:t>
      </w:r>
      <w:r w:rsidR="00EB2772" w:rsidRPr="008C0BE5">
        <w:rPr>
          <w:rFonts w:ascii="Arial" w:hAnsi="Arial" w:cs="Arial"/>
          <w:sz w:val="20"/>
          <w:szCs w:val="20"/>
        </w:rPr>
        <w:t>2</w:t>
      </w:r>
      <w:r w:rsidR="00113FDA" w:rsidRPr="008C0BE5">
        <w:rPr>
          <w:rFonts w:ascii="Arial" w:hAnsi="Arial" w:cs="Arial"/>
          <w:sz w:val="20"/>
          <w:szCs w:val="20"/>
        </w:rPr>
        <w:t>3</w:t>
      </w:r>
      <w:r w:rsidRPr="008C0BE5">
        <w:rPr>
          <w:rFonts w:ascii="Arial" w:hAnsi="Arial" w:cs="Arial"/>
          <w:sz w:val="20"/>
          <w:szCs w:val="20"/>
        </w:rPr>
        <w:t xml:space="preserve">. It </w:t>
      </w:r>
      <w:r w:rsidR="00E90FF0" w:rsidRPr="008C0BE5">
        <w:rPr>
          <w:rFonts w:ascii="Arial" w:hAnsi="Arial" w:cs="Arial"/>
          <w:sz w:val="20"/>
          <w:szCs w:val="20"/>
        </w:rPr>
        <w:t xml:space="preserve">is projected to be </w:t>
      </w:r>
      <w:r w:rsidRPr="008C0BE5">
        <w:rPr>
          <w:rFonts w:ascii="Arial" w:hAnsi="Arial" w:cs="Arial"/>
          <w:sz w:val="20"/>
          <w:szCs w:val="20"/>
        </w:rPr>
        <w:t>R2</w:t>
      </w:r>
      <w:r w:rsidR="002F51E6" w:rsidRPr="008C0BE5">
        <w:rPr>
          <w:rFonts w:ascii="Arial" w:hAnsi="Arial" w:cs="Arial"/>
          <w:sz w:val="20"/>
          <w:szCs w:val="20"/>
        </w:rPr>
        <w:t>.87</w:t>
      </w:r>
      <w:r w:rsidRPr="008C0BE5">
        <w:rPr>
          <w:rFonts w:ascii="Arial" w:hAnsi="Arial" w:cs="Arial"/>
          <w:sz w:val="20"/>
          <w:szCs w:val="20"/>
        </w:rPr>
        <w:t xml:space="preserve"> </w:t>
      </w:r>
      <w:r w:rsidR="00E90FF0" w:rsidRPr="008C0BE5">
        <w:rPr>
          <w:rFonts w:ascii="Arial" w:hAnsi="Arial" w:cs="Arial"/>
          <w:sz w:val="20"/>
          <w:szCs w:val="20"/>
        </w:rPr>
        <w:t>and R</w:t>
      </w:r>
      <w:r w:rsidR="002F51E6" w:rsidRPr="008C0BE5">
        <w:rPr>
          <w:rFonts w:ascii="Arial" w:hAnsi="Arial" w:cs="Arial"/>
          <w:sz w:val="20"/>
          <w:szCs w:val="20"/>
        </w:rPr>
        <w:t>3</w:t>
      </w:r>
      <w:r w:rsidR="00E90FF0" w:rsidRPr="008C0BE5">
        <w:rPr>
          <w:rFonts w:ascii="Arial" w:hAnsi="Arial" w:cs="Arial"/>
          <w:sz w:val="20"/>
          <w:szCs w:val="20"/>
        </w:rPr>
        <w:t>,</w:t>
      </w:r>
      <w:r w:rsidR="002F51E6" w:rsidRPr="008C0BE5">
        <w:rPr>
          <w:rFonts w:ascii="Arial" w:hAnsi="Arial" w:cs="Arial"/>
          <w:sz w:val="20"/>
          <w:szCs w:val="20"/>
        </w:rPr>
        <w:t>0</w:t>
      </w:r>
      <w:r w:rsidR="00E90FF0" w:rsidRPr="008C0BE5">
        <w:rPr>
          <w:rFonts w:ascii="Arial" w:hAnsi="Arial" w:cs="Arial"/>
          <w:sz w:val="20"/>
          <w:szCs w:val="20"/>
        </w:rPr>
        <w:t xml:space="preserve"> </w:t>
      </w:r>
      <w:r w:rsidR="002F51E6" w:rsidRPr="008C0BE5">
        <w:rPr>
          <w:rFonts w:ascii="Arial" w:hAnsi="Arial" w:cs="Arial"/>
          <w:sz w:val="20"/>
          <w:szCs w:val="20"/>
        </w:rPr>
        <w:t xml:space="preserve">billion </w:t>
      </w:r>
      <w:r w:rsidR="00E90FF0" w:rsidRPr="008C0BE5">
        <w:rPr>
          <w:rFonts w:ascii="Arial" w:hAnsi="Arial" w:cs="Arial"/>
          <w:sz w:val="20"/>
          <w:szCs w:val="20"/>
        </w:rPr>
        <w:t>respectively in the</w:t>
      </w:r>
      <w:r w:rsidRPr="008C0BE5">
        <w:rPr>
          <w:rFonts w:ascii="Arial" w:hAnsi="Arial" w:cs="Arial"/>
          <w:sz w:val="20"/>
          <w:szCs w:val="20"/>
        </w:rPr>
        <w:t xml:space="preserve"> two outer years of the MTEF</w:t>
      </w:r>
      <w:r w:rsidR="00E90FF0" w:rsidRPr="008C0BE5">
        <w:rPr>
          <w:rFonts w:ascii="Arial" w:hAnsi="Arial" w:cs="Arial"/>
          <w:sz w:val="20"/>
          <w:szCs w:val="20"/>
        </w:rPr>
        <w:t>. It has the following sub</w:t>
      </w:r>
      <w:r w:rsidR="00EB2772" w:rsidRPr="008C0BE5">
        <w:rPr>
          <w:rFonts w:ascii="Arial" w:hAnsi="Arial" w:cs="Arial"/>
          <w:sz w:val="20"/>
          <w:szCs w:val="20"/>
        </w:rPr>
        <w:t>-</w:t>
      </w:r>
      <w:r w:rsidR="00E90FF0" w:rsidRPr="008C0BE5">
        <w:rPr>
          <w:rFonts w:ascii="Arial" w:hAnsi="Arial" w:cs="Arial"/>
          <w:sz w:val="20"/>
          <w:szCs w:val="20"/>
        </w:rPr>
        <w:t>programmes for 2022/23: Programme Management for International Financial Relations; International Economic Cooperation</w:t>
      </w:r>
      <w:r w:rsidR="00C60DA1" w:rsidRPr="008C0BE5">
        <w:rPr>
          <w:rFonts w:ascii="Arial" w:hAnsi="Arial" w:cs="Arial"/>
          <w:sz w:val="20"/>
          <w:szCs w:val="20"/>
        </w:rPr>
        <w:t>; Africa Integration and Support; International Development Funding Institutions</w:t>
      </w:r>
      <w:r w:rsidR="002F51E6" w:rsidRPr="008C0BE5">
        <w:rPr>
          <w:rFonts w:ascii="Arial" w:hAnsi="Arial" w:cs="Arial"/>
          <w:sz w:val="20"/>
          <w:szCs w:val="20"/>
        </w:rPr>
        <w:t>;</w:t>
      </w:r>
      <w:r w:rsidR="00C60DA1" w:rsidRPr="008C0BE5">
        <w:rPr>
          <w:rFonts w:ascii="Arial" w:hAnsi="Arial" w:cs="Arial"/>
          <w:sz w:val="20"/>
          <w:szCs w:val="20"/>
        </w:rPr>
        <w:t xml:space="preserve"> and International Projects</w:t>
      </w:r>
      <w:r w:rsidR="002F51E6" w:rsidRPr="008C0BE5">
        <w:rPr>
          <w:rFonts w:ascii="Arial" w:hAnsi="Arial" w:cs="Arial"/>
          <w:sz w:val="20"/>
          <w:szCs w:val="20"/>
        </w:rPr>
        <w:t>.</w:t>
      </w:r>
    </w:p>
    <w:p w:rsidR="009E67BD" w:rsidRPr="008C0BE5" w:rsidRDefault="009E67BD" w:rsidP="008C0BE5">
      <w:pPr>
        <w:pStyle w:val="ListParagraph"/>
        <w:numPr>
          <w:ilvl w:val="1"/>
          <w:numId w:val="1"/>
        </w:numPr>
        <w:spacing w:after="0" w:line="240" w:lineRule="auto"/>
        <w:rPr>
          <w:rFonts w:ascii="Arial" w:hAnsi="Arial" w:cs="Arial"/>
          <w:b/>
          <w:sz w:val="20"/>
          <w:szCs w:val="20"/>
        </w:rPr>
      </w:pPr>
      <w:r w:rsidRPr="008C0BE5">
        <w:rPr>
          <w:rFonts w:ascii="Arial" w:hAnsi="Arial" w:cs="Arial"/>
          <w:b/>
          <w:sz w:val="20"/>
          <w:szCs w:val="20"/>
        </w:rPr>
        <w:t>Programme 7: Civil and Military Pensions, Contribution to Funds and Other Benefits</w:t>
      </w:r>
    </w:p>
    <w:p w:rsidR="009E67BD" w:rsidRPr="008C0BE5" w:rsidRDefault="009E67BD" w:rsidP="008C0BE5">
      <w:pPr>
        <w:pStyle w:val="ListParagraph"/>
        <w:numPr>
          <w:ilvl w:val="2"/>
          <w:numId w:val="1"/>
        </w:numPr>
        <w:spacing w:after="0" w:line="240" w:lineRule="auto"/>
        <w:rPr>
          <w:rFonts w:ascii="Arial" w:hAnsi="Arial" w:cs="Arial"/>
          <w:sz w:val="20"/>
          <w:szCs w:val="20"/>
        </w:rPr>
      </w:pPr>
      <w:r w:rsidRPr="008C0BE5">
        <w:rPr>
          <w:rFonts w:ascii="Arial" w:hAnsi="Arial" w:cs="Arial"/>
          <w:sz w:val="20"/>
          <w:szCs w:val="20"/>
        </w:rPr>
        <w:t>The mandate of this programme is to ensure that government’s pension and post-retirement medical benefit obligations to former employees of the state and retired military members are fulfilled. Its allocation amounts to R</w:t>
      </w:r>
      <w:r w:rsidR="004E700B" w:rsidRPr="008C0BE5">
        <w:rPr>
          <w:rFonts w:ascii="Arial" w:hAnsi="Arial" w:cs="Arial"/>
          <w:sz w:val="20"/>
          <w:szCs w:val="20"/>
        </w:rPr>
        <w:t>7,0</w:t>
      </w:r>
      <w:r w:rsidRPr="008C0BE5">
        <w:rPr>
          <w:rFonts w:ascii="Arial" w:hAnsi="Arial" w:cs="Arial"/>
          <w:sz w:val="20"/>
          <w:szCs w:val="20"/>
        </w:rPr>
        <w:t xml:space="preserve"> billion in 202</w:t>
      </w:r>
      <w:r w:rsidR="004E700B" w:rsidRPr="008C0BE5">
        <w:rPr>
          <w:rFonts w:ascii="Arial" w:hAnsi="Arial" w:cs="Arial"/>
          <w:sz w:val="20"/>
          <w:szCs w:val="20"/>
        </w:rPr>
        <w:t>3</w:t>
      </w:r>
      <w:r w:rsidR="000A1F30" w:rsidRPr="008C0BE5">
        <w:rPr>
          <w:rFonts w:ascii="Arial" w:hAnsi="Arial" w:cs="Arial"/>
          <w:sz w:val="20"/>
          <w:szCs w:val="20"/>
        </w:rPr>
        <w:t>/</w:t>
      </w:r>
      <w:r w:rsidR="00AE577B" w:rsidRPr="008C0BE5">
        <w:rPr>
          <w:rFonts w:ascii="Arial" w:hAnsi="Arial" w:cs="Arial"/>
          <w:sz w:val="20"/>
          <w:szCs w:val="20"/>
        </w:rPr>
        <w:t>24</w:t>
      </w:r>
      <w:r w:rsidRPr="008C0BE5">
        <w:rPr>
          <w:rFonts w:ascii="Arial" w:hAnsi="Arial" w:cs="Arial"/>
          <w:sz w:val="20"/>
          <w:szCs w:val="20"/>
        </w:rPr>
        <w:t>, R7,</w:t>
      </w:r>
      <w:r w:rsidR="00AE577B" w:rsidRPr="008C0BE5">
        <w:rPr>
          <w:rFonts w:ascii="Arial" w:hAnsi="Arial" w:cs="Arial"/>
          <w:sz w:val="20"/>
          <w:szCs w:val="20"/>
        </w:rPr>
        <w:t>3</w:t>
      </w:r>
      <w:r w:rsidR="004E700B" w:rsidRPr="008C0BE5">
        <w:rPr>
          <w:rFonts w:ascii="Arial" w:hAnsi="Arial" w:cs="Arial"/>
          <w:sz w:val="20"/>
          <w:szCs w:val="20"/>
        </w:rPr>
        <w:t xml:space="preserve"> and</w:t>
      </w:r>
      <w:r w:rsidR="00EB2772" w:rsidRPr="008C0BE5">
        <w:rPr>
          <w:rFonts w:ascii="Arial" w:hAnsi="Arial" w:cs="Arial"/>
          <w:sz w:val="20"/>
          <w:szCs w:val="20"/>
        </w:rPr>
        <w:t xml:space="preserve"> </w:t>
      </w:r>
      <w:r w:rsidR="004E700B" w:rsidRPr="008C0BE5">
        <w:rPr>
          <w:rFonts w:ascii="Arial" w:hAnsi="Arial" w:cs="Arial"/>
          <w:sz w:val="20"/>
          <w:szCs w:val="20"/>
        </w:rPr>
        <w:t>R7,</w:t>
      </w:r>
      <w:r w:rsidR="00AE577B" w:rsidRPr="008C0BE5">
        <w:rPr>
          <w:rFonts w:ascii="Arial" w:hAnsi="Arial" w:cs="Arial"/>
          <w:sz w:val="20"/>
          <w:szCs w:val="20"/>
        </w:rPr>
        <w:t>6</w:t>
      </w:r>
      <w:r w:rsidR="004E700B" w:rsidRPr="008C0BE5">
        <w:rPr>
          <w:rFonts w:ascii="Arial" w:hAnsi="Arial" w:cs="Arial"/>
          <w:sz w:val="20"/>
          <w:szCs w:val="20"/>
        </w:rPr>
        <w:t xml:space="preserve"> billion respectively</w:t>
      </w:r>
      <w:r w:rsidRPr="008C0BE5">
        <w:rPr>
          <w:rFonts w:ascii="Arial" w:hAnsi="Arial" w:cs="Arial"/>
          <w:sz w:val="20"/>
          <w:szCs w:val="20"/>
        </w:rPr>
        <w:t xml:space="preserve"> in the outer year</w:t>
      </w:r>
      <w:r w:rsidR="00AE577B" w:rsidRPr="008C0BE5">
        <w:rPr>
          <w:rFonts w:ascii="Arial" w:hAnsi="Arial" w:cs="Arial"/>
          <w:sz w:val="20"/>
          <w:szCs w:val="20"/>
        </w:rPr>
        <w:t>s</w:t>
      </w:r>
      <w:r w:rsidRPr="008C0BE5">
        <w:rPr>
          <w:rFonts w:ascii="Arial" w:hAnsi="Arial" w:cs="Arial"/>
          <w:sz w:val="20"/>
          <w:szCs w:val="20"/>
        </w:rPr>
        <w:t xml:space="preserve"> of the MTEF. </w:t>
      </w:r>
    </w:p>
    <w:p w:rsidR="004E700B" w:rsidRPr="008C0BE5" w:rsidRDefault="004E700B" w:rsidP="008C0BE5">
      <w:pPr>
        <w:pStyle w:val="ListParagraph"/>
        <w:numPr>
          <w:ilvl w:val="2"/>
          <w:numId w:val="1"/>
        </w:numPr>
        <w:spacing w:after="0" w:line="240" w:lineRule="auto"/>
        <w:rPr>
          <w:rFonts w:ascii="Arial" w:hAnsi="Arial" w:cs="Arial"/>
          <w:sz w:val="20"/>
          <w:szCs w:val="20"/>
        </w:rPr>
      </w:pPr>
      <w:r w:rsidRPr="008C0BE5">
        <w:rPr>
          <w:rFonts w:ascii="Arial" w:hAnsi="Arial" w:cs="Arial"/>
          <w:sz w:val="20"/>
          <w:szCs w:val="20"/>
        </w:rPr>
        <w:t xml:space="preserve">The sub-programmes under this programme </w:t>
      </w:r>
      <w:r w:rsidR="00EE24F3" w:rsidRPr="008C0BE5">
        <w:rPr>
          <w:rFonts w:ascii="Arial" w:hAnsi="Arial" w:cs="Arial"/>
          <w:sz w:val="20"/>
          <w:szCs w:val="20"/>
        </w:rPr>
        <w:t>are</w:t>
      </w:r>
      <w:r w:rsidRPr="008C0BE5">
        <w:rPr>
          <w:rFonts w:ascii="Arial" w:hAnsi="Arial" w:cs="Arial"/>
          <w:sz w:val="20"/>
          <w:szCs w:val="20"/>
        </w:rPr>
        <w:t xml:space="preserve"> Government Pensions Administration Agency</w:t>
      </w:r>
      <w:r w:rsidR="00EE24F3" w:rsidRPr="008C0BE5">
        <w:rPr>
          <w:rFonts w:ascii="Arial" w:hAnsi="Arial" w:cs="Arial"/>
          <w:sz w:val="20"/>
          <w:szCs w:val="20"/>
        </w:rPr>
        <w:t>,</w:t>
      </w:r>
      <w:r w:rsidRPr="008C0BE5">
        <w:rPr>
          <w:rFonts w:ascii="Arial" w:hAnsi="Arial" w:cs="Arial"/>
          <w:sz w:val="20"/>
          <w:szCs w:val="20"/>
        </w:rPr>
        <w:t xml:space="preserve"> Civil Pensions and Contributions to Funds</w:t>
      </w:r>
      <w:r w:rsidR="00EE24F3" w:rsidRPr="008C0BE5">
        <w:rPr>
          <w:rFonts w:ascii="Arial" w:hAnsi="Arial" w:cs="Arial"/>
          <w:sz w:val="20"/>
          <w:szCs w:val="20"/>
        </w:rPr>
        <w:t>,</w:t>
      </w:r>
      <w:r w:rsidRPr="008C0BE5">
        <w:rPr>
          <w:rFonts w:ascii="Arial" w:hAnsi="Arial" w:cs="Arial"/>
          <w:sz w:val="20"/>
          <w:szCs w:val="20"/>
        </w:rPr>
        <w:t xml:space="preserve"> and Military Pensions and Other Benefits</w:t>
      </w:r>
      <w:r w:rsidR="00520427" w:rsidRPr="008C0BE5">
        <w:rPr>
          <w:rFonts w:ascii="Arial" w:hAnsi="Arial" w:cs="Arial"/>
          <w:sz w:val="20"/>
          <w:szCs w:val="20"/>
        </w:rPr>
        <w:t>.</w:t>
      </w:r>
      <w:r w:rsidRPr="008C0BE5">
        <w:rPr>
          <w:rFonts w:ascii="Arial" w:hAnsi="Arial" w:cs="Arial"/>
          <w:sz w:val="20"/>
          <w:szCs w:val="20"/>
        </w:rPr>
        <w:t xml:space="preserve"> </w:t>
      </w:r>
    </w:p>
    <w:p w:rsidR="009E67BD" w:rsidRPr="008C0BE5" w:rsidRDefault="009E67BD" w:rsidP="008C0BE5">
      <w:pPr>
        <w:pStyle w:val="ListParagraph"/>
        <w:numPr>
          <w:ilvl w:val="1"/>
          <w:numId w:val="1"/>
        </w:numPr>
        <w:spacing w:after="0" w:line="240" w:lineRule="auto"/>
        <w:rPr>
          <w:rFonts w:ascii="Arial" w:hAnsi="Arial" w:cs="Arial"/>
          <w:sz w:val="20"/>
          <w:szCs w:val="20"/>
        </w:rPr>
      </w:pPr>
      <w:r w:rsidRPr="008C0BE5">
        <w:rPr>
          <w:rFonts w:ascii="Arial" w:hAnsi="Arial" w:cs="Arial"/>
          <w:b/>
          <w:sz w:val="20"/>
          <w:szCs w:val="20"/>
        </w:rPr>
        <w:t>Programme 8: Revenue Administration</w:t>
      </w:r>
    </w:p>
    <w:p w:rsidR="009E67BD" w:rsidRPr="008C0BE5" w:rsidRDefault="009E67BD" w:rsidP="008C0BE5">
      <w:pPr>
        <w:pStyle w:val="ListParagraph"/>
        <w:numPr>
          <w:ilvl w:val="2"/>
          <w:numId w:val="1"/>
        </w:numPr>
        <w:spacing w:after="0" w:line="240" w:lineRule="auto"/>
        <w:rPr>
          <w:rFonts w:ascii="Arial" w:hAnsi="Arial" w:cs="Arial"/>
          <w:sz w:val="20"/>
          <w:szCs w:val="20"/>
        </w:rPr>
      </w:pPr>
      <w:r w:rsidRPr="008C0BE5">
        <w:rPr>
          <w:rFonts w:ascii="Arial" w:hAnsi="Arial" w:cs="Arial"/>
          <w:sz w:val="20"/>
          <w:szCs w:val="20"/>
        </w:rPr>
        <w:t>The Revenue Administration programme</w:t>
      </w:r>
      <w:r w:rsidR="00F856D0" w:rsidRPr="008C0BE5">
        <w:rPr>
          <w:rFonts w:ascii="Arial" w:hAnsi="Arial" w:cs="Arial"/>
          <w:sz w:val="20"/>
          <w:szCs w:val="20"/>
        </w:rPr>
        <w:t xml:space="preserve"> receives an allocation of R1</w:t>
      </w:r>
      <w:r w:rsidR="00E2148F" w:rsidRPr="008C0BE5">
        <w:rPr>
          <w:rFonts w:ascii="Arial" w:hAnsi="Arial" w:cs="Arial"/>
          <w:sz w:val="20"/>
          <w:szCs w:val="20"/>
        </w:rPr>
        <w:t>2</w:t>
      </w:r>
      <w:r w:rsidR="00F856D0" w:rsidRPr="008C0BE5">
        <w:rPr>
          <w:rFonts w:ascii="Arial" w:hAnsi="Arial" w:cs="Arial"/>
          <w:sz w:val="20"/>
          <w:szCs w:val="20"/>
        </w:rPr>
        <w:t>,</w:t>
      </w:r>
      <w:r w:rsidR="00E2148F" w:rsidRPr="008C0BE5">
        <w:rPr>
          <w:rFonts w:ascii="Arial" w:hAnsi="Arial" w:cs="Arial"/>
          <w:sz w:val="20"/>
          <w:szCs w:val="20"/>
        </w:rPr>
        <w:t>1</w:t>
      </w:r>
      <w:r w:rsidRPr="008C0BE5">
        <w:rPr>
          <w:rFonts w:ascii="Arial" w:hAnsi="Arial" w:cs="Arial"/>
          <w:sz w:val="20"/>
          <w:szCs w:val="20"/>
        </w:rPr>
        <w:t xml:space="preserve"> billion in 20</w:t>
      </w:r>
      <w:r w:rsidR="00F856D0" w:rsidRPr="008C0BE5">
        <w:rPr>
          <w:rFonts w:ascii="Arial" w:hAnsi="Arial" w:cs="Arial"/>
          <w:sz w:val="20"/>
          <w:szCs w:val="20"/>
        </w:rPr>
        <w:t>23</w:t>
      </w:r>
      <w:r w:rsidR="0017096A" w:rsidRPr="008C0BE5">
        <w:rPr>
          <w:rFonts w:ascii="Arial" w:hAnsi="Arial" w:cs="Arial"/>
          <w:sz w:val="20"/>
          <w:szCs w:val="20"/>
        </w:rPr>
        <w:t>/24</w:t>
      </w:r>
      <w:r w:rsidR="00F856D0" w:rsidRPr="008C0BE5">
        <w:rPr>
          <w:rFonts w:ascii="Arial" w:hAnsi="Arial" w:cs="Arial"/>
          <w:sz w:val="20"/>
          <w:szCs w:val="20"/>
        </w:rPr>
        <w:t>, up from R11,</w:t>
      </w:r>
      <w:r w:rsidR="0017096A" w:rsidRPr="008C0BE5">
        <w:rPr>
          <w:rFonts w:ascii="Arial" w:hAnsi="Arial" w:cs="Arial"/>
          <w:sz w:val="20"/>
          <w:szCs w:val="20"/>
        </w:rPr>
        <w:t>5</w:t>
      </w:r>
      <w:r w:rsidR="00F856D0" w:rsidRPr="008C0BE5">
        <w:rPr>
          <w:rFonts w:ascii="Arial" w:hAnsi="Arial" w:cs="Arial"/>
          <w:sz w:val="20"/>
          <w:szCs w:val="20"/>
        </w:rPr>
        <w:t xml:space="preserve"> in the adjustment budget of 2022</w:t>
      </w:r>
      <w:r w:rsidR="0017096A" w:rsidRPr="008C0BE5">
        <w:rPr>
          <w:rFonts w:ascii="Arial" w:hAnsi="Arial" w:cs="Arial"/>
          <w:sz w:val="20"/>
          <w:szCs w:val="20"/>
        </w:rPr>
        <w:t>/23</w:t>
      </w:r>
      <w:r w:rsidRPr="008C0BE5">
        <w:rPr>
          <w:rFonts w:ascii="Arial" w:hAnsi="Arial" w:cs="Arial"/>
          <w:sz w:val="20"/>
          <w:szCs w:val="20"/>
        </w:rPr>
        <w:t>. In the outer years</w:t>
      </w:r>
      <w:r w:rsidR="00F856D0" w:rsidRPr="008C0BE5">
        <w:rPr>
          <w:rFonts w:ascii="Arial" w:hAnsi="Arial" w:cs="Arial"/>
          <w:sz w:val="20"/>
          <w:szCs w:val="20"/>
        </w:rPr>
        <w:t xml:space="preserve"> of the MTEF</w:t>
      </w:r>
      <w:r w:rsidRPr="008C0BE5">
        <w:rPr>
          <w:rFonts w:ascii="Arial" w:hAnsi="Arial" w:cs="Arial"/>
          <w:sz w:val="20"/>
          <w:szCs w:val="20"/>
        </w:rPr>
        <w:t>, the allocations are projected at R1</w:t>
      </w:r>
      <w:r w:rsidR="00F856D0" w:rsidRPr="008C0BE5">
        <w:rPr>
          <w:rFonts w:ascii="Arial" w:hAnsi="Arial" w:cs="Arial"/>
          <w:sz w:val="20"/>
          <w:szCs w:val="20"/>
        </w:rPr>
        <w:t>1</w:t>
      </w:r>
      <w:r w:rsidRPr="008C0BE5">
        <w:rPr>
          <w:rFonts w:ascii="Arial" w:hAnsi="Arial" w:cs="Arial"/>
          <w:sz w:val="20"/>
          <w:szCs w:val="20"/>
        </w:rPr>
        <w:t>,</w:t>
      </w:r>
      <w:r w:rsidR="00F856D0" w:rsidRPr="008C0BE5">
        <w:rPr>
          <w:rFonts w:ascii="Arial" w:hAnsi="Arial" w:cs="Arial"/>
          <w:sz w:val="20"/>
          <w:szCs w:val="20"/>
        </w:rPr>
        <w:t>6</w:t>
      </w:r>
      <w:r w:rsidRPr="008C0BE5">
        <w:rPr>
          <w:rFonts w:ascii="Arial" w:hAnsi="Arial" w:cs="Arial"/>
          <w:sz w:val="20"/>
          <w:szCs w:val="20"/>
        </w:rPr>
        <w:t xml:space="preserve"> and 1</w:t>
      </w:r>
      <w:r w:rsidR="005B4140" w:rsidRPr="008C0BE5">
        <w:rPr>
          <w:rFonts w:ascii="Arial" w:hAnsi="Arial" w:cs="Arial"/>
          <w:sz w:val="20"/>
          <w:szCs w:val="20"/>
        </w:rPr>
        <w:t>2</w:t>
      </w:r>
      <w:r w:rsidRPr="008C0BE5">
        <w:rPr>
          <w:rFonts w:ascii="Arial" w:hAnsi="Arial" w:cs="Arial"/>
          <w:sz w:val="20"/>
          <w:szCs w:val="20"/>
        </w:rPr>
        <w:t>,</w:t>
      </w:r>
      <w:r w:rsidR="00F856D0" w:rsidRPr="008C0BE5">
        <w:rPr>
          <w:rFonts w:ascii="Arial" w:hAnsi="Arial" w:cs="Arial"/>
          <w:sz w:val="20"/>
          <w:szCs w:val="20"/>
        </w:rPr>
        <w:t>1</w:t>
      </w:r>
      <w:r w:rsidRPr="008C0BE5">
        <w:rPr>
          <w:rFonts w:ascii="Arial" w:hAnsi="Arial" w:cs="Arial"/>
          <w:sz w:val="20"/>
          <w:szCs w:val="20"/>
        </w:rPr>
        <w:t xml:space="preserve"> billion respectively. The budget allocation is a transfer payment to the South African Revenue Service, which is responsible for administering the country’s revenue system. This programme is discussed further below</w:t>
      </w:r>
      <w:r w:rsidR="00F856D0" w:rsidRPr="008C0BE5">
        <w:rPr>
          <w:rFonts w:ascii="Arial" w:hAnsi="Arial" w:cs="Arial"/>
          <w:sz w:val="20"/>
          <w:szCs w:val="20"/>
        </w:rPr>
        <w:t xml:space="preserve"> under SARS’s annual performance plan</w:t>
      </w:r>
      <w:r w:rsidRPr="008C0BE5">
        <w:rPr>
          <w:rFonts w:ascii="Arial" w:hAnsi="Arial" w:cs="Arial"/>
          <w:sz w:val="20"/>
          <w:szCs w:val="20"/>
        </w:rPr>
        <w:t xml:space="preserve">. </w:t>
      </w:r>
    </w:p>
    <w:p w:rsidR="009E67BD" w:rsidRPr="008C0BE5" w:rsidRDefault="009E67BD" w:rsidP="008C0BE5">
      <w:pPr>
        <w:pStyle w:val="ListParagraph"/>
        <w:numPr>
          <w:ilvl w:val="1"/>
          <w:numId w:val="1"/>
        </w:numPr>
        <w:spacing w:after="0" w:line="240" w:lineRule="auto"/>
        <w:rPr>
          <w:rFonts w:ascii="Arial" w:hAnsi="Arial" w:cs="Arial"/>
          <w:sz w:val="20"/>
          <w:szCs w:val="20"/>
        </w:rPr>
      </w:pPr>
      <w:r w:rsidRPr="008C0BE5">
        <w:rPr>
          <w:rFonts w:ascii="Arial" w:hAnsi="Arial" w:cs="Arial"/>
          <w:b/>
          <w:sz w:val="20"/>
          <w:szCs w:val="20"/>
        </w:rPr>
        <w:t>Programme 9: Financial Intelligence and State Security</w:t>
      </w:r>
    </w:p>
    <w:p w:rsidR="009E4845" w:rsidRPr="008C0BE5" w:rsidRDefault="009E67BD" w:rsidP="008C0BE5">
      <w:pPr>
        <w:pStyle w:val="ListParagraph"/>
        <w:numPr>
          <w:ilvl w:val="2"/>
          <w:numId w:val="1"/>
        </w:numPr>
        <w:spacing w:after="0" w:line="240" w:lineRule="auto"/>
        <w:rPr>
          <w:rFonts w:ascii="Arial" w:hAnsi="Arial" w:cs="Arial"/>
          <w:sz w:val="20"/>
          <w:szCs w:val="20"/>
        </w:rPr>
      </w:pPr>
      <w:r w:rsidRPr="008C0BE5">
        <w:rPr>
          <w:rFonts w:ascii="Arial" w:hAnsi="Arial" w:cs="Arial"/>
          <w:sz w:val="20"/>
          <w:szCs w:val="20"/>
        </w:rPr>
        <w:t>Financial Intelligence and State Security comprises transfers to the Financial Intelligence Centre (FIC) to combat financial crimes, including money laundering and terrorism</w:t>
      </w:r>
      <w:r w:rsidR="00D479F6" w:rsidRPr="008C0BE5">
        <w:rPr>
          <w:rFonts w:ascii="Arial" w:hAnsi="Arial" w:cs="Arial"/>
          <w:sz w:val="20"/>
          <w:szCs w:val="20"/>
        </w:rPr>
        <w:t>-financing activities. The 2023</w:t>
      </w:r>
      <w:r w:rsidR="000A3D12" w:rsidRPr="008C0BE5">
        <w:rPr>
          <w:rFonts w:ascii="Arial" w:hAnsi="Arial" w:cs="Arial"/>
          <w:sz w:val="20"/>
          <w:szCs w:val="20"/>
        </w:rPr>
        <w:t>/24</w:t>
      </w:r>
      <w:r w:rsidRPr="008C0BE5">
        <w:rPr>
          <w:rFonts w:ascii="Arial" w:hAnsi="Arial" w:cs="Arial"/>
          <w:sz w:val="20"/>
          <w:szCs w:val="20"/>
        </w:rPr>
        <w:t xml:space="preserve"> allocation for the Financial Intelligence Centre and S</w:t>
      </w:r>
      <w:r w:rsidR="007F300A" w:rsidRPr="008C0BE5">
        <w:rPr>
          <w:rFonts w:ascii="Arial" w:hAnsi="Arial" w:cs="Arial"/>
          <w:sz w:val="20"/>
          <w:szCs w:val="20"/>
        </w:rPr>
        <w:t>tate Security</w:t>
      </w:r>
      <w:r w:rsidRPr="008C0BE5">
        <w:rPr>
          <w:rFonts w:ascii="Arial" w:hAnsi="Arial" w:cs="Arial"/>
          <w:sz w:val="20"/>
          <w:szCs w:val="20"/>
        </w:rPr>
        <w:t xml:space="preserve"> is R5,</w:t>
      </w:r>
      <w:r w:rsidR="000D302E" w:rsidRPr="008C0BE5">
        <w:rPr>
          <w:rFonts w:ascii="Arial" w:hAnsi="Arial" w:cs="Arial"/>
          <w:sz w:val="20"/>
          <w:szCs w:val="20"/>
        </w:rPr>
        <w:t xml:space="preserve">5 </w:t>
      </w:r>
      <w:r w:rsidRPr="008C0BE5">
        <w:rPr>
          <w:rFonts w:ascii="Arial" w:hAnsi="Arial" w:cs="Arial"/>
          <w:sz w:val="20"/>
          <w:szCs w:val="20"/>
        </w:rPr>
        <w:t>billion</w:t>
      </w:r>
      <w:r w:rsidR="00D479F6" w:rsidRPr="008C0BE5">
        <w:rPr>
          <w:rFonts w:ascii="Arial" w:hAnsi="Arial" w:cs="Arial"/>
          <w:sz w:val="20"/>
          <w:szCs w:val="20"/>
        </w:rPr>
        <w:t>, from R</w:t>
      </w:r>
      <w:r w:rsidR="000D302E" w:rsidRPr="008C0BE5">
        <w:rPr>
          <w:rFonts w:ascii="Arial" w:hAnsi="Arial" w:cs="Arial"/>
          <w:sz w:val="20"/>
          <w:szCs w:val="20"/>
        </w:rPr>
        <w:t>5</w:t>
      </w:r>
      <w:r w:rsidR="00D479F6" w:rsidRPr="008C0BE5">
        <w:rPr>
          <w:rFonts w:ascii="Arial" w:hAnsi="Arial" w:cs="Arial"/>
          <w:sz w:val="20"/>
          <w:szCs w:val="20"/>
        </w:rPr>
        <w:t>,</w:t>
      </w:r>
      <w:r w:rsidR="000D302E" w:rsidRPr="008C0BE5">
        <w:rPr>
          <w:rFonts w:ascii="Arial" w:hAnsi="Arial" w:cs="Arial"/>
          <w:sz w:val="20"/>
          <w:szCs w:val="20"/>
        </w:rPr>
        <w:t>3</w:t>
      </w:r>
      <w:r w:rsidR="00D479F6" w:rsidRPr="008C0BE5">
        <w:rPr>
          <w:rFonts w:ascii="Arial" w:hAnsi="Arial" w:cs="Arial"/>
          <w:sz w:val="20"/>
          <w:szCs w:val="20"/>
        </w:rPr>
        <w:t xml:space="preserve"> billion in the adjustment budget of 2022</w:t>
      </w:r>
      <w:r w:rsidR="000D302E" w:rsidRPr="008C0BE5">
        <w:rPr>
          <w:rFonts w:ascii="Arial" w:hAnsi="Arial" w:cs="Arial"/>
          <w:sz w:val="20"/>
          <w:szCs w:val="20"/>
        </w:rPr>
        <w:t>/23</w:t>
      </w:r>
      <w:r w:rsidR="00D479F6" w:rsidRPr="008C0BE5">
        <w:rPr>
          <w:rFonts w:ascii="Arial" w:hAnsi="Arial" w:cs="Arial"/>
          <w:sz w:val="20"/>
          <w:szCs w:val="20"/>
        </w:rPr>
        <w:t xml:space="preserve">, </w:t>
      </w:r>
      <w:r w:rsidR="000032DD" w:rsidRPr="008C0BE5">
        <w:rPr>
          <w:rFonts w:ascii="Arial" w:hAnsi="Arial" w:cs="Arial"/>
          <w:sz w:val="20"/>
          <w:szCs w:val="20"/>
        </w:rPr>
        <w:t>projected to</w:t>
      </w:r>
      <w:r w:rsidR="00D479F6" w:rsidRPr="008C0BE5">
        <w:rPr>
          <w:rFonts w:ascii="Arial" w:hAnsi="Arial" w:cs="Arial"/>
          <w:sz w:val="20"/>
          <w:szCs w:val="20"/>
        </w:rPr>
        <w:t xml:space="preserve"> </w:t>
      </w:r>
      <w:r w:rsidRPr="008C0BE5">
        <w:rPr>
          <w:rFonts w:ascii="Arial" w:hAnsi="Arial" w:cs="Arial"/>
          <w:sz w:val="20"/>
          <w:szCs w:val="20"/>
        </w:rPr>
        <w:t>i</w:t>
      </w:r>
      <w:r w:rsidR="00D479F6" w:rsidRPr="008C0BE5">
        <w:rPr>
          <w:rFonts w:ascii="Arial" w:hAnsi="Arial" w:cs="Arial"/>
          <w:sz w:val="20"/>
          <w:szCs w:val="20"/>
        </w:rPr>
        <w:t>ncreas</w:t>
      </w:r>
      <w:r w:rsidR="000032DD" w:rsidRPr="008C0BE5">
        <w:rPr>
          <w:rFonts w:ascii="Arial" w:hAnsi="Arial" w:cs="Arial"/>
          <w:sz w:val="20"/>
          <w:szCs w:val="20"/>
        </w:rPr>
        <w:t>e</w:t>
      </w:r>
      <w:r w:rsidR="00D479F6" w:rsidRPr="008C0BE5">
        <w:rPr>
          <w:rFonts w:ascii="Arial" w:hAnsi="Arial" w:cs="Arial"/>
          <w:sz w:val="20"/>
          <w:szCs w:val="20"/>
        </w:rPr>
        <w:t xml:space="preserve"> to R5,</w:t>
      </w:r>
      <w:r w:rsidR="000032DD" w:rsidRPr="008C0BE5">
        <w:rPr>
          <w:rFonts w:ascii="Arial" w:hAnsi="Arial" w:cs="Arial"/>
          <w:sz w:val="20"/>
          <w:szCs w:val="20"/>
        </w:rPr>
        <w:t>8</w:t>
      </w:r>
      <w:r w:rsidR="00D479F6" w:rsidRPr="008C0BE5">
        <w:rPr>
          <w:rFonts w:ascii="Arial" w:hAnsi="Arial" w:cs="Arial"/>
          <w:sz w:val="20"/>
          <w:szCs w:val="20"/>
        </w:rPr>
        <w:t xml:space="preserve"> and R6</w:t>
      </w:r>
      <w:r w:rsidR="00616AF8" w:rsidRPr="008C0BE5">
        <w:rPr>
          <w:rFonts w:ascii="Arial" w:hAnsi="Arial" w:cs="Arial"/>
          <w:sz w:val="20"/>
          <w:szCs w:val="20"/>
        </w:rPr>
        <w:t>.0</w:t>
      </w:r>
      <w:r w:rsidRPr="008C0BE5">
        <w:rPr>
          <w:rFonts w:ascii="Arial" w:hAnsi="Arial" w:cs="Arial"/>
          <w:sz w:val="20"/>
          <w:szCs w:val="20"/>
        </w:rPr>
        <w:t xml:space="preserve"> billion in the outer years. </w:t>
      </w:r>
    </w:p>
    <w:p w:rsidR="00097081" w:rsidRPr="008C0BE5" w:rsidRDefault="00097081" w:rsidP="008C0BE5">
      <w:pPr>
        <w:pStyle w:val="ListParagraph"/>
        <w:spacing w:after="0" w:line="240" w:lineRule="auto"/>
        <w:rPr>
          <w:rFonts w:ascii="Arial" w:hAnsi="Arial" w:cs="Arial"/>
          <w:sz w:val="20"/>
          <w:szCs w:val="20"/>
        </w:rPr>
      </w:pPr>
    </w:p>
    <w:p w:rsidR="009E67BD" w:rsidRPr="008C0BE5" w:rsidRDefault="009E67BD" w:rsidP="008C0BE5">
      <w:pPr>
        <w:pStyle w:val="ListParagraph"/>
        <w:numPr>
          <w:ilvl w:val="0"/>
          <w:numId w:val="1"/>
        </w:numPr>
        <w:spacing w:after="0" w:line="240" w:lineRule="auto"/>
        <w:rPr>
          <w:rFonts w:ascii="Arial" w:hAnsi="Arial" w:cs="Arial"/>
          <w:b/>
          <w:sz w:val="20"/>
          <w:szCs w:val="20"/>
        </w:rPr>
      </w:pPr>
      <w:r w:rsidRPr="008C0BE5">
        <w:rPr>
          <w:rFonts w:ascii="Arial" w:hAnsi="Arial" w:cs="Arial"/>
          <w:b/>
          <w:sz w:val="20"/>
          <w:szCs w:val="20"/>
        </w:rPr>
        <w:t xml:space="preserve">OVERVIEW OF THE SARS BUDGET </w:t>
      </w:r>
    </w:p>
    <w:p w:rsidR="00276DF3" w:rsidRPr="008C0BE5" w:rsidRDefault="009E67BD" w:rsidP="008C0BE5">
      <w:pPr>
        <w:pStyle w:val="ListParagraph"/>
        <w:numPr>
          <w:ilvl w:val="1"/>
          <w:numId w:val="1"/>
        </w:numPr>
        <w:spacing w:after="0" w:line="240" w:lineRule="auto"/>
        <w:rPr>
          <w:rFonts w:ascii="Arial" w:hAnsi="Arial" w:cs="Arial"/>
          <w:sz w:val="20"/>
          <w:szCs w:val="20"/>
        </w:rPr>
      </w:pPr>
      <w:r w:rsidRPr="008C0BE5">
        <w:rPr>
          <w:rFonts w:ascii="Arial" w:hAnsi="Arial" w:cs="Arial"/>
          <w:sz w:val="20"/>
          <w:szCs w:val="20"/>
        </w:rPr>
        <w:t>SARS receives a transfer from National Treasury under Programme 8. In 202</w:t>
      </w:r>
      <w:r w:rsidR="00D479F6" w:rsidRPr="008C0BE5">
        <w:rPr>
          <w:rFonts w:ascii="Arial" w:hAnsi="Arial" w:cs="Arial"/>
          <w:sz w:val="20"/>
          <w:szCs w:val="20"/>
        </w:rPr>
        <w:t>3</w:t>
      </w:r>
      <w:r w:rsidR="006E4289" w:rsidRPr="008C0BE5">
        <w:rPr>
          <w:rFonts w:ascii="Arial" w:hAnsi="Arial" w:cs="Arial"/>
          <w:sz w:val="20"/>
          <w:szCs w:val="20"/>
        </w:rPr>
        <w:t>/2</w:t>
      </w:r>
      <w:r w:rsidR="001D77BD" w:rsidRPr="008C0BE5">
        <w:rPr>
          <w:rFonts w:ascii="Arial" w:hAnsi="Arial" w:cs="Arial"/>
          <w:sz w:val="20"/>
          <w:szCs w:val="20"/>
        </w:rPr>
        <w:t>4</w:t>
      </w:r>
      <w:r w:rsidRPr="008C0BE5">
        <w:rPr>
          <w:rFonts w:ascii="Arial" w:hAnsi="Arial" w:cs="Arial"/>
          <w:sz w:val="20"/>
          <w:szCs w:val="20"/>
        </w:rPr>
        <w:t xml:space="preserve"> SARS will be a</w:t>
      </w:r>
      <w:r w:rsidR="00E50933" w:rsidRPr="008C0BE5">
        <w:rPr>
          <w:rFonts w:ascii="Arial" w:hAnsi="Arial" w:cs="Arial"/>
          <w:sz w:val="20"/>
          <w:szCs w:val="20"/>
        </w:rPr>
        <w:t>llocated a total budget of R1</w:t>
      </w:r>
      <w:r w:rsidR="001D77BD" w:rsidRPr="008C0BE5">
        <w:rPr>
          <w:rFonts w:ascii="Arial" w:hAnsi="Arial" w:cs="Arial"/>
          <w:sz w:val="20"/>
          <w:szCs w:val="20"/>
        </w:rPr>
        <w:t>2</w:t>
      </w:r>
      <w:r w:rsidR="00E50933" w:rsidRPr="008C0BE5">
        <w:rPr>
          <w:rFonts w:ascii="Arial" w:hAnsi="Arial" w:cs="Arial"/>
          <w:sz w:val="20"/>
          <w:szCs w:val="20"/>
        </w:rPr>
        <w:t>,</w:t>
      </w:r>
      <w:r w:rsidR="001D77BD" w:rsidRPr="008C0BE5">
        <w:rPr>
          <w:rFonts w:ascii="Arial" w:hAnsi="Arial" w:cs="Arial"/>
          <w:sz w:val="20"/>
          <w:szCs w:val="20"/>
        </w:rPr>
        <w:t>1</w:t>
      </w:r>
      <w:r w:rsidRPr="008C0BE5">
        <w:rPr>
          <w:rFonts w:ascii="Arial" w:hAnsi="Arial" w:cs="Arial"/>
          <w:sz w:val="20"/>
          <w:szCs w:val="20"/>
        </w:rPr>
        <w:t xml:space="preserve"> billion</w:t>
      </w:r>
      <w:r w:rsidR="00E50933" w:rsidRPr="008C0BE5">
        <w:rPr>
          <w:rFonts w:ascii="Arial" w:hAnsi="Arial" w:cs="Arial"/>
          <w:sz w:val="20"/>
          <w:szCs w:val="20"/>
        </w:rPr>
        <w:t xml:space="preserve"> from R11,</w:t>
      </w:r>
      <w:r w:rsidR="00722A5D" w:rsidRPr="008C0BE5">
        <w:rPr>
          <w:rFonts w:ascii="Arial" w:hAnsi="Arial" w:cs="Arial"/>
          <w:sz w:val="20"/>
          <w:szCs w:val="20"/>
        </w:rPr>
        <w:t>5</w:t>
      </w:r>
      <w:r w:rsidR="00E50933" w:rsidRPr="008C0BE5">
        <w:rPr>
          <w:rFonts w:ascii="Arial" w:hAnsi="Arial" w:cs="Arial"/>
          <w:sz w:val="20"/>
          <w:szCs w:val="20"/>
        </w:rPr>
        <w:t xml:space="preserve"> in the adjusted appropriation of </w:t>
      </w:r>
      <w:r w:rsidR="00722A5D" w:rsidRPr="008C0BE5">
        <w:rPr>
          <w:rFonts w:ascii="Arial" w:hAnsi="Arial" w:cs="Arial"/>
          <w:sz w:val="20"/>
          <w:szCs w:val="20"/>
        </w:rPr>
        <w:t>last year</w:t>
      </w:r>
      <w:r w:rsidRPr="008C0BE5">
        <w:rPr>
          <w:rFonts w:ascii="Arial" w:hAnsi="Arial" w:cs="Arial"/>
          <w:sz w:val="20"/>
          <w:szCs w:val="20"/>
        </w:rPr>
        <w:t xml:space="preserve">. </w:t>
      </w:r>
      <w:r w:rsidR="00E50933" w:rsidRPr="008C0BE5">
        <w:rPr>
          <w:rFonts w:ascii="Arial" w:hAnsi="Arial" w:cs="Arial"/>
          <w:sz w:val="20"/>
          <w:szCs w:val="20"/>
        </w:rPr>
        <w:t>R5</w:t>
      </w:r>
      <w:r w:rsidR="00801C1B" w:rsidRPr="008C0BE5">
        <w:rPr>
          <w:rFonts w:ascii="Arial" w:hAnsi="Arial" w:cs="Arial"/>
          <w:sz w:val="20"/>
          <w:szCs w:val="20"/>
        </w:rPr>
        <w:t>1.2</w:t>
      </w:r>
      <w:r w:rsidR="00E50933" w:rsidRPr="008C0BE5">
        <w:rPr>
          <w:rFonts w:ascii="Arial" w:hAnsi="Arial" w:cs="Arial"/>
          <w:sz w:val="20"/>
          <w:szCs w:val="20"/>
        </w:rPr>
        <w:t xml:space="preserve"> million of this is </w:t>
      </w:r>
      <w:r w:rsidRPr="008C0BE5">
        <w:rPr>
          <w:rFonts w:ascii="Arial" w:hAnsi="Arial" w:cs="Arial"/>
          <w:sz w:val="20"/>
          <w:szCs w:val="20"/>
        </w:rPr>
        <w:t xml:space="preserve">a grant to the Office of the Tax Ombuds (OTO). The allocation to SARS is projected to </w:t>
      </w:r>
      <w:r w:rsidR="00F83CD9" w:rsidRPr="008C0BE5">
        <w:rPr>
          <w:rFonts w:ascii="Arial" w:hAnsi="Arial" w:cs="Arial"/>
          <w:sz w:val="20"/>
          <w:szCs w:val="20"/>
        </w:rPr>
        <w:t>decline</w:t>
      </w:r>
      <w:r w:rsidR="00E50933" w:rsidRPr="008C0BE5">
        <w:rPr>
          <w:rFonts w:ascii="Arial" w:hAnsi="Arial" w:cs="Arial"/>
          <w:sz w:val="20"/>
          <w:szCs w:val="20"/>
        </w:rPr>
        <w:t xml:space="preserve"> </w:t>
      </w:r>
      <w:r w:rsidRPr="008C0BE5">
        <w:rPr>
          <w:rFonts w:ascii="Arial" w:hAnsi="Arial" w:cs="Arial"/>
          <w:sz w:val="20"/>
          <w:szCs w:val="20"/>
        </w:rPr>
        <w:t>to R1</w:t>
      </w:r>
      <w:r w:rsidR="00E50933" w:rsidRPr="008C0BE5">
        <w:rPr>
          <w:rFonts w:ascii="Arial" w:hAnsi="Arial" w:cs="Arial"/>
          <w:sz w:val="20"/>
          <w:szCs w:val="20"/>
        </w:rPr>
        <w:t>1</w:t>
      </w:r>
      <w:r w:rsidRPr="008C0BE5">
        <w:rPr>
          <w:rFonts w:ascii="Arial" w:hAnsi="Arial" w:cs="Arial"/>
          <w:sz w:val="20"/>
          <w:szCs w:val="20"/>
        </w:rPr>
        <w:t>,6 billion in 2</w:t>
      </w:r>
      <w:r w:rsidR="008F1231" w:rsidRPr="008C0BE5">
        <w:rPr>
          <w:rFonts w:ascii="Arial" w:hAnsi="Arial" w:cs="Arial"/>
          <w:sz w:val="20"/>
          <w:szCs w:val="20"/>
        </w:rPr>
        <w:t>0</w:t>
      </w:r>
      <w:r w:rsidRPr="008C0BE5">
        <w:rPr>
          <w:rFonts w:ascii="Arial" w:hAnsi="Arial" w:cs="Arial"/>
          <w:sz w:val="20"/>
          <w:szCs w:val="20"/>
        </w:rPr>
        <w:t>24</w:t>
      </w:r>
      <w:r w:rsidR="008F1231" w:rsidRPr="008C0BE5">
        <w:rPr>
          <w:rFonts w:ascii="Arial" w:hAnsi="Arial" w:cs="Arial"/>
          <w:sz w:val="20"/>
          <w:szCs w:val="20"/>
        </w:rPr>
        <w:t>/25</w:t>
      </w:r>
      <w:r w:rsidRPr="008C0BE5">
        <w:rPr>
          <w:rFonts w:ascii="Arial" w:hAnsi="Arial" w:cs="Arial"/>
          <w:sz w:val="20"/>
          <w:szCs w:val="20"/>
        </w:rPr>
        <w:t>,</w:t>
      </w:r>
      <w:r w:rsidR="00E50933" w:rsidRPr="008C0BE5">
        <w:rPr>
          <w:rFonts w:ascii="Arial" w:hAnsi="Arial" w:cs="Arial"/>
          <w:sz w:val="20"/>
          <w:szCs w:val="20"/>
        </w:rPr>
        <w:t xml:space="preserve"> moderating to R1</w:t>
      </w:r>
      <w:r w:rsidR="008F1231" w:rsidRPr="008C0BE5">
        <w:rPr>
          <w:rFonts w:ascii="Arial" w:hAnsi="Arial" w:cs="Arial"/>
          <w:sz w:val="20"/>
          <w:szCs w:val="20"/>
        </w:rPr>
        <w:t>2</w:t>
      </w:r>
      <w:r w:rsidR="00E50933" w:rsidRPr="008C0BE5">
        <w:rPr>
          <w:rFonts w:ascii="Arial" w:hAnsi="Arial" w:cs="Arial"/>
          <w:sz w:val="20"/>
          <w:szCs w:val="20"/>
        </w:rPr>
        <w:t>, 1 billion in 2025</w:t>
      </w:r>
      <w:r w:rsidR="004C6E3B" w:rsidRPr="008C0BE5">
        <w:rPr>
          <w:rFonts w:ascii="Arial" w:hAnsi="Arial" w:cs="Arial"/>
          <w:sz w:val="20"/>
          <w:szCs w:val="20"/>
        </w:rPr>
        <w:t>/26</w:t>
      </w:r>
      <w:r w:rsidR="00E50933" w:rsidRPr="008C0BE5">
        <w:rPr>
          <w:rFonts w:ascii="Arial" w:hAnsi="Arial" w:cs="Arial"/>
          <w:sz w:val="20"/>
          <w:szCs w:val="20"/>
        </w:rPr>
        <w:t>.</w:t>
      </w:r>
      <w:r w:rsidRPr="008C0BE5">
        <w:rPr>
          <w:rFonts w:ascii="Arial" w:hAnsi="Arial" w:cs="Arial"/>
          <w:sz w:val="20"/>
          <w:szCs w:val="20"/>
        </w:rPr>
        <w:t xml:space="preserve"> </w:t>
      </w:r>
      <w:r w:rsidR="00E50933" w:rsidRPr="008C0BE5">
        <w:rPr>
          <w:rFonts w:ascii="Arial" w:hAnsi="Arial" w:cs="Arial"/>
          <w:sz w:val="20"/>
          <w:szCs w:val="20"/>
        </w:rPr>
        <w:t>T</w:t>
      </w:r>
      <w:r w:rsidRPr="008C0BE5">
        <w:rPr>
          <w:rFonts w:ascii="Arial" w:hAnsi="Arial" w:cs="Arial"/>
          <w:sz w:val="20"/>
          <w:szCs w:val="20"/>
        </w:rPr>
        <w:t>he allocation to OTO will increase to R5</w:t>
      </w:r>
      <w:r w:rsidR="00F64AAD" w:rsidRPr="008C0BE5">
        <w:rPr>
          <w:rFonts w:ascii="Arial" w:hAnsi="Arial" w:cs="Arial"/>
          <w:sz w:val="20"/>
          <w:szCs w:val="20"/>
        </w:rPr>
        <w:t>3</w:t>
      </w:r>
      <w:r w:rsidRPr="008C0BE5">
        <w:rPr>
          <w:rFonts w:ascii="Arial" w:hAnsi="Arial" w:cs="Arial"/>
          <w:sz w:val="20"/>
          <w:szCs w:val="20"/>
        </w:rPr>
        <w:t>.</w:t>
      </w:r>
      <w:r w:rsidR="00F64AAD" w:rsidRPr="008C0BE5">
        <w:rPr>
          <w:rFonts w:ascii="Arial" w:hAnsi="Arial" w:cs="Arial"/>
          <w:sz w:val="20"/>
          <w:szCs w:val="20"/>
        </w:rPr>
        <w:t>5</w:t>
      </w:r>
      <w:r w:rsidRPr="008C0BE5">
        <w:rPr>
          <w:rFonts w:ascii="Arial" w:hAnsi="Arial" w:cs="Arial"/>
          <w:sz w:val="20"/>
          <w:szCs w:val="20"/>
        </w:rPr>
        <w:t xml:space="preserve"> </w:t>
      </w:r>
      <w:r w:rsidR="00E50933" w:rsidRPr="008C0BE5">
        <w:rPr>
          <w:rFonts w:ascii="Arial" w:hAnsi="Arial" w:cs="Arial"/>
          <w:sz w:val="20"/>
          <w:szCs w:val="20"/>
        </w:rPr>
        <w:t>and R55</w:t>
      </w:r>
      <w:r w:rsidR="007E203D" w:rsidRPr="008C0BE5">
        <w:rPr>
          <w:rFonts w:ascii="Arial" w:hAnsi="Arial" w:cs="Arial"/>
          <w:sz w:val="20"/>
          <w:szCs w:val="20"/>
        </w:rPr>
        <w:t>.9</w:t>
      </w:r>
      <w:r w:rsidR="00E50933" w:rsidRPr="008C0BE5">
        <w:rPr>
          <w:rFonts w:ascii="Arial" w:hAnsi="Arial" w:cs="Arial"/>
          <w:sz w:val="20"/>
          <w:szCs w:val="20"/>
        </w:rPr>
        <w:t xml:space="preserve"> million</w:t>
      </w:r>
      <w:r w:rsidRPr="008C0BE5">
        <w:rPr>
          <w:rFonts w:ascii="Arial" w:hAnsi="Arial" w:cs="Arial"/>
          <w:sz w:val="20"/>
          <w:szCs w:val="20"/>
        </w:rPr>
        <w:t xml:space="preserve">, an </w:t>
      </w:r>
      <w:r w:rsidR="00E50933" w:rsidRPr="008C0BE5">
        <w:rPr>
          <w:rFonts w:ascii="Arial" w:hAnsi="Arial" w:cs="Arial"/>
          <w:sz w:val="20"/>
          <w:szCs w:val="20"/>
        </w:rPr>
        <w:t>average increase of 6.</w:t>
      </w:r>
      <w:r w:rsidR="007E203D" w:rsidRPr="008C0BE5">
        <w:rPr>
          <w:rFonts w:ascii="Arial" w:hAnsi="Arial" w:cs="Arial"/>
          <w:sz w:val="20"/>
          <w:szCs w:val="20"/>
        </w:rPr>
        <w:t>3</w:t>
      </w:r>
      <w:r w:rsidR="00E50933" w:rsidRPr="008C0BE5">
        <w:rPr>
          <w:rFonts w:ascii="Arial" w:hAnsi="Arial" w:cs="Arial"/>
          <w:sz w:val="20"/>
          <w:szCs w:val="20"/>
        </w:rPr>
        <w:t xml:space="preserve"> per cent over </w:t>
      </w:r>
      <w:r w:rsidR="001264BB" w:rsidRPr="008C0BE5">
        <w:rPr>
          <w:rFonts w:ascii="Arial" w:hAnsi="Arial" w:cs="Arial"/>
          <w:sz w:val="20"/>
          <w:szCs w:val="20"/>
        </w:rPr>
        <w:t xml:space="preserve">the </w:t>
      </w:r>
      <w:r w:rsidR="00E50933" w:rsidRPr="008C0BE5">
        <w:rPr>
          <w:rFonts w:ascii="Arial" w:hAnsi="Arial" w:cs="Arial"/>
          <w:sz w:val="20"/>
          <w:szCs w:val="20"/>
        </w:rPr>
        <w:t>MTEF</w:t>
      </w:r>
      <w:r w:rsidRPr="008C0BE5">
        <w:rPr>
          <w:rFonts w:ascii="Arial" w:hAnsi="Arial" w:cs="Arial"/>
          <w:sz w:val="20"/>
          <w:szCs w:val="20"/>
        </w:rPr>
        <w:t xml:space="preserve">. </w:t>
      </w:r>
    </w:p>
    <w:tbl>
      <w:tblPr>
        <w:tblpPr w:leftFromText="180" w:rightFromText="180" w:vertAnchor="text" w:horzAnchor="margin" w:tblpXSpec="center" w:tblpY="284"/>
        <w:tblW w:w="11194" w:type="dxa"/>
        <w:tblLayout w:type="fixed"/>
        <w:tblLook w:val="04A0"/>
      </w:tblPr>
      <w:tblGrid>
        <w:gridCol w:w="1555"/>
        <w:gridCol w:w="992"/>
        <w:gridCol w:w="992"/>
        <w:gridCol w:w="851"/>
        <w:gridCol w:w="992"/>
        <w:gridCol w:w="850"/>
        <w:gridCol w:w="851"/>
        <w:gridCol w:w="850"/>
        <w:gridCol w:w="851"/>
        <w:gridCol w:w="850"/>
        <w:gridCol w:w="719"/>
        <w:gridCol w:w="841"/>
      </w:tblGrid>
      <w:tr w:rsidR="00781E9C" w:rsidRPr="008C0BE5" w:rsidTr="0084634A">
        <w:trPr>
          <w:trHeight w:val="557"/>
        </w:trPr>
        <w:tc>
          <w:tcPr>
            <w:tcW w:w="1555" w:type="dxa"/>
            <w:tcBorders>
              <w:top w:val="single" w:sz="4" w:space="0" w:color="auto"/>
              <w:left w:val="single" w:sz="4" w:space="0" w:color="auto"/>
              <w:bottom w:val="single" w:sz="4" w:space="0" w:color="auto"/>
              <w:right w:val="nil"/>
            </w:tcBorders>
            <w:shd w:val="clear" w:color="auto" w:fill="auto"/>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Subprogramme</w:t>
            </w:r>
          </w:p>
        </w:tc>
        <w:tc>
          <w:tcPr>
            <w:tcW w:w="1984" w:type="dxa"/>
            <w:gridSpan w:val="2"/>
            <w:tcBorders>
              <w:top w:val="single" w:sz="4" w:space="0" w:color="auto"/>
              <w:left w:val="nil"/>
              <w:bottom w:val="single" w:sz="4" w:space="0" w:color="auto"/>
              <w:right w:val="nil"/>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Audited outcome</w:t>
            </w:r>
          </w:p>
        </w:tc>
        <w:tc>
          <w:tcPr>
            <w:tcW w:w="851" w:type="dxa"/>
            <w:tcBorders>
              <w:top w:val="single" w:sz="4" w:space="0" w:color="auto"/>
              <w:left w:val="nil"/>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xml:space="preserve">Adjusted </w:t>
            </w:r>
            <w:r w:rsidRPr="008C0BE5">
              <w:rPr>
                <w:rFonts w:ascii="Arial" w:eastAsia="Times New Roman" w:hAnsi="Arial" w:cs="Arial"/>
                <w:b/>
                <w:bCs/>
                <w:sz w:val="20"/>
                <w:szCs w:val="20"/>
                <w:lang w:eastAsia="en-ZA"/>
              </w:rPr>
              <w:br/>
              <w:t>appropriation</w:t>
            </w:r>
          </w:p>
        </w:tc>
        <w:tc>
          <w:tcPr>
            <w:tcW w:w="850" w:type="dxa"/>
            <w:tcBorders>
              <w:top w:val="single" w:sz="4" w:space="0" w:color="auto"/>
              <w:left w:val="nil"/>
              <w:bottom w:val="single" w:sz="4" w:space="0" w:color="auto"/>
              <w:right w:val="single" w:sz="4" w:space="0" w:color="auto"/>
            </w:tcBorders>
            <w:shd w:val="clear" w:color="auto" w:fill="auto"/>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Average</w:t>
            </w:r>
            <w:r w:rsidRPr="008C0BE5">
              <w:rPr>
                <w:rFonts w:ascii="Arial" w:eastAsia="Times New Roman" w:hAnsi="Arial" w:cs="Arial"/>
                <w:b/>
                <w:bCs/>
                <w:sz w:val="20"/>
                <w:szCs w:val="20"/>
                <w:lang w:eastAsia="en-ZA"/>
              </w:rPr>
              <w:br/>
              <w:t>growth</w:t>
            </w:r>
            <w:r w:rsidRPr="008C0BE5">
              <w:rPr>
                <w:rFonts w:ascii="Arial" w:eastAsia="Times New Roman" w:hAnsi="Arial" w:cs="Arial"/>
                <w:b/>
                <w:bCs/>
                <w:sz w:val="20"/>
                <w:szCs w:val="20"/>
                <w:lang w:eastAsia="en-ZA"/>
              </w:rPr>
              <w:br/>
              <w:t>rate</w:t>
            </w:r>
            <w:r w:rsidRPr="008C0BE5">
              <w:rPr>
                <w:rFonts w:ascii="Arial" w:eastAsia="Times New Roman" w:hAnsi="Arial" w:cs="Arial"/>
                <w:b/>
                <w:bCs/>
                <w:sz w:val="20"/>
                <w:szCs w:val="20"/>
                <w:lang w:eastAsia="en-ZA"/>
              </w:rPr>
              <w:br/>
              <w:t>(%)</w:t>
            </w:r>
          </w:p>
        </w:tc>
        <w:tc>
          <w:tcPr>
            <w:tcW w:w="851" w:type="dxa"/>
            <w:tcBorders>
              <w:top w:val="single" w:sz="4" w:space="0" w:color="auto"/>
              <w:left w:val="nil"/>
              <w:bottom w:val="single" w:sz="4" w:space="0" w:color="auto"/>
              <w:right w:val="single" w:sz="4" w:space="0" w:color="auto"/>
            </w:tcBorders>
            <w:shd w:val="clear" w:color="auto" w:fill="auto"/>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xml:space="preserve">Average: </w:t>
            </w:r>
            <w:r w:rsidRPr="008C0BE5">
              <w:rPr>
                <w:rFonts w:ascii="Arial" w:eastAsia="Times New Roman" w:hAnsi="Arial" w:cs="Arial"/>
                <w:b/>
                <w:bCs/>
                <w:sz w:val="20"/>
                <w:szCs w:val="20"/>
                <w:lang w:eastAsia="en-ZA"/>
              </w:rPr>
              <w:br/>
              <w:t>Expen-</w:t>
            </w:r>
            <w:r w:rsidRPr="008C0BE5">
              <w:rPr>
                <w:rFonts w:ascii="Arial" w:eastAsia="Times New Roman" w:hAnsi="Arial" w:cs="Arial"/>
                <w:b/>
                <w:bCs/>
                <w:sz w:val="20"/>
                <w:szCs w:val="20"/>
                <w:lang w:eastAsia="en-ZA"/>
              </w:rPr>
              <w:br/>
              <w:t>diture/</w:t>
            </w:r>
            <w:r w:rsidRPr="008C0BE5">
              <w:rPr>
                <w:rFonts w:ascii="Arial" w:eastAsia="Times New Roman" w:hAnsi="Arial" w:cs="Arial"/>
                <w:b/>
                <w:bCs/>
                <w:sz w:val="20"/>
                <w:szCs w:val="20"/>
                <w:lang w:eastAsia="en-ZA"/>
              </w:rPr>
              <w:br/>
              <w:t>Total</w:t>
            </w:r>
            <w:r w:rsidRPr="008C0BE5">
              <w:rPr>
                <w:rFonts w:ascii="Arial" w:eastAsia="Times New Roman" w:hAnsi="Arial" w:cs="Arial"/>
                <w:b/>
                <w:bCs/>
                <w:sz w:val="20"/>
                <w:szCs w:val="20"/>
                <w:lang w:eastAsia="en-ZA"/>
              </w:rPr>
              <w:br/>
              <w:t>(%)</w:t>
            </w:r>
          </w:p>
        </w:tc>
        <w:tc>
          <w:tcPr>
            <w:tcW w:w="2551" w:type="dxa"/>
            <w:gridSpan w:val="3"/>
            <w:tcBorders>
              <w:top w:val="single" w:sz="4" w:space="0" w:color="auto"/>
              <w:left w:val="nil"/>
              <w:bottom w:val="single" w:sz="4" w:space="0" w:color="auto"/>
              <w:right w:val="nil"/>
            </w:tcBorders>
            <w:shd w:val="clear" w:color="auto" w:fill="auto"/>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xml:space="preserve">Medium-term expenditure </w:t>
            </w:r>
            <w:r w:rsidRPr="008C0BE5">
              <w:rPr>
                <w:rFonts w:ascii="Arial" w:eastAsia="Times New Roman" w:hAnsi="Arial" w:cs="Arial"/>
                <w:b/>
                <w:bCs/>
                <w:sz w:val="20"/>
                <w:szCs w:val="20"/>
                <w:lang w:eastAsia="en-ZA"/>
              </w:rPr>
              <w:br/>
              <w:t>estimate</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Average</w:t>
            </w:r>
            <w:r w:rsidRPr="008C0BE5">
              <w:rPr>
                <w:rFonts w:ascii="Arial" w:eastAsia="Times New Roman" w:hAnsi="Arial" w:cs="Arial"/>
                <w:b/>
                <w:bCs/>
                <w:sz w:val="20"/>
                <w:szCs w:val="20"/>
                <w:lang w:eastAsia="en-ZA"/>
              </w:rPr>
              <w:br/>
              <w:t>growth</w:t>
            </w:r>
            <w:r w:rsidRPr="008C0BE5">
              <w:rPr>
                <w:rFonts w:ascii="Arial" w:eastAsia="Times New Roman" w:hAnsi="Arial" w:cs="Arial"/>
                <w:b/>
                <w:bCs/>
                <w:sz w:val="20"/>
                <w:szCs w:val="20"/>
                <w:lang w:eastAsia="en-ZA"/>
              </w:rPr>
              <w:br/>
              <w:t>rate</w:t>
            </w:r>
            <w:r w:rsidRPr="008C0BE5">
              <w:rPr>
                <w:rFonts w:ascii="Arial" w:eastAsia="Times New Roman" w:hAnsi="Arial" w:cs="Arial"/>
                <w:b/>
                <w:bCs/>
                <w:sz w:val="20"/>
                <w:szCs w:val="20"/>
                <w:lang w:eastAsia="en-ZA"/>
              </w:rPr>
              <w:br/>
              <w:t>(%)</w:t>
            </w:r>
          </w:p>
        </w:tc>
        <w:tc>
          <w:tcPr>
            <w:tcW w:w="841" w:type="dxa"/>
            <w:tcBorders>
              <w:top w:val="single" w:sz="4" w:space="0" w:color="auto"/>
              <w:left w:val="nil"/>
              <w:bottom w:val="single" w:sz="4" w:space="0" w:color="auto"/>
              <w:right w:val="single" w:sz="4" w:space="0" w:color="auto"/>
            </w:tcBorders>
            <w:shd w:val="clear" w:color="auto" w:fill="auto"/>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Average:</w:t>
            </w:r>
            <w:r w:rsidRPr="008C0BE5">
              <w:rPr>
                <w:rFonts w:ascii="Arial" w:eastAsia="Times New Roman" w:hAnsi="Arial" w:cs="Arial"/>
                <w:b/>
                <w:bCs/>
                <w:sz w:val="20"/>
                <w:szCs w:val="20"/>
                <w:lang w:eastAsia="en-ZA"/>
              </w:rPr>
              <w:br/>
              <w:t>Expen-</w:t>
            </w:r>
            <w:r w:rsidRPr="008C0BE5">
              <w:rPr>
                <w:rFonts w:ascii="Arial" w:eastAsia="Times New Roman" w:hAnsi="Arial" w:cs="Arial"/>
                <w:b/>
                <w:bCs/>
                <w:sz w:val="20"/>
                <w:szCs w:val="20"/>
                <w:lang w:eastAsia="en-ZA"/>
              </w:rPr>
              <w:br/>
              <w:t>diture/</w:t>
            </w:r>
            <w:r w:rsidRPr="008C0BE5">
              <w:rPr>
                <w:rFonts w:ascii="Arial" w:eastAsia="Times New Roman" w:hAnsi="Arial" w:cs="Arial"/>
                <w:b/>
                <w:bCs/>
                <w:sz w:val="20"/>
                <w:szCs w:val="20"/>
                <w:lang w:eastAsia="en-ZA"/>
              </w:rPr>
              <w:br/>
              <w:t>Total</w:t>
            </w:r>
            <w:r w:rsidRPr="008C0BE5">
              <w:rPr>
                <w:rFonts w:ascii="Arial" w:eastAsia="Times New Roman" w:hAnsi="Arial" w:cs="Arial"/>
                <w:b/>
                <w:bCs/>
                <w:sz w:val="20"/>
                <w:szCs w:val="20"/>
                <w:lang w:eastAsia="en-ZA"/>
              </w:rPr>
              <w:br/>
              <w:t>(%)</w:t>
            </w:r>
          </w:p>
        </w:tc>
      </w:tr>
      <w:tr w:rsidR="00781E9C" w:rsidRPr="008C0BE5" w:rsidTr="0084634A">
        <w:trPr>
          <w:trHeight w:val="288"/>
        </w:trPr>
        <w:tc>
          <w:tcPr>
            <w:tcW w:w="1555"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R million</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xml:space="preserve"> 2019/20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xml:space="preserve"> 2020/21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xml:space="preserve"> 2021/22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xml:space="preserve"> 2022/23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xml:space="preserve"> 2019/20 - 2022/23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xml:space="preserve"> 2023/24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xml:space="preserve"> 2024/25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xml:space="preserve"> 2025/26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xml:space="preserve"> 2022/23 - 2025/26 </w:t>
            </w:r>
          </w:p>
        </w:tc>
      </w:tr>
      <w:tr w:rsidR="00781E9C" w:rsidRPr="008C0BE5" w:rsidTr="0084634A">
        <w:trPr>
          <w:trHeight w:val="288"/>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781E9C" w:rsidRPr="008C0BE5" w:rsidRDefault="00781E9C"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South African Revenue Service</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9 529,0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10 271,9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11 295,2</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11 527,8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6,6%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12 157,6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11 636,2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12 135,1</w:t>
            </w:r>
          </w:p>
        </w:tc>
        <w:tc>
          <w:tcPr>
            <w:tcW w:w="719"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1,7%</w:t>
            </w:r>
          </w:p>
        </w:tc>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100,0%</w:t>
            </w:r>
          </w:p>
        </w:tc>
      </w:tr>
      <w:tr w:rsidR="00781E9C" w:rsidRPr="008C0BE5" w:rsidTr="0084634A">
        <w:trPr>
          <w:trHeight w:val="288"/>
        </w:trPr>
        <w:tc>
          <w:tcPr>
            <w:tcW w:w="1555"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xml:space="preserve">Total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9 529,0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10 271,9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11 295,2</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11 527,8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6,6%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12 157,6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11 636,2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12 135,1</w:t>
            </w:r>
          </w:p>
        </w:tc>
        <w:tc>
          <w:tcPr>
            <w:tcW w:w="719"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1,7%</w:t>
            </w:r>
          </w:p>
        </w:tc>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100,0%</w:t>
            </w:r>
          </w:p>
        </w:tc>
      </w:tr>
      <w:tr w:rsidR="00781E9C" w:rsidRPr="008C0BE5" w:rsidTr="0084634A">
        <w:trPr>
          <w:trHeight w:val="384"/>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781E9C" w:rsidRPr="008C0BE5" w:rsidRDefault="00781E9C"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Change to 2022</w:t>
            </w:r>
            <w:r w:rsidRPr="008C0BE5">
              <w:rPr>
                <w:rFonts w:ascii="Arial" w:eastAsia="Times New Roman" w:hAnsi="Arial" w:cs="Arial"/>
                <w:sz w:val="20"/>
                <w:szCs w:val="20"/>
                <w:lang w:eastAsia="en-ZA"/>
              </w:rPr>
              <w:br/>
              <w:t>Budget estimate</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color w:val="000000"/>
                <w:sz w:val="20"/>
                <w:szCs w:val="20"/>
                <w:lang w:eastAsia="en-ZA"/>
              </w:rPr>
            </w:pPr>
            <w:r w:rsidRPr="008C0BE5">
              <w:rPr>
                <w:rFonts w:ascii="Arial" w:eastAsia="Times New Roman" w:hAnsi="Arial" w:cs="Arial"/>
                <w:color w:val="000000"/>
                <w:sz w:val="20"/>
                <w:szCs w:val="20"/>
                <w:lang w:eastAsia="en-ZA"/>
              </w:rPr>
              <w:t xml:space="preserve">  –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color w:val="000000"/>
                <w:sz w:val="20"/>
                <w:szCs w:val="20"/>
                <w:lang w:eastAsia="en-ZA"/>
              </w:rPr>
            </w:pPr>
            <w:r w:rsidRPr="008C0BE5">
              <w:rPr>
                <w:rFonts w:ascii="Arial" w:eastAsia="Times New Roman" w:hAnsi="Arial" w:cs="Arial"/>
                <w:color w:val="000000"/>
                <w:sz w:val="20"/>
                <w:szCs w:val="20"/>
                <w:lang w:eastAsia="en-Z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color w:val="000000"/>
                <w:sz w:val="20"/>
                <w:szCs w:val="20"/>
                <w:lang w:eastAsia="en-ZA"/>
              </w:rPr>
            </w:pPr>
            <w:r w:rsidRPr="008C0BE5">
              <w:rPr>
                <w:rFonts w:ascii="Arial" w:eastAsia="Times New Roman" w:hAnsi="Arial" w:cs="Arial"/>
                <w:color w:val="000000"/>
                <w:sz w:val="20"/>
                <w:szCs w:val="20"/>
                <w:lang w:eastAsia="en-Z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color w:val="000000"/>
                <w:sz w:val="20"/>
                <w:szCs w:val="20"/>
                <w:lang w:eastAsia="en-ZA"/>
              </w:rPr>
            </w:pPr>
            <w:r w:rsidRPr="008C0BE5">
              <w:rPr>
                <w:rFonts w:ascii="Arial" w:eastAsia="Times New Roman" w:hAnsi="Arial" w:cs="Arial"/>
                <w:color w:val="000000"/>
                <w:sz w:val="20"/>
                <w:szCs w:val="20"/>
                <w:lang w:eastAsia="en-ZA"/>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color w:val="000000"/>
                <w:sz w:val="20"/>
                <w:szCs w:val="20"/>
                <w:lang w:eastAsia="en-ZA"/>
              </w:rPr>
            </w:pPr>
            <w:r w:rsidRPr="008C0BE5">
              <w:rPr>
                <w:rFonts w:ascii="Arial" w:eastAsia="Times New Roman" w:hAnsi="Arial" w:cs="Arial"/>
                <w:color w:val="000000"/>
                <w:sz w:val="20"/>
                <w:szCs w:val="20"/>
                <w:lang w:eastAsia="en-ZA"/>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color w:val="000000"/>
                <w:sz w:val="20"/>
                <w:szCs w:val="20"/>
                <w:lang w:eastAsia="en-ZA"/>
              </w:rPr>
            </w:pPr>
            <w:r w:rsidRPr="008C0BE5">
              <w:rPr>
                <w:rFonts w:ascii="Arial" w:eastAsia="Times New Roman" w:hAnsi="Arial" w:cs="Arial"/>
                <w:color w:val="000000"/>
                <w:sz w:val="20"/>
                <w:szCs w:val="20"/>
                <w:lang w:eastAsia="en-ZA"/>
              </w:rPr>
              <w:t xml:space="preserve">  – </w:t>
            </w:r>
          </w:p>
        </w:tc>
        <w:tc>
          <w:tcPr>
            <w:tcW w:w="719"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color w:val="000000"/>
                <w:sz w:val="20"/>
                <w:szCs w:val="20"/>
                <w:lang w:eastAsia="en-ZA"/>
              </w:rPr>
            </w:pPr>
            <w:r w:rsidRPr="008C0BE5">
              <w:rPr>
                <w:rFonts w:ascii="Arial" w:eastAsia="Times New Roman" w:hAnsi="Arial" w:cs="Arial"/>
                <w:color w:val="000000"/>
                <w:sz w:val="20"/>
                <w:szCs w:val="20"/>
                <w:lang w:eastAsia="en-ZA"/>
              </w:rPr>
              <w:t> </w:t>
            </w:r>
          </w:p>
        </w:tc>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color w:val="000000"/>
                <w:sz w:val="20"/>
                <w:szCs w:val="20"/>
                <w:lang w:eastAsia="en-ZA"/>
              </w:rPr>
            </w:pPr>
            <w:r w:rsidRPr="008C0BE5">
              <w:rPr>
                <w:rFonts w:ascii="Arial" w:eastAsia="Times New Roman" w:hAnsi="Arial" w:cs="Arial"/>
                <w:color w:val="000000"/>
                <w:sz w:val="20"/>
                <w:szCs w:val="20"/>
                <w:lang w:eastAsia="en-ZA"/>
              </w:rPr>
              <w:t> </w:t>
            </w:r>
          </w:p>
        </w:tc>
      </w:tr>
      <w:tr w:rsidR="00781E9C" w:rsidRPr="008C0BE5" w:rsidTr="0084634A">
        <w:trPr>
          <w:trHeight w:val="288"/>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1E9C" w:rsidRPr="008C0BE5" w:rsidRDefault="00781E9C" w:rsidP="008C0BE5">
            <w:pPr>
              <w:rPr>
                <w:rFonts w:ascii="Arial" w:eastAsia="Times New Roman" w:hAnsi="Arial" w:cs="Arial"/>
                <w:color w:val="000000"/>
                <w:sz w:val="20"/>
                <w:szCs w:val="20"/>
                <w:lang w:eastAsia="en-Z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1E9C" w:rsidRPr="008C0BE5" w:rsidRDefault="00781E9C" w:rsidP="008C0BE5">
            <w:pPr>
              <w:rPr>
                <w:rFonts w:ascii="Arial" w:eastAsia="Times New Roman" w:hAnsi="Arial" w:cs="Arial"/>
                <w:sz w:val="20"/>
                <w:szCs w:val="20"/>
                <w:lang w:eastAsia="en-ZA"/>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p>
        </w:tc>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p>
        </w:tc>
      </w:tr>
      <w:tr w:rsidR="00781E9C" w:rsidRPr="008C0BE5" w:rsidTr="0084634A">
        <w:trPr>
          <w:trHeight w:val="288"/>
        </w:trPr>
        <w:tc>
          <w:tcPr>
            <w:tcW w:w="1555"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Economic classification</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1E9C" w:rsidRPr="008C0BE5" w:rsidRDefault="00781E9C"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 </w:t>
            </w:r>
          </w:p>
        </w:tc>
        <w:tc>
          <w:tcPr>
            <w:tcW w:w="719"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w:t>
            </w:r>
          </w:p>
        </w:tc>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w:t>
            </w:r>
          </w:p>
        </w:tc>
      </w:tr>
      <w:tr w:rsidR="00781E9C" w:rsidRPr="008C0BE5" w:rsidTr="0084634A">
        <w:trPr>
          <w:trHeight w:val="288"/>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Transfers and subsidies</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9 529,0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10 271,9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11 295,2</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11 527,8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6,6%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12 157,6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11 636,2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12 135,1</w:t>
            </w:r>
          </w:p>
        </w:tc>
        <w:tc>
          <w:tcPr>
            <w:tcW w:w="719"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1,7%</w:t>
            </w:r>
          </w:p>
        </w:tc>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100,0%</w:t>
            </w:r>
          </w:p>
        </w:tc>
      </w:tr>
      <w:tr w:rsidR="00781E9C" w:rsidRPr="008C0BE5" w:rsidTr="0084634A">
        <w:trPr>
          <w:trHeight w:val="384"/>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781E9C" w:rsidRPr="008C0BE5" w:rsidRDefault="00781E9C"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Departmental agencies and accounts</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9 529,0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10 271,9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11 295,2</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11 527,8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6,6%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12 157,6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11 636,2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12 135,1</w:t>
            </w:r>
          </w:p>
        </w:tc>
        <w:tc>
          <w:tcPr>
            <w:tcW w:w="719"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1,7%</w:t>
            </w:r>
          </w:p>
        </w:tc>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100,0%</w:t>
            </w:r>
          </w:p>
        </w:tc>
      </w:tr>
      <w:tr w:rsidR="00781E9C" w:rsidRPr="008C0BE5" w:rsidTr="0084634A">
        <w:trPr>
          <w:trHeight w:val="288"/>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xml:space="preserve">Total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9 529,0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10 271,9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11 295,2</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11 527,8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6,6%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12 157,6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11 636,2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12 135,1</w:t>
            </w:r>
          </w:p>
        </w:tc>
        <w:tc>
          <w:tcPr>
            <w:tcW w:w="719"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1,7%</w:t>
            </w:r>
          </w:p>
        </w:tc>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100,0%</w:t>
            </w:r>
          </w:p>
        </w:tc>
      </w:tr>
      <w:tr w:rsidR="00781E9C" w:rsidRPr="008C0BE5" w:rsidTr="0084634A">
        <w:trPr>
          <w:trHeight w:val="511"/>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Proportion of total prog</w:t>
            </w:r>
            <w:r w:rsidR="00F90393" w:rsidRPr="008C0BE5">
              <w:rPr>
                <w:rFonts w:ascii="Arial" w:eastAsia="Times New Roman" w:hAnsi="Arial" w:cs="Arial"/>
                <w:b/>
                <w:bCs/>
                <w:sz w:val="20"/>
                <w:szCs w:val="20"/>
                <w:lang w:eastAsia="en-ZA"/>
              </w:rPr>
              <w:t xml:space="preserve"> </w:t>
            </w:r>
            <w:r w:rsidRPr="008C0BE5">
              <w:rPr>
                <w:rFonts w:ascii="Arial" w:eastAsia="Times New Roman" w:hAnsi="Arial" w:cs="Arial"/>
                <w:b/>
                <w:bCs/>
                <w:sz w:val="20"/>
                <w:szCs w:val="20"/>
                <w:lang w:eastAsia="en-ZA"/>
              </w:rPr>
              <w:t>expenditure to vote expenditure</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32,0%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30,1%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18,1%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29,7%</w:t>
            </w:r>
          </w:p>
        </w:tc>
        <w:tc>
          <w:tcPr>
            <w:tcW w:w="850" w:type="dxa"/>
            <w:tcBorders>
              <w:top w:val="single" w:sz="4" w:space="0" w:color="auto"/>
              <w:left w:val="single" w:sz="4" w:space="0" w:color="auto"/>
              <w:bottom w:val="single" w:sz="4" w:space="0" w:color="auto"/>
              <w:right w:val="single" w:sz="4" w:space="0" w:color="auto"/>
            </w:tcBorders>
            <w:shd w:val="clear" w:color="000000" w:fill="F2F2F2"/>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xml:space="preserve">  – </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xml:space="preserve">  –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34,8%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35,1%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35,0%</w:t>
            </w:r>
          </w:p>
        </w:tc>
        <w:tc>
          <w:tcPr>
            <w:tcW w:w="719" w:type="dxa"/>
            <w:tcBorders>
              <w:top w:val="single" w:sz="4" w:space="0" w:color="auto"/>
              <w:left w:val="single" w:sz="4" w:space="0" w:color="auto"/>
              <w:bottom w:val="single" w:sz="4" w:space="0" w:color="auto"/>
              <w:right w:val="single" w:sz="4" w:space="0" w:color="auto"/>
            </w:tcBorders>
            <w:shd w:val="clear" w:color="000000" w:fill="F2F2F2"/>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xml:space="preserve">  – </w:t>
            </w:r>
          </w:p>
        </w:tc>
        <w:tc>
          <w:tcPr>
            <w:tcW w:w="841" w:type="dxa"/>
            <w:tcBorders>
              <w:top w:val="single" w:sz="4" w:space="0" w:color="auto"/>
              <w:left w:val="single" w:sz="4" w:space="0" w:color="auto"/>
              <w:bottom w:val="single" w:sz="4" w:space="0" w:color="auto"/>
              <w:right w:val="single" w:sz="4" w:space="0" w:color="auto"/>
            </w:tcBorders>
            <w:shd w:val="clear" w:color="000000" w:fill="F2F2F2"/>
            <w:noWrap/>
            <w:hideMark/>
          </w:tcPr>
          <w:p w:rsidR="00781E9C" w:rsidRPr="008C0BE5" w:rsidRDefault="00781E9C"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xml:space="preserve">  – </w:t>
            </w:r>
          </w:p>
        </w:tc>
      </w:tr>
    </w:tbl>
    <w:p w:rsidR="00BB5614" w:rsidRPr="008C0BE5" w:rsidRDefault="00AA3D6C" w:rsidP="008C0BE5">
      <w:pPr>
        <w:pStyle w:val="ListParagraph"/>
        <w:spacing w:after="0" w:line="240" w:lineRule="auto"/>
        <w:ind w:left="360"/>
        <w:rPr>
          <w:rFonts w:ascii="Arial" w:hAnsi="Arial" w:cs="Arial"/>
          <w:b/>
          <w:bCs/>
          <w:sz w:val="20"/>
          <w:szCs w:val="20"/>
        </w:rPr>
      </w:pPr>
      <w:r w:rsidRPr="008C0BE5">
        <w:rPr>
          <w:rFonts w:ascii="Arial" w:hAnsi="Arial" w:cs="Arial"/>
          <w:b/>
          <w:bCs/>
          <w:sz w:val="20"/>
          <w:szCs w:val="20"/>
        </w:rPr>
        <w:t xml:space="preserve">TABLE 2: </w:t>
      </w:r>
      <w:r w:rsidR="005911B3" w:rsidRPr="008C0BE5">
        <w:rPr>
          <w:rFonts w:ascii="Arial" w:hAnsi="Arial" w:cs="Arial"/>
          <w:b/>
          <w:bCs/>
          <w:sz w:val="20"/>
          <w:szCs w:val="20"/>
        </w:rPr>
        <w:t>Revenue Administration trends</w:t>
      </w:r>
      <w:r w:rsidR="007D292D" w:rsidRPr="008C0BE5">
        <w:rPr>
          <w:rFonts w:ascii="Arial" w:hAnsi="Arial" w:cs="Arial"/>
          <w:b/>
          <w:bCs/>
          <w:sz w:val="20"/>
          <w:szCs w:val="20"/>
        </w:rPr>
        <w:t xml:space="preserve"> and estimates</w:t>
      </w:r>
    </w:p>
    <w:p w:rsidR="00A75794" w:rsidRPr="008C0BE5" w:rsidRDefault="00A75794" w:rsidP="008C0BE5">
      <w:pPr>
        <w:rPr>
          <w:rFonts w:ascii="Arial" w:hAnsi="Arial" w:cs="Arial"/>
          <w:sz w:val="20"/>
          <w:szCs w:val="20"/>
        </w:rPr>
      </w:pPr>
    </w:p>
    <w:tbl>
      <w:tblPr>
        <w:tblpPr w:leftFromText="180" w:rightFromText="180" w:vertAnchor="text" w:horzAnchor="margin" w:tblpXSpec="center" w:tblpY="284"/>
        <w:tblW w:w="11209" w:type="dxa"/>
        <w:tblLayout w:type="fixed"/>
        <w:tblLook w:val="04A0"/>
      </w:tblPr>
      <w:tblGrid>
        <w:gridCol w:w="1555"/>
        <w:gridCol w:w="992"/>
        <w:gridCol w:w="992"/>
        <w:gridCol w:w="851"/>
        <w:gridCol w:w="992"/>
        <w:gridCol w:w="850"/>
        <w:gridCol w:w="851"/>
        <w:gridCol w:w="850"/>
        <w:gridCol w:w="851"/>
        <w:gridCol w:w="850"/>
        <w:gridCol w:w="709"/>
        <w:gridCol w:w="866"/>
      </w:tblGrid>
      <w:tr w:rsidR="00687A4B" w:rsidRPr="008C0BE5" w:rsidTr="0034262D">
        <w:trPr>
          <w:trHeight w:val="288"/>
        </w:trPr>
        <w:tc>
          <w:tcPr>
            <w:tcW w:w="1555"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Current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7 854,9</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8 015,3</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10 198,9</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10 977,8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11,8%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86,9%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11 657,6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11 136,2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11 635,1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2,0%</w:t>
            </w:r>
          </w:p>
        </w:tc>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95,7%</w:t>
            </w:r>
          </w:p>
        </w:tc>
      </w:tr>
      <w:tr w:rsidR="00687A4B" w:rsidRPr="008C0BE5" w:rsidTr="0034262D">
        <w:trPr>
          <w:trHeight w:val="288"/>
        </w:trPr>
        <w:tc>
          <w:tcPr>
            <w:tcW w:w="1555"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South African Revenue Service: Operations</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7 814,6</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7 972,7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10 154,1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10 931,3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11,8%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86,5%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11 606,4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11 082,7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11 579,2</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1,9%</w:t>
            </w:r>
          </w:p>
        </w:tc>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95,2%</w:t>
            </w:r>
          </w:p>
        </w:tc>
      </w:tr>
      <w:tr w:rsidR="00687A4B" w:rsidRPr="008C0BE5" w:rsidTr="0034262D">
        <w:trPr>
          <w:trHeight w:val="288"/>
        </w:trPr>
        <w:tc>
          <w:tcPr>
            <w:tcW w:w="1555"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South African Revenue Service: Office of the Tax Ombud</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40,3</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42,5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44,9</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46,5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4,9%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0,4%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51,2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53,5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55,9</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6,3%</w:t>
            </w:r>
          </w:p>
        </w:tc>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0,4%</w:t>
            </w:r>
          </w:p>
        </w:tc>
      </w:tr>
      <w:tr w:rsidR="00687A4B" w:rsidRPr="008C0BE5" w:rsidTr="0034262D">
        <w:trPr>
          <w:trHeight w:val="288"/>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A4B" w:rsidRPr="008C0BE5" w:rsidRDefault="00687A4B"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 xml:space="preserve"> Capital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A4B" w:rsidRPr="008C0BE5" w:rsidRDefault="00687A4B"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1 674,1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A4B" w:rsidRPr="008C0BE5" w:rsidRDefault="00687A4B"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2 256,6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A4B" w:rsidRPr="008C0BE5" w:rsidRDefault="00687A4B"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1 096,3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A4B" w:rsidRPr="008C0BE5" w:rsidRDefault="00687A4B"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550,0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A4B" w:rsidRPr="008C0BE5" w:rsidRDefault="00687A4B"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-31,0%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A4B" w:rsidRPr="008C0BE5" w:rsidRDefault="00687A4B"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13,1%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A4B" w:rsidRPr="008C0BE5" w:rsidRDefault="00687A4B"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A4B" w:rsidRPr="008C0BE5" w:rsidRDefault="00687A4B"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A4B" w:rsidRPr="008C0BE5" w:rsidRDefault="00687A4B"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500,0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A4B" w:rsidRPr="008C0BE5" w:rsidRDefault="00687A4B"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-3,1%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A4B" w:rsidRPr="008C0BE5" w:rsidRDefault="00687A4B" w:rsidP="008C0BE5">
            <w:pPr>
              <w:rPr>
                <w:rFonts w:ascii="Arial" w:eastAsia="Times New Roman" w:hAnsi="Arial" w:cs="Arial"/>
                <w:b/>
                <w:bCs/>
                <w:sz w:val="20"/>
                <w:szCs w:val="20"/>
                <w:lang w:eastAsia="en-ZA"/>
              </w:rPr>
            </w:pPr>
            <w:r w:rsidRPr="008C0BE5">
              <w:rPr>
                <w:rFonts w:ascii="Arial" w:eastAsia="Times New Roman" w:hAnsi="Arial" w:cs="Arial"/>
                <w:b/>
                <w:bCs/>
                <w:sz w:val="20"/>
                <w:szCs w:val="20"/>
                <w:lang w:eastAsia="en-ZA"/>
              </w:rPr>
              <w:t>4,3%</w:t>
            </w:r>
          </w:p>
        </w:tc>
      </w:tr>
      <w:tr w:rsidR="00687A4B" w:rsidRPr="008C0BE5" w:rsidTr="0034262D">
        <w:trPr>
          <w:trHeight w:val="288"/>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lastRenderedPageBreak/>
              <w:t xml:space="preserve"> South African Revenue Service: Machinery and equipment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1 674,1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2 256,6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1 096,3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550,0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-31,0%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13,1%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500,0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-3,1%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A4B" w:rsidRPr="008C0BE5" w:rsidRDefault="00687A4B" w:rsidP="008C0BE5">
            <w:pPr>
              <w:rPr>
                <w:rFonts w:ascii="Arial" w:eastAsia="Times New Roman" w:hAnsi="Arial" w:cs="Arial"/>
                <w:sz w:val="20"/>
                <w:szCs w:val="20"/>
                <w:lang w:eastAsia="en-ZA"/>
              </w:rPr>
            </w:pPr>
            <w:r w:rsidRPr="008C0BE5">
              <w:rPr>
                <w:rFonts w:ascii="Arial" w:eastAsia="Times New Roman" w:hAnsi="Arial" w:cs="Arial"/>
                <w:sz w:val="20"/>
                <w:szCs w:val="20"/>
                <w:lang w:eastAsia="en-ZA"/>
              </w:rPr>
              <w:t>4,3%</w:t>
            </w:r>
          </w:p>
        </w:tc>
      </w:tr>
    </w:tbl>
    <w:p w:rsidR="00687A4B" w:rsidRPr="008C0BE5" w:rsidRDefault="00687A4B" w:rsidP="008C0BE5">
      <w:pPr>
        <w:pStyle w:val="ListParagraph"/>
        <w:spacing w:after="0" w:line="240" w:lineRule="auto"/>
        <w:ind w:left="360"/>
        <w:rPr>
          <w:rFonts w:ascii="Arial" w:hAnsi="Arial" w:cs="Arial"/>
          <w:sz w:val="20"/>
          <w:szCs w:val="20"/>
        </w:rPr>
      </w:pPr>
    </w:p>
    <w:p w:rsidR="00A75794" w:rsidRPr="008C0BE5" w:rsidRDefault="007D292D" w:rsidP="008C0BE5">
      <w:pPr>
        <w:pStyle w:val="ListParagraph"/>
        <w:spacing w:after="0" w:line="240" w:lineRule="auto"/>
        <w:ind w:left="360"/>
        <w:rPr>
          <w:rFonts w:ascii="Arial" w:hAnsi="Arial" w:cs="Arial"/>
          <w:sz w:val="20"/>
          <w:szCs w:val="20"/>
        </w:rPr>
      </w:pPr>
      <w:r w:rsidRPr="008C0BE5">
        <w:rPr>
          <w:rFonts w:ascii="Arial" w:hAnsi="Arial" w:cs="Arial"/>
          <w:b/>
          <w:bCs/>
          <w:sz w:val="20"/>
          <w:szCs w:val="20"/>
        </w:rPr>
        <w:t>Source</w:t>
      </w:r>
      <w:r w:rsidRPr="008C0BE5">
        <w:rPr>
          <w:rFonts w:ascii="Arial" w:hAnsi="Arial" w:cs="Arial"/>
          <w:sz w:val="20"/>
          <w:szCs w:val="20"/>
        </w:rPr>
        <w:t>: National Treasury ENE2023 MTEF Vote 8</w:t>
      </w:r>
    </w:p>
    <w:p w:rsidR="00F01A1A" w:rsidRPr="008C0BE5" w:rsidRDefault="00FD3949" w:rsidP="008C0BE5">
      <w:pPr>
        <w:pStyle w:val="ListParagraph"/>
        <w:spacing w:after="0" w:line="240" w:lineRule="auto"/>
        <w:ind w:left="360"/>
        <w:rPr>
          <w:rFonts w:ascii="Arial" w:hAnsi="Arial" w:cs="Arial"/>
          <w:sz w:val="20"/>
          <w:szCs w:val="20"/>
        </w:rPr>
      </w:pPr>
      <w:r w:rsidRPr="008C0BE5">
        <w:rPr>
          <w:rFonts w:ascii="Arial" w:hAnsi="Arial" w:cs="Arial"/>
          <w:sz w:val="20"/>
          <w:szCs w:val="20"/>
        </w:rPr>
        <w:t xml:space="preserve"> </w:t>
      </w:r>
    </w:p>
    <w:p w:rsidR="00DC21EF" w:rsidRPr="008C0BE5" w:rsidRDefault="00C51873" w:rsidP="008C0BE5">
      <w:pPr>
        <w:pStyle w:val="ListParagraph"/>
        <w:numPr>
          <w:ilvl w:val="1"/>
          <w:numId w:val="1"/>
        </w:numPr>
        <w:spacing w:after="0" w:line="240" w:lineRule="auto"/>
        <w:rPr>
          <w:rFonts w:ascii="Arial" w:hAnsi="Arial" w:cs="Arial"/>
          <w:sz w:val="20"/>
          <w:szCs w:val="20"/>
        </w:rPr>
      </w:pPr>
      <w:r w:rsidRPr="008C0BE5">
        <w:rPr>
          <w:rFonts w:ascii="Arial" w:hAnsi="Arial" w:cs="Arial"/>
          <w:sz w:val="20"/>
          <w:szCs w:val="20"/>
        </w:rPr>
        <w:t xml:space="preserve">For the 2023/24 financial year, SARS has 24 planned targets which include two new indicators. SARS will receive R1.5 billion over the MTEF to implement capital projects. SARS has indicated that it requires additional funding to execute their mandate and to address pressures in keeping up with the pace of technological changes as well as obtaining the requisite capacity and capabilities, whilst preparing existing staff to better cope with the intricacies of a global and </w:t>
      </w:r>
      <w:r w:rsidR="00196C8D" w:rsidRPr="008C0BE5">
        <w:rPr>
          <w:rFonts w:ascii="Arial" w:hAnsi="Arial" w:cs="Arial"/>
          <w:sz w:val="20"/>
          <w:szCs w:val="20"/>
        </w:rPr>
        <w:t>digitalised</w:t>
      </w:r>
      <w:r w:rsidRPr="008C0BE5">
        <w:rPr>
          <w:rFonts w:ascii="Arial" w:hAnsi="Arial" w:cs="Arial"/>
          <w:sz w:val="20"/>
          <w:szCs w:val="20"/>
        </w:rPr>
        <w:t xml:space="preserve"> economy as an imperative to continue to ensure optimal compliance with </w:t>
      </w:r>
      <w:r w:rsidR="00C15A00" w:rsidRPr="008C0BE5">
        <w:rPr>
          <w:rFonts w:ascii="Arial" w:hAnsi="Arial" w:cs="Arial"/>
          <w:sz w:val="20"/>
          <w:szCs w:val="20"/>
        </w:rPr>
        <w:t>t</w:t>
      </w:r>
      <w:r w:rsidRPr="008C0BE5">
        <w:rPr>
          <w:rFonts w:ascii="Arial" w:hAnsi="Arial" w:cs="Arial"/>
          <w:sz w:val="20"/>
          <w:szCs w:val="20"/>
        </w:rPr>
        <w:t xml:space="preserve">ax and </w:t>
      </w:r>
      <w:r w:rsidR="00C15A00" w:rsidRPr="008C0BE5">
        <w:rPr>
          <w:rFonts w:ascii="Arial" w:hAnsi="Arial" w:cs="Arial"/>
          <w:sz w:val="20"/>
          <w:szCs w:val="20"/>
        </w:rPr>
        <w:t>c</w:t>
      </w:r>
      <w:r w:rsidRPr="008C0BE5">
        <w:rPr>
          <w:rFonts w:ascii="Arial" w:hAnsi="Arial" w:cs="Arial"/>
          <w:sz w:val="20"/>
          <w:szCs w:val="20"/>
        </w:rPr>
        <w:t>ustoms laws. Although SARS received an allocation towards critical resources in 2021/22, the entity is not satisfied with the allocations.</w:t>
      </w:r>
    </w:p>
    <w:p w:rsidR="006F0A99" w:rsidRPr="008C0BE5" w:rsidRDefault="006F0A99" w:rsidP="008C0BE5">
      <w:pPr>
        <w:pStyle w:val="ListParagraph"/>
        <w:numPr>
          <w:ilvl w:val="1"/>
          <w:numId w:val="1"/>
        </w:numPr>
        <w:spacing w:after="0" w:line="240" w:lineRule="auto"/>
        <w:rPr>
          <w:rFonts w:ascii="Arial" w:hAnsi="Arial" w:cs="Arial"/>
          <w:sz w:val="20"/>
          <w:szCs w:val="20"/>
        </w:rPr>
      </w:pPr>
      <w:r w:rsidRPr="008C0BE5">
        <w:rPr>
          <w:rFonts w:ascii="Arial" w:hAnsi="Arial" w:cs="Arial"/>
          <w:sz w:val="20"/>
          <w:szCs w:val="20"/>
        </w:rPr>
        <w:t xml:space="preserve">SARS collected </w:t>
      </w:r>
      <w:r w:rsidR="00F70EB0" w:rsidRPr="008C0BE5">
        <w:rPr>
          <w:rFonts w:ascii="Arial" w:hAnsi="Arial" w:cs="Arial"/>
          <w:sz w:val="20"/>
          <w:szCs w:val="20"/>
        </w:rPr>
        <w:t xml:space="preserve">gross revenues of </w:t>
      </w:r>
      <w:r w:rsidRPr="008C0BE5">
        <w:rPr>
          <w:rFonts w:ascii="Arial" w:hAnsi="Arial" w:cs="Arial"/>
          <w:sz w:val="20"/>
          <w:szCs w:val="20"/>
        </w:rPr>
        <w:t>R</w:t>
      </w:r>
      <w:r w:rsidR="00F70EB0" w:rsidRPr="008C0BE5">
        <w:rPr>
          <w:rFonts w:ascii="Arial" w:hAnsi="Arial" w:cs="Arial"/>
          <w:sz w:val="20"/>
          <w:szCs w:val="20"/>
        </w:rPr>
        <w:t>2</w:t>
      </w:r>
      <w:r w:rsidRPr="008C0BE5">
        <w:rPr>
          <w:rFonts w:ascii="Arial" w:hAnsi="Arial" w:cs="Arial"/>
          <w:sz w:val="20"/>
          <w:szCs w:val="20"/>
        </w:rPr>
        <w:t>.</w:t>
      </w:r>
      <w:r w:rsidR="00F70EB0" w:rsidRPr="008C0BE5">
        <w:rPr>
          <w:rFonts w:ascii="Arial" w:hAnsi="Arial" w:cs="Arial"/>
          <w:sz w:val="20"/>
          <w:szCs w:val="20"/>
        </w:rPr>
        <w:t>0</w:t>
      </w:r>
      <w:r w:rsidRPr="008C0BE5">
        <w:rPr>
          <w:rFonts w:ascii="Arial" w:hAnsi="Arial" w:cs="Arial"/>
          <w:sz w:val="20"/>
          <w:szCs w:val="20"/>
        </w:rPr>
        <w:t xml:space="preserve"> trillion in 2022</w:t>
      </w:r>
      <w:r w:rsidR="00377854" w:rsidRPr="008C0BE5">
        <w:rPr>
          <w:rFonts w:ascii="Arial" w:hAnsi="Arial" w:cs="Arial"/>
          <w:sz w:val="20"/>
          <w:szCs w:val="20"/>
        </w:rPr>
        <w:t>/23</w:t>
      </w:r>
      <w:r w:rsidRPr="008C0BE5">
        <w:rPr>
          <w:rFonts w:ascii="Arial" w:hAnsi="Arial" w:cs="Arial"/>
          <w:sz w:val="20"/>
          <w:szCs w:val="20"/>
        </w:rPr>
        <w:t xml:space="preserve"> (which was </w:t>
      </w:r>
      <w:r w:rsidR="00D37B5D" w:rsidRPr="008C0BE5">
        <w:rPr>
          <w:rFonts w:ascii="Arial" w:hAnsi="Arial" w:cs="Arial"/>
          <w:sz w:val="20"/>
          <w:szCs w:val="20"/>
        </w:rPr>
        <w:t>7.9%</w:t>
      </w:r>
      <w:r w:rsidR="007F6B4D" w:rsidRPr="008C0BE5">
        <w:rPr>
          <w:rFonts w:ascii="Arial" w:hAnsi="Arial" w:cs="Arial"/>
          <w:sz w:val="20"/>
          <w:szCs w:val="20"/>
        </w:rPr>
        <w:t xml:space="preserve"> </w:t>
      </w:r>
      <w:r w:rsidRPr="008C0BE5">
        <w:rPr>
          <w:rFonts w:ascii="Arial" w:hAnsi="Arial" w:cs="Arial"/>
          <w:sz w:val="20"/>
          <w:szCs w:val="20"/>
        </w:rPr>
        <w:t>more than in 2021</w:t>
      </w:r>
      <w:r w:rsidR="00D37B5D" w:rsidRPr="008C0BE5">
        <w:rPr>
          <w:rFonts w:ascii="Arial" w:hAnsi="Arial" w:cs="Arial"/>
          <w:sz w:val="20"/>
          <w:szCs w:val="20"/>
        </w:rPr>
        <w:t>/22</w:t>
      </w:r>
      <w:r w:rsidRPr="008C0BE5">
        <w:rPr>
          <w:rFonts w:ascii="Arial" w:hAnsi="Arial" w:cs="Arial"/>
          <w:sz w:val="20"/>
          <w:szCs w:val="20"/>
        </w:rPr>
        <w:t>); paid refunds of R3</w:t>
      </w:r>
      <w:r w:rsidR="00623278" w:rsidRPr="008C0BE5">
        <w:rPr>
          <w:rFonts w:ascii="Arial" w:hAnsi="Arial" w:cs="Arial"/>
          <w:sz w:val="20"/>
          <w:szCs w:val="20"/>
        </w:rPr>
        <w:t>81</w:t>
      </w:r>
      <w:r w:rsidRPr="008C0BE5">
        <w:rPr>
          <w:rFonts w:ascii="Arial" w:hAnsi="Arial" w:cs="Arial"/>
          <w:sz w:val="20"/>
          <w:szCs w:val="20"/>
        </w:rPr>
        <w:t xml:space="preserve"> billion (R</w:t>
      </w:r>
      <w:r w:rsidR="009F5794" w:rsidRPr="008C0BE5">
        <w:rPr>
          <w:rFonts w:ascii="Arial" w:hAnsi="Arial" w:cs="Arial"/>
          <w:sz w:val="20"/>
          <w:szCs w:val="20"/>
        </w:rPr>
        <w:t>59</w:t>
      </w:r>
      <w:r w:rsidRPr="008C0BE5">
        <w:rPr>
          <w:rFonts w:ascii="Arial" w:hAnsi="Arial" w:cs="Arial"/>
          <w:sz w:val="20"/>
          <w:szCs w:val="20"/>
        </w:rPr>
        <w:t xml:space="preserve"> billion more than 2021</w:t>
      </w:r>
      <w:r w:rsidR="009F5794" w:rsidRPr="008C0BE5">
        <w:rPr>
          <w:rFonts w:ascii="Arial" w:hAnsi="Arial" w:cs="Arial"/>
          <w:sz w:val="20"/>
          <w:szCs w:val="20"/>
        </w:rPr>
        <w:t>/22</w:t>
      </w:r>
      <w:r w:rsidRPr="008C0BE5">
        <w:rPr>
          <w:rFonts w:ascii="Arial" w:hAnsi="Arial" w:cs="Arial"/>
          <w:sz w:val="20"/>
          <w:szCs w:val="20"/>
        </w:rPr>
        <w:t>)</w:t>
      </w:r>
      <w:r w:rsidR="00B61406" w:rsidRPr="008C0BE5">
        <w:rPr>
          <w:rFonts w:ascii="Arial" w:hAnsi="Arial" w:cs="Arial"/>
          <w:sz w:val="20"/>
          <w:szCs w:val="20"/>
        </w:rPr>
        <w:t xml:space="preserve"> – leading to net revenue of R1,6 trillion (</w:t>
      </w:r>
      <w:r w:rsidR="004B7FE5" w:rsidRPr="008C0BE5">
        <w:rPr>
          <w:rFonts w:ascii="Arial" w:hAnsi="Arial" w:cs="Arial"/>
          <w:sz w:val="20"/>
          <w:szCs w:val="20"/>
        </w:rPr>
        <w:t>7.9% more than the previous year)</w:t>
      </w:r>
      <w:r w:rsidRPr="008C0BE5">
        <w:rPr>
          <w:rFonts w:ascii="Arial" w:hAnsi="Arial" w:cs="Arial"/>
          <w:sz w:val="20"/>
          <w:szCs w:val="20"/>
        </w:rPr>
        <w:t>; collected R2</w:t>
      </w:r>
      <w:r w:rsidR="009C482B" w:rsidRPr="008C0BE5">
        <w:rPr>
          <w:rFonts w:ascii="Arial" w:hAnsi="Arial" w:cs="Arial"/>
          <w:sz w:val="20"/>
          <w:szCs w:val="20"/>
        </w:rPr>
        <w:t>31</w:t>
      </w:r>
      <w:r w:rsidRPr="008C0BE5">
        <w:rPr>
          <w:rFonts w:ascii="Arial" w:hAnsi="Arial" w:cs="Arial"/>
          <w:sz w:val="20"/>
          <w:szCs w:val="20"/>
        </w:rPr>
        <w:t>.</w:t>
      </w:r>
      <w:r w:rsidR="009C482B" w:rsidRPr="008C0BE5">
        <w:rPr>
          <w:rFonts w:ascii="Arial" w:hAnsi="Arial" w:cs="Arial"/>
          <w:sz w:val="20"/>
          <w:szCs w:val="20"/>
        </w:rPr>
        <w:t>8</w:t>
      </w:r>
      <w:r w:rsidRPr="008C0BE5">
        <w:rPr>
          <w:rFonts w:ascii="Arial" w:hAnsi="Arial" w:cs="Arial"/>
          <w:sz w:val="20"/>
          <w:szCs w:val="20"/>
        </w:rPr>
        <w:t xml:space="preserve"> billion compliance revenue (</w:t>
      </w:r>
      <w:r w:rsidR="00235824" w:rsidRPr="008C0BE5">
        <w:rPr>
          <w:rFonts w:ascii="Arial" w:hAnsi="Arial" w:cs="Arial"/>
          <w:sz w:val="20"/>
          <w:szCs w:val="20"/>
        </w:rPr>
        <w:t>7.6</w:t>
      </w:r>
      <w:r w:rsidRPr="008C0BE5">
        <w:rPr>
          <w:rFonts w:ascii="Arial" w:hAnsi="Arial" w:cs="Arial"/>
          <w:sz w:val="20"/>
          <w:szCs w:val="20"/>
        </w:rPr>
        <w:t xml:space="preserve">% more than the previous year); </w:t>
      </w:r>
      <w:r w:rsidR="00233F8A" w:rsidRPr="008C0BE5">
        <w:rPr>
          <w:rFonts w:ascii="Arial" w:hAnsi="Arial" w:cs="Arial"/>
          <w:sz w:val="20"/>
          <w:szCs w:val="20"/>
        </w:rPr>
        <w:t>and facilitated trade totalling R3.</w:t>
      </w:r>
      <w:r w:rsidR="00EA4A26" w:rsidRPr="008C0BE5">
        <w:rPr>
          <w:rFonts w:ascii="Arial" w:hAnsi="Arial" w:cs="Arial"/>
          <w:sz w:val="20"/>
          <w:szCs w:val="20"/>
        </w:rPr>
        <w:t>9</w:t>
      </w:r>
      <w:r w:rsidR="00233F8A" w:rsidRPr="008C0BE5">
        <w:rPr>
          <w:rFonts w:ascii="Arial" w:hAnsi="Arial" w:cs="Arial"/>
          <w:sz w:val="20"/>
          <w:szCs w:val="20"/>
        </w:rPr>
        <w:t xml:space="preserve"> trillion (which </w:t>
      </w:r>
      <w:r w:rsidR="00EA4A26" w:rsidRPr="008C0BE5">
        <w:rPr>
          <w:rFonts w:ascii="Arial" w:hAnsi="Arial" w:cs="Arial"/>
          <w:sz w:val="20"/>
          <w:szCs w:val="20"/>
        </w:rPr>
        <w:t>is</w:t>
      </w:r>
      <w:r w:rsidR="00233F8A" w:rsidRPr="008C0BE5">
        <w:rPr>
          <w:rFonts w:ascii="Arial" w:hAnsi="Arial" w:cs="Arial"/>
          <w:sz w:val="20"/>
          <w:szCs w:val="20"/>
        </w:rPr>
        <w:t xml:space="preserve"> </w:t>
      </w:r>
      <w:r w:rsidR="00EA4A26" w:rsidRPr="008C0BE5">
        <w:rPr>
          <w:rFonts w:ascii="Arial" w:hAnsi="Arial" w:cs="Arial"/>
          <w:sz w:val="20"/>
          <w:szCs w:val="20"/>
        </w:rPr>
        <w:t>18</w:t>
      </w:r>
      <w:r w:rsidR="00233F8A" w:rsidRPr="008C0BE5">
        <w:rPr>
          <w:rFonts w:ascii="Arial" w:hAnsi="Arial" w:cs="Arial"/>
          <w:sz w:val="20"/>
          <w:szCs w:val="20"/>
        </w:rPr>
        <w:t>% more than in 2021</w:t>
      </w:r>
      <w:r w:rsidR="00EA4A26" w:rsidRPr="008C0BE5">
        <w:rPr>
          <w:rFonts w:ascii="Arial" w:hAnsi="Arial" w:cs="Arial"/>
          <w:sz w:val="20"/>
          <w:szCs w:val="20"/>
        </w:rPr>
        <w:t>/22</w:t>
      </w:r>
      <w:r w:rsidR="00233F8A" w:rsidRPr="008C0BE5">
        <w:rPr>
          <w:rFonts w:ascii="Arial" w:hAnsi="Arial" w:cs="Arial"/>
          <w:sz w:val="20"/>
          <w:szCs w:val="20"/>
        </w:rPr>
        <w:t xml:space="preserve">). </w:t>
      </w:r>
    </w:p>
    <w:p w:rsidR="00BC3C76" w:rsidRPr="008C0BE5" w:rsidRDefault="00BC3C76" w:rsidP="008C0BE5">
      <w:pPr>
        <w:pStyle w:val="ListParagraph"/>
        <w:numPr>
          <w:ilvl w:val="1"/>
          <w:numId w:val="1"/>
        </w:numPr>
        <w:spacing w:after="0" w:line="240" w:lineRule="auto"/>
        <w:rPr>
          <w:rFonts w:ascii="Arial" w:hAnsi="Arial" w:cs="Arial"/>
          <w:sz w:val="20"/>
          <w:szCs w:val="20"/>
        </w:rPr>
      </w:pPr>
      <w:r w:rsidRPr="008C0BE5">
        <w:rPr>
          <w:rFonts w:ascii="Arial" w:hAnsi="Arial" w:cs="Arial"/>
          <w:sz w:val="20"/>
          <w:szCs w:val="20"/>
        </w:rPr>
        <w:t xml:space="preserve"> Table 3 below summarises all SARS’s performance indicators and budget per programme</w:t>
      </w:r>
      <w:r w:rsidR="005C7C32" w:rsidRPr="008C0BE5">
        <w:rPr>
          <w:rFonts w:ascii="Arial" w:hAnsi="Arial" w:cs="Arial"/>
          <w:sz w:val="20"/>
          <w:szCs w:val="20"/>
        </w:rPr>
        <w:t xml:space="preserve"> over the MTEF. </w:t>
      </w:r>
      <w:r w:rsidRPr="008C0BE5">
        <w:rPr>
          <w:rFonts w:ascii="Arial" w:hAnsi="Arial" w:cs="Arial"/>
          <w:sz w:val="20"/>
          <w:szCs w:val="20"/>
        </w:rPr>
        <w:t xml:space="preserve"> </w:t>
      </w:r>
    </w:p>
    <w:p w:rsidR="000F77BD" w:rsidRPr="008C0BE5" w:rsidRDefault="000F77BD" w:rsidP="008C0BE5">
      <w:pPr>
        <w:pStyle w:val="ListParagraph"/>
        <w:spacing w:after="0" w:line="240" w:lineRule="auto"/>
        <w:ind w:left="360"/>
        <w:rPr>
          <w:rFonts w:ascii="Arial" w:hAnsi="Arial" w:cs="Arial"/>
          <w:b/>
          <w:sz w:val="20"/>
          <w:szCs w:val="20"/>
        </w:rPr>
      </w:pPr>
      <w:r w:rsidRPr="008C0BE5">
        <w:rPr>
          <w:rFonts w:ascii="Arial" w:hAnsi="Arial" w:cs="Arial"/>
          <w:b/>
          <w:sz w:val="20"/>
          <w:szCs w:val="20"/>
        </w:rPr>
        <w:t>TABLE 3</w:t>
      </w:r>
      <w:r w:rsidR="0073384A" w:rsidRPr="008C0BE5">
        <w:rPr>
          <w:rFonts w:ascii="Arial" w:hAnsi="Arial" w:cs="Arial"/>
          <w:b/>
          <w:sz w:val="20"/>
          <w:szCs w:val="20"/>
        </w:rPr>
        <w:t>: Summary of SARS targets and budget</w:t>
      </w:r>
    </w:p>
    <w:tbl>
      <w:tblPr>
        <w:tblStyle w:val="TableGrid"/>
        <w:tblW w:w="10632" w:type="dxa"/>
        <w:tblInd w:w="-714" w:type="dxa"/>
        <w:tblLayout w:type="fixed"/>
        <w:tblLook w:val="04A0"/>
      </w:tblPr>
      <w:tblGrid>
        <w:gridCol w:w="2269"/>
        <w:gridCol w:w="3402"/>
        <w:gridCol w:w="1417"/>
        <w:gridCol w:w="1134"/>
        <w:gridCol w:w="1134"/>
        <w:gridCol w:w="1276"/>
      </w:tblGrid>
      <w:tr w:rsidR="00AE17EE" w:rsidRPr="008C0BE5" w:rsidTr="00AE17EE">
        <w:trPr>
          <w:trHeight w:val="256"/>
        </w:trPr>
        <w:tc>
          <w:tcPr>
            <w:tcW w:w="2269" w:type="dxa"/>
            <w:vMerge w:val="restart"/>
            <w:shd w:val="clear" w:color="auto" w:fill="FFFFFF" w:themeFill="background1"/>
          </w:tcPr>
          <w:p w:rsidR="006B27C0" w:rsidRPr="008C0BE5" w:rsidRDefault="006B27C0" w:rsidP="008C0BE5">
            <w:pPr>
              <w:rPr>
                <w:rFonts w:ascii="Arial" w:hAnsi="Arial" w:cs="Arial"/>
                <w:b/>
                <w:bCs/>
                <w:sz w:val="20"/>
                <w:szCs w:val="20"/>
              </w:rPr>
            </w:pPr>
            <w:r w:rsidRPr="008C0BE5">
              <w:rPr>
                <w:rFonts w:ascii="Arial" w:hAnsi="Arial" w:cs="Arial"/>
                <w:b/>
                <w:bCs/>
                <w:sz w:val="20"/>
                <w:szCs w:val="20"/>
              </w:rPr>
              <w:t>Strategic Intent</w:t>
            </w:r>
          </w:p>
        </w:tc>
        <w:tc>
          <w:tcPr>
            <w:tcW w:w="3402" w:type="dxa"/>
            <w:vMerge w:val="restart"/>
            <w:shd w:val="clear" w:color="auto" w:fill="FFFFFF" w:themeFill="background1"/>
          </w:tcPr>
          <w:p w:rsidR="006B27C0" w:rsidRPr="008C0BE5" w:rsidRDefault="006B27C0" w:rsidP="008C0BE5">
            <w:pPr>
              <w:rPr>
                <w:rFonts w:ascii="Arial" w:hAnsi="Arial" w:cs="Arial"/>
                <w:b/>
                <w:bCs/>
                <w:sz w:val="20"/>
                <w:szCs w:val="20"/>
              </w:rPr>
            </w:pPr>
            <w:r w:rsidRPr="008C0BE5">
              <w:rPr>
                <w:rFonts w:ascii="Arial" w:hAnsi="Arial" w:cs="Arial"/>
                <w:b/>
                <w:bCs/>
                <w:sz w:val="20"/>
                <w:szCs w:val="20"/>
              </w:rPr>
              <w:t>Strategic Performance Target</w:t>
            </w:r>
          </w:p>
        </w:tc>
        <w:tc>
          <w:tcPr>
            <w:tcW w:w="1417" w:type="dxa"/>
            <w:vMerge w:val="restart"/>
            <w:shd w:val="clear" w:color="auto" w:fill="FFFFFF" w:themeFill="background1"/>
          </w:tcPr>
          <w:p w:rsidR="006B27C0" w:rsidRPr="008C0BE5" w:rsidRDefault="006B27C0" w:rsidP="008C0BE5">
            <w:pPr>
              <w:rPr>
                <w:rFonts w:ascii="Arial" w:hAnsi="Arial" w:cs="Arial"/>
                <w:b/>
                <w:bCs/>
                <w:sz w:val="20"/>
                <w:szCs w:val="20"/>
              </w:rPr>
            </w:pPr>
            <w:r w:rsidRPr="008C0BE5">
              <w:rPr>
                <w:rFonts w:ascii="Arial" w:hAnsi="Arial" w:cs="Arial"/>
                <w:b/>
                <w:bCs/>
                <w:sz w:val="20"/>
                <w:szCs w:val="20"/>
              </w:rPr>
              <w:t>Number of target indicators</w:t>
            </w:r>
          </w:p>
        </w:tc>
        <w:tc>
          <w:tcPr>
            <w:tcW w:w="3544" w:type="dxa"/>
            <w:gridSpan w:val="3"/>
            <w:tcBorders>
              <w:bottom w:val="single" w:sz="4" w:space="0" w:color="auto"/>
            </w:tcBorders>
            <w:shd w:val="clear" w:color="auto" w:fill="FFFFFF" w:themeFill="background1"/>
          </w:tcPr>
          <w:p w:rsidR="006B27C0" w:rsidRPr="008C0BE5" w:rsidRDefault="006B27C0" w:rsidP="008C0BE5">
            <w:pPr>
              <w:rPr>
                <w:rFonts w:ascii="Arial" w:hAnsi="Arial" w:cs="Arial"/>
                <w:b/>
                <w:bCs/>
                <w:sz w:val="20"/>
                <w:szCs w:val="20"/>
              </w:rPr>
            </w:pPr>
            <w:r w:rsidRPr="008C0BE5">
              <w:rPr>
                <w:rFonts w:ascii="Arial" w:hAnsi="Arial" w:cs="Arial"/>
                <w:b/>
                <w:bCs/>
                <w:sz w:val="20"/>
                <w:szCs w:val="20"/>
              </w:rPr>
              <w:t>Budget (R’000)</w:t>
            </w:r>
          </w:p>
        </w:tc>
      </w:tr>
      <w:tr w:rsidR="000F77BD" w:rsidRPr="008C0BE5" w:rsidTr="00AE17EE">
        <w:trPr>
          <w:trHeight w:val="850"/>
        </w:trPr>
        <w:tc>
          <w:tcPr>
            <w:tcW w:w="2269" w:type="dxa"/>
            <w:vMerge/>
            <w:shd w:val="clear" w:color="auto" w:fill="FFFFFF" w:themeFill="background1"/>
          </w:tcPr>
          <w:p w:rsidR="006B27C0" w:rsidRPr="008C0BE5" w:rsidRDefault="006B27C0" w:rsidP="008C0BE5">
            <w:pPr>
              <w:rPr>
                <w:rFonts w:ascii="Arial" w:hAnsi="Arial" w:cs="Arial"/>
                <w:b/>
                <w:bCs/>
                <w:sz w:val="20"/>
                <w:szCs w:val="20"/>
              </w:rPr>
            </w:pPr>
          </w:p>
        </w:tc>
        <w:tc>
          <w:tcPr>
            <w:tcW w:w="3402" w:type="dxa"/>
            <w:vMerge/>
            <w:shd w:val="clear" w:color="auto" w:fill="FFFFFF" w:themeFill="background1"/>
          </w:tcPr>
          <w:p w:rsidR="006B27C0" w:rsidRPr="008C0BE5" w:rsidRDefault="006B27C0" w:rsidP="008C0BE5">
            <w:pPr>
              <w:rPr>
                <w:rFonts w:ascii="Arial" w:hAnsi="Arial" w:cs="Arial"/>
                <w:b/>
                <w:bCs/>
                <w:sz w:val="20"/>
                <w:szCs w:val="20"/>
              </w:rPr>
            </w:pPr>
          </w:p>
        </w:tc>
        <w:tc>
          <w:tcPr>
            <w:tcW w:w="1417" w:type="dxa"/>
            <w:vMerge/>
            <w:shd w:val="clear" w:color="auto" w:fill="FFFFFF" w:themeFill="background1"/>
          </w:tcPr>
          <w:p w:rsidR="006B27C0" w:rsidRPr="008C0BE5" w:rsidRDefault="006B27C0" w:rsidP="008C0BE5">
            <w:pPr>
              <w:rPr>
                <w:rFonts w:ascii="Arial" w:hAnsi="Arial" w:cs="Arial"/>
                <w:b/>
                <w:bCs/>
                <w:sz w:val="20"/>
                <w:szCs w:val="20"/>
              </w:rPr>
            </w:pPr>
          </w:p>
        </w:tc>
        <w:tc>
          <w:tcPr>
            <w:tcW w:w="1134" w:type="dxa"/>
            <w:shd w:val="clear" w:color="auto" w:fill="FFFFFF" w:themeFill="background1"/>
          </w:tcPr>
          <w:p w:rsidR="006B27C0" w:rsidRPr="008C0BE5" w:rsidRDefault="006B27C0" w:rsidP="008C0BE5">
            <w:pPr>
              <w:rPr>
                <w:rFonts w:ascii="Arial" w:hAnsi="Arial" w:cs="Arial"/>
                <w:b/>
                <w:bCs/>
                <w:sz w:val="20"/>
                <w:szCs w:val="20"/>
              </w:rPr>
            </w:pPr>
            <w:r w:rsidRPr="008C0BE5">
              <w:rPr>
                <w:rFonts w:ascii="Arial" w:hAnsi="Arial" w:cs="Arial"/>
                <w:b/>
                <w:bCs/>
                <w:sz w:val="20"/>
                <w:szCs w:val="20"/>
              </w:rPr>
              <w:t>2023/24</w:t>
            </w:r>
          </w:p>
        </w:tc>
        <w:tc>
          <w:tcPr>
            <w:tcW w:w="1134" w:type="dxa"/>
            <w:shd w:val="clear" w:color="auto" w:fill="FFFFFF" w:themeFill="background1"/>
          </w:tcPr>
          <w:p w:rsidR="006B27C0" w:rsidRPr="008C0BE5" w:rsidRDefault="006B27C0" w:rsidP="008C0BE5">
            <w:pPr>
              <w:rPr>
                <w:rFonts w:ascii="Arial" w:hAnsi="Arial" w:cs="Arial"/>
                <w:b/>
                <w:bCs/>
                <w:sz w:val="20"/>
                <w:szCs w:val="20"/>
              </w:rPr>
            </w:pPr>
            <w:r w:rsidRPr="008C0BE5">
              <w:rPr>
                <w:rFonts w:ascii="Arial" w:hAnsi="Arial" w:cs="Arial"/>
                <w:b/>
                <w:bCs/>
                <w:sz w:val="20"/>
                <w:szCs w:val="20"/>
              </w:rPr>
              <w:t>2024/25</w:t>
            </w:r>
          </w:p>
        </w:tc>
        <w:tc>
          <w:tcPr>
            <w:tcW w:w="1276" w:type="dxa"/>
            <w:shd w:val="clear" w:color="auto" w:fill="FFFFFF" w:themeFill="background1"/>
          </w:tcPr>
          <w:p w:rsidR="006B27C0" w:rsidRPr="008C0BE5" w:rsidRDefault="006B27C0" w:rsidP="008C0BE5">
            <w:pPr>
              <w:rPr>
                <w:rFonts w:ascii="Arial" w:hAnsi="Arial" w:cs="Arial"/>
                <w:b/>
                <w:bCs/>
                <w:sz w:val="20"/>
                <w:szCs w:val="20"/>
              </w:rPr>
            </w:pPr>
            <w:r w:rsidRPr="008C0BE5">
              <w:rPr>
                <w:rFonts w:ascii="Arial" w:hAnsi="Arial" w:cs="Arial"/>
                <w:b/>
                <w:bCs/>
                <w:sz w:val="20"/>
                <w:szCs w:val="20"/>
              </w:rPr>
              <w:t>2025/26</w:t>
            </w:r>
          </w:p>
        </w:tc>
      </w:tr>
      <w:tr w:rsidR="00AE17EE" w:rsidRPr="008C0BE5" w:rsidTr="00AE17EE">
        <w:tc>
          <w:tcPr>
            <w:tcW w:w="2269" w:type="dxa"/>
            <w:shd w:val="clear" w:color="auto" w:fill="FFFFFF" w:themeFill="background1"/>
          </w:tcPr>
          <w:p w:rsidR="006B27C0" w:rsidRPr="008C0BE5" w:rsidRDefault="006B27C0" w:rsidP="008C0BE5">
            <w:pPr>
              <w:rPr>
                <w:rFonts w:ascii="Arial" w:hAnsi="Arial" w:cs="Arial"/>
                <w:b/>
                <w:sz w:val="20"/>
                <w:szCs w:val="20"/>
              </w:rPr>
            </w:pPr>
            <w:r w:rsidRPr="008C0BE5">
              <w:rPr>
                <w:rFonts w:ascii="Arial" w:hAnsi="Arial" w:cs="Arial"/>
                <w:sz w:val="20"/>
                <w:szCs w:val="20"/>
              </w:rPr>
              <w:t xml:space="preserve">Institutional </w:t>
            </w:r>
            <w:r w:rsidR="00AE17EE" w:rsidRPr="008C0BE5">
              <w:rPr>
                <w:rFonts w:ascii="Arial" w:hAnsi="Arial" w:cs="Arial"/>
                <w:sz w:val="20"/>
                <w:szCs w:val="20"/>
              </w:rPr>
              <w:t>performance: To</w:t>
            </w:r>
            <w:r w:rsidRPr="008C0BE5">
              <w:rPr>
                <w:rFonts w:ascii="Arial" w:hAnsi="Arial" w:cs="Arial"/>
                <w:sz w:val="20"/>
                <w:szCs w:val="20"/>
              </w:rPr>
              <w:t xml:space="preserve"> develop and administer a tax and customs systems based on voluntary compliance and where appropriate enforce responsibly and decisively</w:t>
            </w:r>
          </w:p>
        </w:tc>
        <w:tc>
          <w:tcPr>
            <w:tcW w:w="3402" w:type="dxa"/>
            <w:shd w:val="clear" w:color="auto" w:fill="FFFFFF" w:themeFill="background1"/>
          </w:tcPr>
          <w:p w:rsidR="006B27C0" w:rsidRPr="008C0BE5" w:rsidRDefault="006B27C0" w:rsidP="008C0BE5">
            <w:pPr>
              <w:rPr>
                <w:rFonts w:ascii="Arial" w:hAnsi="Arial" w:cs="Arial"/>
                <w:sz w:val="20"/>
                <w:szCs w:val="20"/>
              </w:rPr>
            </w:pPr>
            <w:r w:rsidRPr="008C0BE5">
              <w:rPr>
                <w:rFonts w:ascii="Arial" w:hAnsi="Arial" w:cs="Arial"/>
                <w:sz w:val="20"/>
                <w:szCs w:val="20"/>
              </w:rPr>
              <w:t>Revenue estimates are met and/or exceeded % Collection of revenue as agreed with the Minister, Enhanced Trade Facilitation, Overall compliance has increased as measured by a well-defined compliance.</w:t>
            </w:r>
          </w:p>
        </w:tc>
        <w:tc>
          <w:tcPr>
            <w:tcW w:w="1417" w:type="dxa"/>
            <w:tcBorders>
              <w:bottom w:val="single" w:sz="4" w:space="0" w:color="auto"/>
            </w:tcBorders>
            <w:shd w:val="clear" w:color="auto" w:fill="FFFFFF" w:themeFill="background1"/>
          </w:tcPr>
          <w:p w:rsidR="006B27C0" w:rsidRPr="008C0BE5" w:rsidRDefault="006B27C0" w:rsidP="008C0BE5">
            <w:pPr>
              <w:rPr>
                <w:rFonts w:ascii="Arial" w:hAnsi="Arial" w:cs="Arial"/>
                <w:sz w:val="20"/>
                <w:szCs w:val="20"/>
              </w:rPr>
            </w:pPr>
            <w:r w:rsidRPr="008C0BE5">
              <w:rPr>
                <w:rFonts w:ascii="Arial" w:hAnsi="Arial" w:cs="Arial"/>
                <w:sz w:val="20"/>
                <w:szCs w:val="20"/>
              </w:rPr>
              <w:t>3</w:t>
            </w:r>
          </w:p>
        </w:tc>
        <w:tc>
          <w:tcPr>
            <w:tcW w:w="1134" w:type="dxa"/>
            <w:tcBorders>
              <w:bottom w:val="single" w:sz="4" w:space="0" w:color="auto"/>
            </w:tcBorders>
            <w:shd w:val="clear" w:color="auto" w:fill="FFFFFF" w:themeFill="background1"/>
          </w:tcPr>
          <w:p w:rsidR="006B27C0" w:rsidRPr="008C0BE5" w:rsidRDefault="006B27C0" w:rsidP="008C0BE5">
            <w:pPr>
              <w:rPr>
                <w:rFonts w:ascii="Arial" w:hAnsi="Arial" w:cs="Arial"/>
                <w:sz w:val="20"/>
                <w:szCs w:val="20"/>
              </w:rPr>
            </w:pPr>
          </w:p>
        </w:tc>
        <w:tc>
          <w:tcPr>
            <w:tcW w:w="1134" w:type="dxa"/>
            <w:tcBorders>
              <w:bottom w:val="single" w:sz="4" w:space="0" w:color="auto"/>
            </w:tcBorders>
            <w:shd w:val="clear" w:color="auto" w:fill="FFFFFF" w:themeFill="background1"/>
          </w:tcPr>
          <w:p w:rsidR="006B27C0" w:rsidRPr="008C0BE5" w:rsidRDefault="006B27C0" w:rsidP="008C0BE5">
            <w:pPr>
              <w:rPr>
                <w:rFonts w:ascii="Arial" w:hAnsi="Arial" w:cs="Arial"/>
                <w:sz w:val="20"/>
                <w:szCs w:val="20"/>
              </w:rPr>
            </w:pPr>
          </w:p>
        </w:tc>
        <w:tc>
          <w:tcPr>
            <w:tcW w:w="1276" w:type="dxa"/>
            <w:tcBorders>
              <w:bottom w:val="single" w:sz="4" w:space="0" w:color="auto"/>
            </w:tcBorders>
            <w:shd w:val="clear" w:color="auto" w:fill="FFFFFF" w:themeFill="background1"/>
          </w:tcPr>
          <w:p w:rsidR="006B27C0" w:rsidRPr="008C0BE5" w:rsidRDefault="006B27C0" w:rsidP="008C0BE5">
            <w:pPr>
              <w:rPr>
                <w:rFonts w:ascii="Arial" w:hAnsi="Arial" w:cs="Arial"/>
                <w:sz w:val="20"/>
                <w:szCs w:val="20"/>
              </w:rPr>
            </w:pPr>
          </w:p>
        </w:tc>
      </w:tr>
      <w:tr w:rsidR="006B27C0" w:rsidRPr="008C0BE5" w:rsidTr="00AE17EE">
        <w:tc>
          <w:tcPr>
            <w:tcW w:w="2269" w:type="dxa"/>
          </w:tcPr>
          <w:p w:rsidR="006B27C0" w:rsidRPr="008C0BE5" w:rsidRDefault="006B27C0" w:rsidP="008C0BE5">
            <w:pPr>
              <w:rPr>
                <w:rFonts w:ascii="Arial" w:hAnsi="Arial" w:cs="Arial"/>
                <w:sz w:val="20"/>
                <w:szCs w:val="20"/>
              </w:rPr>
            </w:pPr>
            <w:r w:rsidRPr="008C0BE5">
              <w:rPr>
                <w:rFonts w:ascii="Arial" w:hAnsi="Arial" w:cs="Arial"/>
                <w:sz w:val="20"/>
                <w:szCs w:val="20"/>
              </w:rPr>
              <w:t>SO 1: Provide clarity and certainty for taxpayers and traders of their obligations.</w:t>
            </w:r>
          </w:p>
        </w:tc>
        <w:tc>
          <w:tcPr>
            <w:tcW w:w="3402" w:type="dxa"/>
          </w:tcPr>
          <w:p w:rsidR="006B27C0" w:rsidRPr="008C0BE5" w:rsidRDefault="006B27C0" w:rsidP="008C0BE5">
            <w:pPr>
              <w:rPr>
                <w:rFonts w:ascii="Arial" w:hAnsi="Arial" w:cs="Arial"/>
                <w:sz w:val="20"/>
                <w:szCs w:val="20"/>
              </w:rPr>
            </w:pPr>
            <w:r w:rsidRPr="008C0BE5">
              <w:rPr>
                <w:rFonts w:ascii="Arial" w:hAnsi="Arial" w:cs="Arial"/>
                <w:sz w:val="20"/>
                <w:szCs w:val="20"/>
              </w:rPr>
              <w:t>The majority of taxpayers and traders perceive the guidance SARS provides to be clear, unambiguous and easy to follow - % of taxpayers and traders surveyed are satisfied with the clarity and certainty provided by SARS.</w:t>
            </w:r>
          </w:p>
        </w:tc>
        <w:tc>
          <w:tcPr>
            <w:tcW w:w="1417" w:type="dxa"/>
            <w:tcBorders>
              <w:top w:val="single" w:sz="4" w:space="0" w:color="auto"/>
            </w:tcBorders>
          </w:tcPr>
          <w:p w:rsidR="006B27C0" w:rsidRPr="008C0BE5" w:rsidRDefault="006B27C0" w:rsidP="008C0BE5">
            <w:pPr>
              <w:rPr>
                <w:rFonts w:ascii="Arial" w:hAnsi="Arial" w:cs="Arial"/>
                <w:b/>
                <w:sz w:val="20"/>
                <w:szCs w:val="20"/>
              </w:rPr>
            </w:pPr>
            <w:r w:rsidRPr="008C0BE5">
              <w:rPr>
                <w:rFonts w:ascii="Arial" w:hAnsi="Arial" w:cs="Arial"/>
                <w:sz w:val="20"/>
                <w:szCs w:val="20"/>
              </w:rPr>
              <w:t>2</w:t>
            </w:r>
          </w:p>
        </w:tc>
        <w:tc>
          <w:tcPr>
            <w:tcW w:w="1134" w:type="dxa"/>
            <w:tcBorders>
              <w:top w:val="single" w:sz="4" w:space="0" w:color="auto"/>
            </w:tcBorders>
          </w:tcPr>
          <w:p w:rsidR="006B27C0" w:rsidRPr="008C0BE5" w:rsidRDefault="006B27C0" w:rsidP="008C0BE5">
            <w:pPr>
              <w:rPr>
                <w:rFonts w:ascii="Arial" w:hAnsi="Arial" w:cs="Arial"/>
                <w:sz w:val="20"/>
                <w:szCs w:val="20"/>
              </w:rPr>
            </w:pPr>
            <w:r w:rsidRPr="008C0BE5">
              <w:rPr>
                <w:rFonts w:ascii="Arial" w:hAnsi="Arial" w:cs="Arial"/>
                <w:sz w:val="20"/>
                <w:szCs w:val="20"/>
              </w:rPr>
              <w:t>552 266</w:t>
            </w:r>
          </w:p>
        </w:tc>
        <w:tc>
          <w:tcPr>
            <w:tcW w:w="1134" w:type="dxa"/>
            <w:tcBorders>
              <w:top w:val="single" w:sz="4" w:space="0" w:color="auto"/>
            </w:tcBorders>
          </w:tcPr>
          <w:p w:rsidR="006B27C0" w:rsidRPr="008C0BE5" w:rsidRDefault="006B27C0" w:rsidP="008C0BE5">
            <w:pPr>
              <w:rPr>
                <w:rFonts w:ascii="Arial" w:hAnsi="Arial" w:cs="Arial"/>
                <w:sz w:val="20"/>
                <w:szCs w:val="20"/>
              </w:rPr>
            </w:pPr>
            <w:r w:rsidRPr="008C0BE5">
              <w:rPr>
                <w:rFonts w:ascii="Arial" w:hAnsi="Arial" w:cs="Arial"/>
                <w:sz w:val="20"/>
                <w:szCs w:val="20"/>
              </w:rPr>
              <w:t>520 387</w:t>
            </w:r>
          </w:p>
        </w:tc>
        <w:tc>
          <w:tcPr>
            <w:tcW w:w="1276" w:type="dxa"/>
            <w:tcBorders>
              <w:top w:val="single" w:sz="4" w:space="0" w:color="auto"/>
            </w:tcBorders>
          </w:tcPr>
          <w:p w:rsidR="006B27C0" w:rsidRPr="008C0BE5" w:rsidRDefault="006B27C0" w:rsidP="008C0BE5">
            <w:pPr>
              <w:rPr>
                <w:rFonts w:ascii="Arial" w:hAnsi="Arial" w:cs="Arial"/>
                <w:sz w:val="20"/>
                <w:szCs w:val="20"/>
              </w:rPr>
            </w:pPr>
            <w:r w:rsidRPr="008C0BE5">
              <w:rPr>
                <w:rFonts w:ascii="Arial" w:hAnsi="Arial" w:cs="Arial"/>
                <w:sz w:val="20"/>
                <w:szCs w:val="20"/>
              </w:rPr>
              <w:t>539 798</w:t>
            </w:r>
          </w:p>
        </w:tc>
      </w:tr>
      <w:tr w:rsidR="006B27C0" w:rsidRPr="008C0BE5" w:rsidTr="00AE17EE">
        <w:trPr>
          <w:trHeight w:val="1970"/>
        </w:trPr>
        <w:tc>
          <w:tcPr>
            <w:tcW w:w="2269" w:type="dxa"/>
          </w:tcPr>
          <w:p w:rsidR="006B27C0" w:rsidRPr="008C0BE5" w:rsidRDefault="006B27C0" w:rsidP="008C0BE5">
            <w:pPr>
              <w:rPr>
                <w:rFonts w:ascii="Arial" w:hAnsi="Arial" w:cs="Arial"/>
                <w:sz w:val="20"/>
                <w:szCs w:val="20"/>
              </w:rPr>
            </w:pPr>
            <w:r w:rsidRPr="008C0BE5">
              <w:rPr>
                <w:rFonts w:ascii="Arial" w:hAnsi="Arial" w:cs="Arial"/>
                <w:sz w:val="20"/>
                <w:szCs w:val="20"/>
              </w:rPr>
              <w:t>SO 2: Make it easy for taxpayers and traders to comply with their obligations.</w:t>
            </w:r>
          </w:p>
        </w:tc>
        <w:tc>
          <w:tcPr>
            <w:tcW w:w="3402" w:type="dxa"/>
          </w:tcPr>
          <w:p w:rsidR="006B27C0" w:rsidRPr="008C0BE5" w:rsidRDefault="006B27C0" w:rsidP="008C0BE5">
            <w:pPr>
              <w:rPr>
                <w:rFonts w:ascii="Arial" w:hAnsi="Arial" w:cs="Arial"/>
                <w:sz w:val="20"/>
                <w:szCs w:val="20"/>
              </w:rPr>
            </w:pPr>
            <w:r w:rsidRPr="008C0BE5">
              <w:rPr>
                <w:rFonts w:ascii="Arial" w:hAnsi="Arial" w:cs="Arial"/>
                <w:sz w:val="20"/>
                <w:szCs w:val="20"/>
              </w:rPr>
              <w:t>Increased number of taxpayers and traders using digital and self-help platform - % of taxpayers and traders using digital and self-help platforms to interact with SARS.</w:t>
            </w:r>
          </w:p>
          <w:p w:rsidR="006B27C0" w:rsidRPr="008C0BE5" w:rsidRDefault="006B27C0" w:rsidP="008C0BE5">
            <w:pPr>
              <w:rPr>
                <w:rFonts w:ascii="Arial" w:hAnsi="Arial" w:cs="Arial"/>
                <w:sz w:val="20"/>
                <w:szCs w:val="20"/>
              </w:rPr>
            </w:pPr>
            <w:r w:rsidRPr="008C0BE5">
              <w:rPr>
                <w:rFonts w:ascii="Arial" w:hAnsi="Arial" w:cs="Arial"/>
                <w:sz w:val="20"/>
                <w:szCs w:val="20"/>
              </w:rPr>
              <w:t>Standard taxpayers are auto assessed by SARS - % of standard taxpayer’s returns auto assessed by SARS (individual taxpayers).</w:t>
            </w:r>
          </w:p>
          <w:p w:rsidR="006B27C0" w:rsidRPr="008C0BE5" w:rsidRDefault="006B27C0" w:rsidP="008C0BE5">
            <w:pPr>
              <w:rPr>
                <w:rFonts w:ascii="Arial" w:hAnsi="Arial" w:cs="Arial"/>
                <w:sz w:val="20"/>
                <w:szCs w:val="20"/>
              </w:rPr>
            </w:pPr>
            <w:r w:rsidRPr="008C0BE5">
              <w:rPr>
                <w:rFonts w:ascii="Arial" w:hAnsi="Arial" w:cs="Arial"/>
                <w:sz w:val="20"/>
                <w:szCs w:val="20"/>
              </w:rPr>
              <w:t>A focused compliance programme for the SMME segment is developed and implemented.</w:t>
            </w:r>
          </w:p>
        </w:tc>
        <w:tc>
          <w:tcPr>
            <w:tcW w:w="1417" w:type="dxa"/>
          </w:tcPr>
          <w:p w:rsidR="006B27C0" w:rsidRPr="008C0BE5" w:rsidRDefault="006B27C0" w:rsidP="008C0BE5">
            <w:pPr>
              <w:rPr>
                <w:rFonts w:ascii="Arial" w:hAnsi="Arial" w:cs="Arial"/>
                <w:b/>
                <w:sz w:val="20"/>
                <w:szCs w:val="20"/>
              </w:rPr>
            </w:pPr>
          </w:p>
          <w:p w:rsidR="006B27C0" w:rsidRPr="008C0BE5" w:rsidRDefault="006B27C0" w:rsidP="008C0BE5">
            <w:pPr>
              <w:rPr>
                <w:rFonts w:ascii="Arial" w:hAnsi="Arial" w:cs="Arial"/>
                <w:b/>
                <w:sz w:val="20"/>
                <w:szCs w:val="20"/>
              </w:rPr>
            </w:pPr>
            <w:r w:rsidRPr="008C0BE5">
              <w:rPr>
                <w:rFonts w:ascii="Arial" w:hAnsi="Arial" w:cs="Arial"/>
                <w:sz w:val="20"/>
                <w:szCs w:val="20"/>
              </w:rPr>
              <w:t>3 (1 new indicator)</w:t>
            </w:r>
          </w:p>
        </w:tc>
        <w:tc>
          <w:tcPr>
            <w:tcW w:w="1134" w:type="dxa"/>
          </w:tcPr>
          <w:p w:rsidR="006B27C0" w:rsidRPr="008C0BE5" w:rsidRDefault="006B27C0" w:rsidP="008C0BE5">
            <w:pPr>
              <w:rPr>
                <w:rFonts w:ascii="Arial" w:hAnsi="Arial" w:cs="Arial"/>
                <w:sz w:val="20"/>
                <w:szCs w:val="20"/>
              </w:rPr>
            </w:pPr>
            <w:r w:rsidRPr="008C0BE5">
              <w:rPr>
                <w:rFonts w:ascii="Arial" w:hAnsi="Arial" w:cs="Arial"/>
                <w:sz w:val="20"/>
                <w:szCs w:val="20"/>
              </w:rPr>
              <w:t>4 253 709</w:t>
            </w:r>
          </w:p>
        </w:tc>
        <w:tc>
          <w:tcPr>
            <w:tcW w:w="1134" w:type="dxa"/>
          </w:tcPr>
          <w:p w:rsidR="006B27C0" w:rsidRPr="008C0BE5" w:rsidRDefault="006B27C0" w:rsidP="008C0BE5">
            <w:pPr>
              <w:rPr>
                <w:rFonts w:ascii="Arial" w:hAnsi="Arial" w:cs="Arial"/>
                <w:sz w:val="20"/>
                <w:szCs w:val="20"/>
              </w:rPr>
            </w:pPr>
            <w:r w:rsidRPr="008C0BE5">
              <w:rPr>
                <w:rFonts w:ascii="Arial" w:hAnsi="Arial" w:cs="Arial"/>
                <w:sz w:val="20"/>
                <w:szCs w:val="20"/>
              </w:rPr>
              <w:t>4 024 438</w:t>
            </w:r>
          </w:p>
        </w:tc>
        <w:tc>
          <w:tcPr>
            <w:tcW w:w="1276" w:type="dxa"/>
          </w:tcPr>
          <w:p w:rsidR="006B27C0" w:rsidRPr="008C0BE5" w:rsidRDefault="006B27C0" w:rsidP="008C0BE5">
            <w:pPr>
              <w:rPr>
                <w:rFonts w:ascii="Arial" w:hAnsi="Arial" w:cs="Arial"/>
                <w:sz w:val="20"/>
                <w:szCs w:val="20"/>
              </w:rPr>
            </w:pPr>
            <w:r w:rsidRPr="008C0BE5">
              <w:rPr>
                <w:rFonts w:ascii="Arial" w:hAnsi="Arial" w:cs="Arial"/>
                <w:sz w:val="20"/>
                <w:szCs w:val="20"/>
              </w:rPr>
              <w:t>4 175 220</w:t>
            </w:r>
          </w:p>
        </w:tc>
      </w:tr>
      <w:tr w:rsidR="006B27C0" w:rsidRPr="008C0BE5" w:rsidTr="00AE17EE">
        <w:trPr>
          <w:trHeight w:val="1680"/>
        </w:trPr>
        <w:tc>
          <w:tcPr>
            <w:tcW w:w="2269" w:type="dxa"/>
          </w:tcPr>
          <w:p w:rsidR="006B27C0" w:rsidRPr="008C0BE5" w:rsidRDefault="006B27C0" w:rsidP="008C0BE5">
            <w:pPr>
              <w:rPr>
                <w:rFonts w:ascii="Arial" w:hAnsi="Arial" w:cs="Arial"/>
                <w:sz w:val="20"/>
                <w:szCs w:val="20"/>
              </w:rPr>
            </w:pPr>
            <w:r w:rsidRPr="008C0BE5">
              <w:rPr>
                <w:rFonts w:ascii="Arial" w:hAnsi="Arial" w:cs="Arial"/>
                <w:sz w:val="20"/>
                <w:szCs w:val="20"/>
              </w:rPr>
              <w:lastRenderedPageBreak/>
              <w:t>3: Detect taxpayers and traders who do not comply and make non-compliance hard and costly.</w:t>
            </w:r>
          </w:p>
        </w:tc>
        <w:tc>
          <w:tcPr>
            <w:tcW w:w="3402" w:type="dxa"/>
          </w:tcPr>
          <w:p w:rsidR="006B27C0" w:rsidRPr="008C0BE5" w:rsidRDefault="006B27C0" w:rsidP="008C0BE5">
            <w:pPr>
              <w:rPr>
                <w:rFonts w:ascii="Arial" w:hAnsi="Arial" w:cs="Arial"/>
                <w:sz w:val="20"/>
                <w:szCs w:val="20"/>
              </w:rPr>
            </w:pPr>
            <w:r w:rsidRPr="008C0BE5">
              <w:rPr>
                <w:rFonts w:ascii="Arial" w:hAnsi="Arial" w:cs="Arial"/>
                <w:sz w:val="20"/>
                <w:szCs w:val="20"/>
              </w:rPr>
              <w:t>Increase compliance through the 98.48% accurate detection of risk - Risk detection rate</w:t>
            </w:r>
          </w:p>
          <w:p w:rsidR="006B27C0" w:rsidRPr="008C0BE5" w:rsidRDefault="006B27C0" w:rsidP="008C0BE5">
            <w:pPr>
              <w:rPr>
                <w:rFonts w:ascii="Arial" w:hAnsi="Arial" w:cs="Arial"/>
                <w:sz w:val="20"/>
                <w:szCs w:val="20"/>
              </w:rPr>
            </w:pPr>
            <w:r w:rsidRPr="008C0BE5">
              <w:rPr>
                <w:rFonts w:ascii="Arial" w:hAnsi="Arial" w:cs="Arial"/>
                <w:sz w:val="20"/>
                <w:szCs w:val="20"/>
              </w:rPr>
              <w:t>Extent to which SARS enables the NPA to successfully prosecute criminal cases referred by SARS - % of cases SARS referred to the NPA that is accepted for prosecution.</w:t>
            </w:r>
          </w:p>
        </w:tc>
        <w:tc>
          <w:tcPr>
            <w:tcW w:w="1417" w:type="dxa"/>
          </w:tcPr>
          <w:p w:rsidR="006B27C0" w:rsidRPr="008C0BE5" w:rsidRDefault="006B27C0" w:rsidP="008C0BE5">
            <w:pPr>
              <w:rPr>
                <w:rFonts w:ascii="Arial" w:hAnsi="Arial" w:cs="Arial"/>
                <w:sz w:val="20"/>
                <w:szCs w:val="20"/>
              </w:rPr>
            </w:pPr>
            <w:r w:rsidRPr="008C0BE5">
              <w:rPr>
                <w:rFonts w:ascii="Arial" w:hAnsi="Arial" w:cs="Arial"/>
                <w:sz w:val="20"/>
                <w:szCs w:val="20"/>
              </w:rPr>
              <w:t>2</w:t>
            </w:r>
          </w:p>
        </w:tc>
        <w:tc>
          <w:tcPr>
            <w:tcW w:w="1134" w:type="dxa"/>
          </w:tcPr>
          <w:p w:rsidR="006B27C0" w:rsidRPr="008C0BE5" w:rsidRDefault="006B27C0" w:rsidP="008C0BE5">
            <w:pPr>
              <w:rPr>
                <w:rFonts w:ascii="Arial" w:hAnsi="Arial" w:cs="Arial"/>
                <w:sz w:val="20"/>
                <w:szCs w:val="20"/>
              </w:rPr>
            </w:pPr>
            <w:r w:rsidRPr="008C0BE5">
              <w:rPr>
                <w:rFonts w:ascii="Arial" w:hAnsi="Arial" w:cs="Arial"/>
                <w:sz w:val="20"/>
                <w:szCs w:val="20"/>
              </w:rPr>
              <w:t>3 153 426</w:t>
            </w:r>
          </w:p>
        </w:tc>
        <w:tc>
          <w:tcPr>
            <w:tcW w:w="1134" w:type="dxa"/>
          </w:tcPr>
          <w:p w:rsidR="006B27C0" w:rsidRPr="008C0BE5" w:rsidRDefault="006B27C0" w:rsidP="008C0BE5">
            <w:pPr>
              <w:rPr>
                <w:rFonts w:ascii="Arial" w:hAnsi="Arial" w:cs="Arial"/>
                <w:sz w:val="20"/>
                <w:szCs w:val="20"/>
              </w:rPr>
            </w:pPr>
            <w:r w:rsidRPr="008C0BE5">
              <w:rPr>
                <w:rFonts w:ascii="Arial" w:hAnsi="Arial" w:cs="Arial"/>
                <w:sz w:val="20"/>
                <w:szCs w:val="20"/>
              </w:rPr>
              <w:t>2 989 032</w:t>
            </w:r>
          </w:p>
        </w:tc>
        <w:tc>
          <w:tcPr>
            <w:tcW w:w="1276" w:type="dxa"/>
          </w:tcPr>
          <w:p w:rsidR="006B27C0" w:rsidRPr="008C0BE5" w:rsidRDefault="006B27C0" w:rsidP="008C0BE5">
            <w:pPr>
              <w:rPr>
                <w:rFonts w:ascii="Arial" w:hAnsi="Arial" w:cs="Arial"/>
                <w:sz w:val="20"/>
                <w:szCs w:val="20"/>
              </w:rPr>
            </w:pPr>
            <w:r w:rsidRPr="008C0BE5">
              <w:rPr>
                <w:rFonts w:ascii="Arial" w:hAnsi="Arial" w:cs="Arial"/>
                <w:sz w:val="20"/>
                <w:szCs w:val="20"/>
              </w:rPr>
              <w:t>3 110 116</w:t>
            </w:r>
          </w:p>
        </w:tc>
      </w:tr>
      <w:tr w:rsidR="006B27C0" w:rsidRPr="008C0BE5" w:rsidTr="00AE17EE">
        <w:tc>
          <w:tcPr>
            <w:tcW w:w="2269" w:type="dxa"/>
          </w:tcPr>
          <w:p w:rsidR="006B27C0" w:rsidRPr="008C0BE5" w:rsidRDefault="006B27C0" w:rsidP="008C0BE5">
            <w:pPr>
              <w:rPr>
                <w:rFonts w:ascii="Arial" w:hAnsi="Arial" w:cs="Arial"/>
                <w:sz w:val="20"/>
                <w:szCs w:val="20"/>
              </w:rPr>
            </w:pPr>
            <w:r w:rsidRPr="008C0BE5">
              <w:rPr>
                <w:rFonts w:ascii="Arial" w:hAnsi="Arial" w:cs="Arial"/>
                <w:sz w:val="20"/>
                <w:szCs w:val="20"/>
              </w:rPr>
              <w:t>4: Develop a high performing, diverse, agile, engaged and evolved workforce.</w:t>
            </w:r>
          </w:p>
        </w:tc>
        <w:tc>
          <w:tcPr>
            <w:tcW w:w="3402" w:type="dxa"/>
          </w:tcPr>
          <w:p w:rsidR="006B27C0" w:rsidRPr="008C0BE5" w:rsidRDefault="006B27C0" w:rsidP="008C0BE5">
            <w:pPr>
              <w:rPr>
                <w:rFonts w:ascii="Arial" w:hAnsi="Arial" w:cs="Arial"/>
                <w:sz w:val="20"/>
                <w:szCs w:val="20"/>
              </w:rPr>
            </w:pPr>
            <w:r w:rsidRPr="008C0BE5">
              <w:rPr>
                <w:rFonts w:ascii="Arial" w:hAnsi="Arial" w:cs="Arial"/>
                <w:sz w:val="20"/>
                <w:szCs w:val="20"/>
              </w:rPr>
              <w:t>Improve the engagement of SARS employees - Employee Engagement Index score achieved based on survey of employees.</w:t>
            </w:r>
          </w:p>
        </w:tc>
        <w:tc>
          <w:tcPr>
            <w:tcW w:w="1417" w:type="dxa"/>
          </w:tcPr>
          <w:p w:rsidR="006B27C0" w:rsidRPr="008C0BE5" w:rsidRDefault="006B27C0" w:rsidP="008C0BE5">
            <w:pPr>
              <w:rPr>
                <w:rFonts w:ascii="Arial" w:hAnsi="Arial" w:cs="Arial"/>
                <w:sz w:val="20"/>
                <w:szCs w:val="20"/>
              </w:rPr>
            </w:pPr>
            <w:r w:rsidRPr="008C0BE5">
              <w:rPr>
                <w:rFonts w:ascii="Arial" w:hAnsi="Arial" w:cs="Arial"/>
                <w:sz w:val="20"/>
                <w:szCs w:val="20"/>
              </w:rPr>
              <w:t>3</w:t>
            </w:r>
          </w:p>
        </w:tc>
        <w:tc>
          <w:tcPr>
            <w:tcW w:w="1134" w:type="dxa"/>
          </w:tcPr>
          <w:p w:rsidR="006B27C0" w:rsidRPr="008C0BE5" w:rsidRDefault="006B27C0" w:rsidP="008C0BE5">
            <w:pPr>
              <w:rPr>
                <w:rFonts w:ascii="Arial" w:hAnsi="Arial" w:cs="Arial"/>
                <w:sz w:val="20"/>
                <w:szCs w:val="20"/>
              </w:rPr>
            </w:pPr>
            <w:r w:rsidRPr="008C0BE5">
              <w:rPr>
                <w:rFonts w:ascii="Arial" w:hAnsi="Arial" w:cs="Arial"/>
                <w:sz w:val="20"/>
                <w:szCs w:val="20"/>
              </w:rPr>
              <w:t>533 550</w:t>
            </w:r>
          </w:p>
        </w:tc>
        <w:tc>
          <w:tcPr>
            <w:tcW w:w="1134" w:type="dxa"/>
          </w:tcPr>
          <w:p w:rsidR="006B27C0" w:rsidRPr="008C0BE5" w:rsidRDefault="006B27C0" w:rsidP="008C0BE5">
            <w:pPr>
              <w:rPr>
                <w:rFonts w:ascii="Arial" w:hAnsi="Arial" w:cs="Arial"/>
                <w:sz w:val="20"/>
                <w:szCs w:val="20"/>
              </w:rPr>
            </w:pPr>
            <w:r w:rsidRPr="008C0BE5">
              <w:rPr>
                <w:rFonts w:ascii="Arial" w:hAnsi="Arial" w:cs="Arial"/>
                <w:sz w:val="20"/>
                <w:szCs w:val="20"/>
              </w:rPr>
              <w:t>502 895</w:t>
            </w:r>
          </w:p>
        </w:tc>
        <w:tc>
          <w:tcPr>
            <w:tcW w:w="1276" w:type="dxa"/>
          </w:tcPr>
          <w:p w:rsidR="006B27C0" w:rsidRPr="008C0BE5" w:rsidRDefault="006B27C0" w:rsidP="008C0BE5">
            <w:pPr>
              <w:rPr>
                <w:rFonts w:ascii="Arial" w:hAnsi="Arial" w:cs="Arial"/>
                <w:sz w:val="20"/>
                <w:szCs w:val="20"/>
              </w:rPr>
            </w:pPr>
            <w:r w:rsidRPr="008C0BE5">
              <w:rPr>
                <w:rFonts w:ascii="Arial" w:hAnsi="Arial" w:cs="Arial"/>
                <w:sz w:val="20"/>
                <w:szCs w:val="20"/>
              </w:rPr>
              <w:t>521 797</w:t>
            </w:r>
          </w:p>
        </w:tc>
      </w:tr>
      <w:tr w:rsidR="006B27C0" w:rsidRPr="008C0BE5" w:rsidTr="00AE17EE">
        <w:tc>
          <w:tcPr>
            <w:tcW w:w="2269" w:type="dxa"/>
          </w:tcPr>
          <w:p w:rsidR="006B27C0" w:rsidRPr="008C0BE5" w:rsidRDefault="006B27C0" w:rsidP="008C0BE5">
            <w:pPr>
              <w:rPr>
                <w:rFonts w:ascii="Arial" w:hAnsi="Arial" w:cs="Arial"/>
                <w:sz w:val="20"/>
                <w:szCs w:val="20"/>
              </w:rPr>
            </w:pPr>
            <w:r w:rsidRPr="008C0BE5">
              <w:rPr>
                <w:rFonts w:ascii="Arial" w:hAnsi="Arial" w:cs="Arial"/>
                <w:sz w:val="20"/>
                <w:szCs w:val="20"/>
              </w:rPr>
              <w:t>5: Increase and expand the use of data within a comprehensive knowledge management framework.</w:t>
            </w:r>
          </w:p>
        </w:tc>
        <w:tc>
          <w:tcPr>
            <w:tcW w:w="3402" w:type="dxa"/>
          </w:tcPr>
          <w:p w:rsidR="006B27C0" w:rsidRPr="008C0BE5" w:rsidRDefault="006B27C0" w:rsidP="008C0BE5">
            <w:pPr>
              <w:rPr>
                <w:rFonts w:ascii="Arial" w:hAnsi="Arial" w:cs="Arial"/>
                <w:sz w:val="20"/>
                <w:szCs w:val="20"/>
              </w:rPr>
            </w:pPr>
            <w:r w:rsidRPr="008C0BE5">
              <w:rPr>
                <w:rFonts w:ascii="Arial" w:hAnsi="Arial" w:cs="Arial"/>
                <w:sz w:val="20"/>
                <w:szCs w:val="20"/>
              </w:rPr>
              <w:t>Risk detection, assessment and profiling is largely automated and substantively informs case selection for standard matters. Manual risk profiling and case selection is only used for complex matters - % utilisation of automated risk assessment for taxpayers and traders.</w:t>
            </w:r>
          </w:p>
        </w:tc>
        <w:tc>
          <w:tcPr>
            <w:tcW w:w="1417" w:type="dxa"/>
          </w:tcPr>
          <w:p w:rsidR="006B27C0" w:rsidRPr="008C0BE5" w:rsidRDefault="006B27C0" w:rsidP="008C0BE5">
            <w:pPr>
              <w:rPr>
                <w:rFonts w:ascii="Arial" w:hAnsi="Arial" w:cs="Arial"/>
                <w:sz w:val="20"/>
                <w:szCs w:val="20"/>
              </w:rPr>
            </w:pPr>
            <w:r w:rsidRPr="008C0BE5">
              <w:rPr>
                <w:rFonts w:ascii="Arial" w:hAnsi="Arial" w:cs="Arial"/>
                <w:sz w:val="20"/>
                <w:szCs w:val="20"/>
              </w:rPr>
              <w:t>2</w:t>
            </w:r>
          </w:p>
        </w:tc>
        <w:tc>
          <w:tcPr>
            <w:tcW w:w="1134" w:type="dxa"/>
          </w:tcPr>
          <w:p w:rsidR="006B27C0" w:rsidRPr="008C0BE5" w:rsidRDefault="006B27C0" w:rsidP="008C0BE5">
            <w:pPr>
              <w:rPr>
                <w:rFonts w:ascii="Arial" w:hAnsi="Arial" w:cs="Arial"/>
                <w:sz w:val="20"/>
                <w:szCs w:val="20"/>
              </w:rPr>
            </w:pPr>
            <w:r w:rsidRPr="008C0BE5">
              <w:rPr>
                <w:rFonts w:ascii="Arial" w:hAnsi="Arial" w:cs="Arial"/>
                <w:sz w:val="20"/>
                <w:szCs w:val="20"/>
              </w:rPr>
              <w:t>647 784</w:t>
            </w:r>
          </w:p>
        </w:tc>
        <w:tc>
          <w:tcPr>
            <w:tcW w:w="1134" w:type="dxa"/>
          </w:tcPr>
          <w:p w:rsidR="006B27C0" w:rsidRPr="008C0BE5" w:rsidRDefault="006B27C0" w:rsidP="008C0BE5">
            <w:pPr>
              <w:rPr>
                <w:rFonts w:ascii="Arial" w:hAnsi="Arial" w:cs="Arial"/>
                <w:sz w:val="20"/>
                <w:szCs w:val="20"/>
              </w:rPr>
            </w:pPr>
            <w:r w:rsidRPr="008C0BE5">
              <w:rPr>
                <w:rFonts w:ascii="Arial" w:hAnsi="Arial" w:cs="Arial"/>
                <w:sz w:val="20"/>
                <w:szCs w:val="20"/>
              </w:rPr>
              <w:t>609 414</w:t>
            </w:r>
          </w:p>
        </w:tc>
        <w:tc>
          <w:tcPr>
            <w:tcW w:w="1276" w:type="dxa"/>
          </w:tcPr>
          <w:p w:rsidR="006B27C0" w:rsidRPr="008C0BE5" w:rsidRDefault="006B27C0" w:rsidP="008C0BE5">
            <w:pPr>
              <w:rPr>
                <w:rFonts w:ascii="Arial" w:hAnsi="Arial" w:cs="Arial"/>
                <w:sz w:val="20"/>
                <w:szCs w:val="20"/>
              </w:rPr>
            </w:pPr>
            <w:r w:rsidRPr="008C0BE5">
              <w:rPr>
                <w:rFonts w:ascii="Arial" w:hAnsi="Arial" w:cs="Arial"/>
                <w:sz w:val="20"/>
                <w:szCs w:val="20"/>
              </w:rPr>
              <w:t>631 716</w:t>
            </w:r>
          </w:p>
        </w:tc>
      </w:tr>
      <w:tr w:rsidR="006B27C0" w:rsidRPr="008C0BE5" w:rsidTr="00AE17EE">
        <w:trPr>
          <w:trHeight w:val="1960"/>
        </w:trPr>
        <w:tc>
          <w:tcPr>
            <w:tcW w:w="2269" w:type="dxa"/>
          </w:tcPr>
          <w:p w:rsidR="006B27C0" w:rsidRPr="008C0BE5" w:rsidRDefault="006B27C0" w:rsidP="008C0BE5">
            <w:pPr>
              <w:rPr>
                <w:rFonts w:ascii="Arial" w:hAnsi="Arial" w:cs="Arial"/>
                <w:sz w:val="20"/>
                <w:szCs w:val="20"/>
              </w:rPr>
            </w:pPr>
            <w:r w:rsidRPr="008C0BE5">
              <w:rPr>
                <w:rFonts w:ascii="Arial" w:hAnsi="Arial" w:cs="Arial"/>
                <w:sz w:val="20"/>
                <w:szCs w:val="20"/>
              </w:rPr>
              <w:t>6: Modernise our systems to provide DIGITAL and streamlined online services.</w:t>
            </w:r>
          </w:p>
        </w:tc>
        <w:tc>
          <w:tcPr>
            <w:tcW w:w="3402" w:type="dxa"/>
          </w:tcPr>
          <w:p w:rsidR="006B27C0" w:rsidRPr="008C0BE5" w:rsidRDefault="006B27C0" w:rsidP="008C0BE5">
            <w:pPr>
              <w:rPr>
                <w:rFonts w:ascii="Arial" w:hAnsi="Arial" w:cs="Arial"/>
                <w:sz w:val="20"/>
                <w:szCs w:val="20"/>
              </w:rPr>
            </w:pPr>
            <w:r w:rsidRPr="008C0BE5">
              <w:rPr>
                <w:rFonts w:ascii="Arial" w:hAnsi="Arial" w:cs="Arial"/>
                <w:sz w:val="20"/>
                <w:szCs w:val="20"/>
              </w:rPr>
              <w:t>Digital platforms availability for taxpayers and traders - % of planned capacity to be available for mission critical systems.</w:t>
            </w:r>
          </w:p>
          <w:p w:rsidR="006B27C0" w:rsidRPr="008C0BE5" w:rsidRDefault="006B27C0" w:rsidP="008C0BE5">
            <w:pPr>
              <w:rPr>
                <w:rFonts w:ascii="Arial" w:hAnsi="Arial" w:cs="Arial"/>
                <w:sz w:val="20"/>
                <w:szCs w:val="20"/>
              </w:rPr>
            </w:pPr>
            <w:r w:rsidRPr="008C0BE5">
              <w:rPr>
                <w:rFonts w:ascii="Arial" w:hAnsi="Arial" w:cs="Arial"/>
                <w:sz w:val="20"/>
                <w:szCs w:val="20"/>
              </w:rPr>
              <w:t>Security of taxpayers and traders information and interactions via digital platforms - Number of security breaches on digital platforms from known risks.</w:t>
            </w:r>
          </w:p>
        </w:tc>
        <w:tc>
          <w:tcPr>
            <w:tcW w:w="1417" w:type="dxa"/>
          </w:tcPr>
          <w:p w:rsidR="006B27C0" w:rsidRPr="008C0BE5" w:rsidRDefault="006B27C0" w:rsidP="008C0BE5">
            <w:pPr>
              <w:rPr>
                <w:rFonts w:ascii="Arial" w:hAnsi="Arial" w:cs="Arial"/>
                <w:sz w:val="20"/>
                <w:szCs w:val="20"/>
              </w:rPr>
            </w:pPr>
            <w:r w:rsidRPr="008C0BE5">
              <w:rPr>
                <w:rFonts w:ascii="Arial" w:hAnsi="Arial" w:cs="Arial"/>
                <w:sz w:val="20"/>
                <w:szCs w:val="20"/>
              </w:rPr>
              <w:t>2</w:t>
            </w:r>
          </w:p>
          <w:p w:rsidR="006B27C0" w:rsidRPr="008C0BE5" w:rsidRDefault="006B27C0" w:rsidP="008C0BE5">
            <w:pPr>
              <w:rPr>
                <w:rFonts w:ascii="Arial" w:hAnsi="Arial" w:cs="Arial"/>
                <w:sz w:val="20"/>
                <w:szCs w:val="20"/>
              </w:rPr>
            </w:pPr>
          </w:p>
        </w:tc>
        <w:tc>
          <w:tcPr>
            <w:tcW w:w="1134" w:type="dxa"/>
          </w:tcPr>
          <w:p w:rsidR="006B27C0" w:rsidRPr="008C0BE5" w:rsidRDefault="006B27C0" w:rsidP="008C0BE5">
            <w:pPr>
              <w:rPr>
                <w:rFonts w:ascii="Arial" w:hAnsi="Arial" w:cs="Arial"/>
                <w:sz w:val="20"/>
                <w:szCs w:val="20"/>
              </w:rPr>
            </w:pPr>
            <w:r w:rsidRPr="008C0BE5">
              <w:rPr>
                <w:rFonts w:ascii="Arial" w:hAnsi="Arial" w:cs="Arial"/>
                <w:sz w:val="20"/>
                <w:szCs w:val="20"/>
              </w:rPr>
              <w:t>1 160 685</w:t>
            </w:r>
          </w:p>
        </w:tc>
        <w:tc>
          <w:tcPr>
            <w:tcW w:w="1134" w:type="dxa"/>
          </w:tcPr>
          <w:p w:rsidR="006B27C0" w:rsidRPr="008C0BE5" w:rsidRDefault="006B27C0" w:rsidP="008C0BE5">
            <w:pPr>
              <w:rPr>
                <w:rFonts w:ascii="Arial" w:hAnsi="Arial" w:cs="Arial"/>
                <w:sz w:val="20"/>
                <w:szCs w:val="20"/>
              </w:rPr>
            </w:pPr>
            <w:r w:rsidRPr="008C0BE5">
              <w:rPr>
                <w:rFonts w:ascii="Arial" w:hAnsi="Arial" w:cs="Arial"/>
                <w:sz w:val="20"/>
                <w:szCs w:val="20"/>
              </w:rPr>
              <w:t>1 170 549</w:t>
            </w:r>
          </w:p>
        </w:tc>
        <w:tc>
          <w:tcPr>
            <w:tcW w:w="1276" w:type="dxa"/>
          </w:tcPr>
          <w:p w:rsidR="006B27C0" w:rsidRPr="008C0BE5" w:rsidRDefault="006B27C0" w:rsidP="008C0BE5">
            <w:pPr>
              <w:rPr>
                <w:rFonts w:ascii="Arial" w:hAnsi="Arial" w:cs="Arial"/>
                <w:sz w:val="20"/>
                <w:szCs w:val="20"/>
              </w:rPr>
            </w:pPr>
            <w:r w:rsidRPr="008C0BE5">
              <w:rPr>
                <w:rFonts w:ascii="Arial" w:hAnsi="Arial" w:cs="Arial"/>
                <w:sz w:val="20"/>
                <w:szCs w:val="20"/>
              </w:rPr>
              <w:t>1 245 275</w:t>
            </w:r>
          </w:p>
        </w:tc>
      </w:tr>
      <w:tr w:rsidR="006B27C0" w:rsidRPr="008C0BE5" w:rsidTr="00AE17EE">
        <w:trPr>
          <w:trHeight w:val="2820"/>
        </w:trPr>
        <w:tc>
          <w:tcPr>
            <w:tcW w:w="2269" w:type="dxa"/>
          </w:tcPr>
          <w:p w:rsidR="006B27C0" w:rsidRPr="008C0BE5" w:rsidRDefault="006B27C0" w:rsidP="008C0BE5">
            <w:pPr>
              <w:rPr>
                <w:rFonts w:ascii="Arial" w:hAnsi="Arial" w:cs="Arial"/>
                <w:sz w:val="20"/>
                <w:szCs w:val="20"/>
              </w:rPr>
            </w:pPr>
            <w:r w:rsidRPr="008C0BE5">
              <w:rPr>
                <w:rFonts w:ascii="Arial" w:hAnsi="Arial" w:cs="Arial"/>
                <w:sz w:val="20"/>
                <w:szCs w:val="20"/>
              </w:rPr>
              <w:t>7: Demonstrate Effective resource stewardship to ensure efficiency and effectiveness.</w:t>
            </w:r>
          </w:p>
        </w:tc>
        <w:tc>
          <w:tcPr>
            <w:tcW w:w="3402" w:type="dxa"/>
          </w:tcPr>
          <w:p w:rsidR="006B27C0" w:rsidRPr="008C0BE5" w:rsidRDefault="006B27C0" w:rsidP="008C0BE5">
            <w:pPr>
              <w:rPr>
                <w:rFonts w:ascii="Arial" w:hAnsi="Arial" w:cs="Arial"/>
                <w:sz w:val="20"/>
                <w:szCs w:val="20"/>
              </w:rPr>
            </w:pPr>
            <w:r w:rsidRPr="008C0BE5">
              <w:rPr>
                <w:rFonts w:ascii="Arial" w:hAnsi="Arial" w:cs="Arial"/>
                <w:sz w:val="20"/>
                <w:szCs w:val="20"/>
              </w:rPr>
              <w:t>Reconfigured SARS’ cost structures to align with international peers - Increase ICT investment as % of total allocation.</w:t>
            </w:r>
          </w:p>
          <w:p w:rsidR="006B27C0" w:rsidRPr="008C0BE5" w:rsidRDefault="006B27C0" w:rsidP="008C0BE5">
            <w:pPr>
              <w:rPr>
                <w:rFonts w:ascii="Arial" w:hAnsi="Arial" w:cs="Arial"/>
                <w:sz w:val="20"/>
                <w:szCs w:val="20"/>
              </w:rPr>
            </w:pPr>
            <w:r w:rsidRPr="008C0BE5">
              <w:rPr>
                <w:rFonts w:ascii="Arial" w:hAnsi="Arial" w:cs="Arial"/>
                <w:sz w:val="20"/>
                <w:szCs w:val="20"/>
              </w:rPr>
              <w:t>Demonstrate effective stewardship through the appropriate spending of the budget allocation received from National Treasury - % Deviation between SARS’ spending for the year and the allocation SARS received from National Treasury.</w:t>
            </w:r>
          </w:p>
          <w:p w:rsidR="006B27C0" w:rsidRPr="008C0BE5" w:rsidRDefault="006B27C0" w:rsidP="008C0BE5">
            <w:pPr>
              <w:rPr>
                <w:rFonts w:ascii="Arial" w:hAnsi="Arial" w:cs="Arial"/>
                <w:sz w:val="20"/>
                <w:szCs w:val="20"/>
              </w:rPr>
            </w:pPr>
            <w:r w:rsidRPr="008C0BE5">
              <w:rPr>
                <w:rFonts w:ascii="Arial" w:hAnsi="Arial" w:cs="Arial"/>
                <w:sz w:val="20"/>
                <w:szCs w:val="20"/>
              </w:rPr>
              <w:t>Unqualified audit opinion achieved from the Auditor-General - Unqualified Audit opinion.</w:t>
            </w:r>
          </w:p>
        </w:tc>
        <w:tc>
          <w:tcPr>
            <w:tcW w:w="1417" w:type="dxa"/>
          </w:tcPr>
          <w:p w:rsidR="006B27C0" w:rsidRPr="008C0BE5" w:rsidRDefault="006B27C0" w:rsidP="008C0BE5">
            <w:pPr>
              <w:rPr>
                <w:rFonts w:ascii="Arial" w:hAnsi="Arial" w:cs="Arial"/>
                <w:sz w:val="20"/>
                <w:szCs w:val="20"/>
              </w:rPr>
            </w:pPr>
            <w:r w:rsidRPr="008C0BE5">
              <w:rPr>
                <w:rFonts w:ascii="Arial" w:hAnsi="Arial" w:cs="Arial"/>
                <w:sz w:val="20"/>
                <w:szCs w:val="20"/>
              </w:rPr>
              <w:t>3</w:t>
            </w:r>
          </w:p>
          <w:p w:rsidR="006B27C0" w:rsidRPr="008C0BE5" w:rsidRDefault="006B27C0" w:rsidP="008C0BE5">
            <w:pPr>
              <w:rPr>
                <w:rFonts w:ascii="Arial" w:hAnsi="Arial" w:cs="Arial"/>
                <w:sz w:val="20"/>
                <w:szCs w:val="20"/>
              </w:rPr>
            </w:pPr>
          </w:p>
        </w:tc>
        <w:tc>
          <w:tcPr>
            <w:tcW w:w="1134" w:type="dxa"/>
          </w:tcPr>
          <w:p w:rsidR="006B27C0" w:rsidRPr="008C0BE5" w:rsidRDefault="006B27C0" w:rsidP="008C0BE5">
            <w:pPr>
              <w:rPr>
                <w:rFonts w:ascii="Arial" w:hAnsi="Arial" w:cs="Arial"/>
                <w:sz w:val="20"/>
                <w:szCs w:val="20"/>
              </w:rPr>
            </w:pPr>
            <w:r w:rsidRPr="008C0BE5">
              <w:rPr>
                <w:rFonts w:ascii="Arial" w:hAnsi="Arial" w:cs="Arial"/>
                <w:sz w:val="20"/>
                <w:szCs w:val="20"/>
              </w:rPr>
              <w:t>1 469 840</w:t>
            </w:r>
          </w:p>
        </w:tc>
        <w:tc>
          <w:tcPr>
            <w:tcW w:w="1134" w:type="dxa"/>
          </w:tcPr>
          <w:p w:rsidR="006B27C0" w:rsidRPr="008C0BE5" w:rsidRDefault="006B27C0" w:rsidP="008C0BE5">
            <w:pPr>
              <w:rPr>
                <w:rFonts w:ascii="Arial" w:hAnsi="Arial" w:cs="Arial"/>
                <w:sz w:val="20"/>
                <w:szCs w:val="20"/>
              </w:rPr>
            </w:pPr>
            <w:r w:rsidRPr="008C0BE5">
              <w:rPr>
                <w:rFonts w:ascii="Arial" w:hAnsi="Arial" w:cs="Arial"/>
                <w:sz w:val="20"/>
                <w:szCs w:val="20"/>
              </w:rPr>
              <w:t>1 427 621</w:t>
            </w:r>
          </w:p>
        </w:tc>
        <w:tc>
          <w:tcPr>
            <w:tcW w:w="1276" w:type="dxa"/>
          </w:tcPr>
          <w:p w:rsidR="006B27C0" w:rsidRPr="008C0BE5" w:rsidRDefault="006B27C0" w:rsidP="008C0BE5">
            <w:pPr>
              <w:rPr>
                <w:rFonts w:ascii="Arial" w:hAnsi="Arial" w:cs="Arial"/>
                <w:sz w:val="20"/>
                <w:szCs w:val="20"/>
              </w:rPr>
            </w:pPr>
            <w:r w:rsidRPr="008C0BE5">
              <w:rPr>
                <w:rFonts w:ascii="Arial" w:hAnsi="Arial" w:cs="Arial"/>
                <w:sz w:val="20"/>
                <w:szCs w:val="20"/>
              </w:rPr>
              <w:t>1 490 042</w:t>
            </w:r>
          </w:p>
        </w:tc>
      </w:tr>
      <w:tr w:rsidR="006B27C0" w:rsidRPr="008C0BE5" w:rsidTr="00AE17EE">
        <w:trPr>
          <w:trHeight w:val="2250"/>
        </w:trPr>
        <w:tc>
          <w:tcPr>
            <w:tcW w:w="2269" w:type="dxa"/>
          </w:tcPr>
          <w:p w:rsidR="006B27C0" w:rsidRPr="008C0BE5" w:rsidRDefault="006B27C0" w:rsidP="008C0BE5">
            <w:pPr>
              <w:rPr>
                <w:rFonts w:ascii="Arial" w:hAnsi="Arial" w:cs="Arial"/>
                <w:sz w:val="20"/>
                <w:szCs w:val="20"/>
              </w:rPr>
            </w:pPr>
            <w:r w:rsidRPr="008C0BE5">
              <w:rPr>
                <w:rFonts w:ascii="Arial" w:hAnsi="Arial" w:cs="Arial"/>
                <w:sz w:val="20"/>
                <w:szCs w:val="20"/>
              </w:rPr>
              <w:t>8: Work with and through Stakeholders to improve the tax ecosystem.</w:t>
            </w:r>
          </w:p>
        </w:tc>
        <w:tc>
          <w:tcPr>
            <w:tcW w:w="3402" w:type="dxa"/>
          </w:tcPr>
          <w:p w:rsidR="006B27C0" w:rsidRPr="008C0BE5" w:rsidRDefault="006B27C0" w:rsidP="008C0BE5">
            <w:pPr>
              <w:rPr>
                <w:rFonts w:ascii="Arial" w:hAnsi="Arial" w:cs="Arial"/>
                <w:sz w:val="20"/>
                <w:szCs w:val="20"/>
              </w:rPr>
            </w:pPr>
            <w:r w:rsidRPr="008C0BE5">
              <w:rPr>
                <w:rFonts w:ascii="Arial" w:hAnsi="Arial" w:cs="Arial"/>
                <w:sz w:val="20"/>
                <w:szCs w:val="20"/>
              </w:rPr>
              <w:t>SARS has met all its commitments in terms of the Organisation for Economic Cooperation and Development’s (OECD) Exchange of Information (EOI) standards - % of commitments met</w:t>
            </w:r>
          </w:p>
          <w:p w:rsidR="006B27C0" w:rsidRPr="008C0BE5" w:rsidRDefault="006B27C0" w:rsidP="008C0BE5">
            <w:pPr>
              <w:rPr>
                <w:rFonts w:ascii="Arial" w:hAnsi="Arial" w:cs="Arial"/>
                <w:sz w:val="20"/>
                <w:szCs w:val="20"/>
              </w:rPr>
            </w:pPr>
            <w:r w:rsidRPr="008C0BE5">
              <w:rPr>
                <w:rFonts w:ascii="Arial" w:hAnsi="Arial" w:cs="Arial"/>
                <w:sz w:val="20"/>
                <w:szCs w:val="20"/>
              </w:rPr>
              <w:t>Partnerships with identified government departments to leverage platforms on educational programmes.</w:t>
            </w:r>
          </w:p>
        </w:tc>
        <w:tc>
          <w:tcPr>
            <w:tcW w:w="1417" w:type="dxa"/>
          </w:tcPr>
          <w:p w:rsidR="006B27C0" w:rsidRPr="008C0BE5" w:rsidRDefault="006B27C0" w:rsidP="008C0BE5">
            <w:pPr>
              <w:rPr>
                <w:rFonts w:ascii="Arial" w:hAnsi="Arial" w:cs="Arial"/>
                <w:sz w:val="20"/>
                <w:szCs w:val="20"/>
              </w:rPr>
            </w:pPr>
            <w:r w:rsidRPr="008C0BE5">
              <w:rPr>
                <w:rFonts w:ascii="Arial" w:hAnsi="Arial" w:cs="Arial"/>
                <w:sz w:val="20"/>
                <w:szCs w:val="20"/>
              </w:rPr>
              <w:t>2 (1 new measure)</w:t>
            </w:r>
          </w:p>
        </w:tc>
        <w:tc>
          <w:tcPr>
            <w:tcW w:w="1134" w:type="dxa"/>
          </w:tcPr>
          <w:p w:rsidR="006B27C0" w:rsidRPr="008C0BE5" w:rsidRDefault="006B27C0" w:rsidP="008C0BE5">
            <w:pPr>
              <w:rPr>
                <w:rFonts w:ascii="Arial" w:hAnsi="Arial" w:cs="Arial"/>
                <w:sz w:val="20"/>
                <w:szCs w:val="20"/>
              </w:rPr>
            </w:pPr>
            <w:r w:rsidRPr="008C0BE5">
              <w:rPr>
                <w:rFonts w:ascii="Arial" w:hAnsi="Arial" w:cs="Arial"/>
                <w:sz w:val="20"/>
                <w:szCs w:val="20"/>
              </w:rPr>
              <w:t>142 441</w:t>
            </w:r>
          </w:p>
        </w:tc>
        <w:tc>
          <w:tcPr>
            <w:tcW w:w="1134" w:type="dxa"/>
          </w:tcPr>
          <w:p w:rsidR="006B27C0" w:rsidRPr="008C0BE5" w:rsidRDefault="006B27C0" w:rsidP="008C0BE5">
            <w:pPr>
              <w:rPr>
                <w:rFonts w:ascii="Arial" w:hAnsi="Arial" w:cs="Arial"/>
                <w:sz w:val="20"/>
                <w:szCs w:val="20"/>
              </w:rPr>
            </w:pPr>
            <w:r w:rsidRPr="008C0BE5">
              <w:rPr>
                <w:rFonts w:ascii="Arial" w:hAnsi="Arial" w:cs="Arial"/>
                <w:sz w:val="20"/>
                <w:szCs w:val="20"/>
              </w:rPr>
              <w:t>133 569</w:t>
            </w:r>
          </w:p>
        </w:tc>
        <w:tc>
          <w:tcPr>
            <w:tcW w:w="1276" w:type="dxa"/>
          </w:tcPr>
          <w:p w:rsidR="006B27C0" w:rsidRPr="008C0BE5" w:rsidRDefault="006B27C0" w:rsidP="008C0BE5">
            <w:pPr>
              <w:rPr>
                <w:rFonts w:ascii="Arial" w:hAnsi="Arial" w:cs="Arial"/>
                <w:sz w:val="20"/>
                <w:szCs w:val="20"/>
              </w:rPr>
            </w:pPr>
            <w:r w:rsidRPr="008C0BE5">
              <w:rPr>
                <w:rFonts w:ascii="Arial" w:hAnsi="Arial" w:cs="Arial"/>
                <w:sz w:val="20"/>
                <w:szCs w:val="20"/>
              </w:rPr>
              <w:t>136 918</w:t>
            </w:r>
          </w:p>
        </w:tc>
      </w:tr>
      <w:tr w:rsidR="006B27C0" w:rsidRPr="008C0BE5" w:rsidTr="00AE17EE">
        <w:trPr>
          <w:trHeight w:val="2250"/>
        </w:trPr>
        <w:tc>
          <w:tcPr>
            <w:tcW w:w="2269" w:type="dxa"/>
          </w:tcPr>
          <w:p w:rsidR="006B27C0" w:rsidRPr="008C0BE5" w:rsidRDefault="006B27C0" w:rsidP="008C0BE5">
            <w:pPr>
              <w:rPr>
                <w:rFonts w:ascii="Arial" w:hAnsi="Arial" w:cs="Arial"/>
                <w:sz w:val="20"/>
                <w:szCs w:val="20"/>
              </w:rPr>
            </w:pPr>
            <w:r w:rsidRPr="008C0BE5">
              <w:rPr>
                <w:rFonts w:ascii="Arial" w:hAnsi="Arial" w:cs="Arial"/>
                <w:sz w:val="20"/>
                <w:szCs w:val="20"/>
              </w:rPr>
              <w:lastRenderedPageBreak/>
              <w:t>9: Build PUBLIC TRUST and CONFIDENCE in the tax administration system.</w:t>
            </w:r>
          </w:p>
        </w:tc>
        <w:tc>
          <w:tcPr>
            <w:tcW w:w="3402" w:type="dxa"/>
          </w:tcPr>
          <w:p w:rsidR="006B27C0" w:rsidRPr="008C0BE5" w:rsidRDefault="006B27C0" w:rsidP="008C0BE5">
            <w:pPr>
              <w:rPr>
                <w:rFonts w:ascii="Arial" w:hAnsi="Arial" w:cs="Arial"/>
                <w:sz w:val="20"/>
                <w:szCs w:val="20"/>
              </w:rPr>
            </w:pPr>
            <w:r w:rsidRPr="008C0BE5">
              <w:rPr>
                <w:rFonts w:ascii="Arial" w:hAnsi="Arial" w:cs="Arial"/>
                <w:sz w:val="20"/>
                <w:szCs w:val="20"/>
              </w:rPr>
              <w:t>Public opinion survey results reflect high trust and confidence in SARS - % score as per public opinion survey.</w:t>
            </w:r>
          </w:p>
          <w:p w:rsidR="006B27C0" w:rsidRPr="008C0BE5" w:rsidRDefault="006B27C0" w:rsidP="008C0BE5">
            <w:pPr>
              <w:rPr>
                <w:rFonts w:ascii="Arial" w:hAnsi="Arial" w:cs="Arial"/>
                <w:sz w:val="20"/>
                <w:szCs w:val="20"/>
              </w:rPr>
            </w:pPr>
            <w:r w:rsidRPr="008C0BE5">
              <w:rPr>
                <w:rFonts w:ascii="Arial" w:hAnsi="Arial" w:cs="Arial"/>
                <w:sz w:val="20"/>
                <w:szCs w:val="20"/>
              </w:rPr>
              <w:t>Service Charter index achievement - % Service Charter performance score (old Service Charter).</w:t>
            </w:r>
          </w:p>
        </w:tc>
        <w:tc>
          <w:tcPr>
            <w:tcW w:w="1417" w:type="dxa"/>
          </w:tcPr>
          <w:p w:rsidR="006B27C0" w:rsidRPr="008C0BE5" w:rsidRDefault="006B27C0" w:rsidP="008C0BE5">
            <w:pPr>
              <w:rPr>
                <w:rFonts w:ascii="Arial" w:hAnsi="Arial" w:cs="Arial"/>
                <w:sz w:val="20"/>
                <w:szCs w:val="20"/>
              </w:rPr>
            </w:pPr>
            <w:r w:rsidRPr="008C0BE5">
              <w:rPr>
                <w:rFonts w:ascii="Arial" w:hAnsi="Arial" w:cs="Arial"/>
                <w:sz w:val="20"/>
                <w:szCs w:val="20"/>
              </w:rPr>
              <w:t>2</w:t>
            </w:r>
          </w:p>
        </w:tc>
        <w:tc>
          <w:tcPr>
            <w:tcW w:w="1134" w:type="dxa"/>
          </w:tcPr>
          <w:p w:rsidR="006B27C0" w:rsidRPr="008C0BE5" w:rsidRDefault="006B27C0" w:rsidP="008C0BE5">
            <w:pPr>
              <w:rPr>
                <w:rFonts w:ascii="Arial" w:hAnsi="Arial" w:cs="Arial"/>
                <w:sz w:val="20"/>
                <w:szCs w:val="20"/>
              </w:rPr>
            </w:pPr>
            <w:r w:rsidRPr="008C0BE5">
              <w:rPr>
                <w:rFonts w:ascii="Arial" w:hAnsi="Arial" w:cs="Arial"/>
                <w:sz w:val="20"/>
                <w:szCs w:val="20"/>
              </w:rPr>
              <w:t>621 362</w:t>
            </w:r>
          </w:p>
        </w:tc>
        <w:tc>
          <w:tcPr>
            <w:tcW w:w="1134" w:type="dxa"/>
          </w:tcPr>
          <w:p w:rsidR="006B27C0" w:rsidRPr="008C0BE5" w:rsidRDefault="006B27C0" w:rsidP="008C0BE5">
            <w:pPr>
              <w:rPr>
                <w:rFonts w:ascii="Arial" w:hAnsi="Arial" w:cs="Arial"/>
                <w:sz w:val="20"/>
                <w:szCs w:val="20"/>
              </w:rPr>
            </w:pPr>
            <w:r w:rsidRPr="008C0BE5">
              <w:rPr>
                <w:rFonts w:ascii="Arial" w:hAnsi="Arial" w:cs="Arial"/>
                <w:sz w:val="20"/>
                <w:szCs w:val="20"/>
              </w:rPr>
              <w:t>596 884</w:t>
            </w:r>
          </w:p>
        </w:tc>
        <w:tc>
          <w:tcPr>
            <w:tcW w:w="1276" w:type="dxa"/>
          </w:tcPr>
          <w:p w:rsidR="006B27C0" w:rsidRPr="008C0BE5" w:rsidRDefault="006B27C0" w:rsidP="008C0BE5">
            <w:pPr>
              <w:rPr>
                <w:rFonts w:ascii="Arial" w:hAnsi="Arial" w:cs="Arial"/>
                <w:sz w:val="20"/>
                <w:szCs w:val="20"/>
              </w:rPr>
            </w:pPr>
            <w:r w:rsidRPr="008C0BE5">
              <w:rPr>
                <w:rFonts w:ascii="Arial" w:hAnsi="Arial" w:cs="Arial"/>
                <w:sz w:val="20"/>
                <w:szCs w:val="20"/>
              </w:rPr>
              <w:t>623 841</w:t>
            </w:r>
          </w:p>
        </w:tc>
      </w:tr>
      <w:tr w:rsidR="006B27C0" w:rsidRPr="008C0BE5" w:rsidTr="00AE17EE">
        <w:trPr>
          <w:trHeight w:val="312"/>
        </w:trPr>
        <w:tc>
          <w:tcPr>
            <w:tcW w:w="7088" w:type="dxa"/>
            <w:gridSpan w:val="3"/>
          </w:tcPr>
          <w:p w:rsidR="006B27C0" w:rsidRPr="008C0BE5" w:rsidRDefault="006B27C0" w:rsidP="008C0BE5">
            <w:pPr>
              <w:rPr>
                <w:rFonts w:ascii="Arial" w:hAnsi="Arial" w:cs="Arial"/>
                <w:sz w:val="20"/>
                <w:szCs w:val="20"/>
              </w:rPr>
            </w:pPr>
            <w:r w:rsidRPr="008C0BE5">
              <w:rPr>
                <w:rFonts w:ascii="Arial" w:hAnsi="Arial" w:cs="Arial"/>
                <w:sz w:val="20"/>
                <w:szCs w:val="20"/>
              </w:rPr>
              <w:t>Total</w:t>
            </w:r>
          </w:p>
        </w:tc>
        <w:tc>
          <w:tcPr>
            <w:tcW w:w="1134" w:type="dxa"/>
          </w:tcPr>
          <w:p w:rsidR="006B27C0" w:rsidRPr="008C0BE5" w:rsidRDefault="006B27C0" w:rsidP="008C0BE5">
            <w:pPr>
              <w:rPr>
                <w:rFonts w:ascii="Arial" w:hAnsi="Arial" w:cs="Arial"/>
                <w:sz w:val="20"/>
                <w:szCs w:val="20"/>
              </w:rPr>
            </w:pPr>
            <w:r w:rsidRPr="008C0BE5">
              <w:rPr>
                <w:rFonts w:ascii="Arial" w:hAnsi="Arial" w:cs="Arial"/>
                <w:sz w:val="20"/>
                <w:szCs w:val="20"/>
              </w:rPr>
              <w:t>12 535 062</w:t>
            </w:r>
          </w:p>
        </w:tc>
        <w:tc>
          <w:tcPr>
            <w:tcW w:w="1134" w:type="dxa"/>
          </w:tcPr>
          <w:p w:rsidR="006B27C0" w:rsidRPr="008C0BE5" w:rsidRDefault="006B27C0" w:rsidP="008C0BE5">
            <w:pPr>
              <w:rPr>
                <w:rFonts w:ascii="Arial" w:hAnsi="Arial" w:cs="Arial"/>
                <w:sz w:val="20"/>
                <w:szCs w:val="20"/>
              </w:rPr>
            </w:pPr>
            <w:r w:rsidRPr="008C0BE5">
              <w:rPr>
                <w:rFonts w:ascii="Arial" w:hAnsi="Arial" w:cs="Arial"/>
                <w:sz w:val="20"/>
                <w:szCs w:val="20"/>
              </w:rPr>
              <w:t>11 974 788</w:t>
            </w:r>
          </w:p>
        </w:tc>
        <w:tc>
          <w:tcPr>
            <w:tcW w:w="1276" w:type="dxa"/>
          </w:tcPr>
          <w:p w:rsidR="006B27C0" w:rsidRPr="008C0BE5" w:rsidRDefault="006B27C0" w:rsidP="008C0BE5">
            <w:pPr>
              <w:rPr>
                <w:rFonts w:ascii="Arial" w:hAnsi="Arial" w:cs="Arial"/>
                <w:sz w:val="20"/>
                <w:szCs w:val="20"/>
              </w:rPr>
            </w:pPr>
            <w:r w:rsidRPr="008C0BE5">
              <w:rPr>
                <w:rFonts w:ascii="Arial" w:hAnsi="Arial" w:cs="Arial"/>
                <w:sz w:val="20"/>
                <w:szCs w:val="20"/>
              </w:rPr>
              <w:t>12 474 723</w:t>
            </w:r>
          </w:p>
        </w:tc>
      </w:tr>
    </w:tbl>
    <w:p w:rsidR="0034262D" w:rsidRPr="008C0BE5" w:rsidRDefault="001B6CF7" w:rsidP="008C0BE5">
      <w:pPr>
        <w:pStyle w:val="ListParagraph"/>
        <w:spacing w:after="0" w:line="240" w:lineRule="auto"/>
        <w:ind w:left="360"/>
        <w:rPr>
          <w:rFonts w:ascii="Arial" w:hAnsi="Arial" w:cs="Arial"/>
          <w:b/>
          <w:sz w:val="20"/>
          <w:szCs w:val="20"/>
        </w:rPr>
      </w:pPr>
      <w:r w:rsidRPr="008C0BE5">
        <w:rPr>
          <w:rFonts w:ascii="Arial" w:hAnsi="Arial" w:cs="Arial"/>
          <w:b/>
          <w:sz w:val="20"/>
          <w:szCs w:val="20"/>
        </w:rPr>
        <w:t>Source: Compiled from SARS APP 2023/24</w:t>
      </w:r>
    </w:p>
    <w:p w:rsidR="00B41338" w:rsidRPr="008C0BE5" w:rsidRDefault="00B41338" w:rsidP="008C0BE5">
      <w:pPr>
        <w:rPr>
          <w:rFonts w:ascii="Arial" w:eastAsiaTheme="minorHAnsi" w:hAnsi="Arial" w:cs="Arial"/>
          <w:b/>
          <w:sz w:val="20"/>
          <w:szCs w:val="20"/>
          <w:lang w:val="en-ZA"/>
        </w:rPr>
      </w:pPr>
      <w:r w:rsidRPr="008C0BE5">
        <w:rPr>
          <w:rFonts w:ascii="Arial" w:hAnsi="Arial" w:cs="Arial"/>
          <w:b/>
          <w:sz w:val="20"/>
          <w:szCs w:val="20"/>
        </w:rPr>
        <w:br w:type="page"/>
      </w:r>
    </w:p>
    <w:p w:rsidR="009E67BD" w:rsidRPr="008C0BE5" w:rsidRDefault="009E67BD" w:rsidP="008C0BE5">
      <w:pPr>
        <w:pStyle w:val="ListParagraph"/>
        <w:numPr>
          <w:ilvl w:val="0"/>
          <w:numId w:val="1"/>
        </w:numPr>
        <w:spacing w:after="0" w:line="240" w:lineRule="auto"/>
        <w:rPr>
          <w:rFonts w:ascii="Arial" w:hAnsi="Arial" w:cs="Arial"/>
          <w:b/>
          <w:sz w:val="20"/>
          <w:szCs w:val="20"/>
        </w:rPr>
      </w:pPr>
      <w:r w:rsidRPr="008C0BE5">
        <w:rPr>
          <w:rFonts w:ascii="Arial" w:hAnsi="Arial" w:cs="Arial"/>
          <w:b/>
          <w:sz w:val="20"/>
          <w:szCs w:val="20"/>
        </w:rPr>
        <w:lastRenderedPageBreak/>
        <w:t>OBSERVATIONS AND RECOMMENDATIONS</w:t>
      </w:r>
    </w:p>
    <w:p w:rsidR="000036F3" w:rsidRPr="008C0BE5" w:rsidRDefault="009E67BD" w:rsidP="008C0BE5">
      <w:pPr>
        <w:pStyle w:val="ListParagraph"/>
        <w:numPr>
          <w:ilvl w:val="1"/>
          <w:numId w:val="1"/>
        </w:numPr>
        <w:spacing w:after="0" w:line="240" w:lineRule="auto"/>
        <w:rPr>
          <w:rFonts w:ascii="Arial" w:hAnsi="Arial" w:cs="Arial"/>
          <w:color w:val="000000" w:themeColor="text1"/>
          <w:sz w:val="20"/>
          <w:szCs w:val="20"/>
        </w:rPr>
      </w:pPr>
      <w:r w:rsidRPr="008C0BE5">
        <w:rPr>
          <w:rFonts w:ascii="Arial" w:hAnsi="Arial" w:cs="Arial"/>
          <w:sz w:val="20"/>
          <w:szCs w:val="20"/>
        </w:rPr>
        <w:t xml:space="preserve"> The Committee notes </w:t>
      </w:r>
      <w:r w:rsidR="00687294" w:rsidRPr="008C0BE5">
        <w:rPr>
          <w:rFonts w:ascii="Arial" w:hAnsi="Arial" w:cs="Arial"/>
          <w:sz w:val="20"/>
          <w:szCs w:val="20"/>
        </w:rPr>
        <w:t xml:space="preserve">and welcomes </w:t>
      </w:r>
      <w:r w:rsidRPr="008C0BE5">
        <w:rPr>
          <w:rFonts w:ascii="Arial" w:hAnsi="Arial" w:cs="Arial"/>
          <w:sz w:val="20"/>
          <w:szCs w:val="20"/>
        </w:rPr>
        <w:t>the annual performance plans of NT and SARS</w:t>
      </w:r>
      <w:r w:rsidR="009B7712" w:rsidRPr="008C0BE5">
        <w:rPr>
          <w:rFonts w:ascii="Arial" w:hAnsi="Arial" w:cs="Arial"/>
          <w:sz w:val="20"/>
          <w:szCs w:val="20"/>
        </w:rPr>
        <w:t>,</w:t>
      </w:r>
      <w:r w:rsidR="00B07F73" w:rsidRPr="008C0BE5">
        <w:rPr>
          <w:rFonts w:ascii="Arial" w:hAnsi="Arial" w:cs="Arial"/>
          <w:sz w:val="20"/>
          <w:szCs w:val="20"/>
        </w:rPr>
        <w:t xml:space="preserve"> the proposed </w:t>
      </w:r>
      <w:r w:rsidR="003314E0" w:rsidRPr="008C0BE5">
        <w:rPr>
          <w:rFonts w:ascii="Arial" w:hAnsi="Arial" w:cs="Arial"/>
          <w:sz w:val="20"/>
          <w:szCs w:val="20"/>
        </w:rPr>
        <w:t>allocation</w:t>
      </w:r>
      <w:r w:rsidR="00B07F73" w:rsidRPr="008C0BE5">
        <w:rPr>
          <w:rFonts w:ascii="Arial" w:hAnsi="Arial" w:cs="Arial"/>
          <w:sz w:val="20"/>
          <w:szCs w:val="20"/>
        </w:rPr>
        <w:t xml:space="preserve"> in Budget Vote 8</w:t>
      </w:r>
      <w:r w:rsidR="003314E0" w:rsidRPr="008C0BE5">
        <w:rPr>
          <w:rFonts w:ascii="Arial" w:hAnsi="Arial" w:cs="Arial"/>
          <w:sz w:val="20"/>
          <w:szCs w:val="20"/>
        </w:rPr>
        <w:t>,</w:t>
      </w:r>
      <w:r w:rsidRPr="008C0BE5">
        <w:rPr>
          <w:rFonts w:ascii="Arial" w:hAnsi="Arial" w:cs="Arial"/>
          <w:sz w:val="20"/>
          <w:szCs w:val="20"/>
        </w:rPr>
        <w:t xml:space="preserve"> the key priorities </w:t>
      </w:r>
      <w:r w:rsidR="005F1B9C" w:rsidRPr="008C0BE5">
        <w:rPr>
          <w:rFonts w:ascii="Arial" w:hAnsi="Arial" w:cs="Arial"/>
          <w:sz w:val="20"/>
          <w:szCs w:val="20"/>
        </w:rPr>
        <w:t xml:space="preserve">and </w:t>
      </w:r>
      <w:r w:rsidR="001926F0" w:rsidRPr="008C0BE5">
        <w:rPr>
          <w:rFonts w:ascii="Arial" w:hAnsi="Arial" w:cs="Arial"/>
          <w:sz w:val="20"/>
          <w:szCs w:val="20"/>
        </w:rPr>
        <w:t xml:space="preserve">the </w:t>
      </w:r>
      <w:r w:rsidR="005F1B9C" w:rsidRPr="008C0BE5">
        <w:rPr>
          <w:rFonts w:ascii="Arial" w:hAnsi="Arial" w:cs="Arial"/>
          <w:sz w:val="20"/>
          <w:szCs w:val="20"/>
        </w:rPr>
        <w:t>performance target</w:t>
      </w:r>
      <w:r w:rsidR="003314E0" w:rsidRPr="008C0BE5">
        <w:rPr>
          <w:rFonts w:ascii="Arial" w:hAnsi="Arial" w:cs="Arial"/>
          <w:sz w:val="20"/>
          <w:szCs w:val="20"/>
        </w:rPr>
        <w:t xml:space="preserve"> indicators</w:t>
      </w:r>
      <w:r w:rsidR="005F1B9C" w:rsidRPr="008C0BE5">
        <w:rPr>
          <w:rFonts w:ascii="Arial" w:hAnsi="Arial" w:cs="Arial"/>
          <w:sz w:val="20"/>
          <w:szCs w:val="20"/>
        </w:rPr>
        <w:t xml:space="preserve"> as presented to it</w:t>
      </w:r>
      <w:r w:rsidR="001D74D0" w:rsidRPr="008C0BE5">
        <w:rPr>
          <w:rFonts w:ascii="Arial" w:hAnsi="Arial" w:cs="Arial"/>
          <w:sz w:val="20"/>
          <w:szCs w:val="20"/>
        </w:rPr>
        <w:t>.</w:t>
      </w:r>
      <w:r w:rsidR="005F1B9C" w:rsidRPr="008C0BE5">
        <w:rPr>
          <w:rFonts w:ascii="Arial" w:hAnsi="Arial" w:cs="Arial"/>
          <w:sz w:val="20"/>
          <w:szCs w:val="20"/>
        </w:rPr>
        <w:t xml:space="preserve"> It also notes the plans of </w:t>
      </w:r>
      <w:r w:rsidR="00553DEB" w:rsidRPr="008C0BE5">
        <w:rPr>
          <w:rFonts w:ascii="Arial" w:hAnsi="Arial" w:cs="Arial"/>
          <w:sz w:val="20"/>
          <w:szCs w:val="20"/>
        </w:rPr>
        <w:t>o</w:t>
      </w:r>
      <w:r w:rsidR="005F1B9C" w:rsidRPr="008C0BE5">
        <w:rPr>
          <w:rFonts w:ascii="Arial" w:hAnsi="Arial" w:cs="Arial"/>
          <w:sz w:val="20"/>
          <w:szCs w:val="20"/>
        </w:rPr>
        <w:t>the</w:t>
      </w:r>
      <w:r w:rsidR="00553DEB" w:rsidRPr="008C0BE5">
        <w:rPr>
          <w:rFonts w:ascii="Arial" w:hAnsi="Arial" w:cs="Arial"/>
          <w:sz w:val="20"/>
          <w:szCs w:val="20"/>
        </w:rPr>
        <w:t>r entities that report under the Ministry of Finance</w:t>
      </w:r>
      <w:r w:rsidR="009B7712" w:rsidRPr="008C0BE5">
        <w:rPr>
          <w:rFonts w:ascii="Arial" w:hAnsi="Arial" w:cs="Arial"/>
          <w:sz w:val="20"/>
          <w:szCs w:val="20"/>
        </w:rPr>
        <w:t xml:space="preserve">, many </w:t>
      </w:r>
      <w:r w:rsidR="009129AC" w:rsidRPr="008C0BE5">
        <w:rPr>
          <w:rFonts w:ascii="Arial" w:hAnsi="Arial" w:cs="Arial"/>
          <w:sz w:val="20"/>
          <w:szCs w:val="20"/>
        </w:rPr>
        <w:t xml:space="preserve">of </w:t>
      </w:r>
      <w:r w:rsidR="009B7712" w:rsidRPr="008C0BE5">
        <w:rPr>
          <w:rFonts w:ascii="Arial" w:hAnsi="Arial" w:cs="Arial"/>
          <w:sz w:val="20"/>
          <w:szCs w:val="20"/>
        </w:rPr>
        <w:t xml:space="preserve">which the Committee met to get an update on the implementation of </w:t>
      </w:r>
      <w:r w:rsidR="00687294" w:rsidRPr="008C0BE5">
        <w:rPr>
          <w:rFonts w:ascii="Arial" w:hAnsi="Arial" w:cs="Arial"/>
          <w:sz w:val="20"/>
          <w:szCs w:val="20"/>
        </w:rPr>
        <w:t xml:space="preserve">their </w:t>
      </w:r>
      <w:r w:rsidR="009B7712" w:rsidRPr="008C0BE5">
        <w:rPr>
          <w:rFonts w:ascii="Arial" w:hAnsi="Arial" w:cs="Arial"/>
          <w:sz w:val="20"/>
          <w:szCs w:val="20"/>
        </w:rPr>
        <w:t xml:space="preserve">audit action plans </w:t>
      </w:r>
      <w:r w:rsidR="009129AC" w:rsidRPr="008C0BE5">
        <w:rPr>
          <w:rFonts w:ascii="Arial" w:hAnsi="Arial" w:cs="Arial"/>
          <w:sz w:val="20"/>
          <w:szCs w:val="20"/>
        </w:rPr>
        <w:t>o</w:t>
      </w:r>
      <w:r w:rsidR="009B7712" w:rsidRPr="008C0BE5">
        <w:rPr>
          <w:rFonts w:ascii="Arial" w:hAnsi="Arial" w:cs="Arial"/>
          <w:sz w:val="20"/>
          <w:szCs w:val="20"/>
        </w:rPr>
        <w:t xml:space="preserve">n </w:t>
      </w:r>
      <w:r w:rsidR="009129AC" w:rsidRPr="008C0BE5">
        <w:rPr>
          <w:rFonts w:ascii="Arial" w:hAnsi="Arial" w:cs="Arial"/>
          <w:sz w:val="20"/>
          <w:szCs w:val="20"/>
        </w:rPr>
        <w:t xml:space="preserve">29 and 30 </w:t>
      </w:r>
      <w:r w:rsidR="009B7712" w:rsidRPr="008C0BE5">
        <w:rPr>
          <w:rFonts w:ascii="Arial" w:hAnsi="Arial" w:cs="Arial"/>
          <w:sz w:val="20"/>
          <w:szCs w:val="20"/>
        </w:rPr>
        <w:t>March 2023</w:t>
      </w:r>
      <w:r w:rsidR="00553DEB" w:rsidRPr="008C0BE5">
        <w:rPr>
          <w:rFonts w:ascii="Arial" w:hAnsi="Arial" w:cs="Arial"/>
          <w:sz w:val="20"/>
          <w:szCs w:val="20"/>
        </w:rPr>
        <w:t xml:space="preserve">. </w:t>
      </w:r>
      <w:r w:rsidR="005F1B9C" w:rsidRPr="008C0BE5">
        <w:rPr>
          <w:rFonts w:ascii="Arial" w:hAnsi="Arial" w:cs="Arial"/>
          <w:sz w:val="20"/>
          <w:szCs w:val="20"/>
        </w:rPr>
        <w:t xml:space="preserve"> </w:t>
      </w:r>
      <w:r w:rsidR="00C408C8" w:rsidRPr="008C0BE5">
        <w:rPr>
          <w:rFonts w:ascii="Arial" w:hAnsi="Arial" w:cs="Arial"/>
          <w:sz w:val="20"/>
          <w:szCs w:val="20"/>
        </w:rPr>
        <w:t xml:space="preserve"> </w:t>
      </w:r>
    </w:p>
    <w:p w:rsidR="00627A99" w:rsidRPr="008C0BE5" w:rsidRDefault="00627A99" w:rsidP="008C0BE5">
      <w:pPr>
        <w:rPr>
          <w:rFonts w:ascii="Arial" w:hAnsi="Arial" w:cs="Arial"/>
          <w:color w:val="000000" w:themeColor="text1"/>
          <w:sz w:val="20"/>
          <w:szCs w:val="20"/>
        </w:rPr>
      </w:pPr>
      <w:r w:rsidRPr="008C0BE5">
        <w:rPr>
          <w:rFonts w:ascii="Arial" w:hAnsi="Arial" w:cs="Arial"/>
          <w:color w:val="000000" w:themeColor="text1"/>
          <w:sz w:val="20"/>
          <w:szCs w:val="20"/>
        </w:rPr>
        <w:t>IMPLEMENTATION OF AUDIT ACTION PLANS</w:t>
      </w:r>
    </w:p>
    <w:p w:rsidR="00641F72" w:rsidRPr="008C0BE5" w:rsidRDefault="005F1B9C" w:rsidP="008C0BE5">
      <w:pPr>
        <w:pStyle w:val="ListParagraph"/>
        <w:numPr>
          <w:ilvl w:val="1"/>
          <w:numId w:val="1"/>
        </w:numPr>
        <w:spacing w:after="0" w:line="240" w:lineRule="auto"/>
        <w:rPr>
          <w:rFonts w:ascii="Arial" w:hAnsi="Arial" w:cs="Arial"/>
          <w:color w:val="000000" w:themeColor="text1"/>
          <w:sz w:val="20"/>
          <w:szCs w:val="20"/>
        </w:rPr>
      </w:pPr>
      <w:r w:rsidRPr="008C0BE5">
        <w:rPr>
          <w:rFonts w:ascii="Arial" w:hAnsi="Arial" w:cs="Arial"/>
          <w:sz w:val="20"/>
          <w:szCs w:val="20"/>
        </w:rPr>
        <w:t>The C</w:t>
      </w:r>
      <w:r w:rsidR="00ED386F" w:rsidRPr="008C0BE5">
        <w:rPr>
          <w:rFonts w:ascii="Arial" w:hAnsi="Arial" w:cs="Arial"/>
          <w:sz w:val="20"/>
          <w:szCs w:val="20"/>
        </w:rPr>
        <w:t>ommittee</w:t>
      </w:r>
      <w:r w:rsidR="007F39C0" w:rsidRPr="008C0BE5">
        <w:rPr>
          <w:rFonts w:ascii="Arial" w:hAnsi="Arial" w:cs="Arial"/>
          <w:sz w:val="20"/>
          <w:szCs w:val="20"/>
        </w:rPr>
        <w:t xml:space="preserve">, in its </w:t>
      </w:r>
      <w:r w:rsidR="00F56A06" w:rsidRPr="008C0BE5">
        <w:rPr>
          <w:rFonts w:ascii="Arial" w:hAnsi="Arial" w:cs="Arial"/>
          <w:sz w:val="20"/>
          <w:szCs w:val="20"/>
        </w:rPr>
        <w:t xml:space="preserve">BRRR of 2022, noted the regression in audit outcomes across the finance portfolio when compared to the previous year </w:t>
      </w:r>
      <w:r w:rsidR="009419C9" w:rsidRPr="008C0BE5">
        <w:rPr>
          <w:rFonts w:ascii="Arial" w:hAnsi="Arial" w:cs="Arial"/>
          <w:sz w:val="20"/>
          <w:szCs w:val="20"/>
        </w:rPr>
        <w:t>(</w:t>
      </w:r>
      <w:r w:rsidR="00F56A06" w:rsidRPr="008C0BE5">
        <w:rPr>
          <w:rFonts w:ascii="Arial" w:hAnsi="Arial" w:cs="Arial"/>
          <w:sz w:val="20"/>
          <w:szCs w:val="20"/>
        </w:rPr>
        <w:t>2021/22</w:t>
      </w:r>
      <w:r w:rsidR="009419C9" w:rsidRPr="008C0BE5">
        <w:rPr>
          <w:rFonts w:ascii="Arial" w:hAnsi="Arial" w:cs="Arial"/>
          <w:sz w:val="20"/>
          <w:szCs w:val="20"/>
        </w:rPr>
        <w:t>)</w:t>
      </w:r>
      <w:r w:rsidR="00F56A06" w:rsidRPr="008C0BE5">
        <w:rPr>
          <w:rFonts w:ascii="Arial" w:hAnsi="Arial" w:cs="Arial"/>
          <w:sz w:val="20"/>
          <w:szCs w:val="20"/>
        </w:rPr>
        <w:t xml:space="preserve">. </w:t>
      </w:r>
      <w:r w:rsidR="00DA1339" w:rsidRPr="008C0BE5">
        <w:rPr>
          <w:rFonts w:ascii="Arial" w:hAnsi="Arial" w:cs="Arial"/>
          <w:sz w:val="20"/>
          <w:szCs w:val="20"/>
        </w:rPr>
        <w:t>As it did at the beginning of last year</w:t>
      </w:r>
      <w:r w:rsidR="009419C9" w:rsidRPr="008C0BE5">
        <w:rPr>
          <w:rFonts w:ascii="Arial" w:hAnsi="Arial" w:cs="Arial"/>
          <w:sz w:val="20"/>
          <w:szCs w:val="20"/>
        </w:rPr>
        <w:t xml:space="preserve"> (2022)</w:t>
      </w:r>
      <w:r w:rsidR="00DA1339" w:rsidRPr="008C0BE5">
        <w:rPr>
          <w:rFonts w:ascii="Arial" w:hAnsi="Arial" w:cs="Arial"/>
          <w:sz w:val="20"/>
          <w:szCs w:val="20"/>
        </w:rPr>
        <w:t>, and as advised by the Office of the Auditor-General of South Africa (AGSA), it resolved to follow-up on the implementation of audit action plans</w:t>
      </w:r>
      <w:r w:rsidR="00A53744" w:rsidRPr="008C0BE5">
        <w:rPr>
          <w:rFonts w:ascii="Arial" w:hAnsi="Arial" w:cs="Arial"/>
          <w:sz w:val="20"/>
          <w:szCs w:val="20"/>
        </w:rPr>
        <w:t xml:space="preserve">. </w:t>
      </w:r>
    </w:p>
    <w:p w:rsidR="00D23D74" w:rsidRPr="008C0BE5" w:rsidRDefault="00ED386F" w:rsidP="008C0BE5">
      <w:pPr>
        <w:pStyle w:val="ListParagraph"/>
        <w:numPr>
          <w:ilvl w:val="1"/>
          <w:numId w:val="1"/>
        </w:numPr>
        <w:spacing w:after="0" w:line="240" w:lineRule="auto"/>
        <w:rPr>
          <w:rFonts w:ascii="Arial" w:hAnsi="Arial" w:cs="Arial"/>
          <w:sz w:val="20"/>
          <w:szCs w:val="20"/>
        </w:rPr>
      </w:pPr>
      <w:r w:rsidRPr="008C0BE5">
        <w:rPr>
          <w:rFonts w:ascii="Arial" w:hAnsi="Arial" w:cs="Arial"/>
          <w:sz w:val="20"/>
          <w:szCs w:val="20"/>
        </w:rPr>
        <w:t xml:space="preserve">The </w:t>
      </w:r>
      <w:r w:rsidR="00EA11BF" w:rsidRPr="008C0BE5">
        <w:rPr>
          <w:rFonts w:ascii="Arial" w:hAnsi="Arial" w:cs="Arial"/>
          <w:sz w:val="20"/>
          <w:szCs w:val="20"/>
        </w:rPr>
        <w:t xml:space="preserve">briefings on the audit action plans </w:t>
      </w:r>
      <w:r w:rsidRPr="008C0BE5">
        <w:rPr>
          <w:rFonts w:ascii="Arial" w:hAnsi="Arial" w:cs="Arial"/>
          <w:sz w:val="20"/>
          <w:szCs w:val="20"/>
        </w:rPr>
        <w:t xml:space="preserve">were </w:t>
      </w:r>
      <w:r w:rsidR="00EA11BF" w:rsidRPr="008C0BE5">
        <w:rPr>
          <w:rFonts w:ascii="Arial" w:hAnsi="Arial" w:cs="Arial"/>
          <w:sz w:val="20"/>
          <w:szCs w:val="20"/>
        </w:rPr>
        <w:t xml:space="preserve">made by </w:t>
      </w:r>
      <w:r w:rsidR="0034262D" w:rsidRPr="008C0BE5">
        <w:rPr>
          <w:rFonts w:ascii="Arial" w:hAnsi="Arial" w:cs="Arial"/>
          <w:sz w:val="20"/>
          <w:szCs w:val="20"/>
        </w:rPr>
        <w:t xml:space="preserve">NT, CBDA, FAIS Ombud, FFC, FIC, OPFA, GTAC, GPAA, </w:t>
      </w:r>
      <w:r w:rsidR="00D73A75" w:rsidRPr="008C0BE5">
        <w:rPr>
          <w:rFonts w:ascii="Arial" w:hAnsi="Arial" w:cs="Arial"/>
          <w:sz w:val="20"/>
          <w:szCs w:val="20"/>
        </w:rPr>
        <w:t xml:space="preserve">and </w:t>
      </w:r>
      <w:r w:rsidR="0034262D" w:rsidRPr="008C0BE5">
        <w:rPr>
          <w:rFonts w:ascii="Arial" w:hAnsi="Arial" w:cs="Arial"/>
          <w:sz w:val="20"/>
          <w:szCs w:val="20"/>
        </w:rPr>
        <w:t>PIC on 29 and 30 March 2023</w:t>
      </w:r>
      <w:r w:rsidR="00D73A75" w:rsidRPr="008C0BE5">
        <w:rPr>
          <w:rFonts w:ascii="Arial" w:hAnsi="Arial" w:cs="Arial"/>
          <w:sz w:val="20"/>
          <w:szCs w:val="20"/>
        </w:rPr>
        <w:t>.</w:t>
      </w:r>
      <w:r w:rsidR="00712363" w:rsidRPr="008C0BE5">
        <w:rPr>
          <w:rFonts w:ascii="Arial" w:hAnsi="Arial" w:cs="Arial"/>
          <w:sz w:val="20"/>
          <w:szCs w:val="20"/>
        </w:rPr>
        <w:t xml:space="preserve"> The Committee was assisted by the AGSA team that audits the finance portfolio. </w:t>
      </w:r>
      <w:r w:rsidR="008E379F" w:rsidRPr="008C0BE5">
        <w:rPr>
          <w:rFonts w:ascii="Arial" w:hAnsi="Arial" w:cs="Arial"/>
          <w:sz w:val="20"/>
          <w:szCs w:val="20"/>
        </w:rPr>
        <w:t xml:space="preserve">SARS could not attend this oversight activity as it </w:t>
      </w:r>
      <w:r w:rsidR="00833EF1" w:rsidRPr="008C0BE5">
        <w:rPr>
          <w:rFonts w:ascii="Arial" w:hAnsi="Arial" w:cs="Arial"/>
          <w:sz w:val="20"/>
          <w:szCs w:val="20"/>
        </w:rPr>
        <w:t xml:space="preserve">was busy with the end of year filing season. </w:t>
      </w:r>
      <w:r w:rsidR="005404F5" w:rsidRPr="008C0BE5">
        <w:rPr>
          <w:rFonts w:ascii="Arial" w:hAnsi="Arial" w:cs="Arial"/>
          <w:sz w:val="20"/>
          <w:szCs w:val="20"/>
        </w:rPr>
        <w:t>The Committee requires all these entities</w:t>
      </w:r>
      <w:r w:rsidR="00833EF1" w:rsidRPr="008C0BE5">
        <w:rPr>
          <w:rFonts w:ascii="Arial" w:hAnsi="Arial" w:cs="Arial"/>
          <w:sz w:val="20"/>
          <w:szCs w:val="20"/>
        </w:rPr>
        <w:t>, including SARS,</w:t>
      </w:r>
      <w:r w:rsidR="005404F5" w:rsidRPr="008C0BE5">
        <w:rPr>
          <w:rFonts w:ascii="Arial" w:hAnsi="Arial" w:cs="Arial"/>
          <w:sz w:val="20"/>
          <w:szCs w:val="20"/>
        </w:rPr>
        <w:t xml:space="preserve"> to submit quarterly reports on the resolution of </w:t>
      </w:r>
      <w:r w:rsidR="008E379F" w:rsidRPr="008C0BE5">
        <w:rPr>
          <w:rFonts w:ascii="Arial" w:hAnsi="Arial" w:cs="Arial"/>
          <w:sz w:val="20"/>
          <w:szCs w:val="20"/>
        </w:rPr>
        <w:t xml:space="preserve">adverse </w:t>
      </w:r>
      <w:r w:rsidR="005404F5" w:rsidRPr="008C0BE5">
        <w:rPr>
          <w:rFonts w:ascii="Arial" w:hAnsi="Arial" w:cs="Arial"/>
          <w:sz w:val="20"/>
          <w:szCs w:val="20"/>
        </w:rPr>
        <w:t>findings from the previous year</w:t>
      </w:r>
      <w:r w:rsidR="008E379F" w:rsidRPr="008C0BE5">
        <w:rPr>
          <w:rFonts w:ascii="Arial" w:hAnsi="Arial" w:cs="Arial"/>
          <w:sz w:val="20"/>
          <w:szCs w:val="20"/>
        </w:rPr>
        <w:t>.</w:t>
      </w:r>
      <w:r w:rsidR="0034262D" w:rsidRPr="008C0BE5">
        <w:rPr>
          <w:rFonts w:ascii="Arial" w:hAnsi="Arial" w:cs="Arial"/>
          <w:sz w:val="20"/>
          <w:szCs w:val="20"/>
        </w:rPr>
        <w:t xml:space="preserve"> </w:t>
      </w:r>
      <w:r w:rsidR="000126BA" w:rsidRPr="008C0BE5">
        <w:rPr>
          <w:rFonts w:ascii="Arial" w:hAnsi="Arial" w:cs="Arial"/>
          <w:sz w:val="20"/>
          <w:szCs w:val="20"/>
        </w:rPr>
        <w:t xml:space="preserve">More details on the outcomes of this oversight visit are reported in the </w:t>
      </w:r>
      <w:r w:rsidR="00410BFC" w:rsidRPr="008C0BE5">
        <w:rPr>
          <w:rFonts w:ascii="Arial" w:hAnsi="Arial" w:cs="Arial"/>
          <w:sz w:val="20"/>
          <w:szCs w:val="20"/>
        </w:rPr>
        <w:t>o</w:t>
      </w:r>
      <w:r w:rsidR="000126BA" w:rsidRPr="008C0BE5">
        <w:rPr>
          <w:rFonts w:ascii="Arial" w:hAnsi="Arial" w:cs="Arial"/>
          <w:sz w:val="20"/>
          <w:szCs w:val="20"/>
        </w:rPr>
        <w:t xml:space="preserve">versight </w:t>
      </w:r>
      <w:r w:rsidR="00410BFC" w:rsidRPr="008C0BE5">
        <w:rPr>
          <w:rFonts w:ascii="Arial" w:hAnsi="Arial" w:cs="Arial"/>
          <w:sz w:val="20"/>
          <w:szCs w:val="20"/>
        </w:rPr>
        <w:t>r</w:t>
      </w:r>
      <w:r w:rsidR="000126BA" w:rsidRPr="008C0BE5">
        <w:rPr>
          <w:rFonts w:ascii="Arial" w:hAnsi="Arial" w:cs="Arial"/>
          <w:sz w:val="20"/>
          <w:szCs w:val="20"/>
        </w:rPr>
        <w:t>eport</w:t>
      </w:r>
      <w:r w:rsidR="00D23D74" w:rsidRPr="008C0BE5">
        <w:rPr>
          <w:rFonts w:ascii="Arial" w:hAnsi="Arial" w:cs="Arial"/>
          <w:sz w:val="20"/>
          <w:szCs w:val="20"/>
        </w:rPr>
        <w:t>s of the Committee on each of these entities</w:t>
      </w:r>
      <w:r w:rsidR="00410BFC" w:rsidRPr="008C0BE5">
        <w:rPr>
          <w:rFonts w:ascii="Arial" w:hAnsi="Arial" w:cs="Arial"/>
          <w:sz w:val="20"/>
          <w:szCs w:val="20"/>
        </w:rPr>
        <w:t xml:space="preserve"> (ATC’</w:t>
      </w:r>
      <w:r w:rsidR="00FC5F58" w:rsidRPr="008C0BE5">
        <w:rPr>
          <w:rFonts w:ascii="Arial" w:hAnsi="Arial" w:cs="Arial"/>
          <w:sz w:val="20"/>
          <w:szCs w:val="20"/>
        </w:rPr>
        <w:t>d</w:t>
      </w:r>
      <w:r w:rsidR="00410BFC" w:rsidRPr="008C0BE5">
        <w:rPr>
          <w:rFonts w:ascii="Arial" w:hAnsi="Arial" w:cs="Arial"/>
          <w:sz w:val="20"/>
          <w:szCs w:val="20"/>
        </w:rPr>
        <w:t xml:space="preserve"> on 03 May</w:t>
      </w:r>
      <w:r w:rsidR="00FC5F58" w:rsidRPr="008C0BE5">
        <w:rPr>
          <w:rFonts w:ascii="Arial" w:hAnsi="Arial" w:cs="Arial"/>
          <w:sz w:val="20"/>
          <w:szCs w:val="20"/>
        </w:rPr>
        <w:t xml:space="preserve"> 2023)</w:t>
      </w:r>
      <w:r w:rsidR="00D23D74" w:rsidRPr="008C0BE5">
        <w:rPr>
          <w:rFonts w:ascii="Arial" w:hAnsi="Arial" w:cs="Arial"/>
          <w:sz w:val="20"/>
          <w:szCs w:val="20"/>
        </w:rPr>
        <w:t xml:space="preserve">. </w:t>
      </w:r>
    </w:p>
    <w:p w:rsidR="00627A99" w:rsidRPr="008C0BE5" w:rsidRDefault="00D55FA4" w:rsidP="008C0BE5">
      <w:pPr>
        <w:pStyle w:val="ListParagraph"/>
        <w:numPr>
          <w:ilvl w:val="1"/>
          <w:numId w:val="1"/>
        </w:numPr>
        <w:spacing w:after="0" w:line="240" w:lineRule="auto"/>
        <w:rPr>
          <w:rFonts w:ascii="Arial" w:hAnsi="Arial" w:cs="Arial"/>
          <w:sz w:val="20"/>
          <w:szCs w:val="20"/>
        </w:rPr>
      </w:pPr>
      <w:r w:rsidRPr="008C0BE5">
        <w:rPr>
          <w:rFonts w:ascii="Arial" w:hAnsi="Arial" w:cs="Arial"/>
          <w:sz w:val="20"/>
          <w:szCs w:val="20"/>
        </w:rPr>
        <w:t xml:space="preserve">The Committee will continue to heighten its oversight over the implementation of the audit action plans as it wants to see improved governance </w:t>
      </w:r>
      <w:r w:rsidR="00884D0A" w:rsidRPr="008C0BE5">
        <w:rPr>
          <w:rFonts w:ascii="Arial" w:hAnsi="Arial" w:cs="Arial"/>
          <w:sz w:val="20"/>
          <w:szCs w:val="20"/>
        </w:rPr>
        <w:t xml:space="preserve">and audit </w:t>
      </w:r>
      <w:r w:rsidRPr="008C0BE5">
        <w:rPr>
          <w:rFonts w:ascii="Arial" w:hAnsi="Arial" w:cs="Arial"/>
          <w:sz w:val="20"/>
          <w:szCs w:val="20"/>
        </w:rPr>
        <w:t xml:space="preserve">outcomes </w:t>
      </w:r>
      <w:r w:rsidR="00884D0A" w:rsidRPr="008C0BE5">
        <w:rPr>
          <w:rFonts w:ascii="Arial" w:hAnsi="Arial" w:cs="Arial"/>
          <w:sz w:val="20"/>
          <w:szCs w:val="20"/>
        </w:rPr>
        <w:t>across</w:t>
      </w:r>
      <w:r w:rsidRPr="008C0BE5">
        <w:rPr>
          <w:rFonts w:ascii="Arial" w:hAnsi="Arial" w:cs="Arial"/>
          <w:sz w:val="20"/>
          <w:szCs w:val="20"/>
        </w:rPr>
        <w:t xml:space="preserve"> the finance portfolio, which is the custodian of public finances for the rest of government.</w:t>
      </w:r>
      <w:r w:rsidR="00FD4E2D" w:rsidRPr="008C0BE5">
        <w:rPr>
          <w:rFonts w:ascii="Arial" w:hAnsi="Arial" w:cs="Arial"/>
          <w:sz w:val="20"/>
          <w:szCs w:val="20"/>
        </w:rPr>
        <w:t xml:space="preserve"> The finance portfolio should lead by example </w:t>
      </w:r>
      <w:r w:rsidR="00681506" w:rsidRPr="008C0BE5">
        <w:rPr>
          <w:rFonts w:ascii="Arial" w:hAnsi="Arial" w:cs="Arial"/>
          <w:sz w:val="20"/>
          <w:szCs w:val="20"/>
        </w:rPr>
        <w:t>so that the rest of go</w:t>
      </w:r>
      <w:r w:rsidR="00FD4E2D" w:rsidRPr="008C0BE5">
        <w:rPr>
          <w:rFonts w:ascii="Arial" w:hAnsi="Arial" w:cs="Arial"/>
          <w:sz w:val="20"/>
          <w:szCs w:val="20"/>
        </w:rPr>
        <w:t xml:space="preserve">vernment </w:t>
      </w:r>
      <w:r w:rsidR="00007958" w:rsidRPr="008C0BE5">
        <w:rPr>
          <w:rFonts w:ascii="Arial" w:hAnsi="Arial" w:cs="Arial"/>
          <w:sz w:val="20"/>
          <w:szCs w:val="20"/>
        </w:rPr>
        <w:t xml:space="preserve">could follow on its footsteps given its </w:t>
      </w:r>
      <w:r w:rsidR="00FD4E2D" w:rsidRPr="008C0BE5">
        <w:rPr>
          <w:rFonts w:ascii="Arial" w:hAnsi="Arial" w:cs="Arial"/>
          <w:sz w:val="20"/>
          <w:szCs w:val="20"/>
        </w:rPr>
        <w:t>constitutional role of manag</w:t>
      </w:r>
      <w:r w:rsidR="009B12DF" w:rsidRPr="008C0BE5">
        <w:rPr>
          <w:rFonts w:ascii="Arial" w:hAnsi="Arial" w:cs="Arial"/>
          <w:sz w:val="20"/>
          <w:szCs w:val="20"/>
        </w:rPr>
        <w:t>ing the</w:t>
      </w:r>
      <w:r w:rsidR="00FD4E2D" w:rsidRPr="008C0BE5">
        <w:rPr>
          <w:rFonts w:ascii="Arial" w:hAnsi="Arial" w:cs="Arial"/>
          <w:sz w:val="20"/>
          <w:szCs w:val="20"/>
        </w:rPr>
        <w:t xml:space="preserve"> </w:t>
      </w:r>
      <w:r w:rsidR="00CA3204" w:rsidRPr="008C0BE5">
        <w:rPr>
          <w:rFonts w:ascii="Arial" w:hAnsi="Arial" w:cs="Arial"/>
          <w:sz w:val="20"/>
          <w:szCs w:val="20"/>
        </w:rPr>
        <w:t xml:space="preserve">overall </w:t>
      </w:r>
      <w:r w:rsidR="00FD4E2D" w:rsidRPr="008C0BE5">
        <w:rPr>
          <w:rFonts w:ascii="Arial" w:hAnsi="Arial" w:cs="Arial"/>
          <w:sz w:val="20"/>
          <w:szCs w:val="20"/>
        </w:rPr>
        <w:t>public finance</w:t>
      </w:r>
      <w:r w:rsidR="00007958" w:rsidRPr="008C0BE5">
        <w:rPr>
          <w:rFonts w:ascii="Arial" w:hAnsi="Arial" w:cs="Arial"/>
          <w:sz w:val="20"/>
          <w:szCs w:val="20"/>
        </w:rPr>
        <w:t>s</w:t>
      </w:r>
      <w:r w:rsidR="00FD4E2D" w:rsidRPr="008C0BE5">
        <w:rPr>
          <w:rFonts w:ascii="Arial" w:hAnsi="Arial" w:cs="Arial"/>
          <w:sz w:val="20"/>
          <w:szCs w:val="20"/>
        </w:rPr>
        <w:t xml:space="preserve">. </w:t>
      </w:r>
    </w:p>
    <w:p w:rsidR="007B0606" w:rsidRPr="008C0BE5" w:rsidRDefault="008E7CD3" w:rsidP="008C0BE5">
      <w:pPr>
        <w:pStyle w:val="ListParagraph"/>
        <w:numPr>
          <w:ilvl w:val="1"/>
          <w:numId w:val="1"/>
        </w:numPr>
        <w:spacing w:after="0" w:line="240" w:lineRule="auto"/>
        <w:rPr>
          <w:rFonts w:ascii="Arial" w:eastAsia="Times New Roman" w:hAnsi="Arial" w:cs="Arial"/>
          <w:sz w:val="20"/>
          <w:szCs w:val="20"/>
        </w:rPr>
      </w:pPr>
      <w:r w:rsidRPr="008C0BE5">
        <w:rPr>
          <w:rFonts w:ascii="Arial" w:hAnsi="Arial" w:cs="Arial"/>
          <w:color w:val="000000" w:themeColor="text1"/>
          <w:sz w:val="20"/>
          <w:szCs w:val="20"/>
        </w:rPr>
        <w:t>The Committee believes that improving audit outcomes of the finance por</w:t>
      </w:r>
      <w:r w:rsidR="00C408C8" w:rsidRPr="008C0BE5">
        <w:rPr>
          <w:rFonts w:ascii="Arial" w:hAnsi="Arial" w:cs="Arial"/>
          <w:color w:val="000000" w:themeColor="text1"/>
          <w:sz w:val="20"/>
          <w:szCs w:val="20"/>
        </w:rPr>
        <w:t>tfolio is a combined effort of</w:t>
      </w:r>
      <w:r w:rsidRPr="008C0BE5">
        <w:rPr>
          <w:rFonts w:ascii="Arial" w:hAnsi="Arial" w:cs="Arial"/>
          <w:color w:val="000000" w:themeColor="text1"/>
          <w:sz w:val="20"/>
          <w:szCs w:val="20"/>
        </w:rPr>
        <w:t xml:space="preserve"> </w:t>
      </w:r>
      <w:r w:rsidR="000C4FD8" w:rsidRPr="008C0BE5">
        <w:rPr>
          <w:rFonts w:ascii="Arial" w:hAnsi="Arial" w:cs="Arial"/>
          <w:color w:val="000000" w:themeColor="text1"/>
          <w:sz w:val="20"/>
          <w:szCs w:val="20"/>
        </w:rPr>
        <w:t>the executive and accounting</w:t>
      </w:r>
      <w:r w:rsidR="0062720D" w:rsidRPr="008C0BE5">
        <w:rPr>
          <w:rFonts w:ascii="Arial" w:hAnsi="Arial" w:cs="Arial"/>
          <w:color w:val="000000" w:themeColor="text1"/>
          <w:sz w:val="20"/>
          <w:szCs w:val="20"/>
        </w:rPr>
        <w:t xml:space="preserve"> authorities/officers, </w:t>
      </w:r>
      <w:r w:rsidRPr="008C0BE5">
        <w:rPr>
          <w:rFonts w:ascii="Arial" w:hAnsi="Arial" w:cs="Arial"/>
          <w:color w:val="000000" w:themeColor="text1"/>
          <w:sz w:val="20"/>
          <w:szCs w:val="20"/>
        </w:rPr>
        <w:t>management, audit committees, internal audit divisions and AGSA. It believes that management p</w:t>
      </w:r>
      <w:r w:rsidR="00C408C8" w:rsidRPr="008C0BE5">
        <w:rPr>
          <w:rFonts w:ascii="Arial" w:hAnsi="Arial" w:cs="Arial"/>
          <w:color w:val="000000" w:themeColor="text1"/>
          <w:sz w:val="20"/>
          <w:szCs w:val="20"/>
        </w:rPr>
        <w:t>l</w:t>
      </w:r>
      <w:r w:rsidRPr="008C0BE5">
        <w:rPr>
          <w:rFonts w:ascii="Arial" w:hAnsi="Arial" w:cs="Arial"/>
          <w:color w:val="000000" w:themeColor="text1"/>
          <w:sz w:val="20"/>
          <w:szCs w:val="20"/>
        </w:rPr>
        <w:t>ays a critical role in ensuring tha</w:t>
      </w:r>
      <w:r w:rsidR="00C408C8" w:rsidRPr="008C0BE5">
        <w:rPr>
          <w:rFonts w:ascii="Arial" w:hAnsi="Arial" w:cs="Arial"/>
          <w:color w:val="000000" w:themeColor="text1"/>
          <w:sz w:val="20"/>
          <w:szCs w:val="20"/>
        </w:rPr>
        <w:t>t the audit action plans tackle</w:t>
      </w:r>
      <w:r w:rsidRPr="008C0BE5">
        <w:rPr>
          <w:rFonts w:ascii="Arial" w:hAnsi="Arial" w:cs="Arial"/>
          <w:color w:val="000000" w:themeColor="text1"/>
          <w:sz w:val="20"/>
          <w:szCs w:val="20"/>
        </w:rPr>
        <w:t xml:space="preserve"> the root causes that le</w:t>
      </w:r>
      <w:r w:rsidR="00C408C8" w:rsidRPr="008C0BE5">
        <w:rPr>
          <w:rFonts w:ascii="Arial" w:hAnsi="Arial" w:cs="Arial"/>
          <w:color w:val="000000" w:themeColor="text1"/>
          <w:sz w:val="20"/>
          <w:szCs w:val="20"/>
        </w:rPr>
        <w:t>a</w:t>
      </w:r>
      <w:r w:rsidRPr="008C0BE5">
        <w:rPr>
          <w:rFonts w:ascii="Arial" w:hAnsi="Arial" w:cs="Arial"/>
          <w:color w:val="000000" w:themeColor="text1"/>
          <w:sz w:val="20"/>
          <w:szCs w:val="20"/>
        </w:rPr>
        <w:t>d to the AGSA</w:t>
      </w:r>
      <w:r w:rsidR="00C408C8" w:rsidRPr="008C0BE5">
        <w:rPr>
          <w:rFonts w:ascii="Arial" w:hAnsi="Arial" w:cs="Arial"/>
          <w:color w:val="000000" w:themeColor="text1"/>
          <w:sz w:val="20"/>
          <w:szCs w:val="20"/>
        </w:rPr>
        <w:t>’s</w:t>
      </w:r>
      <w:r w:rsidRPr="008C0BE5">
        <w:rPr>
          <w:rFonts w:ascii="Arial" w:hAnsi="Arial" w:cs="Arial"/>
          <w:color w:val="000000" w:themeColor="text1"/>
          <w:sz w:val="20"/>
          <w:szCs w:val="20"/>
        </w:rPr>
        <w:t xml:space="preserve"> findings</w:t>
      </w:r>
      <w:r w:rsidR="00C408C8" w:rsidRPr="008C0BE5">
        <w:rPr>
          <w:rFonts w:ascii="Arial" w:hAnsi="Arial" w:cs="Arial"/>
          <w:color w:val="000000" w:themeColor="text1"/>
          <w:sz w:val="20"/>
          <w:szCs w:val="20"/>
        </w:rPr>
        <w:t xml:space="preserve"> and that actions are tailor-</w:t>
      </w:r>
      <w:r w:rsidRPr="008C0BE5">
        <w:rPr>
          <w:rFonts w:ascii="Arial" w:hAnsi="Arial" w:cs="Arial"/>
          <w:color w:val="000000" w:themeColor="text1"/>
          <w:sz w:val="20"/>
          <w:szCs w:val="20"/>
        </w:rPr>
        <w:t xml:space="preserve">made to address such challenges. The internal audit function should play </w:t>
      </w:r>
      <w:r w:rsidR="007B0606" w:rsidRPr="008C0BE5">
        <w:rPr>
          <w:rFonts w:ascii="Arial" w:hAnsi="Arial" w:cs="Arial"/>
          <w:color w:val="000000" w:themeColor="text1"/>
          <w:sz w:val="20"/>
          <w:szCs w:val="20"/>
        </w:rPr>
        <w:t xml:space="preserve">a crucial role in ensuring that action plans are implemented more effectively. The </w:t>
      </w:r>
      <w:r w:rsidRPr="008C0BE5">
        <w:rPr>
          <w:rFonts w:ascii="Arial" w:eastAsia="Times New Roman" w:hAnsi="Arial" w:cs="Arial"/>
          <w:sz w:val="20"/>
          <w:szCs w:val="20"/>
        </w:rPr>
        <w:t>audit committee</w:t>
      </w:r>
      <w:r w:rsidR="007B0606" w:rsidRPr="008C0BE5">
        <w:rPr>
          <w:rFonts w:ascii="Arial" w:eastAsia="Times New Roman" w:hAnsi="Arial" w:cs="Arial"/>
          <w:sz w:val="20"/>
          <w:szCs w:val="20"/>
        </w:rPr>
        <w:t>s</w:t>
      </w:r>
      <w:r w:rsidRPr="008C0BE5">
        <w:rPr>
          <w:rFonts w:ascii="Arial" w:eastAsia="Times New Roman" w:hAnsi="Arial" w:cs="Arial"/>
          <w:sz w:val="20"/>
          <w:szCs w:val="20"/>
        </w:rPr>
        <w:t xml:space="preserve"> </w:t>
      </w:r>
      <w:r w:rsidR="007B0606" w:rsidRPr="008C0BE5">
        <w:rPr>
          <w:rFonts w:ascii="Arial" w:eastAsia="Times New Roman" w:hAnsi="Arial" w:cs="Arial"/>
          <w:sz w:val="20"/>
          <w:szCs w:val="20"/>
        </w:rPr>
        <w:t xml:space="preserve">should also their </w:t>
      </w:r>
      <w:r w:rsidRPr="008C0BE5">
        <w:rPr>
          <w:rFonts w:ascii="Arial" w:eastAsia="Times New Roman" w:hAnsi="Arial" w:cs="Arial"/>
          <w:sz w:val="20"/>
          <w:szCs w:val="20"/>
        </w:rPr>
        <w:t>oversight</w:t>
      </w:r>
      <w:r w:rsidR="007B0606" w:rsidRPr="008C0BE5">
        <w:rPr>
          <w:rFonts w:ascii="Arial" w:eastAsia="Times New Roman" w:hAnsi="Arial" w:cs="Arial"/>
          <w:sz w:val="20"/>
          <w:szCs w:val="20"/>
        </w:rPr>
        <w:t xml:space="preserve"> role in ensuring that quarterly reports show sustainable improvement</w:t>
      </w:r>
      <w:r w:rsidR="00C408C8" w:rsidRPr="008C0BE5">
        <w:rPr>
          <w:rFonts w:ascii="Arial" w:eastAsia="Times New Roman" w:hAnsi="Arial" w:cs="Arial"/>
          <w:sz w:val="20"/>
          <w:szCs w:val="20"/>
        </w:rPr>
        <w:t>s</w:t>
      </w:r>
      <w:r w:rsidR="007B0606" w:rsidRPr="008C0BE5">
        <w:rPr>
          <w:rFonts w:ascii="Arial" w:eastAsia="Times New Roman" w:hAnsi="Arial" w:cs="Arial"/>
          <w:sz w:val="20"/>
          <w:szCs w:val="20"/>
        </w:rPr>
        <w:t xml:space="preserve"> in audit outcomes. </w:t>
      </w:r>
      <w:r w:rsidR="007B0606" w:rsidRPr="008C0BE5">
        <w:rPr>
          <w:rFonts w:ascii="Arial" w:hAnsi="Arial" w:cs="Arial"/>
          <w:color w:val="000000" w:themeColor="text1"/>
          <w:sz w:val="20"/>
          <w:szCs w:val="20"/>
        </w:rPr>
        <w:t xml:space="preserve">The Committee </w:t>
      </w:r>
      <w:r w:rsidR="00C408C8" w:rsidRPr="008C0BE5">
        <w:rPr>
          <w:rFonts w:ascii="Arial" w:hAnsi="Arial" w:cs="Arial"/>
          <w:color w:val="000000" w:themeColor="text1"/>
          <w:sz w:val="20"/>
          <w:szCs w:val="20"/>
        </w:rPr>
        <w:t xml:space="preserve">also </w:t>
      </w:r>
      <w:r w:rsidR="007B0606" w:rsidRPr="008C0BE5">
        <w:rPr>
          <w:rFonts w:ascii="Arial" w:hAnsi="Arial" w:cs="Arial"/>
          <w:color w:val="000000" w:themeColor="text1"/>
          <w:sz w:val="20"/>
          <w:szCs w:val="20"/>
        </w:rPr>
        <w:t>urges</w:t>
      </w:r>
      <w:r w:rsidR="00C408C8" w:rsidRPr="008C0BE5">
        <w:rPr>
          <w:rFonts w:ascii="Arial" w:hAnsi="Arial" w:cs="Arial"/>
          <w:color w:val="000000" w:themeColor="text1"/>
          <w:sz w:val="20"/>
          <w:szCs w:val="20"/>
        </w:rPr>
        <w:t xml:space="preserve"> </w:t>
      </w:r>
      <w:r w:rsidR="007B0606" w:rsidRPr="008C0BE5">
        <w:rPr>
          <w:rFonts w:ascii="Arial" w:hAnsi="Arial" w:cs="Arial"/>
          <w:color w:val="000000" w:themeColor="text1"/>
          <w:sz w:val="20"/>
          <w:szCs w:val="20"/>
        </w:rPr>
        <w:t xml:space="preserve">for improvement in the prevention of internal control deficiencies. </w:t>
      </w:r>
    </w:p>
    <w:p w:rsidR="00D55FA4" w:rsidRPr="008C0BE5" w:rsidRDefault="00627A99" w:rsidP="008C0BE5">
      <w:pPr>
        <w:rPr>
          <w:rFonts w:ascii="Arial" w:hAnsi="Arial" w:cs="Arial"/>
          <w:color w:val="000000" w:themeColor="text1"/>
          <w:sz w:val="20"/>
          <w:szCs w:val="20"/>
        </w:rPr>
      </w:pPr>
      <w:r w:rsidRPr="008C0BE5">
        <w:rPr>
          <w:rFonts w:ascii="Arial" w:hAnsi="Arial" w:cs="Arial"/>
          <w:sz w:val="20"/>
          <w:szCs w:val="20"/>
        </w:rPr>
        <w:t xml:space="preserve">FILLING OF LEADERSHIP AND SENIOR MANAGEMENT VACANCIES </w:t>
      </w:r>
    </w:p>
    <w:p w:rsidR="009E0239" w:rsidRPr="008C0BE5" w:rsidRDefault="00D55FA4" w:rsidP="008C0BE5">
      <w:pPr>
        <w:pStyle w:val="ListParagraph"/>
        <w:numPr>
          <w:ilvl w:val="1"/>
          <w:numId w:val="1"/>
        </w:numPr>
        <w:spacing w:after="0" w:line="240" w:lineRule="auto"/>
        <w:rPr>
          <w:rFonts w:ascii="Arial" w:hAnsi="Arial" w:cs="Arial"/>
          <w:color w:val="000000" w:themeColor="text1"/>
          <w:sz w:val="20"/>
          <w:szCs w:val="20"/>
        </w:rPr>
      </w:pPr>
      <w:r w:rsidRPr="008C0BE5">
        <w:rPr>
          <w:rFonts w:ascii="Arial" w:hAnsi="Arial" w:cs="Arial"/>
          <w:sz w:val="20"/>
          <w:szCs w:val="20"/>
        </w:rPr>
        <w:t xml:space="preserve">The Committee notes that there </w:t>
      </w:r>
      <w:r w:rsidR="0011546D" w:rsidRPr="008C0BE5">
        <w:rPr>
          <w:rFonts w:ascii="Arial" w:hAnsi="Arial" w:cs="Arial"/>
          <w:sz w:val="20"/>
          <w:szCs w:val="20"/>
        </w:rPr>
        <w:t>remain</w:t>
      </w:r>
      <w:r w:rsidRPr="008C0BE5">
        <w:rPr>
          <w:rFonts w:ascii="Arial" w:hAnsi="Arial" w:cs="Arial"/>
          <w:sz w:val="20"/>
          <w:szCs w:val="20"/>
        </w:rPr>
        <w:t xml:space="preserve"> </w:t>
      </w:r>
      <w:r w:rsidR="00AB5627" w:rsidRPr="008C0BE5">
        <w:rPr>
          <w:rFonts w:ascii="Arial" w:hAnsi="Arial" w:cs="Arial"/>
          <w:sz w:val="20"/>
          <w:szCs w:val="20"/>
        </w:rPr>
        <w:t>several</w:t>
      </w:r>
      <w:r w:rsidRPr="008C0BE5">
        <w:rPr>
          <w:rFonts w:ascii="Arial" w:hAnsi="Arial" w:cs="Arial"/>
          <w:sz w:val="20"/>
          <w:szCs w:val="20"/>
        </w:rPr>
        <w:t xml:space="preserve"> </w:t>
      </w:r>
      <w:r w:rsidR="0078078F" w:rsidRPr="008C0BE5">
        <w:rPr>
          <w:rFonts w:ascii="Arial" w:hAnsi="Arial" w:cs="Arial"/>
          <w:sz w:val="20"/>
          <w:szCs w:val="20"/>
        </w:rPr>
        <w:t xml:space="preserve">vacant </w:t>
      </w:r>
      <w:r w:rsidRPr="008C0BE5">
        <w:rPr>
          <w:rFonts w:ascii="Arial" w:hAnsi="Arial" w:cs="Arial"/>
          <w:sz w:val="20"/>
          <w:szCs w:val="20"/>
        </w:rPr>
        <w:t xml:space="preserve">strategic positions </w:t>
      </w:r>
      <w:r w:rsidR="0078078F" w:rsidRPr="008C0BE5">
        <w:rPr>
          <w:rFonts w:ascii="Arial" w:hAnsi="Arial" w:cs="Arial"/>
          <w:sz w:val="20"/>
          <w:szCs w:val="20"/>
        </w:rPr>
        <w:t>across the finance portfolio</w:t>
      </w:r>
      <w:r w:rsidRPr="008C0BE5">
        <w:rPr>
          <w:rFonts w:ascii="Arial" w:hAnsi="Arial" w:cs="Arial"/>
          <w:sz w:val="20"/>
          <w:szCs w:val="20"/>
        </w:rPr>
        <w:t xml:space="preserve">. </w:t>
      </w:r>
      <w:r w:rsidR="0078078F" w:rsidRPr="008C0BE5">
        <w:rPr>
          <w:rFonts w:ascii="Arial" w:hAnsi="Arial" w:cs="Arial"/>
          <w:sz w:val="20"/>
          <w:szCs w:val="20"/>
        </w:rPr>
        <w:t>The</w:t>
      </w:r>
      <w:r w:rsidR="009C27A4" w:rsidRPr="008C0BE5">
        <w:rPr>
          <w:rFonts w:ascii="Arial" w:hAnsi="Arial" w:cs="Arial"/>
          <w:sz w:val="20"/>
          <w:szCs w:val="20"/>
        </w:rPr>
        <w:t xml:space="preserve"> importance of filling such position</w:t>
      </w:r>
      <w:r w:rsidR="0078078F" w:rsidRPr="008C0BE5">
        <w:rPr>
          <w:rFonts w:ascii="Arial" w:hAnsi="Arial" w:cs="Arial"/>
          <w:sz w:val="20"/>
          <w:szCs w:val="20"/>
        </w:rPr>
        <w:t>s</w:t>
      </w:r>
      <w:r w:rsidR="00C10877" w:rsidRPr="008C0BE5">
        <w:rPr>
          <w:rFonts w:ascii="Arial" w:hAnsi="Arial" w:cs="Arial"/>
          <w:sz w:val="20"/>
          <w:szCs w:val="20"/>
        </w:rPr>
        <w:t xml:space="preserve"> cannot be gainsaid</w:t>
      </w:r>
      <w:r w:rsidR="009C27A4" w:rsidRPr="008C0BE5">
        <w:rPr>
          <w:rFonts w:ascii="Arial" w:hAnsi="Arial" w:cs="Arial"/>
          <w:sz w:val="20"/>
          <w:szCs w:val="20"/>
        </w:rPr>
        <w:t xml:space="preserve"> </w:t>
      </w:r>
      <w:r w:rsidR="00C10877" w:rsidRPr="008C0BE5">
        <w:rPr>
          <w:rFonts w:ascii="Arial" w:hAnsi="Arial" w:cs="Arial"/>
          <w:sz w:val="20"/>
          <w:szCs w:val="20"/>
        </w:rPr>
        <w:t>a</w:t>
      </w:r>
      <w:r w:rsidR="009C27A4" w:rsidRPr="008C0BE5">
        <w:rPr>
          <w:rFonts w:ascii="Arial" w:hAnsi="Arial" w:cs="Arial"/>
          <w:sz w:val="20"/>
          <w:szCs w:val="20"/>
        </w:rPr>
        <w:t>s</w:t>
      </w:r>
      <w:r w:rsidR="00C10877" w:rsidRPr="008C0BE5">
        <w:rPr>
          <w:rFonts w:ascii="Arial" w:hAnsi="Arial" w:cs="Arial"/>
          <w:sz w:val="20"/>
          <w:szCs w:val="20"/>
        </w:rPr>
        <w:t>,</w:t>
      </w:r>
      <w:r w:rsidR="009C27A4" w:rsidRPr="008C0BE5">
        <w:rPr>
          <w:rFonts w:ascii="Arial" w:hAnsi="Arial" w:cs="Arial"/>
          <w:sz w:val="20"/>
          <w:szCs w:val="20"/>
        </w:rPr>
        <w:t xml:space="preserve"> according to AGSA, leadership </w:t>
      </w:r>
      <w:r w:rsidR="00C10877" w:rsidRPr="008C0BE5">
        <w:rPr>
          <w:rFonts w:ascii="Arial" w:hAnsi="Arial" w:cs="Arial"/>
          <w:sz w:val="20"/>
          <w:szCs w:val="20"/>
        </w:rPr>
        <w:t>and senior management instability contributes</w:t>
      </w:r>
      <w:r w:rsidR="009C27A4" w:rsidRPr="008C0BE5">
        <w:rPr>
          <w:rFonts w:ascii="Arial" w:hAnsi="Arial" w:cs="Arial"/>
          <w:sz w:val="20"/>
          <w:szCs w:val="20"/>
        </w:rPr>
        <w:t xml:space="preserve"> to </w:t>
      </w:r>
      <w:r w:rsidR="00C10877" w:rsidRPr="008C0BE5">
        <w:rPr>
          <w:rFonts w:ascii="Arial" w:hAnsi="Arial" w:cs="Arial"/>
          <w:sz w:val="20"/>
          <w:szCs w:val="20"/>
        </w:rPr>
        <w:t>governance challenges which the</w:t>
      </w:r>
      <w:r w:rsidR="00C408C8" w:rsidRPr="008C0BE5">
        <w:rPr>
          <w:rFonts w:ascii="Arial" w:hAnsi="Arial" w:cs="Arial"/>
          <w:sz w:val="20"/>
          <w:szCs w:val="20"/>
        </w:rPr>
        <w:t>n lead to adverse audit outcomes</w:t>
      </w:r>
      <w:r w:rsidR="00C10877" w:rsidRPr="008C0BE5">
        <w:rPr>
          <w:rFonts w:ascii="Arial" w:hAnsi="Arial" w:cs="Arial"/>
          <w:sz w:val="20"/>
          <w:szCs w:val="20"/>
        </w:rPr>
        <w:t xml:space="preserve">. </w:t>
      </w:r>
      <w:r w:rsidR="009609ED" w:rsidRPr="008C0BE5">
        <w:rPr>
          <w:rFonts w:ascii="Arial" w:hAnsi="Arial" w:cs="Arial"/>
          <w:color w:val="000000" w:themeColor="text1"/>
          <w:sz w:val="20"/>
          <w:szCs w:val="20"/>
        </w:rPr>
        <w:t xml:space="preserve">A contributing root cause to poor audit outcomes, according to AGSA, is the instability caused by prolonged vacancies or acting appointments in key positions. </w:t>
      </w:r>
    </w:p>
    <w:p w:rsidR="00C408C8" w:rsidRPr="008C0BE5" w:rsidRDefault="009609ED" w:rsidP="008C0BE5">
      <w:pPr>
        <w:pStyle w:val="ListParagraph"/>
        <w:numPr>
          <w:ilvl w:val="1"/>
          <w:numId w:val="1"/>
        </w:numPr>
        <w:spacing w:after="0" w:line="240" w:lineRule="auto"/>
        <w:rPr>
          <w:rFonts w:ascii="Arial" w:hAnsi="Arial" w:cs="Arial"/>
          <w:color w:val="000000" w:themeColor="text1"/>
          <w:sz w:val="20"/>
          <w:szCs w:val="20"/>
        </w:rPr>
      </w:pPr>
      <w:r w:rsidRPr="008C0BE5">
        <w:rPr>
          <w:rFonts w:ascii="Arial" w:hAnsi="Arial" w:cs="Arial"/>
          <w:color w:val="000000" w:themeColor="text1"/>
          <w:sz w:val="20"/>
          <w:szCs w:val="20"/>
        </w:rPr>
        <w:t xml:space="preserve">In this regard, the Committee urges the Minister of Finance to prioritise the filling of vacancies at executive and senior management levels in the National Treasury and in the entities across the finance portfolio. </w:t>
      </w:r>
      <w:r w:rsidR="00ED2795" w:rsidRPr="008C0BE5">
        <w:rPr>
          <w:rFonts w:ascii="Arial" w:hAnsi="Arial" w:cs="Arial"/>
          <w:color w:val="000000" w:themeColor="text1"/>
          <w:sz w:val="20"/>
          <w:szCs w:val="20"/>
        </w:rPr>
        <w:t xml:space="preserve">It also urges the accounting authorities and officers to </w:t>
      </w:r>
      <w:r w:rsidR="00363C2F" w:rsidRPr="008C0BE5">
        <w:rPr>
          <w:rFonts w:ascii="Arial" w:hAnsi="Arial" w:cs="Arial"/>
          <w:color w:val="000000" w:themeColor="text1"/>
          <w:sz w:val="20"/>
          <w:szCs w:val="20"/>
        </w:rPr>
        <w:t xml:space="preserve">prioritise the filling of all funded vacancies </w:t>
      </w:r>
      <w:r w:rsidR="00415C02" w:rsidRPr="008C0BE5">
        <w:rPr>
          <w:rFonts w:ascii="Arial" w:hAnsi="Arial" w:cs="Arial"/>
          <w:color w:val="000000" w:themeColor="text1"/>
          <w:sz w:val="20"/>
          <w:szCs w:val="20"/>
        </w:rPr>
        <w:t>to</w:t>
      </w:r>
      <w:r w:rsidR="00363C2F" w:rsidRPr="008C0BE5">
        <w:rPr>
          <w:rFonts w:ascii="Arial" w:hAnsi="Arial" w:cs="Arial"/>
          <w:color w:val="000000" w:themeColor="text1"/>
          <w:sz w:val="20"/>
          <w:szCs w:val="20"/>
        </w:rPr>
        <w:t xml:space="preserve"> improve service delivery</w:t>
      </w:r>
      <w:r w:rsidR="001A1C71" w:rsidRPr="008C0BE5">
        <w:rPr>
          <w:rFonts w:ascii="Arial" w:hAnsi="Arial" w:cs="Arial"/>
          <w:color w:val="000000" w:themeColor="text1"/>
          <w:sz w:val="20"/>
          <w:szCs w:val="20"/>
        </w:rPr>
        <w:t xml:space="preserve"> and reduc</w:t>
      </w:r>
      <w:r w:rsidR="00415C02" w:rsidRPr="008C0BE5">
        <w:rPr>
          <w:rFonts w:ascii="Arial" w:hAnsi="Arial" w:cs="Arial"/>
          <w:color w:val="000000" w:themeColor="text1"/>
          <w:sz w:val="20"/>
          <w:szCs w:val="20"/>
        </w:rPr>
        <w:t>tion of</w:t>
      </w:r>
      <w:r w:rsidR="001A1C71" w:rsidRPr="008C0BE5">
        <w:rPr>
          <w:rFonts w:ascii="Arial" w:hAnsi="Arial" w:cs="Arial"/>
          <w:color w:val="000000" w:themeColor="text1"/>
          <w:sz w:val="20"/>
          <w:szCs w:val="20"/>
        </w:rPr>
        <w:t xml:space="preserve"> unemployment</w:t>
      </w:r>
      <w:r w:rsidR="00415C02" w:rsidRPr="008C0BE5">
        <w:rPr>
          <w:rFonts w:ascii="Arial" w:hAnsi="Arial" w:cs="Arial"/>
          <w:color w:val="000000" w:themeColor="text1"/>
          <w:sz w:val="20"/>
          <w:szCs w:val="20"/>
        </w:rPr>
        <w:t>.</w:t>
      </w:r>
      <w:r w:rsidR="001A1C71" w:rsidRPr="008C0BE5">
        <w:rPr>
          <w:rFonts w:ascii="Arial" w:hAnsi="Arial" w:cs="Arial"/>
          <w:color w:val="000000" w:themeColor="text1"/>
          <w:sz w:val="20"/>
          <w:szCs w:val="20"/>
        </w:rPr>
        <w:t xml:space="preserve"> </w:t>
      </w:r>
      <w:r w:rsidRPr="008C0BE5">
        <w:rPr>
          <w:rFonts w:ascii="Arial" w:hAnsi="Arial" w:cs="Arial"/>
          <w:color w:val="000000" w:themeColor="text1"/>
          <w:sz w:val="20"/>
          <w:szCs w:val="20"/>
        </w:rPr>
        <w:t xml:space="preserve"> </w:t>
      </w:r>
    </w:p>
    <w:p w:rsidR="009609ED" w:rsidRPr="008C0BE5" w:rsidRDefault="00615872" w:rsidP="008C0BE5">
      <w:pPr>
        <w:pStyle w:val="ListParagraph"/>
        <w:numPr>
          <w:ilvl w:val="1"/>
          <w:numId w:val="1"/>
        </w:numPr>
        <w:spacing w:after="0" w:line="240" w:lineRule="auto"/>
        <w:rPr>
          <w:rFonts w:ascii="Arial" w:hAnsi="Arial" w:cs="Arial"/>
          <w:color w:val="000000" w:themeColor="text1"/>
          <w:sz w:val="20"/>
          <w:szCs w:val="20"/>
        </w:rPr>
      </w:pPr>
      <w:r w:rsidRPr="008C0BE5">
        <w:rPr>
          <w:rFonts w:ascii="Arial" w:hAnsi="Arial" w:cs="Arial"/>
          <w:sz w:val="20"/>
          <w:szCs w:val="20"/>
        </w:rPr>
        <w:t xml:space="preserve"> </w:t>
      </w:r>
      <w:r w:rsidR="009609ED" w:rsidRPr="008C0BE5">
        <w:rPr>
          <w:rFonts w:ascii="Arial" w:hAnsi="Arial" w:cs="Arial"/>
          <w:sz w:val="20"/>
          <w:szCs w:val="20"/>
        </w:rPr>
        <w:t>After the adoption of this report, and within 30 days, the Committee requires the Minister of Finance to submit to it a list of all vacant and acting leadership and senior management positions across the finance portfolio. This list should highlight how long such positions have been vacant or filled in an acting capacity, the reasons for the delays in filling them, and steps being taken to fill them.</w:t>
      </w:r>
      <w:r w:rsidR="0067565A" w:rsidRPr="008C0BE5">
        <w:rPr>
          <w:rFonts w:ascii="Arial" w:hAnsi="Arial" w:cs="Arial"/>
          <w:sz w:val="20"/>
          <w:szCs w:val="20"/>
        </w:rPr>
        <w:t xml:space="preserve"> </w:t>
      </w:r>
    </w:p>
    <w:p w:rsidR="005C7C32" w:rsidRPr="008C0BE5" w:rsidRDefault="005C7C32" w:rsidP="008C0BE5">
      <w:pPr>
        <w:rPr>
          <w:rFonts w:ascii="Arial" w:hAnsi="Arial" w:cs="Arial"/>
          <w:color w:val="000000" w:themeColor="text1"/>
          <w:sz w:val="20"/>
          <w:szCs w:val="20"/>
        </w:rPr>
      </w:pPr>
      <w:r w:rsidRPr="008C0BE5">
        <w:rPr>
          <w:rFonts w:ascii="Arial" w:hAnsi="Arial" w:cs="Arial"/>
          <w:color w:val="000000" w:themeColor="text1"/>
          <w:sz w:val="20"/>
          <w:szCs w:val="20"/>
        </w:rPr>
        <w:br w:type="page"/>
      </w:r>
    </w:p>
    <w:p w:rsidR="00545CCD" w:rsidRPr="008C0BE5" w:rsidRDefault="00545CCD" w:rsidP="008C0BE5">
      <w:pPr>
        <w:rPr>
          <w:rFonts w:ascii="Arial" w:hAnsi="Arial" w:cs="Arial"/>
          <w:color w:val="000000" w:themeColor="text1"/>
          <w:sz w:val="20"/>
          <w:szCs w:val="20"/>
        </w:rPr>
      </w:pPr>
      <w:r w:rsidRPr="008C0BE5">
        <w:rPr>
          <w:rFonts w:ascii="Arial" w:hAnsi="Arial" w:cs="Arial"/>
          <w:color w:val="000000" w:themeColor="text1"/>
          <w:sz w:val="20"/>
          <w:szCs w:val="20"/>
        </w:rPr>
        <w:lastRenderedPageBreak/>
        <w:t xml:space="preserve">IFMS </w:t>
      </w:r>
      <w:r w:rsidR="00B41338" w:rsidRPr="008C0BE5">
        <w:rPr>
          <w:rFonts w:ascii="Arial" w:hAnsi="Arial" w:cs="Arial"/>
          <w:color w:val="000000" w:themeColor="text1"/>
          <w:sz w:val="20"/>
          <w:szCs w:val="20"/>
        </w:rPr>
        <w:t>II</w:t>
      </w:r>
      <w:r w:rsidRPr="008C0BE5">
        <w:rPr>
          <w:rFonts w:ascii="Arial" w:hAnsi="Arial" w:cs="Arial"/>
          <w:color w:val="000000" w:themeColor="text1"/>
          <w:sz w:val="20"/>
          <w:szCs w:val="20"/>
        </w:rPr>
        <w:t xml:space="preserve"> PROJECT </w:t>
      </w:r>
    </w:p>
    <w:p w:rsidR="00737CC5" w:rsidRPr="008C0BE5" w:rsidRDefault="00B60FED" w:rsidP="008C0BE5">
      <w:pPr>
        <w:numPr>
          <w:ilvl w:val="1"/>
          <w:numId w:val="1"/>
        </w:numPr>
        <w:contextualSpacing/>
        <w:rPr>
          <w:rFonts w:ascii="Arial" w:hAnsi="Arial" w:cs="Arial"/>
          <w:sz w:val="20"/>
          <w:szCs w:val="20"/>
        </w:rPr>
      </w:pPr>
      <w:r w:rsidRPr="008C0BE5">
        <w:rPr>
          <w:rFonts w:ascii="Arial" w:hAnsi="Arial" w:cs="Arial"/>
          <w:color w:val="000000" w:themeColor="text1"/>
          <w:sz w:val="20"/>
          <w:szCs w:val="20"/>
        </w:rPr>
        <w:t xml:space="preserve">The Committee remains concerned </w:t>
      </w:r>
      <w:r w:rsidR="00545CCD" w:rsidRPr="008C0BE5">
        <w:rPr>
          <w:rFonts w:ascii="Arial" w:hAnsi="Arial" w:cs="Arial"/>
          <w:color w:val="000000" w:themeColor="text1"/>
          <w:sz w:val="20"/>
          <w:szCs w:val="20"/>
        </w:rPr>
        <w:t>about the</w:t>
      </w:r>
      <w:r w:rsidR="006C270D" w:rsidRPr="008C0BE5">
        <w:rPr>
          <w:rFonts w:ascii="Arial" w:hAnsi="Arial" w:cs="Arial"/>
          <w:color w:val="000000" w:themeColor="text1"/>
          <w:sz w:val="20"/>
          <w:szCs w:val="20"/>
        </w:rPr>
        <w:t xml:space="preserve"> challenges relating to the </w:t>
      </w:r>
      <w:r w:rsidR="00545CCD" w:rsidRPr="008C0BE5">
        <w:rPr>
          <w:rFonts w:ascii="Arial" w:hAnsi="Arial" w:cs="Arial"/>
          <w:color w:val="000000" w:themeColor="text1"/>
          <w:sz w:val="20"/>
          <w:szCs w:val="20"/>
        </w:rPr>
        <w:t xml:space="preserve">IFMS </w:t>
      </w:r>
      <w:r w:rsidR="00242236" w:rsidRPr="008C0BE5">
        <w:rPr>
          <w:rFonts w:ascii="Arial" w:hAnsi="Arial" w:cs="Arial"/>
          <w:color w:val="000000" w:themeColor="text1"/>
          <w:sz w:val="20"/>
          <w:szCs w:val="20"/>
        </w:rPr>
        <w:t xml:space="preserve">II </w:t>
      </w:r>
      <w:r w:rsidR="00545CCD" w:rsidRPr="008C0BE5">
        <w:rPr>
          <w:rFonts w:ascii="Arial" w:hAnsi="Arial" w:cs="Arial"/>
          <w:color w:val="000000" w:themeColor="text1"/>
          <w:sz w:val="20"/>
          <w:szCs w:val="20"/>
        </w:rPr>
        <w:t>project</w:t>
      </w:r>
      <w:r w:rsidR="006C270D" w:rsidRPr="008C0BE5">
        <w:rPr>
          <w:rFonts w:ascii="Arial" w:hAnsi="Arial" w:cs="Arial"/>
          <w:color w:val="000000" w:themeColor="text1"/>
          <w:sz w:val="20"/>
          <w:szCs w:val="20"/>
        </w:rPr>
        <w:t>. This year the Committee finally conducted an oversight on the IFMS. The Committee wanted to witness for itself how this system operates</w:t>
      </w:r>
      <w:r w:rsidR="00E12722" w:rsidRPr="008C0BE5">
        <w:rPr>
          <w:rFonts w:ascii="Arial" w:hAnsi="Arial" w:cs="Arial"/>
          <w:color w:val="000000" w:themeColor="text1"/>
          <w:sz w:val="20"/>
          <w:szCs w:val="20"/>
        </w:rPr>
        <w:t xml:space="preserve">. </w:t>
      </w:r>
      <w:r w:rsidR="006F5D08" w:rsidRPr="008C0BE5">
        <w:rPr>
          <w:rFonts w:ascii="Arial" w:hAnsi="Arial" w:cs="Arial"/>
          <w:color w:val="000000" w:themeColor="text1"/>
          <w:sz w:val="20"/>
          <w:szCs w:val="20"/>
        </w:rPr>
        <w:t xml:space="preserve">The Committee got more concerned when it </w:t>
      </w:r>
      <w:r w:rsidR="00073A92" w:rsidRPr="008C0BE5">
        <w:rPr>
          <w:rFonts w:ascii="Arial" w:hAnsi="Arial" w:cs="Arial"/>
          <w:color w:val="000000" w:themeColor="text1"/>
          <w:sz w:val="20"/>
          <w:szCs w:val="20"/>
        </w:rPr>
        <w:t>was taken to the S</w:t>
      </w:r>
      <w:r w:rsidR="008A5738" w:rsidRPr="008C0BE5">
        <w:rPr>
          <w:rFonts w:ascii="Arial" w:hAnsi="Arial" w:cs="Arial"/>
          <w:color w:val="000000" w:themeColor="text1"/>
          <w:sz w:val="20"/>
          <w:szCs w:val="20"/>
        </w:rPr>
        <w:t xml:space="preserve">tate </w:t>
      </w:r>
      <w:r w:rsidR="00073A92" w:rsidRPr="008C0BE5">
        <w:rPr>
          <w:rFonts w:ascii="Arial" w:hAnsi="Arial" w:cs="Arial"/>
          <w:color w:val="000000" w:themeColor="text1"/>
          <w:sz w:val="20"/>
          <w:szCs w:val="20"/>
        </w:rPr>
        <w:t>I</w:t>
      </w:r>
      <w:r w:rsidR="008A5738" w:rsidRPr="008C0BE5">
        <w:rPr>
          <w:rFonts w:ascii="Arial" w:hAnsi="Arial" w:cs="Arial"/>
          <w:color w:val="000000" w:themeColor="text1"/>
          <w:sz w:val="20"/>
          <w:szCs w:val="20"/>
        </w:rPr>
        <w:t xml:space="preserve">nformation </w:t>
      </w:r>
      <w:r w:rsidR="00073A92" w:rsidRPr="008C0BE5">
        <w:rPr>
          <w:rFonts w:ascii="Arial" w:hAnsi="Arial" w:cs="Arial"/>
          <w:color w:val="000000" w:themeColor="text1"/>
          <w:sz w:val="20"/>
          <w:szCs w:val="20"/>
        </w:rPr>
        <w:t>T</w:t>
      </w:r>
      <w:r w:rsidR="008A5738" w:rsidRPr="008C0BE5">
        <w:rPr>
          <w:rFonts w:ascii="Arial" w:hAnsi="Arial" w:cs="Arial"/>
          <w:color w:val="000000" w:themeColor="text1"/>
          <w:sz w:val="20"/>
          <w:szCs w:val="20"/>
        </w:rPr>
        <w:t xml:space="preserve">echnology </w:t>
      </w:r>
      <w:r w:rsidR="00073A92" w:rsidRPr="008C0BE5">
        <w:rPr>
          <w:rFonts w:ascii="Arial" w:hAnsi="Arial" w:cs="Arial"/>
          <w:color w:val="000000" w:themeColor="text1"/>
          <w:sz w:val="20"/>
          <w:szCs w:val="20"/>
        </w:rPr>
        <w:t>A</w:t>
      </w:r>
      <w:r w:rsidR="008A5738" w:rsidRPr="008C0BE5">
        <w:rPr>
          <w:rFonts w:ascii="Arial" w:hAnsi="Arial" w:cs="Arial"/>
          <w:color w:val="000000" w:themeColor="text1"/>
          <w:sz w:val="20"/>
          <w:szCs w:val="20"/>
        </w:rPr>
        <w:t>gency (SITA)</w:t>
      </w:r>
      <w:r w:rsidR="00073A92" w:rsidRPr="008C0BE5">
        <w:rPr>
          <w:rFonts w:ascii="Arial" w:hAnsi="Arial" w:cs="Arial"/>
          <w:color w:val="000000" w:themeColor="text1"/>
          <w:sz w:val="20"/>
          <w:szCs w:val="20"/>
        </w:rPr>
        <w:t xml:space="preserve"> </w:t>
      </w:r>
      <w:r w:rsidR="009F488A" w:rsidRPr="008C0BE5">
        <w:rPr>
          <w:rFonts w:ascii="Arial" w:hAnsi="Arial" w:cs="Arial"/>
          <w:color w:val="000000" w:themeColor="text1"/>
          <w:sz w:val="20"/>
          <w:szCs w:val="20"/>
        </w:rPr>
        <w:t xml:space="preserve">Head Office in Centurion </w:t>
      </w:r>
      <w:r w:rsidR="00073A92" w:rsidRPr="008C0BE5">
        <w:rPr>
          <w:rFonts w:ascii="Arial" w:hAnsi="Arial" w:cs="Arial"/>
          <w:color w:val="000000" w:themeColor="text1"/>
          <w:sz w:val="20"/>
          <w:szCs w:val="20"/>
        </w:rPr>
        <w:t xml:space="preserve">and </w:t>
      </w:r>
      <w:r w:rsidR="006F5D08" w:rsidRPr="008C0BE5">
        <w:rPr>
          <w:rFonts w:ascii="Arial" w:hAnsi="Arial" w:cs="Arial"/>
          <w:color w:val="000000" w:themeColor="text1"/>
          <w:sz w:val="20"/>
          <w:szCs w:val="20"/>
        </w:rPr>
        <w:t xml:space="preserve">found that there was no IMFS system that has been implemented. </w:t>
      </w:r>
    </w:p>
    <w:p w:rsidR="00545CCD" w:rsidRPr="008C0BE5" w:rsidRDefault="00E446EE" w:rsidP="008C0BE5">
      <w:pPr>
        <w:numPr>
          <w:ilvl w:val="1"/>
          <w:numId w:val="1"/>
        </w:numPr>
        <w:contextualSpacing/>
        <w:rPr>
          <w:rFonts w:ascii="Arial" w:hAnsi="Arial" w:cs="Arial"/>
          <w:sz w:val="20"/>
          <w:szCs w:val="20"/>
        </w:rPr>
      </w:pPr>
      <w:r w:rsidRPr="008C0BE5">
        <w:rPr>
          <w:rFonts w:ascii="Arial" w:hAnsi="Arial" w:cs="Arial"/>
          <w:sz w:val="20"/>
          <w:szCs w:val="20"/>
        </w:rPr>
        <w:t>T</w:t>
      </w:r>
      <w:r w:rsidR="00B60FED" w:rsidRPr="008C0BE5">
        <w:rPr>
          <w:rFonts w:ascii="Arial" w:hAnsi="Arial" w:cs="Arial"/>
          <w:color w:val="000000" w:themeColor="text1"/>
          <w:sz w:val="20"/>
          <w:szCs w:val="20"/>
        </w:rPr>
        <w:t>he IFMS contract was renewed for a further 5 years</w:t>
      </w:r>
      <w:r w:rsidR="009609ED" w:rsidRPr="008C0BE5">
        <w:rPr>
          <w:rFonts w:ascii="Arial" w:hAnsi="Arial" w:cs="Arial"/>
          <w:color w:val="000000" w:themeColor="text1"/>
          <w:sz w:val="20"/>
          <w:szCs w:val="20"/>
        </w:rPr>
        <w:t xml:space="preserve"> last year</w:t>
      </w:r>
      <w:r w:rsidR="00B60FED" w:rsidRPr="008C0BE5">
        <w:rPr>
          <w:rFonts w:ascii="Arial" w:hAnsi="Arial" w:cs="Arial"/>
          <w:color w:val="000000" w:themeColor="text1"/>
          <w:sz w:val="20"/>
          <w:szCs w:val="20"/>
        </w:rPr>
        <w:t>, despite the fruitless and wasteful expenditure raised by AGSA for successive years since 2016 and the issuing of the material irregularity against the D</w:t>
      </w:r>
      <w:r w:rsidR="00D35045" w:rsidRPr="008C0BE5">
        <w:rPr>
          <w:rFonts w:ascii="Arial" w:hAnsi="Arial" w:cs="Arial"/>
          <w:color w:val="000000" w:themeColor="text1"/>
          <w:sz w:val="20"/>
          <w:szCs w:val="20"/>
        </w:rPr>
        <w:t xml:space="preserve">irector </w:t>
      </w:r>
      <w:r w:rsidR="00B60FED" w:rsidRPr="008C0BE5">
        <w:rPr>
          <w:rFonts w:ascii="Arial" w:hAnsi="Arial" w:cs="Arial"/>
          <w:color w:val="000000" w:themeColor="text1"/>
          <w:sz w:val="20"/>
          <w:szCs w:val="20"/>
        </w:rPr>
        <w:t>G</w:t>
      </w:r>
      <w:r w:rsidR="00D35045" w:rsidRPr="008C0BE5">
        <w:rPr>
          <w:rFonts w:ascii="Arial" w:hAnsi="Arial" w:cs="Arial"/>
          <w:color w:val="000000" w:themeColor="text1"/>
          <w:sz w:val="20"/>
          <w:szCs w:val="20"/>
        </w:rPr>
        <w:t>eneral</w:t>
      </w:r>
      <w:r w:rsidR="00B60FED" w:rsidRPr="008C0BE5">
        <w:rPr>
          <w:rFonts w:ascii="Arial" w:hAnsi="Arial" w:cs="Arial"/>
          <w:color w:val="000000" w:themeColor="text1"/>
          <w:sz w:val="20"/>
          <w:szCs w:val="20"/>
        </w:rPr>
        <w:t xml:space="preserve"> of National Treasury. </w:t>
      </w:r>
      <w:r w:rsidR="00FC2326" w:rsidRPr="008C0BE5">
        <w:rPr>
          <w:rFonts w:ascii="Arial" w:hAnsi="Arial" w:cs="Arial"/>
          <w:color w:val="000000" w:themeColor="text1"/>
          <w:sz w:val="20"/>
          <w:szCs w:val="20"/>
        </w:rPr>
        <w:t>NT ha</w:t>
      </w:r>
      <w:r w:rsidR="00737CC5" w:rsidRPr="008C0BE5">
        <w:rPr>
          <w:rFonts w:ascii="Arial" w:hAnsi="Arial" w:cs="Arial"/>
          <w:color w:val="000000" w:themeColor="text1"/>
          <w:sz w:val="20"/>
          <w:szCs w:val="20"/>
        </w:rPr>
        <w:t>d</w:t>
      </w:r>
      <w:r w:rsidR="00FC2326" w:rsidRPr="008C0BE5">
        <w:rPr>
          <w:rFonts w:ascii="Arial" w:hAnsi="Arial" w:cs="Arial"/>
          <w:color w:val="000000" w:themeColor="text1"/>
          <w:sz w:val="20"/>
          <w:szCs w:val="20"/>
        </w:rPr>
        <w:t xml:space="preserve"> incurred fruitless and wasteful expenditure of about R300 million on the project since 2016, as</w:t>
      </w:r>
      <w:r w:rsidR="002F0041" w:rsidRPr="008C0BE5">
        <w:rPr>
          <w:rFonts w:ascii="Arial" w:hAnsi="Arial" w:cs="Arial"/>
          <w:color w:val="000000" w:themeColor="text1"/>
          <w:sz w:val="20"/>
          <w:szCs w:val="20"/>
        </w:rPr>
        <w:t xml:space="preserve"> it had </w:t>
      </w:r>
      <w:r w:rsidR="00FC2326" w:rsidRPr="008C0BE5">
        <w:rPr>
          <w:rFonts w:ascii="Arial" w:hAnsi="Arial" w:cs="Arial"/>
          <w:color w:val="000000" w:themeColor="text1"/>
          <w:sz w:val="20"/>
          <w:szCs w:val="20"/>
        </w:rPr>
        <w:t xml:space="preserve">made payments for which no services were </w:t>
      </w:r>
      <w:r w:rsidR="002F0041" w:rsidRPr="008C0BE5">
        <w:rPr>
          <w:rFonts w:ascii="Arial" w:hAnsi="Arial" w:cs="Arial"/>
          <w:color w:val="000000" w:themeColor="text1"/>
          <w:sz w:val="20"/>
          <w:szCs w:val="20"/>
        </w:rPr>
        <w:t>received</w:t>
      </w:r>
      <w:r w:rsidR="00FC2326" w:rsidRPr="008C0BE5">
        <w:rPr>
          <w:rFonts w:ascii="Arial" w:hAnsi="Arial" w:cs="Arial"/>
          <w:color w:val="000000" w:themeColor="text1"/>
          <w:sz w:val="20"/>
          <w:szCs w:val="20"/>
        </w:rPr>
        <w:t xml:space="preserve"> on technical support and maintenance.</w:t>
      </w:r>
      <w:r w:rsidR="00AF4988" w:rsidRPr="008C0BE5">
        <w:rPr>
          <w:rFonts w:ascii="Arial" w:hAnsi="Arial" w:cs="Arial"/>
          <w:color w:val="000000" w:themeColor="text1"/>
          <w:sz w:val="20"/>
          <w:szCs w:val="20"/>
        </w:rPr>
        <w:t xml:space="preserve"> In the previous year </w:t>
      </w:r>
      <w:r w:rsidR="00DA601B" w:rsidRPr="008C0BE5">
        <w:rPr>
          <w:rFonts w:ascii="Arial" w:hAnsi="Arial" w:cs="Arial"/>
          <w:color w:val="000000" w:themeColor="text1"/>
          <w:sz w:val="20"/>
          <w:szCs w:val="20"/>
        </w:rPr>
        <w:t>NT failed to record R68 million spent on the IFMS as wasteful and fruitless expenditure for 2022/23</w:t>
      </w:r>
      <w:r w:rsidR="002719F7" w:rsidRPr="008C0BE5">
        <w:rPr>
          <w:rFonts w:ascii="Arial" w:hAnsi="Arial" w:cs="Arial"/>
          <w:color w:val="000000" w:themeColor="text1"/>
          <w:sz w:val="20"/>
          <w:szCs w:val="20"/>
        </w:rPr>
        <w:t xml:space="preserve">. </w:t>
      </w:r>
      <w:r w:rsidR="0007145E" w:rsidRPr="008C0BE5">
        <w:rPr>
          <w:rFonts w:ascii="Arial" w:hAnsi="Arial" w:cs="Arial"/>
          <w:color w:val="000000" w:themeColor="text1"/>
          <w:sz w:val="20"/>
          <w:szCs w:val="20"/>
        </w:rPr>
        <w:t xml:space="preserve">Previous wasteful and fruitless </w:t>
      </w:r>
      <w:r w:rsidR="00482479" w:rsidRPr="008C0BE5">
        <w:rPr>
          <w:rFonts w:ascii="Arial" w:hAnsi="Arial" w:cs="Arial"/>
          <w:color w:val="000000" w:themeColor="text1"/>
          <w:sz w:val="20"/>
          <w:szCs w:val="20"/>
        </w:rPr>
        <w:t xml:space="preserve">expenditure incurred since 2016/17 was also removed from NTs balance sheet, resulting in an understatement </w:t>
      </w:r>
      <w:r w:rsidR="00DB21DC" w:rsidRPr="008C0BE5">
        <w:rPr>
          <w:rFonts w:ascii="Arial" w:hAnsi="Arial" w:cs="Arial"/>
          <w:color w:val="000000" w:themeColor="text1"/>
          <w:sz w:val="20"/>
          <w:szCs w:val="20"/>
        </w:rPr>
        <w:t xml:space="preserve">of almost R400 million. As a result of this NT received </w:t>
      </w:r>
      <w:r w:rsidR="00DD1CC2" w:rsidRPr="008C0BE5">
        <w:rPr>
          <w:rFonts w:ascii="Arial" w:hAnsi="Arial" w:cs="Arial"/>
          <w:color w:val="000000" w:themeColor="text1"/>
          <w:sz w:val="20"/>
          <w:szCs w:val="20"/>
        </w:rPr>
        <w:t xml:space="preserve">a </w:t>
      </w:r>
      <w:r w:rsidR="00DB21DC" w:rsidRPr="008C0BE5">
        <w:rPr>
          <w:rFonts w:ascii="Arial" w:hAnsi="Arial" w:cs="Arial"/>
          <w:color w:val="000000" w:themeColor="text1"/>
          <w:sz w:val="20"/>
          <w:szCs w:val="20"/>
        </w:rPr>
        <w:t xml:space="preserve">qualified audit </w:t>
      </w:r>
      <w:r w:rsidR="00603013" w:rsidRPr="008C0BE5">
        <w:rPr>
          <w:rFonts w:ascii="Arial" w:hAnsi="Arial" w:cs="Arial"/>
          <w:color w:val="000000" w:themeColor="text1"/>
          <w:sz w:val="20"/>
          <w:szCs w:val="20"/>
        </w:rPr>
        <w:t xml:space="preserve">opinion, a deterioration from previous year’s audit outcomes.  </w:t>
      </w:r>
      <w:r w:rsidR="00FC2326" w:rsidRPr="008C0BE5">
        <w:rPr>
          <w:rFonts w:ascii="Arial" w:hAnsi="Arial" w:cs="Arial"/>
          <w:color w:val="000000" w:themeColor="text1"/>
          <w:sz w:val="20"/>
          <w:szCs w:val="20"/>
        </w:rPr>
        <w:t xml:space="preserve"> </w:t>
      </w:r>
    </w:p>
    <w:p w:rsidR="008A5738" w:rsidRPr="008C0BE5" w:rsidRDefault="0025728C" w:rsidP="008C0BE5">
      <w:pPr>
        <w:numPr>
          <w:ilvl w:val="1"/>
          <w:numId w:val="1"/>
        </w:numPr>
        <w:contextualSpacing/>
        <w:rPr>
          <w:rFonts w:ascii="Arial" w:hAnsi="Arial" w:cs="Arial"/>
          <w:sz w:val="20"/>
          <w:szCs w:val="20"/>
        </w:rPr>
      </w:pPr>
      <w:r w:rsidRPr="008C0BE5">
        <w:rPr>
          <w:rFonts w:ascii="Arial" w:hAnsi="Arial" w:cs="Arial"/>
          <w:color w:val="000000" w:themeColor="text1"/>
          <w:sz w:val="20"/>
          <w:szCs w:val="20"/>
        </w:rPr>
        <w:t>While about R400 million has been</w:t>
      </w:r>
      <w:r w:rsidR="00D921E2" w:rsidRPr="008C0BE5">
        <w:rPr>
          <w:rFonts w:ascii="Arial" w:hAnsi="Arial" w:cs="Arial"/>
          <w:color w:val="000000" w:themeColor="text1"/>
          <w:sz w:val="20"/>
          <w:szCs w:val="20"/>
        </w:rPr>
        <w:t>, according to AGSA,</w:t>
      </w:r>
      <w:r w:rsidRPr="008C0BE5">
        <w:rPr>
          <w:rFonts w:ascii="Arial" w:hAnsi="Arial" w:cs="Arial"/>
          <w:color w:val="000000" w:themeColor="text1"/>
          <w:sz w:val="20"/>
          <w:szCs w:val="20"/>
        </w:rPr>
        <w:t xml:space="preserve"> fruitless and wasteful expenditure, </w:t>
      </w:r>
      <w:r w:rsidR="00D921E2" w:rsidRPr="008C0BE5">
        <w:rPr>
          <w:rFonts w:ascii="Arial" w:hAnsi="Arial" w:cs="Arial"/>
          <w:color w:val="000000" w:themeColor="text1"/>
          <w:sz w:val="20"/>
          <w:szCs w:val="20"/>
        </w:rPr>
        <w:t xml:space="preserve">over R2,6 billion has been spent on the IFMS since in conceptualization </w:t>
      </w:r>
      <w:r w:rsidR="000A4B62" w:rsidRPr="008C0BE5">
        <w:rPr>
          <w:rFonts w:ascii="Arial" w:hAnsi="Arial" w:cs="Arial"/>
          <w:color w:val="000000" w:themeColor="text1"/>
          <w:sz w:val="20"/>
          <w:szCs w:val="20"/>
        </w:rPr>
        <w:t>fifteen years ago</w:t>
      </w:r>
      <w:r w:rsidR="002633D0" w:rsidRPr="008C0BE5">
        <w:rPr>
          <w:rFonts w:ascii="Arial" w:hAnsi="Arial" w:cs="Arial"/>
          <w:color w:val="000000" w:themeColor="text1"/>
          <w:sz w:val="20"/>
          <w:szCs w:val="20"/>
        </w:rPr>
        <w:t xml:space="preserve"> (in 2005)</w:t>
      </w:r>
      <w:r w:rsidR="000A4B62" w:rsidRPr="008C0BE5">
        <w:rPr>
          <w:rFonts w:ascii="Arial" w:hAnsi="Arial" w:cs="Arial"/>
          <w:color w:val="000000" w:themeColor="text1"/>
          <w:sz w:val="20"/>
          <w:szCs w:val="20"/>
        </w:rPr>
        <w:t>. The</w:t>
      </w:r>
      <w:r w:rsidR="001811BE" w:rsidRPr="008C0BE5">
        <w:rPr>
          <w:rFonts w:ascii="Arial" w:hAnsi="Arial" w:cs="Arial"/>
          <w:color w:val="000000" w:themeColor="text1"/>
          <w:sz w:val="20"/>
          <w:szCs w:val="20"/>
        </w:rPr>
        <w:t xml:space="preserve">re is clearly a need for the Committee to get to the bottom of what happened in this project. The </w:t>
      </w:r>
      <w:r w:rsidR="000A4B62" w:rsidRPr="008C0BE5">
        <w:rPr>
          <w:rFonts w:ascii="Arial" w:hAnsi="Arial" w:cs="Arial"/>
          <w:color w:val="000000" w:themeColor="text1"/>
          <w:sz w:val="20"/>
          <w:szCs w:val="20"/>
        </w:rPr>
        <w:t xml:space="preserve">Committee reports more details on the IFMS in its Oversight Report </w:t>
      </w:r>
      <w:r w:rsidR="00361D43" w:rsidRPr="008C0BE5">
        <w:rPr>
          <w:rFonts w:ascii="Arial" w:hAnsi="Arial" w:cs="Arial"/>
          <w:color w:val="000000" w:themeColor="text1"/>
          <w:sz w:val="20"/>
          <w:szCs w:val="20"/>
        </w:rPr>
        <w:t>on the IFMS</w:t>
      </w:r>
      <w:r w:rsidR="000A4B62" w:rsidRPr="008C0BE5">
        <w:rPr>
          <w:rFonts w:ascii="Arial" w:hAnsi="Arial" w:cs="Arial"/>
          <w:color w:val="000000" w:themeColor="text1"/>
          <w:sz w:val="20"/>
          <w:szCs w:val="20"/>
        </w:rPr>
        <w:t xml:space="preserve">. </w:t>
      </w:r>
      <w:r w:rsidR="00BB52A3" w:rsidRPr="008C0BE5">
        <w:rPr>
          <w:rFonts w:ascii="Arial" w:hAnsi="Arial" w:cs="Arial"/>
          <w:color w:val="000000" w:themeColor="text1"/>
          <w:sz w:val="20"/>
          <w:szCs w:val="20"/>
        </w:rPr>
        <w:t xml:space="preserve">The Committee </w:t>
      </w:r>
      <w:r w:rsidR="007D6BF5" w:rsidRPr="008C0BE5">
        <w:rPr>
          <w:rFonts w:ascii="Arial" w:hAnsi="Arial" w:cs="Arial"/>
          <w:color w:val="000000" w:themeColor="text1"/>
          <w:sz w:val="20"/>
          <w:szCs w:val="20"/>
        </w:rPr>
        <w:t xml:space="preserve">has scheduled </w:t>
      </w:r>
      <w:r w:rsidR="002F40CE" w:rsidRPr="008C0BE5">
        <w:rPr>
          <w:rFonts w:ascii="Arial" w:hAnsi="Arial" w:cs="Arial"/>
          <w:color w:val="000000" w:themeColor="text1"/>
          <w:sz w:val="20"/>
          <w:szCs w:val="20"/>
        </w:rPr>
        <w:t>a briefing</w:t>
      </w:r>
      <w:r w:rsidR="00B92DE0" w:rsidRPr="008C0BE5">
        <w:rPr>
          <w:rFonts w:ascii="Arial" w:hAnsi="Arial" w:cs="Arial"/>
          <w:color w:val="000000" w:themeColor="text1"/>
          <w:sz w:val="20"/>
          <w:szCs w:val="20"/>
        </w:rPr>
        <w:t>, on the second week of May,</w:t>
      </w:r>
      <w:r w:rsidR="007D6BF5" w:rsidRPr="008C0BE5">
        <w:rPr>
          <w:rFonts w:ascii="Arial" w:hAnsi="Arial" w:cs="Arial"/>
          <w:color w:val="000000" w:themeColor="text1"/>
          <w:sz w:val="20"/>
          <w:szCs w:val="20"/>
        </w:rPr>
        <w:t xml:space="preserve"> from NT and other </w:t>
      </w:r>
      <w:r w:rsidR="00361D43" w:rsidRPr="008C0BE5">
        <w:rPr>
          <w:rFonts w:ascii="Arial" w:hAnsi="Arial" w:cs="Arial"/>
          <w:color w:val="000000" w:themeColor="text1"/>
          <w:sz w:val="20"/>
          <w:szCs w:val="20"/>
        </w:rPr>
        <w:t xml:space="preserve">partner </w:t>
      </w:r>
      <w:r w:rsidR="007D6BF5" w:rsidRPr="008C0BE5">
        <w:rPr>
          <w:rFonts w:ascii="Arial" w:hAnsi="Arial" w:cs="Arial"/>
          <w:color w:val="000000" w:themeColor="text1"/>
          <w:sz w:val="20"/>
          <w:szCs w:val="20"/>
        </w:rPr>
        <w:t xml:space="preserve">departments </w:t>
      </w:r>
      <w:r w:rsidR="00361D43" w:rsidRPr="008C0BE5">
        <w:rPr>
          <w:rFonts w:ascii="Arial" w:hAnsi="Arial" w:cs="Arial"/>
          <w:color w:val="000000" w:themeColor="text1"/>
          <w:sz w:val="20"/>
          <w:szCs w:val="20"/>
        </w:rPr>
        <w:t>or agencies</w:t>
      </w:r>
      <w:r w:rsidR="007C27C5" w:rsidRPr="008C0BE5">
        <w:rPr>
          <w:rFonts w:ascii="Arial" w:hAnsi="Arial" w:cs="Arial"/>
          <w:color w:val="000000" w:themeColor="text1"/>
          <w:sz w:val="20"/>
          <w:szCs w:val="20"/>
        </w:rPr>
        <w:t>, including</w:t>
      </w:r>
      <w:r w:rsidR="00361D43" w:rsidRPr="008C0BE5">
        <w:rPr>
          <w:rFonts w:ascii="Arial" w:hAnsi="Arial" w:cs="Arial"/>
          <w:color w:val="000000" w:themeColor="text1"/>
          <w:sz w:val="20"/>
          <w:szCs w:val="20"/>
        </w:rPr>
        <w:t xml:space="preserve"> </w:t>
      </w:r>
      <w:r w:rsidR="007D6BF5" w:rsidRPr="008C0BE5">
        <w:rPr>
          <w:rFonts w:ascii="Arial" w:hAnsi="Arial" w:cs="Arial"/>
          <w:color w:val="000000" w:themeColor="text1"/>
          <w:sz w:val="20"/>
          <w:szCs w:val="20"/>
        </w:rPr>
        <w:t>S</w:t>
      </w:r>
      <w:r w:rsidR="008A5738" w:rsidRPr="008C0BE5">
        <w:rPr>
          <w:rFonts w:ascii="Arial" w:hAnsi="Arial" w:cs="Arial"/>
          <w:color w:val="000000" w:themeColor="text1"/>
          <w:sz w:val="20"/>
          <w:szCs w:val="20"/>
        </w:rPr>
        <w:t>ITA</w:t>
      </w:r>
      <w:r w:rsidR="002A1C90" w:rsidRPr="008C0BE5">
        <w:rPr>
          <w:rFonts w:ascii="Arial" w:hAnsi="Arial" w:cs="Arial"/>
          <w:color w:val="000000" w:themeColor="text1"/>
          <w:sz w:val="20"/>
          <w:szCs w:val="20"/>
        </w:rPr>
        <w:t xml:space="preserve">. </w:t>
      </w:r>
    </w:p>
    <w:p w:rsidR="00225098" w:rsidRPr="008C0BE5" w:rsidRDefault="002A1C90" w:rsidP="008C0BE5">
      <w:pPr>
        <w:numPr>
          <w:ilvl w:val="1"/>
          <w:numId w:val="1"/>
        </w:numPr>
        <w:contextualSpacing/>
        <w:rPr>
          <w:rFonts w:ascii="Arial" w:hAnsi="Arial" w:cs="Arial"/>
          <w:sz w:val="20"/>
          <w:szCs w:val="20"/>
        </w:rPr>
      </w:pPr>
      <w:r w:rsidRPr="008C0BE5">
        <w:rPr>
          <w:rFonts w:ascii="Arial" w:hAnsi="Arial" w:cs="Arial"/>
          <w:color w:val="000000" w:themeColor="text1"/>
          <w:sz w:val="20"/>
          <w:szCs w:val="20"/>
        </w:rPr>
        <w:t>The</w:t>
      </w:r>
      <w:r w:rsidR="002A24ED" w:rsidRPr="008C0BE5">
        <w:rPr>
          <w:rFonts w:ascii="Arial" w:hAnsi="Arial" w:cs="Arial"/>
          <w:color w:val="000000" w:themeColor="text1"/>
          <w:sz w:val="20"/>
          <w:szCs w:val="20"/>
        </w:rPr>
        <w:t xml:space="preserve"> Committee will further receive </w:t>
      </w:r>
      <w:r w:rsidR="002F40CE" w:rsidRPr="008C0BE5">
        <w:rPr>
          <w:rFonts w:ascii="Arial" w:hAnsi="Arial" w:cs="Arial"/>
          <w:color w:val="000000" w:themeColor="text1"/>
          <w:sz w:val="20"/>
          <w:szCs w:val="20"/>
        </w:rPr>
        <w:t xml:space="preserve">a </w:t>
      </w:r>
      <w:r w:rsidR="002A24ED" w:rsidRPr="008C0BE5">
        <w:rPr>
          <w:rFonts w:ascii="Arial" w:hAnsi="Arial" w:cs="Arial"/>
          <w:color w:val="000000" w:themeColor="text1"/>
          <w:sz w:val="20"/>
          <w:szCs w:val="20"/>
        </w:rPr>
        <w:t>briefing on all the forensic reports that have been conducted by various agencies</w:t>
      </w:r>
      <w:r w:rsidR="00920913" w:rsidRPr="008C0BE5">
        <w:rPr>
          <w:rFonts w:ascii="Arial" w:hAnsi="Arial" w:cs="Arial"/>
          <w:color w:val="000000" w:themeColor="text1"/>
          <w:sz w:val="20"/>
          <w:szCs w:val="20"/>
        </w:rPr>
        <w:t xml:space="preserve"> on the IFMS</w:t>
      </w:r>
      <w:r w:rsidR="002F40CE" w:rsidRPr="008C0BE5">
        <w:rPr>
          <w:rFonts w:ascii="Arial" w:hAnsi="Arial" w:cs="Arial"/>
          <w:color w:val="000000" w:themeColor="text1"/>
          <w:sz w:val="20"/>
          <w:szCs w:val="20"/>
        </w:rPr>
        <w:t xml:space="preserve"> at the end of May (2023)</w:t>
      </w:r>
      <w:r w:rsidR="00E2328B" w:rsidRPr="008C0BE5">
        <w:rPr>
          <w:rFonts w:ascii="Arial" w:hAnsi="Arial" w:cs="Arial"/>
          <w:color w:val="000000" w:themeColor="text1"/>
          <w:sz w:val="20"/>
          <w:szCs w:val="20"/>
        </w:rPr>
        <w:t xml:space="preserve">. </w:t>
      </w:r>
      <w:r w:rsidR="00C26AFB" w:rsidRPr="008C0BE5">
        <w:rPr>
          <w:rFonts w:ascii="Arial" w:hAnsi="Arial" w:cs="Arial"/>
          <w:color w:val="000000" w:themeColor="text1"/>
          <w:sz w:val="20"/>
          <w:szCs w:val="20"/>
        </w:rPr>
        <w:t xml:space="preserve">The Committee will then </w:t>
      </w:r>
      <w:r w:rsidR="0019611C" w:rsidRPr="008C0BE5">
        <w:rPr>
          <w:rFonts w:ascii="Arial" w:hAnsi="Arial" w:cs="Arial"/>
          <w:color w:val="000000" w:themeColor="text1"/>
          <w:sz w:val="20"/>
          <w:szCs w:val="20"/>
        </w:rPr>
        <w:t>take</w:t>
      </w:r>
      <w:r w:rsidR="00C26AFB" w:rsidRPr="008C0BE5">
        <w:rPr>
          <w:rFonts w:ascii="Arial" w:hAnsi="Arial" w:cs="Arial"/>
          <w:color w:val="000000" w:themeColor="text1"/>
          <w:sz w:val="20"/>
          <w:szCs w:val="20"/>
        </w:rPr>
        <w:t xml:space="preserve"> a resolution on </w:t>
      </w:r>
      <w:r w:rsidR="0019611C" w:rsidRPr="008C0BE5">
        <w:rPr>
          <w:rFonts w:ascii="Arial" w:hAnsi="Arial" w:cs="Arial"/>
          <w:color w:val="000000" w:themeColor="text1"/>
          <w:sz w:val="20"/>
          <w:szCs w:val="20"/>
        </w:rPr>
        <w:t>how to proceed with this matter</w:t>
      </w:r>
      <w:r w:rsidR="00C26AFB" w:rsidRPr="008C0BE5">
        <w:rPr>
          <w:rFonts w:ascii="Arial" w:hAnsi="Arial" w:cs="Arial"/>
          <w:color w:val="000000" w:themeColor="text1"/>
          <w:sz w:val="20"/>
          <w:szCs w:val="20"/>
        </w:rPr>
        <w:t xml:space="preserve">. AGSA has already </w:t>
      </w:r>
      <w:r w:rsidR="008A6534" w:rsidRPr="008C0BE5">
        <w:rPr>
          <w:rFonts w:ascii="Arial" w:hAnsi="Arial" w:cs="Arial"/>
          <w:color w:val="000000" w:themeColor="text1"/>
          <w:sz w:val="20"/>
          <w:szCs w:val="20"/>
        </w:rPr>
        <w:t xml:space="preserve">referred the matter to the Special Investigation Unit, following the issuing of </w:t>
      </w:r>
      <w:r w:rsidR="0019611C" w:rsidRPr="008C0BE5">
        <w:rPr>
          <w:rFonts w:ascii="Arial" w:hAnsi="Arial" w:cs="Arial"/>
          <w:color w:val="000000" w:themeColor="text1"/>
          <w:sz w:val="20"/>
          <w:szCs w:val="20"/>
        </w:rPr>
        <w:t xml:space="preserve">a </w:t>
      </w:r>
      <w:r w:rsidR="008A6534" w:rsidRPr="008C0BE5">
        <w:rPr>
          <w:rFonts w:ascii="Arial" w:hAnsi="Arial" w:cs="Arial"/>
          <w:color w:val="000000" w:themeColor="text1"/>
          <w:sz w:val="20"/>
          <w:szCs w:val="20"/>
        </w:rPr>
        <w:t>material irregularity</w:t>
      </w:r>
      <w:r w:rsidR="0019611C" w:rsidRPr="008C0BE5">
        <w:rPr>
          <w:rFonts w:ascii="Arial" w:hAnsi="Arial" w:cs="Arial"/>
          <w:color w:val="000000" w:themeColor="text1"/>
          <w:sz w:val="20"/>
          <w:szCs w:val="20"/>
        </w:rPr>
        <w:t xml:space="preserve"> </w:t>
      </w:r>
      <w:r w:rsidR="0047707C" w:rsidRPr="008C0BE5">
        <w:rPr>
          <w:rFonts w:ascii="Arial" w:hAnsi="Arial" w:cs="Arial"/>
          <w:color w:val="000000" w:themeColor="text1"/>
          <w:sz w:val="20"/>
          <w:szCs w:val="20"/>
        </w:rPr>
        <w:t xml:space="preserve">to </w:t>
      </w:r>
      <w:r w:rsidR="0019611C" w:rsidRPr="008C0BE5">
        <w:rPr>
          <w:rFonts w:ascii="Arial" w:hAnsi="Arial" w:cs="Arial"/>
          <w:color w:val="000000" w:themeColor="text1"/>
          <w:sz w:val="20"/>
          <w:szCs w:val="20"/>
        </w:rPr>
        <w:t xml:space="preserve">NT. </w:t>
      </w:r>
      <w:r w:rsidR="008A6534" w:rsidRPr="008C0BE5">
        <w:rPr>
          <w:rFonts w:ascii="Arial" w:hAnsi="Arial" w:cs="Arial"/>
          <w:color w:val="000000" w:themeColor="text1"/>
          <w:sz w:val="20"/>
          <w:szCs w:val="20"/>
        </w:rPr>
        <w:t xml:space="preserve"> </w:t>
      </w:r>
      <w:r w:rsidR="002A24ED" w:rsidRPr="008C0BE5">
        <w:rPr>
          <w:rFonts w:ascii="Arial" w:hAnsi="Arial" w:cs="Arial"/>
          <w:color w:val="000000" w:themeColor="text1"/>
          <w:sz w:val="20"/>
          <w:szCs w:val="20"/>
        </w:rPr>
        <w:t xml:space="preserve"> </w:t>
      </w:r>
    </w:p>
    <w:p w:rsidR="009E67BD" w:rsidRPr="008C0BE5" w:rsidRDefault="00225098" w:rsidP="008C0BE5">
      <w:pPr>
        <w:contextualSpacing/>
        <w:rPr>
          <w:rFonts w:ascii="Arial" w:hAnsi="Arial" w:cs="Arial"/>
          <w:color w:val="000000" w:themeColor="text1"/>
          <w:sz w:val="20"/>
          <w:szCs w:val="20"/>
        </w:rPr>
      </w:pPr>
      <w:r w:rsidRPr="008C0BE5">
        <w:rPr>
          <w:rFonts w:ascii="Arial" w:hAnsi="Arial" w:cs="Arial"/>
          <w:color w:val="000000" w:themeColor="text1"/>
          <w:sz w:val="20"/>
          <w:szCs w:val="20"/>
        </w:rPr>
        <w:t xml:space="preserve">NT PROGRAMMES </w:t>
      </w:r>
      <w:r w:rsidR="00A056B8" w:rsidRPr="008C0BE5">
        <w:rPr>
          <w:rFonts w:ascii="Arial" w:hAnsi="Arial" w:cs="Arial"/>
          <w:color w:val="000000" w:themeColor="text1"/>
          <w:sz w:val="20"/>
          <w:szCs w:val="20"/>
        </w:rPr>
        <w:t>AND RELATED ISSUES</w:t>
      </w:r>
    </w:p>
    <w:p w:rsidR="006B4D27" w:rsidRPr="008C0BE5" w:rsidRDefault="0065082A" w:rsidP="008C0BE5">
      <w:pPr>
        <w:numPr>
          <w:ilvl w:val="1"/>
          <w:numId w:val="1"/>
        </w:numPr>
        <w:contextualSpacing/>
        <w:rPr>
          <w:rFonts w:ascii="Arial" w:hAnsi="Arial" w:cs="Arial"/>
          <w:color w:val="000000" w:themeColor="text1"/>
          <w:sz w:val="20"/>
          <w:szCs w:val="20"/>
        </w:rPr>
      </w:pPr>
      <w:r w:rsidRPr="008C0BE5">
        <w:rPr>
          <w:rFonts w:ascii="Arial" w:hAnsi="Arial" w:cs="Arial"/>
          <w:color w:val="000000" w:themeColor="text1"/>
          <w:sz w:val="20"/>
          <w:szCs w:val="20"/>
        </w:rPr>
        <w:t>The Committee notes that this is the final year of NT</w:t>
      </w:r>
      <w:r w:rsidR="00591D9C" w:rsidRPr="008C0BE5">
        <w:rPr>
          <w:rFonts w:ascii="Arial" w:hAnsi="Arial" w:cs="Arial"/>
          <w:color w:val="000000" w:themeColor="text1"/>
          <w:sz w:val="20"/>
          <w:szCs w:val="20"/>
        </w:rPr>
        <w:t xml:space="preserve">’s </w:t>
      </w:r>
      <w:r w:rsidR="00736E01" w:rsidRPr="008C0BE5">
        <w:rPr>
          <w:rFonts w:ascii="Arial" w:hAnsi="Arial" w:cs="Arial"/>
          <w:color w:val="000000" w:themeColor="text1"/>
          <w:sz w:val="20"/>
          <w:szCs w:val="20"/>
        </w:rPr>
        <w:t xml:space="preserve">Strategic Plan </w:t>
      </w:r>
      <w:r w:rsidR="00275854" w:rsidRPr="008C0BE5">
        <w:rPr>
          <w:rFonts w:ascii="Arial" w:hAnsi="Arial" w:cs="Arial"/>
          <w:color w:val="000000" w:themeColor="text1"/>
          <w:sz w:val="20"/>
          <w:szCs w:val="20"/>
        </w:rPr>
        <w:t xml:space="preserve">and the last APP </w:t>
      </w:r>
      <w:r w:rsidR="00736E01" w:rsidRPr="008C0BE5">
        <w:rPr>
          <w:rFonts w:ascii="Arial" w:hAnsi="Arial" w:cs="Arial"/>
          <w:color w:val="000000" w:themeColor="text1"/>
          <w:sz w:val="20"/>
          <w:szCs w:val="20"/>
        </w:rPr>
        <w:t>as</w:t>
      </w:r>
      <w:r w:rsidR="00591D9C" w:rsidRPr="008C0BE5">
        <w:rPr>
          <w:rFonts w:ascii="Arial" w:hAnsi="Arial" w:cs="Arial"/>
          <w:color w:val="000000" w:themeColor="text1"/>
          <w:sz w:val="20"/>
          <w:szCs w:val="20"/>
        </w:rPr>
        <w:t xml:space="preserve"> </w:t>
      </w:r>
      <w:r w:rsidR="00736E01" w:rsidRPr="008C0BE5">
        <w:rPr>
          <w:rFonts w:ascii="Arial" w:hAnsi="Arial" w:cs="Arial"/>
          <w:color w:val="000000" w:themeColor="text1"/>
          <w:sz w:val="20"/>
          <w:szCs w:val="20"/>
        </w:rPr>
        <w:t xml:space="preserve">derived from the </w:t>
      </w:r>
      <w:r w:rsidR="00B16871" w:rsidRPr="008C0BE5">
        <w:rPr>
          <w:rFonts w:ascii="Arial" w:hAnsi="Arial" w:cs="Arial"/>
          <w:color w:val="000000" w:themeColor="text1"/>
          <w:sz w:val="20"/>
          <w:szCs w:val="20"/>
        </w:rPr>
        <w:t>government-wide 2019-2024 MTSF</w:t>
      </w:r>
      <w:r w:rsidR="00275854" w:rsidRPr="008C0BE5">
        <w:rPr>
          <w:rFonts w:ascii="Arial" w:hAnsi="Arial" w:cs="Arial"/>
          <w:color w:val="000000" w:themeColor="text1"/>
          <w:sz w:val="20"/>
          <w:szCs w:val="20"/>
        </w:rPr>
        <w:t>, as there will be election</w:t>
      </w:r>
      <w:r w:rsidR="00E60F4B" w:rsidRPr="008C0BE5">
        <w:rPr>
          <w:rFonts w:ascii="Arial" w:hAnsi="Arial" w:cs="Arial"/>
          <w:color w:val="000000" w:themeColor="text1"/>
          <w:sz w:val="20"/>
          <w:szCs w:val="20"/>
        </w:rPr>
        <w:t>s</w:t>
      </w:r>
      <w:r w:rsidR="00275854" w:rsidRPr="008C0BE5">
        <w:rPr>
          <w:rFonts w:ascii="Arial" w:hAnsi="Arial" w:cs="Arial"/>
          <w:color w:val="000000" w:themeColor="text1"/>
          <w:sz w:val="20"/>
          <w:szCs w:val="20"/>
        </w:rPr>
        <w:t xml:space="preserve"> that will usher into the 7</w:t>
      </w:r>
      <w:r w:rsidR="00275854" w:rsidRPr="008C0BE5">
        <w:rPr>
          <w:rFonts w:ascii="Arial" w:hAnsi="Arial" w:cs="Arial"/>
          <w:color w:val="000000" w:themeColor="text1"/>
          <w:sz w:val="20"/>
          <w:szCs w:val="20"/>
          <w:vertAlign w:val="superscript"/>
        </w:rPr>
        <w:t>th</w:t>
      </w:r>
      <w:r w:rsidR="00275854" w:rsidRPr="008C0BE5">
        <w:rPr>
          <w:rFonts w:ascii="Arial" w:hAnsi="Arial" w:cs="Arial"/>
          <w:color w:val="000000" w:themeColor="text1"/>
          <w:sz w:val="20"/>
          <w:szCs w:val="20"/>
        </w:rPr>
        <w:t xml:space="preserve"> Parliament in 2024. </w:t>
      </w:r>
      <w:r w:rsidR="00A34EF5" w:rsidRPr="008C0BE5">
        <w:rPr>
          <w:rFonts w:ascii="Arial" w:hAnsi="Arial" w:cs="Arial"/>
          <w:color w:val="000000" w:themeColor="text1"/>
          <w:sz w:val="20"/>
          <w:szCs w:val="20"/>
        </w:rPr>
        <w:t xml:space="preserve">This is therefore a crucial annual </w:t>
      </w:r>
      <w:r w:rsidR="00196AA1" w:rsidRPr="008C0BE5">
        <w:rPr>
          <w:rFonts w:ascii="Arial" w:hAnsi="Arial" w:cs="Arial"/>
          <w:color w:val="000000" w:themeColor="text1"/>
          <w:sz w:val="20"/>
          <w:szCs w:val="20"/>
        </w:rPr>
        <w:t>plan, as</w:t>
      </w:r>
      <w:r w:rsidR="00020018" w:rsidRPr="008C0BE5">
        <w:rPr>
          <w:rFonts w:ascii="Arial" w:hAnsi="Arial" w:cs="Arial"/>
          <w:color w:val="000000" w:themeColor="text1"/>
          <w:sz w:val="20"/>
          <w:szCs w:val="20"/>
        </w:rPr>
        <w:t xml:space="preserve"> its performance assessment will determine whether NT managed to deliver on its </w:t>
      </w:r>
      <w:r w:rsidR="00281AC4" w:rsidRPr="008C0BE5">
        <w:rPr>
          <w:rFonts w:ascii="Arial" w:hAnsi="Arial" w:cs="Arial"/>
          <w:color w:val="000000" w:themeColor="text1"/>
          <w:sz w:val="20"/>
          <w:szCs w:val="20"/>
        </w:rPr>
        <w:t>service delivery commitments</w:t>
      </w:r>
      <w:r w:rsidR="002C6DC7" w:rsidRPr="008C0BE5">
        <w:rPr>
          <w:rFonts w:ascii="Arial" w:hAnsi="Arial" w:cs="Arial"/>
          <w:color w:val="000000" w:themeColor="text1"/>
          <w:sz w:val="20"/>
          <w:szCs w:val="20"/>
        </w:rPr>
        <w:t xml:space="preserve">, </w:t>
      </w:r>
      <w:r w:rsidR="00020018" w:rsidRPr="008C0BE5">
        <w:rPr>
          <w:rFonts w:ascii="Arial" w:hAnsi="Arial" w:cs="Arial"/>
          <w:color w:val="000000" w:themeColor="text1"/>
          <w:sz w:val="20"/>
          <w:szCs w:val="20"/>
        </w:rPr>
        <w:t xml:space="preserve">strategic </w:t>
      </w:r>
      <w:r w:rsidR="00281AC4" w:rsidRPr="008C0BE5">
        <w:rPr>
          <w:rFonts w:ascii="Arial" w:hAnsi="Arial" w:cs="Arial"/>
          <w:color w:val="000000" w:themeColor="text1"/>
          <w:sz w:val="20"/>
          <w:szCs w:val="20"/>
        </w:rPr>
        <w:t>objectives</w:t>
      </w:r>
      <w:r w:rsidR="002C6DC7" w:rsidRPr="008C0BE5">
        <w:rPr>
          <w:rFonts w:ascii="Arial" w:hAnsi="Arial" w:cs="Arial"/>
          <w:color w:val="000000" w:themeColor="text1"/>
          <w:sz w:val="20"/>
          <w:szCs w:val="20"/>
        </w:rPr>
        <w:t>,</w:t>
      </w:r>
      <w:r w:rsidR="00281AC4" w:rsidRPr="008C0BE5">
        <w:rPr>
          <w:rFonts w:ascii="Arial" w:hAnsi="Arial" w:cs="Arial"/>
          <w:color w:val="000000" w:themeColor="text1"/>
          <w:sz w:val="20"/>
          <w:szCs w:val="20"/>
        </w:rPr>
        <w:t xml:space="preserve"> </w:t>
      </w:r>
      <w:r w:rsidR="00473EC1" w:rsidRPr="008C0BE5">
        <w:rPr>
          <w:rFonts w:ascii="Arial" w:hAnsi="Arial" w:cs="Arial"/>
          <w:color w:val="000000" w:themeColor="text1"/>
          <w:sz w:val="20"/>
          <w:szCs w:val="20"/>
        </w:rPr>
        <w:t>priorities,</w:t>
      </w:r>
      <w:r w:rsidR="00020018" w:rsidRPr="008C0BE5">
        <w:rPr>
          <w:rFonts w:ascii="Arial" w:hAnsi="Arial" w:cs="Arial"/>
          <w:color w:val="000000" w:themeColor="text1"/>
          <w:sz w:val="20"/>
          <w:szCs w:val="20"/>
        </w:rPr>
        <w:t xml:space="preserve"> </w:t>
      </w:r>
      <w:r w:rsidR="002C6DC7" w:rsidRPr="008C0BE5">
        <w:rPr>
          <w:rFonts w:ascii="Arial" w:hAnsi="Arial" w:cs="Arial"/>
          <w:color w:val="000000" w:themeColor="text1"/>
          <w:sz w:val="20"/>
          <w:szCs w:val="20"/>
        </w:rPr>
        <w:t xml:space="preserve">and targets throughout </w:t>
      </w:r>
      <w:r w:rsidR="00281AC4" w:rsidRPr="008C0BE5">
        <w:rPr>
          <w:rFonts w:ascii="Arial" w:hAnsi="Arial" w:cs="Arial"/>
          <w:color w:val="000000" w:themeColor="text1"/>
          <w:sz w:val="20"/>
          <w:szCs w:val="20"/>
        </w:rPr>
        <w:t xml:space="preserve">sixth Parliament. </w:t>
      </w:r>
      <w:r w:rsidR="00EB2803" w:rsidRPr="008C0BE5">
        <w:rPr>
          <w:rFonts w:ascii="Arial" w:hAnsi="Arial" w:cs="Arial"/>
          <w:color w:val="000000" w:themeColor="text1"/>
          <w:sz w:val="20"/>
          <w:szCs w:val="20"/>
        </w:rPr>
        <w:t xml:space="preserve">The Committee will make its own </w:t>
      </w:r>
      <w:r w:rsidR="00C0710C" w:rsidRPr="008C0BE5">
        <w:rPr>
          <w:rFonts w:ascii="Arial" w:hAnsi="Arial" w:cs="Arial"/>
          <w:color w:val="000000" w:themeColor="text1"/>
          <w:sz w:val="20"/>
          <w:szCs w:val="20"/>
        </w:rPr>
        <w:t xml:space="preserve">evaluation </w:t>
      </w:r>
      <w:r w:rsidR="00707655" w:rsidRPr="008C0BE5">
        <w:rPr>
          <w:rFonts w:ascii="Arial" w:hAnsi="Arial" w:cs="Arial"/>
          <w:color w:val="000000" w:themeColor="text1"/>
          <w:sz w:val="20"/>
          <w:szCs w:val="20"/>
        </w:rPr>
        <w:t>based on the previous years</w:t>
      </w:r>
      <w:r w:rsidR="00C0710C" w:rsidRPr="008C0BE5">
        <w:rPr>
          <w:rFonts w:ascii="Arial" w:hAnsi="Arial" w:cs="Arial"/>
          <w:color w:val="000000" w:themeColor="text1"/>
          <w:sz w:val="20"/>
          <w:szCs w:val="20"/>
        </w:rPr>
        <w:t>’</w:t>
      </w:r>
      <w:r w:rsidR="00707655" w:rsidRPr="008C0BE5">
        <w:rPr>
          <w:rFonts w:ascii="Arial" w:hAnsi="Arial" w:cs="Arial"/>
          <w:color w:val="000000" w:themeColor="text1"/>
          <w:sz w:val="20"/>
          <w:szCs w:val="20"/>
        </w:rPr>
        <w:t xml:space="preserve"> performance when it</w:t>
      </w:r>
      <w:r w:rsidR="00C0710C" w:rsidRPr="008C0BE5">
        <w:rPr>
          <w:rFonts w:ascii="Arial" w:hAnsi="Arial" w:cs="Arial"/>
          <w:color w:val="000000" w:themeColor="text1"/>
          <w:sz w:val="20"/>
          <w:szCs w:val="20"/>
        </w:rPr>
        <w:t xml:space="preserve"> </w:t>
      </w:r>
      <w:r w:rsidR="00E24DF8" w:rsidRPr="008C0BE5">
        <w:rPr>
          <w:rFonts w:ascii="Arial" w:hAnsi="Arial" w:cs="Arial"/>
          <w:color w:val="000000" w:themeColor="text1"/>
          <w:sz w:val="20"/>
          <w:szCs w:val="20"/>
        </w:rPr>
        <w:t xml:space="preserve">compiles its Legacy Report at the end of </w:t>
      </w:r>
      <w:r w:rsidR="00650564" w:rsidRPr="008C0BE5">
        <w:rPr>
          <w:rFonts w:ascii="Arial" w:hAnsi="Arial" w:cs="Arial"/>
          <w:color w:val="000000" w:themeColor="text1"/>
          <w:sz w:val="20"/>
          <w:szCs w:val="20"/>
        </w:rPr>
        <w:t>its term</w:t>
      </w:r>
      <w:r w:rsidR="00E24DF8" w:rsidRPr="008C0BE5">
        <w:rPr>
          <w:rFonts w:ascii="Arial" w:hAnsi="Arial" w:cs="Arial"/>
          <w:color w:val="000000" w:themeColor="text1"/>
          <w:sz w:val="20"/>
          <w:szCs w:val="20"/>
        </w:rPr>
        <w:t xml:space="preserve">. It will also highlight the challenges </w:t>
      </w:r>
      <w:r w:rsidR="00B74E51" w:rsidRPr="008C0BE5">
        <w:rPr>
          <w:rFonts w:ascii="Arial" w:hAnsi="Arial" w:cs="Arial"/>
          <w:color w:val="000000" w:themeColor="text1"/>
          <w:sz w:val="20"/>
          <w:szCs w:val="20"/>
        </w:rPr>
        <w:t xml:space="preserve">and make recommendations </w:t>
      </w:r>
      <w:r w:rsidR="00E24DF8" w:rsidRPr="008C0BE5">
        <w:rPr>
          <w:rFonts w:ascii="Arial" w:hAnsi="Arial" w:cs="Arial"/>
          <w:color w:val="000000" w:themeColor="text1"/>
          <w:sz w:val="20"/>
          <w:szCs w:val="20"/>
        </w:rPr>
        <w:t>for further oversight and legislation</w:t>
      </w:r>
      <w:r w:rsidR="00802847" w:rsidRPr="008C0BE5">
        <w:rPr>
          <w:rFonts w:ascii="Arial" w:hAnsi="Arial" w:cs="Arial"/>
          <w:color w:val="000000" w:themeColor="text1"/>
          <w:sz w:val="20"/>
          <w:szCs w:val="20"/>
        </w:rPr>
        <w:t xml:space="preserve"> to the </w:t>
      </w:r>
      <w:r w:rsidR="00DD1C91" w:rsidRPr="008C0BE5">
        <w:rPr>
          <w:rFonts w:ascii="Arial" w:hAnsi="Arial" w:cs="Arial"/>
          <w:color w:val="000000" w:themeColor="text1"/>
          <w:sz w:val="20"/>
          <w:szCs w:val="20"/>
        </w:rPr>
        <w:t>7</w:t>
      </w:r>
      <w:r w:rsidR="00DD1C91" w:rsidRPr="008C0BE5">
        <w:rPr>
          <w:rFonts w:ascii="Arial" w:hAnsi="Arial" w:cs="Arial"/>
          <w:color w:val="000000" w:themeColor="text1"/>
          <w:sz w:val="20"/>
          <w:szCs w:val="20"/>
          <w:vertAlign w:val="superscript"/>
        </w:rPr>
        <w:t>th</w:t>
      </w:r>
      <w:r w:rsidR="00DD1C91" w:rsidRPr="008C0BE5">
        <w:rPr>
          <w:rFonts w:ascii="Arial" w:hAnsi="Arial" w:cs="Arial"/>
          <w:color w:val="000000" w:themeColor="text1"/>
          <w:sz w:val="20"/>
          <w:szCs w:val="20"/>
        </w:rPr>
        <w:t xml:space="preserve"> Parliament</w:t>
      </w:r>
      <w:r w:rsidR="00802847" w:rsidRPr="008C0BE5">
        <w:rPr>
          <w:rFonts w:ascii="Arial" w:hAnsi="Arial" w:cs="Arial"/>
          <w:color w:val="000000" w:themeColor="text1"/>
          <w:sz w:val="20"/>
          <w:szCs w:val="20"/>
        </w:rPr>
        <w:t>.</w:t>
      </w:r>
      <w:r w:rsidR="00E24DF8" w:rsidRPr="008C0BE5">
        <w:rPr>
          <w:rFonts w:ascii="Arial" w:hAnsi="Arial" w:cs="Arial"/>
          <w:color w:val="000000" w:themeColor="text1"/>
          <w:sz w:val="20"/>
          <w:szCs w:val="20"/>
        </w:rPr>
        <w:t xml:space="preserve"> </w:t>
      </w:r>
      <w:r w:rsidR="00B74E51" w:rsidRPr="008C0BE5">
        <w:rPr>
          <w:rFonts w:ascii="Arial" w:hAnsi="Arial" w:cs="Arial"/>
          <w:color w:val="000000" w:themeColor="text1"/>
          <w:sz w:val="20"/>
          <w:szCs w:val="20"/>
        </w:rPr>
        <w:t xml:space="preserve"> </w:t>
      </w:r>
      <w:r w:rsidR="00707655" w:rsidRPr="008C0BE5">
        <w:rPr>
          <w:rFonts w:ascii="Arial" w:hAnsi="Arial" w:cs="Arial"/>
          <w:color w:val="000000" w:themeColor="text1"/>
          <w:sz w:val="20"/>
          <w:szCs w:val="20"/>
        </w:rPr>
        <w:t xml:space="preserve"> </w:t>
      </w:r>
      <w:r w:rsidR="00A34EF5" w:rsidRPr="008C0BE5">
        <w:rPr>
          <w:rFonts w:ascii="Arial" w:hAnsi="Arial" w:cs="Arial"/>
          <w:color w:val="000000" w:themeColor="text1"/>
          <w:sz w:val="20"/>
          <w:szCs w:val="20"/>
        </w:rPr>
        <w:t xml:space="preserve"> </w:t>
      </w:r>
      <w:r w:rsidR="00736E01" w:rsidRPr="008C0BE5">
        <w:rPr>
          <w:rFonts w:ascii="Arial" w:hAnsi="Arial" w:cs="Arial"/>
          <w:color w:val="000000" w:themeColor="text1"/>
          <w:sz w:val="20"/>
          <w:szCs w:val="20"/>
        </w:rPr>
        <w:t xml:space="preserve">  </w:t>
      </w:r>
    </w:p>
    <w:p w:rsidR="009D0098" w:rsidRPr="008C0BE5" w:rsidRDefault="009D0098" w:rsidP="008C0BE5">
      <w:pPr>
        <w:numPr>
          <w:ilvl w:val="1"/>
          <w:numId w:val="1"/>
        </w:numPr>
        <w:contextualSpacing/>
        <w:rPr>
          <w:rFonts w:ascii="Arial" w:hAnsi="Arial" w:cs="Arial"/>
          <w:color w:val="333333"/>
          <w:sz w:val="20"/>
          <w:szCs w:val="20"/>
        </w:rPr>
      </w:pPr>
      <w:r w:rsidRPr="008C0BE5">
        <w:rPr>
          <w:rFonts w:ascii="Arial" w:hAnsi="Arial" w:cs="Arial"/>
          <w:color w:val="333333"/>
          <w:sz w:val="20"/>
          <w:szCs w:val="20"/>
        </w:rPr>
        <w:t>The Committee believes that the APP focused more on input and outputs</w:t>
      </w:r>
      <w:r w:rsidR="00E70062" w:rsidRPr="008C0BE5">
        <w:rPr>
          <w:rFonts w:ascii="Arial" w:hAnsi="Arial" w:cs="Arial"/>
          <w:color w:val="333333"/>
          <w:sz w:val="20"/>
          <w:szCs w:val="20"/>
        </w:rPr>
        <w:t>, paying little attention to outcomes and impacts.</w:t>
      </w:r>
      <w:r w:rsidR="008551B3" w:rsidRPr="008C0BE5">
        <w:rPr>
          <w:rFonts w:ascii="Arial" w:hAnsi="Arial" w:cs="Arial"/>
          <w:color w:val="333333"/>
          <w:sz w:val="20"/>
          <w:szCs w:val="20"/>
        </w:rPr>
        <w:t xml:space="preserve"> The Committee however acknowledges that </w:t>
      </w:r>
      <w:r w:rsidR="00972924" w:rsidRPr="008C0BE5">
        <w:rPr>
          <w:rFonts w:ascii="Arial" w:hAnsi="Arial" w:cs="Arial"/>
          <w:color w:val="333333"/>
          <w:sz w:val="20"/>
          <w:szCs w:val="20"/>
        </w:rPr>
        <w:t>the strategic plans and the MTS</w:t>
      </w:r>
      <w:r w:rsidR="00877EFA" w:rsidRPr="008C0BE5">
        <w:rPr>
          <w:rFonts w:ascii="Arial" w:hAnsi="Arial" w:cs="Arial"/>
          <w:color w:val="333333"/>
          <w:sz w:val="20"/>
          <w:szCs w:val="20"/>
        </w:rPr>
        <w:t>F make up for th</w:t>
      </w:r>
      <w:r w:rsidR="006A48E2" w:rsidRPr="008C0BE5">
        <w:rPr>
          <w:rFonts w:ascii="Arial" w:hAnsi="Arial" w:cs="Arial"/>
          <w:color w:val="333333"/>
          <w:sz w:val="20"/>
          <w:szCs w:val="20"/>
        </w:rPr>
        <w:t>ose gaps</w:t>
      </w:r>
      <w:r w:rsidR="00877EFA" w:rsidRPr="008C0BE5">
        <w:rPr>
          <w:rFonts w:ascii="Arial" w:hAnsi="Arial" w:cs="Arial"/>
          <w:color w:val="333333"/>
          <w:sz w:val="20"/>
          <w:szCs w:val="20"/>
        </w:rPr>
        <w:t xml:space="preserve"> as they are </w:t>
      </w:r>
      <w:r w:rsidR="006A48E2" w:rsidRPr="008C0BE5">
        <w:rPr>
          <w:rFonts w:ascii="Arial" w:hAnsi="Arial" w:cs="Arial"/>
          <w:color w:val="333333"/>
          <w:sz w:val="20"/>
          <w:szCs w:val="20"/>
        </w:rPr>
        <w:t>outcomes oriented</w:t>
      </w:r>
      <w:r w:rsidR="00877EFA" w:rsidRPr="008C0BE5">
        <w:rPr>
          <w:rFonts w:ascii="Arial" w:hAnsi="Arial" w:cs="Arial"/>
          <w:color w:val="333333"/>
          <w:sz w:val="20"/>
          <w:szCs w:val="20"/>
        </w:rPr>
        <w:t xml:space="preserve">. </w:t>
      </w:r>
      <w:r w:rsidR="00E70062" w:rsidRPr="008C0BE5">
        <w:rPr>
          <w:rFonts w:ascii="Arial" w:hAnsi="Arial" w:cs="Arial"/>
          <w:color w:val="333333"/>
          <w:sz w:val="20"/>
          <w:szCs w:val="20"/>
        </w:rPr>
        <w:t xml:space="preserve"> </w:t>
      </w:r>
    </w:p>
    <w:p w:rsidR="00C92EB6" w:rsidRPr="008C0BE5" w:rsidRDefault="00C05DCD" w:rsidP="008C0BE5">
      <w:pPr>
        <w:numPr>
          <w:ilvl w:val="1"/>
          <w:numId w:val="1"/>
        </w:numPr>
        <w:contextualSpacing/>
        <w:rPr>
          <w:rFonts w:ascii="Arial" w:hAnsi="Arial" w:cs="Arial"/>
          <w:color w:val="333333"/>
          <w:sz w:val="20"/>
          <w:szCs w:val="20"/>
        </w:rPr>
      </w:pPr>
      <w:r w:rsidRPr="008C0BE5">
        <w:rPr>
          <w:rFonts w:ascii="Arial" w:hAnsi="Arial" w:cs="Arial"/>
          <w:color w:val="000000" w:themeColor="text1"/>
          <w:sz w:val="20"/>
          <w:szCs w:val="20"/>
        </w:rPr>
        <w:t xml:space="preserve">The Committee notes that the 2023/24 APP </w:t>
      </w:r>
      <w:r w:rsidR="00A7135B" w:rsidRPr="008C0BE5">
        <w:rPr>
          <w:rFonts w:ascii="Arial" w:hAnsi="Arial" w:cs="Arial"/>
          <w:color w:val="000000" w:themeColor="text1"/>
          <w:sz w:val="20"/>
          <w:szCs w:val="20"/>
        </w:rPr>
        <w:t xml:space="preserve">has </w:t>
      </w:r>
      <w:r w:rsidR="00DC4DBA" w:rsidRPr="008C0BE5">
        <w:rPr>
          <w:rFonts w:ascii="Arial" w:hAnsi="Arial" w:cs="Arial"/>
          <w:color w:val="000000" w:themeColor="text1"/>
          <w:sz w:val="20"/>
          <w:szCs w:val="20"/>
        </w:rPr>
        <w:t>several</w:t>
      </w:r>
      <w:r w:rsidR="00A7135B" w:rsidRPr="008C0BE5">
        <w:rPr>
          <w:rFonts w:ascii="Arial" w:hAnsi="Arial" w:cs="Arial"/>
          <w:color w:val="000000" w:themeColor="text1"/>
          <w:sz w:val="20"/>
          <w:szCs w:val="20"/>
        </w:rPr>
        <w:t xml:space="preserve"> Bills </w:t>
      </w:r>
      <w:r w:rsidR="0023399C" w:rsidRPr="008C0BE5">
        <w:rPr>
          <w:rFonts w:ascii="Arial" w:hAnsi="Arial" w:cs="Arial"/>
          <w:color w:val="000000" w:themeColor="text1"/>
          <w:sz w:val="20"/>
          <w:szCs w:val="20"/>
        </w:rPr>
        <w:t xml:space="preserve">that </w:t>
      </w:r>
      <w:r w:rsidR="000C288A" w:rsidRPr="008C0BE5">
        <w:rPr>
          <w:rFonts w:ascii="Arial" w:hAnsi="Arial" w:cs="Arial"/>
          <w:color w:val="000000" w:themeColor="text1"/>
          <w:sz w:val="20"/>
          <w:szCs w:val="20"/>
        </w:rPr>
        <w:t xml:space="preserve">NT has or intends to </w:t>
      </w:r>
      <w:r w:rsidR="008341F8" w:rsidRPr="008C0BE5">
        <w:rPr>
          <w:rFonts w:ascii="Arial" w:hAnsi="Arial" w:cs="Arial"/>
          <w:color w:val="000000" w:themeColor="text1"/>
          <w:sz w:val="20"/>
          <w:szCs w:val="20"/>
        </w:rPr>
        <w:t>table</w:t>
      </w:r>
      <w:r w:rsidR="00863FDE" w:rsidRPr="008C0BE5">
        <w:rPr>
          <w:rFonts w:ascii="Arial" w:hAnsi="Arial" w:cs="Arial"/>
          <w:color w:val="000000" w:themeColor="text1"/>
          <w:sz w:val="20"/>
          <w:szCs w:val="20"/>
        </w:rPr>
        <w:t>. B</w:t>
      </w:r>
      <w:r w:rsidR="000C288A" w:rsidRPr="008C0BE5">
        <w:rPr>
          <w:rFonts w:ascii="Arial" w:hAnsi="Arial" w:cs="Arial"/>
          <w:color w:val="000000" w:themeColor="text1"/>
          <w:sz w:val="20"/>
          <w:szCs w:val="20"/>
        </w:rPr>
        <w:t xml:space="preserve">esides the </w:t>
      </w:r>
      <w:r w:rsidR="00F6641F" w:rsidRPr="008C0BE5">
        <w:rPr>
          <w:rFonts w:ascii="Arial" w:hAnsi="Arial" w:cs="Arial"/>
          <w:color w:val="000000" w:themeColor="text1"/>
          <w:sz w:val="20"/>
          <w:szCs w:val="20"/>
        </w:rPr>
        <w:t xml:space="preserve">fiscal framework </w:t>
      </w:r>
      <w:r w:rsidR="00043656" w:rsidRPr="008C0BE5">
        <w:rPr>
          <w:rFonts w:ascii="Arial" w:hAnsi="Arial" w:cs="Arial"/>
          <w:color w:val="000000" w:themeColor="text1"/>
          <w:sz w:val="20"/>
          <w:szCs w:val="20"/>
        </w:rPr>
        <w:t xml:space="preserve">(annual tax and revenue) </w:t>
      </w:r>
      <w:r w:rsidR="00F6641F" w:rsidRPr="008C0BE5">
        <w:rPr>
          <w:rFonts w:ascii="Arial" w:hAnsi="Arial" w:cs="Arial"/>
          <w:color w:val="000000" w:themeColor="text1"/>
          <w:sz w:val="20"/>
          <w:szCs w:val="20"/>
        </w:rPr>
        <w:t>related Bills</w:t>
      </w:r>
      <w:r w:rsidR="00863FDE" w:rsidRPr="008C0BE5">
        <w:rPr>
          <w:rFonts w:ascii="Arial" w:hAnsi="Arial" w:cs="Arial"/>
          <w:color w:val="000000" w:themeColor="text1"/>
          <w:sz w:val="20"/>
          <w:szCs w:val="20"/>
        </w:rPr>
        <w:t>,</w:t>
      </w:r>
      <w:r w:rsidR="00F6641F" w:rsidRPr="008C0BE5">
        <w:rPr>
          <w:rFonts w:ascii="Arial" w:hAnsi="Arial" w:cs="Arial"/>
          <w:color w:val="000000" w:themeColor="text1"/>
          <w:sz w:val="20"/>
          <w:szCs w:val="20"/>
        </w:rPr>
        <w:t xml:space="preserve"> </w:t>
      </w:r>
      <w:r w:rsidR="00863FDE" w:rsidRPr="008C0BE5">
        <w:rPr>
          <w:rFonts w:ascii="Arial" w:hAnsi="Arial" w:cs="Arial"/>
          <w:color w:val="000000" w:themeColor="text1"/>
          <w:sz w:val="20"/>
          <w:szCs w:val="20"/>
        </w:rPr>
        <w:t>t</w:t>
      </w:r>
      <w:r w:rsidR="00F6641F" w:rsidRPr="008C0BE5">
        <w:rPr>
          <w:rFonts w:ascii="Arial" w:hAnsi="Arial" w:cs="Arial"/>
          <w:color w:val="000000" w:themeColor="text1"/>
          <w:sz w:val="20"/>
          <w:szCs w:val="20"/>
        </w:rPr>
        <w:t xml:space="preserve">hese include </w:t>
      </w:r>
      <w:r w:rsidR="003F709F" w:rsidRPr="008C0BE5">
        <w:rPr>
          <w:rFonts w:ascii="Arial" w:hAnsi="Arial" w:cs="Arial"/>
          <w:color w:val="000000" w:themeColor="text1"/>
          <w:sz w:val="20"/>
          <w:szCs w:val="20"/>
        </w:rPr>
        <w:t xml:space="preserve">the Financial Matters Amendment Bill, </w:t>
      </w:r>
      <w:r w:rsidR="00B60D36" w:rsidRPr="008C0BE5">
        <w:rPr>
          <w:rFonts w:ascii="Arial" w:hAnsi="Arial" w:cs="Arial"/>
          <w:color w:val="333333"/>
          <w:sz w:val="20"/>
          <w:szCs w:val="20"/>
        </w:rPr>
        <w:t>Municipal Fiscal Powers and Functions Amendment Bill</w:t>
      </w:r>
      <w:r w:rsidR="00356FF5" w:rsidRPr="008C0BE5">
        <w:rPr>
          <w:rFonts w:ascii="Arial" w:hAnsi="Arial" w:cs="Arial"/>
          <w:color w:val="333333"/>
          <w:sz w:val="20"/>
          <w:szCs w:val="20"/>
        </w:rPr>
        <w:t xml:space="preserve">, </w:t>
      </w:r>
      <w:r w:rsidR="00B60D36" w:rsidRPr="008C0BE5">
        <w:rPr>
          <w:rFonts w:ascii="Arial" w:hAnsi="Arial" w:cs="Arial"/>
          <w:color w:val="333333"/>
          <w:sz w:val="20"/>
          <w:szCs w:val="20"/>
        </w:rPr>
        <w:t>Public Procurement Bill</w:t>
      </w:r>
      <w:r w:rsidR="00356FF5" w:rsidRPr="008C0BE5">
        <w:rPr>
          <w:rFonts w:ascii="Arial" w:hAnsi="Arial" w:cs="Arial"/>
          <w:color w:val="333333"/>
          <w:sz w:val="20"/>
          <w:szCs w:val="20"/>
        </w:rPr>
        <w:t xml:space="preserve">, </w:t>
      </w:r>
      <w:r w:rsidR="00B60D36" w:rsidRPr="008C0BE5">
        <w:rPr>
          <w:rFonts w:ascii="Arial" w:hAnsi="Arial" w:cs="Arial"/>
          <w:color w:val="333333"/>
          <w:sz w:val="20"/>
          <w:szCs w:val="20"/>
        </w:rPr>
        <w:t>Conduct of Financial Institutions Bill</w:t>
      </w:r>
      <w:r w:rsidR="00356FF5" w:rsidRPr="008C0BE5">
        <w:rPr>
          <w:rFonts w:ascii="Arial" w:hAnsi="Arial" w:cs="Arial"/>
          <w:color w:val="333333"/>
          <w:sz w:val="20"/>
          <w:szCs w:val="20"/>
        </w:rPr>
        <w:t xml:space="preserve">, </w:t>
      </w:r>
      <w:r w:rsidR="00B60D36" w:rsidRPr="008C0BE5">
        <w:rPr>
          <w:rFonts w:ascii="Arial" w:hAnsi="Arial" w:cs="Arial"/>
          <w:color w:val="333333"/>
          <w:sz w:val="20"/>
          <w:szCs w:val="20"/>
        </w:rPr>
        <w:t>Municipal Finance Management Amendment Bill</w:t>
      </w:r>
      <w:r w:rsidR="00356FF5" w:rsidRPr="008C0BE5">
        <w:rPr>
          <w:rFonts w:ascii="Arial" w:hAnsi="Arial" w:cs="Arial"/>
          <w:color w:val="333333"/>
          <w:sz w:val="20"/>
          <w:szCs w:val="20"/>
        </w:rPr>
        <w:t xml:space="preserve">, </w:t>
      </w:r>
      <w:r w:rsidR="00B60D36" w:rsidRPr="008C0BE5">
        <w:rPr>
          <w:rFonts w:ascii="Arial" w:hAnsi="Arial" w:cs="Arial"/>
          <w:color w:val="333333"/>
          <w:sz w:val="20"/>
          <w:szCs w:val="20"/>
        </w:rPr>
        <w:t>General Financial Laws Amendment Bill</w:t>
      </w:r>
      <w:r w:rsidR="001E412B" w:rsidRPr="008C0BE5">
        <w:rPr>
          <w:rFonts w:ascii="Arial" w:hAnsi="Arial" w:cs="Arial"/>
          <w:color w:val="333333"/>
          <w:sz w:val="20"/>
          <w:szCs w:val="20"/>
        </w:rPr>
        <w:t xml:space="preserve">. The Committee </w:t>
      </w:r>
      <w:r w:rsidR="00955F86" w:rsidRPr="008C0BE5">
        <w:rPr>
          <w:rFonts w:ascii="Arial" w:hAnsi="Arial" w:cs="Arial"/>
          <w:color w:val="333333"/>
          <w:sz w:val="20"/>
          <w:szCs w:val="20"/>
        </w:rPr>
        <w:t xml:space="preserve">urges for </w:t>
      </w:r>
      <w:r w:rsidR="00E270A6" w:rsidRPr="008C0BE5">
        <w:rPr>
          <w:rFonts w:ascii="Arial" w:hAnsi="Arial" w:cs="Arial"/>
          <w:color w:val="333333"/>
          <w:sz w:val="20"/>
          <w:szCs w:val="20"/>
        </w:rPr>
        <w:t xml:space="preserve">clear prioritization </w:t>
      </w:r>
      <w:r w:rsidR="00A00E1D" w:rsidRPr="008C0BE5">
        <w:rPr>
          <w:rFonts w:ascii="Arial" w:hAnsi="Arial" w:cs="Arial"/>
          <w:color w:val="333333"/>
          <w:sz w:val="20"/>
          <w:szCs w:val="20"/>
        </w:rPr>
        <w:t xml:space="preserve">of these Bills </w:t>
      </w:r>
      <w:r w:rsidR="00E270A6" w:rsidRPr="008C0BE5">
        <w:rPr>
          <w:rFonts w:ascii="Arial" w:hAnsi="Arial" w:cs="Arial"/>
          <w:color w:val="333333"/>
          <w:sz w:val="20"/>
          <w:szCs w:val="20"/>
        </w:rPr>
        <w:t xml:space="preserve">given the limited time that Parliament </w:t>
      </w:r>
      <w:r w:rsidR="00A00E1D" w:rsidRPr="008C0BE5">
        <w:rPr>
          <w:rFonts w:ascii="Arial" w:hAnsi="Arial" w:cs="Arial"/>
          <w:color w:val="333333"/>
          <w:sz w:val="20"/>
          <w:szCs w:val="20"/>
        </w:rPr>
        <w:t>must</w:t>
      </w:r>
      <w:r w:rsidR="00E270A6" w:rsidRPr="008C0BE5">
        <w:rPr>
          <w:rFonts w:ascii="Arial" w:hAnsi="Arial" w:cs="Arial"/>
          <w:color w:val="333333"/>
          <w:sz w:val="20"/>
          <w:szCs w:val="20"/>
        </w:rPr>
        <w:t xml:space="preserve"> process them before the sixth Parliament </w:t>
      </w:r>
      <w:r w:rsidR="00646183" w:rsidRPr="008C0BE5">
        <w:rPr>
          <w:rFonts w:ascii="Arial" w:hAnsi="Arial" w:cs="Arial"/>
          <w:color w:val="333333"/>
          <w:sz w:val="20"/>
          <w:szCs w:val="20"/>
        </w:rPr>
        <w:t>term ends.</w:t>
      </w:r>
    </w:p>
    <w:p w:rsidR="00B60D36" w:rsidRPr="008C0BE5" w:rsidRDefault="00E270A6" w:rsidP="008C0BE5">
      <w:pPr>
        <w:numPr>
          <w:ilvl w:val="1"/>
          <w:numId w:val="1"/>
        </w:numPr>
        <w:contextualSpacing/>
        <w:rPr>
          <w:rFonts w:ascii="Arial" w:hAnsi="Arial" w:cs="Arial"/>
          <w:color w:val="333333"/>
          <w:sz w:val="20"/>
          <w:szCs w:val="20"/>
        </w:rPr>
      </w:pPr>
      <w:r w:rsidRPr="008C0BE5">
        <w:rPr>
          <w:rFonts w:ascii="Arial" w:hAnsi="Arial" w:cs="Arial"/>
          <w:color w:val="333333"/>
          <w:sz w:val="20"/>
          <w:szCs w:val="20"/>
        </w:rPr>
        <w:t xml:space="preserve"> </w:t>
      </w:r>
      <w:r w:rsidR="00B15860" w:rsidRPr="008C0BE5">
        <w:rPr>
          <w:rFonts w:ascii="Arial" w:hAnsi="Arial" w:cs="Arial"/>
          <w:color w:val="333333"/>
          <w:sz w:val="20"/>
          <w:szCs w:val="20"/>
        </w:rPr>
        <w:t xml:space="preserve">The Committee is concerned that the Public </w:t>
      </w:r>
      <w:r w:rsidR="00C73BCF" w:rsidRPr="008C0BE5">
        <w:rPr>
          <w:rFonts w:ascii="Arial" w:hAnsi="Arial" w:cs="Arial"/>
          <w:color w:val="333333"/>
          <w:sz w:val="20"/>
          <w:szCs w:val="20"/>
        </w:rPr>
        <w:t>Procurement Bill has been pro</w:t>
      </w:r>
      <w:r w:rsidR="008B541F" w:rsidRPr="008C0BE5">
        <w:rPr>
          <w:rFonts w:ascii="Arial" w:hAnsi="Arial" w:cs="Arial"/>
          <w:color w:val="333333"/>
          <w:sz w:val="20"/>
          <w:szCs w:val="20"/>
        </w:rPr>
        <w:t xml:space="preserve">mised for the past </w:t>
      </w:r>
      <w:r w:rsidR="007306C1" w:rsidRPr="008C0BE5">
        <w:rPr>
          <w:rFonts w:ascii="Arial" w:hAnsi="Arial" w:cs="Arial"/>
          <w:color w:val="333333"/>
          <w:sz w:val="20"/>
          <w:szCs w:val="20"/>
        </w:rPr>
        <w:t>nine years but has not yet been tabled</w:t>
      </w:r>
      <w:r w:rsidR="004B72F0" w:rsidRPr="008C0BE5">
        <w:rPr>
          <w:rFonts w:ascii="Arial" w:hAnsi="Arial" w:cs="Arial"/>
          <w:color w:val="333333"/>
          <w:sz w:val="20"/>
          <w:szCs w:val="20"/>
        </w:rPr>
        <w:t>.</w:t>
      </w:r>
      <w:r w:rsidR="007306C1" w:rsidRPr="008C0BE5">
        <w:rPr>
          <w:rFonts w:ascii="Arial" w:hAnsi="Arial" w:cs="Arial"/>
          <w:color w:val="333333"/>
          <w:sz w:val="20"/>
          <w:szCs w:val="20"/>
        </w:rPr>
        <w:t xml:space="preserve"> </w:t>
      </w:r>
      <w:r w:rsidR="004B72F0" w:rsidRPr="008C0BE5">
        <w:rPr>
          <w:rFonts w:ascii="Arial" w:hAnsi="Arial" w:cs="Arial"/>
          <w:color w:val="333333"/>
          <w:sz w:val="20"/>
          <w:szCs w:val="20"/>
        </w:rPr>
        <w:t>Throughout</w:t>
      </w:r>
      <w:r w:rsidR="007306C1" w:rsidRPr="008C0BE5">
        <w:rPr>
          <w:rFonts w:ascii="Arial" w:hAnsi="Arial" w:cs="Arial"/>
          <w:color w:val="333333"/>
          <w:sz w:val="20"/>
          <w:szCs w:val="20"/>
        </w:rPr>
        <w:t xml:space="preserve"> this Committee’s tenure</w:t>
      </w:r>
      <w:r w:rsidR="00BB0F42" w:rsidRPr="008C0BE5">
        <w:rPr>
          <w:rFonts w:ascii="Arial" w:hAnsi="Arial" w:cs="Arial"/>
          <w:color w:val="333333"/>
          <w:sz w:val="20"/>
          <w:szCs w:val="20"/>
        </w:rPr>
        <w:t xml:space="preserve">, we have been </w:t>
      </w:r>
      <w:r w:rsidR="00846AFD" w:rsidRPr="008C0BE5">
        <w:rPr>
          <w:rFonts w:ascii="Arial" w:hAnsi="Arial" w:cs="Arial"/>
          <w:color w:val="333333"/>
          <w:sz w:val="20"/>
          <w:szCs w:val="20"/>
        </w:rPr>
        <w:t>in our engagements and tabled reports</w:t>
      </w:r>
      <w:r w:rsidR="004B72F0" w:rsidRPr="008C0BE5">
        <w:rPr>
          <w:rFonts w:ascii="Arial" w:hAnsi="Arial" w:cs="Arial"/>
          <w:color w:val="333333"/>
          <w:sz w:val="20"/>
          <w:szCs w:val="20"/>
        </w:rPr>
        <w:t xml:space="preserve">, </w:t>
      </w:r>
      <w:r w:rsidR="00BB0F42" w:rsidRPr="008C0BE5">
        <w:rPr>
          <w:rFonts w:ascii="Arial" w:hAnsi="Arial" w:cs="Arial"/>
          <w:color w:val="333333"/>
          <w:sz w:val="20"/>
          <w:szCs w:val="20"/>
        </w:rPr>
        <w:t>urging the Minister and the Department</w:t>
      </w:r>
      <w:r w:rsidR="00CF5C02" w:rsidRPr="008C0BE5">
        <w:rPr>
          <w:rFonts w:ascii="Arial" w:hAnsi="Arial" w:cs="Arial"/>
          <w:color w:val="333333"/>
          <w:sz w:val="20"/>
          <w:szCs w:val="20"/>
        </w:rPr>
        <w:t xml:space="preserve"> to expedite the tabling of this Bill</w:t>
      </w:r>
      <w:r w:rsidR="005700C3" w:rsidRPr="008C0BE5">
        <w:rPr>
          <w:rFonts w:ascii="Arial" w:hAnsi="Arial" w:cs="Arial"/>
          <w:color w:val="333333"/>
          <w:sz w:val="20"/>
          <w:szCs w:val="20"/>
        </w:rPr>
        <w:t xml:space="preserve"> for processing by Parliament</w:t>
      </w:r>
      <w:r w:rsidR="00CF5C02" w:rsidRPr="008C0BE5">
        <w:rPr>
          <w:rFonts w:ascii="Arial" w:hAnsi="Arial" w:cs="Arial"/>
          <w:color w:val="333333"/>
          <w:sz w:val="20"/>
          <w:szCs w:val="20"/>
        </w:rPr>
        <w:t xml:space="preserve">. </w:t>
      </w:r>
      <w:r w:rsidR="004422F3" w:rsidRPr="008C0BE5">
        <w:rPr>
          <w:rFonts w:ascii="Arial" w:hAnsi="Arial" w:cs="Arial"/>
          <w:color w:val="333333"/>
          <w:sz w:val="20"/>
          <w:szCs w:val="20"/>
        </w:rPr>
        <w:t>When presenting the National Budget in February this</w:t>
      </w:r>
      <w:r w:rsidR="00C5197E" w:rsidRPr="008C0BE5">
        <w:rPr>
          <w:rFonts w:ascii="Arial" w:hAnsi="Arial" w:cs="Arial"/>
          <w:color w:val="333333"/>
          <w:sz w:val="20"/>
          <w:szCs w:val="20"/>
        </w:rPr>
        <w:t xml:space="preserve"> year</w:t>
      </w:r>
      <w:r w:rsidR="007A7921" w:rsidRPr="008C0BE5">
        <w:rPr>
          <w:rFonts w:ascii="Arial" w:hAnsi="Arial" w:cs="Arial"/>
          <w:color w:val="333333"/>
          <w:sz w:val="20"/>
          <w:szCs w:val="20"/>
        </w:rPr>
        <w:t xml:space="preserve">, the Minister of Finance promised that the Public Procurement Bill will be tabled in Parliament in March 2023. The Committee requires </w:t>
      </w:r>
      <w:r w:rsidR="0088120A" w:rsidRPr="008C0BE5">
        <w:rPr>
          <w:rFonts w:ascii="Arial" w:hAnsi="Arial" w:cs="Arial"/>
          <w:color w:val="333333"/>
          <w:sz w:val="20"/>
          <w:szCs w:val="20"/>
        </w:rPr>
        <w:t>a</w:t>
      </w:r>
      <w:r w:rsidR="005D5FCB" w:rsidRPr="008C0BE5">
        <w:rPr>
          <w:rFonts w:ascii="Arial" w:hAnsi="Arial" w:cs="Arial"/>
          <w:color w:val="333333"/>
          <w:sz w:val="20"/>
          <w:szCs w:val="20"/>
        </w:rPr>
        <w:t xml:space="preserve">n </w:t>
      </w:r>
      <w:r w:rsidR="0088120A" w:rsidRPr="008C0BE5">
        <w:rPr>
          <w:rFonts w:ascii="Arial" w:hAnsi="Arial" w:cs="Arial"/>
          <w:color w:val="333333"/>
          <w:sz w:val="20"/>
          <w:szCs w:val="20"/>
        </w:rPr>
        <w:t xml:space="preserve">explanation </w:t>
      </w:r>
      <w:r w:rsidR="00D47693" w:rsidRPr="008C0BE5">
        <w:rPr>
          <w:rFonts w:ascii="Arial" w:hAnsi="Arial" w:cs="Arial"/>
          <w:color w:val="333333"/>
          <w:sz w:val="20"/>
          <w:szCs w:val="20"/>
        </w:rPr>
        <w:t>of</w:t>
      </w:r>
      <w:r w:rsidR="0088120A" w:rsidRPr="008C0BE5">
        <w:rPr>
          <w:rFonts w:ascii="Arial" w:hAnsi="Arial" w:cs="Arial"/>
          <w:color w:val="333333"/>
          <w:sz w:val="20"/>
          <w:szCs w:val="20"/>
        </w:rPr>
        <w:t xml:space="preserve"> why this Bill has not been tabled</w:t>
      </w:r>
      <w:r w:rsidR="005D5FCB" w:rsidRPr="008C0BE5">
        <w:rPr>
          <w:rFonts w:ascii="Arial" w:hAnsi="Arial" w:cs="Arial"/>
          <w:color w:val="333333"/>
          <w:sz w:val="20"/>
          <w:szCs w:val="20"/>
        </w:rPr>
        <w:t xml:space="preserve"> </w:t>
      </w:r>
      <w:r w:rsidR="00A0593B" w:rsidRPr="008C0BE5">
        <w:rPr>
          <w:rFonts w:ascii="Arial" w:hAnsi="Arial" w:cs="Arial"/>
          <w:color w:val="333333"/>
          <w:sz w:val="20"/>
          <w:szCs w:val="20"/>
        </w:rPr>
        <w:t xml:space="preserve">yet </w:t>
      </w:r>
      <w:r w:rsidR="005D5FCB" w:rsidRPr="008C0BE5">
        <w:rPr>
          <w:rFonts w:ascii="Arial" w:hAnsi="Arial" w:cs="Arial"/>
          <w:color w:val="333333"/>
          <w:sz w:val="20"/>
          <w:szCs w:val="20"/>
        </w:rPr>
        <w:t xml:space="preserve">and </w:t>
      </w:r>
      <w:r w:rsidR="009D5901" w:rsidRPr="008C0BE5">
        <w:rPr>
          <w:rFonts w:ascii="Arial" w:hAnsi="Arial" w:cs="Arial"/>
          <w:color w:val="333333"/>
          <w:sz w:val="20"/>
          <w:szCs w:val="20"/>
        </w:rPr>
        <w:t xml:space="preserve">a deadline </w:t>
      </w:r>
      <w:r w:rsidR="00A0593B" w:rsidRPr="008C0BE5">
        <w:rPr>
          <w:rFonts w:ascii="Arial" w:hAnsi="Arial" w:cs="Arial"/>
          <w:color w:val="333333"/>
          <w:sz w:val="20"/>
          <w:szCs w:val="20"/>
        </w:rPr>
        <w:t xml:space="preserve">for its </w:t>
      </w:r>
      <w:r w:rsidR="009D5901" w:rsidRPr="008C0BE5">
        <w:rPr>
          <w:rFonts w:ascii="Arial" w:hAnsi="Arial" w:cs="Arial"/>
          <w:color w:val="333333"/>
          <w:sz w:val="20"/>
          <w:szCs w:val="20"/>
        </w:rPr>
        <w:t>tabl</w:t>
      </w:r>
      <w:r w:rsidR="00A0593B" w:rsidRPr="008C0BE5">
        <w:rPr>
          <w:rFonts w:ascii="Arial" w:hAnsi="Arial" w:cs="Arial"/>
          <w:color w:val="333333"/>
          <w:sz w:val="20"/>
          <w:szCs w:val="20"/>
        </w:rPr>
        <w:t>ing</w:t>
      </w:r>
      <w:r w:rsidR="009D5901" w:rsidRPr="008C0BE5">
        <w:rPr>
          <w:rFonts w:ascii="Arial" w:hAnsi="Arial" w:cs="Arial"/>
          <w:color w:val="333333"/>
          <w:sz w:val="20"/>
          <w:szCs w:val="20"/>
        </w:rPr>
        <w:t xml:space="preserve">. </w:t>
      </w:r>
      <w:r w:rsidR="0088120A" w:rsidRPr="008C0BE5">
        <w:rPr>
          <w:rFonts w:ascii="Arial" w:hAnsi="Arial" w:cs="Arial"/>
          <w:color w:val="333333"/>
          <w:sz w:val="20"/>
          <w:szCs w:val="20"/>
        </w:rPr>
        <w:t xml:space="preserve"> </w:t>
      </w:r>
    </w:p>
    <w:p w:rsidR="0089340B" w:rsidRPr="008C0BE5" w:rsidRDefault="001E0DEB" w:rsidP="008C0BE5">
      <w:pPr>
        <w:numPr>
          <w:ilvl w:val="1"/>
          <w:numId w:val="1"/>
        </w:numPr>
        <w:contextualSpacing/>
        <w:rPr>
          <w:rFonts w:ascii="Arial" w:hAnsi="Arial" w:cs="Arial"/>
          <w:color w:val="333333"/>
          <w:sz w:val="20"/>
          <w:szCs w:val="20"/>
        </w:rPr>
      </w:pPr>
      <w:r w:rsidRPr="008C0BE5">
        <w:rPr>
          <w:rFonts w:ascii="Arial" w:hAnsi="Arial" w:cs="Arial"/>
          <w:color w:val="333333"/>
          <w:sz w:val="20"/>
          <w:szCs w:val="20"/>
        </w:rPr>
        <w:t>The Committee notes</w:t>
      </w:r>
      <w:r w:rsidR="008A12D6" w:rsidRPr="008C0BE5">
        <w:rPr>
          <w:rFonts w:ascii="Arial" w:hAnsi="Arial" w:cs="Arial"/>
          <w:color w:val="333333"/>
          <w:sz w:val="20"/>
          <w:szCs w:val="20"/>
        </w:rPr>
        <w:t xml:space="preserve"> that</w:t>
      </w:r>
      <w:r w:rsidR="00877B9F" w:rsidRPr="008C0BE5">
        <w:rPr>
          <w:rFonts w:ascii="Arial" w:hAnsi="Arial" w:cs="Arial"/>
          <w:color w:val="333333"/>
          <w:sz w:val="20"/>
          <w:szCs w:val="20"/>
        </w:rPr>
        <w:t xml:space="preserve"> although b</w:t>
      </w:r>
      <w:r w:rsidR="00600EA1" w:rsidRPr="008C0BE5">
        <w:rPr>
          <w:rFonts w:ascii="Arial" w:hAnsi="Arial" w:cs="Arial"/>
          <w:color w:val="333333"/>
          <w:sz w:val="20"/>
          <w:szCs w:val="20"/>
        </w:rPr>
        <w:t>e</w:t>
      </w:r>
      <w:r w:rsidR="00877B9F" w:rsidRPr="008C0BE5">
        <w:rPr>
          <w:rFonts w:ascii="Arial" w:hAnsi="Arial" w:cs="Arial"/>
          <w:color w:val="333333"/>
          <w:sz w:val="20"/>
          <w:szCs w:val="20"/>
        </w:rPr>
        <w:t xml:space="preserve">ing processed by the Appropriation Committees, </w:t>
      </w:r>
      <w:r w:rsidR="00A06919" w:rsidRPr="008C0BE5">
        <w:rPr>
          <w:rFonts w:ascii="Arial" w:hAnsi="Arial" w:cs="Arial"/>
          <w:color w:val="333333"/>
          <w:sz w:val="20"/>
          <w:szCs w:val="20"/>
        </w:rPr>
        <w:t xml:space="preserve">the Eskom Debt Relief </w:t>
      </w:r>
      <w:r w:rsidR="00AA3BF6" w:rsidRPr="008C0BE5">
        <w:rPr>
          <w:rFonts w:ascii="Arial" w:hAnsi="Arial" w:cs="Arial"/>
          <w:color w:val="333333"/>
          <w:sz w:val="20"/>
          <w:szCs w:val="20"/>
        </w:rPr>
        <w:t>Bill,</w:t>
      </w:r>
      <w:r w:rsidR="00A06919" w:rsidRPr="008C0BE5">
        <w:rPr>
          <w:rFonts w:ascii="Arial" w:hAnsi="Arial" w:cs="Arial"/>
          <w:color w:val="333333"/>
          <w:sz w:val="20"/>
          <w:szCs w:val="20"/>
        </w:rPr>
        <w:t xml:space="preserve"> and the conditions </w:t>
      </w:r>
      <w:r w:rsidR="00D95A80" w:rsidRPr="008C0BE5">
        <w:rPr>
          <w:rFonts w:ascii="Arial" w:hAnsi="Arial" w:cs="Arial"/>
          <w:color w:val="333333"/>
          <w:sz w:val="20"/>
          <w:szCs w:val="20"/>
        </w:rPr>
        <w:t xml:space="preserve">it </w:t>
      </w:r>
      <w:r w:rsidR="00140B5F" w:rsidRPr="008C0BE5">
        <w:rPr>
          <w:rFonts w:ascii="Arial" w:hAnsi="Arial" w:cs="Arial"/>
          <w:color w:val="333333"/>
          <w:sz w:val="20"/>
          <w:szCs w:val="20"/>
        </w:rPr>
        <w:t>impose</w:t>
      </w:r>
      <w:r w:rsidR="00D95A80" w:rsidRPr="008C0BE5">
        <w:rPr>
          <w:rFonts w:ascii="Arial" w:hAnsi="Arial" w:cs="Arial"/>
          <w:color w:val="333333"/>
          <w:sz w:val="20"/>
          <w:szCs w:val="20"/>
        </w:rPr>
        <w:t>s</w:t>
      </w:r>
      <w:r w:rsidR="00140B5F" w:rsidRPr="008C0BE5">
        <w:rPr>
          <w:rFonts w:ascii="Arial" w:hAnsi="Arial" w:cs="Arial"/>
          <w:color w:val="333333"/>
          <w:sz w:val="20"/>
          <w:szCs w:val="20"/>
        </w:rPr>
        <w:t xml:space="preserve"> on Eskom</w:t>
      </w:r>
      <w:r w:rsidR="00B2270F" w:rsidRPr="008C0BE5">
        <w:rPr>
          <w:rFonts w:ascii="Arial" w:hAnsi="Arial" w:cs="Arial"/>
          <w:color w:val="333333"/>
          <w:sz w:val="20"/>
          <w:szCs w:val="20"/>
        </w:rPr>
        <w:t xml:space="preserve"> </w:t>
      </w:r>
      <w:r w:rsidR="00F87BB5" w:rsidRPr="008C0BE5">
        <w:rPr>
          <w:rFonts w:ascii="Arial" w:hAnsi="Arial" w:cs="Arial"/>
          <w:color w:val="333333"/>
          <w:sz w:val="20"/>
          <w:szCs w:val="20"/>
        </w:rPr>
        <w:t>m</w:t>
      </w:r>
      <w:r w:rsidR="00BD1445" w:rsidRPr="008C0BE5">
        <w:rPr>
          <w:rFonts w:ascii="Arial" w:hAnsi="Arial" w:cs="Arial"/>
          <w:color w:val="333333"/>
          <w:sz w:val="20"/>
          <w:szCs w:val="20"/>
        </w:rPr>
        <w:t>ay</w:t>
      </w:r>
      <w:r w:rsidR="00B2270F" w:rsidRPr="008C0BE5">
        <w:rPr>
          <w:rFonts w:ascii="Arial" w:hAnsi="Arial" w:cs="Arial"/>
          <w:color w:val="333333"/>
          <w:sz w:val="20"/>
          <w:szCs w:val="20"/>
        </w:rPr>
        <w:t xml:space="preserve"> constrain </w:t>
      </w:r>
      <w:r w:rsidR="00AA3BF6" w:rsidRPr="008C0BE5">
        <w:rPr>
          <w:rFonts w:ascii="Arial" w:hAnsi="Arial" w:cs="Arial"/>
          <w:color w:val="333333"/>
          <w:sz w:val="20"/>
          <w:szCs w:val="20"/>
        </w:rPr>
        <w:t xml:space="preserve">Eskom </w:t>
      </w:r>
      <w:r w:rsidR="00B2270F" w:rsidRPr="008C0BE5">
        <w:rPr>
          <w:rFonts w:ascii="Arial" w:hAnsi="Arial" w:cs="Arial"/>
          <w:color w:val="333333"/>
          <w:sz w:val="20"/>
          <w:szCs w:val="20"/>
        </w:rPr>
        <w:t xml:space="preserve">from investing </w:t>
      </w:r>
      <w:r w:rsidR="00635C64" w:rsidRPr="008C0BE5">
        <w:rPr>
          <w:rFonts w:ascii="Arial" w:hAnsi="Arial" w:cs="Arial"/>
          <w:color w:val="333333"/>
          <w:sz w:val="20"/>
          <w:szCs w:val="20"/>
        </w:rPr>
        <w:t xml:space="preserve">and participating </w:t>
      </w:r>
      <w:r w:rsidR="009F2B98" w:rsidRPr="008C0BE5">
        <w:rPr>
          <w:rFonts w:ascii="Arial" w:hAnsi="Arial" w:cs="Arial"/>
          <w:color w:val="333333"/>
          <w:sz w:val="20"/>
          <w:szCs w:val="20"/>
        </w:rPr>
        <w:t>i</w:t>
      </w:r>
      <w:r w:rsidR="00BD1445" w:rsidRPr="008C0BE5">
        <w:rPr>
          <w:rFonts w:ascii="Arial" w:hAnsi="Arial" w:cs="Arial"/>
          <w:color w:val="333333"/>
          <w:sz w:val="20"/>
          <w:szCs w:val="20"/>
        </w:rPr>
        <w:t>n</w:t>
      </w:r>
      <w:r w:rsidR="00876469" w:rsidRPr="008C0BE5">
        <w:rPr>
          <w:rFonts w:ascii="Arial" w:hAnsi="Arial" w:cs="Arial"/>
          <w:color w:val="333333"/>
          <w:sz w:val="20"/>
          <w:szCs w:val="20"/>
        </w:rPr>
        <w:t xml:space="preserve"> </w:t>
      </w:r>
      <w:r w:rsidR="009F2B98" w:rsidRPr="008C0BE5">
        <w:rPr>
          <w:rFonts w:ascii="Arial" w:hAnsi="Arial" w:cs="Arial"/>
          <w:color w:val="333333"/>
          <w:sz w:val="20"/>
          <w:szCs w:val="20"/>
        </w:rPr>
        <w:t xml:space="preserve">new electricity </w:t>
      </w:r>
      <w:r w:rsidR="00876469" w:rsidRPr="008C0BE5">
        <w:rPr>
          <w:rFonts w:ascii="Arial" w:hAnsi="Arial" w:cs="Arial"/>
          <w:color w:val="333333"/>
          <w:sz w:val="20"/>
          <w:szCs w:val="20"/>
        </w:rPr>
        <w:t>generation</w:t>
      </w:r>
      <w:r w:rsidR="00B2270F" w:rsidRPr="008C0BE5">
        <w:rPr>
          <w:rFonts w:ascii="Arial" w:hAnsi="Arial" w:cs="Arial"/>
          <w:color w:val="333333"/>
          <w:sz w:val="20"/>
          <w:szCs w:val="20"/>
        </w:rPr>
        <w:t xml:space="preserve"> capacity</w:t>
      </w:r>
      <w:r w:rsidR="00635C64" w:rsidRPr="008C0BE5">
        <w:rPr>
          <w:rFonts w:ascii="Arial" w:hAnsi="Arial" w:cs="Arial"/>
          <w:color w:val="333333"/>
          <w:sz w:val="20"/>
          <w:szCs w:val="20"/>
        </w:rPr>
        <w:t xml:space="preserve">. </w:t>
      </w:r>
      <w:r w:rsidR="00F87BB5" w:rsidRPr="008C0BE5">
        <w:rPr>
          <w:rFonts w:ascii="Arial" w:hAnsi="Arial" w:cs="Arial"/>
          <w:color w:val="333333"/>
          <w:sz w:val="20"/>
          <w:szCs w:val="20"/>
        </w:rPr>
        <w:t>While Eskom should so</w:t>
      </w:r>
      <w:r w:rsidR="00876469" w:rsidRPr="008C0BE5">
        <w:rPr>
          <w:rFonts w:ascii="Arial" w:hAnsi="Arial" w:cs="Arial"/>
          <w:color w:val="333333"/>
          <w:sz w:val="20"/>
          <w:szCs w:val="20"/>
        </w:rPr>
        <w:t>r</w:t>
      </w:r>
      <w:r w:rsidR="00F87BB5" w:rsidRPr="008C0BE5">
        <w:rPr>
          <w:rFonts w:ascii="Arial" w:hAnsi="Arial" w:cs="Arial"/>
          <w:color w:val="333333"/>
          <w:sz w:val="20"/>
          <w:szCs w:val="20"/>
        </w:rPr>
        <w:t xml:space="preserve">t out its balance sheet and </w:t>
      </w:r>
      <w:r w:rsidR="008261E6" w:rsidRPr="008C0BE5">
        <w:rPr>
          <w:rFonts w:ascii="Arial" w:hAnsi="Arial" w:cs="Arial"/>
          <w:color w:val="333333"/>
          <w:sz w:val="20"/>
          <w:szCs w:val="20"/>
        </w:rPr>
        <w:t>become financially sustainable</w:t>
      </w:r>
      <w:r w:rsidR="009F2B98" w:rsidRPr="008C0BE5">
        <w:rPr>
          <w:rFonts w:ascii="Arial" w:hAnsi="Arial" w:cs="Arial"/>
          <w:color w:val="333333"/>
          <w:sz w:val="20"/>
          <w:szCs w:val="20"/>
        </w:rPr>
        <w:t xml:space="preserve"> again</w:t>
      </w:r>
      <w:r w:rsidR="008261E6" w:rsidRPr="008C0BE5">
        <w:rPr>
          <w:rFonts w:ascii="Arial" w:hAnsi="Arial" w:cs="Arial"/>
          <w:color w:val="333333"/>
          <w:sz w:val="20"/>
          <w:szCs w:val="20"/>
        </w:rPr>
        <w:t xml:space="preserve">, it must not lose its generation </w:t>
      </w:r>
      <w:r w:rsidR="005B6ACD" w:rsidRPr="008C0BE5">
        <w:rPr>
          <w:rFonts w:ascii="Arial" w:hAnsi="Arial" w:cs="Arial"/>
          <w:color w:val="333333"/>
          <w:sz w:val="20"/>
          <w:szCs w:val="20"/>
        </w:rPr>
        <w:t xml:space="preserve">capacity and </w:t>
      </w:r>
      <w:r w:rsidR="008261E6" w:rsidRPr="008C0BE5">
        <w:rPr>
          <w:rFonts w:ascii="Arial" w:hAnsi="Arial" w:cs="Arial"/>
          <w:color w:val="333333"/>
          <w:sz w:val="20"/>
          <w:szCs w:val="20"/>
        </w:rPr>
        <w:t>mandate.</w:t>
      </w:r>
      <w:r w:rsidR="00760E7E" w:rsidRPr="008C0BE5">
        <w:rPr>
          <w:rFonts w:ascii="Arial" w:hAnsi="Arial" w:cs="Arial"/>
          <w:color w:val="333333"/>
          <w:sz w:val="20"/>
          <w:szCs w:val="20"/>
        </w:rPr>
        <w:t xml:space="preserve"> It must compete with the new players by </w:t>
      </w:r>
      <w:r w:rsidR="00F81423" w:rsidRPr="008C0BE5">
        <w:rPr>
          <w:rFonts w:ascii="Arial" w:hAnsi="Arial" w:cs="Arial"/>
          <w:color w:val="333333"/>
          <w:sz w:val="20"/>
          <w:szCs w:val="20"/>
        </w:rPr>
        <w:t>establishing its own</w:t>
      </w:r>
      <w:r w:rsidR="00DB14DF" w:rsidRPr="008C0BE5">
        <w:rPr>
          <w:rFonts w:ascii="Arial" w:hAnsi="Arial" w:cs="Arial"/>
          <w:color w:val="333333"/>
          <w:sz w:val="20"/>
          <w:szCs w:val="20"/>
        </w:rPr>
        <w:t xml:space="preserve"> renewable energy projects. </w:t>
      </w:r>
      <w:r w:rsidR="008261E6" w:rsidRPr="008C0BE5">
        <w:rPr>
          <w:rFonts w:ascii="Arial" w:hAnsi="Arial" w:cs="Arial"/>
          <w:color w:val="333333"/>
          <w:sz w:val="20"/>
          <w:szCs w:val="20"/>
        </w:rPr>
        <w:t xml:space="preserve"> </w:t>
      </w:r>
    </w:p>
    <w:p w:rsidR="005A28D5" w:rsidRPr="008C0BE5" w:rsidRDefault="0089340B" w:rsidP="008C0BE5">
      <w:pPr>
        <w:numPr>
          <w:ilvl w:val="1"/>
          <w:numId w:val="1"/>
        </w:numPr>
        <w:contextualSpacing/>
        <w:rPr>
          <w:rFonts w:ascii="Arial" w:hAnsi="Arial" w:cs="Arial"/>
          <w:color w:val="333333"/>
          <w:sz w:val="20"/>
          <w:szCs w:val="20"/>
        </w:rPr>
      </w:pPr>
      <w:r w:rsidRPr="008C0BE5">
        <w:rPr>
          <w:rFonts w:ascii="Arial" w:hAnsi="Arial" w:cs="Arial"/>
          <w:color w:val="333333"/>
          <w:sz w:val="20"/>
          <w:szCs w:val="20"/>
        </w:rPr>
        <w:t xml:space="preserve">The Committee believes that </w:t>
      </w:r>
      <w:r w:rsidR="00B85F5C" w:rsidRPr="008C0BE5">
        <w:rPr>
          <w:rFonts w:ascii="Arial" w:hAnsi="Arial" w:cs="Arial"/>
          <w:color w:val="333333"/>
          <w:sz w:val="20"/>
          <w:szCs w:val="20"/>
        </w:rPr>
        <w:t xml:space="preserve">there should be clear </w:t>
      </w:r>
      <w:r w:rsidR="00AF51F1" w:rsidRPr="008C0BE5">
        <w:rPr>
          <w:rFonts w:ascii="Arial" w:hAnsi="Arial" w:cs="Arial"/>
          <w:color w:val="333333"/>
          <w:sz w:val="20"/>
          <w:szCs w:val="20"/>
        </w:rPr>
        <w:t>regulations regarding</w:t>
      </w:r>
      <w:r w:rsidR="00B85F5C" w:rsidRPr="008C0BE5">
        <w:rPr>
          <w:rFonts w:ascii="Arial" w:hAnsi="Arial" w:cs="Arial"/>
          <w:color w:val="333333"/>
          <w:sz w:val="20"/>
          <w:szCs w:val="20"/>
        </w:rPr>
        <w:t xml:space="preserve"> </w:t>
      </w:r>
      <w:r w:rsidR="00E30611" w:rsidRPr="008C0BE5">
        <w:rPr>
          <w:rFonts w:ascii="Arial" w:hAnsi="Arial" w:cs="Arial"/>
          <w:color w:val="333333"/>
          <w:sz w:val="20"/>
          <w:szCs w:val="20"/>
        </w:rPr>
        <w:t>municipalities’ sourcing of electricity</w:t>
      </w:r>
      <w:r w:rsidR="005A3E92" w:rsidRPr="008C0BE5">
        <w:rPr>
          <w:rFonts w:ascii="Arial" w:hAnsi="Arial" w:cs="Arial"/>
          <w:color w:val="333333"/>
          <w:sz w:val="20"/>
          <w:szCs w:val="20"/>
        </w:rPr>
        <w:t xml:space="preserve">, beyond the </w:t>
      </w:r>
      <w:r w:rsidR="00977F24" w:rsidRPr="008C0BE5">
        <w:rPr>
          <w:rFonts w:ascii="Arial" w:hAnsi="Arial" w:cs="Arial"/>
          <w:color w:val="333333"/>
          <w:sz w:val="20"/>
          <w:szCs w:val="20"/>
        </w:rPr>
        <w:t xml:space="preserve">current procurement </w:t>
      </w:r>
      <w:r w:rsidR="00FE5E64" w:rsidRPr="008C0BE5">
        <w:rPr>
          <w:rFonts w:ascii="Arial" w:hAnsi="Arial" w:cs="Arial"/>
          <w:color w:val="333333"/>
          <w:sz w:val="20"/>
          <w:szCs w:val="20"/>
        </w:rPr>
        <w:t>rules</w:t>
      </w:r>
      <w:r w:rsidR="00E30611" w:rsidRPr="008C0BE5">
        <w:rPr>
          <w:rFonts w:ascii="Arial" w:hAnsi="Arial" w:cs="Arial"/>
          <w:color w:val="333333"/>
          <w:sz w:val="20"/>
          <w:szCs w:val="20"/>
        </w:rPr>
        <w:t xml:space="preserve">. </w:t>
      </w:r>
      <w:r w:rsidR="0043467D" w:rsidRPr="008C0BE5">
        <w:rPr>
          <w:rFonts w:ascii="Arial" w:hAnsi="Arial" w:cs="Arial"/>
          <w:color w:val="333333"/>
          <w:sz w:val="20"/>
          <w:szCs w:val="20"/>
        </w:rPr>
        <w:t xml:space="preserve">These regulations would assist in </w:t>
      </w:r>
      <w:r w:rsidR="0043467D" w:rsidRPr="008C0BE5">
        <w:rPr>
          <w:rFonts w:ascii="Arial" w:hAnsi="Arial" w:cs="Arial"/>
          <w:color w:val="333333"/>
          <w:sz w:val="20"/>
          <w:szCs w:val="20"/>
        </w:rPr>
        <w:lastRenderedPageBreak/>
        <w:t xml:space="preserve">ensuring that there are uniform rules and tariffs in place which municipalities </w:t>
      </w:r>
      <w:r w:rsidR="00F513C4" w:rsidRPr="008C0BE5">
        <w:rPr>
          <w:rFonts w:ascii="Arial" w:hAnsi="Arial" w:cs="Arial"/>
          <w:color w:val="333333"/>
          <w:sz w:val="20"/>
          <w:szCs w:val="20"/>
        </w:rPr>
        <w:t xml:space="preserve">and other organs of state </w:t>
      </w:r>
      <w:r w:rsidR="0043467D" w:rsidRPr="008C0BE5">
        <w:rPr>
          <w:rFonts w:ascii="Arial" w:hAnsi="Arial" w:cs="Arial"/>
          <w:color w:val="333333"/>
          <w:sz w:val="20"/>
          <w:szCs w:val="20"/>
        </w:rPr>
        <w:t xml:space="preserve">will use as </w:t>
      </w:r>
      <w:r w:rsidR="00055678" w:rsidRPr="008C0BE5">
        <w:rPr>
          <w:rFonts w:ascii="Arial" w:hAnsi="Arial" w:cs="Arial"/>
          <w:color w:val="333333"/>
          <w:sz w:val="20"/>
          <w:szCs w:val="20"/>
        </w:rPr>
        <w:t xml:space="preserve">a </w:t>
      </w:r>
      <w:r w:rsidR="0043467D" w:rsidRPr="008C0BE5">
        <w:rPr>
          <w:rFonts w:ascii="Arial" w:hAnsi="Arial" w:cs="Arial"/>
          <w:color w:val="333333"/>
          <w:sz w:val="20"/>
          <w:szCs w:val="20"/>
        </w:rPr>
        <w:t xml:space="preserve">benchmark when </w:t>
      </w:r>
      <w:r w:rsidR="000A374A" w:rsidRPr="008C0BE5">
        <w:rPr>
          <w:rFonts w:ascii="Arial" w:hAnsi="Arial" w:cs="Arial"/>
          <w:color w:val="333333"/>
          <w:sz w:val="20"/>
          <w:szCs w:val="20"/>
        </w:rPr>
        <w:t xml:space="preserve">sourcing electricity from independent power producers. </w:t>
      </w:r>
      <w:r w:rsidR="005A28D5" w:rsidRPr="008C0BE5">
        <w:rPr>
          <w:rFonts w:ascii="Arial" w:hAnsi="Arial" w:cs="Arial"/>
          <w:color w:val="333333"/>
          <w:sz w:val="20"/>
          <w:szCs w:val="20"/>
        </w:rPr>
        <w:t xml:space="preserve">The Committee notes that NT </w:t>
      </w:r>
      <w:r w:rsidR="00CD40DE" w:rsidRPr="008C0BE5">
        <w:rPr>
          <w:rFonts w:ascii="Arial" w:hAnsi="Arial" w:cs="Arial"/>
          <w:color w:val="333333"/>
          <w:sz w:val="20"/>
          <w:szCs w:val="20"/>
        </w:rPr>
        <w:t xml:space="preserve">had released Circular 118 to guide municipalities on </w:t>
      </w:r>
      <w:r w:rsidR="00005F26" w:rsidRPr="008C0BE5">
        <w:rPr>
          <w:rFonts w:ascii="Arial" w:hAnsi="Arial" w:cs="Arial"/>
          <w:color w:val="333333"/>
          <w:sz w:val="20"/>
          <w:szCs w:val="20"/>
        </w:rPr>
        <w:t xml:space="preserve">the </w:t>
      </w:r>
      <w:r w:rsidR="00CD40DE" w:rsidRPr="008C0BE5">
        <w:rPr>
          <w:rFonts w:ascii="Arial" w:hAnsi="Arial" w:cs="Arial"/>
          <w:color w:val="333333"/>
          <w:sz w:val="20"/>
          <w:szCs w:val="20"/>
        </w:rPr>
        <w:t>procurement of electricity</w:t>
      </w:r>
      <w:r w:rsidR="00F17EE8" w:rsidRPr="008C0BE5">
        <w:rPr>
          <w:rFonts w:ascii="Arial" w:hAnsi="Arial" w:cs="Arial"/>
          <w:color w:val="333333"/>
          <w:sz w:val="20"/>
          <w:szCs w:val="20"/>
        </w:rPr>
        <w:t xml:space="preserve">. The Committee will request a briefing on this circular soon. </w:t>
      </w:r>
    </w:p>
    <w:p w:rsidR="00D47693" w:rsidRPr="008C0BE5" w:rsidRDefault="002A2BF5" w:rsidP="008C0BE5">
      <w:pPr>
        <w:numPr>
          <w:ilvl w:val="1"/>
          <w:numId w:val="1"/>
        </w:numPr>
        <w:contextualSpacing/>
        <w:rPr>
          <w:rFonts w:ascii="Arial" w:hAnsi="Arial" w:cs="Arial"/>
          <w:color w:val="333333"/>
          <w:sz w:val="20"/>
          <w:szCs w:val="20"/>
        </w:rPr>
      </w:pPr>
      <w:r w:rsidRPr="008C0BE5">
        <w:rPr>
          <w:rFonts w:ascii="Arial" w:hAnsi="Arial" w:cs="Arial"/>
          <w:color w:val="333333"/>
          <w:sz w:val="20"/>
          <w:szCs w:val="20"/>
        </w:rPr>
        <w:t xml:space="preserve">The Committee notes that </w:t>
      </w:r>
      <w:r w:rsidR="00FA2F6E" w:rsidRPr="008C0BE5">
        <w:rPr>
          <w:rFonts w:ascii="Arial" w:hAnsi="Arial" w:cs="Arial"/>
          <w:color w:val="333333"/>
          <w:sz w:val="20"/>
          <w:szCs w:val="20"/>
        </w:rPr>
        <w:t xml:space="preserve">the </w:t>
      </w:r>
      <w:r w:rsidR="00BE089B" w:rsidRPr="008C0BE5">
        <w:rPr>
          <w:rFonts w:ascii="Arial" w:hAnsi="Arial" w:cs="Arial"/>
          <w:color w:val="333333"/>
          <w:sz w:val="20"/>
          <w:szCs w:val="20"/>
        </w:rPr>
        <w:t xml:space="preserve">solar panel tax incentive </w:t>
      </w:r>
      <w:r w:rsidR="00FA2F6E" w:rsidRPr="008C0BE5">
        <w:rPr>
          <w:rFonts w:ascii="Arial" w:hAnsi="Arial" w:cs="Arial"/>
          <w:color w:val="333333"/>
          <w:sz w:val="20"/>
          <w:szCs w:val="20"/>
        </w:rPr>
        <w:t>announced</w:t>
      </w:r>
      <w:r w:rsidR="00BE089B" w:rsidRPr="008C0BE5">
        <w:rPr>
          <w:rFonts w:ascii="Arial" w:hAnsi="Arial" w:cs="Arial"/>
          <w:color w:val="333333"/>
          <w:sz w:val="20"/>
          <w:szCs w:val="20"/>
        </w:rPr>
        <w:t xml:space="preserve"> </w:t>
      </w:r>
      <w:r w:rsidR="00482006" w:rsidRPr="008C0BE5">
        <w:rPr>
          <w:rFonts w:ascii="Arial" w:hAnsi="Arial" w:cs="Arial"/>
          <w:color w:val="333333"/>
          <w:sz w:val="20"/>
          <w:szCs w:val="20"/>
        </w:rPr>
        <w:t xml:space="preserve">by the Minister of Finance in the 2023 Budget </w:t>
      </w:r>
      <w:r w:rsidR="00296860" w:rsidRPr="008C0BE5">
        <w:rPr>
          <w:rFonts w:ascii="Arial" w:hAnsi="Arial" w:cs="Arial"/>
          <w:color w:val="333333"/>
          <w:sz w:val="20"/>
          <w:szCs w:val="20"/>
        </w:rPr>
        <w:t xml:space="preserve">may exclude large sectors of society from benefiting from the scheme. </w:t>
      </w:r>
      <w:r w:rsidR="002160DA" w:rsidRPr="008C0BE5">
        <w:rPr>
          <w:rFonts w:ascii="Arial" w:hAnsi="Arial" w:cs="Arial"/>
          <w:color w:val="333333"/>
          <w:sz w:val="20"/>
          <w:szCs w:val="20"/>
        </w:rPr>
        <w:t>In the Committee meeting</w:t>
      </w:r>
      <w:r w:rsidR="000E648E" w:rsidRPr="008C0BE5">
        <w:rPr>
          <w:rFonts w:ascii="Arial" w:hAnsi="Arial" w:cs="Arial"/>
          <w:color w:val="333333"/>
          <w:sz w:val="20"/>
          <w:szCs w:val="20"/>
        </w:rPr>
        <w:t xml:space="preserve"> o</w:t>
      </w:r>
      <w:r w:rsidR="00AB743E" w:rsidRPr="008C0BE5">
        <w:rPr>
          <w:rFonts w:ascii="Arial" w:hAnsi="Arial" w:cs="Arial"/>
          <w:color w:val="333333"/>
          <w:sz w:val="20"/>
          <w:szCs w:val="20"/>
        </w:rPr>
        <w:t>f</w:t>
      </w:r>
      <w:r w:rsidR="000E648E" w:rsidRPr="008C0BE5">
        <w:rPr>
          <w:rFonts w:ascii="Arial" w:hAnsi="Arial" w:cs="Arial"/>
          <w:color w:val="333333"/>
          <w:sz w:val="20"/>
          <w:szCs w:val="20"/>
        </w:rPr>
        <w:t xml:space="preserve"> 18 April</w:t>
      </w:r>
      <w:r w:rsidR="002160DA" w:rsidRPr="008C0BE5">
        <w:rPr>
          <w:rFonts w:ascii="Arial" w:hAnsi="Arial" w:cs="Arial"/>
          <w:color w:val="333333"/>
          <w:sz w:val="20"/>
          <w:szCs w:val="20"/>
        </w:rPr>
        <w:t xml:space="preserve">, the Minister of Finance </w:t>
      </w:r>
      <w:r w:rsidR="009C6C5F" w:rsidRPr="008C0BE5">
        <w:rPr>
          <w:rFonts w:ascii="Arial" w:hAnsi="Arial" w:cs="Arial"/>
          <w:color w:val="333333"/>
          <w:sz w:val="20"/>
          <w:szCs w:val="20"/>
        </w:rPr>
        <w:t xml:space="preserve">conceded </w:t>
      </w:r>
      <w:r w:rsidR="00617E96" w:rsidRPr="008C0BE5">
        <w:rPr>
          <w:rFonts w:ascii="Arial" w:hAnsi="Arial" w:cs="Arial"/>
          <w:color w:val="333333"/>
          <w:sz w:val="20"/>
          <w:szCs w:val="20"/>
        </w:rPr>
        <w:t xml:space="preserve">to this </w:t>
      </w:r>
      <w:r w:rsidR="00AE532A" w:rsidRPr="008C0BE5">
        <w:rPr>
          <w:rFonts w:ascii="Arial" w:hAnsi="Arial" w:cs="Arial"/>
          <w:color w:val="333333"/>
          <w:sz w:val="20"/>
          <w:szCs w:val="20"/>
        </w:rPr>
        <w:t xml:space="preserve">as the </w:t>
      </w:r>
      <w:r w:rsidR="00ED6F32" w:rsidRPr="008C0BE5">
        <w:rPr>
          <w:rFonts w:ascii="Arial" w:hAnsi="Arial" w:cs="Arial"/>
          <w:color w:val="333333"/>
          <w:sz w:val="20"/>
          <w:szCs w:val="20"/>
        </w:rPr>
        <w:t xml:space="preserve">scheme may not cater for the missing </w:t>
      </w:r>
      <w:r w:rsidR="00FF7CC4" w:rsidRPr="008C0BE5">
        <w:rPr>
          <w:rFonts w:ascii="Arial" w:hAnsi="Arial" w:cs="Arial"/>
          <w:color w:val="333333"/>
          <w:sz w:val="20"/>
          <w:szCs w:val="20"/>
        </w:rPr>
        <w:t>middle (those who are too poor to access the tax incentive yet also not poor enough to benefit from the indigent policies</w:t>
      </w:r>
      <w:r w:rsidR="00D01225" w:rsidRPr="008C0BE5">
        <w:rPr>
          <w:rFonts w:ascii="Arial" w:hAnsi="Arial" w:cs="Arial"/>
          <w:color w:val="333333"/>
          <w:sz w:val="20"/>
          <w:szCs w:val="20"/>
        </w:rPr>
        <w:t xml:space="preserve"> of government</w:t>
      </w:r>
      <w:r w:rsidR="00FF7CC4" w:rsidRPr="008C0BE5">
        <w:rPr>
          <w:rFonts w:ascii="Arial" w:hAnsi="Arial" w:cs="Arial"/>
          <w:color w:val="333333"/>
          <w:sz w:val="20"/>
          <w:szCs w:val="20"/>
        </w:rPr>
        <w:t>).</w:t>
      </w:r>
      <w:r w:rsidR="00ED6F32" w:rsidRPr="008C0BE5">
        <w:rPr>
          <w:rFonts w:ascii="Arial" w:hAnsi="Arial" w:cs="Arial"/>
          <w:color w:val="333333"/>
          <w:sz w:val="20"/>
          <w:szCs w:val="20"/>
        </w:rPr>
        <w:t xml:space="preserve"> </w:t>
      </w:r>
      <w:r w:rsidR="0096253C" w:rsidRPr="008C0BE5">
        <w:rPr>
          <w:rFonts w:ascii="Arial" w:hAnsi="Arial" w:cs="Arial"/>
          <w:color w:val="333333"/>
          <w:sz w:val="20"/>
          <w:szCs w:val="20"/>
        </w:rPr>
        <w:t xml:space="preserve"> </w:t>
      </w:r>
      <w:r w:rsidR="00140B5F" w:rsidRPr="008C0BE5">
        <w:rPr>
          <w:rFonts w:ascii="Arial" w:hAnsi="Arial" w:cs="Arial"/>
          <w:color w:val="333333"/>
          <w:sz w:val="20"/>
          <w:szCs w:val="20"/>
        </w:rPr>
        <w:t xml:space="preserve"> </w:t>
      </w:r>
    </w:p>
    <w:p w:rsidR="009E5DDD" w:rsidRPr="008C0BE5" w:rsidRDefault="009E5DDD" w:rsidP="008C0BE5">
      <w:pPr>
        <w:contextualSpacing/>
        <w:rPr>
          <w:rFonts w:ascii="Arial" w:hAnsi="Arial" w:cs="Arial"/>
          <w:sz w:val="20"/>
          <w:szCs w:val="20"/>
        </w:rPr>
      </w:pPr>
      <w:r w:rsidRPr="008C0BE5">
        <w:rPr>
          <w:rFonts w:ascii="Arial" w:hAnsi="Arial" w:cs="Arial"/>
          <w:color w:val="000000" w:themeColor="text1"/>
          <w:sz w:val="20"/>
          <w:szCs w:val="20"/>
        </w:rPr>
        <w:t>FOLLOW-UP ISSUES FROM THE PREVIOUS YEAR</w:t>
      </w:r>
    </w:p>
    <w:p w:rsidR="000E17FD" w:rsidRPr="008C0BE5" w:rsidRDefault="00225098" w:rsidP="008C0BE5">
      <w:pPr>
        <w:numPr>
          <w:ilvl w:val="1"/>
          <w:numId w:val="1"/>
        </w:numPr>
        <w:contextualSpacing/>
        <w:rPr>
          <w:rFonts w:ascii="Arial" w:hAnsi="Arial" w:cs="Arial"/>
          <w:sz w:val="20"/>
          <w:szCs w:val="20"/>
        </w:rPr>
      </w:pPr>
      <w:r w:rsidRPr="008C0BE5">
        <w:rPr>
          <w:rFonts w:ascii="Arial" w:hAnsi="Arial" w:cs="Arial"/>
          <w:sz w:val="20"/>
          <w:szCs w:val="20"/>
        </w:rPr>
        <w:t>The</w:t>
      </w:r>
      <w:r w:rsidR="00296A45" w:rsidRPr="008C0BE5">
        <w:rPr>
          <w:rFonts w:ascii="Arial" w:hAnsi="Arial" w:cs="Arial"/>
          <w:sz w:val="20"/>
          <w:szCs w:val="20"/>
        </w:rPr>
        <w:t xml:space="preserve">re are </w:t>
      </w:r>
      <w:r w:rsidR="007D4C01" w:rsidRPr="008C0BE5">
        <w:rPr>
          <w:rFonts w:ascii="Arial" w:hAnsi="Arial" w:cs="Arial"/>
          <w:sz w:val="20"/>
          <w:szCs w:val="20"/>
        </w:rPr>
        <w:t>several</w:t>
      </w:r>
      <w:r w:rsidR="00296A45" w:rsidRPr="008C0BE5">
        <w:rPr>
          <w:rFonts w:ascii="Arial" w:hAnsi="Arial" w:cs="Arial"/>
          <w:sz w:val="20"/>
          <w:szCs w:val="20"/>
        </w:rPr>
        <w:t xml:space="preserve"> issues </w:t>
      </w:r>
      <w:r w:rsidR="009349B4" w:rsidRPr="008C0BE5">
        <w:rPr>
          <w:rFonts w:ascii="Arial" w:hAnsi="Arial" w:cs="Arial"/>
          <w:sz w:val="20"/>
          <w:szCs w:val="20"/>
        </w:rPr>
        <w:t xml:space="preserve">which the Committee intended to focus on emanating from </w:t>
      </w:r>
      <w:r w:rsidR="00ED426A" w:rsidRPr="008C0BE5">
        <w:rPr>
          <w:rFonts w:ascii="Arial" w:hAnsi="Arial" w:cs="Arial"/>
          <w:sz w:val="20"/>
          <w:szCs w:val="20"/>
        </w:rPr>
        <w:t xml:space="preserve">its 2022 Budget Vote 8 adopted on 10 May 2022. </w:t>
      </w:r>
      <w:r w:rsidR="00D7647C" w:rsidRPr="008C0BE5">
        <w:rPr>
          <w:rFonts w:ascii="Arial" w:hAnsi="Arial" w:cs="Arial"/>
          <w:sz w:val="20"/>
          <w:szCs w:val="20"/>
        </w:rPr>
        <w:t>Below these issues are highlighted</w:t>
      </w:r>
      <w:r w:rsidR="000E17FD" w:rsidRPr="008C0BE5">
        <w:rPr>
          <w:rFonts w:ascii="Arial" w:hAnsi="Arial" w:cs="Arial"/>
          <w:sz w:val="20"/>
          <w:szCs w:val="20"/>
        </w:rPr>
        <w:t xml:space="preserve">: </w:t>
      </w:r>
    </w:p>
    <w:p w:rsidR="00550C13" w:rsidRPr="008C0BE5" w:rsidRDefault="000E17FD" w:rsidP="008C0BE5">
      <w:pPr>
        <w:numPr>
          <w:ilvl w:val="2"/>
          <w:numId w:val="1"/>
        </w:numPr>
        <w:contextualSpacing/>
        <w:rPr>
          <w:rFonts w:ascii="Arial" w:hAnsi="Arial" w:cs="Arial"/>
          <w:sz w:val="20"/>
          <w:szCs w:val="20"/>
        </w:rPr>
      </w:pPr>
      <w:r w:rsidRPr="008C0BE5">
        <w:rPr>
          <w:rFonts w:ascii="Arial" w:hAnsi="Arial" w:cs="Arial"/>
          <w:sz w:val="20"/>
          <w:szCs w:val="20"/>
        </w:rPr>
        <w:t xml:space="preserve">The Committee </w:t>
      </w:r>
      <w:r w:rsidR="00C6408A" w:rsidRPr="008C0BE5">
        <w:rPr>
          <w:rFonts w:ascii="Arial" w:hAnsi="Arial" w:cs="Arial"/>
          <w:sz w:val="20"/>
          <w:szCs w:val="20"/>
        </w:rPr>
        <w:t>will follow</w:t>
      </w:r>
      <w:r w:rsidR="00CC0107" w:rsidRPr="008C0BE5">
        <w:rPr>
          <w:rFonts w:ascii="Arial" w:hAnsi="Arial" w:cs="Arial"/>
          <w:sz w:val="20"/>
          <w:szCs w:val="20"/>
        </w:rPr>
        <w:t>-up on N</w:t>
      </w:r>
      <w:r w:rsidR="00225098" w:rsidRPr="008C0BE5">
        <w:rPr>
          <w:rFonts w:ascii="Arial" w:hAnsi="Arial" w:cs="Arial"/>
          <w:sz w:val="20"/>
          <w:szCs w:val="20"/>
        </w:rPr>
        <w:t>T</w:t>
      </w:r>
      <w:r w:rsidR="00CC0107" w:rsidRPr="008C0BE5">
        <w:rPr>
          <w:rFonts w:ascii="Arial" w:hAnsi="Arial" w:cs="Arial"/>
          <w:sz w:val="20"/>
          <w:szCs w:val="20"/>
        </w:rPr>
        <w:t>’s</w:t>
      </w:r>
      <w:r w:rsidR="00225098" w:rsidRPr="008C0BE5">
        <w:rPr>
          <w:rFonts w:ascii="Arial" w:hAnsi="Arial" w:cs="Arial"/>
          <w:sz w:val="20"/>
          <w:szCs w:val="20"/>
        </w:rPr>
        <w:t xml:space="preserve"> review</w:t>
      </w:r>
      <w:r w:rsidR="00CC0107" w:rsidRPr="008C0BE5">
        <w:rPr>
          <w:rFonts w:ascii="Arial" w:hAnsi="Arial" w:cs="Arial"/>
          <w:sz w:val="20"/>
          <w:szCs w:val="20"/>
        </w:rPr>
        <w:t xml:space="preserve"> of</w:t>
      </w:r>
      <w:r w:rsidR="00225098" w:rsidRPr="008C0BE5">
        <w:rPr>
          <w:rFonts w:ascii="Arial" w:hAnsi="Arial" w:cs="Arial"/>
          <w:sz w:val="20"/>
          <w:szCs w:val="20"/>
        </w:rPr>
        <w:t xml:space="preserve"> go</w:t>
      </w:r>
      <w:r w:rsidR="009609ED" w:rsidRPr="008C0BE5">
        <w:rPr>
          <w:rFonts w:ascii="Arial" w:hAnsi="Arial" w:cs="Arial"/>
          <w:sz w:val="20"/>
          <w:szCs w:val="20"/>
        </w:rPr>
        <w:t>vernment’s macro-economic policies</w:t>
      </w:r>
      <w:r w:rsidR="00225098" w:rsidRPr="008C0BE5">
        <w:rPr>
          <w:rFonts w:ascii="Arial" w:hAnsi="Arial" w:cs="Arial"/>
          <w:sz w:val="20"/>
          <w:szCs w:val="20"/>
        </w:rPr>
        <w:t xml:space="preserve"> since the global financial crisis of 2008 to the present. This macro-economic policy review will examine how key indicators such as economic growth and employment have evolved since then</w:t>
      </w:r>
      <w:r w:rsidR="00FD7005" w:rsidRPr="008C0BE5">
        <w:rPr>
          <w:rFonts w:ascii="Arial" w:hAnsi="Arial" w:cs="Arial"/>
          <w:sz w:val="20"/>
          <w:szCs w:val="20"/>
        </w:rPr>
        <w:t xml:space="preserve">. It will also assess the </w:t>
      </w:r>
      <w:r w:rsidR="00225098" w:rsidRPr="008C0BE5">
        <w:rPr>
          <w:rFonts w:ascii="Arial" w:eastAsia="Times New Roman" w:hAnsi="Arial" w:cs="Arial"/>
          <w:sz w:val="20"/>
          <w:szCs w:val="20"/>
        </w:rPr>
        <w:t xml:space="preserve">government’s fiscal, </w:t>
      </w:r>
      <w:r w:rsidR="001A090D" w:rsidRPr="008C0BE5">
        <w:rPr>
          <w:rFonts w:ascii="Arial" w:eastAsia="Times New Roman" w:hAnsi="Arial" w:cs="Arial"/>
          <w:sz w:val="20"/>
          <w:szCs w:val="20"/>
        </w:rPr>
        <w:t>monetary,</w:t>
      </w:r>
      <w:r w:rsidR="00225098" w:rsidRPr="008C0BE5">
        <w:rPr>
          <w:rFonts w:ascii="Arial" w:eastAsia="Times New Roman" w:hAnsi="Arial" w:cs="Arial"/>
          <w:sz w:val="20"/>
          <w:szCs w:val="20"/>
        </w:rPr>
        <w:t xml:space="preserve"> and macro</w:t>
      </w:r>
      <w:r w:rsidR="00FD7005" w:rsidRPr="008C0BE5">
        <w:rPr>
          <w:rFonts w:ascii="Arial" w:eastAsia="Times New Roman" w:hAnsi="Arial" w:cs="Arial"/>
          <w:sz w:val="20"/>
          <w:szCs w:val="20"/>
        </w:rPr>
        <w:t>-</w:t>
      </w:r>
      <w:r w:rsidR="00225098" w:rsidRPr="008C0BE5">
        <w:rPr>
          <w:rFonts w:ascii="Arial" w:eastAsia="Times New Roman" w:hAnsi="Arial" w:cs="Arial"/>
          <w:sz w:val="20"/>
          <w:szCs w:val="20"/>
        </w:rPr>
        <w:t xml:space="preserve">prudential policy choices; and propose appropriate reforms to policy targets and institutional frameworks. </w:t>
      </w:r>
      <w:r w:rsidR="00FD7005" w:rsidRPr="008C0BE5">
        <w:rPr>
          <w:rFonts w:ascii="Arial" w:eastAsia="Times New Roman" w:hAnsi="Arial" w:cs="Arial"/>
          <w:sz w:val="20"/>
          <w:szCs w:val="20"/>
        </w:rPr>
        <w:t>The Committee expects to be briefed on this review once it is finalized.</w:t>
      </w:r>
    </w:p>
    <w:p w:rsidR="0002624E" w:rsidRPr="008C0BE5" w:rsidRDefault="0074640E" w:rsidP="008C0BE5">
      <w:pPr>
        <w:numPr>
          <w:ilvl w:val="2"/>
          <w:numId w:val="1"/>
        </w:numPr>
        <w:contextualSpacing/>
        <w:rPr>
          <w:rFonts w:ascii="Arial" w:hAnsi="Arial" w:cs="Arial"/>
          <w:sz w:val="20"/>
          <w:szCs w:val="20"/>
        </w:rPr>
      </w:pPr>
      <w:r w:rsidRPr="008C0BE5">
        <w:rPr>
          <w:rFonts w:ascii="Arial" w:hAnsi="Arial" w:cs="Arial"/>
          <w:sz w:val="20"/>
          <w:szCs w:val="20"/>
        </w:rPr>
        <w:t xml:space="preserve">The Committee will schedule a briefing on the details of </w:t>
      </w:r>
      <w:r w:rsidR="00550C13" w:rsidRPr="008C0BE5">
        <w:rPr>
          <w:rFonts w:ascii="Arial" w:hAnsi="Arial" w:cs="Arial"/>
          <w:sz w:val="20"/>
          <w:szCs w:val="20"/>
        </w:rPr>
        <w:t>the Municipal Finance Improvement P</w:t>
      </w:r>
      <w:r w:rsidRPr="008C0BE5">
        <w:rPr>
          <w:rFonts w:ascii="Arial" w:hAnsi="Arial" w:cs="Arial"/>
          <w:sz w:val="20"/>
          <w:szCs w:val="20"/>
        </w:rPr>
        <w:t>rogramme</w:t>
      </w:r>
      <w:r w:rsidR="00550C13" w:rsidRPr="008C0BE5">
        <w:rPr>
          <w:rFonts w:ascii="Arial" w:hAnsi="Arial" w:cs="Arial"/>
          <w:sz w:val="20"/>
          <w:szCs w:val="20"/>
        </w:rPr>
        <w:t xml:space="preserve"> (MFIP)</w:t>
      </w:r>
      <w:r w:rsidRPr="008C0BE5">
        <w:rPr>
          <w:rFonts w:ascii="Arial" w:hAnsi="Arial" w:cs="Arial"/>
          <w:sz w:val="20"/>
          <w:szCs w:val="20"/>
        </w:rPr>
        <w:t xml:space="preserve"> and its achievements and challenges over the past financial years</w:t>
      </w:r>
      <w:r w:rsidR="00EF3397" w:rsidRPr="008C0BE5">
        <w:rPr>
          <w:rFonts w:ascii="Arial" w:hAnsi="Arial" w:cs="Arial"/>
          <w:sz w:val="20"/>
          <w:szCs w:val="20"/>
        </w:rPr>
        <w:t xml:space="preserve"> given that the MFIP five-year programme cycle</w:t>
      </w:r>
      <w:r w:rsidR="009609ED" w:rsidRPr="008C0BE5">
        <w:rPr>
          <w:rFonts w:ascii="Arial" w:hAnsi="Arial" w:cs="Arial"/>
          <w:sz w:val="20"/>
          <w:szCs w:val="20"/>
        </w:rPr>
        <w:t xml:space="preserve"> </w:t>
      </w:r>
      <w:r w:rsidR="00EF3397" w:rsidRPr="008C0BE5">
        <w:rPr>
          <w:rFonts w:ascii="Arial" w:hAnsi="Arial" w:cs="Arial"/>
          <w:sz w:val="20"/>
          <w:szCs w:val="20"/>
        </w:rPr>
        <w:t>c</w:t>
      </w:r>
      <w:r w:rsidR="007A6182" w:rsidRPr="008C0BE5">
        <w:rPr>
          <w:rFonts w:ascii="Arial" w:hAnsi="Arial" w:cs="Arial"/>
          <w:sz w:val="20"/>
          <w:szCs w:val="20"/>
        </w:rPr>
        <w:t>a</w:t>
      </w:r>
      <w:r w:rsidR="00EF3397" w:rsidRPr="008C0BE5">
        <w:rPr>
          <w:rFonts w:ascii="Arial" w:hAnsi="Arial" w:cs="Arial"/>
          <w:sz w:val="20"/>
          <w:szCs w:val="20"/>
        </w:rPr>
        <w:t>me</w:t>
      </w:r>
      <w:r w:rsidR="007A6182" w:rsidRPr="008C0BE5">
        <w:rPr>
          <w:rFonts w:ascii="Arial" w:hAnsi="Arial" w:cs="Arial"/>
          <w:sz w:val="20"/>
          <w:szCs w:val="20"/>
        </w:rPr>
        <w:t xml:space="preserve"> to an e</w:t>
      </w:r>
      <w:r w:rsidR="00EF3397" w:rsidRPr="008C0BE5">
        <w:rPr>
          <w:rFonts w:ascii="Arial" w:hAnsi="Arial" w:cs="Arial"/>
          <w:sz w:val="20"/>
          <w:szCs w:val="20"/>
        </w:rPr>
        <w:t>nd</w:t>
      </w:r>
      <w:r w:rsidR="007A6182" w:rsidRPr="008C0BE5">
        <w:rPr>
          <w:rFonts w:ascii="Arial" w:hAnsi="Arial" w:cs="Arial"/>
          <w:sz w:val="20"/>
          <w:szCs w:val="20"/>
        </w:rPr>
        <w:t xml:space="preserve"> last year and it is </w:t>
      </w:r>
      <w:r w:rsidR="00EF3397" w:rsidRPr="008C0BE5">
        <w:rPr>
          <w:rFonts w:ascii="Arial" w:hAnsi="Arial" w:cs="Arial"/>
          <w:sz w:val="20"/>
          <w:szCs w:val="20"/>
        </w:rPr>
        <w:t>important to t</w:t>
      </w:r>
      <w:r w:rsidR="009609ED" w:rsidRPr="008C0BE5">
        <w:rPr>
          <w:rFonts w:ascii="Arial" w:hAnsi="Arial" w:cs="Arial"/>
          <w:sz w:val="20"/>
          <w:szCs w:val="20"/>
        </w:rPr>
        <w:t>ake stock of the lessons learned</w:t>
      </w:r>
      <w:r w:rsidR="00EF3397" w:rsidRPr="008C0BE5">
        <w:rPr>
          <w:rFonts w:ascii="Arial" w:hAnsi="Arial" w:cs="Arial"/>
          <w:sz w:val="20"/>
          <w:szCs w:val="20"/>
        </w:rPr>
        <w:t xml:space="preserve"> and challenges encountered. </w:t>
      </w:r>
      <w:r w:rsidRPr="008C0BE5">
        <w:rPr>
          <w:rFonts w:ascii="Arial" w:hAnsi="Arial" w:cs="Arial"/>
          <w:sz w:val="20"/>
          <w:szCs w:val="20"/>
        </w:rPr>
        <w:t xml:space="preserve">The Committee will liaise with the Department and </w:t>
      </w:r>
      <w:r w:rsidR="00EF3397" w:rsidRPr="008C0BE5">
        <w:rPr>
          <w:rFonts w:ascii="Arial" w:hAnsi="Arial" w:cs="Arial"/>
          <w:sz w:val="20"/>
          <w:szCs w:val="20"/>
        </w:rPr>
        <w:t xml:space="preserve">the </w:t>
      </w:r>
      <w:r w:rsidRPr="008C0BE5">
        <w:rPr>
          <w:rFonts w:ascii="Arial" w:hAnsi="Arial" w:cs="Arial"/>
          <w:sz w:val="20"/>
          <w:szCs w:val="20"/>
        </w:rPr>
        <w:t>Portfolio Committee on C</w:t>
      </w:r>
      <w:r w:rsidR="00EF3397" w:rsidRPr="008C0BE5">
        <w:rPr>
          <w:rFonts w:ascii="Arial" w:hAnsi="Arial" w:cs="Arial"/>
          <w:sz w:val="20"/>
          <w:szCs w:val="20"/>
        </w:rPr>
        <w:t xml:space="preserve">ooperative </w:t>
      </w:r>
      <w:r w:rsidRPr="008C0BE5">
        <w:rPr>
          <w:rFonts w:ascii="Arial" w:hAnsi="Arial" w:cs="Arial"/>
          <w:sz w:val="20"/>
          <w:szCs w:val="20"/>
        </w:rPr>
        <w:t>G</w:t>
      </w:r>
      <w:r w:rsidR="00EF3397" w:rsidRPr="008C0BE5">
        <w:rPr>
          <w:rFonts w:ascii="Arial" w:hAnsi="Arial" w:cs="Arial"/>
          <w:sz w:val="20"/>
          <w:szCs w:val="20"/>
        </w:rPr>
        <w:t xml:space="preserve">overnment and </w:t>
      </w:r>
      <w:r w:rsidRPr="008C0BE5">
        <w:rPr>
          <w:rFonts w:ascii="Arial" w:hAnsi="Arial" w:cs="Arial"/>
          <w:sz w:val="20"/>
          <w:szCs w:val="20"/>
        </w:rPr>
        <w:t>T</w:t>
      </w:r>
      <w:r w:rsidR="00EF3397" w:rsidRPr="008C0BE5">
        <w:rPr>
          <w:rFonts w:ascii="Arial" w:hAnsi="Arial" w:cs="Arial"/>
          <w:sz w:val="20"/>
          <w:szCs w:val="20"/>
        </w:rPr>
        <w:t xml:space="preserve">raditional </w:t>
      </w:r>
      <w:r w:rsidRPr="008C0BE5">
        <w:rPr>
          <w:rFonts w:ascii="Arial" w:hAnsi="Arial" w:cs="Arial"/>
          <w:sz w:val="20"/>
          <w:szCs w:val="20"/>
        </w:rPr>
        <w:t>A</w:t>
      </w:r>
      <w:r w:rsidR="00EF3397" w:rsidRPr="008C0BE5">
        <w:rPr>
          <w:rFonts w:ascii="Arial" w:hAnsi="Arial" w:cs="Arial"/>
          <w:sz w:val="20"/>
          <w:szCs w:val="20"/>
        </w:rPr>
        <w:t>ffairs (COGTA)</w:t>
      </w:r>
      <w:r w:rsidRPr="008C0BE5">
        <w:rPr>
          <w:rFonts w:ascii="Arial" w:hAnsi="Arial" w:cs="Arial"/>
          <w:sz w:val="20"/>
          <w:szCs w:val="20"/>
        </w:rPr>
        <w:t xml:space="preserve"> </w:t>
      </w:r>
      <w:r w:rsidR="004F687D" w:rsidRPr="008C0BE5">
        <w:rPr>
          <w:rFonts w:ascii="Arial" w:hAnsi="Arial" w:cs="Arial"/>
          <w:sz w:val="20"/>
          <w:szCs w:val="20"/>
        </w:rPr>
        <w:t>to</w:t>
      </w:r>
      <w:r w:rsidR="000471A0" w:rsidRPr="008C0BE5">
        <w:rPr>
          <w:rFonts w:ascii="Arial" w:hAnsi="Arial" w:cs="Arial"/>
          <w:sz w:val="20"/>
          <w:szCs w:val="20"/>
        </w:rPr>
        <w:t xml:space="preserve"> arrange</w:t>
      </w:r>
      <w:r w:rsidRPr="008C0BE5">
        <w:rPr>
          <w:rFonts w:ascii="Arial" w:hAnsi="Arial" w:cs="Arial"/>
          <w:sz w:val="20"/>
          <w:szCs w:val="20"/>
        </w:rPr>
        <w:t xml:space="preserve"> a joint briefing</w:t>
      </w:r>
      <w:r w:rsidR="009609ED" w:rsidRPr="008C0BE5">
        <w:rPr>
          <w:rFonts w:ascii="Arial" w:hAnsi="Arial" w:cs="Arial"/>
          <w:sz w:val="20"/>
          <w:szCs w:val="20"/>
        </w:rPr>
        <w:t xml:space="preserve"> on this sub-programme</w:t>
      </w:r>
      <w:r w:rsidRPr="008C0BE5">
        <w:rPr>
          <w:rFonts w:ascii="Arial" w:hAnsi="Arial" w:cs="Arial"/>
          <w:sz w:val="20"/>
          <w:szCs w:val="20"/>
        </w:rPr>
        <w:t xml:space="preserve">.  </w:t>
      </w:r>
      <w:r w:rsidR="005C6642" w:rsidRPr="008C0BE5">
        <w:rPr>
          <w:rFonts w:ascii="Arial" w:hAnsi="Arial" w:cs="Arial"/>
          <w:sz w:val="20"/>
          <w:szCs w:val="20"/>
        </w:rPr>
        <w:t xml:space="preserve"> </w:t>
      </w:r>
    </w:p>
    <w:p w:rsidR="00EF3397" w:rsidRPr="008C0BE5" w:rsidRDefault="0044470C" w:rsidP="008C0BE5">
      <w:pPr>
        <w:numPr>
          <w:ilvl w:val="2"/>
          <w:numId w:val="1"/>
        </w:numPr>
        <w:contextualSpacing/>
        <w:rPr>
          <w:rFonts w:ascii="Arial" w:hAnsi="Arial" w:cs="Arial"/>
          <w:sz w:val="20"/>
          <w:szCs w:val="20"/>
        </w:rPr>
      </w:pPr>
      <w:r w:rsidRPr="008C0BE5">
        <w:rPr>
          <w:rFonts w:ascii="Arial" w:hAnsi="Arial" w:cs="Arial"/>
          <w:sz w:val="20"/>
          <w:szCs w:val="20"/>
        </w:rPr>
        <w:t>T</w:t>
      </w:r>
      <w:r w:rsidR="0036298E" w:rsidRPr="008C0BE5">
        <w:rPr>
          <w:rFonts w:ascii="Arial" w:hAnsi="Arial" w:cs="Arial"/>
          <w:sz w:val="20"/>
          <w:szCs w:val="20"/>
        </w:rPr>
        <w:t xml:space="preserve">he Committee </w:t>
      </w:r>
      <w:r w:rsidRPr="008C0BE5">
        <w:rPr>
          <w:rFonts w:ascii="Arial" w:hAnsi="Arial" w:cs="Arial"/>
          <w:sz w:val="20"/>
          <w:szCs w:val="20"/>
        </w:rPr>
        <w:t>will request</w:t>
      </w:r>
      <w:r w:rsidR="00431258" w:rsidRPr="008C0BE5">
        <w:rPr>
          <w:rFonts w:ascii="Arial" w:hAnsi="Arial" w:cs="Arial"/>
          <w:sz w:val="20"/>
          <w:szCs w:val="20"/>
        </w:rPr>
        <w:t xml:space="preserve"> a briefing on the</w:t>
      </w:r>
      <w:r w:rsidR="0036298E" w:rsidRPr="008C0BE5">
        <w:rPr>
          <w:rFonts w:ascii="Arial" w:hAnsi="Arial" w:cs="Arial"/>
          <w:sz w:val="20"/>
          <w:szCs w:val="20"/>
        </w:rPr>
        <w:t xml:space="preserve"> challenges with the payment of </w:t>
      </w:r>
      <w:r w:rsidR="008E65A8" w:rsidRPr="008C0BE5">
        <w:rPr>
          <w:rFonts w:ascii="Arial" w:hAnsi="Arial" w:cs="Arial"/>
          <w:sz w:val="20"/>
          <w:szCs w:val="20"/>
        </w:rPr>
        <w:t>military</w:t>
      </w:r>
      <w:r w:rsidR="0036298E" w:rsidRPr="008C0BE5">
        <w:rPr>
          <w:rFonts w:ascii="Arial" w:hAnsi="Arial" w:cs="Arial"/>
          <w:sz w:val="20"/>
          <w:szCs w:val="20"/>
        </w:rPr>
        <w:t xml:space="preserve"> veterans’ pensions. The Committee note</w:t>
      </w:r>
      <w:r w:rsidR="00431258" w:rsidRPr="008C0BE5">
        <w:rPr>
          <w:rFonts w:ascii="Arial" w:hAnsi="Arial" w:cs="Arial"/>
          <w:sz w:val="20"/>
          <w:szCs w:val="20"/>
        </w:rPr>
        <w:t>d</w:t>
      </w:r>
      <w:r w:rsidR="0036298E" w:rsidRPr="008C0BE5">
        <w:rPr>
          <w:rFonts w:ascii="Arial" w:hAnsi="Arial" w:cs="Arial"/>
          <w:sz w:val="20"/>
          <w:szCs w:val="20"/>
        </w:rPr>
        <w:t xml:space="preserve"> </w:t>
      </w:r>
      <w:r w:rsidR="00431258" w:rsidRPr="008C0BE5">
        <w:rPr>
          <w:rFonts w:ascii="Arial" w:hAnsi="Arial" w:cs="Arial"/>
          <w:sz w:val="20"/>
          <w:szCs w:val="20"/>
        </w:rPr>
        <w:t xml:space="preserve">last year </w:t>
      </w:r>
      <w:r w:rsidR="0036298E" w:rsidRPr="008C0BE5">
        <w:rPr>
          <w:rFonts w:ascii="Arial" w:hAnsi="Arial" w:cs="Arial"/>
          <w:sz w:val="20"/>
          <w:szCs w:val="20"/>
        </w:rPr>
        <w:t>that NT ha</w:t>
      </w:r>
      <w:r w:rsidR="00431258" w:rsidRPr="008C0BE5">
        <w:rPr>
          <w:rFonts w:ascii="Arial" w:hAnsi="Arial" w:cs="Arial"/>
          <w:sz w:val="20"/>
          <w:szCs w:val="20"/>
        </w:rPr>
        <w:t>d</w:t>
      </w:r>
      <w:r w:rsidR="0036298E" w:rsidRPr="008C0BE5">
        <w:rPr>
          <w:rFonts w:ascii="Arial" w:hAnsi="Arial" w:cs="Arial"/>
          <w:sz w:val="20"/>
          <w:szCs w:val="20"/>
        </w:rPr>
        <w:t xml:space="preserve"> discovered many irregularities, including that some veterans would not necessarily be </w:t>
      </w:r>
      <w:r w:rsidR="002A0EE3" w:rsidRPr="008C0BE5">
        <w:rPr>
          <w:rFonts w:ascii="Arial" w:hAnsi="Arial" w:cs="Arial"/>
          <w:sz w:val="20"/>
          <w:szCs w:val="20"/>
        </w:rPr>
        <w:t xml:space="preserve">veterans. </w:t>
      </w:r>
      <w:r w:rsidR="009D5270" w:rsidRPr="008C0BE5">
        <w:rPr>
          <w:rFonts w:ascii="Arial" w:hAnsi="Arial" w:cs="Arial"/>
          <w:sz w:val="20"/>
          <w:szCs w:val="20"/>
        </w:rPr>
        <w:t xml:space="preserve">The Committee will explore </w:t>
      </w:r>
      <w:r w:rsidR="008E65A8" w:rsidRPr="008C0BE5">
        <w:rPr>
          <w:rFonts w:ascii="Arial" w:hAnsi="Arial" w:cs="Arial"/>
          <w:sz w:val="20"/>
          <w:szCs w:val="20"/>
        </w:rPr>
        <w:t>the</w:t>
      </w:r>
      <w:r w:rsidR="009D5270" w:rsidRPr="008C0BE5">
        <w:rPr>
          <w:rFonts w:ascii="Arial" w:hAnsi="Arial" w:cs="Arial"/>
          <w:sz w:val="20"/>
          <w:szCs w:val="20"/>
        </w:rPr>
        <w:t xml:space="preserve"> possibility of a </w:t>
      </w:r>
      <w:r w:rsidR="008E65A8" w:rsidRPr="008C0BE5">
        <w:rPr>
          <w:rFonts w:ascii="Arial" w:hAnsi="Arial" w:cs="Arial"/>
          <w:sz w:val="20"/>
          <w:szCs w:val="20"/>
        </w:rPr>
        <w:t>joint briefing</w:t>
      </w:r>
      <w:r w:rsidR="009D5270" w:rsidRPr="008C0BE5">
        <w:rPr>
          <w:rFonts w:ascii="Arial" w:hAnsi="Arial" w:cs="Arial"/>
          <w:sz w:val="20"/>
          <w:szCs w:val="20"/>
        </w:rPr>
        <w:t xml:space="preserve"> with all the affected departments and </w:t>
      </w:r>
      <w:r w:rsidR="00286893" w:rsidRPr="008C0BE5">
        <w:rPr>
          <w:rFonts w:ascii="Arial" w:hAnsi="Arial" w:cs="Arial"/>
          <w:sz w:val="20"/>
          <w:szCs w:val="20"/>
        </w:rPr>
        <w:t>c</w:t>
      </w:r>
      <w:r w:rsidR="009D5270" w:rsidRPr="008C0BE5">
        <w:rPr>
          <w:rFonts w:ascii="Arial" w:hAnsi="Arial" w:cs="Arial"/>
          <w:sz w:val="20"/>
          <w:szCs w:val="20"/>
        </w:rPr>
        <w:t xml:space="preserve">ommittees of Parliament. </w:t>
      </w:r>
      <w:r w:rsidR="002A0EE3" w:rsidRPr="008C0BE5">
        <w:rPr>
          <w:rFonts w:ascii="Arial" w:hAnsi="Arial" w:cs="Arial"/>
          <w:sz w:val="20"/>
          <w:szCs w:val="20"/>
        </w:rPr>
        <w:t xml:space="preserve"> </w:t>
      </w:r>
    </w:p>
    <w:p w:rsidR="0032276F" w:rsidRPr="008C0BE5" w:rsidRDefault="002A0EE3" w:rsidP="008C0BE5">
      <w:pPr>
        <w:numPr>
          <w:ilvl w:val="2"/>
          <w:numId w:val="1"/>
        </w:numPr>
        <w:contextualSpacing/>
        <w:rPr>
          <w:rFonts w:ascii="Arial" w:hAnsi="Arial" w:cs="Arial"/>
          <w:sz w:val="20"/>
          <w:szCs w:val="20"/>
        </w:rPr>
      </w:pPr>
      <w:r w:rsidRPr="008C0BE5">
        <w:rPr>
          <w:rFonts w:ascii="Arial" w:hAnsi="Arial" w:cs="Arial"/>
          <w:sz w:val="20"/>
          <w:szCs w:val="20"/>
        </w:rPr>
        <w:t xml:space="preserve">The Committee </w:t>
      </w:r>
      <w:r w:rsidR="00F446FC" w:rsidRPr="008C0BE5">
        <w:rPr>
          <w:rFonts w:ascii="Arial" w:hAnsi="Arial" w:cs="Arial"/>
          <w:sz w:val="20"/>
          <w:szCs w:val="20"/>
        </w:rPr>
        <w:t xml:space="preserve">will request a briefing from </w:t>
      </w:r>
      <w:r w:rsidRPr="008C0BE5">
        <w:rPr>
          <w:rFonts w:ascii="Arial" w:hAnsi="Arial" w:cs="Arial"/>
          <w:sz w:val="20"/>
          <w:szCs w:val="20"/>
        </w:rPr>
        <w:t>NT on the progress being made on the</w:t>
      </w:r>
      <w:r w:rsidR="00F446FC" w:rsidRPr="008C0BE5">
        <w:rPr>
          <w:rFonts w:ascii="Arial" w:hAnsi="Arial" w:cs="Arial"/>
          <w:sz w:val="20"/>
          <w:szCs w:val="20"/>
        </w:rPr>
        <w:t xml:space="preserve"> pension fund </w:t>
      </w:r>
      <w:r w:rsidRPr="008C0BE5">
        <w:rPr>
          <w:rFonts w:ascii="Arial" w:hAnsi="Arial" w:cs="Arial"/>
          <w:sz w:val="20"/>
          <w:szCs w:val="20"/>
        </w:rPr>
        <w:t>reforms</w:t>
      </w:r>
      <w:r w:rsidR="00A36A18" w:rsidRPr="008C0BE5">
        <w:rPr>
          <w:rFonts w:ascii="Arial" w:hAnsi="Arial" w:cs="Arial"/>
          <w:sz w:val="20"/>
          <w:szCs w:val="20"/>
        </w:rPr>
        <w:t>, including specific action with deadlines to be taken.</w:t>
      </w:r>
    </w:p>
    <w:p w:rsidR="009E67BD" w:rsidRPr="008C0BE5" w:rsidRDefault="009E67BD" w:rsidP="008C0BE5">
      <w:pPr>
        <w:numPr>
          <w:ilvl w:val="2"/>
          <w:numId w:val="1"/>
        </w:numPr>
        <w:contextualSpacing/>
        <w:rPr>
          <w:rFonts w:ascii="Arial" w:hAnsi="Arial" w:cs="Arial"/>
          <w:sz w:val="20"/>
          <w:szCs w:val="20"/>
        </w:rPr>
      </w:pPr>
      <w:r w:rsidRPr="008C0BE5">
        <w:rPr>
          <w:rFonts w:ascii="Arial" w:hAnsi="Arial" w:cs="Arial"/>
          <w:sz w:val="20"/>
          <w:szCs w:val="20"/>
        </w:rPr>
        <w:t>The</w:t>
      </w:r>
      <w:r w:rsidR="005C6642" w:rsidRPr="008C0BE5">
        <w:rPr>
          <w:rFonts w:ascii="Arial" w:hAnsi="Arial" w:cs="Arial"/>
          <w:sz w:val="20"/>
          <w:szCs w:val="20"/>
        </w:rPr>
        <w:t xml:space="preserve"> Committee note</w:t>
      </w:r>
      <w:r w:rsidR="00834487" w:rsidRPr="008C0BE5">
        <w:rPr>
          <w:rFonts w:ascii="Arial" w:hAnsi="Arial" w:cs="Arial"/>
          <w:sz w:val="20"/>
          <w:szCs w:val="20"/>
        </w:rPr>
        <w:t>s</w:t>
      </w:r>
      <w:r w:rsidR="005C6642" w:rsidRPr="008C0BE5">
        <w:rPr>
          <w:rFonts w:ascii="Arial" w:hAnsi="Arial" w:cs="Arial"/>
          <w:sz w:val="20"/>
          <w:szCs w:val="20"/>
        </w:rPr>
        <w:t xml:space="preserve"> the work of</w:t>
      </w:r>
      <w:r w:rsidRPr="008C0BE5">
        <w:rPr>
          <w:rFonts w:ascii="Arial" w:hAnsi="Arial" w:cs="Arial"/>
          <w:sz w:val="20"/>
          <w:szCs w:val="20"/>
        </w:rPr>
        <w:t xml:space="preserve"> NT on the funding of anti-gender-based violence efforts under Programme O</w:t>
      </w:r>
      <w:r w:rsidR="005E3417" w:rsidRPr="008C0BE5">
        <w:rPr>
          <w:rFonts w:ascii="Arial" w:hAnsi="Arial" w:cs="Arial"/>
          <w:sz w:val="20"/>
          <w:szCs w:val="20"/>
        </w:rPr>
        <w:t>ne. In view of the escalation of</w:t>
      </w:r>
      <w:r w:rsidRPr="008C0BE5">
        <w:rPr>
          <w:rFonts w:ascii="Arial" w:hAnsi="Arial" w:cs="Arial"/>
          <w:sz w:val="20"/>
          <w:szCs w:val="20"/>
        </w:rPr>
        <w:t xml:space="preserve"> gender-based violence, the Committee would like to be briefed in more </w:t>
      </w:r>
      <w:r w:rsidR="0036363B" w:rsidRPr="008C0BE5">
        <w:rPr>
          <w:rFonts w:ascii="Arial" w:hAnsi="Arial" w:cs="Arial"/>
          <w:sz w:val="20"/>
          <w:szCs w:val="20"/>
        </w:rPr>
        <w:t>detail</w:t>
      </w:r>
      <w:r w:rsidRPr="008C0BE5">
        <w:rPr>
          <w:rFonts w:ascii="Arial" w:hAnsi="Arial" w:cs="Arial"/>
          <w:sz w:val="20"/>
          <w:szCs w:val="20"/>
        </w:rPr>
        <w:t xml:space="preserve"> on this in quarterly </w:t>
      </w:r>
      <w:r w:rsidR="006B4D27" w:rsidRPr="008C0BE5">
        <w:rPr>
          <w:rFonts w:ascii="Arial" w:hAnsi="Arial" w:cs="Arial"/>
          <w:sz w:val="20"/>
          <w:szCs w:val="20"/>
        </w:rPr>
        <w:t>reports</w:t>
      </w:r>
      <w:r w:rsidRPr="008C0BE5">
        <w:rPr>
          <w:rFonts w:ascii="Arial" w:hAnsi="Arial" w:cs="Arial"/>
          <w:sz w:val="20"/>
          <w:szCs w:val="20"/>
        </w:rPr>
        <w:t xml:space="preserve">. </w:t>
      </w:r>
    </w:p>
    <w:p w:rsidR="005C7C32" w:rsidRPr="008C0BE5" w:rsidRDefault="005C7C32" w:rsidP="008C0BE5">
      <w:pPr>
        <w:rPr>
          <w:rFonts w:ascii="Arial" w:hAnsi="Arial" w:cs="Arial"/>
          <w:sz w:val="20"/>
          <w:szCs w:val="20"/>
        </w:rPr>
      </w:pPr>
      <w:r w:rsidRPr="008C0BE5">
        <w:rPr>
          <w:rFonts w:ascii="Arial" w:hAnsi="Arial" w:cs="Arial"/>
          <w:sz w:val="20"/>
          <w:szCs w:val="20"/>
        </w:rPr>
        <w:br w:type="page"/>
      </w:r>
    </w:p>
    <w:p w:rsidR="002A0EE3" w:rsidRPr="008C0BE5" w:rsidRDefault="002A0EE3" w:rsidP="008C0BE5">
      <w:pPr>
        <w:contextualSpacing/>
        <w:rPr>
          <w:rFonts w:ascii="Arial" w:hAnsi="Arial" w:cs="Arial"/>
          <w:sz w:val="20"/>
          <w:szCs w:val="20"/>
        </w:rPr>
      </w:pPr>
      <w:r w:rsidRPr="008C0BE5">
        <w:rPr>
          <w:rFonts w:ascii="Arial" w:hAnsi="Arial" w:cs="Arial"/>
          <w:sz w:val="20"/>
          <w:szCs w:val="20"/>
        </w:rPr>
        <w:lastRenderedPageBreak/>
        <w:t>SARS PROGRAMMES</w:t>
      </w:r>
    </w:p>
    <w:p w:rsidR="00906E81" w:rsidRPr="008C0BE5" w:rsidRDefault="00906E81" w:rsidP="008C0BE5">
      <w:pPr>
        <w:pStyle w:val="ListParagraph"/>
        <w:numPr>
          <w:ilvl w:val="1"/>
          <w:numId w:val="1"/>
        </w:numPr>
        <w:spacing w:after="0" w:line="240" w:lineRule="auto"/>
        <w:rPr>
          <w:rFonts w:ascii="Arial" w:hAnsi="Arial" w:cs="Arial"/>
          <w:sz w:val="20"/>
          <w:szCs w:val="20"/>
        </w:rPr>
      </w:pPr>
      <w:r w:rsidRPr="008C0BE5">
        <w:rPr>
          <w:rFonts w:ascii="Arial" w:hAnsi="Arial" w:cs="Arial"/>
          <w:sz w:val="20"/>
          <w:szCs w:val="20"/>
        </w:rPr>
        <w:t xml:space="preserve">The Committee </w:t>
      </w:r>
      <w:r w:rsidR="00392C18" w:rsidRPr="008C0BE5">
        <w:rPr>
          <w:rFonts w:ascii="Arial" w:hAnsi="Arial" w:cs="Arial"/>
          <w:sz w:val="20"/>
          <w:szCs w:val="20"/>
        </w:rPr>
        <w:t xml:space="preserve">notes that for the first time </w:t>
      </w:r>
      <w:r w:rsidR="00F212F9" w:rsidRPr="008C0BE5">
        <w:rPr>
          <w:rFonts w:ascii="Arial" w:hAnsi="Arial" w:cs="Arial"/>
          <w:sz w:val="20"/>
          <w:szCs w:val="20"/>
        </w:rPr>
        <w:t xml:space="preserve">SARS collected gross revenue of over R2 trillion, which resulted in </w:t>
      </w:r>
      <w:r w:rsidR="0006759F" w:rsidRPr="008C0BE5">
        <w:rPr>
          <w:rFonts w:ascii="Arial" w:hAnsi="Arial" w:cs="Arial"/>
          <w:sz w:val="20"/>
          <w:szCs w:val="20"/>
        </w:rPr>
        <w:t xml:space="preserve">net revenue of </w:t>
      </w:r>
      <w:r w:rsidR="003F1633" w:rsidRPr="008C0BE5">
        <w:rPr>
          <w:rFonts w:ascii="Arial" w:hAnsi="Arial" w:cs="Arial"/>
          <w:sz w:val="20"/>
          <w:szCs w:val="20"/>
        </w:rPr>
        <w:t>R1.6</w:t>
      </w:r>
      <w:r w:rsidR="00A851BD" w:rsidRPr="008C0BE5">
        <w:rPr>
          <w:rFonts w:ascii="Arial" w:hAnsi="Arial" w:cs="Arial"/>
          <w:sz w:val="20"/>
          <w:szCs w:val="20"/>
        </w:rPr>
        <w:t>8</w:t>
      </w:r>
      <w:r w:rsidR="003F1633" w:rsidRPr="008C0BE5">
        <w:rPr>
          <w:rFonts w:ascii="Arial" w:hAnsi="Arial" w:cs="Arial"/>
          <w:sz w:val="20"/>
          <w:szCs w:val="20"/>
        </w:rPr>
        <w:t xml:space="preserve"> trillion</w:t>
      </w:r>
      <w:r w:rsidR="00F212F9" w:rsidRPr="008C0BE5">
        <w:rPr>
          <w:rFonts w:ascii="Arial" w:hAnsi="Arial" w:cs="Arial"/>
          <w:sz w:val="20"/>
          <w:szCs w:val="20"/>
        </w:rPr>
        <w:t xml:space="preserve"> </w:t>
      </w:r>
      <w:r w:rsidR="0091512D" w:rsidRPr="008C0BE5">
        <w:rPr>
          <w:rFonts w:ascii="Arial" w:hAnsi="Arial" w:cs="Arial"/>
          <w:sz w:val="20"/>
          <w:szCs w:val="20"/>
        </w:rPr>
        <w:t xml:space="preserve">in 2022/23. </w:t>
      </w:r>
      <w:r w:rsidR="008E03CD" w:rsidRPr="008C0BE5">
        <w:rPr>
          <w:rFonts w:ascii="Arial" w:hAnsi="Arial" w:cs="Arial"/>
          <w:sz w:val="20"/>
          <w:szCs w:val="20"/>
        </w:rPr>
        <w:t xml:space="preserve">SARS paid refunds of </w:t>
      </w:r>
      <w:r w:rsidR="007E7E1E" w:rsidRPr="008C0BE5">
        <w:rPr>
          <w:rFonts w:ascii="Arial" w:hAnsi="Arial" w:cs="Arial"/>
          <w:sz w:val="20"/>
          <w:szCs w:val="20"/>
        </w:rPr>
        <w:t>R381 billion, an 18.7% increase from the previous years’ refunds</w:t>
      </w:r>
      <w:r w:rsidR="00F064BB" w:rsidRPr="008C0BE5">
        <w:rPr>
          <w:rFonts w:ascii="Arial" w:hAnsi="Arial" w:cs="Arial"/>
          <w:sz w:val="20"/>
          <w:szCs w:val="20"/>
        </w:rPr>
        <w:t xml:space="preserve">. </w:t>
      </w:r>
      <w:r w:rsidR="00F55109" w:rsidRPr="008C0BE5">
        <w:rPr>
          <w:rFonts w:ascii="Arial" w:hAnsi="Arial" w:cs="Arial"/>
          <w:sz w:val="20"/>
          <w:szCs w:val="20"/>
        </w:rPr>
        <w:t xml:space="preserve">SARS also facilitated trade </w:t>
      </w:r>
      <w:r w:rsidR="0089482E" w:rsidRPr="008C0BE5">
        <w:rPr>
          <w:rFonts w:ascii="Arial" w:hAnsi="Arial" w:cs="Arial"/>
          <w:sz w:val="20"/>
          <w:szCs w:val="20"/>
        </w:rPr>
        <w:t xml:space="preserve">of R3.93 trillion, </w:t>
      </w:r>
      <w:r w:rsidR="00143E82" w:rsidRPr="008C0BE5">
        <w:rPr>
          <w:rFonts w:ascii="Arial" w:hAnsi="Arial" w:cs="Arial"/>
          <w:sz w:val="20"/>
          <w:szCs w:val="20"/>
        </w:rPr>
        <w:t xml:space="preserve">which is R606 billion or 18.2% more than 2021/22. </w:t>
      </w:r>
      <w:r w:rsidR="00F064BB" w:rsidRPr="008C0BE5">
        <w:rPr>
          <w:rFonts w:ascii="Arial" w:hAnsi="Arial" w:cs="Arial"/>
          <w:sz w:val="20"/>
          <w:szCs w:val="20"/>
        </w:rPr>
        <w:t xml:space="preserve">The Committee commends SARS for </w:t>
      </w:r>
      <w:r w:rsidR="003341EB" w:rsidRPr="008C0BE5">
        <w:rPr>
          <w:rFonts w:ascii="Arial" w:hAnsi="Arial" w:cs="Arial"/>
          <w:sz w:val="20"/>
          <w:szCs w:val="20"/>
        </w:rPr>
        <w:t>its</w:t>
      </w:r>
      <w:r w:rsidR="00F064BB" w:rsidRPr="008C0BE5">
        <w:rPr>
          <w:rFonts w:ascii="Arial" w:hAnsi="Arial" w:cs="Arial"/>
          <w:sz w:val="20"/>
          <w:szCs w:val="20"/>
        </w:rPr>
        <w:t xml:space="preserve"> </w:t>
      </w:r>
      <w:r w:rsidR="001B77B0" w:rsidRPr="008C0BE5">
        <w:rPr>
          <w:rFonts w:ascii="Arial" w:hAnsi="Arial" w:cs="Arial"/>
          <w:sz w:val="20"/>
          <w:szCs w:val="20"/>
        </w:rPr>
        <w:t xml:space="preserve">overall </w:t>
      </w:r>
      <w:r w:rsidR="00F064BB" w:rsidRPr="008C0BE5">
        <w:rPr>
          <w:rFonts w:ascii="Arial" w:hAnsi="Arial" w:cs="Arial"/>
          <w:sz w:val="20"/>
          <w:szCs w:val="20"/>
        </w:rPr>
        <w:t xml:space="preserve">achievements under </w:t>
      </w:r>
      <w:r w:rsidR="00FA7D54" w:rsidRPr="008C0BE5">
        <w:rPr>
          <w:rFonts w:ascii="Arial" w:hAnsi="Arial" w:cs="Arial"/>
          <w:sz w:val="20"/>
          <w:szCs w:val="20"/>
        </w:rPr>
        <w:t xml:space="preserve">the </w:t>
      </w:r>
      <w:r w:rsidR="00F064BB" w:rsidRPr="008C0BE5">
        <w:rPr>
          <w:rFonts w:ascii="Arial" w:hAnsi="Arial" w:cs="Arial"/>
          <w:sz w:val="20"/>
          <w:szCs w:val="20"/>
        </w:rPr>
        <w:t xml:space="preserve">precarious economic conditions. </w:t>
      </w:r>
      <w:r w:rsidR="001B77B0" w:rsidRPr="008C0BE5">
        <w:rPr>
          <w:rFonts w:ascii="Arial" w:hAnsi="Arial" w:cs="Arial"/>
          <w:sz w:val="20"/>
          <w:szCs w:val="20"/>
        </w:rPr>
        <w:t xml:space="preserve">The Committee further </w:t>
      </w:r>
      <w:r w:rsidRPr="008C0BE5">
        <w:rPr>
          <w:rFonts w:ascii="Arial" w:hAnsi="Arial" w:cs="Arial"/>
          <w:sz w:val="20"/>
          <w:szCs w:val="20"/>
        </w:rPr>
        <w:t xml:space="preserve">acknowledges the contribution of SARS to the improvement of </w:t>
      </w:r>
      <w:r w:rsidR="009D5270" w:rsidRPr="008C0BE5">
        <w:rPr>
          <w:rFonts w:ascii="Arial" w:hAnsi="Arial" w:cs="Arial"/>
          <w:sz w:val="20"/>
          <w:szCs w:val="20"/>
        </w:rPr>
        <w:t xml:space="preserve">the lives of South Africans and residents </w:t>
      </w:r>
      <w:r w:rsidRPr="008C0BE5">
        <w:rPr>
          <w:rFonts w:ascii="Arial" w:hAnsi="Arial" w:cs="Arial"/>
          <w:sz w:val="20"/>
          <w:szCs w:val="20"/>
        </w:rPr>
        <w:t xml:space="preserve">through </w:t>
      </w:r>
      <w:r w:rsidR="009D5270" w:rsidRPr="008C0BE5">
        <w:rPr>
          <w:rFonts w:ascii="Arial" w:hAnsi="Arial" w:cs="Arial"/>
          <w:sz w:val="20"/>
          <w:szCs w:val="20"/>
        </w:rPr>
        <w:t xml:space="preserve">the </w:t>
      </w:r>
      <w:r w:rsidRPr="008C0BE5">
        <w:rPr>
          <w:rFonts w:ascii="Arial" w:hAnsi="Arial" w:cs="Arial"/>
          <w:sz w:val="20"/>
          <w:szCs w:val="20"/>
        </w:rPr>
        <w:t xml:space="preserve">raising </w:t>
      </w:r>
      <w:r w:rsidR="009D5270" w:rsidRPr="008C0BE5">
        <w:rPr>
          <w:rFonts w:ascii="Arial" w:hAnsi="Arial" w:cs="Arial"/>
          <w:sz w:val="20"/>
          <w:szCs w:val="20"/>
        </w:rPr>
        <w:t xml:space="preserve">of </w:t>
      </w:r>
      <w:r w:rsidRPr="008C0BE5">
        <w:rPr>
          <w:rFonts w:ascii="Arial" w:hAnsi="Arial" w:cs="Arial"/>
          <w:sz w:val="20"/>
          <w:szCs w:val="20"/>
        </w:rPr>
        <w:t xml:space="preserve">revenue which enables the country to provide, among others, healthcare, education, social </w:t>
      </w:r>
      <w:r w:rsidR="00D43C5E" w:rsidRPr="008C0BE5">
        <w:rPr>
          <w:rFonts w:ascii="Arial" w:hAnsi="Arial" w:cs="Arial"/>
          <w:sz w:val="20"/>
          <w:szCs w:val="20"/>
        </w:rPr>
        <w:t>security,</w:t>
      </w:r>
      <w:r w:rsidRPr="008C0BE5">
        <w:rPr>
          <w:rFonts w:ascii="Arial" w:hAnsi="Arial" w:cs="Arial"/>
          <w:sz w:val="20"/>
          <w:szCs w:val="20"/>
        </w:rPr>
        <w:t xml:space="preserve"> and support for the economy.</w:t>
      </w:r>
    </w:p>
    <w:p w:rsidR="00B93F6C" w:rsidRPr="008C0BE5" w:rsidRDefault="00AC1980" w:rsidP="008C0BE5">
      <w:pPr>
        <w:pStyle w:val="ListParagraph"/>
        <w:numPr>
          <w:ilvl w:val="1"/>
          <w:numId w:val="1"/>
        </w:numPr>
        <w:spacing w:after="0" w:line="240" w:lineRule="auto"/>
        <w:rPr>
          <w:rFonts w:ascii="Arial" w:hAnsi="Arial" w:cs="Arial"/>
          <w:sz w:val="20"/>
          <w:szCs w:val="20"/>
        </w:rPr>
      </w:pPr>
      <w:r w:rsidRPr="008C0BE5">
        <w:rPr>
          <w:rFonts w:ascii="Arial" w:hAnsi="Arial" w:cs="Arial"/>
          <w:sz w:val="20"/>
          <w:szCs w:val="20"/>
        </w:rPr>
        <w:t>The Committee notes that over the years</w:t>
      </w:r>
      <w:r w:rsidR="00705DA4" w:rsidRPr="008C0BE5">
        <w:rPr>
          <w:rFonts w:ascii="Arial" w:hAnsi="Arial" w:cs="Arial"/>
          <w:sz w:val="20"/>
          <w:szCs w:val="20"/>
        </w:rPr>
        <w:t xml:space="preserve">, and despite these achievements, SARS has been </w:t>
      </w:r>
      <w:r w:rsidR="00556E62" w:rsidRPr="008C0BE5">
        <w:rPr>
          <w:rFonts w:ascii="Arial" w:hAnsi="Arial" w:cs="Arial"/>
          <w:sz w:val="20"/>
          <w:szCs w:val="20"/>
        </w:rPr>
        <w:t>underfunded.</w:t>
      </w:r>
      <w:r w:rsidR="00705DA4" w:rsidRPr="008C0BE5">
        <w:rPr>
          <w:rFonts w:ascii="Arial" w:hAnsi="Arial" w:cs="Arial"/>
          <w:sz w:val="20"/>
          <w:szCs w:val="20"/>
        </w:rPr>
        <w:t xml:space="preserve"> </w:t>
      </w:r>
      <w:r w:rsidR="00556E62" w:rsidRPr="008C0BE5">
        <w:rPr>
          <w:rFonts w:ascii="Arial" w:hAnsi="Arial" w:cs="Arial"/>
          <w:sz w:val="20"/>
          <w:szCs w:val="20"/>
        </w:rPr>
        <w:t xml:space="preserve">The Committee notes </w:t>
      </w:r>
      <w:r w:rsidR="00A55A01" w:rsidRPr="008C0BE5">
        <w:rPr>
          <w:rFonts w:ascii="Arial" w:hAnsi="Arial" w:cs="Arial"/>
          <w:sz w:val="20"/>
          <w:szCs w:val="20"/>
        </w:rPr>
        <w:t>the submission from the Commissioner of SARS, Mr Kieswetter</w:t>
      </w:r>
      <w:r w:rsidR="007B3682" w:rsidRPr="008C0BE5">
        <w:rPr>
          <w:rFonts w:ascii="Arial" w:hAnsi="Arial" w:cs="Arial"/>
          <w:sz w:val="20"/>
          <w:szCs w:val="20"/>
        </w:rPr>
        <w:t xml:space="preserve">, </w:t>
      </w:r>
      <w:r w:rsidR="00556E62" w:rsidRPr="008C0BE5">
        <w:rPr>
          <w:rFonts w:ascii="Arial" w:hAnsi="Arial" w:cs="Arial"/>
          <w:sz w:val="20"/>
          <w:szCs w:val="20"/>
        </w:rPr>
        <w:t xml:space="preserve">that according to the </w:t>
      </w:r>
      <w:r w:rsidR="00202605" w:rsidRPr="008C0BE5">
        <w:rPr>
          <w:rFonts w:ascii="Arial" w:hAnsi="Arial" w:cs="Arial"/>
          <w:sz w:val="20"/>
          <w:szCs w:val="20"/>
        </w:rPr>
        <w:t xml:space="preserve">Organisation for Economic Cooperation and Development (OECD) recommendation </w:t>
      </w:r>
      <w:r w:rsidR="004250E1" w:rsidRPr="008C0BE5">
        <w:rPr>
          <w:rFonts w:ascii="Arial" w:hAnsi="Arial" w:cs="Arial"/>
          <w:sz w:val="20"/>
          <w:szCs w:val="20"/>
        </w:rPr>
        <w:t>of cost-to-revenue collection for developing countries, SARS should be funded by R16</w:t>
      </w:r>
      <w:r w:rsidR="00877949" w:rsidRPr="008C0BE5">
        <w:rPr>
          <w:rFonts w:ascii="Arial" w:hAnsi="Arial" w:cs="Arial"/>
          <w:sz w:val="20"/>
          <w:szCs w:val="20"/>
        </w:rPr>
        <w:t>.87 billion</w:t>
      </w:r>
      <w:r w:rsidR="002A4D09" w:rsidRPr="008C0BE5">
        <w:rPr>
          <w:rFonts w:ascii="Arial" w:hAnsi="Arial" w:cs="Arial"/>
          <w:sz w:val="20"/>
          <w:szCs w:val="20"/>
        </w:rPr>
        <w:t xml:space="preserve"> (or 1% of net revenue</w:t>
      </w:r>
      <w:r w:rsidR="00D43C5E" w:rsidRPr="008C0BE5">
        <w:rPr>
          <w:rFonts w:ascii="Arial" w:hAnsi="Arial" w:cs="Arial"/>
          <w:sz w:val="20"/>
          <w:szCs w:val="20"/>
        </w:rPr>
        <w:t xml:space="preserve"> in 2022/23</w:t>
      </w:r>
      <w:r w:rsidR="002A4D09" w:rsidRPr="008C0BE5">
        <w:rPr>
          <w:rFonts w:ascii="Arial" w:hAnsi="Arial" w:cs="Arial"/>
          <w:sz w:val="20"/>
          <w:szCs w:val="20"/>
        </w:rPr>
        <w:t>)</w:t>
      </w:r>
      <w:r w:rsidR="00877949" w:rsidRPr="008C0BE5">
        <w:rPr>
          <w:rFonts w:ascii="Arial" w:hAnsi="Arial" w:cs="Arial"/>
          <w:sz w:val="20"/>
          <w:szCs w:val="20"/>
        </w:rPr>
        <w:t xml:space="preserve"> in 2023/24. </w:t>
      </w:r>
      <w:r w:rsidR="009A73FE" w:rsidRPr="008C0BE5">
        <w:rPr>
          <w:rFonts w:ascii="Arial" w:hAnsi="Arial" w:cs="Arial"/>
          <w:sz w:val="20"/>
          <w:szCs w:val="20"/>
        </w:rPr>
        <w:t xml:space="preserve">The Committee believes that SARS should be funded </w:t>
      </w:r>
      <w:r w:rsidR="00FE0D40" w:rsidRPr="008C0BE5">
        <w:rPr>
          <w:rFonts w:ascii="Arial" w:hAnsi="Arial" w:cs="Arial"/>
          <w:sz w:val="20"/>
          <w:szCs w:val="20"/>
        </w:rPr>
        <w:t xml:space="preserve">as recommended for it to </w:t>
      </w:r>
      <w:r w:rsidR="007D2DF8" w:rsidRPr="008C0BE5">
        <w:rPr>
          <w:rFonts w:ascii="Arial" w:hAnsi="Arial" w:cs="Arial"/>
          <w:sz w:val="20"/>
          <w:szCs w:val="20"/>
        </w:rPr>
        <w:t xml:space="preserve">maintain or </w:t>
      </w:r>
      <w:r w:rsidR="00FE0D40" w:rsidRPr="008C0BE5">
        <w:rPr>
          <w:rFonts w:ascii="Arial" w:hAnsi="Arial" w:cs="Arial"/>
          <w:sz w:val="20"/>
          <w:szCs w:val="20"/>
        </w:rPr>
        <w:t>i</w:t>
      </w:r>
      <w:r w:rsidR="0076389A" w:rsidRPr="008C0BE5">
        <w:rPr>
          <w:rFonts w:ascii="Arial" w:hAnsi="Arial" w:cs="Arial"/>
          <w:sz w:val="20"/>
          <w:szCs w:val="20"/>
        </w:rPr>
        <w:t xml:space="preserve">mprove </w:t>
      </w:r>
      <w:r w:rsidR="00FE0D40" w:rsidRPr="008C0BE5">
        <w:rPr>
          <w:rFonts w:ascii="Arial" w:hAnsi="Arial" w:cs="Arial"/>
          <w:sz w:val="20"/>
          <w:szCs w:val="20"/>
        </w:rPr>
        <w:t>its capacity</w:t>
      </w:r>
      <w:r w:rsidR="0076389A" w:rsidRPr="008C0BE5">
        <w:rPr>
          <w:rFonts w:ascii="Arial" w:hAnsi="Arial" w:cs="Arial"/>
          <w:sz w:val="20"/>
          <w:szCs w:val="20"/>
        </w:rPr>
        <w:t xml:space="preserve"> and its</w:t>
      </w:r>
      <w:r w:rsidR="00A12B66" w:rsidRPr="008C0BE5">
        <w:rPr>
          <w:rFonts w:ascii="Arial" w:hAnsi="Arial" w:cs="Arial"/>
          <w:sz w:val="20"/>
          <w:szCs w:val="20"/>
        </w:rPr>
        <w:t xml:space="preserve"> performance</w:t>
      </w:r>
      <w:r w:rsidR="003A2CB8" w:rsidRPr="008C0BE5">
        <w:rPr>
          <w:rFonts w:ascii="Arial" w:hAnsi="Arial" w:cs="Arial"/>
          <w:sz w:val="20"/>
          <w:szCs w:val="20"/>
        </w:rPr>
        <w:t xml:space="preserve">, which </w:t>
      </w:r>
      <w:r w:rsidR="000F74AF" w:rsidRPr="008C0BE5">
        <w:rPr>
          <w:rFonts w:ascii="Arial" w:hAnsi="Arial" w:cs="Arial"/>
          <w:sz w:val="20"/>
          <w:szCs w:val="20"/>
        </w:rPr>
        <w:t>is c</w:t>
      </w:r>
      <w:r w:rsidR="003A2CB8" w:rsidRPr="008C0BE5">
        <w:rPr>
          <w:rFonts w:ascii="Arial" w:hAnsi="Arial" w:cs="Arial"/>
          <w:sz w:val="20"/>
          <w:szCs w:val="20"/>
        </w:rPr>
        <w:t xml:space="preserve">learly not aligned to its spending as it only achieved </w:t>
      </w:r>
      <w:r w:rsidR="00C16CFD" w:rsidRPr="008C0BE5">
        <w:rPr>
          <w:rFonts w:ascii="Arial" w:hAnsi="Arial" w:cs="Arial"/>
          <w:sz w:val="20"/>
          <w:szCs w:val="20"/>
        </w:rPr>
        <w:t xml:space="preserve">68.8 per cent </w:t>
      </w:r>
      <w:r w:rsidR="00202D64" w:rsidRPr="008C0BE5">
        <w:rPr>
          <w:rFonts w:ascii="Arial" w:hAnsi="Arial" w:cs="Arial"/>
          <w:sz w:val="20"/>
          <w:szCs w:val="20"/>
        </w:rPr>
        <w:t xml:space="preserve">of </w:t>
      </w:r>
      <w:r w:rsidR="000F74AF" w:rsidRPr="008C0BE5">
        <w:rPr>
          <w:rFonts w:ascii="Arial" w:hAnsi="Arial" w:cs="Arial"/>
          <w:sz w:val="20"/>
          <w:szCs w:val="20"/>
        </w:rPr>
        <w:t xml:space="preserve">its </w:t>
      </w:r>
      <w:r w:rsidR="00202D64" w:rsidRPr="008C0BE5">
        <w:rPr>
          <w:rFonts w:ascii="Arial" w:hAnsi="Arial" w:cs="Arial"/>
          <w:sz w:val="20"/>
          <w:szCs w:val="20"/>
        </w:rPr>
        <w:t xml:space="preserve">targets </w:t>
      </w:r>
      <w:r w:rsidR="000F74AF" w:rsidRPr="008C0BE5">
        <w:rPr>
          <w:rFonts w:ascii="Arial" w:hAnsi="Arial" w:cs="Arial"/>
          <w:sz w:val="20"/>
          <w:szCs w:val="20"/>
        </w:rPr>
        <w:t xml:space="preserve">against </w:t>
      </w:r>
      <w:r w:rsidR="00202D64" w:rsidRPr="008C0BE5">
        <w:rPr>
          <w:rFonts w:ascii="Arial" w:hAnsi="Arial" w:cs="Arial"/>
          <w:sz w:val="20"/>
          <w:szCs w:val="20"/>
        </w:rPr>
        <w:t xml:space="preserve">100% </w:t>
      </w:r>
      <w:r w:rsidR="00725F32" w:rsidRPr="008C0BE5">
        <w:rPr>
          <w:rFonts w:ascii="Arial" w:hAnsi="Arial" w:cs="Arial"/>
          <w:sz w:val="20"/>
          <w:szCs w:val="20"/>
        </w:rPr>
        <w:t xml:space="preserve">budget </w:t>
      </w:r>
      <w:r w:rsidR="000F74AF" w:rsidRPr="008C0BE5">
        <w:rPr>
          <w:rFonts w:ascii="Arial" w:hAnsi="Arial" w:cs="Arial"/>
          <w:sz w:val="20"/>
          <w:szCs w:val="20"/>
        </w:rPr>
        <w:t xml:space="preserve">expenditure </w:t>
      </w:r>
      <w:r w:rsidR="008975FA" w:rsidRPr="008C0BE5">
        <w:rPr>
          <w:rFonts w:ascii="Arial" w:hAnsi="Arial" w:cs="Arial"/>
          <w:sz w:val="20"/>
          <w:szCs w:val="20"/>
        </w:rPr>
        <w:t>in</w:t>
      </w:r>
      <w:r w:rsidR="00202D64" w:rsidRPr="008C0BE5">
        <w:rPr>
          <w:rFonts w:ascii="Arial" w:hAnsi="Arial" w:cs="Arial"/>
          <w:sz w:val="20"/>
          <w:szCs w:val="20"/>
        </w:rPr>
        <w:t xml:space="preserve"> 2022/23.</w:t>
      </w:r>
      <w:r w:rsidR="002D2F56" w:rsidRPr="008C0BE5">
        <w:rPr>
          <w:rFonts w:ascii="Arial" w:hAnsi="Arial" w:cs="Arial"/>
          <w:sz w:val="20"/>
          <w:szCs w:val="20"/>
        </w:rPr>
        <w:t xml:space="preserve"> </w:t>
      </w:r>
    </w:p>
    <w:p w:rsidR="006126EE" w:rsidRPr="008C0BE5" w:rsidRDefault="00B93F6C" w:rsidP="008C0BE5">
      <w:pPr>
        <w:pStyle w:val="ListParagraph"/>
        <w:numPr>
          <w:ilvl w:val="1"/>
          <w:numId w:val="1"/>
        </w:numPr>
        <w:spacing w:after="0" w:line="240" w:lineRule="auto"/>
        <w:rPr>
          <w:rFonts w:ascii="Arial" w:hAnsi="Arial" w:cs="Arial"/>
          <w:sz w:val="20"/>
          <w:szCs w:val="20"/>
        </w:rPr>
      </w:pPr>
      <w:r w:rsidRPr="008C0BE5">
        <w:rPr>
          <w:rFonts w:ascii="Arial" w:hAnsi="Arial" w:cs="Arial"/>
          <w:sz w:val="20"/>
          <w:szCs w:val="20"/>
        </w:rPr>
        <w:t xml:space="preserve">The Committee further notes that the impact of the underfunding of SARS has led to a contraction of headcount by 1.06% and a decline in capital expenditure by 5.60%. </w:t>
      </w:r>
      <w:r w:rsidR="00E519F4" w:rsidRPr="008C0BE5">
        <w:rPr>
          <w:rFonts w:ascii="Arial" w:hAnsi="Arial" w:cs="Arial"/>
          <w:sz w:val="20"/>
          <w:szCs w:val="20"/>
        </w:rPr>
        <w:t xml:space="preserve">Other impacts are that SARS struggles </w:t>
      </w:r>
      <w:r w:rsidR="00D04B50" w:rsidRPr="008C0BE5">
        <w:rPr>
          <w:rFonts w:ascii="Arial" w:hAnsi="Arial" w:cs="Arial"/>
          <w:sz w:val="20"/>
          <w:szCs w:val="20"/>
        </w:rPr>
        <w:t>to</w:t>
      </w:r>
      <w:r w:rsidR="00E519F4" w:rsidRPr="008C0BE5">
        <w:rPr>
          <w:rFonts w:ascii="Arial" w:hAnsi="Arial" w:cs="Arial"/>
          <w:sz w:val="20"/>
          <w:szCs w:val="20"/>
        </w:rPr>
        <w:t xml:space="preserve"> replace critical skills</w:t>
      </w:r>
      <w:r w:rsidR="008975FA" w:rsidRPr="008C0BE5">
        <w:rPr>
          <w:rFonts w:ascii="Arial" w:hAnsi="Arial" w:cs="Arial"/>
          <w:sz w:val="20"/>
          <w:szCs w:val="20"/>
        </w:rPr>
        <w:t>,</w:t>
      </w:r>
      <w:r w:rsidR="00EA38BA" w:rsidRPr="008C0BE5">
        <w:rPr>
          <w:rFonts w:ascii="Arial" w:hAnsi="Arial" w:cs="Arial"/>
          <w:sz w:val="20"/>
          <w:szCs w:val="20"/>
        </w:rPr>
        <w:t xml:space="preserve"> </w:t>
      </w:r>
      <w:r w:rsidR="006F40B3" w:rsidRPr="008C0BE5">
        <w:rPr>
          <w:rFonts w:ascii="Arial" w:hAnsi="Arial" w:cs="Arial"/>
          <w:sz w:val="20"/>
          <w:szCs w:val="20"/>
        </w:rPr>
        <w:t xml:space="preserve">attract and retain </w:t>
      </w:r>
      <w:r w:rsidR="00D04B50" w:rsidRPr="008C0BE5">
        <w:rPr>
          <w:rFonts w:ascii="Arial" w:hAnsi="Arial" w:cs="Arial"/>
          <w:sz w:val="20"/>
          <w:szCs w:val="20"/>
        </w:rPr>
        <w:t>scarce talent</w:t>
      </w:r>
      <w:r w:rsidR="008975FA" w:rsidRPr="008C0BE5">
        <w:rPr>
          <w:rFonts w:ascii="Arial" w:hAnsi="Arial" w:cs="Arial"/>
          <w:sz w:val="20"/>
          <w:szCs w:val="20"/>
        </w:rPr>
        <w:t>,</w:t>
      </w:r>
      <w:r w:rsidR="00D04B50" w:rsidRPr="008C0BE5">
        <w:rPr>
          <w:rFonts w:ascii="Arial" w:hAnsi="Arial" w:cs="Arial"/>
          <w:sz w:val="20"/>
          <w:szCs w:val="20"/>
        </w:rPr>
        <w:t xml:space="preserve"> </w:t>
      </w:r>
      <w:r w:rsidR="00EA38BA" w:rsidRPr="008C0BE5">
        <w:rPr>
          <w:rFonts w:ascii="Arial" w:hAnsi="Arial" w:cs="Arial"/>
          <w:sz w:val="20"/>
          <w:szCs w:val="20"/>
        </w:rPr>
        <w:t xml:space="preserve">maintain </w:t>
      </w:r>
      <w:r w:rsidR="00240D8B" w:rsidRPr="008C0BE5">
        <w:rPr>
          <w:rFonts w:ascii="Arial" w:hAnsi="Arial" w:cs="Arial"/>
          <w:sz w:val="20"/>
          <w:szCs w:val="20"/>
        </w:rPr>
        <w:t>its current technology infrastructure</w:t>
      </w:r>
      <w:r w:rsidR="00194A48" w:rsidRPr="008C0BE5">
        <w:rPr>
          <w:rFonts w:ascii="Arial" w:hAnsi="Arial" w:cs="Arial"/>
          <w:sz w:val="20"/>
          <w:szCs w:val="20"/>
        </w:rPr>
        <w:t>,</w:t>
      </w:r>
      <w:r w:rsidR="00240D8B" w:rsidRPr="008C0BE5">
        <w:rPr>
          <w:rFonts w:ascii="Arial" w:hAnsi="Arial" w:cs="Arial"/>
          <w:sz w:val="20"/>
          <w:szCs w:val="20"/>
        </w:rPr>
        <w:t xml:space="preserve"> </w:t>
      </w:r>
      <w:r w:rsidR="00D04B50" w:rsidRPr="008C0BE5">
        <w:rPr>
          <w:rFonts w:ascii="Arial" w:hAnsi="Arial" w:cs="Arial"/>
          <w:sz w:val="20"/>
          <w:szCs w:val="20"/>
        </w:rPr>
        <w:t xml:space="preserve">and </w:t>
      </w:r>
      <w:r w:rsidR="00240D8B" w:rsidRPr="008C0BE5">
        <w:rPr>
          <w:rFonts w:ascii="Arial" w:hAnsi="Arial" w:cs="Arial"/>
          <w:sz w:val="20"/>
          <w:szCs w:val="20"/>
        </w:rPr>
        <w:t>invest in</w:t>
      </w:r>
      <w:r w:rsidR="00681C12" w:rsidRPr="008C0BE5">
        <w:rPr>
          <w:rFonts w:ascii="Arial" w:hAnsi="Arial" w:cs="Arial"/>
          <w:sz w:val="20"/>
          <w:szCs w:val="20"/>
        </w:rPr>
        <w:t xml:space="preserve"> modernisation</w:t>
      </w:r>
      <w:r w:rsidR="00D04B50" w:rsidRPr="008C0BE5">
        <w:rPr>
          <w:rFonts w:ascii="Arial" w:hAnsi="Arial" w:cs="Arial"/>
          <w:sz w:val="20"/>
          <w:szCs w:val="20"/>
        </w:rPr>
        <w:t xml:space="preserve">. While </w:t>
      </w:r>
      <w:r w:rsidR="00C83FEF" w:rsidRPr="008C0BE5">
        <w:rPr>
          <w:rFonts w:ascii="Arial" w:hAnsi="Arial" w:cs="Arial"/>
          <w:sz w:val="20"/>
          <w:szCs w:val="20"/>
        </w:rPr>
        <w:t xml:space="preserve">the Committee acknowledges that SARS’ budget has been </w:t>
      </w:r>
      <w:r w:rsidR="00D74DA6" w:rsidRPr="008C0BE5">
        <w:rPr>
          <w:rFonts w:ascii="Arial" w:hAnsi="Arial" w:cs="Arial"/>
          <w:sz w:val="20"/>
          <w:szCs w:val="20"/>
        </w:rPr>
        <w:t xml:space="preserve">favourably </w:t>
      </w:r>
      <w:r w:rsidR="00C83FEF" w:rsidRPr="008C0BE5">
        <w:rPr>
          <w:rFonts w:ascii="Arial" w:hAnsi="Arial" w:cs="Arial"/>
          <w:sz w:val="20"/>
          <w:szCs w:val="20"/>
        </w:rPr>
        <w:t>increasing</w:t>
      </w:r>
      <w:r w:rsidR="00AC10D3" w:rsidRPr="008C0BE5">
        <w:rPr>
          <w:rFonts w:ascii="Arial" w:hAnsi="Arial" w:cs="Arial"/>
          <w:sz w:val="20"/>
          <w:szCs w:val="20"/>
        </w:rPr>
        <w:t xml:space="preserve"> in past few years</w:t>
      </w:r>
      <w:r w:rsidR="00D74DA6" w:rsidRPr="008C0BE5">
        <w:rPr>
          <w:rFonts w:ascii="Arial" w:hAnsi="Arial" w:cs="Arial"/>
          <w:sz w:val="20"/>
          <w:szCs w:val="20"/>
        </w:rPr>
        <w:t>, it</w:t>
      </w:r>
      <w:r w:rsidR="002D2F56" w:rsidRPr="008C0BE5">
        <w:rPr>
          <w:rFonts w:ascii="Arial" w:hAnsi="Arial" w:cs="Arial"/>
          <w:sz w:val="20"/>
          <w:szCs w:val="20"/>
        </w:rPr>
        <w:t xml:space="preserve"> will </w:t>
      </w:r>
      <w:r w:rsidR="00D74DA6" w:rsidRPr="008C0BE5">
        <w:rPr>
          <w:rFonts w:ascii="Arial" w:hAnsi="Arial" w:cs="Arial"/>
          <w:sz w:val="20"/>
          <w:szCs w:val="20"/>
        </w:rPr>
        <w:t xml:space="preserve">further </w:t>
      </w:r>
      <w:r w:rsidR="002D2F56" w:rsidRPr="008C0BE5">
        <w:rPr>
          <w:rFonts w:ascii="Arial" w:hAnsi="Arial" w:cs="Arial"/>
          <w:sz w:val="20"/>
          <w:szCs w:val="20"/>
        </w:rPr>
        <w:t xml:space="preserve">engage the Minister on </w:t>
      </w:r>
      <w:r w:rsidR="002A3B59" w:rsidRPr="008C0BE5">
        <w:rPr>
          <w:rFonts w:ascii="Arial" w:hAnsi="Arial" w:cs="Arial"/>
          <w:sz w:val="20"/>
          <w:szCs w:val="20"/>
        </w:rPr>
        <w:t>SARS’</w:t>
      </w:r>
      <w:r w:rsidR="002D2F56" w:rsidRPr="008C0BE5">
        <w:rPr>
          <w:rFonts w:ascii="Arial" w:hAnsi="Arial" w:cs="Arial"/>
          <w:sz w:val="20"/>
          <w:szCs w:val="20"/>
        </w:rPr>
        <w:t xml:space="preserve"> </w:t>
      </w:r>
      <w:r w:rsidR="002A3B59" w:rsidRPr="008C0BE5">
        <w:rPr>
          <w:rFonts w:ascii="Arial" w:hAnsi="Arial" w:cs="Arial"/>
          <w:sz w:val="20"/>
          <w:szCs w:val="20"/>
        </w:rPr>
        <w:t xml:space="preserve">underfunding </w:t>
      </w:r>
      <w:r w:rsidR="002D2F56" w:rsidRPr="008C0BE5">
        <w:rPr>
          <w:rFonts w:ascii="Arial" w:hAnsi="Arial" w:cs="Arial"/>
          <w:sz w:val="20"/>
          <w:szCs w:val="20"/>
        </w:rPr>
        <w:t xml:space="preserve">during the budgetary review and recommendations process later </w:t>
      </w:r>
      <w:r w:rsidR="00D8747F" w:rsidRPr="008C0BE5">
        <w:rPr>
          <w:rFonts w:ascii="Arial" w:hAnsi="Arial" w:cs="Arial"/>
          <w:sz w:val="20"/>
          <w:szCs w:val="20"/>
        </w:rPr>
        <w:t xml:space="preserve">in the </w:t>
      </w:r>
      <w:r w:rsidR="002D2F56" w:rsidRPr="008C0BE5">
        <w:rPr>
          <w:rFonts w:ascii="Arial" w:hAnsi="Arial" w:cs="Arial"/>
          <w:sz w:val="20"/>
          <w:szCs w:val="20"/>
        </w:rPr>
        <w:t xml:space="preserve">year. </w:t>
      </w:r>
      <w:r w:rsidR="00202D64" w:rsidRPr="008C0BE5">
        <w:rPr>
          <w:rFonts w:ascii="Arial" w:hAnsi="Arial" w:cs="Arial"/>
          <w:sz w:val="20"/>
          <w:szCs w:val="20"/>
        </w:rPr>
        <w:t xml:space="preserve"> </w:t>
      </w:r>
    </w:p>
    <w:p w:rsidR="006D641B" w:rsidRPr="008C0BE5" w:rsidRDefault="006D641B" w:rsidP="008C0BE5">
      <w:pPr>
        <w:pStyle w:val="ListParagraph"/>
        <w:numPr>
          <w:ilvl w:val="1"/>
          <w:numId w:val="1"/>
        </w:numPr>
        <w:spacing w:after="0" w:line="240" w:lineRule="auto"/>
        <w:rPr>
          <w:rFonts w:ascii="Arial" w:hAnsi="Arial" w:cs="Arial"/>
          <w:sz w:val="20"/>
          <w:szCs w:val="20"/>
        </w:rPr>
      </w:pPr>
      <w:r w:rsidRPr="008C0BE5">
        <w:rPr>
          <w:rFonts w:ascii="Arial" w:hAnsi="Arial" w:cs="Arial"/>
          <w:sz w:val="20"/>
          <w:szCs w:val="20"/>
        </w:rPr>
        <w:t>The Committee is concerned about the attrition rate</w:t>
      </w:r>
      <w:r w:rsidR="00027B12" w:rsidRPr="008C0BE5">
        <w:rPr>
          <w:rFonts w:ascii="Arial" w:hAnsi="Arial" w:cs="Arial"/>
          <w:sz w:val="20"/>
          <w:szCs w:val="20"/>
        </w:rPr>
        <w:t xml:space="preserve">, which equates </w:t>
      </w:r>
      <w:r w:rsidR="00F20D75" w:rsidRPr="008C0BE5">
        <w:rPr>
          <w:rFonts w:ascii="Arial" w:hAnsi="Arial" w:cs="Arial"/>
          <w:sz w:val="20"/>
          <w:szCs w:val="20"/>
        </w:rPr>
        <w:t xml:space="preserve">to </w:t>
      </w:r>
      <w:r w:rsidR="00027B12" w:rsidRPr="008C0BE5">
        <w:rPr>
          <w:rFonts w:ascii="Arial" w:hAnsi="Arial" w:cs="Arial"/>
          <w:sz w:val="20"/>
          <w:szCs w:val="20"/>
        </w:rPr>
        <w:t xml:space="preserve">956 </w:t>
      </w:r>
      <w:r w:rsidR="00A53841" w:rsidRPr="008C0BE5">
        <w:rPr>
          <w:rFonts w:ascii="Arial" w:hAnsi="Arial" w:cs="Arial"/>
          <w:sz w:val="20"/>
          <w:szCs w:val="20"/>
        </w:rPr>
        <w:t xml:space="preserve">employees </w:t>
      </w:r>
      <w:r w:rsidR="00027B12" w:rsidRPr="008C0BE5">
        <w:rPr>
          <w:rFonts w:ascii="Arial" w:hAnsi="Arial" w:cs="Arial"/>
          <w:sz w:val="20"/>
          <w:szCs w:val="20"/>
        </w:rPr>
        <w:t>year to date</w:t>
      </w:r>
      <w:r w:rsidR="009B754D" w:rsidRPr="008C0BE5">
        <w:rPr>
          <w:rFonts w:ascii="Arial" w:hAnsi="Arial" w:cs="Arial"/>
          <w:sz w:val="20"/>
          <w:szCs w:val="20"/>
        </w:rPr>
        <w:t xml:space="preserve">, stemming from </w:t>
      </w:r>
      <w:r w:rsidR="00BA204D" w:rsidRPr="008C0BE5">
        <w:rPr>
          <w:rFonts w:ascii="Arial" w:hAnsi="Arial" w:cs="Arial"/>
          <w:sz w:val="20"/>
          <w:szCs w:val="20"/>
        </w:rPr>
        <w:t xml:space="preserve">mainly </w:t>
      </w:r>
      <w:r w:rsidR="009B754D" w:rsidRPr="008C0BE5">
        <w:rPr>
          <w:rFonts w:ascii="Arial" w:hAnsi="Arial" w:cs="Arial"/>
          <w:sz w:val="20"/>
          <w:szCs w:val="20"/>
        </w:rPr>
        <w:t>contract expiry (42.29%)</w:t>
      </w:r>
      <w:r w:rsidR="00BA204D" w:rsidRPr="008C0BE5">
        <w:rPr>
          <w:rFonts w:ascii="Arial" w:hAnsi="Arial" w:cs="Arial"/>
          <w:sz w:val="20"/>
          <w:szCs w:val="20"/>
        </w:rPr>
        <w:t>,</w:t>
      </w:r>
      <w:r w:rsidR="009B754D" w:rsidRPr="008C0BE5">
        <w:rPr>
          <w:rFonts w:ascii="Arial" w:hAnsi="Arial" w:cs="Arial"/>
          <w:sz w:val="20"/>
          <w:szCs w:val="20"/>
        </w:rPr>
        <w:t xml:space="preserve"> resignations (</w:t>
      </w:r>
      <w:r w:rsidR="003C77CA" w:rsidRPr="008C0BE5">
        <w:rPr>
          <w:rFonts w:ascii="Arial" w:hAnsi="Arial" w:cs="Arial"/>
          <w:sz w:val="20"/>
          <w:szCs w:val="20"/>
        </w:rPr>
        <w:t xml:space="preserve">31.49%) </w:t>
      </w:r>
      <w:r w:rsidR="00BA204D" w:rsidRPr="008C0BE5">
        <w:rPr>
          <w:rFonts w:ascii="Arial" w:hAnsi="Arial" w:cs="Arial"/>
          <w:sz w:val="20"/>
          <w:szCs w:val="20"/>
        </w:rPr>
        <w:t xml:space="preserve">and </w:t>
      </w:r>
      <w:r w:rsidR="00B811AA" w:rsidRPr="008C0BE5">
        <w:rPr>
          <w:rFonts w:ascii="Arial" w:hAnsi="Arial" w:cs="Arial"/>
          <w:sz w:val="20"/>
          <w:szCs w:val="20"/>
        </w:rPr>
        <w:t>retirement (16.74%)</w:t>
      </w:r>
      <w:r w:rsidR="00A53841" w:rsidRPr="008C0BE5">
        <w:rPr>
          <w:rFonts w:ascii="Arial" w:hAnsi="Arial" w:cs="Arial"/>
          <w:sz w:val="20"/>
          <w:szCs w:val="20"/>
        </w:rPr>
        <w:t>.</w:t>
      </w:r>
      <w:r w:rsidR="00B811AA" w:rsidRPr="008C0BE5">
        <w:rPr>
          <w:rFonts w:ascii="Arial" w:hAnsi="Arial" w:cs="Arial"/>
          <w:sz w:val="20"/>
          <w:szCs w:val="20"/>
        </w:rPr>
        <w:t xml:space="preserve"> </w:t>
      </w:r>
      <w:r w:rsidRPr="008C0BE5">
        <w:rPr>
          <w:rFonts w:ascii="Arial" w:hAnsi="Arial" w:cs="Arial"/>
          <w:sz w:val="20"/>
          <w:szCs w:val="20"/>
        </w:rPr>
        <w:t xml:space="preserve">The Committee further notes that although the Employee Engagement </w:t>
      </w:r>
      <w:r w:rsidR="003C77CA" w:rsidRPr="008C0BE5">
        <w:rPr>
          <w:rFonts w:ascii="Arial" w:hAnsi="Arial" w:cs="Arial"/>
          <w:sz w:val="20"/>
          <w:szCs w:val="20"/>
        </w:rPr>
        <w:t>I</w:t>
      </w:r>
      <w:r w:rsidRPr="008C0BE5">
        <w:rPr>
          <w:rFonts w:ascii="Arial" w:hAnsi="Arial" w:cs="Arial"/>
          <w:sz w:val="20"/>
          <w:szCs w:val="20"/>
        </w:rPr>
        <w:t>ndex</w:t>
      </w:r>
      <w:r w:rsidR="00F56420" w:rsidRPr="008C0BE5">
        <w:rPr>
          <w:rFonts w:ascii="Arial" w:hAnsi="Arial" w:cs="Arial"/>
          <w:sz w:val="20"/>
          <w:szCs w:val="20"/>
        </w:rPr>
        <w:t>, according to SARS’ Survey,</w:t>
      </w:r>
      <w:r w:rsidRPr="008C0BE5">
        <w:rPr>
          <w:rFonts w:ascii="Arial" w:hAnsi="Arial" w:cs="Arial"/>
          <w:sz w:val="20"/>
          <w:szCs w:val="20"/>
        </w:rPr>
        <w:t xml:space="preserve"> </w:t>
      </w:r>
      <w:r w:rsidR="000B4848" w:rsidRPr="008C0BE5">
        <w:rPr>
          <w:rFonts w:ascii="Arial" w:hAnsi="Arial" w:cs="Arial"/>
          <w:sz w:val="20"/>
          <w:szCs w:val="20"/>
        </w:rPr>
        <w:t>improved by</w:t>
      </w:r>
      <w:r w:rsidRPr="008C0BE5">
        <w:rPr>
          <w:rFonts w:ascii="Arial" w:hAnsi="Arial" w:cs="Arial"/>
          <w:sz w:val="20"/>
          <w:szCs w:val="20"/>
        </w:rPr>
        <w:t xml:space="preserve"> 7.8% from 61,6 to 69,4</w:t>
      </w:r>
      <w:r w:rsidR="00F56420" w:rsidRPr="008C0BE5">
        <w:rPr>
          <w:rFonts w:ascii="Arial" w:hAnsi="Arial" w:cs="Arial"/>
          <w:sz w:val="20"/>
          <w:szCs w:val="20"/>
        </w:rPr>
        <w:t>%</w:t>
      </w:r>
      <w:r w:rsidRPr="008C0BE5">
        <w:rPr>
          <w:rFonts w:ascii="Arial" w:hAnsi="Arial" w:cs="Arial"/>
          <w:sz w:val="20"/>
          <w:szCs w:val="20"/>
        </w:rPr>
        <w:t xml:space="preserve">, the survey response rate </w:t>
      </w:r>
      <w:r w:rsidR="0084401A" w:rsidRPr="008C0BE5">
        <w:rPr>
          <w:rFonts w:ascii="Arial" w:hAnsi="Arial" w:cs="Arial"/>
          <w:sz w:val="20"/>
          <w:szCs w:val="20"/>
        </w:rPr>
        <w:t>declined</w:t>
      </w:r>
      <w:r w:rsidRPr="008C0BE5">
        <w:rPr>
          <w:rFonts w:ascii="Arial" w:hAnsi="Arial" w:cs="Arial"/>
          <w:sz w:val="20"/>
          <w:szCs w:val="20"/>
        </w:rPr>
        <w:t xml:space="preserve"> from 76% to 69%.</w:t>
      </w:r>
      <w:r w:rsidR="001D6671" w:rsidRPr="008C0BE5">
        <w:rPr>
          <w:rFonts w:ascii="Arial" w:hAnsi="Arial" w:cs="Arial"/>
          <w:sz w:val="20"/>
          <w:szCs w:val="20"/>
        </w:rPr>
        <w:t xml:space="preserve"> The </w:t>
      </w:r>
      <w:r w:rsidR="0084642B" w:rsidRPr="008C0BE5">
        <w:rPr>
          <w:rFonts w:ascii="Arial" w:hAnsi="Arial" w:cs="Arial"/>
          <w:sz w:val="20"/>
          <w:szCs w:val="20"/>
        </w:rPr>
        <w:t xml:space="preserve">Committee recommends that SARS intensifies its employee engagement and put mechanisms in place </w:t>
      </w:r>
      <w:r w:rsidR="006E6C19" w:rsidRPr="008C0BE5">
        <w:rPr>
          <w:rFonts w:ascii="Arial" w:hAnsi="Arial" w:cs="Arial"/>
          <w:sz w:val="20"/>
          <w:szCs w:val="20"/>
        </w:rPr>
        <w:t xml:space="preserve">to retain critical skills, especially those lost through contract expiry and resignations. </w:t>
      </w:r>
    </w:p>
    <w:p w:rsidR="004521FC" w:rsidRPr="008C0BE5" w:rsidRDefault="00D70E8E" w:rsidP="008C0BE5">
      <w:pPr>
        <w:pStyle w:val="ListParagraph"/>
        <w:numPr>
          <w:ilvl w:val="1"/>
          <w:numId w:val="1"/>
        </w:numPr>
        <w:spacing w:after="0" w:line="240" w:lineRule="auto"/>
        <w:rPr>
          <w:rFonts w:ascii="Arial" w:hAnsi="Arial" w:cs="Arial"/>
          <w:sz w:val="20"/>
          <w:szCs w:val="20"/>
        </w:rPr>
      </w:pPr>
      <w:r w:rsidRPr="008C0BE5">
        <w:rPr>
          <w:rFonts w:ascii="Arial" w:hAnsi="Arial" w:cs="Arial"/>
          <w:sz w:val="20"/>
          <w:szCs w:val="20"/>
        </w:rPr>
        <w:t xml:space="preserve">The Committee notes that </w:t>
      </w:r>
      <w:r w:rsidR="00CC7866" w:rsidRPr="008C0BE5">
        <w:rPr>
          <w:rFonts w:ascii="Arial" w:hAnsi="Arial" w:cs="Arial"/>
          <w:sz w:val="20"/>
          <w:szCs w:val="20"/>
        </w:rPr>
        <w:t xml:space="preserve">the </w:t>
      </w:r>
      <w:r w:rsidR="00C56205" w:rsidRPr="008C0BE5">
        <w:rPr>
          <w:rFonts w:ascii="Arial" w:hAnsi="Arial" w:cs="Arial"/>
          <w:sz w:val="20"/>
          <w:szCs w:val="20"/>
        </w:rPr>
        <w:t xml:space="preserve">appointment system of SARS </w:t>
      </w:r>
      <w:r w:rsidR="00B864E8" w:rsidRPr="008C0BE5">
        <w:rPr>
          <w:rFonts w:ascii="Arial" w:hAnsi="Arial" w:cs="Arial"/>
          <w:sz w:val="20"/>
          <w:szCs w:val="20"/>
        </w:rPr>
        <w:t xml:space="preserve">could be exclusionary </w:t>
      </w:r>
      <w:r w:rsidR="00117482" w:rsidRPr="008C0BE5">
        <w:rPr>
          <w:rFonts w:ascii="Arial" w:hAnsi="Arial" w:cs="Arial"/>
          <w:sz w:val="20"/>
          <w:szCs w:val="20"/>
        </w:rPr>
        <w:t xml:space="preserve">and tantamount to denial of service </w:t>
      </w:r>
      <w:r w:rsidR="00961492" w:rsidRPr="008C0BE5">
        <w:rPr>
          <w:rFonts w:ascii="Arial" w:hAnsi="Arial" w:cs="Arial"/>
          <w:sz w:val="20"/>
          <w:szCs w:val="20"/>
        </w:rPr>
        <w:t xml:space="preserve">to </w:t>
      </w:r>
      <w:r w:rsidR="003005AE" w:rsidRPr="008C0BE5">
        <w:rPr>
          <w:rFonts w:ascii="Arial" w:hAnsi="Arial" w:cs="Arial"/>
          <w:sz w:val="20"/>
          <w:szCs w:val="20"/>
        </w:rPr>
        <w:t>some of its customers, especially</w:t>
      </w:r>
      <w:r w:rsidR="00961492" w:rsidRPr="008C0BE5">
        <w:rPr>
          <w:rFonts w:ascii="Arial" w:hAnsi="Arial" w:cs="Arial"/>
          <w:sz w:val="20"/>
          <w:szCs w:val="20"/>
        </w:rPr>
        <w:t xml:space="preserve"> working class </w:t>
      </w:r>
      <w:r w:rsidR="00432D85" w:rsidRPr="008C0BE5">
        <w:rPr>
          <w:rFonts w:ascii="Arial" w:hAnsi="Arial" w:cs="Arial"/>
          <w:sz w:val="20"/>
          <w:szCs w:val="20"/>
        </w:rPr>
        <w:t>and the poor.</w:t>
      </w:r>
      <w:r w:rsidR="00B87202" w:rsidRPr="008C0BE5">
        <w:rPr>
          <w:rFonts w:ascii="Arial" w:hAnsi="Arial" w:cs="Arial"/>
          <w:sz w:val="20"/>
          <w:szCs w:val="20"/>
        </w:rPr>
        <w:t xml:space="preserve"> While in the country most people have got </w:t>
      </w:r>
      <w:r w:rsidR="001726EA" w:rsidRPr="008C0BE5">
        <w:rPr>
          <w:rFonts w:ascii="Arial" w:hAnsi="Arial" w:cs="Arial"/>
          <w:sz w:val="20"/>
          <w:szCs w:val="20"/>
        </w:rPr>
        <w:t>mobile phones</w:t>
      </w:r>
      <w:r w:rsidR="00B87202" w:rsidRPr="008C0BE5">
        <w:rPr>
          <w:rFonts w:ascii="Arial" w:hAnsi="Arial" w:cs="Arial"/>
          <w:sz w:val="20"/>
          <w:szCs w:val="20"/>
        </w:rPr>
        <w:t xml:space="preserve">, </w:t>
      </w:r>
      <w:r w:rsidR="0029369F" w:rsidRPr="008C0BE5">
        <w:rPr>
          <w:rFonts w:ascii="Arial" w:hAnsi="Arial" w:cs="Arial"/>
          <w:sz w:val="20"/>
          <w:szCs w:val="20"/>
        </w:rPr>
        <w:t xml:space="preserve">most customers may not be tech-savvy or have smartphones. </w:t>
      </w:r>
      <w:r w:rsidR="007C2EC4" w:rsidRPr="008C0BE5">
        <w:rPr>
          <w:rFonts w:ascii="Arial" w:hAnsi="Arial" w:cs="Arial"/>
          <w:sz w:val="20"/>
          <w:szCs w:val="20"/>
        </w:rPr>
        <w:t xml:space="preserve">The Committee </w:t>
      </w:r>
      <w:r w:rsidR="00321D5F" w:rsidRPr="008C0BE5">
        <w:rPr>
          <w:rFonts w:ascii="Arial" w:hAnsi="Arial" w:cs="Arial"/>
          <w:sz w:val="20"/>
          <w:szCs w:val="20"/>
        </w:rPr>
        <w:t>acknowledges</w:t>
      </w:r>
      <w:r w:rsidR="008C44CA" w:rsidRPr="008C0BE5">
        <w:rPr>
          <w:rFonts w:ascii="Arial" w:hAnsi="Arial" w:cs="Arial"/>
          <w:sz w:val="20"/>
          <w:szCs w:val="20"/>
        </w:rPr>
        <w:t xml:space="preserve"> and supports </w:t>
      </w:r>
      <w:r w:rsidR="00FE007C" w:rsidRPr="008C0BE5">
        <w:rPr>
          <w:rFonts w:ascii="Arial" w:hAnsi="Arial" w:cs="Arial"/>
          <w:sz w:val="20"/>
          <w:szCs w:val="20"/>
        </w:rPr>
        <w:t xml:space="preserve">building a smart and </w:t>
      </w:r>
      <w:r w:rsidR="008C44CA" w:rsidRPr="008C0BE5">
        <w:rPr>
          <w:rFonts w:ascii="Arial" w:hAnsi="Arial" w:cs="Arial"/>
          <w:sz w:val="20"/>
          <w:szCs w:val="20"/>
        </w:rPr>
        <w:t>modernis</w:t>
      </w:r>
      <w:r w:rsidR="00FE007C" w:rsidRPr="008C0BE5">
        <w:rPr>
          <w:rFonts w:ascii="Arial" w:hAnsi="Arial" w:cs="Arial"/>
          <w:sz w:val="20"/>
          <w:szCs w:val="20"/>
        </w:rPr>
        <w:t xml:space="preserve">ed SARS, but such should not leave </w:t>
      </w:r>
      <w:r w:rsidR="00167C24" w:rsidRPr="008C0BE5">
        <w:rPr>
          <w:rFonts w:ascii="Arial" w:hAnsi="Arial" w:cs="Arial"/>
          <w:sz w:val="20"/>
          <w:szCs w:val="20"/>
        </w:rPr>
        <w:t xml:space="preserve">some </w:t>
      </w:r>
      <w:r w:rsidR="00FE007C" w:rsidRPr="008C0BE5">
        <w:rPr>
          <w:rFonts w:ascii="Arial" w:hAnsi="Arial" w:cs="Arial"/>
          <w:sz w:val="20"/>
          <w:szCs w:val="20"/>
        </w:rPr>
        <w:t xml:space="preserve">customers </w:t>
      </w:r>
      <w:r w:rsidR="001235A4" w:rsidRPr="008C0BE5">
        <w:rPr>
          <w:rFonts w:ascii="Arial" w:hAnsi="Arial" w:cs="Arial"/>
          <w:sz w:val="20"/>
          <w:szCs w:val="20"/>
        </w:rPr>
        <w:t>out</w:t>
      </w:r>
      <w:r w:rsidR="00FE007C" w:rsidRPr="008C0BE5">
        <w:rPr>
          <w:rFonts w:ascii="Arial" w:hAnsi="Arial" w:cs="Arial"/>
          <w:sz w:val="20"/>
          <w:szCs w:val="20"/>
        </w:rPr>
        <w:t>. The Committee</w:t>
      </w:r>
      <w:r w:rsidR="008C44CA" w:rsidRPr="008C0BE5">
        <w:rPr>
          <w:rFonts w:ascii="Arial" w:hAnsi="Arial" w:cs="Arial"/>
          <w:sz w:val="20"/>
          <w:szCs w:val="20"/>
        </w:rPr>
        <w:t xml:space="preserve"> </w:t>
      </w:r>
      <w:r w:rsidR="00167C24" w:rsidRPr="008C0BE5">
        <w:rPr>
          <w:rFonts w:ascii="Arial" w:hAnsi="Arial" w:cs="Arial"/>
          <w:sz w:val="20"/>
          <w:szCs w:val="20"/>
        </w:rPr>
        <w:t>has be</w:t>
      </w:r>
      <w:r w:rsidR="00183703" w:rsidRPr="008C0BE5">
        <w:rPr>
          <w:rFonts w:ascii="Arial" w:hAnsi="Arial" w:cs="Arial"/>
          <w:sz w:val="20"/>
          <w:szCs w:val="20"/>
        </w:rPr>
        <w:t xml:space="preserve">en alerted to instances where some customers travel long </w:t>
      </w:r>
      <w:r w:rsidR="00490CB4" w:rsidRPr="008C0BE5">
        <w:rPr>
          <w:rFonts w:ascii="Arial" w:hAnsi="Arial" w:cs="Arial"/>
          <w:sz w:val="20"/>
          <w:szCs w:val="20"/>
        </w:rPr>
        <w:t>distances only to be turned away without being attended</w:t>
      </w:r>
      <w:r w:rsidR="00A15F0D" w:rsidRPr="008C0BE5">
        <w:rPr>
          <w:rFonts w:ascii="Arial" w:hAnsi="Arial" w:cs="Arial"/>
          <w:sz w:val="20"/>
          <w:szCs w:val="20"/>
        </w:rPr>
        <w:t xml:space="preserve"> to. This is concerning </w:t>
      </w:r>
      <w:r w:rsidR="005A6366" w:rsidRPr="008C0BE5">
        <w:rPr>
          <w:rFonts w:ascii="Arial" w:hAnsi="Arial" w:cs="Arial"/>
          <w:sz w:val="20"/>
          <w:szCs w:val="20"/>
        </w:rPr>
        <w:t>as SARS service centres should cater for al</w:t>
      </w:r>
      <w:r w:rsidR="00165D41" w:rsidRPr="008C0BE5">
        <w:rPr>
          <w:rFonts w:ascii="Arial" w:hAnsi="Arial" w:cs="Arial"/>
          <w:sz w:val="20"/>
          <w:szCs w:val="20"/>
        </w:rPr>
        <w:t>l</w:t>
      </w:r>
      <w:r w:rsidR="005A6366" w:rsidRPr="008C0BE5">
        <w:rPr>
          <w:rFonts w:ascii="Arial" w:hAnsi="Arial" w:cs="Arial"/>
          <w:sz w:val="20"/>
          <w:szCs w:val="20"/>
        </w:rPr>
        <w:t xml:space="preserve"> categories of customers </w:t>
      </w:r>
      <w:r w:rsidR="00CA3887" w:rsidRPr="008C0BE5">
        <w:rPr>
          <w:rFonts w:ascii="Arial" w:hAnsi="Arial" w:cs="Arial"/>
          <w:sz w:val="20"/>
          <w:szCs w:val="20"/>
        </w:rPr>
        <w:t xml:space="preserve">in an efficient </w:t>
      </w:r>
      <w:r w:rsidR="00387882" w:rsidRPr="008C0BE5">
        <w:rPr>
          <w:rFonts w:ascii="Arial" w:hAnsi="Arial" w:cs="Arial"/>
          <w:sz w:val="20"/>
          <w:szCs w:val="20"/>
        </w:rPr>
        <w:t xml:space="preserve">and compassionate </w:t>
      </w:r>
      <w:r w:rsidR="00CA3887" w:rsidRPr="008C0BE5">
        <w:rPr>
          <w:rFonts w:ascii="Arial" w:hAnsi="Arial" w:cs="Arial"/>
          <w:sz w:val="20"/>
          <w:szCs w:val="20"/>
        </w:rPr>
        <w:t>manner</w:t>
      </w:r>
      <w:r w:rsidR="00387882" w:rsidRPr="008C0BE5">
        <w:rPr>
          <w:rFonts w:ascii="Arial" w:hAnsi="Arial" w:cs="Arial"/>
          <w:sz w:val="20"/>
          <w:szCs w:val="20"/>
        </w:rPr>
        <w:t>. The Committee</w:t>
      </w:r>
      <w:r w:rsidR="00183703" w:rsidRPr="008C0BE5">
        <w:rPr>
          <w:rFonts w:ascii="Arial" w:hAnsi="Arial" w:cs="Arial"/>
          <w:sz w:val="20"/>
          <w:szCs w:val="20"/>
        </w:rPr>
        <w:t xml:space="preserve"> </w:t>
      </w:r>
      <w:r w:rsidR="00FE007C" w:rsidRPr="008C0BE5">
        <w:rPr>
          <w:rFonts w:ascii="Arial" w:hAnsi="Arial" w:cs="Arial"/>
          <w:sz w:val="20"/>
          <w:szCs w:val="20"/>
        </w:rPr>
        <w:t>w</w:t>
      </w:r>
      <w:r w:rsidR="007C2EC4" w:rsidRPr="008C0BE5">
        <w:rPr>
          <w:rFonts w:ascii="Arial" w:hAnsi="Arial" w:cs="Arial"/>
          <w:sz w:val="20"/>
          <w:szCs w:val="20"/>
        </w:rPr>
        <w:t xml:space="preserve">ill be liaising with SARS </w:t>
      </w:r>
      <w:r w:rsidR="00273125" w:rsidRPr="008C0BE5">
        <w:rPr>
          <w:rFonts w:ascii="Arial" w:hAnsi="Arial" w:cs="Arial"/>
          <w:sz w:val="20"/>
          <w:szCs w:val="20"/>
        </w:rPr>
        <w:t>and will conduct oversight to</w:t>
      </w:r>
      <w:r w:rsidR="00165D41" w:rsidRPr="008C0BE5">
        <w:rPr>
          <w:rFonts w:ascii="Arial" w:hAnsi="Arial" w:cs="Arial"/>
          <w:sz w:val="20"/>
          <w:szCs w:val="20"/>
        </w:rPr>
        <w:t>, among others,</w:t>
      </w:r>
      <w:r w:rsidR="007C2EC4" w:rsidRPr="008C0BE5">
        <w:rPr>
          <w:rFonts w:ascii="Arial" w:hAnsi="Arial" w:cs="Arial"/>
          <w:sz w:val="20"/>
          <w:szCs w:val="20"/>
        </w:rPr>
        <w:t xml:space="preserve"> </w:t>
      </w:r>
      <w:r w:rsidR="00384EE1" w:rsidRPr="008C0BE5">
        <w:rPr>
          <w:rFonts w:ascii="Arial" w:hAnsi="Arial" w:cs="Arial"/>
          <w:sz w:val="20"/>
          <w:szCs w:val="20"/>
        </w:rPr>
        <w:t>investigate</w:t>
      </w:r>
      <w:r w:rsidR="007C2EC4" w:rsidRPr="008C0BE5">
        <w:rPr>
          <w:rFonts w:ascii="Arial" w:hAnsi="Arial" w:cs="Arial"/>
          <w:sz w:val="20"/>
          <w:szCs w:val="20"/>
        </w:rPr>
        <w:t xml:space="preserve"> some of the service delivery challenges and propose </w:t>
      </w:r>
      <w:r w:rsidR="006938A5" w:rsidRPr="008C0BE5">
        <w:rPr>
          <w:rFonts w:ascii="Arial" w:hAnsi="Arial" w:cs="Arial"/>
          <w:sz w:val="20"/>
          <w:szCs w:val="20"/>
        </w:rPr>
        <w:t>possible interventions</w:t>
      </w:r>
      <w:r w:rsidR="007C2EC4" w:rsidRPr="008C0BE5">
        <w:rPr>
          <w:rFonts w:ascii="Arial" w:hAnsi="Arial" w:cs="Arial"/>
          <w:sz w:val="20"/>
          <w:szCs w:val="20"/>
        </w:rPr>
        <w:t xml:space="preserve"> </w:t>
      </w:r>
      <w:r w:rsidR="006938A5" w:rsidRPr="008C0BE5">
        <w:rPr>
          <w:rFonts w:ascii="Arial" w:hAnsi="Arial" w:cs="Arial"/>
          <w:sz w:val="20"/>
          <w:szCs w:val="20"/>
        </w:rPr>
        <w:t xml:space="preserve">by the Commissioner </w:t>
      </w:r>
      <w:r w:rsidR="007C2EC4" w:rsidRPr="008C0BE5">
        <w:rPr>
          <w:rFonts w:ascii="Arial" w:hAnsi="Arial" w:cs="Arial"/>
          <w:sz w:val="20"/>
          <w:szCs w:val="20"/>
        </w:rPr>
        <w:t xml:space="preserve">to </w:t>
      </w:r>
      <w:r w:rsidR="006938A5" w:rsidRPr="008C0BE5">
        <w:rPr>
          <w:rFonts w:ascii="Arial" w:hAnsi="Arial" w:cs="Arial"/>
          <w:sz w:val="20"/>
          <w:szCs w:val="20"/>
        </w:rPr>
        <w:t xml:space="preserve">ensure that </w:t>
      </w:r>
      <w:r w:rsidR="00387882" w:rsidRPr="008C0BE5">
        <w:rPr>
          <w:rFonts w:ascii="Arial" w:hAnsi="Arial" w:cs="Arial"/>
          <w:sz w:val="20"/>
          <w:szCs w:val="20"/>
        </w:rPr>
        <w:t xml:space="preserve">all customers, especially </w:t>
      </w:r>
      <w:r w:rsidR="006938A5" w:rsidRPr="008C0BE5">
        <w:rPr>
          <w:rFonts w:ascii="Arial" w:hAnsi="Arial" w:cs="Arial"/>
          <w:sz w:val="20"/>
          <w:szCs w:val="20"/>
        </w:rPr>
        <w:t xml:space="preserve">the working class and the poor have access to SARS. </w:t>
      </w:r>
    </w:p>
    <w:p w:rsidR="00210B7C" w:rsidRPr="008C0BE5" w:rsidRDefault="004521FC" w:rsidP="008C0BE5">
      <w:pPr>
        <w:pStyle w:val="ListParagraph"/>
        <w:numPr>
          <w:ilvl w:val="1"/>
          <w:numId w:val="1"/>
        </w:numPr>
        <w:spacing w:after="0" w:line="240" w:lineRule="auto"/>
        <w:rPr>
          <w:rFonts w:ascii="Arial" w:hAnsi="Arial" w:cs="Arial"/>
          <w:sz w:val="20"/>
          <w:szCs w:val="20"/>
        </w:rPr>
      </w:pPr>
      <w:r w:rsidRPr="008C0BE5">
        <w:rPr>
          <w:rFonts w:ascii="Arial" w:hAnsi="Arial" w:cs="Arial"/>
          <w:sz w:val="20"/>
          <w:szCs w:val="20"/>
        </w:rPr>
        <w:t xml:space="preserve">The Committee notes the </w:t>
      </w:r>
      <w:r w:rsidR="0087571B" w:rsidRPr="008C0BE5">
        <w:rPr>
          <w:rFonts w:ascii="Arial" w:hAnsi="Arial" w:cs="Arial"/>
          <w:sz w:val="20"/>
          <w:szCs w:val="20"/>
        </w:rPr>
        <w:t>Commissioner</w:t>
      </w:r>
      <w:r w:rsidR="00806630" w:rsidRPr="008C0BE5">
        <w:rPr>
          <w:rFonts w:ascii="Arial" w:hAnsi="Arial" w:cs="Arial"/>
          <w:sz w:val="20"/>
          <w:szCs w:val="20"/>
        </w:rPr>
        <w:t>s’</w:t>
      </w:r>
      <w:r w:rsidR="0087571B" w:rsidRPr="008C0BE5">
        <w:rPr>
          <w:rFonts w:ascii="Arial" w:hAnsi="Arial" w:cs="Arial"/>
          <w:sz w:val="20"/>
          <w:szCs w:val="20"/>
        </w:rPr>
        <w:t xml:space="preserve"> </w:t>
      </w:r>
      <w:r w:rsidR="00806630" w:rsidRPr="008C0BE5">
        <w:rPr>
          <w:rFonts w:ascii="Arial" w:hAnsi="Arial" w:cs="Arial"/>
          <w:sz w:val="20"/>
          <w:szCs w:val="20"/>
        </w:rPr>
        <w:t xml:space="preserve">presentation </w:t>
      </w:r>
      <w:r w:rsidRPr="008C0BE5">
        <w:rPr>
          <w:rFonts w:ascii="Arial" w:hAnsi="Arial" w:cs="Arial"/>
          <w:sz w:val="20"/>
          <w:szCs w:val="20"/>
        </w:rPr>
        <w:t xml:space="preserve">of independent surveys </w:t>
      </w:r>
      <w:r w:rsidR="00C24337" w:rsidRPr="008C0BE5">
        <w:rPr>
          <w:rFonts w:ascii="Arial" w:hAnsi="Arial" w:cs="Arial"/>
          <w:sz w:val="20"/>
          <w:szCs w:val="20"/>
        </w:rPr>
        <w:t xml:space="preserve">where SARS’s trust rating </w:t>
      </w:r>
      <w:r w:rsidR="00CF4436" w:rsidRPr="008C0BE5">
        <w:rPr>
          <w:rFonts w:ascii="Arial" w:hAnsi="Arial" w:cs="Arial"/>
          <w:sz w:val="20"/>
          <w:szCs w:val="20"/>
        </w:rPr>
        <w:t xml:space="preserve">was reported to have </w:t>
      </w:r>
      <w:r w:rsidR="00C24337" w:rsidRPr="008C0BE5">
        <w:rPr>
          <w:rFonts w:ascii="Arial" w:hAnsi="Arial" w:cs="Arial"/>
          <w:sz w:val="20"/>
          <w:szCs w:val="20"/>
        </w:rPr>
        <w:t>i</w:t>
      </w:r>
      <w:r w:rsidR="00CF4436" w:rsidRPr="008C0BE5">
        <w:rPr>
          <w:rFonts w:ascii="Arial" w:hAnsi="Arial" w:cs="Arial"/>
          <w:sz w:val="20"/>
          <w:szCs w:val="20"/>
        </w:rPr>
        <w:t xml:space="preserve">mproved when compared to </w:t>
      </w:r>
      <w:r w:rsidR="002A6A95" w:rsidRPr="008C0BE5">
        <w:rPr>
          <w:rFonts w:ascii="Arial" w:hAnsi="Arial" w:cs="Arial"/>
          <w:sz w:val="20"/>
          <w:szCs w:val="20"/>
        </w:rPr>
        <w:t xml:space="preserve">the previous </w:t>
      </w:r>
      <w:r w:rsidR="00CF4436" w:rsidRPr="008C0BE5">
        <w:rPr>
          <w:rFonts w:ascii="Arial" w:hAnsi="Arial" w:cs="Arial"/>
          <w:sz w:val="20"/>
          <w:szCs w:val="20"/>
        </w:rPr>
        <w:t>years</w:t>
      </w:r>
      <w:r w:rsidR="00C24337" w:rsidRPr="008C0BE5">
        <w:rPr>
          <w:rFonts w:ascii="Arial" w:hAnsi="Arial" w:cs="Arial"/>
          <w:sz w:val="20"/>
          <w:szCs w:val="20"/>
        </w:rPr>
        <w:t>. The Committee however believes there is still room for improvement</w:t>
      </w:r>
      <w:r w:rsidR="003342E2" w:rsidRPr="008C0BE5">
        <w:rPr>
          <w:rFonts w:ascii="Arial" w:hAnsi="Arial" w:cs="Arial"/>
          <w:sz w:val="20"/>
          <w:szCs w:val="20"/>
        </w:rPr>
        <w:t xml:space="preserve">, especially in improving </w:t>
      </w:r>
      <w:r w:rsidR="00FA3E85" w:rsidRPr="008C0BE5">
        <w:rPr>
          <w:rFonts w:ascii="Arial" w:hAnsi="Arial" w:cs="Arial"/>
          <w:sz w:val="20"/>
          <w:szCs w:val="20"/>
        </w:rPr>
        <w:t xml:space="preserve">public awareness </w:t>
      </w:r>
      <w:r w:rsidR="003E4287" w:rsidRPr="008C0BE5">
        <w:rPr>
          <w:rFonts w:ascii="Arial" w:hAnsi="Arial" w:cs="Arial"/>
          <w:sz w:val="20"/>
          <w:szCs w:val="20"/>
        </w:rPr>
        <w:t xml:space="preserve">about SARS </w:t>
      </w:r>
      <w:r w:rsidR="00FA3E85" w:rsidRPr="008C0BE5">
        <w:rPr>
          <w:rFonts w:ascii="Arial" w:hAnsi="Arial" w:cs="Arial"/>
          <w:sz w:val="20"/>
          <w:szCs w:val="20"/>
        </w:rPr>
        <w:t>and education</w:t>
      </w:r>
      <w:r w:rsidR="003E4287" w:rsidRPr="008C0BE5">
        <w:rPr>
          <w:rFonts w:ascii="Arial" w:hAnsi="Arial" w:cs="Arial"/>
          <w:sz w:val="20"/>
          <w:szCs w:val="20"/>
        </w:rPr>
        <w:t xml:space="preserve"> </w:t>
      </w:r>
      <w:r w:rsidR="00763620" w:rsidRPr="008C0BE5">
        <w:rPr>
          <w:rFonts w:ascii="Arial" w:hAnsi="Arial" w:cs="Arial"/>
          <w:sz w:val="20"/>
          <w:szCs w:val="20"/>
        </w:rPr>
        <w:t>on tax issues and morality</w:t>
      </w:r>
      <w:r w:rsidR="00891682" w:rsidRPr="008C0BE5">
        <w:rPr>
          <w:rFonts w:ascii="Arial" w:hAnsi="Arial" w:cs="Arial"/>
          <w:sz w:val="20"/>
          <w:szCs w:val="20"/>
        </w:rPr>
        <w:t xml:space="preserve">. </w:t>
      </w:r>
      <w:r w:rsidR="00CE0086" w:rsidRPr="008C0BE5">
        <w:rPr>
          <w:rFonts w:ascii="Arial" w:hAnsi="Arial" w:cs="Arial"/>
          <w:sz w:val="20"/>
          <w:szCs w:val="20"/>
        </w:rPr>
        <w:t xml:space="preserve">Noting that </w:t>
      </w:r>
      <w:r w:rsidR="0061237D" w:rsidRPr="008C0BE5">
        <w:rPr>
          <w:rFonts w:ascii="Arial" w:hAnsi="Arial" w:cs="Arial"/>
          <w:sz w:val="20"/>
          <w:szCs w:val="20"/>
        </w:rPr>
        <w:t xml:space="preserve">SARS already has outreach programmes which target current </w:t>
      </w:r>
      <w:r w:rsidR="00763620" w:rsidRPr="008C0BE5">
        <w:rPr>
          <w:rFonts w:ascii="Arial" w:hAnsi="Arial" w:cs="Arial"/>
          <w:sz w:val="20"/>
          <w:szCs w:val="20"/>
        </w:rPr>
        <w:t xml:space="preserve">and prospective </w:t>
      </w:r>
      <w:r w:rsidR="0061237D" w:rsidRPr="008C0BE5">
        <w:rPr>
          <w:rFonts w:ascii="Arial" w:hAnsi="Arial" w:cs="Arial"/>
          <w:sz w:val="20"/>
          <w:szCs w:val="20"/>
        </w:rPr>
        <w:t xml:space="preserve">taxpayers, </w:t>
      </w:r>
      <w:r w:rsidR="003D04A3" w:rsidRPr="008C0BE5">
        <w:rPr>
          <w:rFonts w:ascii="Arial" w:hAnsi="Arial" w:cs="Arial"/>
          <w:sz w:val="20"/>
          <w:szCs w:val="20"/>
        </w:rPr>
        <w:t xml:space="preserve">the Committee </w:t>
      </w:r>
      <w:r w:rsidR="00C5456F" w:rsidRPr="008C0BE5">
        <w:rPr>
          <w:rFonts w:ascii="Arial" w:hAnsi="Arial" w:cs="Arial"/>
          <w:sz w:val="20"/>
          <w:szCs w:val="20"/>
        </w:rPr>
        <w:t>recommends that SARS</w:t>
      </w:r>
      <w:r w:rsidR="006D7FCE" w:rsidRPr="008C0BE5">
        <w:rPr>
          <w:rFonts w:ascii="Arial" w:hAnsi="Arial" w:cs="Arial"/>
          <w:sz w:val="20"/>
          <w:szCs w:val="20"/>
        </w:rPr>
        <w:t>, working with other relevant departments</w:t>
      </w:r>
      <w:r w:rsidR="008D0C70" w:rsidRPr="008C0BE5">
        <w:rPr>
          <w:rFonts w:ascii="Arial" w:hAnsi="Arial" w:cs="Arial"/>
          <w:sz w:val="20"/>
          <w:szCs w:val="20"/>
        </w:rPr>
        <w:t xml:space="preserve"> (such as the Departments of Education</w:t>
      </w:r>
      <w:r w:rsidR="00F15117" w:rsidRPr="008C0BE5">
        <w:rPr>
          <w:rFonts w:ascii="Arial" w:hAnsi="Arial" w:cs="Arial"/>
          <w:sz w:val="20"/>
          <w:szCs w:val="20"/>
        </w:rPr>
        <w:t>),</w:t>
      </w:r>
      <w:r w:rsidR="006D7FCE" w:rsidRPr="008C0BE5">
        <w:rPr>
          <w:rFonts w:ascii="Arial" w:hAnsi="Arial" w:cs="Arial"/>
          <w:sz w:val="20"/>
          <w:szCs w:val="20"/>
        </w:rPr>
        <w:t xml:space="preserve"> </w:t>
      </w:r>
      <w:r w:rsidR="0051342C" w:rsidRPr="008C0BE5">
        <w:rPr>
          <w:rFonts w:ascii="Arial" w:hAnsi="Arial" w:cs="Arial"/>
          <w:sz w:val="20"/>
          <w:szCs w:val="20"/>
        </w:rPr>
        <w:t>develop</w:t>
      </w:r>
      <w:r w:rsidR="00104A88" w:rsidRPr="008C0BE5">
        <w:rPr>
          <w:rFonts w:ascii="Arial" w:hAnsi="Arial" w:cs="Arial"/>
          <w:sz w:val="20"/>
          <w:szCs w:val="20"/>
        </w:rPr>
        <w:t>s</w:t>
      </w:r>
      <w:r w:rsidR="0051342C" w:rsidRPr="008C0BE5">
        <w:rPr>
          <w:rFonts w:ascii="Arial" w:hAnsi="Arial" w:cs="Arial"/>
          <w:sz w:val="20"/>
          <w:szCs w:val="20"/>
        </w:rPr>
        <w:t xml:space="preserve"> </w:t>
      </w:r>
      <w:r w:rsidR="008D0C70" w:rsidRPr="008C0BE5">
        <w:rPr>
          <w:rFonts w:ascii="Arial" w:hAnsi="Arial" w:cs="Arial"/>
          <w:sz w:val="20"/>
          <w:szCs w:val="20"/>
        </w:rPr>
        <w:t xml:space="preserve">a </w:t>
      </w:r>
      <w:r w:rsidR="00266391" w:rsidRPr="008C0BE5">
        <w:rPr>
          <w:rFonts w:ascii="Arial" w:hAnsi="Arial" w:cs="Arial"/>
          <w:sz w:val="20"/>
          <w:szCs w:val="20"/>
        </w:rPr>
        <w:t>compulsory</w:t>
      </w:r>
      <w:r w:rsidR="00B2532C" w:rsidRPr="008C0BE5">
        <w:rPr>
          <w:rFonts w:ascii="Arial" w:hAnsi="Arial" w:cs="Arial"/>
          <w:sz w:val="20"/>
          <w:szCs w:val="20"/>
        </w:rPr>
        <w:t xml:space="preserve"> tax education</w:t>
      </w:r>
      <w:r w:rsidR="00266391" w:rsidRPr="008C0BE5">
        <w:rPr>
          <w:rFonts w:ascii="Arial" w:hAnsi="Arial" w:cs="Arial"/>
          <w:sz w:val="20"/>
          <w:szCs w:val="20"/>
        </w:rPr>
        <w:t xml:space="preserve"> </w:t>
      </w:r>
      <w:r w:rsidR="0051342C" w:rsidRPr="008C0BE5">
        <w:rPr>
          <w:rFonts w:ascii="Arial" w:hAnsi="Arial" w:cs="Arial"/>
          <w:sz w:val="20"/>
          <w:szCs w:val="20"/>
        </w:rPr>
        <w:t>curricu</w:t>
      </w:r>
      <w:r w:rsidR="00260160" w:rsidRPr="008C0BE5">
        <w:rPr>
          <w:rFonts w:ascii="Arial" w:hAnsi="Arial" w:cs="Arial"/>
          <w:sz w:val="20"/>
          <w:szCs w:val="20"/>
        </w:rPr>
        <w:t xml:space="preserve">lum that </w:t>
      </w:r>
      <w:r w:rsidR="00B2532C" w:rsidRPr="008C0BE5">
        <w:rPr>
          <w:rFonts w:ascii="Arial" w:hAnsi="Arial" w:cs="Arial"/>
          <w:sz w:val="20"/>
          <w:szCs w:val="20"/>
        </w:rPr>
        <w:t xml:space="preserve">will </w:t>
      </w:r>
      <w:r w:rsidR="0051342C" w:rsidRPr="008C0BE5">
        <w:rPr>
          <w:rFonts w:ascii="Arial" w:hAnsi="Arial" w:cs="Arial"/>
          <w:sz w:val="20"/>
          <w:szCs w:val="20"/>
        </w:rPr>
        <w:t>ensure that</w:t>
      </w:r>
      <w:r w:rsidR="00260160" w:rsidRPr="008C0BE5">
        <w:rPr>
          <w:rFonts w:ascii="Arial" w:hAnsi="Arial" w:cs="Arial"/>
          <w:sz w:val="20"/>
          <w:szCs w:val="20"/>
        </w:rPr>
        <w:t xml:space="preserve"> </w:t>
      </w:r>
      <w:r w:rsidR="00832208" w:rsidRPr="008C0BE5">
        <w:rPr>
          <w:rFonts w:ascii="Arial" w:hAnsi="Arial" w:cs="Arial"/>
          <w:sz w:val="20"/>
          <w:szCs w:val="20"/>
        </w:rPr>
        <w:t>prospective</w:t>
      </w:r>
      <w:r w:rsidR="00104A88" w:rsidRPr="008C0BE5">
        <w:rPr>
          <w:rFonts w:ascii="Arial" w:hAnsi="Arial" w:cs="Arial"/>
          <w:sz w:val="20"/>
          <w:szCs w:val="20"/>
        </w:rPr>
        <w:t xml:space="preserve"> </w:t>
      </w:r>
      <w:r w:rsidR="00015A57" w:rsidRPr="008C0BE5">
        <w:rPr>
          <w:rFonts w:ascii="Arial" w:hAnsi="Arial" w:cs="Arial"/>
          <w:sz w:val="20"/>
          <w:szCs w:val="20"/>
        </w:rPr>
        <w:t xml:space="preserve">taxpayers </w:t>
      </w:r>
      <w:r w:rsidR="00104A88" w:rsidRPr="008C0BE5">
        <w:rPr>
          <w:rFonts w:ascii="Arial" w:hAnsi="Arial" w:cs="Arial"/>
          <w:sz w:val="20"/>
          <w:szCs w:val="20"/>
        </w:rPr>
        <w:t xml:space="preserve">are </w:t>
      </w:r>
      <w:r w:rsidR="001331F2" w:rsidRPr="008C0BE5">
        <w:rPr>
          <w:rFonts w:ascii="Arial" w:hAnsi="Arial" w:cs="Arial"/>
          <w:sz w:val="20"/>
          <w:szCs w:val="20"/>
        </w:rPr>
        <w:t xml:space="preserve">conscientized </w:t>
      </w:r>
      <w:r w:rsidR="00BB7A4C" w:rsidRPr="008C0BE5">
        <w:rPr>
          <w:rFonts w:ascii="Arial" w:hAnsi="Arial" w:cs="Arial"/>
          <w:sz w:val="20"/>
          <w:szCs w:val="20"/>
        </w:rPr>
        <w:t xml:space="preserve">of their </w:t>
      </w:r>
      <w:r w:rsidR="00370BC1" w:rsidRPr="008C0BE5">
        <w:rPr>
          <w:rFonts w:ascii="Arial" w:hAnsi="Arial" w:cs="Arial"/>
          <w:sz w:val="20"/>
          <w:szCs w:val="20"/>
        </w:rPr>
        <w:t xml:space="preserve">tax obligations </w:t>
      </w:r>
      <w:r w:rsidR="001331F2" w:rsidRPr="008C0BE5">
        <w:rPr>
          <w:rFonts w:ascii="Arial" w:hAnsi="Arial" w:cs="Arial"/>
          <w:sz w:val="20"/>
          <w:szCs w:val="20"/>
        </w:rPr>
        <w:t>early</w:t>
      </w:r>
      <w:r w:rsidR="00A548B2" w:rsidRPr="008C0BE5">
        <w:rPr>
          <w:rFonts w:ascii="Arial" w:hAnsi="Arial" w:cs="Arial"/>
          <w:sz w:val="20"/>
          <w:szCs w:val="20"/>
        </w:rPr>
        <w:t xml:space="preserve"> </w:t>
      </w:r>
      <w:r w:rsidR="00266391" w:rsidRPr="008C0BE5">
        <w:rPr>
          <w:rFonts w:ascii="Arial" w:hAnsi="Arial" w:cs="Arial"/>
          <w:sz w:val="20"/>
          <w:szCs w:val="20"/>
        </w:rPr>
        <w:t>on in</w:t>
      </w:r>
      <w:r w:rsidR="00A548B2" w:rsidRPr="008C0BE5">
        <w:rPr>
          <w:rFonts w:ascii="Arial" w:hAnsi="Arial" w:cs="Arial"/>
          <w:sz w:val="20"/>
          <w:szCs w:val="20"/>
        </w:rPr>
        <w:t xml:space="preserve"> </w:t>
      </w:r>
      <w:r w:rsidR="001331F2" w:rsidRPr="008C0BE5">
        <w:rPr>
          <w:rFonts w:ascii="Arial" w:hAnsi="Arial" w:cs="Arial"/>
          <w:sz w:val="20"/>
          <w:szCs w:val="20"/>
        </w:rPr>
        <w:t>life</w:t>
      </w:r>
      <w:r w:rsidR="00CE0086" w:rsidRPr="008C0BE5">
        <w:rPr>
          <w:rFonts w:ascii="Arial" w:hAnsi="Arial" w:cs="Arial"/>
          <w:sz w:val="20"/>
          <w:szCs w:val="20"/>
        </w:rPr>
        <w:t xml:space="preserve">. </w:t>
      </w:r>
    </w:p>
    <w:p w:rsidR="00B4303C" w:rsidRPr="008C0BE5" w:rsidRDefault="00EB1386" w:rsidP="008C0BE5">
      <w:pPr>
        <w:pStyle w:val="ListParagraph"/>
        <w:numPr>
          <w:ilvl w:val="1"/>
          <w:numId w:val="1"/>
        </w:numPr>
        <w:spacing w:after="0" w:line="240" w:lineRule="auto"/>
        <w:rPr>
          <w:rFonts w:ascii="Arial" w:hAnsi="Arial" w:cs="Arial"/>
          <w:sz w:val="20"/>
          <w:szCs w:val="20"/>
        </w:rPr>
      </w:pPr>
      <w:r w:rsidRPr="008C0BE5">
        <w:rPr>
          <w:rFonts w:ascii="Arial" w:hAnsi="Arial" w:cs="Arial"/>
          <w:sz w:val="20"/>
          <w:szCs w:val="20"/>
        </w:rPr>
        <w:t>The Committee is concerned about the illicit economy and the tax gap, which is estimated to be about R200</w:t>
      </w:r>
      <w:r w:rsidR="00F314CC" w:rsidRPr="008C0BE5">
        <w:rPr>
          <w:rFonts w:ascii="Arial" w:hAnsi="Arial" w:cs="Arial"/>
          <w:sz w:val="20"/>
          <w:szCs w:val="20"/>
        </w:rPr>
        <w:t>-</w:t>
      </w:r>
      <w:r w:rsidRPr="008C0BE5">
        <w:rPr>
          <w:rFonts w:ascii="Arial" w:hAnsi="Arial" w:cs="Arial"/>
          <w:sz w:val="20"/>
          <w:szCs w:val="20"/>
        </w:rPr>
        <w:t xml:space="preserve"> </w:t>
      </w:r>
      <w:r w:rsidR="00427699" w:rsidRPr="008C0BE5">
        <w:rPr>
          <w:rFonts w:ascii="Arial" w:hAnsi="Arial" w:cs="Arial"/>
          <w:sz w:val="20"/>
          <w:szCs w:val="20"/>
        </w:rPr>
        <w:t xml:space="preserve">300 billion per annum. Although the Committee acknowledges </w:t>
      </w:r>
      <w:r w:rsidR="00107964" w:rsidRPr="008C0BE5">
        <w:rPr>
          <w:rFonts w:ascii="Arial" w:hAnsi="Arial" w:cs="Arial"/>
          <w:sz w:val="20"/>
          <w:szCs w:val="20"/>
        </w:rPr>
        <w:t>the improvement of SARS on compliance revenue</w:t>
      </w:r>
      <w:r w:rsidR="00197CC1" w:rsidRPr="008C0BE5">
        <w:rPr>
          <w:rFonts w:ascii="Arial" w:hAnsi="Arial" w:cs="Arial"/>
          <w:sz w:val="20"/>
          <w:szCs w:val="20"/>
        </w:rPr>
        <w:t xml:space="preserve"> and other compliance enforcement action</w:t>
      </w:r>
      <w:r w:rsidR="00443FD9" w:rsidRPr="008C0BE5">
        <w:rPr>
          <w:rFonts w:ascii="Arial" w:hAnsi="Arial" w:cs="Arial"/>
          <w:sz w:val="20"/>
          <w:szCs w:val="20"/>
        </w:rPr>
        <w:t>s</w:t>
      </w:r>
      <w:r w:rsidR="00197CC1" w:rsidRPr="008C0BE5">
        <w:rPr>
          <w:rFonts w:ascii="Arial" w:hAnsi="Arial" w:cs="Arial"/>
          <w:sz w:val="20"/>
          <w:szCs w:val="20"/>
        </w:rPr>
        <w:t xml:space="preserve"> reported to it</w:t>
      </w:r>
      <w:r w:rsidR="00107964" w:rsidRPr="008C0BE5">
        <w:rPr>
          <w:rFonts w:ascii="Arial" w:hAnsi="Arial" w:cs="Arial"/>
          <w:sz w:val="20"/>
          <w:szCs w:val="20"/>
        </w:rPr>
        <w:t xml:space="preserve">, there is a need to </w:t>
      </w:r>
      <w:r w:rsidR="00A14BB3" w:rsidRPr="008C0BE5">
        <w:rPr>
          <w:rFonts w:ascii="Arial" w:hAnsi="Arial" w:cs="Arial"/>
          <w:sz w:val="20"/>
          <w:szCs w:val="20"/>
        </w:rPr>
        <w:t xml:space="preserve">heighten </w:t>
      </w:r>
      <w:r w:rsidR="00726E5E" w:rsidRPr="008C0BE5">
        <w:rPr>
          <w:rFonts w:ascii="Arial" w:hAnsi="Arial" w:cs="Arial"/>
          <w:sz w:val="20"/>
          <w:szCs w:val="20"/>
        </w:rPr>
        <w:t>complian</w:t>
      </w:r>
      <w:r w:rsidR="00A14BB3" w:rsidRPr="008C0BE5">
        <w:rPr>
          <w:rFonts w:ascii="Arial" w:hAnsi="Arial" w:cs="Arial"/>
          <w:sz w:val="20"/>
          <w:szCs w:val="20"/>
        </w:rPr>
        <w:t>ce and enforcement</w:t>
      </w:r>
      <w:r w:rsidR="00846531" w:rsidRPr="008C0BE5">
        <w:rPr>
          <w:rFonts w:ascii="Arial" w:hAnsi="Arial" w:cs="Arial"/>
          <w:sz w:val="20"/>
          <w:szCs w:val="20"/>
        </w:rPr>
        <w:t xml:space="preserve">. This </w:t>
      </w:r>
      <w:r w:rsidR="006601BF" w:rsidRPr="008C0BE5">
        <w:rPr>
          <w:rFonts w:ascii="Arial" w:hAnsi="Arial" w:cs="Arial"/>
          <w:sz w:val="20"/>
          <w:szCs w:val="20"/>
        </w:rPr>
        <w:t xml:space="preserve">should </w:t>
      </w:r>
      <w:r w:rsidR="00D25D83" w:rsidRPr="008C0BE5">
        <w:rPr>
          <w:rFonts w:ascii="Arial" w:hAnsi="Arial" w:cs="Arial"/>
          <w:sz w:val="20"/>
          <w:szCs w:val="20"/>
        </w:rPr>
        <w:t>also include</w:t>
      </w:r>
      <w:r w:rsidR="006601BF" w:rsidRPr="008C0BE5">
        <w:rPr>
          <w:rFonts w:ascii="Arial" w:hAnsi="Arial" w:cs="Arial"/>
          <w:sz w:val="20"/>
          <w:szCs w:val="20"/>
        </w:rPr>
        <w:t xml:space="preserve"> a focus on the informal economy</w:t>
      </w:r>
      <w:r w:rsidR="00D25D83" w:rsidRPr="008C0BE5">
        <w:rPr>
          <w:rFonts w:ascii="Arial" w:hAnsi="Arial" w:cs="Arial"/>
          <w:sz w:val="20"/>
          <w:szCs w:val="20"/>
        </w:rPr>
        <w:t xml:space="preserve"> and </w:t>
      </w:r>
      <w:r w:rsidR="007B185B" w:rsidRPr="008C0BE5">
        <w:rPr>
          <w:rFonts w:ascii="Arial" w:hAnsi="Arial" w:cs="Arial"/>
          <w:sz w:val="20"/>
          <w:szCs w:val="20"/>
        </w:rPr>
        <w:t>making sure that taxpayers underst</w:t>
      </w:r>
      <w:r w:rsidR="00A14BB3" w:rsidRPr="008C0BE5">
        <w:rPr>
          <w:rFonts w:ascii="Arial" w:hAnsi="Arial" w:cs="Arial"/>
          <w:sz w:val="20"/>
          <w:szCs w:val="20"/>
        </w:rPr>
        <w:t>an</w:t>
      </w:r>
      <w:r w:rsidR="007B185B" w:rsidRPr="008C0BE5">
        <w:rPr>
          <w:rFonts w:ascii="Arial" w:hAnsi="Arial" w:cs="Arial"/>
          <w:sz w:val="20"/>
          <w:szCs w:val="20"/>
        </w:rPr>
        <w:t>d their obligations</w:t>
      </w:r>
      <w:r w:rsidR="00C55349" w:rsidRPr="008C0BE5">
        <w:rPr>
          <w:rFonts w:ascii="Arial" w:hAnsi="Arial" w:cs="Arial"/>
          <w:sz w:val="20"/>
          <w:szCs w:val="20"/>
        </w:rPr>
        <w:t xml:space="preserve">. </w:t>
      </w:r>
      <w:r w:rsidR="009574A3" w:rsidRPr="008C0BE5">
        <w:rPr>
          <w:rFonts w:ascii="Arial" w:hAnsi="Arial" w:cs="Arial"/>
          <w:sz w:val="20"/>
          <w:szCs w:val="20"/>
        </w:rPr>
        <w:t xml:space="preserve">While this is obviously </w:t>
      </w:r>
      <w:r w:rsidR="006809F6" w:rsidRPr="008C0BE5">
        <w:rPr>
          <w:rFonts w:ascii="Arial" w:hAnsi="Arial" w:cs="Arial"/>
          <w:sz w:val="20"/>
          <w:szCs w:val="20"/>
        </w:rPr>
        <w:t xml:space="preserve">not the work of SARS alone, </w:t>
      </w:r>
      <w:r w:rsidR="00816934" w:rsidRPr="008C0BE5">
        <w:rPr>
          <w:rFonts w:ascii="Arial" w:hAnsi="Arial" w:cs="Arial"/>
          <w:sz w:val="20"/>
          <w:szCs w:val="20"/>
        </w:rPr>
        <w:t xml:space="preserve">as </w:t>
      </w:r>
      <w:r w:rsidR="004D02BA" w:rsidRPr="008C0BE5">
        <w:rPr>
          <w:rFonts w:ascii="Arial" w:hAnsi="Arial" w:cs="Arial"/>
          <w:sz w:val="20"/>
          <w:szCs w:val="20"/>
        </w:rPr>
        <w:t xml:space="preserve">there are interdependencies </w:t>
      </w:r>
      <w:r w:rsidR="007322FD" w:rsidRPr="008C0BE5">
        <w:rPr>
          <w:rFonts w:ascii="Arial" w:hAnsi="Arial" w:cs="Arial"/>
          <w:sz w:val="20"/>
          <w:szCs w:val="20"/>
        </w:rPr>
        <w:t xml:space="preserve">between it and </w:t>
      </w:r>
      <w:r w:rsidR="00EB2D14" w:rsidRPr="008C0BE5">
        <w:rPr>
          <w:rFonts w:ascii="Arial" w:hAnsi="Arial" w:cs="Arial"/>
          <w:sz w:val="20"/>
          <w:szCs w:val="20"/>
        </w:rPr>
        <w:t xml:space="preserve">other </w:t>
      </w:r>
      <w:r w:rsidR="00816934" w:rsidRPr="008C0BE5">
        <w:rPr>
          <w:rFonts w:ascii="Arial" w:hAnsi="Arial" w:cs="Arial"/>
          <w:sz w:val="20"/>
          <w:szCs w:val="20"/>
        </w:rPr>
        <w:t>law enforcement agencies</w:t>
      </w:r>
      <w:r w:rsidR="00200E30" w:rsidRPr="008C0BE5">
        <w:rPr>
          <w:rFonts w:ascii="Arial" w:hAnsi="Arial" w:cs="Arial"/>
          <w:sz w:val="20"/>
          <w:szCs w:val="20"/>
        </w:rPr>
        <w:t xml:space="preserve"> </w:t>
      </w:r>
      <w:r w:rsidR="00EB529A" w:rsidRPr="008C0BE5">
        <w:rPr>
          <w:rFonts w:ascii="Arial" w:hAnsi="Arial" w:cs="Arial"/>
          <w:sz w:val="20"/>
          <w:szCs w:val="20"/>
        </w:rPr>
        <w:t>(</w:t>
      </w:r>
      <w:r w:rsidR="00200E30" w:rsidRPr="008C0BE5">
        <w:rPr>
          <w:rFonts w:ascii="Arial" w:hAnsi="Arial" w:cs="Arial"/>
          <w:sz w:val="20"/>
          <w:szCs w:val="20"/>
        </w:rPr>
        <w:t>on criminal issues</w:t>
      </w:r>
      <w:r w:rsidR="00EB529A" w:rsidRPr="008C0BE5">
        <w:rPr>
          <w:rFonts w:ascii="Arial" w:hAnsi="Arial" w:cs="Arial"/>
          <w:sz w:val="20"/>
          <w:szCs w:val="20"/>
        </w:rPr>
        <w:t>)</w:t>
      </w:r>
      <w:r w:rsidR="00D16C8E" w:rsidRPr="008C0BE5">
        <w:rPr>
          <w:rFonts w:ascii="Arial" w:hAnsi="Arial" w:cs="Arial"/>
          <w:sz w:val="20"/>
          <w:szCs w:val="20"/>
        </w:rPr>
        <w:t xml:space="preserve">, </w:t>
      </w:r>
      <w:r w:rsidR="007E565F" w:rsidRPr="008C0BE5">
        <w:rPr>
          <w:rFonts w:ascii="Arial" w:hAnsi="Arial" w:cs="Arial"/>
          <w:sz w:val="20"/>
          <w:szCs w:val="20"/>
        </w:rPr>
        <w:t>SARS</w:t>
      </w:r>
      <w:r w:rsidR="00EB2D14" w:rsidRPr="008C0BE5">
        <w:rPr>
          <w:rFonts w:ascii="Arial" w:hAnsi="Arial" w:cs="Arial"/>
          <w:sz w:val="20"/>
          <w:szCs w:val="20"/>
        </w:rPr>
        <w:t xml:space="preserve"> must lead.</w:t>
      </w:r>
    </w:p>
    <w:p w:rsidR="00E95568" w:rsidRPr="008C0BE5" w:rsidRDefault="006B0998" w:rsidP="008C0BE5">
      <w:pPr>
        <w:pStyle w:val="ListParagraph"/>
        <w:numPr>
          <w:ilvl w:val="1"/>
          <w:numId w:val="1"/>
        </w:numPr>
        <w:spacing w:after="0" w:line="240" w:lineRule="auto"/>
        <w:rPr>
          <w:rFonts w:ascii="Arial" w:hAnsi="Arial" w:cs="Arial"/>
          <w:sz w:val="20"/>
          <w:szCs w:val="20"/>
        </w:rPr>
      </w:pPr>
      <w:r w:rsidRPr="008C0BE5">
        <w:rPr>
          <w:rFonts w:ascii="Arial" w:hAnsi="Arial" w:cs="Arial"/>
          <w:sz w:val="20"/>
          <w:szCs w:val="20"/>
        </w:rPr>
        <w:t xml:space="preserve">The Committee reiterates its view that tackling tax avoidance and illicit financial flows </w:t>
      </w:r>
      <w:r w:rsidR="00FE7F0B" w:rsidRPr="008C0BE5">
        <w:rPr>
          <w:rFonts w:ascii="Arial" w:hAnsi="Arial" w:cs="Arial"/>
          <w:sz w:val="20"/>
          <w:szCs w:val="20"/>
        </w:rPr>
        <w:t>is</w:t>
      </w:r>
      <w:r w:rsidRPr="008C0BE5">
        <w:rPr>
          <w:rFonts w:ascii="Arial" w:hAnsi="Arial" w:cs="Arial"/>
          <w:sz w:val="20"/>
          <w:szCs w:val="20"/>
        </w:rPr>
        <w:t xml:space="preserve"> crucial in improving the position of the country’s fiscus. The Committee </w:t>
      </w:r>
      <w:r w:rsidR="00FE7F0B" w:rsidRPr="008C0BE5">
        <w:rPr>
          <w:rFonts w:ascii="Arial" w:hAnsi="Arial" w:cs="Arial"/>
          <w:sz w:val="20"/>
          <w:szCs w:val="20"/>
        </w:rPr>
        <w:t xml:space="preserve">will engage </w:t>
      </w:r>
      <w:r w:rsidRPr="008C0BE5">
        <w:rPr>
          <w:rFonts w:ascii="Arial" w:hAnsi="Arial" w:cs="Arial"/>
          <w:sz w:val="20"/>
          <w:szCs w:val="20"/>
        </w:rPr>
        <w:t xml:space="preserve">the Tax Committee led by Judge Dennis Davis to examine areas that pose the highest risks of aggressive </w:t>
      </w:r>
      <w:r w:rsidRPr="008C0BE5">
        <w:rPr>
          <w:rFonts w:ascii="Arial" w:hAnsi="Arial" w:cs="Arial"/>
          <w:sz w:val="20"/>
          <w:szCs w:val="20"/>
        </w:rPr>
        <w:lastRenderedPageBreak/>
        <w:t xml:space="preserve">tax avoidance and transfer pricing. </w:t>
      </w:r>
      <w:r w:rsidR="00CD033F" w:rsidRPr="008C0BE5">
        <w:rPr>
          <w:rFonts w:ascii="Arial" w:hAnsi="Arial" w:cs="Arial"/>
          <w:sz w:val="20"/>
          <w:szCs w:val="20"/>
        </w:rPr>
        <w:t xml:space="preserve">It will </w:t>
      </w:r>
      <w:r w:rsidRPr="008C0BE5">
        <w:rPr>
          <w:rFonts w:ascii="Arial" w:hAnsi="Arial" w:cs="Arial"/>
          <w:sz w:val="20"/>
          <w:szCs w:val="20"/>
        </w:rPr>
        <w:t>invite Judge Dennis Davis and SARS to make presentations on the findings of the Tax Committee’s enquiries soon.</w:t>
      </w:r>
      <w:r w:rsidR="00E95568" w:rsidRPr="008C0BE5">
        <w:rPr>
          <w:rFonts w:ascii="Arial" w:hAnsi="Arial" w:cs="Arial"/>
          <w:sz w:val="20"/>
          <w:szCs w:val="20"/>
        </w:rPr>
        <w:t xml:space="preserve"> </w:t>
      </w:r>
    </w:p>
    <w:p w:rsidR="005116F1" w:rsidRPr="008C0BE5" w:rsidRDefault="00F67A71" w:rsidP="008C0BE5">
      <w:pPr>
        <w:numPr>
          <w:ilvl w:val="1"/>
          <w:numId w:val="1"/>
        </w:numPr>
        <w:contextualSpacing/>
        <w:rPr>
          <w:rFonts w:ascii="Arial" w:eastAsia="Times New Roman" w:hAnsi="Arial" w:cs="Arial"/>
          <w:sz w:val="20"/>
          <w:szCs w:val="20"/>
        </w:rPr>
      </w:pPr>
      <w:r w:rsidRPr="008C0BE5">
        <w:rPr>
          <w:rFonts w:ascii="Arial" w:hAnsi="Arial" w:cs="Arial"/>
          <w:sz w:val="20"/>
          <w:szCs w:val="20"/>
        </w:rPr>
        <w:t xml:space="preserve">The Committee notes with concern </w:t>
      </w:r>
      <w:r w:rsidR="00436049" w:rsidRPr="008C0BE5">
        <w:rPr>
          <w:rFonts w:ascii="Arial" w:hAnsi="Arial" w:cs="Arial"/>
          <w:sz w:val="20"/>
          <w:szCs w:val="20"/>
        </w:rPr>
        <w:t xml:space="preserve">the impact that loadshedding has on the economy at large and to </w:t>
      </w:r>
      <w:r w:rsidR="001C6246" w:rsidRPr="008C0BE5">
        <w:rPr>
          <w:rFonts w:ascii="Arial" w:hAnsi="Arial" w:cs="Arial"/>
          <w:sz w:val="20"/>
          <w:szCs w:val="20"/>
        </w:rPr>
        <w:t>revenue losses. According to SARS</w:t>
      </w:r>
      <w:r w:rsidR="00E54196" w:rsidRPr="008C0BE5">
        <w:rPr>
          <w:rFonts w:ascii="Arial" w:hAnsi="Arial" w:cs="Arial"/>
          <w:sz w:val="20"/>
          <w:szCs w:val="20"/>
        </w:rPr>
        <w:t xml:space="preserve">, about </w:t>
      </w:r>
      <w:r w:rsidR="00EC5479" w:rsidRPr="008C0BE5">
        <w:rPr>
          <w:rFonts w:ascii="Arial" w:hAnsi="Arial" w:cs="Arial"/>
          <w:sz w:val="20"/>
          <w:szCs w:val="20"/>
        </w:rPr>
        <w:t xml:space="preserve">R60 billion </w:t>
      </w:r>
      <w:r w:rsidR="008A4754" w:rsidRPr="008C0BE5">
        <w:rPr>
          <w:rFonts w:ascii="Arial" w:hAnsi="Arial" w:cs="Arial"/>
          <w:sz w:val="20"/>
          <w:szCs w:val="20"/>
        </w:rPr>
        <w:t xml:space="preserve">revenue </w:t>
      </w:r>
      <w:r w:rsidR="00EC5479" w:rsidRPr="008C0BE5">
        <w:rPr>
          <w:rFonts w:ascii="Arial" w:hAnsi="Arial" w:cs="Arial"/>
          <w:sz w:val="20"/>
          <w:szCs w:val="20"/>
        </w:rPr>
        <w:t xml:space="preserve">was estimated to have been lost in 2022 because of loadshedding. </w:t>
      </w:r>
      <w:r w:rsidR="00F36712" w:rsidRPr="008C0BE5">
        <w:rPr>
          <w:rFonts w:ascii="Arial" w:hAnsi="Arial" w:cs="Arial"/>
          <w:sz w:val="20"/>
          <w:szCs w:val="20"/>
        </w:rPr>
        <w:t xml:space="preserve">It said that VAT was the first product </w:t>
      </w:r>
      <w:r w:rsidR="00932C09" w:rsidRPr="008C0BE5">
        <w:rPr>
          <w:rFonts w:ascii="Arial" w:hAnsi="Arial" w:cs="Arial"/>
          <w:sz w:val="20"/>
          <w:szCs w:val="20"/>
        </w:rPr>
        <w:t>to be affected as sales declined when there was loadshedding</w:t>
      </w:r>
      <w:r w:rsidR="00C66CD2" w:rsidRPr="008C0BE5">
        <w:rPr>
          <w:rFonts w:ascii="Arial" w:hAnsi="Arial" w:cs="Arial"/>
          <w:sz w:val="20"/>
          <w:szCs w:val="20"/>
        </w:rPr>
        <w:t xml:space="preserve">, followed by corporate income tax. </w:t>
      </w:r>
    </w:p>
    <w:p w:rsidR="00C66CD2" w:rsidRPr="008C0BE5" w:rsidRDefault="00AC55D3" w:rsidP="008C0BE5">
      <w:pPr>
        <w:numPr>
          <w:ilvl w:val="1"/>
          <w:numId w:val="1"/>
        </w:numPr>
        <w:contextualSpacing/>
        <w:rPr>
          <w:rFonts w:ascii="Arial" w:eastAsia="Times New Roman" w:hAnsi="Arial" w:cs="Arial"/>
          <w:sz w:val="20"/>
          <w:szCs w:val="20"/>
        </w:rPr>
      </w:pPr>
      <w:r w:rsidRPr="008C0BE5">
        <w:rPr>
          <w:rFonts w:ascii="Arial" w:hAnsi="Arial" w:cs="Arial"/>
          <w:sz w:val="20"/>
          <w:szCs w:val="20"/>
        </w:rPr>
        <w:t xml:space="preserve">The Committee will request a briefing on the country-by-country reporting and automatic exchange of information projects and their impact on raising revenue since they became effective a few years ago. </w:t>
      </w:r>
    </w:p>
    <w:p w:rsidR="00097992" w:rsidRPr="008C0BE5" w:rsidRDefault="00FE4405" w:rsidP="008C0BE5">
      <w:pPr>
        <w:pStyle w:val="ListParagraph"/>
        <w:numPr>
          <w:ilvl w:val="1"/>
          <w:numId w:val="1"/>
        </w:numPr>
        <w:spacing w:after="0" w:line="240" w:lineRule="auto"/>
        <w:rPr>
          <w:rFonts w:ascii="Arial" w:hAnsi="Arial" w:cs="Arial"/>
          <w:sz w:val="20"/>
          <w:szCs w:val="20"/>
        </w:rPr>
      </w:pPr>
      <w:r w:rsidRPr="008C0BE5">
        <w:rPr>
          <w:rFonts w:ascii="Arial" w:hAnsi="Arial" w:cs="Arial"/>
          <w:sz w:val="20"/>
          <w:szCs w:val="20"/>
        </w:rPr>
        <w:t>The Committee notes that the</w:t>
      </w:r>
      <w:r w:rsidR="000C255E" w:rsidRPr="008C0BE5">
        <w:rPr>
          <w:rFonts w:ascii="Arial" w:hAnsi="Arial" w:cs="Arial"/>
          <w:sz w:val="20"/>
          <w:szCs w:val="20"/>
        </w:rPr>
        <w:t xml:space="preserve"> procedures for the</w:t>
      </w:r>
      <w:r w:rsidRPr="008C0BE5">
        <w:rPr>
          <w:rFonts w:ascii="Arial" w:hAnsi="Arial" w:cs="Arial"/>
          <w:sz w:val="20"/>
          <w:szCs w:val="20"/>
        </w:rPr>
        <w:t xml:space="preserve"> implementation </w:t>
      </w:r>
      <w:r w:rsidR="000C255E" w:rsidRPr="008C0BE5">
        <w:rPr>
          <w:rFonts w:ascii="Arial" w:hAnsi="Arial" w:cs="Arial"/>
          <w:sz w:val="20"/>
          <w:szCs w:val="20"/>
        </w:rPr>
        <w:t xml:space="preserve">of </w:t>
      </w:r>
      <w:r w:rsidR="004713AC" w:rsidRPr="008C0BE5">
        <w:rPr>
          <w:rFonts w:ascii="Arial" w:hAnsi="Arial" w:cs="Arial"/>
          <w:sz w:val="20"/>
          <w:szCs w:val="20"/>
        </w:rPr>
        <w:t xml:space="preserve">policy and formulae </w:t>
      </w:r>
      <w:r w:rsidR="000C255E" w:rsidRPr="008C0BE5">
        <w:rPr>
          <w:rFonts w:ascii="Arial" w:hAnsi="Arial" w:cs="Arial"/>
          <w:sz w:val="20"/>
          <w:szCs w:val="20"/>
        </w:rPr>
        <w:t xml:space="preserve">changes in sugar tariffs </w:t>
      </w:r>
      <w:r w:rsidR="0067717C" w:rsidRPr="008C0BE5">
        <w:rPr>
          <w:rFonts w:ascii="Arial" w:hAnsi="Arial" w:cs="Arial"/>
          <w:sz w:val="20"/>
          <w:szCs w:val="20"/>
        </w:rPr>
        <w:t xml:space="preserve">takes </w:t>
      </w:r>
      <w:r w:rsidR="00E56D40" w:rsidRPr="008C0BE5">
        <w:rPr>
          <w:rFonts w:ascii="Arial" w:hAnsi="Arial" w:cs="Arial"/>
          <w:sz w:val="20"/>
          <w:szCs w:val="20"/>
        </w:rPr>
        <w:t xml:space="preserve">too </w:t>
      </w:r>
      <w:r w:rsidR="0067717C" w:rsidRPr="008C0BE5">
        <w:rPr>
          <w:rFonts w:ascii="Arial" w:hAnsi="Arial" w:cs="Arial"/>
          <w:sz w:val="20"/>
          <w:szCs w:val="20"/>
        </w:rPr>
        <w:t xml:space="preserve">long, sometimes up to </w:t>
      </w:r>
      <w:r w:rsidR="00E56D40" w:rsidRPr="008C0BE5">
        <w:rPr>
          <w:rFonts w:ascii="Arial" w:hAnsi="Arial" w:cs="Arial"/>
          <w:sz w:val="20"/>
          <w:szCs w:val="20"/>
        </w:rPr>
        <w:t>34 weeks,</w:t>
      </w:r>
      <w:r w:rsidR="000240F4" w:rsidRPr="008C0BE5">
        <w:rPr>
          <w:rFonts w:ascii="Arial" w:hAnsi="Arial" w:cs="Arial"/>
          <w:sz w:val="20"/>
          <w:szCs w:val="20"/>
        </w:rPr>
        <w:t xml:space="preserve"> thus creating </w:t>
      </w:r>
      <w:r w:rsidR="001E740A" w:rsidRPr="008C0BE5">
        <w:rPr>
          <w:rFonts w:ascii="Arial" w:hAnsi="Arial" w:cs="Arial"/>
          <w:sz w:val="20"/>
          <w:szCs w:val="20"/>
        </w:rPr>
        <w:t xml:space="preserve">some </w:t>
      </w:r>
      <w:r w:rsidR="000240F4" w:rsidRPr="008C0BE5">
        <w:rPr>
          <w:rFonts w:ascii="Arial" w:hAnsi="Arial" w:cs="Arial"/>
          <w:sz w:val="20"/>
          <w:szCs w:val="20"/>
        </w:rPr>
        <w:t xml:space="preserve">uncertainty in the industry. </w:t>
      </w:r>
      <w:r w:rsidR="00FD51A3" w:rsidRPr="008C0BE5">
        <w:rPr>
          <w:rFonts w:ascii="Arial" w:hAnsi="Arial" w:cs="Arial"/>
          <w:sz w:val="20"/>
          <w:szCs w:val="20"/>
        </w:rPr>
        <w:t xml:space="preserve">The Committee further notes the reasons for this long process, which involves </w:t>
      </w:r>
      <w:r w:rsidR="00955EDE" w:rsidRPr="008C0BE5">
        <w:rPr>
          <w:rFonts w:ascii="Arial" w:hAnsi="Arial" w:cs="Arial"/>
          <w:sz w:val="20"/>
          <w:szCs w:val="20"/>
        </w:rPr>
        <w:t>several</w:t>
      </w:r>
      <w:r w:rsidR="00FD51A3" w:rsidRPr="008C0BE5">
        <w:rPr>
          <w:rFonts w:ascii="Arial" w:hAnsi="Arial" w:cs="Arial"/>
          <w:sz w:val="20"/>
          <w:szCs w:val="20"/>
        </w:rPr>
        <w:t xml:space="preserve"> player</w:t>
      </w:r>
      <w:r w:rsidR="001F6B01" w:rsidRPr="008C0BE5">
        <w:rPr>
          <w:rFonts w:ascii="Arial" w:hAnsi="Arial" w:cs="Arial"/>
          <w:sz w:val="20"/>
          <w:szCs w:val="20"/>
        </w:rPr>
        <w:t xml:space="preserve">s </w:t>
      </w:r>
      <w:r w:rsidR="00106F24" w:rsidRPr="008C0BE5">
        <w:rPr>
          <w:rFonts w:ascii="Arial" w:hAnsi="Arial" w:cs="Arial"/>
          <w:sz w:val="20"/>
          <w:szCs w:val="20"/>
        </w:rPr>
        <w:t xml:space="preserve">such as </w:t>
      </w:r>
      <w:r w:rsidR="001F6B01" w:rsidRPr="008C0BE5">
        <w:rPr>
          <w:rFonts w:ascii="Arial" w:hAnsi="Arial" w:cs="Arial"/>
          <w:sz w:val="20"/>
          <w:szCs w:val="20"/>
        </w:rPr>
        <w:t>the Ministers of Trade</w:t>
      </w:r>
      <w:r w:rsidR="005D419E" w:rsidRPr="008C0BE5">
        <w:rPr>
          <w:rFonts w:ascii="Arial" w:hAnsi="Arial" w:cs="Arial"/>
          <w:sz w:val="20"/>
          <w:szCs w:val="20"/>
        </w:rPr>
        <w:t xml:space="preserve">, </w:t>
      </w:r>
      <w:r w:rsidR="001F6B01" w:rsidRPr="008C0BE5">
        <w:rPr>
          <w:rFonts w:ascii="Arial" w:hAnsi="Arial" w:cs="Arial"/>
          <w:sz w:val="20"/>
          <w:szCs w:val="20"/>
        </w:rPr>
        <w:t>Industry</w:t>
      </w:r>
      <w:r w:rsidR="005D419E" w:rsidRPr="008C0BE5">
        <w:rPr>
          <w:rFonts w:ascii="Arial" w:hAnsi="Arial" w:cs="Arial"/>
          <w:sz w:val="20"/>
          <w:szCs w:val="20"/>
        </w:rPr>
        <w:t xml:space="preserve"> and Competition and Finance</w:t>
      </w:r>
      <w:r w:rsidR="00BA1CD7" w:rsidRPr="008C0BE5">
        <w:rPr>
          <w:rFonts w:ascii="Arial" w:hAnsi="Arial" w:cs="Arial"/>
          <w:sz w:val="20"/>
          <w:szCs w:val="20"/>
        </w:rPr>
        <w:t xml:space="preserve">, </w:t>
      </w:r>
      <w:r w:rsidR="00106F24" w:rsidRPr="008C0BE5">
        <w:rPr>
          <w:rFonts w:ascii="Arial" w:hAnsi="Arial" w:cs="Arial"/>
          <w:sz w:val="20"/>
          <w:szCs w:val="20"/>
        </w:rPr>
        <w:t xml:space="preserve">the </w:t>
      </w:r>
      <w:r w:rsidR="004F6150" w:rsidRPr="008C0BE5">
        <w:rPr>
          <w:rFonts w:ascii="Arial" w:hAnsi="Arial" w:cs="Arial"/>
          <w:sz w:val="20"/>
          <w:szCs w:val="20"/>
        </w:rPr>
        <w:t>I</w:t>
      </w:r>
      <w:r w:rsidR="00E64EF0" w:rsidRPr="008C0BE5">
        <w:rPr>
          <w:rFonts w:ascii="Arial" w:hAnsi="Arial" w:cs="Arial"/>
          <w:sz w:val="20"/>
          <w:szCs w:val="20"/>
        </w:rPr>
        <w:t xml:space="preserve">nternational </w:t>
      </w:r>
      <w:r w:rsidR="004F6150" w:rsidRPr="008C0BE5">
        <w:rPr>
          <w:rFonts w:ascii="Arial" w:hAnsi="Arial" w:cs="Arial"/>
          <w:sz w:val="20"/>
          <w:szCs w:val="20"/>
        </w:rPr>
        <w:t>T</w:t>
      </w:r>
      <w:r w:rsidR="00E64EF0" w:rsidRPr="008C0BE5">
        <w:rPr>
          <w:rFonts w:ascii="Arial" w:hAnsi="Arial" w:cs="Arial"/>
          <w:sz w:val="20"/>
          <w:szCs w:val="20"/>
        </w:rPr>
        <w:t xml:space="preserve">rade </w:t>
      </w:r>
      <w:r w:rsidR="004F6150" w:rsidRPr="008C0BE5">
        <w:rPr>
          <w:rFonts w:ascii="Arial" w:hAnsi="Arial" w:cs="Arial"/>
          <w:sz w:val="20"/>
          <w:szCs w:val="20"/>
        </w:rPr>
        <w:t>A</w:t>
      </w:r>
      <w:r w:rsidR="00E64EF0" w:rsidRPr="008C0BE5">
        <w:rPr>
          <w:rFonts w:ascii="Arial" w:hAnsi="Arial" w:cs="Arial"/>
          <w:sz w:val="20"/>
          <w:szCs w:val="20"/>
        </w:rPr>
        <w:t xml:space="preserve">dministration </w:t>
      </w:r>
      <w:r w:rsidR="004F6150" w:rsidRPr="008C0BE5">
        <w:rPr>
          <w:rFonts w:ascii="Arial" w:hAnsi="Arial" w:cs="Arial"/>
          <w:sz w:val="20"/>
          <w:szCs w:val="20"/>
        </w:rPr>
        <w:t>C</w:t>
      </w:r>
      <w:r w:rsidR="00E64EF0" w:rsidRPr="008C0BE5">
        <w:rPr>
          <w:rFonts w:ascii="Arial" w:hAnsi="Arial" w:cs="Arial"/>
          <w:sz w:val="20"/>
          <w:szCs w:val="20"/>
        </w:rPr>
        <w:t>ommission (ITAC)</w:t>
      </w:r>
      <w:r w:rsidR="004F6150" w:rsidRPr="008C0BE5">
        <w:rPr>
          <w:rFonts w:ascii="Arial" w:hAnsi="Arial" w:cs="Arial"/>
          <w:sz w:val="20"/>
          <w:szCs w:val="20"/>
        </w:rPr>
        <w:t xml:space="preserve"> and SARS</w:t>
      </w:r>
      <w:r w:rsidR="00AE6F61" w:rsidRPr="008C0BE5">
        <w:rPr>
          <w:rFonts w:ascii="Arial" w:hAnsi="Arial" w:cs="Arial"/>
          <w:sz w:val="20"/>
          <w:szCs w:val="20"/>
        </w:rPr>
        <w:t>,</w:t>
      </w:r>
      <w:r w:rsidR="004F6150" w:rsidRPr="008C0BE5">
        <w:rPr>
          <w:rFonts w:ascii="Arial" w:hAnsi="Arial" w:cs="Arial"/>
          <w:sz w:val="20"/>
          <w:szCs w:val="20"/>
        </w:rPr>
        <w:t xml:space="preserve"> </w:t>
      </w:r>
      <w:r w:rsidR="00FE53C2" w:rsidRPr="008C0BE5">
        <w:rPr>
          <w:rFonts w:ascii="Arial" w:hAnsi="Arial" w:cs="Arial"/>
          <w:sz w:val="20"/>
          <w:szCs w:val="20"/>
        </w:rPr>
        <w:t>The</w:t>
      </w:r>
      <w:r w:rsidR="00316D1E" w:rsidRPr="008C0BE5">
        <w:rPr>
          <w:rFonts w:ascii="Arial" w:hAnsi="Arial" w:cs="Arial"/>
          <w:sz w:val="20"/>
          <w:szCs w:val="20"/>
        </w:rPr>
        <w:t xml:space="preserve"> Committee believes that</w:t>
      </w:r>
      <w:r w:rsidR="00AE6F61" w:rsidRPr="008C0BE5">
        <w:rPr>
          <w:rFonts w:ascii="Arial" w:hAnsi="Arial" w:cs="Arial"/>
          <w:sz w:val="20"/>
          <w:szCs w:val="20"/>
        </w:rPr>
        <w:t xml:space="preserve"> standard</w:t>
      </w:r>
      <w:r w:rsidR="00AD5317" w:rsidRPr="008C0BE5">
        <w:rPr>
          <w:rFonts w:ascii="Arial" w:hAnsi="Arial" w:cs="Arial"/>
          <w:sz w:val="20"/>
          <w:szCs w:val="20"/>
        </w:rPr>
        <w:t xml:space="preserve"> and </w:t>
      </w:r>
      <w:r w:rsidR="00AE6F61" w:rsidRPr="008C0BE5">
        <w:rPr>
          <w:rFonts w:ascii="Arial" w:hAnsi="Arial" w:cs="Arial"/>
          <w:sz w:val="20"/>
          <w:szCs w:val="20"/>
        </w:rPr>
        <w:t>streamlined procedure</w:t>
      </w:r>
      <w:r w:rsidR="0063286F" w:rsidRPr="008C0BE5">
        <w:rPr>
          <w:rFonts w:ascii="Arial" w:hAnsi="Arial" w:cs="Arial"/>
          <w:sz w:val="20"/>
          <w:szCs w:val="20"/>
        </w:rPr>
        <w:t>s</w:t>
      </w:r>
      <w:r w:rsidR="00AE6F61" w:rsidRPr="008C0BE5">
        <w:rPr>
          <w:rFonts w:ascii="Arial" w:hAnsi="Arial" w:cs="Arial"/>
          <w:sz w:val="20"/>
          <w:szCs w:val="20"/>
        </w:rPr>
        <w:t xml:space="preserve"> </w:t>
      </w:r>
      <w:r w:rsidR="007C06C4" w:rsidRPr="008C0BE5">
        <w:rPr>
          <w:rFonts w:ascii="Arial" w:hAnsi="Arial" w:cs="Arial"/>
          <w:sz w:val="20"/>
          <w:szCs w:val="20"/>
        </w:rPr>
        <w:t xml:space="preserve">need to be </w:t>
      </w:r>
      <w:r w:rsidR="00330E52" w:rsidRPr="008C0BE5">
        <w:rPr>
          <w:rFonts w:ascii="Arial" w:hAnsi="Arial" w:cs="Arial"/>
          <w:sz w:val="20"/>
          <w:szCs w:val="20"/>
        </w:rPr>
        <w:t>explored</w:t>
      </w:r>
      <w:r w:rsidR="007C06C4" w:rsidRPr="008C0BE5">
        <w:rPr>
          <w:rFonts w:ascii="Arial" w:hAnsi="Arial" w:cs="Arial"/>
          <w:sz w:val="20"/>
          <w:szCs w:val="20"/>
        </w:rPr>
        <w:t xml:space="preserve"> </w:t>
      </w:r>
      <w:r w:rsidR="00AE6F61" w:rsidRPr="008C0BE5">
        <w:rPr>
          <w:rFonts w:ascii="Arial" w:hAnsi="Arial" w:cs="Arial"/>
          <w:sz w:val="20"/>
          <w:szCs w:val="20"/>
        </w:rPr>
        <w:t xml:space="preserve">to alleviate delays, </w:t>
      </w:r>
      <w:r w:rsidR="00330E52" w:rsidRPr="008C0BE5">
        <w:rPr>
          <w:rFonts w:ascii="Arial" w:hAnsi="Arial" w:cs="Arial"/>
          <w:sz w:val="20"/>
          <w:szCs w:val="20"/>
        </w:rPr>
        <w:t>where</w:t>
      </w:r>
      <w:r w:rsidR="00AE6F61" w:rsidRPr="008C0BE5">
        <w:rPr>
          <w:rFonts w:ascii="Arial" w:hAnsi="Arial" w:cs="Arial"/>
          <w:sz w:val="20"/>
          <w:szCs w:val="20"/>
        </w:rPr>
        <w:t xml:space="preserve"> </w:t>
      </w:r>
      <w:r w:rsidR="00E916C7" w:rsidRPr="008C0BE5">
        <w:rPr>
          <w:rFonts w:ascii="Arial" w:hAnsi="Arial" w:cs="Arial"/>
          <w:sz w:val="20"/>
          <w:szCs w:val="20"/>
        </w:rPr>
        <w:t>feasible</w:t>
      </w:r>
      <w:r w:rsidR="00AE6F61" w:rsidRPr="008C0BE5">
        <w:rPr>
          <w:rFonts w:ascii="Arial" w:hAnsi="Arial" w:cs="Arial"/>
          <w:sz w:val="20"/>
          <w:szCs w:val="20"/>
        </w:rPr>
        <w:t>.</w:t>
      </w:r>
    </w:p>
    <w:p w:rsidR="00627FD5" w:rsidRPr="008C0BE5" w:rsidRDefault="00AE6F61" w:rsidP="008C0BE5">
      <w:pPr>
        <w:pStyle w:val="ListParagraph"/>
        <w:spacing w:after="0" w:line="240" w:lineRule="auto"/>
        <w:ind w:left="360"/>
        <w:rPr>
          <w:rFonts w:ascii="Arial" w:hAnsi="Arial" w:cs="Arial"/>
          <w:sz w:val="20"/>
          <w:szCs w:val="20"/>
        </w:rPr>
      </w:pPr>
      <w:r w:rsidRPr="008C0BE5">
        <w:rPr>
          <w:rFonts w:ascii="Arial" w:hAnsi="Arial" w:cs="Arial"/>
          <w:sz w:val="20"/>
          <w:szCs w:val="20"/>
        </w:rPr>
        <w:t xml:space="preserve"> </w:t>
      </w:r>
    </w:p>
    <w:p w:rsidR="00F71A5C" w:rsidRPr="008C0BE5" w:rsidRDefault="00F71A5C" w:rsidP="008C0BE5">
      <w:pPr>
        <w:contextualSpacing/>
        <w:rPr>
          <w:rFonts w:ascii="Arial" w:hAnsi="Arial" w:cs="Arial"/>
          <w:color w:val="000000" w:themeColor="text1"/>
          <w:sz w:val="20"/>
          <w:szCs w:val="20"/>
        </w:rPr>
      </w:pPr>
      <w:r w:rsidRPr="008C0BE5">
        <w:rPr>
          <w:rFonts w:ascii="Arial" w:hAnsi="Arial" w:cs="Arial"/>
          <w:color w:val="000000" w:themeColor="text1"/>
          <w:sz w:val="20"/>
          <w:szCs w:val="20"/>
        </w:rPr>
        <w:t>Having considered the annual performance plans and the proposed budget vote for the National Treasury</w:t>
      </w:r>
      <w:r w:rsidR="001E05DA" w:rsidRPr="008C0BE5">
        <w:rPr>
          <w:rFonts w:ascii="Arial" w:hAnsi="Arial" w:cs="Arial"/>
          <w:color w:val="000000" w:themeColor="text1"/>
          <w:sz w:val="20"/>
          <w:szCs w:val="20"/>
        </w:rPr>
        <w:t xml:space="preserve"> and SARS</w:t>
      </w:r>
      <w:r w:rsidRPr="008C0BE5">
        <w:rPr>
          <w:rFonts w:ascii="Arial" w:hAnsi="Arial" w:cs="Arial"/>
          <w:color w:val="000000" w:themeColor="text1"/>
          <w:sz w:val="20"/>
          <w:szCs w:val="20"/>
        </w:rPr>
        <w:t xml:space="preserve">, the Committee asks the National Assembly to adopt Budget Vote 8 </w:t>
      </w:r>
      <w:r w:rsidR="00D66F51" w:rsidRPr="008C0BE5">
        <w:rPr>
          <w:rFonts w:ascii="Arial" w:hAnsi="Arial" w:cs="Arial"/>
          <w:color w:val="000000" w:themeColor="text1"/>
          <w:sz w:val="20"/>
          <w:szCs w:val="20"/>
        </w:rPr>
        <w:t xml:space="preserve">and this </w:t>
      </w:r>
      <w:r w:rsidRPr="008C0BE5">
        <w:rPr>
          <w:rFonts w:ascii="Arial" w:hAnsi="Arial" w:cs="Arial"/>
          <w:color w:val="000000" w:themeColor="text1"/>
          <w:sz w:val="20"/>
          <w:szCs w:val="20"/>
        </w:rPr>
        <w:t xml:space="preserve">Report. </w:t>
      </w:r>
    </w:p>
    <w:p w:rsidR="00F71A5C" w:rsidRPr="008C0BE5" w:rsidRDefault="00F71A5C" w:rsidP="008C0BE5">
      <w:pPr>
        <w:contextualSpacing/>
        <w:rPr>
          <w:rFonts w:ascii="Arial" w:hAnsi="Arial" w:cs="Arial"/>
          <w:color w:val="000000" w:themeColor="text1"/>
          <w:sz w:val="20"/>
          <w:szCs w:val="20"/>
        </w:rPr>
      </w:pPr>
    </w:p>
    <w:p w:rsidR="00F71A5C" w:rsidRPr="008C0BE5" w:rsidRDefault="00F71A5C" w:rsidP="008C0BE5">
      <w:pPr>
        <w:contextualSpacing/>
        <w:rPr>
          <w:rFonts w:ascii="Arial" w:hAnsi="Arial" w:cs="Arial"/>
          <w:color w:val="000000" w:themeColor="text1"/>
          <w:sz w:val="20"/>
          <w:szCs w:val="20"/>
        </w:rPr>
      </w:pPr>
      <w:r w:rsidRPr="008C0BE5">
        <w:rPr>
          <w:rFonts w:ascii="Arial" w:hAnsi="Arial" w:cs="Arial"/>
          <w:color w:val="000000" w:themeColor="text1"/>
          <w:sz w:val="20"/>
          <w:szCs w:val="20"/>
        </w:rPr>
        <w:t xml:space="preserve"> Report to be considered.</w:t>
      </w:r>
    </w:p>
    <w:p w:rsidR="00B41338" w:rsidRPr="008C0BE5" w:rsidRDefault="00B41338" w:rsidP="008C0BE5">
      <w:pPr>
        <w:contextualSpacing/>
        <w:rPr>
          <w:rFonts w:ascii="Arial" w:eastAsia="Times New Roman" w:hAnsi="Arial" w:cs="Arial"/>
          <w:sz w:val="20"/>
          <w:szCs w:val="20"/>
        </w:rPr>
      </w:pPr>
      <w:r w:rsidRPr="008C0BE5">
        <w:rPr>
          <w:rFonts w:ascii="Arial" w:eastAsia="Times New Roman" w:hAnsi="Arial" w:cs="Arial"/>
          <w:sz w:val="20"/>
          <w:szCs w:val="20"/>
        </w:rPr>
        <w:t xml:space="preserve">The DA reserves its position. </w:t>
      </w:r>
    </w:p>
    <w:p w:rsidR="00EF7E81" w:rsidRPr="008C0BE5" w:rsidRDefault="008E7CD3" w:rsidP="008C0BE5">
      <w:pPr>
        <w:contextualSpacing/>
        <w:rPr>
          <w:rFonts w:ascii="Arial" w:hAnsi="Arial" w:cs="Arial"/>
          <w:sz w:val="20"/>
          <w:szCs w:val="20"/>
        </w:rPr>
      </w:pPr>
      <w:r w:rsidRPr="008C0BE5">
        <w:rPr>
          <w:rFonts w:ascii="Arial" w:eastAsia="Times New Roman" w:hAnsi="Arial" w:cs="Arial"/>
          <w:sz w:val="20"/>
          <w:szCs w:val="20"/>
        </w:rPr>
        <w:br/>
      </w:r>
    </w:p>
    <w:sectPr w:rsidR="00EF7E81" w:rsidRPr="008C0BE5" w:rsidSect="003A4B31">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E53" w:rsidRDefault="00396E53">
      <w:r>
        <w:separator/>
      </w:r>
    </w:p>
  </w:endnote>
  <w:endnote w:type="continuationSeparator" w:id="0">
    <w:p w:rsidR="00396E53" w:rsidRDefault="00396E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015596"/>
      <w:docPartObj>
        <w:docPartGallery w:val="Page Numbers (Bottom of Page)"/>
        <w:docPartUnique/>
      </w:docPartObj>
    </w:sdtPr>
    <w:sdtEndPr>
      <w:rPr>
        <w:noProof/>
      </w:rPr>
    </w:sdtEndPr>
    <w:sdtContent>
      <w:p w:rsidR="00225098" w:rsidRDefault="003A4B31">
        <w:pPr>
          <w:pStyle w:val="Footer"/>
          <w:jc w:val="center"/>
        </w:pPr>
        <w:r>
          <w:fldChar w:fldCharType="begin"/>
        </w:r>
        <w:r w:rsidR="00225098">
          <w:instrText xml:space="preserve"> PAGE   \* MERGEFORMAT </w:instrText>
        </w:r>
        <w:r>
          <w:fldChar w:fldCharType="separate"/>
        </w:r>
        <w:r w:rsidR="008C0BE5">
          <w:rPr>
            <w:noProof/>
          </w:rPr>
          <w:t>1</w:t>
        </w:r>
        <w:r>
          <w:rPr>
            <w:noProof/>
          </w:rPr>
          <w:fldChar w:fldCharType="end"/>
        </w:r>
      </w:p>
    </w:sdtContent>
  </w:sdt>
  <w:p w:rsidR="00225098" w:rsidRDefault="002250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E53" w:rsidRDefault="00396E53">
      <w:r>
        <w:separator/>
      </w:r>
    </w:p>
  </w:footnote>
  <w:footnote w:type="continuationSeparator" w:id="0">
    <w:p w:rsidR="00396E53" w:rsidRDefault="00396E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06A5"/>
    <w:multiLevelType w:val="multilevel"/>
    <w:tmpl w:val="2830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D06A2"/>
    <w:multiLevelType w:val="multilevel"/>
    <w:tmpl w:val="57DE4740"/>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F5B1085"/>
    <w:multiLevelType w:val="multilevel"/>
    <w:tmpl w:val="C5E8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32A32"/>
    <w:multiLevelType w:val="multilevel"/>
    <w:tmpl w:val="05D8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87E5E"/>
    <w:multiLevelType w:val="hybridMultilevel"/>
    <w:tmpl w:val="E1C4D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95F5816"/>
    <w:multiLevelType w:val="multilevel"/>
    <w:tmpl w:val="25EA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464CA4"/>
    <w:multiLevelType w:val="multilevel"/>
    <w:tmpl w:val="E628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314579"/>
    <w:multiLevelType w:val="hybridMultilevel"/>
    <w:tmpl w:val="DBCCABA6"/>
    <w:lvl w:ilvl="0" w:tplc="9A183704">
      <w:start w:val="1"/>
      <w:numFmt w:val="bullet"/>
      <w:lvlText w:val="•"/>
      <w:lvlJc w:val="left"/>
      <w:pPr>
        <w:tabs>
          <w:tab w:val="num" w:pos="720"/>
        </w:tabs>
        <w:ind w:left="720" w:hanging="360"/>
      </w:pPr>
      <w:rPr>
        <w:rFonts w:ascii="Arial" w:hAnsi="Arial" w:hint="default"/>
      </w:rPr>
    </w:lvl>
    <w:lvl w:ilvl="1" w:tplc="F6C23920" w:tentative="1">
      <w:start w:val="1"/>
      <w:numFmt w:val="bullet"/>
      <w:lvlText w:val="•"/>
      <w:lvlJc w:val="left"/>
      <w:pPr>
        <w:tabs>
          <w:tab w:val="num" w:pos="1440"/>
        </w:tabs>
        <w:ind w:left="1440" w:hanging="360"/>
      </w:pPr>
      <w:rPr>
        <w:rFonts w:ascii="Arial" w:hAnsi="Arial" w:hint="default"/>
      </w:rPr>
    </w:lvl>
    <w:lvl w:ilvl="2" w:tplc="E76A4A6A" w:tentative="1">
      <w:start w:val="1"/>
      <w:numFmt w:val="bullet"/>
      <w:lvlText w:val="•"/>
      <w:lvlJc w:val="left"/>
      <w:pPr>
        <w:tabs>
          <w:tab w:val="num" w:pos="2160"/>
        </w:tabs>
        <w:ind w:left="2160" w:hanging="360"/>
      </w:pPr>
      <w:rPr>
        <w:rFonts w:ascii="Arial" w:hAnsi="Arial" w:hint="default"/>
      </w:rPr>
    </w:lvl>
    <w:lvl w:ilvl="3" w:tplc="505098B0" w:tentative="1">
      <w:start w:val="1"/>
      <w:numFmt w:val="bullet"/>
      <w:lvlText w:val="•"/>
      <w:lvlJc w:val="left"/>
      <w:pPr>
        <w:tabs>
          <w:tab w:val="num" w:pos="2880"/>
        </w:tabs>
        <w:ind w:left="2880" w:hanging="360"/>
      </w:pPr>
      <w:rPr>
        <w:rFonts w:ascii="Arial" w:hAnsi="Arial" w:hint="default"/>
      </w:rPr>
    </w:lvl>
    <w:lvl w:ilvl="4" w:tplc="42AA0196" w:tentative="1">
      <w:start w:val="1"/>
      <w:numFmt w:val="bullet"/>
      <w:lvlText w:val="•"/>
      <w:lvlJc w:val="left"/>
      <w:pPr>
        <w:tabs>
          <w:tab w:val="num" w:pos="3600"/>
        </w:tabs>
        <w:ind w:left="3600" w:hanging="360"/>
      </w:pPr>
      <w:rPr>
        <w:rFonts w:ascii="Arial" w:hAnsi="Arial" w:hint="default"/>
      </w:rPr>
    </w:lvl>
    <w:lvl w:ilvl="5" w:tplc="45B21BFE" w:tentative="1">
      <w:start w:val="1"/>
      <w:numFmt w:val="bullet"/>
      <w:lvlText w:val="•"/>
      <w:lvlJc w:val="left"/>
      <w:pPr>
        <w:tabs>
          <w:tab w:val="num" w:pos="4320"/>
        </w:tabs>
        <w:ind w:left="4320" w:hanging="360"/>
      </w:pPr>
      <w:rPr>
        <w:rFonts w:ascii="Arial" w:hAnsi="Arial" w:hint="default"/>
      </w:rPr>
    </w:lvl>
    <w:lvl w:ilvl="6" w:tplc="55786E10" w:tentative="1">
      <w:start w:val="1"/>
      <w:numFmt w:val="bullet"/>
      <w:lvlText w:val="•"/>
      <w:lvlJc w:val="left"/>
      <w:pPr>
        <w:tabs>
          <w:tab w:val="num" w:pos="5040"/>
        </w:tabs>
        <w:ind w:left="5040" w:hanging="360"/>
      </w:pPr>
      <w:rPr>
        <w:rFonts w:ascii="Arial" w:hAnsi="Arial" w:hint="default"/>
      </w:rPr>
    </w:lvl>
    <w:lvl w:ilvl="7" w:tplc="E2CC3F76" w:tentative="1">
      <w:start w:val="1"/>
      <w:numFmt w:val="bullet"/>
      <w:lvlText w:val="•"/>
      <w:lvlJc w:val="left"/>
      <w:pPr>
        <w:tabs>
          <w:tab w:val="num" w:pos="5760"/>
        </w:tabs>
        <w:ind w:left="5760" w:hanging="360"/>
      </w:pPr>
      <w:rPr>
        <w:rFonts w:ascii="Arial" w:hAnsi="Arial" w:hint="default"/>
      </w:rPr>
    </w:lvl>
    <w:lvl w:ilvl="8" w:tplc="1C3808A8" w:tentative="1">
      <w:start w:val="1"/>
      <w:numFmt w:val="bullet"/>
      <w:lvlText w:val="•"/>
      <w:lvlJc w:val="left"/>
      <w:pPr>
        <w:tabs>
          <w:tab w:val="num" w:pos="6480"/>
        </w:tabs>
        <w:ind w:left="6480" w:hanging="360"/>
      </w:pPr>
      <w:rPr>
        <w:rFonts w:ascii="Arial" w:hAnsi="Arial" w:hint="default"/>
      </w:rPr>
    </w:lvl>
  </w:abstractNum>
  <w:abstractNum w:abstractNumId="8">
    <w:nsid w:val="489B2ACD"/>
    <w:multiLevelType w:val="multilevel"/>
    <w:tmpl w:val="4788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EC471F"/>
    <w:multiLevelType w:val="multilevel"/>
    <w:tmpl w:val="559E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3C0C18"/>
    <w:multiLevelType w:val="multilevel"/>
    <w:tmpl w:val="5D06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DB2586"/>
    <w:multiLevelType w:val="multilevel"/>
    <w:tmpl w:val="97F8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2911D2"/>
    <w:multiLevelType w:val="multilevel"/>
    <w:tmpl w:val="9640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3C2CAF"/>
    <w:multiLevelType w:val="hybridMultilevel"/>
    <w:tmpl w:val="AFCA79B2"/>
    <w:lvl w:ilvl="0" w:tplc="59241024">
      <w:start w:val="4"/>
      <w:numFmt w:val="bullet"/>
      <w:lvlText w:val="-"/>
      <w:lvlJc w:val="left"/>
      <w:pPr>
        <w:ind w:left="420" w:hanging="360"/>
      </w:pPr>
      <w:rPr>
        <w:rFonts w:ascii="Arial" w:eastAsiaTheme="minorHAnsi" w:hAnsi="Arial"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4">
    <w:nsid w:val="73BF3F86"/>
    <w:multiLevelType w:val="hybridMultilevel"/>
    <w:tmpl w:val="93D85E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4"/>
  </w:num>
  <w:num w:numId="5">
    <w:abstractNumId w:val="13"/>
  </w:num>
  <w:num w:numId="6">
    <w:abstractNumId w:val="0"/>
  </w:num>
  <w:num w:numId="7">
    <w:abstractNumId w:val="11"/>
  </w:num>
  <w:num w:numId="8">
    <w:abstractNumId w:val="6"/>
  </w:num>
  <w:num w:numId="9">
    <w:abstractNumId w:val="5"/>
  </w:num>
  <w:num w:numId="10">
    <w:abstractNumId w:val="8"/>
  </w:num>
  <w:num w:numId="11">
    <w:abstractNumId w:val="9"/>
  </w:num>
  <w:num w:numId="12">
    <w:abstractNumId w:val="12"/>
  </w:num>
  <w:num w:numId="13">
    <w:abstractNumId w:val="2"/>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E67BD"/>
    <w:rsid w:val="00001226"/>
    <w:rsid w:val="000032DD"/>
    <w:rsid w:val="000036F3"/>
    <w:rsid w:val="00005F26"/>
    <w:rsid w:val="00007316"/>
    <w:rsid w:val="00007958"/>
    <w:rsid w:val="000126BA"/>
    <w:rsid w:val="00012821"/>
    <w:rsid w:val="00014540"/>
    <w:rsid w:val="00015A57"/>
    <w:rsid w:val="00016F16"/>
    <w:rsid w:val="00020018"/>
    <w:rsid w:val="000240F4"/>
    <w:rsid w:val="0002624E"/>
    <w:rsid w:val="00027B12"/>
    <w:rsid w:val="000333F2"/>
    <w:rsid w:val="00043405"/>
    <w:rsid w:val="00043656"/>
    <w:rsid w:val="000471A0"/>
    <w:rsid w:val="00055678"/>
    <w:rsid w:val="0006059F"/>
    <w:rsid w:val="00064375"/>
    <w:rsid w:val="0006759F"/>
    <w:rsid w:val="0007145E"/>
    <w:rsid w:val="00071F51"/>
    <w:rsid w:val="00073A92"/>
    <w:rsid w:val="0007527F"/>
    <w:rsid w:val="00080D24"/>
    <w:rsid w:val="00086D41"/>
    <w:rsid w:val="00097081"/>
    <w:rsid w:val="00097992"/>
    <w:rsid w:val="000A0AE7"/>
    <w:rsid w:val="000A1F30"/>
    <w:rsid w:val="000A374A"/>
    <w:rsid w:val="000A3D12"/>
    <w:rsid w:val="000A48C9"/>
    <w:rsid w:val="000A4B62"/>
    <w:rsid w:val="000A7E97"/>
    <w:rsid w:val="000B4848"/>
    <w:rsid w:val="000B6B2A"/>
    <w:rsid w:val="000C2298"/>
    <w:rsid w:val="000C255E"/>
    <w:rsid w:val="000C288A"/>
    <w:rsid w:val="000C4FD8"/>
    <w:rsid w:val="000C52C3"/>
    <w:rsid w:val="000D302E"/>
    <w:rsid w:val="000E17FD"/>
    <w:rsid w:val="000E5D58"/>
    <w:rsid w:val="000E648E"/>
    <w:rsid w:val="000F1589"/>
    <w:rsid w:val="000F489D"/>
    <w:rsid w:val="000F74AF"/>
    <w:rsid w:val="000F77BD"/>
    <w:rsid w:val="001015F4"/>
    <w:rsid w:val="001021F1"/>
    <w:rsid w:val="00102478"/>
    <w:rsid w:val="00104669"/>
    <w:rsid w:val="00104A88"/>
    <w:rsid w:val="00105A21"/>
    <w:rsid w:val="00106F24"/>
    <w:rsid w:val="00107964"/>
    <w:rsid w:val="00111C88"/>
    <w:rsid w:val="00113FDA"/>
    <w:rsid w:val="0011546D"/>
    <w:rsid w:val="00117482"/>
    <w:rsid w:val="001235A4"/>
    <w:rsid w:val="001264BB"/>
    <w:rsid w:val="001331F2"/>
    <w:rsid w:val="00133317"/>
    <w:rsid w:val="00140B5F"/>
    <w:rsid w:val="00143E82"/>
    <w:rsid w:val="00147E62"/>
    <w:rsid w:val="00153016"/>
    <w:rsid w:val="0016216A"/>
    <w:rsid w:val="00164E46"/>
    <w:rsid w:val="00165D41"/>
    <w:rsid w:val="00167C24"/>
    <w:rsid w:val="0017096A"/>
    <w:rsid w:val="001726EA"/>
    <w:rsid w:val="00180B2F"/>
    <w:rsid w:val="001811BE"/>
    <w:rsid w:val="00183703"/>
    <w:rsid w:val="001926F0"/>
    <w:rsid w:val="001936BF"/>
    <w:rsid w:val="00194A48"/>
    <w:rsid w:val="0019611C"/>
    <w:rsid w:val="00196AA1"/>
    <w:rsid w:val="00196C8D"/>
    <w:rsid w:val="0019765C"/>
    <w:rsid w:val="00197CC1"/>
    <w:rsid w:val="001A090D"/>
    <w:rsid w:val="001A1C71"/>
    <w:rsid w:val="001B1963"/>
    <w:rsid w:val="001B2A04"/>
    <w:rsid w:val="001B30DA"/>
    <w:rsid w:val="001B6CF7"/>
    <w:rsid w:val="001B77B0"/>
    <w:rsid w:val="001C5356"/>
    <w:rsid w:val="001C6246"/>
    <w:rsid w:val="001D0345"/>
    <w:rsid w:val="001D60D0"/>
    <w:rsid w:val="001D6671"/>
    <w:rsid w:val="001D74D0"/>
    <w:rsid w:val="001D77BD"/>
    <w:rsid w:val="001E05DA"/>
    <w:rsid w:val="001E0DEB"/>
    <w:rsid w:val="001E3D53"/>
    <w:rsid w:val="001E412B"/>
    <w:rsid w:val="001E45B9"/>
    <w:rsid w:val="001E6BD6"/>
    <w:rsid w:val="001E740A"/>
    <w:rsid w:val="001F1914"/>
    <w:rsid w:val="001F2CB7"/>
    <w:rsid w:val="001F6B01"/>
    <w:rsid w:val="00200E30"/>
    <w:rsid w:val="00202605"/>
    <w:rsid w:val="002028C8"/>
    <w:rsid w:val="00202D64"/>
    <w:rsid w:val="00202DD2"/>
    <w:rsid w:val="00210B7C"/>
    <w:rsid w:val="00215E99"/>
    <w:rsid w:val="002160DA"/>
    <w:rsid w:val="0022288C"/>
    <w:rsid w:val="00225098"/>
    <w:rsid w:val="00231071"/>
    <w:rsid w:val="00231413"/>
    <w:rsid w:val="0023399C"/>
    <w:rsid w:val="00233F8A"/>
    <w:rsid w:val="00235824"/>
    <w:rsid w:val="00240D8B"/>
    <w:rsid w:val="00242236"/>
    <w:rsid w:val="002546D8"/>
    <w:rsid w:val="0025728C"/>
    <w:rsid w:val="00257F43"/>
    <w:rsid w:val="00260160"/>
    <w:rsid w:val="002633D0"/>
    <w:rsid w:val="00266391"/>
    <w:rsid w:val="0026725D"/>
    <w:rsid w:val="002677CE"/>
    <w:rsid w:val="00267BE1"/>
    <w:rsid w:val="00270DFD"/>
    <w:rsid w:val="002719F7"/>
    <w:rsid w:val="00273125"/>
    <w:rsid w:val="00275854"/>
    <w:rsid w:val="00276DF3"/>
    <w:rsid w:val="00281AC4"/>
    <w:rsid w:val="00281D57"/>
    <w:rsid w:val="002841FD"/>
    <w:rsid w:val="002860A2"/>
    <w:rsid w:val="00286893"/>
    <w:rsid w:val="0029369F"/>
    <w:rsid w:val="00296860"/>
    <w:rsid w:val="00296A45"/>
    <w:rsid w:val="00296D56"/>
    <w:rsid w:val="002A0EE3"/>
    <w:rsid w:val="002A1C90"/>
    <w:rsid w:val="002A24ED"/>
    <w:rsid w:val="002A2BF5"/>
    <w:rsid w:val="002A3B59"/>
    <w:rsid w:val="002A4D09"/>
    <w:rsid w:val="002A6A95"/>
    <w:rsid w:val="002A718D"/>
    <w:rsid w:val="002B41D3"/>
    <w:rsid w:val="002C253B"/>
    <w:rsid w:val="002C5AC3"/>
    <w:rsid w:val="002C6DC7"/>
    <w:rsid w:val="002D0EB3"/>
    <w:rsid w:val="002D26F5"/>
    <w:rsid w:val="002D2F56"/>
    <w:rsid w:val="002D5784"/>
    <w:rsid w:val="002E03E0"/>
    <w:rsid w:val="002E27BA"/>
    <w:rsid w:val="002E31C0"/>
    <w:rsid w:val="002E6883"/>
    <w:rsid w:val="002F0041"/>
    <w:rsid w:val="002F1A5D"/>
    <w:rsid w:val="002F40CE"/>
    <w:rsid w:val="002F51E6"/>
    <w:rsid w:val="002F7B20"/>
    <w:rsid w:val="003005AE"/>
    <w:rsid w:val="00300F4D"/>
    <w:rsid w:val="00303820"/>
    <w:rsid w:val="0031428E"/>
    <w:rsid w:val="00316D1E"/>
    <w:rsid w:val="00321D5F"/>
    <w:rsid w:val="0032276F"/>
    <w:rsid w:val="00323114"/>
    <w:rsid w:val="00330E52"/>
    <w:rsid w:val="003314E0"/>
    <w:rsid w:val="00333056"/>
    <w:rsid w:val="003341EB"/>
    <w:rsid w:val="003342E2"/>
    <w:rsid w:val="00334D82"/>
    <w:rsid w:val="0033518B"/>
    <w:rsid w:val="00337D44"/>
    <w:rsid w:val="0034262D"/>
    <w:rsid w:val="00350906"/>
    <w:rsid w:val="00352678"/>
    <w:rsid w:val="00356664"/>
    <w:rsid w:val="00356FF5"/>
    <w:rsid w:val="00357019"/>
    <w:rsid w:val="003606F5"/>
    <w:rsid w:val="00361D43"/>
    <w:rsid w:val="0036298E"/>
    <w:rsid w:val="0036363B"/>
    <w:rsid w:val="00363C2F"/>
    <w:rsid w:val="003672AD"/>
    <w:rsid w:val="00370BC1"/>
    <w:rsid w:val="00377854"/>
    <w:rsid w:val="00384EE1"/>
    <w:rsid w:val="003858D8"/>
    <w:rsid w:val="00387882"/>
    <w:rsid w:val="003920B2"/>
    <w:rsid w:val="00392C18"/>
    <w:rsid w:val="00396E53"/>
    <w:rsid w:val="003A2CB8"/>
    <w:rsid w:val="003A4B31"/>
    <w:rsid w:val="003A4D91"/>
    <w:rsid w:val="003A64CA"/>
    <w:rsid w:val="003C3C7B"/>
    <w:rsid w:val="003C4BA7"/>
    <w:rsid w:val="003C77CA"/>
    <w:rsid w:val="003D04A3"/>
    <w:rsid w:val="003D1BE0"/>
    <w:rsid w:val="003E0A60"/>
    <w:rsid w:val="003E4287"/>
    <w:rsid w:val="003E42BF"/>
    <w:rsid w:val="003E561B"/>
    <w:rsid w:val="003E6781"/>
    <w:rsid w:val="003F1633"/>
    <w:rsid w:val="003F3468"/>
    <w:rsid w:val="003F709F"/>
    <w:rsid w:val="004043B9"/>
    <w:rsid w:val="00410BFC"/>
    <w:rsid w:val="00412621"/>
    <w:rsid w:val="0041383E"/>
    <w:rsid w:val="00415C02"/>
    <w:rsid w:val="00422BD0"/>
    <w:rsid w:val="004250E1"/>
    <w:rsid w:val="00427699"/>
    <w:rsid w:val="00431258"/>
    <w:rsid w:val="00431E68"/>
    <w:rsid w:val="00432D85"/>
    <w:rsid w:val="0043467D"/>
    <w:rsid w:val="00436049"/>
    <w:rsid w:val="00436D19"/>
    <w:rsid w:val="004422F3"/>
    <w:rsid w:val="00443FD9"/>
    <w:rsid w:val="0044470C"/>
    <w:rsid w:val="00451ED3"/>
    <w:rsid w:val="004521FC"/>
    <w:rsid w:val="00452C25"/>
    <w:rsid w:val="00456CB9"/>
    <w:rsid w:val="004713AC"/>
    <w:rsid w:val="00473EC1"/>
    <w:rsid w:val="0047707C"/>
    <w:rsid w:val="00480410"/>
    <w:rsid w:val="004809D9"/>
    <w:rsid w:val="00481C28"/>
    <w:rsid w:val="00481EBF"/>
    <w:rsid w:val="00482006"/>
    <w:rsid w:val="00482479"/>
    <w:rsid w:val="004847E9"/>
    <w:rsid w:val="00490CB4"/>
    <w:rsid w:val="004971D5"/>
    <w:rsid w:val="004A6509"/>
    <w:rsid w:val="004B04E0"/>
    <w:rsid w:val="004B4FED"/>
    <w:rsid w:val="004B72F0"/>
    <w:rsid w:val="004B7FE5"/>
    <w:rsid w:val="004C0E5F"/>
    <w:rsid w:val="004C6E3B"/>
    <w:rsid w:val="004D02BA"/>
    <w:rsid w:val="004E68A8"/>
    <w:rsid w:val="004E700B"/>
    <w:rsid w:val="004F6150"/>
    <w:rsid w:val="004F687D"/>
    <w:rsid w:val="005010FF"/>
    <w:rsid w:val="00503D23"/>
    <w:rsid w:val="00507A91"/>
    <w:rsid w:val="005112B8"/>
    <w:rsid w:val="005116F1"/>
    <w:rsid w:val="0051342C"/>
    <w:rsid w:val="00514CB4"/>
    <w:rsid w:val="00520427"/>
    <w:rsid w:val="00524F17"/>
    <w:rsid w:val="0052597D"/>
    <w:rsid w:val="00532BDC"/>
    <w:rsid w:val="00535E2F"/>
    <w:rsid w:val="005404F5"/>
    <w:rsid w:val="00542B17"/>
    <w:rsid w:val="00545CCD"/>
    <w:rsid w:val="00545D9A"/>
    <w:rsid w:val="00550C13"/>
    <w:rsid w:val="00552E30"/>
    <w:rsid w:val="005535B7"/>
    <w:rsid w:val="00553DEB"/>
    <w:rsid w:val="00556E62"/>
    <w:rsid w:val="00563C6A"/>
    <w:rsid w:val="005665E3"/>
    <w:rsid w:val="005700C3"/>
    <w:rsid w:val="00585937"/>
    <w:rsid w:val="005911B3"/>
    <w:rsid w:val="00591D9C"/>
    <w:rsid w:val="005936D7"/>
    <w:rsid w:val="005A28D5"/>
    <w:rsid w:val="005A34A1"/>
    <w:rsid w:val="005A39AE"/>
    <w:rsid w:val="005A3E92"/>
    <w:rsid w:val="005A5FDF"/>
    <w:rsid w:val="005A6366"/>
    <w:rsid w:val="005B0F16"/>
    <w:rsid w:val="005B4140"/>
    <w:rsid w:val="005B6ACD"/>
    <w:rsid w:val="005B6D6C"/>
    <w:rsid w:val="005C0274"/>
    <w:rsid w:val="005C22D5"/>
    <w:rsid w:val="005C27EC"/>
    <w:rsid w:val="005C6642"/>
    <w:rsid w:val="005C7C32"/>
    <w:rsid w:val="005D410F"/>
    <w:rsid w:val="005D419E"/>
    <w:rsid w:val="005D453F"/>
    <w:rsid w:val="005D5FCB"/>
    <w:rsid w:val="005D751F"/>
    <w:rsid w:val="005E1A23"/>
    <w:rsid w:val="005E2B87"/>
    <w:rsid w:val="005E3417"/>
    <w:rsid w:val="005F1B9C"/>
    <w:rsid w:val="005F452C"/>
    <w:rsid w:val="005F49D4"/>
    <w:rsid w:val="00600EA1"/>
    <w:rsid w:val="00603013"/>
    <w:rsid w:val="0061237D"/>
    <w:rsid w:val="006126EE"/>
    <w:rsid w:val="00615872"/>
    <w:rsid w:val="00616AF8"/>
    <w:rsid w:val="00617E96"/>
    <w:rsid w:val="00623278"/>
    <w:rsid w:val="0062720D"/>
    <w:rsid w:val="00627A99"/>
    <w:rsid w:val="00627FD5"/>
    <w:rsid w:val="006304F3"/>
    <w:rsid w:val="0063286F"/>
    <w:rsid w:val="006352A1"/>
    <w:rsid w:val="00635C64"/>
    <w:rsid w:val="00640CC8"/>
    <w:rsid w:val="00641F72"/>
    <w:rsid w:val="00646183"/>
    <w:rsid w:val="00650564"/>
    <w:rsid w:val="0065082A"/>
    <w:rsid w:val="006533F7"/>
    <w:rsid w:val="00654001"/>
    <w:rsid w:val="006601BF"/>
    <w:rsid w:val="00663E69"/>
    <w:rsid w:val="006718EB"/>
    <w:rsid w:val="0067565A"/>
    <w:rsid w:val="00675F37"/>
    <w:rsid w:val="0067717C"/>
    <w:rsid w:val="0068039A"/>
    <w:rsid w:val="006809F6"/>
    <w:rsid w:val="00681506"/>
    <w:rsid w:val="00681C12"/>
    <w:rsid w:val="00682B6C"/>
    <w:rsid w:val="00687294"/>
    <w:rsid w:val="00687A4B"/>
    <w:rsid w:val="006921BA"/>
    <w:rsid w:val="006930C9"/>
    <w:rsid w:val="006938A5"/>
    <w:rsid w:val="006A19DB"/>
    <w:rsid w:val="006A48E2"/>
    <w:rsid w:val="006B0514"/>
    <w:rsid w:val="006B0998"/>
    <w:rsid w:val="006B24B2"/>
    <w:rsid w:val="006B27C0"/>
    <w:rsid w:val="006B4D27"/>
    <w:rsid w:val="006C270D"/>
    <w:rsid w:val="006C6E43"/>
    <w:rsid w:val="006D641B"/>
    <w:rsid w:val="006D7FCE"/>
    <w:rsid w:val="006E08D6"/>
    <w:rsid w:val="006E4289"/>
    <w:rsid w:val="006E6C19"/>
    <w:rsid w:val="006E79CC"/>
    <w:rsid w:val="006F0A99"/>
    <w:rsid w:val="006F2883"/>
    <w:rsid w:val="006F40B3"/>
    <w:rsid w:val="006F5D08"/>
    <w:rsid w:val="00704E90"/>
    <w:rsid w:val="0070517A"/>
    <w:rsid w:val="007056CC"/>
    <w:rsid w:val="00705DA4"/>
    <w:rsid w:val="0070658F"/>
    <w:rsid w:val="00707655"/>
    <w:rsid w:val="00711D28"/>
    <w:rsid w:val="00711EDA"/>
    <w:rsid w:val="00712363"/>
    <w:rsid w:val="00715BBF"/>
    <w:rsid w:val="007205E9"/>
    <w:rsid w:val="00722A5D"/>
    <w:rsid w:val="00724545"/>
    <w:rsid w:val="00725F32"/>
    <w:rsid w:val="00726E5E"/>
    <w:rsid w:val="007306C1"/>
    <w:rsid w:val="007322FD"/>
    <w:rsid w:val="0073384A"/>
    <w:rsid w:val="00736E01"/>
    <w:rsid w:val="00737CC5"/>
    <w:rsid w:val="00740574"/>
    <w:rsid w:val="00745277"/>
    <w:rsid w:val="0074640E"/>
    <w:rsid w:val="00747111"/>
    <w:rsid w:val="00747218"/>
    <w:rsid w:val="00750411"/>
    <w:rsid w:val="00755529"/>
    <w:rsid w:val="00756416"/>
    <w:rsid w:val="007568DA"/>
    <w:rsid w:val="00757862"/>
    <w:rsid w:val="00760086"/>
    <w:rsid w:val="00760E7E"/>
    <w:rsid w:val="00763620"/>
    <w:rsid w:val="0076389A"/>
    <w:rsid w:val="00765E54"/>
    <w:rsid w:val="00770C6E"/>
    <w:rsid w:val="00771B8A"/>
    <w:rsid w:val="0077412C"/>
    <w:rsid w:val="0078078F"/>
    <w:rsid w:val="00781E9C"/>
    <w:rsid w:val="007946CD"/>
    <w:rsid w:val="00796B3E"/>
    <w:rsid w:val="007A6182"/>
    <w:rsid w:val="007A6BBA"/>
    <w:rsid w:val="007A7921"/>
    <w:rsid w:val="007B0606"/>
    <w:rsid w:val="007B11CE"/>
    <w:rsid w:val="007B185B"/>
    <w:rsid w:val="007B3682"/>
    <w:rsid w:val="007B3DE5"/>
    <w:rsid w:val="007B6FA5"/>
    <w:rsid w:val="007C06C4"/>
    <w:rsid w:val="007C1464"/>
    <w:rsid w:val="007C1659"/>
    <w:rsid w:val="007C27C5"/>
    <w:rsid w:val="007C2EC4"/>
    <w:rsid w:val="007C3D11"/>
    <w:rsid w:val="007D1D55"/>
    <w:rsid w:val="007D292D"/>
    <w:rsid w:val="007D2DF8"/>
    <w:rsid w:val="007D31D5"/>
    <w:rsid w:val="007D4C01"/>
    <w:rsid w:val="007D6BF5"/>
    <w:rsid w:val="007E203D"/>
    <w:rsid w:val="007E22F7"/>
    <w:rsid w:val="007E3E52"/>
    <w:rsid w:val="007E565F"/>
    <w:rsid w:val="007E7E1E"/>
    <w:rsid w:val="007F02DE"/>
    <w:rsid w:val="007F300A"/>
    <w:rsid w:val="007F39C0"/>
    <w:rsid w:val="007F3C5A"/>
    <w:rsid w:val="007F48BF"/>
    <w:rsid w:val="007F6AE0"/>
    <w:rsid w:val="007F6B4D"/>
    <w:rsid w:val="00801C1B"/>
    <w:rsid w:val="00802847"/>
    <w:rsid w:val="00806630"/>
    <w:rsid w:val="0081632F"/>
    <w:rsid w:val="00816934"/>
    <w:rsid w:val="008240F2"/>
    <w:rsid w:val="008261E6"/>
    <w:rsid w:val="00826707"/>
    <w:rsid w:val="00826C64"/>
    <w:rsid w:val="00826F3E"/>
    <w:rsid w:val="00832208"/>
    <w:rsid w:val="00833EF1"/>
    <w:rsid w:val="008341F8"/>
    <w:rsid w:val="00834487"/>
    <w:rsid w:val="00837C04"/>
    <w:rsid w:val="0084060F"/>
    <w:rsid w:val="00843DDF"/>
    <w:rsid w:val="0084401A"/>
    <w:rsid w:val="0084634A"/>
    <w:rsid w:val="0084642B"/>
    <w:rsid w:val="00846531"/>
    <w:rsid w:val="00846AFD"/>
    <w:rsid w:val="008551B3"/>
    <w:rsid w:val="00863FDE"/>
    <w:rsid w:val="008641B9"/>
    <w:rsid w:val="00867A4F"/>
    <w:rsid w:val="00870840"/>
    <w:rsid w:val="0087571B"/>
    <w:rsid w:val="0087572D"/>
    <w:rsid w:val="00876469"/>
    <w:rsid w:val="00877949"/>
    <w:rsid w:val="00877B9F"/>
    <w:rsid w:val="00877EFA"/>
    <w:rsid w:val="0088120A"/>
    <w:rsid w:val="00884D0A"/>
    <w:rsid w:val="00885381"/>
    <w:rsid w:val="00891682"/>
    <w:rsid w:val="0089340B"/>
    <w:rsid w:val="0089372C"/>
    <w:rsid w:val="0089482E"/>
    <w:rsid w:val="008950AE"/>
    <w:rsid w:val="008963AD"/>
    <w:rsid w:val="008975FA"/>
    <w:rsid w:val="008A12D6"/>
    <w:rsid w:val="008A33D7"/>
    <w:rsid w:val="008A4754"/>
    <w:rsid w:val="008A5738"/>
    <w:rsid w:val="008A6534"/>
    <w:rsid w:val="008B0028"/>
    <w:rsid w:val="008B4671"/>
    <w:rsid w:val="008B541F"/>
    <w:rsid w:val="008B57EB"/>
    <w:rsid w:val="008C0BE5"/>
    <w:rsid w:val="008C0C0A"/>
    <w:rsid w:val="008C44CA"/>
    <w:rsid w:val="008D0C70"/>
    <w:rsid w:val="008D651A"/>
    <w:rsid w:val="008E03CD"/>
    <w:rsid w:val="008E379F"/>
    <w:rsid w:val="008E4272"/>
    <w:rsid w:val="008E5CF1"/>
    <w:rsid w:val="008E60D1"/>
    <w:rsid w:val="008E65A8"/>
    <w:rsid w:val="008E7CD3"/>
    <w:rsid w:val="008F1231"/>
    <w:rsid w:val="00902538"/>
    <w:rsid w:val="00902A09"/>
    <w:rsid w:val="00906E81"/>
    <w:rsid w:val="009129AC"/>
    <w:rsid w:val="0091512D"/>
    <w:rsid w:val="0091524C"/>
    <w:rsid w:val="00920913"/>
    <w:rsid w:val="00932C09"/>
    <w:rsid w:val="009349B4"/>
    <w:rsid w:val="009419C9"/>
    <w:rsid w:val="00941AD2"/>
    <w:rsid w:val="00947285"/>
    <w:rsid w:val="009520CC"/>
    <w:rsid w:val="00954196"/>
    <w:rsid w:val="00955EDE"/>
    <w:rsid w:val="00955F86"/>
    <w:rsid w:val="009574A3"/>
    <w:rsid w:val="009609ED"/>
    <w:rsid w:val="00961492"/>
    <w:rsid w:val="0096253C"/>
    <w:rsid w:val="009650AD"/>
    <w:rsid w:val="00971D87"/>
    <w:rsid w:val="00972924"/>
    <w:rsid w:val="00976E4F"/>
    <w:rsid w:val="00977F24"/>
    <w:rsid w:val="0098761F"/>
    <w:rsid w:val="009901C8"/>
    <w:rsid w:val="009915EA"/>
    <w:rsid w:val="009A0E52"/>
    <w:rsid w:val="009A30C5"/>
    <w:rsid w:val="009A73FE"/>
    <w:rsid w:val="009B12DF"/>
    <w:rsid w:val="009B754D"/>
    <w:rsid w:val="009B7712"/>
    <w:rsid w:val="009C11F5"/>
    <w:rsid w:val="009C27A4"/>
    <w:rsid w:val="009C4528"/>
    <w:rsid w:val="009C482B"/>
    <w:rsid w:val="009C6C4A"/>
    <w:rsid w:val="009C6C5F"/>
    <w:rsid w:val="009D0098"/>
    <w:rsid w:val="009D0655"/>
    <w:rsid w:val="009D388E"/>
    <w:rsid w:val="009D5270"/>
    <w:rsid w:val="009D5901"/>
    <w:rsid w:val="009E0239"/>
    <w:rsid w:val="009E4845"/>
    <w:rsid w:val="009E5DDD"/>
    <w:rsid w:val="009E67BD"/>
    <w:rsid w:val="009F2B98"/>
    <w:rsid w:val="009F488A"/>
    <w:rsid w:val="009F5794"/>
    <w:rsid w:val="00A00E1D"/>
    <w:rsid w:val="00A024AA"/>
    <w:rsid w:val="00A03BEF"/>
    <w:rsid w:val="00A04013"/>
    <w:rsid w:val="00A056B8"/>
    <w:rsid w:val="00A0593B"/>
    <w:rsid w:val="00A06919"/>
    <w:rsid w:val="00A06DB2"/>
    <w:rsid w:val="00A12B66"/>
    <w:rsid w:val="00A14BB3"/>
    <w:rsid w:val="00A15F0D"/>
    <w:rsid w:val="00A17486"/>
    <w:rsid w:val="00A3313D"/>
    <w:rsid w:val="00A34EF5"/>
    <w:rsid w:val="00A36A18"/>
    <w:rsid w:val="00A36F0A"/>
    <w:rsid w:val="00A45B20"/>
    <w:rsid w:val="00A53744"/>
    <w:rsid w:val="00A53841"/>
    <w:rsid w:val="00A548B2"/>
    <w:rsid w:val="00A55072"/>
    <w:rsid w:val="00A55A01"/>
    <w:rsid w:val="00A60249"/>
    <w:rsid w:val="00A64D44"/>
    <w:rsid w:val="00A657AA"/>
    <w:rsid w:val="00A65929"/>
    <w:rsid w:val="00A7135B"/>
    <w:rsid w:val="00A719C1"/>
    <w:rsid w:val="00A75794"/>
    <w:rsid w:val="00A851BD"/>
    <w:rsid w:val="00A90B1B"/>
    <w:rsid w:val="00AA3BF6"/>
    <w:rsid w:val="00AA3D6C"/>
    <w:rsid w:val="00AB5627"/>
    <w:rsid w:val="00AB743E"/>
    <w:rsid w:val="00AC10D3"/>
    <w:rsid w:val="00AC1980"/>
    <w:rsid w:val="00AC3015"/>
    <w:rsid w:val="00AC55D3"/>
    <w:rsid w:val="00AD5317"/>
    <w:rsid w:val="00AE1712"/>
    <w:rsid w:val="00AE17EE"/>
    <w:rsid w:val="00AE532A"/>
    <w:rsid w:val="00AE577B"/>
    <w:rsid w:val="00AE5C9C"/>
    <w:rsid w:val="00AE6F61"/>
    <w:rsid w:val="00AF21E0"/>
    <w:rsid w:val="00AF38E6"/>
    <w:rsid w:val="00AF422B"/>
    <w:rsid w:val="00AF4988"/>
    <w:rsid w:val="00AF51F1"/>
    <w:rsid w:val="00B00954"/>
    <w:rsid w:val="00B01877"/>
    <w:rsid w:val="00B019E0"/>
    <w:rsid w:val="00B07F73"/>
    <w:rsid w:val="00B10C65"/>
    <w:rsid w:val="00B15860"/>
    <w:rsid w:val="00B15BA0"/>
    <w:rsid w:val="00B16871"/>
    <w:rsid w:val="00B2270F"/>
    <w:rsid w:val="00B2532C"/>
    <w:rsid w:val="00B3034B"/>
    <w:rsid w:val="00B305ED"/>
    <w:rsid w:val="00B359B2"/>
    <w:rsid w:val="00B41338"/>
    <w:rsid w:val="00B4303C"/>
    <w:rsid w:val="00B54F2A"/>
    <w:rsid w:val="00B60516"/>
    <w:rsid w:val="00B60D36"/>
    <w:rsid w:val="00B60FED"/>
    <w:rsid w:val="00B61406"/>
    <w:rsid w:val="00B74E51"/>
    <w:rsid w:val="00B811AA"/>
    <w:rsid w:val="00B85F5C"/>
    <w:rsid w:val="00B864E8"/>
    <w:rsid w:val="00B87202"/>
    <w:rsid w:val="00B9155D"/>
    <w:rsid w:val="00B92DE0"/>
    <w:rsid w:val="00B93F6C"/>
    <w:rsid w:val="00B97A9E"/>
    <w:rsid w:val="00BA1CD7"/>
    <w:rsid w:val="00BA204D"/>
    <w:rsid w:val="00BA25B8"/>
    <w:rsid w:val="00BA3332"/>
    <w:rsid w:val="00BA7AE4"/>
    <w:rsid w:val="00BB0F42"/>
    <w:rsid w:val="00BB1FE5"/>
    <w:rsid w:val="00BB3FAB"/>
    <w:rsid w:val="00BB52A3"/>
    <w:rsid w:val="00BB5614"/>
    <w:rsid w:val="00BB7A4C"/>
    <w:rsid w:val="00BC1C3A"/>
    <w:rsid w:val="00BC3C76"/>
    <w:rsid w:val="00BC63F9"/>
    <w:rsid w:val="00BC7AB0"/>
    <w:rsid w:val="00BD081B"/>
    <w:rsid w:val="00BD1445"/>
    <w:rsid w:val="00BE089B"/>
    <w:rsid w:val="00BE1CB4"/>
    <w:rsid w:val="00BF3822"/>
    <w:rsid w:val="00C055C7"/>
    <w:rsid w:val="00C05DCD"/>
    <w:rsid w:val="00C0710C"/>
    <w:rsid w:val="00C10877"/>
    <w:rsid w:val="00C10EF3"/>
    <w:rsid w:val="00C12118"/>
    <w:rsid w:val="00C13329"/>
    <w:rsid w:val="00C134E6"/>
    <w:rsid w:val="00C13F1C"/>
    <w:rsid w:val="00C15A00"/>
    <w:rsid w:val="00C15ACD"/>
    <w:rsid w:val="00C16CFD"/>
    <w:rsid w:val="00C16F65"/>
    <w:rsid w:val="00C217A4"/>
    <w:rsid w:val="00C24337"/>
    <w:rsid w:val="00C26AFB"/>
    <w:rsid w:val="00C33E74"/>
    <w:rsid w:val="00C3428C"/>
    <w:rsid w:val="00C34BB7"/>
    <w:rsid w:val="00C34D08"/>
    <w:rsid w:val="00C34E36"/>
    <w:rsid w:val="00C35F48"/>
    <w:rsid w:val="00C373B1"/>
    <w:rsid w:val="00C408C8"/>
    <w:rsid w:val="00C44A02"/>
    <w:rsid w:val="00C46728"/>
    <w:rsid w:val="00C51873"/>
    <w:rsid w:val="00C5197E"/>
    <w:rsid w:val="00C5456F"/>
    <w:rsid w:val="00C552B0"/>
    <w:rsid w:val="00C55349"/>
    <w:rsid w:val="00C56205"/>
    <w:rsid w:val="00C60DA1"/>
    <w:rsid w:val="00C631F3"/>
    <w:rsid w:val="00C6408A"/>
    <w:rsid w:val="00C66CD2"/>
    <w:rsid w:val="00C671AE"/>
    <w:rsid w:val="00C702E6"/>
    <w:rsid w:val="00C72A9D"/>
    <w:rsid w:val="00C73BCF"/>
    <w:rsid w:val="00C83FEF"/>
    <w:rsid w:val="00C857FB"/>
    <w:rsid w:val="00C92EB6"/>
    <w:rsid w:val="00CA11C4"/>
    <w:rsid w:val="00CA3204"/>
    <w:rsid w:val="00CA3887"/>
    <w:rsid w:val="00CA6976"/>
    <w:rsid w:val="00CB5286"/>
    <w:rsid w:val="00CC0107"/>
    <w:rsid w:val="00CC7866"/>
    <w:rsid w:val="00CC7E23"/>
    <w:rsid w:val="00CD033F"/>
    <w:rsid w:val="00CD1F3F"/>
    <w:rsid w:val="00CD40DE"/>
    <w:rsid w:val="00CE0086"/>
    <w:rsid w:val="00CE00F2"/>
    <w:rsid w:val="00CE32BC"/>
    <w:rsid w:val="00CE68FA"/>
    <w:rsid w:val="00CF136A"/>
    <w:rsid w:val="00CF1A55"/>
    <w:rsid w:val="00CF20EC"/>
    <w:rsid w:val="00CF4436"/>
    <w:rsid w:val="00CF5634"/>
    <w:rsid w:val="00CF5C02"/>
    <w:rsid w:val="00D01195"/>
    <w:rsid w:val="00D01225"/>
    <w:rsid w:val="00D041FB"/>
    <w:rsid w:val="00D04B50"/>
    <w:rsid w:val="00D13070"/>
    <w:rsid w:val="00D16C8E"/>
    <w:rsid w:val="00D210DB"/>
    <w:rsid w:val="00D22B3F"/>
    <w:rsid w:val="00D23D74"/>
    <w:rsid w:val="00D25D83"/>
    <w:rsid w:val="00D3060B"/>
    <w:rsid w:val="00D308F1"/>
    <w:rsid w:val="00D31F56"/>
    <w:rsid w:val="00D35045"/>
    <w:rsid w:val="00D351D6"/>
    <w:rsid w:val="00D372C8"/>
    <w:rsid w:val="00D37B5D"/>
    <w:rsid w:val="00D43C5E"/>
    <w:rsid w:val="00D47693"/>
    <w:rsid w:val="00D479F6"/>
    <w:rsid w:val="00D50773"/>
    <w:rsid w:val="00D55FA4"/>
    <w:rsid w:val="00D5691E"/>
    <w:rsid w:val="00D659D0"/>
    <w:rsid w:val="00D66F51"/>
    <w:rsid w:val="00D70E8E"/>
    <w:rsid w:val="00D73A75"/>
    <w:rsid w:val="00D74DA6"/>
    <w:rsid w:val="00D7647C"/>
    <w:rsid w:val="00D8747F"/>
    <w:rsid w:val="00D903D4"/>
    <w:rsid w:val="00D921E2"/>
    <w:rsid w:val="00D95A80"/>
    <w:rsid w:val="00D97587"/>
    <w:rsid w:val="00DA1339"/>
    <w:rsid w:val="00DA601B"/>
    <w:rsid w:val="00DB14DF"/>
    <w:rsid w:val="00DB1856"/>
    <w:rsid w:val="00DB21DC"/>
    <w:rsid w:val="00DC0DBA"/>
    <w:rsid w:val="00DC21EF"/>
    <w:rsid w:val="00DC4DBA"/>
    <w:rsid w:val="00DC5AF4"/>
    <w:rsid w:val="00DC63F2"/>
    <w:rsid w:val="00DC706D"/>
    <w:rsid w:val="00DC7AB8"/>
    <w:rsid w:val="00DD1790"/>
    <w:rsid w:val="00DD1C91"/>
    <w:rsid w:val="00DD1CC2"/>
    <w:rsid w:val="00DF29BF"/>
    <w:rsid w:val="00DF45F0"/>
    <w:rsid w:val="00E04C6E"/>
    <w:rsid w:val="00E0686A"/>
    <w:rsid w:val="00E10437"/>
    <w:rsid w:val="00E12722"/>
    <w:rsid w:val="00E2049D"/>
    <w:rsid w:val="00E2148F"/>
    <w:rsid w:val="00E2328B"/>
    <w:rsid w:val="00E24DF8"/>
    <w:rsid w:val="00E270A6"/>
    <w:rsid w:val="00E30611"/>
    <w:rsid w:val="00E35D3A"/>
    <w:rsid w:val="00E367E5"/>
    <w:rsid w:val="00E446EE"/>
    <w:rsid w:val="00E50933"/>
    <w:rsid w:val="00E519F4"/>
    <w:rsid w:val="00E54196"/>
    <w:rsid w:val="00E56D40"/>
    <w:rsid w:val="00E60F4B"/>
    <w:rsid w:val="00E64EF0"/>
    <w:rsid w:val="00E70062"/>
    <w:rsid w:val="00E7488D"/>
    <w:rsid w:val="00E90FF0"/>
    <w:rsid w:val="00E916C7"/>
    <w:rsid w:val="00E92FB1"/>
    <w:rsid w:val="00E95568"/>
    <w:rsid w:val="00EA11BF"/>
    <w:rsid w:val="00EA2B44"/>
    <w:rsid w:val="00EA38BA"/>
    <w:rsid w:val="00EA4A26"/>
    <w:rsid w:val="00EB1386"/>
    <w:rsid w:val="00EB18F2"/>
    <w:rsid w:val="00EB2772"/>
    <w:rsid w:val="00EB2803"/>
    <w:rsid w:val="00EB2D14"/>
    <w:rsid w:val="00EB529A"/>
    <w:rsid w:val="00EB5352"/>
    <w:rsid w:val="00EB6EB3"/>
    <w:rsid w:val="00EB75AF"/>
    <w:rsid w:val="00EC031D"/>
    <w:rsid w:val="00EC5479"/>
    <w:rsid w:val="00ED2795"/>
    <w:rsid w:val="00ED386F"/>
    <w:rsid w:val="00ED426A"/>
    <w:rsid w:val="00ED4923"/>
    <w:rsid w:val="00ED559C"/>
    <w:rsid w:val="00ED6F32"/>
    <w:rsid w:val="00EE24F3"/>
    <w:rsid w:val="00EE547B"/>
    <w:rsid w:val="00EF0281"/>
    <w:rsid w:val="00EF1F85"/>
    <w:rsid w:val="00EF3397"/>
    <w:rsid w:val="00EF5EF7"/>
    <w:rsid w:val="00EF7E81"/>
    <w:rsid w:val="00F010FE"/>
    <w:rsid w:val="00F01A1A"/>
    <w:rsid w:val="00F0529F"/>
    <w:rsid w:val="00F064BB"/>
    <w:rsid w:val="00F10C84"/>
    <w:rsid w:val="00F136DA"/>
    <w:rsid w:val="00F15117"/>
    <w:rsid w:val="00F17EE8"/>
    <w:rsid w:val="00F20D75"/>
    <w:rsid w:val="00F212F9"/>
    <w:rsid w:val="00F3031D"/>
    <w:rsid w:val="00F314CC"/>
    <w:rsid w:val="00F36712"/>
    <w:rsid w:val="00F406CB"/>
    <w:rsid w:val="00F446FC"/>
    <w:rsid w:val="00F45349"/>
    <w:rsid w:val="00F513C4"/>
    <w:rsid w:val="00F52F1F"/>
    <w:rsid w:val="00F55109"/>
    <w:rsid w:val="00F56420"/>
    <w:rsid w:val="00F56A06"/>
    <w:rsid w:val="00F56F16"/>
    <w:rsid w:val="00F6005E"/>
    <w:rsid w:val="00F62679"/>
    <w:rsid w:val="00F64AAD"/>
    <w:rsid w:val="00F65C1C"/>
    <w:rsid w:val="00F6641F"/>
    <w:rsid w:val="00F67A71"/>
    <w:rsid w:val="00F70EB0"/>
    <w:rsid w:val="00F71A5C"/>
    <w:rsid w:val="00F804C4"/>
    <w:rsid w:val="00F81423"/>
    <w:rsid w:val="00F82FA5"/>
    <w:rsid w:val="00F83CD9"/>
    <w:rsid w:val="00F83FD1"/>
    <w:rsid w:val="00F856D0"/>
    <w:rsid w:val="00F86F12"/>
    <w:rsid w:val="00F87BB5"/>
    <w:rsid w:val="00F90393"/>
    <w:rsid w:val="00F92BA1"/>
    <w:rsid w:val="00FA2F6E"/>
    <w:rsid w:val="00FA3E85"/>
    <w:rsid w:val="00FA7D54"/>
    <w:rsid w:val="00FC0F47"/>
    <w:rsid w:val="00FC14B4"/>
    <w:rsid w:val="00FC2326"/>
    <w:rsid w:val="00FC47A6"/>
    <w:rsid w:val="00FC5F58"/>
    <w:rsid w:val="00FC79BB"/>
    <w:rsid w:val="00FD09E9"/>
    <w:rsid w:val="00FD23AB"/>
    <w:rsid w:val="00FD3949"/>
    <w:rsid w:val="00FD4E2D"/>
    <w:rsid w:val="00FD51A3"/>
    <w:rsid w:val="00FD5410"/>
    <w:rsid w:val="00FD6685"/>
    <w:rsid w:val="00FD7005"/>
    <w:rsid w:val="00FE007C"/>
    <w:rsid w:val="00FE0D40"/>
    <w:rsid w:val="00FE4405"/>
    <w:rsid w:val="00FE53C2"/>
    <w:rsid w:val="00FE5E64"/>
    <w:rsid w:val="00FE737F"/>
    <w:rsid w:val="00FE7F0B"/>
    <w:rsid w:val="00FF6A99"/>
    <w:rsid w:val="00FF7CC4"/>
    <w:rsid w:val="00FF7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478"/>
    <w:pPr>
      <w:spacing w:after="0" w:line="240" w:lineRule="auto"/>
    </w:pPr>
    <w:rPr>
      <w:rFonts w:ascii="Tahoma" w:eastAsia="MS Mincho" w:hAnsi="Tahoma" w:cs="Times New Roman"/>
      <w:sz w:val="24"/>
      <w:szCs w:val="24"/>
    </w:rPr>
  </w:style>
  <w:style w:type="paragraph" w:styleId="Heading1">
    <w:name w:val="heading 1"/>
    <w:basedOn w:val="Normal"/>
    <w:next w:val="Normal"/>
    <w:link w:val="Heading1Char"/>
    <w:uiPriority w:val="9"/>
    <w:qFormat/>
    <w:rsid w:val="004C0E5F"/>
    <w:pPr>
      <w:keepNext/>
      <w:keepLines/>
      <w:spacing w:before="240" w:line="280" w:lineRule="exact"/>
      <w:jc w:val="both"/>
      <w:outlineLvl w:val="0"/>
    </w:pPr>
    <w:rPr>
      <w:rFonts w:ascii="Arial" w:eastAsia="Times New Roman" w:hAnsi="Arial"/>
      <w:b/>
      <w:caps/>
      <w:color w:val="538135"/>
      <w:sz w:val="22"/>
      <w:szCs w:val="32"/>
      <w:lang w:val="en-ZA"/>
    </w:rPr>
  </w:style>
  <w:style w:type="paragraph" w:styleId="Heading3">
    <w:name w:val="heading 3"/>
    <w:basedOn w:val="Normal"/>
    <w:next w:val="Normal"/>
    <w:link w:val="Heading3Char"/>
    <w:uiPriority w:val="9"/>
    <w:semiHidden/>
    <w:unhideWhenUsed/>
    <w:qFormat/>
    <w:rsid w:val="00BC63F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B60D3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60D3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pter Numbering,List Paragraph - 2,Riana Table Bullets 1,Bullets"/>
    <w:basedOn w:val="Normal"/>
    <w:link w:val="ListParagraphChar"/>
    <w:uiPriority w:val="34"/>
    <w:qFormat/>
    <w:rsid w:val="009E67BD"/>
    <w:pPr>
      <w:spacing w:after="160" w:line="259" w:lineRule="auto"/>
      <w:ind w:left="720"/>
      <w:contextualSpacing/>
    </w:pPr>
    <w:rPr>
      <w:rFonts w:asciiTheme="minorHAnsi" w:eastAsiaTheme="minorHAnsi" w:hAnsiTheme="minorHAnsi" w:cstheme="minorBidi"/>
      <w:sz w:val="22"/>
      <w:szCs w:val="22"/>
      <w:lang w:val="en-ZA"/>
    </w:rPr>
  </w:style>
  <w:style w:type="paragraph" w:styleId="Footer">
    <w:name w:val="footer"/>
    <w:basedOn w:val="Normal"/>
    <w:link w:val="FooterChar"/>
    <w:uiPriority w:val="99"/>
    <w:unhideWhenUsed/>
    <w:rsid w:val="009E67BD"/>
    <w:pPr>
      <w:tabs>
        <w:tab w:val="center" w:pos="4680"/>
        <w:tab w:val="right" w:pos="9360"/>
      </w:tabs>
    </w:pPr>
  </w:style>
  <w:style w:type="character" w:customStyle="1" w:styleId="FooterChar">
    <w:name w:val="Footer Char"/>
    <w:basedOn w:val="DefaultParagraphFont"/>
    <w:link w:val="Footer"/>
    <w:uiPriority w:val="99"/>
    <w:rsid w:val="009E67BD"/>
    <w:rPr>
      <w:rFonts w:ascii="Tahoma" w:eastAsia="MS Mincho" w:hAnsi="Tahoma" w:cs="Times New Roman"/>
      <w:sz w:val="24"/>
      <w:szCs w:val="24"/>
    </w:rPr>
  </w:style>
  <w:style w:type="character" w:styleId="Emphasis">
    <w:name w:val="Emphasis"/>
    <w:uiPriority w:val="20"/>
    <w:qFormat/>
    <w:rsid w:val="009C6C4A"/>
    <w:rPr>
      <w:i/>
      <w:iCs/>
    </w:rPr>
  </w:style>
  <w:style w:type="character" w:customStyle="1" w:styleId="Heading1Char">
    <w:name w:val="Heading 1 Char"/>
    <w:basedOn w:val="DefaultParagraphFont"/>
    <w:link w:val="Heading1"/>
    <w:uiPriority w:val="9"/>
    <w:rsid w:val="004C0E5F"/>
    <w:rPr>
      <w:rFonts w:ascii="Arial" w:eastAsia="Times New Roman" w:hAnsi="Arial" w:cs="Times New Roman"/>
      <w:b/>
      <w:caps/>
      <w:color w:val="538135"/>
      <w:szCs w:val="32"/>
      <w:lang w:val="en-ZA"/>
    </w:rPr>
  </w:style>
  <w:style w:type="paragraph" w:styleId="NormalWeb">
    <w:name w:val="Normal (Web)"/>
    <w:basedOn w:val="Normal"/>
    <w:uiPriority w:val="99"/>
    <w:unhideWhenUsed/>
    <w:rsid w:val="00B60FED"/>
    <w:pPr>
      <w:spacing w:before="100" w:beforeAutospacing="1" w:after="100" w:afterAutospacing="1"/>
    </w:pPr>
    <w:rPr>
      <w:rFonts w:ascii="Times New Roman" w:eastAsia="Times New Roman" w:hAnsi="Times New Roman"/>
    </w:rPr>
  </w:style>
  <w:style w:type="character" w:customStyle="1" w:styleId="ListParagraphChar">
    <w:name w:val="List Paragraph Char"/>
    <w:aliases w:val="Chapter Numbering Char,List Paragraph - 2 Char,Riana Table Bullets 1 Char,Bullets Char"/>
    <w:link w:val="ListParagraph"/>
    <w:uiPriority w:val="34"/>
    <w:locked/>
    <w:rsid w:val="003606F5"/>
    <w:rPr>
      <w:lang w:val="en-ZA"/>
    </w:rPr>
  </w:style>
  <w:style w:type="character" w:customStyle="1" w:styleId="Heading3Char">
    <w:name w:val="Heading 3 Char"/>
    <w:basedOn w:val="DefaultParagraphFont"/>
    <w:link w:val="Heading3"/>
    <w:uiPriority w:val="9"/>
    <w:semiHidden/>
    <w:rsid w:val="00BC63F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C63F9"/>
    <w:rPr>
      <w:b/>
      <w:bCs/>
    </w:rPr>
  </w:style>
  <w:style w:type="character" w:customStyle="1" w:styleId="Heading4Char">
    <w:name w:val="Heading 4 Char"/>
    <w:basedOn w:val="DefaultParagraphFont"/>
    <w:link w:val="Heading4"/>
    <w:uiPriority w:val="9"/>
    <w:semiHidden/>
    <w:rsid w:val="00B60D36"/>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B60D36"/>
    <w:rPr>
      <w:rFonts w:asciiTheme="majorHAnsi" w:eastAsiaTheme="majorEastAsia" w:hAnsiTheme="majorHAnsi" w:cstheme="majorBidi"/>
      <w:color w:val="2E74B5" w:themeColor="accent1" w:themeShade="BF"/>
      <w:sz w:val="24"/>
      <w:szCs w:val="24"/>
    </w:rPr>
  </w:style>
  <w:style w:type="character" w:styleId="Hyperlink">
    <w:name w:val="Hyperlink"/>
    <w:basedOn w:val="DefaultParagraphFont"/>
    <w:uiPriority w:val="99"/>
    <w:semiHidden/>
    <w:unhideWhenUsed/>
    <w:rsid w:val="00B60D36"/>
    <w:rPr>
      <w:color w:val="0000FF"/>
      <w:u w:val="single"/>
    </w:rPr>
  </w:style>
  <w:style w:type="character" w:customStyle="1" w:styleId="page-sharing">
    <w:name w:val="page-sharing"/>
    <w:basedOn w:val="DefaultParagraphFont"/>
    <w:rsid w:val="00B60D36"/>
  </w:style>
  <w:style w:type="table" w:styleId="TableGrid">
    <w:name w:val="Table Grid"/>
    <w:basedOn w:val="TableNormal"/>
    <w:uiPriority w:val="39"/>
    <w:rsid w:val="006B27C0"/>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1519180">
      <w:bodyDiv w:val="1"/>
      <w:marLeft w:val="0"/>
      <w:marRight w:val="0"/>
      <w:marTop w:val="0"/>
      <w:marBottom w:val="0"/>
      <w:divBdr>
        <w:top w:val="none" w:sz="0" w:space="0" w:color="auto"/>
        <w:left w:val="none" w:sz="0" w:space="0" w:color="auto"/>
        <w:bottom w:val="none" w:sz="0" w:space="0" w:color="auto"/>
        <w:right w:val="none" w:sz="0" w:space="0" w:color="auto"/>
      </w:divBdr>
    </w:div>
    <w:div w:id="553471673">
      <w:bodyDiv w:val="1"/>
      <w:marLeft w:val="0"/>
      <w:marRight w:val="0"/>
      <w:marTop w:val="0"/>
      <w:marBottom w:val="0"/>
      <w:divBdr>
        <w:top w:val="none" w:sz="0" w:space="0" w:color="auto"/>
        <w:left w:val="none" w:sz="0" w:space="0" w:color="auto"/>
        <w:bottom w:val="none" w:sz="0" w:space="0" w:color="auto"/>
        <w:right w:val="none" w:sz="0" w:space="0" w:color="auto"/>
      </w:divBdr>
    </w:div>
    <w:div w:id="605190446">
      <w:bodyDiv w:val="1"/>
      <w:marLeft w:val="0"/>
      <w:marRight w:val="0"/>
      <w:marTop w:val="0"/>
      <w:marBottom w:val="0"/>
      <w:divBdr>
        <w:top w:val="none" w:sz="0" w:space="0" w:color="auto"/>
        <w:left w:val="none" w:sz="0" w:space="0" w:color="auto"/>
        <w:bottom w:val="none" w:sz="0" w:space="0" w:color="auto"/>
        <w:right w:val="none" w:sz="0" w:space="0" w:color="auto"/>
      </w:divBdr>
    </w:div>
    <w:div w:id="713307077">
      <w:bodyDiv w:val="1"/>
      <w:marLeft w:val="0"/>
      <w:marRight w:val="0"/>
      <w:marTop w:val="0"/>
      <w:marBottom w:val="0"/>
      <w:divBdr>
        <w:top w:val="none" w:sz="0" w:space="0" w:color="auto"/>
        <w:left w:val="none" w:sz="0" w:space="0" w:color="auto"/>
        <w:bottom w:val="none" w:sz="0" w:space="0" w:color="auto"/>
        <w:right w:val="none" w:sz="0" w:space="0" w:color="auto"/>
      </w:divBdr>
    </w:div>
    <w:div w:id="924875089">
      <w:bodyDiv w:val="1"/>
      <w:marLeft w:val="0"/>
      <w:marRight w:val="0"/>
      <w:marTop w:val="0"/>
      <w:marBottom w:val="0"/>
      <w:divBdr>
        <w:top w:val="none" w:sz="0" w:space="0" w:color="auto"/>
        <w:left w:val="none" w:sz="0" w:space="0" w:color="auto"/>
        <w:bottom w:val="none" w:sz="0" w:space="0" w:color="auto"/>
        <w:right w:val="none" w:sz="0" w:space="0" w:color="auto"/>
      </w:divBdr>
      <w:divsChild>
        <w:div w:id="410664269">
          <w:marLeft w:val="-225"/>
          <w:marRight w:val="-225"/>
          <w:marTop w:val="0"/>
          <w:marBottom w:val="0"/>
          <w:divBdr>
            <w:top w:val="none" w:sz="0" w:space="0" w:color="auto"/>
            <w:left w:val="none" w:sz="0" w:space="0" w:color="auto"/>
            <w:bottom w:val="none" w:sz="0" w:space="0" w:color="auto"/>
            <w:right w:val="none" w:sz="0" w:space="0" w:color="auto"/>
          </w:divBdr>
          <w:divsChild>
            <w:div w:id="1076823599">
              <w:marLeft w:val="0"/>
              <w:marRight w:val="0"/>
              <w:marTop w:val="0"/>
              <w:marBottom w:val="0"/>
              <w:divBdr>
                <w:top w:val="none" w:sz="0" w:space="0" w:color="auto"/>
                <w:left w:val="none" w:sz="0" w:space="0" w:color="auto"/>
                <w:bottom w:val="none" w:sz="0" w:space="0" w:color="auto"/>
                <w:right w:val="none" w:sz="0" w:space="0" w:color="auto"/>
              </w:divBdr>
            </w:div>
            <w:div w:id="993529270">
              <w:marLeft w:val="0"/>
              <w:marRight w:val="0"/>
              <w:marTop w:val="0"/>
              <w:marBottom w:val="0"/>
              <w:divBdr>
                <w:top w:val="none" w:sz="0" w:space="0" w:color="auto"/>
                <w:left w:val="none" w:sz="0" w:space="0" w:color="auto"/>
                <w:bottom w:val="none" w:sz="0" w:space="0" w:color="auto"/>
                <w:right w:val="none" w:sz="0" w:space="0" w:color="auto"/>
              </w:divBdr>
              <w:divsChild>
                <w:div w:id="12130769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76633754">
          <w:marLeft w:val="0"/>
          <w:marRight w:val="0"/>
          <w:marTop w:val="0"/>
          <w:marBottom w:val="0"/>
          <w:divBdr>
            <w:top w:val="none" w:sz="0" w:space="0" w:color="auto"/>
            <w:left w:val="none" w:sz="0" w:space="0" w:color="auto"/>
            <w:bottom w:val="none" w:sz="0" w:space="0" w:color="auto"/>
            <w:right w:val="none" w:sz="0" w:space="0" w:color="auto"/>
          </w:divBdr>
          <w:divsChild>
            <w:div w:id="1401320464">
              <w:marLeft w:val="0"/>
              <w:marRight w:val="0"/>
              <w:marTop w:val="0"/>
              <w:marBottom w:val="0"/>
              <w:divBdr>
                <w:top w:val="none" w:sz="0" w:space="0" w:color="auto"/>
                <w:left w:val="none" w:sz="0" w:space="0" w:color="auto"/>
                <w:bottom w:val="none" w:sz="0" w:space="0" w:color="auto"/>
                <w:right w:val="none" w:sz="0" w:space="0" w:color="auto"/>
              </w:divBdr>
              <w:divsChild>
                <w:div w:id="1030566198">
                  <w:marLeft w:val="0"/>
                  <w:marRight w:val="0"/>
                  <w:marTop w:val="0"/>
                  <w:marBottom w:val="450"/>
                  <w:divBdr>
                    <w:top w:val="none" w:sz="0" w:space="0" w:color="auto"/>
                    <w:left w:val="none" w:sz="0" w:space="0" w:color="auto"/>
                    <w:bottom w:val="single" w:sz="6" w:space="15" w:color="000000"/>
                    <w:right w:val="none" w:sz="0" w:space="0" w:color="auto"/>
                  </w:divBdr>
                </w:div>
                <w:div w:id="16426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98285">
      <w:bodyDiv w:val="1"/>
      <w:marLeft w:val="0"/>
      <w:marRight w:val="0"/>
      <w:marTop w:val="0"/>
      <w:marBottom w:val="0"/>
      <w:divBdr>
        <w:top w:val="none" w:sz="0" w:space="0" w:color="auto"/>
        <w:left w:val="none" w:sz="0" w:space="0" w:color="auto"/>
        <w:bottom w:val="none" w:sz="0" w:space="0" w:color="auto"/>
        <w:right w:val="none" w:sz="0" w:space="0" w:color="auto"/>
      </w:divBdr>
    </w:div>
    <w:div w:id="1095320882">
      <w:bodyDiv w:val="1"/>
      <w:marLeft w:val="0"/>
      <w:marRight w:val="0"/>
      <w:marTop w:val="0"/>
      <w:marBottom w:val="0"/>
      <w:divBdr>
        <w:top w:val="none" w:sz="0" w:space="0" w:color="auto"/>
        <w:left w:val="none" w:sz="0" w:space="0" w:color="auto"/>
        <w:bottom w:val="none" w:sz="0" w:space="0" w:color="auto"/>
        <w:right w:val="none" w:sz="0" w:space="0" w:color="auto"/>
      </w:divBdr>
    </w:div>
    <w:div w:id="1256210419">
      <w:bodyDiv w:val="1"/>
      <w:marLeft w:val="0"/>
      <w:marRight w:val="0"/>
      <w:marTop w:val="0"/>
      <w:marBottom w:val="0"/>
      <w:divBdr>
        <w:top w:val="none" w:sz="0" w:space="0" w:color="auto"/>
        <w:left w:val="none" w:sz="0" w:space="0" w:color="auto"/>
        <w:bottom w:val="none" w:sz="0" w:space="0" w:color="auto"/>
        <w:right w:val="none" w:sz="0" w:space="0" w:color="auto"/>
      </w:divBdr>
      <w:divsChild>
        <w:div w:id="1073240666">
          <w:marLeft w:val="0"/>
          <w:marRight w:val="0"/>
          <w:marTop w:val="0"/>
          <w:marBottom w:val="450"/>
          <w:divBdr>
            <w:top w:val="none" w:sz="0" w:space="0" w:color="auto"/>
            <w:left w:val="none" w:sz="0" w:space="0" w:color="auto"/>
            <w:bottom w:val="single" w:sz="6" w:space="15" w:color="000000"/>
            <w:right w:val="none" w:sz="0" w:space="0" w:color="auto"/>
          </w:divBdr>
        </w:div>
        <w:div w:id="1588611669">
          <w:marLeft w:val="0"/>
          <w:marRight w:val="0"/>
          <w:marTop w:val="0"/>
          <w:marBottom w:val="0"/>
          <w:divBdr>
            <w:top w:val="none" w:sz="0" w:space="0" w:color="auto"/>
            <w:left w:val="none" w:sz="0" w:space="0" w:color="auto"/>
            <w:bottom w:val="none" w:sz="0" w:space="0" w:color="auto"/>
            <w:right w:val="none" w:sz="0" w:space="0" w:color="auto"/>
          </w:divBdr>
        </w:div>
      </w:divsChild>
    </w:div>
    <w:div w:id="1419058885">
      <w:bodyDiv w:val="1"/>
      <w:marLeft w:val="0"/>
      <w:marRight w:val="0"/>
      <w:marTop w:val="0"/>
      <w:marBottom w:val="0"/>
      <w:divBdr>
        <w:top w:val="none" w:sz="0" w:space="0" w:color="auto"/>
        <w:left w:val="none" w:sz="0" w:space="0" w:color="auto"/>
        <w:bottom w:val="none" w:sz="0" w:space="0" w:color="auto"/>
        <w:right w:val="none" w:sz="0" w:space="0" w:color="auto"/>
      </w:divBdr>
    </w:div>
    <w:div w:id="1706131023">
      <w:bodyDiv w:val="1"/>
      <w:marLeft w:val="0"/>
      <w:marRight w:val="0"/>
      <w:marTop w:val="0"/>
      <w:marBottom w:val="0"/>
      <w:divBdr>
        <w:top w:val="none" w:sz="0" w:space="0" w:color="auto"/>
        <w:left w:val="none" w:sz="0" w:space="0" w:color="auto"/>
        <w:bottom w:val="none" w:sz="0" w:space="0" w:color="auto"/>
        <w:right w:val="none" w:sz="0" w:space="0" w:color="auto"/>
      </w:divBdr>
    </w:div>
    <w:div w:id="171889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11139-D32D-4EBB-8FF1-1D3C7B95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6942</Words>
  <Characters>39571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User</cp:lastModifiedBy>
  <cp:revision>2</cp:revision>
  <dcterms:created xsi:type="dcterms:W3CDTF">2023-05-04T07:37:00Z</dcterms:created>
  <dcterms:modified xsi:type="dcterms:W3CDTF">2023-05-04T07:37:00Z</dcterms:modified>
</cp:coreProperties>
</file>