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EA" w:rsidRPr="00F15C05" w:rsidRDefault="00F15C05" w:rsidP="00F15C05">
      <w:pPr>
        <w:spacing w:after="0" w:line="240" w:lineRule="auto"/>
        <w:rPr>
          <w:rFonts w:ascii="Arial" w:hAnsi="Arial" w:cs="Arial"/>
          <w:b/>
          <w:sz w:val="20"/>
          <w:szCs w:val="20"/>
        </w:rPr>
      </w:pPr>
      <w:r w:rsidRPr="00F15C05">
        <w:rPr>
          <w:rFonts w:ascii="Arial" w:hAnsi="Arial" w:cs="Arial"/>
          <w:b/>
          <w:sz w:val="20"/>
          <w:szCs w:val="20"/>
        </w:rPr>
        <w:t>Rep</w:t>
      </w:r>
      <w:r>
        <w:rPr>
          <w:rFonts w:ascii="Arial" w:hAnsi="Arial" w:cs="Arial"/>
          <w:b/>
          <w:sz w:val="20"/>
          <w:szCs w:val="20"/>
        </w:rPr>
        <w:t>ort of the Portfolio Committee on Higher Education, Science a</w:t>
      </w:r>
      <w:r w:rsidRPr="00F15C05">
        <w:rPr>
          <w:rFonts w:ascii="Arial" w:hAnsi="Arial" w:cs="Arial"/>
          <w:b/>
          <w:sz w:val="20"/>
          <w:szCs w:val="20"/>
        </w:rPr>
        <w:t>nd Innovation</w:t>
      </w:r>
      <w:r>
        <w:rPr>
          <w:rFonts w:ascii="Arial" w:hAnsi="Arial" w:cs="Arial"/>
          <w:b/>
          <w:sz w:val="20"/>
          <w:szCs w:val="20"/>
        </w:rPr>
        <w:t xml:space="preserve"> o</w:t>
      </w:r>
      <w:r w:rsidRPr="00F15C05">
        <w:rPr>
          <w:rFonts w:ascii="Arial" w:hAnsi="Arial" w:cs="Arial"/>
          <w:b/>
          <w:sz w:val="20"/>
          <w:szCs w:val="20"/>
        </w:rPr>
        <w:t xml:space="preserve">n </w:t>
      </w:r>
      <w:r>
        <w:rPr>
          <w:rFonts w:ascii="Arial" w:hAnsi="Arial" w:cs="Arial"/>
          <w:b/>
          <w:sz w:val="20"/>
          <w:szCs w:val="20"/>
        </w:rPr>
        <w:t>t</w:t>
      </w:r>
      <w:r w:rsidRPr="00F15C05">
        <w:rPr>
          <w:rFonts w:ascii="Arial" w:hAnsi="Arial" w:cs="Arial"/>
          <w:b/>
          <w:sz w:val="20"/>
          <w:szCs w:val="20"/>
        </w:rPr>
        <w:t xml:space="preserve">he 2022/23 Third Quarter Expenditure </w:t>
      </w:r>
      <w:r>
        <w:rPr>
          <w:rFonts w:ascii="Arial" w:hAnsi="Arial" w:cs="Arial"/>
          <w:b/>
          <w:sz w:val="20"/>
          <w:szCs w:val="20"/>
        </w:rPr>
        <w:t>a</w:t>
      </w:r>
      <w:r w:rsidRPr="00F15C05">
        <w:rPr>
          <w:rFonts w:ascii="Arial" w:hAnsi="Arial" w:cs="Arial"/>
          <w:b/>
          <w:sz w:val="20"/>
          <w:szCs w:val="20"/>
        </w:rPr>
        <w:t>nd Non-Financial Performance Report Of The Department Of Higher Education And Training, 15 March 2023</w:t>
      </w:r>
    </w:p>
    <w:p w:rsidR="00F15C05" w:rsidRDefault="00F15C05" w:rsidP="00F15C05">
      <w:pPr>
        <w:spacing w:after="0" w:line="240" w:lineRule="auto"/>
        <w:rPr>
          <w:rFonts w:ascii="Arial" w:hAnsi="Arial" w:cs="Arial"/>
          <w:sz w:val="20"/>
          <w:szCs w:val="20"/>
        </w:rPr>
      </w:pPr>
    </w:p>
    <w:p w:rsidR="00B13982" w:rsidRDefault="00D92F6C" w:rsidP="00F15C05">
      <w:pPr>
        <w:spacing w:after="0" w:line="240" w:lineRule="auto"/>
        <w:rPr>
          <w:rFonts w:ascii="Arial" w:hAnsi="Arial" w:cs="Arial"/>
          <w:sz w:val="20"/>
          <w:szCs w:val="20"/>
        </w:rPr>
      </w:pPr>
      <w:r w:rsidRPr="00F15C05">
        <w:rPr>
          <w:rFonts w:ascii="Arial" w:hAnsi="Arial" w:cs="Arial"/>
          <w:sz w:val="20"/>
          <w:szCs w:val="20"/>
        </w:rPr>
        <w:t xml:space="preserve">The Portfolio Committee on </w:t>
      </w:r>
      <w:bookmarkStart w:id="0" w:name="_GoBack"/>
      <w:r w:rsidRPr="00F15C05">
        <w:rPr>
          <w:rFonts w:ascii="Arial" w:hAnsi="Arial" w:cs="Arial"/>
          <w:sz w:val="20"/>
          <w:szCs w:val="20"/>
        </w:rPr>
        <w:t xml:space="preserve">Higher Education, Science and </w:t>
      </w:r>
      <w:r w:rsidR="00D55202" w:rsidRPr="00F15C05">
        <w:rPr>
          <w:rFonts w:ascii="Arial" w:hAnsi="Arial" w:cs="Arial"/>
          <w:sz w:val="20"/>
          <w:szCs w:val="20"/>
        </w:rPr>
        <w:t>Innovation</w:t>
      </w:r>
      <w:bookmarkEnd w:id="0"/>
      <w:r w:rsidRPr="00F15C05">
        <w:rPr>
          <w:rFonts w:ascii="Arial" w:hAnsi="Arial" w:cs="Arial"/>
          <w:sz w:val="20"/>
          <w:szCs w:val="20"/>
        </w:rPr>
        <w:t xml:space="preserve"> (</w:t>
      </w:r>
      <w:r w:rsidR="00D55202" w:rsidRPr="00F15C05">
        <w:rPr>
          <w:rFonts w:ascii="Arial" w:hAnsi="Arial" w:cs="Arial"/>
          <w:sz w:val="20"/>
          <w:szCs w:val="20"/>
        </w:rPr>
        <w:t>“</w:t>
      </w:r>
      <w:r w:rsidRPr="00F15C05">
        <w:rPr>
          <w:rFonts w:ascii="Arial" w:hAnsi="Arial" w:cs="Arial"/>
          <w:sz w:val="20"/>
          <w:szCs w:val="20"/>
        </w:rPr>
        <w:t>the Committee</w:t>
      </w:r>
      <w:r w:rsidR="00D55202" w:rsidRPr="00F15C05">
        <w:rPr>
          <w:rFonts w:ascii="Arial" w:hAnsi="Arial" w:cs="Arial"/>
          <w:sz w:val="20"/>
          <w:szCs w:val="20"/>
        </w:rPr>
        <w:t>”</w:t>
      </w:r>
      <w:r w:rsidRPr="00F15C05">
        <w:rPr>
          <w:rFonts w:ascii="Arial" w:hAnsi="Arial" w:cs="Arial"/>
          <w:sz w:val="20"/>
          <w:szCs w:val="20"/>
        </w:rPr>
        <w:t xml:space="preserve">), having considered the </w:t>
      </w:r>
      <w:r w:rsidR="000140A8" w:rsidRPr="00F15C05">
        <w:rPr>
          <w:rFonts w:ascii="Arial" w:hAnsi="Arial" w:cs="Arial"/>
          <w:sz w:val="20"/>
          <w:szCs w:val="20"/>
        </w:rPr>
        <w:t>2022/23</w:t>
      </w:r>
      <w:r w:rsidR="00D55202" w:rsidRPr="00F15C05">
        <w:rPr>
          <w:rFonts w:ascii="Arial" w:hAnsi="Arial" w:cs="Arial"/>
          <w:sz w:val="20"/>
          <w:szCs w:val="20"/>
        </w:rPr>
        <w:t xml:space="preserve"> Third Quarter performance </w:t>
      </w:r>
      <w:r w:rsidRPr="00F15C05">
        <w:rPr>
          <w:rFonts w:ascii="Arial" w:hAnsi="Arial" w:cs="Arial"/>
          <w:sz w:val="20"/>
          <w:szCs w:val="20"/>
        </w:rPr>
        <w:t>report</w:t>
      </w:r>
      <w:r w:rsidR="00507B1E" w:rsidRPr="00F15C05">
        <w:rPr>
          <w:rFonts w:ascii="Arial" w:hAnsi="Arial" w:cs="Arial"/>
          <w:sz w:val="20"/>
          <w:szCs w:val="20"/>
        </w:rPr>
        <w:t xml:space="preserve"> </w:t>
      </w:r>
      <w:r w:rsidRPr="00F15C05">
        <w:rPr>
          <w:rFonts w:ascii="Arial" w:hAnsi="Arial" w:cs="Arial"/>
          <w:sz w:val="20"/>
          <w:szCs w:val="20"/>
        </w:rPr>
        <w:t>of the Department of Higher Education and Training (</w:t>
      </w:r>
      <w:r w:rsidR="00D55202" w:rsidRPr="00F15C05">
        <w:rPr>
          <w:rFonts w:ascii="Arial" w:hAnsi="Arial" w:cs="Arial"/>
          <w:sz w:val="20"/>
          <w:szCs w:val="20"/>
        </w:rPr>
        <w:t>“</w:t>
      </w:r>
      <w:r w:rsidRPr="00F15C05">
        <w:rPr>
          <w:rFonts w:ascii="Arial" w:hAnsi="Arial" w:cs="Arial"/>
          <w:sz w:val="20"/>
          <w:szCs w:val="20"/>
        </w:rPr>
        <w:t>the Department</w:t>
      </w:r>
      <w:r w:rsidR="00D55202" w:rsidRPr="00F15C05">
        <w:rPr>
          <w:rFonts w:ascii="Arial" w:hAnsi="Arial" w:cs="Arial"/>
          <w:sz w:val="20"/>
          <w:szCs w:val="20"/>
        </w:rPr>
        <w:t>”</w:t>
      </w:r>
      <w:r w:rsidRPr="00F15C05">
        <w:rPr>
          <w:rFonts w:ascii="Arial" w:hAnsi="Arial" w:cs="Arial"/>
          <w:sz w:val="20"/>
          <w:szCs w:val="20"/>
        </w:rPr>
        <w:t>), reports as follows:</w:t>
      </w:r>
    </w:p>
    <w:p w:rsidR="00F15C05" w:rsidRPr="00F15C05" w:rsidRDefault="00F15C05" w:rsidP="00F15C05">
      <w:pPr>
        <w:spacing w:after="0" w:line="240" w:lineRule="auto"/>
        <w:rPr>
          <w:rFonts w:ascii="Arial" w:hAnsi="Arial" w:cs="Arial"/>
          <w:b/>
          <w:sz w:val="20"/>
          <w:szCs w:val="20"/>
        </w:rPr>
      </w:pPr>
    </w:p>
    <w:p w:rsidR="00D92F6C" w:rsidRPr="00F15C05" w:rsidRDefault="00D92F6C" w:rsidP="00F15C05">
      <w:pPr>
        <w:pStyle w:val="ListParagraph"/>
        <w:numPr>
          <w:ilvl w:val="0"/>
          <w:numId w:val="20"/>
        </w:numPr>
        <w:spacing w:after="0" w:line="240" w:lineRule="auto"/>
        <w:rPr>
          <w:rFonts w:ascii="Arial" w:hAnsi="Arial" w:cs="Arial"/>
          <w:b/>
          <w:sz w:val="20"/>
          <w:szCs w:val="20"/>
        </w:rPr>
      </w:pPr>
      <w:r w:rsidRPr="00F15C05">
        <w:rPr>
          <w:rFonts w:ascii="Arial" w:hAnsi="Arial" w:cs="Arial"/>
          <w:b/>
          <w:sz w:val="20"/>
          <w:szCs w:val="20"/>
        </w:rPr>
        <w:t>INTRODUCTION</w:t>
      </w:r>
    </w:p>
    <w:p w:rsidR="00D92F6C" w:rsidRPr="00F15C05" w:rsidRDefault="00D92F6C" w:rsidP="00F15C05">
      <w:pPr>
        <w:spacing w:after="0" w:line="240" w:lineRule="auto"/>
        <w:rPr>
          <w:rFonts w:ascii="Arial" w:hAnsi="Arial" w:cs="Arial"/>
          <w:sz w:val="20"/>
          <w:szCs w:val="20"/>
        </w:rPr>
      </w:pPr>
      <w:r w:rsidRPr="00F15C05">
        <w:rPr>
          <w:rFonts w:ascii="Arial" w:hAnsi="Arial" w:cs="Arial"/>
          <w:sz w:val="20"/>
          <w:szCs w:val="20"/>
        </w:rPr>
        <w:t>Section 40 (1) (f) of the Public Finance Management Act</w:t>
      </w:r>
      <w:r w:rsidR="0074584F" w:rsidRPr="00F15C05">
        <w:rPr>
          <w:rFonts w:ascii="Arial" w:hAnsi="Arial" w:cs="Arial"/>
          <w:sz w:val="20"/>
          <w:szCs w:val="20"/>
        </w:rPr>
        <w:t xml:space="preserve"> (PFMA)</w:t>
      </w:r>
      <w:r w:rsidRPr="00F15C05">
        <w:rPr>
          <w:rFonts w:ascii="Arial" w:hAnsi="Arial" w:cs="Arial"/>
          <w:sz w:val="20"/>
          <w:szCs w:val="20"/>
        </w:rPr>
        <w:t xml:space="preserve">, 1999 (Act No.1 of 1999) makes provision for the accounting officer of a department to submit all reports, returns, notices and other information to Parliament. The Act also stresses the need for accounting officers to regularly monitor and report on the performance of their </w:t>
      </w:r>
      <w:r w:rsidR="00EA3FC4" w:rsidRPr="00F15C05">
        <w:rPr>
          <w:rFonts w:ascii="Arial" w:hAnsi="Arial" w:cs="Arial"/>
          <w:sz w:val="20"/>
          <w:szCs w:val="20"/>
        </w:rPr>
        <w:t>d</w:t>
      </w:r>
      <w:r w:rsidRPr="00F15C05">
        <w:rPr>
          <w:rFonts w:ascii="Arial" w:hAnsi="Arial" w:cs="Arial"/>
          <w:sz w:val="20"/>
          <w:szCs w:val="20"/>
        </w:rPr>
        <w:t xml:space="preserve">epartments against the agreed budget for the year. </w:t>
      </w:r>
    </w:p>
    <w:p w:rsidR="00D92F6C" w:rsidRPr="00F15C05" w:rsidRDefault="00D92F6C" w:rsidP="00F15C05">
      <w:pPr>
        <w:spacing w:after="0" w:line="240" w:lineRule="auto"/>
        <w:rPr>
          <w:rFonts w:ascii="Arial" w:hAnsi="Arial" w:cs="Arial"/>
          <w:sz w:val="20"/>
          <w:szCs w:val="20"/>
        </w:rPr>
      </w:pPr>
      <w:r w:rsidRPr="00F15C05">
        <w:rPr>
          <w:rFonts w:ascii="Arial" w:hAnsi="Arial" w:cs="Arial"/>
          <w:sz w:val="20"/>
          <w:szCs w:val="20"/>
        </w:rPr>
        <w:t xml:space="preserve">Section 5 (1) (c) of the Money Bills Amendment Procedure and Related Matters Act, 2009 (Act No. 9 of 2009) determines that the National Assembly (NA), through its committees, must annually assess the performance of each national department in relation to the expenditure report of </w:t>
      </w:r>
      <w:r w:rsidR="00C7765D" w:rsidRPr="00F15C05">
        <w:rPr>
          <w:rFonts w:ascii="Arial" w:hAnsi="Arial" w:cs="Arial"/>
          <w:sz w:val="20"/>
          <w:szCs w:val="20"/>
        </w:rPr>
        <w:t xml:space="preserve">the </w:t>
      </w:r>
      <w:r w:rsidRPr="00F15C05">
        <w:rPr>
          <w:rFonts w:ascii="Arial" w:hAnsi="Arial" w:cs="Arial"/>
          <w:sz w:val="20"/>
          <w:szCs w:val="20"/>
        </w:rPr>
        <w:t>said department published by the National Treasury in terms of section 32 of the PFMA.</w:t>
      </w:r>
    </w:p>
    <w:p w:rsidR="00D92F6C" w:rsidRPr="00F15C05" w:rsidRDefault="00D92F6C" w:rsidP="00F15C05">
      <w:pPr>
        <w:spacing w:after="0" w:line="240" w:lineRule="auto"/>
        <w:rPr>
          <w:rFonts w:ascii="Arial" w:hAnsi="Arial" w:cs="Arial"/>
          <w:sz w:val="20"/>
          <w:szCs w:val="20"/>
        </w:rPr>
      </w:pPr>
      <w:r w:rsidRPr="00F15C05">
        <w:rPr>
          <w:rFonts w:ascii="Arial" w:hAnsi="Arial" w:cs="Arial"/>
          <w:sz w:val="20"/>
          <w:szCs w:val="20"/>
        </w:rPr>
        <w:t xml:space="preserve">The Committee </w:t>
      </w:r>
      <w:r w:rsidR="00952048" w:rsidRPr="00F15C05">
        <w:rPr>
          <w:rFonts w:ascii="Arial" w:hAnsi="Arial" w:cs="Arial"/>
          <w:sz w:val="20"/>
          <w:szCs w:val="20"/>
        </w:rPr>
        <w:t xml:space="preserve">conducts in-year monitoring and assessment </w:t>
      </w:r>
      <w:r w:rsidR="00C2678F" w:rsidRPr="00F15C05">
        <w:rPr>
          <w:rFonts w:ascii="Arial" w:hAnsi="Arial" w:cs="Arial"/>
          <w:sz w:val="20"/>
          <w:szCs w:val="20"/>
        </w:rPr>
        <w:t xml:space="preserve">of </w:t>
      </w:r>
      <w:r w:rsidR="00952048" w:rsidRPr="00F15C05">
        <w:rPr>
          <w:rFonts w:ascii="Arial" w:hAnsi="Arial" w:cs="Arial"/>
          <w:sz w:val="20"/>
          <w:szCs w:val="20"/>
        </w:rPr>
        <w:t>the service delivery and financial performance of the Department towards achieving the performance indicators and targets as set out in the Annual Performance Plan.</w:t>
      </w:r>
      <w:r w:rsidRPr="00F15C05">
        <w:rPr>
          <w:rFonts w:ascii="Arial" w:hAnsi="Arial" w:cs="Arial"/>
          <w:sz w:val="20"/>
          <w:szCs w:val="20"/>
        </w:rPr>
        <w:t xml:space="preserve"> The quarterly assessments of the Department’s financial and non-financial performance also assist the Committee in its preparation for the annual submission of the budgetary review and recommendation report (BRRR) as determined by section 5 (2) of the Money Bills Amendment Procedures and Related Matters Act, 2009 (Act No. 9 of 2009). </w:t>
      </w:r>
    </w:p>
    <w:p w:rsidR="00D92F6C" w:rsidRPr="00F15C05" w:rsidRDefault="00F6743B" w:rsidP="00F15C05">
      <w:pPr>
        <w:spacing w:after="0" w:line="240" w:lineRule="auto"/>
        <w:rPr>
          <w:rFonts w:ascii="Arial" w:hAnsi="Arial" w:cs="Arial"/>
          <w:sz w:val="20"/>
          <w:szCs w:val="20"/>
        </w:rPr>
      </w:pPr>
      <w:r w:rsidRPr="00F15C05">
        <w:rPr>
          <w:rFonts w:ascii="Arial" w:hAnsi="Arial" w:cs="Arial"/>
          <w:sz w:val="20"/>
          <w:szCs w:val="20"/>
        </w:rPr>
        <w:t>T</w:t>
      </w:r>
      <w:r w:rsidR="00D92F6C" w:rsidRPr="00F15C05">
        <w:rPr>
          <w:rFonts w:ascii="Arial" w:hAnsi="Arial" w:cs="Arial"/>
          <w:sz w:val="20"/>
          <w:szCs w:val="20"/>
        </w:rPr>
        <w:t xml:space="preserve">he Committee considered the </w:t>
      </w:r>
      <w:r w:rsidR="000140A8" w:rsidRPr="00F15C05">
        <w:rPr>
          <w:rFonts w:ascii="Arial" w:hAnsi="Arial" w:cs="Arial"/>
          <w:sz w:val="20"/>
          <w:szCs w:val="20"/>
        </w:rPr>
        <w:t>2022/23</w:t>
      </w:r>
      <w:r w:rsidRPr="00F15C05">
        <w:rPr>
          <w:rFonts w:ascii="Arial" w:hAnsi="Arial" w:cs="Arial"/>
          <w:sz w:val="20"/>
          <w:szCs w:val="20"/>
        </w:rPr>
        <w:t xml:space="preserve"> </w:t>
      </w:r>
      <w:r w:rsidR="000140A8" w:rsidRPr="00F15C05">
        <w:rPr>
          <w:rFonts w:ascii="Arial" w:hAnsi="Arial" w:cs="Arial"/>
          <w:sz w:val="20"/>
          <w:szCs w:val="20"/>
        </w:rPr>
        <w:t>T</w:t>
      </w:r>
      <w:r w:rsidRPr="00F15C05">
        <w:rPr>
          <w:rFonts w:ascii="Arial" w:hAnsi="Arial" w:cs="Arial"/>
          <w:sz w:val="20"/>
          <w:szCs w:val="20"/>
        </w:rPr>
        <w:t>hird</w:t>
      </w:r>
      <w:r w:rsidR="000140A8" w:rsidRPr="00F15C05">
        <w:rPr>
          <w:rFonts w:ascii="Arial" w:hAnsi="Arial" w:cs="Arial"/>
          <w:sz w:val="20"/>
          <w:szCs w:val="20"/>
        </w:rPr>
        <w:t>-Quarter expenditure</w:t>
      </w:r>
      <w:r w:rsidR="008471EA" w:rsidRPr="00F15C05">
        <w:rPr>
          <w:rFonts w:ascii="Arial" w:hAnsi="Arial" w:cs="Arial"/>
          <w:sz w:val="20"/>
          <w:szCs w:val="20"/>
        </w:rPr>
        <w:t xml:space="preserve"> performance </w:t>
      </w:r>
      <w:r w:rsidR="0053074D" w:rsidRPr="00F15C05">
        <w:rPr>
          <w:rFonts w:ascii="Arial" w:hAnsi="Arial" w:cs="Arial"/>
          <w:sz w:val="20"/>
          <w:szCs w:val="20"/>
        </w:rPr>
        <w:t xml:space="preserve">report </w:t>
      </w:r>
      <w:r w:rsidR="00D92F6C" w:rsidRPr="00F15C05">
        <w:rPr>
          <w:rFonts w:ascii="Arial" w:hAnsi="Arial" w:cs="Arial"/>
          <w:sz w:val="20"/>
          <w:szCs w:val="20"/>
        </w:rPr>
        <w:t xml:space="preserve">of the Department on </w:t>
      </w:r>
      <w:r w:rsidR="000140A8" w:rsidRPr="00F15C05">
        <w:rPr>
          <w:rFonts w:ascii="Arial" w:hAnsi="Arial" w:cs="Arial"/>
          <w:sz w:val="20"/>
          <w:szCs w:val="20"/>
        </w:rPr>
        <w:t>15 February 2023</w:t>
      </w:r>
      <w:r w:rsidR="00D92F6C" w:rsidRPr="00F15C05">
        <w:rPr>
          <w:rFonts w:ascii="Arial" w:hAnsi="Arial" w:cs="Arial"/>
          <w:sz w:val="20"/>
          <w:szCs w:val="20"/>
        </w:rPr>
        <w:t xml:space="preserve">. </w:t>
      </w:r>
    </w:p>
    <w:p w:rsidR="00BF2BA5" w:rsidRPr="00F15C05" w:rsidRDefault="00BF2BA5" w:rsidP="00F15C05">
      <w:pPr>
        <w:spacing w:after="0" w:line="240" w:lineRule="auto"/>
        <w:rPr>
          <w:rFonts w:ascii="Arial" w:hAnsi="Arial" w:cs="Arial"/>
          <w:sz w:val="20"/>
          <w:szCs w:val="20"/>
        </w:rPr>
      </w:pPr>
    </w:p>
    <w:p w:rsidR="00FD5F41" w:rsidRPr="00F15C05" w:rsidRDefault="00D92F6C" w:rsidP="00F15C05">
      <w:pPr>
        <w:pStyle w:val="ListParagraph"/>
        <w:numPr>
          <w:ilvl w:val="0"/>
          <w:numId w:val="20"/>
        </w:numPr>
        <w:spacing w:after="0" w:line="240" w:lineRule="auto"/>
        <w:rPr>
          <w:rFonts w:ascii="Arial" w:hAnsi="Arial" w:cs="Arial"/>
          <w:b/>
          <w:sz w:val="20"/>
          <w:szCs w:val="20"/>
        </w:rPr>
      </w:pPr>
      <w:r w:rsidRPr="00F15C05">
        <w:rPr>
          <w:rFonts w:ascii="Arial" w:hAnsi="Arial" w:cs="Arial"/>
          <w:b/>
          <w:sz w:val="20"/>
          <w:szCs w:val="20"/>
        </w:rPr>
        <w:t xml:space="preserve">OVERVIEW AND ASSESSMENT OF THE DEPARTMENT’S </w:t>
      </w:r>
      <w:r w:rsidR="0074584F" w:rsidRPr="00F15C05">
        <w:rPr>
          <w:rFonts w:ascii="Arial" w:hAnsi="Arial" w:cs="Arial"/>
          <w:b/>
          <w:sz w:val="20"/>
          <w:szCs w:val="20"/>
        </w:rPr>
        <w:t xml:space="preserve">QUARTERLY </w:t>
      </w:r>
      <w:r w:rsidR="00643253" w:rsidRPr="00F15C05">
        <w:rPr>
          <w:rFonts w:ascii="Arial" w:hAnsi="Arial" w:cs="Arial"/>
          <w:b/>
          <w:sz w:val="20"/>
          <w:szCs w:val="20"/>
        </w:rPr>
        <w:t xml:space="preserve">EXPENDITURE AND </w:t>
      </w:r>
      <w:r w:rsidR="0074584F" w:rsidRPr="00F15C05">
        <w:rPr>
          <w:rFonts w:ascii="Arial" w:hAnsi="Arial" w:cs="Arial"/>
          <w:b/>
          <w:sz w:val="20"/>
          <w:szCs w:val="20"/>
        </w:rPr>
        <w:t>PERFORMANCE</w:t>
      </w:r>
    </w:p>
    <w:p w:rsidR="00FD5F41" w:rsidRPr="00F15C05" w:rsidRDefault="00FD5F41" w:rsidP="00F15C05">
      <w:pPr>
        <w:pStyle w:val="ListParagraph"/>
        <w:spacing w:after="0" w:line="240" w:lineRule="auto"/>
        <w:ind w:left="0"/>
        <w:rPr>
          <w:rFonts w:ascii="Arial" w:hAnsi="Arial" w:cs="Arial"/>
          <w:b/>
          <w:sz w:val="20"/>
          <w:szCs w:val="20"/>
        </w:rPr>
      </w:pPr>
    </w:p>
    <w:p w:rsidR="006003CD" w:rsidRPr="00F15C05" w:rsidRDefault="006003CD" w:rsidP="00F15C05">
      <w:pPr>
        <w:spacing w:after="0" w:line="240" w:lineRule="auto"/>
        <w:rPr>
          <w:rFonts w:ascii="Arial" w:hAnsi="Arial" w:cs="Arial"/>
          <w:b/>
          <w:sz w:val="20"/>
          <w:szCs w:val="20"/>
        </w:rPr>
      </w:pPr>
      <w:r w:rsidRPr="00F15C05">
        <w:rPr>
          <w:rFonts w:ascii="Arial" w:hAnsi="Arial" w:cs="Arial"/>
          <w:b/>
          <w:sz w:val="20"/>
          <w:szCs w:val="20"/>
        </w:rPr>
        <w:t>2.</w:t>
      </w:r>
      <w:r w:rsidR="00845587" w:rsidRPr="00F15C05">
        <w:rPr>
          <w:rFonts w:ascii="Arial" w:hAnsi="Arial" w:cs="Arial"/>
          <w:b/>
          <w:sz w:val="20"/>
          <w:szCs w:val="20"/>
        </w:rPr>
        <w:t>1</w:t>
      </w:r>
      <w:r w:rsidRPr="00F15C05">
        <w:rPr>
          <w:rFonts w:ascii="Arial" w:hAnsi="Arial" w:cs="Arial"/>
          <w:b/>
          <w:sz w:val="20"/>
          <w:szCs w:val="20"/>
        </w:rPr>
        <w:t>. 202</w:t>
      </w:r>
      <w:r w:rsidR="00845587" w:rsidRPr="00F15C05">
        <w:rPr>
          <w:rFonts w:ascii="Arial" w:hAnsi="Arial" w:cs="Arial"/>
          <w:b/>
          <w:sz w:val="20"/>
          <w:szCs w:val="20"/>
        </w:rPr>
        <w:t>2</w:t>
      </w:r>
      <w:r w:rsidRPr="00F15C05">
        <w:rPr>
          <w:rFonts w:ascii="Arial" w:hAnsi="Arial" w:cs="Arial"/>
          <w:b/>
          <w:sz w:val="20"/>
          <w:szCs w:val="20"/>
        </w:rPr>
        <w:t>/2</w:t>
      </w:r>
      <w:r w:rsidR="00845587" w:rsidRPr="00F15C05">
        <w:rPr>
          <w:rFonts w:ascii="Arial" w:hAnsi="Arial" w:cs="Arial"/>
          <w:b/>
          <w:sz w:val="20"/>
          <w:szCs w:val="20"/>
        </w:rPr>
        <w:t>3</w:t>
      </w:r>
      <w:r w:rsidRPr="00F15C05">
        <w:rPr>
          <w:rFonts w:ascii="Arial" w:hAnsi="Arial" w:cs="Arial"/>
          <w:b/>
          <w:sz w:val="20"/>
          <w:szCs w:val="20"/>
        </w:rPr>
        <w:t xml:space="preserve"> </w:t>
      </w:r>
      <w:r w:rsidR="0089177D" w:rsidRPr="00F15C05">
        <w:rPr>
          <w:rFonts w:ascii="Arial" w:hAnsi="Arial" w:cs="Arial"/>
          <w:b/>
          <w:sz w:val="20"/>
          <w:szCs w:val="20"/>
        </w:rPr>
        <w:t>THIRD</w:t>
      </w:r>
      <w:r w:rsidR="004B16B4" w:rsidRPr="00F15C05">
        <w:rPr>
          <w:rFonts w:ascii="Arial" w:hAnsi="Arial" w:cs="Arial"/>
          <w:b/>
          <w:sz w:val="20"/>
          <w:szCs w:val="20"/>
        </w:rPr>
        <w:t>-</w:t>
      </w:r>
      <w:r w:rsidRPr="00F15C05">
        <w:rPr>
          <w:rFonts w:ascii="Arial" w:hAnsi="Arial" w:cs="Arial"/>
          <w:b/>
          <w:sz w:val="20"/>
          <w:szCs w:val="20"/>
        </w:rPr>
        <w:t>QUARTER PERFORMANCE</w:t>
      </w:r>
    </w:p>
    <w:p w:rsidR="006003CD" w:rsidRPr="00F15C05" w:rsidRDefault="006003CD" w:rsidP="00F15C05">
      <w:pPr>
        <w:spacing w:after="0" w:line="240" w:lineRule="auto"/>
        <w:rPr>
          <w:rFonts w:ascii="Arial" w:hAnsi="Arial" w:cs="Arial"/>
          <w:b/>
          <w:sz w:val="20"/>
          <w:szCs w:val="20"/>
        </w:rPr>
      </w:pPr>
      <w:r w:rsidRPr="00F15C05">
        <w:rPr>
          <w:rFonts w:ascii="Arial" w:hAnsi="Arial" w:cs="Arial"/>
          <w:b/>
          <w:sz w:val="20"/>
          <w:szCs w:val="20"/>
        </w:rPr>
        <w:t xml:space="preserve">Table </w:t>
      </w:r>
      <w:r w:rsidR="00845587" w:rsidRPr="00F15C05">
        <w:rPr>
          <w:rFonts w:ascii="Arial" w:hAnsi="Arial" w:cs="Arial"/>
          <w:b/>
          <w:sz w:val="20"/>
          <w:szCs w:val="20"/>
        </w:rPr>
        <w:t>1</w:t>
      </w:r>
      <w:r w:rsidRPr="00F15C05">
        <w:rPr>
          <w:rFonts w:ascii="Arial" w:hAnsi="Arial" w:cs="Arial"/>
          <w:b/>
          <w:sz w:val="20"/>
          <w:szCs w:val="20"/>
        </w:rPr>
        <w:t xml:space="preserve">: Budget allocation and expenditure for the </w:t>
      </w:r>
      <w:r w:rsidR="0089177D" w:rsidRPr="00F15C05">
        <w:rPr>
          <w:rFonts w:ascii="Arial" w:hAnsi="Arial" w:cs="Arial"/>
          <w:b/>
          <w:sz w:val="20"/>
          <w:szCs w:val="20"/>
        </w:rPr>
        <w:t>Third</w:t>
      </w:r>
      <w:r w:rsidR="004B16B4" w:rsidRPr="00F15C05">
        <w:rPr>
          <w:rFonts w:ascii="Arial" w:hAnsi="Arial" w:cs="Arial"/>
          <w:b/>
          <w:sz w:val="20"/>
          <w:szCs w:val="20"/>
        </w:rPr>
        <w:t>-</w:t>
      </w:r>
      <w:r w:rsidRPr="00F15C05">
        <w:rPr>
          <w:rFonts w:ascii="Arial" w:hAnsi="Arial" w:cs="Arial"/>
          <w:b/>
          <w:sz w:val="20"/>
          <w:szCs w:val="20"/>
        </w:rPr>
        <w:t>Quarter of the 202</w:t>
      </w:r>
      <w:r w:rsidR="00845587" w:rsidRPr="00F15C05">
        <w:rPr>
          <w:rFonts w:ascii="Arial" w:hAnsi="Arial" w:cs="Arial"/>
          <w:b/>
          <w:sz w:val="20"/>
          <w:szCs w:val="20"/>
        </w:rPr>
        <w:t>2</w:t>
      </w:r>
      <w:r w:rsidRPr="00F15C05">
        <w:rPr>
          <w:rFonts w:ascii="Arial" w:hAnsi="Arial" w:cs="Arial"/>
          <w:b/>
          <w:sz w:val="20"/>
          <w:szCs w:val="20"/>
        </w:rPr>
        <w:t>/2</w:t>
      </w:r>
      <w:r w:rsidR="00845587" w:rsidRPr="00F15C05">
        <w:rPr>
          <w:rFonts w:ascii="Arial" w:hAnsi="Arial" w:cs="Arial"/>
          <w:b/>
          <w:sz w:val="20"/>
          <w:szCs w:val="20"/>
        </w:rPr>
        <w:t>3</w:t>
      </w:r>
      <w:r w:rsidRPr="00F15C05">
        <w:rPr>
          <w:rFonts w:ascii="Arial" w:hAnsi="Arial" w:cs="Arial"/>
          <w:b/>
          <w:sz w:val="20"/>
          <w:szCs w:val="20"/>
        </w:rPr>
        <w:t xml:space="preserve"> financial year</w:t>
      </w:r>
    </w:p>
    <w:tbl>
      <w:tblPr>
        <w:tblW w:w="11068" w:type="dxa"/>
        <w:tblInd w:w="-1139" w:type="dxa"/>
        <w:tblLook w:val="04A0"/>
      </w:tblPr>
      <w:tblGrid>
        <w:gridCol w:w="1493"/>
        <w:gridCol w:w="1539"/>
        <w:gridCol w:w="1492"/>
        <w:gridCol w:w="1350"/>
        <w:gridCol w:w="1372"/>
        <w:gridCol w:w="1350"/>
        <w:gridCol w:w="1350"/>
        <w:gridCol w:w="1350"/>
      </w:tblGrid>
      <w:tr w:rsidR="00D84F69" w:rsidRPr="00F15C05" w:rsidTr="00C31163">
        <w:trPr>
          <w:trHeight w:val="1269"/>
        </w:trPr>
        <w:tc>
          <w:tcPr>
            <w:tcW w:w="149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R million</w:t>
            </w:r>
          </w:p>
          <w:p w:rsidR="00D84F69" w:rsidRPr="00F15C05" w:rsidRDefault="00D84F69" w:rsidP="00F15C05">
            <w:pPr>
              <w:spacing w:after="0" w:line="240" w:lineRule="auto"/>
              <w:rPr>
                <w:rFonts w:ascii="Arial" w:eastAsia="Times New Roman" w:hAnsi="Arial" w:cs="Arial"/>
                <w:b/>
                <w:bCs/>
                <w:sz w:val="20"/>
                <w:szCs w:val="20"/>
                <w:lang w:eastAsia="en-ZA"/>
              </w:rPr>
            </w:pPr>
          </w:p>
          <w:p w:rsidR="00D84F69" w:rsidRPr="00F15C05" w:rsidRDefault="00D84F69" w:rsidP="00F15C05">
            <w:pPr>
              <w:spacing w:after="0" w:line="240" w:lineRule="auto"/>
              <w:rPr>
                <w:rFonts w:ascii="Arial" w:eastAsia="Times New Roman" w:hAnsi="Arial" w:cs="Arial"/>
                <w:b/>
                <w:bCs/>
                <w:sz w:val="20"/>
                <w:szCs w:val="20"/>
                <w:lang w:eastAsia="en-ZA"/>
              </w:rPr>
            </w:pPr>
          </w:p>
          <w:p w:rsidR="00D84F69" w:rsidRPr="00F15C05" w:rsidRDefault="00D84F69" w:rsidP="00F15C05">
            <w:pPr>
              <w:spacing w:after="0" w:line="240" w:lineRule="auto"/>
              <w:rPr>
                <w:rFonts w:ascii="Arial" w:eastAsia="Times New Roman" w:hAnsi="Arial" w:cs="Arial"/>
                <w:b/>
                <w:bCs/>
                <w:sz w:val="20"/>
                <w:szCs w:val="20"/>
                <w:lang w:eastAsia="en-ZA"/>
              </w:rPr>
            </w:pPr>
          </w:p>
        </w:tc>
        <w:tc>
          <w:tcPr>
            <w:tcW w:w="1518" w:type="dxa"/>
            <w:tcBorders>
              <w:top w:val="single" w:sz="4" w:space="0" w:color="auto"/>
              <w:left w:val="nil"/>
              <w:bottom w:val="single" w:sz="4" w:space="0" w:color="auto"/>
              <w:right w:val="single" w:sz="4" w:space="0" w:color="auto"/>
            </w:tcBorders>
            <w:shd w:val="clear" w:color="auto" w:fill="E2EFD9" w:themeFill="accent6" w:themeFillTint="33"/>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Main Appropriation</w:t>
            </w:r>
          </w:p>
        </w:tc>
        <w:tc>
          <w:tcPr>
            <w:tcW w:w="1492" w:type="dxa"/>
            <w:tcBorders>
              <w:top w:val="single" w:sz="4" w:space="0" w:color="auto"/>
              <w:left w:val="nil"/>
              <w:bottom w:val="single" w:sz="4" w:space="0" w:color="auto"/>
              <w:right w:val="single" w:sz="4" w:space="0" w:color="auto"/>
            </w:tcBorders>
            <w:shd w:val="clear" w:color="auto" w:fill="E2EFD9" w:themeFill="accent6" w:themeFillTint="33"/>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Adjusted Budget</w:t>
            </w:r>
          </w:p>
        </w:tc>
        <w:tc>
          <w:tcPr>
            <w:tcW w:w="1283" w:type="dxa"/>
            <w:tcBorders>
              <w:top w:val="single" w:sz="4" w:space="0" w:color="auto"/>
              <w:left w:val="nil"/>
              <w:bottom w:val="single" w:sz="4" w:space="0" w:color="auto"/>
              <w:right w:val="single" w:sz="4" w:space="0" w:color="auto"/>
            </w:tcBorders>
            <w:shd w:val="clear" w:color="auto" w:fill="E2EFD9" w:themeFill="accent6" w:themeFillTint="33"/>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Q3 Actual expenditure</w:t>
            </w:r>
          </w:p>
        </w:tc>
        <w:tc>
          <w:tcPr>
            <w:tcW w:w="1357" w:type="dxa"/>
            <w:tcBorders>
              <w:top w:val="single" w:sz="4" w:space="0" w:color="auto"/>
              <w:left w:val="nil"/>
              <w:bottom w:val="single" w:sz="4" w:space="0" w:color="auto"/>
              <w:right w:val="single" w:sz="4" w:space="0" w:color="auto"/>
            </w:tcBorders>
            <w:shd w:val="clear" w:color="auto" w:fill="E2EFD9" w:themeFill="accent6" w:themeFillTint="33"/>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Expenditure as % of Available Budget</w:t>
            </w:r>
          </w:p>
        </w:tc>
        <w:tc>
          <w:tcPr>
            <w:tcW w:w="1294" w:type="dxa"/>
            <w:tcBorders>
              <w:top w:val="single" w:sz="4" w:space="0" w:color="auto"/>
              <w:left w:val="nil"/>
              <w:bottom w:val="single" w:sz="4" w:space="0" w:color="auto"/>
              <w:right w:val="single" w:sz="4" w:space="0" w:color="auto"/>
            </w:tcBorders>
            <w:shd w:val="clear" w:color="auto" w:fill="E2EFD9" w:themeFill="accent6" w:themeFillTint="33"/>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Q3 Projected expenditure</w:t>
            </w:r>
          </w:p>
        </w:tc>
        <w:tc>
          <w:tcPr>
            <w:tcW w:w="1345" w:type="dxa"/>
            <w:tcBorders>
              <w:top w:val="single" w:sz="4" w:space="0" w:color="auto"/>
              <w:left w:val="nil"/>
              <w:bottom w:val="single" w:sz="4" w:space="0" w:color="auto"/>
              <w:right w:val="single" w:sz="4" w:space="0" w:color="auto"/>
            </w:tcBorders>
            <w:shd w:val="clear" w:color="auto" w:fill="E2EFD9" w:themeFill="accent6" w:themeFillTint="33"/>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Variance from</w:t>
            </w:r>
            <w:r w:rsidRPr="00F15C05">
              <w:rPr>
                <w:rFonts w:ascii="Arial" w:eastAsia="Times New Roman" w:hAnsi="Arial" w:cs="Arial"/>
                <w:b/>
                <w:bCs/>
                <w:sz w:val="20"/>
                <w:szCs w:val="20"/>
                <w:lang w:eastAsia="en-ZA"/>
              </w:rPr>
              <w:br/>
              <w:t>projected</w:t>
            </w:r>
            <w:r w:rsidRPr="00F15C05">
              <w:rPr>
                <w:rFonts w:ascii="Arial" w:eastAsia="Times New Roman" w:hAnsi="Arial" w:cs="Arial"/>
                <w:b/>
                <w:bCs/>
                <w:sz w:val="20"/>
                <w:szCs w:val="20"/>
                <w:lang w:eastAsia="en-ZA"/>
              </w:rPr>
              <w:br/>
              <w:t>expenditure</w:t>
            </w:r>
          </w:p>
        </w:tc>
        <w:tc>
          <w:tcPr>
            <w:tcW w:w="1283" w:type="dxa"/>
            <w:tcBorders>
              <w:top w:val="single" w:sz="4" w:space="0" w:color="auto"/>
              <w:left w:val="nil"/>
              <w:bottom w:val="single" w:sz="4" w:space="0" w:color="auto"/>
              <w:right w:val="single" w:sz="4" w:space="0" w:color="auto"/>
            </w:tcBorders>
            <w:shd w:val="clear" w:color="auto" w:fill="E2EFD9" w:themeFill="accent6" w:themeFillTint="33"/>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 Variance</w:t>
            </w:r>
            <w:r w:rsidRPr="00F15C05">
              <w:rPr>
                <w:rFonts w:ascii="Arial" w:eastAsia="Times New Roman" w:hAnsi="Arial" w:cs="Arial"/>
                <w:b/>
                <w:bCs/>
                <w:sz w:val="20"/>
                <w:szCs w:val="20"/>
                <w:lang w:eastAsia="en-ZA"/>
              </w:rPr>
              <w:br/>
              <w:t>from projected</w:t>
            </w:r>
            <w:r w:rsidRPr="00F15C05">
              <w:rPr>
                <w:rFonts w:ascii="Arial" w:eastAsia="Times New Roman" w:hAnsi="Arial" w:cs="Arial"/>
                <w:b/>
                <w:bCs/>
                <w:sz w:val="20"/>
                <w:szCs w:val="20"/>
                <w:lang w:eastAsia="en-ZA"/>
              </w:rPr>
              <w:br/>
              <w:t>expenditure</w:t>
            </w:r>
          </w:p>
        </w:tc>
      </w:tr>
      <w:tr w:rsidR="00D84F69" w:rsidRPr="00F15C05" w:rsidTr="008A4CF6">
        <w:trPr>
          <w:trHeight w:val="253"/>
        </w:trPr>
        <w:tc>
          <w:tcPr>
            <w:tcW w:w="11068" w:type="dxa"/>
            <w:gridSpan w:val="8"/>
            <w:tcBorders>
              <w:top w:val="nil"/>
              <w:left w:val="single" w:sz="4" w:space="0" w:color="auto"/>
              <w:bottom w:val="single" w:sz="4" w:space="0" w:color="auto"/>
              <w:right w:val="single" w:sz="4" w:space="0" w:color="auto"/>
            </w:tcBorders>
            <w:shd w:val="clear" w:color="auto" w:fill="auto"/>
            <w:vAlign w:val="bottom"/>
          </w:tcPr>
          <w:p w:rsidR="00D84F69" w:rsidRPr="00F15C05" w:rsidRDefault="00D84F69" w:rsidP="00F15C05">
            <w:pPr>
              <w:spacing w:after="0" w:line="240" w:lineRule="auto"/>
              <w:rPr>
                <w:rFonts w:ascii="Arial" w:eastAsia="Times New Roman" w:hAnsi="Arial" w:cs="Arial"/>
                <w:b/>
                <w:sz w:val="20"/>
                <w:szCs w:val="20"/>
                <w:lang w:eastAsia="en-ZA"/>
              </w:rPr>
            </w:pPr>
            <w:r w:rsidRPr="00F15C05">
              <w:rPr>
                <w:rFonts w:ascii="Arial" w:eastAsia="Times New Roman" w:hAnsi="Arial" w:cs="Arial"/>
                <w:b/>
                <w:color w:val="000000"/>
                <w:sz w:val="20"/>
                <w:szCs w:val="20"/>
                <w:lang w:eastAsia="en-ZA"/>
              </w:rPr>
              <w:t>Programme</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D84F69" w:rsidRPr="00F15C05" w:rsidRDefault="00D84F69" w:rsidP="00F15C05">
            <w:pPr>
              <w:spacing w:after="0" w:line="240" w:lineRule="auto"/>
              <w:rPr>
                <w:rFonts w:ascii="Arial" w:eastAsia="Times New Roman" w:hAnsi="Arial" w:cs="Arial"/>
                <w:color w:val="000000"/>
                <w:sz w:val="20"/>
                <w:szCs w:val="20"/>
                <w:lang w:eastAsia="en-ZA"/>
              </w:rPr>
            </w:pPr>
            <w:r w:rsidRPr="00F15C05">
              <w:rPr>
                <w:rFonts w:ascii="Arial" w:eastAsia="Times New Roman" w:hAnsi="Arial" w:cs="Arial"/>
                <w:color w:val="000000"/>
                <w:sz w:val="20"/>
                <w:szCs w:val="20"/>
                <w:lang w:eastAsia="en-ZA"/>
              </w:rPr>
              <w:t>Administration</w:t>
            </w:r>
          </w:p>
        </w:tc>
        <w:tc>
          <w:tcPr>
            <w:tcW w:w="1518"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493,7</w:t>
            </w:r>
          </w:p>
        </w:tc>
        <w:tc>
          <w:tcPr>
            <w:tcW w:w="1492"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492,0</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324,2</w:t>
            </w:r>
          </w:p>
        </w:tc>
        <w:tc>
          <w:tcPr>
            <w:tcW w:w="1357"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65,9%</w:t>
            </w:r>
          </w:p>
        </w:tc>
        <w:tc>
          <w:tcPr>
            <w:tcW w:w="1294"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347,9</w:t>
            </w:r>
          </w:p>
        </w:tc>
        <w:tc>
          <w:tcPr>
            <w:tcW w:w="1345"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23,7</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6,8%</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D84F69" w:rsidRPr="00F15C05" w:rsidRDefault="00D84F69" w:rsidP="00F15C05">
            <w:pPr>
              <w:spacing w:after="0" w:line="240" w:lineRule="auto"/>
              <w:rPr>
                <w:rFonts w:ascii="Arial" w:eastAsia="Times New Roman" w:hAnsi="Arial" w:cs="Arial"/>
                <w:color w:val="000000"/>
                <w:sz w:val="20"/>
                <w:szCs w:val="20"/>
                <w:lang w:eastAsia="en-ZA"/>
              </w:rPr>
            </w:pPr>
            <w:r w:rsidRPr="00F15C05">
              <w:rPr>
                <w:rFonts w:ascii="Arial" w:eastAsia="Times New Roman" w:hAnsi="Arial" w:cs="Arial"/>
                <w:color w:val="000000"/>
                <w:sz w:val="20"/>
                <w:szCs w:val="20"/>
                <w:lang w:eastAsia="en-ZA"/>
              </w:rPr>
              <w:t>Planning, Policy and Strategy</w:t>
            </w:r>
          </w:p>
        </w:tc>
        <w:tc>
          <w:tcPr>
            <w:tcW w:w="1518"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4 912,9</w:t>
            </w:r>
          </w:p>
        </w:tc>
        <w:tc>
          <w:tcPr>
            <w:tcW w:w="1492"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4 695,9</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2 417,5</w:t>
            </w:r>
          </w:p>
        </w:tc>
        <w:tc>
          <w:tcPr>
            <w:tcW w:w="1357"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51,5%</w:t>
            </w:r>
          </w:p>
        </w:tc>
        <w:tc>
          <w:tcPr>
            <w:tcW w:w="1294"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553,3</w:t>
            </w:r>
          </w:p>
        </w:tc>
        <w:tc>
          <w:tcPr>
            <w:tcW w:w="1345"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-1 864,2</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-336,9%</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D84F69" w:rsidRPr="00F15C05" w:rsidRDefault="00D84F69" w:rsidP="00F15C05">
            <w:pPr>
              <w:spacing w:after="0" w:line="240" w:lineRule="auto"/>
              <w:rPr>
                <w:rFonts w:ascii="Arial" w:eastAsia="Times New Roman" w:hAnsi="Arial" w:cs="Arial"/>
                <w:color w:val="000000"/>
                <w:sz w:val="20"/>
                <w:szCs w:val="20"/>
                <w:lang w:eastAsia="en-ZA"/>
              </w:rPr>
            </w:pPr>
            <w:r w:rsidRPr="00F15C05">
              <w:rPr>
                <w:rFonts w:ascii="Arial" w:eastAsia="Times New Roman" w:hAnsi="Arial" w:cs="Arial"/>
                <w:color w:val="000000"/>
                <w:sz w:val="20"/>
                <w:szCs w:val="20"/>
                <w:lang w:eastAsia="en-ZA"/>
              </w:rPr>
              <w:t>University Education</w:t>
            </w:r>
          </w:p>
        </w:tc>
        <w:tc>
          <w:tcPr>
            <w:tcW w:w="1518"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88 581,7</w:t>
            </w:r>
          </w:p>
        </w:tc>
        <w:tc>
          <w:tcPr>
            <w:tcW w:w="1492"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88 839,9</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87 218,8</w:t>
            </w:r>
          </w:p>
        </w:tc>
        <w:tc>
          <w:tcPr>
            <w:tcW w:w="1357"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98,2%</w:t>
            </w:r>
          </w:p>
        </w:tc>
        <w:tc>
          <w:tcPr>
            <w:tcW w:w="1294"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88 483,2</w:t>
            </w:r>
          </w:p>
        </w:tc>
        <w:tc>
          <w:tcPr>
            <w:tcW w:w="1345"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1 264,4</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1,4%</w:t>
            </w:r>
          </w:p>
        </w:tc>
      </w:tr>
      <w:tr w:rsidR="008A4CF6" w:rsidRPr="00F15C05" w:rsidTr="008A4CF6">
        <w:trPr>
          <w:trHeight w:val="313"/>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D84F69" w:rsidRPr="00F15C05" w:rsidRDefault="00D84F69" w:rsidP="00F15C05">
            <w:pPr>
              <w:spacing w:after="0" w:line="240" w:lineRule="auto"/>
              <w:rPr>
                <w:rFonts w:ascii="Arial" w:eastAsia="Times New Roman" w:hAnsi="Arial" w:cs="Arial"/>
                <w:color w:val="000000"/>
                <w:sz w:val="20"/>
                <w:szCs w:val="20"/>
                <w:lang w:eastAsia="en-ZA"/>
              </w:rPr>
            </w:pPr>
            <w:r w:rsidRPr="00F15C05">
              <w:rPr>
                <w:rFonts w:ascii="Arial" w:eastAsia="Times New Roman" w:hAnsi="Arial" w:cs="Arial"/>
                <w:color w:val="000000"/>
                <w:sz w:val="20"/>
                <w:szCs w:val="20"/>
                <w:lang w:eastAsia="en-ZA"/>
              </w:rPr>
              <w:t xml:space="preserve">Technical &amp; Vocational Education &amp; Training </w:t>
            </w:r>
          </w:p>
        </w:tc>
        <w:tc>
          <w:tcPr>
            <w:tcW w:w="1518"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12 623,1</w:t>
            </w:r>
          </w:p>
        </w:tc>
        <w:tc>
          <w:tcPr>
            <w:tcW w:w="1492"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12 725,2</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8 814,5</w:t>
            </w:r>
          </w:p>
        </w:tc>
        <w:tc>
          <w:tcPr>
            <w:tcW w:w="1357"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69,3%</w:t>
            </w:r>
          </w:p>
        </w:tc>
        <w:tc>
          <w:tcPr>
            <w:tcW w:w="1294"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8 929,9</w:t>
            </w:r>
          </w:p>
        </w:tc>
        <w:tc>
          <w:tcPr>
            <w:tcW w:w="1345"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115,4</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1,3%</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D84F69" w:rsidRPr="00F15C05" w:rsidRDefault="00D84F69" w:rsidP="00F15C05">
            <w:pPr>
              <w:spacing w:after="0" w:line="240" w:lineRule="auto"/>
              <w:rPr>
                <w:rFonts w:ascii="Arial" w:eastAsia="Times New Roman" w:hAnsi="Arial" w:cs="Arial"/>
                <w:color w:val="000000"/>
                <w:sz w:val="20"/>
                <w:szCs w:val="20"/>
                <w:lang w:eastAsia="en-ZA"/>
              </w:rPr>
            </w:pPr>
            <w:r w:rsidRPr="00F15C05">
              <w:rPr>
                <w:rFonts w:ascii="Arial" w:eastAsia="Times New Roman" w:hAnsi="Arial" w:cs="Arial"/>
                <w:color w:val="000000"/>
                <w:sz w:val="20"/>
                <w:szCs w:val="20"/>
                <w:lang w:eastAsia="en-ZA"/>
              </w:rPr>
              <w:t>Skills Development</w:t>
            </w:r>
          </w:p>
        </w:tc>
        <w:tc>
          <w:tcPr>
            <w:tcW w:w="1518"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421,6</w:t>
            </w:r>
          </w:p>
        </w:tc>
        <w:tc>
          <w:tcPr>
            <w:tcW w:w="1492"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407,0</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314,8</w:t>
            </w:r>
          </w:p>
        </w:tc>
        <w:tc>
          <w:tcPr>
            <w:tcW w:w="1357"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77,3%</w:t>
            </w:r>
          </w:p>
        </w:tc>
        <w:tc>
          <w:tcPr>
            <w:tcW w:w="1294"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221,6</w:t>
            </w:r>
          </w:p>
        </w:tc>
        <w:tc>
          <w:tcPr>
            <w:tcW w:w="1345"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-93,2</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-42,1%</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auto"/>
            <w:vAlign w:val="bottom"/>
            <w:hideMark/>
          </w:tcPr>
          <w:p w:rsidR="00D84F69" w:rsidRPr="00F15C05" w:rsidRDefault="00D84F69" w:rsidP="00F15C05">
            <w:pPr>
              <w:spacing w:after="0" w:line="240" w:lineRule="auto"/>
              <w:rPr>
                <w:rFonts w:ascii="Arial" w:eastAsia="Times New Roman" w:hAnsi="Arial" w:cs="Arial"/>
                <w:color w:val="000000"/>
                <w:sz w:val="20"/>
                <w:szCs w:val="20"/>
                <w:lang w:eastAsia="en-ZA"/>
              </w:rPr>
            </w:pPr>
            <w:r w:rsidRPr="00F15C05">
              <w:rPr>
                <w:rFonts w:ascii="Arial" w:eastAsia="Times New Roman" w:hAnsi="Arial" w:cs="Arial"/>
                <w:color w:val="000000"/>
                <w:sz w:val="20"/>
                <w:szCs w:val="20"/>
                <w:lang w:eastAsia="en-ZA"/>
              </w:rPr>
              <w:t>Community Education &amp; Training</w:t>
            </w:r>
          </w:p>
        </w:tc>
        <w:tc>
          <w:tcPr>
            <w:tcW w:w="1518"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2 481,9</w:t>
            </w:r>
          </w:p>
        </w:tc>
        <w:tc>
          <w:tcPr>
            <w:tcW w:w="1492"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2 577,7</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1 970,2</w:t>
            </w:r>
          </w:p>
        </w:tc>
        <w:tc>
          <w:tcPr>
            <w:tcW w:w="1357"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76,4%</w:t>
            </w:r>
          </w:p>
        </w:tc>
        <w:tc>
          <w:tcPr>
            <w:tcW w:w="1294"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1 925,6</w:t>
            </w:r>
          </w:p>
        </w:tc>
        <w:tc>
          <w:tcPr>
            <w:tcW w:w="1345"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-44,6</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-2,3%</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Sub-total</w:t>
            </w:r>
          </w:p>
        </w:tc>
        <w:tc>
          <w:tcPr>
            <w:tcW w:w="1518"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109 514,9</w:t>
            </w:r>
          </w:p>
        </w:tc>
        <w:tc>
          <w:tcPr>
            <w:tcW w:w="1492"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109 737,6</w:t>
            </w:r>
          </w:p>
        </w:tc>
        <w:tc>
          <w:tcPr>
            <w:tcW w:w="1283"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101 060,2</w:t>
            </w:r>
          </w:p>
        </w:tc>
        <w:tc>
          <w:tcPr>
            <w:tcW w:w="1357"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92,1%</w:t>
            </w:r>
          </w:p>
        </w:tc>
        <w:tc>
          <w:tcPr>
            <w:tcW w:w="1294"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100 461,5</w:t>
            </w:r>
          </w:p>
        </w:tc>
        <w:tc>
          <w:tcPr>
            <w:tcW w:w="1345"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-598,7</w:t>
            </w:r>
          </w:p>
        </w:tc>
        <w:tc>
          <w:tcPr>
            <w:tcW w:w="1283"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-0,6%</w:t>
            </w:r>
          </w:p>
        </w:tc>
      </w:tr>
      <w:tr w:rsidR="008A4CF6" w:rsidRPr="00F15C05" w:rsidTr="008A4CF6">
        <w:trPr>
          <w:trHeight w:val="253"/>
        </w:trPr>
        <w:tc>
          <w:tcPr>
            <w:tcW w:w="1493" w:type="dxa"/>
            <w:tcBorders>
              <w:top w:val="nil"/>
              <w:left w:val="single" w:sz="4" w:space="0" w:color="auto"/>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w:t>
            </w:r>
          </w:p>
        </w:tc>
        <w:tc>
          <w:tcPr>
            <w:tcW w:w="1518"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492"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283"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357"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294"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345"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283" w:type="dxa"/>
            <w:tcBorders>
              <w:top w:val="nil"/>
              <w:left w:val="nil"/>
              <w:bottom w:val="nil"/>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w:t>
            </w:r>
          </w:p>
        </w:tc>
      </w:tr>
      <w:tr w:rsidR="008A4CF6" w:rsidRPr="00F15C05" w:rsidTr="008A4CF6">
        <w:trPr>
          <w:trHeight w:val="253"/>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Direct Charges: SETAs</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16 495,5</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16 990,5</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12 230,4</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72,0%</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12 269,6</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39,2</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0,3%</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Direct Charges: NSF</w:t>
            </w:r>
          </w:p>
        </w:tc>
        <w:tc>
          <w:tcPr>
            <w:tcW w:w="1518"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4 123,9</w:t>
            </w:r>
          </w:p>
        </w:tc>
        <w:tc>
          <w:tcPr>
            <w:tcW w:w="1492"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4 247,6</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3 057,6</w:t>
            </w:r>
          </w:p>
        </w:tc>
        <w:tc>
          <w:tcPr>
            <w:tcW w:w="1357"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72,0%</w:t>
            </w:r>
          </w:p>
        </w:tc>
        <w:tc>
          <w:tcPr>
            <w:tcW w:w="1294"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 xml:space="preserve"> 3 067,4</w:t>
            </w:r>
          </w:p>
        </w:tc>
        <w:tc>
          <w:tcPr>
            <w:tcW w:w="1345"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9,8</w:t>
            </w:r>
          </w:p>
        </w:tc>
        <w:tc>
          <w:tcPr>
            <w:tcW w:w="1283" w:type="dxa"/>
            <w:tcBorders>
              <w:top w:val="nil"/>
              <w:left w:val="nil"/>
              <w:bottom w:val="single" w:sz="4" w:space="0" w:color="auto"/>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r w:rsidRPr="00F15C05">
              <w:rPr>
                <w:rFonts w:ascii="Arial" w:eastAsia="Times New Roman" w:hAnsi="Arial" w:cs="Arial"/>
                <w:sz w:val="20"/>
                <w:szCs w:val="20"/>
                <w:lang w:eastAsia="en-ZA"/>
              </w:rPr>
              <w:t>0,3%</w:t>
            </w:r>
          </w:p>
        </w:tc>
      </w:tr>
      <w:tr w:rsidR="008A4CF6" w:rsidRPr="00F15C05" w:rsidTr="008A4CF6">
        <w:trPr>
          <w:trHeight w:val="253"/>
        </w:trPr>
        <w:tc>
          <w:tcPr>
            <w:tcW w:w="149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Sub-total</w:t>
            </w:r>
          </w:p>
        </w:tc>
        <w:tc>
          <w:tcPr>
            <w:tcW w:w="1518"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20 619,3</w:t>
            </w:r>
          </w:p>
        </w:tc>
        <w:tc>
          <w:tcPr>
            <w:tcW w:w="1492"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21 238,1</w:t>
            </w:r>
          </w:p>
        </w:tc>
        <w:tc>
          <w:tcPr>
            <w:tcW w:w="1283"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15 288,0</w:t>
            </w:r>
          </w:p>
        </w:tc>
        <w:tc>
          <w:tcPr>
            <w:tcW w:w="1357"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72,0%</w:t>
            </w:r>
          </w:p>
        </w:tc>
        <w:tc>
          <w:tcPr>
            <w:tcW w:w="1294"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15 337,0</w:t>
            </w:r>
          </w:p>
        </w:tc>
        <w:tc>
          <w:tcPr>
            <w:tcW w:w="1345"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49,0</w:t>
            </w:r>
          </w:p>
        </w:tc>
        <w:tc>
          <w:tcPr>
            <w:tcW w:w="1283" w:type="dxa"/>
            <w:tcBorders>
              <w:top w:val="nil"/>
              <w:left w:val="nil"/>
              <w:bottom w:val="single" w:sz="4" w:space="0" w:color="auto"/>
              <w:right w:val="single" w:sz="4" w:space="0" w:color="auto"/>
            </w:tcBorders>
            <w:shd w:val="clear" w:color="auto" w:fill="F2F2F2" w:themeFill="background1" w:themeFillShade="F2"/>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0,3%</w:t>
            </w:r>
          </w:p>
        </w:tc>
      </w:tr>
      <w:tr w:rsidR="008A4CF6" w:rsidRPr="00F15C05" w:rsidTr="008A4CF6">
        <w:trPr>
          <w:trHeight w:val="253"/>
        </w:trPr>
        <w:tc>
          <w:tcPr>
            <w:tcW w:w="1493" w:type="dxa"/>
            <w:tcBorders>
              <w:top w:val="nil"/>
              <w:left w:val="single" w:sz="4" w:space="0" w:color="auto"/>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 </w:t>
            </w:r>
          </w:p>
        </w:tc>
        <w:tc>
          <w:tcPr>
            <w:tcW w:w="1518"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p>
        </w:tc>
        <w:tc>
          <w:tcPr>
            <w:tcW w:w="1492"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283"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357"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294"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345" w:type="dxa"/>
            <w:tcBorders>
              <w:top w:val="nil"/>
              <w:left w:val="nil"/>
              <w:bottom w:val="nil"/>
              <w:right w:val="nil"/>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sz w:val="20"/>
                <w:szCs w:val="20"/>
                <w:lang w:eastAsia="en-ZA"/>
              </w:rPr>
            </w:pPr>
          </w:p>
        </w:tc>
        <w:tc>
          <w:tcPr>
            <w:tcW w:w="1283" w:type="dxa"/>
            <w:tcBorders>
              <w:top w:val="nil"/>
              <w:left w:val="nil"/>
              <w:bottom w:val="nil"/>
              <w:right w:val="single" w:sz="4" w:space="0" w:color="auto"/>
            </w:tcBorders>
            <w:shd w:val="clear" w:color="auto" w:fill="auto"/>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 </w:t>
            </w:r>
          </w:p>
        </w:tc>
      </w:tr>
      <w:tr w:rsidR="008A4CF6" w:rsidRPr="00F15C05" w:rsidTr="008A4CF6">
        <w:trPr>
          <w:trHeight w:val="253"/>
        </w:trPr>
        <w:tc>
          <w:tcPr>
            <w:tcW w:w="1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lastRenderedPageBreak/>
              <w:t>Total</w:t>
            </w:r>
          </w:p>
        </w:tc>
        <w:tc>
          <w:tcPr>
            <w:tcW w:w="15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130 134,2</w:t>
            </w:r>
          </w:p>
        </w:tc>
        <w:tc>
          <w:tcPr>
            <w:tcW w:w="14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130 975,8</w:t>
            </w:r>
          </w:p>
        </w:tc>
        <w:tc>
          <w:tcPr>
            <w:tcW w:w="128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116 348,2</w:t>
            </w:r>
          </w:p>
        </w:tc>
        <w:tc>
          <w:tcPr>
            <w:tcW w:w="135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88,8%</w:t>
            </w:r>
          </w:p>
        </w:tc>
        <w:tc>
          <w:tcPr>
            <w:tcW w:w="129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115 798,5</w:t>
            </w:r>
          </w:p>
        </w:tc>
        <w:tc>
          <w:tcPr>
            <w:tcW w:w="13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-549,8</w:t>
            </w:r>
          </w:p>
        </w:tc>
        <w:tc>
          <w:tcPr>
            <w:tcW w:w="128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84F69" w:rsidRPr="00F15C05" w:rsidRDefault="00D84F69" w:rsidP="00F15C05">
            <w:pPr>
              <w:spacing w:after="0" w:line="240" w:lineRule="auto"/>
              <w:rPr>
                <w:rFonts w:ascii="Arial" w:eastAsia="Times New Roman" w:hAnsi="Arial" w:cs="Arial"/>
                <w:b/>
                <w:bCs/>
                <w:sz w:val="20"/>
                <w:szCs w:val="20"/>
                <w:lang w:eastAsia="en-ZA"/>
              </w:rPr>
            </w:pPr>
            <w:r w:rsidRPr="00F15C05">
              <w:rPr>
                <w:rFonts w:ascii="Arial" w:eastAsia="Times New Roman" w:hAnsi="Arial" w:cs="Arial"/>
                <w:b/>
                <w:bCs/>
                <w:sz w:val="20"/>
                <w:szCs w:val="20"/>
                <w:lang w:eastAsia="en-ZA"/>
              </w:rPr>
              <w:t>-0,5%</w:t>
            </w:r>
          </w:p>
        </w:tc>
      </w:tr>
    </w:tbl>
    <w:p w:rsidR="00643253" w:rsidRPr="00F15C05" w:rsidRDefault="00643253" w:rsidP="00F15C05">
      <w:pPr>
        <w:spacing w:after="0" w:line="240" w:lineRule="auto"/>
        <w:rPr>
          <w:rFonts w:ascii="Arial" w:hAnsi="Arial" w:cs="Arial"/>
          <w:b/>
          <w:sz w:val="20"/>
          <w:szCs w:val="20"/>
        </w:rPr>
      </w:pPr>
    </w:p>
    <w:p w:rsidR="006003CD" w:rsidRPr="00F15C05" w:rsidRDefault="006003CD" w:rsidP="00F15C05">
      <w:pPr>
        <w:spacing w:after="0" w:line="240" w:lineRule="auto"/>
        <w:rPr>
          <w:rFonts w:ascii="Arial" w:hAnsi="Arial" w:cs="Arial"/>
          <w:sz w:val="20"/>
          <w:szCs w:val="20"/>
        </w:rPr>
      </w:pPr>
      <w:r w:rsidRPr="00F15C05">
        <w:rPr>
          <w:rFonts w:ascii="Arial" w:hAnsi="Arial" w:cs="Arial"/>
          <w:sz w:val="20"/>
          <w:szCs w:val="20"/>
        </w:rPr>
        <w:t>Source: National Treasury, 202</w:t>
      </w:r>
      <w:r w:rsidR="00BF2BA5" w:rsidRPr="00F15C05">
        <w:rPr>
          <w:rFonts w:ascii="Arial" w:hAnsi="Arial" w:cs="Arial"/>
          <w:sz w:val="20"/>
          <w:szCs w:val="20"/>
        </w:rPr>
        <w:t>3</w:t>
      </w:r>
    </w:p>
    <w:p w:rsidR="009C5FD4" w:rsidRPr="00F15C05" w:rsidRDefault="00F432F7" w:rsidP="00F15C05">
      <w:pPr>
        <w:autoSpaceDE w:val="0"/>
        <w:autoSpaceDN w:val="0"/>
        <w:adjustRightInd w:val="0"/>
        <w:spacing w:after="0" w:line="240" w:lineRule="auto"/>
        <w:rPr>
          <w:rFonts w:ascii="Arial" w:hAnsi="Arial" w:cs="Arial"/>
          <w:color w:val="000000"/>
          <w:sz w:val="20"/>
          <w:szCs w:val="20"/>
        </w:rPr>
      </w:pPr>
      <w:r w:rsidRPr="00F15C05">
        <w:rPr>
          <w:rFonts w:ascii="Arial" w:hAnsi="Arial" w:cs="Arial"/>
          <w:color w:val="000000"/>
          <w:sz w:val="20"/>
          <w:szCs w:val="20"/>
        </w:rPr>
        <w:t xml:space="preserve">The Department’s adjusted budget for the </w:t>
      </w:r>
      <w:r w:rsidR="00C31163" w:rsidRPr="00F15C05">
        <w:rPr>
          <w:rFonts w:ascii="Arial" w:hAnsi="Arial" w:cs="Arial"/>
          <w:color w:val="000000"/>
          <w:sz w:val="20"/>
          <w:szCs w:val="20"/>
        </w:rPr>
        <w:t>2022/23</w:t>
      </w:r>
      <w:r w:rsidRPr="00F15C05">
        <w:rPr>
          <w:rFonts w:ascii="Arial" w:hAnsi="Arial" w:cs="Arial"/>
          <w:color w:val="000000"/>
          <w:sz w:val="20"/>
          <w:szCs w:val="20"/>
        </w:rPr>
        <w:t xml:space="preserve"> financial year, amounted to R</w:t>
      </w:r>
      <w:r w:rsidR="00C31163" w:rsidRPr="00F15C05">
        <w:rPr>
          <w:rFonts w:ascii="Arial" w:hAnsi="Arial" w:cs="Arial"/>
          <w:color w:val="000000"/>
          <w:sz w:val="20"/>
          <w:szCs w:val="20"/>
        </w:rPr>
        <w:t>130,134</w:t>
      </w:r>
      <w:r w:rsidRPr="00F15C05">
        <w:rPr>
          <w:rFonts w:ascii="Arial" w:hAnsi="Arial" w:cs="Arial"/>
          <w:color w:val="000000"/>
          <w:sz w:val="20"/>
          <w:szCs w:val="20"/>
        </w:rPr>
        <w:t xml:space="preserve"> billion, </w:t>
      </w:r>
      <w:r w:rsidR="00C31163" w:rsidRPr="00F15C05">
        <w:rPr>
          <w:rFonts w:ascii="Arial" w:hAnsi="Arial" w:cs="Arial"/>
          <w:color w:val="000000"/>
          <w:sz w:val="20"/>
          <w:szCs w:val="20"/>
        </w:rPr>
        <w:t xml:space="preserve">which is </w:t>
      </w:r>
      <w:r w:rsidRPr="00F15C05">
        <w:rPr>
          <w:rFonts w:ascii="Arial" w:hAnsi="Arial" w:cs="Arial"/>
          <w:color w:val="000000"/>
          <w:sz w:val="20"/>
          <w:szCs w:val="20"/>
        </w:rPr>
        <w:t>inclusive of R</w:t>
      </w:r>
      <w:r w:rsidR="00C31163" w:rsidRPr="00F15C05">
        <w:rPr>
          <w:rFonts w:ascii="Arial" w:hAnsi="Arial" w:cs="Arial"/>
          <w:color w:val="000000"/>
          <w:sz w:val="20"/>
          <w:szCs w:val="20"/>
        </w:rPr>
        <w:t>109,514</w:t>
      </w:r>
      <w:r w:rsidRPr="00F15C05">
        <w:rPr>
          <w:rFonts w:ascii="Arial" w:hAnsi="Arial" w:cs="Arial"/>
          <w:color w:val="000000"/>
          <w:sz w:val="20"/>
          <w:szCs w:val="20"/>
        </w:rPr>
        <w:t xml:space="preserve"> billion of </w:t>
      </w:r>
      <w:r w:rsidR="00C31163" w:rsidRPr="00F15C05">
        <w:rPr>
          <w:rFonts w:ascii="Arial" w:hAnsi="Arial" w:cs="Arial"/>
          <w:color w:val="000000"/>
          <w:sz w:val="20"/>
          <w:szCs w:val="20"/>
        </w:rPr>
        <w:t xml:space="preserve">voted funds and R20,619 billion of </w:t>
      </w:r>
      <w:r w:rsidRPr="00F15C05">
        <w:rPr>
          <w:rFonts w:ascii="Arial" w:hAnsi="Arial" w:cs="Arial"/>
          <w:color w:val="000000"/>
          <w:sz w:val="20"/>
          <w:szCs w:val="20"/>
        </w:rPr>
        <w:t xml:space="preserve">direct charges against the National Revenue Fund. </w:t>
      </w:r>
      <w:r w:rsidR="00C31163" w:rsidRPr="00F15C05">
        <w:rPr>
          <w:rFonts w:ascii="Arial" w:hAnsi="Arial" w:cs="Arial"/>
          <w:color w:val="000000"/>
          <w:sz w:val="20"/>
          <w:szCs w:val="20"/>
        </w:rPr>
        <w:t xml:space="preserve">The budget was adjusted to R130,975 billion during the </w:t>
      </w:r>
      <w:r w:rsidR="00F924D1" w:rsidRPr="00F15C05">
        <w:rPr>
          <w:rFonts w:ascii="Arial" w:hAnsi="Arial" w:cs="Arial"/>
          <w:color w:val="000000"/>
          <w:sz w:val="20"/>
          <w:szCs w:val="20"/>
        </w:rPr>
        <w:t>2022 A</w:t>
      </w:r>
      <w:r w:rsidR="009C5FD4" w:rsidRPr="00F15C05">
        <w:rPr>
          <w:rFonts w:ascii="Arial" w:hAnsi="Arial" w:cs="Arial"/>
          <w:color w:val="000000"/>
          <w:sz w:val="20"/>
          <w:szCs w:val="20"/>
        </w:rPr>
        <w:t xml:space="preserve">djustment </w:t>
      </w:r>
      <w:r w:rsidR="00F924D1" w:rsidRPr="00F15C05">
        <w:rPr>
          <w:rFonts w:ascii="Arial" w:hAnsi="Arial" w:cs="Arial"/>
          <w:color w:val="000000"/>
          <w:sz w:val="20"/>
          <w:szCs w:val="20"/>
        </w:rPr>
        <w:t>Budget</w:t>
      </w:r>
      <w:r w:rsidR="009C5FD4" w:rsidRPr="00F15C05">
        <w:rPr>
          <w:rFonts w:ascii="Arial" w:hAnsi="Arial" w:cs="Arial"/>
          <w:color w:val="000000"/>
          <w:sz w:val="20"/>
          <w:szCs w:val="20"/>
        </w:rPr>
        <w:t>. The projected expenditure for the 2022/23 Third-Quarter amounted to R115,798 billion, comprising R100,451 billion of voted funds and R15,337 billion of direct charges. At the end of the 2022/23</w:t>
      </w:r>
      <w:r w:rsidRPr="00F15C05">
        <w:rPr>
          <w:rFonts w:ascii="Arial" w:hAnsi="Arial" w:cs="Arial"/>
          <w:color w:val="000000"/>
          <w:sz w:val="20"/>
          <w:szCs w:val="20"/>
        </w:rPr>
        <w:t xml:space="preserve"> Third-Quarter, the </w:t>
      </w:r>
      <w:r w:rsidR="009C5FD4" w:rsidRPr="00F15C05">
        <w:rPr>
          <w:rFonts w:ascii="Arial" w:hAnsi="Arial" w:cs="Arial"/>
          <w:color w:val="000000"/>
          <w:sz w:val="20"/>
          <w:szCs w:val="20"/>
        </w:rPr>
        <w:t xml:space="preserve">Department had spent R116,348 billion, which comprised R101,060 billion of voted funds and R15,288 billion of direct charges against the National Revenue Fund. Excluding the direct charges, the Department had recorded higher than </w:t>
      </w:r>
      <w:r w:rsidR="00CA628B" w:rsidRPr="00F15C05">
        <w:rPr>
          <w:rFonts w:ascii="Arial" w:hAnsi="Arial" w:cs="Arial"/>
          <w:color w:val="000000"/>
          <w:sz w:val="20"/>
          <w:szCs w:val="20"/>
        </w:rPr>
        <w:t xml:space="preserve">the </w:t>
      </w:r>
      <w:r w:rsidR="009C5FD4" w:rsidRPr="00F15C05">
        <w:rPr>
          <w:rFonts w:ascii="Arial" w:hAnsi="Arial" w:cs="Arial"/>
          <w:color w:val="000000"/>
          <w:sz w:val="20"/>
          <w:szCs w:val="20"/>
        </w:rPr>
        <w:t xml:space="preserve">projected spending of R598,7 million or 0.6 per cent. The higher than projected spending was attributed to transfers of infrastructure and efficiency grants to universities and TVET colleges, which were brought forward to Quarter 3 from Quarter 4. </w:t>
      </w:r>
    </w:p>
    <w:p w:rsidR="009C5FD4" w:rsidRPr="00F15C05" w:rsidRDefault="009C5FD4" w:rsidP="00F15C05">
      <w:pPr>
        <w:autoSpaceDE w:val="0"/>
        <w:autoSpaceDN w:val="0"/>
        <w:adjustRightInd w:val="0"/>
        <w:spacing w:after="0" w:line="240" w:lineRule="auto"/>
        <w:rPr>
          <w:rFonts w:ascii="Arial" w:hAnsi="Arial" w:cs="Arial"/>
          <w:color w:val="000000"/>
          <w:sz w:val="20"/>
          <w:szCs w:val="20"/>
        </w:rPr>
      </w:pPr>
    </w:p>
    <w:p w:rsidR="006B6952" w:rsidRPr="00F15C05" w:rsidRDefault="009C5FD4" w:rsidP="00F15C05">
      <w:pPr>
        <w:autoSpaceDE w:val="0"/>
        <w:autoSpaceDN w:val="0"/>
        <w:adjustRightInd w:val="0"/>
        <w:spacing w:after="0" w:line="240" w:lineRule="auto"/>
        <w:rPr>
          <w:rFonts w:ascii="Arial" w:hAnsi="Arial" w:cs="Arial"/>
          <w:color w:val="000000"/>
          <w:sz w:val="20"/>
          <w:szCs w:val="20"/>
        </w:rPr>
      </w:pPr>
      <w:r w:rsidRPr="00F15C05">
        <w:rPr>
          <w:rFonts w:ascii="Arial" w:hAnsi="Arial" w:cs="Arial"/>
          <w:color w:val="000000"/>
          <w:sz w:val="20"/>
          <w:szCs w:val="20"/>
        </w:rPr>
        <w:t>In terms of s</w:t>
      </w:r>
      <w:r w:rsidR="00976D68" w:rsidRPr="00F15C05">
        <w:rPr>
          <w:rFonts w:ascii="Arial" w:hAnsi="Arial" w:cs="Arial"/>
          <w:color w:val="000000"/>
          <w:sz w:val="20"/>
          <w:szCs w:val="20"/>
        </w:rPr>
        <w:t>pending on</w:t>
      </w:r>
      <w:r w:rsidR="00CA628B" w:rsidRPr="00F15C05">
        <w:rPr>
          <w:rFonts w:ascii="Arial" w:hAnsi="Arial" w:cs="Arial"/>
          <w:color w:val="000000"/>
          <w:sz w:val="20"/>
          <w:szCs w:val="20"/>
        </w:rPr>
        <w:t xml:space="preserve"> the</w:t>
      </w:r>
      <w:r w:rsidR="00976D68" w:rsidRPr="00F15C05">
        <w:rPr>
          <w:rFonts w:ascii="Arial" w:hAnsi="Arial" w:cs="Arial"/>
          <w:color w:val="000000"/>
          <w:sz w:val="20"/>
          <w:szCs w:val="20"/>
        </w:rPr>
        <w:t xml:space="preserve"> </w:t>
      </w:r>
      <w:r w:rsidR="00265B37" w:rsidRPr="00F15C05">
        <w:rPr>
          <w:rFonts w:ascii="Arial" w:hAnsi="Arial" w:cs="Arial"/>
          <w:color w:val="000000"/>
          <w:sz w:val="20"/>
          <w:szCs w:val="20"/>
        </w:rPr>
        <w:t>C</w:t>
      </w:r>
      <w:r w:rsidR="00976D68" w:rsidRPr="00F15C05">
        <w:rPr>
          <w:rFonts w:ascii="Arial" w:hAnsi="Arial" w:cs="Arial"/>
          <w:color w:val="000000"/>
          <w:sz w:val="20"/>
          <w:szCs w:val="20"/>
        </w:rPr>
        <w:t xml:space="preserve">ompensation of </w:t>
      </w:r>
      <w:r w:rsidR="00265B37" w:rsidRPr="00F15C05">
        <w:rPr>
          <w:rFonts w:ascii="Arial" w:hAnsi="Arial" w:cs="Arial"/>
          <w:color w:val="000000"/>
          <w:sz w:val="20"/>
          <w:szCs w:val="20"/>
        </w:rPr>
        <w:t>E</w:t>
      </w:r>
      <w:r w:rsidR="00976D68" w:rsidRPr="00F15C05">
        <w:rPr>
          <w:rFonts w:ascii="Arial" w:hAnsi="Arial" w:cs="Arial"/>
          <w:color w:val="000000"/>
          <w:sz w:val="20"/>
          <w:szCs w:val="20"/>
        </w:rPr>
        <w:t>mployees</w:t>
      </w:r>
      <w:r w:rsidRPr="00F15C05">
        <w:rPr>
          <w:rFonts w:ascii="Arial" w:hAnsi="Arial" w:cs="Arial"/>
          <w:color w:val="000000"/>
          <w:sz w:val="20"/>
          <w:szCs w:val="20"/>
        </w:rPr>
        <w:t xml:space="preserve">, the Department had </w:t>
      </w:r>
      <w:r w:rsidR="006B6952" w:rsidRPr="00F15C05">
        <w:rPr>
          <w:rFonts w:ascii="Arial" w:hAnsi="Arial" w:cs="Arial"/>
          <w:color w:val="000000"/>
          <w:sz w:val="20"/>
          <w:szCs w:val="20"/>
        </w:rPr>
        <w:t>spent R</w:t>
      </w:r>
      <w:r w:rsidR="00976D68" w:rsidRPr="00F15C05">
        <w:rPr>
          <w:rFonts w:ascii="Arial" w:hAnsi="Arial" w:cs="Arial"/>
          <w:color w:val="000000"/>
          <w:sz w:val="20"/>
          <w:szCs w:val="20"/>
        </w:rPr>
        <w:t>6,74 million, against the quarterly projected expenditure amounting to R7,</w:t>
      </w:r>
      <w:r w:rsidR="006B6952" w:rsidRPr="00F15C05">
        <w:rPr>
          <w:rFonts w:ascii="Arial" w:hAnsi="Arial" w:cs="Arial"/>
          <w:color w:val="000000"/>
          <w:sz w:val="20"/>
          <w:szCs w:val="20"/>
        </w:rPr>
        <w:t>565</w:t>
      </w:r>
      <w:r w:rsidR="00976D68" w:rsidRPr="00F15C05">
        <w:rPr>
          <w:rFonts w:ascii="Arial" w:hAnsi="Arial" w:cs="Arial"/>
          <w:color w:val="000000"/>
          <w:sz w:val="20"/>
          <w:szCs w:val="20"/>
        </w:rPr>
        <w:t xml:space="preserve"> billion</w:t>
      </w:r>
      <w:r w:rsidR="006B6952" w:rsidRPr="00F15C05">
        <w:rPr>
          <w:rFonts w:ascii="Arial" w:hAnsi="Arial" w:cs="Arial"/>
          <w:color w:val="000000"/>
          <w:sz w:val="20"/>
          <w:szCs w:val="20"/>
        </w:rPr>
        <w:t xml:space="preserve"> against the projected expenditure of R7,690 billion</w:t>
      </w:r>
      <w:r w:rsidR="00976D68" w:rsidRPr="00F15C05">
        <w:rPr>
          <w:rFonts w:ascii="Arial" w:hAnsi="Arial" w:cs="Arial"/>
          <w:color w:val="000000"/>
          <w:sz w:val="20"/>
          <w:szCs w:val="20"/>
        </w:rPr>
        <w:t xml:space="preserve">. The underspending on </w:t>
      </w:r>
      <w:r w:rsidR="00CA628B" w:rsidRPr="00F15C05">
        <w:rPr>
          <w:rFonts w:ascii="Arial" w:hAnsi="Arial" w:cs="Arial"/>
          <w:color w:val="000000"/>
          <w:sz w:val="20"/>
          <w:szCs w:val="20"/>
        </w:rPr>
        <w:t xml:space="preserve">the </w:t>
      </w:r>
      <w:r w:rsidR="00265B37" w:rsidRPr="00F15C05">
        <w:rPr>
          <w:rFonts w:ascii="Arial" w:hAnsi="Arial" w:cs="Arial"/>
          <w:color w:val="000000"/>
          <w:sz w:val="20"/>
          <w:szCs w:val="20"/>
        </w:rPr>
        <w:t>C</w:t>
      </w:r>
      <w:r w:rsidR="00976D68" w:rsidRPr="00F15C05">
        <w:rPr>
          <w:rFonts w:ascii="Arial" w:hAnsi="Arial" w:cs="Arial"/>
          <w:color w:val="000000"/>
          <w:sz w:val="20"/>
          <w:szCs w:val="20"/>
        </w:rPr>
        <w:t xml:space="preserve">ompensation of </w:t>
      </w:r>
      <w:r w:rsidR="00265B37" w:rsidRPr="00F15C05">
        <w:rPr>
          <w:rFonts w:ascii="Arial" w:hAnsi="Arial" w:cs="Arial"/>
          <w:color w:val="000000"/>
          <w:sz w:val="20"/>
          <w:szCs w:val="20"/>
        </w:rPr>
        <w:t>E</w:t>
      </w:r>
      <w:r w:rsidR="00976D68" w:rsidRPr="00F15C05">
        <w:rPr>
          <w:rFonts w:ascii="Arial" w:hAnsi="Arial" w:cs="Arial"/>
          <w:color w:val="000000"/>
          <w:sz w:val="20"/>
          <w:szCs w:val="20"/>
        </w:rPr>
        <w:t>mployees for the Quarter amounted to R</w:t>
      </w:r>
      <w:r w:rsidR="006B6952" w:rsidRPr="00F15C05">
        <w:rPr>
          <w:rFonts w:ascii="Arial" w:hAnsi="Arial" w:cs="Arial"/>
          <w:color w:val="000000"/>
          <w:sz w:val="20"/>
          <w:szCs w:val="20"/>
        </w:rPr>
        <w:t>125,2</w:t>
      </w:r>
      <w:r w:rsidR="00976D68" w:rsidRPr="00F15C05">
        <w:rPr>
          <w:rFonts w:ascii="Arial" w:hAnsi="Arial" w:cs="Arial"/>
          <w:color w:val="000000"/>
          <w:sz w:val="20"/>
          <w:szCs w:val="20"/>
        </w:rPr>
        <w:t xml:space="preserve"> million or </w:t>
      </w:r>
      <w:r w:rsidR="006B6952" w:rsidRPr="00F15C05">
        <w:rPr>
          <w:rFonts w:ascii="Arial" w:hAnsi="Arial" w:cs="Arial"/>
          <w:color w:val="000000"/>
          <w:sz w:val="20"/>
          <w:szCs w:val="20"/>
        </w:rPr>
        <w:t>1.6</w:t>
      </w:r>
      <w:r w:rsidR="00976D68" w:rsidRPr="00F15C05">
        <w:rPr>
          <w:rFonts w:ascii="Arial" w:hAnsi="Arial" w:cs="Arial"/>
          <w:color w:val="000000"/>
          <w:sz w:val="20"/>
          <w:szCs w:val="20"/>
        </w:rPr>
        <w:t xml:space="preserve"> per cent. </w:t>
      </w:r>
      <w:r w:rsidR="006B6952" w:rsidRPr="00F15C05">
        <w:rPr>
          <w:rFonts w:ascii="Arial" w:hAnsi="Arial" w:cs="Arial"/>
          <w:color w:val="000000"/>
          <w:sz w:val="20"/>
          <w:szCs w:val="20"/>
        </w:rPr>
        <w:t xml:space="preserve">An amount of R353,9 million was spent on </w:t>
      </w:r>
      <w:r w:rsidR="00976D68" w:rsidRPr="00F15C05">
        <w:rPr>
          <w:rFonts w:ascii="Arial" w:hAnsi="Arial" w:cs="Arial"/>
          <w:color w:val="000000"/>
          <w:sz w:val="20"/>
          <w:szCs w:val="20"/>
        </w:rPr>
        <w:t>goods and services,</w:t>
      </w:r>
      <w:r w:rsidR="006B6952" w:rsidRPr="00F15C05">
        <w:rPr>
          <w:rFonts w:ascii="Arial" w:hAnsi="Arial" w:cs="Arial"/>
          <w:color w:val="000000"/>
          <w:sz w:val="20"/>
          <w:szCs w:val="20"/>
        </w:rPr>
        <w:t xml:space="preserve"> recording lower than </w:t>
      </w:r>
      <w:r w:rsidR="00CA628B" w:rsidRPr="00F15C05">
        <w:rPr>
          <w:rFonts w:ascii="Arial" w:hAnsi="Arial" w:cs="Arial"/>
          <w:color w:val="000000"/>
          <w:sz w:val="20"/>
          <w:szCs w:val="20"/>
        </w:rPr>
        <w:t xml:space="preserve">the </w:t>
      </w:r>
      <w:r w:rsidR="006B6952" w:rsidRPr="00F15C05">
        <w:rPr>
          <w:rFonts w:ascii="Arial" w:hAnsi="Arial" w:cs="Arial"/>
          <w:color w:val="000000"/>
          <w:sz w:val="20"/>
          <w:szCs w:val="20"/>
        </w:rPr>
        <w:t>projected s</w:t>
      </w:r>
      <w:r w:rsidR="00CA628B" w:rsidRPr="00F15C05">
        <w:rPr>
          <w:rFonts w:ascii="Arial" w:hAnsi="Arial" w:cs="Arial"/>
          <w:color w:val="000000"/>
          <w:sz w:val="20"/>
          <w:szCs w:val="20"/>
        </w:rPr>
        <w:t>p</w:t>
      </w:r>
      <w:r w:rsidR="006B6952" w:rsidRPr="00F15C05">
        <w:rPr>
          <w:rFonts w:ascii="Arial" w:hAnsi="Arial" w:cs="Arial"/>
          <w:color w:val="000000"/>
          <w:sz w:val="20"/>
          <w:szCs w:val="20"/>
        </w:rPr>
        <w:t xml:space="preserve">ending amounting to R62,8 million or 15.1 per cent against the quarterly projected expenditure of R416,7 million. </w:t>
      </w:r>
    </w:p>
    <w:p w:rsidR="006B6952" w:rsidRPr="00F15C05" w:rsidRDefault="006B6952" w:rsidP="00F15C05">
      <w:pPr>
        <w:autoSpaceDE w:val="0"/>
        <w:autoSpaceDN w:val="0"/>
        <w:adjustRightInd w:val="0"/>
        <w:spacing w:after="0" w:line="240" w:lineRule="auto"/>
        <w:rPr>
          <w:rFonts w:ascii="Arial" w:hAnsi="Arial" w:cs="Arial"/>
          <w:color w:val="000000"/>
          <w:sz w:val="20"/>
          <w:szCs w:val="20"/>
        </w:rPr>
      </w:pPr>
    </w:p>
    <w:p w:rsidR="004907F2" w:rsidRPr="00F15C05" w:rsidRDefault="007B0A5F" w:rsidP="00F15C05">
      <w:pPr>
        <w:autoSpaceDE w:val="0"/>
        <w:autoSpaceDN w:val="0"/>
        <w:adjustRightInd w:val="0"/>
        <w:spacing w:after="0" w:line="240" w:lineRule="auto"/>
        <w:rPr>
          <w:rFonts w:ascii="Arial" w:hAnsi="Arial" w:cs="Arial"/>
          <w:color w:val="000000"/>
          <w:sz w:val="20"/>
          <w:szCs w:val="20"/>
        </w:rPr>
      </w:pPr>
      <w:r w:rsidRPr="00F15C05">
        <w:rPr>
          <w:rFonts w:ascii="Arial" w:hAnsi="Arial" w:cs="Arial"/>
          <w:color w:val="000000"/>
          <w:sz w:val="20"/>
          <w:szCs w:val="20"/>
        </w:rPr>
        <w:t>Expenditure on transfers and subsidies amounted to R</w:t>
      </w:r>
      <w:r w:rsidR="006B6952" w:rsidRPr="00F15C05">
        <w:rPr>
          <w:rFonts w:ascii="Arial" w:hAnsi="Arial" w:cs="Arial"/>
          <w:color w:val="000000"/>
          <w:sz w:val="20"/>
          <w:szCs w:val="20"/>
        </w:rPr>
        <w:t>93,133</w:t>
      </w:r>
      <w:r w:rsidRPr="00F15C05">
        <w:rPr>
          <w:rFonts w:ascii="Arial" w:hAnsi="Arial" w:cs="Arial"/>
          <w:color w:val="000000"/>
          <w:sz w:val="20"/>
          <w:szCs w:val="20"/>
        </w:rPr>
        <w:t xml:space="preserve"> bill</w:t>
      </w:r>
      <w:r w:rsidR="006B6952" w:rsidRPr="00F15C05">
        <w:rPr>
          <w:rFonts w:ascii="Arial" w:hAnsi="Arial" w:cs="Arial"/>
          <w:color w:val="000000"/>
          <w:sz w:val="20"/>
          <w:szCs w:val="20"/>
        </w:rPr>
        <w:t>ion against the budget of R92,345</w:t>
      </w:r>
      <w:r w:rsidRPr="00F15C05">
        <w:rPr>
          <w:rFonts w:ascii="Arial" w:hAnsi="Arial" w:cs="Arial"/>
          <w:color w:val="000000"/>
          <w:sz w:val="20"/>
          <w:szCs w:val="20"/>
        </w:rPr>
        <w:t xml:space="preserve"> billion</w:t>
      </w:r>
      <w:r w:rsidR="00015E7C" w:rsidRPr="00F15C05">
        <w:rPr>
          <w:rFonts w:ascii="Arial" w:hAnsi="Arial" w:cs="Arial"/>
          <w:color w:val="000000"/>
          <w:sz w:val="20"/>
          <w:szCs w:val="20"/>
        </w:rPr>
        <w:t xml:space="preserve">, </w:t>
      </w:r>
      <w:r w:rsidR="006B6952" w:rsidRPr="00F15C05">
        <w:rPr>
          <w:rFonts w:ascii="Arial" w:hAnsi="Arial" w:cs="Arial"/>
          <w:color w:val="000000"/>
          <w:sz w:val="20"/>
          <w:szCs w:val="20"/>
        </w:rPr>
        <w:t xml:space="preserve">recording higher than projected quarterly expenditure of R788,3 million or -0.9 per cent. Spending on payments for capital assets amounted to R7,1 million against the projected expenditure of R8,6 million, recording a lower than </w:t>
      </w:r>
      <w:r w:rsidR="00CA628B" w:rsidRPr="00F15C05">
        <w:rPr>
          <w:rFonts w:ascii="Arial" w:hAnsi="Arial" w:cs="Arial"/>
          <w:color w:val="000000"/>
          <w:sz w:val="20"/>
          <w:szCs w:val="20"/>
        </w:rPr>
        <w:t xml:space="preserve">the </w:t>
      </w:r>
      <w:r w:rsidR="006B6952" w:rsidRPr="00F15C05">
        <w:rPr>
          <w:rFonts w:ascii="Arial" w:hAnsi="Arial" w:cs="Arial"/>
          <w:color w:val="000000"/>
          <w:sz w:val="20"/>
          <w:szCs w:val="20"/>
        </w:rPr>
        <w:t xml:space="preserve">projected spending amounting to R1,5 million or 17.0 per cent.  </w:t>
      </w:r>
    </w:p>
    <w:p w:rsidR="008031F5" w:rsidRPr="00F15C05" w:rsidRDefault="008031F5" w:rsidP="00F15C05">
      <w:pPr>
        <w:spacing w:after="0" w:line="240" w:lineRule="auto"/>
        <w:rPr>
          <w:rFonts w:ascii="Arial" w:hAnsi="Arial" w:cs="Arial"/>
          <w:b/>
          <w:sz w:val="20"/>
          <w:szCs w:val="20"/>
        </w:rPr>
      </w:pPr>
    </w:p>
    <w:p w:rsidR="006003CD" w:rsidRPr="00F15C05" w:rsidRDefault="006003CD" w:rsidP="00F15C05">
      <w:pPr>
        <w:spacing w:after="0" w:line="240" w:lineRule="auto"/>
        <w:rPr>
          <w:rFonts w:ascii="Arial" w:hAnsi="Arial" w:cs="Arial"/>
          <w:b/>
          <w:sz w:val="20"/>
          <w:szCs w:val="20"/>
        </w:rPr>
      </w:pPr>
      <w:r w:rsidRPr="00F15C05">
        <w:rPr>
          <w:rFonts w:ascii="Arial" w:hAnsi="Arial" w:cs="Arial"/>
          <w:b/>
          <w:sz w:val="20"/>
          <w:szCs w:val="20"/>
        </w:rPr>
        <w:t>2.</w:t>
      </w:r>
      <w:r w:rsidR="004B16B4" w:rsidRPr="00F15C05">
        <w:rPr>
          <w:rFonts w:ascii="Arial" w:hAnsi="Arial" w:cs="Arial"/>
          <w:b/>
          <w:sz w:val="20"/>
          <w:szCs w:val="20"/>
        </w:rPr>
        <w:t>2</w:t>
      </w:r>
      <w:r w:rsidRPr="00F15C05">
        <w:rPr>
          <w:rFonts w:ascii="Arial" w:hAnsi="Arial" w:cs="Arial"/>
          <w:b/>
          <w:sz w:val="20"/>
          <w:szCs w:val="20"/>
        </w:rPr>
        <w:t xml:space="preserve">.  Overview and assessment </w:t>
      </w:r>
      <w:r w:rsidR="008C48AD" w:rsidRPr="00F15C05">
        <w:rPr>
          <w:rFonts w:ascii="Arial" w:hAnsi="Arial" w:cs="Arial"/>
          <w:b/>
          <w:sz w:val="20"/>
          <w:szCs w:val="20"/>
        </w:rPr>
        <w:t>202</w:t>
      </w:r>
      <w:r w:rsidR="008031F5" w:rsidRPr="00F15C05">
        <w:rPr>
          <w:rFonts w:ascii="Arial" w:hAnsi="Arial" w:cs="Arial"/>
          <w:b/>
          <w:sz w:val="20"/>
          <w:szCs w:val="20"/>
        </w:rPr>
        <w:t>2</w:t>
      </w:r>
      <w:r w:rsidR="008C48AD" w:rsidRPr="00F15C05">
        <w:rPr>
          <w:rFonts w:ascii="Arial" w:hAnsi="Arial" w:cs="Arial"/>
          <w:b/>
          <w:sz w:val="20"/>
          <w:szCs w:val="20"/>
        </w:rPr>
        <w:t>/2</w:t>
      </w:r>
      <w:r w:rsidR="008031F5" w:rsidRPr="00F15C05">
        <w:rPr>
          <w:rFonts w:ascii="Arial" w:hAnsi="Arial" w:cs="Arial"/>
          <w:b/>
          <w:sz w:val="20"/>
          <w:szCs w:val="20"/>
        </w:rPr>
        <w:t>3</w:t>
      </w:r>
      <w:r w:rsidR="008C48AD" w:rsidRPr="00F15C05">
        <w:rPr>
          <w:rFonts w:ascii="Arial" w:hAnsi="Arial" w:cs="Arial"/>
          <w:b/>
          <w:sz w:val="20"/>
          <w:szCs w:val="20"/>
        </w:rPr>
        <w:t xml:space="preserve"> </w:t>
      </w:r>
      <w:r w:rsidR="000E1D11" w:rsidRPr="00F15C05">
        <w:rPr>
          <w:rFonts w:ascii="Arial" w:hAnsi="Arial" w:cs="Arial"/>
          <w:b/>
          <w:sz w:val="20"/>
          <w:szCs w:val="20"/>
        </w:rPr>
        <w:t>Third</w:t>
      </w:r>
      <w:r w:rsidR="004B16B4" w:rsidRPr="00F15C05">
        <w:rPr>
          <w:rFonts w:ascii="Arial" w:hAnsi="Arial" w:cs="Arial"/>
          <w:b/>
          <w:sz w:val="20"/>
          <w:szCs w:val="20"/>
        </w:rPr>
        <w:t>-</w:t>
      </w:r>
      <w:r w:rsidR="008031F5" w:rsidRPr="00F15C05">
        <w:rPr>
          <w:rFonts w:ascii="Arial" w:hAnsi="Arial" w:cs="Arial"/>
          <w:b/>
          <w:sz w:val="20"/>
          <w:szCs w:val="20"/>
        </w:rPr>
        <w:t>Q</w:t>
      </w:r>
      <w:r w:rsidRPr="00F15C05">
        <w:rPr>
          <w:rFonts w:ascii="Arial" w:hAnsi="Arial" w:cs="Arial"/>
          <w:b/>
          <w:sz w:val="20"/>
          <w:szCs w:val="20"/>
        </w:rPr>
        <w:t xml:space="preserve">uarter service delivery performance </w:t>
      </w:r>
    </w:p>
    <w:p w:rsidR="009E02A3" w:rsidRPr="00F15C05" w:rsidRDefault="009E02A3" w:rsidP="00F15C05">
      <w:pPr>
        <w:spacing w:after="0" w:line="240" w:lineRule="auto"/>
        <w:rPr>
          <w:rFonts w:ascii="Arial" w:hAnsi="Arial" w:cs="Arial"/>
          <w:sz w:val="20"/>
          <w:szCs w:val="20"/>
        </w:rPr>
      </w:pPr>
      <w:r w:rsidRPr="00F15C05">
        <w:rPr>
          <w:rFonts w:ascii="Arial" w:hAnsi="Arial" w:cs="Arial"/>
          <w:sz w:val="20"/>
          <w:szCs w:val="20"/>
        </w:rPr>
        <w:t xml:space="preserve">For the </w:t>
      </w:r>
      <w:r w:rsidR="00000B17" w:rsidRPr="00F15C05">
        <w:rPr>
          <w:rFonts w:ascii="Arial" w:hAnsi="Arial" w:cs="Arial"/>
          <w:sz w:val="20"/>
          <w:szCs w:val="20"/>
        </w:rPr>
        <w:t xml:space="preserve">2022/23 Third-Quarter, the Department had 47 </w:t>
      </w:r>
      <w:r w:rsidRPr="00F15C05">
        <w:rPr>
          <w:rFonts w:ascii="Arial" w:hAnsi="Arial" w:cs="Arial"/>
          <w:sz w:val="20"/>
          <w:szCs w:val="20"/>
        </w:rPr>
        <w:t xml:space="preserve">targets. The targets were shared among the </w:t>
      </w:r>
      <w:r w:rsidR="00000B17" w:rsidRPr="00F15C05">
        <w:rPr>
          <w:rFonts w:ascii="Arial" w:hAnsi="Arial" w:cs="Arial"/>
          <w:sz w:val="20"/>
          <w:szCs w:val="20"/>
        </w:rPr>
        <w:t>six budget</w:t>
      </w:r>
      <w:r w:rsidRPr="00F15C05">
        <w:rPr>
          <w:rFonts w:ascii="Arial" w:hAnsi="Arial" w:cs="Arial"/>
          <w:sz w:val="20"/>
          <w:szCs w:val="20"/>
        </w:rPr>
        <w:t xml:space="preserve"> programmes, namely, Administration, </w:t>
      </w:r>
      <w:r w:rsidR="00000B17" w:rsidRPr="00F15C05">
        <w:rPr>
          <w:rFonts w:ascii="Arial" w:hAnsi="Arial" w:cs="Arial"/>
          <w:sz w:val="20"/>
          <w:szCs w:val="20"/>
        </w:rPr>
        <w:t xml:space="preserve">Planning, Policy and Strategy; </w:t>
      </w:r>
      <w:r w:rsidR="008F0A78" w:rsidRPr="00F15C05">
        <w:rPr>
          <w:rFonts w:ascii="Arial" w:hAnsi="Arial" w:cs="Arial"/>
          <w:sz w:val="20"/>
          <w:szCs w:val="20"/>
        </w:rPr>
        <w:t xml:space="preserve">University Education, </w:t>
      </w:r>
      <w:r w:rsidRPr="00F15C05">
        <w:rPr>
          <w:rFonts w:ascii="Arial" w:hAnsi="Arial" w:cs="Arial"/>
          <w:sz w:val="20"/>
          <w:szCs w:val="20"/>
        </w:rPr>
        <w:t>Technical and Vocational Education and Training</w:t>
      </w:r>
      <w:r w:rsidR="00000B17" w:rsidRPr="00F15C05">
        <w:rPr>
          <w:rFonts w:ascii="Arial" w:hAnsi="Arial" w:cs="Arial"/>
          <w:sz w:val="20"/>
          <w:szCs w:val="20"/>
        </w:rPr>
        <w:t xml:space="preserve"> (TVET),</w:t>
      </w:r>
      <w:r w:rsidRPr="00F15C05">
        <w:rPr>
          <w:rFonts w:ascii="Arial" w:hAnsi="Arial" w:cs="Arial"/>
          <w:sz w:val="20"/>
          <w:szCs w:val="20"/>
        </w:rPr>
        <w:t xml:space="preserve"> Skills Development</w:t>
      </w:r>
      <w:r w:rsidR="00000B17" w:rsidRPr="00F15C05">
        <w:rPr>
          <w:rFonts w:ascii="Arial" w:hAnsi="Arial" w:cs="Arial"/>
          <w:sz w:val="20"/>
          <w:szCs w:val="20"/>
        </w:rPr>
        <w:t xml:space="preserve"> and Community Education and Training (CET)</w:t>
      </w:r>
      <w:r w:rsidR="00DF2021" w:rsidRPr="00F15C05">
        <w:rPr>
          <w:rFonts w:ascii="Arial" w:hAnsi="Arial" w:cs="Arial"/>
          <w:sz w:val="20"/>
          <w:szCs w:val="20"/>
        </w:rPr>
        <w:t>.</w:t>
      </w:r>
      <w:r w:rsidRPr="00F15C05">
        <w:rPr>
          <w:rFonts w:ascii="Arial" w:hAnsi="Arial" w:cs="Arial"/>
          <w:sz w:val="20"/>
          <w:szCs w:val="20"/>
        </w:rPr>
        <w:t xml:space="preserve"> The Department achieved </w:t>
      </w:r>
      <w:r w:rsidR="00000B17" w:rsidRPr="00F15C05">
        <w:rPr>
          <w:rFonts w:ascii="Arial" w:hAnsi="Arial" w:cs="Arial"/>
          <w:sz w:val="20"/>
          <w:szCs w:val="20"/>
        </w:rPr>
        <w:t xml:space="preserve">21 targets or 44.7 </w:t>
      </w:r>
      <w:r w:rsidRPr="00F15C05">
        <w:rPr>
          <w:rFonts w:ascii="Arial" w:hAnsi="Arial" w:cs="Arial"/>
          <w:sz w:val="20"/>
          <w:szCs w:val="20"/>
        </w:rPr>
        <w:t xml:space="preserve">per cent of the </w:t>
      </w:r>
      <w:r w:rsidR="00000B17" w:rsidRPr="00F15C05">
        <w:rPr>
          <w:rFonts w:ascii="Arial" w:hAnsi="Arial" w:cs="Arial"/>
          <w:sz w:val="20"/>
          <w:szCs w:val="20"/>
        </w:rPr>
        <w:t>47</w:t>
      </w:r>
      <w:r w:rsidRPr="00F15C05">
        <w:rPr>
          <w:rFonts w:ascii="Arial" w:hAnsi="Arial" w:cs="Arial"/>
          <w:sz w:val="20"/>
          <w:szCs w:val="20"/>
        </w:rPr>
        <w:t xml:space="preserve"> targets.</w:t>
      </w:r>
    </w:p>
    <w:p w:rsidR="006003CD" w:rsidRPr="00F15C05" w:rsidRDefault="000E1D11" w:rsidP="00F15C05">
      <w:pPr>
        <w:spacing w:after="0" w:line="240" w:lineRule="auto"/>
        <w:rPr>
          <w:rFonts w:ascii="Arial" w:hAnsi="Arial" w:cs="Arial"/>
          <w:b/>
          <w:sz w:val="20"/>
          <w:szCs w:val="20"/>
        </w:rPr>
      </w:pPr>
      <w:r w:rsidRPr="00F15C05">
        <w:rPr>
          <w:rFonts w:ascii="Arial" w:hAnsi="Arial" w:cs="Arial"/>
          <w:b/>
          <w:sz w:val="20"/>
          <w:szCs w:val="20"/>
        </w:rPr>
        <w:t xml:space="preserve"> </w:t>
      </w:r>
      <w:r w:rsidR="006003CD" w:rsidRPr="00F15C05">
        <w:rPr>
          <w:rFonts w:ascii="Arial" w:hAnsi="Arial" w:cs="Arial"/>
          <w:b/>
          <w:sz w:val="20"/>
          <w:szCs w:val="20"/>
        </w:rPr>
        <w:t>(i) Programme 1: Administration</w:t>
      </w:r>
    </w:p>
    <w:p w:rsidR="00000B17" w:rsidRPr="00F15C05" w:rsidRDefault="000D3C55" w:rsidP="00F15C05">
      <w:pPr>
        <w:spacing w:after="0" w:line="240" w:lineRule="auto"/>
        <w:rPr>
          <w:rFonts w:ascii="Arial" w:hAnsi="Arial" w:cs="Arial"/>
          <w:sz w:val="20"/>
          <w:szCs w:val="20"/>
        </w:rPr>
      </w:pPr>
      <w:r w:rsidRPr="00F15C05">
        <w:rPr>
          <w:rFonts w:ascii="Arial" w:hAnsi="Arial" w:cs="Arial"/>
          <w:sz w:val="20"/>
          <w:szCs w:val="20"/>
        </w:rPr>
        <w:t>The programme provide</w:t>
      </w:r>
      <w:r w:rsidR="00000B17" w:rsidRPr="00F15C05">
        <w:rPr>
          <w:rFonts w:ascii="Arial" w:hAnsi="Arial" w:cs="Arial"/>
          <w:sz w:val="20"/>
          <w:szCs w:val="20"/>
        </w:rPr>
        <w:t>s</w:t>
      </w:r>
      <w:r w:rsidRPr="00F15C05">
        <w:rPr>
          <w:rFonts w:ascii="Arial" w:hAnsi="Arial" w:cs="Arial"/>
          <w:sz w:val="20"/>
          <w:szCs w:val="20"/>
        </w:rPr>
        <w:t xml:space="preserve"> strategic leadership, management and support services to the Department. </w:t>
      </w:r>
      <w:r w:rsidR="00E522B0" w:rsidRPr="00F15C05">
        <w:rPr>
          <w:rFonts w:ascii="Arial" w:hAnsi="Arial" w:cs="Arial"/>
          <w:sz w:val="20"/>
          <w:szCs w:val="20"/>
        </w:rPr>
        <w:t xml:space="preserve">The programme </w:t>
      </w:r>
      <w:r w:rsidR="00000B17" w:rsidRPr="00F15C05">
        <w:rPr>
          <w:rFonts w:ascii="Arial" w:hAnsi="Arial" w:cs="Arial"/>
          <w:sz w:val="20"/>
          <w:szCs w:val="20"/>
        </w:rPr>
        <w:t>four</w:t>
      </w:r>
      <w:r w:rsidR="00E522B0" w:rsidRPr="00F15C05">
        <w:rPr>
          <w:rFonts w:ascii="Arial" w:hAnsi="Arial" w:cs="Arial"/>
          <w:sz w:val="20"/>
          <w:szCs w:val="20"/>
        </w:rPr>
        <w:t xml:space="preserve"> target</w:t>
      </w:r>
      <w:r w:rsidR="00000B17" w:rsidRPr="00F15C05">
        <w:rPr>
          <w:rFonts w:ascii="Arial" w:hAnsi="Arial" w:cs="Arial"/>
          <w:sz w:val="20"/>
          <w:szCs w:val="20"/>
        </w:rPr>
        <w:t>s and achieved one (1) or 25 per cent of the targets</w:t>
      </w:r>
    </w:p>
    <w:p w:rsidR="00000B17" w:rsidRPr="00F15C05" w:rsidRDefault="00000B17" w:rsidP="00F15C05">
      <w:pPr>
        <w:spacing w:after="0" w:line="240" w:lineRule="auto"/>
        <w:rPr>
          <w:rFonts w:ascii="Arial" w:hAnsi="Arial" w:cs="Arial"/>
          <w:sz w:val="20"/>
          <w:szCs w:val="20"/>
        </w:rPr>
      </w:pPr>
      <w:r w:rsidRPr="00F15C05">
        <w:rPr>
          <w:rFonts w:ascii="Arial" w:hAnsi="Arial" w:cs="Arial"/>
          <w:sz w:val="20"/>
          <w:szCs w:val="20"/>
        </w:rPr>
        <w:t>Targets not achieved include:</w:t>
      </w:r>
    </w:p>
    <w:p w:rsidR="00000B17" w:rsidRPr="00F15C05" w:rsidRDefault="00000B17" w:rsidP="00F15C05">
      <w:pPr>
        <w:pStyle w:val="BodyText"/>
        <w:numPr>
          <w:ilvl w:val="0"/>
          <w:numId w:val="35"/>
        </w:numPr>
        <w:rPr>
          <w:rFonts w:ascii="Arial" w:hAnsi="Arial" w:cs="Arial"/>
        </w:rPr>
      </w:pPr>
      <w:r w:rsidRPr="00F15C05">
        <w:rPr>
          <w:rFonts w:ascii="Arial" w:hAnsi="Arial" w:cs="Arial"/>
        </w:rPr>
        <w:t xml:space="preserve">Percentage </w:t>
      </w:r>
      <w:r w:rsidRPr="00F15C05">
        <w:rPr>
          <w:rFonts w:ascii="Arial" w:hAnsi="Arial" w:cs="Arial"/>
          <w:b/>
        </w:rPr>
        <w:t>(100%)</w:t>
      </w:r>
      <w:r w:rsidRPr="00F15C05">
        <w:rPr>
          <w:rFonts w:ascii="Arial" w:hAnsi="Arial" w:cs="Arial"/>
        </w:rPr>
        <w:t xml:space="preserve"> of valid invoices received from creditors paid within 30 days</w:t>
      </w:r>
      <w:r w:rsidR="00520976" w:rsidRPr="00F15C05">
        <w:rPr>
          <w:rFonts w:ascii="Arial" w:hAnsi="Arial" w:cs="Arial"/>
        </w:rPr>
        <w:t xml:space="preserve"> and actual achievement was 99.56 per cent</w:t>
      </w:r>
      <w:r w:rsidRPr="00F15C05">
        <w:rPr>
          <w:rFonts w:ascii="Arial" w:hAnsi="Arial" w:cs="Arial"/>
        </w:rPr>
        <w:t>. The Department cited the omission of emailed invoices for processing as the reason for not achieving the target.</w:t>
      </w:r>
    </w:p>
    <w:p w:rsidR="00000B17" w:rsidRPr="00F15C05" w:rsidRDefault="00000B17" w:rsidP="00F15C05">
      <w:pPr>
        <w:pStyle w:val="BodyText"/>
        <w:numPr>
          <w:ilvl w:val="0"/>
          <w:numId w:val="35"/>
        </w:numPr>
        <w:rPr>
          <w:rFonts w:ascii="Arial" w:hAnsi="Arial" w:cs="Arial"/>
        </w:rPr>
      </w:pPr>
      <w:r w:rsidRPr="00F15C05">
        <w:rPr>
          <w:rFonts w:ascii="Arial" w:hAnsi="Arial" w:cs="Arial"/>
        </w:rPr>
        <w:t xml:space="preserve">Percentage </w:t>
      </w:r>
      <w:r w:rsidRPr="00F15C05">
        <w:rPr>
          <w:rFonts w:ascii="Arial" w:hAnsi="Arial" w:cs="Arial"/>
          <w:b/>
        </w:rPr>
        <w:t xml:space="preserve">(80%) </w:t>
      </w:r>
      <w:r w:rsidRPr="00F15C05">
        <w:rPr>
          <w:rFonts w:ascii="Arial" w:hAnsi="Arial" w:cs="Arial"/>
        </w:rPr>
        <w:t>of disciplinary cases resolved within 90 days per annum</w:t>
      </w:r>
      <w:r w:rsidR="00520976" w:rsidRPr="00F15C05">
        <w:rPr>
          <w:rFonts w:ascii="Arial" w:hAnsi="Arial" w:cs="Arial"/>
        </w:rPr>
        <w:t>, actual achievement was 77 per cent</w:t>
      </w:r>
      <w:r w:rsidRPr="00F15C05">
        <w:rPr>
          <w:rFonts w:ascii="Arial" w:hAnsi="Arial" w:cs="Arial"/>
        </w:rPr>
        <w:t>. It was noted that Gauteng, Free State and Northern Cape regions did not finalise cases within 90 days; and</w:t>
      </w:r>
    </w:p>
    <w:p w:rsidR="00000B17" w:rsidRPr="00F15C05" w:rsidRDefault="00000B17" w:rsidP="00F15C05">
      <w:pPr>
        <w:pStyle w:val="BodyText"/>
        <w:numPr>
          <w:ilvl w:val="0"/>
          <w:numId w:val="35"/>
        </w:numPr>
        <w:rPr>
          <w:rFonts w:ascii="Arial" w:hAnsi="Arial" w:cs="Arial"/>
        </w:rPr>
      </w:pPr>
      <w:r w:rsidRPr="00F15C05">
        <w:rPr>
          <w:rFonts w:ascii="Arial" w:hAnsi="Arial" w:cs="Arial"/>
        </w:rPr>
        <w:t xml:space="preserve">Percentage </w:t>
      </w:r>
      <w:r w:rsidRPr="00F15C05">
        <w:rPr>
          <w:rFonts w:ascii="Arial" w:hAnsi="Arial" w:cs="Arial"/>
          <w:b/>
        </w:rPr>
        <w:t xml:space="preserve">(98%) </w:t>
      </w:r>
      <w:r w:rsidRPr="00F15C05">
        <w:rPr>
          <w:rFonts w:ascii="Arial" w:hAnsi="Arial" w:cs="Arial"/>
        </w:rPr>
        <w:t>of network connectivity uptime per annum</w:t>
      </w:r>
      <w:r w:rsidR="00520976" w:rsidRPr="00F15C05">
        <w:rPr>
          <w:rFonts w:ascii="Arial" w:hAnsi="Arial" w:cs="Arial"/>
        </w:rPr>
        <w:t>, actual achievement was 91.66 per cent</w:t>
      </w:r>
      <w:r w:rsidRPr="00F15C05">
        <w:rPr>
          <w:rFonts w:ascii="Arial" w:hAnsi="Arial" w:cs="Arial"/>
        </w:rPr>
        <w:t xml:space="preserve">. The Department ascribed the </w:t>
      </w:r>
      <w:r w:rsidR="00520976" w:rsidRPr="00F15C05">
        <w:rPr>
          <w:rFonts w:ascii="Arial" w:hAnsi="Arial" w:cs="Arial"/>
        </w:rPr>
        <w:t xml:space="preserve">partial achievement to the </w:t>
      </w:r>
      <w:r w:rsidRPr="00F15C05">
        <w:rPr>
          <w:rFonts w:ascii="Arial" w:hAnsi="Arial" w:cs="Arial"/>
        </w:rPr>
        <w:t>rolling blackout</w:t>
      </w:r>
      <w:r w:rsidR="00520976" w:rsidRPr="00F15C05">
        <w:rPr>
          <w:rFonts w:ascii="Arial" w:hAnsi="Arial" w:cs="Arial"/>
        </w:rPr>
        <w:t xml:space="preserve">s due to ESKOM load shedding that affected sites without generators at </w:t>
      </w:r>
      <w:r w:rsidR="00CA628B" w:rsidRPr="00F15C05">
        <w:rPr>
          <w:rFonts w:ascii="Arial" w:hAnsi="Arial" w:cs="Arial"/>
        </w:rPr>
        <w:t xml:space="preserve">the </w:t>
      </w:r>
      <w:r w:rsidR="00520976" w:rsidRPr="00F15C05">
        <w:rPr>
          <w:rFonts w:ascii="Arial" w:hAnsi="Arial" w:cs="Arial"/>
        </w:rPr>
        <w:t xml:space="preserve">Regional Offices, including the power cuts by the City of Tshwane at DINAYE House. </w:t>
      </w:r>
    </w:p>
    <w:p w:rsidR="00000B17" w:rsidRPr="00F15C05" w:rsidRDefault="00000B17" w:rsidP="00F15C05">
      <w:pPr>
        <w:pStyle w:val="BodyText"/>
        <w:ind w:left="360"/>
        <w:rPr>
          <w:rFonts w:ascii="Arial" w:hAnsi="Arial" w:cs="Arial"/>
        </w:rPr>
      </w:pPr>
    </w:p>
    <w:p w:rsidR="00253F01" w:rsidRPr="00F15C05" w:rsidRDefault="00463FCA" w:rsidP="00F15C05">
      <w:pPr>
        <w:pStyle w:val="ListParagraph"/>
        <w:spacing w:after="0" w:line="240" w:lineRule="auto"/>
        <w:ind w:left="0"/>
        <w:rPr>
          <w:rFonts w:ascii="Arial" w:hAnsi="Arial" w:cs="Arial"/>
          <w:sz w:val="20"/>
          <w:szCs w:val="20"/>
        </w:rPr>
      </w:pPr>
      <w:r w:rsidRPr="00F15C05">
        <w:rPr>
          <w:rFonts w:ascii="Arial" w:hAnsi="Arial" w:cs="Arial"/>
          <w:sz w:val="20"/>
          <w:szCs w:val="20"/>
        </w:rPr>
        <w:t xml:space="preserve">At the end of the </w:t>
      </w:r>
      <w:r w:rsidR="00253F01" w:rsidRPr="00F15C05">
        <w:rPr>
          <w:rFonts w:ascii="Arial" w:hAnsi="Arial" w:cs="Arial"/>
          <w:sz w:val="20"/>
          <w:szCs w:val="20"/>
        </w:rPr>
        <w:t>2022/23</w:t>
      </w:r>
      <w:r w:rsidRPr="00F15C05">
        <w:rPr>
          <w:rFonts w:ascii="Arial" w:hAnsi="Arial" w:cs="Arial"/>
          <w:sz w:val="20"/>
          <w:szCs w:val="20"/>
        </w:rPr>
        <w:t xml:space="preserve"> Third-Quarter, the programme had spent R3</w:t>
      </w:r>
      <w:r w:rsidR="00253F01" w:rsidRPr="00F15C05">
        <w:rPr>
          <w:rFonts w:ascii="Arial" w:hAnsi="Arial" w:cs="Arial"/>
          <w:sz w:val="20"/>
          <w:szCs w:val="20"/>
        </w:rPr>
        <w:t>24,2 million</w:t>
      </w:r>
      <w:r w:rsidRPr="00F15C05">
        <w:rPr>
          <w:rFonts w:ascii="Arial" w:hAnsi="Arial" w:cs="Arial"/>
          <w:sz w:val="20"/>
          <w:szCs w:val="20"/>
        </w:rPr>
        <w:t>, recording lower than pr</w:t>
      </w:r>
      <w:r w:rsidR="00253F01" w:rsidRPr="00F15C05">
        <w:rPr>
          <w:rFonts w:ascii="Arial" w:hAnsi="Arial" w:cs="Arial"/>
          <w:sz w:val="20"/>
          <w:szCs w:val="20"/>
        </w:rPr>
        <w:t>ojected spending amounting to R23,6</w:t>
      </w:r>
      <w:r w:rsidRPr="00F15C05">
        <w:rPr>
          <w:rFonts w:ascii="Arial" w:hAnsi="Arial" w:cs="Arial"/>
          <w:sz w:val="20"/>
          <w:szCs w:val="20"/>
        </w:rPr>
        <w:t xml:space="preserve"> million or </w:t>
      </w:r>
      <w:r w:rsidR="00253F01" w:rsidRPr="00F15C05">
        <w:rPr>
          <w:rFonts w:ascii="Arial" w:hAnsi="Arial" w:cs="Arial"/>
          <w:sz w:val="20"/>
          <w:szCs w:val="20"/>
        </w:rPr>
        <w:t>6</w:t>
      </w:r>
      <w:r w:rsidRPr="00F15C05">
        <w:rPr>
          <w:rFonts w:ascii="Arial" w:hAnsi="Arial" w:cs="Arial"/>
          <w:sz w:val="20"/>
          <w:szCs w:val="20"/>
        </w:rPr>
        <w:t xml:space="preserve">.8 per cent. The </w:t>
      </w:r>
      <w:r w:rsidR="00253F01" w:rsidRPr="00F15C05">
        <w:rPr>
          <w:rFonts w:ascii="Arial" w:hAnsi="Arial" w:cs="Arial"/>
          <w:sz w:val="20"/>
          <w:szCs w:val="20"/>
        </w:rPr>
        <w:t>lower than projected spending</w:t>
      </w:r>
      <w:r w:rsidRPr="00F15C05">
        <w:rPr>
          <w:rFonts w:ascii="Arial" w:hAnsi="Arial" w:cs="Arial"/>
          <w:sz w:val="20"/>
          <w:szCs w:val="20"/>
        </w:rPr>
        <w:t xml:space="preserve"> was </w:t>
      </w:r>
      <w:r w:rsidR="00253F01" w:rsidRPr="00F15C05">
        <w:rPr>
          <w:rFonts w:ascii="Arial" w:hAnsi="Arial" w:cs="Arial"/>
          <w:sz w:val="20"/>
          <w:szCs w:val="20"/>
        </w:rPr>
        <w:t xml:space="preserve">under compensation of employees and </w:t>
      </w:r>
      <w:r w:rsidRPr="00F15C05">
        <w:rPr>
          <w:rFonts w:ascii="Arial" w:hAnsi="Arial" w:cs="Arial"/>
          <w:sz w:val="20"/>
          <w:szCs w:val="20"/>
        </w:rPr>
        <w:t>ascribed to vacant posts</w:t>
      </w:r>
      <w:r w:rsidR="00253F01" w:rsidRPr="00F15C05">
        <w:rPr>
          <w:rFonts w:ascii="Arial" w:hAnsi="Arial" w:cs="Arial"/>
          <w:sz w:val="20"/>
          <w:szCs w:val="20"/>
        </w:rPr>
        <w:t xml:space="preserve"> that were not filled as projected due to the length of time required to sift through the high number of applications received, and under goods and services as invoices for travel and subsistence were received later than expected for processing.</w:t>
      </w:r>
    </w:p>
    <w:p w:rsidR="006003CD" w:rsidRPr="00F15C05" w:rsidRDefault="00253F01" w:rsidP="00F15C05">
      <w:pPr>
        <w:spacing w:after="0" w:line="240" w:lineRule="auto"/>
        <w:rPr>
          <w:rFonts w:ascii="Arial" w:hAnsi="Arial" w:cs="Arial"/>
          <w:b/>
          <w:sz w:val="20"/>
          <w:szCs w:val="20"/>
        </w:rPr>
      </w:pPr>
      <w:r w:rsidRPr="00F15C05">
        <w:rPr>
          <w:rFonts w:ascii="Arial" w:hAnsi="Arial" w:cs="Arial"/>
          <w:b/>
          <w:sz w:val="20"/>
          <w:szCs w:val="20"/>
        </w:rPr>
        <w:t xml:space="preserve"> </w:t>
      </w:r>
      <w:r w:rsidR="006003CD" w:rsidRPr="00F15C05">
        <w:rPr>
          <w:rFonts w:ascii="Arial" w:hAnsi="Arial" w:cs="Arial"/>
          <w:b/>
          <w:sz w:val="20"/>
          <w:szCs w:val="20"/>
        </w:rPr>
        <w:t xml:space="preserve">(ii) Programme 2: Planning, Policy and Strategy </w:t>
      </w:r>
    </w:p>
    <w:p w:rsidR="00092911" w:rsidRPr="00F15C05" w:rsidRDefault="00C765F6" w:rsidP="00F15C05">
      <w:pPr>
        <w:spacing w:after="0" w:line="240" w:lineRule="auto"/>
        <w:rPr>
          <w:rFonts w:ascii="Arial" w:hAnsi="Arial" w:cs="Arial"/>
          <w:sz w:val="20"/>
          <w:szCs w:val="20"/>
        </w:rPr>
      </w:pPr>
      <w:r w:rsidRPr="00F15C05">
        <w:rPr>
          <w:rFonts w:ascii="Arial" w:hAnsi="Arial" w:cs="Arial"/>
          <w:sz w:val="20"/>
          <w:szCs w:val="20"/>
          <w:lang w:val="en-US"/>
        </w:rPr>
        <w:t>The programme provide</w:t>
      </w:r>
      <w:r w:rsidR="00EA3FC4" w:rsidRPr="00F15C05">
        <w:rPr>
          <w:rFonts w:ascii="Arial" w:hAnsi="Arial" w:cs="Arial"/>
          <w:sz w:val="20"/>
          <w:szCs w:val="20"/>
          <w:lang w:val="en-US"/>
        </w:rPr>
        <w:t>s</w:t>
      </w:r>
      <w:r w:rsidRPr="00F15C05">
        <w:rPr>
          <w:rFonts w:ascii="Arial" w:hAnsi="Arial" w:cs="Arial"/>
          <w:sz w:val="20"/>
          <w:szCs w:val="20"/>
          <w:lang w:val="en-US"/>
        </w:rPr>
        <w:t xml:space="preserve"> strategic direction in the development, implementation and monitoring of departmental policies and in the human resource development strategy for South Africa.</w:t>
      </w:r>
      <w:r w:rsidRPr="00F15C05">
        <w:rPr>
          <w:rFonts w:ascii="Arial" w:hAnsi="Arial" w:cs="Arial"/>
          <w:sz w:val="20"/>
          <w:szCs w:val="20"/>
        </w:rPr>
        <w:t xml:space="preserve"> </w:t>
      </w:r>
      <w:r w:rsidR="00E522B0" w:rsidRPr="00F15C05">
        <w:rPr>
          <w:rFonts w:ascii="Arial" w:hAnsi="Arial" w:cs="Arial"/>
          <w:sz w:val="20"/>
          <w:szCs w:val="20"/>
        </w:rPr>
        <w:t>The programme had</w:t>
      </w:r>
      <w:r w:rsidR="0075472C" w:rsidRPr="00F15C05">
        <w:rPr>
          <w:rFonts w:ascii="Arial" w:hAnsi="Arial" w:cs="Arial"/>
          <w:sz w:val="20"/>
          <w:szCs w:val="20"/>
        </w:rPr>
        <w:t xml:space="preserve"> </w:t>
      </w:r>
      <w:r w:rsidR="00CE0E03" w:rsidRPr="00F15C05">
        <w:rPr>
          <w:rFonts w:ascii="Arial" w:hAnsi="Arial" w:cs="Arial"/>
          <w:sz w:val="20"/>
          <w:szCs w:val="20"/>
        </w:rPr>
        <w:t>three targets and achieved 100 per cent of the planned targets for the Third-Quarter</w:t>
      </w:r>
      <w:r w:rsidR="00E522B0" w:rsidRPr="00F15C05">
        <w:rPr>
          <w:rFonts w:ascii="Arial" w:hAnsi="Arial" w:cs="Arial"/>
          <w:sz w:val="20"/>
          <w:szCs w:val="20"/>
        </w:rPr>
        <w:t>.</w:t>
      </w:r>
    </w:p>
    <w:p w:rsidR="00AF3AED" w:rsidRPr="00F15C05" w:rsidRDefault="003940E3" w:rsidP="00F15C05">
      <w:pPr>
        <w:spacing w:after="0" w:line="240" w:lineRule="auto"/>
        <w:rPr>
          <w:rFonts w:ascii="Arial" w:hAnsi="Arial" w:cs="Arial"/>
          <w:sz w:val="20"/>
          <w:szCs w:val="20"/>
        </w:rPr>
      </w:pPr>
      <w:r w:rsidRPr="00F15C05">
        <w:rPr>
          <w:rFonts w:ascii="Arial" w:hAnsi="Arial" w:cs="Arial"/>
          <w:sz w:val="20"/>
          <w:szCs w:val="20"/>
        </w:rPr>
        <w:t>The programme had spent R2,417</w:t>
      </w:r>
      <w:r w:rsidR="00AF3AED" w:rsidRPr="00F15C05">
        <w:rPr>
          <w:rFonts w:ascii="Arial" w:hAnsi="Arial" w:cs="Arial"/>
          <w:sz w:val="20"/>
          <w:szCs w:val="20"/>
        </w:rPr>
        <w:t xml:space="preserve"> </w:t>
      </w:r>
      <w:r w:rsidR="000E3700" w:rsidRPr="00F15C05">
        <w:rPr>
          <w:rFonts w:ascii="Arial" w:hAnsi="Arial" w:cs="Arial"/>
          <w:sz w:val="20"/>
          <w:szCs w:val="20"/>
        </w:rPr>
        <w:t>b</w:t>
      </w:r>
      <w:r w:rsidR="00AF3AED" w:rsidRPr="00F15C05">
        <w:rPr>
          <w:rFonts w:ascii="Arial" w:hAnsi="Arial" w:cs="Arial"/>
          <w:sz w:val="20"/>
          <w:szCs w:val="20"/>
        </w:rPr>
        <w:t xml:space="preserve">illion, against the quarterly projected </w:t>
      </w:r>
      <w:r w:rsidRPr="00F15C05">
        <w:rPr>
          <w:rFonts w:ascii="Arial" w:hAnsi="Arial" w:cs="Arial"/>
          <w:sz w:val="20"/>
          <w:szCs w:val="20"/>
        </w:rPr>
        <w:t>expenditure</w:t>
      </w:r>
      <w:r w:rsidR="00AF3AED" w:rsidRPr="00F15C05">
        <w:rPr>
          <w:rFonts w:ascii="Arial" w:hAnsi="Arial" w:cs="Arial"/>
          <w:sz w:val="20"/>
          <w:szCs w:val="20"/>
        </w:rPr>
        <w:t xml:space="preserve"> of R</w:t>
      </w:r>
      <w:r w:rsidRPr="00F15C05">
        <w:rPr>
          <w:rFonts w:ascii="Arial" w:hAnsi="Arial" w:cs="Arial"/>
          <w:sz w:val="20"/>
          <w:szCs w:val="20"/>
        </w:rPr>
        <w:t>553,3</w:t>
      </w:r>
      <w:r w:rsidR="00AF3AED" w:rsidRPr="00F15C05">
        <w:rPr>
          <w:rFonts w:ascii="Arial" w:hAnsi="Arial" w:cs="Arial"/>
          <w:sz w:val="20"/>
          <w:szCs w:val="20"/>
        </w:rPr>
        <w:t xml:space="preserve"> million, recording </w:t>
      </w:r>
      <w:r w:rsidRPr="00F15C05">
        <w:rPr>
          <w:rFonts w:ascii="Arial" w:hAnsi="Arial" w:cs="Arial"/>
          <w:sz w:val="20"/>
          <w:szCs w:val="20"/>
        </w:rPr>
        <w:t>higher</w:t>
      </w:r>
      <w:r w:rsidR="00AF3AED" w:rsidRPr="00F15C05">
        <w:rPr>
          <w:rFonts w:ascii="Arial" w:hAnsi="Arial" w:cs="Arial"/>
          <w:sz w:val="20"/>
          <w:szCs w:val="20"/>
        </w:rPr>
        <w:t xml:space="preserve"> than projected spending amounting to R</w:t>
      </w:r>
      <w:r w:rsidRPr="00F15C05">
        <w:rPr>
          <w:rFonts w:ascii="Arial" w:hAnsi="Arial" w:cs="Arial"/>
          <w:sz w:val="20"/>
          <w:szCs w:val="20"/>
        </w:rPr>
        <w:t>1,8</w:t>
      </w:r>
      <w:r w:rsidR="00AF3AED" w:rsidRPr="00F15C05">
        <w:rPr>
          <w:rFonts w:ascii="Arial" w:hAnsi="Arial" w:cs="Arial"/>
          <w:sz w:val="20"/>
          <w:szCs w:val="20"/>
        </w:rPr>
        <w:t xml:space="preserve"> </w:t>
      </w:r>
      <w:r w:rsidRPr="00F15C05">
        <w:rPr>
          <w:rFonts w:ascii="Arial" w:hAnsi="Arial" w:cs="Arial"/>
          <w:sz w:val="20"/>
          <w:szCs w:val="20"/>
        </w:rPr>
        <w:t>b</w:t>
      </w:r>
      <w:r w:rsidR="00AF3AED" w:rsidRPr="00F15C05">
        <w:rPr>
          <w:rFonts w:ascii="Arial" w:hAnsi="Arial" w:cs="Arial"/>
          <w:sz w:val="20"/>
          <w:szCs w:val="20"/>
        </w:rPr>
        <w:t xml:space="preserve">illion or </w:t>
      </w:r>
      <w:r w:rsidRPr="00F15C05">
        <w:rPr>
          <w:rFonts w:ascii="Arial" w:hAnsi="Arial" w:cs="Arial"/>
          <w:sz w:val="20"/>
          <w:szCs w:val="20"/>
        </w:rPr>
        <w:t>337</w:t>
      </w:r>
      <w:r w:rsidR="00AF3AED" w:rsidRPr="00F15C05">
        <w:rPr>
          <w:rFonts w:ascii="Arial" w:hAnsi="Arial" w:cs="Arial"/>
          <w:sz w:val="20"/>
          <w:szCs w:val="20"/>
        </w:rPr>
        <w:t xml:space="preserve"> per cent. The </w:t>
      </w:r>
      <w:r w:rsidRPr="00F15C05">
        <w:rPr>
          <w:rFonts w:ascii="Arial" w:hAnsi="Arial" w:cs="Arial"/>
          <w:sz w:val="20"/>
          <w:szCs w:val="20"/>
        </w:rPr>
        <w:t>higher than projected spending</w:t>
      </w:r>
      <w:r w:rsidR="00AF3AED" w:rsidRPr="00F15C05">
        <w:rPr>
          <w:rFonts w:ascii="Arial" w:hAnsi="Arial" w:cs="Arial"/>
          <w:sz w:val="20"/>
          <w:szCs w:val="20"/>
        </w:rPr>
        <w:t xml:space="preserve"> was ascribed to the </w:t>
      </w:r>
      <w:r w:rsidR="00F72AF2" w:rsidRPr="00F15C05">
        <w:rPr>
          <w:rFonts w:ascii="Arial" w:hAnsi="Arial" w:cs="Arial"/>
          <w:sz w:val="20"/>
          <w:szCs w:val="20"/>
        </w:rPr>
        <w:t xml:space="preserve">earlier than expected approval by the Minister for the Department to release the infrastructure and efficiency funds to universities and TVET to </w:t>
      </w:r>
      <w:r w:rsidR="00F72AF2" w:rsidRPr="00F15C05">
        <w:rPr>
          <w:rFonts w:ascii="Arial" w:hAnsi="Arial" w:cs="Arial"/>
          <w:sz w:val="20"/>
          <w:szCs w:val="20"/>
        </w:rPr>
        <w:lastRenderedPageBreak/>
        <w:t xml:space="preserve">institutions which met the criteria (submission of their procurement strategy, implementation plan and institutional capacity assessment). </w:t>
      </w:r>
    </w:p>
    <w:p w:rsidR="006003CD" w:rsidRPr="00F15C05" w:rsidRDefault="006003CD" w:rsidP="00F15C05">
      <w:pPr>
        <w:spacing w:after="0" w:line="240" w:lineRule="auto"/>
        <w:rPr>
          <w:rFonts w:ascii="Arial" w:hAnsi="Arial" w:cs="Arial"/>
          <w:b/>
          <w:sz w:val="20"/>
          <w:szCs w:val="20"/>
        </w:rPr>
      </w:pPr>
      <w:r w:rsidRPr="00F15C05">
        <w:rPr>
          <w:rFonts w:ascii="Arial" w:hAnsi="Arial" w:cs="Arial"/>
          <w:b/>
          <w:sz w:val="20"/>
          <w:szCs w:val="20"/>
        </w:rPr>
        <w:t>(iii) Programme 3: University Education</w:t>
      </w:r>
    </w:p>
    <w:p w:rsidR="00F72AF2" w:rsidRPr="00F15C05" w:rsidRDefault="00D646A4" w:rsidP="00F15C05">
      <w:pPr>
        <w:spacing w:after="0" w:line="240" w:lineRule="auto"/>
        <w:rPr>
          <w:rFonts w:ascii="Arial" w:hAnsi="Arial" w:cs="Arial"/>
          <w:sz w:val="20"/>
          <w:szCs w:val="20"/>
          <w:lang w:val="en-US"/>
        </w:rPr>
      </w:pPr>
      <w:r w:rsidRPr="00F15C05">
        <w:rPr>
          <w:rFonts w:ascii="Arial" w:hAnsi="Arial" w:cs="Arial"/>
          <w:sz w:val="20"/>
          <w:szCs w:val="20"/>
          <w:lang w:val="en-US"/>
        </w:rPr>
        <w:t>The programme develop</w:t>
      </w:r>
      <w:r w:rsidR="00265B37" w:rsidRPr="00F15C05">
        <w:rPr>
          <w:rFonts w:ascii="Arial" w:hAnsi="Arial" w:cs="Arial"/>
          <w:sz w:val="20"/>
          <w:szCs w:val="20"/>
          <w:lang w:val="en-US"/>
        </w:rPr>
        <w:t>s</w:t>
      </w:r>
      <w:r w:rsidRPr="00F15C05">
        <w:rPr>
          <w:rFonts w:ascii="Arial" w:hAnsi="Arial" w:cs="Arial"/>
          <w:sz w:val="20"/>
          <w:szCs w:val="20"/>
          <w:lang w:val="en-US"/>
        </w:rPr>
        <w:t xml:space="preserve"> and coordinate</w:t>
      </w:r>
      <w:r w:rsidR="00EA3FC4" w:rsidRPr="00F15C05">
        <w:rPr>
          <w:rFonts w:ascii="Arial" w:hAnsi="Arial" w:cs="Arial"/>
          <w:sz w:val="20"/>
          <w:szCs w:val="20"/>
          <w:lang w:val="en-US"/>
        </w:rPr>
        <w:t>s</w:t>
      </w:r>
      <w:r w:rsidRPr="00F15C05">
        <w:rPr>
          <w:rFonts w:ascii="Arial" w:hAnsi="Arial" w:cs="Arial"/>
          <w:sz w:val="20"/>
          <w:szCs w:val="20"/>
          <w:lang w:val="en-US"/>
        </w:rPr>
        <w:t xml:space="preserve"> policy and regulatory frameworks for an effective and efficient university education system and to provide financial and other support to universities, the National Student Financial Aid Scheme and national higher education institutions. </w:t>
      </w:r>
    </w:p>
    <w:p w:rsidR="00F72AF2" w:rsidRPr="00F15C05" w:rsidRDefault="00F72AF2" w:rsidP="00F15C05">
      <w:pPr>
        <w:spacing w:after="0" w:line="240" w:lineRule="auto"/>
        <w:rPr>
          <w:rFonts w:ascii="Arial" w:hAnsi="Arial" w:cs="Arial"/>
          <w:sz w:val="20"/>
          <w:szCs w:val="20"/>
          <w:lang w:val="en-US"/>
        </w:rPr>
      </w:pPr>
      <w:r w:rsidRPr="00F15C05">
        <w:rPr>
          <w:rFonts w:ascii="Arial" w:hAnsi="Arial" w:cs="Arial"/>
          <w:sz w:val="20"/>
          <w:szCs w:val="20"/>
          <w:lang w:val="en-US"/>
        </w:rPr>
        <w:t>For the Quarter under review, the programme had 18 targets and achieved 11 or 61 per cent of the targets.</w:t>
      </w:r>
    </w:p>
    <w:p w:rsidR="00A96BA5" w:rsidRPr="00F15C05" w:rsidRDefault="00A96BA5" w:rsidP="00F15C05">
      <w:pPr>
        <w:spacing w:after="0" w:line="240" w:lineRule="auto"/>
        <w:rPr>
          <w:rFonts w:ascii="Arial" w:hAnsi="Arial" w:cs="Arial"/>
          <w:sz w:val="20"/>
          <w:szCs w:val="20"/>
          <w:lang w:val="en-US"/>
        </w:rPr>
      </w:pPr>
      <w:r w:rsidRPr="00F15C05">
        <w:rPr>
          <w:rFonts w:ascii="Arial" w:hAnsi="Arial" w:cs="Arial"/>
          <w:sz w:val="20"/>
          <w:szCs w:val="20"/>
          <w:lang w:val="en-US"/>
        </w:rPr>
        <w:t>Targets that were not achieved include</w:t>
      </w:r>
      <w:r w:rsidR="00265B37" w:rsidRPr="00F15C05">
        <w:rPr>
          <w:rFonts w:ascii="Arial" w:hAnsi="Arial" w:cs="Arial"/>
          <w:sz w:val="20"/>
          <w:szCs w:val="20"/>
          <w:lang w:val="en-US"/>
        </w:rPr>
        <w:t>:</w:t>
      </w:r>
    </w:p>
    <w:p w:rsidR="008F1490" w:rsidRPr="00F15C05" w:rsidRDefault="00F72AF2" w:rsidP="00F15C05">
      <w:pPr>
        <w:pStyle w:val="BodyText"/>
        <w:numPr>
          <w:ilvl w:val="0"/>
          <w:numId w:val="36"/>
        </w:numPr>
        <w:ind w:left="357" w:hanging="357"/>
        <w:rPr>
          <w:rFonts w:ascii="Arial" w:hAnsi="Arial" w:cs="Arial"/>
        </w:rPr>
      </w:pPr>
      <w:r w:rsidRPr="00F15C05">
        <w:rPr>
          <w:rFonts w:ascii="Arial" w:hAnsi="Arial" w:cs="Arial"/>
        </w:rPr>
        <w:t>A Fee Regulation Framework submitted to the Minister for approval by 31 December 2022. It was reported that a Fee Regulation Framework was not submitted to the Minister for approval as planned. The Department further noted that the Minister had approved the proposed CPI increase for the 2023 academic year to a maximum of 5.1 per cent for tuition fees and CPI+2 to a maximum of 7.1 per cent for accommodation fees on 13 December 2022</w:t>
      </w:r>
      <w:r w:rsidR="008F1490" w:rsidRPr="00F15C05">
        <w:rPr>
          <w:rFonts w:ascii="Arial" w:hAnsi="Arial" w:cs="Arial"/>
        </w:rPr>
        <w:t>.</w:t>
      </w:r>
    </w:p>
    <w:p w:rsidR="008F1490" w:rsidRPr="00F15C05" w:rsidRDefault="008F1490" w:rsidP="00F15C05">
      <w:pPr>
        <w:pStyle w:val="BodyText"/>
        <w:numPr>
          <w:ilvl w:val="0"/>
          <w:numId w:val="36"/>
        </w:numPr>
        <w:ind w:left="357" w:hanging="357"/>
        <w:rPr>
          <w:rFonts w:ascii="Arial" w:hAnsi="Arial" w:cs="Arial"/>
        </w:rPr>
      </w:pPr>
      <w:r w:rsidRPr="00F15C05">
        <w:rPr>
          <w:rFonts w:ascii="Arial" w:hAnsi="Arial" w:cs="Arial"/>
        </w:rPr>
        <w:t>Student funding policy submitted to the Minister for approval by 30 October 2022. The</w:t>
      </w:r>
      <w:r w:rsidRPr="00F15C05">
        <w:rPr>
          <w:rFonts w:ascii="Arial" w:hAnsi="Arial" w:cs="Arial"/>
          <w:b/>
        </w:rPr>
        <w:t xml:space="preserve"> </w:t>
      </w:r>
      <w:r w:rsidRPr="00F15C05">
        <w:rPr>
          <w:rFonts w:ascii="Arial" w:hAnsi="Arial" w:cs="Arial"/>
        </w:rPr>
        <w:t>Student funding policy was not submitted to the M</w:t>
      </w:r>
      <w:r w:rsidR="007C3D9E" w:rsidRPr="00F15C05">
        <w:rPr>
          <w:rFonts w:ascii="Arial" w:hAnsi="Arial" w:cs="Arial"/>
        </w:rPr>
        <w:t>inister for approval as planned</w:t>
      </w:r>
      <w:r w:rsidR="00CA628B" w:rsidRPr="00F15C05">
        <w:rPr>
          <w:rFonts w:ascii="Arial" w:hAnsi="Arial" w:cs="Arial"/>
        </w:rPr>
        <w:t>,</w:t>
      </w:r>
      <w:r w:rsidR="007C3D9E" w:rsidRPr="00F15C05">
        <w:rPr>
          <w:rFonts w:ascii="Arial" w:hAnsi="Arial" w:cs="Arial"/>
        </w:rPr>
        <w:t xml:space="preserve"> and it was reported that the Cabinet required that more work be done on the draft policy and for the draft to be consulted on before returning to the Cabinet for approval for implementation. </w:t>
      </w:r>
    </w:p>
    <w:p w:rsidR="00F72AF2" w:rsidRPr="00F15C05" w:rsidRDefault="007C3D9E" w:rsidP="00F15C05">
      <w:pPr>
        <w:pStyle w:val="ListParagraph"/>
        <w:numPr>
          <w:ilvl w:val="0"/>
          <w:numId w:val="36"/>
        </w:numPr>
        <w:spacing w:after="0" w:line="240" w:lineRule="auto"/>
        <w:ind w:left="357" w:hanging="357"/>
        <w:rPr>
          <w:rFonts w:ascii="Arial" w:hAnsi="Arial" w:cs="Arial"/>
          <w:sz w:val="20"/>
          <w:szCs w:val="20"/>
        </w:rPr>
      </w:pPr>
      <w:r w:rsidRPr="00F15C05">
        <w:rPr>
          <w:rFonts w:ascii="Arial" w:hAnsi="Arial" w:cs="Arial"/>
          <w:sz w:val="20"/>
          <w:szCs w:val="20"/>
        </w:rPr>
        <w:t>Number (1 098 000) of students’ enrolments at public universities annually, (actual achievement was 1 068 046); number (14 750) of graduates in engineering annually, (actual achievement was 12 605); number (11 0001) of graduates in natural and physical sciences annually, (actual achievement was 10 608); number (10 000) of human health science annually, (actual achievement was 9 558) and number (14 500) of masters graduates annually (actual achievement was 13 796). The underachievement in these targets was attributed to the impact of the COVID-19 pandemic on university graduations.</w:t>
      </w:r>
    </w:p>
    <w:p w:rsidR="00CB66F1" w:rsidRPr="00F15C05" w:rsidRDefault="000E3700" w:rsidP="00F15C05">
      <w:pPr>
        <w:spacing w:after="0" w:line="240" w:lineRule="auto"/>
        <w:rPr>
          <w:rFonts w:ascii="Arial" w:hAnsi="Arial" w:cs="Arial"/>
          <w:sz w:val="20"/>
          <w:szCs w:val="20"/>
        </w:rPr>
      </w:pPr>
      <w:r w:rsidRPr="00F15C05">
        <w:rPr>
          <w:rFonts w:ascii="Arial" w:hAnsi="Arial" w:cs="Arial"/>
          <w:sz w:val="20"/>
          <w:szCs w:val="20"/>
        </w:rPr>
        <w:t>The Programme had spent R87</w:t>
      </w:r>
      <w:r w:rsidR="00AB0C0D" w:rsidRPr="00F15C05">
        <w:rPr>
          <w:rFonts w:ascii="Arial" w:hAnsi="Arial" w:cs="Arial"/>
          <w:sz w:val="20"/>
          <w:szCs w:val="20"/>
        </w:rPr>
        <w:t>,218 billion a</w:t>
      </w:r>
      <w:r w:rsidR="00CB66F1" w:rsidRPr="00F15C05">
        <w:rPr>
          <w:rFonts w:ascii="Arial" w:hAnsi="Arial" w:cs="Arial"/>
          <w:sz w:val="20"/>
          <w:szCs w:val="20"/>
        </w:rPr>
        <w:t xml:space="preserve">t the end of the </w:t>
      </w:r>
      <w:r w:rsidR="00AB0C0D" w:rsidRPr="00F15C05">
        <w:rPr>
          <w:rFonts w:ascii="Arial" w:hAnsi="Arial" w:cs="Arial"/>
          <w:sz w:val="20"/>
          <w:szCs w:val="20"/>
        </w:rPr>
        <w:t>2022/23</w:t>
      </w:r>
      <w:r w:rsidR="00CB66F1" w:rsidRPr="00F15C05">
        <w:rPr>
          <w:rFonts w:ascii="Arial" w:hAnsi="Arial" w:cs="Arial"/>
          <w:sz w:val="20"/>
          <w:szCs w:val="20"/>
        </w:rPr>
        <w:t xml:space="preserve"> Third-Quarter</w:t>
      </w:r>
      <w:r w:rsidR="00AB0C0D" w:rsidRPr="00F15C05">
        <w:rPr>
          <w:rFonts w:ascii="Arial" w:hAnsi="Arial" w:cs="Arial"/>
          <w:sz w:val="20"/>
          <w:szCs w:val="20"/>
        </w:rPr>
        <w:t xml:space="preserve">, against the projected quarterly expenditure of R88,483 billion. The lower than projected spending amounted to R1,264 billion or 1.4 per cent. </w:t>
      </w:r>
      <w:r w:rsidR="00CB66F1" w:rsidRPr="00F15C05">
        <w:rPr>
          <w:rFonts w:ascii="Arial" w:hAnsi="Arial" w:cs="Arial"/>
          <w:sz w:val="20"/>
          <w:szCs w:val="20"/>
        </w:rPr>
        <w:t xml:space="preserve">The lower than projected expenditure was attributed to the delays in the transfer payments </w:t>
      </w:r>
      <w:r w:rsidR="002779FE" w:rsidRPr="00F15C05">
        <w:rPr>
          <w:rFonts w:ascii="Arial" w:hAnsi="Arial" w:cs="Arial"/>
          <w:sz w:val="20"/>
          <w:szCs w:val="20"/>
        </w:rPr>
        <w:t>to higher education institutions for the</w:t>
      </w:r>
      <w:r w:rsidR="00CB66F1" w:rsidRPr="00F15C05">
        <w:rPr>
          <w:rFonts w:ascii="Arial" w:hAnsi="Arial" w:cs="Arial"/>
          <w:sz w:val="20"/>
          <w:szCs w:val="20"/>
        </w:rPr>
        <w:t xml:space="preserve"> earmarked grants</w:t>
      </w:r>
      <w:r w:rsidR="002779FE" w:rsidRPr="00F15C05">
        <w:rPr>
          <w:rFonts w:ascii="Arial" w:hAnsi="Arial" w:cs="Arial"/>
          <w:sz w:val="20"/>
          <w:szCs w:val="20"/>
        </w:rPr>
        <w:t>. These grants could not be processed</w:t>
      </w:r>
      <w:r w:rsidR="00CB66F1" w:rsidRPr="00F15C05">
        <w:rPr>
          <w:rFonts w:ascii="Arial" w:hAnsi="Arial" w:cs="Arial"/>
          <w:sz w:val="20"/>
          <w:szCs w:val="20"/>
        </w:rPr>
        <w:t xml:space="preserve"> as initially projected as the required progress reports were not timeously received. </w:t>
      </w:r>
      <w:r w:rsidR="002779FE" w:rsidRPr="00F15C05">
        <w:rPr>
          <w:rFonts w:ascii="Arial" w:hAnsi="Arial" w:cs="Arial"/>
          <w:sz w:val="20"/>
          <w:szCs w:val="20"/>
        </w:rPr>
        <w:t xml:space="preserve">The transfer to the National Student Financial Aid Scheme (NSFAS) for operations was lower than projected by R54 million. this amount was shifted to NSFAS in 2022 Adjustment Budget and will be made in the Fourth-Quarter. </w:t>
      </w:r>
    </w:p>
    <w:p w:rsidR="004462CC" w:rsidRPr="00F15C05" w:rsidRDefault="004462CC" w:rsidP="00F15C05">
      <w:pPr>
        <w:autoSpaceDE w:val="0"/>
        <w:autoSpaceDN w:val="0"/>
        <w:adjustRightInd w:val="0"/>
        <w:spacing w:after="0" w:line="240" w:lineRule="auto"/>
        <w:rPr>
          <w:rFonts w:ascii="Arial" w:hAnsi="Arial" w:cs="Arial"/>
          <w:sz w:val="20"/>
          <w:szCs w:val="20"/>
        </w:rPr>
      </w:pPr>
    </w:p>
    <w:p w:rsidR="006003CD" w:rsidRPr="00F15C05" w:rsidRDefault="00273115" w:rsidP="00F15C05">
      <w:pPr>
        <w:spacing w:after="0" w:line="240" w:lineRule="auto"/>
        <w:rPr>
          <w:rFonts w:ascii="Arial" w:hAnsi="Arial" w:cs="Arial"/>
          <w:b/>
          <w:sz w:val="20"/>
          <w:szCs w:val="20"/>
        </w:rPr>
      </w:pPr>
      <w:r w:rsidRPr="00F15C05">
        <w:rPr>
          <w:rFonts w:ascii="Arial" w:hAnsi="Arial" w:cs="Arial"/>
          <w:b/>
          <w:sz w:val="20"/>
          <w:szCs w:val="20"/>
        </w:rPr>
        <w:t xml:space="preserve"> </w:t>
      </w:r>
      <w:r w:rsidR="006003CD" w:rsidRPr="00F15C05">
        <w:rPr>
          <w:rFonts w:ascii="Arial" w:hAnsi="Arial" w:cs="Arial"/>
          <w:b/>
          <w:sz w:val="20"/>
          <w:szCs w:val="20"/>
        </w:rPr>
        <w:t>(iv) Programme 4: Technical and Vocational Education and Training</w:t>
      </w:r>
    </w:p>
    <w:p w:rsidR="00314CDE" w:rsidRPr="00F15C05" w:rsidRDefault="006003CD" w:rsidP="00F15C05">
      <w:pPr>
        <w:spacing w:after="0" w:line="240" w:lineRule="auto"/>
        <w:rPr>
          <w:rFonts w:ascii="Arial" w:hAnsi="Arial" w:cs="Arial"/>
          <w:sz w:val="20"/>
          <w:szCs w:val="20"/>
        </w:rPr>
      </w:pPr>
      <w:r w:rsidRPr="00F15C05">
        <w:rPr>
          <w:rFonts w:ascii="Arial" w:hAnsi="Arial" w:cs="Arial"/>
          <w:sz w:val="20"/>
          <w:szCs w:val="20"/>
        </w:rPr>
        <w:t xml:space="preserve">The purpose of this Programme is to plan, develop, implement, monitor, maintain and evaluate national policy, programmes, assessment practices and systems for TVET. </w:t>
      </w:r>
      <w:r w:rsidR="009A33C8" w:rsidRPr="00F15C05">
        <w:rPr>
          <w:rFonts w:ascii="Arial" w:hAnsi="Arial" w:cs="Arial"/>
          <w:sz w:val="20"/>
          <w:szCs w:val="20"/>
        </w:rPr>
        <w:t xml:space="preserve">The programme had </w:t>
      </w:r>
      <w:r w:rsidR="00314CDE" w:rsidRPr="00F15C05">
        <w:rPr>
          <w:rFonts w:ascii="Arial" w:hAnsi="Arial" w:cs="Arial"/>
          <w:sz w:val="20"/>
          <w:szCs w:val="20"/>
        </w:rPr>
        <w:t>15</w:t>
      </w:r>
      <w:r w:rsidR="009A33C8" w:rsidRPr="00F15C05">
        <w:rPr>
          <w:rFonts w:ascii="Arial" w:hAnsi="Arial" w:cs="Arial"/>
          <w:sz w:val="20"/>
          <w:szCs w:val="20"/>
        </w:rPr>
        <w:t xml:space="preserve"> targets and </w:t>
      </w:r>
      <w:r w:rsidR="00314CDE" w:rsidRPr="00F15C05">
        <w:rPr>
          <w:rFonts w:ascii="Arial" w:hAnsi="Arial" w:cs="Arial"/>
          <w:sz w:val="20"/>
          <w:szCs w:val="20"/>
        </w:rPr>
        <w:t>achieved three or 20 per cent of the planned targets</w:t>
      </w:r>
    </w:p>
    <w:p w:rsidR="009A33C8" w:rsidRPr="00F15C05" w:rsidRDefault="009A33C8" w:rsidP="00F15C05">
      <w:pPr>
        <w:spacing w:after="0" w:line="240" w:lineRule="auto"/>
        <w:rPr>
          <w:rFonts w:ascii="Arial" w:hAnsi="Arial" w:cs="Arial"/>
          <w:sz w:val="20"/>
          <w:szCs w:val="20"/>
        </w:rPr>
      </w:pPr>
      <w:r w:rsidRPr="00F15C05">
        <w:rPr>
          <w:rFonts w:ascii="Arial" w:hAnsi="Arial" w:cs="Arial"/>
          <w:sz w:val="20"/>
          <w:szCs w:val="20"/>
        </w:rPr>
        <w:t>Targets not achieved include, amongst others:</w:t>
      </w:r>
    </w:p>
    <w:p w:rsidR="0002002A" w:rsidRPr="00F15C05" w:rsidRDefault="0002002A" w:rsidP="00F15C05">
      <w:pPr>
        <w:pStyle w:val="ListParagraph"/>
        <w:numPr>
          <w:ilvl w:val="0"/>
          <w:numId w:val="37"/>
        </w:numPr>
        <w:spacing w:after="0" w:line="240" w:lineRule="auto"/>
        <w:ind w:left="357" w:hanging="357"/>
        <w:rPr>
          <w:rFonts w:ascii="Arial" w:hAnsi="Arial" w:cs="Arial"/>
          <w:sz w:val="20"/>
          <w:szCs w:val="20"/>
        </w:rPr>
      </w:pPr>
      <w:r w:rsidRPr="00F15C05">
        <w:rPr>
          <w:rFonts w:ascii="Arial" w:hAnsi="Arial" w:cs="Arial"/>
          <w:sz w:val="20"/>
          <w:szCs w:val="20"/>
        </w:rPr>
        <w:t xml:space="preserve">Number (580 849) of students enrolled at TVET colleges annually, (actual achievement was 565 088). The Department reported that colleges were still struggling to recover from the COVID-19 impact and </w:t>
      </w:r>
      <w:r w:rsidR="00CA628B" w:rsidRPr="00F15C05">
        <w:rPr>
          <w:rFonts w:ascii="Arial" w:hAnsi="Arial" w:cs="Arial"/>
          <w:sz w:val="20"/>
          <w:szCs w:val="20"/>
        </w:rPr>
        <w:t xml:space="preserve">a </w:t>
      </w:r>
      <w:r w:rsidRPr="00F15C05">
        <w:rPr>
          <w:rFonts w:ascii="Arial" w:hAnsi="Arial" w:cs="Arial"/>
          <w:sz w:val="20"/>
          <w:szCs w:val="20"/>
        </w:rPr>
        <w:t>decrease in funding</w:t>
      </w:r>
      <w:r w:rsidR="00992F07" w:rsidRPr="00F15C05">
        <w:rPr>
          <w:rFonts w:ascii="Arial" w:hAnsi="Arial" w:cs="Arial"/>
          <w:sz w:val="20"/>
          <w:szCs w:val="20"/>
        </w:rPr>
        <w:t>;</w:t>
      </w:r>
    </w:p>
    <w:p w:rsidR="0002002A" w:rsidRPr="00F15C05" w:rsidRDefault="0002002A" w:rsidP="00F15C05">
      <w:pPr>
        <w:pStyle w:val="ListParagraph"/>
        <w:numPr>
          <w:ilvl w:val="0"/>
          <w:numId w:val="37"/>
        </w:numPr>
        <w:spacing w:after="0" w:line="240" w:lineRule="auto"/>
        <w:ind w:left="357" w:hanging="357"/>
        <w:rPr>
          <w:rFonts w:ascii="Arial" w:hAnsi="Arial" w:cs="Arial"/>
          <w:sz w:val="20"/>
          <w:szCs w:val="20"/>
        </w:rPr>
      </w:pPr>
      <w:r w:rsidRPr="00F15C05">
        <w:rPr>
          <w:rFonts w:ascii="Arial" w:hAnsi="Arial" w:cs="Arial"/>
          <w:sz w:val="20"/>
          <w:szCs w:val="20"/>
        </w:rPr>
        <w:t>Number (329 554) of TVET colleges receiving funding through NSFAS bursaries annually</w:t>
      </w:r>
      <w:r w:rsidR="002713E1" w:rsidRPr="00F15C05">
        <w:rPr>
          <w:rFonts w:ascii="Arial" w:hAnsi="Arial" w:cs="Arial"/>
          <w:sz w:val="20"/>
          <w:szCs w:val="20"/>
        </w:rPr>
        <w:t>, (actual achievement was 270 134). It was reported that NSFAS informed the Minister that the Auditor-General of South Africa (AGSA) and NSFAS agreed that the entity submits the updated Financial Statements by 31 M</w:t>
      </w:r>
      <w:r w:rsidR="00992F07" w:rsidRPr="00F15C05">
        <w:rPr>
          <w:rFonts w:ascii="Arial" w:hAnsi="Arial" w:cs="Arial"/>
          <w:sz w:val="20"/>
          <w:szCs w:val="20"/>
        </w:rPr>
        <w:t>arch 2023;</w:t>
      </w:r>
      <w:r w:rsidR="002713E1" w:rsidRPr="00F15C05">
        <w:rPr>
          <w:rFonts w:ascii="Arial" w:hAnsi="Arial" w:cs="Arial"/>
          <w:sz w:val="20"/>
          <w:szCs w:val="20"/>
        </w:rPr>
        <w:t xml:space="preserve"> </w:t>
      </w:r>
    </w:p>
    <w:p w:rsidR="0002002A" w:rsidRPr="00F15C05" w:rsidRDefault="0002002A" w:rsidP="00F15C05">
      <w:pPr>
        <w:pStyle w:val="ListParagraph"/>
        <w:numPr>
          <w:ilvl w:val="0"/>
          <w:numId w:val="37"/>
        </w:numPr>
        <w:spacing w:after="0" w:line="240" w:lineRule="auto"/>
        <w:ind w:left="357" w:hanging="357"/>
        <w:rPr>
          <w:rFonts w:ascii="Arial" w:hAnsi="Arial" w:cs="Arial"/>
          <w:sz w:val="20"/>
          <w:szCs w:val="20"/>
        </w:rPr>
      </w:pPr>
      <w:r w:rsidRPr="00F15C05">
        <w:rPr>
          <w:rFonts w:ascii="Arial" w:hAnsi="Arial" w:cs="Arial"/>
          <w:sz w:val="20"/>
          <w:szCs w:val="20"/>
        </w:rPr>
        <w:t>Examination results released to qualifying students within 40 days from the last day of the exams timetable (per cycle)</w:t>
      </w:r>
      <w:r w:rsidR="002713E1" w:rsidRPr="00F15C05">
        <w:rPr>
          <w:rFonts w:ascii="Arial" w:hAnsi="Arial" w:cs="Arial"/>
          <w:sz w:val="20"/>
          <w:szCs w:val="20"/>
        </w:rPr>
        <w:t>. No results were released during the Quarter</w:t>
      </w:r>
      <w:r w:rsidR="00992F07" w:rsidRPr="00F15C05">
        <w:rPr>
          <w:rFonts w:ascii="Arial" w:hAnsi="Arial" w:cs="Arial"/>
          <w:sz w:val="20"/>
          <w:szCs w:val="20"/>
        </w:rPr>
        <w:t>;</w:t>
      </w:r>
    </w:p>
    <w:p w:rsidR="0002002A" w:rsidRPr="00F15C05" w:rsidRDefault="0002002A" w:rsidP="00F15C05">
      <w:pPr>
        <w:pStyle w:val="ListParagraph"/>
        <w:numPr>
          <w:ilvl w:val="0"/>
          <w:numId w:val="37"/>
        </w:numPr>
        <w:spacing w:after="0" w:line="240" w:lineRule="auto"/>
        <w:ind w:left="357" w:hanging="357"/>
        <w:rPr>
          <w:rFonts w:ascii="Arial" w:hAnsi="Arial" w:cs="Arial"/>
          <w:sz w:val="20"/>
          <w:szCs w:val="20"/>
        </w:rPr>
      </w:pPr>
      <w:r w:rsidRPr="00F15C05">
        <w:rPr>
          <w:rFonts w:ascii="Arial" w:hAnsi="Arial" w:cs="Arial"/>
          <w:sz w:val="20"/>
          <w:szCs w:val="20"/>
        </w:rPr>
        <w:t>Number (72 298) of TVET college students completing N6 qualification annually</w:t>
      </w:r>
      <w:r w:rsidR="002713E1" w:rsidRPr="00F15C05">
        <w:rPr>
          <w:rFonts w:ascii="Arial" w:hAnsi="Arial" w:cs="Arial"/>
          <w:sz w:val="20"/>
          <w:szCs w:val="20"/>
        </w:rPr>
        <w:t xml:space="preserve">, (actual achievement </w:t>
      </w:r>
      <w:r w:rsidR="00B3086D" w:rsidRPr="00F15C05">
        <w:rPr>
          <w:rFonts w:ascii="Arial" w:hAnsi="Arial" w:cs="Arial"/>
          <w:sz w:val="20"/>
          <w:szCs w:val="20"/>
        </w:rPr>
        <w:t>was 57 245). The underachievement was ascribed to curriculum changes</w:t>
      </w:r>
      <w:r w:rsidR="00992F07" w:rsidRPr="00F15C05">
        <w:rPr>
          <w:rFonts w:ascii="Arial" w:hAnsi="Arial" w:cs="Arial"/>
          <w:sz w:val="20"/>
          <w:szCs w:val="20"/>
        </w:rPr>
        <w:t>;</w:t>
      </w:r>
    </w:p>
    <w:p w:rsidR="0002002A" w:rsidRPr="00F15C05" w:rsidRDefault="0002002A" w:rsidP="00F15C05">
      <w:pPr>
        <w:pStyle w:val="ListParagraph"/>
        <w:numPr>
          <w:ilvl w:val="0"/>
          <w:numId w:val="37"/>
        </w:numPr>
        <w:spacing w:after="0" w:line="240" w:lineRule="auto"/>
        <w:ind w:left="357" w:hanging="357"/>
        <w:rPr>
          <w:rFonts w:ascii="Arial" w:hAnsi="Arial" w:cs="Arial"/>
          <w:sz w:val="20"/>
          <w:szCs w:val="20"/>
        </w:rPr>
      </w:pPr>
      <w:r w:rsidRPr="00F15C05">
        <w:rPr>
          <w:rFonts w:ascii="Arial" w:hAnsi="Arial" w:cs="Arial"/>
          <w:sz w:val="20"/>
          <w:szCs w:val="20"/>
        </w:rPr>
        <w:t>Number (13 552) of TVET college students completing NC(V) Level 4 annually</w:t>
      </w:r>
      <w:r w:rsidR="00B3086D" w:rsidRPr="00F15C05">
        <w:rPr>
          <w:rFonts w:ascii="Arial" w:hAnsi="Arial" w:cs="Arial"/>
          <w:sz w:val="20"/>
          <w:szCs w:val="20"/>
        </w:rPr>
        <w:t>, (actual achievement was 12 507). The underachievement was a</w:t>
      </w:r>
      <w:r w:rsidR="00992F07" w:rsidRPr="00F15C05">
        <w:rPr>
          <w:rFonts w:ascii="Arial" w:hAnsi="Arial" w:cs="Arial"/>
          <w:sz w:val="20"/>
          <w:szCs w:val="20"/>
        </w:rPr>
        <w:t>ttributed to curriculum changes;</w:t>
      </w:r>
    </w:p>
    <w:p w:rsidR="0002002A" w:rsidRPr="00F15C05" w:rsidRDefault="0002002A" w:rsidP="00F15C05">
      <w:pPr>
        <w:pStyle w:val="ListParagraph"/>
        <w:numPr>
          <w:ilvl w:val="0"/>
          <w:numId w:val="37"/>
        </w:numPr>
        <w:spacing w:after="0" w:line="240" w:lineRule="auto"/>
        <w:ind w:left="357" w:hanging="357"/>
        <w:rPr>
          <w:rFonts w:ascii="Arial" w:hAnsi="Arial" w:cs="Arial"/>
          <w:sz w:val="20"/>
          <w:szCs w:val="20"/>
        </w:rPr>
      </w:pPr>
      <w:r w:rsidRPr="00F15C05">
        <w:rPr>
          <w:rFonts w:ascii="Arial" w:hAnsi="Arial" w:cs="Arial"/>
          <w:sz w:val="20"/>
          <w:szCs w:val="20"/>
        </w:rPr>
        <w:t>Percentage (70%)</w:t>
      </w:r>
      <w:r w:rsidRPr="00F15C05">
        <w:rPr>
          <w:rFonts w:ascii="Arial" w:hAnsi="Arial" w:cs="Arial"/>
          <w:b/>
          <w:sz w:val="20"/>
          <w:szCs w:val="20"/>
        </w:rPr>
        <w:t xml:space="preserve"> </w:t>
      </w:r>
      <w:r w:rsidRPr="00F15C05">
        <w:rPr>
          <w:rFonts w:ascii="Arial" w:hAnsi="Arial" w:cs="Arial"/>
          <w:sz w:val="20"/>
          <w:szCs w:val="20"/>
        </w:rPr>
        <w:t>of TVET college lecturers with professional qualifications</w:t>
      </w:r>
      <w:r w:rsidR="00B3086D" w:rsidRPr="00F15C05">
        <w:rPr>
          <w:rFonts w:ascii="Arial" w:hAnsi="Arial" w:cs="Arial"/>
          <w:sz w:val="20"/>
          <w:szCs w:val="20"/>
        </w:rPr>
        <w:t xml:space="preserve">, (actual achievement was 0 per cent). The Department reported that it was </w:t>
      </w:r>
      <w:r w:rsidR="00992F07" w:rsidRPr="00F15C05">
        <w:rPr>
          <w:rFonts w:ascii="Arial" w:hAnsi="Arial" w:cs="Arial"/>
          <w:sz w:val="20"/>
          <w:szCs w:val="20"/>
        </w:rPr>
        <w:t>analysing data from colleges; and</w:t>
      </w:r>
    </w:p>
    <w:p w:rsidR="0002002A" w:rsidRPr="00F15C05" w:rsidRDefault="0002002A" w:rsidP="00F15C05">
      <w:pPr>
        <w:pStyle w:val="ListParagraph"/>
        <w:numPr>
          <w:ilvl w:val="0"/>
          <w:numId w:val="37"/>
        </w:numPr>
        <w:spacing w:after="0" w:line="240" w:lineRule="auto"/>
        <w:ind w:left="357" w:hanging="357"/>
        <w:rPr>
          <w:rFonts w:ascii="Arial" w:hAnsi="Arial" w:cs="Arial"/>
          <w:sz w:val="20"/>
          <w:szCs w:val="20"/>
        </w:rPr>
      </w:pPr>
      <w:r w:rsidRPr="00F15C05">
        <w:rPr>
          <w:rFonts w:ascii="Arial" w:hAnsi="Arial" w:cs="Arial"/>
          <w:sz w:val="20"/>
          <w:szCs w:val="20"/>
        </w:rPr>
        <w:t>Number (250) of TVET college lecturers holding appropriate qualifications supported to acquire professional qualifications annually</w:t>
      </w:r>
      <w:r w:rsidR="00B3086D" w:rsidRPr="00F15C05">
        <w:rPr>
          <w:rFonts w:ascii="Arial" w:hAnsi="Arial" w:cs="Arial"/>
          <w:sz w:val="20"/>
          <w:szCs w:val="20"/>
        </w:rPr>
        <w:t>. The Department did not report on the target due to outstanding reports from universities and colleges.</w:t>
      </w:r>
    </w:p>
    <w:p w:rsidR="00192E67" w:rsidRPr="00F15C05" w:rsidRDefault="00257EBF" w:rsidP="00F15C05">
      <w:pPr>
        <w:spacing w:after="0" w:line="240" w:lineRule="auto"/>
        <w:rPr>
          <w:rFonts w:ascii="Arial" w:hAnsi="Arial" w:cs="Arial"/>
          <w:sz w:val="20"/>
          <w:szCs w:val="20"/>
        </w:rPr>
      </w:pPr>
      <w:r w:rsidRPr="00F15C05">
        <w:rPr>
          <w:rFonts w:ascii="Arial" w:hAnsi="Arial" w:cs="Arial"/>
          <w:sz w:val="20"/>
          <w:szCs w:val="20"/>
        </w:rPr>
        <w:t xml:space="preserve">The programme had spent R8,814 billion against the projected quarterly expenditure of R8,929 billion at the end of the Third-Quarter, </w:t>
      </w:r>
      <w:r w:rsidR="00913EF8" w:rsidRPr="00F15C05">
        <w:rPr>
          <w:rFonts w:ascii="Arial" w:hAnsi="Arial" w:cs="Arial"/>
          <w:sz w:val="20"/>
          <w:szCs w:val="20"/>
        </w:rPr>
        <w:t>recording lower than projected spending amounting to R</w:t>
      </w:r>
      <w:r w:rsidRPr="00F15C05">
        <w:rPr>
          <w:rFonts w:ascii="Arial" w:hAnsi="Arial" w:cs="Arial"/>
          <w:sz w:val="20"/>
          <w:szCs w:val="20"/>
        </w:rPr>
        <w:t>115,3</w:t>
      </w:r>
      <w:r w:rsidR="00913EF8" w:rsidRPr="00F15C05">
        <w:rPr>
          <w:rFonts w:ascii="Arial" w:hAnsi="Arial" w:cs="Arial"/>
          <w:sz w:val="20"/>
          <w:szCs w:val="20"/>
        </w:rPr>
        <w:t xml:space="preserve"> million or </w:t>
      </w:r>
      <w:r w:rsidRPr="00F15C05">
        <w:rPr>
          <w:rFonts w:ascii="Arial" w:hAnsi="Arial" w:cs="Arial"/>
          <w:sz w:val="20"/>
          <w:szCs w:val="20"/>
        </w:rPr>
        <w:t>1.3</w:t>
      </w:r>
      <w:r w:rsidR="00913EF8" w:rsidRPr="00F15C05">
        <w:rPr>
          <w:rFonts w:ascii="Arial" w:hAnsi="Arial" w:cs="Arial"/>
          <w:sz w:val="20"/>
          <w:szCs w:val="20"/>
        </w:rPr>
        <w:t xml:space="preserve"> per cent. The underspending was </w:t>
      </w:r>
      <w:r w:rsidRPr="00F15C05">
        <w:rPr>
          <w:rFonts w:ascii="Arial" w:hAnsi="Arial" w:cs="Arial"/>
          <w:sz w:val="20"/>
          <w:szCs w:val="20"/>
        </w:rPr>
        <w:t xml:space="preserve">due to continued delay in the implementation of the Post-Provisioning Norms (PPN), which will place </w:t>
      </w:r>
      <w:r w:rsidR="00192E67" w:rsidRPr="00F15C05">
        <w:rPr>
          <w:rFonts w:ascii="Arial" w:hAnsi="Arial" w:cs="Arial"/>
          <w:sz w:val="20"/>
          <w:szCs w:val="20"/>
        </w:rPr>
        <w:t xml:space="preserve">TVET employees on the Department’s payroll system. It </w:t>
      </w:r>
      <w:r w:rsidR="00192E67" w:rsidRPr="00F15C05">
        <w:rPr>
          <w:rFonts w:ascii="Arial" w:hAnsi="Arial" w:cs="Arial"/>
          <w:sz w:val="20"/>
          <w:szCs w:val="20"/>
        </w:rPr>
        <w:lastRenderedPageBreak/>
        <w:t xml:space="preserve">was reported that the Department cannot implement the norms at some colleges as these colleges have not yet submitted all the necessary documents. </w:t>
      </w:r>
    </w:p>
    <w:p w:rsidR="006003CD" w:rsidRPr="00F15C05" w:rsidRDefault="00192E67" w:rsidP="00F15C05">
      <w:pPr>
        <w:spacing w:after="0" w:line="240" w:lineRule="auto"/>
        <w:rPr>
          <w:rFonts w:ascii="Arial" w:hAnsi="Arial" w:cs="Arial"/>
          <w:b/>
          <w:sz w:val="20"/>
          <w:szCs w:val="20"/>
        </w:rPr>
      </w:pPr>
      <w:r w:rsidRPr="00F15C05">
        <w:rPr>
          <w:rFonts w:ascii="Arial" w:hAnsi="Arial" w:cs="Arial"/>
          <w:b/>
          <w:sz w:val="20"/>
          <w:szCs w:val="20"/>
        </w:rPr>
        <w:t xml:space="preserve"> </w:t>
      </w:r>
      <w:r w:rsidR="006003CD" w:rsidRPr="00F15C05">
        <w:rPr>
          <w:rFonts w:ascii="Arial" w:hAnsi="Arial" w:cs="Arial"/>
          <w:b/>
          <w:sz w:val="20"/>
          <w:szCs w:val="20"/>
        </w:rPr>
        <w:t>(v) Programme 5: Skills Development</w:t>
      </w:r>
    </w:p>
    <w:p w:rsidR="008C09A2" w:rsidRPr="00F15C05" w:rsidRDefault="00230BCF" w:rsidP="00F15C05">
      <w:pPr>
        <w:tabs>
          <w:tab w:val="num" w:pos="1440"/>
        </w:tabs>
        <w:spacing w:after="0" w:line="240" w:lineRule="auto"/>
        <w:rPr>
          <w:rFonts w:ascii="Arial" w:hAnsi="Arial" w:cs="Arial"/>
          <w:sz w:val="20"/>
          <w:szCs w:val="20"/>
        </w:rPr>
      </w:pPr>
      <w:r w:rsidRPr="00F15C05">
        <w:rPr>
          <w:rFonts w:ascii="Arial" w:hAnsi="Arial" w:cs="Arial"/>
          <w:sz w:val="20"/>
          <w:szCs w:val="20"/>
          <w:lang w:val="en-US"/>
        </w:rPr>
        <w:t>The programme promote</w:t>
      </w:r>
      <w:r w:rsidR="00EA3FC4" w:rsidRPr="00F15C05">
        <w:rPr>
          <w:rFonts w:ascii="Arial" w:hAnsi="Arial" w:cs="Arial"/>
          <w:sz w:val="20"/>
          <w:szCs w:val="20"/>
          <w:lang w:val="en-US"/>
        </w:rPr>
        <w:t>s</w:t>
      </w:r>
      <w:r w:rsidRPr="00F15C05">
        <w:rPr>
          <w:rFonts w:ascii="Arial" w:hAnsi="Arial" w:cs="Arial"/>
          <w:sz w:val="20"/>
          <w:szCs w:val="20"/>
          <w:lang w:val="en-US"/>
        </w:rPr>
        <w:t xml:space="preserve"> and monitor</w:t>
      </w:r>
      <w:r w:rsidR="00265B37" w:rsidRPr="00F15C05">
        <w:rPr>
          <w:rFonts w:ascii="Arial" w:hAnsi="Arial" w:cs="Arial"/>
          <w:sz w:val="20"/>
          <w:szCs w:val="20"/>
          <w:lang w:val="en-US"/>
        </w:rPr>
        <w:t>s</w:t>
      </w:r>
      <w:r w:rsidRPr="00F15C05">
        <w:rPr>
          <w:rFonts w:ascii="Arial" w:hAnsi="Arial" w:cs="Arial"/>
          <w:sz w:val="20"/>
          <w:szCs w:val="20"/>
          <w:lang w:val="en-US"/>
        </w:rPr>
        <w:t xml:space="preserve"> the National Skills Development Strategy. Develop skills development policies and regulatory frameworks for an effective skills development system.</w:t>
      </w:r>
      <w:r w:rsidRPr="00F15C05">
        <w:rPr>
          <w:rFonts w:ascii="Arial" w:hAnsi="Arial" w:cs="Arial"/>
          <w:sz w:val="20"/>
          <w:szCs w:val="20"/>
        </w:rPr>
        <w:t xml:space="preserve"> </w:t>
      </w:r>
      <w:r w:rsidR="00EA3FC4" w:rsidRPr="00F15C05">
        <w:rPr>
          <w:rFonts w:ascii="Arial" w:hAnsi="Arial" w:cs="Arial"/>
          <w:sz w:val="20"/>
          <w:szCs w:val="20"/>
        </w:rPr>
        <w:t>F</w:t>
      </w:r>
      <w:r w:rsidR="00D52E60" w:rsidRPr="00F15C05">
        <w:rPr>
          <w:rFonts w:ascii="Arial" w:hAnsi="Arial" w:cs="Arial"/>
          <w:sz w:val="20"/>
          <w:szCs w:val="20"/>
        </w:rPr>
        <w:t xml:space="preserve">or the Quarter under review, the programme had </w:t>
      </w:r>
      <w:r w:rsidR="007D5F2D" w:rsidRPr="00F15C05">
        <w:rPr>
          <w:rFonts w:ascii="Arial" w:hAnsi="Arial" w:cs="Arial"/>
          <w:sz w:val="20"/>
          <w:szCs w:val="20"/>
        </w:rPr>
        <w:t>two</w:t>
      </w:r>
      <w:r w:rsidR="00D52E60" w:rsidRPr="00F15C05">
        <w:rPr>
          <w:rFonts w:ascii="Arial" w:hAnsi="Arial" w:cs="Arial"/>
          <w:sz w:val="20"/>
          <w:szCs w:val="20"/>
        </w:rPr>
        <w:t xml:space="preserve"> targets, and had achieved one or </w:t>
      </w:r>
      <w:r w:rsidR="007D5F2D" w:rsidRPr="00F15C05">
        <w:rPr>
          <w:rFonts w:ascii="Arial" w:hAnsi="Arial" w:cs="Arial"/>
          <w:sz w:val="20"/>
          <w:szCs w:val="20"/>
        </w:rPr>
        <w:t>50</w:t>
      </w:r>
      <w:r w:rsidR="00D52E60" w:rsidRPr="00F15C05">
        <w:rPr>
          <w:rFonts w:ascii="Arial" w:hAnsi="Arial" w:cs="Arial"/>
          <w:sz w:val="20"/>
          <w:szCs w:val="20"/>
        </w:rPr>
        <w:t xml:space="preserve"> per cent of the targets. </w:t>
      </w:r>
    </w:p>
    <w:p w:rsidR="00D52E60" w:rsidRPr="00F15C05" w:rsidRDefault="00D52E60" w:rsidP="00F15C05">
      <w:pPr>
        <w:tabs>
          <w:tab w:val="num" w:pos="1440"/>
        </w:tabs>
        <w:spacing w:after="0" w:line="240" w:lineRule="auto"/>
        <w:rPr>
          <w:rFonts w:ascii="Arial" w:hAnsi="Arial" w:cs="Arial"/>
          <w:sz w:val="20"/>
          <w:szCs w:val="20"/>
        </w:rPr>
      </w:pPr>
      <w:r w:rsidRPr="00F15C05">
        <w:rPr>
          <w:rFonts w:ascii="Arial" w:hAnsi="Arial" w:cs="Arial"/>
          <w:sz w:val="20"/>
          <w:szCs w:val="20"/>
        </w:rPr>
        <w:t>The programme did not achieve the following target</w:t>
      </w:r>
      <w:r w:rsidR="007D5F2D" w:rsidRPr="00F15C05">
        <w:rPr>
          <w:rFonts w:ascii="Arial" w:hAnsi="Arial" w:cs="Arial"/>
          <w:sz w:val="20"/>
          <w:szCs w:val="20"/>
        </w:rPr>
        <w:t xml:space="preserve"> on the percentage (100%) of the allocated SETA Mandatory Grants paid to employees. The Department reported that it had yet paid the SETAs levy for December 2022, from which to pay a Mandatory Grant to employers. </w:t>
      </w:r>
    </w:p>
    <w:p w:rsidR="007D5F2D" w:rsidRPr="00F15C05" w:rsidRDefault="007D7ACD" w:rsidP="00F15C05">
      <w:pPr>
        <w:tabs>
          <w:tab w:val="num" w:pos="1440"/>
        </w:tabs>
        <w:spacing w:after="0" w:line="240" w:lineRule="auto"/>
        <w:rPr>
          <w:rFonts w:ascii="Arial" w:hAnsi="Arial" w:cs="Arial"/>
          <w:color w:val="000000" w:themeColor="text1"/>
          <w:sz w:val="20"/>
          <w:szCs w:val="20"/>
        </w:rPr>
      </w:pPr>
      <w:r w:rsidRPr="00F15C05">
        <w:rPr>
          <w:rFonts w:ascii="Arial" w:hAnsi="Arial" w:cs="Arial"/>
          <w:color w:val="000000" w:themeColor="text1"/>
          <w:sz w:val="20"/>
          <w:szCs w:val="20"/>
        </w:rPr>
        <w:t>The programme had spent</w:t>
      </w:r>
      <w:r w:rsidR="00A80685" w:rsidRPr="00F15C05">
        <w:rPr>
          <w:rFonts w:ascii="Arial" w:hAnsi="Arial" w:cs="Arial"/>
          <w:color w:val="000000" w:themeColor="text1"/>
          <w:sz w:val="20"/>
          <w:szCs w:val="20"/>
        </w:rPr>
        <w:t xml:space="preserve"> R</w:t>
      </w:r>
      <w:r w:rsidR="007D5F2D" w:rsidRPr="00F15C05">
        <w:rPr>
          <w:rFonts w:ascii="Arial" w:hAnsi="Arial" w:cs="Arial"/>
          <w:color w:val="000000" w:themeColor="text1"/>
          <w:sz w:val="20"/>
          <w:szCs w:val="20"/>
        </w:rPr>
        <w:t>314,8</w:t>
      </w:r>
      <w:r w:rsidR="00A80685" w:rsidRPr="00F15C05">
        <w:rPr>
          <w:rFonts w:ascii="Arial" w:hAnsi="Arial" w:cs="Arial"/>
          <w:color w:val="000000" w:themeColor="text1"/>
          <w:sz w:val="20"/>
          <w:szCs w:val="20"/>
        </w:rPr>
        <w:t xml:space="preserve"> million against the quarterly projected expenditure amounting to R</w:t>
      </w:r>
      <w:r w:rsidR="007D5F2D" w:rsidRPr="00F15C05">
        <w:rPr>
          <w:rFonts w:ascii="Arial" w:hAnsi="Arial" w:cs="Arial"/>
          <w:color w:val="000000" w:themeColor="text1"/>
          <w:sz w:val="20"/>
          <w:szCs w:val="20"/>
        </w:rPr>
        <w:t>221,6</w:t>
      </w:r>
      <w:r w:rsidR="00A80685" w:rsidRPr="00F15C05">
        <w:rPr>
          <w:rFonts w:ascii="Arial" w:hAnsi="Arial" w:cs="Arial"/>
          <w:color w:val="000000" w:themeColor="text1"/>
          <w:sz w:val="20"/>
          <w:szCs w:val="20"/>
        </w:rPr>
        <w:t xml:space="preserve"> million</w:t>
      </w:r>
      <w:r w:rsidRPr="00F15C05">
        <w:rPr>
          <w:rFonts w:ascii="Arial" w:hAnsi="Arial" w:cs="Arial"/>
          <w:color w:val="000000" w:themeColor="text1"/>
          <w:sz w:val="20"/>
          <w:szCs w:val="20"/>
        </w:rPr>
        <w:t xml:space="preserve">, </w:t>
      </w:r>
      <w:r w:rsidR="007D5F2D" w:rsidRPr="00F15C05">
        <w:rPr>
          <w:rFonts w:ascii="Arial" w:hAnsi="Arial" w:cs="Arial"/>
          <w:color w:val="000000" w:themeColor="text1"/>
          <w:sz w:val="20"/>
          <w:szCs w:val="20"/>
        </w:rPr>
        <w:t xml:space="preserve">recording a higher than </w:t>
      </w:r>
      <w:r w:rsidR="00CA628B" w:rsidRPr="00F15C05">
        <w:rPr>
          <w:rFonts w:ascii="Arial" w:hAnsi="Arial" w:cs="Arial"/>
          <w:color w:val="000000" w:themeColor="text1"/>
          <w:sz w:val="20"/>
          <w:szCs w:val="20"/>
        </w:rPr>
        <w:t xml:space="preserve">the </w:t>
      </w:r>
      <w:r w:rsidR="007D5F2D" w:rsidRPr="00F15C05">
        <w:rPr>
          <w:rFonts w:ascii="Arial" w:hAnsi="Arial" w:cs="Arial"/>
          <w:color w:val="000000" w:themeColor="text1"/>
          <w:sz w:val="20"/>
          <w:szCs w:val="20"/>
        </w:rPr>
        <w:t>projected spending of R93,2 million or 42.2 per cent</w:t>
      </w:r>
      <w:r w:rsidRPr="00F15C05">
        <w:rPr>
          <w:rFonts w:ascii="Arial" w:hAnsi="Arial" w:cs="Arial"/>
          <w:color w:val="000000" w:themeColor="text1"/>
          <w:sz w:val="20"/>
          <w:szCs w:val="20"/>
        </w:rPr>
        <w:t xml:space="preserve">. The </w:t>
      </w:r>
      <w:r w:rsidR="007D5F2D" w:rsidRPr="00F15C05">
        <w:rPr>
          <w:rFonts w:ascii="Arial" w:hAnsi="Arial" w:cs="Arial"/>
          <w:color w:val="000000" w:themeColor="text1"/>
          <w:sz w:val="20"/>
          <w:szCs w:val="20"/>
        </w:rPr>
        <w:t xml:space="preserve">higher than projected spending was due to the transfer of R100 million to the National Skills Fund for the Presidential Youth Employment Intervention (PYEI), which was brought forward to the Third-Quarter as the revised proposal for the PYEI project piloting a performance model for demand-led skills training was accepted, allowing for these funds to be released. </w:t>
      </w:r>
    </w:p>
    <w:p w:rsidR="007D5F2D" w:rsidRPr="00F15C05" w:rsidRDefault="007D5F2D" w:rsidP="00F15C05">
      <w:pPr>
        <w:tabs>
          <w:tab w:val="num" w:pos="1440"/>
        </w:tabs>
        <w:spacing w:after="0" w:line="240" w:lineRule="auto"/>
        <w:rPr>
          <w:rFonts w:ascii="Arial" w:hAnsi="Arial" w:cs="Arial"/>
          <w:color w:val="000000" w:themeColor="text1"/>
          <w:sz w:val="20"/>
          <w:szCs w:val="20"/>
        </w:rPr>
      </w:pPr>
    </w:p>
    <w:p w:rsidR="006003CD" w:rsidRPr="00F15C05" w:rsidRDefault="007D5F2D" w:rsidP="00F15C05">
      <w:pPr>
        <w:spacing w:after="0" w:line="240" w:lineRule="auto"/>
        <w:rPr>
          <w:rFonts w:ascii="Arial" w:hAnsi="Arial" w:cs="Arial"/>
          <w:b/>
          <w:sz w:val="20"/>
          <w:szCs w:val="20"/>
        </w:rPr>
      </w:pPr>
      <w:r w:rsidRPr="00F15C05">
        <w:rPr>
          <w:rFonts w:ascii="Arial" w:hAnsi="Arial" w:cs="Arial"/>
          <w:b/>
          <w:sz w:val="20"/>
          <w:szCs w:val="20"/>
        </w:rPr>
        <w:t xml:space="preserve"> </w:t>
      </w:r>
      <w:r w:rsidR="006003CD" w:rsidRPr="00F15C05">
        <w:rPr>
          <w:rFonts w:ascii="Arial" w:hAnsi="Arial" w:cs="Arial"/>
          <w:b/>
          <w:sz w:val="20"/>
          <w:szCs w:val="20"/>
        </w:rPr>
        <w:t>(vi) Programme 6: Community Education and Training</w:t>
      </w:r>
    </w:p>
    <w:p w:rsidR="00E522B0" w:rsidRPr="00F15C05" w:rsidRDefault="006003CD" w:rsidP="00F15C05">
      <w:pPr>
        <w:spacing w:after="0" w:line="240" w:lineRule="auto"/>
        <w:rPr>
          <w:rFonts w:ascii="Arial" w:hAnsi="Arial" w:cs="Arial"/>
          <w:sz w:val="20"/>
          <w:szCs w:val="20"/>
        </w:rPr>
      </w:pPr>
      <w:r w:rsidRPr="00F15C05">
        <w:rPr>
          <w:rFonts w:ascii="Arial" w:hAnsi="Arial" w:cs="Arial"/>
          <w:sz w:val="20"/>
          <w:szCs w:val="20"/>
        </w:rPr>
        <w:t xml:space="preserve">The purpose of this Programme is to plan, develop, implement, monitor, maintain and evaluate national policy, programme assessment practices and systems for community education and training. </w:t>
      </w:r>
      <w:r w:rsidR="00E522B0" w:rsidRPr="00F15C05">
        <w:rPr>
          <w:rFonts w:ascii="Arial" w:hAnsi="Arial" w:cs="Arial"/>
          <w:sz w:val="20"/>
          <w:szCs w:val="20"/>
        </w:rPr>
        <w:t xml:space="preserve">The programme had </w:t>
      </w:r>
      <w:r w:rsidR="00992F07" w:rsidRPr="00F15C05">
        <w:rPr>
          <w:rFonts w:ascii="Arial" w:hAnsi="Arial" w:cs="Arial"/>
          <w:sz w:val="20"/>
          <w:szCs w:val="20"/>
        </w:rPr>
        <w:t>five</w:t>
      </w:r>
      <w:r w:rsidR="00E522B0" w:rsidRPr="00F15C05">
        <w:rPr>
          <w:rFonts w:ascii="Arial" w:hAnsi="Arial" w:cs="Arial"/>
          <w:sz w:val="20"/>
          <w:szCs w:val="20"/>
        </w:rPr>
        <w:t xml:space="preserve"> targets during the </w:t>
      </w:r>
      <w:r w:rsidR="00992F07" w:rsidRPr="00F15C05">
        <w:rPr>
          <w:rFonts w:ascii="Arial" w:hAnsi="Arial" w:cs="Arial"/>
          <w:sz w:val="20"/>
          <w:szCs w:val="20"/>
        </w:rPr>
        <w:t>Q</w:t>
      </w:r>
      <w:r w:rsidR="00E522B0" w:rsidRPr="00F15C05">
        <w:rPr>
          <w:rFonts w:ascii="Arial" w:hAnsi="Arial" w:cs="Arial"/>
          <w:sz w:val="20"/>
          <w:szCs w:val="20"/>
        </w:rPr>
        <w:t>uarter under review.</w:t>
      </w:r>
      <w:r w:rsidR="00992F07" w:rsidRPr="00F15C05">
        <w:rPr>
          <w:rFonts w:ascii="Arial" w:hAnsi="Arial" w:cs="Arial"/>
          <w:sz w:val="20"/>
          <w:szCs w:val="20"/>
        </w:rPr>
        <w:t xml:space="preserve"> The programme achieved two or 40 per cent of the planned targets.</w:t>
      </w:r>
    </w:p>
    <w:p w:rsidR="00992F07" w:rsidRPr="00F15C05" w:rsidRDefault="00992F07" w:rsidP="00F15C05">
      <w:pPr>
        <w:spacing w:after="0" w:line="240" w:lineRule="auto"/>
        <w:rPr>
          <w:rFonts w:ascii="Arial" w:hAnsi="Arial" w:cs="Arial"/>
          <w:sz w:val="20"/>
          <w:szCs w:val="20"/>
        </w:rPr>
      </w:pPr>
      <w:r w:rsidRPr="00F15C05">
        <w:rPr>
          <w:rFonts w:ascii="Arial" w:hAnsi="Arial" w:cs="Arial"/>
          <w:sz w:val="20"/>
          <w:szCs w:val="20"/>
        </w:rPr>
        <w:t>Targets not achieved include:</w:t>
      </w:r>
    </w:p>
    <w:p w:rsidR="00B5336D" w:rsidRPr="00F15C05" w:rsidRDefault="00992F07" w:rsidP="00F15C05">
      <w:pPr>
        <w:pStyle w:val="ListParagraph"/>
        <w:numPr>
          <w:ilvl w:val="0"/>
          <w:numId w:val="38"/>
        </w:numPr>
        <w:spacing w:after="0" w:line="240" w:lineRule="auto"/>
        <w:ind w:left="357" w:hanging="357"/>
        <w:rPr>
          <w:rFonts w:ascii="Arial" w:hAnsi="Arial" w:cs="Arial"/>
          <w:sz w:val="20"/>
          <w:szCs w:val="20"/>
        </w:rPr>
      </w:pPr>
      <w:r w:rsidRPr="00F15C05">
        <w:rPr>
          <w:rFonts w:ascii="Arial" w:hAnsi="Arial" w:cs="Arial"/>
          <w:sz w:val="20"/>
          <w:szCs w:val="20"/>
        </w:rPr>
        <w:t>Number (266 424) of students enrolled in CET colleges annually</w:t>
      </w:r>
      <w:r w:rsidR="00B5336D" w:rsidRPr="00F15C05">
        <w:rPr>
          <w:rFonts w:ascii="Arial" w:hAnsi="Arial" w:cs="Arial"/>
          <w:sz w:val="20"/>
          <w:szCs w:val="20"/>
        </w:rPr>
        <w:t xml:space="preserve">, (actual target was 143 031). The underachievement was ascribed to less emphasis placed on programme diversification and responsiveness to the community needs, Colleges were under resourced and under marketed; </w:t>
      </w:r>
    </w:p>
    <w:p w:rsidR="00992F07" w:rsidRPr="00F15C05" w:rsidRDefault="00992F07" w:rsidP="00F15C05">
      <w:pPr>
        <w:pStyle w:val="ListParagraph"/>
        <w:numPr>
          <w:ilvl w:val="0"/>
          <w:numId w:val="38"/>
        </w:numPr>
        <w:spacing w:after="0" w:line="240" w:lineRule="auto"/>
        <w:ind w:left="357" w:hanging="357"/>
        <w:rPr>
          <w:rFonts w:ascii="Arial" w:hAnsi="Arial" w:cs="Arial"/>
          <w:sz w:val="20"/>
          <w:szCs w:val="20"/>
        </w:rPr>
      </w:pPr>
      <w:r w:rsidRPr="00F15C05">
        <w:rPr>
          <w:rFonts w:ascii="Arial" w:hAnsi="Arial" w:cs="Arial"/>
          <w:sz w:val="20"/>
          <w:szCs w:val="20"/>
        </w:rPr>
        <w:t>Number (40 000) of CET college students completing GETC: Level 4 annually</w:t>
      </w:r>
      <w:r w:rsidR="00B5336D" w:rsidRPr="00F15C05">
        <w:rPr>
          <w:rFonts w:ascii="Arial" w:hAnsi="Arial" w:cs="Arial"/>
          <w:sz w:val="20"/>
          <w:szCs w:val="20"/>
        </w:rPr>
        <w:t xml:space="preserve">, (actual achievement was 10 611). The underachievement was attributed to the under resourcing and under marketing of colleges; and </w:t>
      </w:r>
    </w:p>
    <w:p w:rsidR="00992F07" w:rsidRPr="00F15C05" w:rsidRDefault="00992F07" w:rsidP="00F15C05">
      <w:pPr>
        <w:pStyle w:val="ListParagraph"/>
        <w:numPr>
          <w:ilvl w:val="0"/>
          <w:numId w:val="38"/>
        </w:numPr>
        <w:spacing w:after="0" w:line="240" w:lineRule="auto"/>
        <w:ind w:left="357" w:hanging="357"/>
        <w:rPr>
          <w:rFonts w:ascii="Arial" w:hAnsi="Arial" w:cs="Arial"/>
          <w:sz w:val="20"/>
          <w:szCs w:val="20"/>
        </w:rPr>
      </w:pPr>
      <w:r w:rsidRPr="00F15C05">
        <w:rPr>
          <w:rFonts w:ascii="Arial" w:hAnsi="Arial" w:cs="Arial"/>
          <w:sz w:val="20"/>
          <w:szCs w:val="20"/>
        </w:rPr>
        <w:t>Percentage (100%)</w:t>
      </w:r>
      <w:r w:rsidRPr="00F15C05">
        <w:rPr>
          <w:rFonts w:ascii="Arial" w:hAnsi="Arial" w:cs="Arial"/>
          <w:b/>
          <w:sz w:val="20"/>
          <w:szCs w:val="20"/>
        </w:rPr>
        <w:t xml:space="preserve"> </w:t>
      </w:r>
      <w:r w:rsidRPr="00F15C05">
        <w:rPr>
          <w:rFonts w:ascii="Arial" w:hAnsi="Arial" w:cs="Arial"/>
          <w:sz w:val="20"/>
          <w:szCs w:val="20"/>
        </w:rPr>
        <w:t>of CET colleges compliant with the policy on the conduct and management of examination and assessment</w:t>
      </w:r>
      <w:r w:rsidR="00B5336D" w:rsidRPr="00F15C05">
        <w:rPr>
          <w:rFonts w:ascii="Arial" w:hAnsi="Arial" w:cs="Arial"/>
          <w:sz w:val="20"/>
          <w:szCs w:val="20"/>
        </w:rPr>
        <w:t xml:space="preserve">. </w:t>
      </w:r>
      <w:r w:rsidR="00CA628B" w:rsidRPr="00F15C05">
        <w:rPr>
          <w:rFonts w:ascii="Arial" w:hAnsi="Arial" w:cs="Arial"/>
          <w:sz w:val="20"/>
          <w:szCs w:val="20"/>
        </w:rPr>
        <w:t>The e</w:t>
      </w:r>
      <w:r w:rsidR="00B5336D" w:rsidRPr="00F15C05">
        <w:rPr>
          <w:rFonts w:ascii="Arial" w:hAnsi="Arial" w:cs="Arial"/>
          <w:sz w:val="20"/>
          <w:szCs w:val="20"/>
        </w:rPr>
        <w:t xml:space="preserve">xamination process for CET colleges was still in progress during the Quarter under review. </w:t>
      </w:r>
    </w:p>
    <w:p w:rsidR="001744F3" w:rsidRPr="00F15C05" w:rsidRDefault="007D7ACD" w:rsidP="00F15C05">
      <w:pPr>
        <w:spacing w:after="0" w:line="240" w:lineRule="auto"/>
        <w:rPr>
          <w:rFonts w:ascii="Arial" w:hAnsi="Arial" w:cs="Arial"/>
          <w:sz w:val="20"/>
          <w:szCs w:val="20"/>
        </w:rPr>
      </w:pPr>
      <w:r w:rsidRPr="00F15C05">
        <w:rPr>
          <w:rFonts w:ascii="Arial" w:hAnsi="Arial" w:cs="Arial"/>
          <w:sz w:val="20"/>
          <w:szCs w:val="20"/>
        </w:rPr>
        <w:t xml:space="preserve">At the end of the </w:t>
      </w:r>
      <w:r w:rsidR="008F6758" w:rsidRPr="00F15C05">
        <w:rPr>
          <w:rFonts w:ascii="Arial" w:hAnsi="Arial" w:cs="Arial"/>
          <w:sz w:val="20"/>
          <w:szCs w:val="20"/>
        </w:rPr>
        <w:t>2022/23</w:t>
      </w:r>
      <w:r w:rsidRPr="00F15C05">
        <w:rPr>
          <w:rFonts w:ascii="Arial" w:hAnsi="Arial" w:cs="Arial"/>
          <w:sz w:val="20"/>
          <w:szCs w:val="20"/>
        </w:rPr>
        <w:t xml:space="preserve"> Third-Quarte</w:t>
      </w:r>
      <w:r w:rsidR="008F6758" w:rsidRPr="00F15C05">
        <w:rPr>
          <w:rFonts w:ascii="Arial" w:hAnsi="Arial" w:cs="Arial"/>
          <w:sz w:val="20"/>
          <w:szCs w:val="20"/>
        </w:rPr>
        <w:t>r, the programme had spent R1,970</w:t>
      </w:r>
      <w:r w:rsidRPr="00F15C05">
        <w:rPr>
          <w:rFonts w:ascii="Arial" w:hAnsi="Arial" w:cs="Arial"/>
          <w:sz w:val="20"/>
          <w:szCs w:val="20"/>
        </w:rPr>
        <w:t xml:space="preserve"> billion, against the quarterly projected </w:t>
      </w:r>
      <w:r w:rsidR="008F6758" w:rsidRPr="00F15C05">
        <w:rPr>
          <w:rFonts w:ascii="Arial" w:hAnsi="Arial" w:cs="Arial"/>
          <w:sz w:val="20"/>
          <w:szCs w:val="20"/>
        </w:rPr>
        <w:t>expenditure of R1,925</w:t>
      </w:r>
      <w:r w:rsidRPr="00F15C05">
        <w:rPr>
          <w:rFonts w:ascii="Arial" w:hAnsi="Arial" w:cs="Arial"/>
          <w:sz w:val="20"/>
          <w:szCs w:val="20"/>
        </w:rPr>
        <w:t xml:space="preserve"> billion, recording </w:t>
      </w:r>
      <w:r w:rsidR="008F6758" w:rsidRPr="00F15C05">
        <w:rPr>
          <w:rFonts w:ascii="Arial" w:hAnsi="Arial" w:cs="Arial"/>
          <w:sz w:val="20"/>
          <w:szCs w:val="20"/>
        </w:rPr>
        <w:t>higher</w:t>
      </w:r>
      <w:r w:rsidRPr="00F15C05">
        <w:rPr>
          <w:rFonts w:ascii="Arial" w:hAnsi="Arial" w:cs="Arial"/>
          <w:sz w:val="20"/>
          <w:szCs w:val="20"/>
        </w:rPr>
        <w:t xml:space="preserve"> than projected spending amounting to R</w:t>
      </w:r>
      <w:r w:rsidR="008F6758" w:rsidRPr="00F15C05">
        <w:rPr>
          <w:rFonts w:ascii="Arial" w:hAnsi="Arial" w:cs="Arial"/>
          <w:sz w:val="20"/>
          <w:szCs w:val="20"/>
        </w:rPr>
        <w:t>44,6</w:t>
      </w:r>
      <w:r w:rsidRPr="00F15C05">
        <w:rPr>
          <w:rFonts w:ascii="Arial" w:hAnsi="Arial" w:cs="Arial"/>
          <w:sz w:val="20"/>
          <w:szCs w:val="20"/>
        </w:rPr>
        <w:t xml:space="preserve"> million or </w:t>
      </w:r>
      <w:r w:rsidR="008F6758" w:rsidRPr="00F15C05">
        <w:rPr>
          <w:rFonts w:ascii="Arial" w:hAnsi="Arial" w:cs="Arial"/>
          <w:sz w:val="20"/>
          <w:szCs w:val="20"/>
        </w:rPr>
        <w:t>2.3</w:t>
      </w:r>
      <w:r w:rsidRPr="00F15C05">
        <w:rPr>
          <w:rFonts w:ascii="Arial" w:hAnsi="Arial" w:cs="Arial"/>
          <w:sz w:val="20"/>
          <w:szCs w:val="20"/>
        </w:rPr>
        <w:t xml:space="preserve"> per cent. The </w:t>
      </w:r>
      <w:r w:rsidR="008F6758" w:rsidRPr="00F15C05">
        <w:rPr>
          <w:rFonts w:ascii="Arial" w:hAnsi="Arial" w:cs="Arial"/>
          <w:sz w:val="20"/>
          <w:szCs w:val="20"/>
        </w:rPr>
        <w:t xml:space="preserve">higher than projected spending </w:t>
      </w:r>
      <w:r w:rsidRPr="00F15C05">
        <w:rPr>
          <w:rFonts w:ascii="Arial" w:hAnsi="Arial" w:cs="Arial"/>
          <w:sz w:val="20"/>
          <w:szCs w:val="20"/>
        </w:rPr>
        <w:t xml:space="preserve">was ascribed to the </w:t>
      </w:r>
      <w:r w:rsidR="008F6758" w:rsidRPr="00F15C05">
        <w:rPr>
          <w:rFonts w:ascii="Arial" w:hAnsi="Arial" w:cs="Arial"/>
          <w:sz w:val="20"/>
          <w:szCs w:val="20"/>
        </w:rPr>
        <w:t xml:space="preserve">implementation of the standardisation of CTE lecturer posts to the nearest notch being back-dated to 01 April 2022. </w:t>
      </w:r>
    </w:p>
    <w:p w:rsidR="00371148" w:rsidRPr="00F15C05" w:rsidRDefault="00371148" w:rsidP="00F15C05">
      <w:pPr>
        <w:spacing w:after="0" w:line="240" w:lineRule="auto"/>
        <w:rPr>
          <w:rFonts w:ascii="Arial" w:hAnsi="Arial" w:cs="Arial"/>
          <w:sz w:val="20"/>
          <w:szCs w:val="20"/>
        </w:rPr>
      </w:pPr>
    </w:p>
    <w:p w:rsidR="00986A85" w:rsidRPr="00F15C05" w:rsidRDefault="00986A85" w:rsidP="00F15C05">
      <w:pPr>
        <w:pStyle w:val="ListParagraph"/>
        <w:numPr>
          <w:ilvl w:val="0"/>
          <w:numId w:val="20"/>
        </w:numPr>
        <w:spacing w:after="0" w:line="240" w:lineRule="auto"/>
        <w:rPr>
          <w:rFonts w:ascii="Arial" w:hAnsi="Arial" w:cs="Arial"/>
          <w:b/>
          <w:sz w:val="20"/>
          <w:szCs w:val="20"/>
        </w:rPr>
      </w:pPr>
      <w:r w:rsidRPr="00F15C05">
        <w:rPr>
          <w:rFonts w:ascii="Arial" w:hAnsi="Arial" w:cs="Arial"/>
          <w:b/>
          <w:sz w:val="20"/>
          <w:szCs w:val="20"/>
        </w:rPr>
        <w:t>O</w:t>
      </w:r>
      <w:r w:rsidR="00507B1E" w:rsidRPr="00F15C05">
        <w:rPr>
          <w:rFonts w:ascii="Arial" w:hAnsi="Arial" w:cs="Arial"/>
          <w:b/>
          <w:sz w:val="20"/>
          <w:szCs w:val="20"/>
        </w:rPr>
        <w:t>BSERVATIONS</w:t>
      </w:r>
    </w:p>
    <w:p w:rsidR="00F73C0C" w:rsidRPr="00F15C05" w:rsidRDefault="00986A85" w:rsidP="00F15C05">
      <w:pPr>
        <w:spacing w:after="0" w:line="240" w:lineRule="auto"/>
        <w:rPr>
          <w:rFonts w:ascii="Arial" w:hAnsi="Arial" w:cs="Arial"/>
          <w:sz w:val="20"/>
          <w:szCs w:val="20"/>
        </w:rPr>
      </w:pPr>
      <w:r w:rsidRPr="00F15C05">
        <w:rPr>
          <w:rFonts w:ascii="Arial" w:hAnsi="Arial" w:cs="Arial"/>
          <w:sz w:val="20"/>
          <w:szCs w:val="20"/>
        </w:rPr>
        <w:t xml:space="preserve">The Portfolio Committee having considered the </w:t>
      </w:r>
      <w:r w:rsidR="001C3C5A" w:rsidRPr="00F15C05">
        <w:rPr>
          <w:rFonts w:ascii="Arial" w:hAnsi="Arial" w:cs="Arial"/>
          <w:sz w:val="20"/>
          <w:szCs w:val="20"/>
        </w:rPr>
        <w:t>2022/23</w:t>
      </w:r>
      <w:r w:rsidR="00CB207F" w:rsidRPr="00F15C05">
        <w:rPr>
          <w:rFonts w:ascii="Arial" w:hAnsi="Arial" w:cs="Arial"/>
          <w:sz w:val="20"/>
          <w:szCs w:val="20"/>
        </w:rPr>
        <w:t xml:space="preserve"> </w:t>
      </w:r>
      <w:r w:rsidR="000E1D11" w:rsidRPr="00F15C05">
        <w:rPr>
          <w:rFonts w:ascii="Arial" w:hAnsi="Arial" w:cs="Arial"/>
          <w:sz w:val="20"/>
          <w:szCs w:val="20"/>
        </w:rPr>
        <w:t>Third Q</w:t>
      </w:r>
      <w:r w:rsidRPr="00F15C05">
        <w:rPr>
          <w:rFonts w:ascii="Arial" w:hAnsi="Arial" w:cs="Arial"/>
          <w:sz w:val="20"/>
          <w:szCs w:val="20"/>
        </w:rPr>
        <w:t>uarter</w:t>
      </w:r>
      <w:r w:rsidR="00B86393" w:rsidRPr="00F15C05">
        <w:rPr>
          <w:rFonts w:ascii="Arial" w:hAnsi="Arial" w:cs="Arial"/>
          <w:sz w:val="20"/>
          <w:szCs w:val="20"/>
        </w:rPr>
        <w:t xml:space="preserve"> </w:t>
      </w:r>
      <w:r w:rsidR="001C3C5A" w:rsidRPr="00F15C05">
        <w:rPr>
          <w:rFonts w:ascii="Arial" w:hAnsi="Arial" w:cs="Arial"/>
          <w:sz w:val="20"/>
          <w:szCs w:val="20"/>
        </w:rPr>
        <w:t>expenditure and non-financial performance report of the Department of Higher Education and Training</w:t>
      </w:r>
      <w:r w:rsidR="00B86393" w:rsidRPr="00F15C05">
        <w:rPr>
          <w:rFonts w:ascii="Arial" w:hAnsi="Arial" w:cs="Arial"/>
          <w:sz w:val="20"/>
          <w:szCs w:val="20"/>
        </w:rPr>
        <w:t>,</w:t>
      </w:r>
      <w:r w:rsidRPr="00F15C05">
        <w:rPr>
          <w:rFonts w:ascii="Arial" w:hAnsi="Arial" w:cs="Arial"/>
          <w:sz w:val="20"/>
          <w:szCs w:val="20"/>
        </w:rPr>
        <w:t xml:space="preserve"> ma</w:t>
      </w:r>
      <w:r w:rsidR="000E1D11" w:rsidRPr="00F15C05">
        <w:rPr>
          <w:rFonts w:ascii="Arial" w:hAnsi="Arial" w:cs="Arial"/>
          <w:sz w:val="20"/>
          <w:szCs w:val="20"/>
        </w:rPr>
        <w:t>kes</w:t>
      </w:r>
      <w:r w:rsidRPr="00F15C05">
        <w:rPr>
          <w:rFonts w:ascii="Arial" w:hAnsi="Arial" w:cs="Arial"/>
          <w:sz w:val="20"/>
          <w:szCs w:val="20"/>
        </w:rPr>
        <w:t xml:space="preserve"> the following observations:</w:t>
      </w:r>
    </w:p>
    <w:p w:rsidR="007B34B8" w:rsidRPr="00F15C05" w:rsidRDefault="00B86393" w:rsidP="00F15C05">
      <w:pPr>
        <w:spacing w:after="0" w:line="240" w:lineRule="auto"/>
        <w:rPr>
          <w:rFonts w:ascii="Arial" w:hAnsi="Arial" w:cs="Arial"/>
          <w:b/>
          <w:sz w:val="20"/>
          <w:szCs w:val="20"/>
        </w:rPr>
      </w:pPr>
      <w:r w:rsidRPr="00F15C05">
        <w:rPr>
          <w:rFonts w:ascii="Arial" w:hAnsi="Arial" w:cs="Arial"/>
          <w:b/>
          <w:sz w:val="20"/>
          <w:szCs w:val="20"/>
        </w:rPr>
        <w:t>3</w:t>
      </w:r>
      <w:r w:rsidR="00986A85" w:rsidRPr="00F15C05">
        <w:rPr>
          <w:rFonts w:ascii="Arial" w:hAnsi="Arial" w:cs="Arial"/>
          <w:b/>
          <w:sz w:val="20"/>
          <w:szCs w:val="20"/>
        </w:rPr>
        <w:t>.1.</w:t>
      </w:r>
      <w:r w:rsidR="00986A85" w:rsidRPr="00F15C05">
        <w:rPr>
          <w:rFonts w:ascii="Arial" w:hAnsi="Arial" w:cs="Arial"/>
          <w:b/>
          <w:sz w:val="20"/>
          <w:szCs w:val="20"/>
        </w:rPr>
        <w:tab/>
      </w:r>
      <w:r w:rsidR="00A431B5" w:rsidRPr="00F15C05">
        <w:rPr>
          <w:rFonts w:ascii="Arial" w:hAnsi="Arial" w:cs="Arial"/>
          <w:b/>
          <w:sz w:val="20"/>
          <w:szCs w:val="20"/>
        </w:rPr>
        <w:t xml:space="preserve">Programme 1: </w:t>
      </w:r>
      <w:r w:rsidR="007B34B8" w:rsidRPr="00F15C05">
        <w:rPr>
          <w:rFonts w:ascii="Arial" w:hAnsi="Arial" w:cs="Arial"/>
          <w:b/>
          <w:sz w:val="20"/>
          <w:szCs w:val="20"/>
        </w:rPr>
        <w:t>Administration</w:t>
      </w:r>
    </w:p>
    <w:p w:rsidR="00371148" w:rsidRPr="00F15C05" w:rsidRDefault="007B34B8" w:rsidP="00F15C05">
      <w:pPr>
        <w:pStyle w:val="ListParagraph"/>
        <w:spacing w:after="0" w:line="240" w:lineRule="auto"/>
        <w:ind w:left="0"/>
        <w:rPr>
          <w:rFonts w:ascii="Arial" w:hAnsi="Arial" w:cs="Arial"/>
          <w:b/>
          <w:sz w:val="20"/>
          <w:szCs w:val="20"/>
        </w:rPr>
      </w:pPr>
      <w:r w:rsidRPr="00F15C05">
        <w:rPr>
          <w:rFonts w:ascii="Arial" w:hAnsi="Arial" w:cs="Arial"/>
          <w:sz w:val="20"/>
          <w:szCs w:val="20"/>
        </w:rPr>
        <w:t>3.1.1.</w:t>
      </w:r>
      <w:r w:rsidRPr="00F15C05">
        <w:rPr>
          <w:rFonts w:ascii="Arial" w:hAnsi="Arial" w:cs="Arial"/>
          <w:b/>
          <w:sz w:val="20"/>
          <w:szCs w:val="20"/>
        </w:rPr>
        <w:tab/>
      </w:r>
      <w:r w:rsidR="00371148" w:rsidRPr="00F15C05">
        <w:rPr>
          <w:rFonts w:ascii="Arial" w:hAnsi="Arial" w:cs="Arial"/>
          <w:sz w:val="20"/>
          <w:szCs w:val="20"/>
        </w:rPr>
        <w:t xml:space="preserve">The delays in the payment of valid invoices received from service providers within 30 </w:t>
      </w:r>
      <w:r w:rsidR="00371148" w:rsidRPr="00F15C05">
        <w:rPr>
          <w:rFonts w:ascii="Arial" w:hAnsi="Arial" w:cs="Arial"/>
          <w:sz w:val="20"/>
          <w:szCs w:val="20"/>
        </w:rPr>
        <w:tab/>
        <w:t xml:space="preserve">days was noted as a serious concern. The Committee noted that small businesses do not </w:t>
      </w:r>
      <w:r w:rsidR="00371148" w:rsidRPr="00F15C05">
        <w:rPr>
          <w:rFonts w:ascii="Arial" w:hAnsi="Arial" w:cs="Arial"/>
          <w:sz w:val="20"/>
          <w:szCs w:val="20"/>
        </w:rPr>
        <w:tab/>
        <w:t xml:space="preserve">have sufficient financial reserves to cover operational expenditures and the delays with </w:t>
      </w:r>
      <w:r w:rsidR="00371148" w:rsidRPr="00F15C05">
        <w:rPr>
          <w:rFonts w:ascii="Arial" w:hAnsi="Arial" w:cs="Arial"/>
          <w:sz w:val="20"/>
          <w:szCs w:val="20"/>
        </w:rPr>
        <w:tab/>
        <w:t xml:space="preserve">the payment of their invoices pose a huge risk on their sustainability. It was further </w:t>
      </w:r>
      <w:r w:rsidR="00371148" w:rsidRPr="00F15C05">
        <w:rPr>
          <w:rFonts w:ascii="Arial" w:hAnsi="Arial" w:cs="Arial"/>
          <w:sz w:val="20"/>
          <w:szCs w:val="20"/>
        </w:rPr>
        <w:tab/>
        <w:t xml:space="preserve">noted that the reasons provided by the Department for non-payment of invoices were </w:t>
      </w:r>
      <w:r w:rsidR="00371148" w:rsidRPr="00F15C05">
        <w:rPr>
          <w:rFonts w:ascii="Arial" w:hAnsi="Arial" w:cs="Arial"/>
          <w:sz w:val="20"/>
          <w:szCs w:val="20"/>
        </w:rPr>
        <w:tab/>
      </w:r>
      <w:r w:rsidR="003F5D39" w:rsidRPr="00F15C05">
        <w:rPr>
          <w:rFonts w:ascii="Arial" w:hAnsi="Arial" w:cs="Arial"/>
          <w:sz w:val="20"/>
          <w:szCs w:val="20"/>
        </w:rPr>
        <w:t xml:space="preserve">inadequate </w:t>
      </w:r>
      <w:r w:rsidR="00371148" w:rsidRPr="00F15C05">
        <w:rPr>
          <w:rFonts w:ascii="Arial" w:hAnsi="Arial" w:cs="Arial"/>
          <w:sz w:val="20"/>
          <w:szCs w:val="20"/>
        </w:rPr>
        <w:t>and a clear dereliction of duties by some officials of the Department.</w:t>
      </w:r>
    </w:p>
    <w:p w:rsidR="00371148" w:rsidRPr="00F15C05" w:rsidRDefault="007B34B8" w:rsidP="00F15C05">
      <w:pPr>
        <w:pStyle w:val="ListParagraph"/>
        <w:spacing w:after="0" w:line="240" w:lineRule="auto"/>
        <w:ind w:left="0"/>
        <w:rPr>
          <w:rFonts w:ascii="Arial" w:hAnsi="Arial" w:cs="Arial"/>
          <w:b/>
          <w:sz w:val="20"/>
          <w:szCs w:val="20"/>
        </w:rPr>
      </w:pPr>
      <w:r w:rsidRPr="00F15C05">
        <w:rPr>
          <w:rFonts w:ascii="Arial" w:hAnsi="Arial" w:cs="Arial"/>
          <w:sz w:val="20"/>
          <w:szCs w:val="20"/>
        </w:rPr>
        <w:t>3.1.2.</w:t>
      </w:r>
      <w:r w:rsidRPr="00F15C05">
        <w:rPr>
          <w:rFonts w:ascii="Arial" w:hAnsi="Arial" w:cs="Arial"/>
          <w:sz w:val="20"/>
          <w:szCs w:val="20"/>
        </w:rPr>
        <w:tab/>
      </w:r>
      <w:r w:rsidR="00371148" w:rsidRPr="00F15C05">
        <w:rPr>
          <w:rFonts w:ascii="Arial" w:hAnsi="Arial" w:cs="Arial"/>
          <w:sz w:val="20"/>
          <w:szCs w:val="20"/>
        </w:rPr>
        <w:t xml:space="preserve">The delays by the Department in resolving 80 percent of disciplinary cases within 90 </w:t>
      </w:r>
      <w:r w:rsidR="00371148" w:rsidRPr="00F15C05">
        <w:rPr>
          <w:rFonts w:ascii="Arial" w:hAnsi="Arial" w:cs="Arial"/>
          <w:sz w:val="20"/>
          <w:szCs w:val="20"/>
        </w:rPr>
        <w:tab/>
        <w:t xml:space="preserve">days was concerning. The Committee was concerned that some officials implicated </w:t>
      </w:r>
      <w:r w:rsidR="006C4772" w:rsidRPr="00F15C05">
        <w:rPr>
          <w:rFonts w:ascii="Arial" w:hAnsi="Arial" w:cs="Arial"/>
          <w:sz w:val="20"/>
          <w:szCs w:val="20"/>
        </w:rPr>
        <w:tab/>
      </w:r>
      <w:r w:rsidR="00371148" w:rsidRPr="00F15C05">
        <w:rPr>
          <w:rFonts w:ascii="Arial" w:hAnsi="Arial" w:cs="Arial"/>
          <w:sz w:val="20"/>
          <w:szCs w:val="20"/>
        </w:rPr>
        <w:t xml:space="preserve">in misconduct cases are still enjoying employment benefits pending the finalisation </w:t>
      </w:r>
      <w:r w:rsidR="006C4772" w:rsidRPr="00F15C05">
        <w:rPr>
          <w:rFonts w:ascii="Arial" w:hAnsi="Arial" w:cs="Arial"/>
          <w:sz w:val="20"/>
          <w:szCs w:val="20"/>
        </w:rPr>
        <w:tab/>
      </w:r>
      <w:r w:rsidR="00371148" w:rsidRPr="00F15C05">
        <w:rPr>
          <w:rFonts w:ascii="Arial" w:hAnsi="Arial" w:cs="Arial"/>
          <w:sz w:val="20"/>
          <w:szCs w:val="20"/>
        </w:rPr>
        <w:t xml:space="preserve">of their cases, while additional costs are incurred to pay for those acting in </w:t>
      </w:r>
      <w:r w:rsidR="00371148" w:rsidRPr="00F15C05">
        <w:rPr>
          <w:rFonts w:ascii="Arial" w:hAnsi="Arial" w:cs="Arial"/>
          <w:sz w:val="20"/>
          <w:szCs w:val="20"/>
        </w:rPr>
        <w:tab/>
        <w:t xml:space="preserve">those positions. </w:t>
      </w:r>
    </w:p>
    <w:p w:rsidR="00371148" w:rsidRPr="00F15C05" w:rsidRDefault="007B34B8" w:rsidP="00F15C05">
      <w:pPr>
        <w:pStyle w:val="ListParagraph"/>
        <w:spacing w:after="0" w:line="240" w:lineRule="auto"/>
        <w:ind w:left="0"/>
        <w:rPr>
          <w:rFonts w:ascii="Arial" w:hAnsi="Arial" w:cs="Arial"/>
          <w:b/>
          <w:sz w:val="20"/>
          <w:szCs w:val="20"/>
        </w:rPr>
      </w:pPr>
      <w:r w:rsidRPr="00F15C05">
        <w:rPr>
          <w:rFonts w:ascii="Arial" w:hAnsi="Arial" w:cs="Arial"/>
          <w:sz w:val="20"/>
          <w:szCs w:val="20"/>
        </w:rPr>
        <w:t>3.1.3.</w:t>
      </w:r>
      <w:r w:rsidRPr="00F15C05">
        <w:rPr>
          <w:rFonts w:ascii="Arial" w:hAnsi="Arial" w:cs="Arial"/>
          <w:sz w:val="20"/>
          <w:szCs w:val="20"/>
        </w:rPr>
        <w:tab/>
      </w:r>
      <w:r w:rsidR="00371148" w:rsidRPr="00F15C05">
        <w:rPr>
          <w:rFonts w:ascii="Arial" w:hAnsi="Arial" w:cs="Arial"/>
          <w:sz w:val="20"/>
          <w:szCs w:val="20"/>
        </w:rPr>
        <w:t xml:space="preserve">The impact of load-shedding on the operations of the Department was noted as a </w:t>
      </w:r>
      <w:r w:rsidR="00371148" w:rsidRPr="00F15C05">
        <w:rPr>
          <w:rFonts w:ascii="Arial" w:hAnsi="Arial" w:cs="Arial"/>
          <w:sz w:val="20"/>
          <w:szCs w:val="20"/>
        </w:rPr>
        <w:tab/>
        <w:t xml:space="preserve">concern and the Committee indicated that the Department ought to </w:t>
      </w:r>
      <w:r w:rsidR="00CA628B" w:rsidRPr="00F15C05">
        <w:rPr>
          <w:rFonts w:ascii="Arial" w:hAnsi="Arial" w:cs="Arial"/>
          <w:sz w:val="20"/>
          <w:szCs w:val="20"/>
        </w:rPr>
        <w:t>find</w:t>
      </w:r>
      <w:r w:rsidR="00371148" w:rsidRPr="00F15C05">
        <w:rPr>
          <w:rFonts w:ascii="Arial" w:hAnsi="Arial" w:cs="Arial"/>
          <w:sz w:val="20"/>
          <w:szCs w:val="20"/>
        </w:rPr>
        <w:t xml:space="preserve"> </w:t>
      </w:r>
      <w:r w:rsidR="00371148" w:rsidRPr="00F15C05">
        <w:rPr>
          <w:rFonts w:ascii="Arial" w:hAnsi="Arial" w:cs="Arial"/>
          <w:sz w:val="20"/>
          <w:szCs w:val="20"/>
        </w:rPr>
        <w:tab/>
        <w:t xml:space="preserve">mechanisms to mitigate against the disruption caused by power cuts. The Committee </w:t>
      </w:r>
      <w:r w:rsidR="00371148" w:rsidRPr="00F15C05">
        <w:rPr>
          <w:rFonts w:ascii="Arial" w:hAnsi="Arial" w:cs="Arial"/>
          <w:sz w:val="20"/>
          <w:szCs w:val="20"/>
        </w:rPr>
        <w:tab/>
        <w:t xml:space="preserve">also welcomed the Department’s plans to move out of its Head Office and procure new </w:t>
      </w:r>
      <w:r w:rsidR="00371148" w:rsidRPr="00F15C05">
        <w:rPr>
          <w:rFonts w:ascii="Arial" w:hAnsi="Arial" w:cs="Arial"/>
          <w:sz w:val="20"/>
          <w:szCs w:val="20"/>
        </w:rPr>
        <w:tab/>
        <w:t xml:space="preserve">Office space, </w:t>
      </w:r>
      <w:r w:rsidR="00371148" w:rsidRPr="00F15C05">
        <w:rPr>
          <w:rFonts w:ascii="Arial" w:hAnsi="Arial" w:cs="Arial"/>
          <w:sz w:val="20"/>
          <w:szCs w:val="20"/>
        </w:rPr>
        <w:tab/>
        <w:t xml:space="preserve">which would have reliable power supply and alternative energy sources </w:t>
      </w:r>
      <w:r w:rsidR="00371148" w:rsidRPr="00F15C05">
        <w:rPr>
          <w:rFonts w:ascii="Arial" w:hAnsi="Arial" w:cs="Arial"/>
          <w:sz w:val="20"/>
          <w:szCs w:val="20"/>
        </w:rPr>
        <w:tab/>
        <w:t>to minimise disruption to its operations.</w:t>
      </w:r>
    </w:p>
    <w:p w:rsidR="00236AD6" w:rsidRPr="00F15C05" w:rsidRDefault="007B34B8" w:rsidP="00F15C05">
      <w:pPr>
        <w:pStyle w:val="ListParagraph"/>
        <w:spacing w:after="0" w:line="240" w:lineRule="auto"/>
        <w:ind w:left="0"/>
        <w:rPr>
          <w:rFonts w:ascii="Arial" w:hAnsi="Arial" w:cs="Arial"/>
          <w:b/>
          <w:sz w:val="20"/>
          <w:szCs w:val="20"/>
        </w:rPr>
      </w:pPr>
      <w:r w:rsidRPr="00F15C05">
        <w:rPr>
          <w:rFonts w:ascii="Arial" w:hAnsi="Arial" w:cs="Arial"/>
          <w:sz w:val="20"/>
          <w:szCs w:val="20"/>
        </w:rPr>
        <w:t xml:space="preserve">3.1.4. </w:t>
      </w:r>
      <w:r w:rsidR="00236AD6" w:rsidRPr="00F15C05">
        <w:rPr>
          <w:rFonts w:ascii="Arial" w:hAnsi="Arial" w:cs="Arial"/>
          <w:sz w:val="20"/>
          <w:szCs w:val="20"/>
        </w:rPr>
        <w:t xml:space="preserve">The delays with the filling of vacant positions especially those located at institutional </w:t>
      </w:r>
      <w:r w:rsidR="00236AD6" w:rsidRPr="00F15C05">
        <w:rPr>
          <w:rFonts w:ascii="Arial" w:hAnsi="Arial" w:cs="Arial"/>
          <w:sz w:val="20"/>
          <w:szCs w:val="20"/>
        </w:rPr>
        <w:tab/>
        <w:t>level (TVET colleges) was noted as a continuous concern.</w:t>
      </w:r>
    </w:p>
    <w:p w:rsidR="0032103E" w:rsidRPr="00F15C05" w:rsidRDefault="0032103E" w:rsidP="00F15C05">
      <w:pPr>
        <w:pStyle w:val="ListParagraph"/>
        <w:spacing w:after="0" w:line="240" w:lineRule="auto"/>
        <w:ind w:left="0"/>
        <w:rPr>
          <w:rFonts w:ascii="Arial" w:hAnsi="Arial" w:cs="Arial"/>
          <w:b/>
          <w:sz w:val="20"/>
          <w:szCs w:val="20"/>
        </w:rPr>
      </w:pPr>
    </w:p>
    <w:p w:rsidR="00F73C0C" w:rsidRPr="00F15C05" w:rsidRDefault="00F73C0C" w:rsidP="00F15C05">
      <w:pPr>
        <w:pStyle w:val="ListParagraph"/>
        <w:spacing w:after="0" w:line="240" w:lineRule="auto"/>
        <w:ind w:left="0"/>
        <w:rPr>
          <w:rFonts w:ascii="Arial" w:hAnsi="Arial" w:cs="Arial"/>
          <w:b/>
          <w:sz w:val="20"/>
          <w:szCs w:val="20"/>
        </w:rPr>
      </w:pPr>
      <w:r w:rsidRPr="00F15C05">
        <w:rPr>
          <w:rFonts w:ascii="Arial" w:hAnsi="Arial" w:cs="Arial"/>
          <w:b/>
          <w:sz w:val="20"/>
          <w:szCs w:val="20"/>
        </w:rPr>
        <w:t xml:space="preserve">3.2. </w:t>
      </w:r>
      <w:r w:rsidR="00A431B5" w:rsidRPr="00F15C05">
        <w:rPr>
          <w:rFonts w:ascii="Arial" w:hAnsi="Arial" w:cs="Arial"/>
          <w:b/>
          <w:sz w:val="20"/>
          <w:szCs w:val="20"/>
        </w:rPr>
        <w:t xml:space="preserve">Programme 2: </w:t>
      </w:r>
      <w:r w:rsidRPr="00F15C05">
        <w:rPr>
          <w:rFonts w:ascii="Arial" w:hAnsi="Arial" w:cs="Arial"/>
          <w:b/>
          <w:sz w:val="20"/>
          <w:szCs w:val="20"/>
        </w:rPr>
        <w:t>Planning, Policy and Strategy</w:t>
      </w:r>
    </w:p>
    <w:p w:rsidR="00192EE8" w:rsidRPr="00F15C05" w:rsidRDefault="007B34B8" w:rsidP="00F15C05">
      <w:pPr>
        <w:pStyle w:val="ListParagraph"/>
        <w:spacing w:after="0" w:line="240" w:lineRule="auto"/>
        <w:ind w:left="0"/>
        <w:rPr>
          <w:rFonts w:ascii="Arial" w:hAnsi="Arial" w:cs="Arial"/>
          <w:sz w:val="20"/>
          <w:szCs w:val="20"/>
        </w:rPr>
      </w:pPr>
      <w:r w:rsidRPr="00F15C05">
        <w:rPr>
          <w:rFonts w:ascii="Arial" w:hAnsi="Arial" w:cs="Arial"/>
          <w:sz w:val="20"/>
          <w:szCs w:val="20"/>
        </w:rPr>
        <w:lastRenderedPageBreak/>
        <w:t>3.2.1.</w:t>
      </w:r>
      <w:r w:rsidRPr="00F15C05">
        <w:rPr>
          <w:rFonts w:ascii="Arial" w:hAnsi="Arial" w:cs="Arial"/>
          <w:sz w:val="20"/>
          <w:szCs w:val="20"/>
        </w:rPr>
        <w:tab/>
      </w:r>
      <w:r w:rsidR="00192EE8" w:rsidRPr="00F15C05">
        <w:rPr>
          <w:rFonts w:ascii="Arial" w:hAnsi="Arial" w:cs="Arial"/>
          <w:sz w:val="20"/>
          <w:szCs w:val="20"/>
        </w:rPr>
        <w:t xml:space="preserve">Inadequate oversight and monitoring by senior management of the Department over the </w:t>
      </w:r>
      <w:r w:rsidR="00192EE8" w:rsidRPr="00F15C05">
        <w:rPr>
          <w:rFonts w:ascii="Arial" w:hAnsi="Arial" w:cs="Arial"/>
          <w:sz w:val="20"/>
          <w:szCs w:val="20"/>
        </w:rPr>
        <w:tab/>
        <w:t xml:space="preserve">performance of various programmes was cited as one of the major contributors to </w:t>
      </w:r>
      <w:r w:rsidR="00192EE8" w:rsidRPr="00F15C05">
        <w:rPr>
          <w:rFonts w:ascii="Arial" w:hAnsi="Arial" w:cs="Arial"/>
          <w:sz w:val="20"/>
          <w:szCs w:val="20"/>
        </w:rPr>
        <w:tab/>
        <w:t xml:space="preserve">underperformance. It was further noted that the officials responsible for </w:t>
      </w:r>
      <w:r w:rsidR="00CA628B" w:rsidRPr="00F15C05">
        <w:rPr>
          <w:rFonts w:ascii="Arial" w:hAnsi="Arial" w:cs="Arial"/>
          <w:sz w:val="20"/>
          <w:szCs w:val="20"/>
        </w:rPr>
        <w:t xml:space="preserve">the </w:t>
      </w:r>
      <w:r w:rsidR="00192EE8" w:rsidRPr="00F15C05">
        <w:rPr>
          <w:rFonts w:ascii="Arial" w:hAnsi="Arial" w:cs="Arial"/>
          <w:sz w:val="20"/>
          <w:szCs w:val="20"/>
        </w:rPr>
        <w:t xml:space="preserve">dereliction </w:t>
      </w:r>
      <w:r w:rsidR="00CA628B" w:rsidRPr="00F15C05">
        <w:rPr>
          <w:rFonts w:ascii="Arial" w:hAnsi="Arial" w:cs="Arial"/>
          <w:sz w:val="20"/>
          <w:szCs w:val="20"/>
        </w:rPr>
        <w:tab/>
      </w:r>
      <w:r w:rsidR="00192EE8" w:rsidRPr="00F15C05">
        <w:rPr>
          <w:rFonts w:ascii="Arial" w:hAnsi="Arial" w:cs="Arial"/>
          <w:sz w:val="20"/>
          <w:szCs w:val="20"/>
        </w:rPr>
        <w:t>of their duties need to be held accountable for underperformance.</w:t>
      </w:r>
    </w:p>
    <w:p w:rsidR="00192EE8" w:rsidRPr="00F15C05" w:rsidRDefault="007B34B8" w:rsidP="00F15C05">
      <w:pPr>
        <w:pStyle w:val="ListParagraph"/>
        <w:spacing w:after="0" w:line="240" w:lineRule="auto"/>
        <w:ind w:left="0"/>
        <w:rPr>
          <w:rFonts w:ascii="Arial" w:hAnsi="Arial" w:cs="Arial"/>
          <w:sz w:val="20"/>
          <w:szCs w:val="20"/>
        </w:rPr>
      </w:pPr>
      <w:r w:rsidRPr="00F15C05">
        <w:rPr>
          <w:rFonts w:ascii="Arial" w:hAnsi="Arial" w:cs="Arial"/>
          <w:sz w:val="20"/>
          <w:szCs w:val="20"/>
        </w:rPr>
        <w:t>3.2.</w:t>
      </w:r>
      <w:r w:rsidR="00192EE8" w:rsidRPr="00F15C05">
        <w:rPr>
          <w:rFonts w:ascii="Arial" w:hAnsi="Arial" w:cs="Arial"/>
          <w:sz w:val="20"/>
          <w:szCs w:val="20"/>
        </w:rPr>
        <w:t>2</w:t>
      </w:r>
      <w:r w:rsidRPr="00F15C05">
        <w:rPr>
          <w:rFonts w:ascii="Arial" w:hAnsi="Arial" w:cs="Arial"/>
          <w:sz w:val="20"/>
          <w:szCs w:val="20"/>
        </w:rPr>
        <w:t>.</w:t>
      </w:r>
      <w:r w:rsidRPr="00F15C05">
        <w:rPr>
          <w:rFonts w:ascii="Arial" w:hAnsi="Arial" w:cs="Arial"/>
          <w:sz w:val="20"/>
          <w:szCs w:val="20"/>
        </w:rPr>
        <w:tab/>
      </w:r>
      <w:r w:rsidR="00192EE8" w:rsidRPr="00F15C05">
        <w:rPr>
          <w:rFonts w:ascii="Arial" w:hAnsi="Arial" w:cs="Arial"/>
          <w:sz w:val="20"/>
          <w:szCs w:val="20"/>
        </w:rPr>
        <w:t xml:space="preserve">The Committee acknowledged the difficulties experienced by the Department in </w:t>
      </w:r>
      <w:r w:rsidR="00192EE8" w:rsidRPr="00F15C05">
        <w:rPr>
          <w:rFonts w:ascii="Arial" w:hAnsi="Arial" w:cs="Arial"/>
          <w:sz w:val="20"/>
          <w:szCs w:val="20"/>
        </w:rPr>
        <w:tab/>
        <w:t xml:space="preserve">relation to meeting some targets, which were not achieved due to reasons beyond </w:t>
      </w:r>
      <w:r w:rsidR="00192EE8" w:rsidRPr="00F15C05">
        <w:rPr>
          <w:rFonts w:ascii="Arial" w:hAnsi="Arial" w:cs="Arial"/>
          <w:sz w:val="20"/>
          <w:szCs w:val="20"/>
        </w:rPr>
        <w:tab/>
        <w:t xml:space="preserve">the </w:t>
      </w:r>
      <w:r w:rsidR="006C4772" w:rsidRPr="00F15C05">
        <w:rPr>
          <w:rFonts w:ascii="Arial" w:hAnsi="Arial" w:cs="Arial"/>
          <w:sz w:val="20"/>
          <w:szCs w:val="20"/>
        </w:rPr>
        <w:tab/>
      </w:r>
      <w:r w:rsidR="00192EE8" w:rsidRPr="00F15C05">
        <w:rPr>
          <w:rFonts w:ascii="Arial" w:hAnsi="Arial" w:cs="Arial"/>
          <w:sz w:val="20"/>
          <w:szCs w:val="20"/>
        </w:rPr>
        <w:t xml:space="preserve">Department’s control. As a result, it was noted that the Department </w:t>
      </w:r>
      <w:r w:rsidR="00CA628B" w:rsidRPr="00F15C05">
        <w:rPr>
          <w:rFonts w:ascii="Arial" w:hAnsi="Arial" w:cs="Arial"/>
          <w:sz w:val="20"/>
          <w:szCs w:val="20"/>
        </w:rPr>
        <w:t>should</w:t>
      </w:r>
      <w:r w:rsidR="00CA628B" w:rsidRPr="00F15C05">
        <w:rPr>
          <w:rFonts w:ascii="Arial" w:hAnsi="Arial" w:cs="Arial"/>
          <w:sz w:val="20"/>
          <w:szCs w:val="20"/>
        </w:rPr>
        <w:tab/>
      </w:r>
      <w:r w:rsidR="00192EE8" w:rsidRPr="00F15C05">
        <w:rPr>
          <w:rFonts w:ascii="Arial" w:hAnsi="Arial" w:cs="Arial"/>
          <w:sz w:val="20"/>
          <w:szCs w:val="20"/>
        </w:rPr>
        <w:t xml:space="preserve"> find ways </w:t>
      </w:r>
      <w:r w:rsidR="006C4772" w:rsidRPr="00F15C05">
        <w:rPr>
          <w:rFonts w:ascii="Arial" w:hAnsi="Arial" w:cs="Arial"/>
          <w:sz w:val="20"/>
          <w:szCs w:val="20"/>
        </w:rPr>
        <w:tab/>
      </w:r>
      <w:r w:rsidR="00192EE8" w:rsidRPr="00F15C05">
        <w:rPr>
          <w:rFonts w:ascii="Arial" w:hAnsi="Arial" w:cs="Arial"/>
          <w:sz w:val="20"/>
          <w:szCs w:val="20"/>
        </w:rPr>
        <w:t>of setting targets that are within its control.</w:t>
      </w:r>
    </w:p>
    <w:p w:rsidR="00192EE8" w:rsidRPr="00F15C05" w:rsidRDefault="00192EE8" w:rsidP="00F15C05">
      <w:pPr>
        <w:pStyle w:val="ListParagraph"/>
        <w:spacing w:after="0" w:line="240" w:lineRule="auto"/>
        <w:ind w:left="0"/>
        <w:rPr>
          <w:rFonts w:ascii="Arial" w:hAnsi="Arial" w:cs="Arial"/>
          <w:sz w:val="20"/>
          <w:szCs w:val="20"/>
        </w:rPr>
      </w:pPr>
      <w:r w:rsidRPr="00F15C05">
        <w:rPr>
          <w:rFonts w:ascii="Arial" w:hAnsi="Arial" w:cs="Arial"/>
          <w:sz w:val="20"/>
          <w:szCs w:val="20"/>
        </w:rPr>
        <w:t>3.2.3.</w:t>
      </w:r>
      <w:r w:rsidRPr="00F15C05">
        <w:rPr>
          <w:rFonts w:ascii="Arial" w:hAnsi="Arial" w:cs="Arial"/>
          <w:sz w:val="20"/>
          <w:szCs w:val="20"/>
        </w:rPr>
        <w:tab/>
        <w:t xml:space="preserve">Concerns were raised with the overall regression in meeting specified performance </w:t>
      </w:r>
      <w:r w:rsidRPr="00F15C05">
        <w:rPr>
          <w:rFonts w:ascii="Arial" w:hAnsi="Arial" w:cs="Arial"/>
          <w:sz w:val="20"/>
          <w:szCs w:val="20"/>
        </w:rPr>
        <w:tab/>
        <w:t xml:space="preserve">indicators by the Department in the 2022/23 financial year and the implications this </w:t>
      </w:r>
      <w:r w:rsidRPr="00F15C05">
        <w:rPr>
          <w:rFonts w:ascii="Arial" w:hAnsi="Arial" w:cs="Arial"/>
          <w:sz w:val="20"/>
          <w:szCs w:val="20"/>
        </w:rPr>
        <w:tab/>
        <w:t xml:space="preserve">would pose towards the remainder of the year under review. Unlike the previous years, </w:t>
      </w:r>
      <w:r w:rsidRPr="00F15C05">
        <w:rPr>
          <w:rFonts w:ascii="Arial" w:hAnsi="Arial" w:cs="Arial"/>
          <w:sz w:val="20"/>
          <w:szCs w:val="20"/>
        </w:rPr>
        <w:tab/>
        <w:t xml:space="preserve">the Department performance for the 2022/23 in Quarters 1 – 3 has been inadequate. </w:t>
      </w:r>
    </w:p>
    <w:p w:rsidR="00192EE8" w:rsidRPr="00F15C05" w:rsidRDefault="00192EE8" w:rsidP="00F15C05">
      <w:pPr>
        <w:pStyle w:val="ListParagraph"/>
        <w:spacing w:after="0" w:line="240" w:lineRule="auto"/>
        <w:ind w:left="0"/>
        <w:rPr>
          <w:rFonts w:ascii="Arial" w:hAnsi="Arial" w:cs="Arial"/>
          <w:sz w:val="20"/>
          <w:szCs w:val="20"/>
        </w:rPr>
      </w:pPr>
      <w:r w:rsidRPr="00F15C05">
        <w:rPr>
          <w:rFonts w:ascii="Arial" w:hAnsi="Arial" w:cs="Arial"/>
          <w:sz w:val="20"/>
          <w:szCs w:val="20"/>
        </w:rPr>
        <w:t>3.2.4.</w:t>
      </w:r>
      <w:r w:rsidRPr="00F15C05">
        <w:rPr>
          <w:rFonts w:ascii="Arial" w:hAnsi="Arial" w:cs="Arial"/>
          <w:sz w:val="20"/>
          <w:szCs w:val="20"/>
        </w:rPr>
        <w:tab/>
        <w:t xml:space="preserve">The fact that </w:t>
      </w:r>
      <w:r w:rsidR="00C8497F" w:rsidRPr="00F15C05">
        <w:rPr>
          <w:rFonts w:ascii="Arial" w:hAnsi="Arial" w:cs="Arial"/>
          <w:sz w:val="20"/>
          <w:szCs w:val="20"/>
        </w:rPr>
        <w:t>12</w:t>
      </w:r>
      <w:r w:rsidRPr="00F15C05">
        <w:rPr>
          <w:rFonts w:ascii="Arial" w:hAnsi="Arial" w:cs="Arial"/>
          <w:sz w:val="20"/>
          <w:szCs w:val="20"/>
        </w:rPr>
        <w:t xml:space="preserve"> per</w:t>
      </w:r>
      <w:r w:rsidR="00C8497F" w:rsidRPr="00F15C05">
        <w:rPr>
          <w:rFonts w:ascii="Arial" w:hAnsi="Arial" w:cs="Arial"/>
          <w:sz w:val="20"/>
          <w:szCs w:val="20"/>
        </w:rPr>
        <w:t xml:space="preserve"> </w:t>
      </w:r>
      <w:r w:rsidRPr="00F15C05">
        <w:rPr>
          <w:rFonts w:ascii="Arial" w:hAnsi="Arial" w:cs="Arial"/>
          <w:sz w:val="20"/>
          <w:szCs w:val="20"/>
        </w:rPr>
        <w:t xml:space="preserve">cent of the planned targets during the period under review were </w:t>
      </w:r>
      <w:r w:rsidRPr="00F15C05">
        <w:rPr>
          <w:rFonts w:ascii="Arial" w:hAnsi="Arial" w:cs="Arial"/>
          <w:sz w:val="20"/>
          <w:szCs w:val="20"/>
        </w:rPr>
        <w:tab/>
        <w:t xml:space="preserve">not met due to poor planning </w:t>
      </w:r>
      <w:r w:rsidR="00C8497F" w:rsidRPr="00F15C05">
        <w:rPr>
          <w:rFonts w:ascii="Arial" w:hAnsi="Arial" w:cs="Arial"/>
          <w:sz w:val="20"/>
          <w:szCs w:val="20"/>
        </w:rPr>
        <w:t xml:space="preserve">and 76 per cent of the targets were not achieved due to </w:t>
      </w:r>
      <w:r w:rsidR="00C8497F" w:rsidRPr="00F15C05">
        <w:rPr>
          <w:rFonts w:ascii="Arial" w:hAnsi="Arial" w:cs="Arial"/>
          <w:sz w:val="20"/>
          <w:szCs w:val="20"/>
        </w:rPr>
        <w:tab/>
        <w:t xml:space="preserve">process and external factors </w:t>
      </w:r>
      <w:r w:rsidRPr="00F15C05">
        <w:rPr>
          <w:rFonts w:ascii="Arial" w:hAnsi="Arial" w:cs="Arial"/>
          <w:sz w:val="20"/>
          <w:szCs w:val="20"/>
        </w:rPr>
        <w:t>was highlighted as a concern</w:t>
      </w:r>
      <w:r w:rsidR="0037523F" w:rsidRPr="00F15C05">
        <w:rPr>
          <w:rFonts w:ascii="Arial" w:hAnsi="Arial" w:cs="Arial"/>
          <w:sz w:val="20"/>
          <w:szCs w:val="20"/>
        </w:rPr>
        <w:t>.</w:t>
      </w:r>
    </w:p>
    <w:p w:rsidR="00813395" w:rsidRPr="00F15C05" w:rsidRDefault="00813395" w:rsidP="00F15C05">
      <w:pPr>
        <w:pStyle w:val="ListParagraph"/>
        <w:suppressAutoHyphens/>
        <w:autoSpaceDN w:val="0"/>
        <w:spacing w:after="0" w:line="240" w:lineRule="auto"/>
        <w:ind w:left="0"/>
        <w:contextualSpacing w:val="0"/>
        <w:textAlignment w:val="baseline"/>
        <w:rPr>
          <w:rFonts w:ascii="Arial" w:hAnsi="Arial" w:cs="Arial"/>
          <w:sz w:val="20"/>
          <w:szCs w:val="20"/>
        </w:rPr>
      </w:pPr>
    </w:p>
    <w:p w:rsidR="00957DDA" w:rsidRPr="00F15C05" w:rsidRDefault="00957DDA" w:rsidP="00F15C05">
      <w:pPr>
        <w:autoSpaceDN w:val="0"/>
        <w:spacing w:after="0" w:line="240" w:lineRule="auto"/>
        <w:rPr>
          <w:rFonts w:ascii="Arial" w:hAnsi="Arial" w:cs="Arial"/>
          <w:b/>
          <w:sz w:val="20"/>
          <w:szCs w:val="20"/>
        </w:rPr>
      </w:pPr>
      <w:r w:rsidRPr="00F15C05">
        <w:rPr>
          <w:rFonts w:ascii="Arial" w:hAnsi="Arial" w:cs="Arial"/>
          <w:b/>
          <w:sz w:val="20"/>
          <w:szCs w:val="20"/>
        </w:rPr>
        <w:t xml:space="preserve">3.3. </w:t>
      </w:r>
      <w:r w:rsidR="00E84951" w:rsidRPr="00F15C05">
        <w:rPr>
          <w:rFonts w:ascii="Arial" w:hAnsi="Arial" w:cs="Arial"/>
          <w:b/>
          <w:sz w:val="20"/>
          <w:szCs w:val="20"/>
        </w:rPr>
        <w:t>Programme 3: University Education</w:t>
      </w:r>
    </w:p>
    <w:p w:rsidR="0037523F" w:rsidRPr="00F15C05" w:rsidRDefault="00957DDA" w:rsidP="00F15C05">
      <w:pPr>
        <w:pStyle w:val="ListParagraph"/>
        <w:spacing w:after="0" w:line="240" w:lineRule="auto"/>
        <w:ind w:left="0"/>
        <w:rPr>
          <w:rFonts w:ascii="Arial" w:hAnsi="Arial" w:cs="Arial"/>
          <w:sz w:val="20"/>
          <w:szCs w:val="20"/>
        </w:rPr>
      </w:pPr>
      <w:r w:rsidRPr="00F15C05">
        <w:rPr>
          <w:rFonts w:ascii="Arial" w:hAnsi="Arial" w:cs="Arial"/>
          <w:sz w:val="20"/>
          <w:szCs w:val="20"/>
        </w:rPr>
        <w:t>3.</w:t>
      </w:r>
      <w:r w:rsidR="00011753" w:rsidRPr="00F15C05">
        <w:rPr>
          <w:rFonts w:ascii="Arial" w:hAnsi="Arial" w:cs="Arial"/>
          <w:sz w:val="20"/>
          <w:szCs w:val="20"/>
        </w:rPr>
        <w:t>3</w:t>
      </w:r>
      <w:r w:rsidRPr="00F15C05">
        <w:rPr>
          <w:rFonts w:ascii="Arial" w:hAnsi="Arial" w:cs="Arial"/>
          <w:sz w:val="20"/>
          <w:szCs w:val="20"/>
        </w:rPr>
        <w:t xml:space="preserve">.1. </w:t>
      </w:r>
      <w:r w:rsidR="0037523F" w:rsidRPr="00F15C05">
        <w:rPr>
          <w:rFonts w:ascii="Arial" w:hAnsi="Arial" w:cs="Arial"/>
          <w:sz w:val="20"/>
          <w:szCs w:val="20"/>
        </w:rPr>
        <w:t xml:space="preserve">The delays in the finalisation of the comprehensive student funding policy for higher </w:t>
      </w:r>
      <w:r w:rsidR="0037523F" w:rsidRPr="00F15C05">
        <w:rPr>
          <w:rFonts w:ascii="Arial" w:hAnsi="Arial" w:cs="Arial"/>
          <w:sz w:val="20"/>
          <w:szCs w:val="20"/>
        </w:rPr>
        <w:tab/>
        <w:t xml:space="preserve">education was noted as a serious concern. It was noted that the missing middle students </w:t>
      </w:r>
      <w:r w:rsidR="0037523F" w:rsidRPr="00F15C05">
        <w:rPr>
          <w:rFonts w:ascii="Arial" w:hAnsi="Arial" w:cs="Arial"/>
          <w:sz w:val="20"/>
          <w:szCs w:val="20"/>
        </w:rPr>
        <w:tab/>
        <w:t xml:space="preserve">in particular, are mostly affected by the lack of dedicated financial assistance to meet </w:t>
      </w:r>
      <w:r w:rsidR="0037523F" w:rsidRPr="00F15C05">
        <w:rPr>
          <w:rFonts w:ascii="Arial" w:hAnsi="Arial" w:cs="Arial"/>
          <w:sz w:val="20"/>
          <w:szCs w:val="20"/>
        </w:rPr>
        <w:tab/>
        <w:t>their learning needs</w:t>
      </w:r>
      <w:r w:rsidR="00E84951" w:rsidRPr="00F15C05">
        <w:rPr>
          <w:rFonts w:ascii="Arial" w:hAnsi="Arial" w:cs="Arial"/>
          <w:sz w:val="20"/>
          <w:szCs w:val="20"/>
        </w:rPr>
        <w:t>, including postgraduate students</w:t>
      </w:r>
      <w:r w:rsidR="0037523F" w:rsidRPr="00F15C05">
        <w:rPr>
          <w:rFonts w:ascii="Arial" w:hAnsi="Arial" w:cs="Arial"/>
          <w:sz w:val="20"/>
          <w:szCs w:val="20"/>
        </w:rPr>
        <w:t>.</w:t>
      </w:r>
    </w:p>
    <w:p w:rsidR="0037523F" w:rsidRPr="00F15C05" w:rsidRDefault="0037523F" w:rsidP="00F15C05">
      <w:pPr>
        <w:pStyle w:val="ListParagraph"/>
        <w:spacing w:after="0" w:line="240" w:lineRule="auto"/>
        <w:ind w:left="0"/>
        <w:rPr>
          <w:rFonts w:ascii="Arial" w:hAnsi="Arial" w:cs="Arial"/>
          <w:sz w:val="20"/>
          <w:szCs w:val="20"/>
        </w:rPr>
      </w:pPr>
      <w:r w:rsidRPr="00F15C05">
        <w:rPr>
          <w:rFonts w:ascii="Arial" w:hAnsi="Arial" w:cs="Arial"/>
          <w:sz w:val="20"/>
          <w:szCs w:val="20"/>
        </w:rPr>
        <w:t>3.3.2.</w:t>
      </w:r>
      <w:r w:rsidRPr="00F15C05">
        <w:rPr>
          <w:rFonts w:ascii="Arial" w:hAnsi="Arial" w:cs="Arial"/>
          <w:sz w:val="20"/>
          <w:szCs w:val="20"/>
        </w:rPr>
        <w:tab/>
        <w:t xml:space="preserve">The Committee was concerned that the Fee Regulation Framework was not finalised as </w:t>
      </w:r>
      <w:r w:rsidRPr="00F15C05">
        <w:rPr>
          <w:rFonts w:ascii="Arial" w:hAnsi="Arial" w:cs="Arial"/>
          <w:sz w:val="20"/>
          <w:szCs w:val="20"/>
        </w:rPr>
        <w:tab/>
        <w:t xml:space="preserve">planned. Consequently, other universities were increasing their fees despite the </w:t>
      </w:r>
      <w:r w:rsidRPr="00F15C05">
        <w:rPr>
          <w:rFonts w:ascii="Arial" w:hAnsi="Arial" w:cs="Arial"/>
          <w:sz w:val="20"/>
          <w:szCs w:val="20"/>
        </w:rPr>
        <w:tab/>
        <w:t>Department having not finalised the framework</w:t>
      </w:r>
      <w:r w:rsidR="00E84951" w:rsidRPr="00F15C05">
        <w:rPr>
          <w:rFonts w:ascii="Arial" w:hAnsi="Arial" w:cs="Arial"/>
          <w:sz w:val="20"/>
          <w:szCs w:val="20"/>
        </w:rPr>
        <w:t>,</w:t>
      </w:r>
      <w:r w:rsidRPr="00F15C05">
        <w:rPr>
          <w:rFonts w:ascii="Arial" w:hAnsi="Arial" w:cs="Arial"/>
          <w:sz w:val="20"/>
          <w:szCs w:val="20"/>
        </w:rPr>
        <w:t xml:space="preserve"> which will guide institutions on fee</w:t>
      </w:r>
      <w:r w:rsidR="00E84951" w:rsidRPr="00F15C05">
        <w:rPr>
          <w:rFonts w:ascii="Arial" w:hAnsi="Arial" w:cs="Arial"/>
          <w:sz w:val="20"/>
          <w:szCs w:val="20"/>
        </w:rPr>
        <w:t>-</w:t>
      </w:r>
      <w:r w:rsidRPr="00F15C05">
        <w:rPr>
          <w:rFonts w:ascii="Arial" w:hAnsi="Arial" w:cs="Arial"/>
          <w:sz w:val="20"/>
          <w:szCs w:val="20"/>
        </w:rPr>
        <w:tab/>
        <w:t>increment.</w:t>
      </w:r>
    </w:p>
    <w:p w:rsidR="0037523F" w:rsidRPr="00F15C05" w:rsidRDefault="0037523F" w:rsidP="00F15C05">
      <w:pPr>
        <w:pStyle w:val="ListParagraph"/>
        <w:spacing w:after="0" w:line="240" w:lineRule="auto"/>
        <w:ind w:left="0"/>
        <w:rPr>
          <w:rFonts w:ascii="Arial" w:hAnsi="Arial" w:cs="Arial"/>
          <w:b/>
          <w:sz w:val="20"/>
          <w:szCs w:val="20"/>
        </w:rPr>
      </w:pPr>
      <w:r w:rsidRPr="00F15C05">
        <w:rPr>
          <w:rFonts w:ascii="Arial" w:hAnsi="Arial" w:cs="Arial"/>
          <w:sz w:val="20"/>
          <w:szCs w:val="20"/>
        </w:rPr>
        <w:t>3.3.3.</w:t>
      </w:r>
      <w:r w:rsidRPr="00F15C05">
        <w:rPr>
          <w:rFonts w:ascii="Arial" w:hAnsi="Arial" w:cs="Arial"/>
          <w:sz w:val="20"/>
          <w:szCs w:val="20"/>
        </w:rPr>
        <w:tab/>
        <w:t xml:space="preserve">It was noted that the 2023 academic year has commenced smoothly in higher education </w:t>
      </w:r>
      <w:r w:rsidRPr="00F15C05">
        <w:rPr>
          <w:rFonts w:ascii="Arial" w:hAnsi="Arial" w:cs="Arial"/>
          <w:sz w:val="20"/>
          <w:szCs w:val="20"/>
        </w:rPr>
        <w:tab/>
        <w:t xml:space="preserve">despite the reported student protests at few universities such as Vaal University of </w:t>
      </w:r>
      <w:r w:rsidRPr="00F15C05">
        <w:rPr>
          <w:rFonts w:ascii="Arial" w:hAnsi="Arial" w:cs="Arial"/>
          <w:sz w:val="20"/>
          <w:szCs w:val="20"/>
        </w:rPr>
        <w:tab/>
        <w:t>Technology and University of Cape Town (UCT).</w:t>
      </w:r>
    </w:p>
    <w:p w:rsidR="0037523F" w:rsidRPr="00F15C05" w:rsidRDefault="0037523F" w:rsidP="00F15C05">
      <w:pPr>
        <w:pStyle w:val="ListParagraph"/>
        <w:spacing w:after="0" w:line="240" w:lineRule="auto"/>
        <w:ind w:left="0"/>
        <w:rPr>
          <w:rFonts w:ascii="Arial" w:hAnsi="Arial" w:cs="Arial"/>
          <w:b/>
          <w:sz w:val="20"/>
          <w:szCs w:val="20"/>
        </w:rPr>
      </w:pPr>
    </w:p>
    <w:p w:rsidR="00E84951" w:rsidRPr="00F15C05" w:rsidRDefault="00A431B5" w:rsidP="00F15C05">
      <w:pPr>
        <w:pStyle w:val="ListParagraph"/>
        <w:spacing w:after="0" w:line="240" w:lineRule="auto"/>
        <w:ind w:left="0"/>
        <w:rPr>
          <w:rFonts w:ascii="Arial" w:hAnsi="Arial" w:cs="Arial"/>
          <w:b/>
          <w:sz w:val="20"/>
          <w:szCs w:val="20"/>
        </w:rPr>
      </w:pPr>
      <w:r w:rsidRPr="00F15C05">
        <w:rPr>
          <w:rFonts w:ascii="Arial" w:hAnsi="Arial" w:cs="Arial"/>
          <w:b/>
          <w:sz w:val="20"/>
          <w:szCs w:val="20"/>
        </w:rPr>
        <w:t>3.</w:t>
      </w:r>
      <w:r w:rsidR="00011753" w:rsidRPr="00F15C05">
        <w:rPr>
          <w:rFonts w:ascii="Arial" w:hAnsi="Arial" w:cs="Arial"/>
          <w:b/>
          <w:sz w:val="20"/>
          <w:szCs w:val="20"/>
        </w:rPr>
        <w:t>4</w:t>
      </w:r>
      <w:r w:rsidRPr="00F15C05">
        <w:rPr>
          <w:rFonts w:ascii="Arial" w:hAnsi="Arial" w:cs="Arial"/>
          <w:b/>
          <w:sz w:val="20"/>
          <w:szCs w:val="20"/>
        </w:rPr>
        <w:t xml:space="preserve">. </w:t>
      </w:r>
      <w:r w:rsidR="00E84951" w:rsidRPr="00F15C05">
        <w:rPr>
          <w:rFonts w:ascii="Arial" w:hAnsi="Arial" w:cs="Arial"/>
          <w:b/>
          <w:sz w:val="20"/>
          <w:szCs w:val="20"/>
        </w:rPr>
        <w:t>Programme 4: Technical and Vocational Education and Training</w:t>
      </w:r>
    </w:p>
    <w:p w:rsidR="00A64789" w:rsidRPr="00F15C05" w:rsidRDefault="00A64789" w:rsidP="00F15C05">
      <w:pPr>
        <w:pStyle w:val="ListParagraph"/>
        <w:spacing w:after="0" w:line="240" w:lineRule="auto"/>
        <w:ind w:left="0"/>
        <w:rPr>
          <w:rFonts w:ascii="Arial" w:hAnsi="Arial" w:cs="Arial"/>
          <w:sz w:val="20"/>
          <w:szCs w:val="20"/>
        </w:rPr>
      </w:pPr>
      <w:r w:rsidRPr="00F15C05">
        <w:rPr>
          <w:rFonts w:ascii="Arial" w:hAnsi="Arial" w:cs="Arial"/>
          <w:sz w:val="20"/>
          <w:szCs w:val="20"/>
        </w:rPr>
        <w:t xml:space="preserve">3.4.1. The overall performance of this programme during the Quarter under review was </w:t>
      </w:r>
      <w:r w:rsidRPr="00F15C05">
        <w:rPr>
          <w:rFonts w:ascii="Arial" w:hAnsi="Arial" w:cs="Arial"/>
          <w:sz w:val="20"/>
          <w:szCs w:val="20"/>
        </w:rPr>
        <w:tab/>
        <w:t xml:space="preserve">disappointing. Out of the 20 targets planned for the Third-Quarter, only three </w:t>
      </w:r>
      <w:r w:rsidRPr="00F15C05">
        <w:rPr>
          <w:rFonts w:ascii="Arial" w:hAnsi="Arial" w:cs="Arial"/>
          <w:sz w:val="20"/>
          <w:szCs w:val="20"/>
        </w:rPr>
        <w:tab/>
        <w:t xml:space="preserve">were achieved, and the Department cited delays in the submission of reports by colleges </w:t>
      </w:r>
      <w:r w:rsidRPr="00F15C05">
        <w:rPr>
          <w:rFonts w:ascii="Arial" w:hAnsi="Arial" w:cs="Arial"/>
          <w:sz w:val="20"/>
          <w:szCs w:val="20"/>
        </w:rPr>
        <w:tab/>
        <w:t>as a key factor contributing to underperformance.</w:t>
      </w:r>
    </w:p>
    <w:p w:rsidR="00A64789" w:rsidRPr="00F15C05" w:rsidRDefault="00800C69" w:rsidP="00F15C05">
      <w:pPr>
        <w:pStyle w:val="ListParagraph"/>
        <w:spacing w:after="0" w:line="240" w:lineRule="auto"/>
        <w:ind w:left="0"/>
        <w:rPr>
          <w:rFonts w:ascii="Arial" w:hAnsi="Arial" w:cs="Arial"/>
          <w:sz w:val="20"/>
          <w:szCs w:val="20"/>
        </w:rPr>
      </w:pPr>
      <w:r w:rsidRPr="00F15C05">
        <w:rPr>
          <w:rFonts w:ascii="Arial" w:hAnsi="Arial" w:cs="Arial"/>
          <w:sz w:val="20"/>
          <w:szCs w:val="20"/>
        </w:rPr>
        <w:t>3.4.2.</w:t>
      </w:r>
      <w:r w:rsidRPr="00F15C05">
        <w:rPr>
          <w:rFonts w:ascii="Arial" w:hAnsi="Arial" w:cs="Arial"/>
          <w:sz w:val="20"/>
          <w:szCs w:val="20"/>
        </w:rPr>
        <w:tab/>
      </w:r>
      <w:r w:rsidR="00A64789" w:rsidRPr="00F15C05">
        <w:rPr>
          <w:rFonts w:ascii="Arial" w:hAnsi="Arial" w:cs="Arial"/>
          <w:sz w:val="20"/>
          <w:szCs w:val="20"/>
        </w:rPr>
        <w:t xml:space="preserve">The lower than expected headcount enrolment in the TVET sector remains a serious </w:t>
      </w:r>
      <w:r w:rsidRPr="00F15C05">
        <w:rPr>
          <w:rFonts w:ascii="Arial" w:hAnsi="Arial" w:cs="Arial"/>
          <w:sz w:val="20"/>
          <w:szCs w:val="20"/>
        </w:rPr>
        <w:tab/>
      </w:r>
      <w:r w:rsidR="00A64789" w:rsidRPr="00F15C05">
        <w:rPr>
          <w:rFonts w:ascii="Arial" w:hAnsi="Arial" w:cs="Arial"/>
          <w:sz w:val="20"/>
          <w:szCs w:val="20"/>
        </w:rPr>
        <w:t xml:space="preserve">concern given the demand for vocational and occupational skills needed to drive the </w:t>
      </w:r>
      <w:r w:rsidRPr="00F15C05">
        <w:rPr>
          <w:rFonts w:ascii="Arial" w:hAnsi="Arial" w:cs="Arial"/>
          <w:sz w:val="20"/>
          <w:szCs w:val="20"/>
        </w:rPr>
        <w:tab/>
      </w:r>
      <w:r w:rsidR="00A64789" w:rsidRPr="00F15C05">
        <w:rPr>
          <w:rFonts w:ascii="Arial" w:hAnsi="Arial" w:cs="Arial"/>
          <w:sz w:val="20"/>
          <w:szCs w:val="20"/>
        </w:rPr>
        <w:t xml:space="preserve">economic growth. Compounding the situation is the lack of funding to support colleges </w:t>
      </w:r>
      <w:r w:rsidRPr="00F15C05">
        <w:rPr>
          <w:rFonts w:ascii="Arial" w:hAnsi="Arial" w:cs="Arial"/>
          <w:sz w:val="20"/>
          <w:szCs w:val="20"/>
        </w:rPr>
        <w:tab/>
      </w:r>
      <w:r w:rsidR="00A64789" w:rsidRPr="00F15C05">
        <w:rPr>
          <w:rFonts w:ascii="Arial" w:hAnsi="Arial" w:cs="Arial"/>
          <w:sz w:val="20"/>
          <w:szCs w:val="20"/>
        </w:rPr>
        <w:t>to increase their enrolments.</w:t>
      </w:r>
    </w:p>
    <w:p w:rsidR="00A64789" w:rsidRPr="00F15C05" w:rsidRDefault="00800C69" w:rsidP="00F15C05">
      <w:pPr>
        <w:pStyle w:val="ListParagraph"/>
        <w:spacing w:after="0" w:line="240" w:lineRule="auto"/>
        <w:ind w:left="0"/>
        <w:rPr>
          <w:rFonts w:ascii="Arial" w:hAnsi="Arial" w:cs="Arial"/>
          <w:sz w:val="20"/>
          <w:szCs w:val="20"/>
        </w:rPr>
      </w:pPr>
      <w:r w:rsidRPr="00F15C05">
        <w:rPr>
          <w:rFonts w:ascii="Arial" w:hAnsi="Arial" w:cs="Arial"/>
          <w:sz w:val="20"/>
          <w:szCs w:val="20"/>
        </w:rPr>
        <w:t>3.4.3.</w:t>
      </w:r>
      <w:r w:rsidRPr="00F15C05">
        <w:rPr>
          <w:rFonts w:ascii="Arial" w:hAnsi="Arial" w:cs="Arial"/>
          <w:sz w:val="20"/>
          <w:szCs w:val="20"/>
        </w:rPr>
        <w:tab/>
      </w:r>
      <w:r w:rsidR="00A64789" w:rsidRPr="00F15C05">
        <w:rPr>
          <w:rFonts w:ascii="Arial" w:hAnsi="Arial" w:cs="Arial"/>
          <w:sz w:val="20"/>
          <w:szCs w:val="20"/>
        </w:rPr>
        <w:t xml:space="preserve">The delays in the implementation of the Post-Provisioning Norms (PPN) for the sector </w:t>
      </w:r>
      <w:r w:rsidRPr="00F15C05">
        <w:rPr>
          <w:rFonts w:ascii="Arial" w:hAnsi="Arial" w:cs="Arial"/>
          <w:sz w:val="20"/>
          <w:szCs w:val="20"/>
        </w:rPr>
        <w:tab/>
      </w:r>
      <w:r w:rsidR="00A64789" w:rsidRPr="00F15C05">
        <w:rPr>
          <w:rFonts w:ascii="Arial" w:hAnsi="Arial" w:cs="Arial"/>
          <w:sz w:val="20"/>
          <w:szCs w:val="20"/>
        </w:rPr>
        <w:t xml:space="preserve">remains a challenge as colleges are struggling to reduce expenses on compensation of </w:t>
      </w:r>
      <w:r w:rsidRPr="00F15C05">
        <w:rPr>
          <w:rFonts w:ascii="Arial" w:hAnsi="Arial" w:cs="Arial"/>
          <w:sz w:val="20"/>
          <w:szCs w:val="20"/>
        </w:rPr>
        <w:tab/>
      </w:r>
      <w:r w:rsidR="00A64789" w:rsidRPr="00F15C05">
        <w:rPr>
          <w:rFonts w:ascii="Arial" w:hAnsi="Arial" w:cs="Arial"/>
          <w:sz w:val="20"/>
          <w:szCs w:val="20"/>
        </w:rPr>
        <w:t>employees’ budget.</w:t>
      </w:r>
    </w:p>
    <w:p w:rsidR="00A64789" w:rsidRPr="00F15C05" w:rsidRDefault="00800C69" w:rsidP="00F15C05">
      <w:pPr>
        <w:pStyle w:val="ListParagraph"/>
        <w:spacing w:after="0" w:line="240" w:lineRule="auto"/>
        <w:ind w:left="0"/>
        <w:rPr>
          <w:rFonts w:ascii="Arial" w:hAnsi="Arial" w:cs="Arial"/>
          <w:sz w:val="20"/>
          <w:szCs w:val="20"/>
        </w:rPr>
      </w:pPr>
      <w:r w:rsidRPr="00F15C05">
        <w:rPr>
          <w:rFonts w:ascii="Arial" w:hAnsi="Arial" w:cs="Arial"/>
          <w:sz w:val="20"/>
          <w:szCs w:val="20"/>
        </w:rPr>
        <w:t>3.4.4.</w:t>
      </w:r>
      <w:r w:rsidRPr="00F15C05">
        <w:rPr>
          <w:rFonts w:ascii="Arial" w:hAnsi="Arial" w:cs="Arial"/>
          <w:sz w:val="20"/>
          <w:szCs w:val="20"/>
        </w:rPr>
        <w:tab/>
      </w:r>
      <w:r w:rsidR="00A64789" w:rsidRPr="00F15C05">
        <w:rPr>
          <w:rFonts w:ascii="Arial" w:hAnsi="Arial" w:cs="Arial"/>
          <w:sz w:val="20"/>
          <w:szCs w:val="20"/>
        </w:rPr>
        <w:t xml:space="preserve">The delays </w:t>
      </w:r>
      <w:r w:rsidR="002460E3" w:rsidRPr="00F15C05">
        <w:rPr>
          <w:rFonts w:ascii="Arial" w:hAnsi="Arial" w:cs="Arial"/>
          <w:sz w:val="20"/>
          <w:szCs w:val="20"/>
        </w:rPr>
        <w:t>in</w:t>
      </w:r>
      <w:r w:rsidR="00A64789" w:rsidRPr="00F15C05">
        <w:rPr>
          <w:rFonts w:ascii="Arial" w:hAnsi="Arial" w:cs="Arial"/>
          <w:sz w:val="20"/>
          <w:szCs w:val="20"/>
        </w:rPr>
        <w:t xml:space="preserve"> the roll-out of the revised curriculum for TVET colleges</w:t>
      </w:r>
      <w:r w:rsidR="002460E3" w:rsidRPr="00F15C05">
        <w:rPr>
          <w:rFonts w:ascii="Arial" w:hAnsi="Arial" w:cs="Arial"/>
          <w:sz w:val="20"/>
          <w:szCs w:val="20"/>
        </w:rPr>
        <w:t>,</w:t>
      </w:r>
      <w:r w:rsidR="00A64789" w:rsidRPr="00F15C05">
        <w:rPr>
          <w:rFonts w:ascii="Arial" w:hAnsi="Arial" w:cs="Arial"/>
          <w:sz w:val="20"/>
          <w:szCs w:val="20"/>
        </w:rPr>
        <w:t xml:space="preserve"> which is </w:t>
      </w:r>
      <w:r w:rsidRPr="00F15C05">
        <w:rPr>
          <w:rFonts w:ascii="Arial" w:hAnsi="Arial" w:cs="Arial"/>
          <w:sz w:val="20"/>
          <w:szCs w:val="20"/>
        </w:rPr>
        <w:tab/>
      </w:r>
      <w:r w:rsidR="00A64789" w:rsidRPr="00F15C05">
        <w:rPr>
          <w:rFonts w:ascii="Arial" w:hAnsi="Arial" w:cs="Arial"/>
          <w:sz w:val="20"/>
          <w:szCs w:val="20"/>
        </w:rPr>
        <w:t>relevant and aligned to industry requirement</w:t>
      </w:r>
      <w:r w:rsidR="00CA628B" w:rsidRPr="00F15C05">
        <w:rPr>
          <w:rFonts w:ascii="Arial" w:hAnsi="Arial" w:cs="Arial"/>
          <w:sz w:val="20"/>
          <w:szCs w:val="20"/>
        </w:rPr>
        <w:t>s</w:t>
      </w:r>
      <w:r w:rsidR="00A64789" w:rsidRPr="00F15C05">
        <w:rPr>
          <w:rFonts w:ascii="Arial" w:hAnsi="Arial" w:cs="Arial"/>
          <w:sz w:val="20"/>
          <w:szCs w:val="20"/>
        </w:rPr>
        <w:t xml:space="preserve"> remain</w:t>
      </w:r>
      <w:r w:rsidR="00281171" w:rsidRPr="00F15C05">
        <w:rPr>
          <w:rFonts w:ascii="Arial" w:hAnsi="Arial" w:cs="Arial"/>
          <w:sz w:val="20"/>
          <w:szCs w:val="20"/>
        </w:rPr>
        <w:t>s</w:t>
      </w:r>
      <w:r w:rsidR="00A64789" w:rsidRPr="00F15C05">
        <w:rPr>
          <w:rFonts w:ascii="Arial" w:hAnsi="Arial" w:cs="Arial"/>
          <w:sz w:val="20"/>
          <w:szCs w:val="20"/>
        </w:rPr>
        <w:t xml:space="preserve"> a serious concern. The </w:t>
      </w:r>
      <w:r w:rsidR="00CA628B" w:rsidRPr="00F15C05">
        <w:rPr>
          <w:rFonts w:ascii="Arial" w:hAnsi="Arial" w:cs="Arial"/>
          <w:sz w:val="20"/>
          <w:szCs w:val="20"/>
        </w:rPr>
        <w:tab/>
      </w:r>
      <w:r w:rsidR="00A64789" w:rsidRPr="00F15C05">
        <w:rPr>
          <w:rFonts w:ascii="Arial" w:hAnsi="Arial" w:cs="Arial"/>
          <w:sz w:val="20"/>
          <w:szCs w:val="20"/>
        </w:rPr>
        <w:t xml:space="preserve">Committee had also observed during its oversight visit that colleges were struggling to </w:t>
      </w:r>
      <w:r w:rsidR="00CA628B" w:rsidRPr="00F15C05">
        <w:rPr>
          <w:rFonts w:ascii="Arial" w:hAnsi="Arial" w:cs="Arial"/>
          <w:sz w:val="20"/>
          <w:szCs w:val="20"/>
        </w:rPr>
        <w:tab/>
      </w:r>
      <w:r w:rsidR="00A64789" w:rsidRPr="00F15C05">
        <w:rPr>
          <w:rFonts w:ascii="Arial" w:hAnsi="Arial" w:cs="Arial"/>
          <w:sz w:val="20"/>
          <w:szCs w:val="20"/>
        </w:rPr>
        <w:t xml:space="preserve">train students with the current curricula as it </w:t>
      </w:r>
      <w:r w:rsidR="002460E3" w:rsidRPr="00F15C05">
        <w:rPr>
          <w:rFonts w:ascii="Arial" w:hAnsi="Arial" w:cs="Arial"/>
          <w:sz w:val="20"/>
          <w:szCs w:val="20"/>
        </w:rPr>
        <w:t xml:space="preserve">is </w:t>
      </w:r>
      <w:r w:rsidR="00A64789" w:rsidRPr="00F15C05">
        <w:rPr>
          <w:rFonts w:ascii="Arial" w:hAnsi="Arial" w:cs="Arial"/>
          <w:sz w:val="20"/>
          <w:szCs w:val="20"/>
        </w:rPr>
        <w:t xml:space="preserve">no longer relevant to what is required </w:t>
      </w:r>
      <w:r w:rsidR="00CA628B" w:rsidRPr="00F15C05">
        <w:rPr>
          <w:rFonts w:ascii="Arial" w:hAnsi="Arial" w:cs="Arial"/>
          <w:sz w:val="20"/>
          <w:szCs w:val="20"/>
        </w:rPr>
        <w:tab/>
      </w:r>
      <w:r w:rsidR="00A64789" w:rsidRPr="00F15C05">
        <w:rPr>
          <w:rFonts w:ascii="Arial" w:hAnsi="Arial" w:cs="Arial"/>
          <w:sz w:val="20"/>
          <w:szCs w:val="20"/>
        </w:rPr>
        <w:t xml:space="preserve">by </w:t>
      </w:r>
      <w:r w:rsidR="002460E3" w:rsidRPr="00F15C05">
        <w:rPr>
          <w:rFonts w:ascii="Arial" w:hAnsi="Arial" w:cs="Arial"/>
          <w:sz w:val="20"/>
          <w:szCs w:val="20"/>
        </w:rPr>
        <w:t>industry</w:t>
      </w:r>
      <w:r w:rsidR="00A64789" w:rsidRPr="00F15C05">
        <w:rPr>
          <w:rFonts w:ascii="Arial" w:hAnsi="Arial" w:cs="Arial"/>
          <w:sz w:val="20"/>
          <w:szCs w:val="20"/>
        </w:rPr>
        <w:t xml:space="preserve">. </w:t>
      </w:r>
    </w:p>
    <w:p w:rsidR="00A64789" w:rsidRPr="00F15C05" w:rsidRDefault="00800C69" w:rsidP="00F15C05">
      <w:pPr>
        <w:pStyle w:val="ListParagraph"/>
        <w:spacing w:after="0" w:line="240" w:lineRule="auto"/>
        <w:ind w:left="0"/>
        <w:rPr>
          <w:rFonts w:ascii="Arial" w:hAnsi="Arial" w:cs="Arial"/>
          <w:sz w:val="20"/>
          <w:szCs w:val="20"/>
        </w:rPr>
      </w:pPr>
      <w:r w:rsidRPr="00F15C05">
        <w:rPr>
          <w:rFonts w:ascii="Arial" w:hAnsi="Arial" w:cs="Arial"/>
          <w:sz w:val="20"/>
          <w:szCs w:val="20"/>
        </w:rPr>
        <w:t>3.4.5.</w:t>
      </w:r>
      <w:r w:rsidRPr="00F15C05">
        <w:rPr>
          <w:rFonts w:ascii="Arial" w:hAnsi="Arial" w:cs="Arial"/>
          <w:sz w:val="20"/>
          <w:szCs w:val="20"/>
        </w:rPr>
        <w:tab/>
      </w:r>
      <w:r w:rsidR="00A64789" w:rsidRPr="00F15C05">
        <w:rPr>
          <w:rFonts w:ascii="Arial" w:hAnsi="Arial" w:cs="Arial"/>
          <w:sz w:val="20"/>
          <w:szCs w:val="20"/>
        </w:rPr>
        <w:t xml:space="preserve">The throughput and certification rates produced by TVET colleges were inadequate. </w:t>
      </w:r>
      <w:r w:rsidRPr="00F15C05">
        <w:rPr>
          <w:rFonts w:ascii="Arial" w:hAnsi="Arial" w:cs="Arial"/>
          <w:sz w:val="20"/>
          <w:szCs w:val="20"/>
        </w:rPr>
        <w:tab/>
      </w:r>
      <w:r w:rsidR="00A64789" w:rsidRPr="00F15C05">
        <w:rPr>
          <w:rFonts w:ascii="Arial" w:hAnsi="Arial" w:cs="Arial"/>
          <w:sz w:val="20"/>
          <w:szCs w:val="20"/>
        </w:rPr>
        <w:t xml:space="preserve">Compounding the situation were delays in the training and development of lecturers to </w:t>
      </w:r>
      <w:r w:rsidRPr="00F15C05">
        <w:rPr>
          <w:rFonts w:ascii="Arial" w:hAnsi="Arial" w:cs="Arial"/>
          <w:sz w:val="20"/>
          <w:szCs w:val="20"/>
        </w:rPr>
        <w:tab/>
      </w:r>
      <w:r w:rsidR="00A64789" w:rsidRPr="00F15C05">
        <w:rPr>
          <w:rFonts w:ascii="Arial" w:hAnsi="Arial" w:cs="Arial"/>
          <w:sz w:val="20"/>
          <w:szCs w:val="20"/>
        </w:rPr>
        <w:t>obtain professional qualifications</w:t>
      </w:r>
      <w:r w:rsidR="002460E3" w:rsidRPr="00F15C05">
        <w:rPr>
          <w:rFonts w:ascii="Arial" w:hAnsi="Arial" w:cs="Arial"/>
          <w:sz w:val="20"/>
          <w:szCs w:val="20"/>
        </w:rPr>
        <w:t>,</w:t>
      </w:r>
      <w:r w:rsidR="00A64789" w:rsidRPr="00F15C05">
        <w:rPr>
          <w:rFonts w:ascii="Arial" w:hAnsi="Arial" w:cs="Arial"/>
          <w:sz w:val="20"/>
          <w:szCs w:val="20"/>
        </w:rPr>
        <w:t xml:space="preserve"> which would ultimately contribute to improved </w:t>
      </w:r>
      <w:r w:rsidRPr="00F15C05">
        <w:rPr>
          <w:rFonts w:ascii="Arial" w:hAnsi="Arial" w:cs="Arial"/>
          <w:sz w:val="20"/>
          <w:szCs w:val="20"/>
        </w:rPr>
        <w:tab/>
      </w:r>
      <w:r w:rsidR="00A64789" w:rsidRPr="00F15C05">
        <w:rPr>
          <w:rFonts w:ascii="Arial" w:hAnsi="Arial" w:cs="Arial"/>
          <w:sz w:val="20"/>
          <w:szCs w:val="20"/>
        </w:rPr>
        <w:t>student performance.</w:t>
      </w:r>
    </w:p>
    <w:p w:rsidR="00A64789" w:rsidRPr="00F15C05" w:rsidRDefault="00800C69" w:rsidP="00F15C05">
      <w:pPr>
        <w:pStyle w:val="ListParagraph"/>
        <w:spacing w:after="0" w:line="240" w:lineRule="auto"/>
        <w:ind w:left="0"/>
        <w:rPr>
          <w:rFonts w:ascii="Arial" w:hAnsi="Arial" w:cs="Arial"/>
          <w:sz w:val="20"/>
          <w:szCs w:val="20"/>
        </w:rPr>
      </w:pPr>
      <w:r w:rsidRPr="00F15C05">
        <w:rPr>
          <w:rFonts w:ascii="Arial" w:hAnsi="Arial" w:cs="Arial"/>
          <w:sz w:val="20"/>
          <w:szCs w:val="20"/>
        </w:rPr>
        <w:t>3.4.6.</w:t>
      </w:r>
      <w:r w:rsidRPr="00F15C05">
        <w:rPr>
          <w:rFonts w:ascii="Arial" w:hAnsi="Arial" w:cs="Arial"/>
          <w:sz w:val="20"/>
          <w:szCs w:val="20"/>
        </w:rPr>
        <w:tab/>
      </w:r>
      <w:r w:rsidR="00A64789" w:rsidRPr="00F15C05">
        <w:rPr>
          <w:rFonts w:ascii="Arial" w:hAnsi="Arial" w:cs="Arial"/>
          <w:sz w:val="20"/>
          <w:szCs w:val="20"/>
        </w:rPr>
        <w:t xml:space="preserve">The placement of 16 000 TVET graduates in workplaces for work-integrated learning </w:t>
      </w:r>
      <w:r w:rsidRPr="00F15C05">
        <w:rPr>
          <w:rFonts w:ascii="Arial" w:hAnsi="Arial" w:cs="Arial"/>
          <w:sz w:val="20"/>
          <w:szCs w:val="20"/>
        </w:rPr>
        <w:tab/>
      </w:r>
      <w:r w:rsidR="00A64789" w:rsidRPr="00F15C05">
        <w:rPr>
          <w:rFonts w:ascii="Arial" w:hAnsi="Arial" w:cs="Arial"/>
          <w:sz w:val="20"/>
          <w:szCs w:val="20"/>
        </w:rPr>
        <w:t xml:space="preserve">(WIL) was welcomed by the Committee. Furthermore, the target to place 20 000 TVET </w:t>
      </w:r>
      <w:r w:rsidRPr="00F15C05">
        <w:rPr>
          <w:rFonts w:ascii="Arial" w:hAnsi="Arial" w:cs="Arial"/>
          <w:sz w:val="20"/>
          <w:szCs w:val="20"/>
        </w:rPr>
        <w:tab/>
      </w:r>
      <w:r w:rsidR="00A64789" w:rsidRPr="00F15C05">
        <w:rPr>
          <w:rFonts w:ascii="Arial" w:hAnsi="Arial" w:cs="Arial"/>
          <w:sz w:val="20"/>
          <w:szCs w:val="20"/>
        </w:rPr>
        <w:t xml:space="preserve">graduates in 2022/23 financial year was commendable. TVET graduates need work </w:t>
      </w:r>
      <w:r w:rsidRPr="00F15C05">
        <w:rPr>
          <w:rFonts w:ascii="Arial" w:hAnsi="Arial" w:cs="Arial"/>
          <w:sz w:val="20"/>
          <w:szCs w:val="20"/>
        </w:rPr>
        <w:tab/>
      </w:r>
      <w:r w:rsidR="00A64789" w:rsidRPr="00F15C05">
        <w:rPr>
          <w:rFonts w:ascii="Arial" w:hAnsi="Arial" w:cs="Arial"/>
          <w:sz w:val="20"/>
          <w:szCs w:val="20"/>
        </w:rPr>
        <w:t xml:space="preserve">placement opportunities to complete some of their qualifications, and improved </w:t>
      </w:r>
      <w:r w:rsidRPr="00F15C05">
        <w:rPr>
          <w:rFonts w:ascii="Arial" w:hAnsi="Arial" w:cs="Arial"/>
          <w:sz w:val="20"/>
          <w:szCs w:val="20"/>
        </w:rPr>
        <w:tab/>
      </w:r>
      <w:r w:rsidR="00A64789" w:rsidRPr="00F15C05">
        <w:rPr>
          <w:rFonts w:ascii="Arial" w:hAnsi="Arial" w:cs="Arial"/>
          <w:sz w:val="20"/>
          <w:szCs w:val="20"/>
        </w:rPr>
        <w:t>relations and partnership with industry bodes well for the sector.</w:t>
      </w:r>
    </w:p>
    <w:p w:rsidR="00A64789" w:rsidRPr="00F15C05" w:rsidRDefault="00800C69" w:rsidP="00F15C05">
      <w:pPr>
        <w:pStyle w:val="ListParagraph"/>
        <w:spacing w:after="0" w:line="240" w:lineRule="auto"/>
        <w:ind w:left="0"/>
        <w:rPr>
          <w:rFonts w:ascii="Arial" w:hAnsi="Arial" w:cs="Arial"/>
          <w:sz w:val="20"/>
          <w:szCs w:val="20"/>
        </w:rPr>
      </w:pPr>
      <w:r w:rsidRPr="00F15C05">
        <w:rPr>
          <w:rFonts w:ascii="Arial" w:hAnsi="Arial" w:cs="Arial"/>
          <w:sz w:val="20"/>
          <w:szCs w:val="20"/>
        </w:rPr>
        <w:t>3.4.7.</w:t>
      </w:r>
      <w:r w:rsidRPr="00F15C05">
        <w:rPr>
          <w:rFonts w:ascii="Arial" w:hAnsi="Arial" w:cs="Arial"/>
          <w:sz w:val="20"/>
          <w:szCs w:val="20"/>
        </w:rPr>
        <w:tab/>
      </w:r>
      <w:r w:rsidR="00A64789" w:rsidRPr="00F15C05">
        <w:rPr>
          <w:rFonts w:ascii="Arial" w:hAnsi="Arial" w:cs="Arial"/>
          <w:sz w:val="20"/>
          <w:szCs w:val="20"/>
        </w:rPr>
        <w:t xml:space="preserve">The slow spending of infrastructure grants by TVET colleges remains a concern given </w:t>
      </w:r>
      <w:r w:rsidRPr="00F15C05">
        <w:rPr>
          <w:rFonts w:ascii="Arial" w:hAnsi="Arial" w:cs="Arial"/>
          <w:sz w:val="20"/>
          <w:szCs w:val="20"/>
        </w:rPr>
        <w:tab/>
      </w:r>
      <w:r w:rsidR="00A64789" w:rsidRPr="00F15C05">
        <w:rPr>
          <w:rFonts w:ascii="Arial" w:hAnsi="Arial" w:cs="Arial"/>
          <w:sz w:val="20"/>
          <w:szCs w:val="20"/>
        </w:rPr>
        <w:t xml:space="preserve">the dire shortage of student housing and </w:t>
      </w:r>
      <w:r w:rsidRPr="00F15C05">
        <w:rPr>
          <w:rFonts w:ascii="Arial" w:hAnsi="Arial" w:cs="Arial"/>
          <w:sz w:val="20"/>
          <w:szCs w:val="20"/>
        </w:rPr>
        <w:t xml:space="preserve">the backlog in maintenance and refurbishment </w:t>
      </w:r>
      <w:r w:rsidRPr="00F15C05">
        <w:rPr>
          <w:rFonts w:ascii="Arial" w:hAnsi="Arial" w:cs="Arial"/>
          <w:sz w:val="20"/>
          <w:szCs w:val="20"/>
        </w:rPr>
        <w:tab/>
        <w:t xml:space="preserve">of the existing </w:t>
      </w:r>
      <w:r w:rsidR="00A64789" w:rsidRPr="00F15C05">
        <w:rPr>
          <w:rFonts w:ascii="Arial" w:hAnsi="Arial" w:cs="Arial"/>
          <w:sz w:val="20"/>
          <w:szCs w:val="20"/>
        </w:rPr>
        <w:t xml:space="preserve">facilities in the sector. </w:t>
      </w:r>
    </w:p>
    <w:p w:rsidR="00A64789" w:rsidRPr="00F15C05" w:rsidRDefault="00A64789" w:rsidP="00F15C05">
      <w:pPr>
        <w:pStyle w:val="ListParagraph"/>
        <w:spacing w:after="0" w:line="240" w:lineRule="auto"/>
        <w:ind w:left="0"/>
        <w:rPr>
          <w:rFonts w:ascii="Arial" w:hAnsi="Arial" w:cs="Arial"/>
          <w:sz w:val="20"/>
          <w:szCs w:val="20"/>
        </w:rPr>
      </w:pPr>
    </w:p>
    <w:p w:rsidR="00A431B5" w:rsidRPr="00F15C05" w:rsidRDefault="00A64789" w:rsidP="00F15C05">
      <w:pPr>
        <w:pStyle w:val="ListParagraph"/>
        <w:spacing w:after="0" w:line="240" w:lineRule="auto"/>
        <w:ind w:left="0"/>
        <w:rPr>
          <w:rFonts w:ascii="Arial" w:hAnsi="Arial" w:cs="Arial"/>
          <w:b/>
          <w:sz w:val="20"/>
          <w:szCs w:val="20"/>
        </w:rPr>
      </w:pPr>
      <w:r w:rsidRPr="00F15C05">
        <w:rPr>
          <w:rFonts w:ascii="Arial" w:hAnsi="Arial" w:cs="Arial"/>
          <w:b/>
          <w:sz w:val="20"/>
          <w:szCs w:val="20"/>
        </w:rPr>
        <w:t xml:space="preserve">3.5. </w:t>
      </w:r>
      <w:r w:rsidR="00A431B5" w:rsidRPr="00F15C05">
        <w:rPr>
          <w:rFonts w:ascii="Arial" w:hAnsi="Arial" w:cs="Arial"/>
          <w:b/>
          <w:sz w:val="20"/>
          <w:szCs w:val="20"/>
        </w:rPr>
        <w:t>Programme 5: Skills Development</w:t>
      </w:r>
    </w:p>
    <w:p w:rsidR="008D0EF0" w:rsidRPr="00F15C05" w:rsidRDefault="00A431B5" w:rsidP="00F15C05">
      <w:pPr>
        <w:pStyle w:val="ListParagraph"/>
        <w:spacing w:after="0" w:line="240" w:lineRule="auto"/>
        <w:ind w:left="0"/>
        <w:rPr>
          <w:rFonts w:ascii="Arial" w:hAnsi="Arial" w:cs="Arial"/>
          <w:sz w:val="20"/>
          <w:szCs w:val="20"/>
        </w:rPr>
      </w:pPr>
      <w:r w:rsidRPr="00F15C05">
        <w:rPr>
          <w:rFonts w:ascii="Arial" w:hAnsi="Arial" w:cs="Arial"/>
          <w:sz w:val="20"/>
          <w:szCs w:val="20"/>
        </w:rPr>
        <w:t>3.</w:t>
      </w:r>
      <w:r w:rsidR="00800C69" w:rsidRPr="00F15C05">
        <w:rPr>
          <w:rFonts w:ascii="Arial" w:hAnsi="Arial" w:cs="Arial"/>
          <w:sz w:val="20"/>
          <w:szCs w:val="20"/>
        </w:rPr>
        <w:t>5</w:t>
      </w:r>
      <w:r w:rsidRPr="00F15C05">
        <w:rPr>
          <w:rFonts w:ascii="Arial" w:hAnsi="Arial" w:cs="Arial"/>
          <w:sz w:val="20"/>
          <w:szCs w:val="20"/>
        </w:rPr>
        <w:t>.1.</w:t>
      </w:r>
      <w:r w:rsidRPr="00F15C05">
        <w:rPr>
          <w:rFonts w:ascii="Arial" w:hAnsi="Arial" w:cs="Arial"/>
          <w:sz w:val="20"/>
          <w:szCs w:val="20"/>
        </w:rPr>
        <w:tab/>
      </w:r>
      <w:r w:rsidR="008D0EF0" w:rsidRPr="00F15C05">
        <w:rPr>
          <w:rFonts w:ascii="Arial" w:hAnsi="Arial" w:cs="Arial"/>
          <w:sz w:val="20"/>
          <w:szCs w:val="20"/>
        </w:rPr>
        <w:t xml:space="preserve">The delays </w:t>
      </w:r>
      <w:r w:rsidR="00F35D9B" w:rsidRPr="00F15C05">
        <w:rPr>
          <w:rFonts w:ascii="Arial" w:hAnsi="Arial" w:cs="Arial"/>
          <w:sz w:val="20"/>
          <w:szCs w:val="20"/>
        </w:rPr>
        <w:t>by the SETAs in</w:t>
      </w:r>
      <w:r w:rsidR="008D0EF0" w:rsidRPr="00F15C05">
        <w:rPr>
          <w:rFonts w:ascii="Arial" w:hAnsi="Arial" w:cs="Arial"/>
          <w:sz w:val="20"/>
          <w:szCs w:val="20"/>
        </w:rPr>
        <w:t xml:space="preserve"> the payment of mandatory grants to employers for their </w:t>
      </w:r>
      <w:r w:rsidR="00F35D9B" w:rsidRPr="00F15C05">
        <w:rPr>
          <w:rFonts w:ascii="Arial" w:hAnsi="Arial" w:cs="Arial"/>
          <w:sz w:val="20"/>
          <w:szCs w:val="20"/>
        </w:rPr>
        <w:tab/>
      </w:r>
      <w:r w:rsidR="008D0EF0" w:rsidRPr="00F15C05">
        <w:rPr>
          <w:rFonts w:ascii="Arial" w:hAnsi="Arial" w:cs="Arial"/>
          <w:sz w:val="20"/>
          <w:szCs w:val="20"/>
        </w:rPr>
        <w:t>skills development and training programmes remains a concern.</w:t>
      </w:r>
      <w:r w:rsidR="00F35D9B" w:rsidRPr="00F15C05">
        <w:rPr>
          <w:rFonts w:ascii="Arial" w:hAnsi="Arial" w:cs="Arial"/>
          <w:sz w:val="20"/>
          <w:szCs w:val="20"/>
        </w:rPr>
        <w:t xml:space="preserve"> Of great concern is </w:t>
      </w:r>
      <w:r w:rsidR="00F35D9B" w:rsidRPr="00F15C05">
        <w:rPr>
          <w:rFonts w:ascii="Arial" w:hAnsi="Arial" w:cs="Arial"/>
          <w:sz w:val="20"/>
          <w:szCs w:val="20"/>
        </w:rPr>
        <w:tab/>
        <w:t xml:space="preserve">that the planned target could not be met in the </w:t>
      </w:r>
      <w:r w:rsidR="00CA628B" w:rsidRPr="00F15C05">
        <w:rPr>
          <w:rFonts w:ascii="Arial" w:hAnsi="Arial" w:cs="Arial"/>
          <w:sz w:val="20"/>
          <w:szCs w:val="20"/>
        </w:rPr>
        <w:t xml:space="preserve">three </w:t>
      </w:r>
      <w:r w:rsidR="00F35D9B" w:rsidRPr="00F15C05">
        <w:rPr>
          <w:rFonts w:ascii="Arial" w:hAnsi="Arial" w:cs="Arial"/>
          <w:sz w:val="20"/>
          <w:szCs w:val="20"/>
        </w:rPr>
        <w:t>consecutive Quarters of 2022/23.</w:t>
      </w:r>
    </w:p>
    <w:p w:rsidR="00A431B5" w:rsidRPr="00F15C05" w:rsidRDefault="00A431B5" w:rsidP="00F15C05">
      <w:pPr>
        <w:spacing w:after="0" w:line="240" w:lineRule="auto"/>
        <w:rPr>
          <w:rFonts w:ascii="Arial" w:hAnsi="Arial" w:cs="Arial"/>
          <w:b/>
          <w:sz w:val="20"/>
          <w:szCs w:val="20"/>
        </w:rPr>
      </w:pPr>
      <w:r w:rsidRPr="00F15C05">
        <w:rPr>
          <w:rFonts w:ascii="Arial" w:hAnsi="Arial" w:cs="Arial"/>
          <w:b/>
          <w:sz w:val="20"/>
          <w:szCs w:val="20"/>
        </w:rPr>
        <w:t>3.</w:t>
      </w:r>
      <w:r w:rsidR="00011753" w:rsidRPr="00F15C05">
        <w:rPr>
          <w:rFonts w:ascii="Arial" w:hAnsi="Arial" w:cs="Arial"/>
          <w:b/>
          <w:sz w:val="20"/>
          <w:szCs w:val="20"/>
        </w:rPr>
        <w:t>5</w:t>
      </w:r>
      <w:r w:rsidRPr="00F15C05">
        <w:rPr>
          <w:rFonts w:ascii="Arial" w:hAnsi="Arial" w:cs="Arial"/>
          <w:b/>
          <w:sz w:val="20"/>
          <w:szCs w:val="20"/>
        </w:rPr>
        <w:t>. Programme 6: Community Education and Training</w:t>
      </w:r>
    </w:p>
    <w:p w:rsidR="00F35D9B" w:rsidRPr="00F15C05" w:rsidRDefault="00A431B5" w:rsidP="00F15C05">
      <w:pPr>
        <w:pStyle w:val="ListParagraph"/>
        <w:spacing w:after="0" w:line="240" w:lineRule="auto"/>
        <w:ind w:left="0"/>
        <w:rPr>
          <w:rFonts w:ascii="Arial" w:hAnsi="Arial" w:cs="Arial"/>
          <w:sz w:val="20"/>
          <w:szCs w:val="20"/>
        </w:rPr>
      </w:pPr>
      <w:r w:rsidRPr="00F15C05">
        <w:rPr>
          <w:rFonts w:ascii="Arial" w:hAnsi="Arial" w:cs="Arial"/>
          <w:sz w:val="20"/>
          <w:szCs w:val="20"/>
        </w:rPr>
        <w:lastRenderedPageBreak/>
        <w:t>3.</w:t>
      </w:r>
      <w:r w:rsidR="00011753" w:rsidRPr="00F15C05">
        <w:rPr>
          <w:rFonts w:ascii="Arial" w:hAnsi="Arial" w:cs="Arial"/>
          <w:sz w:val="20"/>
          <w:szCs w:val="20"/>
        </w:rPr>
        <w:t>5</w:t>
      </w:r>
      <w:r w:rsidRPr="00F15C05">
        <w:rPr>
          <w:rFonts w:ascii="Arial" w:hAnsi="Arial" w:cs="Arial"/>
          <w:sz w:val="20"/>
          <w:szCs w:val="20"/>
        </w:rPr>
        <w:t>.1.</w:t>
      </w:r>
      <w:r w:rsidRPr="00F15C05">
        <w:rPr>
          <w:rFonts w:ascii="Arial" w:hAnsi="Arial" w:cs="Arial"/>
          <w:sz w:val="20"/>
          <w:szCs w:val="20"/>
        </w:rPr>
        <w:tab/>
      </w:r>
      <w:r w:rsidR="00F35D9B" w:rsidRPr="00F15C05">
        <w:rPr>
          <w:rFonts w:ascii="Arial" w:hAnsi="Arial" w:cs="Arial"/>
          <w:sz w:val="20"/>
          <w:szCs w:val="20"/>
        </w:rPr>
        <w:t xml:space="preserve">The CET sector remains under-resourced and this hinders its ability to expand and </w:t>
      </w:r>
      <w:r w:rsidR="00F35D9B" w:rsidRPr="00F15C05">
        <w:rPr>
          <w:rFonts w:ascii="Arial" w:hAnsi="Arial" w:cs="Arial"/>
          <w:sz w:val="20"/>
          <w:szCs w:val="20"/>
        </w:rPr>
        <w:tab/>
        <w:t xml:space="preserve">remain relevant. The fact that only </w:t>
      </w:r>
      <w:r w:rsidR="00CD2B22" w:rsidRPr="00F15C05">
        <w:rPr>
          <w:rFonts w:ascii="Arial" w:hAnsi="Arial" w:cs="Arial"/>
          <w:sz w:val="20"/>
          <w:szCs w:val="20"/>
        </w:rPr>
        <w:t>two</w:t>
      </w:r>
      <w:r w:rsidR="00F35D9B" w:rsidRPr="00F15C05">
        <w:rPr>
          <w:rFonts w:ascii="Arial" w:hAnsi="Arial" w:cs="Arial"/>
          <w:sz w:val="20"/>
          <w:szCs w:val="20"/>
        </w:rPr>
        <w:t xml:space="preserve"> percent of the Department’s budget is allocated </w:t>
      </w:r>
      <w:r w:rsidR="00F35D9B" w:rsidRPr="00F15C05">
        <w:rPr>
          <w:rFonts w:ascii="Arial" w:hAnsi="Arial" w:cs="Arial"/>
          <w:sz w:val="20"/>
          <w:szCs w:val="20"/>
        </w:rPr>
        <w:tab/>
        <w:t>for this programme remains a concern.</w:t>
      </w:r>
    </w:p>
    <w:p w:rsidR="003A2394" w:rsidRPr="00F15C05" w:rsidRDefault="00F35D9B" w:rsidP="00F15C05">
      <w:pPr>
        <w:pStyle w:val="ListParagraph"/>
        <w:spacing w:after="0" w:line="240" w:lineRule="auto"/>
        <w:ind w:left="0"/>
        <w:rPr>
          <w:rFonts w:ascii="Arial" w:hAnsi="Arial" w:cs="Arial"/>
          <w:sz w:val="20"/>
          <w:szCs w:val="20"/>
        </w:rPr>
      </w:pPr>
      <w:r w:rsidRPr="00F15C05">
        <w:rPr>
          <w:rFonts w:ascii="Arial" w:hAnsi="Arial" w:cs="Arial"/>
          <w:sz w:val="20"/>
          <w:szCs w:val="20"/>
        </w:rPr>
        <w:t>3.5.2.</w:t>
      </w:r>
      <w:r w:rsidRPr="00F15C05">
        <w:rPr>
          <w:rFonts w:ascii="Arial" w:hAnsi="Arial" w:cs="Arial"/>
          <w:sz w:val="20"/>
          <w:szCs w:val="20"/>
        </w:rPr>
        <w:tab/>
        <w:t xml:space="preserve">The lower than </w:t>
      </w:r>
      <w:r w:rsidR="00CD2B22" w:rsidRPr="00F15C05">
        <w:rPr>
          <w:rFonts w:ascii="Arial" w:hAnsi="Arial" w:cs="Arial"/>
          <w:sz w:val="20"/>
          <w:szCs w:val="20"/>
        </w:rPr>
        <w:t>projected</w:t>
      </w:r>
      <w:r w:rsidRPr="00F15C05">
        <w:rPr>
          <w:rFonts w:ascii="Arial" w:hAnsi="Arial" w:cs="Arial"/>
          <w:sz w:val="20"/>
          <w:szCs w:val="20"/>
        </w:rPr>
        <w:t xml:space="preserve"> enrolment of students in the CET sector remains a serious </w:t>
      </w:r>
      <w:r w:rsidRPr="00F15C05">
        <w:rPr>
          <w:rFonts w:ascii="Arial" w:hAnsi="Arial" w:cs="Arial"/>
          <w:sz w:val="20"/>
          <w:szCs w:val="20"/>
        </w:rPr>
        <w:tab/>
        <w:t>concern given the demand for short term skills in communities.</w:t>
      </w:r>
    </w:p>
    <w:p w:rsidR="00F35D9B" w:rsidRPr="00F15C05" w:rsidRDefault="003A2394" w:rsidP="00F15C05">
      <w:pPr>
        <w:pStyle w:val="ListParagraph"/>
        <w:spacing w:after="0" w:line="240" w:lineRule="auto"/>
        <w:ind w:left="0"/>
        <w:rPr>
          <w:rFonts w:ascii="Arial" w:hAnsi="Arial" w:cs="Arial"/>
          <w:sz w:val="20"/>
          <w:szCs w:val="20"/>
        </w:rPr>
      </w:pPr>
      <w:r w:rsidRPr="00F15C05">
        <w:rPr>
          <w:rFonts w:ascii="Arial" w:hAnsi="Arial" w:cs="Arial"/>
          <w:sz w:val="20"/>
          <w:szCs w:val="20"/>
        </w:rPr>
        <w:t>3.5.3.</w:t>
      </w:r>
      <w:r w:rsidRPr="00F15C05">
        <w:rPr>
          <w:rFonts w:ascii="Arial" w:hAnsi="Arial" w:cs="Arial"/>
          <w:sz w:val="20"/>
          <w:szCs w:val="20"/>
        </w:rPr>
        <w:tab/>
      </w:r>
      <w:r w:rsidR="00F35D9B" w:rsidRPr="00F15C05">
        <w:rPr>
          <w:rFonts w:ascii="Arial" w:hAnsi="Arial" w:cs="Arial"/>
          <w:sz w:val="20"/>
          <w:szCs w:val="20"/>
        </w:rPr>
        <w:t xml:space="preserve">The Department’s advocacy campaigns and marketing initiatives to create awareness </w:t>
      </w:r>
      <w:r w:rsidRPr="00F15C05">
        <w:rPr>
          <w:rFonts w:ascii="Arial" w:hAnsi="Arial" w:cs="Arial"/>
          <w:sz w:val="20"/>
          <w:szCs w:val="20"/>
        </w:rPr>
        <w:tab/>
      </w:r>
      <w:r w:rsidR="00F35D9B" w:rsidRPr="00F15C05">
        <w:rPr>
          <w:rFonts w:ascii="Arial" w:hAnsi="Arial" w:cs="Arial"/>
          <w:sz w:val="20"/>
          <w:szCs w:val="20"/>
        </w:rPr>
        <w:t xml:space="preserve">regarding the CET programme in communities was welcomed. The Committee was </w:t>
      </w:r>
      <w:r w:rsidRPr="00F15C05">
        <w:rPr>
          <w:rFonts w:ascii="Arial" w:hAnsi="Arial" w:cs="Arial"/>
          <w:sz w:val="20"/>
          <w:szCs w:val="20"/>
        </w:rPr>
        <w:tab/>
      </w:r>
      <w:r w:rsidR="00F35D9B" w:rsidRPr="00F15C05">
        <w:rPr>
          <w:rFonts w:ascii="Arial" w:hAnsi="Arial" w:cs="Arial"/>
          <w:sz w:val="20"/>
          <w:szCs w:val="20"/>
        </w:rPr>
        <w:t>encouraged</w:t>
      </w:r>
      <w:r w:rsidR="00CD2B22" w:rsidRPr="00F15C05">
        <w:rPr>
          <w:rFonts w:ascii="Arial" w:hAnsi="Arial" w:cs="Arial"/>
          <w:sz w:val="20"/>
          <w:szCs w:val="20"/>
        </w:rPr>
        <w:t xml:space="preserve"> by the reported </w:t>
      </w:r>
      <w:r w:rsidR="00F35D9B" w:rsidRPr="00F15C05">
        <w:rPr>
          <w:rFonts w:ascii="Arial" w:hAnsi="Arial" w:cs="Arial"/>
          <w:sz w:val="20"/>
          <w:szCs w:val="20"/>
        </w:rPr>
        <w:t xml:space="preserve">R1 billion </w:t>
      </w:r>
      <w:r w:rsidR="00CD2B22" w:rsidRPr="00F15C05">
        <w:rPr>
          <w:rFonts w:ascii="Arial" w:hAnsi="Arial" w:cs="Arial"/>
          <w:sz w:val="20"/>
          <w:szCs w:val="20"/>
        </w:rPr>
        <w:t xml:space="preserve">that </w:t>
      </w:r>
      <w:r w:rsidR="00F35D9B" w:rsidRPr="00F15C05">
        <w:rPr>
          <w:rFonts w:ascii="Arial" w:hAnsi="Arial" w:cs="Arial"/>
          <w:sz w:val="20"/>
          <w:szCs w:val="20"/>
        </w:rPr>
        <w:t xml:space="preserve">has been set aside to improve CET college </w:t>
      </w:r>
      <w:r w:rsidR="00CD2B22" w:rsidRPr="00F15C05">
        <w:rPr>
          <w:rFonts w:ascii="Arial" w:hAnsi="Arial" w:cs="Arial"/>
          <w:sz w:val="20"/>
          <w:szCs w:val="20"/>
        </w:rPr>
        <w:tab/>
      </w:r>
      <w:r w:rsidR="00F35D9B" w:rsidRPr="00F15C05">
        <w:rPr>
          <w:rFonts w:ascii="Arial" w:hAnsi="Arial" w:cs="Arial"/>
          <w:sz w:val="20"/>
          <w:szCs w:val="20"/>
        </w:rPr>
        <w:t xml:space="preserve">infrastructure, </w:t>
      </w:r>
      <w:r w:rsidRPr="00F15C05">
        <w:rPr>
          <w:rFonts w:ascii="Arial" w:hAnsi="Arial" w:cs="Arial"/>
          <w:sz w:val="20"/>
          <w:szCs w:val="20"/>
        </w:rPr>
        <w:tab/>
      </w:r>
      <w:r w:rsidR="00F35D9B" w:rsidRPr="00F15C05">
        <w:rPr>
          <w:rFonts w:ascii="Arial" w:hAnsi="Arial" w:cs="Arial"/>
          <w:sz w:val="20"/>
          <w:szCs w:val="20"/>
        </w:rPr>
        <w:t xml:space="preserve">despite SETAs also contributing funding for infrastructure and </w:t>
      </w:r>
      <w:r w:rsidR="00CD2B22" w:rsidRPr="00F15C05">
        <w:rPr>
          <w:rFonts w:ascii="Arial" w:hAnsi="Arial" w:cs="Arial"/>
          <w:sz w:val="20"/>
          <w:szCs w:val="20"/>
        </w:rPr>
        <w:tab/>
      </w:r>
      <w:r w:rsidR="00F35D9B" w:rsidRPr="00F15C05">
        <w:rPr>
          <w:rFonts w:ascii="Arial" w:hAnsi="Arial" w:cs="Arial"/>
          <w:sz w:val="20"/>
          <w:szCs w:val="20"/>
        </w:rPr>
        <w:t>operational costs of the sector.</w:t>
      </w:r>
    </w:p>
    <w:p w:rsidR="0032103E" w:rsidRPr="00F15C05" w:rsidRDefault="0032103E" w:rsidP="00F15C05">
      <w:pPr>
        <w:spacing w:after="0" w:line="240" w:lineRule="auto"/>
        <w:rPr>
          <w:rFonts w:ascii="Arial" w:hAnsi="Arial" w:cs="Arial"/>
          <w:b/>
          <w:sz w:val="20"/>
          <w:szCs w:val="20"/>
        </w:rPr>
      </w:pPr>
    </w:p>
    <w:p w:rsidR="00A418ED" w:rsidRPr="00F15C05" w:rsidRDefault="000F5259" w:rsidP="00F15C05">
      <w:pPr>
        <w:spacing w:after="0" w:line="240" w:lineRule="auto"/>
        <w:rPr>
          <w:rFonts w:ascii="Arial" w:hAnsi="Arial" w:cs="Arial"/>
          <w:b/>
          <w:sz w:val="20"/>
          <w:szCs w:val="20"/>
        </w:rPr>
      </w:pPr>
      <w:r w:rsidRPr="00F15C05">
        <w:rPr>
          <w:rFonts w:ascii="Arial" w:hAnsi="Arial" w:cs="Arial"/>
          <w:b/>
          <w:sz w:val="20"/>
          <w:szCs w:val="20"/>
        </w:rPr>
        <w:t>4. SUMMARY</w:t>
      </w:r>
    </w:p>
    <w:p w:rsidR="000F5259" w:rsidRPr="00F15C05" w:rsidRDefault="000F5259" w:rsidP="00F15C05">
      <w:pPr>
        <w:spacing w:after="0" w:line="240" w:lineRule="auto"/>
        <w:rPr>
          <w:rFonts w:ascii="Arial" w:hAnsi="Arial" w:cs="Arial"/>
          <w:sz w:val="20"/>
          <w:szCs w:val="20"/>
        </w:rPr>
      </w:pPr>
      <w:r w:rsidRPr="00F15C05">
        <w:rPr>
          <w:rFonts w:ascii="Arial" w:hAnsi="Arial" w:cs="Arial"/>
          <w:sz w:val="20"/>
          <w:szCs w:val="20"/>
        </w:rPr>
        <w:t xml:space="preserve">The </w:t>
      </w:r>
      <w:r w:rsidR="00EA3FC4" w:rsidRPr="00F15C05">
        <w:rPr>
          <w:rFonts w:ascii="Arial" w:hAnsi="Arial" w:cs="Arial"/>
          <w:sz w:val="20"/>
          <w:szCs w:val="20"/>
        </w:rPr>
        <w:t xml:space="preserve">Committee was </w:t>
      </w:r>
      <w:r w:rsidR="00281171" w:rsidRPr="00F15C05">
        <w:rPr>
          <w:rFonts w:ascii="Arial" w:hAnsi="Arial" w:cs="Arial"/>
          <w:sz w:val="20"/>
          <w:szCs w:val="20"/>
        </w:rPr>
        <w:t>concern</w:t>
      </w:r>
      <w:r w:rsidR="00EA3FC4" w:rsidRPr="00F15C05">
        <w:rPr>
          <w:rFonts w:ascii="Arial" w:hAnsi="Arial" w:cs="Arial"/>
          <w:sz w:val="20"/>
          <w:szCs w:val="20"/>
        </w:rPr>
        <w:t xml:space="preserve">ed with the </w:t>
      </w:r>
      <w:r w:rsidRPr="00F15C05">
        <w:rPr>
          <w:rFonts w:ascii="Arial" w:hAnsi="Arial" w:cs="Arial"/>
          <w:sz w:val="20"/>
          <w:szCs w:val="20"/>
        </w:rPr>
        <w:t xml:space="preserve">Department’s overall performance for the </w:t>
      </w:r>
      <w:r w:rsidR="001329D7" w:rsidRPr="00F15C05">
        <w:rPr>
          <w:rFonts w:ascii="Arial" w:hAnsi="Arial" w:cs="Arial"/>
          <w:sz w:val="20"/>
          <w:szCs w:val="20"/>
        </w:rPr>
        <w:t>Q</w:t>
      </w:r>
      <w:r w:rsidRPr="00F15C05">
        <w:rPr>
          <w:rFonts w:ascii="Arial" w:hAnsi="Arial" w:cs="Arial"/>
          <w:sz w:val="20"/>
          <w:szCs w:val="20"/>
        </w:rPr>
        <w:t>uarter under review</w:t>
      </w:r>
      <w:r w:rsidR="00EA3FC4" w:rsidRPr="00F15C05">
        <w:rPr>
          <w:rFonts w:ascii="Arial" w:hAnsi="Arial" w:cs="Arial"/>
          <w:sz w:val="20"/>
          <w:szCs w:val="20"/>
        </w:rPr>
        <w:t xml:space="preserve">. The Committee </w:t>
      </w:r>
      <w:r w:rsidR="001329D7" w:rsidRPr="00F15C05">
        <w:rPr>
          <w:rFonts w:ascii="Arial" w:hAnsi="Arial" w:cs="Arial"/>
          <w:sz w:val="20"/>
          <w:szCs w:val="20"/>
        </w:rPr>
        <w:t xml:space="preserve">stated </w:t>
      </w:r>
      <w:r w:rsidR="00EA3FC4" w:rsidRPr="00F15C05">
        <w:rPr>
          <w:rFonts w:ascii="Arial" w:hAnsi="Arial" w:cs="Arial"/>
          <w:sz w:val="20"/>
          <w:szCs w:val="20"/>
        </w:rPr>
        <w:t>that the underperformance was unacceptable</w:t>
      </w:r>
      <w:r w:rsidRPr="00F15C05">
        <w:rPr>
          <w:rFonts w:ascii="Arial" w:hAnsi="Arial" w:cs="Arial"/>
          <w:sz w:val="20"/>
          <w:szCs w:val="20"/>
        </w:rPr>
        <w:t xml:space="preserve">. There were </w:t>
      </w:r>
      <w:r w:rsidR="001329D7" w:rsidRPr="00F15C05">
        <w:rPr>
          <w:rFonts w:ascii="Arial" w:hAnsi="Arial" w:cs="Arial"/>
          <w:sz w:val="20"/>
          <w:szCs w:val="20"/>
        </w:rPr>
        <w:t>28</w:t>
      </w:r>
      <w:r w:rsidRPr="00F15C05">
        <w:rPr>
          <w:rFonts w:ascii="Arial" w:hAnsi="Arial" w:cs="Arial"/>
          <w:sz w:val="20"/>
          <w:szCs w:val="20"/>
        </w:rPr>
        <w:t xml:space="preserve"> targets </w:t>
      </w:r>
      <w:r w:rsidR="00290EC8" w:rsidRPr="00F15C05">
        <w:rPr>
          <w:rFonts w:ascii="Arial" w:hAnsi="Arial" w:cs="Arial"/>
          <w:sz w:val="20"/>
          <w:szCs w:val="20"/>
        </w:rPr>
        <w:t xml:space="preserve">planned </w:t>
      </w:r>
      <w:r w:rsidRPr="00F15C05">
        <w:rPr>
          <w:rFonts w:ascii="Arial" w:hAnsi="Arial" w:cs="Arial"/>
          <w:sz w:val="20"/>
          <w:szCs w:val="20"/>
        </w:rPr>
        <w:t xml:space="preserve">during the </w:t>
      </w:r>
      <w:r w:rsidR="00EA3FC4" w:rsidRPr="00F15C05">
        <w:rPr>
          <w:rFonts w:ascii="Arial" w:hAnsi="Arial" w:cs="Arial"/>
          <w:sz w:val="20"/>
          <w:szCs w:val="20"/>
        </w:rPr>
        <w:t>S</w:t>
      </w:r>
      <w:r w:rsidRPr="00F15C05">
        <w:rPr>
          <w:rFonts w:ascii="Arial" w:hAnsi="Arial" w:cs="Arial"/>
          <w:sz w:val="20"/>
          <w:szCs w:val="20"/>
        </w:rPr>
        <w:t>econd</w:t>
      </w:r>
      <w:r w:rsidR="00290EC8" w:rsidRPr="00F15C05">
        <w:rPr>
          <w:rFonts w:ascii="Arial" w:hAnsi="Arial" w:cs="Arial"/>
          <w:sz w:val="20"/>
          <w:szCs w:val="20"/>
        </w:rPr>
        <w:t>-Q</w:t>
      </w:r>
      <w:r w:rsidRPr="00F15C05">
        <w:rPr>
          <w:rFonts w:ascii="Arial" w:hAnsi="Arial" w:cs="Arial"/>
          <w:sz w:val="20"/>
          <w:szCs w:val="20"/>
        </w:rPr>
        <w:t xml:space="preserve">uarter, and </w:t>
      </w:r>
      <w:r w:rsidR="001329D7" w:rsidRPr="00F15C05">
        <w:rPr>
          <w:rFonts w:ascii="Arial" w:hAnsi="Arial" w:cs="Arial"/>
          <w:sz w:val="20"/>
          <w:szCs w:val="20"/>
        </w:rPr>
        <w:t>15</w:t>
      </w:r>
      <w:r w:rsidRPr="00F15C05">
        <w:rPr>
          <w:rFonts w:ascii="Arial" w:hAnsi="Arial" w:cs="Arial"/>
          <w:sz w:val="20"/>
          <w:szCs w:val="20"/>
        </w:rPr>
        <w:t xml:space="preserve"> (5</w:t>
      </w:r>
      <w:r w:rsidR="001329D7" w:rsidRPr="00F15C05">
        <w:rPr>
          <w:rFonts w:ascii="Arial" w:hAnsi="Arial" w:cs="Arial"/>
          <w:sz w:val="20"/>
          <w:szCs w:val="20"/>
        </w:rPr>
        <w:t>4</w:t>
      </w:r>
      <w:r w:rsidRPr="00F15C05">
        <w:rPr>
          <w:rFonts w:ascii="Arial" w:hAnsi="Arial" w:cs="Arial"/>
          <w:sz w:val="20"/>
          <w:szCs w:val="20"/>
        </w:rPr>
        <w:t xml:space="preserve">%) of the targets were achieved. Similarly, there were </w:t>
      </w:r>
      <w:r w:rsidR="001329D7" w:rsidRPr="00F15C05">
        <w:rPr>
          <w:rFonts w:ascii="Arial" w:hAnsi="Arial" w:cs="Arial"/>
          <w:sz w:val="20"/>
          <w:szCs w:val="20"/>
        </w:rPr>
        <w:t>47</w:t>
      </w:r>
      <w:r w:rsidRPr="00F15C05">
        <w:rPr>
          <w:rFonts w:ascii="Arial" w:hAnsi="Arial" w:cs="Arial"/>
          <w:sz w:val="20"/>
          <w:szCs w:val="20"/>
        </w:rPr>
        <w:t xml:space="preserve"> targets </w:t>
      </w:r>
      <w:r w:rsidR="00290EC8" w:rsidRPr="00F15C05">
        <w:rPr>
          <w:rFonts w:ascii="Arial" w:hAnsi="Arial" w:cs="Arial"/>
          <w:sz w:val="20"/>
          <w:szCs w:val="20"/>
        </w:rPr>
        <w:t xml:space="preserve">planned in the Third-Quarter </w:t>
      </w:r>
      <w:r w:rsidRPr="00F15C05">
        <w:rPr>
          <w:rFonts w:ascii="Arial" w:hAnsi="Arial" w:cs="Arial"/>
          <w:sz w:val="20"/>
          <w:szCs w:val="20"/>
        </w:rPr>
        <w:t>and three (</w:t>
      </w:r>
      <w:r w:rsidR="001329D7" w:rsidRPr="00F15C05">
        <w:rPr>
          <w:rFonts w:ascii="Arial" w:hAnsi="Arial" w:cs="Arial"/>
          <w:sz w:val="20"/>
          <w:szCs w:val="20"/>
        </w:rPr>
        <w:t>45</w:t>
      </w:r>
      <w:r w:rsidRPr="00F15C05">
        <w:rPr>
          <w:rFonts w:ascii="Arial" w:hAnsi="Arial" w:cs="Arial"/>
          <w:sz w:val="20"/>
          <w:szCs w:val="20"/>
        </w:rPr>
        <w:t xml:space="preserve">%) of </w:t>
      </w:r>
      <w:r w:rsidR="001329D7" w:rsidRPr="00F15C05">
        <w:rPr>
          <w:rFonts w:ascii="Arial" w:hAnsi="Arial" w:cs="Arial"/>
          <w:sz w:val="20"/>
          <w:szCs w:val="20"/>
        </w:rPr>
        <w:t>the 47</w:t>
      </w:r>
      <w:r w:rsidR="00A61154" w:rsidRPr="00F15C05">
        <w:rPr>
          <w:rFonts w:ascii="Arial" w:hAnsi="Arial" w:cs="Arial"/>
          <w:sz w:val="20"/>
          <w:szCs w:val="20"/>
        </w:rPr>
        <w:t xml:space="preserve"> </w:t>
      </w:r>
      <w:r w:rsidRPr="00F15C05">
        <w:rPr>
          <w:rFonts w:ascii="Arial" w:hAnsi="Arial" w:cs="Arial"/>
          <w:sz w:val="20"/>
          <w:szCs w:val="20"/>
        </w:rPr>
        <w:t>targets were achieved. The primary reason provided for the under-performance recorded in both quarters related to human resources capacity challenges, which in essence hinders the ability of the Department to perform in line with its pre-determined objectives.</w:t>
      </w:r>
    </w:p>
    <w:p w:rsidR="000F5259" w:rsidRPr="00F15C05" w:rsidRDefault="000F5259" w:rsidP="00F15C05">
      <w:pPr>
        <w:spacing w:after="0" w:line="240" w:lineRule="auto"/>
        <w:rPr>
          <w:rFonts w:ascii="Arial" w:hAnsi="Arial" w:cs="Arial"/>
          <w:sz w:val="20"/>
          <w:szCs w:val="20"/>
        </w:rPr>
      </w:pPr>
      <w:r w:rsidRPr="00F15C05">
        <w:rPr>
          <w:rFonts w:ascii="Arial" w:hAnsi="Arial" w:cs="Arial"/>
          <w:sz w:val="20"/>
          <w:szCs w:val="20"/>
        </w:rPr>
        <w:t xml:space="preserve">The Committee was </w:t>
      </w:r>
      <w:r w:rsidR="00EA3FC4" w:rsidRPr="00F15C05">
        <w:rPr>
          <w:rFonts w:ascii="Arial" w:hAnsi="Arial" w:cs="Arial"/>
          <w:sz w:val="20"/>
          <w:szCs w:val="20"/>
        </w:rPr>
        <w:t xml:space="preserve">gravely concerned about </w:t>
      </w:r>
      <w:r w:rsidRPr="00F15C05">
        <w:rPr>
          <w:rFonts w:ascii="Arial" w:hAnsi="Arial" w:cs="Arial"/>
          <w:sz w:val="20"/>
          <w:szCs w:val="20"/>
        </w:rPr>
        <w:t xml:space="preserve">the performance of some key delivery programmes such as TVET, which </w:t>
      </w:r>
      <w:r w:rsidR="001329D7" w:rsidRPr="00F15C05">
        <w:rPr>
          <w:rFonts w:ascii="Arial" w:hAnsi="Arial" w:cs="Arial"/>
          <w:sz w:val="20"/>
          <w:szCs w:val="20"/>
        </w:rPr>
        <w:t>achieved only three</w:t>
      </w:r>
      <w:r w:rsidRPr="00F15C05">
        <w:rPr>
          <w:rFonts w:ascii="Arial" w:hAnsi="Arial" w:cs="Arial"/>
          <w:sz w:val="20"/>
          <w:szCs w:val="20"/>
        </w:rPr>
        <w:t xml:space="preserve"> </w:t>
      </w:r>
      <w:r w:rsidR="001329D7" w:rsidRPr="00F15C05">
        <w:rPr>
          <w:rFonts w:ascii="Arial" w:hAnsi="Arial" w:cs="Arial"/>
          <w:sz w:val="20"/>
          <w:szCs w:val="20"/>
        </w:rPr>
        <w:t>of the 15 planned targets</w:t>
      </w:r>
      <w:r w:rsidRPr="00F15C05">
        <w:rPr>
          <w:rFonts w:ascii="Arial" w:hAnsi="Arial" w:cs="Arial"/>
          <w:sz w:val="20"/>
          <w:szCs w:val="20"/>
        </w:rPr>
        <w:t xml:space="preserve">. There was no clear indication from the Department about the plan to ensure </w:t>
      </w:r>
      <w:r w:rsidR="001329D7" w:rsidRPr="00F15C05">
        <w:rPr>
          <w:rFonts w:ascii="Arial" w:hAnsi="Arial" w:cs="Arial"/>
          <w:sz w:val="20"/>
          <w:szCs w:val="20"/>
        </w:rPr>
        <w:t xml:space="preserve">that </w:t>
      </w:r>
      <w:r w:rsidRPr="00F15C05">
        <w:rPr>
          <w:rFonts w:ascii="Arial" w:hAnsi="Arial" w:cs="Arial"/>
          <w:sz w:val="20"/>
          <w:szCs w:val="20"/>
        </w:rPr>
        <w:t xml:space="preserve">employees responsible for under-performance will be held </w:t>
      </w:r>
      <w:r w:rsidR="00A61154" w:rsidRPr="00F15C05">
        <w:rPr>
          <w:rFonts w:ascii="Arial" w:hAnsi="Arial" w:cs="Arial"/>
          <w:sz w:val="20"/>
          <w:szCs w:val="20"/>
        </w:rPr>
        <w:t xml:space="preserve">to </w:t>
      </w:r>
      <w:r w:rsidRPr="00F15C05">
        <w:rPr>
          <w:rFonts w:ascii="Arial" w:hAnsi="Arial" w:cs="Arial"/>
          <w:sz w:val="20"/>
          <w:szCs w:val="20"/>
        </w:rPr>
        <w:t xml:space="preserve">account. Furthermore, the Department did not provide specific timeframes to implement corrective measures to address under-performance. The Committee’s view was that there is an urgent need to look into the underlying reasons for under-performance </w:t>
      </w:r>
      <w:r w:rsidR="00A61154" w:rsidRPr="00F15C05">
        <w:rPr>
          <w:rFonts w:ascii="Arial" w:hAnsi="Arial" w:cs="Arial"/>
          <w:sz w:val="20"/>
          <w:szCs w:val="20"/>
        </w:rPr>
        <w:t xml:space="preserve">and put measures in place </w:t>
      </w:r>
      <w:r w:rsidRPr="00F15C05">
        <w:rPr>
          <w:rFonts w:ascii="Arial" w:hAnsi="Arial" w:cs="Arial"/>
          <w:sz w:val="20"/>
          <w:szCs w:val="20"/>
        </w:rPr>
        <w:t xml:space="preserve">to ensure that </w:t>
      </w:r>
      <w:r w:rsidR="00A61154" w:rsidRPr="00F15C05">
        <w:rPr>
          <w:rFonts w:ascii="Arial" w:hAnsi="Arial" w:cs="Arial"/>
          <w:sz w:val="20"/>
          <w:szCs w:val="20"/>
        </w:rPr>
        <w:t>there is no recurrence of poor performance</w:t>
      </w:r>
      <w:r w:rsidRPr="00F15C05">
        <w:rPr>
          <w:rFonts w:ascii="Arial" w:hAnsi="Arial" w:cs="Arial"/>
          <w:sz w:val="20"/>
          <w:szCs w:val="20"/>
        </w:rPr>
        <w:t xml:space="preserve"> in the remain</w:t>
      </w:r>
      <w:r w:rsidR="00A61154" w:rsidRPr="00F15C05">
        <w:rPr>
          <w:rFonts w:ascii="Arial" w:hAnsi="Arial" w:cs="Arial"/>
          <w:sz w:val="20"/>
          <w:szCs w:val="20"/>
        </w:rPr>
        <w:t>ing</w:t>
      </w:r>
      <w:r w:rsidRPr="00F15C05">
        <w:rPr>
          <w:rFonts w:ascii="Arial" w:hAnsi="Arial" w:cs="Arial"/>
          <w:sz w:val="20"/>
          <w:szCs w:val="20"/>
        </w:rPr>
        <w:t xml:space="preserve"> last quarter of 202</w:t>
      </w:r>
      <w:r w:rsidR="001329D7" w:rsidRPr="00F15C05">
        <w:rPr>
          <w:rFonts w:ascii="Arial" w:hAnsi="Arial" w:cs="Arial"/>
          <w:sz w:val="20"/>
          <w:szCs w:val="20"/>
        </w:rPr>
        <w:t>2</w:t>
      </w:r>
      <w:r w:rsidRPr="00F15C05">
        <w:rPr>
          <w:rFonts w:ascii="Arial" w:hAnsi="Arial" w:cs="Arial"/>
          <w:sz w:val="20"/>
          <w:szCs w:val="20"/>
        </w:rPr>
        <w:t>/2</w:t>
      </w:r>
      <w:r w:rsidR="001329D7" w:rsidRPr="00F15C05">
        <w:rPr>
          <w:rFonts w:ascii="Arial" w:hAnsi="Arial" w:cs="Arial"/>
          <w:sz w:val="20"/>
          <w:szCs w:val="20"/>
        </w:rPr>
        <w:t>3</w:t>
      </w:r>
      <w:r w:rsidRPr="00F15C05">
        <w:rPr>
          <w:rFonts w:ascii="Arial" w:hAnsi="Arial" w:cs="Arial"/>
          <w:sz w:val="20"/>
          <w:szCs w:val="20"/>
        </w:rPr>
        <w:t>. The Department committed to rectify</w:t>
      </w:r>
      <w:r w:rsidR="0032103E" w:rsidRPr="00F15C05">
        <w:rPr>
          <w:rFonts w:ascii="Arial" w:hAnsi="Arial" w:cs="Arial"/>
          <w:sz w:val="20"/>
          <w:szCs w:val="20"/>
        </w:rPr>
        <w:t>ing</w:t>
      </w:r>
      <w:r w:rsidRPr="00F15C05">
        <w:rPr>
          <w:rFonts w:ascii="Arial" w:hAnsi="Arial" w:cs="Arial"/>
          <w:sz w:val="20"/>
          <w:szCs w:val="20"/>
        </w:rPr>
        <w:t xml:space="preserve"> the poor performance, and the Committee undertook to closely monitor the commitment by the Department.</w:t>
      </w:r>
    </w:p>
    <w:p w:rsidR="001744F3" w:rsidRPr="00F15C05" w:rsidRDefault="001744F3" w:rsidP="00F15C05">
      <w:pPr>
        <w:spacing w:after="0" w:line="240" w:lineRule="auto"/>
        <w:rPr>
          <w:rFonts w:ascii="Arial" w:hAnsi="Arial" w:cs="Arial"/>
          <w:sz w:val="20"/>
          <w:szCs w:val="20"/>
        </w:rPr>
      </w:pPr>
    </w:p>
    <w:p w:rsidR="00986A85" w:rsidRPr="00F15C05" w:rsidRDefault="000F5259" w:rsidP="00F15C05">
      <w:pPr>
        <w:autoSpaceDN w:val="0"/>
        <w:spacing w:after="0" w:line="240" w:lineRule="auto"/>
        <w:rPr>
          <w:rFonts w:ascii="Arial" w:hAnsi="Arial" w:cs="Arial"/>
          <w:b/>
          <w:sz w:val="20"/>
          <w:szCs w:val="20"/>
        </w:rPr>
      </w:pPr>
      <w:r w:rsidRPr="00F15C05">
        <w:rPr>
          <w:rFonts w:ascii="Arial" w:hAnsi="Arial" w:cs="Arial"/>
          <w:b/>
          <w:sz w:val="20"/>
          <w:szCs w:val="20"/>
        </w:rPr>
        <w:t>5</w:t>
      </w:r>
      <w:r w:rsidR="00986A85" w:rsidRPr="00F15C05">
        <w:rPr>
          <w:rFonts w:ascii="Arial" w:hAnsi="Arial" w:cs="Arial"/>
          <w:b/>
          <w:sz w:val="20"/>
          <w:szCs w:val="20"/>
        </w:rPr>
        <w:t>.  R</w:t>
      </w:r>
      <w:r w:rsidR="00D43FDC" w:rsidRPr="00F15C05">
        <w:rPr>
          <w:rFonts w:ascii="Arial" w:hAnsi="Arial" w:cs="Arial"/>
          <w:b/>
          <w:sz w:val="20"/>
          <w:szCs w:val="20"/>
        </w:rPr>
        <w:t>ECOMMENDATIONS</w:t>
      </w:r>
    </w:p>
    <w:p w:rsidR="00027F19" w:rsidRPr="00F15C05" w:rsidRDefault="00027F19" w:rsidP="00F15C05">
      <w:pPr>
        <w:autoSpaceDN w:val="0"/>
        <w:spacing w:after="0" w:line="240" w:lineRule="auto"/>
        <w:rPr>
          <w:rFonts w:ascii="Arial" w:hAnsi="Arial" w:cs="Arial"/>
          <w:b/>
          <w:sz w:val="20"/>
          <w:szCs w:val="20"/>
        </w:rPr>
      </w:pPr>
    </w:p>
    <w:p w:rsidR="00A63B6E" w:rsidRPr="00F15C05" w:rsidRDefault="00A63B6E" w:rsidP="00F15C05">
      <w:pPr>
        <w:spacing w:after="0" w:line="240" w:lineRule="auto"/>
        <w:rPr>
          <w:rFonts w:ascii="Arial" w:hAnsi="Arial" w:cs="Arial"/>
          <w:sz w:val="20"/>
          <w:szCs w:val="20"/>
        </w:rPr>
      </w:pPr>
      <w:r w:rsidRPr="00F15C05">
        <w:rPr>
          <w:rFonts w:ascii="Arial" w:hAnsi="Arial" w:cs="Arial"/>
          <w:sz w:val="20"/>
          <w:szCs w:val="20"/>
        </w:rPr>
        <w:t>The Committee having assessed the 2022/23 Third-Quarter expenditure and performance report of the Department makes the following recommendations:</w:t>
      </w:r>
    </w:p>
    <w:p w:rsidR="00A63B6E" w:rsidRPr="00F15C05" w:rsidRDefault="00A63B6E" w:rsidP="00F15C05">
      <w:pPr>
        <w:spacing w:after="0" w:line="240" w:lineRule="auto"/>
        <w:rPr>
          <w:rFonts w:ascii="Arial" w:hAnsi="Arial" w:cs="Arial"/>
          <w:sz w:val="20"/>
          <w:szCs w:val="20"/>
        </w:rPr>
      </w:pPr>
      <w:r w:rsidRPr="00F15C05">
        <w:rPr>
          <w:rFonts w:ascii="Arial" w:hAnsi="Arial" w:cs="Arial"/>
          <w:b/>
          <w:sz w:val="20"/>
          <w:szCs w:val="20"/>
        </w:rPr>
        <w:t>5.1.</w:t>
      </w:r>
      <w:r w:rsidRPr="00F15C05">
        <w:rPr>
          <w:rFonts w:ascii="Arial" w:hAnsi="Arial" w:cs="Arial"/>
          <w:sz w:val="20"/>
          <w:szCs w:val="20"/>
        </w:rPr>
        <w:t xml:space="preserve"> </w:t>
      </w:r>
      <w:r w:rsidRPr="00F15C05">
        <w:rPr>
          <w:rFonts w:ascii="Arial" w:hAnsi="Arial" w:cs="Arial"/>
          <w:b/>
          <w:sz w:val="20"/>
          <w:szCs w:val="20"/>
        </w:rPr>
        <w:t>Programme 1: Administration</w:t>
      </w:r>
    </w:p>
    <w:p w:rsidR="00A63B6E" w:rsidRPr="00F15C05" w:rsidRDefault="00A63B6E" w:rsidP="00F15C05">
      <w:pPr>
        <w:pStyle w:val="ListParagraph"/>
        <w:spacing w:after="0" w:line="240" w:lineRule="auto"/>
        <w:ind w:left="0"/>
        <w:rPr>
          <w:rFonts w:ascii="Arial" w:hAnsi="Arial" w:cs="Arial"/>
          <w:b/>
          <w:sz w:val="20"/>
          <w:szCs w:val="20"/>
        </w:rPr>
      </w:pPr>
      <w:r w:rsidRPr="00F15C05">
        <w:rPr>
          <w:rFonts w:ascii="Arial" w:hAnsi="Arial" w:cs="Arial"/>
          <w:sz w:val="20"/>
          <w:szCs w:val="20"/>
        </w:rPr>
        <w:t>5.1.1.</w:t>
      </w:r>
      <w:r w:rsidRPr="00F15C05">
        <w:rPr>
          <w:rFonts w:ascii="Arial" w:hAnsi="Arial" w:cs="Arial"/>
          <w:sz w:val="20"/>
          <w:szCs w:val="20"/>
        </w:rPr>
        <w:tab/>
        <w:t xml:space="preserve">The payment of valid invoices received from service providers within 30 days should </w:t>
      </w:r>
      <w:r w:rsidRPr="00F15C05">
        <w:rPr>
          <w:rFonts w:ascii="Arial" w:hAnsi="Arial" w:cs="Arial"/>
          <w:sz w:val="20"/>
          <w:szCs w:val="20"/>
        </w:rPr>
        <w:tab/>
        <w:t>be adhered to.</w:t>
      </w:r>
    </w:p>
    <w:p w:rsidR="00A63B6E" w:rsidRPr="00F15C05" w:rsidRDefault="00A63B6E" w:rsidP="00F15C05">
      <w:pPr>
        <w:pStyle w:val="ListParagraph"/>
        <w:spacing w:after="0" w:line="240" w:lineRule="auto"/>
        <w:ind w:left="0"/>
        <w:rPr>
          <w:rFonts w:ascii="Arial" w:hAnsi="Arial" w:cs="Arial"/>
          <w:b/>
          <w:sz w:val="20"/>
          <w:szCs w:val="20"/>
        </w:rPr>
      </w:pPr>
      <w:r w:rsidRPr="00F15C05">
        <w:rPr>
          <w:rFonts w:ascii="Arial" w:hAnsi="Arial" w:cs="Arial"/>
          <w:sz w:val="20"/>
          <w:szCs w:val="20"/>
        </w:rPr>
        <w:t>5.1.2.</w:t>
      </w:r>
      <w:r w:rsidRPr="00F15C05">
        <w:rPr>
          <w:rFonts w:ascii="Arial" w:hAnsi="Arial" w:cs="Arial"/>
          <w:sz w:val="20"/>
          <w:szCs w:val="20"/>
        </w:rPr>
        <w:tab/>
        <w:t xml:space="preserve">The filling of vacant and critical posts especially at TVET colleges should be </w:t>
      </w:r>
      <w:r w:rsidRPr="00F15C05">
        <w:rPr>
          <w:rFonts w:ascii="Arial" w:hAnsi="Arial" w:cs="Arial"/>
          <w:sz w:val="20"/>
          <w:szCs w:val="20"/>
        </w:rPr>
        <w:tab/>
        <w:t>prioritised, including the full implementation of PPN.</w:t>
      </w:r>
    </w:p>
    <w:p w:rsidR="00A63B6E" w:rsidRPr="00F15C05" w:rsidRDefault="00A63B6E" w:rsidP="00F15C05">
      <w:pPr>
        <w:pStyle w:val="ListParagraph"/>
        <w:spacing w:after="0" w:line="240" w:lineRule="auto"/>
        <w:ind w:left="0"/>
        <w:rPr>
          <w:rFonts w:ascii="Arial" w:hAnsi="Arial" w:cs="Arial"/>
          <w:b/>
          <w:sz w:val="20"/>
          <w:szCs w:val="20"/>
        </w:rPr>
      </w:pPr>
      <w:r w:rsidRPr="00F15C05">
        <w:rPr>
          <w:rFonts w:ascii="Arial" w:hAnsi="Arial" w:cs="Arial"/>
          <w:sz w:val="20"/>
          <w:szCs w:val="20"/>
        </w:rPr>
        <w:t>5.1.3.</w:t>
      </w:r>
      <w:r w:rsidRPr="00F15C05">
        <w:rPr>
          <w:rFonts w:ascii="Arial" w:hAnsi="Arial" w:cs="Arial"/>
          <w:sz w:val="20"/>
          <w:szCs w:val="20"/>
        </w:rPr>
        <w:tab/>
        <w:t xml:space="preserve">The Department </w:t>
      </w:r>
      <w:r w:rsidR="00CA628B" w:rsidRPr="00F15C05">
        <w:rPr>
          <w:rFonts w:ascii="Arial" w:hAnsi="Arial" w:cs="Arial"/>
          <w:sz w:val="20"/>
          <w:szCs w:val="20"/>
        </w:rPr>
        <w:t>develop</w:t>
      </w:r>
      <w:r w:rsidR="00065965" w:rsidRPr="00F15C05">
        <w:rPr>
          <w:rFonts w:ascii="Arial" w:hAnsi="Arial" w:cs="Arial"/>
          <w:sz w:val="20"/>
          <w:szCs w:val="20"/>
        </w:rPr>
        <w:t>s</w:t>
      </w:r>
      <w:r w:rsidRPr="00F15C05">
        <w:rPr>
          <w:rFonts w:ascii="Arial" w:hAnsi="Arial" w:cs="Arial"/>
          <w:sz w:val="20"/>
          <w:szCs w:val="20"/>
        </w:rPr>
        <w:t xml:space="preserve"> mechanisms to ensure that disciplinary hearings are resolved </w:t>
      </w:r>
      <w:r w:rsidR="006C4772" w:rsidRPr="00F15C05">
        <w:rPr>
          <w:rFonts w:ascii="Arial" w:hAnsi="Arial" w:cs="Arial"/>
          <w:sz w:val="20"/>
          <w:szCs w:val="20"/>
        </w:rPr>
        <w:tab/>
      </w:r>
      <w:r w:rsidRPr="00F15C05">
        <w:rPr>
          <w:rFonts w:ascii="Arial" w:hAnsi="Arial" w:cs="Arial"/>
          <w:sz w:val="20"/>
          <w:szCs w:val="20"/>
        </w:rPr>
        <w:t xml:space="preserve">within the specified time frame of 90 days. Furthermore, additional support should be </w:t>
      </w:r>
      <w:r w:rsidR="006C4772" w:rsidRPr="00F15C05">
        <w:rPr>
          <w:rFonts w:ascii="Arial" w:hAnsi="Arial" w:cs="Arial"/>
          <w:sz w:val="20"/>
          <w:szCs w:val="20"/>
        </w:rPr>
        <w:tab/>
      </w:r>
      <w:r w:rsidRPr="00F15C05">
        <w:rPr>
          <w:rFonts w:ascii="Arial" w:hAnsi="Arial" w:cs="Arial"/>
          <w:sz w:val="20"/>
          <w:szCs w:val="20"/>
        </w:rPr>
        <w:t>provided to regional offices that have capacity constraints to deal with the</w:t>
      </w:r>
      <w:r w:rsidR="00CA628B" w:rsidRPr="00F15C05">
        <w:rPr>
          <w:rFonts w:ascii="Arial" w:hAnsi="Arial" w:cs="Arial"/>
          <w:sz w:val="20"/>
          <w:szCs w:val="20"/>
        </w:rPr>
        <w:t xml:space="preserve"> </w:t>
      </w:r>
      <w:r w:rsidR="006C4772" w:rsidRPr="00F15C05">
        <w:rPr>
          <w:rFonts w:ascii="Arial" w:hAnsi="Arial" w:cs="Arial"/>
          <w:sz w:val="20"/>
          <w:szCs w:val="20"/>
        </w:rPr>
        <w:tab/>
      </w:r>
      <w:r w:rsidRPr="00F15C05">
        <w:rPr>
          <w:rFonts w:ascii="Arial" w:hAnsi="Arial" w:cs="Arial"/>
          <w:sz w:val="20"/>
          <w:szCs w:val="20"/>
        </w:rPr>
        <w:t>disciplinary case workload.</w:t>
      </w:r>
    </w:p>
    <w:p w:rsidR="00A63B6E" w:rsidRPr="00F15C05" w:rsidRDefault="00D67916" w:rsidP="00F15C05">
      <w:pPr>
        <w:pStyle w:val="ListParagraph"/>
        <w:spacing w:after="0" w:line="240" w:lineRule="auto"/>
        <w:ind w:left="0"/>
        <w:rPr>
          <w:rFonts w:ascii="Arial" w:hAnsi="Arial" w:cs="Arial"/>
          <w:b/>
          <w:sz w:val="20"/>
          <w:szCs w:val="20"/>
        </w:rPr>
      </w:pPr>
      <w:r w:rsidRPr="00F15C05">
        <w:rPr>
          <w:rFonts w:ascii="Arial" w:hAnsi="Arial" w:cs="Arial"/>
          <w:sz w:val="20"/>
          <w:szCs w:val="20"/>
        </w:rPr>
        <w:t>5.1.4.</w:t>
      </w:r>
      <w:r w:rsidRPr="00F15C05">
        <w:rPr>
          <w:rFonts w:ascii="Arial" w:hAnsi="Arial" w:cs="Arial"/>
          <w:sz w:val="20"/>
          <w:szCs w:val="20"/>
        </w:rPr>
        <w:tab/>
      </w:r>
      <w:r w:rsidR="00A63B6E" w:rsidRPr="00F15C05">
        <w:rPr>
          <w:rFonts w:ascii="Arial" w:hAnsi="Arial" w:cs="Arial"/>
          <w:sz w:val="20"/>
          <w:szCs w:val="20"/>
        </w:rPr>
        <w:t>The process of acquiring new office spaces for the Department needs to be prioritised.</w:t>
      </w:r>
    </w:p>
    <w:p w:rsidR="00A63B6E" w:rsidRPr="00F15C05" w:rsidRDefault="00D67916" w:rsidP="00F15C05">
      <w:pPr>
        <w:spacing w:after="0" w:line="240" w:lineRule="auto"/>
        <w:rPr>
          <w:rFonts w:ascii="Arial" w:hAnsi="Arial" w:cs="Arial"/>
          <w:b/>
          <w:sz w:val="20"/>
          <w:szCs w:val="20"/>
        </w:rPr>
      </w:pPr>
      <w:r w:rsidRPr="00F15C05">
        <w:rPr>
          <w:rFonts w:ascii="Arial" w:hAnsi="Arial" w:cs="Arial"/>
          <w:b/>
          <w:sz w:val="20"/>
          <w:szCs w:val="20"/>
        </w:rPr>
        <w:t xml:space="preserve">5.2. </w:t>
      </w:r>
      <w:r w:rsidR="00A63B6E" w:rsidRPr="00F15C05">
        <w:rPr>
          <w:rFonts w:ascii="Arial" w:hAnsi="Arial" w:cs="Arial"/>
          <w:b/>
          <w:sz w:val="20"/>
          <w:szCs w:val="20"/>
        </w:rPr>
        <w:t>Programme 2: Planning. Policy and Strategy</w:t>
      </w:r>
    </w:p>
    <w:p w:rsidR="00A63B6E" w:rsidRPr="00F15C05" w:rsidRDefault="00D67916" w:rsidP="00F15C05">
      <w:pPr>
        <w:pStyle w:val="ListParagraph"/>
        <w:spacing w:after="0" w:line="240" w:lineRule="auto"/>
        <w:ind w:left="0"/>
        <w:rPr>
          <w:rFonts w:ascii="Arial" w:hAnsi="Arial" w:cs="Arial"/>
          <w:b/>
          <w:sz w:val="20"/>
          <w:szCs w:val="20"/>
        </w:rPr>
      </w:pPr>
      <w:r w:rsidRPr="00F15C05">
        <w:rPr>
          <w:rFonts w:ascii="Arial" w:hAnsi="Arial" w:cs="Arial"/>
          <w:sz w:val="20"/>
          <w:szCs w:val="20"/>
        </w:rPr>
        <w:t>5.2.1.</w:t>
      </w:r>
      <w:r w:rsidRPr="00F15C05">
        <w:rPr>
          <w:rFonts w:ascii="Arial" w:hAnsi="Arial" w:cs="Arial"/>
          <w:sz w:val="20"/>
          <w:szCs w:val="20"/>
        </w:rPr>
        <w:tab/>
      </w:r>
      <w:r w:rsidR="00A63B6E" w:rsidRPr="00F15C05">
        <w:rPr>
          <w:rFonts w:ascii="Arial" w:hAnsi="Arial" w:cs="Arial"/>
          <w:sz w:val="20"/>
          <w:szCs w:val="20"/>
        </w:rPr>
        <w:t>The oversight and monitoring of the different branches</w:t>
      </w:r>
      <w:r w:rsidRPr="00F15C05">
        <w:rPr>
          <w:rFonts w:ascii="Arial" w:hAnsi="Arial" w:cs="Arial"/>
          <w:sz w:val="20"/>
          <w:szCs w:val="20"/>
        </w:rPr>
        <w:t>’</w:t>
      </w:r>
      <w:r w:rsidR="00A63B6E" w:rsidRPr="00F15C05">
        <w:rPr>
          <w:rFonts w:ascii="Arial" w:hAnsi="Arial" w:cs="Arial"/>
          <w:sz w:val="20"/>
          <w:szCs w:val="20"/>
        </w:rPr>
        <w:t xml:space="preserve"> in-year performance needs to </w:t>
      </w:r>
      <w:r w:rsidRPr="00F15C05">
        <w:rPr>
          <w:rFonts w:ascii="Arial" w:hAnsi="Arial" w:cs="Arial"/>
          <w:sz w:val="20"/>
          <w:szCs w:val="20"/>
        </w:rPr>
        <w:tab/>
      </w:r>
      <w:r w:rsidR="00A63B6E" w:rsidRPr="00F15C05">
        <w:rPr>
          <w:rFonts w:ascii="Arial" w:hAnsi="Arial" w:cs="Arial"/>
          <w:sz w:val="20"/>
          <w:szCs w:val="20"/>
        </w:rPr>
        <w:t>be improved.</w:t>
      </w:r>
    </w:p>
    <w:p w:rsidR="00A63B6E" w:rsidRPr="00F15C05" w:rsidRDefault="00D67916" w:rsidP="00F15C05">
      <w:pPr>
        <w:pStyle w:val="ListParagraph"/>
        <w:spacing w:after="0" w:line="240" w:lineRule="auto"/>
        <w:ind w:left="0"/>
        <w:rPr>
          <w:rFonts w:ascii="Arial" w:hAnsi="Arial" w:cs="Arial"/>
          <w:b/>
          <w:sz w:val="20"/>
          <w:szCs w:val="20"/>
        </w:rPr>
      </w:pPr>
      <w:r w:rsidRPr="00F15C05">
        <w:rPr>
          <w:rFonts w:ascii="Arial" w:hAnsi="Arial" w:cs="Arial"/>
          <w:sz w:val="20"/>
          <w:szCs w:val="20"/>
        </w:rPr>
        <w:t>5.2.2.</w:t>
      </w:r>
      <w:r w:rsidRPr="00F15C05">
        <w:rPr>
          <w:rFonts w:ascii="Arial" w:hAnsi="Arial" w:cs="Arial"/>
          <w:sz w:val="20"/>
          <w:szCs w:val="20"/>
        </w:rPr>
        <w:tab/>
      </w:r>
      <w:r w:rsidR="00A63B6E" w:rsidRPr="00F15C05">
        <w:rPr>
          <w:rFonts w:ascii="Arial" w:hAnsi="Arial" w:cs="Arial"/>
          <w:sz w:val="20"/>
          <w:szCs w:val="20"/>
        </w:rPr>
        <w:t xml:space="preserve">Consequence management </w:t>
      </w:r>
      <w:r w:rsidRPr="00F15C05">
        <w:rPr>
          <w:rFonts w:ascii="Arial" w:hAnsi="Arial" w:cs="Arial"/>
          <w:sz w:val="20"/>
          <w:szCs w:val="20"/>
        </w:rPr>
        <w:t>should</w:t>
      </w:r>
      <w:r w:rsidR="00A63B6E" w:rsidRPr="00F15C05">
        <w:rPr>
          <w:rFonts w:ascii="Arial" w:hAnsi="Arial" w:cs="Arial"/>
          <w:sz w:val="20"/>
          <w:szCs w:val="20"/>
        </w:rPr>
        <w:t xml:space="preserve"> be implemented against officials failing to meet </w:t>
      </w:r>
      <w:r w:rsidRPr="00F15C05">
        <w:rPr>
          <w:rFonts w:ascii="Arial" w:hAnsi="Arial" w:cs="Arial"/>
          <w:sz w:val="20"/>
          <w:szCs w:val="20"/>
        </w:rPr>
        <w:tab/>
      </w:r>
      <w:r w:rsidR="00A63B6E" w:rsidRPr="00F15C05">
        <w:rPr>
          <w:rFonts w:ascii="Arial" w:hAnsi="Arial" w:cs="Arial"/>
          <w:sz w:val="20"/>
          <w:szCs w:val="20"/>
        </w:rPr>
        <w:t>their targets as per their job descriptions.</w:t>
      </w:r>
    </w:p>
    <w:p w:rsidR="00A63B6E" w:rsidRPr="00F15C05" w:rsidRDefault="00D67916" w:rsidP="00F15C05">
      <w:pPr>
        <w:spacing w:after="0" w:line="240" w:lineRule="auto"/>
        <w:rPr>
          <w:rFonts w:ascii="Arial" w:hAnsi="Arial" w:cs="Arial"/>
          <w:b/>
          <w:sz w:val="20"/>
          <w:szCs w:val="20"/>
        </w:rPr>
      </w:pPr>
      <w:r w:rsidRPr="00F15C05">
        <w:rPr>
          <w:rFonts w:ascii="Arial" w:hAnsi="Arial" w:cs="Arial"/>
          <w:b/>
          <w:sz w:val="20"/>
          <w:szCs w:val="20"/>
        </w:rPr>
        <w:t xml:space="preserve">5.3. </w:t>
      </w:r>
      <w:r w:rsidR="00A63B6E" w:rsidRPr="00F15C05">
        <w:rPr>
          <w:rFonts w:ascii="Arial" w:hAnsi="Arial" w:cs="Arial"/>
          <w:b/>
          <w:sz w:val="20"/>
          <w:szCs w:val="20"/>
        </w:rPr>
        <w:t>Programme 3: University Education</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5.3.1.</w:t>
      </w:r>
      <w:r w:rsidRPr="00F15C05">
        <w:rPr>
          <w:rFonts w:ascii="Arial" w:hAnsi="Arial" w:cs="Arial"/>
          <w:sz w:val="20"/>
          <w:szCs w:val="20"/>
        </w:rPr>
        <w:tab/>
      </w:r>
      <w:r w:rsidR="00A63B6E" w:rsidRPr="00F15C05">
        <w:rPr>
          <w:rFonts w:ascii="Arial" w:hAnsi="Arial" w:cs="Arial"/>
          <w:sz w:val="20"/>
          <w:szCs w:val="20"/>
        </w:rPr>
        <w:t xml:space="preserve">The finalisation of the comprehensive student funding model for PSET sector should </w:t>
      </w:r>
      <w:r w:rsidRPr="00F15C05">
        <w:rPr>
          <w:rFonts w:ascii="Arial" w:hAnsi="Arial" w:cs="Arial"/>
          <w:sz w:val="20"/>
          <w:szCs w:val="20"/>
        </w:rPr>
        <w:tab/>
      </w:r>
      <w:r w:rsidR="00A63B6E" w:rsidRPr="00F15C05">
        <w:rPr>
          <w:rFonts w:ascii="Arial" w:hAnsi="Arial" w:cs="Arial"/>
          <w:sz w:val="20"/>
          <w:szCs w:val="20"/>
        </w:rPr>
        <w:t xml:space="preserve">be </w:t>
      </w:r>
      <w:r w:rsidRPr="00F15C05">
        <w:rPr>
          <w:rFonts w:ascii="Arial" w:hAnsi="Arial" w:cs="Arial"/>
          <w:sz w:val="20"/>
          <w:szCs w:val="20"/>
        </w:rPr>
        <w:t>finalised within the revised timeframes</w:t>
      </w:r>
      <w:r w:rsidR="00A63B6E" w:rsidRPr="00F15C05">
        <w:rPr>
          <w:rFonts w:ascii="Arial" w:hAnsi="Arial" w:cs="Arial"/>
          <w:sz w:val="20"/>
          <w:szCs w:val="20"/>
        </w:rPr>
        <w:t>.</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5.3.2.</w:t>
      </w:r>
      <w:r w:rsidRPr="00F15C05">
        <w:rPr>
          <w:rFonts w:ascii="Arial" w:hAnsi="Arial" w:cs="Arial"/>
          <w:sz w:val="20"/>
          <w:szCs w:val="20"/>
        </w:rPr>
        <w:tab/>
      </w:r>
      <w:r w:rsidR="00A63B6E" w:rsidRPr="00F15C05">
        <w:rPr>
          <w:rFonts w:ascii="Arial" w:hAnsi="Arial" w:cs="Arial"/>
          <w:sz w:val="20"/>
          <w:szCs w:val="20"/>
        </w:rPr>
        <w:t xml:space="preserve">The Department should closely monitor the institutions experiencing student protests </w:t>
      </w:r>
      <w:r w:rsidRPr="00F15C05">
        <w:rPr>
          <w:rFonts w:ascii="Arial" w:hAnsi="Arial" w:cs="Arial"/>
          <w:sz w:val="20"/>
          <w:szCs w:val="20"/>
        </w:rPr>
        <w:tab/>
      </w:r>
      <w:r w:rsidR="00A63B6E" w:rsidRPr="00F15C05">
        <w:rPr>
          <w:rFonts w:ascii="Arial" w:hAnsi="Arial" w:cs="Arial"/>
          <w:sz w:val="20"/>
          <w:szCs w:val="20"/>
        </w:rPr>
        <w:t>and engage them to improve stability.</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5.3.3.</w:t>
      </w:r>
      <w:r w:rsidRPr="00F15C05">
        <w:rPr>
          <w:rFonts w:ascii="Arial" w:hAnsi="Arial" w:cs="Arial"/>
          <w:sz w:val="20"/>
          <w:szCs w:val="20"/>
        </w:rPr>
        <w:tab/>
      </w:r>
      <w:r w:rsidR="00A63B6E" w:rsidRPr="00F15C05">
        <w:rPr>
          <w:rFonts w:ascii="Arial" w:hAnsi="Arial" w:cs="Arial"/>
          <w:sz w:val="20"/>
          <w:szCs w:val="20"/>
        </w:rPr>
        <w:t xml:space="preserve">The implementation of the Fee Regulation Framework for higher education needs to be </w:t>
      </w:r>
      <w:r w:rsidRPr="00F15C05">
        <w:rPr>
          <w:rFonts w:ascii="Arial" w:hAnsi="Arial" w:cs="Arial"/>
          <w:sz w:val="20"/>
          <w:szCs w:val="20"/>
        </w:rPr>
        <w:tab/>
      </w:r>
      <w:r w:rsidR="00A63B6E" w:rsidRPr="00F15C05">
        <w:rPr>
          <w:rFonts w:ascii="Arial" w:hAnsi="Arial" w:cs="Arial"/>
          <w:sz w:val="20"/>
          <w:szCs w:val="20"/>
        </w:rPr>
        <w:t>expedited.</w:t>
      </w:r>
    </w:p>
    <w:p w:rsidR="00A63B6E" w:rsidRPr="00F15C05" w:rsidRDefault="00D67916" w:rsidP="00F15C05">
      <w:pPr>
        <w:spacing w:after="0" w:line="240" w:lineRule="auto"/>
        <w:rPr>
          <w:rFonts w:ascii="Arial" w:hAnsi="Arial" w:cs="Arial"/>
          <w:b/>
          <w:sz w:val="20"/>
          <w:szCs w:val="20"/>
        </w:rPr>
      </w:pPr>
      <w:r w:rsidRPr="00F15C05">
        <w:rPr>
          <w:rFonts w:ascii="Arial" w:hAnsi="Arial" w:cs="Arial"/>
          <w:b/>
          <w:sz w:val="20"/>
          <w:szCs w:val="20"/>
        </w:rPr>
        <w:t xml:space="preserve">5.4. </w:t>
      </w:r>
      <w:r w:rsidR="00A63B6E" w:rsidRPr="00F15C05">
        <w:rPr>
          <w:rFonts w:ascii="Arial" w:hAnsi="Arial" w:cs="Arial"/>
          <w:b/>
          <w:sz w:val="20"/>
          <w:szCs w:val="20"/>
        </w:rPr>
        <w:t>Programme 4: TVET</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5.4.1.</w:t>
      </w:r>
      <w:r w:rsidRPr="00F15C05">
        <w:rPr>
          <w:rFonts w:ascii="Arial" w:hAnsi="Arial" w:cs="Arial"/>
          <w:sz w:val="20"/>
          <w:szCs w:val="20"/>
        </w:rPr>
        <w:tab/>
      </w:r>
      <w:r w:rsidR="00A63B6E" w:rsidRPr="00F15C05">
        <w:rPr>
          <w:rFonts w:ascii="Arial" w:hAnsi="Arial" w:cs="Arial"/>
          <w:sz w:val="20"/>
          <w:szCs w:val="20"/>
        </w:rPr>
        <w:t xml:space="preserve">The performance of the TVET programme </w:t>
      </w:r>
      <w:r w:rsidRPr="00F15C05">
        <w:rPr>
          <w:rFonts w:ascii="Arial" w:hAnsi="Arial" w:cs="Arial"/>
          <w:sz w:val="20"/>
          <w:szCs w:val="20"/>
        </w:rPr>
        <w:t>should be improved,</w:t>
      </w:r>
      <w:r w:rsidR="00A63B6E" w:rsidRPr="00F15C05">
        <w:rPr>
          <w:rFonts w:ascii="Arial" w:hAnsi="Arial" w:cs="Arial"/>
          <w:sz w:val="20"/>
          <w:szCs w:val="20"/>
        </w:rPr>
        <w:t xml:space="preserve"> in particular the </w:t>
      </w:r>
      <w:r w:rsidRPr="00F15C05">
        <w:rPr>
          <w:rFonts w:ascii="Arial" w:hAnsi="Arial" w:cs="Arial"/>
          <w:sz w:val="20"/>
          <w:szCs w:val="20"/>
        </w:rPr>
        <w:tab/>
      </w:r>
      <w:r w:rsidR="00A63B6E" w:rsidRPr="00F15C05">
        <w:rPr>
          <w:rFonts w:ascii="Arial" w:hAnsi="Arial" w:cs="Arial"/>
          <w:sz w:val="20"/>
          <w:szCs w:val="20"/>
        </w:rPr>
        <w:t>systems needed for processing and submission of data.</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5.4.2.</w:t>
      </w:r>
      <w:r w:rsidRPr="00F15C05">
        <w:rPr>
          <w:rFonts w:ascii="Arial" w:hAnsi="Arial" w:cs="Arial"/>
          <w:sz w:val="20"/>
          <w:szCs w:val="20"/>
        </w:rPr>
        <w:tab/>
      </w:r>
      <w:r w:rsidR="00A63B6E" w:rsidRPr="00F15C05">
        <w:rPr>
          <w:rFonts w:ascii="Arial" w:hAnsi="Arial" w:cs="Arial"/>
          <w:sz w:val="20"/>
          <w:szCs w:val="20"/>
        </w:rPr>
        <w:t xml:space="preserve">The review and re-alignment of the TVET curriculum should be expedited to improve </w:t>
      </w:r>
      <w:r w:rsidRPr="00F15C05">
        <w:rPr>
          <w:rFonts w:ascii="Arial" w:hAnsi="Arial" w:cs="Arial"/>
          <w:sz w:val="20"/>
          <w:szCs w:val="20"/>
        </w:rPr>
        <w:tab/>
      </w:r>
      <w:r w:rsidR="00A63B6E" w:rsidRPr="00F15C05">
        <w:rPr>
          <w:rFonts w:ascii="Arial" w:hAnsi="Arial" w:cs="Arial"/>
          <w:sz w:val="20"/>
          <w:szCs w:val="20"/>
        </w:rPr>
        <w:t>the readiness of TVET graduates for workplaces.</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5.4.3.</w:t>
      </w:r>
      <w:r w:rsidRPr="00F15C05">
        <w:rPr>
          <w:rFonts w:ascii="Arial" w:hAnsi="Arial" w:cs="Arial"/>
          <w:sz w:val="20"/>
          <w:szCs w:val="20"/>
        </w:rPr>
        <w:tab/>
      </w:r>
      <w:r w:rsidR="00A63B6E" w:rsidRPr="00F15C05">
        <w:rPr>
          <w:rFonts w:ascii="Arial" w:hAnsi="Arial" w:cs="Arial"/>
          <w:sz w:val="20"/>
          <w:szCs w:val="20"/>
        </w:rPr>
        <w:t xml:space="preserve">The Department should provide the necessary support and capacity needed for colleges </w:t>
      </w:r>
      <w:r w:rsidRPr="00F15C05">
        <w:rPr>
          <w:rFonts w:ascii="Arial" w:hAnsi="Arial" w:cs="Arial"/>
          <w:sz w:val="20"/>
          <w:szCs w:val="20"/>
        </w:rPr>
        <w:tab/>
      </w:r>
      <w:r w:rsidR="00A63B6E" w:rsidRPr="00F15C05">
        <w:rPr>
          <w:rFonts w:ascii="Arial" w:hAnsi="Arial" w:cs="Arial"/>
          <w:sz w:val="20"/>
          <w:szCs w:val="20"/>
        </w:rPr>
        <w:t xml:space="preserve">to improve their spending and accountability on infrastructure </w:t>
      </w:r>
      <w:r w:rsidRPr="00F15C05">
        <w:rPr>
          <w:rFonts w:ascii="Arial" w:hAnsi="Arial" w:cs="Arial"/>
          <w:sz w:val="20"/>
          <w:szCs w:val="20"/>
        </w:rPr>
        <w:t>grants</w:t>
      </w:r>
      <w:r w:rsidR="00A63B6E" w:rsidRPr="00F15C05">
        <w:rPr>
          <w:rFonts w:ascii="Arial" w:hAnsi="Arial" w:cs="Arial"/>
          <w:sz w:val="20"/>
          <w:szCs w:val="20"/>
        </w:rPr>
        <w:t>.</w:t>
      </w:r>
    </w:p>
    <w:p w:rsidR="00A63B6E" w:rsidRPr="00F15C05" w:rsidRDefault="00D67916" w:rsidP="00F15C05">
      <w:pPr>
        <w:spacing w:after="0" w:line="240" w:lineRule="auto"/>
        <w:rPr>
          <w:rFonts w:ascii="Arial" w:hAnsi="Arial" w:cs="Arial"/>
          <w:b/>
          <w:sz w:val="20"/>
          <w:szCs w:val="20"/>
        </w:rPr>
      </w:pPr>
      <w:r w:rsidRPr="00F15C05">
        <w:rPr>
          <w:rFonts w:ascii="Arial" w:hAnsi="Arial" w:cs="Arial"/>
          <w:b/>
          <w:sz w:val="20"/>
          <w:szCs w:val="20"/>
        </w:rPr>
        <w:t xml:space="preserve">5.5. </w:t>
      </w:r>
      <w:r w:rsidR="00A63B6E" w:rsidRPr="00F15C05">
        <w:rPr>
          <w:rFonts w:ascii="Arial" w:hAnsi="Arial" w:cs="Arial"/>
          <w:b/>
          <w:sz w:val="20"/>
          <w:szCs w:val="20"/>
        </w:rPr>
        <w:t>Programme 5: Skills Development</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lastRenderedPageBreak/>
        <w:t xml:space="preserve">5.5.1. </w:t>
      </w:r>
      <w:r w:rsidR="00A63B6E" w:rsidRPr="00F15C05">
        <w:rPr>
          <w:rFonts w:ascii="Arial" w:hAnsi="Arial" w:cs="Arial"/>
          <w:sz w:val="20"/>
          <w:szCs w:val="20"/>
        </w:rPr>
        <w:t xml:space="preserve">The Department should ensure that SETAs mandatory grants to employers </w:t>
      </w:r>
      <w:r w:rsidRPr="00F15C05">
        <w:rPr>
          <w:rFonts w:ascii="Arial" w:hAnsi="Arial" w:cs="Arial"/>
          <w:sz w:val="20"/>
          <w:szCs w:val="20"/>
        </w:rPr>
        <w:t xml:space="preserve">are paid </w:t>
      </w:r>
      <w:r w:rsidR="00A63B6E" w:rsidRPr="00F15C05">
        <w:rPr>
          <w:rFonts w:ascii="Arial" w:hAnsi="Arial" w:cs="Arial"/>
          <w:sz w:val="20"/>
          <w:szCs w:val="20"/>
        </w:rPr>
        <w:t xml:space="preserve">on </w:t>
      </w:r>
      <w:r w:rsidRPr="00F15C05">
        <w:rPr>
          <w:rFonts w:ascii="Arial" w:hAnsi="Arial" w:cs="Arial"/>
          <w:sz w:val="20"/>
          <w:szCs w:val="20"/>
        </w:rPr>
        <w:tab/>
      </w:r>
      <w:r w:rsidR="00A63B6E" w:rsidRPr="00F15C05">
        <w:rPr>
          <w:rFonts w:ascii="Arial" w:hAnsi="Arial" w:cs="Arial"/>
          <w:sz w:val="20"/>
          <w:szCs w:val="20"/>
        </w:rPr>
        <w:t>time so that the</w:t>
      </w:r>
      <w:r w:rsidRPr="00F15C05">
        <w:rPr>
          <w:rFonts w:ascii="Arial" w:hAnsi="Arial" w:cs="Arial"/>
          <w:sz w:val="20"/>
          <w:szCs w:val="20"/>
        </w:rPr>
        <w:t>ir planned</w:t>
      </w:r>
      <w:r w:rsidR="00A63B6E" w:rsidRPr="00F15C05">
        <w:rPr>
          <w:rFonts w:ascii="Arial" w:hAnsi="Arial" w:cs="Arial"/>
          <w:sz w:val="20"/>
          <w:szCs w:val="20"/>
        </w:rPr>
        <w:t xml:space="preserve"> training and development programme are not negatively </w:t>
      </w:r>
      <w:r w:rsidRPr="00F15C05">
        <w:rPr>
          <w:rFonts w:ascii="Arial" w:hAnsi="Arial" w:cs="Arial"/>
          <w:sz w:val="20"/>
          <w:szCs w:val="20"/>
        </w:rPr>
        <w:tab/>
      </w:r>
      <w:r w:rsidR="00A63B6E" w:rsidRPr="00F15C05">
        <w:rPr>
          <w:rFonts w:ascii="Arial" w:hAnsi="Arial" w:cs="Arial"/>
          <w:sz w:val="20"/>
          <w:szCs w:val="20"/>
        </w:rPr>
        <w:t>affected.</w:t>
      </w:r>
    </w:p>
    <w:p w:rsidR="00A63B6E" w:rsidRPr="00F15C05" w:rsidRDefault="00D67916" w:rsidP="00F15C05">
      <w:pPr>
        <w:spacing w:after="0" w:line="240" w:lineRule="auto"/>
        <w:rPr>
          <w:rFonts w:ascii="Arial" w:hAnsi="Arial" w:cs="Arial"/>
          <w:b/>
          <w:sz w:val="20"/>
          <w:szCs w:val="20"/>
        </w:rPr>
      </w:pPr>
      <w:r w:rsidRPr="00F15C05">
        <w:rPr>
          <w:rFonts w:ascii="Arial" w:hAnsi="Arial" w:cs="Arial"/>
          <w:b/>
          <w:sz w:val="20"/>
          <w:szCs w:val="20"/>
        </w:rPr>
        <w:t xml:space="preserve">5.6. </w:t>
      </w:r>
      <w:r w:rsidR="00A63B6E" w:rsidRPr="00F15C05">
        <w:rPr>
          <w:rFonts w:ascii="Arial" w:hAnsi="Arial" w:cs="Arial"/>
          <w:b/>
          <w:sz w:val="20"/>
          <w:szCs w:val="20"/>
        </w:rPr>
        <w:t>Programme 6: CET</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 xml:space="preserve">5.6.1. </w:t>
      </w:r>
      <w:r w:rsidR="00A63B6E" w:rsidRPr="00F15C05">
        <w:rPr>
          <w:rFonts w:ascii="Arial" w:hAnsi="Arial" w:cs="Arial"/>
          <w:sz w:val="20"/>
          <w:szCs w:val="20"/>
        </w:rPr>
        <w:t xml:space="preserve">The utilisation of universities and TVET colleges infrastructure as community learning </w:t>
      </w:r>
      <w:r w:rsidRPr="00F15C05">
        <w:rPr>
          <w:rFonts w:ascii="Arial" w:hAnsi="Arial" w:cs="Arial"/>
          <w:sz w:val="20"/>
          <w:szCs w:val="20"/>
        </w:rPr>
        <w:tab/>
      </w:r>
      <w:r w:rsidR="00A63B6E" w:rsidRPr="00F15C05">
        <w:rPr>
          <w:rFonts w:ascii="Arial" w:hAnsi="Arial" w:cs="Arial"/>
          <w:sz w:val="20"/>
          <w:szCs w:val="20"/>
        </w:rPr>
        <w:t xml:space="preserve">centres (CLCs) should be expedited to improve the teaching and learning environment </w:t>
      </w:r>
      <w:r w:rsidRPr="00F15C05">
        <w:rPr>
          <w:rFonts w:ascii="Arial" w:hAnsi="Arial" w:cs="Arial"/>
          <w:sz w:val="20"/>
          <w:szCs w:val="20"/>
        </w:rPr>
        <w:tab/>
      </w:r>
      <w:r w:rsidR="00A63B6E" w:rsidRPr="00F15C05">
        <w:rPr>
          <w:rFonts w:ascii="Arial" w:hAnsi="Arial" w:cs="Arial"/>
          <w:sz w:val="20"/>
          <w:szCs w:val="20"/>
        </w:rPr>
        <w:t>in the sector.</w:t>
      </w:r>
    </w:p>
    <w:p w:rsidR="00A63B6E" w:rsidRPr="00F15C05" w:rsidRDefault="00D67916" w:rsidP="00F15C05">
      <w:pPr>
        <w:pStyle w:val="ListParagraph"/>
        <w:spacing w:after="0" w:line="240" w:lineRule="auto"/>
        <w:ind w:left="0"/>
        <w:rPr>
          <w:rFonts w:ascii="Arial" w:hAnsi="Arial" w:cs="Arial"/>
          <w:sz w:val="20"/>
          <w:szCs w:val="20"/>
        </w:rPr>
      </w:pPr>
      <w:r w:rsidRPr="00F15C05">
        <w:rPr>
          <w:rFonts w:ascii="Arial" w:hAnsi="Arial" w:cs="Arial"/>
          <w:sz w:val="20"/>
          <w:szCs w:val="20"/>
        </w:rPr>
        <w:t>5.6.2.</w:t>
      </w:r>
      <w:r w:rsidRPr="00F15C05">
        <w:rPr>
          <w:rFonts w:ascii="Arial" w:hAnsi="Arial" w:cs="Arial"/>
          <w:sz w:val="20"/>
          <w:szCs w:val="20"/>
        </w:rPr>
        <w:tab/>
      </w:r>
      <w:r w:rsidR="00A63B6E" w:rsidRPr="00F15C05">
        <w:rPr>
          <w:rFonts w:ascii="Arial" w:hAnsi="Arial" w:cs="Arial"/>
          <w:sz w:val="20"/>
          <w:szCs w:val="20"/>
        </w:rPr>
        <w:t xml:space="preserve">The Department should provide the necessary support needed by some CET colleges </w:t>
      </w:r>
      <w:r w:rsidRPr="00F15C05">
        <w:rPr>
          <w:rFonts w:ascii="Arial" w:hAnsi="Arial" w:cs="Arial"/>
          <w:sz w:val="20"/>
          <w:szCs w:val="20"/>
        </w:rPr>
        <w:tab/>
        <w:t>for the</w:t>
      </w:r>
      <w:r w:rsidR="00A63B6E" w:rsidRPr="00F15C05">
        <w:rPr>
          <w:rFonts w:ascii="Arial" w:hAnsi="Arial" w:cs="Arial"/>
          <w:sz w:val="20"/>
          <w:szCs w:val="20"/>
        </w:rPr>
        <w:t xml:space="preserve"> utilisation funding for improving their infrastructure.</w:t>
      </w:r>
    </w:p>
    <w:p w:rsidR="001744F3" w:rsidRPr="00F15C05" w:rsidDel="00DB58A0" w:rsidRDefault="001744F3" w:rsidP="00F15C05">
      <w:pPr>
        <w:pStyle w:val="ListParagraph"/>
        <w:spacing w:beforeLines="1" w:afterLines="1" w:line="240" w:lineRule="auto"/>
        <w:ind w:left="0"/>
        <w:contextualSpacing w:val="0"/>
        <w:rPr>
          <w:rFonts w:ascii="Arial" w:hAnsi="Arial" w:cs="Arial"/>
          <w:sz w:val="20"/>
          <w:szCs w:val="20"/>
        </w:rPr>
      </w:pPr>
    </w:p>
    <w:p w:rsidR="00451DDC" w:rsidRPr="00F15C05" w:rsidRDefault="00986A85" w:rsidP="00F15C05">
      <w:pPr>
        <w:autoSpaceDN w:val="0"/>
        <w:spacing w:after="0" w:line="240" w:lineRule="auto"/>
        <w:rPr>
          <w:rFonts w:ascii="Arial" w:hAnsi="Arial" w:cs="Arial"/>
          <w:color w:val="000000"/>
          <w:sz w:val="20"/>
          <w:szCs w:val="20"/>
        </w:rPr>
      </w:pPr>
      <w:r w:rsidRPr="00F15C05">
        <w:rPr>
          <w:rFonts w:ascii="Arial" w:hAnsi="Arial" w:cs="Arial"/>
          <w:sz w:val="20"/>
          <w:szCs w:val="20"/>
        </w:rPr>
        <w:t>Report to be considered.</w:t>
      </w:r>
    </w:p>
    <w:sectPr w:rsidR="00451DDC" w:rsidRPr="00F15C05" w:rsidSect="00F04CC2">
      <w:footerReference w:type="default" r:id="rId8"/>
      <w:pgSz w:w="11906" w:h="16838"/>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B5" w:rsidRDefault="009C1AB5" w:rsidP="006003CD">
      <w:pPr>
        <w:spacing w:after="0" w:line="240" w:lineRule="auto"/>
      </w:pPr>
      <w:r>
        <w:separator/>
      </w:r>
    </w:p>
  </w:endnote>
  <w:endnote w:type="continuationSeparator" w:id="0">
    <w:p w:rsidR="009C1AB5" w:rsidRDefault="009C1AB5" w:rsidP="00600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748062"/>
      <w:docPartObj>
        <w:docPartGallery w:val="Page Numbers (Bottom of Page)"/>
        <w:docPartUnique/>
      </w:docPartObj>
    </w:sdtPr>
    <w:sdtEndPr>
      <w:rPr>
        <w:noProof/>
      </w:rPr>
    </w:sdtEndPr>
    <w:sdtContent>
      <w:p w:rsidR="00E84951" w:rsidRDefault="004E5834">
        <w:pPr>
          <w:pStyle w:val="Footer"/>
          <w:jc w:val="right"/>
        </w:pPr>
        <w:r>
          <w:fldChar w:fldCharType="begin"/>
        </w:r>
        <w:r w:rsidR="00E84951">
          <w:instrText xml:space="preserve"> PAGE   \* MERGEFORMAT </w:instrText>
        </w:r>
        <w:r>
          <w:fldChar w:fldCharType="separate"/>
        </w:r>
        <w:r w:rsidR="00F15C05">
          <w:rPr>
            <w:noProof/>
          </w:rPr>
          <w:t>1</w:t>
        </w:r>
        <w:r>
          <w:rPr>
            <w:noProof/>
          </w:rPr>
          <w:fldChar w:fldCharType="end"/>
        </w:r>
      </w:p>
    </w:sdtContent>
  </w:sdt>
  <w:p w:rsidR="00E84951" w:rsidRDefault="00E84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B5" w:rsidRDefault="009C1AB5" w:rsidP="006003CD">
      <w:pPr>
        <w:spacing w:after="0" w:line="240" w:lineRule="auto"/>
      </w:pPr>
      <w:r>
        <w:separator/>
      </w:r>
    </w:p>
  </w:footnote>
  <w:footnote w:type="continuationSeparator" w:id="0">
    <w:p w:rsidR="009C1AB5" w:rsidRDefault="009C1AB5" w:rsidP="00600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89"/>
    <w:multiLevelType w:val="hybridMultilevel"/>
    <w:tmpl w:val="6F9C2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07F4182"/>
    <w:multiLevelType w:val="hybridMultilevel"/>
    <w:tmpl w:val="D30E3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057022"/>
    <w:multiLevelType w:val="hybridMultilevel"/>
    <w:tmpl w:val="46D481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AF04759"/>
    <w:multiLevelType w:val="hybridMultilevel"/>
    <w:tmpl w:val="AEFC8BA2"/>
    <w:lvl w:ilvl="0" w:tplc="2CC03304">
      <w:start w:val="1"/>
      <w:numFmt w:val="bullet"/>
      <w:lvlText w:val="•"/>
      <w:lvlJc w:val="left"/>
      <w:pPr>
        <w:tabs>
          <w:tab w:val="num" w:pos="720"/>
        </w:tabs>
        <w:ind w:left="720" w:hanging="360"/>
      </w:pPr>
      <w:rPr>
        <w:rFonts w:ascii="Arial" w:hAnsi="Arial" w:hint="default"/>
      </w:rPr>
    </w:lvl>
    <w:lvl w:ilvl="1" w:tplc="A0985F46" w:tentative="1">
      <w:start w:val="1"/>
      <w:numFmt w:val="bullet"/>
      <w:lvlText w:val="•"/>
      <w:lvlJc w:val="left"/>
      <w:pPr>
        <w:tabs>
          <w:tab w:val="num" w:pos="1440"/>
        </w:tabs>
        <w:ind w:left="1440" w:hanging="360"/>
      </w:pPr>
      <w:rPr>
        <w:rFonts w:ascii="Arial" w:hAnsi="Arial" w:hint="default"/>
      </w:rPr>
    </w:lvl>
    <w:lvl w:ilvl="2" w:tplc="79646B0A" w:tentative="1">
      <w:start w:val="1"/>
      <w:numFmt w:val="bullet"/>
      <w:lvlText w:val="•"/>
      <w:lvlJc w:val="left"/>
      <w:pPr>
        <w:tabs>
          <w:tab w:val="num" w:pos="2160"/>
        </w:tabs>
        <w:ind w:left="2160" w:hanging="360"/>
      </w:pPr>
      <w:rPr>
        <w:rFonts w:ascii="Arial" w:hAnsi="Arial" w:hint="default"/>
      </w:rPr>
    </w:lvl>
    <w:lvl w:ilvl="3" w:tplc="D01C3C72" w:tentative="1">
      <w:start w:val="1"/>
      <w:numFmt w:val="bullet"/>
      <w:lvlText w:val="•"/>
      <w:lvlJc w:val="left"/>
      <w:pPr>
        <w:tabs>
          <w:tab w:val="num" w:pos="2880"/>
        </w:tabs>
        <w:ind w:left="2880" w:hanging="360"/>
      </w:pPr>
      <w:rPr>
        <w:rFonts w:ascii="Arial" w:hAnsi="Arial" w:hint="default"/>
      </w:rPr>
    </w:lvl>
    <w:lvl w:ilvl="4" w:tplc="655E463C" w:tentative="1">
      <w:start w:val="1"/>
      <w:numFmt w:val="bullet"/>
      <w:lvlText w:val="•"/>
      <w:lvlJc w:val="left"/>
      <w:pPr>
        <w:tabs>
          <w:tab w:val="num" w:pos="3600"/>
        </w:tabs>
        <w:ind w:left="3600" w:hanging="360"/>
      </w:pPr>
      <w:rPr>
        <w:rFonts w:ascii="Arial" w:hAnsi="Arial" w:hint="default"/>
      </w:rPr>
    </w:lvl>
    <w:lvl w:ilvl="5" w:tplc="D5E2C74C" w:tentative="1">
      <w:start w:val="1"/>
      <w:numFmt w:val="bullet"/>
      <w:lvlText w:val="•"/>
      <w:lvlJc w:val="left"/>
      <w:pPr>
        <w:tabs>
          <w:tab w:val="num" w:pos="4320"/>
        </w:tabs>
        <w:ind w:left="4320" w:hanging="360"/>
      </w:pPr>
      <w:rPr>
        <w:rFonts w:ascii="Arial" w:hAnsi="Arial" w:hint="default"/>
      </w:rPr>
    </w:lvl>
    <w:lvl w:ilvl="6" w:tplc="30E8A51C" w:tentative="1">
      <w:start w:val="1"/>
      <w:numFmt w:val="bullet"/>
      <w:lvlText w:val="•"/>
      <w:lvlJc w:val="left"/>
      <w:pPr>
        <w:tabs>
          <w:tab w:val="num" w:pos="5040"/>
        </w:tabs>
        <w:ind w:left="5040" w:hanging="360"/>
      </w:pPr>
      <w:rPr>
        <w:rFonts w:ascii="Arial" w:hAnsi="Arial" w:hint="default"/>
      </w:rPr>
    </w:lvl>
    <w:lvl w:ilvl="7" w:tplc="B2366572" w:tentative="1">
      <w:start w:val="1"/>
      <w:numFmt w:val="bullet"/>
      <w:lvlText w:val="•"/>
      <w:lvlJc w:val="left"/>
      <w:pPr>
        <w:tabs>
          <w:tab w:val="num" w:pos="5760"/>
        </w:tabs>
        <w:ind w:left="5760" w:hanging="360"/>
      </w:pPr>
      <w:rPr>
        <w:rFonts w:ascii="Arial" w:hAnsi="Arial" w:hint="default"/>
      </w:rPr>
    </w:lvl>
    <w:lvl w:ilvl="8" w:tplc="2F704A6A" w:tentative="1">
      <w:start w:val="1"/>
      <w:numFmt w:val="bullet"/>
      <w:lvlText w:val="•"/>
      <w:lvlJc w:val="left"/>
      <w:pPr>
        <w:tabs>
          <w:tab w:val="num" w:pos="6480"/>
        </w:tabs>
        <w:ind w:left="6480" w:hanging="360"/>
      </w:pPr>
      <w:rPr>
        <w:rFonts w:ascii="Arial" w:hAnsi="Arial" w:hint="default"/>
      </w:rPr>
    </w:lvl>
  </w:abstractNum>
  <w:abstractNum w:abstractNumId="4">
    <w:nsid w:val="0EA17102"/>
    <w:multiLevelType w:val="hybridMultilevel"/>
    <w:tmpl w:val="661A5E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04F6AFD"/>
    <w:multiLevelType w:val="hybridMultilevel"/>
    <w:tmpl w:val="7CB004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7FB306B"/>
    <w:multiLevelType w:val="hybridMultilevel"/>
    <w:tmpl w:val="7C2071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A92E4B"/>
    <w:multiLevelType w:val="hybridMultilevel"/>
    <w:tmpl w:val="4E4E6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C92480"/>
    <w:multiLevelType w:val="hybridMultilevel"/>
    <w:tmpl w:val="16A06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121CEF"/>
    <w:multiLevelType w:val="hybridMultilevel"/>
    <w:tmpl w:val="41907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8068AD"/>
    <w:multiLevelType w:val="hybridMultilevel"/>
    <w:tmpl w:val="2578B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F558B5"/>
    <w:multiLevelType w:val="hybridMultilevel"/>
    <w:tmpl w:val="E618DBD0"/>
    <w:lvl w:ilvl="0" w:tplc="53660334">
      <w:start w:val="1"/>
      <w:numFmt w:val="bullet"/>
      <w:lvlText w:val="•"/>
      <w:lvlJc w:val="left"/>
      <w:pPr>
        <w:tabs>
          <w:tab w:val="num" w:pos="720"/>
        </w:tabs>
        <w:ind w:left="720" w:hanging="360"/>
      </w:pPr>
      <w:rPr>
        <w:rFonts w:ascii="Arial" w:hAnsi="Arial" w:hint="default"/>
      </w:rPr>
    </w:lvl>
    <w:lvl w:ilvl="1" w:tplc="3600140C" w:tentative="1">
      <w:start w:val="1"/>
      <w:numFmt w:val="bullet"/>
      <w:lvlText w:val="•"/>
      <w:lvlJc w:val="left"/>
      <w:pPr>
        <w:tabs>
          <w:tab w:val="num" w:pos="1440"/>
        </w:tabs>
        <w:ind w:left="1440" w:hanging="360"/>
      </w:pPr>
      <w:rPr>
        <w:rFonts w:ascii="Arial" w:hAnsi="Arial" w:hint="default"/>
      </w:rPr>
    </w:lvl>
    <w:lvl w:ilvl="2" w:tplc="8018B596" w:tentative="1">
      <w:start w:val="1"/>
      <w:numFmt w:val="bullet"/>
      <w:lvlText w:val="•"/>
      <w:lvlJc w:val="left"/>
      <w:pPr>
        <w:tabs>
          <w:tab w:val="num" w:pos="2160"/>
        </w:tabs>
        <w:ind w:left="2160" w:hanging="360"/>
      </w:pPr>
      <w:rPr>
        <w:rFonts w:ascii="Arial" w:hAnsi="Arial" w:hint="default"/>
      </w:rPr>
    </w:lvl>
    <w:lvl w:ilvl="3" w:tplc="B094C82E" w:tentative="1">
      <w:start w:val="1"/>
      <w:numFmt w:val="bullet"/>
      <w:lvlText w:val="•"/>
      <w:lvlJc w:val="left"/>
      <w:pPr>
        <w:tabs>
          <w:tab w:val="num" w:pos="2880"/>
        </w:tabs>
        <w:ind w:left="2880" w:hanging="360"/>
      </w:pPr>
      <w:rPr>
        <w:rFonts w:ascii="Arial" w:hAnsi="Arial" w:hint="default"/>
      </w:rPr>
    </w:lvl>
    <w:lvl w:ilvl="4" w:tplc="07A22A34" w:tentative="1">
      <w:start w:val="1"/>
      <w:numFmt w:val="bullet"/>
      <w:lvlText w:val="•"/>
      <w:lvlJc w:val="left"/>
      <w:pPr>
        <w:tabs>
          <w:tab w:val="num" w:pos="3600"/>
        </w:tabs>
        <w:ind w:left="3600" w:hanging="360"/>
      </w:pPr>
      <w:rPr>
        <w:rFonts w:ascii="Arial" w:hAnsi="Arial" w:hint="default"/>
      </w:rPr>
    </w:lvl>
    <w:lvl w:ilvl="5" w:tplc="5062594A" w:tentative="1">
      <w:start w:val="1"/>
      <w:numFmt w:val="bullet"/>
      <w:lvlText w:val="•"/>
      <w:lvlJc w:val="left"/>
      <w:pPr>
        <w:tabs>
          <w:tab w:val="num" w:pos="4320"/>
        </w:tabs>
        <w:ind w:left="4320" w:hanging="360"/>
      </w:pPr>
      <w:rPr>
        <w:rFonts w:ascii="Arial" w:hAnsi="Arial" w:hint="default"/>
      </w:rPr>
    </w:lvl>
    <w:lvl w:ilvl="6" w:tplc="C0063668" w:tentative="1">
      <w:start w:val="1"/>
      <w:numFmt w:val="bullet"/>
      <w:lvlText w:val="•"/>
      <w:lvlJc w:val="left"/>
      <w:pPr>
        <w:tabs>
          <w:tab w:val="num" w:pos="5040"/>
        </w:tabs>
        <w:ind w:left="5040" w:hanging="360"/>
      </w:pPr>
      <w:rPr>
        <w:rFonts w:ascii="Arial" w:hAnsi="Arial" w:hint="default"/>
      </w:rPr>
    </w:lvl>
    <w:lvl w:ilvl="7" w:tplc="7DB4FEE6" w:tentative="1">
      <w:start w:val="1"/>
      <w:numFmt w:val="bullet"/>
      <w:lvlText w:val="•"/>
      <w:lvlJc w:val="left"/>
      <w:pPr>
        <w:tabs>
          <w:tab w:val="num" w:pos="5760"/>
        </w:tabs>
        <w:ind w:left="5760" w:hanging="360"/>
      </w:pPr>
      <w:rPr>
        <w:rFonts w:ascii="Arial" w:hAnsi="Arial" w:hint="default"/>
      </w:rPr>
    </w:lvl>
    <w:lvl w:ilvl="8" w:tplc="59FEE554" w:tentative="1">
      <w:start w:val="1"/>
      <w:numFmt w:val="bullet"/>
      <w:lvlText w:val="•"/>
      <w:lvlJc w:val="left"/>
      <w:pPr>
        <w:tabs>
          <w:tab w:val="num" w:pos="6480"/>
        </w:tabs>
        <w:ind w:left="6480" w:hanging="360"/>
      </w:pPr>
      <w:rPr>
        <w:rFonts w:ascii="Arial" w:hAnsi="Arial" w:hint="default"/>
      </w:rPr>
    </w:lvl>
  </w:abstractNum>
  <w:abstractNum w:abstractNumId="12">
    <w:nsid w:val="2A26269A"/>
    <w:multiLevelType w:val="hybridMultilevel"/>
    <w:tmpl w:val="5A82AF5C"/>
    <w:lvl w:ilvl="0" w:tplc="DBE2FF58">
      <w:start w:val="4"/>
      <w:numFmt w:val="decimal"/>
      <w:lvlText w:val="%1."/>
      <w:lvlJc w:val="left"/>
      <w:pPr>
        <w:tabs>
          <w:tab w:val="num" w:pos="720"/>
        </w:tabs>
        <w:ind w:left="720" w:hanging="360"/>
      </w:pPr>
    </w:lvl>
    <w:lvl w:ilvl="1" w:tplc="64AC79E4" w:tentative="1">
      <w:start w:val="1"/>
      <w:numFmt w:val="decimal"/>
      <w:lvlText w:val="%2."/>
      <w:lvlJc w:val="left"/>
      <w:pPr>
        <w:tabs>
          <w:tab w:val="num" w:pos="1440"/>
        </w:tabs>
        <w:ind w:left="1440" w:hanging="360"/>
      </w:pPr>
    </w:lvl>
    <w:lvl w:ilvl="2" w:tplc="9A1EDFE4" w:tentative="1">
      <w:start w:val="1"/>
      <w:numFmt w:val="decimal"/>
      <w:lvlText w:val="%3."/>
      <w:lvlJc w:val="left"/>
      <w:pPr>
        <w:tabs>
          <w:tab w:val="num" w:pos="2160"/>
        </w:tabs>
        <w:ind w:left="2160" w:hanging="360"/>
      </w:pPr>
    </w:lvl>
    <w:lvl w:ilvl="3" w:tplc="D4C4EFBA" w:tentative="1">
      <w:start w:val="1"/>
      <w:numFmt w:val="decimal"/>
      <w:lvlText w:val="%4."/>
      <w:lvlJc w:val="left"/>
      <w:pPr>
        <w:tabs>
          <w:tab w:val="num" w:pos="2880"/>
        </w:tabs>
        <w:ind w:left="2880" w:hanging="360"/>
      </w:pPr>
    </w:lvl>
    <w:lvl w:ilvl="4" w:tplc="5B3C6F0C" w:tentative="1">
      <w:start w:val="1"/>
      <w:numFmt w:val="decimal"/>
      <w:lvlText w:val="%5."/>
      <w:lvlJc w:val="left"/>
      <w:pPr>
        <w:tabs>
          <w:tab w:val="num" w:pos="3600"/>
        </w:tabs>
        <w:ind w:left="3600" w:hanging="360"/>
      </w:pPr>
    </w:lvl>
    <w:lvl w:ilvl="5" w:tplc="8EFE138A" w:tentative="1">
      <w:start w:val="1"/>
      <w:numFmt w:val="decimal"/>
      <w:lvlText w:val="%6."/>
      <w:lvlJc w:val="left"/>
      <w:pPr>
        <w:tabs>
          <w:tab w:val="num" w:pos="4320"/>
        </w:tabs>
        <w:ind w:left="4320" w:hanging="360"/>
      </w:pPr>
    </w:lvl>
    <w:lvl w:ilvl="6" w:tplc="061A85D0" w:tentative="1">
      <w:start w:val="1"/>
      <w:numFmt w:val="decimal"/>
      <w:lvlText w:val="%7."/>
      <w:lvlJc w:val="left"/>
      <w:pPr>
        <w:tabs>
          <w:tab w:val="num" w:pos="5040"/>
        </w:tabs>
        <w:ind w:left="5040" w:hanging="360"/>
      </w:pPr>
    </w:lvl>
    <w:lvl w:ilvl="7" w:tplc="132017E8" w:tentative="1">
      <w:start w:val="1"/>
      <w:numFmt w:val="decimal"/>
      <w:lvlText w:val="%8."/>
      <w:lvlJc w:val="left"/>
      <w:pPr>
        <w:tabs>
          <w:tab w:val="num" w:pos="5760"/>
        </w:tabs>
        <w:ind w:left="5760" w:hanging="360"/>
      </w:pPr>
    </w:lvl>
    <w:lvl w:ilvl="8" w:tplc="9A9820D0" w:tentative="1">
      <w:start w:val="1"/>
      <w:numFmt w:val="decimal"/>
      <w:lvlText w:val="%9."/>
      <w:lvlJc w:val="left"/>
      <w:pPr>
        <w:tabs>
          <w:tab w:val="num" w:pos="6480"/>
        </w:tabs>
        <w:ind w:left="6480" w:hanging="360"/>
      </w:pPr>
    </w:lvl>
  </w:abstractNum>
  <w:abstractNum w:abstractNumId="13">
    <w:nsid w:val="2BF043D9"/>
    <w:multiLevelType w:val="hybridMultilevel"/>
    <w:tmpl w:val="4E905D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8167AA"/>
    <w:multiLevelType w:val="hybridMultilevel"/>
    <w:tmpl w:val="75FA6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175510"/>
    <w:multiLevelType w:val="hybridMultilevel"/>
    <w:tmpl w:val="01765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E52B2A"/>
    <w:multiLevelType w:val="hybridMultilevel"/>
    <w:tmpl w:val="5CC44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857F0C"/>
    <w:multiLevelType w:val="hybridMultilevel"/>
    <w:tmpl w:val="B0F8C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197361D"/>
    <w:multiLevelType w:val="hybridMultilevel"/>
    <w:tmpl w:val="56F20EA8"/>
    <w:lvl w:ilvl="0" w:tplc="8BC229D4">
      <w:start w:val="1"/>
      <w:numFmt w:val="decimal"/>
      <w:lvlText w:val="%1."/>
      <w:lvlJc w:val="left"/>
      <w:pPr>
        <w:tabs>
          <w:tab w:val="num" w:pos="720"/>
        </w:tabs>
        <w:ind w:left="720" w:hanging="360"/>
      </w:pPr>
    </w:lvl>
    <w:lvl w:ilvl="1" w:tplc="36CA4CF6" w:tentative="1">
      <w:start w:val="1"/>
      <w:numFmt w:val="decimal"/>
      <w:lvlText w:val="%2."/>
      <w:lvlJc w:val="left"/>
      <w:pPr>
        <w:tabs>
          <w:tab w:val="num" w:pos="1440"/>
        </w:tabs>
        <w:ind w:left="1440" w:hanging="360"/>
      </w:pPr>
    </w:lvl>
    <w:lvl w:ilvl="2" w:tplc="D6CE212C" w:tentative="1">
      <w:start w:val="1"/>
      <w:numFmt w:val="decimal"/>
      <w:lvlText w:val="%3."/>
      <w:lvlJc w:val="left"/>
      <w:pPr>
        <w:tabs>
          <w:tab w:val="num" w:pos="2160"/>
        </w:tabs>
        <w:ind w:left="2160" w:hanging="360"/>
      </w:pPr>
    </w:lvl>
    <w:lvl w:ilvl="3" w:tplc="EEDE55BC" w:tentative="1">
      <w:start w:val="1"/>
      <w:numFmt w:val="decimal"/>
      <w:lvlText w:val="%4."/>
      <w:lvlJc w:val="left"/>
      <w:pPr>
        <w:tabs>
          <w:tab w:val="num" w:pos="2880"/>
        </w:tabs>
        <w:ind w:left="2880" w:hanging="360"/>
      </w:pPr>
    </w:lvl>
    <w:lvl w:ilvl="4" w:tplc="7F6E2F02" w:tentative="1">
      <w:start w:val="1"/>
      <w:numFmt w:val="decimal"/>
      <w:lvlText w:val="%5."/>
      <w:lvlJc w:val="left"/>
      <w:pPr>
        <w:tabs>
          <w:tab w:val="num" w:pos="3600"/>
        </w:tabs>
        <w:ind w:left="3600" w:hanging="360"/>
      </w:pPr>
    </w:lvl>
    <w:lvl w:ilvl="5" w:tplc="E5B84B00" w:tentative="1">
      <w:start w:val="1"/>
      <w:numFmt w:val="decimal"/>
      <w:lvlText w:val="%6."/>
      <w:lvlJc w:val="left"/>
      <w:pPr>
        <w:tabs>
          <w:tab w:val="num" w:pos="4320"/>
        </w:tabs>
        <w:ind w:left="4320" w:hanging="360"/>
      </w:pPr>
    </w:lvl>
    <w:lvl w:ilvl="6" w:tplc="9C54BDF6" w:tentative="1">
      <w:start w:val="1"/>
      <w:numFmt w:val="decimal"/>
      <w:lvlText w:val="%7."/>
      <w:lvlJc w:val="left"/>
      <w:pPr>
        <w:tabs>
          <w:tab w:val="num" w:pos="5040"/>
        </w:tabs>
        <w:ind w:left="5040" w:hanging="360"/>
      </w:pPr>
    </w:lvl>
    <w:lvl w:ilvl="7" w:tplc="22881870" w:tentative="1">
      <w:start w:val="1"/>
      <w:numFmt w:val="decimal"/>
      <w:lvlText w:val="%8."/>
      <w:lvlJc w:val="left"/>
      <w:pPr>
        <w:tabs>
          <w:tab w:val="num" w:pos="5760"/>
        </w:tabs>
        <w:ind w:left="5760" w:hanging="360"/>
      </w:pPr>
    </w:lvl>
    <w:lvl w:ilvl="8" w:tplc="E39A4E96" w:tentative="1">
      <w:start w:val="1"/>
      <w:numFmt w:val="decimal"/>
      <w:lvlText w:val="%9."/>
      <w:lvlJc w:val="left"/>
      <w:pPr>
        <w:tabs>
          <w:tab w:val="num" w:pos="6480"/>
        </w:tabs>
        <w:ind w:left="6480" w:hanging="360"/>
      </w:pPr>
    </w:lvl>
  </w:abstractNum>
  <w:abstractNum w:abstractNumId="19">
    <w:nsid w:val="356E699E"/>
    <w:multiLevelType w:val="hybridMultilevel"/>
    <w:tmpl w:val="458A2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90C3918"/>
    <w:multiLevelType w:val="hybridMultilevel"/>
    <w:tmpl w:val="2286B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A2277A6"/>
    <w:multiLevelType w:val="hybridMultilevel"/>
    <w:tmpl w:val="E1668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06032B"/>
    <w:multiLevelType w:val="hybridMultilevel"/>
    <w:tmpl w:val="50589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1B637C8"/>
    <w:multiLevelType w:val="hybridMultilevel"/>
    <w:tmpl w:val="85CC8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ED1A93"/>
    <w:multiLevelType w:val="hybridMultilevel"/>
    <w:tmpl w:val="42D8B4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9493AB7"/>
    <w:multiLevelType w:val="hybridMultilevel"/>
    <w:tmpl w:val="7A988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BAD03D5"/>
    <w:multiLevelType w:val="hybridMultilevel"/>
    <w:tmpl w:val="D9BA7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5AA1F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6F162B"/>
    <w:multiLevelType w:val="hybridMultilevel"/>
    <w:tmpl w:val="5D724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7615E07"/>
    <w:multiLevelType w:val="hybridMultilevel"/>
    <w:tmpl w:val="E54C3166"/>
    <w:lvl w:ilvl="0" w:tplc="69CAC414">
      <w:start w:val="6"/>
      <w:numFmt w:val="decimal"/>
      <w:lvlText w:val="%1."/>
      <w:lvlJc w:val="left"/>
      <w:pPr>
        <w:tabs>
          <w:tab w:val="num" w:pos="720"/>
        </w:tabs>
        <w:ind w:left="720" w:hanging="360"/>
      </w:pPr>
    </w:lvl>
    <w:lvl w:ilvl="1" w:tplc="E50465F0" w:tentative="1">
      <w:start w:val="1"/>
      <w:numFmt w:val="decimal"/>
      <w:lvlText w:val="%2."/>
      <w:lvlJc w:val="left"/>
      <w:pPr>
        <w:tabs>
          <w:tab w:val="num" w:pos="1440"/>
        </w:tabs>
        <w:ind w:left="1440" w:hanging="360"/>
      </w:pPr>
    </w:lvl>
    <w:lvl w:ilvl="2" w:tplc="3E828A56" w:tentative="1">
      <w:start w:val="1"/>
      <w:numFmt w:val="decimal"/>
      <w:lvlText w:val="%3."/>
      <w:lvlJc w:val="left"/>
      <w:pPr>
        <w:tabs>
          <w:tab w:val="num" w:pos="2160"/>
        </w:tabs>
        <w:ind w:left="2160" w:hanging="360"/>
      </w:pPr>
    </w:lvl>
    <w:lvl w:ilvl="3" w:tplc="A5C29152" w:tentative="1">
      <w:start w:val="1"/>
      <w:numFmt w:val="decimal"/>
      <w:lvlText w:val="%4."/>
      <w:lvlJc w:val="left"/>
      <w:pPr>
        <w:tabs>
          <w:tab w:val="num" w:pos="2880"/>
        </w:tabs>
        <w:ind w:left="2880" w:hanging="360"/>
      </w:pPr>
    </w:lvl>
    <w:lvl w:ilvl="4" w:tplc="5B70708A" w:tentative="1">
      <w:start w:val="1"/>
      <w:numFmt w:val="decimal"/>
      <w:lvlText w:val="%5."/>
      <w:lvlJc w:val="left"/>
      <w:pPr>
        <w:tabs>
          <w:tab w:val="num" w:pos="3600"/>
        </w:tabs>
        <w:ind w:left="3600" w:hanging="360"/>
      </w:pPr>
    </w:lvl>
    <w:lvl w:ilvl="5" w:tplc="00809BF4" w:tentative="1">
      <w:start w:val="1"/>
      <w:numFmt w:val="decimal"/>
      <w:lvlText w:val="%6."/>
      <w:lvlJc w:val="left"/>
      <w:pPr>
        <w:tabs>
          <w:tab w:val="num" w:pos="4320"/>
        </w:tabs>
        <w:ind w:left="4320" w:hanging="360"/>
      </w:pPr>
    </w:lvl>
    <w:lvl w:ilvl="6" w:tplc="512A12BE" w:tentative="1">
      <w:start w:val="1"/>
      <w:numFmt w:val="decimal"/>
      <w:lvlText w:val="%7."/>
      <w:lvlJc w:val="left"/>
      <w:pPr>
        <w:tabs>
          <w:tab w:val="num" w:pos="5040"/>
        </w:tabs>
        <w:ind w:left="5040" w:hanging="360"/>
      </w:pPr>
    </w:lvl>
    <w:lvl w:ilvl="7" w:tplc="807C7EBA" w:tentative="1">
      <w:start w:val="1"/>
      <w:numFmt w:val="decimal"/>
      <w:lvlText w:val="%8."/>
      <w:lvlJc w:val="left"/>
      <w:pPr>
        <w:tabs>
          <w:tab w:val="num" w:pos="5760"/>
        </w:tabs>
        <w:ind w:left="5760" w:hanging="360"/>
      </w:pPr>
    </w:lvl>
    <w:lvl w:ilvl="8" w:tplc="256CEDF0" w:tentative="1">
      <w:start w:val="1"/>
      <w:numFmt w:val="decimal"/>
      <w:lvlText w:val="%9."/>
      <w:lvlJc w:val="left"/>
      <w:pPr>
        <w:tabs>
          <w:tab w:val="num" w:pos="6480"/>
        </w:tabs>
        <w:ind w:left="6480" w:hanging="360"/>
      </w:pPr>
    </w:lvl>
  </w:abstractNum>
  <w:abstractNum w:abstractNumId="30">
    <w:nsid w:val="58B56CB2"/>
    <w:multiLevelType w:val="hybridMultilevel"/>
    <w:tmpl w:val="600665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BDD6F64"/>
    <w:multiLevelType w:val="hybridMultilevel"/>
    <w:tmpl w:val="A7CA8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63755F"/>
    <w:multiLevelType w:val="hybridMultilevel"/>
    <w:tmpl w:val="23CA71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247133A"/>
    <w:multiLevelType w:val="hybridMultilevel"/>
    <w:tmpl w:val="B170B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2D00D61"/>
    <w:multiLevelType w:val="hybridMultilevel"/>
    <w:tmpl w:val="E55CBD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37962E3"/>
    <w:multiLevelType w:val="hybridMultilevel"/>
    <w:tmpl w:val="D8C0CC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5257887"/>
    <w:multiLevelType w:val="hybridMultilevel"/>
    <w:tmpl w:val="5DB42EBA"/>
    <w:lvl w:ilvl="0" w:tplc="DC5AE228">
      <w:start w:val="8"/>
      <w:numFmt w:val="decimal"/>
      <w:lvlText w:val="%1."/>
      <w:lvlJc w:val="left"/>
      <w:pPr>
        <w:tabs>
          <w:tab w:val="num" w:pos="720"/>
        </w:tabs>
        <w:ind w:left="720" w:hanging="360"/>
      </w:pPr>
    </w:lvl>
    <w:lvl w:ilvl="1" w:tplc="AC6AF256" w:tentative="1">
      <w:start w:val="1"/>
      <w:numFmt w:val="decimal"/>
      <w:lvlText w:val="%2."/>
      <w:lvlJc w:val="left"/>
      <w:pPr>
        <w:tabs>
          <w:tab w:val="num" w:pos="1440"/>
        </w:tabs>
        <w:ind w:left="1440" w:hanging="360"/>
      </w:pPr>
    </w:lvl>
    <w:lvl w:ilvl="2" w:tplc="6F4639DC" w:tentative="1">
      <w:start w:val="1"/>
      <w:numFmt w:val="decimal"/>
      <w:lvlText w:val="%3."/>
      <w:lvlJc w:val="left"/>
      <w:pPr>
        <w:tabs>
          <w:tab w:val="num" w:pos="2160"/>
        </w:tabs>
        <w:ind w:left="2160" w:hanging="360"/>
      </w:pPr>
    </w:lvl>
    <w:lvl w:ilvl="3" w:tplc="19540FCC" w:tentative="1">
      <w:start w:val="1"/>
      <w:numFmt w:val="decimal"/>
      <w:lvlText w:val="%4."/>
      <w:lvlJc w:val="left"/>
      <w:pPr>
        <w:tabs>
          <w:tab w:val="num" w:pos="2880"/>
        </w:tabs>
        <w:ind w:left="2880" w:hanging="360"/>
      </w:pPr>
    </w:lvl>
    <w:lvl w:ilvl="4" w:tplc="7902A6F4" w:tentative="1">
      <w:start w:val="1"/>
      <w:numFmt w:val="decimal"/>
      <w:lvlText w:val="%5."/>
      <w:lvlJc w:val="left"/>
      <w:pPr>
        <w:tabs>
          <w:tab w:val="num" w:pos="3600"/>
        </w:tabs>
        <w:ind w:left="3600" w:hanging="360"/>
      </w:pPr>
    </w:lvl>
    <w:lvl w:ilvl="5" w:tplc="78D61248" w:tentative="1">
      <w:start w:val="1"/>
      <w:numFmt w:val="decimal"/>
      <w:lvlText w:val="%6."/>
      <w:lvlJc w:val="left"/>
      <w:pPr>
        <w:tabs>
          <w:tab w:val="num" w:pos="4320"/>
        </w:tabs>
        <w:ind w:left="4320" w:hanging="360"/>
      </w:pPr>
    </w:lvl>
    <w:lvl w:ilvl="6" w:tplc="95DA7B36" w:tentative="1">
      <w:start w:val="1"/>
      <w:numFmt w:val="decimal"/>
      <w:lvlText w:val="%7."/>
      <w:lvlJc w:val="left"/>
      <w:pPr>
        <w:tabs>
          <w:tab w:val="num" w:pos="5040"/>
        </w:tabs>
        <w:ind w:left="5040" w:hanging="360"/>
      </w:pPr>
    </w:lvl>
    <w:lvl w:ilvl="7" w:tplc="67688250" w:tentative="1">
      <w:start w:val="1"/>
      <w:numFmt w:val="decimal"/>
      <w:lvlText w:val="%8."/>
      <w:lvlJc w:val="left"/>
      <w:pPr>
        <w:tabs>
          <w:tab w:val="num" w:pos="5760"/>
        </w:tabs>
        <w:ind w:left="5760" w:hanging="360"/>
      </w:pPr>
    </w:lvl>
    <w:lvl w:ilvl="8" w:tplc="D4A4449C" w:tentative="1">
      <w:start w:val="1"/>
      <w:numFmt w:val="decimal"/>
      <w:lvlText w:val="%9."/>
      <w:lvlJc w:val="left"/>
      <w:pPr>
        <w:tabs>
          <w:tab w:val="num" w:pos="6480"/>
        </w:tabs>
        <w:ind w:left="6480" w:hanging="360"/>
      </w:pPr>
    </w:lvl>
  </w:abstractNum>
  <w:abstractNum w:abstractNumId="37">
    <w:nsid w:val="659018EB"/>
    <w:multiLevelType w:val="hybridMultilevel"/>
    <w:tmpl w:val="3372F6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5BE0943"/>
    <w:multiLevelType w:val="hybridMultilevel"/>
    <w:tmpl w:val="F0822F2E"/>
    <w:lvl w:ilvl="0" w:tplc="7516606A">
      <w:start w:val="1"/>
      <w:numFmt w:val="bullet"/>
      <w:lvlText w:val="•"/>
      <w:lvlJc w:val="left"/>
      <w:pPr>
        <w:tabs>
          <w:tab w:val="num" w:pos="720"/>
        </w:tabs>
        <w:ind w:left="720" w:hanging="360"/>
      </w:pPr>
      <w:rPr>
        <w:rFonts w:ascii="Arial" w:hAnsi="Arial" w:hint="default"/>
      </w:rPr>
    </w:lvl>
    <w:lvl w:ilvl="1" w:tplc="1F9ABAD0" w:tentative="1">
      <w:start w:val="1"/>
      <w:numFmt w:val="bullet"/>
      <w:lvlText w:val="•"/>
      <w:lvlJc w:val="left"/>
      <w:pPr>
        <w:tabs>
          <w:tab w:val="num" w:pos="1440"/>
        </w:tabs>
        <w:ind w:left="1440" w:hanging="360"/>
      </w:pPr>
      <w:rPr>
        <w:rFonts w:ascii="Arial" w:hAnsi="Arial" w:hint="default"/>
      </w:rPr>
    </w:lvl>
    <w:lvl w:ilvl="2" w:tplc="4B2C2AE8" w:tentative="1">
      <w:start w:val="1"/>
      <w:numFmt w:val="bullet"/>
      <w:lvlText w:val="•"/>
      <w:lvlJc w:val="left"/>
      <w:pPr>
        <w:tabs>
          <w:tab w:val="num" w:pos="2160"/>
        </w:tabs>
        <w:ind w:left="2160" w:hanging="360"/>
      </w:pPr>
      <w:rPr>
        <w:rFonts w:ascii="Arial" w:hAnsi="Arial" w:hint="default"/>
      </w:rPr>
    </w:lvl>
    <w:lvl w:ilvl="3" w:tplc="7B2A9FB2" w:tentative="1">
      <w:start w:val="1"/>
      <w:numFmt w:val="bullet"/>
      <w:lvlText w:val="•"/>
      <w:lvlJc w:val="left"/>
      <w:pPr>
        <w:tabs>
          <w:tab w:val="num" w:pos="2880"/>
        </w:tabs>
        <w:ind w:left="2880" w:hanging="360"/>
      </w:pPr>
      <w:rPr>
        <w:rFonts w:ascii="Arial" w:hAnsi="Arial" w:hint="default"/>
      </w:rPr>
    </w:lvl>
    <w:lvl w:ilvl="4" w:tplc="19985CF6" w:tentative="1">
      <w:start w:val="1"/>
      <w:numFmt w:val="bullet"/>
      <w:lvlText w:val="•"/>
      <w:lvlJc w:val="left"/>
      <w:pPr>
        <w:tabs>
          <w:tab w:val="num" w:pos="3600"/>
        </w:tabs>
        <w:ind w:left="3600" w:hanging="360"/>
      </w:pPr>
      <w:rPr>
        <w:rFonts w:ascii="Arial" w:hAnsi="Arial" w:hint="default"/>
      </w:rPr>
    </w:lvl>
    <w:lvl w:ilvl="5" w:tplc="ABBE345A" w:tentative="1">
      <w:start w:val="1"/>
      <w:numFmt w:val="bullet"/>
      <w:lvlText w:val="•"/>
      <w:lvlJc w:val="left"/>
      <w:pPr>
        <w:tabs>
          <w:tab w:val="num" w:pos="4320"/>
        </w:tabs>
        <w:ind w:left="4320" w:hanging="360"/>
      </w:pPr>
      <w:rPr>
        <w:rFonts w:ascii="Arial" w:hAnsi="Arial" w:hint="default"/>
      </w:rPr>
    </w:lvl>
    <w:lvl w:ilvl="6" w:tplc="EB001720" w:tentative="1">
      <w:start w:val="1"/>
      <w:numFmt w:val="bullet"/>
      <w:lvlText w:val="•"/>
      <w:lvlJc w:val="left"/>
      <w:pPr>
        <w:tabs>
          <w:tab w:val="num" w:pos="5040"/>
        </w:tabs>
        <w:ind w:left="5040" w:hanging="360"/>
      </w:pPr>
      <w:rPr>
        <w:rFonts w:ascii="Arial" w:hAnsi="Arial" w:hint="default"/>
      </w:rPr>
    </w:lvl>
    <w:lvl w:ilvl="7" w:tplc="8F622DB8" w:tentative="1">
      <w:start w:val="1"/>
      <w:numFmt w:val="bullet"/>
      <w:lvlText w:val="•"/>
      <w:lvlJc w:val="left"/>
      <w:pPr>
        <w:tabs>
          <w:tab w:val="num" w:pos="5760"/>
        </w:tabs>
        <w:ind w:left="5760" w:hanging="360"/>
      </w:pPr>
      <w:rPr>
        <w:rFonts w:ascii="Arial" w:hAnsi="Arial" w:hint="default"/>
      </w:rPr>
    </w:lvl>
    <w:lvl w:ilvl="8" w:tplc="62E69408" w:tentative="1">
      <w:start w:val="1"/>
      <w:numFmt w:val="bullet"/>
      <w:lvlText w:val="•"/>
      <w:lvlJc w:val="left"/>
      <w:pPr>
        <w:tabs>
          <w:tab w:val="num" w:pos="6480"/>
        </w:tabs>
        <w:ind w:left="6480" w:hanging="360"/>
      </w:pPr>
      <w:rPr>
        <w:rFonts w:ascii="Arial" w:hAnsi="Arial" w:hint="default"/>
      </w:rPr>
    </w:lvl>
  </w:abstractNum>
  <w:abstractNum w:abstractNumId="39">
    <w:nsid w:val="66A75F47"/>
    <w:multiLevelType w:val="hybridMultilevel"/>
    <w:tmpl w:val="D33057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70C78C6"/>
    <w:multiLevelType w:val="hybridMultilevel"/>
    <w:tmpl w:val="146E2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C0E315D"/>
    <w:multiLevelType w:val="hybridMultilevel"/>
    <w:tmpl w:val="CD54B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D9E0BD7"/>
    <w:multiLevelType w:val="hybridMultilevel"/>
    <w:tmpl w:val="AFF251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0845104"/>
    <w:multiLevelType w:val="hybridMultilevel"/>
    <w:tmpl w:val="7E1C8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36E037A"/>
    <w:multiLevelType w:val="hybridMultilevel"/>
    <w:tmpl w:val="3A1A56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39915D4"/>
    <w:multiLevelType w:val="hybridMultilevel"/>
    <w:tmpl w:val="29FAB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ACF1A9F"/>
    <w:multiLevelType w:val="hybridMultilevel"/>
    <w:tmpl w:val="05C23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E696058"/>
    <w:multiLevelType w:val="hybridMultilevel"/>
    <w:tmpl w:val="C8481FD0"/>
    <w:lvl w:ilvl="0" w:tplc="B388115A">
      <w:start w:val="1"/>
      <w:numFmt w:val="bullet"/>
      <w:lvlText w:val="•"/>
      <w:lvlJc w:val="left"/>
      <w:pPr>
        <w:tabs>
          <w:tab w:val="num" w:pos="720"/>
        </w:tabs>
        <w:ind w:left="720" w:hanging="360"/>
      </w:pPr>
      <w:rPr>
        <w:rFonts w:ascii="Arial" w:hAnsi="Arial" w:hint="default"/>
      </w:rPr>
    </w:lvl>
    <w:lvl w:ilvl="1" w:tplc="164A5506">
      <w:numFmt w:val="bullet"/>
      <w:lvlText w:val="o"/>
      <w:lvlJc w:val="left"/>
      <w:pPr>
        <w:tabs>
          <w:tab w:val="num" w:pos="1440"/>
        </w:tabs>
        <w:ind w:left="1440" w:hanging="360"/>
      </w:pPr>
      <w:rPr>
        <w:rFonts w:ascii="Courier New" w:hAnsi="Courier New" w:hint="default"/>
      </w:rPr>
    </w:lvl>
    <w:lvl w:ilvl="2" w:tplc="28FC9C8C" w:tentative="1">
      <w:start w:val="1"/>
      <w:numFmt w:val="bullet"/>
      <w:lvlText w:val="•"/>
      <w:lvlJc w:val="left"/>
      <w:pPr>
        <w:tabs>
          <w:tab w:val="num" w:pos="2160"/>
        </w:tabs>
        <w:ind w:left="2160" w:hanging="360"/>
      </w:pPr>
      <w:rPr>
        <w:rFonts w:ascii="Arial" w:hAnsi="Arial" w:hint="default"/>
      </w:rPr>
    </w:lvl>
    <w:lvl w:ilvl="3" w:tplc="53182DB4" w:tentative="1">
      <w:start w:val="1"/>
      <w:numFmt w:val="bullet"/>
      <w:lvlText w:val="•"/>
      <w:lvlJc w:val="left"/>
      <w:pPr>
        <w:tabs>
          <w:tab w:val="num" w:pos="2880"/>
        </w:tabs>
        <w:ind w:left="2880" w:hanging="360"/>
      </w:pPr>
      <w:rPr>
        <w:rFonts w:ascii="Arial" w:hAnsi="Arial" w:hint="default"/>
      </w:rPr>
    </w:lvl>
    <w:lvl w:ilvl="4" w:tplc="DB60B444" w:tentative="1">
      <w:start w:val="1"/>
      <w:numFmt w:val="bullet"/>
      <w:lvlText w:val="•"/>
      <w:lvlJc w:val="left"/>
      <w:pPr>
        <w:tabs>
          <w:tab w:val="num" w:pos="3600"/>
        </w:tabs>
        <w:ind w:left="3600" w:hanging="360"/>
      </w:pPr>
      <w:rPr>
        <w:rFonts w:ascii="Arial" w:hAnsi="Arial" w:hint="default"/>
      </w:rPr>
    </w:lvl>
    <w:lvl w:ilvl="5" w:tplc="47481730" w:tentative="1">
      <w:start w:val="1"/>
      <w:numFmt w:val="bullet"/>
      <w:lvlText w:val="•"/>
      <w:lvlJc w:val="left"/>
      <w:pPr>
        <w:tabs>
          <w:tab w:val="num" w:pos="4320"/>
        </w:tabs>
        <w:ind w:left="4320" w:hanging="360"/>
      </w:pPr>
      <w:rPr>
        <w:rFonts w:ascii="Arial" w:hAnsi="Arial" w:hint="default"/>
      </w:rPr>
    </w:lvl>
    <w:lvl w:ilvl="6" w:tplc="F234485C" w:tentative="1">
      <w:start w:val="1"/>
      <w:numFmt w:val="bullet"/>
      <w:lvlText w:val="•"/>
      <w:lvlJc w:val="left"/>
      <w:pPr>
        <w:tabs>
          <w:tab w:val="num" w:pos="5040"/>
        </w:tabs>
        <w:ind w:left="5040" w:hanging="360"/>
      </w:pPr>
      <w:rPr>
        <w:rFonts w:ascii="Arial" w:hAnsi="Arial" w:hint="default"/>
      </w:rPr>
    </w:lvl>
    <w:lvl w:ilvl="7" w:tplc="718ED3C0" w:tentative="1">
      <w:start w:val="1"/>
      <w:numFmt w:val="bullet"/>
      <w:lvlText w:val="•"/>
      <w:lvlJc w:val="left"/>
      <w:pPr>
        <w:tabs>
          <w:tab w:val="num" w:pos="5760"/>
        </w:tabs>
        <w:ind w:left="5760" w:hanging="360"/>
      </w:pPr>
      <w:rPr>
        <w:rFonts w:ascii="Arial" w:hAnsi="Arial" w:hint="default"/>
      </w:rPr>
    </w:lvl>
    <w:lvl w:ilvl="8" w:tplc="EAC65FA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0"/>
  </w:num>
  <w:num w:numId="3">
    <w:abstractNumId w:val="3"/>
  </w:num>
  <w:num w:numId="4">
    <w:abstractNumId w:val="47"/>
  </w:num>
  <w:num w:numId="5">
    <w:abstractNumId w:val="38"/>
  </w:num>
  <w:num w:numId="6">
    <w:abstractNumId w:val="11"/>
  </w:num>
  <w:num w:numId="7">
    <w:abstractNumId w:val="28"/>
  </w:num>
  <w:num w:numId="8">
    <w:abstractNumId w:val="45"/>
  </w:num>
  <w:num w:numId="9">
    <w:abstractNumId w:val="41"/>
  </w:num>
  <w:num w:numId="10">
    <w:abstractNumId w:val="10"/>
  </w:num>
  <w:num w:numId="11">
    <w:abstractNumId w:val="9"/>
  </w:num>
  <w:num w:numId="12">
    <w:abstractNumId w:val="37"/>
  </w:num>
  <w:num w:numId="13">
    <w:abstractNumId w:val="33"/>
  </w:num>
  <w:num w:numId="14">
    <w:abstractNumId w:val="1"/>
  </w:num>
  <w:num w:numId="15">
    <w:abstractNumId w:val="13"/>
  </w:num>
  <w:num w:numId="16">
    <w:abstractNumId w:val="17"/>
  </w:num>
  <w:num w:numId="17">
    <w:abstractNumId w:val="44"/>
  </w:num>
  <w:num w:numId="18">
    <w:abstractNumId w:val="0"/>
  </w:num>
  <w:num w:numId="19">
    <w:abstractNumId w:val="4"/>
  </w:num>
  <w:num w:numId="20">
    <w:abstractNumId w:val="27"/>
  </w:num>
  <w:num w:numId="21">
    <w:abstractNumId w:val="5"/>
  </w:num>
  <w:num w:numId="22">
    <w:abstractNumId w:val="35"/>
  </w:num>
  <w:num w:numId="23">
    <w:abstractNumId w:val="15"/>
  </w:num>
  <w:num w:numId="24">
    <w:abstractNumId w:val="18"/>
  </w:num>
  <w:num w:numId="25">
    <w:abstractNumId w:val="12"/>
  </w:num>
  <w:num w:numId="26">
    <w:abstractNumId w:val="29"/>
  </w:num>
  <w:num w:numId="27">
    <w:abstractNumId w:val="36"/>
  </w:num>
  <w:num w:numId="28">
    <w:abstractNumId w:val="24"/>
  </w:num>
  <w:num w:numId="29">
    <w:abstractNumId w:val="22"/>
  </w:num>
  <w:num w:numId="30">
    <w:abstractNumId w:val="26"/>
  </w:num>
  <w:num w:numId="31">
    <w:abstractNumId w:val="31"/>
  </w:num>
  <w:num w:numId="32">
    <w:abstractNumId w:val="19"/>
  </w:num>
  <w:num w:numId="33">
    <w:abstractNumId w:val="34"/>
  </w:num>
  <w:num w:numId="34">
    <w:abstractNumId w:val="30"/>
  </w:num>
  <w:num w:numId="35">
    <w:abstractNumId w:val="42"/>
  </w:num>
  <w:num w:numId="36">
    <w:abstractNumId w:val="2"/>
  </w:num>
  <w:num w:numId="37">
    <w:abstractNumId w:val="39"/>
  </w:num>
  <w:num w:numId="38">
    <w:abstractNumId w:val="6"/>
  </w:num>
  <w:num w:numId="39">
    <w:abstractNumId w:val="40"/>
  </w:num>
  <w:num w:numId="40">
    <w:abstractNumId w:val="8"/>
  </w:num>
  <w:num w:numId="41">
    <w:abstractNumId w:val="16"/>
  </w:num>
  <w:num w:numId="42">
    <w:abstractNumId w:val="43"/>
  </w:num>
  <w:num w:numId="43">
    <w:abstractNumId w:val="7"/>
  </w:num>
  <w:num w:numId="44">
    <w:abstractNumId w:val="25"/>
  </w:num>
  <w:num w:numId="45">
    <w:abstractNumId w:val="46"/>
  </w:num>
  <w:num w:numId="46">
    <w:abstractNumId w:val="21"/>
  </w:num>
  <w:num w:numId="47">
    <w:abstractNumId w:val="3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7CBE"/>
    <w:rsid w:val="00000B17"/>
    <w:rsid w:val="0000186E"/>
    <w:rsid w:val="00002D08"/>
    <w:rsid w:val="00003155"/>
    <w:rsid w:val="000037AB"/>
    <w:rsid w:val="00007831"/>
    <w:rsid w:val="00007881"/>
    <w:rsid w:val="00010639"/>
    <w:rsid w:val="00011753"/>
    <w:rsid w:val="000140A8"/>
    <w:rsid w:val="0001440C"/>
    <w:rsid w:val="00014802"/>
    <w:rsid w:val="00015E7C"/>
    <w:rsid w:val="00016351"/>
    <w:rsid w:val="0002002A"/>
    <w:rsid w:val="000213F8"/>
    <w:rsid w:val="000254C6"/>
    <w:rsid w:val="00027F19"/>
    <w:rsid w:val="000300DA"/>
    <w:rsid w:val="00030A24"/>
    <w:rsid w:val="000318B8"/>
    <w:rsid w:val="00032CAB"/>
    <w:rsid w:val="00034E7F"/>
    <w:rsid w:val="00041E8B"/>
    <w:rsid w:val="000535E1"/>
    <w:rsid w:val="0005592D"/>
    <w:rsid w:val="000561B5"/>
    <w:rsid w:val="0005671D"/>
    <w:rsid w:val="000571EF"/>
    <w:rsid w:val="00060F26"/>
    <w:rsid w:val="00065965"/>
    <w:rsid w:val="000662E5"/>
    <w:rsid w:val="000669BB"/>
    <w:rsid w:val="00070150"/>
    <w:rsid w:val="00071C4B"/>
    <w:rsid w:val="00075C6E"/>
    <w:rsid w:val="00075F49"/>
    <w:rsid w:val="00076087"/>
    <w:rsid w:val="00077813"/>
    <w:rsid w:val="00077949"/>
    <w:rsid w:val="00080F9A"/>
    <w:rsid w:val="00083B2B"/>
    <w:rsid w:val="00084434"/>
    <w:rsid w:val="00091561"/>
    <w:rsid w:val="00091ED4"/>
    <w:rsid w:val="00092549"/>
    <w:rsid w:val="00092911"/>
    <w:rsid w:val="00093598"/>
    <w:rsid w:val="00094884"/>
    <w:rsid w:val="000A0394"/>
    <w:rsid w:val="000A20A4"/>
    <w:rsid w:val="000A2AE9"/>
    <w:rsid w:val="000A598A"/>
    <w:rsid w:val="000B06D7"/>
    <w:rsid w:val="000C54C4"/>
    <w:rsid w:val="000C7996"/>
    <w:rsid w:val="000D0AAC"/>
    <w:rsid w:val="000D303B"/>
    <w:rsid w:val="000D3C55"/>
    <w:rsid w:val="000D3D6C"/>
    <w:rsid w:val="000D4F2E"/>
    <w:rsid w:val="000D55CD"/>
    <w:rsid w:val="000D6C94"/>
    <w:rsid w:val="000E11F3"/>
    <w:rsid w:val="000E1D11"/>
    <w:rsid w:val="000E3700"/>
    <w:rsid w:val="000E3F8B"/>
    <w:rsid w:val="000F0DE8"/>
    <w:rsid w:val="000F1613"/>
    <w:rsid w:val="000F340C"/>
    <w:rsid w:val="000F47BC"/>
    <w:rsid w:val="000F5259"/>
    <w:rsid w:val="000F605D"/>
    <w:rsid w:val="00100849"/>
    <w:rsid w:val="00100A47"/>
    <w:rsid w:val="0010172A"/>
    <w:rsid w:val="001018A9"/>
    <w:rsid w:val="00101ECF"/>
    <w:rsid w:val="0010758B"/>
    <w:rsid w:val="00111EF3"/>
    <w:rsid w:val="0011306D"/>
    <w:rsid w:val="00120433"/>
    <w:rsid w:val="0012671A"/>
    <w:rsid w:val="00127500"/>
    <w:rsid w:val="0013202C"/>
    <w:rsid w:val="001329D7"/>
    <w:rsid w:val="00137957"/>
    <w:rsid w:val="001414A5"/>
    <w:rsid w:val="0014349A"/>
    <w:rsid w:val="00150714"/>
    <w:rsid w:val="00150755"/>
    <w:rsid w:val="001510B6"/>
    <w:rsid w:val="001533DC"/>
    <w:rsid w:val="0015476C"/>
    <w:rsid w:val="00155F50"/>
    <w:rsid w:val="0015794F"/>
    <w:rsid w:val="00157DE6"/>
    <w:rsid w:val="001610C9"/>
    <w:rsid w:val="001642CF"/>
    <w:rsid w:val="00165EAC"/>
    <w:rsid w:val="001734AC"/>
    <w:rsid w:val="001738A5"/>
    <w:rsid w:val="001744F3"/>
    <w:rsid w:val="00177807"/>
    <w:rsid w:val="0017786C"/>
    <w:rsid w:val="0018508C"/>
    <w:rsid w:val="00185884"/>
    <w:rsid w:val="00192E67"/>
    <w:rsid w:val="00192EE8"/>
    <w:rsid w:val="00192FA4"/>
    <w:rsid w:val="001A089F"/>
    <w:rsid w:val="001A3989"/>
    <w:rsid w:val="001A39FE"/>
    <w:rsid w:val="001A6144"/>
    <w:rsid w:val="001A7907"/>
    <w:rsid w:val="001B0D01"/>
    <w:rsid w:val="001B7333"/>
    <w:rsid w:val="001B77C8"/>
    <w:rsid w:val="001C3C5A"/>
    <w:rsid w:val="001C4699"/>
    <w:rsid w:val="001C6A65"/>
    <w:rsid w:val="001C7A39"/>
    <w:rsid w:val="001E0A28"/>
    <w:rsid w:val="001E2778"/>
    <w:rsid w:val="001E516E"/>
    <w:rsid w:val="001F12B3"/>
    <w:rsid w:val="001F7AE5"/>
    <w:rsid w:val="00200396"/>
    <w:rsid w:val="00205BBC"/>
    <w:rsid w:val="00210EC8"/>
    <w:rsid w:val="00214000"/>
    <w:rsid w:val="00215429"/>
    <w:rsid w:val="002200D3"/>
    <w:rsid w:val="002201C5"/>
    <w:rsid w:val="00220B8B"/>
    <w:rsid w:val="00220F60"/>
    <w:rsid w:val="002271B2"/>
    <w:rsid w:val="00230BCF"/>
    <w:rsid w:val="0023250D"/>
    <w:rsid w:val="002333B0"/>
    <w:rsid w:val="00236AD6"/>
    <w:rsid w:val="00237A8A"/>
    <w:rsid w:val="00237B71"/>
    <w:rsid w:val="00244AA9"/>
    <w:rsid w:val="002460E3"/>
    <w:rsid w:val="00246AC3"/>
    <w:rsid w:val="00250C20"/>
    <w:rsid w:val="00253DDC"/>
    <w:rsid w:val="00253F01"/>
    <w:rsid w:val="00255C6B"/>
    <w:rsid w:val="00255F32"/>
    <w:rsid w:val="0025676C"/>
    <w:rsid w:val="00257946"/>
    <w:rsid w:val="00257EBF"/>
    <w:rsid w:val="00264DF3"/>
    <w:rsid w:val="0026532E"/>
    <w:rsid w:val="00265B37"/>
    <w:rsid w:val="0026607A"/>
    <w:rsid w:val="00267F7B"/>
    <w:rsid w:val="00270552"/>
    <w:rsid w:val="002713E1"/>
    <w:rsid w:val="002719D5"/>
    <w:rsid w:val="0027204D"/>
    <w:rsid w:val="0027232C"/>
    <w:rsid w:val="00273115"/>
    <w:rsid w:val="00273B39"/>
    <w:rsid w:val="00275D14"/>
    <w:rsid w:val="00276606"/>
    <w:rsid w:val="002779FE"/>
    <w:rsid w:val="00281171"/>
    <w:rsid w:val="00282F6F"/>
    <w:rsid w:val="00283D0E"/>
    <w:rsid w:val="00290EC8"/>
    <w:rsid w:val="0029157D"/>
    <w:rsid w:val="00293744"/>
    <w:rsid w:val="00294DC0"/>
    <w:rsid w:val="0029533C"/>
    <w:rsid w:val="00295689"/>
    <w:rsid w:val="002A40DA"/>
    <w:rsid w:val="002A7B0C"/>
    <w:rsid w:val="002B212C"/>
    <w:rsid w:val="002B7E4F"/>
    <w:rsid w:val="002C19EA"/>
    <w:rsid w:val="002C1BD2"/>
    <w:rsid w:val="002C1D9A"/>
    <w:rsid w:val="002C517B"/>
    <w:rsid w:val="002C6477"/>
    <w:rsid w:val="002C7001"/>
    <w:rsid w:val="002D1E22"/>
    <w:rsid w:val="002D4217"/>
    <w:rsid w:val="002D725F"/>
    <w:rsid w:val="002D7E35"/>
    <w:rsid w:val="002E2AA7"/>
    <w:rsid w:val="002E5C94"/>
    <w:rsid w:val="002E65CB"/>
    <w:rsid w:val="002E6DF2"/>
    <w:rsid w:val="002E7B11"/>
    <w:rsid w:val="002F35B6"/>
    <w:rsid w:val="002F430E"/>
    <w:rsid w:val="00300A29"/>
    <w:rsid w:val="0030128A"/>
    <w:rsid w:val="003030DD"/>
    <w:rsid w:val="00304887"/>
    <w:rsid w:val="003074D1"/>
    <w:rsid w:val="003113F9"/>
    <w:rsid w:val="0031337C"/>
    <w:rsid w:val="00314B55"/>
    <w:rsid w:val="00314CDE"/>
    <w:rsid w:val="00314EE2"/>
    <w:rsid w:val="0031515F"/>
    <w:rsid w:val="00320707"/>
    <w:rsid w:val="0032103E"/>
    <w:rsid w:val="0032446B"/>
    <w:rsid w:val="00324F31"/>
    <w:rsid w:val="00327129"/>
    <w:rsid w:val="00330279"/>
    <w:rsid w:val="003314E3"/>
    <w:rsid w:val="00333EDF"/>
    <w:rsid w:val="00336D31"/>
    <w:rsid w:val="00342C63"/>
    <w:rsid w:val="00344F04"/>
    <w:rsid w:val="003454E5"/>
    <w:rsid w:val="00347075"/>
    <w:rsid w:val="00347F0F"/>
    <w:rsid w:val="00351F78"/>
    <w:rsid w:val="0035446F"/>
    <w:rsid w:val="00357D48"/>
    <w:rsid w:val="00361587"/>
    <w:rsid w:val="00362BE5"/>
    <w:rsid w:val="00367A8D"/>
    <w:rsid w:val="00371148"/>
    <w:rsid w:val="00371AD6"/>
    <w:rsid w:val="0037310C"/>
    <w:rsid w:val="00374E51"/>
    <w:rsid w:val="0037523F"/>
    <w:rsid w:val="0037758E"/>
    <w:rsid w:val="00380CB9"/>
    <w:rsid w:val="00381172"/>
    <w:rsid w:val="00382617"/>
    <w:rsid w:val="00382834"/>
    <w:rsid w:val="00383378"/>
    <w:rsid w:val="0038488B"/>
    <w:rsid w:val="00387080"/>
    <w:rsid w:val="0038781D"/>
    <w:rsid w:val="0039120F"/>
    <w:rsid w:val="003940E3"/>
    <w:rsid w:val="003945A7"/>
    <w:rsid w:val="00395F9F"/>
    <w:rsid w:val="003A0990"/>
    <w:rsid w:val="003A16A5"/>
    <w:rsid w:val="003A2394"/>
    <w:rsid w:val="003A6AF7"/>
    <w:rsid w:val="003A6FA4"/>
    <w:rsid w:val="003B312B"/>
    <w:rsid w:val="003B4069"/>
    <w:rsid w:val="003B7371"/>
    <w:rsid w:val="003C04CE"/>
    <w:rsid w:val="003C16D9"/>
    <w:rsid w:val="003C255F"/>
    <w:rsid w:val="003C62F1"/>
    <w:rsid w:val="003D17ED"/>
    <w:rsid w:val="003D7960"/>
    <w:rsid w:val="003E122A"/>
    <w:rsid w:val="003E45A2"/>
    <w:rsid w:val="003F0377"/>
    <w:rsid w:val="003F2FCC"/>
    <w:rsid w:val="003F4900"/>
    <w:rsid w:val="003F5D39"/>
    <w:rsid w:val="003F5F0D"/>
    <w:rsid w:val="003F6FC6"/>
    <w:rsid w:val="00400C4B"/>
    <w:rsid w:val="00400D96"/>
    <w:rsid w:val="004028C1"/>
    <w:rsid w:val="00403557"/>
    <w:rsid w:val="00404704"/>
    <w:rsid w:val="00406C3C"/>
    <w:rsid w:val="004139F8"/>
    <w:rsid w:val="00415A60"/>
    <w:rsid w:val="004162DB"/>
    <w:rsid w:val="00423A8E"/>
    <w:rsid w:val="004244F7"/>
    <w:rsid w:val="00426D58"/>
    <w:rsid w:val="00434E2B"/>
    <w:rsid w:val="0043528B"/>
    <w:rsid w:val="00436B7B"/>
    <w:rsid w:val="00436CB4"/>
    <w:rsid w:val="00436CE7"/>
    <w:rsid w:val="004415F9"/>
    <w:rsid w:val="00441C24"/>
    <w:rsid w:val="00442990"/>
    <w:rsid w:val="00442C28"/>
    <w:rsid w:val="00442DD8"/>
    <w:rsid w:val="00442EDC"/>
    <w:rsid w:val="00443941"/>
    <w:rsid w:val="00443CE4"/>
    <w:rsid w:val="00446147"/>
    <w:rsid w:val="004462CC"/>
    <w:rsid w:val="00446338"/>
    <w:rsid w:val="00451DDC"/>
    <w:rsid w:val="00455EA1"/>
    <w:rsid w:val="00460228"/>
    <w:rsid w:val="00461679"/>
    <w:rsid w:val="00463FCA"/>
    <w:rsid w:val="00466459"/>
    <w:rsid w:val="004669A0"/>
    <w:rsid w:val="00466C64"/>
    <w:rsid w:val="00473A55"/>
    <w:rsid w:val="00474503"/>
    <w:rsid w:val="004757A4"/>
    <w:rsid w:val="00476227"/>
    <w:rsid w:val="00476DF9"/>
    <w:rsid w:val="004810EA"/>
    <w:rsid w:val="00481A85"/>
    <w:rsid w:val="00485EF8"/>
    <w:rsid w:val="004907F2"/>
    <w:rsid w:val="004971A6"/>
    <w:rsid w:val="00497D0F"/>
    <w:rsid w:val="004A02B8"/>
    <w:rsid w:val="004A1C0B"/>
    <w:rsid w:val="004A205D"/>
    <w:rsid w:val="004A2BC6"/>
    <w:rsid w:val="004A31A4"/>
    <w:rsid w:val="004A795A"/>
    <w:rsid w:val="004B16B4"/>
    <w:rsid w:val="004B4803"/>
    <w:rsid w:val="004C14E3"/>
    <w:rsid w:val="004C41C5"/>
    <w:rsid w:val="004C4FF5"/>
    <w:rsid w:val="004D2591"/>
    <w:rsid w:val="004D5857"/>
    <w:rsid w:val="004D7FDB"/>
    <w:rsid w:val="004E53DA"/>
    <w:rsid w:val="004E5834"/>
    <w:rsid w:val="004E79E8"/>
    <w:rsid w:val="004F2E50"/>
    <w:rsid w:val="004F3D7C"/>
    <w:rsid w:val="004F5A8B"/>
    <w:rsid w:val="004F7A9E"/>
    <w:rsid w:val="00501A8D"/>
    <w:rsid w:val="00502292"/>
    <w:rsid w:val="00507B1E"/>
    <w:rsid w:val="00507BD4"/>
    <w:rsid w:val="00510E6D"/>
    <w:rsid w:val="005143F8"/>
    <w:rsid w:val="005156D3"/>
    <w:rsid w:val="0052086E"/>
    <w:rsid w:val="00520920"/>
    <w:rsid w:val="00520976"/>
    <w:rsid w:val="00520FD3"/>
    <w:rsid w:val="00521CB3"/>
    <w:rsid w:val="00525A8E"/>
    <w:rsid w:val="00526260"/>
    <w:rsid w:val="005270C2"/>
    <w:rsid w:val="0053074D"/>
    <w:rsid w:val="00530EFC"/>
    <w:rsid w:val="0053253C"/>
    <w:rsid w:val="005356E7"/>
    <w:rsid w:val="00541A6B"/>
    <w:rsid w:val="00544AE6"/>
    <w:rsid w:val="005454BB"/>
    <w:rsid w:val="00546067"/>
    <w:rsid w:val="00550C08"/>
    <w:rsid w:val="00552006"/>
    <w:rsid w:val="00552470"/>
    <w:rsid w:val="00552FDE"/>
    <w:rsid w:val="005547E5"/>
    <w:rsid w:val="00560F0E"/>
    <w:rsid w:val="00560F6F"/>
    <w:rsid w:val="00562263"/>
    <w:rsid w:val="00563222"/>
    <w:rsid w:val="0056430F"/>
    <w:rsid w:val="00565A94"/>
    <w:rsid w:val="005675C2"/>
    <w:rsid w:val="00572EF3"/>
    <w:rsid w:val="0057552A"/>
    <w:rsid w:val="0057758D"/>
    <w:rsid w:val="00580FD1"/>
    <w:rsid w:val="00584E1E"/>
    <w:rsid w:val="00585B54"/>
    <w:rsid w:val="00591B07"/>
    <w:rsid w:val="00596ED0"/>
    <w:rsid w:val="005A1D5C"/>
    <w:rsid w:val="005A5F35"/>
    <w:rsid w:val="005A7743"/>
    <w:rsid w:val="005B1E6D"/>
    <w:rsid w:val="005B6EC8"/>
    <w:rsid w:val="005C1AEF"/>
    <w:rsid w:val="005C4A32"/>
    <w:rsid w:val="005D3D21"/>
    <w:rsid w:val="005D4FA7"/>
    <w:rsid w:val="005E2297"/>
    <w:rsid w:val="005E68BB"/>
    <w:rsid w:val="005E6BD2"/>
    <w:rsid w:val="005E77C8"/>
    <w:rsid w:val="005F30EB"/>
    <w:rsid w:val="005F51CA"/>
    <w:rsid w:val="006003CD"/>
    <w:rsid w:val="00606E66"/>
    <w:rsid w:val="00607C24"/>
    <w:rsid w:val="006100AD"/>
    <w:rsid w:val="0061018D"/>
    <w:rsid w:val="00610AE1"/>
    <w:rsid w:val="00614DFC"/>
    <w:rsid w:val="006159AE"/>
    <w:rsid w:val="006170DF"/>
    <w:rsid w:val="00621A5A"/>
    <w:rsid w:val="00635025"/>
    <w:rsid w:val="00640837"/>
    <w:rsid w:val="00641FAA"/>
    <w:rsid w:val="00643253"/>
    <w:rsid w:val="00644F27"/>
    <w:rsid w:val="00646406"/>
    <w:rsid w:val="00647871"/>
    <w:rsid w:val="00647C69"/>
    <w:rsid w:val="00647CB3"/>
    <w:rsid w:val="00650ECE"/>
    <w:rsid w:val="00653FD8"/>
    <w:rsid w:val="006558D9"/>
    <w:rsid w:val="00656118"/>
    <w:rsid w:val="0066215D"/>
    <w:rsid w:val="00665CC0"/>
    <w:rsid w:val="00666972"/>
    <w:rsid w:val="00666BD9"/>
    <w:rsid w:val="0067470E"/>
    <w:rsid w:val="0067579F"/>
    <w:rsid w:val="00677923"/>
    <w:rsid w:val="00681C18"/>
    <w:rsid w:val="00682785"/>
    <w:rsid w:val="00687486"/>
    <w:rsid w:val="00692D51"/>
    <w:rsid w:val="0069436E"/>
    <w:rsid w:val="006972F8"/>
    <w:rsid w:val="006A1BCC"/>
    <w:rsid w:val="006A241B"/>
    <w:rsid w:val="006A6E0D"/>
    <w:rsid w:val="006B039E"/>
    <w:rsid w:val="006B3973"/>
    <w:rsid w:val="006B6160"/>
    <w:rsid w:val="006B67A5"/>
    <w:rsid w:val="006B6952"/>
    <w:rsid w:val="006C11A1"/>
    <w:rsid w:val="006C4772"/>
    <w:rsid w:val="006C49E6"/>
    <w:rsid w:val="006C771F"/>
    <w:rsid w:val="006D1E17"/>
    <w:rsid w:val="006D6492"/>
    <w:rsid w:val="006E325F"/>
    <w:rsid w:val="006E4104"/>
    <w:rsid w:val="006F0B64"/>
    <w:rsid w:val="006F3045"/>
    <w:rsid w:val="00701052"/>
    <w:rsid w:val="00705BA5"/>
    <w:rsid w:val="007100FB"/>
    <w:rsid w:val="0071065B"/>
    <w:rsid w:val="007128FD"/>
    <w:rsid w:val="00713B66"/>
    <w:rsid w:val="00716EA1"/>
    <w:rsid w:val="00720456"/>
    <w:rsid w:val="007226F4"/>
    <w:rsid w:val="0072271A"/>
    <w:rsid w:val="00723499"/>
    <w:rsid w:val="00726614"/>
    <w:rsid w:val="00732423"/>
    <w:rsid w:val="00732B4E"/>
    <w:rsid w:val="00735B7F"/>
    <w:rsid w:val="00736C6E"/>
    <w:rsid w:val="007372A4"/>
    <w:rsid w:val="00741188"/>
    <w:rsid w:val="007417AD"/>
    <w:rsid w:val="00745050"/>
    <w:rsid w:val="007451AD"/>
    <w:rsid w:val="0074584F"/>
    <w:rsid w:val="00753EEF"/>
    <w:rsid w:val="0075472C"/>
    <w:rsid w:val="007547DD"/>
    <w:rsid w:val="00754C33"/>
    <w:rsid w:val="00755A13"/>
    <w:rsid w:val="0075695A"/>
    <w:rsid w:val="007600A9"/>
    <w:rsid w:val="00764D82"/>
    <w:rsid w:val="00765240"/>
    <w:rsid w:val="007655E4"/>
    <w:rsid w:val="007670DC"/>
    <w:rsid w:val="0077310E"/>
    <w:rsid w:val="007744D0"/>
    <w:rsid w:val="00777AB1"/>
    <w:rsid w:val="007871D0"/>
    <w:rsid w:val="0079304A"/>
    <w:rsid w:val="00797E52"/>
    <w:rsid w:val="007A3E18"/>
    <w:rsid w:val="007B0A5F"/>
    <w:rsid w:val="007B34B8"/>
    <w:rsid w:val="007C0686"/>
    <w:rsid w:val="007C06EB"/>
    <w:rsid w:val="007C1444"/>
    <w:rsid w:val="007C3D9E"/>
    <w:rsid w:val="007C72C0"/>
    <w:rsid w:val="007D3C3A"/>
    <w:rsid w:val="007D513B"/>
    <w:rsid w:val="007D5F2D"/>
    <w:rsid w:val="007D6EE9"/>
    <w:rsid w:val="007D7ACD"/>
    <w:rsid w:val="007E3D0B"/>
    <w:rsid w:val="007E5F23"/>
    <w:rsid w:val="007E6B11"/>
    <w:rsid w:val="007F58A1"/>
    <w:rsid w:val="00800C69"/>
    <w:rsid w:val="0080214C"/>
    <w:rsid w:val="008031F5"/>
    <w:rsid w:val="008075DA"/>
    <w:rsid w:val="00810224"/>
    <w:rsid w:val="00812194"/>
    <w:rsid w:val="008129C3"/>
    <w:rsid w:val="00813395"/>
    <w:rsid w:val="008154BD"/>
    <w:rsid w:val="00816FE0"/>
    <w:rsid w:val="00827237"/>
    <w:rsid w:val="008272BD"/>
    <w:rsid w:val="00831E3A"/>
    <w:rsid w:val="00832788"/>
    <w:rsid w:val="0083327C"/>
    <w:rsid w:val="00834CB2"/>
    <w:rsid w:val="00836E54"/>
    <w:rsid w:val="00837B45"/>
    <w:rsid w:val="0084533E"/>
    <w:rsid w:val="00845587"/>
    <w:rsid w:val="00845E45"/>
    <w:rsid w:val="008471EA"/>
    <w:rsid w:val="0085134A"/>
    <w:rsid w:val="008577EE"/>
    <w:rsid w:val="00857F6F"/>
    <w:rsid w:val="008612CE"/>
    <w:rsid w:val="00861914"/>
    <w:rsid w:val="00864E75"/>
    <w:rsid w:val="00867A6B"/>
    <w:rsid w:val="0087219B"/>
    <w:rsid w:val="00872DBB"/>
    <w:rsid w:val="0088088D"/>
    <w:rsid w:val="0088359B"/>
    <w:rsid w:val="0089177D"/>
    <w:rsid w:val="008917A8"/>
    <w:rsid w:val="00893F82"/>
    <w:rsid w:val="00893FE7"/>
    <w:rsid w:val="008944EF"/>
    <w:rsid w:val="008952A4"/>
    <w:rsid w:val="008A27B7"/>
    <w:rsid w:val="008A484C"/>
    <w:rsid w:val="008A4CF6"/>
    <w:rsid w:val="008A4E44"/>
    <w:rsid w:val="008A6453"/>
    <w:rsid w:val="008A799C"/>
    <w:rsid w:val="008A7A74"/>
    <w:rsid w:val="008B0E73"/>
    <w:rsid w:val="008B2335"/>
    <w:rsid w:val="008B2F95"/>
    <w:rsid w:val="008B38CC"/>
    <w:rsid w:val="008B4020"/>
    <w:rsid w:val="008B7D85"/>
    <w:rsid w:val="008C09A2"/>
    <w:rsid w:val="008C48AD"/>
    <w:rsid w:val="008D0EF0"/>
    <w:rsid w:val="008D1C33"/>
    <w:rsid w:val="008D6588"/>
    <w:rsid w:val="008E08BA"/>
    <w:rsid w:val="008F0A78"/>
    <w:rsid w:val="008F0DD9"/>
    <w:rsid w:val="008F0F06"/>
    <w:rsid w:val="008F1490"/>
    <w:rsid w:val="008F1DDD"/>
    <w:rsid w:val="008F274F"/>
    <w:rsid w:val="008F518A"/>
    <w:rsid w:val="008F6758"/>
    <w:rsid w:val="00901E6B"/>
    <w:rsid w:val="009034E8"/>
    <w:rsid w:val="00910C19"/>
    <w:rsid w:val="00913EF8"/>
    <w:rsid w:val="00914127"/>
    <w:rsid w:val="009145C6"/>
    <w:rsid w:val="009159C6"/>
    <w:rsid w:val="00916B85"/>
    <w:rsid w:val="00920B42"/>
    <w:rsid w:val="0092113D"/>
    <w:rsid w:val="009253F9"/>
    <w:rsid w:val="009258A0"/>
    <w:rsid w:val="009332BD"/>
    <w:rsid w:val="00934031"/>
    <w:rsid w:val="00940C39"/>
    <w:rsid w:val="009424DE"/>
    <w:rsid w:val="00944EB1"/>
    <w:rsid w:val="0094501E"/>
    <w:rsid w:val="00952048"/>
    <w:rsid w:val="009570AB"/>
    <w:rsid w:val="00957DDA"/>
    <w:rsid w:val="00961806"/>
    <w:rsid w:val="00967EDA"/>
    <w:rsid w:val="00972882"/>
    <w:rsid w:val="00973894"/>
    <w:rsid w:val="009747F6"/>
    <w:rsid w:val="009756F5"/>
    <w:rsid w:val="00976D68"/>
    <w:rsid w:val="0098080F"/>
    <w:rsid w:val="009864F0"/>
    <w:rsid w:val="00986A85"/>
    <w:rsid w:val="00987470"/>
    <w:rsid w:val="0099092D"/>
    <w:rsid w:val="00992F07"/>
    <w:rsid w:val="0099373B"/>
    <w:rsid w:val="00994943"/>
    <w:rsid w:val="00996F5F"/>
    <w:rsid w:val="009A2C34"/>
    <w:rsid w:val="009A33C8"/>
    <w:rsid w:val="009B3E72"/>
    <w:rsid w:val="009B63A5"/>
    <w:rsid w:val="009C09F8"/>
    <w:rsid w:val="009C1AB5"/>
    <w:rsid w:val="009C363B"/>
    <w:rsid w:val="009C487A"/>
    <w:rsid w:val="009C5FD4"/>
    <w:rsid w:val="009C609E"/>
    <w:rsid w:val="009C718F"/>
    <w:rsid w:val="009D21CB"/>
    <w:rsid w:val="009D7B8D"/>
    <w:rsid w:val="009E02A3"/>
    <w:rsid w:val="009E295D"/>
    <w:rsid w:val="009E6400"/>
    <w:rsid w:val="009E780F"/>
    <w:rsid w:val="009F10CD"/>
    <w:rsid w:val="009F53AE"/>
    <w:rsid w:val="009F5978"/>
    <w:rsid w:val="009F6161"/>
    <w:rsid w:val="009F75C1"/>
    <w:rsid w:val="00A01034"/>
    <w:rsid w:val="00A04F18"/>
    <w:rsid w:val="00A06645"/>
    <w:rsid w:val="00A10A62"/>
    <w:rsid w:val="00A11E66"/>
    <w:rsid w:val="00A12A5F"/>
    <w:rsid w:val="00A156E6"/>
    <w:rsid w:val="00A15F55"/>
    <w:rsid w:val="00A16156"/>
    <w:rsid w:val="00A177CC"/>
    <w:rsid w:val="00A17911"/>
    <w:rsid w:val="00A274AA"/>
    <w:rsid w:val="00A30D0A"/>
    <w:rsid w:val="00A33097"/>
    <w:rsid w:val="00A34C05"/>
    <w:rsid w:val="00A369EB"/>
    <w:rsid w:val="00A40F84"/>
    <w:rsid w:val="00A418ED"/>
    <w:rsid w:val="00A41AF9"/>
    <w:rsid w:val="00A42FD1"/>
    <w:rsid w:val="00A431B5"/>
    <w:rsid w:val="00A50FDB"/>
    <w:rsid w:val="00A5652F"/>
    <w:rsid w:val="00A61154"/>
    <w:rsid w:val="00A61D0E"/>
    <w:rsid w:val="00A63B6E"/>
    <w:rsid w:val="00A64032"/>
    <w:rsid w:val="00A64789"/>
    <w:rsid w:val="00A66ED6"/>
    <w:rsid w:val="00A67450"/>
    <w:rsid w:val="00A70559"/>
    <w:rsid w:val="00A71AA3"/>
    <w:rsid w:val="00A721C0"/>
    <w:rsid w:val="00A73EE5"/>
    <w:rsid w:val="00A74F23"/>
    <w:rsid w:val="00A80685"/>
    <w:rsid w:val="00A8234A"/>
    <w:rsid w:val="00A84B8D"/>
    <w:rsid w:val="00A86740"/>
    <w:rsid w:val="00A96BA5"/>
    <w:rsid w:val="00AA26E7"/>
    <w:rsid w:val="00AA295A"/>
    <w:rsid w:val="00AA4898"/>
    <w:rsid w:val="00AA4AD9"/>
    <w:rsid w:val="00AB0C0D"/>
    <w:rsid w:val="00AB3754"/>
    <w:rsid w:val="00AC2B63"/>
    <w:rsid w:val="00AC4D0E"/>
    <w:rsid w:val="00AC7FE6"/>
    <w:rsid w:val="00AD013E"/>
    <w:rsid w:val="00AD3465"/>
    <w:rsid w:val="00AD5EDD"/>
    <w:rsid w:val="00AD6A50"/>
    <w:rsid w:val="00AE2581"/>
    <w:rsid w:val="00AE54A2"/>
    <w:rsid w:val="00AF0144"/>
    <w:rsid w:val="00AF1DA9"/>
    <w:rsid w:val="00AF32FB"/>
    <w:rsid w:val="00AF3AED"/>
    <w:rsid w:val="00AF4EFE"/>
    <w:rsid w:val="00AF7E15"/>
    <w:rsid w:val="00B02822"/>
    <w:rsid w:val="00B065BF"/>
    <w:rsid w:val="00B13982"/>
    <w:rsid w:val="00B13A30"/>
    <w:rsid w:val="00B174A8"/>
    <w:rsid w:val="00B17611"/>
    <w:rsid w:val="00B22EB3"/>
    <w:rsid w:val="00B252D3"/>
    <w:rsid w:val="00B27216"/>
    <w:rsid w:val="00B27324"/>
    <w:rsid w:val="00B27728"/>
    <w:rsid w:val="00B3086D"/>
    <w:rsid w:val="00B349F2"/>
    <w:rsid w:val="00B355D3"/>
    <w:rsid w:val="00B37966"/>
    <w:rsid w:val="00B418C4"/>
    <w:rsid w:val="00B43A22"/>
    <w:rsid w:val="00B43E01"/>
    <w:rsid w:val="00B51532"/>
    <w:rsid w:val="00B5336D"/>
    <w:rsid w:val="00B537DB"/>
    <w:rsid w:val="00B55283"/>
    <w:rsid w:val="00B61E35"/>
    <w:rsid w:val="00B625E5"/>
    <w:rsid w:val="00B724DA"/>
    <w:rsid w:val="00B73AC2"/>
    <w:rsid w:val="00B779B0"/>
    <w:rsid w:val="00B80B9E"/>
    <w:rsid w:val="00B84C26"/>
    <w:rsid w:val="00B85C12"/>
    <w:rsid w:val="00B86393"/>
    <w:rsid w:val="00B87114"/>
    <w:rsid w:val="00B96ACA"/>
    <w:rsid w:val="00BA5B34"/>
    <w:rsid w:val="00BA6032"/>
    <w:rsid w:val="00BA69D7"/>
    <w:rsid w:val="00BB3BC1"/>
    <w:rsid w:val="00BB434B"/>
    <w:rsid w:val="00BB76E6"/>
    <w:rsid w:val="00BC00AE"/>
    <w:rsid w:val="00BC2BA0"/>
    <w:rsid w:val="00BC4803"/>
    <w:rsid w:val="00BD03DF"/>
    <w:rsid w:val="00BD0DC7"/>
    <w:rsid w:val="00BD1CE9"/>
    <w:rsid w:val="00BD5168"/>
    <w:rsid w:val="00BE13AF"/>
    <w:rsid w:val="00BE5D92"/>
    <w:rsid w:val="00BE7169"/>
    <w:rsid w:val="00BF2BA5"/>
    <w:rsid w:val="00BF542C"/>
    <w:rsid w:val="00C02AFA"/>
    <w:rsid w:val="00C07F19"/>
    <w:rsid w:val="00C15966"/>
    <w:rsid w:val="00C16010"/>
    <w:rsid w:val="00C16993"/>
    <w:rsid w:val="00C17F5A"/>
    <w:rsid w:val="00C259B6"/>
    <w:rsid w:val="00C2678F"/>
    <w:rsid w:val="00C30E29"/>
    <w:rsid w:val="00C31163"/>
    <w:rsid w:val="00C31521"/>
    <w:rsid w:val="00C36ABF"/>
    <w:rsid w:val="00C40F96"/>
    <w:rsid w:val="00C45C95"/>
    <w:rsid w:val="00C46D60"/>
    <w:rsid w:val="00C47272"/>
    <w:rsid w:val="00C47A60"/>
    <w:rsid w:val="00C47CBE"/>
    <w:rsid w:val="00C5051D"/>
    <w:rsid w:val="00C65E46"/>
    <w:rsid w:val="00C7305B"/>
    <w:rsid w:val="00C75240"/>
    <w:rsid w:val="00C75E08"/>
    <w:rsid w:val="00C765F6"/>
    <w:rsid w:val="00C7765D"/>
    <w:rsid w:val="00C77E89"/>
    <w:rsid w:val="00C81C19"/>
    <w:rsid w:val="00C83F48"/>
    <w:rsid w:val="00C8497F"/>
    <w:rsid w:val="00C9246A"/>
    <w:rsid w:val="00C938FE"/>
    <w:rsid w:val="00C95102"/>
    <w:rsid w:val="00C963AC"/>
    <w:rsid w:val="00C964B7"/>
    <w:rsid w:val="00C9765F"/>
    <w:rsid w:val="00CA03A1"/>
    <w:rsid w:val="00CA1B6D"/>
    <w:rsid w:val="00CA628B"/>
    <w:rsid w:val="00CA7AB3"/>
    <w:rsid w:val="00CB207F"/>
    <w:rsid w:val="00CB51B3"/>
    <w:rsid w:val="00CB66F1"/>
    <w:rsid w:val="00CC1D96"/>
    <w:rsid w:val="00CC366B"/>
    <w:rsid w:val="00CD2B22"/>
    <w:rsid w:val="00CD2DCC"/>
    <w:rsid w:val="00CD358A"/>
    <w:rsid w:val="00CE0E03"/>
    <w:rsid w:val="00CE54AE"/>
    <w:rsid w:val="00CE5824"/>
    <w:rsid w:val="00CE5C88"/>
    <w:rsid w:val="00CE77F4"/>
    <w:rsid w:val="00CF02EB"/>
    <w:rsid w:val="00CF256B"/>
    <w:rsid w:val="00CF2A5A"/>
    <w:rsid w:val="00CF4575"/>
    <w:rsid w:val="00CF58B4"/>
    <w:rsid w:val="00CF684A"/>
    <w:rsid w:val="00D01C1E"/>
    <w:rsid w:val="00D02850"/>
    <w:rsid w:val="00D10E7B"/>
    <w:rsid w:val="00D13A49"/>
    <w:rsid w:val="00D142B4"/>
    <w:rsid w:val="00D152A9"/>
    <w:rsid w:val="00D207A9"/>
    <w:rsid w:val="00D22CFF"/>
    <w:rsid w:val="00D23D6C"/>
    <w:rsid w:val="00D31FDF"/>
    <w:rsid w:val="00D37DF3"/>
    <w:rsid w:val="00D43FDC"/>
    <w:rsid w:val="00D45526"/>
    <w:rsid w:val="00D45539"/>
    <w:rsid w:val="00D519CF"/>
    <w:rsid w:val="00D51FA9"/>
    <w:rsid w:val="00D52E60"/>
    <w:rsid w:val="00D53B6A"/>
    <w:rsid w:val="00D54995"/>
    <w:rsid w:val="00D55202"/>
    <w:rsid w:val="00D6376F"/>
    <w:rsid w:val="00D645F3"/>
    <w:rsid w:val="00D646A4"/>
    <w:rsid w:val="00D646EC"/>
    <w:rsid w:val="00D6492E"/>
    <w:rsid w:val="00D66E03"/>
    <w:rsid w:val="00D6745F"/>
    <w:rsid w:val="00D67916"/>
    <w:rsid w:val="00D821A3"/>
    <w:rsid w:val="00D82DD8"/>
    <w:rsid w:val="00D83B09"/>
    <w:rsid w:val="00D84F69"/>
    <w:rsid w:val="00D85EBA"/>
    <w:rsid w:val="00D87931"/>
    <w:rsid w:val="00D91527"/>
    <w:rsid w:val="00D92F6C"/>
    <w:rsid w:val="00D97A60"/>
    <w:rsid w:val="00DA51C4"/>
    <w:rsid w:val="00DA55F6"/>
    <w:rsid w:val="00DA6EC4"/>
    <w:rsid w:val="00DA7D3C"/>
    <w:rsid w:val="00DB0FDE"/>
    <w:rsid w:val="00DB2BB6"/>
    <w:rsid w:val="00DB5521"/>
    <w:rsid w:val="00DC4D48"/>
    <w:rsid w:val="00DC783E"/>
    <w:rsid w:val="00DD7A7D"/>
    <w:rsid w:val="00DD7C6B"/>
    <w:rsid w:val="00DE1ECF"/>
    <w:rsid w:val="00DE21A6"/>
    <w:rsid w:val="00DE2AE5"/>
    <w:rsid w:val="00DE4293"/>
    <w:rsid w:val="00DE65BE"/>
    <w:rsid w:val="00DF2021"/>
    <w:rsid w:val="00E032B0"/>
    <w:rsid w:val="00E05FF5"/>
    <w:rsid w:val="00E06669"/>
    <w:rsid w:val="00E100A7"/>
    <w:rsid w:val="00E12C14"/>
    <w:rsid w:val="00E14953"/>
    <w:rsid w:val="00E20615"/>
    <w:rsid w:val="00E22E1C"/>
    <w:rsid w:val="00E23482"/>
    <w:rsid w:val="00E249C6"/>
    <w:rsid w:val="00E30BA1"/>
    <w:rsid w:val="00E32D20"/>
    <w:rsid w:val="00E34A46"/>
    <w:rsid w:val="00E35DC5"/>
    <w:rsid w:val="00E364A2"/>
    <w:rsid w:val="00E36EFB"/>
    <w:rsid w:val="00E40FF2"/>
    <w:rsid w:val="00E47CBE"/>
    <w:rsid w:val="00E522B0"/>
    <w:rsid w:val="00E5375B"/>
    <w:rsid w:val="00E53FCE"/>
    <w:rsid w:val="00E658CA"/>
    <w:rsid w:val="00E75607"/>
    <w:rsid w:val="00E77B3D"/>
    <w:rsid w:val="00E81133"/>
    <w:rsid w:val="00E84951"/>
    <w:rsid w:val="00E86DB5"/>
    <w:rsid w:val="00E870B9"/>
    <w:rsid w:val="00E87E3D"/>
    <w:rsid w:val="00E9109F"/>
    <w:rsid w:val="00E97C0F"/>
    <w:rsid w:val="00E97C44"/>
    <w:rsid w:val="00E97D5B"/>
    <w:rsid w:val="00EA2BB7"/>
    <w:rsid w:val="00EA2E40"/>
    <w:rsid w:val="00EA3FC4"/>
    <w:rsid w:val="00EA568D"/>
    <w:rsid w:val="00EA5E10"/>
    <w:rsid w:val="00EA69CD"/>
    <w:rsid w:val="00EA6FD0"/>
    <w:rsid w:val="00EA7E64"/>
    <w:rsid w:val="00EB2DCD"/>
    <w:rsid w:val="00EB32B4"/>
    <w:rsid w:val="00EB3817"/>
    <w:rsid w:val="00EC103A"/>
    <w:rsid w:val="00EC4665"/>
    <w:rsid w:val="00EC4740"/>
    <w:rsid w:val="00EC57DF"/>
    <w:rsid w:val="00EC6CE4"/>
    <w:rsid w:val="00ED2AA9"/>
    <w:rsid w:val="00ED610E"/>
    <w:rsid w:val="00ED6784"/>
    <w:rsid w:val="00EE3017"/>
    <w:rsid w:val="00EE3E1B"/>
    <w:rsid w:val="00EE42F9"/>
    <w:rsid w:val="00EE6C9B"/>
    <w:rsid w:val="00EE7005"/>
    <w:rsid w:val="00EF7C56"/>
    <w:rsid w:val="00EF7CAD"/>
    <w:rsid w:val="00F02A83"/>
    <w:rsid w:val="00F03DB7"/>
    <w:rsid w:val="00F04CC2"/>
    <w:rsid w:val="00F05453"/>
    <w:rsid w:val="00F11421"/>
    <w:rsid w:val="00F15C05"/>
    <w:rsid w:val="00F206EB"/>
    <w:rsid w:val="00F20E00"/>
    <w:rsid w:val="00F23BFE"/>
    <w:rsid w:val="00F25CE2"/>
    <w:rsid w:val="00F337D5"/>
    <w:rsid w:val="00F35D9B"/>
    <w:rsid w:val="00F404CA"/>
    <w:rsid w:val="00F40825"/>
    <w:rsid w:val="00F432F7"/>
    <w:rsid w:val="00F46F2E"/>
    <w:rsid w:val="00F47C95"/>
    <w:rsid w:val="00F50F8D"/>
    <w:rsid w:val="00F516BE"/>
    <w:rsid w:val="00F524FC"/>
    <w:rsid w:val="00F53BE7"/>
    <w:rsid w:val="00F53FE1"/>
    <w:rsid w:val="00F555C9"/>
    <w:rsid w:val="00F56683"/>
    <w:rsid w:val="00F60A59"/>
    <w:rsid w:val="00F612EE"/>
    <w:rsid w:val="00F64BA3"/>
    <w:rsid w:val="00F65634"/>
    <w:rsid w:val="00F6743B"/>
    <w:rsid w:val="00F72308"/>
    <w:rsid w:val="00F72AF2"/>
    <w:rsid w:val="00F73C0C"/>
    <w:rsid w:val="00F8662F"/>
    <w:rsid w:val="00F86A80"/>
    <w:rsid w:val="00F901CF"/>
    <w:rsid w:val="00F9050E"/>
    <w:rsid w:val="00F924D1"/>
    <w:rsid w:val="00F92957"/>
    <w:rsid w:val="00F97BD2"/>
    <w:rsid w:val="00FA03CD"/>
    <w:rsid w:val="00FA36FB"/>
    <w:rsid w:val="00FA7315"/>
    <w:rsid w:val="00FB29FA"/>
    <w:rsid w:val="00FB4579"/>
    <w:rsid w:val="00FB4F29"/>
    <w:rsid w:val="00FB5423"/>
    <w:rsid w:val="00FB6661"/>
    <w:rsid w:val="00FC23AB"/>
    <w:rsid w:val="00FC4863"/>
    <w:rsid w:val="00FC5C1B"/>
    <w:rsid w:val="00FC7926"/>
    <w:rsid w:val="00FD0680"/>
    <w:rsid w:val="00FD3B8A"/>
    <w:rsid w:val="00FD5F41"/>
    <w:rsid w:val="00FE2740"/>
    <w:rsid w:val="00FE331E"/>
    <w:rsid w:val="00FF2E7A"/>
    <w:rsid w:val="00FF32CD"/>
    <w:rsid w:val="00FF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E0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938F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0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3CD"/>
  </w:style>
  <w:style w:type="paragraph" w:styleId="Footer">
    <w:name w:val="footer"/>
    <w:basedOn w:val="Normal"/>
    <w:link w:val="FooterChar"/>
    <w:uiPriority w:val="99"/>
    <w:unhideWhenUsed/>
    <w:rsid w:val="0060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3CD"/>
  </w:style>
  <w:style w:type="paragraph" w:customStyle="1" w:styleId="Pa0">
    <w:name w:val="Pa0"/>
    <w:basedOn w:val="Default"/>
    <w:next w:val="Default"/>
    <w:uiPriority w:val="99"/>
    <w:rsid w:val="00DA7D3C"/>
    <w:pPr>
      <w:spacing w:line="241" w:lineRule="atLeast"/>
    </w:pPr>
    <w:rPr>
      <w:rFonts w:ascii="AvantGarde Bk BT" w:hAnsi="AvantGarde Bk BT" w:cstheme="minorBidi"/>
      <w:color w:val="auto"/>
    </w:rPr>
  </w:style>
  <w:style w:type="character" w:customStyle="1" w:styleId="A5">
    <w:name w:val="A5"/>
    <w:uiPriority w:val="99"/>
    <w:rsid w:val="00DA7D3C"/>
    <w:rPr>
      <w:rFonts w:cs="AvantGarde Bk BT"/>
      <w:color w:val="000000"/>
      <w:sz w:val="18"/>
      <w:szCs w:val="18"/>
    </w:rPr>
  </w:style>
  <w:style w:type="paragraph" w:styleId="ListParagraph">
    <w:name w:val="List Paragraph"/>
    <w:aliases w:val="List Paragraph 1,Bullets,Table of contents numbered,footer text"/>
    <w:basedOn w:val="Normal"/>
    <w:link w:val="ListParagraphChar"/>
    <w:uiPriority w:val="34"/>
    <w:qFormat/>
    <w:rsid w:val="00986A85"/>
    <w:pPr>
      <w:ind w:left="720"/>
      <w:contextualSpacing/>
    </w:pPr>
  </w:style>
  <w:style w:type="character" w:customStyle="1" w:styleId="ListParagraphChar">
    <w:name w:val="List Paragraph Char"/>
    <w:aliases w:val="List Paragraph 1 Char,Bullets Char,Table of contents numbered Char,footer text Char"/>
    <w:link w:val="ListParagraph"/>
    <w:uiPriority w:val="34"/>
    <w:locked/>
    <w:rsid w:val="00986A85"/>
  </w:style>
  <w:style w:type="paragraph" w:styleId="BalloonText">
    <w:name w:val="Balloon Text"/>
    <w:basedOn w:val="Normal"/>
    <w:link w:val="BalloonTextChar"/>
    <w:uiPriority w:val="99"/>
    <w:semiHidden/>
    <w:unhideWhenUsed/>
    <w:rsid w:val="00FD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41"/>
    <w:rPr>
      <w:rFonts w:ascii="Segoe UI" w:hAnsi="Segoe UI" w:cs="Segoe UI"/>
      <w:sz w:val="18"/>
      <w:szCs w:val="18"/>
    </w:rPr>
  </w:style>
  <w:style w:type="character" w:styleId="CommentReference">
    <w:name w:val="annotation reference"/>
    <w:basedOn w:val="DefaultParagraphFont"/>
    <w:uiPriority w:val="99"/>
    <w:semiHidden/>
    <w:unhideWhenUsed/>
    <w:rsid w:val="00940C39"/>
    <w:rPr>
      <w:sz w:val="16"/>
      <w:szCs w:val="16"/>
    </w:rPr>
  </w:style>
  <w:style w:type="paragraph" w:styleId="CommentText">
    <w:name w:val="annotation text"/>
    <w:basedOn w:val="Normal"/>
    <w:link w:val="CommentTextChar"/>
    <w:uiPriority w:val="99"/>
    <w:semiHidden/>
    <w:unhideWhenUsed/>
    <w:rsid w:val="00940C39"/>
    <w:pPr>
      <w:spacing w:line="240" w:lineRule="auto"/>
    </w:pPr>
    <w:rPr>
      <w:sz w:val="20"/>
      <w:szCs w:val="20"/>
    </w:rPr>
  </w:style>
  <w:style w:type="character" w:customStyle="1" w:styleId="CommentTextChar">
    <w:name w:val="Comment Text Char"/>
    <w:basedOn w:val="DefaultParagraphFont"/>
    <w:link w:val="CommentText"/>
    <w:uiPriority w:val="99"/>
    <w:semiHidden/>
    <w:rsid w:val="00940C39"/>
    <w:rPr>
      <w:sz w:val="20"/>
      <w:szCs w:val="20"/>
    </w:rPr>
  </w:style>
  <w:style w:type="paragraph" w:styleId="CommentSubject">
    <w:name w:val="annotation subject"/>
    <w:basedOn w:val="CommentText"/>
    <w:next w:val="CommentText"/>
    <w:link w:val="CommentSubjectChar"/>
    <w:uiPriority w:val="99"/>
    <w:semiHidden/>
    <w:unhideWhenUsed/>
    <w:rsid w:val="00940C39"/>
    <w:rPr>
      <w:b/>
      <w:bCs/>
    </w:rPr>
  </w:style>
  <w:style w:type="character" w:customStyle="1" w:styleId="CommentSubjectChar">
    <w:name w:val="Comment Subject Char"/>
    <w:basedOn w:val="CommentTextChar"/>
    <w:link w:val="CommentSubject"/>
    <w:uiPriority w:val="99"/>
    <w:semiHidden/>
    <w:rsid w:val="00940C39"/>
    <w:rPr>
      <w:b/>
      <w:bCs/>
      <w:sz w:val="20"/>
      <w:szCs w:val="20"/>
    </w:rPr>
  </w:style>
  <w:style w:type="paragraph" w:customStyle="1" w:styleId="ReseachMainHeading">
    <w:name w:val="Reseach Main Heading"/>
    <w:basedOn w:val="Normal"/>
    <w:link w:val="ReseachMainHeadingChar"/>
    <w:rsid w:val="00000B17"/>
    <w:pPr>
      <w:spacing w:after="0" w:line="280" w:lineRule="exact"/>
      <w:jc w:val="both"/>
    </w:pPr>
    <w:rPr>
      <w:rFonts w:ascii="Arial" w:eastAsia="Calibri" w:hAnsi="Arial" w:cs="Times New Roman"/>
      <w:b/>
      <w:caps/>
      <w:color w:val="538135"/>
    </w:rPr>
  </w:style>
  <w:style w:type="character" w:customStyle="1" w:styleId="ReseachMainHeadingChar">
    <w:name w:val="Reseach Main Heading Char"/>
    <w:link w:val="ReseachMainHeading"/>
    <w:rsid w:val="00000B17"/>
    <w:rPr>
      <w:rFonts w:ascii="Arial" w:eastAsia="Calibri" w:hAnsi="Arial" w:cs="Times New Roman"/>
      <w:b/>
      <w:caps/>
      <w:color w:val="538135"/>
    </w:rPr>
  </w:style>
  <w:style w:type="paragraph" w:styleId="BodyText">
    <w:name w:val="Body Text"/>
    <w:basedOn w:val="Normal"/>
    <w:link w:val="BodyTextChar"/>
    <w:uiPriority w:val="1"/>
    <w:qFormat/>
    <w:rsid w:val="00000B17"/>
    <w:pPr>
      <w:widowControl w:val="0"/>
      <w:autoSpaceDE w:val="0"/>
      <w:autoSpaceDN w:val="0"/>
      <w:spacing w:after="0" w:line="240" w:lineRule="auto"/>
    </w:pPr>
    <w:rPr>
      <w:rFonts w:ascii="Carlito" w:eastAsia="Carlito" w:hAnsi="Carlito" w:cs="Carlito"/>
      <w:sz w:val="20"/>
      <w:szCs w:val="20"/>
    </w:rPr>
  </w:style>
  <w:style w:type="character" w:customStyle="1" w:styleId="BodyTextChar">
    <w:name w:val="Body Text Char"/>
    <w:basedOn w:val="DefaultParagraphFont"/>
    <w:link w:val="BodyText"/>
    <w:uiPriority w:val="1"/>
    <w:rsid w:val="00000B17"/>
    <w:rPr>
      <w:rFonts w:ascii="Carlito" w:eastAsia="Carlito" w:hAnsi="Carlito" w:cs="Carlito"/>
      <w:sz w:val="20"/>
      <w:szCs w:val="20"/>
    </w:rPr>
  </w:style>
</w:styles>
</file>

<file path=word/webSettings.xml><?xml version="1.0" encoding="utf-8"?>
<w:webSettings xmlns:r="http://schemas.openxmlformats.org/officeDocument/2006/relationships" xmlns:w="http://schemas.openxmlformats.org/wordprocessingml/2006/main">
  <w:divs>
    <w:div w:id="65499701">
      <w:bodyDiv w:val="1"/>
      <w:marLeft w:val="0"/>
      <w:marRight w:val="0"/>
      <w:marTop w:val="0"/>
      <w:marBottom w:val="0"/>
      <w:divBdr>
        <w:top w:val="none" w:sz="0" w:space="0" w:color="auto"/>
        <w:left w:val="none" w:sz="0" w:space="0" w:color="auto"/>
        <w:bottom w:val="none" w:sz="0" w:space="0" w:color="auto"/>
        <w:right w:val="none" w:sz="0" w:space="0" w:color="auto"/>
      </w:divBdr>
      <w:divsChild>
        <w:div w:id="863641509">
          <w:marLeft w:val="360"/>
          <w:marRight w:val="0"/>
          <w:marTop w:val="0"/>
          <w:marBottom w:val="0"/>
          <w:divBdr>
            <w:top w:val="none" w:sz="0" w:space="0" w:color="auto"/>
            <w:left w:val="none" w:sz="0" w:space="0" w:color="auto"/>
            <w:bottom w:val="none" w:sz="0" w:space="0" w:color="auto"/>
            <w:right w:val="none" w:sz="0" w:space="0" w:color="auto"/>
          </w:divBdr>
        </w:div>
      </w:divsChild>
    </w:div>
    <w:div w:id="71051667">
      <w:bodyDiv w:val="1"/>
      <w:marLeft w:val="0"/>
      <w:marRight w:val="0"/>
      <w:marTop w:val="0"/>
      <w:marBottom w:val="0"/>
      <w:divBdr>
        <w:top w:val="none" w:sz="0" w:space="0" w:color="auto"/>
        <w:left w:val="none" w:sz="0" w:space="0" w:color="auto"/>
        <w:bottom w:val="none" w:sz="0" w:space="0" w:color="auto"/>
        <w:right w:val="none" w:sz="0" w:space="0" w:color="auto"/>
      </w:divBdr>
    </w:div>
    <w:div w:id="283462218">
      <w:bodyDiv w:val="1"/>
      <w:marLeft w:val="0"/>
      <w:marRight w:val="0"/>
      <w:marTop w:val="0"/>
      <w:marBottom w:val="0"/>
      <w:divBdr>
        <w:top w:val="none" w:sz="0" w:space="0" w:color="auto"/>
        <w:left w:val="none" w:sz="0" w:space="0" w:color="auto"/>
        <w:bottom w:val="none" w:sz="0" w:space="0" w:color="auto"/>
        <w:right w:val="none" w:sz="0" w:space="0" w:color="auto"/>
      </w:divBdr>
    </w:div>
    <w:div w:id="407311109">
      <w:bodyDiv w:val="1"/>
      <w:marLeft w:val="0"/>
      <w:marRight w:val="0"/>
      <w:marTop w:val="0"/>
      <w:marBottom w:val="0"/>
      <w:divBdr>
        <w:top w:val="none" w:sz="0" w:space="0" w:color="auto"/>
        <w:left w:val="none" w:sz="0" w:space="0" w:color="auto"/>
        <w:bottom w:val="none" w:sz="0" w:space="0" w:color="auto"/>
        <w:right w:val="none" w:sz="0" w:space="0" w:color="auto"/>
      </w:divBdr>
    </w:div>
    <w:div w:id="514927356">
      <w:bodyDiv w:val="1"/>
      <w:marLeft w:val="0"/>
      <w:marRight w:val="0"/>
      <w:marTop w:val="0"/>
      <w:marBottom w:val="0"/>
      <w:divBdr>
        <w:top w:val="none" w:sz="0" w:space="0" w:color="auto"/>
        <w:left w:val="none" w:sz="0" w:space="0" w:color="auto"/>
        <w:bottom w:val="none" w:sz="0" w:space="0" w:color="auto"/>
        <w:right w:val="none" w:sz="0" w:space="0" w:color="auto"/>
      </w:divBdr>
    </w:div>
    <w:div w:id="635061379">
      <w:bodyDiv w:val="1"/>
      <w:marLeft w:val="0"/>
      <w:marRight w:val="0"/>
      <w:marTop w:val="0"/>
      <w:marBottom w:val="0"/>
      <w:divBdr>
        <w:top w:val="none" w:sz="0" w:space="0" w:color="auto"/>
        <w:left w:val="none" w:sz="0" w:space="0" w:color="auto"/>
        <w:bottom w:val="none" w:sz="0" w:space="0" w:color="auto"/>
        <w:right w:val="none" w:sz="0" w:space="0" w:color="auto"/>
      </w:divBdr>
    </w:div>
    <w:div w:id="744307095">
      <w:bodyDiv w:val="1"/>
      <w:marLeft w:val="0"/>
      <w:marRight w:val="0"/>
      <w:marTop w:val="0"/>
      <w:marBottom w:val="0"/>
      <w:divBdr>
        <w:top w:val="none" w:sz="0" w:space="0" w:color="auto"/>
        <w:left w:val="none" w:sz="0" w:space="0" w:color="auto"/>
        <w:bottom w:val="none" w:sz="0" w:space="0" w:color="auto"/>
        <w:right w:val="none" w:sz="0" w:space="0" w:color="auto"/>
      </w:divBdr>
      <w:divsChild>
        <w:div w:id="475996757">
          <w:marLeft w:val="360"/>
          <w:marRight w:val="0"/>
          <w:marTop w:val="0"/>
          <w:marBottom w:val="0"/>
          <w:divBdr>
            <w:top w:val="none" w:sz="0" w:space="0" w:color="auto"/>
            <w:left w:val="none" w:sz="0" w:space="0" w:color="auto"/>
            <w:bottom w:val="none" w:sz="0" w:space="0" w:color="auto"/>
            <w:right w:val="none" w:sz="0" w:space="0" w:color="auto"/>
          </w:divBdr>
        </w:div>
      </w:divsChild>
    </w:div>
    <w:div w:id="810169827">
      <w:bodyDiv w:val="1"/>
      <w:marLeft w:val="0"/>
      <w:marRight w:val="0"/>
      <w:marTop w:val="0"/>
      <w:marBottom w:val="0"/>
      <w:divBdr>
        <w:top w:val="none" w:sz="0" w:space="0" w:color="auto"/>
        <w:left w:val="none" w:sz="0" w:space="0" w:color="auto"/>
        <w:bottom w:val="none" w:sz="0" w:space="0" w:color="auto"/>
        <w:right w:val="none" w:sz="0" w:space="0" w:color="auto"/>
      </w:divBdr>
      <w:divsChild>
        <w:div w:id="1467164349">
          <w:marLeft w:val="547"/>
          <w:marRight w:val="0"/>
          <w:marTop w:val="0"/>
          <w:marBottom w:val="0"/>
          <w:divBdr>
            <w:top w:val="none" w:sz="0" w:space="0" w:color="auto"/>
            <w:left w:val="none" w:sz="0" w:space="0" w:color="auto"/>
            <w:bottom w:val="none" w:sz="0" w:space="0" w:color="auto"/>
            <w:right w:val="none" w:sz="0" w:space="0" w:color="auto"/>
          </w:divBdr>
        </w:div>
      </w:divsChild>
    </w:div>
    <w:div w:id="1129936416">
      <w:bodyDiv w:val="1"/>
      <w:marLeft w:val="0"/>
      <w:marRight w:val="0"/>
      <w:marTop w:val="0"/>
      <w:marBottom w:val="0"/>
      <w:divBdr>
        <w:top w:val="none" w:sz="0" w:space="0" w:color="auto"/>
        <w:left w:val="none" w:sz="0" w:space="0" w:color="auto"/>
        <w:bottom w:val="none" w:sz="0" w:space="0" w:color="auto"/>
        <w:right w:val="none" w:sz="0" w:space="0" w:color="auto"/>
      </w:divBdr>
      <w:divsChild>
        <w:div w:id="1371220853">
          <w:marLeft w:val="446"/>
          <w:marRight w:val="0"/>
          <w:marTop w:val="0"/>
          <w:marBottom w:val="120"/>
          <w:divBdr>
            <w:top w:val="none" w:sz="0" w:space="0" w:color="auto"/>
            <w:left w:val="none" w:sz="0" w:space="0" w:color="auto"/>
            <w:bottom w:val="none" w:sz="0" w:space="0" w:color="auto"/>
            <w:right w:val="none" w:sz="0" w:space="0" w:color="auto"/>
          </w:divBdr>
        </w:div>
      </w:divsChild>
    </w:div>
    <w:div w:id="1157914416">
      <w:bodyDiv w:val="1"/>
      <w:marLeft w:val="0"/>
      <w:marRight w:val="0"/>
      <w:marTop w:val="0"/>
      <w:marBottom w:val="0"/>
      <w:divBdr>
        <w:top w:val="none" w:sz="0" w:space="0" w:color="auto"/>
        <w:left w:val="none" w:sz="0" w:space="0" w:color="auto"/>
        <w:bottom w:val="none" w:sz="0" w:space="0" w:color="auto"/>
        <w:right w:val="none" w:sz="0" w:space="0" w:color="auto"/>
      </w:divBdr>
    </w:div>
    <w:div w:id="1203638624">
      <w:bodyDiv w:val="1"/>
      <w:marLeft w:val="0"/>
      <w:marRight w:val="0"/>
      <w:marTop w:val="0"/>
      <w:marBottom w:val="0"/>
      <w:divBdr>
        <w:top w:val="none" w:sz="0" w:space="0" w:color="auto"/>
        <w:left w:val="none" w:sz="0" w:space="0" w:color="auto"/>
        <w:bottom w:val="none" w:sz="0" w:space="0" w:color="auto"/>
        <w:right w:val="none" w:sz="0" w:space="0" w:color="auto"/>
      </w:divBdr>
    </w:div>
    <w:div w:id="1343044328">
      <w:bodyDiv w:val="1"/>
      <w:marLeft w:val="0"/>
      <w:marRight w:val="0"/>
      <w:marTop w:val="0"/>
      <w:marBottom w:val="0"/>
      <w:divBdr>
        <w:top w:val="none" w:sz="0" w:space="0" w:color="auto"/>
        <w:left w:val="none" w:sz="0" w:space="0" w:color="auto"/>
        <w:bottom w:val="none" w:sz="0" w:space="0" w:color="auto"/>
        <w:right w:val="none" w:sz="0" w:space="0" w:color="auto"/>
      </w:divBdr>
    </w:div>
    <w:div w:id="1448505687">
      <w:bodyDiv w:val="1"/>
      <w:marLeft w:val="0"/>
      <w:marRight w:val="0"/>
      <w:marTop w:val="0"/>
      <w:marBottom w:val="0"/>
      <w:divBdr>
        <w:top w:val="none" w:sz="0" w:space="0" w:color="auto"/>
        <w:left w:val="none" w:sz="0" w:space="0" w:color="auto"/>
        <w:bottom w:val="none" w:sz="0" w:space="0" w:color="auto"/>
        <w:right w:val="none" w:sz="0" w:space="0" w:color="auto"/>
      </w:divBdr>
      <w:divsChild>
        <w:div w:id="377437184">
          <w:marLeft w:val="360"/>
          <w:marRight w:val="0"/>
          <w:marTop w:val="0"/>
          <w:marBottom w:val="0"/>
          <w:divBdr>
            <w:top w:val="none" w:sz="0" w:space="0" w:color="auto"/>
            <w:left w:val="none" w:sz="0" w:space="0" w:color="auto"/>
            <w:bottom w:val="none" w:sz="0" w:space="0" w:color="auto"/>
            <w:right w:val="none" w:sz="0" w:space="0" w:color="auto"/>
          </w:divBdr>
        </w:div>
      </w:divsChild>
    </w:div>
    <w:div w:id="1523935070">
      <w:bodyDiv w:val="1"/>
      <w:marLeft w:val="0"/>
      <w:marRight w:val="0"/>
      <w:marTop w:val="0"/>
      <w:marBottom w:val="0"/>
      <w:divBdr>
        <w:top w:val="none" w:sz="0" w:space="0" w:color="auto"/>
        <w:left w:val="none" w:sz="0" w:space="0" w:color="auto"/>
        <w:bottom w:val="none" w:sz="0" w:space="0" w:color="auto"/>
        <w:right w:val="none" w:sz="0" w:space="0" w:color="auto"/>
      </w:divBdr>
      <w:divsChild>
        <w:div w:id="1928806407">
          <w:marLeft w:val="547"/>
          <w:marRight w:val="0"/>
          <w:marTop w:val="0"/>
          <w:marBottom w:val="0"/>
          <w:divBdr>
            <w:top w:val="none" w:sz="0" w:space="0" w:color="auto"/>
            <w:left w:val="none" w:sz="0" w:space="0" w:color="auto"/>
            <w:bottom w:val="none" w:sz="0" w:space="0" w:color="auto"/>
            <w:right w:val="none" w:sz="0" w:space="0" w:color="auto"/>
          </w:divBdr>
        </w:div>
        <w:div w:id="1164853271">
          <w:marLeft w:val="547"/>
          <w:marRight w:val="0"/>
          <w:marTop w:val="0"/>
          <w:marBottom w:val="0"/>
          <w:divBdr>
            <w:top w:val="none" w:sz="0" w:space="0" w:color="auto"/>
            <w:left w:val="none" w:sz="0" w:space="0" w:color="auto"/>
            <w:bottom w:val="none" w:sz="0" w:space="0" w:color="auto"/>
            <w:right w:val="none" w:sz="0" w:space="0" w:color="auto"/>
          </w:divBdr>
        </w:div>
      </w:divsChild>
    </w:div>
    <w:div w:id="1622569026">
      <w:bodyDiv w:val="1"/>
      <w:marLeft w:val="0"/>
      <w:marRight w:val="0"/>
      <w:marTop w:val="0"/>
      <w:marBottom w:val="0"/>
      <w:divBdr>
        <w:top w:val="none" w:sz="0" w:space="0" w:color="auto"/>
        <w:left w:val="none" w:sz="0" w:space="0" w:color="auto"/>
        <w:bottom w:val="none" w:sz="0" w:space="0" w:color="auto"/>
        <w:right w:val="none" w:sz="0" w:space="0" w:color="auto"/>
      </w:divBdr>
    </w:div>
    <w:div w:id="1649479868">
      <w:bodyDiv w:val="1"/>
      <w:marLeft w:val="0"/>
      <w:marRight w:val="0"/>
      <w:marTop w:val="0"/>
      <w:marBottom w:val="0"/>
      <w:divBdr>
        <w:top w:val="none" w:sz="0" w:space="0" w:color="auto"/>
        <w:left w:val="none" w:sz="0" w:space="0" w:color="auto"/>
        <w:bottom w:val="none" w:sz="0" w:space="0" w:color="auto"/>
        <w:right w:val="none" w:sz="0" w:space="0" w:color="auto"/>
      </w:divBdr>
    </w:div>
    <w:div w:id="1959220475">
      <w:bodyDiv w:val="1"/>
      <w:marLeft w:val="0"/>
      <w:marRight w:val="0"/>
      <w:marTop w:val="0"/>
      <w:marBottom w:val="0"/>
      <w:divBdr>
        <w:top w:val="none" w:sz="0" w:space="0" w:color="auto"/>
        <w:left w:val="none" w:sz="0" w:space="0" w:color="auto"/>
        <w:bottom w:val="none" w:sz="0" w:space="0" w:color="auto"/>
        <w:right w:val="none" w:sz="0" w:space="0" w:color="auto"/>
      </w:divBdr>
    </w:div>
    <w:div w:id="1972124344">
      <w:bodyDiv w:val="1"/>
      <w:marLeft w:val="0"/>
      <w:marRight w:val="0"/>
      <w:marTop w:val="0"/>
      <w:marBottom w:val="0"/>
      <w:divBdr>
        <w:top w:val="none" w:sz="0" w:space="0" w:color="auto"/>
        <w:left w:val="none" w:sz="0" w:space="0" w:color="auto"/>
        <w:bottom w:val="none" w:sz="0" w:space="0" w:color="auto"/>
        <w:right w:val="none" w:sz="0" w:space="0" w:color="auto"/>
      </w:divBdr>
    </w:div>
    <w:div w:id="2081559133">
      <w:bodyDiv w:val="1"/>
      <w:marLeft w:val="0"/>
      <w:marRight w:val="0"/>
      <w:marTop w:val="0"/>
      <w:marBottom w:val="0"/>
      <w:divBdr>
        <w:top w:val="none" w:sz="0" w:space="0" w:color="auto"/>
        <w:left w:val="none" w:sz="0" w:space="0" w:color="auto"/>
        <w:bottom w:val="none" w:sz="0" w:space="0" w:color="auto"/>
        <w:right w:val="none" w:sz="0" w:space="0" w:color="auto"/>
      </w:divBdr>
      <w:divsChild>
        <w:div w:id="125320191">
          <w:marLeft w:val="446"/>
          <w:marRight w:val="0"/>
          <w:marTop w:val="0"/>
          <w:marBottom w:val="120"/>
          <w:divBdr>
            <w:top w:val="none" w:sz="0" w:space="0" w:color="auto"/>
            <w:left w:val="none" w:sz="0" w:space="0" w:color="auto"/>
            <w:bottom w:val="none" w:sz="0" w:space="0" w:color="auto"/>
            <w:right w:val="none" w:sz="0" w:space="0" w:color="auto"/>
          </w:divBdr>
        </w:div>
        <w:div w:id="1399089969">
          <w:marLeft w:val="446"/>
          <w:marRight w:val="0"/>
          <w:marTop w:val="0"/>
          <w:marBottom w:val="120"/>
          <w:divBdr>
            <w:top w:val="none" w:sz="0" w:space="0" w:color="auto"/>
            <w:left w:val="none" w:sz="0" w:space="0" w:color="auto"/>
            <w:bottom w:val="none" w:sz="0" w:space="0" w:color="auto"/>
            <w:right w:val="none" w:sz="0" w:space="0" w:color="auto"/>
          </w:divBdr>
        </w:div>
        <w:div w:id="1020401524">
          <w:marLeft w:val="1166"/>
          <w:marRight w:val="0"/>
          <w:marTop w:val="0"/>
          <w:marBottom w:val="0"/>
          <w:divBdr>
            <w:top w:val="none" w:sz="0" w:space="0" w:color="auto"/>
            <w:left w:val="none" w:sz="0" w:space="0" w:color="auto"/>
            <w:bottom w:val="none" w:sz="0" w:space="0" w:color="auto"/>
            <w:right w:val="none" w:sz="0" w:space="0" w:color="auto"/>
          </w:divBdr>
        </w:div>
        <w:div w:id="1901790432">
          <w:marLeft w:val="1166"/>
          <w:marRight w:val="0"/>
          <w:marTop w:val="0"/>
          <w:marBottom w:val="0"/>
          <w:divBdr>
            <w:top w:val="none" w:sz="0" w:space="0" w:color="auto"/>
            <w:left w:val="none" w:sz="0" w:space="0" w:color="auto"/>
            <w:bottom w:val="none" w:sz="0" w:space="0" w:color="auto"/>
            <w:right w:val="none" w:sz="0" w:space="0" w:color="auto"/>
          </w:divBdr>
        </w:div>
      </w:divsChild>
    </w:div>
    <w:div w:id="2099060641">
      <w:bodyDiv w:val="1"/>
      <w:marLeft w:val="0"/>
      <w:marRight w:val="0"/>
      <w:marTop w:val="0"/>
      <w:marBottom w:val="0"/>
      <w:divBdr>
        <w:top w:val="none" w:sz="0" w:space="0" w:color="auto"/>
        <w:left w:val="none" w:sz="0" w:space="0" w:color="auto"/>
        <w:bottom w:val="none" w:sz="0" w:space="0" w:color="auto"/>
        <w:right w:val="none" w:sz="0" w:space="0" w:color="auto"/>
      </w:divBdr>
      <w:divsChild>
        <w:div w:id="71620120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2252-59C7-4AD8-B944-3190BCC9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User</cp:lastModifiedBy>
  <cp:revision>2</cp:revision>
  <dcterms:created xsi:type="dcterms:W3CDTF">2023-04-13T21:26:00Z</dcterms:created>
  <dcterms:modified xsi:type="dcterms:W3CDTF">2023-04-13T21:26:00Z</dcterms:modified>
</cp:coreProperties>
</file>