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7B" w:rsidRPr="00F2484F" w:rsidRDefault="00F2484F" w:rsidP="00F2484F">
      <w:pPr>
        <w:ind w:right="54"/>
        <w:rPr>
          <w:rFonts w:ascii="Arial" w:hAnsi="Arial" w:cs="Arial"/>
          <w:b/>
          <w:sz w:val="20"/>
          <w:szCs w:val="20"/>
        </w:rPr>
      </w:pPr>
      <w:r w:rsidRPr="00F2484F">
        <w:rPr>
          <w:rFonts w:ascii="Arial" w:hAnsi="Arial" w:cs="Arial"/>
          <w:b/>
          <w:sz w:val="20"/>
          <w:szCs w:val="20"/>
        </w:rPr>
        <w:t>Midterm Strategic Review of the South African National Defence Force, in Terms of Joint Rule 120 D, by the Joint Standing Committee on Defence, Dated 23 March 2023.</w:t>
      </w:r>
    </w:p>
    <w:p w:rsidR="00B95A7B" w:rsidRPr="00F2484F" w:rsidRDefault="00B95A7B" w:rsidP="00F2484F">
      <w:pPr>
        <w:ind w:right="54"/>
        <w:rPr>
          <w:rFonts w:ascii="Arial" w:hAnsi="Arial" w:cs="Arial"/>
          <w:b/>
          <w:sz w:val="20"/>
          <w:szCs w:val="20"/>
        </w:rPr>
      </w:pPr>
    </w:p>
    <w:p w:rsidR="00B95A7B" w:rsidRPr="00F2484F" w:rsidRDefault="00B95A7B" w:rsidP="00F2484F">
      <w:pPr>
        <w:ind w:right="54"/>
        <w:rPr>
          <w:rFonts w:ascii="Arial" w:hAnsi="Arial" w:cs="Arial"/>
          <w:b/>
          <w:sz w:val="20"/>
          <w:szCs w:val="20"/>
        </w:rPr>
      </w:pPr>
      <w:r w:rsidRPr="00F2484F">
        <w:rPr>
          <w:rFonts w:ascii="Arial" w:hAnsi="Arial" w:cs="Arial"/>
          <w:b/>
          <w:sz w:val="20"/>
          <w:szCs w:val="20"/>
        </w:rPr>
        <w:t>1.</w:t>
      </w:r>
      <w:r w:rsidRPr="00F2484F">
        <w:rPr>
          <w:rFonts w:ascii="Arial" w:hAnsi="Arial" w:cs="Arial"/>
          <w:b/>
          <w:sz w:val="20"/>
          <w:szCs w:val="20"/>
        </w:rPr>
        <w:tab/>
        <w:t xml:space="preserve">INTRODUCTION </w:t>
      </w:r>
    </w:p>
    <w:p w:rsidR="00B95A7B" w:rsidRPr="00F2484F" w:rsidRDefault="00B95A7B" w:rsidP="00F2484F">
      <w:pPr>
        <w:ind w:right="54"/>
        <w:rPr>
          <w:rFonts w:ascii="Arial" w:hAnsi="Arial" w:cs="Arial"/>
          <w:sz w:val="20"/>
          <w:szCs w:val="20"/>
        </w:rPr>
      </w:pPr>
    </w:p>
    <w:p w:rsidR="00B95A7B" w:rsidRPr="00F2484F" w:rsidRDefault="00B95A7B" w:rsidP="00F2484F">
      <w:pPr>
        <w:ind w:right="54"/>
        <w:rPr>
          <w:rFonts w:ascii="Arial" w:hAnsi="Arial" w:cs="Arial"/>
          <w:iCs/>
          <w:sz w:val="20"/>
          <w:szCs w:val="20"/>
        </w:rPr>
      </w:pPr>
      <w:r w:rsidRPr="00F2484F">
        <w:rPr>
          <w:rFonts w:ascii="Arial" w:hAnsi="Arial" w:cs="Arial"/>
          <w:sz w:val="20"/>
          <w:szCs w:val="20"/>
        </w:rPr>
        <w:t>Joint Rule 120 (d) (i) outlines that the Joint Standing Committee on Defence (JSCD) should “</w:t>
      </w:r>
      <w:r w:rsidRPr="00F2484F">
        <w:rPr>
          <w:rFonts w:ascii="Arial" w:hAnsi="Arial" w:cs="Arial"/>
          <w:iCs/>
          <w:sz w:val="20"/>
          <w:szCs w:val="20"/>
        </w:rPr>
        <w:t>conduct a strategic review of the SANDF mid-term in the life of a particular Parliament and submit recommendations to both Houses on its transformation, integration, equity, morale and defence readiness.” In</w:t>
      </w:r>
      <w:r w:rsidR="004C67EF" w:rsidRPr="00F2484F">
        <w:rPr>
          <w:rFonts w:ascii="Arial" w:hAnsi="Arial" w:cs="Arial"/>
          <w:iCs/>
          <w:sz w:val="20"/>
          <w:szCs w:val="20"/>
        </w:rPr>
        <w:t xml:space="preserve"> the compilation of this </w:t>
      </w:r>
      <w:r w:rsidR="004C67EF" w:rsidRPr="00F2484F">
        <w:rPr>
          <w:rFonts w:ascii="Arial" w:hAnsi="Arial" w:cs="Arial"/>
          <w:sz w:val="20"/>
          <w:szCs w:val="20"/>
        </w:rPr>
        <w:t>Midterm Strategic Review</w:t>
      </w:r>
      <w:r w:rsidRPr="00F2484F">
        <w:rPr>
          <w:rFonts w:ascii="Arial" w:hAnsi="Arial" w:cs="Arial"/>
          <w:iCs/>
          <w:sz w:val="20"/>
          <w:szCs w:val="20"/>
        </w:rPr>
        <w:t>, the annual activities of both the Portfolio Committee on De</w:t>
      </w:r>
      <w:r w:rsidR="00B52DB3" w:rsidRPr="00F2484F">
        <w:rPr>
          <w:rFonts w:ascii="Arial" w:hAnsi="Arial" w:cs="Arial"/>
          <w:iCs/>
          <w:sz w:val="20"/>
          <w:szCs w:val="20"/>
        </w:rPr>
        <w:t>fence and Military Veterans (PC</w:t>
      </w:r>
      <w:r w:rsidRPr="00F2484F">
        <w:rPr>
          <w:rFonts w:ascii="Arial" w:hAnsi="Arial" w:cs="Arial"/>
          <w:iCs/>
          <w:sz w:val="20"/>
          <w:szCs w:val="20"/>
        </w:rPr>
        <w:t>DMV) and those of the JSCD have been utilised from the start of the 6</w:t>
      </w:r>
      <w:r w:rsidRPr="00F2484F">
        <w:rPr>
          <w:rFonts w:ascii="Arial" w:hAnsi="Arial" w:cs="Arial"/>
          <w:iCs/>
          <w:sz w:val="20"/>
          <w:szCs w:val="20"/>
          <w:vertAlign w:val="superscript"/>
        </w:rPr>
        <w:t>th</w:t>
      </w:r>
      <w:r w:rsidRPr="00F2484F">
        <w:rPr>
          <w:rFonts w:ascii="Arial" w:hAnsi="Arial" w:cs="Arial"/>
          <w:iCs/>
          <w:sz w:val="20"/>
          <w:szCs w:val="20"/>
        </w:rPr>
        <w:t xml:space="preserve"> Parliament in July 2019. </w:t>
      </w:r>
    </w:p>
    <w:p w:rsidR="00C13A77" w:rsidRPr="00F2484F" w:rsidRDefault="00C13A77" w:rsidP="00F2484F">
      <w:pPr>
        <w:ind w:right="54"/>
        <w:rPr>
          <w:rFonts w:ascii="Arial" w:hAnsi="Arial" w:cs="Arial"/>
          <w:iCs/>
          <w:sz w:val="20"/>
          <w:szCs w:val="20"/>
        </w:rPr>
      </w:pPr>
    </w:p>
    <w:p w:rsidR="00C13A77" w:rsidRPr="00F2484F" w:rsidRDefault="00C13A77" w:rsidP="00F2484F">
      <w:pPr>
        <w:ind w:right="54"/>
        <w:rPr>
          <w:rFonts w:ascii="Arial" w:hAnsi="Arial" w:cs="Arial"/>
          <w:iCs/>
          <w:sz w:val="20"/>
          <w:szCs w:val="20"/>
        </w:rPr>
      </w:pPr>
      <w:r w:rsidRPr="00F2484F">
        <w:rPr>
          <w:rFonts w:ascii="Arial" w:hAnsi="Arial" w:cs="Arial"/>
          <w:iCs/>
          <w:sz w:val="20"/>
          <w:szCs w:val="20"/>
        </w:rPr>
        <w:t xml:space="preserve">The Midterm </w:t>
      </w:r>
      <w:r w:rsidR="009410FF" w:rsidRPr="00F2484F">
        <w:rPr>
          <w:rFonts w:ascii="Arial" w:hAnsi="Arial" w:cs="Arial"/>
          <w:iCs/>
          <w:sz w:val="20"/>
          <w:szCs w:val="20"/>
        </w:rPr>
        <w:t xml:space="preserve">Strategic Review of the SANDF </w:t>
      </w:r>
      <w:r w:rsidRPr="00F2484F">
        <w:rPr>
          <w:rFonts w:ascii="Arial" w:hAnsi="Arial" w:cs="Arial"/>
          <w:iCs/>
          <w:sz w:val="20"/>
          <w:szCs w:val="20"/>
        </w:rPr>
        <w:t>was considered by the JSCD on the 15 September</w:t>
      </w:r>
      <w:r w:rsidR="0051735C" w:rsidRPr="00F2484F">
        <w:rPr>
          <w:rFonts w:ascii="Arial" w:hAnsi="Arial" w:cs="Arial"/>
          <w:iCs/>
          <w:sz w:val="20"/>
          <w:szCs w:val="20"/>
        </w:rPr>
        <w:t xml:space="preserve"> 2022</w:t>
      </w:r>
      <w:r w:rsidRPr="00F2484F">
        <w:rPr>
          <w:rFonts w:ascii="Arial" w:hAnsi="Arial" w:cs="Arial"/>
          <w:iCs/>
          <w:sz w:val="20"/>
          <w:szCs w:val="20"/>
        </w:rPr>
        <w:t>, 13 October</w:t>
      </w:r>
      <w:r w:rsidR="0051735C" w:rsidRPr="00F2484F">
        <w:rPr>
          <w:rFonts w:ascii="Arial" w:hAnsi="Arial" w:cs="Arial"/>
          <w:iCs/>
          <w:sz w:val="20"/>
          <w:szCs w:val="20"/>
        </w:rPr>
        <w:t xml:space="preserve"> 2022</w:t>
      </w:r>
      <w:r w:rsidR="007C4A09" w:rsidRPr="00F2484F">
        <w:rPr>
          <w:rFonts w:ascii="Arial" w:hAnsi="Arial" w:cs="Arial"/>
          <w:iCs/>
          <w:sz w:val="20"/>
          <w:szCs w:val="20"/>
        </w:rPr>
        <w:t>, 23 February 2023</w:t>
      </w:r>
      <w:r w:rsidR="009410FF" w:rsidRPr="00F2484F">
        <w:rPr>
          <w:rFonts w:ascii="Arial" w:hAnsi="Arial" w:cs="Arial"/>
          <w:iCs/>
          <w:sz w:val="20"/>
          <w:szCs w:val="20"/>
        </w:rPr>
        <w:t xml:space="preserve">, 23 March 2023 and adopted on </w:t>
      </w:r>
      <w:r w:rsidRPr="00F2484F">
        <w:rPr>
          <w:rFonts w:ascii="Arial" w:hAnsi="Arial" w:cs="Arial"/>
          <w:iCs/>
          <w:sz w:val="20"/>
          <w:szCs w:val="20"/>
        </w:rPr>
        <w:t>23 March 2023.</w:t>
      </w:r>
    </w:p>
    <w:p w:rsidR="00B95A7B" w:rsidRPr="00F2484F" w:rsidRDefault="00B95A7B" w:rsidP="00F2484F">
      <w:pPr>
        <w:pStyle w:val="ListParagraph"/>
        <w:ind w:left="0" w:right="54"/>
        <w:rPr>
          <w:rFonts w:ascii="Arial" w:hAnsi="Arial" w:cs="Arial"/>
          <w:b/>
          <w:sz w:val="20"/>
          <w:szCs w:val="20"/>
        </w:rPr>
      </w:pPr>
    </w:p>
    <w:p w:rsidR="00B95A7B" w:rsidRPr="00F2484F" w:rsidRDefault="00056C45" w:rsidP="00F2484F">
      <w:pPr>
        <w:pStyle w:val="ListParagraph"/>
        <w:ind w:left="0" w:right="54"/>
        <w:rPr>
          <w:rFonts w:ascii="Arial" w:hAnsi="Arial" w:cs="Arial"/>
          <w:b/>
          <w:sz w:val="20"/>
          <w:szCs w:val="20"/>
        </w:rPr>
      </w:pPr>
      <w:r w:rsidRPr="00F2484F">
        <w:rPr>
          <w:rFonts w:ascii="Arial" w:hAnsi="Arial" w:cs="Arial"/>
          <w:b/>
          <w:sz w:val="20"/>
          <w:szCs w:val="20"/>
        </w:rPr>
        <w:t>2.</w:t>
      </w:r>
      <w:r w:rsidRPr="00F2484F">
        <w:rPr>
          <w:rFonts w:ascii="Arial" w:hAnsi="Arial" w:cs="Arial"/>
          <w:b/>
          <w:sz w:val="20"/>
          <w:szCs w:val="20"/>
        </w:rPr>
        <w:tab/>
      </w:r>
      <w:r w:rsidR="00B95A7B" w:rsidRPr="00F2484F">
        <w:rPr>
          <w:rFonts w:ascii="Arial" w:hAnsi="Arial" w:cs="Arial"/>
          <w:b/>
          <w:sz w:val="20"/>
          <w:szCs w:val="20"/>
        </w:rPr>
        <w:t xml:space="preserve">SCOPE </w:t>
      </w:r>
    </w:p>
    <w:p w:rsidR="00B95A7B" w:rsidRPr="00F2484F" w:rsidRDefault="00B95A7B" w:rsidP="00F2484F">
      <w:pPr>
        <w:ind w:right="54"/>
        <w:rPr>
          <w:rFonts w:ascii="Arial" w:hAnsi="Arial" w:cs="Arial"/>
          <w:sz w:val="20"/>
          <w:szCs w:val="20"/>
        </w:rPr>
      </w:pPr>
    </w:p>
    <w:p w:rsidR="00B95A7B" w:rsidRPr="00F2484F" w:rsidRDefault="00B95A7B" w:rsidP="00F2484F">
      <w:pPr>
        <w:ind w:right="54"/>
        <w:rPr>
          <w:rFonts w:ascii="Arial" w:hAnsi="Arial" w:cs="Arial"/>
          <w:sz w:val="20"/>
          <w:szCs w:val="20"/>
        </w:rPr>
      </w:pPr>
      <w:r w:rsidRPr="00F2484F">
        <w:rPr>
          <w:rFonts w:ascii="Arial" w:hAnsi="Arial" w:cs="Arial"/>
          <w:sz w:val="20"/>
          <w:szCs w:val="20"/>
        </w:rPr>
        <w:t xml:space="preserve">This Midterm Strategic Review covers </w:t>
      </w:r>
      <w:r w:rsidR="00B52DB3" w:rsidRPr="00F2484F">
        <w:rPr>
          <w:rFonts w:ascii="Arial" w:hAnsi="Arial" w:cs="Arial"/>
          <w:sz w:val="20"/>
          <w:szCs w:val="20"/>
        </w:rPr>
        <w:t xml:space="preserve">matters related to </w:t>
      </w:r>
      <w:r w:rsidRPr="00F2484F">
        <w:rPr>
          <w:rFonts w:ascii="Arial" w:hAnsi="Arial" w:cs="Arial"/>
          <w:sz w:val="20"/>
          <w:szCs w:val="20"/>
        </w:rPr>
        <w:t xml:space="preserve">the </w:t>
      </w:r>
      <w:r w:rsidRPr="00F2484F">
        <w:rPr>
          <w:rFonts w:ascii="Arial" w:hAnsi="Arial" w:cs="Arial"/>
          <w:iCs/>
          <w:sz w:val="20"/>
          <w:szCs w:val="20"/>
        </w:rPr>
        <w:t>transformation, integration, equity, morale and defence readiness</w:t>
      </w:r>
      <w:r w:rsidR="00B52DB3" w:rsidRPr="00F2484F">
        <w:rPr>
          <w:rFonts w:ascii="Arial" w:hAnsi="Arial" w:cs="Arial"/>
          <w:iCs/>
          <w:sz w:val="20"/>
          <w:szCs w:val="20"/>
        </w:rPr>
        <w:t xml:space="preserve"> of the Defence Force</w:t>
      </w:r>
      <w:r w:rsidR="00B52DB3" w:rsidRPr="00F2484F">
        <w:rPr>
          <w:rFonts w:ascii="Arial" w:hAnsi="Arial" w:cs="Arial"/>
          <w:sz w:val="20"/>
          <w:szCs w:val="20"/>
        </w:rPr>
        <w:t xml:space="preserve">, </w:t>
      </w:r>
      <w:r w:rsidRPr="00F2484F">
        <w:rPr>
          <w:rFonts w:ascii="Arial" w:hAnsi="Arial" w:cs="Arial"/>
          <w:sz w:val="20"/>
          <w:szCs w:val="20"/>
        </w:rPr>
        <w:t>as dictated by Joint Rule 120 (d). These issues will be discussed against the background of the 1996 White Paper on Defence</w:t>
      </w:r>
      <w:r w:rsidR="00225D2B" w:rsidRPr="00F2484F">
        <w:rPr>
          <w:rFonts w:ascii="Arial" w:hAnsi="Arial" w:cs="Arial"/>
          <w:sz w:val="20"/>
          <w:szCs w:val="20"/>
        </w:rPr>
        <w:t xml:space="preserve">, </w:t>
      </w:r>
      <w:r w:rsidRPr="00F2484F">
        <w:rPr>
          <w:rFonts w:ascii="Arial" w:hAnsi="Arial" w:cs="Arial"/>
          <w:sz w:val="20"/>
          <w:szCs w:val="20"/>
        </w:rPr>
        <w:t xml:space="preserve">the </w:t>
      </w:r>
      <w:r w:rsidR="00225D2B" w:rsidRPr="00F2484F">
        <w:rPr>
          <w:rFonts w:ascii="Arial" w:hAnsi="Arial" w:cs="Arial"/>
          <w:sz w:val="20"/>
          <w:szCs w:val="20"/>
        </w:rPr>
        <w:t xml:space="preserve">1998 </w:t>
      </w:r>
      <w:r w:rsidRPr="00F2484F">
        <w:rPr>
          <w:rFonts w:ascii="Arial" w:hAnsi="Arial" w:cs="Arial"/>
          <w:sz w:val="20"/>
          <w:szCs w:val="20"/>
        </w:rPr>
        <w:t>Defence Review</w:t>
      </w:r>
      <w:r w:rsidR="00225D2B" w:rsidRPr="00F2484F">
        <w:rPr>
          <w:rFonts w:ascii="Arial" w:hAnsi="Arial" w:cs="Arial"/>
          <w:sz w:val="20"/>
          <w:szCs w:val="20"/>
        </w:rPr>
        <w:t xml:space="preserve"> and the </w:t>
      </w:r>
      <w:r w:rsidR="00B523A8" w:rsidRPr="00F2484F">
        <w:rPr>
          <w:rFonts w:ascii="Arial" w:hAnsi="Arial" w:cs="Arial"/>
          <w:sz w:val="20"/>
          <w:szCs w:val="20"/>
        </w:rPr>
        <w:t xml:space="preserve">2015 </w:t>
      </w:r>
      <w:r w:rsidR="00225D2B" w:rsidRPr="00F2484F">
        <w:rPr>
          <w:rFonts w:ascii="Arial" w:hAnsi="Arial" w:cs="Arial"/>
          <w:sz w:val="20"/>
          <w:szCs w:val="20"/>
        </w:rPr>
        <w:t xml:space="preserve">Defence Review </w:t>
      </w:r>
      <w:r w:rsidRPr="00F2484F">
        <w:rPr>
          <w:rFonts w:ascii="Arial" w:hAnsi="Arial" w:cs="Arial"/>
          <w:sz w:val="20"/>
          <w:szCs w:val="20"/>
        </w:rPr>
        <w:t>respectively. The foregoing will be linked to briefings, oversight visits and discussions by the two Parliamentary Defence Committees</w:t>
      </w:r>
      <w:r w:rsidR="00225D2B" w:rsidRPr="00F2484F">
        <w:rPr>
          <w:rFonts w:ascii="Arial" w:hAnsi="Arial" w:cs="Arial"/>
          <w:sz w:val="20"/>
          <w:szCs w:val="20"/>
        </w:rPr>
        <w:t xml:space="preserve"> from the inception of the 6</w:t>
      </w:r>
      <w:r w:rsidR="00225D2B" w:rsidRPr="00F2484F">
        <w:rPr>
          <w:rFonts w:ascii="Arial" w:hAnsi="Arial" w:cs="Arial"/>
          <w:sz w:val="20"/>
          <w:szCs w:val="20"/>
          <w:vertAlign w:val="superscript"/>
        </w:rPr>
        <w:t>th</w:t>
      </w:r>
      <w:r w:rsidR="00225D2B" w:rsidRPr="00F2484F">
        <w:rPr>
          <w:rFonts w:ascii="Arial" w:hAnsi="Arial" w:cs="Arial"/>
          <w:sz w:val="20"/>
          <w:szCs w:val="20"/>
        </w:rPr>
        <w:t xml:space="preserve"> Parliament in July 2019 </w:t>
      </w:r>
      <w:r w:rsidR="00B52DB3" w:rsidRPr="00F2484F">
        <w:rPr>
          <w:rFonts w:ascii="Arial" w:hAnsi="Arial" w:cs="Arial"/>
          <w:sz w:val="20"/>
          <w:szCs w:val="20"/>
        </w:rPr>
        <w:t xml:space="preserve">until </w:t>
      </w:r>
      <w:r w:rsidR="00906F8C" w:rsidRPr="00F2484F">
        <w:rPr>
          <w:rFonts w:ascii="Arial" w:hAnsi="Arial" w:cs="Arial"/>
          <w:sz w:val="20"/>
          <w:szCs w:val="20"/>
        </w:rPr>
        <w:t>December</w:t>
      </w:r>
      <w:r w:rsidR="00225D2B" w:rsidRPr="00F2484F">
        <w:rPr>
          <w:rFonts w:ascii="Arial" w:hAnsi="Arial" w:cs="Arial"/>
          <w:sz w:val="20"/>
          <w:szCs w:val="20"/>
        </w:rPr>
        <w:t xml:space="preserve"> 2022</w:t>
      </w:r>
      <w:r w:rsidRPr="00F2484F">
        <w:rPr>
          <w:rFonts w:ascii="Arial" w:hAnsi="Arial" w:cs="Arial"/>
          <w:sz w:val="20"/>
          <w:szCs w:val="20"/>
        </w:rPr>
        <w:t xml:space="preserve">. </w:t>
      </w:r>
    </w:p>
    <w:p w:rsidR="00B95A7B" w:rsidRPr="00F2484F" w:rsidRDefault="00B95A7B" w:rsidP="00F2484F">
      <w:pPr>
        <w:ind w:right="54"/>
        <w:rPr>
          <w:rFonts w:ascii="Arial" w:hAnsi="Arial" w:cs="Arial"/>
          <w:sz w:val="20"/>
          <w:szCs w:val="20"/>
        </w:rPr>
      </w:pPr>
    </w:p>
    <w:p w:rsidR="00B95A7B" w:rsidRPr="00F2484F" w:rsidRDefault="00B95A7B" w:rsidP="00F2484F">
      <w:pPr>
        <w:pStyle w:val="ListParagraph"/>
        <w:ind w:left="0" w:right="54"/>
        <w:rPr>
          <w:rFonts w:ascii="Arial" w:hAnsi="Arial" w:cs="Arial"/>
          <w:b/>
          <w:sz w:val="20"/>
          <w:szCs w:val="20"/>
        </w:rPr>
      </w:pPr>
      <w:r w:rsidRPr="00F2484F">
        <w:rPr>
          <w:rFonts w:ascii="Arial" w:hAnsi="Arial" w:cs="Arial"/>
          <w:b/>
          <w:sz w:val="20"/>
          <w:szCs w:val="20"/>
        </w:rPr>
        <w:t>3.</w:t>
      </w:r>
      <w:r w:rsidRPr="00F2484F">
        <w:rPr>
          <w:rFonts w:ascii="Arial" w:hAnsi="Arial" w:cs="Arial"/>
          <w:b/>
          <w:sz w:val="20"/>
          <w:szCs w:val="20"/>
        </w:rPr>
        <w:tab/>
        <w:t xml:space="preserve">TRANSFORMATION </w:t>
      </w:r>
    </w:p>
    <w:p w:rsidR="00B95A7B" w:rsidRPr="00F2484F" w:rsidRDefault="00B95A7B" w:rsidP="00F2484F">
      <w:pPr>
        <w:pStyle w:val="ListParagraph"/>
        <w:ind w:left="0" w:right="54"/>
        <w:rPr>
          <w:rFonts w:ascii="Arial" w:hAnsi="Arial" w:cs="Arial"/>
          <w:b/>
          <w:sz w:val="20"/>
          <w:szCs w:val="20"/>
        </w:rPr>
      </w:pPr>
    </w:p>
    <w:p w:rsidR="00B95A7B" w:rsidRPr="00F2484F" w:rsidRDefault="00B95A7B" w:rsidP="00F2484F">
      <w:pPr>
        <w:pStyle w:val="ListParagraph"/>
        <w:ind w:left="0" w:right="54"/>
        <w:rPr>
          <w:rFonts w:ascii="Arial" w:hAnsi="Arial" w:cs="Arial"/>
          <w:b/>
          <w:sz w:val="20"/>
          <w:szCs w:val="20"/>
        </w:rPr>
      </w:pPr>
      <w:r w:rsidRPr="00F2484F">
        <w:rPr>
          <w:rFonts w:ascii="Arial" w:hAnsi="Arial" w:cs="Arial"/>
          <w:b/>
          <w:sz w:val="20"/>
          <w:szCs w:val="20"/>
        </w:rPr>
        <w:t>3.1</w:t>
      </w:r>
      <w:r w:rsidRPr="00F2484F">
        <w:rPr>
          <w:rFonts w:ascii="Arial" w:hAnsi="Arial" w:cs="Arial"/>
          <w:b/>
          <w:sz w:val="20"/>
          <w:szCs w:val="20"/>
        </w:rPr>
        <w:tab/>
      </w:r>
      <w:r w:rsidR="005D54FC" w:rsidRPr="00F2484F">
        <w:rPr>
          <w:rFonts w:ascii="Arial" w:hAnsi="Arial" w:cs="Arial"/>
          <w:b/>
          <w:sz w:val="20"/>
          <w:szCs w:val="20"/>
        </w:rPr>
        <w:t xml:space="preserve">The 1996 </w:t>
      </w:r>
      <w:r w:rsidRPr="00F2484F">
        <w:rPr>
          <w:rFonts w:ascii="Arial" w:hAnsi="Arial" w:cs="Arial"/>
          <w:b/>
          <w:sz w:val="20"/>
          <w:szCs w:val="20"/>
        </w:rPr>
        <w:t>White Paper on Defence</w:t>
      </w:r>
    </w:p>
    <w:p w:rsidR="00B95A7B" w:rsidRPr="00F2484F" w:rsidRDefault="00B95A7B" w:rsidP="00F2484F">
      <w:pPr>
        <w:pStyle w:val="ListParagraph"/>
        <w:ind w:left="0" w:right="54"/>
        <w:rPr>
          <w:rFonts w:ascii="Arial" w:hAnsi="Arial" w:cs="Arial"/>
          <w:b/>
          <w:sz w:val="20"/>
          <w:szCs w:val="20"/>
        </w:rPr>
      </w:pPr>
    </w:p>
    <w:p w:rsidR="00E271D1" w:rsidRPr="00F2484F" w:rsidRDefault="00B95A7B" w:rsidP="00F2484F">
      <w:pPr>
        <w:autoSpaceDE w:val="0"/>
        <w:autoSpaceDN w:val="0"/>
        <w:adjustRightInd w:val="0"/>
        <w:ind w:right="54"/>
        <w:rPr>
          <w:rFonts w:ascii="Arial" w:eastAsiaTheme="minorHAnsi" w:hAnsi="Arial" w:cs="Arial"/>
          <w:sz w:val="20"/>
          <w:szCs w:val="20"/>
          <w:lang w:val="en-ZA"/>
        </w:rPr>
      </w:pPr>
      <w:r w:rsidRPr="00F2484F">
        <w:rPr>
          <w:rFonts w:ascii="Arial" w:hAnsi="Arial" w:cs="Arial"/>
          <w:sz w:val="20"/>
          <w:szCs w:val="20"/>
        </w:rPr>
        <w:t>The 1996 White Paper on Defence discusses transformation in Chapter 2 under the heading “The Challenge of Transformation”</w:t>
      </w:r>
      <w:r w:rsidR="004C67EF" w:rsidRPr="00F2484F">
        <w:rPr>
          <w:rFonts w:ascii="Arial" w:hAnsi="Arial" w:cs="Arial"/>
          <w:sz w:val="20"/>
          <w:szCs w:val="20"/>
        </w:rPr>
        <w:t>. It positions</w:t>
      </w:r>
      <w:r w:rsidRPr="00F2484F">
        <w:rPr>
          <w:rFonts w:ascii="Arial" w:hAnsi="Arial" w:cs="Arial"/>
          <w:sz w:val="20"/>
          <w:szCs w:val="20"/>
        </w:rPr>
        <w:t xml:space="preserve"> this discussion on a new approach to defence matters against the background that this new approach to security is of paramount concern </w:t>
      </w:r>
      <w:r w:rsidR="00906F8C" w:rsidRPr="00F2484F">
        <w:rPr>
          <w:rFonts w:ascii="Arial" w:hAnsi="Arial" w:cs="Arial"/>
          <w:sz w:val="20"/>
          <w:szCs w:val="20"/>
        </w:rPr>
        <w:t>to</w:t>
      </w:r>
      <w:r w:rsidRPr="00F2484F">
        <w:rPr>
          <w:rFonts w:ascii="Arial" w:hAnsi="Arial" w:cs="Arial"/>
          <w:sz w:val="20"/>
          <w:szCs w:val="20"/>
        </w:rPr>
        <w:t xml:space="preserve"> the security of people.</w:t>
      </w:r>
      <w:r w:rsidR="00E271D1" w:rsidRPr="00F2484F">
        <w:rPr>
          <w:rStyle w:val="FootnoteReference"/>
          <w:rFonts w:ascii="Arial" w:hAnsi="Arial" w:cs="Arial"/>
          <w:sz w:val="20"/>
          <w:szCs w:val="20"/>
        </w:rPr>
        <w:footnoteReference w:id="1"/>
      </w:r>
      <w:r w:rsidR="00E271D1" w:rsidRPr="00F2484F">
        <w:rPr>
          <w:rFonts w:ascii="Arial" w:hAnsi="Arial" w:cs="Arial"/>
          <w:sz w:val="20"/>
          <w:szCs w:val="20"/>
        </w:rPr>
        <w:t xml:space="preserve"> It further states that t</w:t>
      </w:r>
      <w:r w:rsidR="00E271D1" w:rsidRPr="00F2484F">
        <w:rPr>
          <w:rFonts w:ascii="Arial" w:eastAsiaTheme="minorHAnsi" w:hAnsi="Arial" w:cs="Arial"/>
          <w:sz w:val="20"/>
          <w:szCs w:val="20"/>
          <w:lang w:val="en-ZA"/>
        </w:rPr>
        <w:t>he theme of the White Paper is the formulation of new defence policy and the transformation of the Department of Defence</w:t>
      </w:r>
      <w:r w:rsidR="00B52DB3" w:rsidRPr="00F2484F">
        <w:rPr>
          <w:rFonts w:ascii="Arial" w:eastAsiaTheme="minorHAnsi" w:hAnsi="Arial" w:cs="Arial"/>
          <w:sz w:val="20"/>
          <w:szCs w:val="20"/>
          <w:lang w:val="en-ZA"/>
        </w:rPr>
        <w:t xml:space="preserve"> (DOD)</w:t>
      </w:r>
      <w:r w:rsidR="00E271D1" w:rsidRPr="00F2484F">
        <w:rPr>
          <w:rFonts w:ascii="Arial" w:eastAsiaTheme="minorHAnsi" w:hAnsi="Arial" w:cs="Arial"/>
          <w:sz w:val="20"/>
          <w:szCs w:val="20"/>
          <w:lang w:val="en-ZA"/>
        </w:rPr>
        <w:t>. It views transformation as essential in the light of three sets of factors</w:t>
      </w:r>
      <w:r w:rsidR="00B52DB3" w:rsidRPr="00F2484F">
        <w:rPr>
          <w:rFonts w:ascii="Arial" w:eastAsiaTheme="minorHAnsi" w:hAnsi="Arial" w:cs="Arial"/>
          <w:sz w:val="20"/>
          <w:szCs w:val="20"/>
          <w:lang w:val="en-ZA"/>
        </w:rPr>
        <w:t xml:space="preserve">, namely (1) </w:t>
      </w:r>
      <w:r w:rsidR="00E271D1" w:rsidRPr="00F2484F">
        <w:rPr>
          <w:rFonts w:ascii="Arial" w:eastAsiaTheme="minorHAnsi" w:hAnsi="Arial" w:cs="Arial"/>
          <w:sz w:val="20"/>
          <w:szCs w:val="20"/>
          <w:lang w:val="en-ZA"/>
        </w:rPr>
        <w:t xml:space="preserve">the history </w:t>
      </w:r>
      <w:r w:rsidR="00B52DB3" w:rsidRPr="00F2484F">
        <w:rPr>
          <w:rFonts w:ascii="Arial" w:eastAsiaTheme="minorHAnsi" w:hAnsi="Arial" w:cs="Arial"/>
          <w:sz w:val="20"/>
          <w:szCs w:val="20"/>
          <w:lang w:val="en-ZA"/>
        </w:rPr>
        <w:t xml:space="preserve">of armed forces in the country, (2) </w:t>
      </w:r>
      <w:r w:rsidR="00E271D1" w:rsidRPr="00F2484F">
        <w:rPr>
          <w:rFonts w:ascii="Arial" w:eastAsiaTheme="minorHAnsi" w:hAnsi="Arial" w:cs="Arial"/>
          <w:sz w:val="20"/>
          <w:szCs w:val="20"/>
          <w:lang w:val="en-ZA"/>
        </w:rPr>
        <w:t>the new strategic environment at international, regional and domestic levels</w:t>
      </w:r>
      <w:r w:rsidR="00B52DB3" w:rsidRPr="00F2484F">
        <w:rPr>
          <w:rFonts w:ascii="Arial" w:eastAsiaTheme="minorHAnsi" w:hAnsi="Arial" w:cs="Arial"/>
          <w:sz w:val="20"/>
          <w:szCs w:val="20"/>
          <w:lang w:val="en-ZA"/>
        </w:rPr>
        <w:t xml:space="preserve"> and, (3) </w:t>
      </w:r>
      <w:r w:rsidR="00E271D1" w:rsidRPr="00F2484F">
        <w:rPr>
          <w:rFonts w:ascii="Arial" w:eastAsiaTheme="minorHAnsi" w:hAnsi="Arial" w:cs="Arial"/>
          <w:sz w:val="20"/>
          <w:szCs w:val="20"/>
          <w:lang w:val="en-ZA"/>
        </w:rPr>
        <w:t>most importantly, the advent of democracy in South Africa. It outlines that the process of transformation should be guided by the constitutional principles and government pol</w:t>
      </w:r>
      <w:r w:rsidR="00B52DB3" w:rsidRPr="00F2484F">
        <w:rPr>
          <w:rFonts w:ascii="Arial" w:eastAsiaTheme="minorHAnsi" w:hAnsi="Arial" w:cs="Arial"/>
          <w:sz w:val="20"/>
          <w:szCs w:val="20"/>
          <w:lang w:val="en-ZA"/>
        </w:rPr>
        <w:t>icy. It is these pronouncements</w:t>
      </w:r>
      <w:r w:rsidR="00E271D1" w:rsidRPr="00F2484F">
        <w:rPr>
          <w:rFonts w:ascii="Arial" w:eastAsiaTheme="minorHAnsi" w:hAnsi="Arial" w:cs="Arial"/>
          <w:sz w:val="20"/>
          <w:szCs w:val="20"/>
          <w:lang w:val="en-ZA"/>
        </w:rPr>
        <w:t xml:space="preserve"> that were further developed by the 1998 Defence Review. </w:t>
      </w:r>
    </w:p>
    <w:p w:rsidR="005D54FC" w:rsidRPr="00F2484F" w:rsidRDefault="005D54FC"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pStyle w:val="ListParagraph"/>
        <w:ind w:left="0" w:right="54"/>
        <w:rPr>
          <w:rFonts w:ascii="Arial" w:hAnsi="Arial" w:cs="Arial"/>
          <w:b/>
          <w:sz w:val="20"/>
          <w:szCs w:val="20"/>
        </w:rPr>
      </w:pPr>
      <w:r w:rsidRPr="00F2484F">
        <w:rPr>
          <w:rFonts w:ascii="Arial" w:hAnsi="Arial" w:cs="Arial"/>
          <w:b/>
          <w:sz w:val="20"/>
          <w:szCs w:val="20"/>
        </w:rPr>
        <w:t>3.2</w:t>
      </w:r>
      <w:r w:rsidRPr="00F2484F">
        <w:rPr>
          <w:rFonts w:ascii="Arial" w:hAnsi="Arial" w:cs="Arial"/>
          <w:b/>
          <w:sz w:val="20"/>
          <w:szCs w:val="20"/>
        </w:rPr>
        <w:tab/>
      </w:r>
      <w:r w:rsidR="005D54FC" w:rsidRPr="00F2484F">
        <w:rPr>
          <w:rFonts w:ascii="Arial" w:hAnsi="Arial" w:cs="Arial"/>
          <w:b/>
          <w:sz w:val="20"/>
          <w:szCs w:val="20"/>
        </w:rPr>
        <w:t xml:space="preserve">The </w:t>
      </w:r>
      <w:r w:rsidRPr="00F2484F">
        <w:rPr>
          <w:rFonts w:ascii="Arial" w:hAnsi="Arial" w:cs="Arial"/>
          <w:b/>
          <w:sz w:val="20"/>
          <w:szCs w:val="20"/>
        </w:rPr>
        <w:t>1998 Defence Review</w:t>
      </w:r>
    </w:p>
    <w:p w:rsidR="00E271D1" w:rsidRPr="00F2484F" w:rsidRDefault="00E271D1" w:rsidP="00F2484F">
      <w:pPr>
        <w:autoSpaceDE w:val="0"/>
        <w:autoSpaceDN w:val="0"/>
        <w:adjustRightInd w:val="0"/>
        <w:ind w:right="54"/>
        <w:rPr>
          <w:rFonts w:ascii="Arial" w:hAnsi="Arial" w:cs="Arial"/>
          <w:sz w:val="20"/>
          <w:szCs w:val="20"/>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hAnsi="Arial" w:cs="Arial"/>
          <w:sz w:val="20"/>
          <w:szCs w:val="20"/>
        </w:rPr>
        <w:t>The 1998 Defence Review</w:t>
      </w:r>
      <w:r w:rsidRPr="00F2484F">
        <w:rPr>
          <w:rStyle w:val="FootnoteReference"/>
          <w:rFonts w:ascii="Arial" w:hAnsi="Arial" w:cs="Arial"/>
          <w:sz w:val="20"/>
          <w:szCs w:val="20"/>
        </w:rPr>
        <w:footnoteReference w:id="2"/>
      </w:r>
      <w:r w:rsidRPr="00F2484F">
        <w:rPr>
          <w:rFonts w:ascii="Arial" w:hAnsi="Arial" w:cs="Arial"/>
          <w:sz w:val="20"/>
          <w:szCs w:val="20"/>
        </w:rPr>
        <w:t xml:space="preserve"> dedicates significant attention to transformation and, Chapter 9 </w:t>
      </w:r>
      <w:r w:rsidR="005D54FC" w:rsidRPr="00F2484F">
        <w:rPr>
          <w:rFonts w:ascii="Arial" w:hAnsi="Arial" w:cs="Arial"/>
          <w:sz w:val="20"/>
          <w:szCs w:val="20"/>
        </w:rPr>
        <w:t>(</w:t>
      </w:r>
      <w:r w:rsidRPr="00F2484F">
        <w:rPr>
          <w:rFonts w:ascii="Arial" w:hAnsi="Arial" w:cs="Arial"/>
          <w:sz w:val="20"/>
          <w:szCs w:val="20"/>
        </w:rPr>
        <w:t>Force</w:t>
      </w:r>
      <w:r w:rsidRPr="00F2484F">
        <w:rPr>
          <w:rFonts w:ascii="Arial" w:hAnsi="Arial" w:cs="Arial"/>
          <w:i/>
          <w:sz w:val="20"/>
          <w:szCs w:val="20"/>
        </w:rPr>
        <w:t xml:space="preserve"> </w:t>
      </w:r>
      <w:r w:rsidRPr="00F2484F">
        <w:rPr>
          <w:rFonts w:ascii="Arial" w:hAnsi="Arial" w:cs="Arial"/>
          <w:sz w:val="20"/>
          <w:szCs w:val="20"/>
        </w:rPr>
        <w:t>Structure</w:t>
      </w:r>
      <w:r w:rsidR="005D54FC" w:rsidRPr="00F2484F">
        <w:rPr>
          <w:rFonts w:ascii="Arial" w:hAnsi="Arial" w:cs="Arial"/>
          <w:sz w:val="20"/>
          <w:szCs w:val="20"/>
        </w:rPr>
        <w:t>)</w:t>
      </w:r>
      <w:r w:rsidRPr="00F2484F">
        <w:rPr>
          <w:rFonts w:ascii="Arial" w:hAnsi="Arial" w:cs="Arial"/>
          <w:sz w:val="20"/>
          <w:szCs w:val="20"/>
        </w:rPr>
        <w:t>, refers specifically to t</w:t>
      </w:r>
      <w:r w:rsidRPr="00F2484F">
        <w:rPr>
          <w:rFonts w:ascii="Arial" w:eastAsiaTheme="minorHAnsi" w:hAnsi="Arial" w:cs="Arial"/>
          <w:color w:val="000000"/>
          <w:sz w:val="20"/>
          <w:szCs w:val="20"/>
          <w:lang w:val="en-ZA"/>
        </w:rPr>
        <w:t xml:space="preserve">he transformation of the </w:t>
      </w:r>
      <w:r w:rsidR="005D54FC" w:rsidRPr="00F2484F">
        <w:rPr>
          <w:rFonts w:ascii="Arial" w:eastAsiaTheme="minorHAnsi" w:hAnsi="Arial" w:cs="Arial"/>
          <w:color w:val="000000"/>
          <w:sz w:val="20"/>
          <w:szCs w:val="20"/>
          <w:lang w:val="en-ZA"/>
        </w:rPr>
        <w:t>DOD</w:t>
      </w:r>
      <w:r w:rsidRPr="00F2484F">
        <w:rPr>
          <w:rFonts w:ascii="Arial" w:eastAsiaTheme="minorHAnsi" w:hAnsi="Arial" w:cs="Arial"/>
          <w:color w:val="000000"/>
          <w:sz w:val="20"/>
          <w:szCs w:val="20"/>
          <w:lang w:val="en-ZA"/>
        </w:rPr>
        <w:t xml:space="preserve"> and later to the kind of transformation envisaged in the Part-Time Forces. </w:t>
      </w:r>
      <w:r w:rsidR="002B0F1D" w:rsidRPr="00F2484F">
        <w:rPr>
          <w:rFonts w:ascii="Arial" w:eastAsiaTheme="minorHAnsi" w:hAnsi="Arial" w:cs="Arial"/>
          <w:color w:val="000000"/>
          <w:sz w:val="20"/>
          <w:szCs w:val="20"/>
          <w:lang w:val="en-ZA"/>
        </w:rPr>
        <w:t>The 1998 Review is premised on the 1996 White Paper on Defence and states in</w:t>
      </w:r>
      <w:r w:rsidRPr="00F2484F">
        <w:rPr>
          <w:rFonts w:ascii="Arial" w:eastAsiaTheme="minorHAnsi" w:hAnsi="Arial" w:cs="Arial"/>
          <w:color w:val="000000"/>
          <w:sz w:val="20"/>
          <w:szCs w:val="20"/>
          <w:lang w:val="en-ZA"/>
        </w:rPr>
        <w:t xml:space="preserve"> Chapter 1 that “</w:t>
      </w:r>
      <w:r w:rsidR="002B0F1D" w:rsidRPr="00F2484F">
        <w:rPr>
          <w:rFonts w:ascii="Arial" w:eastAsiaTheme="minorHAnsi" w:hAnsi="Arial" w:cs="Arial"/>
          <w:color w:val="000000"/>
          <w:sz w:val="20"/>
          <w:szCs w:val="20"/>
          <w:lang w:val="en-ZA"/>
        </w:rPr>
        <w:t>t</w:t>
      </w:r>
      <w:r w:rsidRPr="00F2484F">
        <w:rPr>
          <w:rFonts w:ascii="Arial" w:eastAsiaTheme="minorHAnsi" w:hAnsi="Arial" w:cs="Arial"/>
          <w:sz w:val="20"/>
          <w:szCs w:val="20"/>
          <w:lang w:val="en-ZA"/>
        </w:rPr>
        <w:t>he overarching theme of the White Paper is the transformation of defence policy and the South African National Defence Force (SANDF) in the light of the momentous political and strategic developments which have occurred at national, regional and international levels following the demise of the Cold War and the ending of apartheid.”</w:t>
      </w:r>
      <w:r w:rsidRPr="00F2484F">
        <w:rPr>
          <w:rStyle w:val="FootnoteReference"/>
          <w:rFonts w:ascii="Arial" w:eastAsiaTheme="minorHAnsi" w:hAnsi="Arial" w:cs="Arial"/>
          <w:color w:val="000000"/>
          <w:sz w:val="20"/>
          <w:szCs w:val="20"/>
          <w:lang w:val="en-ZA"/>
        </w:rPr>
        <w:footnoteReference w:id="3"/>
      </w:r>
      <w:r w:rsidRPr="00F2484F">
        <w:rPr>
          <w:rFonts w:ascii="Arial" w:eastAsiaTheme="minorHAnsi" w:hAnsi="Arial" w:cs="Arial"/>
          <w:sz w:val="20"/>
          <w:szCs w:val="20"/>
          <w:lang w:val="en-ZA"/>
        </w:rPr>
        <w:t xml:space="preserve"> </w:t>
      </w:r>
    </w:p>
    <w:p w:rsidR="00E271D1" w:rsidRPr="00F2484F" w:rsidRDefault="00E271D1" w:rsidP="00F2484F">
      <w:pPr>
        <w:autoSpaceDE w:val="0"/>
        <w:autoSpaceDN w:val="0"/>
        <w:adjustRightInd w:val="0"/>
        <w:ind w:right="54"/>
        <w:rPr>
          <w:rFonts w:ascii="Arial" w:eastAsiaTheme="minorHAnsi" w:hAnsi="Arial" w:cs="Arial"/>
          <w:color w:val="000000"/>
          <w:sz w:val="20"/>
          <w:szCs w:val="20"/>
          <w:lang w:val="en-ZA"/>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color w:val="000000"/>
          <w:sz w:val="20"/>
          <w:szCs w:val="20"/>
          <w:lang w:val="en-ZA"/>
        </w:rPr>
        <w:t>It emphasised that th</w:t>
      </w:r>
      <w:r w:rsidR="00B43731" w:rsidRPr="00F2484F">
        <w:rPr>
          <w:rFonts w:ascii="Arial" w:eastAsiaTheme="minorHAnsi" w:hAnsi="Arial" w:cs="Arial"/>
          <w:color w:val="000000"/>
          <w:sz w:val="20"/>
          <w:szCs w:val="20"/>
          <w:lang w:val="en-ZA"/>
        </w:rPr>
        <w:t>e m</w:t>
      </w:r>
      <w:r w:rsidR="002B0F1D" w:rsidRPr="00F2484F">
        <w:rPr>
          <w:rFonts w:ascii="Arial" w:eastAsiaTheme="minorHAnsi" w:hAnsi="Arial" w:cs="Arial"/>
          <w:color w:val="000000"/>
          <w:sz w:val="20"/>
          <w:szCs w:val="20"/>
          <w:lang w:val="en-ZA"/>
        </w:rPr>
        <w:t>atter</w:t>
      </w:r>
      <w:r w:rsidRPr="00F2484F">
        <w:rPr>
          <w:rFonts w:ascii="Arial" w:eastAsiaTheme="minorHAnsi" w:hAnsi="Arial" w:cs="Arial"/>
          <w:color w:val="000000"/>
          <w:sz w:val="20"/>
          <w:szCs w:val="20"/>
          <w:lang w:val="en-ZA"/>
        </w:rPr>
        <w:t xml:space="preserve"> </w:t>
      </w:r>
      <w:r w:rsidR="00B43731" w:rsidRPr="00F2484F">
        <w:rPr>
          <w:rFonts w:ascii="Arial" w:eastAsiaTheme="minorHAnsi" w:hAnsi="Arial" w:cs="Arial"/>
          <w:color w:val="000000"/>
          <w:sz w:val="20"/>
          <w:szCs w:val="20"/>
          <w:lang w:val="en-ZA"/>
        </w:rPr>
        <w:t xml:space="preserve">of transformation </w:t>
      </w:r>
      <w:r w:rsidR="002B0F1D" w:rsidRPr="00F2484F">
        <w:rPr>
          <w:rFonts w:ascii="Arial" w:eastAsiaTheme="minorHAnsi" w:hAnsi="Arial" w:cs="Arial"/>
          <w:color w:val="000000"/>
          <w:sz w:val="20"/>
          <w:szCs w:val="20"/>
          <w:lang w:val="en-ZA"/>
        </w:rPr>
        <w:t>be</w:t>
      </w:r>
      <w:r w:rsidRPr="00F2484F">
        <w:rPr>
          <w:rFonts w:ascii="Arial" w:eastAsiaTheme="minorHAnsi" w:hAnsi="Arial" w:cs="Arial"/>
          <w:color w:val="000000"/>
          <w:sz w:val="20"/>
          <w:szCs w:val="20"/>
          <w:lang w:val="en-ZA"/>
        </w:rPr>
        <w:t xml:space="preserve"> approached from a holistic perspective in that these two major defence policy guidelines should work in tandem i</w:t>
      </w:r>
      <w:r w:rsidRPr="00F2484F">
        <w:rPr>
          <w:rFonts w:ascii="Arial" w:eastAsiaTheme="minorHAnsi" w:hAnsi="Arial" w:cs="Arial"/>
          <w:sz w:val="20"/>
          <w:szCs w:val="20"/>
          <w:lang w:val="en-ZA"/>
        </w:rPr>
        <w:t>n light of the integration of the former statutory and non-statutory forces, where the challenge of transformation was substantial and complex.</w:t>
      </w:r>
      <w:r w:rsidR="00B43731" w:rsidRPr="00F2484F">
        <w:rPr>
          <w:rFonts w:ascii="Arial" w:eastAsiaTheme="minorHAnsi" w:hAnsi="Arial" w:cs="Arial"/>
          <w:sz w:val="20"/>
          <w:szCs w:val="20"/>
          <w:lang w:val="en-ZA"/>
        </w:rPr>
        <w:t xml:space="preserve"> T</w:t>
      </w:r>
      <w:r w:rsidRPr="00F2484F">
        <w:rPr>
          <w:rFonts w:ascii="Arial" w:eastAsiaTheme="minorHAnsi" w:hAnsi="Arial" w:cs="Arial"/>
          <w:sz w:val="20"/>
          <w:szCs w:val="20"/>
          <w:lang w:val="en-ZA"/>
        </w:rPr>
        <w:t xml:space="preserve">he 1998 Defence Review states that the transformation process in particular, will impact directly on the Force Structure required to </w:t>
      </w:r>
      <w:r w:rsidRPr="00F2484F">
        <w:rPr>
          <w:rFonts w:ascii="Arial" w:eastAsiaTheme="minorHAnsi" w:hAnsi="Arial" w:cs="Arial"/>
          <w:sz w:val="20"/>
          <w:szCs w:val="20"/>
          <w:lang w:val="en-ZA"/>
        </w:rPr>
        <w:lastRenderedPageBreak/>
        <w:t xml:space="preserve">support the Force Design. It posits that the Force Structure is subject to the </w:t>
      </w:r>
      <w:r w:rsidR="00B43731" w:rsidRPr="00F2484F">
        <w:rPr>
          <w:rFonts w:ascii="Arial" w:eastAsiaTheme="minorHAnsi" w:hAnsi="Arial" w:cs="Arial"/>
          <w:sz w:val="20"/>
          <w:szCs w:val="20"/>
          <w:lang w:val="en-ZA"/>
        </w:rPr>
        <w:t>DOD’</w:t>
      </w:r>
      <w:r w:rsidRPr="00F2484F">
        <w:rPr>
          <w:rFonts w:ascii="Arial" w:eastAsiaTheme="minorHAnsi" w:hAnsi="Arial" w:cs="Arial"/>
          <w:sz w:val="20"/>
          <w:szCs w:val="20"/>
          <w:lang w:val="en-ZA"/>
        </w:rPr>
        <w:t>s transformation project which was discussed in detail in the course of the Defence Review process.</w:t>
      </w:r>
      <w:r w:rsidRPr="00F2484F">
        <w:rPr>
          <w:rStyle w:val="FootnoteReference"/>
          <w:rFonts w:ascii="Arial" w:eastAsiaTheme="minorHAnsi" w:hAnsi="Arial" w:cs="Arial"/>
          <w:sz w:val="20"/>
          <w:szCs w:val="20"/>
          <w:lang w:val="en-ZA"/>
        </w:rPr>
        <w:footnoteReference w:id="4"/>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Chapter 9</w:t>
      </w:r>
      <w:r w:rsidR="00B43731" w:rsidRPr="00F2484F">
        <w:rPr>
          <w:rFonts w:ascii="Arial" w:eastAsiaTheme="minorHAnsi" w:hAnsi="Arial" w:cs="Arial"/>
          <w:sz w:val="20"/>
          <w:szCs w:val="20"/>
          <w:lang w:val="en-ZA"/>
        </w:rPr>
        <w:t xml:space="preserve"> (</w:t>
      </w:r>
      <w:r w:rsidRPr="00F2484F">
        <w:rPr>
          <w:rFonts w:ascii="Arial" w:eastAsiaTheme="minorHAnsi" w:hAnsi="Arial" w:cs="Arial"/>
          <w:sz w:val="20"/>
          <w:szCs w:val="20"/>
          <w:lang w:val="en-ZA"/>
        </w:rPr>
        <w:t>Force Design</w:t>
      </w:r>
      <w:r w:rsidR="00B43731" w:rsidRPr="00F2484F">
        <w:rPr>
          <w:rFonts w:ascii="Arial" w:eastAsiaTheme="minorHAnsi" w:hAnsi="Arial" w:cs="Arial"/>
          <w:sz w:val="20"/>
          <w:szCs w:val="20"/>
          <w:lang w:val="en-ZA"/>
        </w:rPr>
        <w:t>)</w:t>
      </w:r>
      <w:r w:rsidRPr="00F2484F">
        <w:rPr>
          <w:rFonts w:ascii="Arial" w:eastAsiaTheme="minorHAnsi" w:hAnsi="Arial" w:cs="Arial"/>
          <w:sz w:val="20"/>
          <w:szCs w:val="20"/>
          <w:lang w:val="en-ZA"/>
        </w:rPr>
        <w:t xml:space="preserve"> further explains that the transformation of the D</w:t>
      </w:r>
      <w:r w:rsidR="00B43731" w:rsidRPr="00F2484F">
        <w:rPr>
          <w:rFonts w:ascii="Arial" w:eastAsiaTheme="minorHAnsi" w:hAnsi="Arial" w:cs="Arial"/>
          <w:sz w:val="20"/>
          <w:szCs w:val="20"/>
          <w:lang w:val="en-ZA"/>
        </w:rPr>
        <w:t>O</w:t>
      </w:r>
      <w:r w:rsidRPr="00F2484F">
        <w:rPr>
          <w:rFonts w:ascii="Arial" w:eastAsiaTheme="minorHAnsi" w:hAnsi="Arial" w:cs="Arial"/>
          <w:sz w:val="20"/>
          <w:szCs w:val="20"/>
          <w:lang w:val="en-ZA"/>
        </w:rPr>
        <w:t xml:space="preserve">D covers three major areas namely:  </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pStyle w:val="ListParagraph"/>
        <w:numPr>
          <w:ilvl w:val="0"/>
          <w:numId w:val="3"/>
        </w:numPr>
        <w:autoSpaceDE w:val="0"/>
        <w:autoSpaceDN w:val="0"/>
        <w:adjustRightInd w:val="0"/>
        <w:ind w:left="426" w:right="54" w:hanging="284"/>
        <w:rPr>
          <w:rFonts w:ascii="Arial" w:hAnsi="Arial" w:cs="Arial"/>
          <w:sz w:val="20"/>
          <w:szCs w:val="20"/>
        </w:rPr>
      </w:pPr>
      <w:r w:rsidRPr="00F2484F">
        <w:rPr>
          <w:rFonts w:ascii="Arial" w:eastAsiaTheme="minorHAnsi" w:hAnsi="Arial" w:cs="Arial"/>
          <w:b/>
          <w:bCs/>
          <w:sz w:val="20"/>
          <w:szCs w:val="20"/>
          <w:lang w:val="en-ZA"/>
        </w:rPr>
        <w:t xml:space="preserve">Civil-Military Relations, </w:t>
      </w:r>
      <w:r w:rsidRPr="00F2484F">
        <w:rPr>
          <w:rFonts w:ascii="Arial" w:eastAsiaTheme="minorHAnsi" w:hAnsi="Arial" w:cs="Arial"/>
          <w:bCs/>
          <w:sz w:val="20"/>
          <w:szCs w:val="20"/>
          <w:lang w:val="en-ZA"/>
        </w:rPr>
        <w:t>where it</w:t>
      </w:r>
      <w:r w:rsidRPr="00F2484F">
        <w:rPr>
          <w:rFonts w:ascii="Arial" w:eastAsiaTheme="minorHAnsi" w:hAnsi="Arial" w:cs="Arial"/>
          <w:b/>
          <w:bCs/>
          <w:sz w:val="20"/>
          <w:szCs w:val="20"/>
          <w:lang w:val="en-ZA"/>
        </w:rPr>
        <w:t xml:space="preserve"> </w:t>
      </w:r>
      <w:r w:rsidRPr="00F2484F">
        <w:rPr>
          <w:rFonts w:ascii="Arial" w:eastAsiaTheme="minorHAnsi" w:hAnsi="Arial" w:cs="Arial"/>
          <w:bCs/>
          <w:sz w:val="20"/>
          <w:szCs w:val="20"/>
          <w:lang w:val="en-ZA"/>
        </w:rPr>
        <w:t xml:space="preserve">focuses on constitutional and legal transformation and oversight mechanisms. </w:t>
      </w:r>
    </w:p>
    <w:p w:rsidR="00E271D1" w:rsidRPr="00F2484F" w:rsidRDefault="00E271D1" w:rsidP="00F2484F">
      <w:pPr>
        <w:pStyle w:val="ListParagraph"/>
        <w:numPr>
          <w:ilvl w:val="0"/>
          <w:numId w:val="3"/>
        </w:numPr>
        <w:autoSpaceDE w:val="0"/>
        <w:autoSpaceDN w:val="0"/>
        <w:adjustRightInd w:val="0"/>
        <w:ind w:left="426" w:right="54" w:hanging="284"/>
        <w:rPr>
          <w:rFonts w:ascii="Arial" w:eastAsiaTheme="minorHAnsi" w:hAnsi="Arial" w:cs="Arial"/>
          <w:sz w:val="20"/>
          <w:szCs w:val="20"/>
          <w:lang w:val="en-ZA"/>
        </w:rPr>
      </w:pPr>
      <w:r w:rsidRPr="00F2484F">
        <w:rPr>
          <w:rFonts w:ascii="Arial" w:eastAsiaTheme="minorHAnsi" w:hAnsi="Arial" w:cs="Arial"/>
          <w:b/>
          <w:bCs/>
          <w:sz w:val="20"/>
          <w:szCs w:val="20"/>
          <w:lang w:val="en-ZA"/>
        </w:rPr>
        <w:t xml:space="preserve">Normative and Cultural Transformation, </w:t>
      </w:r>
      <w:r w:rsidRPr="00F2484F">
        <w:rPr>
          <w:rFonts w:ascii="Arial" w:eastAsiaTheme="minorHAnsi" w:hAnsi="Arial" w:cs="Arial"/>
          <w:bCs/>
          <w:sz w:val="20"/>
          <w:szCs w:val="20"/>
          <w:lang w:val="en-ZA"/>
        </w:rPr>
        <w:t>which refer to its</w:t>
      </w:r>
      <w:r w:rsidRPr="00F2484F">
        <w:rPr>
          <w:rFonts w:ascii="Arial" w:eastAsiaTheme="minorHAnsi" w:hAnsi="Arial" w:cs="Arial"/>
          <w:b/>
          <w:bCs/>
          <w:sz w:val="20"/>
          <w:szCs w:val="20"/>
          <w:lang w:val="en-ZA"/>
        </w:rPr>
        <w:t xml:space="preserve"> </w:t>
      </w:r>
      <w:r w:rsidRPr="00F2484F">
        <w:rPr>
          <w:rFonts w:ascii="Arial" w:eastAsiaTheme="minorHAnsi" w:hAnsi="Arial" w:cs="Arial"/>
          <w:sz w:val="20"/>
          <w:szCs w:val="20"/>
          <w:lang w:val="en-ZA"/>
        </w:rPr>
        <w:t>transformation of the culture of the D</w:t>
      </w:r>
      <w:r w:rsidR="009B115B" w:rsidRPr="00F2484F">
        <w:rPr>
          <w:rFonts w:ascii="Arial" w:eastAsiaTheme="minorHAnsi" w:hAnsi="Arial" w:cs="Arial"/>
          <w:sz w:val="20"/>
          <w:szCs w:val="20"/>
          <w:lang w:val="en-ZA"/>
        </w:rPr>
        <w:t>O</w:t>
      </w:r>
      <w:r w:rsidRPr="00F2484F">
        <w:rPr>
          <w:rFonts w:ascii="Arial" w:eastAsiaTheme="minorHAnsi" w:hAnsi="Arial" w:cs="Arial"/>
          <w:sz w:val="20"/>
          <w:szCs w:val="20"/>
          <w:lang w:val="en-ZA"/>
        </w:rPr>
        <w:t>D in relation to its values, traditions, human resource practices and managerial practices.</w:t>
      </w:r>
    </w:p>
    <w:p w:rsidR="00E271D1" w:rsidRPr="00F2484F" w:rsidRDefault="00E271D1" w:rsidP="00F2484F">
      <w:pPr>
        <w:pStyle w:val="ListParagraph"/>
        <w:numPr>
          <w:ilvl w:val="0"/>
          <w:numId w:val="3"/>
        </w:numPr>
        <w:autoSpaceDE w:val="0"/>
        <w:autoSpaceDN w:val="0"/>
        <w:adjustRightInd w:val="0"/>
        <w:ind w:left="426" w:right="54" w:hanging="284"/>
        <w:rPr>
          <w:rFonts w:ascii="Arial" w:hAnsi="Arial" w:cs="Arial"/>
          <w:sz w:val="20"/>
          <w:szCs w:val="20"/>
        </w:rPr>
      </w:pPr>
      <w:r w:rsidRPr="00F2484F">
        <w:rPr>
          <w:rFonts w:ascii="Arial" w:eastAsiaTheme="minorHAnsi" w:hAnsi="Arial" w:cs="Arial"/>
          <w:b/>
          <w:bCs/>
          <w:sz w:val="20"/>
          <w:szCs w:val="20"/>
          <w:lang w:val="en-ZA"/>
        </w:rPr>
        <w:t xml:space="preserve">Organisational Restructuring, </w:t>
      </w:r>
      <w:r w:rsidRPr="00F2484F">
        <w:rPr>
          <w:rFonts w:ascii="Arial" w:eastAsiaTheme="minorHAnsi" w:hAnsi="Arial" w:cs="Arial"/>
          <w:bCs/>
          <w:sz w:val="20"/>
          <w:szCs w:val="20"/>
          <w:lang w:val="en-ZA"/>
        </w:rPr>
        <w:t>which</w:t>
      </w:r>
      <w:r w:rsidRPr="00F2484F">
        <w:rPr>
          <w:rFonts w:ascii="Arial" w:eastAsiaTheme="minorHAnsi" w:hAnsi="Arial" w:cs="Arial"/>
          <w:b/>
          <w:bCs/>
          <w:sz w:val="20"/>
          <w:szCs w:val="20"/>
          <w:lang w:val="en-ZA"/>
        </w:rPr>
        <w:t xml:space="preserve"> </w:t>
      </w:r>
      <w:r w:rsidRPr="00F2484F">
        <w:rPr>
          <w:rFonts w:ascii="Arial" w:eastAsiaTheme="minorHAnsi" w:hAnsi="Arial" w:cs="Arial"/>
          <w:sz w:val="20"/>
          <w:szCs w:val="20"/>
          <w:lang w:val="en-ZA"/>
        </w:rPr>
        <w:t>refers to the rationalisation and right-sizing of the D</w:t>
      </w:r>
      <w:r w:rsidR="00B43731" w:rsidRPr="00F2484F">
        <w:rPr>
          <w:rFonts w:ascii="Arial" w:eastAsiaTheme="minorHAnsi" w:hAnsi="Arial" w:cs="Arial"/>
          <w:sz w:val="20"/>
          <w:szCs w:val="20"/>
          <w:lang w:val="en-ZA"/>
        </w:rPr>
        <w:t>O</w:t>
      </w:r>
      <w:r w:rsidRPr="00F2484F">
        <w:rPr>
          <w:rFonts w:ascii="Arial" w:eastAsiaTheme="minorHAnsi" w:hAnsi="Arial" w:cs="Arial"/>
          <w:sz w:val="20"/>
          <w:szCs w:val="20"/>
          <w:lang w:val="en-ZA"/>
        </w:rPr>
        <w:t>D so as to ensure the more efficient and effective utilisation of state resources.</w:t>
      </w:r>
      <w:r w:rsidRPr="00F2484F">
        <w:rPr>
          <w:rStyle w:val="FootnoteReference"/>
          <w:rFonts w:ascii="Arial" w:eastAsiaTheme="minorHAnsi" w:hAnsi="Arial" w:cs="Arial"/>
          <w:sz w:val="20"/>
          <w:szCs w:val="20"/>
          <w:lang w:val="en-ZA"/>
        </w:rPr>
        <w:footnoteReference w:id="5"/>
      </w: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3.3</w:t>
      </w:r>
      <w:r w:rsidRPr="00F2484F">
        <w:rPr>
          <w:rFonts w:ascii="Arial" w:hAnsi="Arial" w:cs="Arial"/>
          <w:b/>
          <w:sz w:val="20"/>
          <w:szCs w:val="20"/>
        </w:rPr>
        <w:tab/>
      </w:r>
      <w:r w:rsidR="00E826CF" w:rsidRPr="00F2484F">
        <w:rPr>
          <w:rFonts w:ascii="Arial" w:hAnsi="Arial" w:cs="Arial"/>
          <w:b/>
          <w:sz w:val="20"/>
          <w:szCs w:val="20"/>
        </w:rPr>
        <w:t xml:space="preserve">The </w:t>
      </w:r>
      <w:r w:rsidRPr="00F2484F">
        <w:rPr>
          <w:rFonts w:ascii="Arial" w:hAnsi="Arial" w:cs="Arial"/>
          <w:b/>
          <w:sz w:val="20"/>
          <w:szCs w:val="20"/>
        </w:rPr>
        <w:t>2015 Defence Review</w:t>
      </w:r>
    </w:p>
    <w:p w:rsidR="00E271D1" w:rsidRPr="00F2484F" w:rsidRDefault="00E271D1" w:rsidP="00F2484F">
      <w:pPr>
        <w:ind w:right="54"/>
        <w:rPr>
          <w:rFonts w:ascii="Arial" w:hAnsi="Arial" w:cs="Arial"/>
          <w:sz w:val="20"/>
          <w:szCs w:val="20"/>
        </w:rPr>
      </w:pPr>
    </w:p>
    <w:p w:rsidR="00A04C7B"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hAnsi="Arial" w:cs="Arial"/>
          <w:sz w:val="20"/>
          <w:szCs w:val="20"/>
        </w:rPr>
        <w:t>The Minister, in her Foreword to the 2015 Defence Review, stresses that t</w:t>
      </w:r>
      <w:r w:rsidRPr="00F2484F">
        <w:rPr>
          <w:rFonts w:ascii="Arial" w:eastAsiaTheme="minorHAnsi" w:hAnsi="Arial" w:cs="Arial"/>
          <w:sz w:val="20"/>
          <w:szCs w:val="20"/>
          <w:lang w:val="en-ZA"/>
        </w:rPr>
        <w:t xml:space="preserve">he issues that informed the 1996 White Paper on Defence and the 1998 Defence Review centred on the transition to democracy and the resultant transformation of the </w:t>
      </w:r>
      <w:r w:rsidR="00B43731" w:rsidRPr="00F2484F">
        <w:rPr>
          <w:rFonts w:ascii="Arial" w:eastAsiaTheme="minorHAnsi" w:hAnsi="Arial" w:cs="Arial"/>
          <w:sz w:val="20"/>
          <w:szCs w:val="20"/>
          <w:lang w:val="en-ZA"/>
        </w:rPr>
        <w:t>DOD</w:t>
      </w:r>
      <w:r w:rsidRPr="00F2484F">
        <w:rPr>
          <w:rFonts w:ascii="Arial" w:eastAsiaTheme="minorHAnsi" w:hAnsi="Arial" w:cs="Arial"/>
          <w:sz w:val="20"/>
          <w:szCs w:val="20"/>
          <w:lang w:val="en-ZA"/>
        </w:rPr>
        <w:t>.</w:t>
      </w:r>
      <w:r w:rsidRPr="00F2484F">
        <w:rPr>
          <w:rStyle w:val="FootnoteReference"/>
          <w:rFonts w:ascii="Arial" w:eastAsiaTheme="minorHAnsi" w:hAnsi="Arial" w:cs="Arial"/>
          <w:sz w:val="20"/>
          <w:szCs w:val="20"/>
          <w:lang w:val="en-ZA"/>
        </w:rPr>
        <w:footnoteReference w:id="6"/>
      </w:r>
      <w:r w:rsidRPr="00F2484F">
        <w:rPr>
          <w:rFonts w:ascii="Arial" w:eastAsiaTheme="minorHAnsi" w:hAnsi="Arial" w:cs="Arial"/>
          <w:sz w:val="20"/>
          <w:szCs w:val="20"/>
          <w:lang w:val="en-ZA"/>
        </w:rPr>
        <w:t xml:space="preserve"> Regarding the Reserves, the 2015 Defence Review states that its transformation has been slow due to a lack of investment in the Reserves. The requirement for a relatively small Regular component backed by a sufficiently large Reserve component has not been complied with and, consequently, the strategic imperative of being able to rapidly and cost-effectively expand through a Reserve component is limited.</w:t>
      </w:r>
      <w:r w:rsidRPr="00F2484F">
        <w:rPr>
          <w:rStyle w:val="FootnoteReference"/>
          <w:rFonts w:ascii="Arial" w:eastAsiaTheme="minorHAnsi" w:hAnsi="Arial" w:cs="Arial"/>
          <w:sz w:val="20"/>
          <w:szCs w:val="20"/>
          <w:lang w:val="en-ZA"/>
        </w:rPr>
        <w:footnoteReference w:id="7"/>
      </w:r>
      <w:r w:rsidRPr="00F2484F">
        <w:rPr>
          <w:rFonts w:ascii="Arial" w:eastAsiaTheme="minorHAnsi" w:hAnsi="Arial" w:cs="Arial"/>
          <w:sz w:val="20"/>
          <w:szCs w:val="20"/>
          <w:lang w:val="en-ZA"/>
        </w:rPr>
        <w:t xml:space="preserve"> </w:t>
      </w:r>
    </w:p>
    <w:p w:rsidR="00A04C7B" w:rsidRPr="00F2484F" w:rsidRDefault="00A04C7B"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The 2015 </w:t>
      </w:r>
      <w:r w:rsidR="00B43731" w:rsidRPr="00F2484F">
        <w:rPr>
          <w:rFonts w:ascii="Arial" w:eastAsiaTheme="minorHAnsi" w:hAnsi="Arial" w:cs="Arial"/>
          <w:sz w:val="20"/>
          <w:szCs w:val="20"/>
          <w:lang w:val="en-ZA"/>
        </w:rPr>
        <w:t>D</w:t>
      </w:r>
      <w:r w:rsidRPr="00F2484F">
        <w:rPr>
          <w:rFonts w:ascii="Arial" w:eastAsiaTheme="minorHAnsi" w:hAnsi="Arial" w:cs="Arial"/>
          <w:sz w:val="20"/>
          <w:szCs w:val="20"/>
          <w:lang w:val="en-ZA"/>
        </w:rPr>
        <w:t xml:space="preserve">efence Review further focuses on two specific aspects that may impact on transformation, namely </w:t>
      </w:r>
      <w:r w:rsidR="009B115B" w:rsidRPr="00F2484F">
        <w:rPr>
          <w:rFonts w:ascii="Arial" w:eastAsiaTheme="minorHAnsi" w:hAnsi="Arial" w:cs="Arial"/>
          <w:sz w:val="20"/>
          <w:szCs w:val="20"/>
          <w:lang w:val="en-ZA"/>
        </w:rPr>
        <w:t xml:space="preserve">(1) </w:t>
      </w:r>
      <w:r w:rsidRPr="00F2484F">
        <w:rPr>
          <w:rFonts w:ascii="Arial" w:eastAsiaTheme="minorHAnsi" w:hAnsi="Arial" w:cs="Arial"/>
          <w:sz w:val="20"/>
          <w:szCs w:val="20"/>
          <w:lang w:val="en-ZA"/>
        </w:rPr>
        <w:t xml:space="preserve">personnel management and </w:t>
      </w:r>
      <w:r w:rsidR="009B115B" w:rsidRPr="00F2484F">
        <w:rPr>
          <w:rFonts w:ascii="Arial" w:eastAsiaTheme="minorHAnsi" w:hAnsi="Arial" w:cs="Arial"/>
          <w:sz w:val="20"/>
          <w:szCs w:val="20"/>
          <w:lang w:val="en-ZA"/>
        </w:rPr>
        <w:t xml:space="preserve">(2) </w:t>
      </w:r>
      <w:r w:rsidRPr="00F2484F">
        <w:rPr>
          <w:rFonts w:ascii="Arial" w:eastAsiaTheme="minorHAnsi" w:hAnsi="Arial" w:cs="Arial"/>
          <w:sz w:val="20"/>
          <w:szCs w:val="20"/>
          <w:lang w:val="en-ZA"/>
        </w:rPr>
        <w:t>defence career management.</w:t>
      </w:r>
    </w:p>
    <w:p w:rsidR="00E271D1" w:rsidRPr="00F2484F" w:rsidRDefault="00E271D1" w:rsidP="00F2484F">
      <w:pPr>
        <w:autoSpaceDE w:val="0"/>
        <w:autoSpaceDN w:val="0"/>
        <w:adjustRightInd w:val="0"/>
        <w:ind w:right="54"/>
        <w:rPr>
          <w:rFonts w:ascii="Arial" w:eastAsiaTheme="minorHAnsi" w:hAnsi="Arial" w:cs="Arial"/>
          <w:b/>
          <w:sz w:val="20"/>
          <w:szCs w:val="20"/>
          <w:lang w:val="en-ZA"/>
        </w:rPr>
      </w:pPr>
      <w:r w:rsidRPr="00F2484F">
        <w:rPr>
          <w:rFonts w:ascii="Arial" w:eastAsiaTheme="minorHAnsi" w:hAnsi="Arial" w:cs="Arial"/>
          <w:b/>
          <w:sz w:val="20"/>
          <w:szCs w:val="20"/>
          <w:lang w:val="en-ZA"/>
        </w:rPr>
        <w:t>3.3.1</w:t>
      </w:r>
      <w:r w:rsidRPr="00F2484F">
        <w:rPr>
          <w:rFonts w:ascii="Arial" w:eastAsiaTheme="minorHAnsi" w:hAnsi="Arial" w:cs="Arial"/>
          <w:b/>
          <w:sz w:val="20"/>
          <w:szCs w:val="20"/>
          <w:lang w:val="en-ZA"/>
        </w:rPr>
        <w:tab/>
        <w:t xml:space="preserve">Personnel Management </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B4373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Chapter 14 of the 2015 Defence Review focuses on Defence Resource Systems with emphasis on the Defence Personnel System which consist of Personnel Strategic Direction and Policy, Personnel Development, Personnel Management and Personnel Transformation. These core elements are supported by Personnel Policies and Processes, Personnel Technology, Personnel Functionaries, Commanders/Managers and the Personnel Budget. </w:t>
      </w:r>
    </w:p>
    <w:p w:rsidR="00B43731" w:rsidRPr="00F2484F" w:rsidRDefault="00B4373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It is especially the Personnel Policies and Processes which </w:t>
      </w:r>
      <w:r w:rsidR="00B43731" w:rsidRPr="00F2484F">
        <w:rPr>
          <w:rFonts w:ascii="Arial" w:eastAsiaTheme="minorHAnsi" w:hAnsi="Arial" w:cs="Arial"/>
          <w:sz w:val="20"/>
          <w:szCs w:val="20"/>
          <w:lang w:val="en-ZA"/>
        </w:rPr>
        <w:t>Parliament’s</w:t>
      </w:r>
      <w:r w:rsidRPr="00F2484F">
        <w:rPr>
          <w:rFonts w:ascii="Arial" w:eastAsiaTheme="minorHAnsi" w:hAnsi="Arial" w:cs="Arial"/>
          <w:sz w:val="20"/>
          <w:szCs w:val="20"/>
          <w:lang w:val="en-ZA"/>
        </w:rPr>
        <w:t xml:space="preserve"> Defence Committees have engaged with and will continue to engage with its pursuit of clarity on issues such as </w:t>
      </w:r>
      <w:r w:rsidRPr="00F2484F">
        <w:rPr>
          <w:rFonts w:ascii="Arial" w:eastAsiaTheme="minorHAnsi" w:hAnsi="Arial" w:cs="Arial"/>
          <w:b/>
          <w:sz w:val="20"/>
          <w:szCs w:val="20"/>
          <w:lang w:val="en-ZA"/>
        </w:rPr>
        <w:t>Career Management and Succession Planning</w:t>
      </w:r>
      <w:r w:rsidRPr="00F2484F">
        <w:rPr>
          <w:rFonts w:ascii="Arial" w:eastAsiaTheme="minorHAnsi" w:hAnsi="Arial" w:cs="Arial"/>
          <w:sz w:val="20"/>
          <w:szCs w:val="20"/>
          <w:lang w:val="en-ZA"/>
        </w:rPr>
        <w:t>.</w:t>
      </w:r>
      <w:r w:rsidRPr="00F2484F">
        <w:rPr>
          <w:rStyle w:val="FootnoteReference"/>
          <w:rFonts w:ascii="Arial" w:eastAsiaTheme="minorHAnsi" w:hAnsi="Arial" w:cs="Arial"/>
          <w:sz w:val="20"/>
          <w:szCs w:val="20"/>
          <w:lang w:val="en-ZA"/>
        </w:rPr>
        <w:footnoteReference w:id="8"/>
      </w:r>
      <w:r w:rsidRPr="00F2484F">
        <w:rPr>
          <w:rFonts w:ascii="Arial" w:eastAsiaTheme="minorHAnsi" w:hAnsi="Arial" w:cs="Arial"/>
          <w:sz w:val="20"/>
          <w:szCs w:val="20"/>
          <w:lang w:val="en-ZA"/>
        </w:rPr>
        <w:t xml:space="preserve"> Similarly, specific focus have been placed on matters related to the </w:t>
      </w:r>
      <w:r w:rsidRPr="00F2484F">
        <w:rPr>
          <w:rFonts w:ascii="Arial" w:eastAsiaTheme="minorHAnsi" w:hAnsi="Arial" w:cs="Arial"/>
          <w:b/>
          <w:sz w:val="20"/>
          <w:szCs w:val="20"/>
          <w:lang w:val="en-ZA"/>
        </w:rPr>
        <w:t>Personnel Budget</w:t>
      </w:r>
      <w:r w:rsidRPr="00F2484F">
        <w:rPr>
          <w:rFonts w:ascii="Arial" w:eastAsiaTheme="minorHAnsi" w:hAnsi="Arial" w:cs="Arial"/>
          <w:sz w:val="20"/>
          <w:szCs w:val="20"/>
          <w:lang w:val="en-ZA"/>
        </w:rPr>
        <w:t xml:space="preserve"> and this is expected to remain a prime focus area for both Defence Committees in the 6</w:t>
      </w:r>
      <w:r w:rsidRPr="00F2484F">
        <w:rPr>
          <w:rFonts w:ascii="Arial" w:eastAsiaTheme="minorHAnsi" w:hAnsi="Arial" w:cs="Arial"/>
          <w:sz w:val="20"/>
          <w:szCs w:val="20"/>
          <w:vertAlign w:val="superscript"/>
          <w:lang w:val="en-ZA"/>
        </w:rPr>
        <w:t>th</w:t>
      </w:r>
      <w:r w:rsidRPr="00F2484F">
        <w:rPr>
          <w:rFonts w:ascii="Arial" w:eastAsiaTheme="minorHAnsi" w:hAnsi="Arial" w:cs="Arial"/>
          <w:sz w:val="20"/>
          <w:szCs w:val="20"/>
          <w:lang w:val="en-ZA"/>
        </w:rPr>
        <w:t xml:space="preserve"> Parliament as it tracks parliamentary recommendations to the DOD in this regard.</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b/>
          <w:sz w:val="20"/>
          <w:szCs w:val="20"/>
          <w:lang w:val="en-ZA"/>
        </w:rPr>
        <w:t>3.3.2</w:t>
      </w:r>
      <w:r w:rsidRPr="00F2484F">
        <w:rPr>
          <w:rFonts w:ascii="Arial" w:eastAsiaTheme="minorHAnsi" w:hAnsi="Arial" w:cs="Arial"/>
          <w:b/>
          <w:sz w:val="20"/>
          <w:szCs w:val="20"/>
          <w:lang w:val="en-ZA"/>
        </w:rPr>
        <w:tab/>
        <w:t xml:space="preserve">Defence Career Management </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The </w:t>
      </w:r>
      <w:r w:rsidR="00B43731" w:rsidRPr="00F2484F">
        <w:rPr>
          <w:rFonts w:ascii="Arial" w:eastAsiaTheme="minorHAnsi" w:hAnsi="Arial" w:cs="Arial"/>
          <w:sz w:val="20"/>
          <w:szCs w:val="20"/>
          <w:lang w:val="en-ZA"/>
        </w:rPr>
        <w:t xml:space="preserve">2015 </w:t>
      </w:r>
      <w:r w:rsidRPr="00F2484F">
        <w:rPr>
          <w:rFonts w:ascii="Arial" w:eastAsiaTheme="minorHAnsi" w:hAnsi="Arial" w:cs="Arial"/>
          <w:sz w:val="20"/>
          <w:szCs w:val="20"/>
          <w:lang w:val="en-ZA"/>
        </w:rPr>
        <w:t>Defence Review</w:t>
      </w:r>
      <w:r w:rsidRPr="00F2484F">
        <w:rPr>
          <w:rStyle w:val="FootnoteReference"/>
          <w:rFonts w:ascii="Arial" w:eastAsiaTheme="minorHAnsi" w:hAnsi="Arial" w:cs="Arial"/>
          <w:sz w:val="20"/>
          <w:szCs w:val="20"/>
          <w:lang w:val="en-ZA"/>
        </w:rPr>
        <w:footnoteReference w:id="9"/>
      </w:r>
      <w:r w:rsidRPr="00F2484F">
        <w:rPr>
          <w:rFonts w:ascii="Arial" w:eastAsiaTheme="minorHAnsi" w:hAnsi="Arial" w:cs="Arial"/>
          <w:sz w:val="20"/>
          <w:szCs w:val="20"/>
          <w:lang w:val="en-ZA"/>
        </w:rPr>
        <w:t xml:space="preserve"> </w:t>
      </w:r>
      <w:r w:rsidR="00B43731" w:rsidRPr="00F2484F">
        <w:rPr>
          <w:rFonts w:ascii="Arial" w:eastAsiaTheme="minorHAnsi" w:hAnsi="Arial" w:cs="Arial"/>
          <w:sz w:val="20"/>
          <w:szCs w:val="20"/>
          <w:lang w:val="en-ZA"/>
        </w:rPr>
        <w:t xml:space="preserve">further </w:t>
      </w:r>
      <w:r w:rsidRPr="00F2484F">
        <w:rPr>
          <w:rFonts w:ascii="Arial" w:eastAsiaTheme="minorHAnsi" w:hAnsi="Arial" w:cs="Arial"/>
          <w:sz w:val="20"/>
          <w:szCs w:val="20"/>
          <w:lang w:val="en-ZA"/>
        </w:rPr>
        <w:t>states that Defence Career Management will be managed by the Combat Services and Staff Divisions through a standardised career management process that aligns organisational requirements with individual career development or progression. The Department of Defence should ensure clear career-pathing and development programmes per mustering and speciality. Importantly, it states that the following principles will be pursued to enhance defence career management:</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left="426"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a. </w:t>
      </w:r>
      <w:r w:rsidRPr="00F2484F">
        <w:rPr>
          <w:rFonts w:ascii="Arial" w:eastAsiaTheme="minorHAnsi" w:hAnsi="Arial" w:cs="Arial"/>
          <w:sz w:val="20"/>
          <w:szCs w:val="20"/>
          <w:lang w:val="en-ZA"/>
        </w:rPr>
        <w:tab/>
        <w:t>Career and succession planning promotes the transfer of skills and competencies.</w:t>
      </w:r>
    </w:p>
    <w:p w:rsidR="00E271D1" w:rsidRPr="00F2484F" w:rsidRDefault="00E271D1" w:rsidP="00F2484F">
      <w:pPr>
        <w:autoSpaceDE w:val="0"/>
        <w:autoSpaceDN w:val="0"/>
        <w:adjustRightInd w:val="0"/>
        <w:ind w:left="426" w:right="54" w:hanging="720"/>
        <w:rPr>
          <w:rFonts w:ascii="Arial" w:eastAsiaTheme="minorHAnsi" w:hAnsi="Arial" w:cs="Arial"/>
          <w:sz w:val="20"/>
          <w:szCs w:val="20"/>
          <w:lang w:val="en-ZA"/>
        </w:rPr>
      </w:pPr>
      <w:r w:rsidRPr="00F2484F">
        <w:rPr>
          <w:rFonts w:ascii="Arial" w:eastAsiaTheme="minorHAnsi" w:hAnsi="Arial" w:cs="Arial"/>
          <w:sz w:val="20"/>
          <w:szCs w:val="20"/>
          <w:lang w:val="en-ZA"/>
        </w:rPr>
        <w:lastRenderedPageBreak/>
        <w:tab/>
        <w:t xml:space="preserve">b. </w:t>
      </w:r>
      <w:r w:rsidRPr="00F2484F">
        <w:rPr>
          <w:rFonts w:ascii="Arial" w:eastAsiaTheme="minorHAnsi" w:hAnsi="Arial" w:cs="Arial"/>
          <w:sz w:val="20"/>
          <w:szCs w:val="20"/>
          <w:lang w:val="en-ZA"/>
        </w:rPr>
        <w:tab/>
        <w:t xml:space="preserve">A synergetic relationship is created between individual career plans and workplace skill </w:t>
      </w:r>
      <w:r w:rsidRPr="00F2484F">
        <w:rPr>
          <w:rFonts w:ascii="Arial" w:eastAsiaTheme="minorHAnsi" w:hAnsi="Arial" w:cs="Arial"/>
          <w:sz w:val="20"/>
          <w:szCs w:val="20"/>
          <w:lang w:val="en-ZA"/>
        </w:rPr>
        <w:br/>
      </w:r>
      <w:r w:rsidRPr="00F2484F">
        <w:rPr>
          <w:rFonts w:ascii="Arial" w:eastAsiaTheme="minorHAnsi" w:hAnsi="Arial" w:cs="Arial"/>
          <w:sz w:val="20"/>
          <w:szCs w:val="20"/>
          <w:lang w:val="en-ZA"/>
        </w:rPr>
        <w:tab/>
        <w:t xml:space="preserve">plans with individuals taking co-responsibility for their own career management and </w:t>
      </w:r>
      <w:r w:rsidRPr="00F2484F">
        <w:rPr>
          <w:rFonts w:ascii="Arial" w:eastAsiaTheme="minorHAnsi" w:hAnsi="Arial" w:cs="Arial"/>
          <w:sz w:val="20"/>
          <w:szCs w:val="20"/>
          <w:lang w:val="en-ZA"/>
        </w:rPr>
        <w:tab/>
        <w:t>development.</w:t>
      </w:r>
    </w:p>
    <w:p w:rsidR="00E271D1" w:rsidRPr="00F2484F" w:rsidRDefault="00E271D1" w:rsidP="00F2484F">
      <w:pPr>
        <w:autoSpaceDE w:val="0"/>
        <w:autoSpaceDN w:val="0"/>
        <w:adjustRightInd w:val="0"/>
        <w:ind w:left="426"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c. </w:t>
      </w:r>
      <w:r w:rsidRPr="00F2484F">
        <w:rPr>
          <w:rFonts w:ascii="Arial" w:eastAsiaTheme="minorHAnsi" w:hAnsi="Arial" w:cs="Arial"/>
          <w:sz w:val="20"/>
          <w:szCs w:val="20"/>
          <w:lang w:val="en-ZA"/>
        </w:rPr>
        <w:tab/>
        <w:t xml:space="preserve">Career paths are effectively communicated and individual career plans are regularly updated </w:t>
      </w:r>
      <w:r w:rsidRPr="00F2484F">
        <w:rPr>
          <w:rFonts w:ascii="Arial" w:eastAsiaTheme="minorHAnsi" w:hAnsi="Arial" w:cs="Arial"/>
          <w:sz w:val="20"/>
          <w:szCs w:val="20"/>
          <w:lang w:val="en-ZA"/>
        </w:rPr>
        <w:tab/>
        <w:t>and compiled in consultation with the member or employee.</w:t>
      </w:r>
    </w:p>
    <w:p w:rsidR="00E271D1" w:rsidRPr="00F2484F" w:rsidRDefault="00E271D1" w:rsidP="00F2484F">
      <w:pPr>
        <w:autoSpaceDE w:val="0"/>
        <w:autoSpaceDN w:val="0"/>
        <w:adjustRightInd w:val="0"/>
        <w:ind w:left="426"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d. </w:t>
      </w:r>
      <w:r w:rsidRPr="00F2484F">
        <w:rPr>
          <w:rFonts w:ascii="Arial" w:eastAsiaTheme="minorHAnsi" w:hAnsi="Arial" w:cs="Arial"/>
          <w:sz w:val="20"/>
          <w:szCs w:val="20"/>
          <w:lang w:val="en-ZA"/>
        </w:rPr>
        <w:tab/>
        <w:t>Succession plans are available two years in advance.</w:t>
      </w:r>
    </w:p>
    <w:p w:rsidR="00E271D1" w:rsidRPr="00F2484F" w:rsidRDefault="00E271D1" w:rsidP="00F2484F">
      <w:pPr>
        <w:autoSpaceDE w:val="0"/>
        <w:autoSpaceDN w:val="0"/>
        <w:adjustRightInd w:val="0"/>
        <w:ind w:left="426"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e. </w:t>
      </w:r>
      <w:r w:rsidRPr="00F2484F">
        <w:rPr>
          <w:rFonts w:ascii="Arial" w:eastAsiaTheme="minorHAnsi" w:hAnsi="Arial" w:cs="Arial"/>
          <w:sz w:val="20"/>
          <w:szCs w:val="20"/>
          <w:lang w:val="en-ZA"/>
        </w:rPr>
        <w:tab/>
        <w:t>Commanders and line managers are actively involved in the career management process.</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It should be highlighted that</w:t>
      </w:r>
      <w:r w:rsidR="00A04C7B" w:rsidRPr="00F2484F">
        <w:rPr>
          <w:rFonts w:ascii="Arial" w:eastAsiaTheme="minorHAnsi" w:hAnsi="Arial" w:cs="Arial"/>
          <w:sz w:val="20"/>
          <w:szCs w:val="20"/>
          <w:lang w:val="en-ZA"/>
        </w:rPr>
        <w:t>,</w:t>
      </w:r>
      <w:r w:rsidRPr="00F2484F">
        <w:rPr>
          <w:rFonts w:ascii="Arial" w:eastAsiaTheme="minorHAnsi" w:hAnsi="Arial" w:cs="Arial"/>
          <w:sz w:val="20"/>
          <w:szCs w:val="20"/>
          <w:lang w:val="en-ZA"/>
        </w:rPr>
        <w:t xml:space="preserve"> given the JSCD’s focus on the concepts of personnel management and defence career management</w:t>
      </w:r>
      <w:r w:rsidR="00E8756A" w:rsidRPr="00F2484F">
        <w:rPr>
          <w:rFonts w:ascii="Arial" w:eastAsiaTheme="minorHAnsi" w:hAnsi="Arial" w:cs="Arial"/>
          <w:sz w:val="20"/>
          <w:szCs w:val="20"/>
          <w:lang w:val="en-ZA"/>
        </w:rPr>
        <w:t xml:space="preserve"> in the 6</w:t>
      </w:r>
      <w:r w:rsidR="00E8756A" w:rsidRPr="00F2484F">
        <w:rPr>
          <w:rFonts w:ascii="Arial" w:eastAsiaTheme="minorHAnsi" w:hAnsi="Arial" w:cs="Arial"/>
          <w:sz w:val="20"/>
          <w:szCs w:val="20"/>
          <w:vertAlign w:val="superscript"/>
          <w:lang w:val="en-ZA"/>
        </w:rPr>
        <w:t>th</w:t>
      </w:r>
      <w:r w:rsidR="00E8756A" w:rsidRPr="00F2484F">
        <w:rPr>
          <w:rFonts w:ascii="Arial" w:eastAsiaTheme="minorHAnsi" w:hAnsi="Arial" w:cs="Arial"/>
          <w:sz w:val="20"/>
          <w:szCs w:val="20"/>
          <w:lang w:val="en-ZA"/>
        </w:rPr>
        <w:t xml:space="preserve"> Parliament</w:t>
      </w:r>
      <w:r w:rsidRPr="00F2484F">
        <w:rPr>
          <w:rFonts w:ascii="Arial" w:eastAsiaTheme="minorHAnsi" w:hAnsi="Arial" w:cs="Arial"/>
          <w:sz w:val="20"/>
          <w:szCs w:val="20"/>
          <w:lang w:val="en-ZA"/>
        </w:rPr>
        <w:t>, it remains a concern that these issues are not being effectively dealt with</w:t>
      </w:r>
      <w:r w:rsidR="00A04C7B" w:rsidRPr="00F2484F">
        <w:rPr>
          <w:rFonts w:ascii="Arial" w:eastAsiaTheme="minorHAnsi" w:hAnsi="Arial" w:cs="Arial"/>
          <w:sz w:val="20"/>
          <w:szCs w:val="20"/>
          <w:lang w:val="en-ZA"/>
        </w:rPr>
        <w:t xml:space="preserve"> within the DOD</w:t>
      </w:r>
      <w:r w:rsidRPr="00F2484F">
        <w:rPr>
          <w:rFonts w:ascii="Arial" w:eastAsiaTheme="minorHAnsi" w:hAnsi="Arial" w:cs="Arial"/>
          <w:sz w:val="20"/>
          <w:szCs w:val="20"/>
          <w:lang w:val="en-ZA"/>
        </w:rPr>
        <w:t xml:space="preserve">. </w:t>
      </w:r>
    </w:p>
    <w:p w:rsidR="00E271D1" w:rsidRPr="00F2484F" w:rsidRDefault="00E271D1" w:rsidP="00F2484F">
      <w:pPr>
        <w:autoSpaceDE w:val="0"/>
        <w:autoSpaceDN w:val="0"/>
        <w:adjustRightInd w:val="0"/>
        <w:ind w:left="426" w:right="54"/>
        <w:rPr>
          <w:rFonts w:ascii="Arial" w:eastAsiaTheme="minorHAnsi" w:hAnsi="Arial" w:cs="Arial"/>
          <w:sz w:val="20"/>
          <w:szCs w:val="20"/>
          <w:lang w:val="en-ZA"/>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4.</w:t>
      </w:r>
      <w:r w:rsidRPr="00F2484F">
        <w:rPr>
          <w:rFonts w:ascii="Arial" w:hAnsi="Arial" w:cs="Arial"/>
          <w:b/>
          <w:sz w:val="20"/>
          <w:szCs w:val="20"/>
        </w:rPr>
        <w:tab/>
        <w:t>INTEGRATION</w:t>
      </w:r>
    </w:p>
    <w:p w:rsidR="00E271D1" w:rsidRPr="00F2484F" w:rsidRDefault="00E271D1" w:rsidP="00F2484F">
      <w:pPr>
        <w:ind w:right="54"/>
        <w:rPr>
          <w:rFonts w:ascii="Arial" w:hAnsi="Arial" w:cs="Arial"/>
          <w:b/>
          <w:sz w:val="20"/>
          <w:szCs w:val="20"/>
        </w:rPr>
      </w:pPr>
    </w:p>
    <w:p w:rsidR="00E271D1" w:rsidRPr="00F2484F" w:rsidRDefault="00E271D1" w:rsidP="00F2484F">
      <w:pPr>
        <w:autoSpaceDE w:val="0"/>
        <w:autoSpaceDN w:val="0"/>
        <w:adjustRightInd w:val="0"/>
        <w:rPr>
          <w:rFonts w:ascii="Arial" w:hAnsi="Arial" w:cs="Arial"/>
          <w:sz w:val="20"/>
          <w:szCs w:val="20"/>
        </w:rPr>
      </w:pPr>
      <w:r w:rsidRPr="00F2484F">
        <w:rPr>
          <w:rFonts w:ascii="Arial" w:eastAsia="ArialMT" w:hAnsi="Arial" w:cs="Arial"/>
          <w:sz w:val="20"/>
          <w:szCs w:val="20"/>
        </w:rPr>
        <w:t>O</w:t>
      </w:r>
      <w:r w:rsidRPr="00F2484F">
        <w:rPr>
          <w:rFonts w:ascii="Arial" w:eastAsia="TimesNewRomanPSMT" w:hAnsi="Arial" w:cs="Arial"/>
          <w:sz w:val="20"/>
          <w:szCs w:val="20"/>
        </w:rPr>
        <w:t xml:space="preserve">n the eve of the 1994 first democratic general election, the SANDF replaced the </w:t>
      </w:r>
      <w:r w:rsidRPr="00F2484F">
        <w:rPr>
          <w:rFonts w:ascii="Arial" w:hAnsi="Arial" w:cs="Arial"/>
          <w:sz w:val="20"/>
          <w:szCs w:val="20"/>
        </w:rPr>
        <w:t>South African Defence Force (</w:t>
      </w:r>
      <w:r w:rsidRPr="00F2484F">
        <w:rPr>
          <w:rFonts w:ascii="Arial" w:eastAsia="TimesNewRomanPSMT" w:hAnsi="Arial" w:cs="Arial"/>
          <w:sz w:val="20"/>
          <w:szCs w:val="20"/>
        </w:rPr>
        <w:t xml:space="preserve">SADF) as a result of the decision to integrate </w:t>
      </w:r>
      <w:r w:rsidRPr="00F2484F">
        <w:rPr>
          <w:rFonts w:ascii="Arial" w:hAnsi="Arial" w:cs="Arial"/>
          <w:sz w:val="20"/>
          <w:szCs w:val="20"/>
        </w:rPr>
        <w:t>the SADF, Umkhonto we Sizwe (MK), the Azanian People's Liberation Army (APLA), and the defence forces of the four homelands (Ciskei, Transkei, Bophuthatswana and Venda). Included later was the KwaZulu Self-Protection Force (KZSPF) of the Inkatha Freedom Party (IFP).</w:t>
      </w:r>
      <w:r w:rsidRPr="00F2484F">
        <w:rPr>
          <w:rStyle w:val="FootnoteReference"/>
          <w:rFonts w:ascii="Arial" w:hAnsi="Arial" w:cs="Arial"/>
          <w:sz w:val="20"/>
          <w:szCs w:val="20"/>
        </w:rPr>
        <w:footnoteReference w:id="10"/>
      </w:r>
      <w:r w:rsidRPr="00F2484F">
        <w:rPr>
          <w:rFonts w:ascii="Arial" w:hAnsi="Arial" w:cs="Arial"/>
          <w:sz w:val="20"/>
          <w:szCs w:val="20"/>
        </w:rPr>
        <w:t xml:space="preserve"> The integration process was an important step in stabilising the South African military environment and aligning it with a democratic political dispensation.</w:t>
      </w:r>
    </w:p>
    <w:p w:rsidR="00E271D1" w:rsidRPr="00F2484F" w:rsidRDefault="00E271D1" w:rsidP="00F2484F">
      <w:pPr>
        <w:autoSpaceDE w:val="0"/>
        <w:autoSpaceDN w:val="0"/>
        <w:adjustRightInd w:val="0"/>
        <w:rPr>
          <w:rFonts w:ascii="Arial" w:hAnsi="Arial" w:cs="Arial"/>
          <w:sz w:val="20"/>
          <w:szCs w:val="20"/>
        </w:rPr>
      </w:pPr>
    </w:p>
    <w:p w:rsidR="00E271D1" w:rsidRPr="00F2484F" w:rsidRDefault="00E271D1" w:rsidP="00F2484F">
      <w:pPr>
        <w:autoSpaceDE w:val="0"/>
        <w:autoSpaceDN w:val="0"/>
        <w:adjustRightInd w:val="0"/>
        <w:rPr>
          <w:rFonts w:ascii="Arial" w:hAnsi="Arial" w:cs="Arial"/>
          <w:b/>
          <w:sz w:val="20"/>
          <w:szCs w:val="20"/>
        </w:rPr>
      </w:pPr>
      <w:r w:rsidRPr="00F2484F">
        <w:rPr>
          <w:rFonts w:ascii="Arial" w:hAnsi="Arial" w:cs="Arial"/>
          <w:b/>
          <w:sz w:val="20"/>
          <w:szCs w:val="20"/>
        </w:rPr>
        <w:t>4.1.</w:t>
      </w:r>
      <w:r w:rsidRPr="00F2484F">
        <w:rPr>
          <w:rFonts w:ascii="Arial" w:hAnsi="Arial" w:cs="Arial"/>
          <w:b/>
          <w:sz w:val="20"/>
          <w:szCs w:val="20"/>
        </w:rPr>
        <w:tab/>
        <w:t xml:space="preserve">Termination </w:t>
      </w:r>
      <w:r w:rsidRPr="00F2484F">
        <w:rPr>
          <w:rFonts w:ascii="Arial" w:eastAsiaTheme="minorHAnsi" w:hAnsi="Arial" w:cs="Arial"/>
          <w:b/>
          <w:color w:val="000000"/>
          <w:sz w:val="20"/>
          <w:szCs w:val="20"/>
          <w:lang w:val="en-ZA"/>
        </w:rPr>
        <w:t>of the Integration Intake Act of 2001</w:t>
      </w:r>
    </w:p>
    <w:p w:rsidR="00E271D1" w:rsidRPr="00F2484F" w:rsidRDefault="00E271D1" w:rsidP="00F2484F">
      <w:pPr>
        <w:autoSpaceDE w:val="0"/>
        <w:autoSpaceDN w:val="0"/>
        <w:adjustRightInd w:val="0"/>
        <w:rPr>
          <w:rFonts w:ascii="Arial" w:hAnsi="Arial" w:cs="Arial"/>
          <w:sz w:val="20"/>
          <w:szCs w:val="20"/>
        </w:rPr>
      </w:pPr>
    </w:p>
    <w:p w:rsidR="00E271D1" w:rsidRPr="00F2484F" w:rsidRDefault="00E271D1" w:rsidP="00F2484F">
      <w:pPr>
        <w:autoSpaceDE w:val="0"/>
        <w:autoSpaceDN w:val="0"/>
        <w:adjustRightInd w:val="0"/>
        <w:rPr>
          <w:rFonts w:ascii="Arial" w:hAnsi="Arial" w:cs="Arial"/>
          <w:sz w:val="20"/>
          <w:szCs w:val="20"/>
        </w:rPr>
      </w:pPr>
      <w:r w:rsidRPr="00F2484F">
        <w:rPr>
          <w:rFonts w:ascii="Arial" w:hAnsi="Arial" w:cs="Arial"/>
          <w:sz w:val="20"/>
          <w:szCs w:val="20"/>
        </w:rPr>
        <w:t xml:space="preserve">With the integration process largely completed in the late 1990s, the Termination </w:t>
      </w:r>
      <w:r w:rsidRPr="00F2484F">
        <w:rPr>
          <w:rFonts w:ascii="Arial" w:eastAsiaTheme="minorHAnsi" w:hAnsi="Arial" w:cs="Arial"/>
          <w:color w:val="000000"/>
          <w:sz w:val="20"/>
          <w:szCs w:val="20"/>
          <w:lang w:val="en-ZA"/>
        </w:rPr>
        <w:t>of the Integration Intake Act of 2001 and the Demobilisation Amendment Act of 2001 formally and legally brought the Integration process to an end as at 31 December 2002. Accordingly, the reason for the repeal of the Act was because the integration process ended in December 2002. The South African Law Reform Commission (SALRC) stated that this Act has no surv</w:t>
      </w:r>
      <w:r w:rsidR="00A04C7B" w:rsidRPr="00F2484F">
        <w:rPr>
          <w:rFonts w:ascii="Arial" w:eastAsiaTheme="minorHAnsi" w:hAnsi="Arial" w:cs="Arial"/>
          <w:color w:val="000000"/>
          <w:sz w:val="20"/>
          <w:szCs w:val="20"/>
          <w:lang w:val="en-ZA"/>
        </w:rPr>
        <w:t>iving or independent provisions</w:t>
      </w:r>
      <w:r w:rsidRPr="00F2484F">
        <w:rPr>
          <w:rFonts w:ascii="Arial" w:eastAsiaTheme="minorHAnsi" w:hAnsi="Arial" w:cs="Arial"/>
          <w:color w:val="000000"/>
          <w:sz w:val="20"/>
          <w:szCs w:val="20"/>
          <w:lang w:val="en-ZA"/>
        </w:rPr>
        <w:t xml:space="preserve"> and should thus be repealed. </w:t>
      </w:r>
      <w:r w:rsidRPr="00F2484F">
        <w:rPr>
          <w:rFonts w:ascii="Arial" w:hAnsi="Arial" w:cs="Arial"/>
          <w:sz w:val="20"/>
          <w:szCs w:val="20"/>
        </w:rPr>
        <w:t>The Deputy Minister of Defence and Milita</w:t>
      </w:r>
      <w:r w:rsidR="00A04C7B" w:rsidRPr="00F2484F">
        <w:rPr>
          <w:rFonts w:ascii="Arial" w:hAnsi="Arial" w:cs="Arial"/>
          <w:sz w:val="20"/>
          <w:szCs w:val="20"/>
        </w:rPr>
        <w:t xml:space="preserve">ry Veterans at the time stated </w:t>
      </w:r>
      <w:r w:rsidRPr="00F2484F">
        <w:rPr>
          <w:rFonts w:ascii="Arial" w:hAnsi="Arial" w:cs="Arial"/>
          <w:sz w:val="20"/>
          <w:szCs w:val="20"/>
        </w:rPr>
        <w:t>that “the integration process closed on 31 March 2002 and any other member of the statutory forces or non-statutory forces who did not submit to the integration process at that time will unfortunately not be entertained now.”</w:t>
      </w:r>
      <w:r w:rsidRPr="00F2484F">
        <w:rPr>
          <w:rStyle w:val="FootnoteReference"/>
          <w:rFonts w:ascii="Arial" w:hAnsi="Arial" w:cs="Arial"/>
          <w:sz w:val="20"/>
          <w:szCs w:val="20"/>
        </w:rPr>
        <w:footnoteReference w:id="11"/>
      </w:r>
    </w:p>
    <w:p w:rsidR="00E271D1" w:rsidRPr="00F2484F" w:rsidRDefault="00E271D1" w:rsidP="00F2484F">
      <w:pPr>
        <w:autoSpaceDE w:val="0"/>
        <w:autoSpaceDN w:val="0"/>
        <w:adjustRightInd w:val="0"/>
        <w:rPr>
          <w:rFonts w:ascii="Arial" w:hAnsi="Arial" w:cs="Arial"/>
          <w:sz w:val="20"/>
          <w:szCs w:val="20"/>
        </w:rPr>
      </w:pPr>
    </w:p>
    <w:p w:rsidR="00E271D1" w:rsidRPr="00F2484F" w:rsidRDefault="00E271D1" w:rsidP="00F2484F">
      <w:pPr>
        <w:autoSpaceDE w:val="0"/>
        <w:autoSpaceDN w:val="0"/>
        <w:adjustRightInd w:val="0"/>
        <w:rPr>
          <w:rFonts w:ascii="Arial" w:hAnsi="Arial" w:cs="Arial"/>
          <w:sz w:val="20"/>
          <w:szCs w:val="20"/>
        </w:rPr>
      </w:pPr>
      <w:r w:rsidRPr="00F2484F">
        <w:rPr>
          <w:rFonts w:ascii="Arial" w:hAnsi="Arial" w:cs="Arial"/>
          <w:sz w:val="20"/>
          <w:szCs w:val="20"/>
        </w:rPr>
        <w:t xml:space="preserve">Despite the Act being repealed and integration process closed, there were further attempts at integration that impacted Parliament’s work. </w:t>
      </w:r>
      <w:r w:rsidR="00A04C7B" w:rsidRPr="00F2484F">
        <w:rPr>
          <w:rFonts w:ascii="Arial" w:hAnsi="Arial" w:cs="Arial"/>
          <w:sz w:val="20"/>
          <w:szCs w:val="20"/>
        </w:rPr>
        <w:t>Most recently</w:t>
      </w:r>
      <w:r w:rsidRPr="00F2484F">
        <w:rPr>
          <w:rFonts w:ascii="Arial" w:hAnsi="Arial" w:cs="Arial"/>
          <w:sz w:val="20"/>
          <w:szCs w:val="20"/>
        </w:rPr>
        <w:t xml:space="preserve">, the Khoisan </w:t>
      </w:r>
      <w:r w:rsidR="00DF4BF8" w:rsidRPr="00F2484F">
        <w:rPr>
          <w:rFonts w:ascii="Arial" w:hAnsi="Arial" w:cs="Arial"/>
          <w:sz w:val="20"/>
          <w:szCs w:val="20"/>
        </w:rPr>
        <w:t xml:space="preserve">Nation </w:t>
      </w:r>
      <w:r w:rsidRPr="00F2484F">
        <w:rPr>
          <w:rFonts w:ascii="Arial" w:hAnsi="Arial" w:cs="Arial"/>
          <w:sz w:val="20"/>
          <w:szCs w:val="20"/>
        </w:rPr>
        <w:t>Self Defence Unit</w:t>
      </w:r>
      <w:r w:rsidRPr="00F2484F">
        <w:rPr>
          <w:rStyle w:val="FootnoteReference"/>
          <w:rFonts w:ascii="Arial" w:hAnsi="Arial" w:cs="Arial"/>
          <w:sz w:val="20"/>
          <w:szCs w:val="20"/>
        </w:rPr>
        <w:footnoteReference w:id="12"/>
      </w:r>
      <w:r w:rsidRPr="00F2484F">
        <w:rPr>
          <w:rFonts w:ascii="Arial" w:hAnsi="Arial" w:cs="Arial"/>
          <w:sz w:val="20"/>
          <w:szCs w:val="20"/>
        </w:rPr>
        <w:t xml:space="preserve"> attempted to be integrated </w:t>
      </w:r>
      <w:r w:rsidR="00A04C7B" w:rsidRPr="00F2484F">
        <w:rPr>
          <w:rFonts w:ascii="Arial" w:hAnsi="Arial" w:cs="Arial"/>
          <w:sz w:val="20"/>
          <w:szCs w:val="20"/>
        </w:rPr>
        <w:t>with</w:t>
      </w:r>
      <w:r w:rsidRPr="00F2484F">
        <w:rPr>
          <w:rFonts w:ascii="Arial" w:hAnsi="Arial" w:cs="Arial"/>
          <w:sz w:val="20"/>
          <w:szCs w:val="20"/>
        </w:rPr>
        <w:t xml:space="preserve"> the SAND</w:t>
      </w:r>
      <w:r w:rsidR="00A04C7B" w:rsidRPr="00F2484F">
        <w:rPr>
          <w:rFonts w:ascii="Arial" w:hAnsi="Arial" w:cs="Arial"/>
          <w:sz w:val="20"/>
          <w:szCs w:val="20"/>
        </w:rPr>
        <w:t>F on numerous occasions. The PC</w:t>
      </w:r>
      <w:r w:rsidRPr="00F2484F">
        <w:rPr>
          <w:rFonts w:ascii="Arial" w:hAnsi="Arial" w:cs="Arial"/>
          <w:sz w:val="20"/>
          <w:szCs w:val="20"/>
        </w:rPr>
        <w:t>DMV, after engaging extensively with the merits of their case during the 6</w:t>
      </w:r>
      <w:r w:rsidRPr="00F2484F">
        <w:rPr>
          <w:rFonts w:ascii="Arial" w:hAnsi="Arial" w:cs="Arial"/>
          <w:sz w:val="20"/>
          <w:szCs w:val="20"/>
          <w:vertAlign w:val="superscript"/>
        </w:rPr>
        <w:t>th</w:t>
      </w:r>
      <w:r w:rsidRPr="00F2484F">
        <w:rPr>
          <w:rFonts w:ascii="Arial" w:hAnsi="Arial" w:cs="Arial"/>
          <w:sz w:val="20"/>
          <w:szCs w:val="20"/>
        </w:rPr>
        <w:t xml:space="preserve"> Parliament, found that no legislative provision allows for such integration. </w:t>
      </w:r>
    </w:p>
    <w:p w:rsidR="00E271D1" w:rsidRPr="00F2484F" w:rsidRDefault="00E271D1" w:rsidP="00F2484F">
      <w:pPr>
        <w:autoSpaceDE w:val="0"/>
        <w:autoSpaceDN w:val="0"/>
        <w:adjustRightInd w:val="0"/>
        <w:rPr>
          <w:rFonts w:ascii="Arial" w:hAnsi="Arial" w:cs="Arial"/>
          <w:sz w:val="20"/>
          <w:szCs w:val="20"/>
        </w:rPr>
      </w:pPr>
    </w:p>
    <w:p w:rsidR="00E271D1" w:rsidRPr="00F2484F" w:rsidRDefault="00E271D1" w:rsidP="00F2484F">
      <w:pPr>
        <w:autoSpaceDE w:val="0"/>
        <w:autoSpaceDN w:val="0"/>
        <w:adjustRightInd w:val="0"/>
        <w:rPr>
          <w:rFonts w:ascii="Arial" w:eastAsia="ArialMT" w:hAnsi="Arial" w:cs="Arial"/>
          <w:sz w:val="20"/>
          <w:szCs w:val="20"/>
        </w:rPr>
      </w:pPr>
      <w:r w:rsidRPr="00F2484F">
        <w:rPr>
          <w:rFonts w:ascii="Arial" w:hAnsi="Arial" w:cs="Arial"/>
          <w:sz w:val="20"/>
          <w:szCs w:val="20"/>
        </w:rPr>
        <w:t xml:space="preserve">Given that 28 years have since passed, and that many of those who have integrated are slowly exiting the military system, lesser attention is being paid to the issue of integration. During a JSCD symposium on succession planning in 2022, external experts, Dr M Khanyile and Prof S Tshehla, pointed out that the Phase between 1994 and 2014 focused on Integration, but that currently a Consolidation Phase (2015 to 2025) characterises issues of with a focus on </w:t>
      </w:r>
      <w:r w:rsidRPr="00F2484F">
        <w:rPr>
          <w:rFonts w:ascii="Arial" w:hAnsi="Arial" w:cs="Arial"/>
          <w:sz w:val="20"/>
          <w:szCs w:val="20"/>
          <w:lang w:val="en-US"/>
        </w:rPr>
        <w:t xml:space="preserve">Transformation (diversity), </w:t>
      </w:r>
      <w:r w:rsidRPr="00F2484F">
        <w:rPr>
          <w:rFonts w:ascii="Arial" w:hAnsi="Arial" w:cs="Arial"/>
          <w:sz w:val="20"/>
          <w:szCs w:val="20"/>
          <w:lang w:val="en-ZA"/>
        </w:rPr>
        <w:t xml:space="preserve">Professionalisation (Skills focus) and the execution of Operations.  It against this context that the following is presented. </w:t>
      </w: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4.2</w:t>
      </w:r>
      <w:r w:rsidRPr="00F2484F">
        <w:rPr>
          <w:rFonts w:ascii="Arial" w:hAnsi="Arial" w:cs="Arial"/>
          <w:b/>
          <w:sz w:val="20"/>
          <w:szCs w:val="20"/>
        </w:rPr>
        <w:tab/>
        <w:t xml:space="preserve">The White </w:t>
      </w:r>
      <w:r w:rsidR="000C59B8" w:rsidRPr="00F2484F">
        <w:rPr>
          <w:rFonts w:ascii="Arial" w:hAnsi="Arial" w:cs="Arial"/>
          <w:b/>
          <w:sz w:val="20"/>
          <w:szCs w:val="20"/>
        </w:rPr>
        <w:t xml:space="preserve">Paper </w:t>
      </w:r>
      <w:r w:rsidRPr="00F2484F">
        <w:rPr>
          <w:rFonts w:ascii="Arial" w:hAnsi="Arial" w:cs="Arial"/>
          <w:b/>
          <w:sz w:val="20"/>
          <w:szCs w:val="20"/>
        </w:rPr>
        <w:t>on Defence, 1996.</w:t>
      </w:r>
    </w:p>
    <w:p w:rsidR="00E271D1" w:rsidRPr="00F2484F" w:rsidRDefault="00E271D1" w:rsidP="00F2484F">
      <w:pPr>
        <w:ind w:right="54"/>
        <w:rPr>
          <w:rFonts w:ascii="Arial" w:hAnsi="Arial" w:cs="Arial"/>
          <w:b/>
          <w:sz w:val="20"/>
          <w:szCs w:val="20"/>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hAnsi="Arial" w:cs="Arial"/>
          <w:sz w:val="20"/>
          <w:szCs w:val="20"/>
        </w:rPr>
        <w:t>The 1996 White Paper states that</w:t>
      </w:r>
      <w:r w:rsidR="00A04C7B" w:rsidRPr="00F2484F">
        <w:rPr>
          <w:rFonts w:ascii="Arial" w:hAnsi="Arial" w:cs="Arial"/>
          <w:sz w:val="20"/>
          <w:szCs w:val="20"/>
        </w:rPr>
        <w:t>,</w:t>
      </w:r>
      <w:r w:rsidRPr="00F2484F">
        <w:rPr>
          <w:rFonts w:ascii="Arial" w:hAnsi="Arial" w:cs="Arial"/>
          <w:sz w:val="20"/>
          <w:szCs w:val="20"/>
        </w:rPr>
        <w:t xml:space="preserve"> </w:t>
      </w:r>
      <w:r w:rsidRPr="00F2484F">
        <w:rPr>
          <w:rFonts w:ascii="Arial" w:eastAsiaTheme="minorHAnsi" w:hAnsi="Arial" w:cs="Arial"/>
          <w:sz w:val="20"/>
          <w:szCs w:val="20"/>
          <w:lang w:val="en-ZA"/>
        </w:rPr>
        <w:t>following South Africa's first democratic election in April 1994, the SANDF was established through the integration of former statutory and non-statutory forces. It stressed that the integration of these forces, many of which were once enemies-in-arms, is a powerful symbol and practical demonstration of our country's commitment to national reconciliation and unity.</w:t>
      </w:r>
      <w:r w:rsidRPr="00F2484F">
        <w:rPr>
          <w:rStyle w:val="FootnoteReference"/>
          <w:rFonts w:ascii="Arial" w:eastAsiaTheme="minorHAnsi" w:hAnsi="Arial" w:cs="Arial"/>
          <w:sz w:val="20"/>
          <w:szCs w:val="20"/>
          <w:lang w:val="en-ZA"/>
        </w:rPr>
        <w:footnoteReference w:id="13"/>
      </w:r>
      <w:r w:rsidRPr="00F2484F">
        <w:rPr>
          <w:rFonts w:ascii="Arial" w:eastAsiaTheme="minorHAnsi" w:hAnsi="Arial" w:cs="Arial"/>
          <w:sz w:val="20"/>
          <w:szCs w:val="20"/>
          <w:lang w:val="en-ZA"/>
        </w:rPr>
        <w:t xml:space="preserve"> It further </w:t>
      </w:r>
      <w:r w:rsidRPr="00F2484F">
        <w:rPr>
          <w:rFonts w:ascii="Arial" w:hAnsi="Arial" w:cs="Arial"/>
          <w:sz w:val="20"/>
          <w:szCs w:val="20"/>
        </w:rPr>
        <w:t xml:space="preserve">discusses integration </w:t>
      </w:r>
      <w:r w:rsidRPr="00F2484F">
        <w:rPr>
          <w:rFonts w:ascii="Arial" w:hAnsi="Arial" w:cs="Arial"/>
          <w:sz w:val="20"/>
          <w:szCs w:val="20"/>
        </w:rPr>
        <w:lastRenderedPageBreak/>
        <w:t>in Chapter 6</w:t>
      </w:r>
      <w:r w:rsidR="00A04C7B" w:rsidRPr="00F2484F">
        <w:rPr>
          <w:rFonts w:ascii="Arial" w:hAnsi="Arial" w:cs="Arial"/>
          <w:sz w:val="20"/>
          <w:szCs w:val="20"/>
        </w:rPr>
        <w:t xml:space="preserve"> (</w:t>
      </w:r>
      <w:r w:rsidRPr="00F2484F">
        <w:rPr>
          <w:rFonts w:ascii="Arial" w:hAnsi="Arial" w:cs="Arial"/>
          <w:sz w:val="20"/>
          <w:szCs w:val="20"/>
        </w:rPr>
        <w:t>Human Resources</w:t>
      </w:r>
      <w:r w:rsidR="00A04C7B" w:rsidRPr="00F2484F">
        <w:rPr>
          <w:rFonts w:ascii="Arial" w:hAnsi="Arial" w:cs="Arial"/>
          <w:sz w:val="20"/>
          <w:szCs w:val="20"/>
        </w:rPr>
        <w:t>)</w:t>
      </w:r>
      <w:r w:rsidRPr="00F2484F">
        <w:rPr>
          <w:rFonts w:ascii="Arial" w:hAnsi="Arial" w:cs="Arial"/>
          <w:sz w:val="20"/>
          <w:szCs w:val="20"/>
        </w:rPr>
        <w:t>, where it emphasises that t</w:t>
      </w:r>
      <w:r w:rsidRPr="00F2484F">
        <w:rPr>
          <w:rFonts w:ascii="Arial" w:eastAsiaTheme="minorHAnsi" w:hAnsi="Arial" w:cs="Arial"/>
          <w:sz w:val="20"/>
          <w:szCs w:val="20"/>
          <w:lang w:val="en-ZA"/>
        </w:rPr>
        <w:t>he DOD has three governing principles for integration</w:t>
      </w:r>
      <w:r w:rsidR="00A04C7B" w:rsidRPr="00F2484F">
        <w:rPr>
          <w:rFonts w:ascii="Arial" w:eastAsiaTheme="minorHAnsi" w:hAnsi="Arial" w:cs="Arial"/>
          <w:sz w:val="20"/>
          <w:szCs w:val="20"/>
          <w:lang w:val="en-ZA"/>
        </w:rPr>
        <w:t>, namely (1)</w:t>
      </w:r>
      <w:r w:rsidRPr="00F2484F">
        <w:rPr>
          <w:rFonts w:ascii="Arial" w:eastAsiaTheme="minorHAnsi" w:hAnsi="Arial" w:cs="Arial"/>
          <w:sz w:val="20"/>
          <w:szCs w:val="20"/>
          <w:lang w:val="en-ZA"/>
        </w:rPr>
        <w:t xml:space="preserve"> all members of the SANDF shall be t</w:t>
      </w:r>
      <w:r w:rsidR="00A04C7B" w:rsidRPr="00F2484F">
        <w:rPr>
          <w:rFonts w:ascii="Arial" w:eastAsiaTheme="minorHAnsi" w:hAnsi="Arial" w:cs="Arial"/>
          <w:sz w:val="20"/>
          <w:szCs w:val="20"/>
          <w:lang w:val="en-ZA"/>
        </w:rPr>
        <w:t>reated with respect and dignity, (2)</w:t>
      </w:r>
      <w:r w:rsidRPr="00F2484F">
        <w:rPr>
          <w:rFonts w:ascii="Arial" w:eastAsiaTheme="minorHAnsi" w:hAnsi="Arial" w:cs="Arial"/>
          <w:sz w:val="20"/>
          <w:szCs w:val="20"/>
          <w:lang w:val="en-ZA"/>
        </w:rPr>
        <w:t xml:space="preserve"> integration shall proceed in a spirit of partnership and</w:t>
      </w:r>
      <w:r w:rsidR="00A04C7B" w:rsidRPr="00F2484F">
        <w:rPr>
          <w:rFonts w:ascii="Arial" w:eastAsiaTheme="minorHAnsi" w:hAnsi="Arial" w:cs="Arial"/>
          <w:sz w:val="20"/>
          <w:szCs w:val="20"/>
          <w:lang w:val="en-ZA"/>
        </w:rPr>
        <w:t xml:space="preserve"> (3) </w:t>
      </w:r>
      <w:r w:rsidRPr="00F2484F">
        <w:rPr>
          <w:rFonts w:ascii="Arial" w:eastAsiaTheme="minorHAnsi" w:hAnsi="Arial" w:cs="Arial"/>
          <w:sz w:val="20"/>
          <w:szCs w:val="20"/>
          <w:lang w:val="en-ZA"/>
        </w:rPr>
        <w:t>as required by the Constitution, there shall be no discrimination.</w:t>
      </w:r>
      <w:r w:rsidRPr="00F2484F">
        <w:rPr>
          <w:rStyle w:val="FootnoteReference"/>
          <w:rFonts w:ascii="Arial" w:eastAsiaTheme="minorHAnsi" w:hAnsi="Arial" w:cs="Arial"/>
          <w:sz w:val="20"/>
          <w:szCs w:val="20"/>
          <w:lang w:val="en-ZA"/>
        </w:rPr>
        <w:footnoteReference w:id="14"/>
      </w:r>
      <w:r w:rsidRPr="00F2484F">
        <w:rPr>
          <w:rFonts w:ascii="Arial" w:hAnsi="Arial" w:cs="Arial"/>
          <w:sz w:val="20"/>
          <w:szCs w:val="20"/>
        </w:rPr>
        <w:t xml:space="preserve"> It is also pointed out that </w:t>
      </w:r>
      <w:r w:rsidRPr="00F2484F">
        <w:rPr>
          <w:rFonts w:ascii="Arial" w:eastAsiaTheme="minorHAnsi" w:hAnsi="Arial" w:cs="Arial"/>
          <w:sz w:val="20"/>
          <w:szCs w:val="20"/>
          <w:lang w:val="en-ZA"/>
        </w:rPr>
        <w:t>representativeness refers to the racial, and gender composition of the SANDF and to the fair integration and equitable representation of the constituent integrating forces at all ranks. “Failure to meet this goal will critically undermine the legitimacy of the SANDF.”</w:t>
      </w:r>
      <w:r w:rsidRPr="00F2484F">
        <w:rPr>
          <w:rStyle w:val="FootnoteReference"/>
          <w:rFonts w:ascii="Arial" w:eastAsiaTheme="minorHAnsi" w:hAnsi="Arial" w:cs="Arial"/>
          <w:sz w:val="20"/>
          <w:szCs w:val="20"/>
          <w:lang w:val="en-ZA"/>
        </w:rPr>
        <w:footnoteReference w:id="15"/>
      </w:r>
    </w:p>
    <w:p w:rsidR="00E271D1" w:rsidRPr="00F2484F" w:rsidRDefault="00E271D1" w:rsidP="00F2484F">
      <w:pPr>
        <w:autoSpaceDE w:val="0"/>
        <w:autoSpaceDN w:val="0"/>
        <w:adjustRightInd w:val="0"/>
        <w:ind w:right="54"/>
        <w:rPr>
          <w:rFonts w:ascii="Arial" w:hAnsi="Arial" w:cs="Arial"/>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4.3</w:t>
      </w:r>
      <w:r w:rsidRPr="00F2484F">
        <w:rPr>
          <w:rFonts w:ascii="Arial" w:hAnsi="Arial" w:cs="Arial"/>
          <w:b/>
          <w:sz w:val="20"/>
          <w:szCs w:val="20"/>
        </w:rPr>
        <w:tab/>
        <w:t xml:space="preserve">Former military structures </w:t>
      </w: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rPr>
      </w:pPr>
      <w:r w:rsidRPr="00F2484F">
        <w:rPr>
          <w:rFonts w:ascii="Arial" w:hAnsi="Arial" w:cs="Arial"/>
          <w:sz w:val="20"/>
          <w:szCs w:val="20"/>
        </w:rPr>
        <w:t xml:space="preserve">The </w:t>
      </w:r>
      <w:r w:rsidR="001D3838" w:rsidRPr="00F2484F">
        <w:rPr>
          <w:rFonts w:ascii="Arial" w:hAnsi="Arial" w:cs="Arial"/>
          <w:sz w:val="20"/>
          <w:szCs w:val="20"/>
        </w:rPr>
        <w:t>DOD</w:t>
      </w:r>
      <w:r w:rsidRPr="00F2484F">
        <w:rPr>
          <w:rFonts w:ascii="Arial" w:hAnsi="Arial" w:cs="Arial"/>
          <w:sz w:val="20"/>
          <w:szCs w:val="20"/>
        </w:rPr>
        <w:t xml:space="preserve"> does not list the number and gender of members from the various former military structures </w:t>
      </w:r>
      <w:r w:rsidR="001D3838" w:rsidRPr="00F2484F">
        <w:rPr>
          <w:rFonts w:ascii="Arial" w:hAnsi="Arial" w:cs="Arial"/>
          <w:sz w:val="20"/>
          <w:szCs w:val="20"/>
        </w:rPr>
        <w:t>that</w:t>
      </w:r>
      <w:r w:rsidRPr="00F2484F">
        <w:rPr>
          <w:rFonts w:ascii="Arial" w:hAnsi="Arial" w:cs="Arial"/>
          <w:sz w:val="20"/>
          <w:szCs w:val="20"/>
        </w:rPr>
        <w:t xml:space="preserve"> integrated to form the SANDF in 1994. However, the Department of Military Veterans do provide statistics on former military structures in, for instance, its</w:t>
      </w:r>
      <w:r w:rsidR="00E71A93" w:rsidRPr="00F2484F">
        <w:rPr>
          <w:rFonts w:ascii="Arial" w:hAnsi="Arial" w:cs="Arial"/>
          <w:sz w:val="20"/>
          <w:szCs w:val="20"/>
        </w:rPr>
        <w:t xml:space="preserve"> Annual Performance Reports of 2018/19 and </w:t>
      </w:r>
      <w:r w:rsidRPr="00F2484F">
        <w:rPr>
          <w:rFonts w:ascii="Arial" w:hAnsi="Arial" w:cs="Arial"/>
          <w:sz w:val="20"/>
          <w:szCs w:val="20"/>
        </w:rPr>
        <w:t xml:space="preserve">2019/20. </w:t>
      </w: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4.4</w:t>
      </w:r>
      <w:r w:rsidRPr="00F2484F">
        <w:rPr>
          <w:rFonts w:ascii="Arial" w:hAnsi="Arial" w:cs="Arial"/>
          <w:b/>
          <w:sz w:val="20"/>
          <w:szCs w:val="20"/>
        </w:rPr>
        <w:tab/>
        <w:t xml:space="preserve">Related Committee observations </w:t>
      </w: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rPr>
      </w:pPr>
      <w:r w:rsidRPr="00F2484F">
        <w:rPr>
          <w:rFonts w:ascii="Arial" w:hAnsi="Arial" w:cs="Arial"/>
          <w:sz w:val="20"/>
          <w:szCs w:val="20"/>
        </w:rPr>
        <w:t xml:space="preserve">During oversight visits by the two Defence Committees, some matters that can be related to Integration were </w:t>
      </w:r>
      <w:r w:rsidR="001D3838" w:rsidRPr="00F2484F">
        <w:rPr>
          <w:rFonts w:ascii="Arial" w:hAnsi="Arial" w:cs="Arial"/>
          <w:sz w:val="20"/>
          <w:szCs w:val="20"/>
        </w:rPr>
        <w:t>raised by members of the SANDF. During an o</w:t>
      </w:r>
      <w:r w:rsidRPr="00F2484F">
        <w:rPr>
          <w:rFonts w:ascii="Arial" w:hAnsi="Arial" w:cs="Arial"/>
          <w:sz w:val="20"/>
          <w:szCs w:val="20"/>
        </w:rPr>
        <w:t>versight visit to selected military bases in the Western Cape (October 2019)</w:t>
      </w:r>
      <w:r w:rsidR="001D3838" w:rsidRPr="00F2484F">
        <w:rPr>
          <w:rFonts w:ascii="Arial" w:hAnsi="Arial" w:cs="Arial"/>
          <w:sz w:val="20"/>
          <w:szCs w:val="20"/>
        </w:rPr>
        <w:t xml:space="preserve">, </w:t>
      </w:r>
      <w:r w:rsidRPr="00F2484F">
        <w:rPr>
          <w:rFonts w:ascii="Arial" w:hAnsi="Arial" w:cs="Arial"/>
          <w:sz w:val="20"/>
          <w:szCs w:val="20"/>
        </w:rPr>
        <w:t>some SANDF members at 9 SA</w:t>
      </w:r>
      <w:r w:rsidR="00B2731F" w:rsidRPr="00F2484F">
        <w:rPr>
          <w:rFonts w:ascii="Arial" w:hAnsi="Arial" w:cs="Arial"/>
          <w:sz w:val="20"/>
          <w:szCs w:val="20"/>
        </w:rPr>
        <w:t xml:space="preserve"> Infantry Battalion </w:t>
      </w:r>
      <w:r w:rsidRPr="00F2484F">
        <w:rPr>
          <w:rFonts w:ascii="Arial" w:hAnsi="Arial" w:cs="Arial"/>
          <w:sz w:val="20"/>
          <w:szCs w:val="20"/>
        </w:rPr>
        <w:t xml:space="preserve"> raised issues around promotions; downscaling of allowances/benefits; discrimination again</w:t>
      </w:r>
      <w:r w:rsidR="00B2731F" w:rsidRPr="00F2484F">
        <w:rPr>
          <w:rFonts w:ascii="Arial" w:hAnsi="Arial" w:cs="Arial"/>
          <w:sz w:val="20"/>
          <w:szCs w:val="20"/>
        </w:rPr>
        <w:t>st former Non Statutory Forces</w:t>
      </w:r>
      <w:r w:rsidRPr="00F2484F">
        <w:rPr>
          <w:rFonts w:ascii="Arial" w:hAnsi="Arial" w:cs="Arial"/>
          <w:sz w:val="20"/>
          <w:szCs w:val="20"/>
        </w:rPr>
        <w:t xml:space="preserve"> in favour of Military Skills Development System (MSDS) intakes.</w:t>
      </w:r>
      <w:r w:rsidRPr="00F2484F">
        <w:rPr>
          <w:rStyle w:val="FootnoteReference"/>
          <w:rFonts w:ascii="Arial" w:hAnsi="Arial" w:cs="Arial"/>
          <w:sz w:val="20"/>
          <w:szCs w:val="20"/>
        </w:rPr>
        <w:footnoteReference w:id="16"/>
      </w:r>
      <w:r w:rsidRPr="00F2484F">
        <w:rPr>
          <w:rFonts w:ascii="Arial" w:hAnsi="Arial" w:cs="Arial"/>
          <w:sz w:val="20"/>
          <w:szCs w:val="20"/>
        </w:rPr>
        <w:t xml:space="preserve"> At Air Force Base Ysterplaat, concern was for instance raised around the treatment of former Non-Statutory Force members who seem to be disqualified when it comes to selection to officers’ courses.</w:t>
      </w:r>
      <w:r w:rsidRPr="00F2484F">
        <w:rPr>
          <w:rStyle w:val="FootnoteReference"/>
          <w:rFonts w:ascii="Arial" w:hAnsi="Arial" w:cs="Arial"/>
          <w:sz w:val="20"/>
          <w:szCs w:val="20"/>
        </w:rPr>
        <w:footnoteReference w:id="17"/>
      </w:r>
      <w:r w:rsidRPr="00F2484F">
        <w:rPr>
          <w:rFonts w:ascii="Arial" w:hAnsi="Arial" w:cs="Arial"/>
          <w:sz w:val="20"/>
          <w:szCs w:val="20"/>
        </w:rPr>
        <w:t xml:space="preserve"> </w:t>
      </w: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lang w:val="en-ZA"/>
        </w:rPr>
      </w:pPr>
      <w:r w:rsidRPr="00F2484F">
        <w:rPr>
          <w:rFonts w:ascii="Arial" w:hAnsi="Arial" w:cs="Arial"/>
          <w:sz w:val="20"/>
          <w:szCs w:val="20"/>
          <w:lang w:val="en-ZA"/>
        </w:rPr>
        <w:t>In addition to oversight visits, the Defence Committees have also observed matters related to integration during its engagements with the DOD and related structures such as the Defence Force Service Commission (DFSC). One of the recommendations of the Interim DFSC, was “</w:t>
      </w:r>
      <w:r w:rsidR="001D3838" w:rsidRPr="00F2484F">
        <w:rPr>
          <w:rFonts w:ascii="Arial" w:hAnsi="Arial" w:cs="Arial"/>
          <w:bCs/>
          <w:sz w:val="20"/>
          <w:szCs w:val="20"/>
        </w:rPr>
        <w:t>t</w:t>
      </w:r>
      <w:r w:rsidRPr="00F2484F">
        <w:rPr>
          <w:rFonts w:ascii="Arial" w:hAnsi="Arial" w:cs="Arial"/>
          <w:bCs/>
          <w:sz w:val="20"/>
          <w:szCs w:val="20"/>
        </w:rPr>
        <w:t>he review of the Force number allocation system for members and employees of the Department of Defence.”</w:t>
      </w:r>
      <w:r w:rsidRPr="00F2484F">
        <w:rPr>
          <w:rStyle w:val="FootnoteReference"/>
          <w:rFonts w:ascii="Arial" w:hAnsi="Arial" w:cs="Arial"/>
          <w:bCs/>
          <w:sz w:val="20"/>
          <w:szCs w:val="20"/>
        </w:rPr>
        <w:footnoteReference w:id="18"/>
      </w:r>
      <w:r w:rsidRPr="00F2484F">
        <w:rPr>
          <w:rFonts w:ascii="Arial" w:hAnsi="Arial" w:cs="Arial"/>
          <w:bCs/>
          <w:sz w:val="20"/>
          <w:szCs w:val="20"/>
        </w:rPr>
        <w:t xml:space="preserve"> It stated that </w:t>
      </w:r>
      <w:r w:rsidRPr="00F2484F">
        <w:rPr>
          <w:rFonts w:ascii="Arial" w:hAnsi="Arial" w:cs="Arial"/>
          <w:sz w:val="20"/>
          <w:szCs w:val="20"/>
        </w:rPr>
        <w:t>there was dissatisfaction with the lack of transformation in the SANDF, including the severe consequences of legacy decisions regarding ranking and utilisation, during the integration process. It therefore recommended that the discriminatory force number system be scrapped at once and be replaced by a neutral way of assigning new force numbers. However, in June 2018, the DOD reported to the JSCD on the status of DFSC recommendation and noted that the recommendation around Force Numbers “</w:t>
      </w:r>
      <w:r w:rsidRPr="00F2484F">
        <w:rPr>
          <w:rFonts w:ascii="Arial" w:hAnsi="Arial" w:cs="Arial"/>
          <w:sz w:val="20"/>
          <w:szCs w:val="20"/>
          <w:lang w:val="en-US"/>
        </w:rPr>
        <w:t xml:space="preserve">is not implementable, as it has the potential for the loss of critical historical records. This perceived discrimination is </w:t>
      </w:r>
      <w:r w:rsidR="001D3838" w:rsidRPr="00F2484F">
        <w:rPr>
          <w:rFonts w:ascii="Arial" w:hAnsi="Arial" w:cs="Arial"/>
          <w:sz w:val="20"/>
          <w:szCs w:val="20"/>
          <w:lang w:val="en-US"/>
        </w:rPr>
        <w:t xml:space="preserve">[therefore] </w:t>
      </w:r>
      <w:r w:rsidRPr="00F2484F">
        <w:rPr>
          <w:rFonts w:ascii="Arial" w:hAnsi="Arial" w:cs="Arial"/>
          <w:sz w:val="20"/>
          <w:szCs w:val="20"/>
          <w:lang w:val="en-US"/>
        </w:rPr>
        <w:t>time lapse</w:t>
      </w:r>
      <w:r w:rsidR="001D3838" w:rsidRPr="00F2484F">
        <w:rPr>
          <w:rFonts w:ascii="Arial" w:hAnsi="Arial" w:cs="Arial"/>
          <w:sz w:val="20"/>
          <w:szCs w:val="20"/>
          <w:lang w:val="en-US"/>
        </w:rPr>
        <w:t>[d]</w:t>
      </w:r>
      <w:r w:rsidRPr="00F2484F">
        <w:rPr>
          <w:rFonts w:ascii="Arial" w:hAnsi="Arial" w:cs="Arial"/>
          <w:sz w:val="20"/>
          <w:szCs w:val="20"/>
          <w:lang w:val="en-US"/>
        </w:rPr>
        <w:t>.”</w:t>
      </w:r>
      <w:r w:rsidRPr="00F2484F">
        <w:rPr>
          <w:rStyle w:val="FootnoteReference"/>
          <w:rFonts w:ascii="Arial" w:hAnsi="Arial" w:cs="Arial"/>
          <w:sz w:val="20"/>
          <w:szCs w:val="20"/>
          <w:lang w:val="en-US"/>
        </w:rPr>
        <w:footnoteReference w:id="19"/>
      </w:r>
      <w:r w:rsidRPr="00F2484F">
        <w:rPr>
          <w:rFonts w:ascii="Arial" w:hAnsi="Arial" w:cs="Arial"/>
          <w:sz w:val="20"/>
          <w:szCs w:val="20"/>
          <w:lang w:val="en-US"/>
        </w:rPr>
        <w:t xml:space="preserve"> </w:t>
      </w:r>
    </w:p>
    <w:p w:rsidR="00E271D1" w:rsidRPr="00F2484F" w:rsidRDefault="00E271D1" w:rsidP="00F2484F">
      <w:pPr>
        <w:ind w:right="54"/>
        <w:rPr>
          <w:rFonts w:ascii="Arial" w:hAnsi="Arial" w:cs="Arial"/>
          <w:b/>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5.</w:t>
      </w:r>
      <w:r w:rsidRPr="00F2484F">
        <w:rPr>
          <w:rFonts w:ascii="Arial" w:hAnsi="Arial" w:cs="Arial"/>
          <w:b/>
          <w:sz w:val="20"/>
          <w:szCs w:val="20"/>
        </w:rPr>
        <w:tab/>
        <w:t>EQUITY</w:t>
      </w:r>
    </w:p>
    <w:p w:rsidR="00E271D1" w:rsidRPr="00F2484F" w:rsidRDefault="00E271D1" w:rsidP="00F2484F">
      <w:pPr>
        <w:autoSpaceDE w:val="0"/>
        <w:autoSpaceDN w:val="0"/>
        <w:adjustRightInd w:val="0"/>
        <w:ind w:right="54"/>
        <w:rPr>
          <w:rFonts w:ascii="Arial" w:hAnsi="Arial" w:cs="Arial"/>
          <w:b/>
          <w:sz w:val="20"/>
          <w:szCs w:val="20"/>
        </w:rPr>
      </w:pPr>
    </w:p>
    <w:p w:rsidR="008D308C" w:rsidRPr="00F2484F" w:rsidRDefault="008D308C" w:rsidP="00F2484F">
      <w:pPr>
        <w:autoSpaceDE w:val="0"/>
        <w:autoSpaceDN w:val="0"/>
        <w:adjustRightInd w:val="0"/>
        <w:ind w:right="54"/>
        <w:rPr>
          <w:rFonts w:ascii="Arial" w:hAnsi="Arial" w:cs="Arial"/>
          <w:b/>
          <w:sz w:val="20"/>
          <w:szCs w:val="20"/>
        </w:rPr>
      </w:pPr>
      <w:r w:rsidRPr="00F2484F">
        <w:rPr>
          <w:rFonts w:ascii="Arial" w:hAnsi="Arial" w:cs="Arial"/>
          <w:b/>
          <w:sz w:val="20"/>
          <w:szCs w:val="20"/>
        </w:rPr>
        <w:t>5.1</w:t>
      </w:r>
      <w:r w:rsidRPr="00F2484F">
        <w:rPr>
          <w:rFonts w:ascii="Arial" w:hAnsi="Arial" w:cs="Arial"/>
          <w:b/>
          <w:sz w:val="20"/>
          <w:szCs w:val="20"/>
        </w:rPr>
        <w:tab/>
        <w:t xml:space="preserve">Equity policy directives </w:t>
      </w:r>
    </w:p>
    <w:p w:rsidR="008D308C" w:rsidRPr="00F2484F" w:rsidRDefault="008D308C" w:rsidP="00F2484F">
      <w:pPr>
        <w:autoSpaceDE w:val="0"/>
        <w:autoSpaceDN w:val="0"/>
        <w:adjustRightInd w:val="0"/>
        <w:ind w:right="54"/>
        <w:rPr>
          <w:rFonts w:ascii="Arial" w:hAnsi="Arial" w:cs="Arial"/>
          <w:sz w:val="20"/>
          <w:szCs w:val="20"/>
        </w:rPr>
      </w:pPr>
    </w:p>
    <w:p w:rsidR="008D308C" w:rsidRPr="00F2484F" w:rsidRDefault="008D308C" w:rsidP="00F2484F">
      <w:pPr>
        <w:autoSpaceDE w:val="0"/>
        <w:autoSpaceDN w:val="0"/>
        <w:adjustRightInd w:val="0"/>
        <w:ind w:right="54"/>
        <w:rPr>
          <w:rFonts w:ascii="Arial" w:eastAsiaTheme="minorHAnsi" w:hAnsi="Arial" w:cs="Arial"/>
          <w:sz w:val="20"/>
          <w:szCs w:val="20"/>
          <w:lang w:val="en-ZA"/>
        </w:rPr>
      </w:pPr>
      <w:r w:rsidRPr="00F2484F">
        <w:rPr>
          <w:rFonts w:ascii="Arial" w:hAnsi="Arial" w:cs="Arial"/>
          <w:sz w:val="20"/>
          <w:szCs w:val="20"/>
        </w:rPr>
        <w:t>The 1998 Defence Review stated unequivocally that t</w:t>
      </w:r>
      <w:r w:rsidRPr="00F2484F">
        <w:rPr>
          <w:rFonts w:ascii="Arial" w:eastAsiaTheme="minorHAnsi" w:hAnsi="Arial" w:cs="Arial"/>
          <w:sz w:val="20"/>
          <w:szCs w:val="20"/>
          <w:lang w:val="en-ZA"/>
        </w:rPr>
        <w:t>he DoD's most valuable resource is its personnel. Human resource policies are directed at ensuring maximum efficiency, effectiveness, appropriateness, accountability and affordability, and providing job satisfaction, fairness and equity. The members of the DOD shall be non-partisan, subject to the control and oversight of the duly elected and appointed civil authority and obliged to perform all functions and conduct all operations within the parameters of the Constitution, domestic legislation and international humanitarian law and the law on armed conflict.</w:t>
      </w:r>
      <w:r w:rsidRPr="00F2484F">
        <w:rPr>
          <w:rStyle w:val="FootnoteReference"/>
          <w:rFonts w:ascii="Arial" w:eastAsiaTheme="minorHAnsi" w:hAnsi="Arial" w:cs="Arial"/>
          <w:sz w:val="20"/>
          <w:szCs w:val="20"/>
          <w:lang w:val="en-ZA"/>
        </w:rPr>
        <w:footnoteReference w:id="20"/>
      </w:r>
      <w:r w:rsidRPr="00F2484F">
        <w:rPr>
          <w:rFonts w:ascii="Arial" w:eastAsiaTheme="minorHAnsi" w:hAnsi="Arial" w:cs="Arial"/>
          <w:sz w:val="20"/>
          <w:szCs w:val="20"/>
          <w:lang w:val="en-ZA"/>
        </w:rPr>
        <w:t xml:space="preserve"> </w:t>
      </w:r>
    </w:p>
    <w:p w:rsidR="008D308C" w:rsidRPr="00F2484F" w:rsidRDefault="008D308C" w:rsidP="00F2484F">
      <w:pPr>
        <w:autoSpaceDE w:val="0"/>
        <w:autoSpaceDN w:val="0"/>
        <w:adjustRightInd w:val="0"/>
        <w:ind w:right="54"/>
        <w:rPr>
          <w:rFonts w:ascii="Arial" w:hAnsi="Arial" w:cs="Arial"/>
          <w:b/>
          <w:sz w:val="20"/>
          <w:szCs w:val="20"/>
        </w:rPr>
      </w:pPr>
    </w:p>
    <w:p w:rsidR="008D308C" w:rsidRPr="00F2484F" w:rsidRDefault="008D308C" w:rsidP="00F2484F">
      <w:pPr>
        <w:autoSpaceDE w:val="0"/>
        <w:autoSpaceDN w:val="0"/>
        <w:adjustRightInd w:val="0"/>
        <w:ind w:right="54"/>
        <w:rPr>
          <w:rFonts w:ascii="Arial" w:eastAsiaTheme="minorHAnsi" w:hAnsi="Arial" w:cs="Arial"/>
          <w:sz w:val="20"/>
          <w:szCs w:val="20"/>
          <w:lang w:val="en-ZA"/>
        </w:rPr>
      </w:pPr>
      <w:r w:rsidRPr="00F2484F">
        <w:rPr>
          <w:rFonts w:ascii="Arial" w:hAnsi="Arial" w:cs="Arial"/>
          <w:sz w:val="20"/>
          <w:szCs w:val="20"/>
        </w:rPr>
        <w:t xml:space="preserve">It also alludes to the fact that </w:t>
      </w:r>
      <w:r w:rsidRPr="00F2484F">
        <w:rPr>
          <w:rFonts w:ascii="Arial" w:eastAsiaTheme="minorHAnsi" w:hAnsi="Arial" w:cs="Arial"/>
          <w:sz w:val="20"/>
          <w:szCs w:val="20"/>
          <w:lang w:val="en-ZA"/>
        </w:rPr>
        <w:t xml:space="preserve">affirmative action and equal opportunity are fundamental principles of public sector transformation as reflected in the 1995 White Paper on the Transformation of the Public Service. These principles are particularly applicable in the DOD as they are essential for the operational readiness of the </w:t>
      </w:r>
      <w:r w:rsidRPr="00F2484F">
        <w:rPr>
          <w:rFonts w:ascii="Arial" w:eastAsiaTheme="minorHAnsi" w:hAnsi="Arial" w:cs="Arial"/>
          <w:sz w:val="20"/>
          <w:szCs w:val="20"/>
          <w:lang w:val="en-ZA"/>
        </w:rPr>
        <w:lastRenderedPageBreak/>
        <w:t>SANDF. Members of the SANDF are challenged to adapt their lifestyle, attitudes and behaviour to a specific military culture. The SANDF will have to gradually evolve an acceptable military culture in which all members, irrespective of their own culture, can coexist and in which operational readiness can be assured.</w:t>
      </w:r>
    </w:p>
    <w:p w:rsidR="008D308C" w:rsidRPr="00F2484F" w:rsidRDefault="008D308C" w:rsidP="00F2484F">
      <w:pPr>
        <w:autoSpaceDE w:val="0"/>
        <w:autoSpaceDN w:val="0"/>
        <w:adjustRightInd w:val="0"/>
        <w:ind w:right="54"/>
        <w:rPr>
          <w:rFonts w:ascii="Arial" w:eastAsiaTheme="minorHAnsi" w:hAnsi="Arial" w:cs="Arial"/>
          <w:sz w:val="20"/>
          <w:szCs w:val="20"/>
          <w:lang w:val="en-ZA"/>
        </w:rPr>
      </w:pPr>
    </w:p>
    <w:p w:rsidR="008D308C" w:rsidRPr="00F2484F" w:rsidRDefault="008D308C"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The 2015 Defence Review points out that “there needs to be a balance between the constitutional imperative for redistribution, the need to escape the shadow of the past, and the need to build inclusivity for all – both black and white.”</w:t>
      </w:r>
      <w:r w:rsidRPr="00F2484F">
        <w:rPr>
          <w:rStyle w:val="FootnoteReference"/>
          <w:rFonts w:ascii="Arial" w:eastAsiaTheme="minorHAnsi" w:hAnsi="Arial" w:cs="Arial"/>
          <w:sz w:val="20"/>
          <w:szCs w:val="20"/>
          <w:lang w:val="en-ZA"/>
        </w:rPr>
        <w:footnoteReference w:id="21"/>
      </w:r>
      <w:r w:rsidRPr="00F2484F">
        <w:rPr>
          <w:rFonts w:ascii="Arial" w:eastAsiaTheme="minorHAnsi" w:hAnsi="Arial" w:cs="Arial"/>
          <w:sz w:val="20"/>
          <w:szCs w:val="20"/>
          <w:lang w:val="en-ZA"/>
        </w:rPr>
        <w:t xml:space="preserve"> Reference is also made to recruitment having to be broadly representative of the people of South Africa, with due consideration being given to matters of equity.</w:t>
      </w:r>
      <w:r w:rsidRPr="00F2484F">
        <w:rPr>
          <w:rStyle w:val="FootnoteReference"/>
          <w:rFonts w:ascii="Arial" w:eastAsiaTheme="minorHAnsi" w:hAnsi="Arial" w:cs="Arial"/>
          <w:sz w:val="20"/>
          <w:szCs w:val="20"/>
          <w:lang w:val="en-ZA"/>
        </w:rPr>
        <w:footnoteReference w:id="22"/>
      </w:r>
      <w:r w:rsidRPr="00F2484F">
        <w:rPr>
          <w:rFonts w:ascii="Arial" w:eastAsiaTheme="minorHAnsi" w:hAnsi="Arial" w:cs="Arial"/>
          <w:sz w:val="20"/>
          <w:szCs w:val="20"/>
          <w:lang w:val="en-ZA"/>
        </w:rPr>
        <w:t xml:space="preserve"> </w:t>
      </w:r>
    </w:p>
    <w:p w:rsidR="00385CF1" w:rsidRPr="00F2484F" w:rsidRDefault="00385CF1" w:rsidP="00F2484F">
      <w:pPr>
        <w:autoSpaceDE w:val="0"/>
        <w:autoSpaceDN w:val="0"/>
        <w:adjustRightInd w:val="0"/>
        <w:ind w:right="54"/>
        <w:rPr>
          <w:rFonts w:ascii="Arial" w:eastAsiaTheme="minorHAnsi" w:hAnsi="Arial" w:cs="Arial"/>
          <w:sz w:val="20"/>
          <w:szCs w:val="20"/>
          <w:lang w:val="en-ZA"/>
        </w:rPr>
      </w:pPr>
    </w:p>
    <w:p w:rsidR="00B2731F" w:rsidRPr="00F2484F" w:rsidRDefault="008D308C"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Much progress has been made since 1994 to rectify the SANDF in terms of being representative of the people of South Africa, which is an important factor for maintaining healthy civil-military relations, specifically in terms of the composition of the SANDF officer corps. However, these efforts should be continued by the SANDF. </w:t>
      </w:r>
    </w:p>
    <w:p w:rsidR="00E271D1" w:rsidRPr="00F2484F" w:rsidRDefault="00E271D1" w:rsidP="00F2484F">
      <w:pPr>
        <w:autoSpaceDE w:val="0"/>
        <w:autoSpaceDN w:val="0"/>
        <w:adjustRightInd w:val="0"/>
        <w:ind w:right="54"/>
        <w:rPr>
          <w:rFonts w:ascii="Arial" w:hAnsi="Arial" w:cs="Arial"/>
          <w:b/>
          <w:sz w:val="20"/>
          <w:szCs w:val="20"/>
        </w:rPr>
      </w:pPr>
    </w:p>
    <w:p w:rsidR="00E271D1" w:rsidRPr="00F2484F" w:rsidRDefault="008D308C" w:rsidP="00F2484F">
      <w:pPr>
        <w:autoSpaceDE w:val="0"/>
        <w:autoSpaceDN w:val="0"/>
        <w:adjustRightInd w:val="0"/>
        <w:ind w:right="54"/>
        <w:rPr>
          <w:rFonts w:ascii="Arial" w:hAnsi="Arial" w:cs="Arial"/>
          <w:b/>
          <w:sz w:val="20"/>
          <w:szCs w:val="20"/>
        </w:rPr>
      </w:pPr>
      <w:r w:rsidRPr="00F2484F">
        <w:rPr>
          <w:rFonts w:ascii="Arial" w:hAnsi="Arial" w:cs="Arial"/>
          <w:b/>
          <w:sz w:val="20"/>
          <w:szCs w:val="20"/>
        </w:rPr>
        <w:t>5.2</w:t>
      </w:r>
      <w:r w:rsidR="00E271D1" w:rsidRPr="00F2484F">
        <w:rPr>
          <w:rFonts w:ascii="Arial" w:hAnsi="Arial" w:cs="Arial"/>
          <w:b/>
          <w:sz w:val="20"/>
          <w:szCs w:val="20"/>
        </w:rPr>
        <w:t xml:space="preserve"> </w:t>
      </w:r>
      <w:r w:rsidR="00E271D1" w:rsidRPr="00F2484F">
        <w:rPr>
          <w:rFonts w:ascii="Arial" w:hAnsi="Arial" w:cs="Arial"/>
          <w:b/>
          <w:sz w:val="20"/>
          <w:szCs w:val="20"/>
        </w:rPr>
        <w:tab/>
      </w:r>
      <w:r w:rsidR="00385CF1" w:rsidRPr="00F2484F">
        <w:rPr>
          <w:rFonts w:ascii="Arial" w:hAnsi="Arial" w:cs="Arial"/>
          <w:b/>
          <w:sz w:val="20"/>
          <w:szCs w:val="20"/>
        </w:rPr>
        <w:t xml:space="preserve">Comparative </w:t>
      </w:r>
      <w:r w:rsidR="00E271D1" w:rsidRPr="00F2484F">
        <w:rPr>
          <w:rFonts w:ascii="Arial" w:hAnsi="Arial" w:cs="Arial"/>
          <w:b/>
          <w:sz w:val="20"/>
          <w:szCs w:val="20"/>
        </w:rPr>
        <w:t>Personnel Statistics</w:t>
      </w:r>
    </w:p>
    <w:p w:rsidR="00E271D1" w:rsidRPr="00F2484F" w:rsidRDefault="00E271D1" w:rsidP="00F2484F">
      <w:pPr>
        <w:autoSpaceDE w:val="0"/>
        <w:autoSpaceDN w:val="0"/>
        <w:adjustRightInd w:val="0"/>
        <w:ind w:right="54"/>
        <w:rPr>
          <w:rFonts w:ascii="Arial" w:hAnsi="Arial" w:cs="Arial"/>
          <w:b/>
          <w:sz w:val="20"/>
          <w:szCs w:val="20"/>
        </w:rPr>
      </w:pPr>
    </w:p>
    <w:p w:rsidR="008D308C" w:rsidRPr="00F2484F" w:rsidRDefault="008D308C" w:rsidP="00F2484F">
      <w:pPr>
        <w:autoSpaceDE w:val="0"/>
        <w:autoSpaceDN w:val="0"/>
        <w:adjustRightInd w:val="0"/>
        <w:ind w:right="54"/>
        <w:rPr>
          <w:rFonts w:ascii="Arial" w:hAnsi="Arial" w:cs="Arial"/>
          <w:sz w:val="20"/>
          <w:szCs w:val="20"/>
        </w:rPr>
      </w:pPr>
      <w:r w:rsidRPr="00F2484F">
        <w:rPr>
          <w:rFonts w:ascii="Arial" w:hAnsi="Arial" w:cs="Arial"/>
          <w:sz w:val="20"/>
          <w:szCs w:val="20"/>
        </w:rPr>
        <w:t>The following section provides an overview of the DOD personnel composition. It uses the 1998 Defence Review personnel statistics and composition as a baseline for comparison to more recent publications of equity targets by the DOD.</w:t>
      </w:r>
    </w:p>
    <w:p w:rsidR="008D308C" w:rsidRPr="00F2484F" w:rsidRDefault="008D308C" w:rsidP="00F2484F">
      <w:pPr>
        <w:autoSpaceDE w:val="0"/>
        <w:autoSpaceDN w:val="0"/>
        <w:adjustRightInd w:val="0"/>
        <w:ind w:right="54"/>
        <w:rPr>
          <w:rFonts w:ascii="Arial" w:hAnsi="Arial" w:cs="Arial"/>
          <w:sz w:val="20"/>
          <w:szCs w:val="20"/>
        </w:rPr>
      </w:pPr>
    </w:p>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 xml:space="preserve">The </w:t>
      </w:r>
      <w:r w:rsidR="00450FD7" w:rsidRPr="00F2484F">
        <w:rPr>
          <w:rFonts w:ascii="Arial" w:hAnsi="Arial" w:cs="Arial"/>
          <w:sz w:val="20"/>
          <w:szCs w:val="20"/>
        </w:rPr>
        <w:t xml:space="preserve">1998 </w:t>
      </w:r>
      <w:r w:rsidRPr="00F2484F">
        <w:rPr>
          <w:rFonts w:ascii="Arial" w:hAnsi="Arial" w:cs="Arial"/>
          <w:sz w:val="20"/>
          <w:szCs w:val="20"/>
        </w:rPr>
        <w:t xml:space="preserve">Defence Review tabulates the SANDF’s composition (including civilians) in terms of race and gender in May 1996 as follows: </w:t>
      </w:r>
    </w:p>
    <w:p w:rsidR="008D308C" w:rsidRPr="00F2484F" w:rsidRDefault="008D308C" w:rsidP="00F2484F">
      <w:pPr>
        <w:autoSpaceDE w:val="0"/>
        <w:autoSpaceDN w:val="0"/>
        <w:adjustRightInd w:val="0"/>
        <w:ind w:right="54"/>
        <w:rPr>
          <w:rFonts w:ascii="Arial" w:hAnsi="Arial" w:cs="Arial"/>
          <w:sz w:val="20"/>
          <w:szCs w:val="20"/>
        </w:rPr>
      </w:pPr>
    </w:p>
    <w:p w:rsidR="008D308C" w:rsidRPr="00F2484F" w:rsidRDefault="008D308C" w:rsidP="00F2484F">
      <w:pPr>
        <w:autoSpaceDE w:val="0"/>
        <w:autoSpaceDN w:val="0"/>
        <w:adjustRightInd w:val="0"/>
        <w:ind w:right="54"/>
        <w:rPr>
          <w:rFonts w:ascii="Arial" w:hAnsi="Arial" w:cs="Arial"/>
          <w:sz w:val="20"/>
          <w:szCs w:val="20"/>
        </w:rPr>
      </w:pPr>
    </w:p>
    <w:tbl>
      <w:tblPr>
        <w:tblStyle w:val="TableGrid"/>
        <w:tblW w:w="0" w:type="auto"/>
        <w:tblInd w:w="1696" w:type="dxa"/>
        <w:tblLook w:val="04A0"/>
      </w:tblPr>
      <w:tblGrid>
        <w:gridCol w:w="1887"/>
        <w:gridCol w:w="1296"/>
        <w:gridCol w:w="1495"/>
        <w:gridCol w:w="1276"/>
        <w:gridCol w:w="992"/>
      </w:tblGrid>
      <w:tr w:rsidR="00E271D1" w:rsidRPr="00F2484F" w:rsidTr="004C67EF">
        <w:tc>
          <w:tcPr>
            <w:tcW w:w="6946" w:type="dxa"/>
            <w:gridSpan w:val="5"/>
            <w:shd w:val="clear" w:color="auto" w:fill="00B0F0"/>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 xml:space="preserve">SANDF COMPOSITION MAY 1996 </w:t>
            </w:r>
            <w:r w:rsidRPr="00F2484F">
              <w:rPr>
                <w:rStyle w:val="FootnoteReference"/>
                <w:rFonts w:ascii="Arial" w:hAnsi="Arial" w:cs="Arial"/>
                <w:b/>
                <w:sz w:val="20"/>
                <w:szCs w:val="20"/>
              </w:rPr>
              <w:footnoteReference w:id="23"/>
            </w:r>
          </w:p>
        </w:tc>
      </w:tr>
      <w:tr w:rsidR="00E271D1" w:rsidRPr="00F2484F" w:rsidTr="004C67EF">
        <w:tc>
          <w:tcPr>
            <w:tcW w:w="3183" w:type="dxa"/>
            <w:gridSpan w:val="2"/>
            <w:shd w:val="clear" w:color="auto" w:fill="BDD6EE" w:themeFill="accent1"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Males</w:t>
            </w:r>
          </w:p>
        </w:tc>
        <w:tc>
          <w:tcPr>
            <w:tcW w:w="2771" w:type="dxa"/>
            <w:gridSpan w:val="2"/>
            <w:shd w:val="clear" w:color="auto" w:fill="BDD6EE" w:themeFill="accent1"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Females</w:t>
            </w:r>
          </w:p>
        </w:tc>
        <w:tc>
          <w:tcPr>
            <w:tcW w:w="992"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Total</w:t>
            </w:r>
          </w:p>
        </w:tc>
      </w:tr>
      <w:tr w:rsidR="00E271D1" w:rsidRPr="00F2484F" w:rsidTr="004C67EF">
        <w:trPr>
          <w:trHeight w:val="235"/>
        </w:trPr>
        <w:tc>
          <w:tcPr>
            <w:tcW w:w="1887"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African </w:t>
            </w:r>
          </w:p>
        </w:tc>
        <w:tc>
          <w:tcPr>
            <w:tcW w:w="1296"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 xml:space="preserve">38 619 </w:t>
            </w:r>
          </w:p>
        </w:tc>
        <w:tc>
          <w:tcPr>
            <w:tcW w:w="1495"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African </w:t>
            </w:r>
          </w:p>
        </w:tc>
        <w:tc>
          <w:tcPr>
            <w:tcW w:w="1276"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3 644</w:t>
            </w:r>
          </w:p>
        </w:tc>
        <w:tc>
          <w:tcPr>
            <w:tcW w:w="992"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42 263</w:t>
            </w:r>
          </w:p>
        </w:tc>
      </w:tr>
      <w:tr w:rsidR="00E271D1" w:rsidRPr="00F2484F" w:rsidTr="004C67EF">
        <w:tc>
          <w:tcPr>
            <w:tcW w:w="1887"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Coloured </w:t>
            </w:r>
            <w:r w:rsidRPr="00F2484F">
              <w:rPr>
                <w:rStyle w:val="FootnoteReference"/>
                <w:rFonts w:ascii="Arial" w:hAnsi="Arial" w:cs="Arial"/>
                <w:b/>
                <w:i/>
                <w:sz w:val="20"/>
                <w:szCs w:val="20"/>
              </w:rPr>
              <w:footnoteReference w:id="24"/>
            </w:r>
          </w:p>
        </w:tc>
        <w:tc>
          <w:tcPr>
            <w:tcW w:w="1296"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6 555</w:t>
            </w:r>
          </w:p>
        </w:tc>
        <w:tc>
          <w:tcPr>
            <w:tcW w:w="1495"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Coloured </w:t>
            </w:r>
          </w:p>
        </w:tc>
        <w:tc>
          <w:tcPr>
            <w:tcW w:w="1276"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623</w:t>
            </w:r>
          </w:p>
        </w:tc>
        <w:tc>
          <w:tcPr>
            <w:tcW w:w="992"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7 178</w:t>
            </w:r>
          </w:p>
        </w:tc>
      </w:tr>
      <w:tr w:rsidR="00E271D1" w:rsidRPr="00F2484F" w:rsidTr="004C67EF">
        <w:tc>
          <w:tcPr>
            <w:tcW w:w="1887"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Indian </w:t>
            </w:r>
          </w:p>
        </w:tc>
        <w:tc>
          <w:tcPr>
            <w:tcW w:w="1296"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791</w:t>
            </w:r>
          </w:p>
        </w:tc>
        <w:tc>
          <w:tcPr>
            <w:tcW w:w="1495"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Indian </w:t>
            </w:r>
          </w:p>
        </w:tc>
        <w:tc>
          <w:tcPr>
            <w:tcW w:w="1276"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95</w:t>
            </w:r>
          </w:p>
        </w:tc>
        <w:tc>
          <w:tcPr>
            <w:tcW w:w="992"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886</w:t>
            </w:r>
          </w:p>
        </w:tc>
      </w:tr>
      <w:tr w:rsidR="00E271D1" w:rsidRPr="00F2484F" w:rsidTr="004C67EF">
        <w:tc>
          <w:tcPr>
            <w:tcW w:w="1887"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White </w:t>
            </w:r>
          </w:p>
        </w:tc>
        <w:tc>
          <w:tcPr>
            <w:tcW w:w="1296"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17 836</w:t>
            </w:r>
          </w:p>
        </w:tc>
        <w:tc>
          <w:tcPr>
            <w:tcW w:w="1495"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White </w:t>
            </w:r>
          </w:p>
        </w:tc>
        <w:tc>
          <w:tcPr>
            <w:tcW w:w="1276"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5 128</w:t>
            </w:r>
          </w:p>
        </w:tc>
        <w:tc>
          <w:tcPr>
            <w:tcW w:w="992"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22 964</w:t>
            </w:r>
          </w:p>
        </w:tc>
      </w:tr>
      <w:tr w:rsidR="00E271D1" w:rsidRPr="00F2484F" w:rsidTr="00450FD7">
        <w:tc>
          <w:tcPr>
            <w:tcW w:w="1887"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Total </w:t>
            </w:r>
          </w:p>
        </w:tc>
        <w:tc>
          <w:tcPr>
            <w:tcW w:w="1296"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63 801</w:t>
            </w:r>
          </w:p>
        </w:tc>
        <w:tc>
          <w:tcPr>
            <w:tcW w:w="1495"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Total </w:t>
            </w:r>
          </w:p>
        </w:tc>
        <w:tc>
          <w:tcPr>
            <w:tcW w:w="1276"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9 490</w:t>
            </w:r>
          </w:p>
        </w:tc>
        <w:tc>
          <w:tcPr>
            <w:tcW w:w="992"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73 291</w:t>
            </w:r>
          </w:p>
        </w:tc>
      </w:tr>
    </w:tbl>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Table 1</w:t>
      </w:r>
    </w:p>
    <w:p w:rsidR="00E271D1" w:rsidRPr="00F2484F" w:rsidRDefault="00E271D1" w:rsidP="00F2484F">
      <w:pPr>
        <w:autoSpaceDE w:val="0"/>
        <w:autoSpaceDN w:val="0"/>
        <w:adjustRightInd w:val="0"/>
        <w:ind w:right="54"/>
        <w:rPr>
          <w:rFonts w:ascii="Arial" w:hAnsi="Arial" w:cs="Arial"/>
          <w:b/>
          <w:sz w:val="20"/>
          <w:szCs w:val="20"/>
        </w:rPr>
      </w:pPr>
    </w:p>
    <w:p w:rsidR="00385CF1" w:rsidRPr="00F2484F" w:rsidRDefault="00385CF1" w:rsidP="00F2484F">
      <w:pPr>
        <w:autoSpaceDE w:val="0"/>
        <w:autoSpaceDN w:val="0"/>
        <w:adjustRightInd w:val="0"/>
        <w:ind w:right="54"/>
        <w:rPr>
          <w:rFonts w:ascii="Arial" w:hAnsi="Arial" w:cs="Arial"/>
          <w:b/>
          <w:sz w:val="20"/>
          <w:szCs w:val="20"/>
        </w:rPr>
      </w:pPr>
    </w:p>
    <w:p w:rsidR="00E271D1" w:rsidRPr="00F2484F" w:rsidRDefault="008D308C"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For 2</w:t>
      </w:r>
      <w:r w:rsidR="00E271D1" w:rsidRPr="00F2484F">
        <w:rPr>
          <w:rFonts w:ascii="Arial" w:eastAsiaTheme="minorHAnsi" w:hAnsi="Arial" w:cs="Arial"/>
          <w:sz w:val="20"/>
          <w:szCs w:val="20"/>
          <w:lang w:val="en-ZA"/>
        </w:rPr>
        <w:t>018/19,</w:t>
      </w:r>
      <w:r w:rsidR="00E271D1" w:rsidRPr="00F2484F">
        <w:rPr>
          <w:rStyle w:val="FootnoteReference"/>
          <w:rFonts w:ascii="Arial" w:eastAsiaTheme="minorHAnsi" w:hAnsi="Arial" w:cs="Arial"/>
          <w:sz w:val="20"/>
          <w:szCs w:val="20"/>
          <w:lang w:val="en-ZA"/>
        </w:rPr>
        <w:footnoteReference w:id="25"/>
      </w:r>
      <w:r w:rsidR="00E271D1" w:rsidRPr="00F2484F">
        <w:rPr>
          <w:rFonts w:ascii="Arial" w:eastAsiaTheme="minorHAnsi" w:hAnsi="Arial" w:cs="Arial"/>
          <w:sz w:val="20"/>
          <w:szCs w:val="20"/>
          <w:lang w:val="en-ZA"/>
        </w:rPr>
        <w:t xml:space="preserve"> the DOD planned and budgeted for an average personnel strength of </w:t>
      </w:r>
      <w:r w:rsidR="00450FD7" w:rsidRPr="00F2484F">
        <w:rPr>
          <w:rFonts w:ascii="Arial" w:eastAsiaTheme="minorHAnsi" w:hAnsi="Arial" w:cs="Arial"/>
          <w:sz w:val="20"/>
          <w:szCs w:val="20"/>
          <w:lang w:val="en-ZA"/>
        </w:rPr>
        <w:br/>
      </w:r>
      <w:r w:rsidR="00E271D1" w:rsidRPr="00F2484F">
        <w:rPr>
          <w:rFonts w:ascii="Arial" w:eastAsiaTheme="minorHAnsi" w:hAnsi="Arial" w:cs="Arial"/>
          <w:sz w:val="20"/>
          <w:szCs w:val="20"/>
          <w:lang w:val="en-ZA"/>
        </w:rPr>
        <w:t>75 211 at a cost of R30</w:t>
      </w:r>
      <w:r w:rsidR="00450FD7" w:rsidRPr="00F2484F">
        <w:rPr>
          <w:rFonts w:ascii="Arial" w:eastAsiaTheme="minorHAnsi" w:hAnsi="Arial" w:cs="Arial"/>
          <w:sz w:val="20"/>
          <w:szCs w:val="20"/>
          <w:lang w:val="en-ZA"/>
        </w:rPr>
        <w:t>.</w:t>
      </w:r>
      <w:r w:rsidR="00E271D1" w:rsidRPr="00F2484F">
        <w:rPr>
          <w:rFonts w:ascii="Arial" w:eastAsiaTheme="minorHAnsi" w:hAnsi="Arial" w:cs="Arial"/>
          <w:sz w:val="20"/>
          <w:szCs w:val="20"/>
          <w:lang w:val="en-ZA"/>
        </w:rPr>
        <w:t>3 billion. The National Treasury’s final let</w:t>
      </w:r>
      <w:r w:rsidR="00450FD7" w:rsidRPr="00F2484F">
        <w:rPr>
          <w:rFonts w:ascii="Arial" w:eastAsiaTheme="minorHAnsi" w:hAnsi="Arial" w:cs="Arial"/>
          <w:sz w:val="20"/>
          <w:szCs w:val="20"/>
          <w:lang w:val="en-ZA"/>
        </w:rPr>
        <w:t>ter of allocation allocated R27.</w:t>
      </w:r>
      <w:r w:rsidR="00E271D1" w:rsidRPr="00F2484F">
        <w:rPr>
          <w:rFonts w:ascii="Arial" w:eastAsiaTheme="minorHAnsi" w:hAnsi="Arial" w:cs="Arial"/>
          <w:sz w:val="20"/>
          <w:szCs w:val="20"/>
          <w:lang w:val="en-ZA"/>
        </w:rPr>
        <w:t>1 billion to the DOD</w:t>
      </w:r>
      <w:r w:rsidR="00450FD7" w:rsidRPr="00F2484F">
        <w:rPr>
          <w:rFonts w:ascii="Arial" w:eastAsiaTheme="minorHAnsi" w:hAnsi="Arial" w:cs="Arial"/>
          <w:sz w:val="20"/>
          <w:szCs w:val="20"/>
          <w:lang w:val="en-ZA"/>
        </w:rPr>
        <w:t xml:space="preserve"> for</w:t>
      </w:r>
      <w:r w:rsidR="00E271D1" w:rsidRPr="00F2484F">
        <w:rPr>
          <w:rFonts w:ascii="Arial" w:eastAsiaTheme="minorHAnsi" w:hAnsi="Arial" w:cs="Arial"/>
          <w:sz w:val="20"/>
          <w:szCs w:val="20"/>
          <w:lang w:val="en-ZA"/>
        </w:rPr>
        <w:t xml:space="preserve"> Compensation of Employees (CoE) for 2018/19 and the DOD maintained an average strength of 74 343, resulting in a CoE shortfall of R2</w:t>
      </w:r>
      <w:r w:rsidR="00450FD7" w:rsidRPr="00F2484F">
        <w:rPr>
          <w:rFonts w:ascii="Arial" w:eastAsiaTheme="minorHAnsi" w:hAnsi="Arial" w:cs="Arial"/>
          <w:sz w:val="20"/>
          <w:szCs w:val="20"/>
          <w:lang w:val="en-ZA"/>
        </w:rPr>
        <w:t>.</w:t>
      </w:r>
      <w:r w:rsidR="00E271D1" w:rsidRPr="00F2484F">
        <w:rPr>
          <w:rFonts w:ascii="Arial" w:eastAsiaTheme="minorHAnsi" w:hAnsi="Arial" w:cs="Arial"/>
          <w:sz w:val="20"/>
          <w:szCs w:val="20"/>
          <w:lang w:val="en-ZA"/>
        </w:rPr>
        <w:t>9 billion. On a year-on-year basis, the average human resource strength reduced</w:t>
      </w:r>
      <w:r w:rsidRPr="00F2484F">
        <w:rPr>
          <w:rFonts w:ascii="Arial" w:eastAsiaTheme="minorHAnsi" w:hAnsi="Arial" w:cs="Arial"/>
          <w:sz w:val="20"/>
          <w:szCs w:val="20"/>
          <w:lang w:val="en-ZA"/>
        </w:rPr>
        <w:t xml:space="preserve"> by 543 members from 75 053 in 2</w:t>
      </w:r>
      <w:r w:rsidR="00E271D1" w:rsidRPr="00F2484F">
        <w:rPr>
          <w:rFonts w:ascii="Arial" w:eastAsiaTheme="minorHAnsi" w:hAnsi="Arial" w:cs="Arial"/>
          <w:sz w:val="20"/>
          <w:szCs w:val="20"/>
          <w:lang w:val="en-ZA"/>
        </w:rPr>
        <w:t xml:space="preserve">017/18 to 74 510 in 2018/19. The vacancy rate was </w:t>
      </w:r>
      <w:r w:rsidR="00E271D1" w:rsidRPr="00F2484F">
        <w:rPr>
          <w:rFonts w:ascii="Arial" w:eastAsiaTheme="minorHAnsi" w:hAnsi="Arial" w:cs="Arial"/>
          <w:bCs/>
          <w:sz w:val="20"/>
          <w:szCs w:val="20"/>
          <w:lang w:val="en-ZA"/>
        </w:rPr>
        <w:t xml:space="preserve">17% with Programme 5 (Maritime Defence) the highest at 26% and </w:t>
      </w:r>
      <w:r w:rsidR="00450FD7" w:rsidRPr="00F2484F">
        <w:rPr>
          <w:rFonts w:ascii="Arial" w:eastAsiaTheme="minorHAnsi" w:hAnsi="Arial" w:cs="Arial"/>
          <w:bCs/>
          <w:sz w:val="20"/>
          <w:szCs w:val="20"/>
          <w:lang w:val="en-ZA"/>
        </w:rPr>
        <w:br/>
      </w:r>
      <w:r w:rsidR="00E271D1" w:rsidRPr="00F2484F">
        <w:rPr>
          <w:rFonts w:ascii="Arial" w:eastAsiaTheme="minorHAnsi" w:hAnsi="Arial" w:cs="Arial"/>
          <w:bCs/>
          <w:sz w:val="20"/>
          <w:szCs w:val="20"/>
          <w:lang w:val="en-ZA"/>
        </w:rPr>
        <w:t>Programme 8 (General Support) the lowest at 7%. The Annual Report also mentions that t</w:t>
      </w:r>
      <w:r w:rsidR="00E271D1" w:rsidRPr="00F2484F">
        <w:rPr>
          <w:rFonts w:ascii="Arial" w:eastAsiaTheme="minorHAnsi" w:hAnsi="Arial" w:cs="Arial"/>
          <w:sz w:val="20"/>
          <w:szCs w:val="20"/>
          <w:lang w:val="en-ZA"/>
        </w:rPr>
        <w:t>he DOD issued the revised Policy on Transformation Management on 23 August 2018 to ensure the DOD adheres to governmental policy on transformation targets. The Department reported 366 employees with disabilities of which 306 were males.</w:t>
      </w:r>
      <w:r w:rsidR="00E271D1" w:rsidRPr="00F2484F">
        <w:rPr>
          <w:rStyle w:val="FootnoteReference"/>
          <w:rFonts w:ascii="Arial" w:eastAsiaTheme="minorHAnsi" w:hAnsi="Arial" w:cs="Arial"/>
          <w:sz w:val="20"/>
          <w:szCs w:val="20"/>
          <w:lang w:val="en-ZA"/>
        </w:rPr>
        <w:footnoteReference w:id="26"/>
      </w:r>
      <w:r w:rsidR="00E271D1" w:rsidRPr="00F2484F">
        <w:rPr>
          <w:rFonts w:ascii="Arial" w:eastAsiaTheme="minorHAnsi" w:hAnsi="Arial" w:cs="Arial"/>
          <w:sz w:val="20"/>
          <w:szCs w:val="20"/>
          <w:lang w:val="en-ZA"/>
        </w:rPr>
        <w:t xml:space="preserve"> The Employment Equity statistics were reported as:</w:t>
      </w:r>
      <w:r w:rsidR="00E271D1" w:rsidRPr="00F2484F">
        <w:rPr>
          <w:rStyle w:val="FootnoteReference"/>
          <w:rFonts w:ascii="Arial" w:eastAsiaTheme="minorHAnsi" w:hAnsi="Arial" w:cs="Arial"/>
          <w:sz w:val="20"/>
          <w:szCs w:val="20"/>
          <w:lang w:val="en-ZA"/>
        </w:rPr>
        <w:footnoteReference w:id="27"/>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tbl>
      <w:tblPr>
        <w:tblStyle w:val="TableGrid"/>
        <w:tblW w:w="0" w:type="auto"/>
        <w:tblInd w:w="1129" w:type="dxa"/>
        <w:tblLook w:val="04A0"/>
      </w:tblPr>
      <w:tblGrid>
        <w:gridCol w:w="2454"/>
        <w:gridCol w:w="1090"/>
        <w:gridCol w:w="2552"/>
        <w:gridCol w:w="992"/>
        <w:gridCol w:w="1134"/>
      </w:tblGrid>
      <w:tr w:rsidR="00E271D1" w:rsidRPr="00F2484F" w:rsidTr="004C67EF">
        <w:tc>
          <w:tcPr>
            <w:tcW w:w="8222" w:type="dxa"/>
            <w:gridSpan w:val="5"/>
            <w:shd w:val="clear" w:color="auto" w:fill="00B0F0"/>
          </w:tcPr>
          <w:p w:rsidR="00E271D1" w:rsidRPr="00F2484F" w:rsidRDefault="008D6AF1" w:rsidP="00F2484F">
            <w:pPr>
              <w:autoSpaceDE w:val="0"/>
              <w:autoSpaceDN w:val="0"/>
              <w:adjustRightInd w:val="0"/>
              <w:ind w:right="54"/>
              <w:rPr>
                <w:rFonts w:ascii="Arial" w:hAnsi="Arial" w:cs="Arial"/>
                <w:b/>
                <w:sz w:val="20"/>
                <w:szCs w:val="20"/>
              </w:rPr>
            </w:pPr>
            <w:r w:rsidRPr="00F2484F">
              <w:rPr>
                <w:rFonts w:ascii="Arial" w:hAnsi="Arial" w:cs="Arial"/>
                <w:b/>
                <w:sz w:val="20"/>
                <w:szCs w:val="20"/>
              </w:rPr>
              <w:t>Employment equity 2018/1</w:t>
            </w:r>
            <w:r w:rsidR="00E271D1" w:rsidRPr="00F2484F">
              <w:rPr>
                <w:rFonts w:ascii="Arial" w:hAnsi="Arial" w:cs="Arial"/>
                <w:b/>
                <w:sz w:val="20"/>
                <w:szCs w:val="20"/>
              </w:rPr>
              <w:t>9</w:t>
            </w:r>
          </w:p>
        </w:tc>
      </w:tr>
      <w:tr w:rsidR="00E271D1" w:rsidRPr="00F2484F" w:rsidTr="004C67EF">
        <w:tc>
          <w:tcPr>
            <w:tcW w:w="3544" w:type="dxa"/>
            <w:gridSpan w:val="2"/>
            <w:shd w:val="clear" w:color="auto" w:fill="BDD6EE" w:themeFill="accent1"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Males</w:t>
            </w:r>
          </w:p>
        </w:tc>
        <w:tc>
          <w:tcPr>
            <w:tcW w:w="3544" w:type="dxa"/>
            <w:gridSpan w:val="2"/>
            <w:shd w:val="clear" w:color="auto" w:fill="BDD6EE" w:themeFill="accent1"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Females</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Total</w:t>
            </w:r>
          </w:p>
        </w:tc>
      </w:tr>
      <w:tr w:rsidR="00E271D1" w:rsidRPr="00F2484F" w:rsidTr="004C67EF">
        <w:trPr>
          <w:trHeight w:val="285"/>
        </w:trPr>
        <w:tc>
          <w:tcPr>
            <w:tcW w:w="2454"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lastRenderedPageBreak/>
              <w:t xml:space="preserve">African </w:t>
            </w:r>
          </w:p>
        </w:tc>
        <w:tc>
          <w:tcPr>
            <w:tcW w:w="1090"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39 326</w:t>
            </w:r>
          </w:p>
        </w:tc>
        <w:tc>
          <w:tcPr>
            <w:tcW w:w="2552"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African </w:t>
            </w:r>
          </w:p>
        </w:tc>
        <w:tc>
          <w:tcPr>
            <w:tcW w:w="992"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16 560</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55 886</w:t>
            </w:r>
          </w:p>
        </w:tc>
      </w:tr>
      <w:tr w:rsidR="00E271D1" w:rsidRPr="00F2484F" w:rsidTr="004C67EF">
        <w:tc>
          <w:tcPr>
            <w:tcW w:w="2454"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Coloured </w:t>
            </w:r>
            <w:r w:rsidRPr="00F2484F">
              <w:rPr>
                <w:rStyle w:val="FootnoteReference"/>
                <w:rFonts w:ascii="Arial" w:hAnsi="Arial" w:cs="Arial"/>
                <w:b/>
                <w:i/>
                <w:sz w:val="20"/>
                <w:szCs w:val="20"/>
              </w:rPr>
              <w:footnoteReference w:id="28"/>
            </w:r>
          </w:p>
        </w:tc>
        <w:tc>
          <w:tcPr>
            <w:tcW w:w="1090"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677</w:t>
            </w:r>
          </w:p>
        </w:tc>
        <w:tc>
          <w:tcPr>
            <w:tcW w:w="2552"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Coloured </w:t>
            </w:r>
          </w:p>
        </w:tc>
        <w:tc>
          <w:tcPr>
            <w:tcW w:w="992"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304</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981</w:t>
            </w:r>
          </w:p>
        </w:tc>
      </w:tr>
      <w:tr w:rsidR="00E271D1" w:rsidRPr="00F2484F" w:rsidTr="004C67EF">
        <w:tc>
          <w:tcPr>
            <w:tcW w:w="2454"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Indian </w:t>
            </w:r>
          </w:p>
        </w:tc>
        <w:tc>
          <w:tcPr>
            <w:tcW w:w="1090"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6 191</w:t>
            </w:r>
          </w:p>
        </w:tc>
        <w:tc>
          <w:tcPr>
            <w:tcW w:w="2552"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Indian </w:t>
            </w:r>
          </w:p>
        </w:tc>
        <w:tc>
          <w:tcPr>
            <w:tcW w:w="992"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2 971</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9 162</w:t>
            </w:r>
          </w:p>
        </w:tc>
      </w:tr>
      <w:tr w:rsidR="00E271D1" w:rsidRPr="00F2484F" w:rsidTr="004C67EF">
        <w:tc>
          <w:tcPr>
            <w:tcW w:w="2454"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White </w:t>
            </w:r>
          </w:p>
        </w:tc>
        <w:tc>
          <w:tcPr>
            <w:tcW w:w="1090"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5 490</w:t>
            </w:r>
          </w:p>
        </w:tc>
        <w:tc>
          <w:tcPr>
            <w:tcW w:w="2552"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White </w:t>
            </w:r>
          </w:p>
        </w:tc>
        <w:tc>
          <w:tcPr>
            <w:tcW w:w="992"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2 989</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8 479</w:t>
            </w:r>
          </w:p>
        </w:tc>
      </w:tr>
      <w:tr w:rsidR="00E271D1" w:rsidRPr="00F2484F" w:rsidTr="00450FD7">
        <w:tc>
          <w:tcPr>
            <w:tcW w:w="2454"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Total </w:t>
            </w:r>
          </w:p>
        </w:tc>
        <w:tc>
          <w:tcPr>
            <w:tcW w:w="1090"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51 684</w:t>
            </w:r>
          </w:p>
        </w:tc>
        <w:tc>
          <w:tcPr>
            <w:tcW w:w="2552"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Total </w:t>
            </w:r>
          </w:p>
        </w:tc>
        <w:tc>
          <w:tcPr>
            <w:tcW w:w="992"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22 824</w:t>
            </w:r>
          </w:p>
        </w:tc>
        <w:tc>
          <w:tcPr>
            <w:tcW w:w="1134"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74 508</w:t>
            </w:r>
          </w:p>
        </w:tc>
      </w:tr>
      <w:tr w:rsidR="00E271D1" w:rsidRPr="00F2484F" w:rsidTr="004C67EF">
        <w:tc>
          <w:tcPr>
            <w:tcW w:w="2454"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Employees with disabilities </w:t>
            </w:r>
          </w:p>
        </w:tc>
        <w:tc>
          <w:tcPr>
            <w:tcW w:w="1090"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306</w:t>
            </w:r>
          </w:p>
        </w:tc>
        <w:tc>
          <w:tcPr>
            <w:tcW w:w="2552"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Employees with Disabilities</w:t>
            </w:r>
          </w:p>
        </w:tc>
        <w:tc>
          <w:tcPr>
            <w:tcW w:w="992"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60</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366</w:t>
            </w:r>
          </w:p>
        </w:tc>
      </w:tr>
    </w:tbl>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Table 2</w:t>
      </w:r>
    </w:p>
    <w:p w:rsidR="00450FD7" w:rsidRPr="00F2484F" w:rsidRDefault="00450FD7" w:rsidP="00F2484F">
      <w:pPr>
        <w:autoSpaceDE w:val="0"/>
        <w:autoSpaceDN w:val="0"/>
        <w:adjustRightInd w:val="0"/>
        <w:ind w:right="54"/>
        <w:rPr>
          <w:rFonts w:ascii="Arial" w:hAnsi="Arial" w:cs="Arial"/>
          <w:b/>
          <w:sz w:val="20"/>
          <w:szCs w:val="20"/>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For 2019/20, the Department planned an average personnel strength of 74 901. As at 31 March 2020, the average strength was 74 096. The CoE allocation for the 2019/20 was R29</w:t>
      </w:r>
      <w:r w:rsidR="00450FD7" w:rsidRPr="00F2484F">
        <w:rPr>
          <w:rFonts w:ascii="Arial" w:eastAsiaTheme="minorHAnsi" w:hAnsi="Arial" w:cs="Arial"/>
          <w:sz w:val="20"/>
          <w:szCs w:val="20"/>
          <w:lang w:val="en-ZA"/>
        </w:rPr>
        <w:t>.</w:t>
      </w:r>
      <w:r w:rsidRPr="00F2484F">
        <w:rPr>
          <w:rFonts w:ascii="Arial" w:eastAsiaTheme="minorHAnsi" w:hAnsi="Arial" w:cs="Arial"/>
          <w:sz w:val="20"/>
          <w:szCs w:val="20"/>
          <w:lang w:val="en-ZA"/>
        </w:rPr>
        <w:t>193 billion.</w:t>
      </w:r>
      <w:r w:rsidRPr="00F2484F">
        <w:rPr>
          <w:rStyle w:val="FootnoteReference"/>
          <w:rFonts w:ascii="Arial" w:eastAsiaTheme="minorHAnsi" w:hAnsi="Arial" w:cs="Arial"/>
          <w:sz w:val="20"/>
          <w:szCs w:val="20"/>
          <w:lang w:val="en-ZA"/>
        </w:rPr>
        <w:footnoteReference w:id="29"/>
      </w:r>
      <w:r w:rsidRPr="00F2484F">
        <w:rPr>
          <w:rFonts w:ascii="Arial" w:eastAsiaTheme="minorHAnsi" w:hAnsi="Arial" w:cs="Arial"/>
          <w:sz w:val="20"/>
          <w:szCs w:val="20"/>
          <w:lang w:val="en-ZA"/>
        </w:rPr>
        <w:t xml:space="preserve">  The vacancy rate was </w:t>
      </w:r>
      <w:r w:rsidRPr="00F2484F">
        <w:rPr>
          <w:rFonts w:ascii="Arial" w:eastAsiaTheme="minorHAnsi" w:hAnsi="Arial" w:cs="Arial"/>
          <w:bCs/>
          <w:sz w:val="20"/>
          <w:szCs w:val="20"/>
          <w:lang w:val="en-ZA"/>
        </w:rPr>
        <w:t xml:space="preserve">17% with Programme 1 (Administration) the highest at 26% and Programme 8 (General Support), the lowest at 6%. </w:t>
      </w:r>
      <w:r w:rsidRPr="00F2484F">
        <w:rPr>
          <w:rFonts w:ascii="Arial" w:eastAsiaTheme="minorHAnsi" w:hAnsi="Arial" w:cs="Arial"/>
          <w:sz w:val="20"/>
          <w:szCs w:val="20"/>
          <w:lang w:val="en-ZA"/>
        </w:rPr>
        <w:t>The Department reported 348 employees with disabilities of which 289 were males.</w:t>
      </w:r>
      <w:r w:rsidRPr="00F2484F">
        <w:rPr>
          <w:rStyle w:val="FootnoteReference"/>
          <w:rFonts w:ascii="Arial" w:eastAsiaTheme="minorHAnsi" w:hAnsi="Arial" w:cs="Arial"/>
          <w:sz w:val="20"/>
          <w:szCs w:val="20"/>
          <w:lang w:val="en-ZA"/>
        </w:rPr>
        <w:footnoteReference w:id="30"/>
      </w:r>
      <w:r w:rsidRPr="00F2484F">
        <w:rPr>
          <w:rFonts w:ascii="Arial" w:eastAsiaTheme="minorHAnsi" w:hAnsi="Arial" w:cs="Arial"/>
          <w:sz w:val="20"/>
          <w:szCs w:val="20"/>
          <w:lang w:val="en-ZA"/>
        </w:rPr>
        <w:t xml:space="preserve"> The Employment Equity statistics were reported as:</w:t>
      </w:r>
      <w:r w:rsidRPr="00F2484F">
        <w:rPr>
          <w:rStyle w:val="FootnoteReference"/>
          <w:rFonts w:ascii="Arial" w:eastAsiaTheme="minorHAnsi" w:hAnsi="Arial" w:cs="Arial"/>
          <w:sz w:val="20"/>
          <w:szCs w:val="20"/>
          <w:lang w:val="en-ZA"/>
        </w:rPr>
        <w:footnoteReference w:id="31"/>
      </w:r>
    </w:p>
    <w:p w:rsidR="00080EE7" w:rsidRPr="00F2484F" w:rsidRDefault="00080EE7" w:rsidP="00F2484F">
      <w:pPr>
        <w:autoSpaceDE w:val="0"/>
        <w:autoSpaceDN w:val="0"/>
        <w:adjustRightInd w:val="0"/>
        <w:ind w:right="54"/>
        <w:rPr>
          <w:rFonts w:ascii="Arial" w:eastAsiaTheme="minorHAnsi" w:hAnsi="Arial" w:cs="Arial"/>
          <w:sz w:val="20"/>
          <w:szCs w:val="20"/>
          <w:lang w:val="en-ZA"/>
        </w:rPr>
      </w:pPr>
    </w:p>
    <w:tbl>
      <w:tblPr>
        <w:tblStyle w:val="TableGrid"/>
        <w:tblW w:w="0" w:type="auto"/>
        <w:tblInd w:w="1271" w:type="dxa"/>
        <w:tblLook w:val="04A0"/>
      </w:tblPr>
      <w:tblGrid>
        <w:gridCol w:w="2313"/>
        <w:gridCol w:w="947"/>
        <w:gridCol w:w="2410"/>
        <w:gridCol w:w="1134"/>
        <w:gridCol w:w="1134"/>
      </w:tblGrid>
      <w:tr w:rsidR="00E271D1" w:rsidRPr="00F2484F" w:rsidTr="004C67EF">
        <w:tc>
          <w:tcPr>
            <w:tcW w:w="7938" w:type="dxa"/>
            <w:gridSpan w:val="5"/>
            <w:shd w:val="clear" w:color="auto" w:fill="00B0F0"/>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Employment equity 2019/20</w:t>
            </w:r>
          </w:p>
        </w:tc>
      </w:tr>
      <w:tr w:rsidR="00E271D1" w:rsidRPr="00F2484F" w:rsidTr="004C67EF">
        <w:tc>
          <w:tcPr>
            <w:tcW w:w="3260" w:type="dxa"/>
            <w:gridSpan w:val="2"/>
            <w:shd w:val="clear" w:color="auto" w:fill="BDD6EE" w:themeFill="accent1"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Males</w:t>
            </w:r>
          </w:p>
        </w:tc>
        <w:tc>
          <w:tcPr>
            <w:tcW w:w="3544" w:type="dxa"/>
            <w:gridSpan w:val="2"/>
            <w:shd w:val="clear" w:color="auto" w:fill="BDD6EE" w:themeFill="accent1"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Females</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Total</w:t>
            </w:r>
          </w:p>
        </w:tc>
      </w:tr>
      <w:tr w:rsidR="00E271D1" w:rsidRPr="00F2484F" w:rsidTr="004C67EF">
        <w:trPr>
          <w:trHeight w:val="185"/>
        </w:trPr>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African </w:t>
            </w:r>
          </w:p>
        </w:tc>
        <w:tc>
          <w:tcPr>
            <w:tcW w:w="947"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39 194</w:t>
            </w:r>
          </w:p>
        </w:tc>
        <w:tc>
          <w:tcPr>
            <w:tcW w:w="2410"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African </w:t>
            </w:r>
          </w:p>
        </w:tc>
        <w:tc>
          <w:tcPr>
            <w:tcW w:w="1134"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16 922</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56 116</w:t>
            </w:r>
          </w:p>
        </w:tc>
      </w:tr>
      <w:tr w:rsidR="00E271D1" w:rsidRPr="00F2484F" w:rsidTr="004C67EF">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Coloured </w:t>
            </w:r>
          </w:p>
        </w:tc>
        <w:tc>
          <w:tcPr>
            <w:tcW w:w="947"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6 002</w:t>
            </w:r>
          </w:p>
        </w:tc>
        <w:tc>
          <w:tcPr>
            <w:tcW w:w="2410"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Coloured </w:t>
            </w:r>
          </w:p>
        </w:tc>
        <w:tc>
          <w:tcPr>
            <w:tcW w:w="1134"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2 944</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8 946</w:t>
            </w:r>
          </w:p>
        </w:tc>
      </w:tr>
      <w:tr w:rsidR="00E271D1" w:rsidRPr="00F2484F" w:rsidTr="004C67EF">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Indian </w:t>
            </w:r>
          </w:p>
        </w:tc>
        <w:tc>
          <w:tcPr>
            <w:tcW w:w="947"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678</w:t>
            </w:r>
          </w:p>
        </w:tc>
        <w:tc>
          <w:tcPr>
            <w:tcW w:w="2410"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Indian </w:t>
            </w:r>
          </w:p>
        </w:tc>
        <w:tc>
          <w:tcPr>
            <w:tcW w:w="1134"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291</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969</w:t>
            </w:r>
          </w:p>
        </w:tc>
      </w:tr>
      <w:tr w:rsidR="00E271D1" w:rsidRPr="00F2484F" w:rsidTr="004C67EF">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White </w:t>
            </w:r>
          </w:p>
        </w:tc>
        <w:tc>
          <w:tcPr>
            <w:tcW w:w="947"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5 148</w:t>
            </w:r>
          </w:p>
        </w:tc>
        <w:tc>
          <w:tcPr>
            <w:tcW w:w="2410"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White </w:t>
            </w:r>
          </w:p>
        </w:tc>
        <w:tc>
          <w:tcPr>
            <w:tcW w:w="1134"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2 808</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7 956</w:t>
            </w:r>
          </w:p>
        </w:tc>
      </w:tr>
      <w:tr w:rsidR="00E271D1" w:rsidRPr="00F2484F" w:rsidTr="00450FD7">
        <w:tc>
          <w:tcPr>
            <w:tcW w:w="2313"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Total </w:t>
            </w:r>
          </w:p>
        </w:tc>
        <w:tc>
          <w:tcPr>
            <w:tcW w:w="947"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51 022</w:t>
            </w:r>
          </w:p>
        </w:tc>
        <w:tc>
          <w:tcPr>
            <w:tcW w:w="2410"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Total </w:t>
            </w:r>
          </w:p>
        </w:tc>
        <w:tc>
          <w:tcPr>
            <w:tcW w:w="1134"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22 965</w:t>
            </w:r>
          </w:p>
        </w:tc>
        <w:tc>
          <w:tcPr>
            <w:tcW w:w="1134"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 xml:space="preserve">73 987  </w:t>
            </w:r>
          </w:p>
        </w:tc>
      </w:tr>
      <w:tr w:rsidR="00E271D1" w:rsidRPr="00F2484F" w:rsidTr="004C67EF">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Employees with disabilities </w:t>
            </w:r>
          </w:p>
        </w:tc>
        <w:tc>
          <w:tcPr>
            <w:tcW w:w="947"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289</w:t>
            </w:r>
          </w:p>
        </w:tc>
        <w:tc>
          <w:tcPr>
            <w:tcW w:w="2410"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Employees with Disabilities</w:t>
            </w:r>
          </w:p>
        </w:tc>
        <w:tc>
          <w:tcPr>
            <w:tcW w:w="1134"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59</w:t>
            </w:r>
          </w:p>
        </w:tc>
        <w:tc>
          <w:tcPr>
            <w:tcW w:w="1134"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348</w:t>
            </w:r>
          </w:p>
        </w:tc>
      </w:tr>
    </w:tbl>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Table 3</w:t>
      </w:r>
    </w:p>
    <w:p w:rsidR="00E271D1" w:rsidRPr="00F2484F" w:rsidRDefault="00E271D1" w:rsidP="00F2484F">
      <w:pPr>
        <w:autoSpaceDE w:val="0"/>
        <w:autoSpaceDN w:val="0"/>
        <w:adjustRightInd w:val="0"/>
        <w:ind w:right="54"/>
        <w:rPr>
          <w:rFonts w:ascii="Arial" w:hAnsi="Arial" w:cs="Arial"/>
          <w:b/>
          <w:sz w:val="20"/>
          <w:szCs w:val="20"/>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For </w:t>
      </w:r>
      <w:r w:rsidR="00BF0935" w:rsidRPr="00F2484F">
        <w:rPr>
          <w:rFonts w:ascii="Arial" w:eastAsiaTheme="minorHAnsi" w:hAnsi="Arial" w:cs="Arial"/>
          <w:sz w:val="20"/>
          <w:szCs w:val="20"/>
          <w:lang w:val="en-ZA"/>
        </w:rPr>
        <w:t>2020/</w:t>
      </w:r>
      <w:r w:rsidRPr="00F2484F">
        <w:rPr>
          <w:rFonts w:ascii="Arial" w:eastAsiaTheme="minorHAnsi" w:hAnsi="Arial" w:cs="Arial"/>
          <w:sz w:val="20"/>
          <w:szCs w:val="20"/>
          <w:lang w:val="en-ZA"/>
        </w:rPr>
        <w:t>21, the planned average personnel strength was 75 000, aimed at replacing personnel losses according to attrition and maintaining Reserve Force mandays at 2 695 963. The actual personnel strength as at 31 March 2021 was 72 322. During the course of the year under review, the CoE allocation was adjusted downwards to R30</w:t>
      </w:r>
      <w:r w:rsidR="00BF0935" w:rsidRPr="00F2484F">
        <w:rPr>
          <w:rFonts w:ascii="Arial" w:eastAsiaTheme="minorHAnsi" w:hAnsi="Arial" w:cs="Arial"/>
          <w:sz w:val="20"/>
          <w:szCs w:val="20"/>
          <w:lang w:val="en-ZA"/>
        </w:rPr>
        <w:t>.</w:t>
      </w:r>
      <w:r w:rsidRPr="00F2484F">
        <w:rPr>
          <w:rFonts w:ascii="Arial" w:eastAsiaTheme="minorHAnsi" w:hAnsi="Arial" w:cs="Arial"/>
          <w:sz w:val="20"/>
          <w:szCs w:val="20"/>
          <w:lang w:val="en-ZA"/>
        </w:rPr>
        <w:t>985 billion. This downward adjustment contributed to a CoE deficit of R1</w:t>
      </w:r>
      <w:r w:rsidR="00BF0935" w:rsidRPr="00F2484F">
        <w:rPr>
          <w:rFonts w:ascii="Arial" w:eastAsiaTheme="minorHAnsi" w:hAnsi="Arial" w:cs="Arial"/>
          <w:sz w:val="20"/>
          <w:szCs w:val="20"/>
          <w:lang w:val="en-ZA"/>
        </w:rPr>
        <w:t>.</w:t>
      </w:r>
      <w:r w:rsidRPr="00F2484F">
        <w:rPr>
          <w:rFonts w:ascii="Arial" w:eastAsiaTheme="minorHAnsi" w:hAnsi="Arial" w:cs="Arial"/>
          <w:sz w:val="20"/>
          <w:szCs w:val="20"/>
          <w:lang w:val="en-ZA"/>
        </w:rPr>
        <w:t>775 billion for the year ended 31 March 2021. With concurrence by National Treasury, the DOD was able to internally reprioritise funds, mainly its operating budget, in order to fund the deficit of the CoE allocation.</w:t>
      </w:r>
      <w:r w:rsidRPr="00F2484F">
        <w:rPr>
          <w:rStyle w:val="FootnoteReference"/>
          <w:rFonts w:ascii="Arial" w:eastAsiaTheme="minorHAnsi" w:hAnsi="Arial" w:cs="Arial"/>
          <w:sz w:val="20"/>
          <w:szCs w:val="20"/>
          <w:lang w:val="en-ZA"/>
        </w:rPr>
        <w:footnoteReference w:id="32"/>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 xml:space="preserve">The vacancy rate was </w:t>
      </w:r>
      <w:r w:rsidRPr="00F2484F">
        <w:rPr>
          <w:rFonts w:ascii="Arial" w:eastAsiaTheme="minorHAnsi" w:hAnsi="Arial" w:cs="Arial"/>
          <w:bCs/>
          <w:sz w:val="20"/>
          <w:szCs w:val="20"/>
          <w:lang w:val="en-ZA"/>
        </w:rPr>
        <w:t xml:space="preserve">19% with Programme 1 (administration) the highest at 27% and Programme 8 (General Support), the lowest at 7%. </w:t>
      </w:r>
      <w:r w:rsidRPr="00F2484F">
        <w:rPr>
          <w:rFonts w:ascii="Arial" w:eastAsiaTheme="minorHAnsi" w:hAnsi="Arial" w:cs="Arial"/>
          <w:sz w:val="20"/>
          <w:szCs w:val="20"/>
          <w:lang w:val="en-ZA"/>
        </w:rPr>
        <w:t>The Department reported 377 employees with disabilities of which 277 were males.</w:t>
      </w:r>
      <w:r w:rsidRPr="00F2484F">
        <w:rPr>
          <w:rStyle w:val="FootnoteReference"/>
          <w:rFonts w:ascii="Arial" w:eastAsiaTheme="minorHAnsi" w:hAnsi="Arial" w:cs="Arial"/>
          <w:sz w:val="20"/>
          <w:szCs w:val="20"/>
          <w:lang w:val="en-ZA"/>
        </w:rPr>
        <w:footnoteReference w:id="33"/>
      </w:r>
      <w:r w:rsidRPr="00F2484F">
        <w:rPr>
          <w:rFonts w:ascii="Arial" w:eastAsiaTheme="minorHAnsi" w:hAnsi="Arial" w:cs="Arial"/>
          <w:sz w:val="20"/>
          <w:szCs w:val="20"/>
          <w:lang w:val="en-ZA"/>
        </w:rPr>
        <w:t xml:space="preserve"> The Employment Equity statistics were reported as:</w:t>
      </w:r>
      <w:r w:rsidRPr="00F2484F">
        <w:rPr>
          <w:rStyle w:val="FootnoteReference"/>
          <w:rFonts w:ascii="Arial" w:eastAsiaTheme="minorHAnsi" w:hAnsi="Arial" w:cs="Arial"/>
          <w:sz w:val="20"/>
          <w:szCs w:val="20"/>
          <w:lang w:val="en-ZA"/>
        </w:rPr>
        <w:footnoteReference w:id="34"/>
      </w:r>
    </w:p>
    <w:p w:rsidR="00E271D1" w:rsidRPr="00F2484F" w:rsidRDefault="00E271D1" w:rsidP="00F2484F">
      <w:pPr>
        <w:ind w:right="54"/>
        <w:rPr>
          <w:rFonts w:ascii="Arial" w:hAnsi="Arial" w:cs="Arial"/>
          <w:sz w:val="20"/>
          <w:szCs w:val="20"/>
        </w:rPr>
      </w:pPr>
    </w:p>
    <w:tbl>
      <w:tblPr>
        <w:tblStyle w:val="TableGrid"/>
        <w:tblW w:w="0" w:type="auto"/>
        <w:tblInd w:w="1271" w:type="dxa"/>
        <w:tblLook w:val="04A0"/>
      </w:tblPr>
      <w:tblGrid>
        <w:gridCol w:w="2313"/>
        <w:gridCol w:w="1089"/>
        <w:gridCol w:w="2268"/>
        <w:gridCol w:w="1418"/>
        <w:gridCol w:w="992"/>
      </w:tblGrid>
      <w:tr w:rsidR="00E271D1" w:rsidRPr="00F2484F" w:rsidTr="004C67EF">
        <w:tc>
          <w:tcPr>
            <w:tcW w:w="8080" w:type="dxa"/>
            <w:gridSpan w:val="5"/>
            <w:shd w:val="clear" w:color="auto" w:fill="00B0F0"/>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Employment equity 2020/21</w:t>
            </w:r>
          </w:p>
        </w:tc>
      </w:tr>
      <w:tr w:rsidR="00E271D1" w:rsidRPr="00F2484F" w:rsidTr="004C67EF">
        <w:tc>
          <w:tcPr>
            <w:tcW w:w="3402" w:type="dxa"/>
            <w:gridSpan w:val="2"/>
            <w:shd w:val="clear" w:color="auto" w:fill="BDD6EE" w:themeFill="accent1"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Males</w:t>
            </w:r>
          </w:p>
        </w:tc>
        <w:tc>
          <w:tcPr>
            <w:tcW w:w="3686" w:type="dxa"/>
            <w:gridSpan w:val="2"/>
            <w:shd w:val="clear" w:color="auto" w:fill="BDD6EE" w:themeFill="accent1"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Females</w:t>
            </w:r>
          </w:p>
        </w:tc>
        <w:tc>
          <w:tcPr>
            <w:tcW w:w="992"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Total</w:t>
            </w:r>
          </w:p>
        </w:tc>
      </w:tr>
      <w:tr w:rsidR="00E271D1" w:rsidRPr="00F2484F" w:rsidTr="004C67EF">
        <w:trPr>
          <w:trHeight w:val="273"/>
        </w:trPr>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African </w:t>
            </w:r>
          </w:p>
        </w:tc>
        <w:tc>
          <w:tcPr>
            <w:tcW w:w="1089"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38 299</w:t>
            </w:r>
          </w:p>
        </w:tc>
        <w:tc>
          <w:tcPr>
            <w:tcW w:w="2268"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African </w:t>
            </w:r>
          </w:p>
        </w:tc>
        <w:tc>
          <w:tcPr>
            <w:tcW w:w="1418"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16 842</w:t>
            </w:r>
          </w:p>
        </w:tc>
        <w:tc>
          <w:tcPr>
            <w:tcW w:w="992"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 xml:space="preserve">55 </w:t>
            </w:r>
            <w:r w:rsidR="00416F25" w:rsidRPr="00F2484F">
              <w:rPr>
                <w:rFonts w:ascii="Arial" w:hAnsi="Arial" w:cs="Arial"/>
                <w:sz w:val="20"/>
                <w:szCs w:val="20"/>
              </w:rPr>
              <w:t>141</w:t>
            </w:r>
          </w:p>
        </w:tc>
      </w:tr>
      <w:tr w:rsidR="00E271D1" w:rsidRPr="00F2484F" w:rsidTr="004C67EF">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Coloured</w:t>
            </w:r>
            <w:r w:rsidRPr="00F2484F">
              <w:rPr>
                <w:rStyle w:val="FootnoteReference"/>
                <w:rFonts w:ascii="Arial" w:hAnsi="Arial" w:cs="Arial"/>
                <w:b/>
                <w:i/>
                <w:sz w:val="20"/>
                <w:szCs w:val="20"/>
              </w:rPr>
              <w:footnoteReference w:id="35"/>
            </w:r>
            <w:r w:rsidRPr="00F2484F">
              <w:rPr>
                <w:rFonts w:ascii="Arial" w:hAnsi="Arial" w:cs="Arial"/>
                <w:b/>
                <w:i/>
                <w:sz w:val="20"/>
                <w:szCs w:val="20"/>
              </w:rPr>
              <w:t xml:space="preserve"> </w:t>
            </w:r>
          </w:p>
        </w:tc>
        <w:tc>
          <w:tcPr>
            <w:tcW w:w="1089"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655</w:t>
            </w:r>
          </w:p>
        </w:tc>
        <w:tc>
          <w:tcPr>
            <w:tcW w:w="2268"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Coloured </w:t>
            </w:r>
          </w:p>
        </w:tc>
        <w:tc>
          <w:tcPr>
            <w:tcW w:w="1418"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295</w:t>
            </w:r>
          </w:p>
        </w:tc>
        <w:tc>
          <w:tcPr>
            <w:tcW w:w="992" w:type="dxa"/>
            <w:shd w:val="clear" w:color="auto" w:fill="B4C6E7" w:themeFill="accent5" w:themeFillTint="66"/>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9</w:t>
            </w:r>
            <w:r w:rsidR="00416F25" w:rsidRPr="00F2484F">
              <w:rPr>
                <w:rFonts w:ascii="Arial" w:hAnsi="Arial" w:cs="Arial"/>
                <w:sz w:val="20"/>
                <w:szCs w:val="20"/>
              </w:rPr>
              <w:t>50</w:t>
            </w:r>
          </w:p>
        </w:tc>
      </w:tr>
      <w:tr w:rsidR="00E271D1" w:rsidRPr="00F2484F" w:rsidTr="004C67EF">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Indian </w:t>
            </w:r>
          </w:p>
        </w:tc>
        <w:tc>
          <w:tcPr>
            <w:tcW w:w="1089"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5 842</w:t>
            </w:r>
          </w:p>
        </w:tc>
        <w:tc>
          <w:tcPr>
            <w:tcW w:w="2268"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Indian </w:t>
            </w:r>
          </w:p>
        </w:tc>
        <w:tc>
          <w:tcPr>
            <w:tcW w:w="1418"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2 899</w:t>
            </w:r>
          </w:p>
        </w:tc>
        <w:tc>
          <w:tcPr>
            <w:tcW w:w="992" w:type="dxa"/>
            <w:shd w:val="clear" w:color="auto" w:fill="B4C6E7" w:themeFill="accent5" w:themeFillTint="66"/>
          </w:tcPr>
          <w:p w:rsidR="00E271D1" w:rsidRPr="00F2484F" w:rsidRDefault="00416F25" w:rsidP="00F2484F">
            <w:pPr>
              <w:autoSpaceDE w:val="0"/>
              <w:autoSpaceDN w:val="0"/>
              <w:adjustRightInd w:val="0"/>
              <w:ind w:right="54"/>
              <w:rPr>
                <w:rFonts w:ascii="Arial" w:hAnsi="Arial" w:cs="Arial"/>
                <w:sz w:val="20"/>
                <w:szCs w:val="20"/>
              </w:rPr>
            </w:pPr>
            <w:r w:rsidRPr="00F2484F">
              <w:rPr>
                <w:rFonts w:ascii="Arial" w:hAnsi="Arial" w:cs="Arial"/>
                <w:sz w:val="20"/>
                <w:szCs w:val="20"/>
              </w:rPr>
              <w:t>8 741</w:t>
            </w:r>
          </w:p>
        </w:tc>
      </w:tr>
      <w:tr w:rsidR="00E271D1" w:rsidRPr="00F2484F" w:rsidTr="004C67EF">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White </w:t>
            </w:r>
          </w:p>
        </w:tc>
        <w:tc>
          <w:tcPr>
            <w:tcW w:w="1089"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4 833</w:t>
            </w:r>
          </w:p>
        </w:tc>
        <w:tc>
          <w:tcPr>
            <w:tcW w:w="2268"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White </w:t>
            </w:r>
          </w:p>
        </w:tc>
        <w:tc>
          <w:tcPr>
            <w:tcW w:w="1418"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2 657</w:t>
            </w:r>
          </w:p>
        </w:tc>
        <w:tc>
          <w:tcPr>
            <w:tcW w:w="992" w:type="dxa"/>
            <w:shd w:val="clear" w:color="auto" w:fill="B4C6E7" w:themeFill="accent5" w:themeFillTint="66"/>
          </w:tcPr>
          <w:p w:rsidR="00E271D1" w:rsidRPr="00F2484F" w:rsidRDefault="00416F25" w:rsidP="00F2484F">
            <w:pPr>
              <w:autoSpaceDE w:val="0"/>
              <w:autoSpaceDN w:val="0"/>
              <w:adjustRightInd w:val="0"/>
              <w:ind w:right="54"/>
              <w:rPr>
                <w:rFonts w:ascii="Arial" w:hAnsi="Arial" w:cs="Arial"/>
                <w:sz w:val="20"/>
                <w:szCs w:val="20"/>
              </w:rPr>
            </w:pPr>
            <w:r w:rsidRPr="00F2484F">
              <w:rPr>
                <w:rFonts w:ascii="Arial" w:hAnsi="Arial" w:cs="Arial"/>
                <w:sz w:val="20"/>
                <w:szCs w:val="20"/>
              </w:rPr>
              <w:t>7 490</w:t>
            </w:r>
          </w:p>
        </w:tc>
      </w:tr>
      <w:tr w:rsidR="00E271D1" w:rsidRPr="00F2484F" w:rsidTr="00BF0935">
        <w:tc>
          <w:tcPr>
            <w:tcW w:w="2313"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Total </w:t>
            </w:r>
          </w:p>
        </w:tc>
        <w:tc>
          <w:tcPr>
            <w:tcW w:w="1089"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49 629</w:t>
            </w:r>
          </w:p>
        </w:tc>
        <w:tc>
          <w:tcPr>
            <w:tcW w:w="2268"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 xml:space="preserve">Total </w:t>
            </w:r>
          </w:p>
        </w:tc>
        <w:tc>
          <w:tcPr>
            <w:tcW w:w="1418" w:type="dxa"/>
            <w:shd w:val="clear" w:color="auto" w:fill="8EAADB" w:themeFill="accent5" w:themeFillTint="99"/>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22 693</w:t>
            </w:r>
          </w:p>
        </w:tc>
        <w:tc>
          <w:tcPr>
            <w:tcW w:w="992" w:type="dxa"/>
            <w:shd w:val="clear" w:color="auto" w:fill="8EAADB" w:themeFill="accent5" w:themeFillTint="99"/>
          </w:tcPr>
          <w:p w:rsidR="00E271D1" w:rsidRPr="00F2484F" w:rsidRDefault="00416F25" w:rsidP="00F2484F">
            <w:pPr>
              <w:autoSpaceDE w:val="0"/>
              <w:autoSpaceDN w:val="0"/>
              <w:adjustRightInd w:val="0"/>
              <w:ind w:right="54"/>
              <w:rPr>
                <w:rFonts w:ascii="Arial" w:hAnsi="Arial" w:cs="Arial"/>
                <w:b/>
                <w:sz w:val="20"/>
                <w:szCs w:val="20"/>
              </w:rPr>
            </w:pPr>
            <w:r w:rsidRPr="00F2484F">
              <w:rPr>
                <w:rFonts w:ascii="Arial" w:hAnsi="Arial" w:cs="Arial"/>
                <w:b/>
                <w:sz w:val="20"/>
                <w:szCs w:val="20"/>
              </w:rPr>
              <w:t>7</w:t>
            </w:r>
            <w:r w:rsidR="00E271D1" w:rsidRPr="00F2484F">
              <w:rPr>
                <w:rFonts w:ascii="Arial" w:hAnsi="Arial" w:cs="Arial"/>
                <w:b/>
                <w:sz w:val="20"/>
                <w:szCs w:val="20"/>
              </w:rPr>
              <w:t>2 322</w:t>
            </w:r>
          </w:p>
        </w:tc>
      </w:tr>
      <w:tr w:rsidR="00E271D1" w:rsidRPr="00F2484F" w:rsidTr="004C67EF">
        <w:tc>
          <w:tcPr>
            <w:tcW w:w="2313"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lastRenderedPageBreak/>
              <w:t xml:space="preserve">Employees with disabilities </w:t>
            </w:r>
          </w:p>
        </w:tc>
        <w:tc>
          <w:tcPr>
            <w:tcW w:w="1089"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277</w:t>
            </w:r>
          </w:p>
        </w:tc>
        <w:tc>
          <w:tcPr>
            <w:tcW w:w="2268" w:type="dxa"/>
            <w:shd w:val="clear" w:color="auto" w:fill="DEEAF6" w:themeFill="accent1" w:themeFillTint="33"/>
          </w:tcPr>
          <w:p w:rsidR="00E271D1" w:rsidRPr="00F2484F" w:rsidRDefault="00E271D1" w:rsidP="00F2484F">
            <w:pPr>
              <w:autoSpaceDE w:val="0"/>
              <w:autoSpaceDN w:val="0"/>
              <w:adjustRightInd w:val="0"/>
              <w:ind w:right="54"/>
              <w:rPr>
                <w:rFonts w:ascii="Arial" w:hAnsi="Arial" w:cs="Arial"/>
                <w:b/>
                <w:i/>
                <w:sz w:val="20"/>
                <w:szCs w:val="20"/>
              </w:rPr>
            </w:pPr>
            <w:r w:rsidRPr="00F2484F">
              <w:rPr>
                <w:rFonts w:ascii="Arial" w:hAnsi="Arial" w:cs="Arial"/>
                <w:b/>
                <w:i/>
                <w:sz w:val="20"/>
                <w:szCs w:val="20"/>
              </w:rPr>
              <w:t>Employees with Disabilities</w:t>
            </w:r>
          </w:p>
        </w:tc>
        <w:tc>
          <w:tcPr>
            <w:tcW w:w="1418"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54</w:t>
            </w:r>
          </w:p>
        </w:tc>
        <w:tc>
          <w:tcPr>
            <w:tcW w:w="992" w:type="dxa"/>
            <w:shd w:val="clear" w:color="auto" w:fill="B4C6E7" w:themeFill="accent5" w:themeFillTint="66"/>
          </w:tcPr>
          <w:p w:rsidR="00E271D1" w:rsidRPr="00F2484F" w:rsidRDefault="00416F25" w:rsidP="00F2484F">
            <w:pPr>
              <w:autoSpaceDE w:val="0"/>
              <w:autoSpaceDN w:val="0"/>
              <w:adjustRightInd w:val="0"/>
              <w:ind w:right="54"/>
              <w:rPr>
                <w:rFonts w:ascii="Arial" w:hAnsi="Arial" w:cs="Arial"/>
                <w:sz w:val="20"/>
                <w:szCs w:val="20"/>
              </w:rPr>
            </w:pPr>
            <w:r w:rsidRPr="00F2484F">
              <w:rPr>
                <w:rFonts w:ascii="Arial" w:hAnsi="Arial" w:cs="Arial"/>
                <w:sz w:val="20"/>
                <w:szCs w:val="20"/>
              </w:rPr>
              <w:t>331</w:t>
            </w:r>
          </w:p>
        </w:tc>
      </w:tr>
    </w:tbl>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Table 4</w:t>
      </w:r>
    </w:p>
    <w:p w:rsidR="00E271D1" w:rsidRPr="00F2484F" w:rsidRDefault="00E271D1" w:rsidP="00F2484F">
      <w:pPr>
        <w:autoSpaceDE w:val="0"/>
        <w:autoSpaceDN w:val="0"/>
        <w:adjustRightInd w:val="0"/>
        <w:ind w:right="54"/>
        <w:rPr>
          <w:rFonts w:ascii="Arial" w:hAnsi="Arial" w:cs="Arial"/>
          <w:b/>
          <w:sz w:val="20"/>
          <w:szCs w:val="20"/>
        </w:rPr>
      </w:pPr>
    </w:p>
    <w:p w:rsidR="00BF0935" w:rsidRPr="00F2484F" w:rsidRDefault="00BF0935" w:rsidP="00F2484F">
      <w:pPr>
        <w:autoSpaceDE w:val="0"/>
        <w:autoSpaceDN w:val="0"/>
        <w:adjustRightInd w:val="0"/>
        <w:ind w:right="54"/>
        <w:rPr>
          <w:rFonts w:ascii="Arial" w:hAnsi="Arial" w:cs="Arial"/>
          <w:b/>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Employment statistics</w:t>
      </w:r>
      <w:r w:rsidR="00BF0935" w:rsidRPr="00F2484F">
        <w:rPr>
          <w:rFonts w:ascii="Arial" w:hAnsi="Arial" w:cs="Arial"/>
          <w:b/>
          <w:sz w:val="20"/>
          <w:szCs w:val="20"/>
        </w:rPr>
        <w:t xml:space="preserve">: Comparing </w:t>
      </w:r>
      <w:r w:rsidRPr="00F2484F">
        <w:rPr>
          <w:rFonts w:ascii="Arial" w:hAnsi="Arial" w:cs="Arial"/>
          <w:b/>
          <w:sz w:val="20"/>
          <w:szCs w:val="20"/>
        </w:rPr>
        <w:t>May 1996 to financial years of the 6</w:t>
      </w:r>
      <w:r w:rsidRPr="00F2484F">
        <w:rPr>
          <w:rFonts w:ascii="Arial" w:hAnsi="Arial" w:cs="Arial"/>
          <w:b/>
          <w:sz w:val="20"/>
          <w:szCs w:val="20"/>
          <w:vertAlign w:val="superscript"/>
        </w:rPr>
        <w:t>th</w:t>
      </w:r>
      <w:r w:rsidRPr="00F2484F">
        <w:rPr>
          <w:rFonts w:ascii="Arial" w:hAnsi="Arial" w:cs="Arial"/>
          <w:b/>
          <w:sz w:val="20"/>
          <w:szCs w:val="20"/>
        </w:rPr>
        <w:t xml:space="preserve"> Parliament</w:t>
      </w:r>
    </w:p>
    <w:tbl>
      <w:tblPr>
        <w:tblStyle w:val="TableGrid"/>
        <w:tblW w:w="10916" w:type="dxa"/>
        <w:tblInd w:w="-431" w:type="dxa"/>
        <w:tblLayout w:type="fixed"/>
        <w:tblLook w:val="04A0"/>
      </w:tblPr>
      <w:tblGrid>
        <w:gridCol w:w="993"/>
        <w:gridCol w:w="851"/>
        <w:gridCol w:w="709"/>
        <w:gridCol w:w="708"/>
        <w:gridCol w:w="851"/>
        <w:gridCol w:w="567"/>
        <w:gridCol w:w="709"/>
        <w:gridCol w:w="708"/>
        <w:gridCol w:w="851"/>
        <w:gridCol w:w="567"/>
        <w:gridCol w:w="709"/>
        <w:gridCol w:w="708"/>
        <w:gridCol w:w="709"/>
        <w:gridCol w:w="567"/>
        <w:gridCol w:w="709"/>
      </w:tblGrid>
      <w:tr w:rsidR="002A10D7" w:rsidRPr="00F2484F" w:rsidTr="002A10D7">
        <w:trPr>
          <w:cantSplit/>
          <w:trHeight w:val="1471"/>
        </w:trPr>
        <w:tc>
          <w:tcPr>
            <w:tcW w:w="993" w:type="dxa"/>
            <w:shd w:val="clear" w:color="auto" w:fill="B4C6E7" w:themeFill="accent5" w:themeFillTint="66"/>
          </w:tcPr>
          <w:p w:rsidR="00E271D1" w:rsidRPr="00F2484F" w:rsidRDefault="00E271D1" w:rsidP="00F2484F">
            <w:pPr>
              <w:ind w:right="54"/>
              <w:rPr>
                <w:rFonts w:ascii="Arial" w:hAnsi="Arial" w:cs="Arial"/>
                <w:b/>
                <w:sz w:val="20"/>
                <w:szCs w:val="20"/>
              </w:rPr>
            </w:pPr>
          </w:p>
        </w:tc>
        <w:tc>
          <w:tcPr>
            <w:tcW w:w="851" w:type="dxa"/>
            <w:shd w:val="clear" w:color="auto" w:fill="B4C6E7" w:themeFill="accent5" w:themeFillTint="66"/>
            <w:textDirection w:val="tbRl"/>
          </w:tcPr>
          <w:p w:rsidR="00E271D1" w:rsidRPr="00F2484F" w:rsidRDefault="00E271D1" w:rsidP="00F2484F">
            <w:pPr>
              <w:ind w:right="54" w:hanging="151"/>
              <w:rPr>
                <w:rFonts w:ascii="Arial" w:hAnsi="Arial" w:cs="Arial"/>
                <w:b/>
                <w:position w:val="6"/>
                <w:sz w:val="20"/>
                <w:szCs w:val="20"/>
              </w:rPr>
            </w:pPr>
            <w:r w:rsidRPr="00F2484F">
              <w:rPr>
                <w:rFonts w:ascii="Arial" w:hAnsi="Arial" w:cs="Arial"/>
                <w:b/>
                <w:position w:val="6"/>
                <w:sz w:val="20"/>
                <w:szCs w:val="20"/>
              </w:rPr>
              <w:t>Males</w:t>
            </w:r>
          </w:p>
        </w:tc>
        <w:tc>
          <w:tcPr>
            <w:tcW w:w="709"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Females</w:t>
            </w:r>
          </w:p>
        </w:tc>
        <w:tc>
          <w:tcPr>
            <w:tcW w:w="708" w:type="dxa"/>
            <w:shd w:val="clear" w:color="auto" w:fill="B4C6E7" w:themeFill="accent5" w:themeFillTint="66"/>
            <w:textDirection w:val="tbRl"/>
          </w:tcPr>
          <w:p w:rsidR="00E271D1" w:rsidRPr="00F2484F" w:rsidRDefault="00E271D1" w:rsidP="00F2484F">
            <w:pPr>
              <w:ind w:right="54" w:hanging="151"/>
              <w:rPr>
                <w:rFonts w:ascii="Arial" w:hAnsi="Arial" w:cs="Arial"/>
                <w:b/>
                <w:position w:val="6"/>
                <w:sz w:val="20"/>
                <w:szCs w:val="20"/>
              </w:rPr>
            </w:pPr>
            <w:r w:rsidRPr="00F2484F">
              <w:rPr>
                <w:rFonts w:ascii="Arial" w:hAnsi="Arial" w:cs="Arial"/>
                <w:b/>
                <w:position w:val="6"/>
                <w:sz w:val="20"/>
                <w:szCs w:val="20"/>
              </w:rPr>
              <w:t>Males</w:t>
            </w:r>
          </w:p>
        </w:tc>
        <w:tc>
          <w:tcPr>
            <w:tcW w:w="851"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Females</w:t>
            </w:r>
          </w:p>
        </w:tc>
        <w:tc>
          <w:tcPr>
            <w:tcW w:w="567"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Disabilities</w:t>
            </w:r>
          </w:p>
          <w:p w:rsidR="00E271D1" w:rsidRPr="00F2484F" w:rsidRDefault="00E271D1" w:rsidP="00F2484F">
            <w:pPr>
              <w:ind w:right="54"/>
              <w:rPr>
                <w:rFonts w:ascii="Arial" w:hAnsi="Arial" w:cs="Arial"/>
                <w:b/>
                <w:position w:val="6"/>
                <w:sz w:val="20"/>
                <w:szCs w:val="20"/>
              </w:rPr>
            </w:pPr>
          </w:p>
        </w:tc>
        <w:tc>
          <w:tcPr>
            <w:tcW w:w="709"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Vacancy</w:t>
            </w:r>
          </w:p>
        </w:tc>
        <w:tc>
          <w:tcPr>
            <w:tcW w:w="708"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Males</w:t>
            </w:r>
          </w:p>
        </w:tc>
        <w:tc>
          <w:tcPr>
            <w:tcW w:w="851"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Females</w:t>
            </w:r>
          </w:p>
        </w:tc>
        <w:tc>
          <w:tcPr>
            <w:tcW w:w="567"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Disabilities</w:t>
            </w:r>
          </w:p>
          <w:p w:rsidR="00E271D1" w:rsidRPr="00F2484F" w:rsidRDefault="00E271D1" w:rsidP="00F2484F">
            <w:pPr>
              <w:ind w:right="54"/>
              <w:rPr>
                <w:rFonts w:ascii="Arial" w:hAnsi="Arial" w:cs="Arial"/>
                <w:b/>
                <w:position w:val="6"/>
                <w:sz w:val="20"/>
                <w:szCs w:val="20"/>
              </w:rPr>
            </w:pPr>
          </w:p>
        </w:tc>
        <w:tc>
          <w:tcPr>
            <w:tcW w:w="709"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Vacancy</w:t>
            </w:r>
          </w:p>
        </w:tc>
        <w:tc>
          <w:tcPr>
            <w:tcW w:w="708" w:type="dxa"/>
            <w:tcBorders>
              <w:bottom w:val="single" w:sz="4" w:space="0" w:color="auto"/>
            </w:tcBorders>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Males</w:t>
            </w:r>
          </w:p>
        </w:tc>
        <w:tc>
          <w:tcPr>
            <w:tcW w:w="709"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Females</w:t>
            </w:r>
          </w:p>
        </w:tc>
        <w:tc>
          <w:tcPr>
            <w:tcW w:w="567"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Disabilities</w:t>
            </w:r>
          </w:p>
          <w:p w:rsidR="00E271D1" w:rsidRPr="00F2484F" w:rsidRDefault="00E271D1" w:rsidP="00F2484F">
            <w:pPr>
              <w:ind w:right="54"/>
              <w:rPr>
                <w:rFonts w:ascii="Arial" w:hAnsi="Arial" w:cs="Arial"/>
                <w:b/>
                <w:position w:val="6"/>
                <w:sz w:val="20"/>
                <w:szCs w:val="20"/>
              </w:rPr>
            </w:pPr>
          </w:p>
        </w:tc>
        <w:tc>
          <w:tcPr>
            <w:tcW w:w="709" w:type="dxa"/>
            <w:shd w:val="clear" w:color="auto" w:fill="B4C6E7" w:themeFill="accent5" w:themeFillTint="66"/>
            <w:textDirection w:val="tbRl"/>
          </w:tcPr>
          <w:p w:rsidR="00E271D1" w:rsidRPr="00F2484F" w:rsidRDefault="00E271D1" w:rsidP="00F2484F">
            <w:pPr>
              <w:ind w:right="54"/>
              <w:rPr>
                <w:rFonts w:ascii="Arial" w:hAnsi="Arial" w:cs="Arial"/>
                <w:b/>
                <w:position w:val="6"/>
                <w:sz w:val="20"/>
                <w:szCs w:val="20"/>
              </w:rPr>
            </w:pPr>
            <w:r w:rsidRPr="00F2484F">
              <w:rPr>
                <w:rFonts w:ascii="Arial" w:hAnsi="Arial" w:cs="Arial"/>
                <w:b/>
                <w:position w:val="6"/>
                <w:sz w:val="20"/>
                <w:szCs w:val="20"/>
              </w:rPr>
              <w:t>Vacancy</w:t>
            </w:r>
          </w:p>
        </w:tc>
      </w:tr>
      <w:tr w:rsidR="00E271D1" w:rsidRPr="00F2484F" w:rsidTr="002A10D7">
        <w:tc>
          <w:tcPr>
            <w:tcW w:w="993" w:type="dxa"/>
          </w:tcPr>
          <w:p w:rsidR="00E271D1" w:rsidRPr="00F2484F" w:rsidRDefault="00E271D1" w:rsidP="00F2484F">
            <w:pPr>
              <w:ind w:right="54"/>
              <w:rPr>
                <w:rFonts w:ascii="Arial" w:hAnsi="Arial" w:cs="Arial"/>
                <w:sz w:val="20"/>
                <w:szCs w:val="20"/>
              </w:rPr>
            </w:pPr>
          </w:p>
        </w:tc>
        <w:tc>
          <w:tcPr>
            <w:tcW w:w="1560" w:type="dxa"/>
            <w:gridSpan w:val="2"/>
            <w:shd w:val="clear" w:color="auto" w:fill="70AD47" w:themeFill="accent6"/>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May 1996</w:t>
            </w:r>
          </w:p>
        </w:tc>
        <w:tc>
          <w:tcPr>
            <w:tcW w:w="2835" w:type="dxa"/>
            <w:gridSpan w:val="4"/>
            <w:shd w:val="clear" w:color="auto" w:fill="4472C4" w:themeFill="accent5"/>
          </w:tcPr>
          <w:p w:rsidR="00E271D1" w:rsidRPr="00F2484F" w:rsidRDefault="00E271D1" w:rsidP="00F2484F">
            <w:pPr>
              <w:ind w:right="54" w:hanging="4"/>
              <w:rPr>
                <w:rFonts w:ascii="Arial" w:hAnsi="Arial" w:cs="Arial"/>
                <w:b/>
                <w:sz w:val="20"/>
                <w:szCs w:val="20"/>
              </w:rPr>
            </w:pPr>
            <w:r w:rsidRPr="00F2484F">
              <w:rPr>
                <w:rFonts w:ascii="Arial" w:hAnsi="Arial" w:cs="Arial"/>
                <w:b/>
                <w:sz w:val="20"/>
                <w:szCs w:val="20"/>
              </w:rPr>
              <w:t>2018/19</w:t>
            </w:r>
          </w:p>
        </w:tc>
        <w:tc>
          <w:tcPr>
            <w:tcW w:w="2835" w:type="dxa"/>
            <w:gridSpan w:val="4"/>
            <w:shd w:val="clear" w:color="auto" w:fill="ED7D31" w:themeFill="accent2"/>
          </w:tcPr>
          <w:p w:rsidR="00E271D1" w:rsidRPr="00F2484F" w:rsidRDefault="00E271D1" w:rsidP="00F2484F">
            <w:pPr>
              <w:ind w:right="54"/>
              <w:rPr>
                <w:rFonts w:ascii="Arial" w:hAnsi="Arial" w:cs="Arial"/>
                <w:b/>
                <w:sz w:val="20"/>
                <w:szCs w:val="20"/>
              </w:rPr>
            </w:pPr>
            <w:r w:rsidRPr="00F2484F">
              <w:rPr>
                <w:rFonts w:ascii="Arial" w:hAnsi="Arial" w:cs="Arial"/>
                <w:b/>
                <w:sz w:val="20"/>
                <w:szCs w:val="20"/>
              </w:rPr>
              <w:t>2019/20</w:t>
            </w:r>
          </w:p>
        </w:tc>
        <w:tc>
          <w:tcPr>
            <w:tcW w:w="2693" w:type="dxa"/>
            <w:gridSpan w:val="4"/>
            <w:shd w:val="clear" w:color="auto" w:fill="A5A5A5" w:themeFill="accent3"/>
          </w:tcPr>
          <w:p w:rsidR="00E271D1" w:rsidRPr="00F2484F" w:rsidRDefault="00E271D1" w:rsidP="00F2484F">
            <w:pPr>
              <w:ind w:right="54"/>
              <w:rPr>
                <w:rFonts w:ascii="Arial" w:hAnsi="Arial" w:cs="Arial"/>
                <w:b/>
                <w:sz w:val="20"/>
                <w:szCs w:val="20"/>
              </w:rPr>
            </w:pPr>
            <w:r w:rsidRPr="00F2484F">
              <w:rPr>
                <w:rFonts w:ascii="Arial" w:hAnsi="Arial" w:cs="Arial"/>
                <w:b/>
                <w:sz w:val="20"/>
                <w:szCs w:val="20"/>
              </w:rPr>
              <w:t>2020/21</w:t>
            </w:r>
          </w:p>
        </w:tc>
      </w:tr>
      <w:tr w:rsidR="00E271D1" w:rsidRPr="00F2484F" w:rsidTr="002A10D7">
        <w:tc>
          <w:tcPr>
            <w:tcW w:w="993"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 xml:space="preserve">African </w:t>
            </w:r>
          </w:p>
        </w:tc>
        <w:tc>
          <w:tcPr>
            <w:tcW w:w="851"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38 619</w:t>
            </w:r>
          </w:p>
        </w:tc>
        <w:tc>
          <w:tcPr>
            <w:tcW w:w="709"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3 644</w:t>
            </w:r>
          </w:p>
        </w:tc>
        <w:tc>
          <w:tcPr>
            <w:tcW w:w="708" w:type="dxa"/>
          </w:tcPr>
          <w:p w:rsidR="00E271D1" w:rsidRPr="00F2484F" w:rsidRDefault="00E271D1" w:rsidP="00F2484F">
            <w:pPr>
              <w:ind w:left="-21" w:right="54" w:hanging="293"/>
              <w:rPr>
                <w:rFonts w:ascii="Arial" w:hAnsi="Arial" w:cs="Arial"/>
                <w:sz w:val="20"/>
                <w:szCs w:val="20"/>
              </w:rPr>
            </w:pPr>
            <w:r w:rsidRPr="00F2484F">
              <w:rPr>
                <w:rFonts w:ascii="Arial" w:hAnsi="Arial" w:cs="Arial"/>
                <w:sz w:val="20"/>
                <w:szCs w:val="20"/>
              </w:rPr>
              <w:t>39 326</w:t>
            </w:r>
          </w:p>
        </w:tc>
        <w:tc>
          <w:tcPr>
            <w:tcW w:w="851"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16 560</w:t>
            </w:r>
          </w:p>
        </w:tc>
        <w:tc>
          <w:tcPr>
            <w:tcW w:w="567"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190</w:t>
            </w:r>
          </w:p>
        </w:tc>
        <w:tc>
          <w:tcPr>
            <w:tcW w:w="709" w:type="dxa"/>
            <w:vMerge w:val="restart"/>
            <w:shd w:val="clear" w:color="auto" w:fill="ACB9CA" w:themeFill="text2" w:themeFillTint="66"/>
          </w:tcPr>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rPr>
            </w:pPr>
            <w:r w:rsidRPr="00F2484F">
              <w:rPr>
                <w:rFonts w:ascii="Arial" w:hAnsi="Arial" w:cs="Arial"/>
                <w:sz w:val="20"/>
                <w:szCs w:val="20"/>
              </w:rPr>
              <w:t>17%</w:t>
            </w:r>
          </w:p>
        </w:tc>
        <w:tc>
          <w:tcPr>
            <w:tcW w:w="708" w:type="dxa"/>
          </w:tcPr>
          <w:p w:rsidR="00E271D1" w:rsidRPr="00F2484F" w:rsidRDefault="00E271D1" w:rsidP="00F2484F">
            <w:pPr>
              <w:ind w:left="-110" w:right="54"/>
              <w:rPr>
                <w:rFonts w:ascii="Arial" w:hAnsi="Arial" w:cs="Arial"/>
                <w:sz w:val="20"/>
                <w:szCs w:val="20"/>
              </w:rPr>
            </w:pPr>
            <w:r w:rsidRPr="00F2484F">
              <w:rPr>
                <w:rFonts w:ascii="Arial" w:hAnsi="Arial" w:cs="Arial"/>
                <w:sz w:val="20"/>
                <w:szCs w:val="20"/>
              </w:rPr>
              <w:t>39 194</w:t>
            </w:r>
          </w:p>
        </w:tc>
        <w:tc>
          <w:tcPr>
            <w:tcW w:w="851" w:type="dxa"/>
          </w:tcPr>
          <w:p w:rsidR="00E271D1" w:rsidRPr="00F2484F" w:rsidRDefault="00E271D1" w:rsidP="00F2484F">
            <w:pPr>
              <w:ind w:left="-111" w:right="54"/>
              <w:rPr>
                <w:rFonts w:ascii="Arial" w:hAnsi="Arial" w:cs="Arial"/>
                <w:sz w:val="20"/>
                <w:szCs w:val="20"/>
              </w:rPr>
            </w:pPr>
            <w:r w:rsidRPr="00F2484F">
              <w:rPr>
                <w:rFonts w:ascii="Arial" w:hAnsi="Arial" w:cs="Arial"/>
                <w:sz w:val="20"/>
                <w:szCs w:val="20"/>
              </w:rPr>
              <w:t>16 922</w:t>
            </w:r>
          </w:p>
        </w:tc>
        <w:tc>
          <w:tcPr>
            <w:tcW w:w="567"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176</w:t>
            </w:r>
          </w:p>
        </w:tc>
        <w:tc>
          <w:tcPr>
            <w:tcW w:w="709" w:type="dxa"/>
            <w:vMerge w:val="restart"/>
            <w:shd w:val="clear" w:color="auto" w:fill="ACB9CA" w:themeFill="text2" w:themeFillTint="66"/>
          </w:tcPr>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rPr>
            </w:pPr>
            <w:r w:rsidRPr="00F2484F">
              <w:rPr>
                <w:rFonts w:ascii="Arial" w:hAnsi="Arial" w:cs="Arial"/>
                <w:sz w:val="20"/>
                <w:szCs w:val="20"/>
              </w:rPr>
              <w:t>17%</w:t>
            </w:r>
          </w:p>
        </w:tc>
        <w:tc>
          <w:tcPr>
            <w:tcW w:w="708" w:type="dxa"/>
          </w:tcPr>
          <w:p w:rsidR="00E271D1" w:rsidRPr="00F2484F" w:rsidRDefault="00E271D1" w:rsidP="00F2484F">
            <w:pPr>
              <w:ind w:left="-111" w:right="54"/>
              <w:rPr>
                <w:rFonts w:ascii="Arial" w:hAnsi="Arial" w:cs="Arial"/>
                <w:sz w:val="20"/>
                <w:szCs w:val="20"/>
              </w:rPr>
            </w:pPr>
            <w:r w:rsidRPr="00F2484F">
              <w:rPr>
                <w:rFonts w:ascii="Arial" w:hAnsi="Arial" w:cs="Arial"/>
                <w:sz w:val="20"/>
                <w:szCs w:val="20"/>
              </w:rPr>
              <w:t>38 299</w:t>
            </w:r>
          </w:p>
        </w:tc>
        <w:tc>
          <w:tcPr>
            <w:tcW w:w="709" w:type="dxa"/>
          </w:tcPr>
          <w:p w:rsidR="00E271D1" w:rsidRPr="00F2484F" w:rsidRDefault="00E271D1" w:rsidP="00F2484F">
            <w:pPr>
              <w:ind w:left="-111" w:right="54"/>
              <w:rPr>
                <w:rFonts w:ascii="Arial" w:hAnsi="Arial" w:cs="Arial"/>
                <w:sz w:val="20"/>
                <w:szCs w:val="20"/>
              </w:rPr>
            </w:pPr>
            <w:r w:rsidRPr="00F2484F">
              <w:rPr>
                <w:rFonts w:ascii="Arial" w:hAnsi="Arial" w:cs="Arial"/>
                <w:sz w:val="20"/>
                <w:szCs w:val="20"/>
              </w:rPr>
              <w:t>16 842</w:t>
            </w:r>
          </w:p>
        </w:tc>
        <w:tc>
          <w:tcPr>
            <w:tcW w:w="567"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168</w:t>
            </w:r>
          </w:p>
        </w:tc>
        <w:tc>
          <w:tcPr>
            <w:tcW w:w="709" w:type="dxa"/>
            <w:vMerge w:val="restart"/>
            <w:shd w:val="clear" w:color="auto" w:fill="ACB9CA" w:themeFill="text2" w:themeFillTint="66"/>
          </w:tcPr>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rPr>
            </w:pPr>
            <w:r w:rsidRPr="00F2484F">
              <w:rPr>
                <w:rFonts w:ascii="Arial" w:hAnsi="Arial" w:cs="Arial"/>
                <w:sz w:val="20"/>
                <w:szCs w:val="20"/>
              </w:rPr>
              <w:t>19%</w:t>
            </w:r>
          </w:p>
        </w:tc>
      </w:tr>
      <w:tr w:rsidR="00385CF1" w:rsidRPr="00F2484F" w:rsidTr="002A10D7">
        <w:tc>
          <w:tcPr>
            <w:tcW w:w="993"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Coloured</w:t>
            </w:r>
          </w:p>
        </w:tc>
        <w:tc>
          <w:tcPr>
            <w:tcW w:w="851" w:type="dxa"/>
            <w:shd w:val="clear" w:color="auto" w:fill="auto"/>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6 555</w:t>
            </w:r>
          </w:p>
        </w:tc>
        <w:tc>
          <w:tcPr>
            <w:tcW w:w="709" w:type="dxa"/>
            <w:shd w:val="clear" w:color="auto" w:fill="auto"/>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623</w:t>
            </w:r>
          </w:p>
        </w:tc>
        <w:tc>
          <w:tcPr>
            <w:tcW w:w="708" w:type="dxa"/>
            <w:shd w:val="clear" w:color="auto" w:fill="auto"/>
          </w:tcPr>
          <w:p w:rsidR="00E271D1" w:rsidRPr="00F2484F" w:rsidRDefault="00E271D1" w:rsidP="00F2484F">
            <w:pPr>
              <w:ind w:right="54" w:hanging="293"/>
              <w:rPr>
                <w:rFonts w:ascii="Arial" w:hAnsi="Arial" w:cs="Arial"/>
                <w:sz w:val="20"/>
                <w:szCs w:val="20"/>
              </w:rPr>
            </w:pPr>
            <w:r w:rsidRPr="00F2484F">
              <w:rPr>
                <w:rFonts w:ascii="Arial" w:hAnsi="Arial" w:cs="Arial"/>
                <w:sz w:val="20"/>
                <w:szCs w:val="20"/>
              </w:rPr>
              <w:t>677</w:t>
            </w:r>
          </w:p>
        </w:tc>
        <w:tc>
          <w:tcPr>
            <w:tcW w:w="851"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304</w:t>
            </w:r>
          </w:p>
        </w:tc>
        <w:tc>
          <w:tcPr>
            <w:tcW w:w="567"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4</w:t>
            </w:r>
          </w:p>
        </w:tc>
        <w:tc>
          <w:tcPr>
            <w:tcW w:w="709" w:type="dxa"/>
            <w:vMerge/>
            <w:shd w:val="clear" w:color="auto" w:fill="auto"/>
          </w:tcPr>
          <w:p w:rsidR="00E271D1" w:rsidRPr="00F2484F" w:rsidRDefault="00E271D1" w:rsidP="00F2484F">
            <w:pPr>
              <w:ind w:right="54"/>
              <w:rPr>
                <w:rFonts w:ascii="Arial" w:hAnsi="Arial" w:cs="Arial"/>
                <w:sz w:val="20"/>
                <w:szCs w:val="20"/>
              </w:rPr>
            </w:pPr>
          </w:p>
        </w:tc>
        <w:tc>
          <w:tcPr>
            <w:tcW w:w="708"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6 002</w:t>
            </w:r>
          </w:p>
        </w:tc>
        <w:tc>
          <w:tcPr>
            <w:tcW w:w="851"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2 944</w:t>
            </w:r>
          </w:p>
        </w:tc>
        <w:tc>
          <w:tcPr>
            <w:tcW w:w="567"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46</w:t>
            </w:r>
          </w:p>
        </w:tc>
        <w:tc>
          <w:tcPr>
            <w:tcW w:w="709" w:type="dxa"/>
            <w:vMerge/>
            <w:shd w:val="clear" w:color="auto" w:fill="auto"/>
          </w:tcPr>
          <w:p w:rsidR="00E271D1" w:rsidRPr="00F2484F" w:rsidRDefault="00E271D1" w:rsidP="00F2484F">
            <w:pPr>
              <w:ind w:right="54"/>
              <w:rPr>
                <w:rFonts w:ascii="Arial" w:hAnsi="Arial" w:cs="Arial"/>
                <w:sz w:val="20"/>
                <w:szCs w:val="20"/>
              </w:rPr>
            </w:pPr>
          </w:p>
        </w:tc>
        <w:tc>
          <w:tcPr>
            <w:tcW w:w="708"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655</w:t>
            </w:r>
          </w:p>
        </w:tc>
        <w:tc>
          <w:tcPr>
            <w:tcW w:w="709"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295</w:t>
            </w:r>
          </w:p>
        </w:tc>
        <w:tc>
          <w:tcPr>
            <w:tcW w:w="567"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4</w:t>
            </w:r>
          </w:p>
        </w:tc>
        <w:tc>
          <w:tcPr>
            <w:tcW w:w="709" w:type="dxa"/>
            <w:vMerge/>
            <w:shd w:val="clear" w:color="auto" w:fill="ACB9CA" w:themeFill="text2" w:themeFillTint="66"/>
          </w:tcPr>
          <w:p w:rsidR="00E271D1" w:rsidRPr="00F2484F" w:rsidRDefault="00E271D1" w:rsidP="00F2484F">
            <w:pPr>
              <w:ind w:right="54"/>
              <w:rPr>
                <w:rFonts w:ascii="Arial" w:hAnsi="Arial" w:cs="Arial"/>
                <w:sz w:val="20"/>
                <w:szCs w:val="20"/>
              </w:rPr>
            </w:pPr>
          </w:p>
        </w:tc>
      </w:tr>
      <w:tr w:rsidR="00385CF1" w:rsidRPr="00F2484F" w:rsidTr="002A10D7">
        <w:tc>
          <w:tcPr>
            <w:tcW w:w="993"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Indian</w:t>
            </w:r>
          </w:p>
        </w:tc>
        <w:tc>
          <w:tcPr>
            <w:tcW w:w="851" w:type="dxa"/>
            <w:shd w:val="clear" w:color="auto" w:fill="auto"/>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791</w:t>
            </w:r>
          </w:p>
        </w:tc>
        <w:tc>
          <w:tcPr>
            <w:tcW w:w="709" w:type="dxa"/>
            <w:shd w:val="clear" w:color="auto" w:fill="auto"/>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95</w:t>
            </w:r>
          </w:p>
        </w:tc>
        <w:tc>
          <w:tcPr>
            <w:tcW w:w="708" w:type="dxa"/>
            <w:shd w:val="clear" w:color="auto" w:fill="auto"/>
          </w:tcPr>
          <w:p w:rsidR="00E271D1" w:rsidRPr="00F2484F" w:rsidRDefault="00E271D1" w:rsidP="00F2484F">
            <w:pPr>
              <w:ind w:right="54" w:hanging="293"/>
              <w:rPr>
                <w:rFonts w:ascii="Arial" w:hAnsi="Arial" w:cs="Arial"/>
                <w:sz w:val="20"/>
                <w:szCs w:val="20"/>
              </w:rPr>
            </w:pPr>
            <w:r w:rsidRPr="00F2484F">
              <w:rPr>
                <w:rFonts w:ascii="Arial" w:hAnsi="Arial" w:cs="Arial"/>
                <w:sz w:val="20"/>
                <w:szCs w:val="20"/>
              </w:rPr>
              <w:t>6 191</w:t>
            </w:r>
          </w:p>
        </w:tc>
        <w:tc>
          <w:tcPr>
            <w:tcW w:w="851"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2 971</w:t>
            </w:r>
          </w:p>
        </w:tc>
        <w:tc>
          <w:tcPr>
            <w:tcW w:w="567"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47</w:t>
            </w:r>
          </w:p>
        </w:tc>
        <w:tc>
          <w:tcPr>
            <w:tcW w:w="709" w:type="dxa"/>
            <w:vMerge/>
            <w:shd w:val="clear" w:color="auto" w:fill="auto"/>
          </w:tcPr>
          <w:p w:rsidR="00E271D1" w:rsidRPr="00F2484F" w:rsidRDefault="00E271D1" w:rsidP="00F2484F">
            <w:pPr>
              <w:ind w:right="54"/>
              <w:rPr>
                <w:rFonts w:ascii="Arial" w:hAnsi="Arial" w:cs="Arial"/>
                <w:sz w:val="20"/>
                <w:szCs w:val="20"/>
              </w:rPr>
            </w:pPr>
          </w:p>
        </w:tc>
        <w:tc>
          <w:tcPr>
            <w:tcW w:w="708"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678</w:t>
            </w:r>
          </w:p>
        </w:tc>
        <w:tc>
          <w:tcPr>
            <w:tcW w:w="851"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291</w:t>
            </w:r>
          </w:p>
        </w:tc>
        <w:tc>
          <w:tcPr>
            <w:tcW w:w="567"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4</w:t>
            </w:r>
          </w:p>
        </w:tc>
        <w:tc>
          <w:tcPr>
            <w:tcW w:w="709" w:type="dxa"/>
            <w:vMerge/>
            <w:shd w:val="clear" w:color="auto" w:fill="auto"/>
          </w:tcPr>
          <w:p w:rsidR="00E271D1" w:rsidRPr="00F2484F" w:rsidRDefault="00E271D1" w:rsidP="00F2484F">
            <w:pPr>
              <w:ind w:right="54"/>
              <w:rPr>
                <w:rFonts w:ascii="Arial" w:hAnsi="Arial" w:cs="Arial"/>
                <w:sz w:val="20"/>
                <w:szCs w:val="20"/>
              </w:rPr>
            </w:pPr>
          </w:p>
        </w:tc>
        <w:tc>
          <w:tcPr>
            <w:tcW w:w="708"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5 842</w:t>
            </w:r>
          </w:p>
        </w:tc>
        <w:tc>
          <w:tcPr>
            <w:tcW w:w="709"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2 899</w:t>
            </w:r>
          </w:p>
        </w:tc>
        <w:tc>
          <w:tcPr>
            <w:tcW w:w="567" w:type="dxa"/>
            <w:shd w:val="clear" w:color="auto" w:fill="auto"/>
          </w:tcPr>
          <w:p w:rsidR="00E271D1" w:rsidRPr="00F2484F" w:rsidRDefault="00E271D1" w:rsidP="00F2484F">
            <w:pPr>
              <w:ind w:right="54"/>
              <w:rPr>
                <w:rFonts w:ascii="Arial" w:hAnsi="Arial" w:cs="Arial"/>
                <w:sz w:val="20"/>
                <w:szCs w:val="20"/>
              </w:rPr>
            </w:pPr>
            <w:r w:rsidRPr="00F2484F">
              <w:rPr>
                <w:rFonts w:ascii="Arial" w:hAnsi="Arial" w:cs="Arial"/>
                <w:sz w:val="20"/>
                <w:szCs w:val="20"/>
              </w:rPr>
              <w:t>44</w:t>
            </w:r>
          </w:p>
        </w:tc>
        <w:tc>
          <w:tcPr>
            <w:tcW w:w="709" w:type="dxa"/>
            <w:vMerge/>
            <w:shd w:val="clear" w:color="auto" w:fill="ACB9CA" w:themeFill="text2" w:themeFillTint="66"/>
          </w:tcPr>
          <w:p w:rsidR="00E271D1" w:rsidRPr="00F2484F" w:rsidRDefault="00E271D1" w:rsidP="00F2484F">
            <w:pPr>
              <w:ind w:right="54"/>
              <w:rPr>
                <w:rFonts w:ascii="Arial" w:hAnsi="Arial" w:cs="Arial"/>
                <w:sz w:val="20"/>
                <w:szCs w:val="20"/>
              </w:rPr>
            </w:pPr>
          </w:p>
        </w:tc>
      </w:tr>
      <w:tr w:rsidR="00E271D1" w:rsidRPr="00F2484F" w:rsidTr="002A10D7">
        <w:tc>
          <w:tcPr>
            <w:tcW w:w="993"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White</w:t>
            </w:r>
          </w:p>
        </w:tc>
        <w:tc>
          <w:tcPr>
            <w:tcW w:w="851"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17 836</w:t>
            </w:r>
          </w:p>
        </w:tc>
        <w:tc>
          <w:tcPr>
            <w:tcW w:w="709" w:type="dxa"/>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5 128</w:t>
            </w:r>
          </w:p>
        </w:tc>
        <w:tc>
          <w:tcPr>
            <w:tcW w:w="708" w:type="dxa"/>
          </w:tcPr>
          <w:p w:rsidR="00E271D1" w:rsidRPr="00F2484F" w:rsidRDefault="00E271D1" w:rsidP="00F2484F">
            <w:pPr>
              <w:ind w:right="54" w:hanging="293"/>
              <w:rPr>
                <w:rFonts w:ascii="Arial" w:hAnsi="Arial" w:cs="Arial"/>
                <w:sz w:val="20"/>
                <w:szCs w:val="20"/>
              </w:rPr>
            </w:pPr>
            <w:r w:rsidRPr="00F2484F">
              <w:rPr>
                <w:rFonts w:ascii="Arial" w:hAnsi="Arial" w:cs="Arial"/>
                <w:sz w:val="20"/>
                <w:szCs w:val="20"/>
              </w:rPr>
              <w:t>5 490</w:t>
            </w:r>
          </w:p>
        </w:tc>
        <w:tc>
          <w:tcPr>
            <w:tcW w:w="851"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2 989</w:t>
            </w:r>
          </w:p>
        </w:tc>
        <w:tc>
          <w:tcPr>
            <w:tcW w:w="567"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125</w:t>
            </w:r>
          </w:p>
        </w:tc>
        <w:tc>
          <w:tcPr>
            <w:tcW w:w="709" w:type="dxa"/>
            <w:vMerge/>
            <w:shd w:val="clear" w:color="auto" w:fill="ACB9CA" w:themeFill="text2" w:themeFillTint="66"/>
          </w:tcPr>
          <w:p w:rsidR="00E271D1" w:rsidRPr="00F2484F" w:rsidRDefault="00E271D1" w:rsidP="00F2484F">
            <w:pPr>
              <w:ind w:right="54"/>
              <w:rPr>
                <w:rFonts w:ascii="Arial" w:hAnsi="Arial" w:cs="Arial"/>
                <w:sz w:val="20"/>
                <w:szCs w:val="20"/>
              </w:rPr>
            </w:pPr>
          </w:p>
        </w:tc>
        <w:tc>
          <w:tcPr>
            <w:tcW w:w="708"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5 148</w:t>
            </w:r>
          </w:p>
        </w:tc>
        <w:tc>
          <w:tcPr>
            <w:tcW w:w="851"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2 808</w:t>
            </w:r>
          </w:p>
        </w:tc>
        <w:tc>
          <w:tcPr>
            <w:tcW w:w="567"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122</w:t>
            </w:r>
          </w:p>
        </w:tc>
        <w:tc>
          <w:tcPr>
            <w:tcW w:w="709" w:type="dxa"/>
            <w:vMerge/>
            <w:shd w:val="clear" w:color="auto" w:fill="ACB9CA" w:themeFill="text2" w:themeFillTint="66"/>
          </w:tcPr>
          <w:p w:rsidR="00E271D1" w:rsidRPr="00F2484F" w:rsidRDefault="00E271D1" w:rsidP="00F2484F">
            <w:pPr>
              <w:ind w:right="54"/>
              <w:rPr>
                <w:rFonts w:ascii="Arial" w:hAnsi="Arial" w:cs="Arial"/>
                <w:sz w:val="20"/>
                <w:szCs w:val="20"/>
              </w:rPr>
            </w:pPr>
          </w:p>
        </w:tc>
        <w:tc>
          <w:tcPr>
            <w:tcW w:w="708"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4 833</w:t>
            </w:r>
          </w:p>
        </w:tc>
        <w:tc>
          <w:tcPr>
            <w:tcW w:w="709"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2 657</w:t>
            </w:r>
          </w:p>
        </w:tc>
        <w:tc>
          <w:tcPr>
            <w:tcW w:w="567" w:type="dxa"/>
          </w:tcPr>
          <w:p w:rsidR="00E271D1" w:rsidRPr="00F2484F" w:rsidRDefault="00E271D1" w:rsidP="00F2484F">
            <w:pPr>
              <w:ind w:right="54"/>
              <w:rPr>
                <w:rFonts w:ascii="Arial" w:hAnsi="Arial" w:cs="Arial"/>
                <w:sz w:val="20"/>
                <w:szCs w:val="20"/>
              </w:rPr>
            </w:pPr>
            <w:r w:rsidRPr="00F2484F">
              <w:rPr>
                <w:rFonts w:ascii="Arial" w:hAnsi="Arial" w:cs="Arial"/>
                <w:sz w:val="20"/>
                <w:szCs w:val="20"/>
              </w:rPr>
              <w:t>115</w:t>
            </w:r>
          </w:p>
        </w:tc>
        <w:tc>
          <w:tcPr>
            <w:tcW w:w="709" w:type="dxa"/>
            <w:vMerge/>
            <w:shd w:val="clear" w:color="auto" w:fill="ACB9CA" w:themeFill="text2" w:themeFillTint="66"/>
          </w:tcPr>
          <w:p w:rsidR="00E271D1" w:rsidRPr="00F2484F" w:rsidRDefault="00E271D1" w:rsidP="00F2484F">
            <w:pPr>
              <w:ind w:right="54"/>
              <w:rPr>
                <w:rFonts w:ascii="Arial" w:hAnsi="Arial" w:cs="Arial"/>
                <w:sz w:val="20"/>
                <w:szCs w:val="20"/>
              </w:rPr>
            </w:pPr>
          </w:p>
        </w:tc>
      </w:tr>
      <w:tr w:rsidR="002A10D7" w:rsidRPr="00F2484F" w:rsidTr="002A10D7">
        <w:tc>
          <w:tcPr>
            <w:tcW w:w="993" w:type="dxa"/>
            <w:shd w:val="clear" w:color="auto" w:fill="A5A5A5" w:themeFill="accent3"/>
          </w:tcPr>
          <w:p w:rsidR="00E271D1" w:rsidRPr="00F2484F" w:rsidRDefault="00E271D1" w:rsidP="00F2484F">
            <w:pPr>
              <w:ind w:right="54"/>
              <w:rPr>
                <w:rFonts w:ascii="Arial" w:hAnsi="Arial" w:cs="Arial"/>
                <w:b/>
                <w:sz w:val="20"/>
                <w:szCs w:val="20"/>
              </w:rPr>
            </w:pPr>
            <w:r w:rsidRPr="00F2484F">
              <w:rPr>
                <w:rFonts w:ascii="Arial" w:hAnsi="Arial" w:cs="Arial"/>
                <w:b/>
                <w:sz w:val="20"/>
                <w:szCs w:val="20"/>
              </w:rPr>
              <w:t>TOTAL</w:t>
            </w:r>
          </w:p>
        </w:tc>
        <w:tc>
          <w:tcPr>
            <w:tcW w:w="851" w:type="dxa"/>
            <w:shd w:val="clear" w:color="auto" w:fill="A5A5A5" w:themeFill="accent3"/>
            <w:vAlign w:val="center"/>
          </w:tcPr>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b/>
                <w:sz w:val="20"/>
                <w:szCs w:val="20"/>
              </w:rPr>
              <w:t>63 801</w:t>
            </w:r>
          </w:p>
        </w:tc>
        <w:tc>
          <w:tcPr>
            <w:tcW w:w="709" w:type="dxa"/>
            <w:shd w:val="clear" w:color="auto" w:fill="A5A5A5" w:themeFill="accent3"/>
            <w:vAlign w:val="center"/>
          </w:tcPr>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9 490</w:t>
            </w:r>
          </w:p>
        </w:tc>
        <w:tc>
          <w:tcPr>
            <w:tcW w:w="708" w:type="dxa"/>
            <w:shd w:val="clear" w:color="auto" w:fill="A5A5A5" w:themeFill="accent3"/>
            <w:vAlign w:val="center"/>
          </w:tcPr>
          <w:p w:rsidR="00E271D1" w:rsidRPr="00F2484F" w:rsidRDefault="00E271D1" w:rsidP="00F2484F">
            <w:pPr>
              <w:ind w:right="54" w:hanging="293"/>
              <w:rPr>
                <w:rFonts w:ascii="Arial" w:hAnsi="Arial" w:cs="Arial"/>
                <w:b/>
                <w:sz w:val="20"/>
                <w:szCs w:val="20"/>
              </w:rPr>
            </w:pPr>
            <w:r w:rsidRPr="00F2484F">
              <w:rPr>
                <w:rFonts w:ascii="Arial" w:hAnsi="Arial" w:cs="Arial"/>
                <w:b/>
                <w:sz w:val="20"/>
                <w:szCs w:val="20"/>
              </w:rPr>
              <w:t>51 684</w:t>
            </w:r>
          </w:p>
        </w:tc>
        <w:tc>
          <w:tcPr>
            <w:tcW w:w="851" w:type="dxa"/>
            <w:shd w:val="clear" w:color="auto" w:fill="A5A5A5" w:themeFill="accent3"/>
            <w:vAlign w:val="center"/>
          </w:tcPr>
          <w:p w:rsidR="00E271D1" w:rsidRPr="00F2484F" w:rsidRDefault="00E271D1" w:rsidP="00F2484F">
            <w:pPr>
              <w:ind w:right="54"/>
              <w:rPr>
                <w:rFonts w:ascii="Arial" w:hAnsi="Arial" w:cs="Arial"/>
                <w:b/>
                <w:sz w:val="20"/>
                <w:szCs w:val="20"/>
              </w:rPr>
            </w:pPr>
            <w:r w:rsidRPr="00F2484F">
              <w:rPr>
                <w:rFonts w:ascii="Arial" w:hAnsi="Arial" w:cs="Arial"/>
                <w:b/>
                <w:sz w:val="20"/>
                <w:szCs w:val="20"/>
              </w:rPr>
              <w:t>22 824</w:t>
            </w:r>
          </w:p>
        </w:tc>
        <w:tc>
          <w:tcPr>
            <w:tcW w:w="567" w:type="dxa"/>
            <w:shd w:val="clear" w:color="auto" w:fill="A5A5A5" w:themeFill="accent3"/>
          </w:tcPr>
          <w:p w:rsidR="00E271D1" w:rsidRPr="00F2484F" w:rsidRDefault="00E271D1" w:rsidP="00F2484F">
            <w:pPr>
              <w:ind w:right="54"/>
              <w:rPr>
                <w:rFonts w:ascii="Arial" w:hAnsi="Arial" w:cs="Arial"/>
                <w:b/>
                <w:sz w:val="20"/>
                <w:szCs w:val="20"/>
              </w:rPr>
            </w:pPr>
            <w:r w:rsidRPr="00F2484F">
              <w:rPr>
                <w:rFonts w:ascii="Arial" w:hAnsi="Arial" w:cs="Arial"/>
                <w:b/>
                <w:sz w:val="20"/>
                <w:szCs w:val="20"/>
              </w:rPr>
              <w:t>366</w:t>
            </w:r>
          </w:p>
        </w:tc>
        <w:tc>
          <w:tcPr>
            <w:tcW w:w="709" w:type="dxa"/>
            <w:vMerge/>
            <w:shd w:val="clear" w:color="auto" w:fill="A5A5A5" w:themeFill="accent3"/>
          </w:tcPr>
          <w:p w:rsidR="00E271D1" w:rsidRPr="00F2484F" w:rsidRDefault="00E271D1" w:rsidP="00F2484F">
            <w:pPr>
              <w:ind w:right="54"/>
              <w:rPr>
                <w:rFonts w:ascii="Arial" w:hAnsi="Arial" w:cs="Arial"/>
                <w:b/>
                <w:sz w:val="20"/>
                <w:szCs w:val="20"/>
              </w:rPr>
            </w:pPr>
          </w:p>
        </w:tc>
        <w:tc>
          <w:tcPr>
            <w:tcW w:w="708" w:type="dxa"/>
            <w:shd w:val="clear" w:color="auto" w:fill="A5A5A5" w:themeFill="accent3"/>
          </w:tcPr>
          <w:p w:rsidR="00E271D1" w:rsidRPr="00F2484F" w:rsidRDefault="00E271D1" w:rsidP="00F2484F">
            <w:pPr>
              <w:ind w:left="-110" w:right="54"/>
              <w:rPr>
                <w:rFonts w:ascii="Arial" w:hAnsi="Arial" w:cs="Arial"/>
                <w:b/>
                <w:sz w:val="20"/>
                <w:szCs w:val="20"/>
              </w:rPr>
            </w:pPr>
            <w:r w:rsidRPr="00F2484F">
              <w:rPr>
                <w:rFonts w:ascii="Arial" w:hAnsi="Arial" w:cs="Arial"/>
                <w:b/>
                <w:sz w:val="20"/>
                <w:szCs w:val="20"/>
              </w:rPr>
              <w:t>51 022</w:t>
            </w:r>
          </w:p>
        </w:tc>
        <w:tc>
          <w:tcPr>
            <w:tcW w:w="851" w:type="dxa"/>
            <w:shd w:val="clear" w:color="auto" w:fill="A5A5A5" w:themeFill="accent3"/>
          </w:tcPr>
          <w:p w:rsidR="00E271D1" w:rsidRPr="00F2484F" w:rsidRDefault="00E271D1" w:rsidP="00F2484F">
            <w:pPr>
              <w:ind w:right="54"/>
              <w:rPr>
                <w:rFonts w:ascii="Arial" w:hAnsi="Arial" w:cs="Arial"/>
                <w:b/>
                <w:sz w:val="20"/>
                <w:szCs w:val="20"/>
              </w:rPr>
            </w:pPr>
            <w:r w:rsidRPr="00F2484F">
              <w:rPr>
                <w:rFonts w:ascii="Arial" w:hAnsi="Arial" w:cs="Arial"/>
                <w:b/>
                <w:sz w:val="20"/>
                <w:szCs w:val="20"/>
              </w:rPr>
              <w:t>22</w:t>
            </w:r>
            <w:r w:rsidR="002A10D7" w:rsidRPr="00F2484F">
              <w:rPr>
                <w:rFonts w:ascii="Arial" w:hAnsi="Arial" w:cs="Arial"/>
                <w:b/>
                <w:sz w:val="20"/>
                <w:szCs w:val="20"/>
              </w:rPr>
              <w:t xml:space="preserve"> </w:t>
            </w:r>
            <w:r w:rsidRPr="00F2484F">
              <w:rPr>
                <w:rFonts w:ascii="Arial" w:hAnsi="Arial" w:cs="Arial"/>
                <w:b/>
                <w:sz w:val="20"/>
                <w:szCs w:val="20"/>
              </w:rPr>
              <w:t>965</w:t>
            </w:r>
          </w:p>
        </w:tc>
        <w:tc>
          <w:tcPr>
            <w:tcW w:w="567" w:type="dxa"/>
            <w:shd w:val="clear" w:color="auto" w:fill="A5A5A5" w:themeFill="accent3"/>
          </w:tcPr>
          <w:p w:rsidR="00E271D1" w:rsidRPr="00F2484F" w:rsidRDefault="00E271D1" w:rsidP="00F2484F">
            <w:pPr>
              <w:ind w:right="54"/>
              <w:rPr>
                <w:rFonts w:ascii="Arial" w:hAnsi="Arial" w:cs="Arial"/>
                <w:b/>
                <w:sz w:val="20"/>
                <w:szCs w:val="20"/>
              </w:rPr>
            </w:pPr>
            <w:r w:rsidRPr="00F2484F">
              <w:rPr>
                <w:rFonts w:ascii="Arial" w:hAnsi="Arial" w:cs="Arial"/>
                <w:b/>
                <w:sz w:val="20"/>
                <w:szCs w:val="20"/>
              </w:rPr>
              <w:t>348</w:t>
            </w:r>
          </w:p>
        </w:tc>
        <w:tc>
          <w:tcPr>
            <w:tcW w:w="709" w:type="dxa"/>
            <w:vMerge/>
            <w:shd w:val="clear" w:color="auto" w:fill="A5A5A5" w:themeFill="accent3"/>
          </w:tcPr>
          <w:p w:rsidR="00E271D1" w:rsidRPr="00F2484F" w:rsidRDefault="00E271D1" w:rsidP="00F2484F">
            <w:pPr>
              <w:ind w:right="54"/>
              <w:rPr>
                <w:rFonts w:ascii="Arial" w:hAnsi="Arial" w:cs="Arial"/>
                <w:b/>
                <w:sz w:val="20"/>
                <w:szCs w:val="20"/>
              </w:rPr>
            </w:pPr>
          </w:p>
        </w:tc>
        <w:tc>
          <w:tcPr>
            <w:tcW w:w="708" w:type="dxa"/>
            <w:shd w:val="clear" w:color="auto" w:fill="A5A5A5" w:themeFill="accent3"/>
          </w:tcPr>
          <w:p w:rsidR="00E271D1" w:rsidRPr="00F2484F" w:rsidRDefault="00E271D1" w:rsidP="00F2484F">
            <w:pPr>
              <w:ind w:left="-111" w:right="54"/>
              <w:rPr>
                <w:rFonts w:ascii="Arial" w:hAnsi="Arial" w:cs="Arial"/>
                <w:b/>
                <w:sz w:val="20"/>
                <w:szCs w:val="20"/>
              </w:rPr>
            </w:pPr>
            <w:r w:rsidRPr="00F2484F">
              <w:rPr>
                <w:rFonts w:ascii="Arial" w:hAnsi="Arial" w:cs="Arial"/>
                <w:b/>
                <w:sz w:val="20"/>
                <w:szCs w:val="20"/>
              </w:rPr>
              <w:t>49 629</w:t>
            </w:r>
          </w:p>
        </w:tc>
        <w:tc>
          <w:tcPr>
            <w:tcW w:w="709" w:type="dxa"/>
            <w:shd w:val="clear" w:color="auto" w:fill="A5A5A5" w:themeFill="accent3"/>
          </w:tcPr>
          <w:p w:rsidR="00E271D1" w:rsidRPr="00F2484F" w:rsidRDefault="00E271D1" w:rsidP="00F2484F">
            <w:pPr>
              <w:ind w:left="-253" w:right="54"/>
              <w:rPr>
                <w:rFonts w:ascii="Arial" w:hAnsi="Arial" w:cs="Arial"/>
                <w:b/>
                <w:sz w:val="20"/>
                <w:szCs w:val="20"/>
              </w:rPr>
            </w:pPr>
            <w:r w:rsidRPr="00F2484F">
              <w:rPr>
                <w:rFonts w:ascii="Arial" w:hAnsi="Arial" w:cs="Arial"/>
                <w:b/>
                <w:sz w:val="20"/>
                <w:szCs w:val="20"/>
              </w:rPr>
              <w:t>22 693</w:t>
            </w:r>
          </w:p>
        </w:tc>
        <w:tc>
          <w:tcPr>
            <w:tcW w:w="567" w:type="dxa"/>
            <w:shd w:val="clear" w:color="auto" w:fill="A5A5A5" w:themeFill="accent3"/>
          </w:tcPr>
          <w:p w:rsidR="00E271D1" w:rsidRPr="00F2484F" w:rsidRDefault="00E271D1" w:rsidP="00F2484F">
            <w:pPr>
              <w:ind w:right="54"/>
              <w:rPr>
                <w:rFonts w:ascii="Arial" w:hAnsi="Arial" w:cs="Arial"/>
                <w:b/>
                <w:sz w:val="20"/>
                <w:szCs w:val="20"/>
              </w:rPr>
            </w:pPr>
            <w:r w:rsidRPr="00F2484F">
              <w:rPr>
                <w:rFonts w:ascii="Arial" w:hAnsi="Arial" w:cs="Arial"/>
                <w:b/>
                <w:sz w:val="20"/>
                <w:szCs w:val="20"/>
              </w:rPr>
              <w:t>331</w:t>
            </w:r>
          </w:p>
        </w:tc>
        <w:tc>
          <w:tcPr>
            <w:tcW w:w="709" w:type="dxa"/>
            <w:vMerge/>
            <w:shd w:val="clear" w:color="auto" w:fill="ACB9CA" w:themeFill="text2" w:themeFillTint="66"/>
          </w:tcPr>
          <w:p w:rsidR="00E271D1" w:rsidRPr="00F2484F" w:rsidRDefault="00E271D1" w:rsidP="00F2484F">
            <w:pPr>
              <w:ind w:right="54"/>
              <w:rPr>
                <w:rFonts w:ascii="Arial" w:hAnsi="Arial" w:cs="Arial"/>
                <w:sz w:val="20"/>
                <w:szCs w:val="20"/>
              </w:rPr>
            </w:pPr>
          </w:p>
        </w:tc>
      </w:tr>
    </w:tbl>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Table 5</w:t>
      </w:r>
    </w:p>
    <w:p w:rsidR="00E271D1" w:rsidRPr="00F2484F" w:rsidRDefault="00E271D1" w:rsidP="00F2484F">
      <w:pPr>
        <w:ind w:right="54"/>
        <w:rPr>
          <w:rFonts w:ascii="Arial" w:hAnsi="Arial" w:cs="Arial"/>
          <w:sz w:val="20"/>
          <w:szCs w:val="20"/>
        </w:rPr>
      </w:pPr>
    </w:p>
    <w:p w:rsidR="00E271D1" w:rsidRPr="00F2484F" w:rsidRDefault="00E271D1" w:rsidP="00F2484F">
      <w:pPr>
        <w:ind w:right="54"/>
        <w:rPr>
          <w:rStyle w:val="FooterChar"/>
          <w:rFonts w:ascii="Arial" w:hAnsi="Arial" w:cs="Arial"/>
          <w:sz w:val="20"/>
          <w:szCs w:val="20"/>
          <w:lang w:val="en-US"/>
        </w:rPr>
      </w:pPr>
      <w:r w:rsidRPr="00F2484F">
        <w:rPr>
          <w:rFonts w:ascii="Arial" w:hAnsi="Arial" w:cs="Arial"/>
          <w:sz w:val="20"/>
          <w:szCs w:val="20"/>
        </w:rPr>
        <w:t xml:space="preserve">The </w:t>
      </w:r>
      <w:r w:rsidR="004B2931" w:rsidRPr="00F2484F">
        <w:rPr>
          <w:rFonts w:ascii="Arial" w:hAnsi="Arial" w:cs="Arial"/>
          <w:sz w:val="20"/>
          <w:szCs w:val="20"/>
        </w:rPr>
        <w:t>progress visible in terms of establish an equitable SANDF is visible in Table 5. The progress was further well summarised during a DOD briefing to the JSCD in May 2021, as follows</w:t>
      </w:r>
      <w:r w:rsidRPr="00F2484F">
        <w:rPr>
          <w:rFonts w:ascii="Arial" w:hAnsi="Arial" w:cs="Arial"/>
          <w:sz w:val="20"/>
          <w:szCs w:val="20"/>
          <w:lang w:val="en-US"/>
        </w:rPr>
        <w:t>:</w:t>
      </w:r>
      <w:r w:rsidRPr="00F2484F">
        <w:rPr>
          <w:rStyle w:val="FooterChar"/>
          <w:rFonts w:ascii="Arial" w:hAnsi="Arial" w:cs="Arial"/>
          <w:sz w:val="20"/>
          <w:szCs w:val="20"/>
          <w:lang w:val="en-US"/>
        </w:rPr>
        <w:t xml:space="preserve"> </w:t>
      </w:r>
      <w:r w:rsidRPr="00F2484F">
        <w:rPr>
          <w:rStyle w:val="FootnoteReference"/>
          <w:rFonts w:ascii="Arial" w:hAnsi="Arial" w:cs="Arial"/>
          <w:sz w:val="20"/>
          <w:szCs w:val="20"/>
          <w:lang w:val="en-US"/>
        </w:rPr>
        <w:footnoteReference w:id="36"/>
      </w:r>
    </w:p>
    <w:p w:rsidR="004B2931" w:rsidRPr="00F2484F" w:rsidRDefault="004B2931" w:rsidP="00F2484F">
      <w:pPr>
        <w:ind w:right="54"/>
        <w:rPr>
          <w:rFonts w:ascii="Arial" w:eastAsiaTheme="minorEastAsia" w:hAnsi="Arial" w:cs="Arial"/>
          <w:bCs/>
          <w:sz w:val="20"/>
          <w:szCs w:val="20"/>
        </w:rPr>
      </w:pPr>
    </w:p>
    <w:p w:rsidR="00E271D1" w:rsidRPr="00F2484F" w:rsidRDefault="00660225" w:rsidP="00F2484F">
      <w:pPr>
        <w:ind w:left="360" w:right="338"/>
        <w:rPr>
          <w:rFonts w:ascii="Arial" w:eastAsiaTheme="minorEastAsia" w:hAnsi="Arial" w:cs="Arial"/>
          <w:bCs/>
          <w:sz w:val="20"/>
          <w:szCs w:val="20"/>
        </w:rPr>
      </w:pPr>
      <w:r w:rsidRPr="00F2484F">
        <w:rPr>
          <w:rFonts w:ascii="Arial" w:eastAsiaTheme="minorEastAsia" w:hAnsi="Arial" w:cs="Arial"/>
          <w:bCs/>
          <w:sz w:val="20"/>
          <w:szCs w:val="20"/>
        </w:rPr>
        <w:t>“</w:t>
      </w:r>
      <w:r w:rsidR="00E271D1" w:rsidRPr="00F2484F">
        <w:rPr>
          <w:rFonts w:ascii="Arial" w:eastAsiaTheme="minorEastAsia" w:hAnsi="Arial" w:cs="Arial"/>
          <w:bCs/>
          <w:sz w:val="20"/>
          <w:szCs w:val="20"/>
        </w:rPr>
        <w:t>The DOD is gradually progressing to be seen as a represented, equitable and a gender aligned asset for the R</w:t>
      </w:r>
      <w:r w:rsidR="00E271D1" w:rsidRPr="00F2484F">
        <w:rPr>
          <w:rFonts w:ascii="Arial" w:hAnsi="Arial" w:cs="Arial"/>
          <w:bCs/>
          <w:sz w:val="20"/>
          <w:szCs w:val="20"/>
        </w:rPr>
        <w:t>SA</w:t>
      </w:r>
      <w:r w:rsidR="00E271D1" w:rsidRPr="00F2484F">
        <w:rPr>
          <w:rFonts w:ascii="Arial" w:eastAsiaTheme="minorEastAsia" w:hAnsi="Arial" w:cs="Arial"/>
          <w:bCs/>
          <w:sz w:val="20"/>
          <w:szCs w:val="20"/>
        </w:rPr>
        <w:t xml:space="preserve">.  </w:t>
      </w:r>
      <w:r w:rsidR="00E271D1" w:rsidRPr="00F2484F">
        <w:rPr>
          <w:rFonts w:ascii="Arial" w:hAnsi="Arial" w:cs="Arial"/>
          <w:bCs/>
          <w:sz w:val="20"/>
          <w:szCs w:val="20"/>
        </w:rPr>
        <w:t xml:space="preserve">It reported that there was a </w:t>
      </w:r>
      <w:r w:rsidR="00E271D1" w:rsidRPr="00F2484F">
        <w:rPr>
          <w:rFonts w:ascii="Arial" w:eastAsiaTheme="minorEastAsia" w:hAnsi="Arial" w:cs="Arial"/>
          <w:bCs/>
          <w:sz w:val="20"/>
          <w:szCs w:val="20"/>
        </w:rPr>
        <w:t>significant increase of Africans from 38% in 1994 to 76% in 2020, a notable decrease of Whites from 45% in 1994 to 11% in 2020. Coloureds decrease by 4% and Indians remains constant. The equity status per population group by 31 March 2021 stay</w:t>
      </w:r>
      <w:r w:rsidR="00E271D1" w:rsidRPr="00F2484F">
        <w:rPr>
          <w:rFonts w:ascii="Arial" w:hAnsi="Arial" w:cs="Arial"/>
          <w:bCs/>
          <w:sz w:val="20"/>
          <w:szCs w:val="20"/>
        </w:rPr>
        <w:t>ed</w:t>
      </w:r>
      <w:r w:rsidR="00E271D1" w:rsidRPr="00F2484F">
        <w:rPr>
          <w:rFonts w:ascii="Arial" w:eastAsiaTheme="minorEastAsia" w:hAnsi="Arial" w:cs="Arial"/>
          <w:bCs/>
          <w:sz w:val="20"/>
          <w:szCs w:val="20"/>
        </w:rPr>
        <w:t xml:space="preserve"> the same for all. </w:t>
      </w:r>
      <w:r w:rsidR="00385CF1" w:rsidRPr="00F2484F">
        <w:rPr>
          <w:rFonts w:ascii="Arial" w:eastAsiaTheme="minorEastAsia" w:hAnsi="Arial" w:cs="Arial"/>
          <w:bCs/>
          <w:sz w:val="20"/>
          <w:szCs w:val="20"/>
        </w:rPr>
        <w:t>I</w:t>
      </w:r>
      <w:r w:rsidR="00E271D1" w:rsidRPr="00F2484F">
        <w:rPr>
          <w:rFonts w:ascii="Arial" w:eastAsiaTheme="minorEastAsia" w:hAnsi="Arial" w:cs="Arial"/>
          <w:bCs/>
          <w:sz w:val="20"/>
          <w:szCs w:val="20"/>
        </w:rPr>
        <w:t>t is evident that the DOD has made a significant improvement to achieve the desired overall equity status i</w:t>
      </w:r>
      <w:r w:rsidRPr="00F2484F">
        <w:rPr>
          <w:rFonts w:ascii="Arial" w:eastAsiaTheme="minorEastAsia" w:hAnsi="Arial" w:cs="Arial"/>
          <w:bCs/>
          <w:sz w:val="20"/>
          <w:szCs w:val="20"/>
        </w:rPr>
        <w:t>n terms of</w:t>
      </w:r>
      <w:r w:rsidR="00E271D1" w:rsidRPr="00F2484F">
        <w:rPr>
          <w:rFonts w:ascii="Arial" w:eastAsiaTheme="minorEastAsia" w:hAnsi="Arial" w:cs="Arial"/>
          <w:bCs/>
          <w:sz w:val="20"/>
          <w:szCs w:val="20"/>
        </w:rPr>
        <w:t xml:space="preserve"> population group representivity.</w:t>
      </w:r>
      <w:r w:rsidRPr="00F2484F">
        <w:rPr>
          <w:rFonts w:ascii="Arial" w:eastAsiaTheme="minorEastAsia" w:hAnsi="Arial" w:cs="Arial"/>
          <w:bCs/>
          <w:sz w:val="20"/>
          <w:szCs w:val="20"/>
        </w:rPr>
        <w:t>”</w:t>
      </w:r>
      <w:r w:rsidR="00E271D1" w:rsidRPr="00F2484F">
        <w:rPr>
          <w:rFonts w:ascii="Arial" w:eastAsiaTheme="minorEastAsia" w:hAnsi="Arial" w:cs="Arial"/>
          <w:bCs/>
          <w:sz w:val="20"/>
          <w:szCs w:val="20"/>
        </w:rPr>
        <w:t xml:space="preserve">  </w:t>
      </w:r>
    </w:p>
    <w:p w:rsidR="004B2931" w:rsidRPr="00F2484F" w:rsidRDefault="004B2931" w:rsidP="00F2484F">
      <w:pPr>
        <w:ind w:left="360" w:right="338"/>
        <w:rPr>
          <w:rFonts w:ascii="Arial" w:eastAsiaTheme="minorEastAsia" w:hAnsi="Arial" w:cs="Arial"/>
          <w:bCs/>
          <w:i/>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5.</w:t>
      </w:r>
      <w:r w:rsidR="00385CF1" w:rsidRPr="00F2484F">
        <w:rPr>
          <w:rFonts w:ascii="Arial" w:hAnsi="Arial" w:cs="Arial"/>
          <w:b/>
          <w:sz w:val="20"/>
          <w:szCs w:val="20"/>
        </w:rPr>
        <w:t>3</w:t>
      </w:r>
      <w:r w:rsidRPr="00F2484F">
        <w:rPr>
          <w:rFonts w:ascii="Arial" w:hAnsi="Arial" w:cs="Arial"/>
          <w:b/>
          <w:sz w:val="20"/>
          <w:szCs w:val="20"/>
        </w:rPr>
        <w:tab/>
      </w:r>
      <w:r w:rsidR="00385CF1" w:rsidRPr="00F2484F">
        <w:rPr>
          <w:rFonts w:ascii="Arial" w:hAnsi="Arial" w:cs="Arial"/>
          <w:b/>
          <w:sz w:val="20"/>
          <w:szCs w:val="20"/>
        </w:rPr>
        <w:t>JSCD oversight of equity</w:t>
      </w:r>
    </w:p>
    <w:p w:rsidR="00385CF1" w:rsidRPr="00F2484F" w:rsidRDefault="00385CF1" w:rsidP="00F2484F">
      <w:pPr>
        <w:ind w:right="54"/>
        <w:rPr>
          <w:rFonts w:ascii="Arial" w:hAnsi="Arial" w:cs="Arial"/>
          <w:b/>
          <w:sz w:val="20"/>
          <w:szCs w:val="20"/>
        </w:rPr>
      </w:pPr>
    </w:p>
    <w:p w:rsidR="00385CF1" w:rsidRPr="00F2484F" w:rsidRDefault="00385CF1" w:rsidP="00F2484F">
      <w:pPr>
        <w:autoSpaceDE w:val="0"/>
        <w:autoSpaceDN w:val="0"/>
        <w:adjustRightInd w:val="0"/>
        <w:ind w:right="54"/>
        <w:rPr>
          <w:rFonts w:ascii="Arial" w:hAnsi="Arial" w:cs="Arial"/>
          <w:sz w:val="20"/>
          <w:szCs w:val="20"/>
        </w:rPr>
      </w:pPr>
      <w:r w:rsidRPr="00F2484F">
        <w:rPr>
          <w:rFonts w:ascii="Arial" w:eastAsiaTheme="minorHAnsi" w:hAnsi="Arial" w:cs="Arial"/>
          <w:sz w:val="20"/>
          <w:szCs w:val="20"/>
          <w:lang w:val="en-ZA"/>
        </w:rPr>
        <w:t>The 2015 Defence Review states that one of the guiding defence principles is that “the Defence Force is broadly representative of the people of South Africa, with due consideration being given to matters of equity, including gender and otherwise enabled persons.”</w:t>
      </w:r>
      <w:r w:rsidRPr="00F2484F">
        <w:rPr>
          <w:rStyle w:val="FootnoteReference"/>
          <w:rFonts w:ascii="Arial" w:eastAsiaTheme="minorHAnsi" w:hAnsi="Arial" w:cs="Arial"/>
          <w:sz w:val="20"/>
          <w:szCs w:val="20"/>
          <w:lang w:val="en-ZA"/>
        </w:rPr>
        <w:footnoteReference w:id="37"/>
      </w:r>
      <w:r w:rsidRPr="00F2484F">
        <w:rPr>
          <w:rFonts w:ascii="Arial" w:eastAsiaTheme="minorHAnsi" w:hAnsi="Arial" w:cs="Arial"/>
          <w:sz w:val="20"/>
          <w:szCs w:val="20"/>
          <w:lang w:val="en-ZA"/>
        </w:rPr>
        <w:t xml:space="preserve"> </w:t>
      </w:r>
      <w:r w:rsidRPr="00F2484F">
        <w:rPr>
          <w:rFonts w:ascii="Arial" w:hAnsi="Arial" w:cs="Arial"/>
          <w:sz w:val="20"/>
          <w:szCs w:val="20"/>
        </w:rPr>
        <w:t>The Defence Committees have, during the 6</w:t>
      </w:r>
      <w:r w:rsidRPr="00F2484F">
        <w:rPr>
          <w:rFonts w:ascii="Arial" w:hAnsi="Arial" w:cs="Arial"/>
          <w:sz w:val="20"/>
          <w:szCs w:val="20"/>
          <w:vertAlign w:val="superscript"/>
        </w:rPr>
        <w:t>th</w:t>
      </w:r>
      <w:r w:rsidRPr="00F2484F">
        <w:rPr>
          <w:rFonts w:ascii="Arial" w:hAnsi="Arial" w:cs="Arial"/>
          <w:sz w:val="20"/>
          <w:szCs w:val="20"/>
        </w:rPr>
        <w:t xml:space="preserve"> Parliament, engaged with issues of equity on various occasions, including:</w:t>
      </w:r>
    </w:p>
    <w:p w:rsidR="00385CF1" w:rsidRPr="00F2484F" w:rsidRDefault="00385CF1" w:rsidP="00F2484F">
      <w:pPr>
        <w:autoSpaceDE w:val="0"/>
        <w:autoSpaceDN w:val="0"/>
        <w:adjustRightInd w:val="0"/>
        <w:ind w:right="54"/>
        <w:rPr>
          <w:rFonts w:ascii="Arial" w:hAnsi="Arial" w:cs="Arial"/>
          <w:sz w:val="20"/>
          <w:szCs w:val="20"/>
        </w:rPr>
      </w:pPr>
    </w:p>
    <w:p w:rsidR="00385CF1" w:rsidRPr="00F2484F" w:rsidRDefault="00385CF1" w:rsidP="00F2484F">
      <w:pPr>
        <w:pStyle w:val="ListParagraph"/>
        <w:numPr>
          <w:ilvl w:val="0"/>
          <w:numId w:val="12"/>
        </w:numPr>
        <w:autoSpaceDE w:val="0"/>
        <w:autoSpaceDN w:val="0"/>
        <w:adjustRightInd w:val="0"/>
        <w:ind w:right="54"/>
        <w:rPr>
          <w:rFonts w:ascii="Arial" w:hAnsi="Arial" w:cs="Arial"/>
          <w:sz w:val="20"/>
          <w:szCs w:val="20"/>
        </w:rPr>
      </w:pPr>
      <w:r w:rsidRPr="00F2484F">
        <w:rPr>
          <w:rFonts w:ascii="Arial" w:hAnsi="Arial" w:cs="Arial"/>
          <w:sz w:val="20"/>
          <w:szCs w:val="20"/>
        </w:rPr>
        <w:t xml:space="preserve">10 May 2021: JSCD engagement on gender parity and the March 2022 presentation by the Chief Directorate Transformation Management regarding </w:t>
      </w:r>
      <w:r w:rsidRPr="00F2484F">
        <w:rPr>
          <w:rFonts w:ascii="Arial" w:hAnsi="Arial" w:cs="Arial"/>
          <w:bCs/>
          <w:sz w:val="20"/>
          <w:szCs w:val="20"/>
        </w:rPr>
        <w:t xml:space="preserve">Progress on Transformation Management </w:t>
      </w:r>
      <w:r w:rsidRPr="00F2484F">
        <w:rPr>
          <w:rFonts w:ascii="Arial" w:hAnsi="Arial" w:cs="Arial"/>
          <w:sz w:val="20"/>
          <w:szCs w:val="20"/>
        </w:rPr>
        <w:t>in the SANDF.</w:t>
      </w:r>
    </w:p>
    <w:p w:rsidR="00385CF1" w:rsidRPr="00F2484F" w:rsidRDefault="00385CF1" w:rsidP="00F2484F">
      <w:pPr>
        <w:pStyle w:val="ListParagraph"/>
        <w:numPr>
          <w:ilvl w:val="0"/>
          <w:numId w:val="12"/>
        </w:numPr>
        <w:autoSpaceDE w:val="0"/>
        <w:autoSpaceDN w:val="0"/>
        <w:adjustRightInd w:val="0"/>
        <w:ind w:right="54"/>
        <w:rPr>
          <w:rFonts w:ascii="Arial" w:hAnsi="Arial" w:cs="Arial"/>
          <w:sz w:val="20"/>
          <w:szCs w:val="20"/>
        </w:rPr>
      </w:pPr>
      <w:r w:rsidRPr="00F2484F">
        <w:rPr>
          <w:rFonts w:ascii="Arial" w:hAnsi="Arial" w:cs="Arial"/>
          <w:sz w:val="20"/>
          <w:szCs w:val="20"/>
        </w:rPr>
        <w:t>10 March 2022: JSCD engagement on the DOD’s transformation management, including equity.</w:t>
      </w:r>
    </w:p>
    <w:p w:rsidR="00E271D1" w:rsidRPr="00F2484F" w:rsidRDefault="00E271D1" w:rsidP="00F2484F">
      <w:pPr>
        <w:ind w:right="54"/>
        <w:rPr>
          <w:rFonts w:ascii="Arial" w:hAnsi="Arial" w:cs="Arial"/>
          <w:b/>
          <w:sz w:val="20"/>
          <w:szCs w:val="20"/>
        </w:rPr>
      </w:pPr>
    </w:p>
    <w:p w:rsidR="00E271D1" w:rsidRPr="00F2484F" w:rsidRDefault="00E826CF" w:rsidP="00F2484F">
      <w:pPr>
        <w:ind w:right="54"/>
        <w:rPr>
          <w:rFonts w:ascii="Arial" w:hAnsi="Arial" w:cs="Arial"/>
          <w:bCs/>
          <w:sz w:val="20"/>
          <w:szCs w:val="20"/>
        </w:rPr>
      </w:pPr>
      <w:r w:rsidRPr="00F2484F">
        <w:rPr>
          <w:rFonts w:ascii="Arial" w:hAnsi="Arial" w:cs="Arial"/>
          <w:sz w:val="20"/>
          <w:szCs w:val="20"/>
        </w:rPr>
        <w:t xml:space="preserve">On 6 May 2021, the </w:t>
      </w:r>
      <w:r w:rsidR="00E271D1" w:rsidRPr="00F2484F">
        <w:rPr>
          <w:rFonts w:ascii="Arial" w:hAnsi="Arial" w:cs="Arial"/>
          <w:sz w:val="20"/>
          <w:szCs w:val="20"/>
        </w:rPr>
        <w:t>Chief Directorate Transformation Management re</w:t>
      </w:r>
      <w:r w:rsidRPr="00F2484F">
        <w:rPr>
          <w:rFonts w:ascii="Arial" w:hAnsi="Arial" w:cs="Arial"/>
          <w:sz w:val="20"/>
          <w:szCs w:val="20"/>
        </w:rPr>
        <w:t>ported the following to the JSCD re</w:t>
      </w:r>
      <w:r w:rsidR="00E271D1" w:rsidRPr="00F2484F">
        <w:rPr>
          <w:rFonts w:ascii="Arial" w:hAnsi="Arial" w:cs="Arial"/>
          <w:sz w:val="20"/>
          <w:szCs w:val="20"/>
        </w:rPr>
        <w:t xml:space="preserve">garding </w:t>
      </w:r>
      <w:r w:rsidR="00E271D1" w:rsidRPr="00F2484F">
        <w:rPr>
          <w:rFonts w:ascii="Arial" w:hAnsi="Arial" w:cs="Arial"/>
          <w:bCs/>
          <w:sz w:val="20"/>
          <w:szCs w:val="20"/>
        </w:rPr>
        <w:t xml:space="preserve">Progress on Transformation Management </w:t>
      </w:r>
      <w:r w:rsidR="00E271D1" w:rsidRPr="00F2484F">
        <w:rPr>
          <w:rFonts w:ascii="Arial" w:hAnsi="Arial" w:cs="Arial"/>
          <w:sz w:val="20"/>
          <w:szCs w:val="20"/>
        </w:rPr>
        <w:t>in the SANDF</w:t>
      </w:r>
      <w:r w:rsidR="00E271D1" w:rsidRPr="00F2484F">
        <w:rPr>
          <w:rFonts w:ascii="Arial" w:hAnsi="Arial" w:cs="Arial"/>
          <w:bCs/>
          <w:sz w:val="20"/>
          <w:szCs w:val="20"/>
        </w:rPr>
        <w:t>:</w:t>
      </w:r>
    </w:p>
    <w:p w:rsidR="00E271D1" w:rsidRPr="00F2484F" w:rsidRDefault="00E271D1" w:rsidP="00F2484F">
      <w:pPr>
        <w:ind w:right="54"/>
        <w:rPr>
          <w:rFonts w:ascii="Arial" w:hAnsi="Arial" w:cs="Arial"/>
          <w:bCs/>
          <w:sz w:val="20"/>
          <w:szCs w:val="20"/>
        </w:rPr>
      </w:pPr>
    </w:p>
    <w:p w:rsidR="00E271D1" w:rsidRPr="00F2484F" w:rsidRDefault="00E271D1" w:rsidP="00F2484F">
      <w:pPr>
        <w:pStyle w:val="ListParagraph"/>
        <w:numPr>
          <w:ilvl w:val="0"/>
          <w:numId w:val="10"/>
        </w:numPr>
        <w:ind w:left="851" w:right="54"/>
        <w:rPr>
          <w:rFonts w:ascii="Arial" w:hAnsi="Arial" w:cs="Arial"/>
          <w:sz w:val="20"/>
          <w:szCs w:val="20"/>
        </w:rPr>
      </w:pPr>
      <w:r w:rsidRPr="00F2484F">
        <w:rPr>
          <w:rFonts w:ascii="Arial" w:hAnsi="Arial" w:cs="Arial"/>
          <w:sz w:val="20"/>
          <w:szCs w:val="20"/>
          <w:lang w:val="en-US"/>
        </w:rPr>
        <w:t xml:space="preserve">Transformation as a phenomenon has evolved drastically, thereby requiring a new approach to position the organisation to be on par with the new milestones and increasing changes.  </w:t>
      </w:r>
    </w:p>
    <w:p w:rsidR="00E271D1" w:rsidRPr="00F2484F" w:rsidRDefault="00E271D1" w:rsidP="00F2484F">
      <w:pPr>
        <w:pStyle w:val="ListParagraph"/>
        <w:numPr>
          <w:ilvl w:val="0"/>
          <w:numId w:val="10"/>
        </w:numPr>
        <w:ind w:left="851" w:right="54"/>
        <w:rPr>
          <w:rFonts w:ascii="Arial" w:hAnsi="Arial" w:cs="Arial"/>
          <w:sz w:val="20"/>
          <w:szCs w:val="20"/>
          <w:lang w:val="en-ZA"/>
        </w:rPr>
      </w:pPr>
      <w:r w:rsidRPr="00F2484F">
        <w:rPr>
          <w:rFonts w:ascii="Arial" w:hAnsi="Arial" w:cs="Arial"/>
          <w:sz w:val="20"/>
          <w:szCs w:val="20"/>
          <w:lang w:val="en-US"/>
        </w:rPr>
        <w:lastRenderedPageBreak/>
        <w:t xml:space="preserve">The DOD has put in place quarterly Transformation Management Board meetings where Services and Divisions give feedback on all activities and events on their equity to enhance transformation. </w:t>
      </w:r>
    </w:p>
    <w:p w:rsidR="00E271D1" w:rsidRPr="00F2484F" w:rsidRDefault="00E271D1" w:rsidP="00F2484F">
      <w:pPr>
        <w:pStyle w:val="ListParagraph"/>
        <w:numPr>
          <w:ilvl w:val="0"/>
          <w:numId w:val="10"/>
        </w:numPr>
        <w:ind w:left="851" w:right="54"/>
        <w:rPr>
          <w:rFonts w:ascii="Arial" w:hAnsi="Arial" w:cs="Arial"/>
          <w:sz w:val="20"/>
          <w:szCs w:val="20"/>
          <w:lang w:val="en-ZA"/>
        </w:rPr>
      </w:pPr>
      <w:r w:rsidRPr="00F2484F">
        <w:rPr>
          <w:rFonts w:ascii="Arial" w:hAnsi="Arial" w:cs="Arial"/>
          <w:sz w:val="20"/>
          <w:szCs w:val="20"/>
          <w:lang w:val="en-US"/>
        </w:rPr>
        <w:t>The military culture remains constant, but it is challenged by the new generational changes and new culture change that has influenced transformation</w:t>
      </w:r>
      <w:r w:rsidR="00E826CF" w:rsidRPr="00F2484F">
        <w:rPr>
          <w:rFonts w:ascii="Arial" w:hAnsi="Arial" w:cs="Arial"/>
          <w:sz w:val="20"/>
          <w:szCs w:val="20"/>
          <w:lang w:val="en-US"/>
        </w:rPr>
        <w:t>.</w:t>
      </w:r>
      <w:r w:rsidRPr="00F2484F">
        <w:rPr>
          <w:rFonts w:ascii="Arial" w:hAnsi="Arial" w:cs="Arial"/>
          <w:sz w:val="20"/>
          <w:szCs w:val="20"/>
          <w:lang w:val="en-US"/>
        </w:rPr>
        <w:t xml:space="preserve"> </w:t>
      </w:r>
    </w:p>
    <w:p w:rsidR="00E271D1" w:rsidRPr="00F2484F" w:rsidRDefault="00E271D1" w:rsidP="00F2484F">
      <w:pPr>
        <w:pStyle w:val="ListParagraph"/>
        <w:numPr>
          <w:ilvl w:val="0"/>
          <w:numId w:val="10"/>
        </w:numPr>
        <w:ind w:left="851" w:right="54"/>
        <w:rPr>
          <w:rFonts w:ascii="Arial" w:hAnsi="Arial" w:cs="Arial"/>
          <w:sz w:val="20"/>
          <w:szCs w:val="20"/>
          <w:lang w:val="en-ZA"/>
        </w:rPr>
      </w:pPr>
      <w:r w:rsidRPr="00F2484F">
        <w:rPr>
          <w:rFonts w:ascii="Arial" w:hAnsi="Arial" w:cs="Arial"/>
          <w:sz w:val="20"/>
          <w:szCs w:val="20"/>
          <w:lang w:val="en-US"/>
        </w:rPr>
        <w:t>The DOD is aligning the organisational transformation culture to create a competitive transformation environment in the D</w:t>
      </w:r>
      <w:r w:rsidR="00E826CF" w:rsidRPr="00F2484F">
        <w:rPr>
          <w:rFonts w:ascii="Arial" w:hAnsi="Arial" w:cs="Arial"/>
          <w:sz w:val="20"/>
          <w:szCs w:val="20"/>
          <w:lang w:val="en-US"/>
        </w:rPr>
        <w:t>O</w:t>
      </w:r>
      <w:r w:rsidRPr="00F2484F">
        <w:rPr>
          <w:rFonts w:ascii="Arial" w:hAnsi="Arial" w:cs="Arial"/>
          <w:sz w:val="20"/>
          <w:szCs w:val="20"/>
          <w:lang w:val="en-US"/>
        </w:rPr>
        <w:t>D.</w:t>
      </w:r>
    </w:p>
    <w:p w:rsidR="00E271D1" w:rsidRPr="00F2484F" w:rsidRDefault="00E271D1" w:rsidP="00F2484F">
      <w:pPr>
        <w:pStyle w:val="ListParagraph"/>
        <w:numPr>
          <w:ilvl w:val="0"/>
          <w:numId w:val="10"/>
        </w:numPr>
        <w:ind w:left="851" w:right="54"/>
        <w:rPr>
          <w:rFonts w:ascii="Arial" w:hAnsi="Arial" w:cs="Arial"/>
          <w:sz w:val="20"/>
          <w:szCs w:val="20"/>
          <w:lang w:val="en-ZA"/>
        </w:rPr>
      </w:pPr>
      <w:r w:rsidRPr="00F2484F">
        <w:rPr>
          <w:rFonts w:ascii="Arial" w:hAnsi="Arial" w:cs="Arial"/>
          <w:sz w:val="20"/>
          <w:szCs w:val="20"/>
          <w:lang w:val="en-US"/>
        </w:rPr>
        <w:t xml:space="preserve">The DOD is establishing a consistent long term strategic transformation goals that are tangible. </w:t>
      </w:r>
    </w:p>
    <w:p w:rsidR="00E271D1" w:rsidRPr="00F2484F" w:rsidRDefault="00E271D1" w:rsidP="00F2484F">
      <w:pPr>
        <w:pStyle w:val="ListParagraph"/>
        <w:numPr>
          <w:ilvl w:val="0"/>
          <w:numId w:val="10"/>
        </w:numPr>
        <w:ind w:left="851" w:right="54"/>
        <w:rPr>
          <w:rFonts w:ascii="Arial" w:hAnsi="Arial" w:cs="Arial"/>
          <w:sz w:val="20"/>
          <w:szCs w:val="20"/>
          <w:lang w:val="en-ZA"/>
        </w:rPr>
      </w:pPr>
      <w:r w:rsidRPr="00F2484F">
        <w:rPr>
          <w:rFonts w:ascii="Arial" w:hAnsi="Arial" w:cs="Arial"/>
          <w:sz w:val="20"/>
          <w:szCs w:val="20"/>
          <w:lang w:val="en-ZA"/>
        </w:rPr>
        <w:t xml:space="preserve">It was indicated that, as at </w:t>
      </w:r>
      <w:r w:rsidR="00E826CF" w:rsidRPr="00F2484F">
        <w:rPr>
          <w:rFonts w:ascii="Arial" w:hAnsi="Arial" w:cs="Arial"/>
          <w:bCs/>
          <w:sz w:val="20"/>
          <w:szCs w:val="20"/>
        </w:rPr>
        <w:t>31 January 2022, e</w:t>
      </w:r>
      <w:r w:rsidRPr="00F2484F">
        <w:rPr>
          <w:rFonts w:ascii="Arial" w:hAnsi="Arial" w:cs="Arial"/>
          <w:bCs/>
          <w:sz w:val="20"/>
          <w:szCs w:val="20"/>
        </w:rPr>
        <w:t xml:space="preserve">mployees with </w:t>
      </w:r>
      <w:r w:rsidR="00E826CF" w:rsidRPr="00F2484F">
        <w:rPr>
          <w:rFonts w:ascii="Arial" w:hAnsi="Arial" w:cs="Arial"/>
          <w:bCs/>
          <w:sz w:val="20"/>
          <w:szCs w:val="20"/>
        </w:rPr>
        <w:t>d</w:t>
      </w:r>
      <w:r w:rsidRPr="00F2484F">
        <w:rPr>
          <w:rFonts w:ascii="Arial" w:hAnsi="Arial" w:cs="Arial"/>
          <w:bCs/>
          <w:sz w:val="20"/>
          <w:szCs w:val="20"/>
        </w:rPr>
        <w:t>isabilities amounted to 316 with the biggest group from the SA Army at 145, followed by the SA Air Force at 44, and the SA Navy and SA Military Health Services accounting for 33 employees each.</w:t>
      </w:r>
    </w:p>
    <w:p w:rsidR="00E271D1" w:rsidRPr="00F2484F" w:rsidRDefault="00E271D1" w:rsidP="00F2484F">
      <w:pPr>
        <w:pStyle w:val="ListParagraph"/>
        <w:numPr>
          <w:ilvl w:val="0"/>
          <w:numId w:val="10"/>
        </w:numPr>
        <w:ind w:left="851" w:right="54"/>
        <w:rPr>
          <w:rFonts w:ascii="Arial" w:hAnsi="Arial" w:cs="Arial"/>
          <w:sz w:val="20"/>
          <w:szCs w:val="20"/>
          <w:lang w:val="en-ZA"/>
        </w:rPr>
      </w:pPr>
      <w:r w:rsidRPr="00F2484F">
        <w:rPr>
          <w:rFonts w:ascii="Arial" w:hAnsi="Arial" w:cs="Arial"/>
          <w:bCs/>
          <w:sz w:val="20"/>
          <w:szCs w:val="20"/>
        </w:rPr>
        <w:t xml:space="preserve">The Chief Directorate stressed that </w:t>
      </w:r>
      <w:r w:rsidR="00E826CF" w:rsidRPr="00F2484F">
        <w:rPr>
          <w:rFonts w:ascii="Arial" w:hAnsi="Arial" w:cs="Arial"/>
          <w:sz w:val="20"/>
          <w:szCs w:val="20"/>
          <w:lang w:val="en-US"/>
        </w:rPr>
        <w:t>d</w:t>
      </w:r>
      <w:r w:rsidRPr="00F2484F">
        <w:rPr>
          <w:rFonts w:ascii="Arial" w:hAnsi="Arial" w:cs="Arial"/>
          <w:sz w:val="20"/>
          <w:szCs w:val="20"/>
          <w:lang w:val="en-US"/>
        </w:rPr>
        <w:t>isability management is a government imperative</w:t>
      </w:r>
      <w:r w:rsidRPr="00F2484F">
        <w:rPr>
          <w:rFonts w:ascii="Arial" w:hAnsi="Arial" w:cs="Arial"/>
          <w:bCs/>
          <w:sz w:val="20"/>
          <w:szCs w:val="20"/>
        </w:rPr>
        <w:t xml:space="preserve"> and that they have embarked on </w:t>
      </w:r>
      <w:r w:rsidRPr="00F2484F">
        <w:rPr>
          <w:rFonts w:ascii="Arial" w:hAnsi="Arial" w:cs="Arial"/>
          <w:bCs/>
          <w:sz w:val="20"/>
          <w:szCs w:val="20"/>
          <w:lang w:val="en-US"/>
        </w:rPr>
        <w:t xml:space="preserve">Disability Equity Workshops to </w:t>
      </w:r>
      <w:r w:rsidRPr="00F2484F">
        <w:rPr>
          <w:rFonts w:ascii="Arial" w:hAnsi="Arial" w:cs="Arial"/>
          <w:sz w:val="20"/>
          <w:szCs w:val="20"/>
          <w:lang w:val="en-US"/>
        </w:rPr>
        <w:t>share know</w:t>
      </w:r>
      <w:r w:rsidR="00E826CF" w:rsidRPr="00F2484F">
        <w:rPr>
          <w:rFonts w:ascii="Arial" w:hAnsi="Arial" w:cs="Arial"/>
          <w:sz w:val="20"/>
          <w:szCs w:val="20"/>
          <w:lang w:val="en-US"/>
        </w:rPr>
        <w:t>ledge with the members of the DO</w:t>
      </w:r>
      <w:r w:rsidRPr="00F2484F">
        <w:rPr>
          <w:rFonts w:ascii="Arial" w:hAnsi="Arial" w:cs="Arial"/>
          <w:sz w:val="20"/>
          <w:szCs w:val="20"/>
          <w:lang w:val="en-US"/>
        </w:rPr>
        <w:t>D regarding the reporting mechanism, career advancement, and disclosure process. However, the</w:t>
      </w:r>
      <w:r w:rsidR="00E826CF" w:rsidRPr="00F2484F">
        <w:rPr>
          <w:rFonts w:ascii="Arial" w:hAnsi="Arial" w:cs="Arial"/>
          <w:sz w:val="20"/>
          <w:szCs w:val="20"/>
          <w:lang w:val="en-US"/>
        </w:rPr>
        <w:t xml:space="preserve">y stressed </w:t>
      </w:r>
      <w:r w:rsidRPr="00F2484F">
        <w:rPr>
          <w:rFonts w:ascii="Arial" w:hAnsi="Arial" w:cs="Arial"/>
          <w:sz w:val="20"/>
          <w:szCs w:val="20"/>
          <w:lang w:val="en-US"/>
        </w:rPr>
        <w:t>that their current challenge is how to manage the careers and development of employees with disabilities.</w:t>
      </w:r>
    </w:p>
    <w:p w:rsidR="00385CF1" w:rsidRPr="00F2484F" w:rsidRDefault="00385CF1" w:rsidP="00F2484F">
      <w:pPr>
        <w:ind w:right="54"/>
        <w:rPr>
          <w:rFonts w:ascii="Arial" w:hAnsi="Arial" w:cs="Arial"/>
          <w:sz w:val="20"/>
          <w:szCs w:val="20"/>
          <w:lang w:val="en-ZA"/>
        </w:rPr>
      </w:pPr>
    </w:p>
    <w:p w:rsidR="00385CF1" w:rsidRPr="00F2484F" w:rsidRDefault="00385CF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EastAsia" w:hAnsi="Arial" w:cs="Arial"/>
          <w:bCs/>
          <w:sz w:val="20"/>
          <w:szCs w:val="20"/>
        </w:rPr>
        <w:t xml:space="preserve">While noting the significant progress made in terms of equity since the 1996 figures, the </w:t>
      </w:r>
      <w:r w:rsidRPr="00F2484F">
        <w:rPr>
          <w:rFonts w:ascii="Arial" w:eastAsiaTheme="minorHAnsi" w:hAnsi="Arial" w:cs="Arial"/>
          <w:sz w:val="20"/>
          <w:szCs w:val="20"/>
          <w:lang w:val="en-ZA"/>
        </w:rPr>
        <w:t>JSCD has noted in submitted reports that the MSDS intake in recent times have not been fully representative of the people of South Africa. For example, in 2020/21, there were 1 956 MSDS personnel in the SANDF system of which only 1.90% were coloured and 3.36% were white. In total, 85.89% of the MSDS personnel were African. Should this trend continue, it will post a challenge to the SANDF to keep its staff complement generally representative of the South African people in future.</w:t>
      </w:r>
      <w:r w:rsidRPr="00F2484F">
        <w:rPr>
          <w:rStyle w:val="FootnoteReference"/>
          <w:rFonts w:ascii="Arial" w:eastAsiaTheme="minorHAnsi" w:hAnsi="Arial" w:cs="Arial"/>
          <w:sz w:val="20"/>
          <w:szCs w:val="20"/>
          <w:lang w:val="en-ZA"/>
        </w:rPr>
        <w:footnoteReference w:id="38"/>
      </w:r>
      <w:r w:rsidRPr="00F2484F">
        <w:rPr>
          <w:rFonts w:ascii="Arial" w:eastAsiaTheme="minorHAnsi" w:hAnsi="Arial" w:cs="Arial"/>
          <w:sz w:val="20"/>
          <w:szCs w:val="20"/>
          <w:lang w:val="en-ZA"/>
        </w:rPr>
        <w:t xml:space="preserve"> </w:t>
      </w:r>
    </w:p>
    <w:p w:rsidR="00385CF1" w:rsidRPr="00F2484F" w:rsidRDefault="00385CF1" w:rsidP="00F2484F">
      <w:pPr>
        <w:rPr>
          <w:rFonts w:ascii="Arial" w:hAnsi="Arial" w:cs="Arial"/>
          <w:sz w:val="20"/>
          <w:szCs w:val="20"/>
        </w:rPr>
      </w:pPr>
    </w:p>
    <w:p w:rsidR="00385CF1" w:rsidRPr="00F2484F" w:rsidRDefault="00385CF1" w:rsidP="00F2484F">
      <w:pPr>
        <w:rPr>
          <w:rFonts w:ascii="Arial" w:hAnsi="Arial" w:cs="Arial"/>
          <w:sz w:val="20"/>
          <w:szCs w:val="20"/>
          <w:lang w:val="en-ZA"/>
        </w:rPr>
      </w:pPr>
      <w:r w:rsidRPr="00F2484F">
        <w:rPr>
          <w:rFonts w:ascii="Arial" w:hAnsi="Arial" w:cs="Arial"/>
          <w:sz w:val="20"/>
          <w:szCs w:val="20"/>
        </w:rPr>
        <w:t xml:space="preserve">The above can be measured against the Revised DOD Equity Targets, namely: Approved </w:t>
      </w:r>
      <w:r w:rsidRPr="00F2484F">
        <w:rPr>
          <w:rFonts w:ascii="Arial" w:eastAsiaTheme="minorEastAsia" w:hAnsi="Arial" w:cs="Arial"/>
          <w:sz w:val="20"/>
          <w:szCs w:val="20"/>
          <w:lang w:val="en-US"/>
        </w:rPr>
        <w:t>population group targets</w:t>
      </w:r>
      <w:r w:rsidRPr="00F2484F">
        <w:rPr>
          <w:rFonts w:ascii="Arial" w:hAnsi="Arial" w:cs="Arial"/>
          <w:sz w:val="20"/>
          <w:szCs w:val="20"/>
          <w:lang w:val="en-US"/>
        </w:rPr>
        <w:t xml:space="preserve"> for Africans (74</w:t>
      </w:r>
      <w:r w:rsidRPr="00F2484F">
        <w:rPr>
          <w:rFonts w:ascii="Arial" w:eastAsiaTheme="minorEastAsia" w:hAnsi="Arial" w:cs="Arial"/>
          <w:sz w:val="20"/>
          <w:szCs w:val="20"/>
          <w:lang w:val="en-US"/>
        </w:rPr>
        <w:t>%</w:t>
      </w:r>
      <w:r w:rsidRPr="00F2484F">
        <w:rPr>
          <w:rFonts w:ascii="Arial" w:hAnsi="Arial" w:cs="Arial"/>
          <w:sz w:val="20"/>
          <w:szCs w:val="20"/>
          <w:lang w:val="en-US"/>
        </w:rPr>
        <w:t xml:space="preserve">), </w:t>
      </w:r>
      <w:r w:rsidRPr="00F2484F">
        <w:rPr>
          <w:rFonts w:ascii="Arial" w:eastAsiaTheme="minorEastAsia" w:hAnsi="Arial" w:cs="Arial"/>
          <w:sz w:val="20"/>
          <w:szCs w:val="20"/>
          <w:lang w:val="en-US"/>
        </w:rPr>
        <w:t>Whites (12%</w:t>
      </w:r>
      <w:r w:rsidRPr="00F2484F">
        <w:rPr>
          <w:rFonts w:ascii="Arial" w:hAnsi="Arial" w:cs="Arial"/>
          <w:sz w:val="20"/>
          <w:szCs w:val="20"/>
          <w:lang w:val="en-US"/>
        </w:rPr>
        <w:t xml:space="preserve">), </w:t>
      </w:r>
      <w:r w:rsidRPr="00F2484F">
        <w:rPr>
          <w:rFonts w:ascii="Arial" w:eastAsiaTheme="minorEastAsia" w:hAnsi="Arial" w:cs="Arial"/>
          <w:sz w:val="20"/>
          <w:szCs w:val="20"/>
          <w:lang w:val="en-US"/>
        </w:rPr>
        <w:t>Coloured (13</w:t>
      </w:r>
      <w:r w:rsidRPr="00F2484F">
        <w:rPr>
          <w:rFonts w:ascii="Arial" w:hAnsi="Arial" w:cs="Arial"/>
          <w:sz w:val="20"/>
          <w:szCs w:val="20"/>
          <w:lang w:val="en-US"/>
        </w:rPr>
        <w:t xml:space="preserve">%) and </w:t>
      </w:r>
      <w:r w:rsidRPr="00F2484F">
        <w:rPr>
          <w:rFonts w:ascii="Arial" w:eastAsiaTheme="minorEastAsia" w:hAnsi="Arial" w:cs="Arial"/>
          <w:sz w:val="20"/>
          <w:szCs w:val="20"/>
          <w:lang w:val="en-US"/>
        </w:rPr>
        <w:t>Indians (1%)</w:t>
      </w:r>
      <w:r w:rsidRPr="00F2484F">
        <w:rPr>
          <w:rFonts w:ascii="Arial" w:hAnsi="Arial" w:cs="Arial"/>
          <w:sz w:val="20"/>
          <w:szCs w:val="20"/>
          <w:lang w:val="en-US"/>
        </w:rPr>
        <w:t xml:space="preserve">. </w:t>
      </w:r>
      <w:r w:rsidRPr="00F2484F">
        <w:rPr>
          <w:rFonts w:ascii="Arial" w:eastAsiaTheme="minorEastAsia" w:hAnsi="Arial" w:cs="Arial"/>
          <w:sz w:val="20"/>
          <w:szCs w:val="20"/>
        </w:rPr>
        <w:t xml:space="preserve">Gender Equity </w:t>
      </w:r>
      <w:r w:rsidRPr="00F2484F">
        <w:rPr>
          <w:rFonts w:ascii="Arial" w:hAnsi="Arial" w:cs="Arial"/>
          <w:sz w:val="20"/>
          <w:szCs w:val="20"/>
        </w:rPr>
        <w:t xml:space="preserve">should be 30% Female and </w:t>
      </w:r>
      <w:r w:rsidRPr="00F2484F">
        <w:rPr>
          <w:rFonts w:ascii="Arial" w:eastAsiaTheme="minorEastAsia" w:hAnsi="Arial" w:cs="Arial"/>
          <w:sz w:val="20"/>
          <w:szCs w:val="20"/>
        </w:rPr>
        <w:t>70</w:t>
      </w:r>
      <w:r w:rsidRPr="00F2484F">
        <w:rPr>
          <w:rFonts w:ascii="Arial" w:hAnsi="Arial" w:cs="Arial"/>
          <w:sz w:val="20"/>
          <w:szCs w:val="20"/>
        </w:rPr>
        <w:t>% Male</w:t>
      </w:r>
      <w:r w:rsidRPr="00F2484F">
        <w:rPr>
          <w:rFonts w:ascii="Arial" w:eastAsiaTheme="minorEastAsia" w:hAnsi="Arial" w:cs="Arial"/>
          <w:sz w:val="20"/>
          <w:szCs w:val="20"/>
        </w:rPr>
        <w:t xml:space="preserve"> at all </w:t>
      </w:r>
      <w:r w:rsidRPr="00F2484F">
        <w:rPr>
          <w:rFonts w:ascii="Arial" w:hAnsi="Arial" w:cs="Arial"/>
          <w:sz w:val="20"/>
          <w:szCs w:val="20"/>
        </w:rPr>
        <w:t xml:space="preserve">levels and </w:t>
      </w:r>
      <w:r w:rsidRPr="00F2484F">
        <w:rPr>
          <w:rFonts w:ascii="Arial" w:hAnsi="Arial" w:cs="Arial"/>
          <w:sz w:val="20"/>
          <w:szCs w:val="20"/>
          <w:lang w:val="en-US"/>
        </w:rPr>
        <w:t>40% Females</w:t>
      </w:r>
      <w:r w:rsidRPr="00F2484F">
        <w:rPr>
          <w:rFonts w:ascii="Arial" w:eastAsiaTheme="minorEastAsia" w:hAnsi="Arial" w:cs="Arial"/>
          <w:sz w:val="20"/>
          <w:szCs w:val="20"/>
          <w:lang w:val="en-US"/>
        </w:rPr>
        <w:t xml:space="preserve"> at entry level. The DOD also aims to have</w:t>
      </w:r>
      <w:r w:rsidRPr="00F2484F">
        <w:rPr>
          <w:rFonts w:ascii="Arial" w:hAnsi="Arial" w:cs="Arial"/>
          <w:sz w:val="20"/>
          <w:szCs w:val="20"/>
          <w:lang w:val="en-US"/>
        </w:rPr>
        <w:t xml:space="preserve"> </w:t>
      </w:r>
      <w:r w:rsidRPr="00F2484F">
        <w:rPr>
          <w:rFonts w:ascii="Arial" w:eastAsiaTheme="minorEastAsia" w:hAnsi="Arial" w:cs="Arial"/>
          <w:sz w:val="20"/>
          <w:szCs w:val="20"/>
          <w:lang w:val="en-US"/>
        </w:rPr>
        <w:t>2</w:t>
      </w:r>
      <w:r w:rsidRPr="00F2484F">
        <w:rPr>
          <w:rFonts w:ascii="Arial" w:hAnsi="Arial" w:cs="Arial"/>
          <w:sz w:val="20"/>
          <w:szCs w:val="20"/>
          <w:lang w:val="en-US"/>
        </w:rPr>
        <w:t>% People</w:t>
      </w:r>
      <w:r w:rsidRPr="00F2484F">
        <w:rPr>
          <w:rFonts w:ascii="Arial" w:eastAsiaTheme="minorEastAsia" w:hAnsi="Arial" w:cs="Arial"/>
          <w:sz w:val="20"/>
          <w:szCs w:val="20"/>
          <w:lang w:val="en-US"/>
        </w:rPr>
        <w:t xml:space="preserve"> with Disabilities</w:t>
      </w:r>
      <w:r w:rsidRPr="00F2484F">
        <w:rPr>
          <w:rFonts w:ascii="Arial" w:hAnsi="Arial" w:cs="Arial"/>
          <w:sz w:val="20"/>
          <w:szCs w:val="20"/>
          <w:lang w:val="en-US"/>
        </w:rPr>
        <w:t>.</w:t>
      </w:r>
    </w:p>
    <w:p w:rsidR="00E271D1" w:rsidRPr="00F2484F" w:rsidRDefault="00E271D1" w:rsidP="00F2484F">
      <w:pPr>
        <w:pStyle w:val="ListParagraph"/>
        <w:ind w:left="360" w:right="54"/>
        <w:rPr>
          <w:rFonts w:ascii="Arial" w:hAnsi="Arial" w:cs="Arial"/>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 xml:space="preserve">6. </w:t>
      </w:r>
      <w:r w:rsidRPr="00F2484F">
        <w:rPr>
          <w:rFonts w:ascii="Arial" w:hAnsi="Arial" w:cs="Arial"/>
          <w:b/>
          <w:sz w:val="20"/>
          <w:szCs w:val="20"/>
        </w:rPr>
        <w:tab/>
        <w:t>MORALE</w:t>
      </w:r>
    </w:p>
    <w:p w:rsidR="00E271D1" w:rsidRPr="00F2484F" w:rsidRDefault="00E271D1" w:rsidP="00F2484F">
      <w:pPr>
        <w:ind w:right="54"/>
        <w:rPr>
          <w:rFonts w:ascii="Arial" w:hAnsi="Arial" w:cs="Arial"/>
          <w:b/>
          <w:sz w:val="20"/>
          <w:szCs w:val="20"/>
        </w:rPr>
      </w:pPr>
    </w:p>
    <w:p w:rsidR="00E271D1" w:rsidRPr="00F2484F" w:rsidRDefault="00E271D1" w:rsidP="00F2484F">
      <w:pPr>
        <w:autoSpaceDE w:val="0"/>
        <w:autoSpaceDN w:val="0"/>
        <w:adjustRightInd w:val="0"/>
        <w:rPr>
          <w:rFonts w:ascii="Arial" w:hAnsi="Arial" w:cs="Arial"/>
          <w:sz w:val="20"/>
          <w:szCs w:val="20"/>
        </w:rPr>
      </w:pPr>
      <w:r w:rsidRPr="00F2484F">
        <w:rPr>
          <w:rFonts w:ascii="Arial" w:hAnsi="Arial" w:cs="Arial"/>
          <w:sz w:val="20"/>
          <w:szCs w:val="20"/>
        </w:rPr>
        <w:t xml:space="preserve">The morale of soldiers is a critical ingredient for any military, especially as it prepares to conduct operations. The 1998 Defence Review, for instance, states that the </w:t>
      </w:r>
      <w:r w:rsidRPr="00F2484F">
        <w:rPr>
          <w:rFonts w:ascii="Arial" w:eastAsiaTheme="minorHAnsi" w:hAnsi="Arial" w:cs="Arial"/>
          <w:sz w:val="20"/>
          <w:szCs w:val="20"/>
          <w:lang w:val="en-ZA"/>
        </w:rPr>
        <w:t>SANDF must maintain an effective supporting capability which includes operational medical support, operational logistics support, land, air and sea transport and operational personnel services to ensure the high morale of soldiers engaged in operations.</w:t>
      </w:r>
      <w:r w:rsidRPr="00F2484F">
        <w:rPr>
          <w:rStyle w:val="FootnoteReference"/>
          <w:rFonts w:ascii="Arial" w:eastAsiaTheme="minorHAnsi" w:hAnsi="Arial" w:cs="Arial"/>
          <w:sz w:val="20"/>
          <w:szCs w:val="20"/>
          <w:lang w:val="en-ZA"/>
        </w:rPr>
        <w:footnoteReference w:id="39"/>
      </w:r>
      <w:r w:rsidRPr="00F2484F">
        <w:rPr>
          <w:rFonts w:ascii="Arial" w:eastAsiaTheme="minorHAnsi" w:hAnsi="Arial" w:cs="Arial"/>
          <w:sz w:val="20"/>
          <w:szCs w:val="20"/>
          <w:lang w:val="en-ZA"/>
        </w:rPr>
        <w:t xml:space="preserve"> The 2015 Defence Review, in reference to the Guiding Defence Principles, points out that soldiers should be skilled, healthy, fit, and highly disciplined professionals imbued with a high level of morale, professionals imbued with a high level of morale.</w:t>
      </w:r>
      <w:r w:rsidRPr="00F2484F">
        <w:rPr>
          <w:rStyle w:val="FootnoteReference"/>
          <w:rFonts w:ascii="Arial" w:eastAsiaTheme="minorHAnsi" w:hAnsi="Arial" w:cs="Arial"/>
          <w:sz w:val="20"/>
          <w:szCs w:val="20"/>
          <w:lang w:val="en-ZA"/>
        </w:rPr>
        <w:footnoteReference w:id="40"/>
      </w:r>
      <w:r w:rsidRPr="00F2484F">
        <w:rPr>
          <w:rFonts w:ascii="Arial" w:eastAsiaTheme="minorHAnsi" w:hAnsi="Arial" w:cs="Arial"/>
          <w:sz w:val="20"/>
          <w:szCs w:val="20"/>
          <w:lang w:val="en-ZA"/>
        </w:rPr>
        <w:t xml:space="preserve"> </w:t>
      </w:r>
    </w:p>
    <w:p w:rsidR="00E271D1" w:rsidRPr="00F2484F" w:rsidRDefault="00E271D1" w:rsidP="00F2484F">
      <w:pPr>
        <w:ind w:right="54"/>
        <w:rPr>
          <w:rFonts w:ascii="Arial" w:hAnsi="Arial" w:cs="Arial"/>
          <w:b/>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6.1</w:t>
      </w:r>
      <w:r w:rsidRPr="00F2484F">
        <w:rPr>
          <w:rFonts w:ascii="Arial" w:hAnsi="Arial" w:cs="Arial"/>
          <w:b/>
          <w:sz w:val="20"/>
          <w:szCs w:val="20"/>
        </w:rPr>
        <w:tab/>
      </w:r>
      <w:r w:rsidR="00E826CF" w:rsidRPr="00F2484F">
        <w:rPr>
          <w:rFonts w:ascii="Arial" w:hAnsi="Arial" w:cs="Arial"/>
          <w:b/>
          <w:sz w:val="20"/>
          <w:szCs w:val="20"/>
        </w:rPr>
        <w:t xml:space="preserve">Observations by the </w:t>
      </w:r>
      <w:r w:rsidRPr="00F2484F">
        <w:rPr>
          <w:rFonts w:ascii="Arial" w:hAnsi="Arial" w:cs="Arial"/>
          <w:b/>
          <w:sz w:val="20"/>
          <w:szCs w:val="20"/>
        </w:rPr>
        <w:t xml:space="preserve">Interim Defence Force Service Commission </w:t>
      </w:r>
    </w:p>
    <w:p w:rsidR="00E271D1" w:rsidRPr="00F2484F" w:rsidRDefault="00E271D1" w:rsidP="00F2484F">
      <w:pPr>
        <w:ind w:right="54"/>
        <w:rPr>
          <w:rFonts w:ascii="Arial" w:hAnsi="Arial" w:cs="Arial"/>
          <w:b/>
          <w:sz w:val="20"/>
          <w:szCs w:val="20"/>
        </w:rPr>
      </w:pPr>
    </w:p>
    <w:p w:rsidR="00E271D1" w:rsidRPr="00F2484F" w:rsidRDefault="00E271D1" w:rsidP="00F2484F">
      <w:pPr>
        <w:ind w:right="54"/>
        <w:rPr>
          <w:rFonts w:ascii="Arial" w:hAnsi="Arial" w:cs="Arial"/>
          <w:sz w:val="20"/>
          <w:szCs w:val="20"/>
        </w:rPr>
      </w:pPr>
      <w:r w:rsidRPr="00F2484F">
        <w:rPr>
          <w:rFonts w:ascii="Arial" w:hAnsi="Arial" w:cs="Arial"/>
          <w:sz w:val="20"/>
          <w:szCs w:val="20"/>
        </w:rPr>
        <w:t>The Interim DFSC, in its Final Report, listed morale as one of the issues that the DOD will have to address.</w:t>
      </w:r>
      <w:r w:rsidRPr="00F2484F">
        <w:rPr>
          <w:rStyle w:val="FootnoteReference"/>
          <w:rFonts w:ascii="Arial" w:hAnsi="Arial" w:cs="Arial"/>
          <w:sz w:val="20"/>
          <w:szCs w:val="20"/>
        </w:rPr>
        <w:footnoteReference w:id="41"/>
      </w:r>
      <w:r w:rsidRPr="00F2484F">
        <w:rPr>
          <w:rFonts w:ascii="Arial" w:hAnsi="Arial" w:cs="Arial"/>
          <w:sz w:val="20"/>
          <w:szCs w:val="20"/>
        </w:rPr>
        <w:t xml:space="preserve"> The Interim DFSC made two specific observations/recommendations that relate to morale:</w:t>
      </w:r>
    </w:p>
    <w:p w:rsidR="00E271D1" w:rsidRPr="00F2484F" w:rsidRDefault="00E271D1" w:rsidP="00F2484F">
      <w:pPr>
        <w:ind w:right="54"/>
        <w:rPr>
          <w:rFonts w:ascii="Arial" w:hAnsi="Arial" w:cs="Arial"/>
          <w:sz w:val="20"/>
          <w:szCs w:val="20"/>
        </w:rPr>
      </w:pPr>
    </w:p>
    <w:p w:rsidR="00E271D1" w:rsidRPr="00F2484F" w:rsidRDefault="00E271D1" w:rsidP="00F2484F">
      <w:pPr>
        <w:pStyle w:val="ListParagraph"/>
        <w:numPr>
          <w:ilvl w:val="0"/>
          <w:numId w:val="1"/>
        </w:numPr>
        <w:ind w:left="567" w:right="54" w:hanging="567"/>
        <w:rPr>
          <w:rFonts w:ascii="Arial" w:hAnsi="Arial" w:cs="Arial"/>
          <w:sz w:val="20"/>
          <w:szCs w:val="20"/>
        </w:rPr>
      </w:pPr>
      <w:r w:rsidRPr="00F2484F">
        <w:rPr>
          <w:rFonts w:ascii="Arial" w:hAnsi="Arial" w:cs="Arial"/>
          <w:b/>
          <w:sz w:val="20"/>
          <w:szCs w:val="20"/>
        </w:rPr>
        <w:t>Transport</w:t>
      </w:r>
      <w:r w:rsidRPr="00F2484F">
        <w:rPr>
          <w:rFonts w:ascii="Arial" w:hAnsi="Arial" w:cs="Arial"/>
          <w:sz w:val="20"/>
          <w:szCs w:val="20"/>
        </w:rPr>
        <w:t xml:space="preserve">: A </w:t>
      </w:r>
      <w:r w:rsidRPr="00F2484F">
        <w:rPr>
          <w:rFonts w:ascii="Arial" w:hAnsi="Arial" w:cs="Arial"/>
          <w:sz w:val="20"/>
          <w:szCs w:val="20"/>
          <w:lang w:val="en-US"/>
        </w:rPr>
        <w:t>well-maintained transport fleet is an essential prerequisite for the effective, efficient and productive execution of the SANDF’s mission, whilst also serving to enhance morale and dignity.</w:t>
      </w:r>
    </w:p>
    <w:p w:rsidR="00E271D1" w:rsidRPr="00F2484F" w:rsidRDefault="00E271D1" w:rsidP="00F2484F">
      <w:pPr>
        <w:pStyle w:val="ListParagraph"/>
        <w:numPr>
          <w:ilvl w:val="0"/>
          <w:numId w:val="1"/>
        </w:numPr>
        <w:ind w:left="567" w:right="54" w:hanging="567"/>
        <w:rPr>
          <w:rFonts w:ascii="Arial" w:hAnsi="Arial" w:cs="Arial"/>
          <w:sz w:val="20"/>
          <w:szCs w:val="20"/>
        </w:rPr>
      </w:pPr>
      <w:r w:rsidRPr="00F2484F">
        <w:rPr>
          <w:rFonts w:ascii="Arial" w:hAnsi="Arial" w:cs="Arial"/>
          <w:b/>
          <w:bCs/>
          <w:sz w:val="20"/>
          <w:szCs w:val="20"/>
          <w:lang w:val="en-ZA"/>
        </w:rPr>
        <w:t>Total Wellness of the DOD</w:t>
      </w:r>
      <w:r w:rsidRPr="00F2484F">
        <w:rPr>
          <w:rFonts w:ascii="Arial" w:hAnsi="Arial" w:cs="Arial"/>
          <w:sz w:val="20"/>
          <w:szCs w:val="20"/>
          <w:lang w:val="en-ZA"/>
        </w:rPr>
        <w:t xml:space="preserve">: </w:t>
      </w:r>
      <w:r w:rsidRPr="00F2484F">
        <w:rPr>
          <w:rFonts w:ascii="Arial" w:hAnsi="Arial" w:cs="Arial"/>
          <w:sz w:val="20"/>
          <w:szCs w:val="20"/>
        </w:rPr>
        <w:t>Notwithstanding the many drivers of low morale which have been observed, it remains a fact that despite everything our soldiers and their civilian counterparts continue to perform remarkably.</w:t>
      </w:r>
    </w:p>
    <w:p w:rsidR="00E826CF" w:rsidRPr="00F2484F" w:rsidRDefault="00E826CF" w:rsidP="00F2484F">
      <w:pPr>
        <w:ind w:left="1134" w:right="54" w:hanging="567"/>
        <w:rPr>
          <w:rFonts w:ascii="Arial" w:hAnsi="Arial" w:cs="Arial"/>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6.2</w:t>
      </w:r>
      <w:r w:rsidRPr="00F2484F">
        <w:rPr>
          <w:rFonts w:ascii="Arial" w:hAnsi="Arial" w:cs="Arial"/>
          <w:b/>
          <w:sz w:val="20"/>
          <w:szCs w:val="20"/>
        </w:rPr>
        <w:tab/>
      </w:r>
      <w:r w:rsidR="00E826CF" w:rsidRPr="00F2484F">
        <w:rPr>
          <w:rFonts w:ascii="Arial" w:hAnsi="Arial" w:cs="Arial"/>
          <w:b/>
          <w:sz w:val="20"/>
          <w:szCs w:val="20"/>
        </w:rPr>
        <w:t xml:space="preserve">Observations by the </w:t>
      </w:r>
      <w:r w:rsidRPr="00F2484F">
        <w:rPr>
          <w:rFonts w:ascii="Arial" w:hAnsi="Arial" w:cs="Arial"/>
          <w:b/>
          <w:sz w:val="20"/>
          <w:szCs w:val="20"/>
        </w:rPr>
        <w:t xml:space="preserve">Defence Force Service Commission </w:t>
      </w:r>
    </w:p>
    <w:p w:rsidR="00E271D1" w:rsidRPr="00F2484F" w:rsidRDefault="00E271D1" w:rsidP="00F2484F">
      <w:pPr>
        <w:ind w:right="54"/>
        <w:rPr>
          <w:rFonts w:ascii="Arial" w:hAnsi="Arial" w:cs="Arial"/>
          <w:sz w:val="20"/>
          <w:szCs w:val="20"/>
        </w:rPr>
      </w:pPr>
    </w:p>
    <w:p w:rsidR="00E271D1" w:rsidRPr="00F2484F" w:rsidRDefault="00E271D1" w:rsidP="00F2484F">
      <w:pPr>
        <w:ind w:right="54"/>
        <w:rPr>
          <w:rFonts w:ascii="Arial" w:hAnsi="Arial" w:cs="Arial"/>
          <w:sz w:val="20"/>
          <w:szCs w:val="20"/>
        </w:rPr>
      </w:pPr>
      <w:r w:rsidRPr="00F2484F">
        <w:rPr>
          <w:rFonts w:ascii="Arial" w:hAnsi="Arial" w:cs="Arial"/>
          <w:sz w:val="20"/>
          <w:szCs w:val="20"/>
        </w:rPr>
        <w:t>In its Consolidated and Categorised Recommendations</w:t>
      </w:r>
      <w:r w:rsidRPr="00F2484F">
        <w:rPr>
          <w:rStyle w:val="FootnoteReference"/>
          <w:rFonts w:ascii="Arial" w:hAnsi="Arial" w:cs="Arial"/>
          <w:sz w:val="20"/>
          <w:szCs w:val="20"/>
        </w:rPr>
        <w:footnoteReference w:id="42"/>
      </w:r>
      <w:r w:rsidRPr="00F2484F">
        <w:rPr>
          <w:rFonts w:ascii="Arial" w:hAnsi="Arial" w:cs="Arial"/>
          <w:sz w:val="20"/>
          <w:szCs w:val="20"/>
        </w:rPr>
        <w:t xml:space="preserve"> to the Minister in March 2022, the DFSC has a specific category dedicated to “Morale” as the 5</w:t>
      </w:r>
      <w:r w:rsidRPr="00F2484F">
        <w:rPr>
          <w:rFonts w:ascii="Arial" w:hAnsi="Arial" w:cs="Arial"/>
          <w:sz w:val="20"/>
          <w:szCs w:val="20"/>
          <w:vertAlign w:val="superscript"/>
        </w:rPr>
        <w:t>th</w:t>
      </w:r>
      <w:r w:rsidRPr="00F2484F">
        <w:rPr>
          <w:rFonts w:ascii="Arial" w:hAnsi="Arial" w:cs="Arial"/>
          <w:i/>
          <w:sz w:val="20"/>
          <w:szCs w:val="20"/>
        </w:rPr>
        <w:t xml:space="preserve"> </w:t>
      </w:r>
      <w:r w:rsidRPr="00F2484F">
        <w:rPr>
          <w:rFonts w:ascii="Arial" w:hAnsi="Arial" w:cs="Arial"/>
          <w:sz w:val="20"/>
          <w:szCs w:val="20"/>
        </w:rPr>
        <w:t>Recommendations for decision making by Senior DOD Officials. The recommendation refers to salaries, conditions of service and the revision of policies on conditions of service are cutting across various aspects of morale. The person/section responsible for progress feedback is listed as the Inspectorate Division which has to present and submit the latest Inspectorate Division Report “Attitudes and Opinions of the Personnel in the Department of Defence Regarding Morale.”  It further</w:t>
      </w:r>
      <w:r w:rsidRPr="00F2484F">
        <w:rPr>
          <w:rFonts w:ascii="Arial" w:hAnsi="Arial" w:cs="Arial"/>
          <w:i/>
          <w:sz w:val="20"/>
          <w:szCs w:val="20"/>
        </w:rPr>
        <w:t xml:space="preserve"> </w:t>
      </w:r>
      <w:r w:rsidRPr="00F2484F">
        <w:rPr>
          <w:rFonts w:ascii="Arial" w:hAnsi="Arial" w:cs="Arial"/>
          <w:sz w:val="20"/>
          <w:szCs w:val="20"/>
        </w:rPr>
        <w:t xml:space="preserve">lists the issue of morale when it, for instance, states under the Procurement that the morale of employees can be improved with minor maintenance and repair work in Military Bases and Units. </w:t>
      </w:r>
    </w:p>
    <w:p w:rsidR="00E271D1" w:rsidRPr="00F2484F" w:rsidRDefault="00E271D1" w:rsidP="00F2484F">
      <w:pPr>
        <w:ind w:right="54"/>
        <w:rPr>
          <w:rFonts w:ascii="Arial" w:hAnsi="Arial" w:cs="Arial"/>
          <w:b/>
          <w:sz w:val="20"/>
          <w:szCs w:val="20"/>
        </w:rPr>
      </w:pPr>
      <w:r w:rsidRPr="00F2484F">
        <w:rPr>
          <w:rFonts w:ascii="Arial" w:hAnsi="Arial" w:cs="Arial"/>
          <w:b/>
          <w:sz w:val="20"/>
          <w:szCs w:val="20"/>
        </w:rPr>
        <w:t xml:space="preserve">7. </w:t>
      </w:r>
      <w:r w:rsidRPr="00F2484F">
        <w:rPr>
          <w:rFonts w:ascii="Arial" w:hAnsi="Arial" w:cs="Arial"/>
          <w:b/>
          <w:sz w:val="20"/>
          <w:szCs w:val="20"/>
        </w:rPr>
        <w:tab/>
        <w:t xml:space="preserve">DEFENCE READINESS </w:t>
      </w:r>
    </w:p>
    <w:p w:rsidR="00E271D1" w:rsidRPr="00F2484F" w:rsidRDefault="00E271D1" w:rsidP="00F2484F">
      <w:pPr>
        <w:pStyle w:val="ListParagraph"/>
        <w:ind w:left="0" w:right="54"/>
        <w:rPr>
          <w:rFonts w:ascii="Arial" w:hAnsi="Arial" w:cs="Arial"/>
          <w:sz w:val="20"/>
          <w:szCs w:val="20"/>
        </w:rPr>
      </w:pPr>
    </w:p>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7.1</w:t>
      </w:r>
      <w:r w:rsidRPr="00F2484F">
        <w:rPr>
          <w:rFonts w:ascii="Arial" w:hAnsi="Arial" w:cs="Arial"/>
          <w:b/>
          <w:sz w:val="20"/>
          <w:szCs w:val="20"/>
        </w:rPr>
        <w:tab/>
        <w:t>Legislative directives</w:t>
      </w:r>
    </w:p>
    <w:p w:rsidR="00E271D1" w:rsidRPr="00F2484F" w:rsidRDefault="00E271D1" w:rsidP="00F2484F">
      <w:pPr>
        <w:autoSpaceDE w:val="0"/>
        <w:autoSpaceDN w:val="0"/>
        <w:adjustRightInd w:val="0"/>
        <w:ind w:right="54"/>
        <w:rPr>
          <w:rFonts w:ascii="Arial" w:hAnsi="Arial" w:cs="Arial"/>
          <w:b/>
          <w:sz w:val="20"/>
          <w:szCs w:val="20"/>
        </w:rPr>
      </w:pPr>
    </w:p>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Defence readiness as a principle is derived from the Constitution of 1996 which states in Section 200(2), that the “primary object of the defence force is to defend and protect the Republic, its territorial integrity and its people in accordance with the Constitution and the principles of international law regulating the use of force.” The Defence Act (No. 42 of 2002) reiterates this principal directive contained in the Constitution in Section 2(b). In addition, Section 63 of the Defence Act makes provision for training institutions to ensure defence readiness and preparation. Section 63 (5) of the Defence Act also highlights the importance of the provision and maintenance of training tools and equipment in force preparation.</w:t>
      </w:r>
    </w:p>
    <w:p w:rsidR="00E271D1" w:rsidRPr="00F2484F" w:rsidRDefault="00E271D1" w:rsidP="00F2484F">
      <w:pPr>
        <w:autoSpaceDE w:val="0"/>
        <w:autoSpaceDN w:val="0"/>
        <w:adjustRightInd w:val="0"/>
        <w:ind w:right="54"/>
        <w:rPr>
          <w:rFonts w:ascii="Arial" w:hAnsi="Arial" w:cs="Arial"/>
          <w:b/>
          <w:sz w:val="20"/>
          <w:szCs w:val="20"/>
        </w:rPr>
      </w:pPr>
    </w:p>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7.1</w:t>
      </w:r>
      <w:r w:rsidRPr="00F2484F">
        <w:rPr>
          <w:rFonts w:ascii="Arial" w:hAnsi="Arial" w:cs="Arial"/>
          <w:b/>
          <w:sz w:val="20"/>
          <w:szCs w:val="20"/>
        </w:rPr>
        <w:tab/>
      </w:r>
      <w:r w:rsidR="00E826CF" w:rsidRPr="00F2484F">
        <w:rPr>
          <w:rFonts w:ascii="Arial" w:hAnsi="Arial" w:cs="Arial"/>
          <w:b/>
          <w:sz w:val="20"/>
          <w:szCs w:val="20"/>
        </w:rPr>
        <w:t xml:space="preserve">The </w:t>
      </w:r>
      <w:r w:rsidRPr="00F2484F">
        <w:rPr>
          <w:rFonts w:ascii="Arial" w:hAnsi="Arial" w:cs="Arial"/>
          <w:b/>
          <w:sz w:val="20"/>
          <w:szCs w:val="20"/>
        </w:rPr>
        <w:t>1998 Defence Review</w:t>
      </w:r>
    </w:p>
    <w:p w:rsidR="00E271D1" w:rsidRPr="00F2484F" w:rsidRDefault="00E271D1" w:rsidP="00F2484F">
      <w:pPr>
        <w:autoSpaceDE w:val="0"/>
        <w:autoSpaceDN w:val="0"/>
        <w:adjustRightInd w:val="0"/>
        <w:ind w:right="54"/>
        <w:rPr>
          <w:rFonts w:ascii="Arial" w:hAnsi="Arial" w:cs="Arial"/>
          <w:sz w:val="20"/>
          <w:szCs w:val="20"/>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hAnsi="Arial" w:cs="Arial"/>
          <w:sz w:val="20"/>
          <w:szCs w:val="20"/>
        </w:rPr>
        <w:t>The 1998 Defence Review</w:t>
      </w:r>
      <w:r w:rsidR="00E826CF" w:rsidRPr="00F2484F">
        <w:rPr>
          <w:rFonts w:ascii="Arial" w:hAnsi="Arial" w:cs="Arial"/>
          <w:sz w:val="20"/>
          <w:szCs w:val="20"/>
        </w:rPr>
        <w:t>,</w:t>
      </w:r>
      <w:r w:rsidRPr="00F2484F">
        <w:rPr>
          <w:rFonts w:ascii="Arial" w:hAnsi="Arial" w:cs="Arial"/>
          <w:sz w:val="20"/>
          <w:szCs w:val="20"/>
        </w:rPr>
        <w:t xml:space="preserve"> in </w:t>
      </w:r>
      <w:r w:rsidRPr="00F2484F">
        <w:rPr>
          <w:rFonts w:ascii="Arial" w:eastAsiaTheme="minorHAnsi" w:hAnsi="Arial" w:cs="Arial"/>
          <w:bCs/>
          <w:sz w:val="20"/>
          <w:szCs w:val="20"/>
          <w:lang w:val="en-ZA"/>
        </w:rPr>
        <w:t>Option 4</w:t>
      </w:r>
      <w:r w:rsidR="00E826CF" w:rsidRPr="00F2484F">
        <w:rPr>
          <w:rFonts w:ascii="Arial" w:eastAsiaTheme="minorHAnsi" w:hAnsi="Arial" w:cs="Arial"/>
          <w:bCs/>
          <w:sz w:val="20"/>
          <w:szCs w:val="20"/>
          <w:lang w:val="en-ZA"/>
        </w:rPr>
        <w:t xml:space="preserve"> (</w:t>
      </w:r>
      <w:r w:rsidRPr="00F2484F">
        <w:rPr>
          <w:rFonts w:ascii="Arial" w:eastAsiaTheme="minorHAnsi" w:hAnsi="Arial" w:cs="Arial"/>
          <w:bCs/>
          <w:sz w:val="20"/>
          <w:szCs w:val="20"/>
          <w:lang w:val="en-ZA"/>
        </w:rPr>
        <w:t>Defensive Operational Concept Force Design</w:t>
      </w:r>
      <w:r w:rsidR="00E826CF" w:rsidRPr="00F2484F">
        <w:rPr>
          <w:rFonts w:ascii="Arial" w:eastAsiaTheme="minorHAnsi" w:hAnsi="Arial" w:cs="Arial"/>
          <w:bCs/>
          <w:sz w:val="20"/>
          <w:szCs w:val="20"/>
          <w:lang w:val="en-ZA"/>
        </w:rPr>
        <w:t>)</w:t>
      </w:r>
      <w:r w:rsidR="007B23F8" w:rsidRPr="00F2484F">
        <w:rPr>
          <w:rFonts w:ascii="Arial" w:eastAsiaTheme="minorHAnsi" w:hAnsi="Arial" w:cs="Arial"/>
          <w:bCs/>
          <w:sz w:val="20"/>
          <w:szCs w:val="20"/>
          <w:lang w:val="en-ZA"/>
        </w:rPr>
        <w:t>,</w:t>
      </w:r>
      <w:r w:rsidR="00E826CF" w:rsidRPr="00F2484F">
        <w:rPr>
          <w:rFonts w:ascii="Arial" w:eastAsiaTheme="minorHAnsi" w:hAnsi="Arial" w:cs="Arial"/>
          <w:bCs/>
          <w:sz w:val="20"/>
          <w:szCs w:val="20"/>
          <w:lang w:val="en-ZA"/>
        </w:rPr>
        <w:t xml:space="preserve"> </w:t>
      </w:r>
      <w:r w:rsidRPr="00F2484F">
        <w:rPr>
          <w:rFonts w:ascii="Arial" w:eastAsiaTheme="minorHAnsi" w:hAnsi="Arial" w:cs="Arial"/>
          <w:bCs/>
          <w:sz w:val="20"/>
          <w:szCs w:val="20"/>
          <w:lang w:val="en-ZA"/>
        </w:rPr>
        <w:t>states that for the Defence Force “t</w:t>
      </w:r>
      <w:r w:rsidRPr="00F2484F">
        <w:rPr>
          <w:rFonts w:ascii="Arial" w:eastAsiaTheme="minorHAnsi" w:hAnsi="Arial" w:cs="Arial"/>
          <w:sz w:val="20"/>
          <w:szCs w:val="20"/>
          <w:lang w:val="en-ZA"/>
        </w:rPr>
        <w:t>o remain affordable, lower levels of defence readiness must be accepted. This assumes longer warning periods”</w:t>
      </w:r>
      <w:r w:rsidRPr="00F2484F">
        <w:rPr>
          <w:rStyle w:val="FootnoteReference"/>
          <w:rFonts w:ascii="Arial" w:eastAsiaTheme="minorHAnsi" w:hAnsi="Arial" w:cs="Arial"/>
          <w:sz w:val="20"/>
          <w:szCs w:val="20"/>
          <w:lang w:val="en-ZA"/>
        </w:rPr>
        <w:footnoteReference w:id="43"/>
      </w:r>
      <w:r w:rsidRPr="00F2484F">
        <w:rPr>
          <w:rFonts w:ascii="Arial" w:eastAsiaTheme="minorHAnsi" w:hAnsi="Arial" w:cs="Arial"/>
          <w:sz w:val="20"/>
          <w:szCs w:val="20"/>
          <w:lang w:val="en-ZA"/>
        </w:rPr>
        <w:t xml:space="preserve"> It further states, under the heading “Deterrence”, that South Africa's approach to deterrence revolve around its collective capabilities that should also deter threats to the region as a whole. These Capabilities to neutralise possible threats should be at a level of readiness commensurate with the lead time for such threats to develop. Care must be taken not to open strategic gaps in the capability of the SANDF when reducing force levels. Deterrence will not only be pursued against potential short-term aggression through immediate force readiness.</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eastAsiaTheme="minorHAnsi" w:hAnsi="Arial" w:cs="Arial"/>
          <w:b/>
          <w:sz w:val="20"/>
          <w:szCs w:val="20"/>
          <w:lang w:val="en-ZA"/>
        </w:rPr>
      </w:pPr>
      <w:r w:rsidRPr="00F2484F">
        <w:rPr>
          <w:rFonts w:ascii="Arial" w:eastAsiaTheme="minorHAnsi" w:hAnsi="Arial" w:cs="Arial"/>
          <w:b/>
          <w:sz w:val="20"/>
          <w:szCs w:val="20"/>
          <w:lang w:val="en-ZA"/>
        </w:rPr>
        <w:t>7.</w:t>
      </w:r>
      <w:r w:rsidR="00056C45" w:rsidRPr="00F2484F">
        <w:rPr>
          <w:rFonts w:ascii="Arial" w:eastAsiaTheme="minorHAnsi" w:hAnsi="Arial" w:cs="Arial"/>
          <w:b/>
          <w:sz w:val="20"/>
          <w:szCs w:val="20"/>
          <w:lang w:val="en-ZA"/>
        </w:rPr>
        <w:t>3</w:t>
      </w:r>
      <w:r w:rsidRPr="00F2484F">
        <w:rPr>
          <w:rFonts w:ascii="Arial" w:eastAsiaTheme="minorHAnsi" w:hAnsi="Arial" w:cs="Arial"/>
          <w:b/>
          <w:sz w:val="20"/>
          <w:szCs w:val="20"/>
          <w:lang w:val="en-ZA"/>
        </w:rPr>
        <w:tab/>
      </w:r>
      <w:r w:rsidR="00E826CF" w:rsidRPr="00F2484F">
        <w:rPr>
          <w:rFonts w:ascii="Arial" w:eastAsiaTheme="minorHAnsi" w:hAnsi="Arial" w:cs="Arial"/>
          <w:b/>
          <w:sz w:val="20"/>
          <w:szCs w:val="20"/>
          <w:lang w:val="en-ZA"/>
        </w:rPr>
        <w:t xml:space="preserve">The </w:t>
      </w:r>
      <w:r w:rsidRPr="00F2484F">
        <w:rPr>
          <w:rFonts w:ascii="Arial" w:eastAsiaTheme="minorHAnsi" w:hAnsi="Arial" w:cs="Arial"/>
          <w:b/>
          <w:sz w:val="20"/>
          <w:szCs w:val="20"/>
          <w:lang w:val="en-ZA"/>
        </w:rPr>
        <w:t>2015 Defence Review</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eastAsiaTheme="minorHAnsi" w:hAnsi="Arial" w:cs="Arial"/>
          <w:sz w:val="20"/>
          <w:szCs w:val="20"/>
          <w:lang w:val="en-ZA"/>
        </w:rPr>
      </w:pPr>
      <w:r w:rsidRPr="00F2484F">
        <w:rPr>
          <w:rFonts w:ascii="Arial" w:eastAsiaTheme="minorHAnsi" w:hAnsi="Arial" w:cs="Arial"/>
          <w:sz w:val="20"/>
          <w:szCs w:val="20"/>
          <w:lang w:val="en-ZA"/>
        </w:rPr>
        <w:t>The 2015 Defence Review similarly expresses itself of defence readiness as the Chairperson of the Defence Review Committee states, in his Foreword, that the achievement of the blueprint force design will be critically informed by available resources and developments in the strategic environment. Resource constraints will be ameliorated by adjusting levels of readiness, balancing core-growth with operational necessity and through a careful mix of Regulars and Reserves within the one-force approach.</w:t>
      </w:r>
      <w:r w:rsidRPr="00F2484F">
        <w:rPr>
          <w:rStyle w:val="FootnoteReference"/>
          <w:rFonts w:ascii="Arial" w:eastAsiaTheme="minorHAnsi" w:hAnsi="Arial" w:cs="Arial"/>
          <w:sz w:val="20"/>
          <w:szCs w:val="20"/>
          <w:lang w:val="en-ZA"/>
        </w:rPr>
        <w:footnoteReference w:id="44"/>
      </w:r>
      <w:r w:rsidRPr="00F2484F">
        <w:rPr>
          <w:rFonts w:ascii="Arial" w:eastAsiaTheme="minorHAnsi" w:hAnsi="Arial" w:cs="Arial"/>
          <w:sz w:val="20"/>
          <w:szCs w:val="20"/>
          <w:lang w:val="en-ZA"/>
        </w:rPr>
        <w:t xml:space="preserve"> Crucially, its states in Chapter 9 </w:t>
      </w:r>
      <w:r w:rsidR="00DD7E97" w:rsidRPr="00F2484F">
        <w:rPr>
          <w:rFonts w:ascii="Arial" w:eastAsiaTheme="minorHAnsi" w:hAnsi="Arial" w:cs="Arial"/>
          <w:sz w:val="20"/>
          <w:szCs w:val="20"/>
          <w:lang w:val="en-ZA"/>
        </w:rPr>
        <w:t>(</w:t>
      </w:r>
      <w:r w:rsidRPr="00F2484F">
        <w:rPr>
          <w:rFonts w:ascii="Arial" w:eastAsiaTheme="minorHAnsi" w:hAnsi="Arial" w:cs="Arial"/>
          <w:sz w:val="20"/>
          <w:szCs w:val="20"/>
          <w:lang w:val="en-ZA"/>
        </w:rPr>
        <w:t>Defence Strategic Trajectory</w:t>
      </w:r>
      <w:r w:rsidR="00DD7E97" w:rsidRPr="00F2484F">
        <w:rPr>
          <w:rFonts w:ascii="Arial" w:eastAsiaTheme="minorHAnsi" w:hAnsi="Arial" w:cs="Arial"/>
          <w:sz w:val="20"/>
          <w:szCs w:val="20"/>
          <w:lang w:val="en-ZA"/>
        </w:rPr>
        <w:t>),</w:t>
      </w:r>
      <w:r w:rsidRPr="00F2484F">
        <w:rPr>
          <w:rFonts w:ascii="Arial" w:eastAsiaTheme="minorHAnsi" w:hAnsi="Arial" w:cs="Arial"/>
          <w:sz w:val="20"/>
          <w:szCs w:val="20"/>
          <w:lang w:val="en-ZA"/>
        </w:rPr>
        <w:t xml:space="preserve"> that:</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DD7E97" w:rsidP="00F2484F">
      <w:pPr>
        <w:tabs>
          <w:tab w:val="left" w:pos="9498"/>
        </w:tabs>
        <w:autoSpaceDE w:val="0"/>
        <w:autoSpaceDN w:val="0"/>
        <w:adjustRightInd w:val="0"/>
        <w:ind w:left="284" w:right="338"/>
        <w:rPr>
          <w:rFonts w:ascii="Arial" w:eastAsiaTheme="minorHAnsi" w:hAnsi="Arial" w:cs="Arial"/>
          <w:sz w:val="20"/>
          <w:szCs w:val="20"/>
          <w:lang w:val="en-ZA"/>
        </w:rPr>
      </w:pPr>
      <w:r w:rsidRPr="00F2484F">
        <w:rPr>
          <w:rFonts w:ascii="Arial" w:eastAsiaTheme="minorHAnsi" w:hAnsi="Arial" w:cs="Arial"/>
          <w:sz w:val="20"/>
          <w:szCs w:val="20"/>
          <w:lang w:val="en-ZA"/>
        </w:rPr>
        <w:t>“</w:t>
      </w:r>
      <w:r w:rsidR="00E271D1" w:rsidRPr="00F2484F">
        <w:rPr>
          <w:rFonts w:ascii="Arial" w:eastAsiaTheme="minorHAnsi" w:hAnsi="Arial" w:cs="Arial"/>
          <w:sz w:val="20"/>
          <w:szCs w:val="20"/>
          <w:lang w:val="en-ZA"/>
        </w:rPr>
        <w:t>The operating budget must provide the funding to enable the Defence Force to sustain itself at the strength and readiness levels that are required to meet standing tasks and identified contingencies as developed from Defence Policy, as well as the additional operational costs incurred in respect of standing tasks. The operating budget must, therefore, provide steady funding to cover:</w:t>
      </w:r>
    </w:p>
    <w:p w:rsidR="00E271D1" w:rsidRPr="00F2484F" w:rsidRDefault="00E271D1" w:rsidP="00F2484F">
      <w:pPr>
        <w:tabs>
          <w:tab w:val="left" w:pos="9498"/>
        </w:tabs>
        <w:autoSpaceDE w:val="0"/>
        <w:autoSpaceDN w:val="0"/>
        <w:adjustRightInd w:val="0"/>
        <w:ind w:left="284" w:right="338"/>
        <w:rPr>
          <w:rFonts w:ascii="Arial" w:eastAsiaTheme="minorHAnsi" w:hAnsi="Arial" w:cs="Arial"/>
          <w:sz w:val="20"/>
          <w:szCs w:val="20"/>
          <w:lang w:val="en-ZA"/>
        </w:rPr>
      </w:pPr>
    </w:p>
    <w:p w:rsidR="00E271D1" w:rsidRPr="00F2484F" w:rsidRDefault="00E271D1" w:rsidP="00F2484F">
      <w:pPr>
        <w:pStyle w:val="ListParagraph"/>
        <w:numPr>
          <w:ilvl w:val="0"/>
          <w:numId w:val="11"/>
        </w:numPr>
        <w:autoSpaceDE w:val="0"/>
        <w:autoSpaceDN w:val="0"/>
        <w:adjustRightInd w:val="0"/>
        <w:ind w:left="1134" w:right="196" w:hanging="501"/>
        <w:rPr>
          <w:rFonts w:ascii="Arial" w:eastAsiaTheme="minorHAnsi" w:hAnsi="Arial" w:cs="Arial"/>
          <w:sz w:val="20"/>
          <w:szCs w:val="20"/>
          <w:lang w:val="en-ZA"/>
        </w:rPr>
      </w:pPr>
      <w:r w:rsidRPr="00F2484F">
        <w:rPr>
          <w:rFonts w:ascii="Arial" w:eastAsiaTheme="minorHAnsi" w:hAnsi="Arial" w:cs="Arial"/>
          <w:sz w:val="20"/>
          <w:szCs w:val="20"/>
          <w:lang w:val="en-ZA"/>
        </w:rPr>
        <w:t>Personnel costs (salaries and allowances; accommodation; health support; etc);</w:t>
      </w:r>
    </w:p>
    <w:p w:rsidR="00E271D1" w:rsidRPr="00F2484F" w:rsidRDefault="00E271D1" w:rsidP="00F2484F">
      <w:pPr>
        <w:pStyle w:val="ListParagraph"/>
        <w:numPr>
          <w:ilvl w:val="0"/>
          <w:numId w:val="11"/>
        </w:numPr>
        <w:autoSpaceDE w:val="0"/>
        <w:autoSpaceDN w:val="0"/>
        <w:adjustRightInd w:val="0"/>
        <w:ind w:left="1134" w:right="196" w:hanging="501"/>
        <w:rPr>
          <w:rFonts w:ascii="Arial" w:eastAsiaTheme="minorHAnsi" w:hAnsi="Arial" w:cs="Arial"/>
          <w:sz w:val="20"/>
          <w:szCs w:val="20"/>
          <w:lang w:val="en-ZA"/>
        </w:rPr>
      </w:pPr>
      <w:r w:rsidRPr="00F2484F">
        <w:rPr>
          <w:rFonts w:ascii="Arial" w:eastAsiaTheme="minorHAnsi" w:hAnsi="Arial" w:cs="Arial"/>
          <w:sz w:val="20"/>
          <w:szCs w:val="20"/>
          <w:lang w:val="en-ZA"/>
        </w:rPr>
        <w:t>Personnel development costs (education, training, development; etc);</w:t>
      </w:r>
    </w:p>
    <w:p w:rsidR="00E271D1" w:rsidRPr="00F2484F" w:rsidRDefault="00E271D1" w:rsidP="00F2484F">
      <w:pPr>
        <w:pStyle w:val="ListParagraph"/>
        <w:numPr>
          <w:ilvl w:val="0"/>
          <w:numId w:val="11"/>
        </w:numPr>
        <w:autoSpaceDE w:val="0"/>
        <w:autoSpaceDN w:val="0"/>
        <w:adjustRightInd w:val="0"/>
        <w:ind w:left="1134" w:right="196" w:hanging="501"/>
        <w:rPr>
          <w:rFonts w:ascii="Arial" w:eastAsiaTheme="minorHAnsi" w:hAnsi="Arial" w:cs="Arial"/>
          <w:sz w:val="20"/>
          <w:szCs w:val="20"/>
          <w:lang w:val="en-ZA"/>
        </w:rPr>
      </w:pPr>
      <w:r w:rsidRPr="00F2484F">
        <w:rPr>
          <w:rFonts w:ascii="Arial" w:eastAsiaTheme="minorHAnsi" w:hAnsi="Arial" w:cs="Arial"/>
          <w:sz w:val="20"/>
          <w:szCs w:val="20"/>
          <w:lang w:val="en-ZA"/>
        </w:rPr>
        <w:t>Unit, formation, joint and multinational field training exercises;</w:t>
      </w:r>
    </w:p>
    <w:p w:rsidR="00E271D1" w:rsidRPr="00F2484F" w:rsidRDefault="00E271D1" w:rsidP="00F2484F">
      <w:pPr>
        <w:pStyle w:val="ListParagraph"/>
        <w:numPr>
          <w:ilvl w:val="0"/>
          <w:numId w:val="11"/>
        </w:numPr>
        <w:autoSpaceDE w:val="0"/>
        <w:autoSpaceDN w:val="0"/>
        <w:adjustRightInd w:val="0"/>
        <w:ind w:left="1134" w:right="196" w:hanging="501"/>
        <w:rPr>
          <w:rFonts w:ascii="Arial" w:eastAsiaTheme="minorHAnsi" w:hAnsi="Arial" w:cs="Arial"/>
          <w:sz w:val="20"/>
          <w:szCs w:val="20"/>
          <w:lang w:val="en-ZA"/>
        </w:rPr>
      </w:pPr>
      <w:r w:rsidRPr="00F2484F">
        <w:rPr>
          <w:rFonts w:ascii="Arial" w:eastAsiaTheme="minorHAnsi" w:hAnsi="Arial" w:cs="Arial"/>
          <w:sz w:val="20"/>
          <w:szCs w:val="20"/>
          <w:lang w:val="en-ZA"/>
        </w:rPr>
        <w:t>Maintenance, repair and overhaul costs in respect of equipment and systems;</w:t>
      </w:r>
    </w:p>
    <w:p w:rsidR="00E271D1" w:rsidRPr="00F2484F" w:rsidRDefault="00E271D1" w:rsidP="00F2484F">
      <w:pPr>
        <w:pStyle w:val="ListParagraph"/>
        <w:numPr>
          <w:ilvl w:val="0"/>
          <w:numId w:val="11"/>
        </w:numPr>
        <w:autoSpaceDE w:val="0"/>
        <w:autoSpaceDN w:val="0"/>
        <w:adjustRightInd w:val="0"/>
        <w:ind w:left="1134" w:right="196" w:hanging="501"/>
        <w:rPr>
          <w:rFonts w:ascii="Arial" w:eastAsiaTheme="minorHAnsi" w:hAnsi="Arial" w:cs="Arial"/>
          <w:sz w:val="20"/>
          <w:szCs w:val="20"/>
          <w:lang w:val="en-ZA"/>
        </w:rPr>
      </w:pPr>
      <w:r w:rsidRPr="00F2484F">
        <w:rPr>
          <w:rFonts w:ascii="Arial" w:eastAsiaTheme="minorHAnsi" w:hAnsi="Arial" w:cs="Arial"/>
          <w:sz w:val="20"/>
          <w:szCs w:val="20"/>
          <w:lang w:val="en-ZA"/>
        </w:rPr>
        <w:t xml:space="preserve">Modernisation of equipment and systems; </w:t>
      </w:r>
    </w:p>
    <w:p w:rsidR="00E271D1" w:rsidRPr="00F2484F" w:rsidRDefault="00E271D1" w:rsidP="00F2484F">
      <w:pPr>
        <w:pStyle w:val="ListParagraph"/>
        <w:numPr>
          <w:ilvl w:val="0"/>
          <w:numId w:val="11"/>
        </w:numPr>
        <w:autoSpaceDE w:val="0"/>
        <w:autoSpaceDN w:val="0"/>
        <w:adjustRightInd w:val="0"/>
        <w:ind w:left="1134" w:right="196" w:hanging="501"/>
        <w:rPr>
          <w:rFonts w:ascii="Arial" w:eastAsiaTheme="minorHAnsi" w:hAnsi="Arial" w:cs="Arial"/>
          <w:sz w:val="20"/>
          <w:szCs w:val="20"/>
          <w:lang w:val="en-ZA"/>
        </w:rPr>
      </w:pPr>
      <w:r w:rsidRPr="00F2484F">
        <w:rPr>
          <w:rFonts w:ascii="Arial" w:eastAsiaTheme="minorHAnsi" w:hAnsi="Arial" w:cs="Arial"/>
          <w:sz w:val="20"/>
          <w:szCs w:val="20"/>
          <w:lang w:val="en-ZA"/>
        </w:rPr>
        <w:lastRenderedPageBreak/>
        <w:t>Maintenance, repair and refurbishment costs in respect of facilities; and</w:t>
      </w:r>
    </w:p>
    <w:p w:rsidR="00E271D1" w:rsidRPr="00F2484F" w:rsidRDefault="00E271D1" w:rsidP="00F2484F">
      <w:pPr>
        <w:pStyle w:val="ListParagraph"/>
        <w:numPr>
          <w:ilvl w:val="0"/>
          <w:numId w:val="11"/>
        </w:numPr>
        <w:autoSpaceDE w:val="0"/>
        <w:autoSpaceDN w:val="0"/>
        <w:adjustRightInd w:val="0"/>
        <w:ind w:left="1134" w:right="196" w:hanging="501"/>
        <w:rPr>
          <w:rFonts w:ascii="Arial" w:eastAsiaTheme="minorHAnsi" w:hAnsi="Arial" w:cs="Arial"/>
          <w:sz w:val="20"/>
          <w:szCs w:val="20"/>
          <w:lang w:val="en-ZA"/>
        </w:rPr>
      </w:pPr>
      <w:r w:rsidRPr="00F2484F">
        <w:rPr>
          <w:rFonts w:ascii="Arial" w:eastAsiaTheme="minorHAnsi" w:hAnsi="Arial" w:cs="Arial"/>
          <w:sz w:val="20"/>
          <w:szCs w:val="20"/>
          <w:lang w:val="en-ZA"/>
        </w:rPr>
        <w:t xml:space="preserve">The additional operational costs incurred in respect of standing tasks.” </w:t>
      </w:r>
    </w:p>
    <w:p w:rsidR="00E271D1" w:rsidRPr="00F2484F" w:rsidRDefault="00E271D1" w:rsidP="00F2484F">
      <w:pPr>
        <w:autoSpaceDE w:val="0"/>
        <w:autoSpaceDN w:val="0"/>
        <w:adjustRightInd w:val="0"/>
        <w:ind w:right="54"/>
        <w:rPr>
          <w:rFonts w:ascii="Arial" w:eastAsiaTheme="minorHAnsi" w:hAnsi="Arial" w:cs="Arial"/>
          <w:sz w:val="20"/>
          <w:szCs w:val="20"/>
          <w:lang w:val="en-ZA"/>
        </w:rPr>
      </w:pPr>
    </w:p>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7.</w:t>
      </w:r>
      <w:r w:rsidR="00056C45" w:rsidRPr="00F2484F">
        <w:rPr>
          <w:rFonts w:ascii="Arial" w:hAnsi="Arial" w:cs="Arial"/>
          <w:b/>
          <w:sz w:val="20"/>
          <w:szCs w:val="20"/>
        </w:rPr>
        <w:t>4</w:t>
      </w:r>
      <w:r w:rsidRPr="00F2484F">
        <w:rPr>
          <w:rFonts w:ascii="Arial" w:hAnsi="Arial" w:cs="Arial"/>
          <w:b/>
          <w:sz w:val="20"/>
          <w:szCs w:val="20"/>
        </w:rPr>
        <w:tab/>
        <w:t>Defence Committee observations</w:t>
      </w:r>
      <w:r w:rsidR="007B23F8" w:rsidRPr="00F2484F">
        <w:rPr>
          <w:rFonts w:ascii="Arial" w:hAnsi="Arial" w:cs="Arial"/>
          <w:b/>
          <w:sz w:val="20"/>
          <w:szCs w:val="20"/>
        </w:rPr>
        <w:t xml:space="preserve"> on defence readiness</w:t>
      </w:r>
    </w:p>
    <w:p w:rsidR="00E271D1" w:rsidRPr="00F2484F" w:rsidRDefault="00E271D1" w:rsidP="00F2484F">
      <w:pPr>
        <w:autoSpaceDE w:val="0"/>
        <w:autoSpaceDN w:val="0"/>
        <w:adjustRightInd w:val="0"/>
        <w:ind w:right="54"/>
        <w:rPr>
          <w:rFonts w:ascii="Arial" w:hAnsi="Arial" w:cs="Arial"/>
          <w:b/>
          <w:sz w:val="20"/>
          <w:szCs w:val="20"/>
        </w:rPr>
      </w:pPr>
    </w:p>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During the 6</w:t>
      </w:r>
      <w:r w:rsidRPr="00F2484F">
        <w:rPr>
          <w:rFonts w:ascii="Arial" w:hAnsi="Arial" w:cs="Arial"/>
          <w:sz w:val="20"/>
          <w:szCs w:val="20"/>
          <w:vertAlign w:val="superscript"/>
        </w:rPr>
        <w:t>th</w:t>
      </w:r>
      <w:r w:rsidRPr="00F2484F">
        <w:rPr>
          <w:rFonts w:ascii="Arial" w:hAnsi="Arial" w:cs="Arial"/>
          <w:sz w:val="20"/>
          <w:szCs w:val="20"/>
        </w:rPr>
        <w:t xml:space="preserve"> Parliament, both Defence Committees have engaged in oversight of defence matters that impact directly on defence readiness. These observations are captured in the sections below.</w:t>
      </w:r>
    </w:p>
    <w:p w:rsidR="00E271D1" w:rsidRPr="00F2484F" w:rsidRDefault="00E271D1" w:rsidP="00F2484F">
      <w:pPr>
        <w:autoSpaceDE w:val="0"/>
        <w:autoSpaceDN w:val="0"/>
        <w:adjustRightInd w:val="0"/>
        <w:ind w:right="54"/>
        <w:rPr>
          <w:rFonts w:ascii="Arial" w:hAnsi="Arial" w:cs="Arial"/>
          <w:sz w:val="20"/>
          <w:szCs w:val="20"/>
        </w:rPr>
      </w:pPr>
    </w:p>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7.</w:t>
      </w:r>
      <w:r w:rsidR="00056C45" w:rsidRPr="00F2484F">
        <w:rPr>
          <w:rFonts w:ascii="Arial" w:hAnsi="Arial" w:cs="Arial"/>
          <w:b/>
          <w:sz w:val="20"/>
          <w:szCs w:val="20"/>
        </w:rPr>
        <w:t>4</w:t>
      </w:r>
      <w:r w:rsidRPr="00F2484F">
        <w:rPr>
          <w:rFonts w:ascii="Arial" w:hAnsi="Arial" w:cs="Arial"/>
          <w:b/>
          <w:sz w:val="20"/>
          <w:szCs w:val="20"/>
        </w:rPr>
        <w:t>.1</w:t>
      </w:r>
      <w:r w:rsidRPr="00F2484F">
        <w:rPr>
          <w:rFonts w:ascii="Arial" w:hAnsi="Arial" w:cs="Arial"/>
          <w:b/>
          <w:sz w:val="20"/>
          <w:szCs w:val="20"/>
        </w:rPr>
        <w:tab/>
        <w:t>Increased reliance on the SANDF</w:t>
      </w:r>
      <w:r w:rsidRPr="00F2484F">
        <w:rPr>
          <w:rFonts w:ascii="Arial" w:hAnsi="Arial" w:cs="Arial"/>
          <w:b/>
          <w:sz w:val="20"/>
          <w:szCs w:val="20"/>
        </w:rPr>
        <w:tab/>
      </w:r>
    </w:p>
    <w:p w:rsidR="00E271D1" w:rsidRPr="00F2484F" w:rsidRDefault="00E271D1" w:rsidP="00F2484F">
      <w:pPr>
        <w:autoSpaceDE w:val="0"/>
        <w:autoSpaceDN w:val="0"/>
        <w:adjustRightInd w:val="0"/>
        <w:ind w:right="54"/>
        <w:rPr>
          <w:rFonts w:ascii="Arial" w:hAnsi="Arial" w:cs="Arial"/>
          <w:sz w:val="20"/>
          <w:szCs w:val="20"/>
        </w:rPr>
      </w:pPr>
    </w:p>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The JSCD has noted, during the period preceding the 6</w:t>
      </w:r>
      <w:r w:rsidRPr="00F2484F">
        <w:rPr>
          <w:rFonts w:ascii="Arial" w:hAnsi="Arial" w:cs="Arial"/>
          <w:sz w:val="20"/>
          <w:szCs w:val="20"/>
          <w:vertAlign w:val="superscript"/>
        </w:rPr>
        <w:t>th</w:t>
      </w:r>
      <w:r w:rsidRPr="00F2484F">
        <w:rPr>
          <w:rFonts w:ascii="Arial" w:hAnsi="Arial" w:cs="Arial"/>
          <w:sz w:val="20"/>
          <w:szCs w:val="20"/>
        </w:rPr>
        <w:t xml:space="preserve"> Parliament</w:t>
      </w:r>
      <w:r w:rsidR="00DD7E97" w:rsidRPr="00F2484F">
        <w:rPr>
          <w:rFonts w:ascii="Arial" w:hAnsi="Arial" w:cs="Arial"/>
          <w:sz w:val="20"/>
          <w:szCs w:val="20"/>
        </w:rPr>
        <w:t>,</w:t>
      </w:r>
      <w:r w:rsidRPr="00F2484F">
        <w:rPr>
          <w:rFonts w:ascii="Arial" w:hAnsi="Arial" w:cs="Arial"/>
          <w:sz w:val="20"/>
          <w:szCs w:val="20"/>
        </w:rPr>
        <w:t xml:space="preserve"> and increasingly so since 2019, an </w:t>
      </w:r>
      <w:r w:rsidR="00DD7E97" w:rsidRPr="00F2484F">
        <w:rPr>
          <w:rFonts w:ascii="Arial" w:hAnsi="Arial" w:cs="Arial"/>
          <w:sz w:val="20"/>
          <w:szCs w:val="20"/>
        </w:rPr>
        <w:t>amplified</w:t>
      </w:r>
      <w:r w:rsidRPr="00F2484F">
        <w:rPr>
          <w:rFonts w:ascii="Arial" w:hAnsi="Arial" w:cs="Arial"/>
          <w:sz w:val="20"/>
          <w:szCs w:val="20"/>
        </w:rPr>
        <w:t xml:space="preserve"> reliance on the SANDF for internal support to other government departments a</w:t>
      </w:r>
      <w:r w:rsidR="00DD7E97" w:rsidRPr="00F2484F">
        <w:rPr>
          <w:rFonts w:ascii="Arial" w:hAnsi="Arial" w:cs="Arial"/>
          <w:sz w:val="20"/>
          <w:szCs w:val="20"/>
        </w:rPr>
        <w:t>s well as</w:t>
      </w:r>
      <w:r w:rsidRPr="00F2484F">
        <w:rPr>
          <w:rFonts w:ascii="Arial" w:hAnsi="Arial" w:cs="Arial"/>
          <w:sz w:val="20"/>
          <w:szCs w:val="20"/>
        </w:rPr>
        <w:t xml:space="preserve"> external conventional military support. During the 6</w:t>
      </w:r>
      <w:r w:rsidRPr="00F2484F">
        <w:rPr>
          <w:rFonts w:ascii="Arial" w:hAnsi="Arial" w:cs="Arial"/>
          <w:sz w:val="20"/>
          <w:szCs w:val="20"/>
          <w:vertAlign w:val="superscript"/>
        </w:rPr>
        <w:t>th</w:t>
      </w:r>
      <w:r w:rsidRPr="00F2484F">
        <w:rPr>
          <w:rFonts w:ascii="Arial" w:hAnsi="Arial" w:cs="Arial"/>
          <w:sz w:val="20"/>
          <w:szCs w:val="20"/>
        </w:rPr>
        <w:t xml:space="preserve"> Parliament, the JSCD has considered presidential letters of deployment related to, </w:t>
      </w:r>
      <w:r w:rsidRPr="00F2484F">
        <w:rPr>
          <w:rFonts w:ascii="Arial" w:hAnsi="Arial" w:cs="Arial"/>
          <w:i/>
          <w:sz w:val="20"/>
          <w:szCs w:val="20"/>
        </w:rPr>
        <w:t>inter alia</w:t>
      </w:r>
      <w:r w:rsidRPr="00F2484F">
        <w:rPr>
          <w:rFonts w:ascii="Arial" w:hAnsi="Arial" w:cs="Arial"/>
          <w:sz w:val="20"/>
          <w:szCs w:val="20"/>
        </w:rPr>
        <w:t>, the following internal SANDF deployments:</w:t>
      </w:r>
    </w:p>
    <w:p w:rsidR="00E271D1" w:rsidRPr="00F2484F" w:rsidRDefault="00E271D1" w:rsidP="00F2484F">
      <w:pPr>
        <w:autoSpaceDE w:val="0"/>
        <w:autoSpaceDN w:val="0"/>
        <w:adjustRightInd w:val="0"/>
        <w:ind w:right="54"/>
        <w:rPr>
          <w:rFonts w:ascii="Arial" w:hAnsi="Arial" w:cs="Arial"/>
          <w:sz w:val="20"/>
          <w:szCs w:val="20"/>
        </w:rPr>
      </w:pPr>
    </w:p>
    <w:p w:rsidR="00E271D1" w:rsidRPr="00F2484F" w:rsidRDefault="00E271D1" w:rsidP="00F2484F">
      <w:pPr>
        <w:pStyle w:val="ListParagraph"/>
        <w:numPr>
          <w:ilvl w:val="0"/>
          <w:numId w:val="5"/>
        </w:numPr>
        <w:autoSpaceDE w:val="0"/>
        <w:autoSpaceDN w:val="0"/>
        <w:adjustRightInd w:val="0"/>
        <w:ind w:right="54"/>
        <w:rPr>
          <w:rFonts w:ascii="Arial" w:hAnsi="Arial" w:cs="Arial"/>
          <w:bCs/>
          <w:sz w:val="20"/>
          <w:szCs w:val="20"/>
        </w:rPr>
      </w:pPr>
      <w:r w:rsidRPr="00F2484F">
        <w:rPr>
          <w:rFonts w:ascii="Arial" w:hAnsi="Arial" w:cs="Arial"/>
          <w:bCs/>
          <w:sz w:val="20"/>
          <w:szCs w:val="20"/>
        </w:rPr>
        <w:t>The 2018 to 2019 deployment of SANDF engineers to address the pollution of the Vaal River.</w:t>
      </w:r>
    </w:p>
    <w:p w:rsidR="00E271D1" w:rsidRPr="00F2484F" w:rsidRDefault="00E271D1" w:rsidP="00F2484F">
      <w:pPr>
        <w:pStyle w:val="ListParagraph"/>
        <w:numPr>
          <w:ilvl w:val="0"/>
          <w:numId w:val="5"/>
        </w:numPr>
        <w:autoSpaceDE w:val="0"/>
        <w:autoSpaceDN w:val="0"/>
        <w:adjustRightInd w:val="0"/>
        <w:ind w:right="54"/>
        <w:rPr>
          <w:rFonts w:ascii="Arial" w:hAnsi="Arial" w:cs="Arial"/>
          <w:bCs/>
          <w:sz w:val="20"/>
          <w:szCs w:val="20"/>
        </w:rPr>
      </w:pPr>
      <w:r w:rsidRPr="00F2484F">
        <w:rPr>
          <w:rFonts w:ascii="Arial" w:hAnsi="Arial" w:cs="Arial"/>
          <w:bCs/>
          <w:sz w:val="20"/>
          <w:szCs w:val="20"/>
        </w:rPr>
        <w:t>The 2019 deployment with the SA Police Service to combat crime in the Western Cape.</w:t>
      </w:r>
    </w:p>
    <w:p w:rsidR="00E271D1" w:rsidRPr="00F2484F" w:rsidRDefault="00E271D1" w:rsidP="00F2484F">
      <w:pPr>
        <w:pStyle w:val="ListParagraph"/>
        <w:numPr>
          <w:ilvl w:val="0"/>
          <w:numId w:val="5"/>
        </w:numPr>
        <w:autoSpaceDE w:val="0"/>
        <w:autoSpaceDN w:val="0"/>
        <w:adjustRightInd w:val="0"/>
        <w:ind w:right="54"/>
        <w:rPr>
          <w:rFonts w:ascii="Arial" w:hAnsi="Arial" w:cs="Arial"/>
          <w:bCs/>
          <w:sz w:val="20"/>
          <w:szCs w:val="20"/>
        </w:rPr>
      </w:pPr>
      <w:r w:rsidRPr="00F2484F">
        <w:rPr>
          <w:rFonts w:ascii="Arial" w:hAnsi="Arial" w:cs="Arial"/>
          <w:bCs/>
          <w:sz w:val="20"/>
          <w:szCs w:val="20"/>
        </w:rPr>
        <w:t>Several largescale deployments in 2020 and 2021 as part of efforts to combat the Covid-19 pandemic.</w:t>
      </w:r>
    </w:p>
    <w:p w:rsidR="00E271D1" w:rsidRPr="00F2484F" w:rsidRDefault="00E271D1" w:rsidP="00F2484F">
      <w:pPr>
        <w:pStyle w:val="ListParagraph"/>
        <w:numPr>
          <w:ilvl w:val="0"/>
          <w:numId w:val="5"/>
        </w:numPr>
        <w:autoSpaceDE w:val="0"/>
        <w:autoSpaceDN w:val="0"/>
        <w:adjustRightInd w:val="0"/>
        <w:ind w:right="54"/>
        <w:rPr>
          <w:rFonts w:ascii="Arial" w:hAnsi="Arial" w:cs="Arial"/>
          <w:bCs/>
          <w:sz w:val="20"/>
          <w:szCs w:val="20"/>
        </w:rPr>
      </w:pPr>
      <w:r w:rsidRPr="00F2484F">
        <w:rPr>
          <w:rFonts w:ascii="Arial" w:hAnsi="Arial" w:cs="Arial"/>
          <w:bCs/>
          <w:sz w:val="20"/>
          <w:szCs w:val="20"/>
        </w:rPr>
        <w:t>Largescale deployments in 2021 to Gauteng and KwaZulu-Natal in response to widespread civil unrest.</w:t>
      </w:r>
    </w:p>
    <w:p w:rsidR="00E271D1" w:rsidRPr="00F2484F" w:rsidRDefault="00E271D1" w:rsidP="00F2484F">
      <w:pPr>
        <w:pStyle w:val="ListParagraph"/>
        <w:numPr>
          <w:ilvl w:val="0"/>
          <w:numId w:val="5"/>
        </w:numPr>
        <w:autoSpaceDE w:val="0"/>
        <w:autoSpaceDN w:val="0"/>
        <w:adjustRightInd w:val="0"/>
        <w:ind w:right="54"/>
        <w:rPr>
          <w:rFonts w:ascii="Arial" w:hAnsi="Arial" w:cs="Arial"/>
          <w:bCs/>
          <w:sz w:val="20"/>
          <w:szCs w:val="20"/>
        </w:rPr>
      </w:pPr>
      <w:r w:rsidRPr="00F2484F">
        <w:rPr>
          <w:rFonts w:ascii="Arial" w:hAnsi="Arial" w:cs="Arial"/>
          <w:bCs/>
          <w:sz w:val="20"/>
          <w:szCs w:val="20"/>
        </w:rPr>
        <w:t>The 2022 deployments to KwaZulu-Natal following flooding in the province.</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 xml:space="preserve">The above deployments were in addition to the SANDF’s standing deployment of 15 sub-units for the purpose of border safeguarding of South Africa’s land borders. </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Furthermore, the JSCD has also considered several external deployments that the SANDF participates in, including (1) the continued provision of roughly 1 000 soldiers to the UN Peacekeeping Operation in the DRC, (2) the provision of roughly 1 450 soldiers to the Southern African Development Community (SADC) military mission in Mozambique, and (3) the provision of 200 soldiers as well as naval and/or air assets for operations to safeguard the Mozambican Channel.</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80D93"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It must be noted that internal deployments of the SANDF in support of the P</w:t>
      </w:r>
      <w:r w:rsidR="007B6E25" w:rsidRPr="00F2484F">
        <w:rPr>
          <w:rFonts w:ascii="Arial" w:hAnsi="Arial" w:cs="Arial"/>
          <w:bCs/>
          <w:sz w:val="20"/>
          <w:szCs w:val="20"/>
        </w:rPr>
        <w:t>olice or other government d</w:t>
      </w:r>
      <w:r w:rsidRPr="00F2484F">
        <w:rPr>
          <w:rFonts w:ascii="Arial" w:hAnsi="Arial" w:cs="Arial"/>
          <w:bCs/>
          <w:sz w:val="20"/>
          <w:szCs w:val="20"/>
        </w:rPr>
        <w:t xml:space="preserve">epartments is aligned to its Constitutional mandate of the Force. </w:t>
      </w:r>
      <w:r w:rsidR="00117E34" w:rsidRPr="00F2484F">
        <w:rPr>
          <w:rFonts w:ascii="Arial" w:hAnsi="Arial" w:cs="Arial"/>
          <w:bCs/>
          <w:sz w:val="20"/>
          <w:szCs w:val="20"/>
        </w:rPr>
        <w:t>However, t</w:t>
      </w:r>
      <w:r w:rsidR="00550AA0" w:rsidRPr="00F2484F">
        <w:rPr>
          <w:rFonts w:ascii="Arial" w:hAnsi="Arial" w:cs="Arial"/>
          <w:bCs/>
          <w:sz w:val="20"/>
          <w:szCs w:val="20"/>
        </w:rPr>
        <w:t>he SANDF may not be fully suited, trained, funded and equipped for these internal deployments. I</w:t>
      </w:r>
      <w:r w:rsidR="00E271D1" w:rsidRPr="00F2484F">
        <w:rPr>
          <w:rFonts w:ascii="Arial" w:hAnsi="Arial" w:cs="Arial"/>
          <w:bCs/>
          <w:sz w:val="20"/>
          <w:szCs w:val="20"/>
        </w:rPr>
        <w:t>ncreased deployments of the SANDF</w:t>
      </w:r>
      <w:r w:rsidR="00550AA0" w:rsidRPr="00F2484F">
        <w:rPr>
          <w:rFonts w:ascii="Arial" w:hAnsi="Arial" w:cs="Arial"/>
          <w:bCs/>
          <w:sz w:val="20"/>
          <w:szCs w:val="20"/>
        </w:rPr>
        <w:t xml:space="preserve"> under these condition</w:t>
      </w:r>
      <w:r w:rsidR="00E271D1" w:rsidRPr="00F2484F">
        <w:rPr>
          <w:rFonts w:ascii="Arial" w:hAnsi="Arial" w:cs="Arial"/>
          <w:bCs/>
          <w:sz w:val="20"/>
          <w:szCs w:val="20"/>
        </w:rPr>
        <w:t xml:space="preserve"> place significant strain on the force to maintain high levels of defence readiness.</w:t>
      </w:r>
      <w:r w:rsidR="00550AA0" w:rsidRPr="00F2484F">
        <w:rPr>
          <w:rFonts w:ascii="Arial" w:hAnsi="Arial" w:cs="Arial"/>
          <w:bCs/>
          <w:sz w:val="20"/>
          <w:szCs w:val="20"/>
        </w:rPr>
        <w:t xml:space="preserve"> </w:t>
      </w:r>
      <w:r w:rsidR="00E271D1" w:rsidRPr="00F2484F">
        <w:rPr>
          <w:rFonts w:ascii="Arial" w:hAnsi="Arial" w:cs="Arial"/>
          <w:bCs/>
          <w:sz w:val="20"/>
          <w:szCs w:val="20"/>
        </w:rPr>
        <w:t xml:space="preserve">It also impacts negatively on training schedules as well the DOD’s budget. In addition, equipment and other hardware utilised in such deployments have a reduced lifespan and requires often costly repair and maintenance or replacement. </w:t>
      </w:r>
      <w:r w:rsidR="00A70DC2" w:rsidRPr="00F2484F">
        <w:rPr>
          <w:rFonts w:ascii="Arial" w:hAnsi="Arial" w:cs="Arial"/>
          <w:bCs/>
          <w:sz w:val="20"/>
          <w:szCs w:val="20"/>
        </w:rPr>
        <w:t>These concerns are aggravated given that, in many instances, the levels of reimbursement that the DOD receives for deployments are not fully aligned to actual expenditure</w:t>
      </w:r>
      <w:r w:rsidR="00117E34" w:rsidRPr="00F2484F">
        <w:rPr>
          <w:rFonts w:ascii="Arial" w:hAnsi="Arial" w:cs="Arial"/>
          <w:bCs/>
          <w:sz w:val="20"/>
          <w:szCs w:val="20"/>
        </w:rPr>
        <w:t>, or reimbursements received very late in the financial year impacting on budgeting and planning</w:t>
      </w:r>
      <w:r w:rsidR="00A70DC2" w:rsidRPr="00F2484F">
        <w:rPr>
          <w:rFonts w:ascii="Arial" w:hAnsi="Arial" w:cs="Arial"/>
          <w:bCs/>
          <w:sz w:val="20"/>
          <w:szCs w:val="20"/>
        </w:rPr>
        <w:t xml:space="preserve">. </w:t>
      </w:r>
      <w:r w:rsidR="00E271D1" w:rsidRPr="00F2484F">
        <w:rPr>
          <w:rFonts w:ascii="Arial" w:hAnsi="Arial" w:cs="Arial"/>
          <w:bCs/>
          <w:sz w:val="20"/>
          <w:szCs w:val="20"/>
        </w:rPr>
        <w:t xml:space="preserve">Extended and regular internal non-military deployments further </w:t>
      </w:r>
      <w:r w:rsidR="007B23F8" w:rsidRPr="00F2484F">
        <w:rPr>
          <w:rFonts w:ascii="Arial" w:hAnsi="Arial" w:cs="Arial"/>
          <w:bCs/>
          <w:sz w:val="20"/>
          <w:szCs w:val="20"/>
        </w:rPr>
        <w:t xml:space="preserve">have the potential to </w:t>
      </w:r>
      <w:r w:rsidR="00E271D1" w:rsidRPr="00F2484F">
        <w:rPr>
          <w:rFonts w:ascii="Arial" w:hAnsi="Arial" w:cs="Arial"/>
          <w:bCs/>
          <w:sz w:val="20"/>
          <w:szCs w:val="20"/>
        </w:rPr>
        <w:t>detract from efforts of the SANDF to maintain a conventional military defence-readiness posture.</w:t>
      </w:r>
    </w:p>
    <w:p w:rsidR="00550AA0" w:rsidRPr="00F2484F" w:rsidRDefault="00550AA0" w:rsidP="00F2484F">
      <w:pPr>
        <w:autoSpaceDE w:val="0"/>
        <w:autoSpaceDN w:val="0"/>
        <w:adjustRightInd w:val="0"/>
        <w:ind w:right="54"/>
        <w:rPr>
          <w:rFonts w:ascii="Arial" w:hAnsi="Arial" w:cs="Arial"/>
          <w:bCs/>
          <w:sz w:val="20"/>
          <w:szCs w:val="20"/>
        </w:rPr>
      </w:pPr>
    </w:p>
    <w:p w:rsidR="00550AA0" w:rsidRPr="00F2484F" w:rsidRDefault="00550AA0" w:rsidP="00F2484F">
      <w:pPr>
        <w:autoSpaceDE w:val="0"/>
        <w:autoSpaceDN w:val="0"/>
        <w:adjustRightInd w:val="0"/>
        <w:ind w:right="54"/>
        <w:rPr>
          <w:rFonts w:ascii="Arial" w:hAnsi="Arial" w:cs="Arial"/>
          <w:bCs/>
          <w:sz w:val="20"/>
          <w:szCs w:val="20"/>
        </w:rPr>
      </w:pPr>
    </w:p>
    <w:p w:rsidR="00550AA0" w:rsidRPr="00F2484F" w:rsidRDefault="00550AA0"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7.</w:t>
      </w:r>
      <w:r w:rsidR="00056C45" w:rsidRPr="00F2484F">
        <w:rPr>
          <w:rFonts w:ascii="Arial" w:hAnsi="Arial" w:cs="Arial"/>
          <w:b/>
          <w:bCs/>
          <w:sz w:val="20"/>
          <w:szCs w:val="20"/>
        </w:rPr>
        <w:t>4</w:t>
      </w:r>
      <w:r w:rsidRPr="00F2484F">
        <w:rPr>
          <w:rFonts w:ascii="Arial" w:hAnsi="Arial" w:cs="Arial"/>
          <w:b/>
          <w:bCs/>
          <w:sz w:val="20"/>
          <w:szCs w:val="20"/>
        </w:rPr>
        <w:t>.2</w:t>
      </w:r>
      <w:r w:rsidRPr="00F2484F">
        <w:rPr>
          <w:rFonts w:ascii="Arial" w:hAnsi="Arial" w:cs="Arial"/>
          <w:b/>
          <w:bCs/>
          <w:sz w:val="20"/>
          <w:szCs w:val="20"/>
        </w:rPr>
        <w:tab/>
        <w:t xml:space="preserve">The impact of a </w:t>
      </w:r>
      <w:r w:rsidR="00550AA0" w:rsidRPr="00F2484F">
        <w:rPr>
          <w:rFonts w:ascii="Arial" w:hAnsi="Arial" w:cs="Arial"/>
          <w:b/>
          <w:bCs/>
          <w:sz w:val="20"/>
          <w:szCs w:val="20"/>
        </w:rPr>
        <w:t>decreasing</w:t>
      </w:r>
      <w:r w:rsidRPr="00F2484F">
        <w:rPr>
          <w:rFonts w:ascii="Arial" w:hAnsi="Arial" w:cs="Arial"/>
          <w:b/>
          <w:bCs/>
          <w:sz w:val="20"/>
          <w:szCs w:val="20"/>
        </w:rPr>
        <w:t xml:space="preserve"> defence budget</w:t>
      </w:r>
    </w:p>
    <w:p w:rsidR="00E271D1" w:rsidRPr="00F2484F" w:rsidRDefault="00E271D1" w:rsidP="00F2484F">
      <w:pPr>
        <w:autoSpaceDE w:val="0"/>
        <w:autoSpaceDN w:val="0"/>
        <w:adjustRightInd w:val="0"/>
        <w:ind w:right="54"/>
        <w:rPr>
          <w:rFonts w:ascii="Arial" w:hAnsi="Arial" w:cs="Arial"/>
          <w:b/>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 xml:space="preserve">The Defence Committees have observed a </w:t>
      </w:r>
      <w:r w:rsidR="00550AA0" w:rsidRPr="00F2484F">
        <w:rPr>
          <w:rFonts w:ascii="Arial" w:hAnsi="Arial" w:cs="Arial"/>
          <w:bCs/>
          <w:sz w:val="20"/>
          <w:szCs w:val="20"/>
        </w:rPr>
        <w:t>decreasing</w:t>
      </w:r>
      <w:r w:rsidRPr="00F2484F">
        <w:rPr>
          <w:rFonts w:ascii="Arial" w:hAnsi="Arial" w:cs="Arial"/>
          <w:bCs/>
          <w:sz w:val="20"/>
          <w:szCs w:val="20"/>
        </w:rPr>
        <w:t xml:space="preserve"> defence budget during the 6</w:t>
      </w:r>
      <w:r w:rsidRPr="00F2484F">
        <w:rPr>
          <w:rFonts w:ascii="Arial" w:hAnsi="Arial" w:cs="Arial"/>
          <w:bCs/>
          <w:sz w:val="20"/>
          <w:szCs w:val="20"/>
          <w:vertAlign w:val="superscript"/>
        </w:rPr>
        <w:t>th</w:t>
      </w:r>
      <w:r w:rsidRPr="00F2484F">
        <w:rPr>
          <w:rFonts w:ascii="Arial" w:hAnsi="Arial" w:cs="Arial"/>
          <w:bCs/>
          <w:sz w:val="20"/>
          <w:szCs w:val="20"/>
        </w:rPr>
        <w:t xml:space="preserve"> Parliament</w:t>
      </w:r>
      <w:r w:rsidR="00550AA0" w:rsidRPr="00F2484F">
        <w:rPr>
          <w:rFonts w:ascii="Arial" w:hAnsi="Arial" w:cs="Arial"/>
          <w:bCs/>
          <w:sz w:val="20"/>
          <w:szCs w:val="20"/>
        </w:rPr>
        <w:t xml:space="preserve"> (in real terms)</w:t>
      </w:r>
      <w:r w:rsidRPr="00F2484F">
        <w:rPr>
          <w:rFonts w:ascii="Arial" w:hAnsi="Arial" w:cs="Arial"/>
          <w:bCs/>
          <w:sz w:val="20"/>
          <w:szCs w:val="20"/>
        </w:rPr>
        <w:t>. The allocation to the DOD has grown only marginally from R47.865 billion in 2018/19 to R49.090 billion in 2022/23.</w:t>
      </w:r>
      <w:r w:rsidRPr="00F2484F">
        <w:rPr>
          <w:rStyle w:val="FootnoteReference"/>
          <w:rFonts w:ascii="Arial" w:hAnsi="Arial" w:cs="Arial"/>
          <w:bCs/>
          <w:sz w:val="20"/>
          <w:szCs w:val="20"/>
        </w:rPr>
        <w:footnoteReference w:id="45"/>
      </w:r>
      <w:r w:rsidRPr="00F2484F">
        <w:rPr>
          <w:rFonts w:ascii="Arial" w:hAnsi="Arial" w:cs="Arial"/>
          <w:bCs/>
          <w:sz w:val="20"/>
          <w:szCs w:val="20"/>
        </w:rPr>
        <w:t xml:space="preserve"> In real terms, as adjusted for inflation, this signifies a significant reduction in the country’s defence allocation. Over the MTEF, the defence allocation is expected to grow by only 0.3%, signifying a continued real percentage reduction in the allocation.</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lastRenderedPageBreak/>
        <w:t xml:space="preserve">Defence spending should also be seen in the broader context of spending as a percentage of Gross Domestic Product (GDP). This provides an indication of the country’s prioritisation of defence spending. South Africa’s defence spending falls well below the norm adopted by many states of 2% </w:t>
      </w:r>
      <w:r w:rsidR="00B82DB5" w:rsidRPr="00F2484F">
        <w:rPr>
          <w:rFonts w:ascii="Arial" w:hAnsi="Arial" w:cs="Arial"/>
          <w:bCs/>
          <w:sz w:val="20"/>
          <w:szCs w:val="20"/>
        </w:rPr>
        <w:t xml:space="preserve">of </w:t>
      </w:r>
      <w:r w:rsidRPr="00F2484F">
        <w:rPr>
          <w:rFonts w:ascii="Arial" w:hAnsi="Arial" w:cs="Arial"/>
          <w:bCs/>
          <w:sz w:val="20"/>
          <w:szCs w:val="20"/>
        </w:rPr>
        <w:t>GDP spending on defence. South Africa also compares poorly in regional terms in terms of defence spending as a percentage of GDP, with the current defence allocation comprising only 0.76% of GDP.</w:t>
      </w:r>
    </w:p>
    <w:p w:rsidR="00E271D1" w:rsidRPr="00F2484F" w:rsidRDefault="00E271D1" w:rsidP="00F2484F">
      <w:pPr>
        <w:autoSpaceDE w:val="0"/>
        <w:autoSpaceDN w:val="0"/>
        <w:adjustRightInd w:val="0"/>
        <w:ind w:right="54"/>
        <w:rPr>
          <w:rFonts w:ascii="Arial" w:hAnsi="Arial" w:cs="Arial"/>
          <w:bCs/>
          <w:sz w:val="20"/>
          <w:szCs w:val="20"/>
        </w:rPr>
      </w:pPr>
    </w:p>
    <w:tbl>
      <w:tblPr>
        <w:tblStyle w:val="TableGrid"/>
        <w:tblW w:w="0" w:type="auto"/>
        <w:tblLook w:val="04A0"/>
      </w:tblPr>
      <w:tblGrid>
        <w:gridCol w:w="2689"/>
        <w:gridCol w:w="1417"/>
        <w:gridCol w:w="1559"/>
        <w:gridCol w:w="1418"/>
        <w:gridCol w:w="1417"/>
        <w:gridCol w:w="1467"/>
      </w:tblGrid>
      <w:tr w:rsidR="00E271D1" w:rsidRPr="00F2484F" w:rsidTr="00422D99">
        <w:tc>
          <w:tcPr>
            <w:tcW w:w="2689" w:type="dxa"/>
            <w:shd w:val="clear" w:color="auto" w:fill="5B9BD5" w:themeFill="accent1"/>
          </w:tcPr>
          <w:p w:rsidR="00E271D1" w:rsidRPr="00F2484F" w:rsidRDefault="00E271D1" w:rsidP="00F2484F">
            <w:pPr>
              <w:autoSpaceDE w:val="0"/>
              <w:autoSpaceDN w:val="0"/>
              <w:adjustRightInd w:val="0"/>
              <w:ind w:right="54"/>
              <w:rPr>
                <w:rFonts w:ascii="Arial" w:hAnsi="Arial" w:cs="Arial"/>
                <w:b/>
                <w:bCs/>
                <w:sz w:val="20"/>
                <w:szCs w:val="20"/>
              </w:rPr>
            </w:pPr>
          </w:p>
        </w:tc>
        <w:tc>
          <w:tcPr>
            <w:tcW w:w="1417" w:type="dxa"/>
            <w:shd w:val="clear" w:color="auto" w:fill="5B9BD5" w:themeFill="accent1"/>
          </w:tcPr>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2018/19</w:t>
            </w:r>
          </w:p>
        </w:tc>
        <w:tc>
          <w:tcPr>
            <w:tcW w:w="1559" w:type="dxa"/>
            <w:shd w:val="clear" w:color="auto" w:fill="5B9BD5" w:themeFill="accent1"/>
          </w:tcPr>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2019/20</w:t>
            </w:r>
          </w:p>
        </w:tc>
        <w:tc>
          <w:tcPr>
            <w:tcW w:w="1418" w:type="dxa"/>
            <w:shd w:val="clear" w:color="auto" w:fill="5B9BD5" w:themeFill="accent1"/>
          </w:tcPr>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2020/21</w:t>
            </w:r>
          </w:p>
        </w:tc>
        <w:tc>
          <w:tcPr>
            <w:tcW w:w="1417" w:type="dxa"/>
            <w:shd w:val="clear" w:color="auto" w:fill="5B9BD5" w:themeFill="accent1"/>
          </w:tcPr>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2021/22</w:t>
            </w:r>
          </w:p>
        </w:tc>
        <w:tc>
          <w:tcPr>
            <w:tcW w:w="1467" w:type="dxa"/>
            <w:shd w:val="clear" w:color="auto" w:fill="5B9BD5" w:themeFill="accent1"/>
          </w:tcPr>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2022/23</w:t>
            </w:r>
          </w:p>
        </w:tc>
      </w:tr>
      <w:tr w:rsidR="00E271D1" w:rsidRPr="00F2484F" w:rsidTr="00422D99">
        <w:tc>
          <w:tcPr>
            <w:tcW w:w="2689" w:type="dxa"/>
            <w:shd w:val="clear" w:color="auto" w:fill="5B9BD5" w:themeFill="accent1"/>
          </w:tcPr>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DOD Allocation</w:t>
            </w:r>
          </w:p>
          <w:p w:rsidR="00E271D1" w:rsidRPr="00F2484F" w:rsidRDefault="00E271D1" w:rsidP="00F2484F">
            <w:pPr>
              <w:autoSpaceDE w:val="0"/>
              <w:autoSpaceDN w:val="0"/>
              <w:adjustRightInd w:val="0"/>
              <w:ind w:right="54"/>
              <w:rPr>
                <w:rFonts w:ascii="Arial" w:hAnsi="Arial" w:cs="Arial"/>
                <w:b/>
                <w:bCs/>
                <w:sz w:val="20"/>
                <w:szCs w:val="20"/>
              </w:rPr>
            </w:pPr>
          </w:p>
        </w:tc>
        <w:tc>
          <w:tcPr>
            <w:tcW w:w="1417"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R47.865 bn</w:t>
            </w:r>
          </w:p>
        </w:tc>
        <w:tc>
          <w:tcPr>
            <w:tcW w:w="1559"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R50.230 bn</w:t>
            </w:r>
          </w:p>
        </w:tc>
        <w:tc>
          <w:tcPr>
            <w:tcW w:w="1418"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R54.086 bn</w:t>
            </w:r>
          </w:p>
        </w:tc>
        <w:tc>
          <w:tcPr>
            <w:tcW w:w="1417"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R48.796 bn</w:t>
            </w:r>
          </w:p>
        </w:tc>
        <w:tc>
          <w:tcPr>
            <w:tcW w:w="1467"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R49.090 bn</w:t>
            </w:r>
          </w:p>
        </w:tc>
      </w:tr>
      <w:tr w:rsidR="00E271D1" w:rsidRPr="00F2484F" w:rsidTr="00422D99">
        <w:trPr>
          <w:trHeight w:val="50"/>
        </w:trPr>
        <w:tc>
          <w:tcPr>
            <w:tcW w:w="2689" w:type="dxa"/>
            <w:shd w:val="clear" w:color="auto" w:fill="5B9BD5" w:themeFill="accent1"/>
          </w:tcPr>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Defence spending as % of GDP</w:t>
            </w:r>
          </w:p>
        </w:tc>
        <w:tc>
          <w:tcPr>
            <w:tcW w:w="1417"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0.95%</w:t>
            </w:r>
          </w:p>
        </w:tc>
        <w:tc>
          <w:tcPr>
            <w:tcW w:w="1559"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0.92%</w:t>
            </w:r>
          </w:p>
        </w:tc>
        <w:tc>
          <w:tcPr>
            <w:tcW w:w="1418"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0.99%</w:t>
            </w:r>
          </w:p>
        </w:tc>
        <w:tc>
          <w:tcPr>
            <w:tcW w:w="1417"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0.91%</w:t>
            </w:r>
          </w:p>
        </w:tc>
        <w:tc>
          <w:tcPr>
            <w:tcW w:w="1467" w:type="dxa"/>
            <w:shd w:val="clear" w:color="auto" w:fill="E7E6E6" w:themeFill="background2"/>
          </w:tcPr>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0.76%</w:t>
            </w:r>
          </w:p>
        </w:tc>
      </w:tr>
    </w:tbl>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Table 6</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A real percentage reduction in the defence allocation has a direct negative impact on defence readiness as it diminishes the funds available for key readiness activities, notably training, operations and the acquisition and maintenance of relevant equipment.</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The reduced defence allocation also impacts negatively on the domestic defence industry, which is a crucial contributor to defence readiness. The lack of a vibrant and self-sustaining defence industry in any country should be seen as a conventional military limitation as it makes such a military force reliant on international arms imports. The JSCD has interacted extensively with the South African Defence Industry during the 6</w:t>
      </w:r>
      <w:r w:rsidRPr="00F2484F">
        <w:rPr>
          <w:rFonts w:ascii="Arial" w:hAnsi="Arial" w:cs="Arial"/>
          <w:bCs/>
          <w:sz w:val="20"/>
          <w:szCs w:val="20"/>
          <w:vertAlign w:val="superscript"/>
        </w:rPr>
        <w:t>th</w:t>
      </w:r>
      <w:r w:rsidRPr="00F2484F">
        <w:rPr>
          <w:rFonts w:ascii="Arial" w:hAnsi="Arial" w:cs="Arial"/>
          <w:bCs/>
          <w:sz w:val="20"/>
          <w:szCs w:val="20"/>
        </w:rPr>
        <w:t xml:space="preserve"> Parliament and has noted that the industry relies almost exclusively on exportation for its income due to a lack of acquisition by the SANDF. Concerns around Denel has had a negative impact on the defence industry as a whole</w:t>
      </w:r>
      <w:r w:rsidR="007B23F8" w:rsidRPr="00F2484F">
        <w:rPr>
          <w:rFonts w:ascii="Arial" w:hAnsi="Arial" w:cs="Arial"/>
          <w:bCs/>
          <w:sz w:val="20"/>
          <w:szCs w:val="20"/>
        </w:rPr>
        <w:t>,</w:t>
      </w:r>
      <w:r w:rsidRPr="00F2484F">
        <w:rPr>
          <w:rFonts w:ascii="Arial" w:hAnsi="Arial" w:cs="Arial"/>
          <w:bCs/>
          <w:sz w:val="20"/>
          <w:szCs w:val="20"/>
        </w:rPr>
        <w:t xml:space="preserve"> with many smaller suppliers reliant on Denel for subcontracting. Without the realignment of Denel and the Defence Industry as a whole, the domestic defence industry runs the risk of losing key sovereign capabilities which impacts on defence readiness.</w:t>
      </w:r>
    </w:p>
    <w:p w:rsidR="00E271D1" w:rsidRPr="00F2484F" w:rsidRDefault="00E271D1" w:rsidP="00F2484F">
      <w:pPr>
        <w:autoSpaceDE w:val="0"/>
        <w:autoSpaceDN w:val="0"/>
        <w:adjustRightInd w:val="0"/>
        <w:ind w:right="54"/>
        <w:rPr>
          <w:rFonts w:ascii="Arial" w:hAnsi="Arial" w:cs="Arial"/>
          <w:b/>
          <w:bCs/>
          <w:sz w:val="20"/>
          <w:szCs w:val="20"/>
        </w:rPr>
      </w:pPr>
    </w:p>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7.</w:t>
      </w:r>
      <w:r w:rsidR="00056C45" w:rsidRPr="00F2484F">
        <w:rPr>
          <w:rFonts w:ascii="Arial" w:hAnsi="Arial" w:cs="Arial"/>
          <w:b/>
          <w:bCs/>
          <w:sz w:val="20"/>
          <w:szCs w:val="20"/>
        </w:rPr>
        <w:t>4</w:t>
      </w:r>
      <w:r w:rsidRPr="00F2484F">
        <w:rPr>
          <w:rFonts w:ascii="Arial" w:hAnsi="Arial" w:cs="Arial"/>
          <w:b/>
          <w:bCs/>
          <w:sz w:val="20"/>
          <w:szCs w:val="20"/>
        </w:rPr>
        <w:t>.3</w:t>
      </w:r>
      <w:r w:rsidRPr="00F2484F">
        <w:rPr>
          <w:rFonts w:ascii="Arial" w:hAnsi="Arial" w:cs="Arial"/>
          <w:b/>
          <w:bCs/>
          <w:sz w:val="20"/>
          <w:szCs w:val="20"/>
        </w:rPr>
        <w:tab/>
        <w:t>The increasing misalignment of defence expenditure</w:t>
      </w:r>
    </w:p>
    <w:p w:rsidR="00E271D1" w:rsidRPr="00F2484F" w:rsidRDefault="00E271D1" w:rsidP="00F2484F">
      <w:pPr>
        <w:autoSpaceDE w:val="0"/>
        <w:autoSpaceDN w:val="0"/>
        <w:adjustRightInd w:val="0"/>
        <w:ind w:right="54"/>
        <w:rPr>
          <w:rFonts w:ascii="Arial" w:hAnsi="Arial" w:cs="Arial"/>
          <w:b/>
          <w:bCs/>
          <w:sz w:val="20"/>
          <w:szCs w:val="20"/>
        </w:rPr>
      </w:pPr>
    </w:p>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 xml:space="preserve">The 1998 Defence Review pegged the defence personnel budget at 40% of the total budget with 30% to be spent on operating costs and the remaining 30% to be spent on capital costs (40:30:30 ratio). However, the </w:t>
      </w:r>
      <w:r w:rsidRPr="00F2484F">
        <w:rPr>
          <w:rFonts w:ascii="Arial" w:hAnsi="Arial" w:cs="Arial"/>
          <w:bCs/>
          <w:sz w:val="20"/>
          <w:szCs w:val="20"/>
        </w:rPr>
        <w:t xml:space="preserve">2015 Defence Review found that this was only maintained until 2009/10, </w:t>
      </w:r>
      <w:r w:rsidRPr="00F2484F">
        <w:rPr>
          <w:rFonts w:ascii="Arial" w:hAnsi="Arial" w:cs="Arial"/>
          <w:sz w:val="20"/>
          <w:szCs w:val="20"/>
        </w:rPr>
        <w:t xml:space="preserve">where after personnel spending, as a percentage of the defence budget, climbed substantially beyond the envisaged 40% of </w:t>
      </w:r>
      <w:r w:rsidR="00B82DB5" w:rsidRPr="00F2484F">
        <w:rPr>
          <w:rFonts w:ascii="Arial" w:hAnsi="Arial" w:cs="Arial"/>
          <w:sz w:val="20"/>
          <w:szCs w:val="20"/>
        </w:rPr>
        <w:t xml:space="preserve">the budgetary </w:t>
      </w:r>
      <w:r w:rsidRPr="00F2484F">
        <w:rPr>
          <w:rFonts w:ascii="Arial" w:hAnsi="Arial" w:cs="Arial"/>
          <w:sz w:val="20"/>
          <w:szCs w:val="20"/>
        </w:rPr>
        <w:t>allocation to 55% by 2011 (See Figure 1).</w:t>
      </w:r>
      <w:r w:rsidRPr="00F2484F">
        <w:rPr>
          <w:rStyle w:val="FootnoteReference"/>
          <w:rFonts w:ascii="Arial" w:hAnsi="Arial" w:cs="Arial"/>
          <w:sz w:val="20"/>
          <w:szCs w:val="20"/>
        </w:rPr>
        <w:footnoteReference w:id="46"/>
      </w:r>
    </w:p>
    <w:p w:rsidR="007B23F8" w:rsidRPr="00F2484F" w:rsidRDefault="007B23F8" w:rsidP="00F2484F">
      <w:pPr>
        <w:autoSpaceDE w:val="0"/>
        <w:autoSpaceDN w:val="0"/>
        <w:adjustRightInd w:val="0"/>
        <w:ind w:right="54"/>
        <w:rPr>
          <w:rFonts w:ascii="Arial" w:hAnsi="Arial" w:cs="Arial"/>
          <w:sz w:val="20"/>
          <w:szCs w:val="20"/>
        </w:rPr>
      </w:pPr>
    </w:p>
    <w:p w:rsidR="007B23F8" w:rsidRPr="00F2484F" w:rsidRDefault="007B23F8"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The PCDMV and JSCD have, in the 6</w:t>
      </w:r>
      <w:r w:rsidRPr="00F2484F">
        <w:rPr>
          <w:rFonts w:ascii="Arial" w:hAnsi="Arial" w:cs="Arial"/>
          <w:bCs/>
          <w:sz w:val="20"/>
          <w:szCs w:val="20"/>
          <w:vertAlign w:val="superscript"/>
        </w:rPr>
        <w:t>th</w:t>
      </w:r>
      <w:r w:rsidRPr="00F2484F">
        <w:rPr>
          <w:rFonts w:ascii="Arial" w:hAnsi="Arial" w:cs="Arial"/>
          <w:bCs/>
          <w:sz w:val="20"/>
          <w:szCs w:val="20"/>
        </w:rPr>
        <w:t xml:space="preserve"> Parliament, noted the further deterioration of this defence spending trajectory. By 2022, the DOD is expected to spend 68.7% of its allocation on CoE. The implication thereof is a significant reduction in funds available for spending on operations and equipment. Given the high operational demand of the SANDF and the increased spending on CoE, this leaves little funds available for equipment maintenance, upgrades and acquisition, which impacts negatively on defence readiness.</w:t>
      </w:r>
    </w:p>
    <w:p w:rsidR="007B23F8" w:rsidRPr="00F2484F" w:rsidRDefault="007B23F8" w:rsidP="00F2484F">
      <w:pPr>
        <w:autoSpaceDE w:val="0"/>
        <w:autoSpaceDN w:val="0"/>
        <w:adjustRightInd w:val="0"/>
        <w:ind w:right="54"/>
        <w:rPr>
          <w:rFonts w:ascii="Arial" w:hAnsi="Arial" w:cs="Arial"/>
          <w:sz w:val="20"/>
          <w:szCs w:val="20"/>
        </w:rPr>
      </w:pPr>
    </w:p>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Figure 1: 2015 Defence Review illustration of misaligned spending since 2010</w:t>
      </w: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noProof/>
          <w:sz w:val="20"/>
          <w:szCs w:val="20"/>
          <w:lang w:val="en-US"/>
        </w:rPr>
        <w:lastRenderedPageBreak/>
        <w:drawing>
          <wp:inline distT="0" distB="0" distL="0" distR="0">
            <wp:extent cx="5409561" cy="2120793"/>
            <wp:effectExtent l="19050" t="19050" r="2032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65877" cy="2142871"/>
                    </a:xfrm>
                    <a:prstGeom prst="rect">
                      <a:avLst/>
                    </a:prstGeom>
                    <a:noFill/>
                    <a:ln>
                      <a:solidFill>
                        <a:schemeClr val="tx1"/>
                      </a:solidFill>
                    </a:ln>
                  </pic:spPr>
                </pic:pic>
              </a:graphicData>
            </a:graphic>
          </wp:inline>
        </w:drawing>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 xml:space="preserve">It should be noted that both Defence Committees have placed emphasis on the misaligned spending of the DOD and made efforts to address this. The PCDMV has made several suggestions to National Treasury for the reinstatement of a Mobility Exit Mechanism (MEM) to reduce the number of personnel in the DOD and in so doing stabilise CoE expenditure. National Treasury </w:t>
      </w:r>
      <w:r w:rsidR="008D4FDE" w:rsidRPr="00F2484F">
        <w:rPr>
          <w:rFonts w:ascii="Arial" w:hAnsi="Arial" w:cs="Arial"/>
          <w:bCs/>
          <w:sz w:val="20"/>
          <w:szCs w:val="20"/>
        </w:rPr>
        <w:t xml:space="preserve">ultimately </w:t>
      </w:r>
      <w:r w:rsidRPr="00F2484F">
        <w:rPr>
          <w:rFonts w:ascii="Arial" w:hAnsi="Arial" w:cs="Arial"/>
          <w:bCs/>
          <w:sz w:val="20"/>
          <w:szCs w:val="20"/>
        </w:rPr>
        <w:t>acceded to the Committee’s recommendation in the Budgetary Review and Recommendations Report (BRRR) and allocated R1.8 billion to the MEM initiative in 2022/23 and 2023/24. The PCDMV further held dedicated meetings with the DOD regarding plans to reduce irregular expenditure on CoE above the CoE ceiling imposed by National Treasury. Such initiatives include limiting military intakes to every second year, capping operational allowances, reducing Reserve Force man-days and re-introducing the Mobility Exit Mechanism. The DOD presented plans to stabilise CoE expenditure within three years by 2024/25.</w:t>
      </w:r>
      <w:r w:rsidRPr="00F2484F">
        <w:rPr>
          <w:rStyle w:val="FootnoteReference"/>
          <w:rFonts w:ascii="Arial" w:hAnsi="Arial" w:cs="Arial"/>
          <w:bCs/>
          <w:sz w:val="20"/>
          <w:szCs w:val="20"/>
        </w:rPr>
        <w:footnoteReference w:id="47"/>
      </w:r>
      <w:r w:rsidRPr="00F2484F">
        <w:rPr>
          <w:rFonts w:ascii="Arial" w:hAnsi="Arial" w:cs="Arial"/>
          <w:bCs/>
          <w:sz w:val="20"/>
          <w:szCs w:val="20"/>
        </w:rPr>
        <w:t xml:space="preserve"> Furthermore, the JSCD has held engagements on the matter of succession planning to ensure a better managed SANDF personnel structure commensurate with the financial limitations of the department. This remain</w:t>
      </w:r>
      <w:r w:rsidR="008D4FDE" w:rsidRPr="00F2484F">
        <w:rPr>
          <w:rFonts w:ascii="Arial" w:hAnsi="Arial" w:cs="Arial"/>
          <w:bCs/>
          <w:sz w:val="20"/>
          <w:szCs w:val="20"/>
        </w:rPr>
        <w:t>s</w:t>
      </w:r>
      <w:r w:rsidRPr="00F2484F">
        <w:rPr>
          <w:rFonts w:ascii="Arial" w:hAnsi="Arial" w:cs="Arial"/>
          <w:bCs/>
          <w:sz w:val="20"/>
          <w:szCs w:val="20"/>
        </w:rPr>
        <w:t xml:space="preserve"> an </w:t>
      </w:r>
      <w:r w:rsidR="00117E34" w:rsidRPr="00F2484F">
        <w:rPr>
          <w:rFonts w:ascii="Arial" w:hAnsi="Arial" w:cs="Arial"/>
          <w:bCs/>
          <w:sz w:val="20"/>
          <w:szCs w:val="20"/>
        </w:rPr>
        <w:t xml:space="preserve">area in </w:t>
      </w:r>
      <w:r w:rsidRPr="00F2484F">
        <w:rPr>
          <w:rFonts w:ascii="Arial" w:hAnsi="Arial" w:cs="Arial"/>
          <w:bCs/>
          <w:sz w:val="20"/>
          <w:szCs w:val="20"/>
        </w:rPr>
        <w:t xml:space="preserve">ongoing </w:t>
      </w:r>
      <w:r w:rsidR="00117E34" w:rsidRPr="00F2484F">
        <w:rPr>
          <w:rFonts w:ascii="Arial" w:hAnsi="Arial" w:cs="Arial"/>
          <w:bCs/>
          <w:sz w:val="20"/>
          <w:szCs w:val="20"/>
        </w:rPr>
        <w:t>need</w:t>
      </w:r>
      <w:r w:rsidRPr="00F2484F">
        <w:rPr>
          <w:rFonts w:ascii="Arial" w:hAnsi="Arial" w:cs="Arial"/>
          <w:bCs/>
          <w:sz w:val="20"/>
          <w:szCs w:val="20"/>
        </w:rPr>
        <w:t xml:space="preserve"> of oversight.</w:t>
      </w:r>
    </w:p>
    <w:p w:rsidR="00E271D1" w:rsidRPr="00F2484F" w:rsidRDefault="00E271D1" w:rsidP="00F2484F">
      <w:pPr>
        <w:autoSpaceDE w:val="0"/>
        <w:autoSpaceDN w:val="0"/>
        <w:adjustRightInd w:val="0"/>
        <w:ind w:right="54"/>
        <w:rPr>
          <w:rFonts w:ascii="Arial" w:hAnsi="Arial" w:cs="Arial"/>
          <w:bCs/>
          <w:color w:val="2C302C"/>
          <w:sz w:val="20"/>
          <w:szCs w:val="20"/>
        </w:rPr>
      </w:pPr>
    </w:p>
    <w:p w:rsidR="00E271D1" w:rsidRPr="00F2484F" w:rsidRDefault="00E271D1" w:rsidP="00F2484F">
      <w:pPr>
        <w:autoSpaceDE w:val="0"/>
        <w:autoSpaceDN w:val="0"/>
        <w:adjustRightInd w:val="0"/>
        <w:ind w:right="54"/>
        <w:rPr>
          <w:rFonts w:ascii="Arial" w:hAnsi="Arial" w:cs="Arial"/>
          <w:b/>
          <w:bCs/>
          <w:sz w:val="20"/>
          <w:szCs w:val="20"/>
        </w:rPr>
      </w:pPr>
      <w:r w:rsidRPr="00F2484F">
        <w:rPr>
          <w:rFonts w:ascii="Arial" w:hAnsi="Arial" w:cs="Arial"/>
          <w:b/>
          <w:bCs/>
          <w:sz w:val="20"/>
          <w:szCs w:val="20"/>
        </w:rPr>
        <w:t>7.</w:t>
      </w:r>
      <w:r w:rsidR="00056C45" w:rsidRPr="00F2484F">
        <w:rPr>
          <w:rFonts w:ascii="Arial" w:hAnsi="Arial" w:cs="Arial"/>
          <w:b/>
          <w:bCs/>
          <w:sz w:val="20"/>
          <w:szCs w:val="20"/>
        </w:rPr>
        <w:t>4</w:t>
      </w:r>
      <w:r w:rsidRPr="00F2484F">
        <w:rPr>
          <w:rFonts w:ascii="Arial" w:hAnsi="Arial" w:cs="Arial"/>
          <w:b/>
          <w:bCs/>
          <w:sz w:val="20"/>
          <w:szCs w:val="20"/>
        </w:rPr>
        <w:t>.4</w:t>
      </w:r>
      <w:r w:rsidRPr="00F2484F">
        <w:rPr>
          <w:rFonts w:ascii="Arial" w:hAnsi="Arial" w:cs="Arial"/>
          <w:b/>
          <w:bCs/>
          <w:sz w:val="20"/>
          <w:szCs w:val="20"/>
        </w:rPr>
        <w:tab/>
        <w:t>The status of Prime Mission Equipment</w:t>
      </w:r>
    </w:p>
    <w:p w:rsidR="00E271D1" w:rsidRPr="00F2484F" w:rsidRDefault="00E271D1" w:rsidP="00F2484F">
      <w:pPr>
        <w:autoSpaceDE w:val="0"/>
        <w:autoSpaceDN w:val="0"/>
        <w:adjustRightInd w:val="0"/>
        <w:ind w:right="54"/>
        <w:rPr>
          <w:rFonts w:ascii="Arial" w:hAnsi="Arial" w:cs="Arial"/>
          <w:b/>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 xml:space="preserve">Conventional defence readiness is highly dependent on readily available, well-maintained and prepared prime mission equipment. Amid a </w:t>
      </w:r>
      <w:r w:rsidR="00550AA0" w:rsidRPr="00F2484F">
        <w:rPr>
          <w:rFonts w:ascii="Arial" w:hAnsi="Arial" w:cs="Arial"/>
          <w:bCs/>
          <w:sz w:val="20"/>
          <w:szCs w:val="20"/>
        </w:rPr>
        <w:t>decreasing</w:t>
      </w:r>
      <w:r w:rsidRPr="00F2484F">
        <w:rPr>
          <w:rFonts w:ascii="Arial" w:hAnsi="Arial" w:cs="Arial"/>
          <w:bCs/>
          <w:sz w:val="20"/>
          <w:szCs w:val="20"/>
        </w:rPr>
        <w:t xml:space="preserve"> defence allocation characterised by limited capital expenditure, Parliament’s Defence Committees have observed significant concerns around the status of prime mission equipment.</w:t>
      </w:r>
    </w:p>
    <w:p w:rsidR="00E271D1" w:rsidRPr="00F2484F" w:rsidRDefault="00E271D1" w:rsidP="00F2484F">
      <w:pPr>
        <w:autoSpaceDE w:val="0"/>
        <w:autoSpaceDN w:val="0"/>
        <w:adjustRightInd w:val="0"/>
        <w:ind w:right="54"/>
        <w:rPr>
          <w:rFonts w:ascii="Arial" w:hAnsi="Arial" w:cs="Arial"/>
          <w:bCs/>
          <w:sz w:val="20"/>
          <w:szCs w:val="20"/>
        </w:rPr>
      </w:pPr>
    </w:p>
    <w:p w:rsidR="00A70DC2"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In 2019, the JSCD conducted oversight visits to several military bases in the Western Cape and made observations around prime mission equipment. Key examples include</w:t>
      </w:r>
      <w:r w:rsidR="00A70DC2" w:rsidRPr="00F2484F">
        <w:rPr>
          <w:rFonts w:ascii="Arial" w:hAnsi="Arial" w:cs="Arial"/>
          <w:bCs/>
          <w:sz w:val="20"/>
          <w:szCs w:val="20"/>
        </w:rPr>
        <w:t xml:space="preserve"> (1) </w:t>
      </w:r>
      <w:r w:rsidRPr="00F2484F">
        <w:rPr>
          <w:rFonts w:ascii="Arial" w:hAnsi="Arial" w:cs="Arial"/>
          <w:bCs/>
          <w:sz w:val="20"/>
          <w:szCs w:val="20"/>
        </w:rPr>
        <w:t>The SA Navy Frigates and submarines were in urgent</w:t>
      </w:r>
      <w:r w:rsidR="00A70DC2" w:rsidRPr="00F2484F">
        <w:rPr>
          <w:rFonts w:ascii="Arial" w:hAnsi="Arial" w:cs="Arial"/>
          <w:bCs/>
          <w:sz w:val="20"/>
          <w:szCs w:val="20"/>
        </w:rPr>
        <w:t xml:space="preserve"> need of their midlife upgrades; (2) </w:t>
      </w:r>
      <w:r w:rsidRPr="00F2484F">
        <w:rPr>
          <w:rFonts w:ascii="Arial" w:hAnsi="Arial" w:cs="Arial"/>
          <w:bCs/>
          <w:sz w:val="20"/>
          <w:szCs w:val="20"/>
        </w:rPr>
        <w:t>The SA Air Force has a very limited maritime patrol capability as it operates a limited number of Dakota aircraft which is well beyond their life</w:t>
      </w:r>
      <w:r w:rsidR="00A70DC2" w:rsidRPr="00F2484F">
        <w:rPr>
          <w:rFonts w:ascii="Arial" w:hAnsi="Arial" w:cs="Arial"/>
          <w:bCs/>
          <w:sz w:val="20"/>
          <w:szCs w:val="20"/>
        </w:rPr>
        <w:t xml:space="preserve">span and in need of replacement; and, (3) </w:t>
      </w:r>
      <w:r w:rsidR="00845416" w:rsidRPr="00F2484F">
        <w:rPr>
          <w:rFonts w:ascii="Arial" w:hAnsi="Arial" w:cs="Arial"/>
          <w:bCs/>
          <w:sz w:val="20"/>
          <w:szCs w:val="20"/>
        </w:rPr>
        <w:t>t</w:t>
      </w:r>
      <w:r w:rsidRPr="00F2484F">
        <w:rPr>
          <w:rFonts w:ascii="Arial" w:hAnsi="Arial" w:cs="Arial"/>
          <w:bCs/>
          <w:sz w:val="20"/>
          <w:szCs w:val="20"/>
        </w:rPr>
        <w:t xml:space="preserve">he SA Army is in need of an upgraded </w:t>
      </w:r>
      <w:r w:rsidR="00A70DC2" w:rsidRPr="00F2484F">
        <w:rPr>
          <w:rFonts w:ascii="Arial" w:hAnsi="Arial" w:cs="Arial"/>
          <w:bCs/>
          <w:sz w:val="20"/>
          <w:szCs w:val="20"/>
        </w:rPr>
        <w:t xml:space="preserve">Infantry Fighting Vehicle fleet. During engagements with the SANDF on external deployments, the JSCD also noted concerns around prime mission equipment. For example, the limited number of strategic and tactical airlift platforms available to SANDF forces deployed in Mozambique. </w:t>
      </w:r>
    </w:p>
    <w:p w:rsidR="00A70DC2" w:rsidRPr="00F2484F" w:rsidRDefault="00A70DC2"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The JSCD also took note of serious maintenance constraints in terms of prime mission equipment. On 16 February 2022, Armscor briefed the Committee on the status of maintenance of SA Air Force aircraft, reflecting very limited serviceability of aircraft. For example, at the time, none of the SA Air Force’s Gripen fighter aircraft were serviceable, thus impacting on the SANDF’s force readiness. Similarly, only one C-130 transport aircraft was serviceable at the time, meaning strategic airlift capabilities are very limited which negatively affects force readiness. On 24 August 2022, Armscor informed the JSCD that new maintenance contracts were now in place for most SA Air Force aircraft.</w:t>
      </w:r>
      <w:r w:rsidR="00D96E00" w:rsidRPr="00F2484F">
        <w:rPr>
          <w:rFonts w:ascii="Arial" w:hAnsi="Arial" w:cs="Arial"/>
          <w:bCs/>
          <w:sz w:val="20"/>
          <w:szCs w:val="20"/>
        </w:rPr>
        <w:t xml:space="preserve"> However, during a PCDMV oversight visit to Bloemfontein in December 2022, </w:t>
      </w:r>
      <w:r w:rsidR="00D96E00" w:rsidRPr="00F2484F">
        <w:rPr>
          <w:rFonts w:ascii="Arial" w:hAnsi="Arial" w:cs="Arial"/>
          <w:bCs/>
          <w:sz w:val="20"/>
          <w:szCs w:val="20"/>
        </w:rPr>
        <w:lastRenderedPageBreak/>
        <w:t>further concerns w</w:t>
      </w:r>
      <w:r w:rsidR="00845416" w:rsidRPr="00F2484F">
        <w:rPr>
          <w:rFonts w:ascii="Arial" w:hAnsi="Arial" w:cs="Arial"/>
          <w:bCs/>
          <w:sz w:val="20"/>
          <w:szCs w:val="20"/>
        </w:rPr>
        <w:t>ere</w:t>
      </w:r>
      <w:r w:rsidR="00D96E00" w:rsidRPr="00F2484F">
        <w:rPr>
          <w:rFonts w:ascii="Arial" w:hAnsi="Arial" w:cs="Arial"/>
          <w:bCs/>
          <w:sz w:val="20"/>
          <w:szCs w:val="20"/>
        </w:rPr>
        <w:t xml:space="preserve"> expressed around aircraft maintenance, notably the ability of Denel Aviation to maintain the Oryx and Rooivalk fleet of the SA Air Force.</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Acquisition constraints were also investigated by the JSCD, notably around Project Hoefyster that aims to replace the SA Army’s ageing Ratel Infantry Fighting Vehicle fleet. The Project has been delayed by more than a decade with Denel unable to produce the vehicles according to specifications. The JSCD has instructed Armscor, Denel and the SANDF to work together to make a final decision on the way forward on Project Hoefyster. On 24 August 2022, Armscor reported that it agreed with Denel that completion of Phase 1 of Project Hoefyster is deemed to be feasible, based on certain conditions. The JSCD continu</w:t>
      </w:r>
      <w:r w:rsidR="005E0553" w:rsidRPr="00F2484F">
        <w:rPr>
          <w:rFonts w:ascii="Arial" w:hAnsi="Arial" w:cs="Arial"/>
          <w:bCs/>
          <w:sz w:val="20"/>
          <w:szCs w:val="20"/>
        </w:rPr>
        <w:t>es</w:t>
      </w:r>
      <w:r w:rsidRPr="00F2484F">
        <w:rPr>
          <w:rFonts w:ascii="Arial" w:hAnsi="Arial" w:cs="Arial"/>
          <w:bCs/>
          <w:sz w:val="20"/>
          <w:szCs w:val="20"/>
        </w:rPr>
        <w:t xml:space="preserve"> to monitor this development.</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 xml:space="preserve">The PCDMV has made BRRR recommendations regarding prime mission equipment in relation to the midlife upgrades of the SA Navy Frigates and Submarines and requested National Treasury to ring-fence funds for these upgrades. However, </w:t>
      </w:r>
      <w:r w:rsidR="00845416" w:rsidRPr="00F2484F">
        <w:rPr>
          <w:rFonts w:ascii="Arial" w:hAnsi="Arial" w:cs="Arial"/>
          <w:bCs/>
          <w:sz w:val="20"/>
          <w:szCs w:val="20"/>
        </w:rPr>
        <w:t xml:space="preserve">by December 2022, </w:t>
      </w:r>
      <w:r w:rsidRPr="00F2484F">
        <w:rPr>
          <w:rFonts w:ascii="Arial" w:hAnsi="Arial" w:cs="Arial"/>
          <w:bCs/>
          <w:sz w:val="20"/>
          <w:szCs w:val="20"/>
        </w:rPr>
        <w:t xml:space="preserve">National Treasury did not accede to these requests </w:t>
      </w:r>
      <w:r w:rsidR="005E0553" w:rsidRPr="00F2484F">
        <w:rPr>
          <w:rFonts w:ascii="Arial" w:hAnsi="Arial" w:cs="Arial"/>
          <w:bCs/>
          <w:sz w:val="20"/>
          <w:szCs w:val="20"/>
        </w:rPr>
        <w:t xml:space="preserve">in previous </w:t>
      </w:r>
      <w:r w:rsidRPr="00F2484F">
        <w:rPr>
          <w:rFonts w:ascii="Arial" w:hAnsi="Arial" w:cs="Arial"/>
          <w:bCs/>
          <w:sz w:val="20"/>
          <w:szCs w:val="20"/>
        </w:rPr>
        <w:t>due to general funding constraints.</w:t>
      </w:r>
      <w:r w:rsidR="00845416" w:rsidRPr="00F2484F">
        <w:rPr>
          <w:rStyle w:val="FootnoteReference"/>
          <w:rFonts w:ascii="Arial" w:hAnsi="Arial" w:cs="Arial"/>
          <w:bCs/>
          <w:sz w:val="20"/>
          <w:szCs w:val="20"/>
        </w:rPr>
        <w:footnoteReference w:id="48"/>
      </w:r>
      <w:r w:rsidR="00A70DC2" w:rsidRPr="00F2484F">
        <w:rPr>
          <w:rFonts w:ascii="Arial" w:hAnsi="Arial" w:cs="Arial"/>
          <w:bCs/>
          <w:sz w:val="20"/>
          <w:szCs w:val="20"/>
        </w:rPr>
        <w:t xml:space="preserve"> </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E271D1" w:rsidP="00F2484F">
      <w:pPr>
        <w:autoSpaceDE w:val="0"/>
        <w:autoSpaceDN w:val="0"/>
        <w:adjustRightInd w:val="0"/>
        <w:ind w:right="54"/>
        <w:rPr>
          <w:rFonts w:ascii="Arial" w:hAnsi="Arial" w:cs="Arial"/>
          <w:bCs/>
          <w:sz w:val="20"/>
          <w:szCs w:val="20"/>
        </w:rPr>
      </w:pPr>
      <w:r w:rsidRPr="00F2484F">
        <w:rPr>
          <w:rFonts w:ascii="Arial" w:hAnsi="Arial" w:cs="Arial"/>
          <w:bCs/>
          <w:sz w:val="20"/>
          <w:szCs w:val="20"/>
        </w:rPr>
        <w:t>The combination of maintenance constraints and a lack of investment in new prime mission equipment is therefore of concern to the two Defence Committees as it impacts directly on the level of SANDF force readiness.</w:t>
      </w:r>
    </w:p>
    <w:p w:rsidR="00E271D1" w:rsidRPr="00F2484F" w:rsidRDefault="00E271D1" w:rsidP="00F2484F">
      <w:pPr>
        <w:autoSpaceDE w:val="0"/>
        <w:autoSpaceDN w:val="0"/>
        <w:adjustRightInd w:val="0"/>
        <w:ind w:right="54"/>
        <w:rPr>
          <w:rFonts w:ascii="Arial" w:hAnsi="Arial" w:cs="Arial"/>
          <w:bCs/>
          <w:sz w:val="20"/>
          <w:szCs w:val="20"/>
        </w:rPr>
      </w:pPr>
    </w:p>
    <w:p w:rsidR="00E271D1" w:rsidRPr="00F2484F" w:rsidRDefault="00056C45" w:rsidP="00F2484F">
      <w:pPr>
        <w:autoSpaceDE w:val="0"/>
        <w:autoSpaceDN w:val="0"/>
        <w:adjustRightInd w:val="0"/>
        <w:ind w:right="54"/>
        <w:rPr>
          <w:rFonts w:ascii="Arial" w:hAnsi="Arial" w:cs="Arial"/>
          <w:b/>
          <w:sz w:val="20"/>
          <w:szCs w:val="20"/>
        </w:rPr>
      </w:pPr>
      <w:r w:rsidRPr="00F2484F">
        <w:rPr>
          <w:rFonts w:ascii="Arial" w:hAnsi="Arial" w:cs="Arial"/>
          <w:b/>
          <w:bCs/>
          <w:sz w:val="20"/>
          <w:szCs w:val="20"/>
        </w:rPr>
        <w:t>7.4</w:t>
      </w:r>
      <w:r w:rsidR="00E271D1" w:rsidRPr="00F2484F">
        <w:rPr>
          <w:rFonts w:ascii="Arial" w:hAnsi="Arial" w:cs="Arial"/>
          <w:b/>
          <w:bCs/>
          <w:sz w:val="20"/>
          <w:szCs w:val="20"/>
        </w:rPr>
        <w:t>.5</w:t>
      </w:r>
      <w:r w:rsidR="00E271D1" w:rsidRPr="00F2484F">
        <w:rPr>
          <w:rFonts w:ascii="Arial" w:hAnsi="Arial" w:cs="Arial"/>
          <w:b/>
          <w:bCs/>
          <w:sz w:val="20"/>
          <w:szCs w:val="20"/>
        </w:rPr>
        <w:tab/>
        <w:t xml:space="preserve">Reduced training </w:t>
      </w:r>
      <w:r w:rsidR="005E0553" w:rsidRPr="00F2484F">
        <w:rPr>
          <w:rFonts w:ascii="Arial" w:hAnsi="Arial" w:cs="Arial"/>
          <w:b/>
          <w:bCs/>
          <w:sz w:val="20"/>
          <w:szCs w:val="20"/>
        </w:rPr>
        <w:t>activities</w:t>
      </w:r>
    </w:p>
    <w:p w:rsidR="00E271D1" w:rsidRPr="00F2484F" w:rsidRDefault="00E271D1" w:rsidP="00F2484F">
      <w:pPr>
        <w:autoSpaceDE w:val="0"/>
        <w:autoSpaceDN w:val="0"/>
        <w:adjustRightInd w:val="0"/>
        <w:ind w:right="54"/>
        <w:rPr>
          <w:rFonts w:ascii="Arial" w:hAnsi="Arial" w:cs="Arial"/>
          <w:sz w:val="20"/>
          <w:szCs w:val="20"/>
        </w:rPr>
      </w:pPr>
    </w:p>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The Defence Act (No 42 of 2002) highlights the importance of training in terms of force readiness. Training is of specific importance to maintain force readiness in the utilisation of prime mission equipment. In September 2019, the JSCD held an engagement to consider the SA Air Force’s flying hours and the SA Navy’s sea hours. The Committee noted a decline in these hours in recent years, as noted in the tables below.</w:t>
      </w:r>
    </w:p>
    <w:p w:rsidR="005E0553" w:rsidRPr="00F2484F" w:rsidRDefault="005E0553" w:rsidP="00F2484F">
      <w:pPr>
        <w:autoSpaceDE w:val="0"/>
        <w:autoSpaceDN w:val="0"/>
        <w:adjustRightInd w:val="0"/>
        <w:ind w:right="54"/>
        <w:rPr>
          <w:rFonts w:ascii="Arial" w:hAnsi="Arial" w:cs="Arial"/>
          <w:sz w:val="20"/>
          <w:szCs w:val="20"/>
        </w:rPr>
      </w:pPr>
    </w:p>
    <w:p w:rsidR="005E0553" w:rsidRPr="00F2484F" w:rsidRDefault="005E0553" w:rsidP="00F2484F">
      <w:pPr>
        <w:autoSpaceDE w:val="0"/>
        <w:autoSpaceDN w:val="0"/>
        <w:adjustRightInd w:val="0"/>
        <w:ind w:right="54"/>
        <w:rPr>
          <w:rFonts w:ascii="Arial" w:hAnsi="Arial" w:cs="Arial"/>
          <w:sz w:val="20"/>
          <w:szCs w:val="20"/>
        </w:rPr>
      </w:pPr>
    </w:p>
    <w:p w:rsidR="005E0553" w:rsidRPr="00F2484F" w:rsidRDefault="005E0553" w:rsidP="00F2484F">
      <w:pPr>
        <w:autoSpaceDE w:val="0"/>
        <w:autoSpaceDN w:val="0"/>
        <w:adjustRightInd w:val="0"/>
        <w:ind w:right="54"/>
        <w:rPr>
          <w:rFonts w:ascii="Arial" w:hAnsi="Arial" w:cs="Arial"/>
          <w:sz w:val="20"/>
          <w:szCs w:val="20"/>
        </w:rPr>
      </w:pPr>
    </w:p>
    <w:p w:rsidR="005E0553" w:rsidRPr="00F2484F" w:rsidRDefault="005E0553" w:rsidP="00F2484F">
      <w:pPr>
        <w:autoSpaceDE w:val="0"/>
        <w:autoSpaceDN w:val="0"/>
        <w:adjustRightInd w:val="0"/>
        <w:ind w:right="54"/>
        <w:rPr>
          <w:rFonts w:ascii="Arial" w:hAnsi="Arial" w:cs="Arial"/>
          <w:sz w:val="20"/>
          <w:szCs w:val="20"/>
        </w:rPr>
      </w:pPr>
    </w:p>
    <w:p w:rsidR="005E0553" w:rsidRPr="00F2484F" w:rsidRDefault="005E0553" w:rsidP="00F2484F">
      <w:pPr>
        <w:autoSpaceDE w:val="0"/>
        <w:autoSpaceDN w:val="0"/>
        <w:adjustRightInd w:val="0"/>
        <w:ind w:right="54"/>
        <w:rPr>
          <w:rFonts w:ascii="Arial" w:hAnsi="Arial" w:cs="Arial"/>
          <w:sz w:val="20"/>
          <w:szCs w:val="20"/>
        </w:rPr>
      </w:pPr>
    </w:p>
    <w:p w:rsidR="005E0553" w:rsidRPr="00F2484F" w:rsidRDefault="005E0553" w:rsidP="00F2484F">
      <w:pPr>
        <w:autoSpaceDE w:val="0"/>
        <w:autoSpaceDN w:val="0"/>
        <w:adjustRightInd w:val="0"/>
        <w:ind w:right="54"/>
        <w:rPr>
          <w:rFonts w:ascii="Arial" w:hAnsi="Arial" w:cs="Arial"/>
          <w:sz w:val="20"/>
          <w:szCs w:val="20"/>
        </w:rPr>
      </w:pPr>
    </w:p>
    <w:p w:rsidR="005E0553" w:rsidRPr="00F2484F" w:rsidRDefault="005E0553" w:rsidP="00F2484F">
      <w:pPr>
        <w:autoSpaceDE w:val="0"/>
        <w:autoSpaceDN w:val="0"/>
        <w:adjustRightInd w:val="0"/>
        <w:ind w:right="54"/>
        <w:rPr>
          <w:rFonts w:ascii="Arial" w:hAnsi="Arial" w:cs="Arial"/>
          <w:sz w:val="20"/>
          <w:szCs w:val="20"/>
        </w:rPr>
      </w:pPr>
    </w:p>
    <w:p w:rsidR="005E0553" w:rsidRPr="00F2484F" w:rsidRDefault="005E0553" w:rsidP="00F2484F">
      <w:pPr>
        <w:autoSpaceDE w:val="0"/>
        <w:autoSpaceDN w:val="0"/>
        <w:adjustRightInd w:val="0"/>
        <w:ind w:right="54"/>
        <w:rPr>
          <w:rFonts w:ascii="Arial" w:hAnsi="Arial" w:cs="Arial"/>
          <w:sz w:val="20"/>
          <w:szCs w:val="20"/>
        </w:rPr>
      </w:pPr>
    </w:p>
    <w:p w:rsidR="005E0553" w:rsidRPr="00F2484F" w:rsidRDefault="005E0553" w:rsidP="00F2484F">
      <w:pPr>
        <w:autoSpaceDE w:val="0"/>
        <w:autoSpaceDN w:val="0"/>
        <w:adjustRightInd w:val="0"/>
        <w:ind w:right="54"/>
        <w:rPr>
          <w:rFonts w:ascii="Arial" w:hAnsi="Arial" w:cs="Arial"/>
          <w:sz w:val="20"/>
          <w:szCs w:val="20"/>
        </w:rPr>
      </w:pPr>
    </w:p>
    <w:p w:rsidR="00E271D1" w:rsidRPr="00F2484F" w:rsidRDefault="00E271D1" w:rsidP="00F2484F">
      <w:pPr>
        <w:autoSpaceDE w:val="0"/>
        <w:autoSpaceDN w:val="0"/>
        <w:adjustRightInd w:val="0"/>
        <w:ind w:right="54"/>
        <w:rPr>
          <w:rFonts w:ascii="Arial" w:hAnsi="Arial" w:cs="Arial"/>
          <w:b/>
          <w:sz w:val="20"/>
          <w:szCs w:val="20"/>
        </w:rPr>
      </w:pPr>
    </w:p>
    <w:tbl>
      <w:tblPr>
        <w:tblStyle w:val="TableGrid"/>
        <w:tblW w:w="0" w:type="auto"/>
        <w:tblLook w:val="04A0"/>
      </w:tblPr>
      <w:tblGrid>
        <w:gridCol w:w="1515"/>
        <w:gridCol w:w="1709"/>
        <w:gridCol w:w="1858"/>
        <w:gridCol w:w="1858"/>
        <w:gridCol w:w="1637"/>
        <w:gridCol w:w="1390"/>
      </w:tblGrid>
      <w:tr w:rsidR="00E271D1" w:rsidRPr="00F2484F" w:rsidTr="00573DC6">
        <w:tc>
          <w:tcPr>
            <w:tcW w:w="1515" w:type="dxa"/>
            <w:shd w:val="clear" w:color="auto" w:fill="BDD6EE" w:themeFill="accent1" w:themeFillTint="66"/>
          </w:tcPr>
          <w:p w:rsidR="00E271D1" w:rsidRPr="00F2484F" w:rsidRDefault="00E271D1" w:rsidP="00F2484F">
            <w:pPr>
              <w:rPr>
                <w:rFonts w:ascii="Arial" w:hAnsi="Arial" w:cs="Arial"/>
                <w:sz w:val="20"/>
                <w:szCs w:val="20"/>
              </w:rPr>
            </w:pPr>
          </w:p>
        </w:tc>
        <w:tc>
          <w:tcPr>
            <w:tcW w:w="1709"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2015/16</w:t>
            </w:r>
          </w:p>
        </w:tc>
        <w:tc>
          <w:tcPr>
            <w:tcW w:w="1858"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2016/17</w:t>
            </w:r>
          </w:p>
        </w:tc>
        <w:tc>
          <w:tcPr>
            <w:tcW w:w="1858"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2017/18</w:t>
            </w:r>
          </w:p>
        </w:tc>
        <w:tc>
          <w:tcPr>
            <w:tcW w:w="1637"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2018/19</w:t>
            </w:r>
          </w:p>
        </w:tc>
        <w:tc>
          <w:tcPr>
            <w:tcW w:w="1390"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2019/20</w:t>
            </w:r>
          </w:p>
        </w:tc>
      </w:tr>
      <w:tr w:rsidR="00E271D1" w:rsidRPr="00F2484F" w:rsidTr="00573DC6">
        <w:tc>
          <w:tcPr>
            <w:tcW w:w="1515"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Target</w:t>
            </w:r>
          </w:p>
        </w:tc>
        <w:tc>
          <w:tcPr>
            <w:tcW w:w="1709" w:type="dxa"/>
          </w:tcPr>
          <w:p w:rsidR="00E271D1" w:rsidRPr="00F2484F" w:rsidRDefault="00E271D1" w:rsidP="00F2484F">
            <w:pPr>
              <w:rPr>
                <w:rFonts w:ascii="Arial" w:hAnsi="Arial" w:cs="Arial"/>
                <w:sz w:val="20"/>
                <w:szCs w:val="20"/>
              </w:rPr>
            </w:pPr>
            <w:r w:rsidRPr="00F2484F">
              <w:rPr>
                <w:rFonts w:ascii="Arial" w:hAnsi="Arial" w:cs="Arial"/>
                <w:sz w:val="20"/>
                <w:szCs w:val="20"/>
              </w:rPr>
              <w:t>12 000</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12 000</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12 000</w:t>
            </w:r>
          </w:p>
        </w:tc>
        <w:tc>
          <w:tcPr>
            <w:tcW w:w="1637" w:type="dxa"/>
          </w:tcPr>
          <w:p w:rsidR="00E271D1" w:rsidRPr="00F2484F" w:rsidRDefault="00E271D1" w:rsidP="00F2484F">
            <w:pPr>
              <w:rPr>
                <w:rFonts w:ascii="Arial" w:hAnsi="Arial" w:cs="Arial"/>
                <w:sz w:val="20"/>
                <w:szCs w:val="20"/>
              </w:rPr>
            </w:pPr>
            <w:r w:rsidRPr="00F2484F">
              <w:rPr>
                <w:rFonts w:ascii="Arial" w:hAnsi="Arial" w:cs="Arial"/>
                <w:sz w:val="20"/>
                <w:szCs w:val="20"/>
              </w:rPr>
              <w:t>12 000</w:t>
            </w:r>
          </w:p>
        </w:tc>
        <w:tc>
          <w:tcPr>
            <w:tcW w:w="1390" w:type="dxa"/>
          </w:tcPr>
          <w:p w:rsidR="00E271D1" w:rsidRPr="00F2484F" w:rsidRDefault="00E271D1" w:rsidP="00F2484F">
            <w:pPr>
              <w:rPr>
                <w:rFonts w:ascii="Arial" w:hAnsi="Arial" w:cs="Arial"/>
                <w:sz w:val="20"/>
                <w:szCs w:val="20"/>
              </w:rPr>
            </w:pPr>
            <w:r w:rsidRPr="00F2484F">
              <w:rPr>
                <w:rFonts w:ascii="Arial" w:hAnsi="Arial" w:cs="Arial"/>
                <w:sz w:val="20"/>
                <w:szCs w:val="20"/>
              </w:rPr>
              <w:t>10 000</w:t>
            </w:r>
          </w:p>
        </w:tc>
      </w:tr>
      <w:tr w:rsidR="00E271D1" w:rsidRPr="00F2484F" w:rsidTr="00573DC6">
        <w:tc>
          <w:tcPr>
            <w:tcW w:w="1515"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Achieved</w:t>
            </w:r>
          </w:p>
        </w:tc>
        <w:tc>
          <w:tcPr>
            <w:tcW w:w="1709" w:type="dxa"/>
          </w:tcPr>
          <w:p w:rsidR="00E271D1" w:rsidRPr="00F2484F" w:rsidRDefault="00E271D1" w:rsidP="00F2484F">
            <w:pPr>
              <w:rPr>
                <w:rFonts w:ascii="Arial" w:hAnsi="Arial" w:cs="Arial"/>
                <w:sz w:val="20"/>
                <w:szCs w:val="20"/>
              </w:rPr>
            </w:pPr>
            <w:r w:rsidRPr="00F2484F">
              <w:rPr>
                <w:rFonts w:ascii="Arial" w:hAnsi="Arial" w:cs="Arial"/>
                <w:sz w:val="20"/>
                <w:szCs w:val="20"/>
              </w:rPr>
              <w:t>10 710</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8 131</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6 046</w:t>
            </w:r>
          </w:p>
        </w:tc>
        <w:tc>
          <w:tcPr>
            <w:tcW w:w="1637" w:type="dxa"/>
          </w:tcPr>
          <w:p w:rsidR="00E271D1" w:rsidRPr="00F2484F" w:rsidRDefault="00E271D1" w:rsidP="00F2484F">
            <w:pPr>
              <w:rPr>
                <w:rFonts w:ascii="Arial" w:hAnsi="Arial" w:cs="Arial"/>
                <w:sz w:val="20"/>
                <w:szCs w:val="20"/>
              </w:rPr>
            </w:pPr>
            <w:r w:rsidRPr="00F2484F">
              <w:rPr>
                <w:rFonts w:ascii="Arial" w:hAnsi="Arial" w:cs="Arial"/>
                <w:sz w:val="20"/>
                <w:szCs w:val="20"/>
              </w:rPr>
              <w:t>7 704</w:t>
            </w:r>
          </w:p>
        </w:tc>
        <w:tc>
          <w:tcPr>
            <w:tcW w:w="1390" w:type="dxa"/>
          </w:tcPr>
          <w:p w:rsidR="00E271D1" w:rsidRPr="00F2484F" w:rsidRDefault="00E271D1" w:rsidP="00F2484F">
            <w:pPr>
              <w:rPr>
                <w:rFonts w:ascii="Arial" w:hAnsi="Arial" w:cs="Arial"/>
                <w:sz w:val="20"/>
                <w:szCs w:val="20"/>
              </w:rPr>
            </w:pPr>
            <w:r w:rsidRPr="00F2484F">
              <w:rPr>
                <w:rFonts w:ascii="Arial" w:hAnsi="Arial" w:cs="Arial"/>
                <w:sz w:val="20"/>
                <w:szCs w:val="20"/>
              </w:rPr>
              <w:t>6 612</w:t>
            </w:r>
          </w:p>
        </w:tc>
      </w:tr>
      <w:tr w:rsidR="00E271D1" w:rsidRPr="00F2484F" w:rsidTr="00573DC6">
        <w:tc>
          <w:tcPr>
            <w:tcW w:w="1515"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Reason</w:t>
            </w:r>
          </w:p>
        </w:tc>
        <w:tc>
          <w:tcPr>
            <w:tcW w:w="1709" w:type="dxa"/>
          </w:tcPr>
          <w:p w:rsidR="00E271D1" w:rsidRPr="00F2484F" w:rsidRDefault="00E271D1" w:rsidP="00F2484F">
            <w:pPr>
              <w:rPr>
                <w:rFonts w:ascii="Arial" w:hAnsi="Arial" w:cs="Arial"/>
                <w:sz w:val="20"/>
                <w:szCs w:val="20"/>
              </w:rPr>
            </w:pPr>
            <w:r w:rsidRPr="00F2484F">
              <w:rPr>
                <w:rFonts w:ascii="Arial" w:hAnsi="Arial" w:cs="Arial"/>
                <w:sz w:val="20"/>
                <w:szCs w:val="20"/>
              </w:rPr>
              <w:t>Human Resources</w:t>
            </w:r>
          </w:p>
          <w:p w:rsidR="00E271D1" w:rsidRPr="00F2484F" w:rsidRDefault="00E271D1" w:rsidP="00F2484F">
            <w:pPr>
              <w:rPr>
                <w:rFonts w:ascii="Arial" w:hAnsi="Arial" w:cs="Arial"/>
                <w:sz w:val="20"/>
                <w:szCs w:val="20"/>
              </w:rPr>
            </w:pPr>
            <w:r w:rsidRPr="00F2484F">
              <w:rPr>
                <w:rFonts w:ascii="Arial" w:hAnsi="Arial" w:cs="Arial"/>
                <w:sz w:val="20"/>
                <w:szCs w:val="20"/>
              </w:rPr>
              <w:t>constraints and limited Dockyard capacity</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Unavailability of vessels delayed in maintenance cycles and operational defects</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Unavailability of vessels delayed in maintenance cycles and operational defects</w:t>
            </w:r>
          </w:p>
        </w:tc>
        <w:tc>
          <w:tcPr>
            <w:tcW w:w="1637" w:type="dxa"/>
          </w:tcPr>
          <w:p w:rsidR="00E271D1" w:rsidRPr="00F2484F" w:rsidRDefault="00E271D1" w:rsidP="00F2484F">
            <w:pPr>
              <w:rPr>
                <w:rFonts w:ascii="Arial" w:hAnsi="Arial" w:cs="Arial"/>
                <w:sz w:val="20"/>
                <w:szCs w:val="20"/>
              </w:rPr>
            </w:pPr>
            <w:r w:rsidRPr="00F2484F">
              <w:rPr>
                <w:rFonts w:ascii="Arial" w:hAnsi="Arial" w:cs="Arial"/>
                <w:sz w:val="20"/>
                <w:szCs w:val="20"/>
              </w:rPr>
              <w:t>Unavailability of vessels at the directed level of capability due to maintenance cycle delays.</w:t>
            </w:r>
          </w:p>
        </w:tc>
        <w:tc>
          <w:tcPr>
            <w:tcW w:w="1390" w:type="dxa"/>
          </w:tcPr>
          <w:p w:rsidR="00E271D1" w:rsidRPr="00F2484F" w:rsidRDefault="00E271D1" w:rsidP="00F2484F">
            <w:pPr>
              <w:rPr>
                <w:rFonts w:ascii="Arial" w:hAnsi="Arial" w:cs="Arial"/>
                <w:sz w:val="20"/>
                <w:szCs w:val="20"/>
              </w:rPr>
            </w:pPr>
            <w:r w:rsidRPr="00F2484F">
              <w:rPr>
                <w:rFonts w:ascii="Arial" w:hAnsi="Arial" w:cs="Arial"/>
                <w:sz w:val="20"/>
                <w:szCs w:val="20"/>
              </w:rPr>
              <w:t xml:space="preserve">Unaffordable refits and maintenance and repair. </w:t>
            </w:r>
          </w:p>
        </w:tc>
      </w:tr>
      <w:tr w:rsidR="00E271D1" w:rsidRPr="00F2484F" w:rsidTr="00573DC6">
        <w:tc>
          <w:tcPr>
            <w:tcW w:w="1515"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 xml:space="preserve">Allocation for Logistics Support Capability </w:t>
            </w:r>
          </w:p>
        </w:tc>
        <w:tc>
          <w:tcPr>
            <w:tcW w:w="1709" w:type="dxa"/>
          </w:tcPr>
          <w:p w:rsidR="00E271D1" w:rsidRPr="00F2484F" w:rsidRDefault="00E271D1" w:rsidP="00F2484F">
            <w:pPr>
              <w:rPr>
                <w:rFonts w:ascii="Arial" w:hAnsi="Arial" w:cs="Arial"/>
                <w:sz w:val="20"/>
                <w:szCs w:val="20"/>
              </w:rPr>
            </w:pPr>
            <w:r w:rsidRPr="00F2484F">
              <w:rPr>
                <w:rFonts w:ascii="Arial" w:hAnsi="Arial" w:cs="Arial"/>
                <w:sz w:val="20"/>
                <w:szCs w:val="20"/>
              </w:rPr>
              <w:t>R803.9 million</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R814.8 million</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R924.2 million</w:t>
            </w:r>
          </w:p>
        </w:tc>
        <w:tc>
          <w:tcPr>
            <w:tcW w:w="1637" w:type="dxa"/>
          </w:tcPr>
          <w:p w:rsidR="00E271D1" w:rsidRPr="00F2484F" w:rsidRDefault="00E271D1" w:rsidP="00F2484F">
            <w:pPr>
              <w:rPr>
                <w:rFonts w:ascii="Arial" w:hAnsi="Arial" w:cs="Arial"/>
                <w:sz w:val="20"/>
                <w:szCs w:val="20"/>
              </w:rPr>
            </w:pPr>
            <w:r w:rsidRPr="00F2484F">
              <w:rPr>
                <w:rFonts w:ascii="Arial" w:hAnsi="Arial" w:cs="Arial"/>
                <w:sz w:val="20"/>
                <w:szCs w:val="20"/>
              </w:rPr>
              <w:t xml:space="preserve">R1 131.1 million </w:t>
            </w:r>
          </w:p>
        </w:tc>
        <w:tc>
          <w:tcPr>
            <w:tcW w:w="1390" w:type="dxa"/>
          </w:tcPr>
          <w:p w:rsidR="00E271D1" w:rsidRPr="00F2484F" w:rsidRDefault="00E271D1" w:rsidP="00F2484F">
            <w:pPr>
              <w:rPr>
                <w:rFonts w:ascii="Arial" w:hAnsi="Arial" w:cs="Arial"/>
                <w:sz w:val="20"/>
                <w:szCs w:val="20"/>
              </w:rPr>
            </w:pPr>
            <w:r w:rsidRPr="00F2484F">
              <w:rPr>
                <w:rFonts w:ascii="Arial" w:hAnsi="Arial" w:cs="Arial"/>
                <w:sz w:val="20"/>
                <w:szCs w:val="20"/>
              </w:rPr>
              <w:t>R1 013.3 million</w:t>
            </w:r>
          </w:p>
        </w:tc>
      </w:tr>
      <w:tr w:rsidR="00E271D1" w:rsidRPr="00F2484F" w:rsidTr="00573DC6">
        <w:tc>
          <w:tcPr>
            <w:tcW w:w="1515"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Allocation for Fuel, Oil &amp; Gas</w:t>
            </w:r>
          </w:p>
        </w:tc>
        <w:tc>
          <w:tcPr>
            <w:tcW w:w="1709" w:type="dxa"/>
          </w:tcPr>
          <w:p w:rsidR="00E271D1" w:rsidRPr="00F2484F" w:rsidRDefault="00E271D1" w:rsidP="00F2484F">
            <w:pPr>
              <w:rPr>
                <w:rFonts w:ascii="Arial" w:hAnsi="Arial" w:cs="Arial"/>
                <w:sz w:val="20"/>
                <w:szCs w:val="20"/>
              </w:rPr>
            </w:pPr>
            <w:r w:rsidRPr="00F2484F">
              <w:rPr>
                <w:rFonts w:ascii="Arial" w:hAnsi="Arial" w:cs="Arial"/>
                <w:sz w:val="20"/>
                <w:szCs w:val="20"/>
              </w:rPr>
              <w:t>R92.6 million</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R85.2 million</w:t>
            </w:r>
          </w:p>
        </w:tc>
        <w:tc>
          <w:tcPr>
            <w:tcW w:w="1858" w:type="dxa"/>
          </w:tcPr>
          <w:p w:rsidR="00E271D1" w:rsidRPr="00F2484F" w:rsidRDefault="00E271D1" w:rsidP="00F2484F">
            <w:pPr>
              <w:rPr>
                <w:rFonts w:ascii="Arial" w:hAnsi="Arial" w:cs="Arial"/>
                <w:sz w:val="20"/>
                <w:szCs w:val="20"/>
              </w:rPr>
            </w:pPr>
            <w:r w:rsidRPr="00F2484F">
              <w:rPr>
                <w:rFonts w:ascii="Arial" w:hAnsi="Arial" w:cs="Arial"/>
                <w:sz w:val="20"/>
                <w:szCs w:val="20"/>
              </w:rPr>
              <w:t>R46.1 million</w:t>
            </w:r>
          </w:p>
        </w:tc>
        <w:tc>
          <w:tcPr>
            <w:tcW w:w="1637" w:type="dxa"/>
          </w:tcPr>
          <w:p w:rsidR="00E271D1" w:rsidRPr="00F2484F" w:rsidRDefault="00E271D1" w:rsidP="00F2484F">
            <w:pPr>
              <w:rPr>
                <w:rFonts w:ascii="Arial" w:hAnsi="Arial" w:cs="Arial"/>
                <w:sz w:val="20"/>
                <w:szCs w:val="20"/>
              </w:rPr>
            </w:pPr>
            <w:r w:rsidRPr="00F2484F">
              <w:rPr>
                <w:rFonts w:ascii="Arial" w:hAnsi="Arial" w:cs="Arial"/>
                <w:sz w:val="20"/>
                <w:szCs w:val="20"/>
              </w:rPr>
              <w:t>R109.2 million</w:t>
            </w:r>
          </w:p>
        </w:tc>
        <w:tc>
          <w:tcPr>
            <w:tcW w:w="1390" w:type="dxa"/>
          </w:tcPr>
          <w:p w:rsidR="00E271D1" w:rsidRPr="00F2484F" w:rsidRDefault="00E271D1" w:rsidP="00F2484F">
            <w:pPr>
              <w:rPr>
                <w:rFonts w:ascii="Arial" w:hAnsi="Arial" w:cs="Arial"/>
                <w:sz w:val="20"/>
                <w:szCs w:val="20"/>
              </w:rPr>
            </w:pPr>
            <w:r w:rsidRPr="00F2484F">
              <w:rPr>
                <w:rFonts w:ascii="Arial" w:hAnsi="Arial" w:cs="Arial"/>
                <w:sz w:val="20"/>
                <w:szCs w:val="20"/>
              </w:rPr>
              <w:t>R119.5 million</w:t>
            </w:r>
          </w:p>
        </w:tc>
      </w:tr>
    </w:tbl>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b/>
          <w:sz w:val="20"/>
          <w:szCs w:val="20"/>
        </w:rPr>
        <w:t>Table 7: SA Navy sea hours</w:t>
      </w:r>
    </w:p>
    <w:p w:rsidR="00E271D1" w:rsidRPr="00F2484F" w:rsidRDefault="00E271D1" w:rsidP="00F2484F">
      <w:pPr>
        <w:autoSpaceDE w:val="0"/>
        <w:autoSpaceDN w:val="0"/>
        <w:adjustRightInd w:val="0"/>
        <w:ind w:right="54"/>
        <w:rPr>
          <w:rFonts w:ascii="Arial" w:hAnsi="Arial" w:cs="Arial"/>
          <w:b/>
          <w:sz w:val="20"/>
          <w:szCs w:val="20"/>
        </w:rPr>
      </w:pPr>
    </w:p>
    <w:tbl>
      <w:tblPr>
        <w:tblStyle w:val="TableGrid"/>
        <w:tblW w:w="0" w:type="auto"/>
        <w:tblLook w:val="04A0"/>
      </w:tblPr>
      <w:tblGrid>
        <w:gridCol w:w="1506"/>
        <w:gridCol w:w="1692"/>
        <w:gridCol w:w="1692"/>
        <w:gridCol w:w="1692"/>
        <w:gridCol w:w="1692"/>
        <w:gridCol w:w="1693"/>
      </w:tblGrid>
      <w:tr w:rsidR="00E271D1" w:rsidRPr="00F2484F" w:rsidTr="00573DC6">
        <w:tc>
          <w:tcPr>
            <w:tcW w:w="1506" w:type="dxa"/>
            <w:shd w:val="clear" w:color="auto" w:fill="BDD6EE" w:themeFill="accent1" w:themeFillTint="66"/>
          </w:tcPr>
          <w:p w:rsidR="00E271D1" w:rsidRPr="00F2484F" w:rsidRDefault="00E271D1" w:rsidP="00F2484F">
            <w:pPr>
              <w:rPr>
                <w:rFonts w:ascii="Arial" w:hAnsi="Arial" w:cs="Arial"/>
                <w:sz w:val="20"/>
                <w:szCs w:val="20"/>
              </w:rPr>
            </w:pPr>
          </w:p>
        </w:tc>
        <w:tc>
          <w:tcPr>
            <w:tcW w:w="1692"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2015/16</w:t>
            </w:r>
          </w:p>
        </w:tc>
        <w:tc>
          <w:tcPr>
            <w:tcW w:w="1692"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2016/17</w:t>
            </w:r>
          </w:p>
        </w:tc>
        <w:tc>
          <w:tcPr>
            <w:tcW w:w="1692"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2017/18</w:t>
            </w:r>
          </w:p>
        </w:tc>
        <w:tc>
          <w:tcPr>
            <w:tcW w:w="1692"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2018/19</w:t>
            </w:r>
          </w:p>
        </w:tc>
        <w:tc>
          <w:tcPr>
            <w:tcW w:w="1693" w:type="dxa"/>
            <w:shd w:val="clear" w:color="auto" w:fill="BDD6EE" w:themeFill="accent1" w:themeFillTint="66"/>
          </w:tcPr>
          <w:p w:rsidR="00E271D1" w:rsidRPr="00F2484F" w:rsidRDefault="00E271D1" w:rsidP="00F2484F">
            <w:pPr>
              <w:rPr>
                <w:rFonts w:ascii="Arial" w:hAnsi="Arial" w:cs="Arial"/>
                <w:b/>
                <w:sz w:val="20"/>
                <w:szCs w:val="20"/>
              </w:rPr>
            </w:pPr>
            <w:r w:rsidRPr="00F2484F">
              <w:rPr>
                <w:rFonts w:ascii="Arial" w:hAnsi="Arial" w:cs="Arial"/>
                <w:b/>
                <w:sz w:val="20"/>
                <w:szCs w:val="20"/>
              </w:rPr>
              <w:t>2019/20</w:t>
            </w:r>
          </w:p>
        </w:tc>
      </w:tr>
      <w:tr w:rsidR="00E271D1" w:rsidRPr="00F2484F" w:rsidTr="00573DC6">
        <w:tc>
          <w:tcPr>
            <w:tcW w:w="1506"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Flying hours Target</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6</w:t>
            </w:r>
            <w:r w:rsidR="005E0553" w:rsidRPr="00F2484F">
              <w:rPr>
                <w:rFonts w:ascii="Arial" w:hAnsi="Arial" w:cs="Arial"/>
                <w:sz w:val="20"/>
                <w:szCs w:val="20"/>
              </w:rPr>
              <w:t> </w:t>
            </w:r>
            <w:r w:rsidRPr="00F2484F">
              <w:rPr>
                <w:rFonts w:ascii="Arial" w:hAnsi="Arial" w:cs="Arial"/>
                <w:sz w:val="20"/>
                <w:szCs w:val="20"/>
              </w:rPr>
              <w:t>500</w:t>
            </w:r>
          </w:p>
          <w:p w:rsidR="005E0553" w:rsidRPr="00F2484F" w:rsidRDefault="005E0553" w:rsidP="00F2484F">
            <w:pPr>
              <w:rPr>
                <w:rFonts w:ascii="Arial" w:hAnsi="Arial" w:cs="Arial"/>
                <w:sz w:val="20"/>
                <w:szCs w:val="20"/>
              </w:rPr>
            </w:pPr>
            <w:r w:rsidRPr="00F2484F">
              <w:rPr>
                <w:rFonts w:ascii="Arial" w:hAnsi="Arial" w:cs="Arial"/>
                <w:sz w:val="20"/>
                <w:szCs w:val="20"/>
              </w:rPr>
              <w:t>(target only includes force employment hours)</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5000</w:t>
            </w:r>
          </w:p>
          <w:p w:rsidR="005E0553" w:rsidRPr="00F2484F" w:rsidRDefault="005E0553" w:rsidP="00F2484F">
            <w:pPr>
              <w:rPr>
                <w:rFonts w:ascii="Arial" w:hAnsi="Arial" w:cs="Arial"/>
                <w:sz w:val="20"/>
                <w:szCs w:val="20"/>
              </w:rPr>
            </w:pPr>
            <w:r w:rsidRPr="00F2484F">
              <w:rPr>
                <w:rFonts w:ascii="Arial" w:hAnsi="Arial" w:cs="Arial"/>
                <w:sz w:val="20"/>
                <w:szCs w:val="20"/>
              </w:rPr>
              <w:t>(target only includes force employment hours)</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5</w:t>
            </w:r>
            <w:r w:rsidR="005E0553" w:rsidRPr="00F2484F">
              <w:rPr>
                <w:rFonts w:ascii="Arial" w:hAnsi="Arial" w:cs="Arial"/>
                <w:sz w:val="20"/>
                <w:szCs w:val="20"/>
              </w:rPr>
              <w:t> </w:t>
            </w:r>
            <w:r w:rsidRPr="00F2484F">
              <w:rPr>
                <w:rFonts w:ascii="Arial" w:hAnsi="Arial" w:cs="Arial"/>
                <w:sz w:val="20"/>
                <w:szCs w:val="20"/>
              </w:rPr>
              <w:t>000</w:t>
            </w:r>
          </w:p>
          <w:p w:rsidR="005E0553" w:rsidRPr="00F2484F" w:rsidRDefault="005E0553" w:rsidP="00F2484F">
            <w:pPr>
              <w:rPr>
                <w:rFonts w:ascii="Arial" w:hAnsi="Arial" w:cs="Arial"/>
                <w:sz w:val="20"/>
                <w:szCs w:val="20"/>
              </w:rPr>
            </w:pPr>
            <w:r w:rsidRPr="00F2484F">
              <w:rPr>
                <w:rFonts w:ascii="Arial" w:hAnsi="Arial" w:cs="Arial"/>
                <w:sz w:val="20"/>
                <w:szCs w:val="20"/>
              </w:rPr>
              <w:t>(target only includes force employment hours)</w:t>
            </w:r>
          </w:p>
        </w:tc>
        <w:tc>
          <w:tcPr>
            <w:tcW w:w="1692" w:type="dxa"/>
          </w:tcPr>
          <w:p w:rsidR="00E271D1" w:rsidRPr="00F2484F" w:rsidRDefault="005E0553" w:rsidP="00F2484F">
            <w:pPr>
              <w:rPr>
                <w:rFonts w:ascii="Arial" w:hAnsi="Arial" w:cs="Arial"/>
                <w:sz w:val="20"/>
                <w:szCs w:val="20"/>
              </w:rPr>
            </w:pPr>
            <w:r w:rsidRPr="00F2484F">
              <w:rPr>
                <w:rFonts w:ascii="Arial" w:hAnsi="Arial" w:cs="Arial"/>
                <w:sz w:val="20"/>
                <w:szCs w:val="20"/>
              </w:rPr>
              <w:t xml:space="preserve">25 000 </w:t>
            </w:r>
            <w:r w:rsidRPr="00F2484F">
              <w:rPr>
                <w:rFonts w:ascii="Arial" w:hAnsi="Arial" w:cs="Arial"/>
                <w:sz w:val="20"/>
                <w:szCs w:val="20"/>
              </w:rPr>
              <w:br/>
              <w:t>(n</w:t>
            </w:r>
            <w:r w:rsidR="00E271D1" w:rsidRPr="00F2484F">
              <w:rPr>
                <w:rFonts w:ascii="Arial" w:hAnsi="Arial" w:cs="Arial"/>
                <w:sz w:val="20"/>
                <w:szCs w:val="20"/>
              </w:rPr>
              <w:t xml:space="preserve">ew target inclusive of </w:t>
            </w:r>
            <w:r w:rsidR="00E271D1" w:rsidRPr="00F2484F">
              <w:rPr>
                <w:rFonts w:ascii="Arial" w:hAnsi="Arial" w:cs="Arial"/>
                <w:i/>
                <w:sz w:val="20"/>
                <w:szCs w:val="20"/>
              </w:rPr>
              <w:t xml:space="preserve">all </w:t>
            </w:r>
            <w:r w:rsidR="00E271D1" w:rsidRPr="00F2484F">
              <w:rPr>
                <w:rFonts w:ascii="Arial" w:hAnsi="Arial" w:cs="Arial"/>
                <w:sz w:val="20"/>
                <w:szCs w:val="20"/>
              </w:rPr>
              <w:t>flying hours)</w:t>
            </w:r>
          </w:p>
        </w:tc>
        <w:tc>
          <w:tcPr>
            <w:tcW w:w="1693" w:type="dxa"/>
          </w:tcPr>
          <w:p w:rsidR="00E271D1" w:rsidRPr="00F2484F" w:rsidRDefault="00E271D1" w:rsidP="00F2484F">
            <w:pPr>
              <w:rPr>
                <w:rFonts w:ascii="Arial" w:hAnsi="Arial" w:cs="Arial"/>
                <w:sz w:val="20"/>
                <w:szCs w:val="20"/>
              </w:rPr>
            </w:pPr>
            <w:r w:rsidRPr="00F2484F">
              <w:rPr>
                <w:rFonts w:ascii="Arial" w:hAnsi="Arial" w:cs="Arial"/>
                <w:sz w:val="20"/>
                <w:szCs w:val="20"/>
              </w:rPr>
              <w:t>17</w:t>
            </w:r>
            <w:r w:rsidR="005E0553" w:rsidRPr="00F2484F">
              <w:rPr>
                <w:rFonts w:ascii="Arial" w:hAnsi="Arial" w:cs="Arial"/>
                <w:sz w:val="20"/>
                <w:szCs w:val="20"/>
              </w:rPr>
              <w:t> </w:t>
            </w:r>
            <w:r w:rsidRPr="00F2484F">
              <w:rPr>
                <w:rFonts w:ascii="Arial" w:hAnsi="Arial" w:cs="Arial"/>
                <w:sz w:val="20"/>
                <w:szCs w:val="20"/>
              </w:rPr>
              <w:t>200</w:t>
            </w:r>
          </w:p>
          <w:p w:rsidR="005E0553" w:rsidRPr="00F2484F" w:rsidRDefault="005E0553" w:rsidP="00F2484F">
            <w:pPr>
              <w:rPr>
                <w:rFonts w:ascii="Arial" w:hAnsi="Arial" w:cs="Arial"/>
                <w:sz w:val="20"/>
                <w:szCs w:val="20"/>
              </w:rPr>
            </w:pPr>
            <w:r w:rsidRPr="00F2484F">
              <w:rPr>
                <w:rFonts w:ascii="Arial" w:hAnsi="Arial" w:cs="Arial"/>
                <w:sz w:val="20"/>
                <w:szCs w:val="20"/>
              </w:rPr>
              <w:t xml:space="preserve">(target inclusive of </w:t>
            </w:r>
            <w:r w:rsidRPr="00F2484F">
              <w:rPr>
                <w:rFonts w:ascii="Arial" w:hAnsi="Arial" w:cs="Arial"/>
                <w:i/>
                <w:sz w:val="20"/>
                <w:szCs w:val="20"/>
              </w:rPr>
              <w:t xml:space="preserve">all </w:t>
            </w:r>
            <w:r w:rsidRPr="00F2484F">
              <w:rPr>
                <w:rFonts w:ascii="Arial" w:hAnsi="Arial" w:cs="Arial"/>
                <w:sz w:val="20"/>
                <w:szCs w:val="20"/>
              </w:rPr>
              <w:t>flying hours)</w:t>
            </w:r>
          </w:p>
        </w:tc>
      </w:tr>
      <w:tr w:rsidR="00E271D1" w:rsidRPr="00F2484F" w:rsidTr="00573DC6">
        <w:tc>
          <w:tcPr>
            <w:tcW w:w="1506"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Flying hours Achieved</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4 785</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4 032</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4 125</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17 870</w:t>
            </w:r>
          </w:p>
        </w:tc>
        <w:tc>
          <w:tcPr>
            <w:tcW w:w="1693" w:type="dxa"/>
          </w:tcPr>
          <w:p w:rsidR="00E271D1" w:rsidRPr="00F2484F" w:rsidRDefault="00E271D1" w:rsidP="00F2484F">
            <w:pPr>
              <w:rPr>
                <w:rFonts w:ascii="Arial" w:hAnsi="Arial" w:cs="Arial"/>
                <w:sz w:val="20"/>
                <w:szCs w:val="20"/>
              </w:rPr>
            </w:pPr>
            <w:r w:rsidRPr="00F2484F">
              <w:rPr>
                <w:rFonts w:ascii="Arial" w:hAnsi="Arial" w:cs="Arial"/>
                <w:sz w:val="20"/>
                <w:szCs w:val="20"/>
              </w:rPr>
              <w:t>16 232</w:t>
            </w:r>
          </w:p>
        </w:tc>
      </w:tr>
      <w:tr w:rsidR="00E271D1" w:rsidRPr="00F2484F" w:rsidTr="00573DC6">
        <w:tc>
          <w:tcPr>
            <w:tcW w:w="1506"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VIP hours (included)</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893</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340</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496</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545</w:t>
            </w:r>
          </w:p>
        </w:tc>
        <w:tc>
          <w:tcPr>
            <w:tcW w:w="1693" w:type="dxa"/>
          </w:tcPr>
          <w:p w:rsidR="00E271D1" w:rsidRPr="00F2484F" w:rsidRDefault="00E271D1" w:rsidP="00F2484F">
            <w:pPr>
              <w:rPr>
                <w:rFonts w:ascii="Arial" w:hAnsi="Arial" w:cs="Arial"/>
                <w:sz w:val="20"/>
                <w:szCs w:val="20"/>
              </w:rPr>
            </w:pPr>
            <w:r w:rsidRPr="00F2484F">
              <w:rPr>
                <w:rFonts w:ascii="Arial" w:hAnsi="Arial" w:cs="Arial"/>
                <w:sz w:val="20"/>
                <w:szCs w:val="20"/>
              </w:rPr>
              <w:t>907.1</w:t>
            </w:r>
          </w:p>
        </w:tc>
      </w:tr>
      <w:tr w:rsidR="00E271D1" w:rsidRPr="00F2484F" w:rsidTr="00573DC6">
        <w:tc>
          <w:tcPr>
            <w:tcW w:w="1506"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Allocation for Helicopter Capability</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R619.7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R728.4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R1 099.9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R948.5 million</w:t>
            </w:r>
          </w:p>
        </w:tc>
        <w:tc>
          <w:tcPr>
            <w:tcW w:w="1693" w:type="dxa"/>
          </w:tcPr>
          <w:p w:rsidR="00E271D1" w:rsidRPr="00F2484F" w:rsidRDefault="00E271D1" w:rsidP="00F2484F">
            <w:pPr>
              <w:rPr>
                <w:rFonts w:ascii="Arial" w:hAnsi="Arial" w:cs="Arial"/>
                <w:sz w:val="20"/>
                <w:szCs w:val="20"/>
              </w:rPr>
            </w:pPr>
            <w:r w:rsidRPr="00F2484F">
              <w:rPr>
                <w:rFonts w:ascii="Arial" w:hAnsi="Arial" w:cs="Arial"/>
                <w:sz w:val="20"/>
                <w:szCs w:val="20"/>
              </w:rPr>
              <w:t>R761.9 million</w:t>
            </w:r>
          </w:p>
        </w:tc>
      </w:tr>
      <w:tr w:rsidR="00E271D1" w:rsidRPr="00F2484F" w:rsidTr="00573DC6">
        <w:tc>
          <w:tcPr>
            <w:tcW w:w="1506"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Allocation for Transport &amp; Maritime Capability</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R684.4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R594.1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R521.8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R675.8 million</w:t>
            </w:r>
          </w:p>
        </w:tc>
        <w:tc>
          <w:tcPr>
            <w:tcW w:w="1693" w:type="dxa"/>
          </w:tcPr>
          <w:p w:rsidR="00E271D1" w:rsidRPr="00F2484F" w:rsidRDefault="00E271D1" w:rsidP="00F2484F">
            <w:pPr>
              <w:rPr>
                <w:rFonts w:ascii="Arial" w:hAnsi="Arial" w:cs="Arial"/>
                <w:sz w:val="20"/>
                <w:szCs w:val="20"/>
              </w:rPr>
            </w:pPr>
            <w:r w:rsidRPr="00F2484F">
              <w:rPr>
                <w:rFonts w:ascii="Arial" w:hAnsi="Arial" w:cs="Arial"/>
                <w:sz w:val="20"/>
                <w:szCs w:val="20"/>
              </w:rPr>
              <w:t>R564.7 million</w:t>
            </w:r>
          </w:p>
        </w:tc>
      </w:tr>
      <w:tr w:rsidR="00E271D1" w:rsidRPr="00F2484F" w:rsidTr="00573DC6">
        <w:tc>
          <w:tcPr>
            <w:tcW w:w="1506"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Allocation for Air Combat Capability</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R1 368.8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R1 230.1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R783.4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R840.1 million</w:t>
            </w:r>
          </w:p>
        </w:tc>
        <w:tc>
          <w:tcPr>
            <w:tcW w:w="1693" w:type="dxa"/>
          </w:tcPr>
          <w:p w:rsidR="00E271D1" w:rsidRPr="00F2484F" w:rsidRDefault="00E271D1" w:rsidP="00F2484F">
            <w:pPr>
              <w:rPr>
                <w:rFonts w:ascii="Arial" w:hAnsi="Arial" w:cs="Arial"/>
                <w:sz w:val="20"/>
                <w:szCs w:val="20"/>
              </w:rPr>
            </w:pPr>
            <w:r w:rsidRPr="00F2484F">
              <w:rPr>
                <w:rFonts w:ascii="Arial" w:hAnsi="Arial" w:cs="Arial"/>
                <w:sz w:val="20"/>
                <w:szCs w:val="20"/>
              </w:rPr>
              <w:t>R659.5 million</w:t>
            </w:r>
          </w:p>
        </w:tc>
      </w:tr>
      <w:tr w:rsidR="00E271D1" w:rsidRPr="00F2484F" w:rsidTr="00573DC6">
        <w:tc>
          <w:tcPr>
            <w:tcW w:w="1506" w:type="dxa"/>
            <w:shd w:val="clear" w:color="auto" w:fill="9CC2E5" w:themeFill="accent1" w:themeFillTint="99"/>
          </w:tcPr>
          <w:p w:rsidR="00E271D1" w:rsidRPr="00F2484F" w:rsidRDefault="00E271D1" w:rsidP="00F2484F">
            <w:pPr>
              <w:rPr>
                <w:rFonts w:ascii="Arial" w:hAnsi="Arial" w:cs="Arial"/>
                <w:b/>
                <w:sz w:val="20"/>
                <w:szCs w:val="20"/>
              </w:rPr>
            </w:pPr>
            <w:r w:rsidRPr="00F2484F">
              <w:rPr>
                <w:rFonts w:ascii="Arial" w:hAnsi="Arial" w:cs="Arial"/>
                <w:b/>
                <w:sz w:val="20"/>
                <w:szCs w:val="20"/>
              </w:rPr>
              <w:t>Allocation for Fuel, Oil &amp; Gas</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R244.3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R189.9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R212.1 million</w:t>
            </w:r>
          </w:p>
        </w:tc>
        <w:tc>
          <w:tcPr>
            <w:tcW w:w="1692" w:type="dxa"/>
          </w:tcPr>
          <w:p w:rsidR="00E271D1" w:rsidRPr="00F2484F" w:rsidRDefault="00E271D1" w:rsidP="00F2484F">
            <w:pPr>
              <w:rPr>
                <w:rFonts w:ascii="Arial" w:hAnsi="Arial" w:cs="Arial"/>
                <w:sz w:val="20"/>
                <w:szCs w:val="20"/>
              </w:rPr>
            </w:pPr>
            <w:r w:rsidRPr="00F2484F">
              <w:rPr>
                <w:rFonts w:ascii="Arial" w:hAnsi="Arial" w:cs="Arial"/>
                <w:sz w:val="20"/>
                <w:szCs w:val="20"/>
              </w:rPr>
              <w:t>R173.0 million</w:t>
            </w:r>
          </w:p>
        </w:tc>
        <w:tc>
          <w:tcPr>
            <w:tcW w:w="1693" w:type="dxa"/>
          </w:tcPr>
          <w:p w:rsidR="00E271D1" w:rsidRPr="00F2484F" w:rsidRDefault="00E271D1" w:rsidP="00F2484F">
            <w:pPr>
              <w:rPr>
                <w:rFonts w:ascii="Arial" w:hAnsi="Arial" w:cs="Arial"/>
                <w:sz w:val="20"/>
                <w:szCs w:val="20"/>
              </w:rPr>
            </w:pPr>
            <w:r w:rsidRPr="00F2484F">
              <w:rPr>
                <w:rFonts w:ascii="Arial" w:hAnsi="Arial" w:cs="Arial"/>
                <w:sz w:val="20"/>
                <w:szCs w:val="20"/>
              </w:rPr>
              <w:t>R248.2 million</w:t>
            </w:r>
          </w:p>
        </w:tc>
      </w:tr>
    </w:tbl>
    <w:p w:rsidR="00E271D1" w:rsidRPr="00F2484F" w:rsidRDefault="00E271D1" w:rsidP="00F2484F">
      <w:pPr>
        <w:autoSpaceDE w:val="0"/>
        <w:autoSpaceDN w:val="0"/>
        <w:adjustRightInd w:val="0"/>
        <w:ind w:right="54"/>
        <w:rPr>
          <w:rFonts w:ascii="Arial" w:hAnsi="Arial" w:cs="Arial"/>
          <w:b/>
          <w:sz w:val="20"/>
          <w:szCs w:val="20"/>
        </w:rPr>
      </w:pPr>
      <w:r w:rsidRPr="00F2484F">
        <w:rPr>
          <w:rFonts w:ascii="Arial" w:hAnsi="Arial" w:cs="Arial"/>
          <w:b/>
          <w:sz w:val="20"/>
          <w:szCs w:val="20"/>
        </w:rPr>
        <w:t>Table 8: SA Air Force flying hours</w:t>
      </w:r>
    </w:p>
    <w:p w:rsidR="008D4FDE" w:rsidRPr="00F2484F" w:rsidRDefault="008D4FDE" w:rsidP="00F2484F">
      <w:pPr>
        <w:autoSpaceDE w:val="0"/>
        <w:autoSpaceDN w:val="0"/>
        <w:adjustRightInd w:val="0"/>
        <w:ind w:right="54"/>
        <w:rPr>
          <w:rFonts w:ascii="Arial" w:hAnsi="Arial" w:cs="Arial"/>
          <w:sz w:val="20"/>
          <w:szCs w:val="20"/>
        </w:rPr>
      </w:pPr>
    </w:p>
    <w:p w:rsidR="00E271D1" w:rsidRPr="00F2484F" w:rsidRDefault="00E271D1" w:rsidP="00F2484F">
      <w:pPr>
        <w:autoSpaceDE w:val="0"/>
        <w:autoSpaceDN w:val="0"/>
        <w:adjustRightInd w:val="0"/>
        <w:ind w:right="54"/>
        <w:rPr>
          <w:rFonts w:ascii="Arial" w:hAnsi="Arial" w:cs="Arial"/>
          <w:sz w:val="20"/>
          <w:szCs w:val="20"/>
        </w:rPr>
      </w:pPr>
      <w:r w:rsidRPr="00F2484F">
        <w:rPr>
          <w:rFonts w:ascii="Arial" w:hAnsi="Arial" w:cs="Arial"/>
          <w:sz w:val="20"/>
          <w:szCs w:val="20"/>
        </w:rPr>
        <w:t>The Covid-19 pandemic also had a significant impact on the SANDF’s training schedule. In this regard, the PCDMV made a recommendation in its 2021 BRRR that “while the Committee expressed understanding that the Covid-19 pandemic impacted on the DOD’s training programme, the Department should ensure that training targets in various programmes are met going forward.” The Committee also noted that Covid-19 impacted on the number of Joint, Interdepartmental, Interagency and Multinational military exercises conducted. These integrated exercises are central to maintaining conventional force readiness.</w:t>
      </w:r>
    </w:p>
    <w:p w:rsidR="00E271D1" w:rsidRPr="00F2484F" w:rsidRDefault="00E271D1" w:rsidP="00F2484F">
      <w:pPr>
        <w:autoSpaceDE w:val="0"/>
        <w:autoSpaceDN w:val="0"/>
        <w:adjustRightInd w:val="0"/>
        <w:ind w:right="54"/>
        <w:rPr>
          <w:rFonts w:ascii="Arial" w:hAnsi="Arial" w:cs="Arial"/>
          <w:sz w:val="20"/>
          <w:szCs w:val="20"/>
        </w:rPr>
      </w:pPr>
    </w:p>
    <w:p w:rsidR="004E164D" w:rsidRPr="00F2484F" w:rsidRDefault="004E164D" w:rsidP="00F2484F">
      <w:pPr>
        <w:autoSpaceDE w:val="0"/>
        <w:autoSpaceDN w:val="0"/>
        <w:adjustRightInd w:val="0"/>
        <w:ind w:right="54"/>
        <w:rPr>
          <w:rFonts w:ascii="Arial" w:hAnsi="Arial" w:cs="Arial"/>
          <w:sz w:val="20"/>
          <w:szCs w:val="20"/>
        </w:rPr>
      </w:pPr>
    </w:p>
    <w:p w:rsidR="004E164D" w:rsidRPr="00F2484F" w:rsidRDefault="004E164D" w:rsidP="00F2484F">
      <w:pPr>
        <w:autoSpaceDE w:val="0"/>
        <w:autoSpaceDN w:val="0"/>
        <w:adjustRightInd w:val="0"/>
        <w:ind w:right="54"/>
        <w:rPr>
          <w:rFonts w:ascii="Arial" w:hAnsi="Arial" w:cs="Arial"/>
          <w:sz w:val="20"/>
          <w:szCs w:val="20"/>
        </w:rPr>
      </w:pPr>
    </w:p>
    <w:p w:rsidR="004E164D" w:rsidRPr="00F2484F" w:rsidRDefault="004E164D" w:rsidP="00F2484F">
      <w:pPr>
        <w:autoSpaceDE w:val="0"/>
        <w:autoSpaceDN w:val="0"/>
        <w:adjustRightInd w:val="0"/>
        <w:ind w:right="54"/>
        <w:rPr>
          <w:rFonts w:ascii="Arial" w:hAnsi="Arial" w:cs="Arial"/>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 xml:space="preserve">8. </w:t>
      </w:r>
      <w:r w:rsidRPr="00F2484F">
        <w:rPr>
          <w:rFonts w:ascii="Arial" w:hAnsi="Arial" w:cs="Arial"/>
          <w:b/>
          <w:sz w:val="20"/>
          <w:szCs w:val="20"/>
        </w:rPr>
        <w:tab/>
        <w:t xml:space="preserve">OBSERVATIONS </w:t>
      </w:r>
    </w:p>
    <w:p w:rsidR="00E271D1" w:rsidRPr="00F2484F" w:rsidRDefault="00E271D1" w:rsidP="00F2484F">
      <w:pPr>
        <w:ind w:right="54"/>
        <w:rPr>
          <w:rFonts w:ascii="Arial" w:hAnsi="Arial" w:cs="Arial"/>
          <w:b/>
          <w:sz w:val="20"/>
          <w:szCs w:val="20"/>
        </w:rPr>
      </w:pPr>
    </w:p>
    <w:p w:rsidR="00E271D1" w:rsidRPr="00F2484F" w:rsidRDefault="00E271D1" w:rsidP="00F2484F">
      <w:pPr>
        <w:ind w:right="54"/>
        <w:rPr>
          <w:rFonts w:ascii="Arial" w:hAnsi="Arial" w:cs="Arial"/>
          <w:sz w:val="20"/>
          <w:szCs w:val="20"/>
        </w:rPr>
      </w:pPr>
      <w:r w:rsidRPr="00F2484F">
        <w:rPr>
          <w:rFonts w:ascii="Arial" w:hAnsi="Arial" w:cs="Arial"/>
          <w:sz w:val="20"/>
          <w:szCs w:val="20"/>
        </w:rPr>
        <w:t>Based on the above, the Committee makes the following observations:</w:t>
      </w:r>
    </w:p>
    <w:p w:rsidR="00E271D1" w:rsidRPr="00F2484F" w:rsidRDefault="00E271D1" w:rsidP="00F2484F">
      <w:pPr>
        <w:ind w:right="54"/>
        <w:rPr>
          <w:rFonts w:ascii="Arial" w:hAnsi="Arial" w:cs="Arial"/>
          <w:sz w:val="20"/>
          <w:szCs w:val="20"/>
        </w:rPr>
      </w:pP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 xml:space="preserve">The Committee notes that the integration process has formally been concluded and subsequent efforts at integration appropriately </w:t>
      </w:r>
      <w:r w:rsidR="005E0553" w:rsidRPr="00F2484F">
        <w:rPr>
          <w:rFonts w:ascii="Arial" w:hAnsi="Arial" w:cs="Arial"/>
          <w:sz w:val="20"/>
          <w:szCs w:val="20"/>
        </w:rPr>
        <w:t>finalised</w:t>
      </w:r>
      <w:r w:rsidRPr="00F2484F">
        <w:rPr>
          <w:rFonts w:ascii="Arial" w:hAnsi="Arial" w:cs="Arial"/>
          <w:sz w:val="20"/>
          <w:szCs w:val="20"/>
        </w:rPr>
        <w:t xml:space="preserve"> by parliamentary structures. </w:t>
      </w:r>
      <w:r w:rsidR="0005066A" w:rsidRPr="00F2484F">
        <w:rPr>
          <w:rFonts w:ascii="Arial" w:hAnsi="Arial" w:cs="Arial"/>
          <w:sz w:val="20"/>
          <w:szCs w:val="20"/>
        </w:rPr>
        <w:t>T</w:t>
      </w:r>
      <w:r w:rsidRPr="00F2484F">
        <w:rPr>
          <w:rFonts w:ascii="Arial" w:hAnsi="Arial" w:cs="Arial"/>
          <w:sz w:val="20"/>
          <w:szCs w:val="20"/>
        </w:rPr>
        <w:t>he Committee notes that minor concerns around the integration process</w:t>
      </w:r>
      <w:r w:rsidR="005E0553" w:rsidRPr="00F2484F">
        <w:rPr>
          <w:rFonts w:ascii="Arial" w:hAnsi="Arial" w:cs="Arial"/>
          <w:sz w:val="20"/>
          <w:szCs w:val="20"/>
        </w:rPr>
        <w:t>,</w:t>
      </w:r>
      <w:r w:rsidRPr="00F2484F">
        <w:rPr>
          <w:rFonts w:ascii="Arial" w:hAnsi="Arial" w:cs="Arial"/>
          <w:sz w:val="20"/>
          <w:szCs w:val="20"/>
        </w:rPr>
        <w:t xml:space="preserve"> such as the use of dated force numbers and queries around military promotions</w:t>
      </w:r>
      <w:r w:rsidR="005E0553" w:rsidRPr="00F2484F">
        <w:rPr>
          <w:rFonts w:ascii="Arial" w:hAnsi="Arial" w:cs="Arial"/>
          <w:sz w:val="20"/>
          <w:szCs w:val="20"/>
        </w:rPr>
        <w:t>,</w:t>
      </w:r>
      <w:r w:rsidRPr="00F2484F">
        <w:rPr>
          <w:rFonts w:ascii="Arial" w:hAnsi="Arial" w:cs="Arial"/>
          <w:sz w:val="20"/>
          <w:szCs w:val="20"/>
        </w:rPr>
        <w:t xml:space="preserve"> still remain.</w:t>
      </w: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The Committee appreciates the immense work done since 1996 in making the SANDF more representative of the people of South Africa. Yet, the Committee also observe</w:t>
      </w:r>
      <w:r w:rsidR="0005066A" w:rsidRPr="00F2484F">
        <w:rPr>
          <w:rFonts w:ascii="Arial" w:hAnsi="Arial" w:cs="Arial"/>
          <w:sz w:val="20"/>
          <w:szCs w:val="20"/>
        </w:rPr>
        <w:t>s</w:t>
      </w:r>
      <w:r w:rsidRPr="00F2484F">
        <w:rPr>
          <w:rFonts w:ascii="Arial" w:hAnsi="Arial" w:cs="Arial"/>
          <w:sz w:val="20"/>
          <w:szCs w:val="20"/>
        </w:rPr>
        <w:t xml:space="preserve"> concerns going forward in maintaining this goal given the skewed nature of recent MSDS intakes as it relates to equity targets.</w:t>
      </w:r>
    </w:p>
    <w:p w:rsidR="00E271D1" w:rsidRPr="00F2484F" w:rsidRDefault="000F3B69" w:rsidP="00F2484F">
      <w:pPr>
        <w:pStyle w:val="ListParagraph"/>
        <w:numPr>
          <w:ilvl w:val="0"/>
          <w:numId w:val="8"/>
        </w:numPr>
        <w:ind w:right="54"/>
        <w:rPr>
          <w:rFonts w:ascii="Arial" w:hAnsi="Arial" w:cs="Arial"/>
          <w:sz w:val="20"/>
          <w:szCs w:val="20"/>
        </w:rPr>
      </w:pPr>
      <w:r w:rsidRPr="00F2484F">
        <w:rPr>
          <w:rFonts w:ascii="Arial" w:hAnsi="Arial" w:cs="Arial"/>
          <w:sz w:val="20"/>
          <w:szCs w:val="20"/>
        </w:rPr>
        <w:t>As of December 2022, t</w:t>
      </w:r>
      <w:r w:rsidR="00E271D1" w:rsidRPr="00F2484F">
        <w:rPr>
          <w:rFonts w:ascii="Arial" w:hAnsi="Arial" w:cs="Arial"/>
          <w:sz w:val="20"/>
          <w:szCs w:val="20"/>
        </w:rPr>
        <w:t xml:space="preserve">he Committee accepts that it is yet to undertake a detailed study of the level of morale in the DOD, but it notes indicators from </w:t>
      </w:r>
      <w:r w:rsidR="008D4FDE" w:rsidRPr="00F2484F">
        <w:rPr>
          <w:rFonts w:ascii="Arial" w:hAnsi="Arial" w:cs="Arial"/>
          <w:sz w:val="20"/>
          <w:szCs w:val="20"/>
        </w:rPr>
        <w:t>structures</w:t>
      </w:r>
      <w:r w:rsidR="00E271D1" w:rsidRPr="00F2484F">
        <w:rPr>
          <w:rFonts w:ascii="Arial" w:hAnsi="Arial" w:cs="Arial"/>
          <w:sz w:val="20"/>
          <w:szCs w:val="20"/>
        </w:rPr>
        <w:t xml:space="preserve"> such as the DFSC that efforts to boost morale should be enhanced.</w:t>
      </w: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In relation to defence readiness, the Committee confirms the finding of the 2015 Defence Review that the SANDF is “in a critical state of decline” and that</w:t>
      </w:r>
      <w:r w:rsidR="000F3B69" w:rsidRPr="00F2484F">
        <w:rPr>
          <w:rFonts w:ascii="Arial" w:hAnsi="Arial" w:cs="Arial"/>
          <w:sz w:val="20"/>
          <w:szCs w:val="20"/>
        </w:rPr>
        <w:t>, by December 2022,</w:t>
      </w:r>
      <w:r w:rsidRPr="00F2484F">
        <w:rPr>
          <w:rFonts w:ascii="Arial" w:hAnsi="Arial" w:cs="Arial"/>
          <w:sz w:val="20"/>
          <w:szCs w:val="20"/>
        </w:rPr>
        <w:t xml:space="preserve"> the </w:t>
      </w:r>
      <w:r w:rsidRPr="00F2484F">
        <w:rPr>
          <w:rFonts w:ascii="Arial" w:hAnsi="Arial" w:cs="Arial"/>
          <w:i/>
          <w:sz w:val="20"/>
          <w:szCs w:val="20"/>
        </w:rPr>
        <w:t>status quo</w:t>
      </w:r>
      <w:r w:rsidRPr="00F2484F">
        <w:rPr>
          <w:rFonts w:ascii="Arial" w:hAnsi="Arial" w:cs="Arial"/>
          <w:sz w:val="20"/>
          <w:szCs w:val="20"/>
        </w:rPr>
        <w:t xml:space="preserve"> remains with little progress made to address ongoing challenges.</w:t>
      </w: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 xml:space="preserve">The Committee observes an increased reliance on the SANDF for both internal (domestic) deployments in support of the SAPS and other government departments, in addition to its external conventional </w:t>
      </w:r>
      <w:r w:rsidRPr="00F2484F">
        <w:rPr>
          <w:rFonts w:ascii="Arial" w:hAnsi="Arial" w:cs="Arial"/>
          <w:sz w:val="20"/>
          <w:szCs w:val="20"/>
        </w:rPr>
        <w:lastRenderedPageBreak/>
        <w:t>peacekeeping and peace enforcement operations</w:t>
      </w:r>
      <w:r w:rsidR="00550AA0" w:rsidRPr="00F2484F">
        <w:rPr>
          <w:rFonts w:ascii="Arial" w:hAnsi="Arial" w:cs="Arial"/>
          <w:sz w:val="20"/>
          <w:szCs w:val="20"/>
        </w:rPr>
        <w:t>. While aligned to its Constitutional mandate, t</w:t>
      </w:r>
      <w:r w:rsidR="00550AA0" w:rsidRPr="00F2484F">
        <w:rPr>
          <w:rFonts w:ascii="Arial" w:hAnsi="Arial" w:cs="Arial"/>
          <w:bCs/>
          <w:sz w:val="20"/>
          <w:szCs w:val="20"/>
        </w:rPr>
        <w:t>he SANDF is, in some instances, not fully suited, trained, funded and equipped for these internal deployments.</w:t>
      </w: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 xml:space="preserve">The Committee acknowledges that the </w:t>
      </w:r>
      <w:r w:rsidR="00550AA0" w:rsidRPr="00F2484F">
        <w:rPr>
          <w:rFonts w:ascii="Arial" w:hAnsi="Arial" w:cs="Arial"/>
          <w:sz w:val="20"/>
          <w:szCs w:val="20"/>
        </w:rPr>
        <w:t>decreasing (in real terms)</w:t>
      </w:r>
      <w:r w:rsidRPr="00F2484F">
        <w:rPr>
          <w:rFonts w:ascii="Arial" w:hAnsi="Arial" w:cs="Arial"/>
          <w:sz w:val="20"/>
          <w:szCs w:val="20"/>
        </w:rPr>
        <w:t xml:space="preserve"> defence budgetary allocation is not commensurate with the increasing operational </w:t>
      </w:r>
      <w:r w:rsidR="00A70DC2" w:rsidRPr="00F2484F">
        <w:rPr>
          <w:rFonts w:ascii="Arial" w:hAnsi="Arial" w:cs="Arial"/>
          <w:sz w:val="20"/>
          <w:szCs w:val="20"/>
        </w:rPr>
        <w:t xml:space="preserve">and unbudgeted deployment </w:t>
      </w:r>
      <w:r w:rsidRPr="00F2484F">
        <w:rPr>
          <w:rFonts w:ascii="Arial" w:hAnsi="Arial" w:cs="Arial"/>
          <w:sz w:val="20"/>
          <w:szCs w:val="20"/>
        </w:rPr>
        <w:t>demands being placed on the SANDF.</w:t>
      </w:r>
    </w:p>
    <w:p w:rsidR="00E271D1" w:rsidRPr="00F2484F" w:rsidRDefault="00E271D1" w:rsidP="00F2484F">
      <w:pPr>
        <w:pStyle w:val="ListParagraph"/>
        <w:numPr>
          <w:ilvl w:val="0"/>
          <w:numId w:val="8"/>
        </w:numPr>
        <w:rPr>
          <w:rFonts w:ascii="Arial" w:hAnsi="Arial" w:cs="Arial"/>
          <w:sz w:val="20"/>
          <w:szCs w:val="20"/>
          <w:lang w:val="en-ZA"/>
        </w:rPr>
      </w:pPr>
      <w:r w:rsidRPr="00F2484F">
        <w:rPr>
          <w:rFonts w:ascii="Arial" w:hAnsi="Arial" w:cs="Arial"/>
          <w:sz w:val="20"/>
          <w:szCs w:val="20"/>
        </w:rPr>
        <w:t>The Committee notes that the declining defence allocation as a percentage of the GDP is of concern, out of step with international trends and impacts negatively on long-term defence sustainability.</w:t>
      </w:r>
      <w:r w:rsidR="0024700B" w:rsidRPr="00F2484F">
        <w:rPr>
          <w:rFonts w:ascii="Arial" w:hAnsi="Arial" w:cs="Arial"/>
          <w:sz w:val="20"/>
          <w:szCs w:val="20"/>
        </w:rPr>
        <w:t xml:space="preserve"> The Committee notes the ongoing disjuncture between Treasury and the D</w:t>
      </w:r>
      <w:r w:rsidR="00523263" w:rsidRPr="00F2484F">
        <w:rPr>
          <w:rFonts w:ascii="Arial" w:hAnsi="Arial" w:cs="Arial"/>
          <w:sz w:val="20"/>
          <w:szCs w:val="20"/>
        </w:rPr>
        <w:t>O</w:t>
      </w:r>
      <w:r w:rsidR="0024700B" w:rsidRPr="00F2484F">
        <w:rPr>
          <w:rFonts w:ascii="Arial" w:hAnsi="Arial" w:cs="Arial"/>
          <w:sz w:val="20"/>
          <w:szCs w:val="20"/>
        </w:rPr>
        <w:t>D, whereby the Department current has an unfunded organigram, and has had this for numerous consecutive years.  Neither department has been able to correct this issue, resulting in a funding deficit which impacts on the financial performance of the Department.</w:t>
      </w: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The Committee notes that the reduced defence allocation impacts negatively on the maintenance of sovereign defence capabilities.</w:t>
      </w: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The Committee acknowledges that while the defence allocation may not be sufficient, the</w:t>
      </w:r>
      <w:r w:rsidR="00595B51" w:rsidRPr="00F2484F">
        <w:rPr>
          <w:rFonts w:ascii="Arial" w:hAnsi="Arial" w:cs="Arial"/>
          <w:sz w:val="20"/>
          <w:szCs w:val="20"/>
        </w:rPr>
        <w:t>re is</w:t>
      </w:r>
      <w:r w:rsidRPr="00F2484F">
        <w:rPr>
          <w:rFonts w:ascii="Arial" w:hAnsi="Arial" w:cs="Arial"/>
          <w:sz w:val="20"/>
          <w:szCs w:val="20"/>
        </w:rPr>
        <w:t xml:space="preserve"> misalignment of defence spending</w:t>
      </w:r>
      <w:r w:rsidR="00595B51" w:rsidRPr="00F2484F">
        <w:rPr>
          <w:rFonts w:ascii="Arial" w:hAnsi="Arial" w:cs="Arial"/>
          <w:sz w:val="20"/>
          <w:szCs w:val="20"/>
        </w:rPr>
        <w:t xml:space="preserve">, notably </w:t>
      </w:r>
      <w:r w:rsidRPr="00F2484F">
        <w:rPr>
          <w:rFonts w:ascii="Arial" w:hAnsi="Arial" w:cs="Arial"/>
          <w:sz w:val="20"/>
          <w:szCs w:val="20"/>
        </w:rPr>
        <w:t>the increasing expenditure on Compensation of Employees as a percentage of the defence budget since 2010.</w:t>
      </w:r>
      <w:r w:rsidR="00523263" w:rsidRPr="00F2484F">
        <w:rPr>
          <w:rFonts w:ascii="Arial" w:hAnsi="Arial" w:cs="Arial"/>
          <w:sz w:val="20"/>
          <w:szCs w:val="20"/>
        </w:rPr>
        <w:t xml:space="preserve"> The Committee acknowledges that efforts are under way in the DOD to address this.</w:t>
      </w: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 xml:space="preserve">The Committee expresses its concern around the decreasing availability of Prime Mission Equipment </w:t>
      </w:r>
      <w:r w:rsidR="00A70DC2" w:rsidRPr="00F2484F">
        <w:rPr>
          <w:rFonts w:ascii="Arial" w:hAnsi="Arial" w:cs="Arial"/>
          <w:sz w:val="20"/>
          <w:szCs w:val="20"/>
        </w:rPr>
        <w:t xml:space="preserve">and inadequate logistical support </w:t>
      </w:r>
      <w:r w:rsidRPr="00F2484F">
        <w:rPr>
          <w:rFonts w:ascii="Arial" w:hAnsi="Arial" w:cs="Arial"/>
          <w:sz w:val="20"/>
          <w:szCs w:val="20"/>
        </w:rPr>
        <w:t>due to maintenance constraints as well as the lack of new acquisition initiatives.</w:t>
      </w:r>
      <w:r w:rsidR="00B3053F" w:rsidRPr="00F2484F">
        <w:rPr>
          <w:rFonts w:ascii="Arial" w:hAnsi="Arial" w:cs="Arial"/>
          <w:sz w:val="20"/>
          <w:szCs w:val="20"/>
        </w:rPr>
        <w:t xml:space="preserve"> However, the Committee remains hopeful that National Treasury will accede to the request of the PCDMV in its 2022 BRRR to urgently fund selected prime mission equipment maintenance and acquisition</w:t>
      </w:r>
      <w:r w:rsidR="00056C45" w:rsidRPr="00F2484F">
        <w:rPr>
          <w:rFonts w:ascii="Arial" w:hAnsi="Arial" w:cs="Arial"/>
          <w:sz w:val="20"/>
          <w:szCs w:val="20"/>
        </w:rPr>
        <w:t>, especially as it relates to logistical support provision for deployed forces</w:t>
      </w:r>
      <w:r w:rsidR="00B3053F" w:rsidRPr="00F2484F">
        <w:rPr>
          <w:rFonts w:ascii="Arial" w:hAnsi="Arial" w:cs="Arial"/>
          <w:sz w:val="20"/>
          <w:szCs w:val="20"/>
        </w:rPr>
        <w:t>.</w:t>
      </w: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The Committee notes decreased training efforts, specifically around Prime Mission Equipment in the SA Air Force and SA Navy</w:t>
      </w:r>
      <w:r w:rsidR="00550AA0" w:rsidRPr="00F2484F">
        <w:rPr>
          <w:rFonts w:ascii="Arial" w:hAnsi="Arial" w:cs="Arial"/>
          <w:sz w:val="20"/>
          <w:szCs w:val="20"/>
        </w:rPr>
        <w:t>. Further engagements by the JSCD also revealed similar concerns around training in other arms of service and especially in the Reserve Force.</w:t>
      </w:r>
    </w:p>
    <w:p w:rsidR="00E271D1" w:rsidRPr="00F2484F" w:rsidRDefault="00E271D1" w:rsidP="00F2484F">
      <w:pPr>
        <w:pStyle w:val="ListParagraph"/>
        <w:numPr>
          <w:ilvl w:val="0"/>
          <w:numId w:val="8"/>
        </w:numPr>
        <w:ind w:right="54"/>
        <w:rPr>
          <w:rFonts w:ascii="Arial" w:hAnsi="Arial" w:cs="Arial"/>
          <w:sz w:val="20"/>
          <w:szCs w:val="20"/>
        </w:rPr>
      </w:pPr>
      <w:r w:rsidRPr="00F2484F">
        <w:rPr>
          <w:rFonts w:ascii="Arial" w:hAnsi="Arial" w:cs="Arial"/>
          <w:sz w:val="20"/>
          <w:szCs w:val="20"/>
        </w:rPr>
        <w:t xml:space="preserve">The Committee concludes that the level of defence readiness of the SANDF, </w:t>
      </w:r>
      <w:r w:rsidR="00550AA0" w:rsidRPr="00F2484F">
        <w:rPr>
          <w:rFonts w:ascii="Arial" w:hAnsi="Arial" w:cs="Arial"/>
          <w:sz w:val="20"/>
          <w:szCs w:val="20"/>
        </w:rPr>
        <w:t>including its</w:t>
      </w:r>
      <w:r w:rsidRPr="00F2484F">
        <w:rPr>
          <w:rFonts w:ascii="Arial" w:hAnsi="Arial" w:cs="Arial"/>
          <w:sz w:val="20"/>
          <w:szCs w:val="20"/>
        </w:rPr>
        <w:t xml:space="preserve"> conventional </w:t>
      </w:r>
      <w:r w:rsidR="00550AA0" w:rsidRPr="00F2484F">
        <w:rPr>
          <w:rFonts w:ascii="Arial" w:hAnsi="Arial" w:cs="Arial"/>
          <w:sz w:val="20"/>
          <w:szCs w:val="20"/>
        </w:rPr>
        <w:t xml:space="preserve">and secondary </w:t>
      </w:r>
      <w:r w:rsidRPr="00F2484F">
        <w:rPr>
          <w:rFonts w:ascii="Arial" w:hAnsi="Arial" w:cs="Arial"/>
          <w:sz w:val="20"/>
          <w:szCs w:val="20"/>
        </w:rPr>
        <w:t>military role</w:t>
      </w:r>
      <w:r w:rsidR="00550AA0" w:rsidRPr="00F2484F">
        <w:rPr>
          <w:rFonts w:ascii="Arial" w:hAnsi="Arial" w:cs="Arial"/>
          <w:sz w:val="20"/>
          <w:szCs w:val="20"/>
        </w:rPr>
        <w:t>s</w:t>
      </w:r>
      <w:r w:rsidRPr="00F2484F">
        <w:rPr>
          <w:rFonts w:ascii="Arial" w:hAnsi="Arial" w:cs="Arial"/>
          <w:sz w:val="20"/>
          <w:szCs w:val="20"/>
        </w:rPr>
        <w:t xml:space="preserve">, </w:t>
      </w:r>
      <w:r w:rsidR="00B3053F" w:rsidRPr="00F2484F">
        <w:rPr>
          <w:rFonts w:ascii="Arial" w:hAnsi="Arial" w:cs="Arial"/>
          <w:sz w:val="20"/>
          <w:szCs w:val="20"/>
        </w:rPr>
        <w:t>is</w:t>
      </w:r>
      <w:r w:rsidRPr="00F2484F">
        <w:rPr>
          <w:rFonts w:ascii="Arial" w:hAnsi="Arial" w:cs="Arial"/>
          <w:sz w:val="20"/>
          <w:szCs w:val="20"/>
        </w:rPr>
        <w:t xml:space="preserve"> deteriorat</w:t>
      </w:r>
      <w:r w:rsidR="00B3053F" w:rsidRPr="00F2484F">
        <w:rPr>
          <w:rFonts w:ascii="Arial" w:hAnsi="Arial" w:cs="Arial"/>
          <w:sz w:val="20"/>
          <w:szCs w:val="20"/>
        </w:rPr>
        <w:t>ing</w:t>
      </w:r>
      <w:r w:rsidRPr="00F2484F">
        <w:rPr>
          <w:rFonts w:ascii="Arial" w:hAnsi="Arial" w:cs="Arial"/>
          <w:sz w:val="20"/>
          <w:szCs w:val="20"/>
        </w:rPr>
        <w:t xml:space="preserve"> and is in urgent need of redress to prevent the loss of capabilities and conventional obsolescence. </w:t>
      </w:r>
      <w:r w:rsidR="00A70DC2" w:rsidRPr="00F2484F">
        <w:rPr>
          <w:rFonts w:ascii="Arial" w:hAnsi="Arial" w:cs="Arial"/>
          <w:sz w:val="20"/>
          <w:szCs w:val="20"/>
        </w:rPr>
        <w:t xml:space="preserve">Delays in addressing this decline will impact the SANDF’s ability to fulfil its Constitutional mandate. </w:t>
      </w:r>
    </w:p>
    <w:p w:rsidR="00595B51" w:rsidRPr="00F2484F" w:rsidRDefault="00595B51" w:rsidP="00F2484F">
      <w:pPr>
        <w:ind w:right="54"/>
        <w:rPr>
          <w:rFonts w:ascii="Arial" w:hAnsi="Arial" w:cs="Arial"/>
          <w:sz w:val="20"/>
          <w:szCs w:val="20"/>
        </w:rPr>
      </w:pPr>
    </w:p>
    <w:p w:rsidR="00E271D1" w:rsidRPr="00F2484F" w:rsidRDefault="00E271D1" w:rsidP="00F2484F">
      <w:pPr>
        <w:ind w:right="54"/>
        <w:rPr>
          <w:rFonts w:ascii="Arial" w:hAnsi="Arial" w:cs="Arial"/>
          <w:b/>
          <w:sz w:val="20"/>
          <w:szCs w:val="20"/>
        </w:rPr>
      </w:pPr>
      <w:r w:rsidRPr="00F2484F">
        <w:rPr>
          <w:rFonts w:ascii="Arial" w:hAnsi="Arial" w:cs="Arial"/>
          <w:b/>
          <w:sz w:val="20"/>
          <w:szCs w:val="20"/>
        </w:rPr>
        <w:t xml:space="preserve">9. </w:t>
      </w:r>
      <w:r w:rsidRPr="00F2484F">
        <w:rPr>
          <w:rFonts w:ascii="Arial" w:hAnsi="Arial" w:cs="Arial"/>
          <w:b/>
          <w:sz w:val="20"/>
          <w:szCs w:val="20"/>
        </w:rPr>
        <w:tab/>
        <w:t>RECOMMENDATIONS BY THE COMMITTEE</w:t>
      </w:r>
      <w:r w:rsidR="00056C45" w:rsidRPr="00F2484F">
        <w:rPr>
          <w:rFonts w:ascii="Arial" w:hAnsi="Arial" w:cs="Arial"/>
          <w:b/>
          <w:sz w:val="20"/>
          <w:szCs w:val="20"/>
        </w:rPr>
        <w:t xml:space="preserve"> TO THE HOUSES OF PARLIAMENT</w:t>
      </w:r>
    </w:p>
    <w:p w:rsidR="00E271D1" w:rsidRPr="00F2484F" w:rsidRDefault="00E271D1" w:rsidP="00F2484F">
      <w:pPr>
        <w:ind w:right="54"/>
        <w:rPr>
          <w:rFonts w:ascii="Arial" w:hAnsi="Arial" w:cs="Arial"/>
          <w:b/>
          <w:sz w:val="20"/>
          <w:szCs w:val="20"/>
        </w:rPr>
      </w:pPr>
    </w:p>
    <w:p w:rsidR="00E271D1" w:rsidRPr="00F2484F" w:rsidRDefault="00E271D1" w:rsidP="00F2484F">
      <w:pPr>
        <w:ind w:right="54"/>
        <w:rPr>
          <w:rFonts w:ascii="Arial" w:hAnsi="Arial" w:cs="Arial"/>
          <w:sz w:val="20"/>
          <w:szCs w:val="20"/>
        </w:rPr>
      </w:pPr>
      <w:r w:rsidRPr="00F2484F">
        <w:rPr>
          <w:rFonts w:ascii="Arial" w:hAnsi="Arial" w:cs="Arial"/>
          <w:sz w:val="20"/>
          <w:szCs w:val="20"/>
        </w:rPr>
        <w:t>Based on the prescripts of Joint Rule 120 (d) (i), the JSCD makes the following recommendations to the Houses of Parliament:</w:t>
      </w:r>
    </w:p>
    <w:p w:rsidR="00E271D1" w:rsidRPr="00F2484F" w:rsidRDefault="00E271D1" w:rsidP="00F2484F">
      <w:pPr>
        <w:ind w:right="54"/>
        <w:rPr>
          <w:rFonts w:ascii="Arial" w:hAnsi="Arial" w:cs="Arial"/>
          <w:sz w:val="20"/>
          <w:szCs w:val="20"/>
        </w:rPr>
      </w:pPr>
    </w:p>
    <w:p w:rsidR="00E271D1" w:rsidRPr="00F2484F" w:rsidRDefault="00E271D1" w:rsidP="00F2484F">
      <w:pPr>
        <w:pStyle w:val="ListParagraph"/>
        <w:numPr>
          <w:ilvl w:val="0"/>
          <w:numId w:val="7"/>
        </w:numPr>
        <w:ind w:right="54"/>
        <w:rPr>
          <w:rFonts w:ascii="Arial" w:hAnsi="Arial" w:cs="Arial"/>
          <w:sz w:val="20"/>
          <w:szCs w:val="20"/>
        </w:rPr>
      </w:pPr>
      <w:r w:rsidRPr="00F2484F">
        <w:rPr>
          <w:rFonts w:ascii="Arial" w:hAnsi="Arial" w:cs="Arial"/>
          <w:sz w:val="20"/>
          <w:szCs w:val="20"/>
        </w:rPr>
        <w:t>The JSCD makes the following undertakings to the Houses of Parliament in relation to Rule 120 (d)(i) on which will be further reported at the end of the 6</w:t>
      </w:r>
      <w:r w:rsidRPr="00F2484F">
        <w:rPr>
          <w:rFonts w:ascii="Arial" w:hAnsi="Arial" w:cs="Arial"/>
          <w:sz w:val="20"/>
          <w:szCs w:val="20"/>
          <w:vertAlign w:val="superscript"/>
        </w:rPr>
        <w:t>th</w:t>
      </w:r>
      <w:r w:rsidRPr="00F2484F">
        <w:rPr>
          <w:rFonts w:ascii="Arial" w:hAnsi="Arial" w:cs="Arial"/>
          <w:sz w:val="20"/>
          <w:szCs w:val="20"/>
        </w:rPr>
        <w:t xml:space="preserve"> Parliament (</w:t>
      </w:r>
      <w:r w:rsidR="00523263" w:rsidRPr="00F2484F">
        <w:rPr>
          <w:rFonts w:ascii="Arial" w:hAnsi="Arial" w:cs="Arial"/>
          <w:sz w:val="20"/>
          <w:szCs w:val="20"/>
        </w:rPr>
        <w:t xml:space="preserve">in the JSCD </w:t>
      </w:r>
      <w:r w:rsidRPr="00F2484F">
        <w:rPr>
          <w:rFonts w:ascii="Arial" w:hAnsi="Arial" w:cs="Arial"/>
          <w:sz w:val="20"/>
          <w:szCs w:val="20"/>
        </w:rPr>
        <w:t>Legacy Report):</w:t>
      </w:r>
    </w:p>
    <w:p w:rsidR="00E271D1" w:rsidRPr="00F2484F" w:rsidRDefault="00E271D1" w:rsidP="00F2484F">
      <w:pPr>
        <w:pStyle w:val="ListParagraph"/>
        <w:ind w:right="54"/>
        <w:rPr>
          <w:rFonts w:ascii="Arial" w:hAnsi="Arial" w:cs="Arial"/>
          <w:sz w:val="20"/>
          <w:szCs w:val="20"/>
        </w:rPr>
      </w:pPr>
    </w:p>
    <w:p w:rsidR="00B95A7B" w:rsidRPr="00F2484F" w:rsidRDefault="00E271D1" w:rsidP="00F2484F">
      <w:pPr>
        <w:pStyle w:val="ListParagraph"/>
        <w:numPr>
          <w:ilvl w:val="1"/>
          <w:numId w:val="7"/>
        </w:numPr>
        <w:ind w:right="54"/>
        <w:rPr>
          <w:rFonts w:ascii="Arial" w:hAnsi="Arial" w:cs="Arial"/>
          <w:sz w:val="20"/>
          <w:szCs w:val="20"/>
        </w:rPr>
      </w:pPr>
      <w:r w:rsidRPr="00F2484F">
        <w:rPr>
          <w:rFonts w:ascii="Arial" w:hAnsi="Arial" w:cs="Arial"/>
          <w:sz w:val="20"/>
          <w:szCs w:val="20"/>
        </w:rPr>
        <w:t xml:space="preserve">The JSCD will request the DOD to explain the populations figures </w:t>
      </w:r>
      <w:r w:rsidRPr="00F2484F">
        <w:rPr>
          <w:rFonts w:ascii="Arial" w:hAnsi="Arial" w:cs="Arial"/>
          <w:sz w:val="20"/>
          <w:szCs w:val="20"/>
          <w:lang w:val="en-ZA"/>
        </w:rPr>
        <w:t xml:space="preserve">in the Annual Reports of </w:t>
      </w:r>
      <w:r w:rsidRPr="00F2484F">
        <w:rPr>
          <w:rFonts w:ascii="Arial" w:hAnsi="Arial" w:cs="Arial"/>
          <w:sz w:val="20"/>
          <w:szCs w:val="20"/>
        </w:rPr>
        <w:t xml:space="preserve">2018/19 and 2020/21, as it is unlikely that these figures </w:t>
      </w:r>
      <w:r w:rsidR="00B3053F" w:rsidRPr="00F2484F">
        <w:rPr>
          <w:rFonts w:ascii="Arial" w:hAnsi="Arial" w:cs="Arial"/>
          <w:sz w:val="20"/>
          <w:szCs w:val="20"/>
        </w:rPr>
        <w:t>were captured correctly</w:t>
      </w:r>
      <w:r w:rsidRPr="00F2484F">
        <w:rPr>
          <w:rFonts w:ascii="Arial" w:hAnsi="Arial" w:cs="Arial"/>
          <w:sz w:val="20"/>
          <w:szCs w:val="20"/>
        </w:rPr>
        <w:t>.</w:t>
      </w:r>
      <w:r w:rsidR="00F0462B" w:rsidRPr="00F2484F">
        <w:rPr>
          <w:rFonts w:ascii="Arial" w:hAnsi="Arial" w:cs="Arial"/>
          <w:sz w:val="20"/>
          <w:szCs w:val="20"/>
        </w:rPr>
        <w:t xml:space="preserve"> The Committee encourages the DOD to avoid such misstatements in future.</w:t>
      </w:r>
      <w:r w:rsidRPr="00F2484F">
        <w:rPr>
          <w:rStyle w:val="FootnoteReference"/>
          <w:rFonts w:ascii="Arial" w:hAnsi="Arial" w:cs="Arial"/>
          <w:sz w:val="20"/>
          <w:szCs w:val="20"/>
        </w:rPr>
        <w:footnoteReference w:id="49"/>
      </w:r>
      <w:r w:rsidRPr="00F2484F">
        <w:rPr>
          <w:rFonts w:ascii="Arial" w:hAnsi="Arial" w:cs="Arial"/>
          <w:sz w:val="20"/>
          <w:szCs w:val="20"/>
        </w:rPr>
        <w:t xml:space="preserve"> </w:t>
      </w:r>
    </w:p>
    <w:p w:rsidR="00EB30F0" w:rsidRPr="00F2484F" w:rsidRDefault="00EB30F0" w:rsidP="00F2484F">
      <w:pPr>
        <w:pStyle w:val="ListParagraph"/>
        <w:numPr>
          <w:ilvl w:val="1"/>
          <w:numId w:val="7"/>
        </w:numPr>
        <w:ind w:right="54"/>
        <w:rPr>
          <w:rFonts w:ascii="Arial" w:hAnsi="Arial" w:cs="Arial"/>
          <w:sz w:val="20"/>
          <w:szCs w:val="20"/>
        </w:rPr>
      </w:pPr>
      <w:r w:rsidRPr="00F2484F">
        <w:rPr>
          <w:rFonts w:ascii="Arial" w:hAnsi="Arial" w:cs="Arial"/>
          <w:sz w:val="20"/>
          <w:szCs w:val="20"/>
        </w:rPr>
        <w:t>The JSCD will request from the DOD the figures of MSDS members retained in the SANDF and report in its Legacy Report how this and other Reserve Force recruitment efforts impact on force rejuvenation.</w:t>
      </w:r>
    </w:p>
    <w:p w:rsidR="00C80BB8" w:rsidRPr="00F2484F" w:rsidRDefault="00C80BB8" w:rsidP="00F2484F">
      <w:pPr>
        <w:pStyle w:val="ListParagraph"/>
        <w:numPr>
          <w:ilvl w:val="1"/>
          <w:numId w:val="7"/>
        </w:numPr>
        <w:ind w:right="54"/>
        <w:rPr>
          <w:rFonts w:ascii="Arial" w:hAnsi="Arial" w:cs="Arial"/>
          <w:sz w:val="20"/>
          <w:szCs w:val="20"/>
        </w:rPr>
      </w:pPr>
      <w:r w:rsidRPr="00F2484F">
        <w:rPr>
          <w:rFonts w:ascii="Arial" w:hAnsi="Arial" w:cs="Arial"/>
          <w:sz w:val="20"/>
          <w:szCs w:val="20"/>
        </w:rPr>
        <w:t xml:space="preserve">The JSCD will engage the DOD and relevant structures on the status of </w:t>
      </w:r>
      <w:r w:rsidR="00056C45" w:rsidRPr="00F2484F">
        <w:rPr>
          <w:rFonts w:ascii="Arial" w:hAnsi="Arial" w:cs="Arial"/>
          <w:sz w:val="20"/>
          <w:szCs w:val="20"/>
        </w:rPr>
        <w:t xml:space="preserve">SANDF </w:t>
      </w:r>
      <w:r w:rsidRPr="00F2484F">
        <w:rPr>
          <w:rFonts w:ascii="Arial" w:hAnsi="Arial" w:cs="Arial"/>
          <w:sz w:val="20"/>
          <w:szCs w:val="20"/>
        </w:rPr>
        <w:t>morale.</w:t>
      </w:r>
    </w:p>
    <w:p w:rsidR="004659BE" w:rsidRPr="00F2484F" w:rsidRDefault="004659BE" w:rsidP="00F2484F">
      <w:pPr>
        <w:pStyle w:val="ListParagraph"/>
        <w:ind w:left="1440" w:right="54"/>
        <w:rPr>
          <w:rFonts w:ascii="Arial" w:hAnsi="Arial" w:cs="Arial"/>
          <w:sz w:val="20"/>
          <w:szCs w:val="20"/>
        </w:rPr>
      </w:pPr>
    </w:p>
    <w:p w:rsidR="00B95A7B" w:rsidRPr="00F2484F" w:rsidRDefault="00593157" w:rsidP="00F2484F">
      <w:pPr>
        <w:pStyle w:val="ListParagraph"/>
        <w:numPr>
          <w:ilvl w:val="0"/>
          <w:numId w:val="7"/>
        </w:numPr>
        <w:ind w:right="54"/>
        <w:rPr>
          <w:rFonts w:ascii="Arial" w:hAnsi="Arial" w:cs="Arial"/>
          <w:sz w:val="20"/>
          <w:szCs w:val="20"/>
        </w:rPr>
      </w:pPr>
      <w:r w:rsidRPr="00F2484F">
        <w:rPr>
          <w:rFonts w:ascii="Arial" w:hAnsi="Arial" w:cs="Arial"/>
          <w:sz w:val="20"/>
          <w:szCs w:val="20"/>
        </w:rPr>
        <w:t xml:space="preserve">The Committee recommends that the </w:t>
      </w:r>
      <w:r w:rsidR="00572783" w:rsidRPr="00F2484F">
        <w:rPr>
          <w:rFonts w:ascii="Arial" w:hAnsi="Arial" w:cs="Arial"/>
          <w:sz w:val="20"/>
          <w:szCs w:val="20"/>
        </w:rPr>
        <w:t>DOD enhance its efforts to address representivity regarding both race and gender</w:t>
      </w:r>
      <w:r w:rsidR="00B3053F" w:rsidRPr="00F2484F">
        <w:rPr>
          <w:rFonts w:ascii="Arial" w:hAnsi="Arial" w:cs="Arial"/>
          <w:sz w:val="20"/>
          <w:szCs w:val="20"/>
        </w:rPr>
        <w:t xml:space="preserve">. </w:t>
      </w:r>
      <w:r w:rsidR="00B95A7B" w:rsidRPr="00F2484F">
        <w:rPr>
          <w:rFonts w:ascii="Arial" w:hAnsi="Arial" w:cs="Arial"/>
          <w:sz w:val="20"/>
          <w:szCs w:val="20"/>
        </w:rPr>
        <w:t xml:space="preserve">The </w:t>
      </w:r>
      <w:r w:rsidR="00C80BB8" w:rsidRPr="00F2484F">
        <w:rPr>
          <w:rFonts w:ascii="Arial" w:hAnsi="Arial" w:cs="Arial"/>
          <w:sz w:val="20"/>
          <w:szCs w:val="20"/>
        </w:rPr>
        <w:t xml:space="preserve">Houses of Parliament should encourage the </w:t>
      </w:r>
      <w:r w:rsidR="00B95A7B" w:rsidRPr="00F2484F">
        <w:rPr>
          <w:rFonts w:ascii="Arial" w:hAnsi="Arial" w:cs="Arial"/>
          <w:sz w:val="20"/>
          <w:szCs w:val="20"/>
        </w:rPr>
        <w:t xml:space="preserve">SANDF </w:t>
      </w:r>
      <w:r w:rsidR="00C80BB8" w:rsidRPr="00F2484F">
        <w:rPr>
          <w:rFonts w:ascii="Arial" w:hAnsi="Arial" w:cs="Arial"/>
          <w:sz w:val="20"/>
          <w:szCs w:val="20"/>
        </w:rPr>
        <w:t xml:space="preserve">to </w:t>
      </w:r>
      <w:r w:rsidR="00B95A7B" w:rsidRPr="00F2484F">
        <w:rPr>
          <w:rFonts w:ascii="Arial" w:hAnsi="Arial" w:cs="Arial"/>
          <w:sz w:val="20"/>
          <w:szCs w:val="20"/>
        </w:rPr>
        <w:t>increase its efforts to keep the Force broadly representative of the people of South Africa, specifically through its intake of young South Africans, and that the SANDF should continue to report to the Houses on this matter through the JSCD.</w:t>
      </w:r>
    </w:p>
    <w:p w:rsidR="00B3053F" w:rsidRPr="00F2484F" w:rsidRDefault="00B3053F" w:rsidP="00F2484F">
      <w:pPr>
        <w:pStyle w:val="ListParagraph"/>
        <w:ind w:right="54"/>
        <w:rPr>
          <w:rFonts w:ascii="Arial" w:hAnsi="Arial" w:cs="Arial"/>
          <w:sz w:val="20"/>
          <w:szCs w:val="20"/>
        </w:rPr>
      </w:pPr>
    </w:p>
    <w:p w:rsidR="0024700B" w:rsidRPr="00F2484F" w:rsidRDefault="00593157" w:rsidP="00F2484F">
      <w:pPr>
        <w:pStyle w:val="ListParagraph"/>
        <w:numPr>
          <w:ilvl w:val="0"/>
          <w:numId w:val="7"/>
        </w:numPr>
        <w:rPr>
          <w:rFonts w:ascii="Arial" w:hAnsi="Arial" w:cs="Arial"/>
          <w:sz w:val="20"/>
          <w:szCs w:val="20"/>
          <w:lang w:val="en-ZA"/>
        </w:rPr>
      </w:pPr>
      <w:r w:rsidRPr="00F2484F">
        <w:rPr>
          <w:rFonts w:ascii="Arial" w:hAnsi="Arial" w:cs="Arial"/>
          <w:sz w:val="20"/>
          <w:szCs w:val="20"/>
        </w:rPr>
        <w:lastRenderedPageBreak/>
        <w:t xml:space="preserve">The Committee </w:t>
      </w:r>
      <w:r w:rsidR="0024700B" w:rsidRPr="00F2484F">
        <w:rPr>
          <w:rFonts w:ascii="Arial" w:hAnsi="Arial" w:cs="Arial"/>
          <w:sz w:val="20"/>
          <w:szCs w:val="20"/>
        </w:rPr>
        <w:t>encourage</w:t>
      </w:r>
      <w:r w:rsidRPr="00F2484F">
        <w:rPr>
          <w:rFonts w:ascii="Arial" w:hAnsi="Arial" w:cs="Arial"/>
          <w:sz w:val="20"/>
          <w:szCs w:val="20"/>
        </w:rPr>
        <w:t>s</w:t>
      </w:r>
      <w:r w:rsidR="0024700B" w:rsidRPr="00F2484F">
        <w:rPr>
          <w:rFonts w:ascii="Arial" w:hAnsi="Arial" w:cs="Arial"/>
          <w:sz w:val="20"/>
          <w:szCs w:val="20"/>
        </w:rPr>
        <w:t xml:space="preserve"> </w:t>
      </w:r>
      <w:r w:rsidRPr="00F2484F">
        <w:rPr>
          <w:rFonts w:ascii="Arial" w:hAnsi="Arial" w:cs="Arial"/>
          <w:sz w:val="20"/>
          <w:szCs w:val="20"/>
        </w:rPr>
        <w:t xml:space="preserve">the </w:t>
      </w:r>
      <w:r w:rsidR="0024700B" w:rsidRPr="00F2484F">
        <w:rPr>
          <w:rFonts w:ascii="Arial" w:hAnsi="Arial" w:cs="Arial"/>
          <w:sz w:val="20"/>
          <w:szCs w:val="20"/>
        </w:rPr>
        <w:t xml:space="preserve">DoD and Treasury to meet with a view </w:t>
      </w:r>
      <w:r w:rsidR="00F0462B" w:rsidRPr="00F2484F">
        <w:rPr>
          <w:rFonts w:ascii="Arial" w:hAnsi="Arial" w:cs="Arial"/>
          <w:sz w:val="20"/>
          <w:szCs w:val="20"/>
        </w:rPr>
        <w:t>of reviewing the existing Compensation of Employees ceiling affecting the funding of the</w:t>
      </w:r>
      <w:r w:rsidR="0024700B" w:rsidRPr="00F2484F">
        <w:rPr>
          <w:rFonts w:ascii="Arial" w:hAnsi="Arial" w:cs="Arial"/>
          <w:sz w:val="20"/>
          <w:szCs w:val="20"/>
        </w:rPr>
        <w:t xml:space="preserve"> organisational staff structure.</w:t>
      </w:r>
    </w:p>
    <w:p w:rsidR="0024700B" w:rsidRPr="00F2484F" w:rsidRDefault="0024700B" w:rsidP="00F2484F">
      <w:pPr>
        <w:pStyle w:val="ListParagraph"/>
        <w:rPr>
          <w:rFonts w:ascii="Arial" w:hAnsi="Arial" w:cs="Arial"/>
          <w:sz w:val="20"/>
          <w:szCs w:val="20"/>
        </w:rPr>
      </w:pPr>
    </w:p>
    <w:p w:rsidR="00E271D1" w:rsidRPr="00F2484F" w:rsidRDefault="00B3053F" w:rsidP="00F2484F">
      <w:pPr>
        <w:pStyle w:val="ListParagraph"/>
        <w:numPr>
          <w:ilvl w:val="0"/>
          <w:numId w:val="7"/>
        </w:numPr>
        <w:ind w:right="54"/>
        <w:rPr>
          <w:rFonts w:ascii="Arial" w:hAnsi="Arial" w:cs="Arial"/>
          <w:sz w:val="20"/>
          <w:szCs w:val="20"/>
        </w:rPr>
      </w:pPr>
      <w:r w:rsidRPr="00F2484F">
        <w:rPr>
          <w:rFonts w:ascii="Arial" w:hAnsi="Arial" w:cs="Arial"/>
          <w:sz w:val="20"/>
          <w:szCs w:val="20"/>
        </w:rPr>
        <w:t>Based on the concerns expressed by the JSCD in this report regarding the state of defence readiness in South Africa</w:t>
      </w:r>
      <w:r w:rsidR="00B95A7B" w:rsidRPr="00F2484F">
        <w:rPr>
          <w:rFonts w:ascii="Arial" w:hAnsi="Arial" w:cs="Arial"/>
          <w:sz w:val="20"/>
          <w:szCs w:val="20"/>
        </w:rPr>
        <w:t xml:space="preserve">, both Houses of Parliament should consider </w:t>
      </w:r>
      <w:r w:rsidRPr="00F2484F">
        <w:rPr>
          <w:rFonts w:ascii="Arial" w:hAnsi="Arial" w:cs="Arial"/>
          <w:sz w:val="20"/>
          <w:szCs w:val="20"/>
        </w:rPr>
        <w:t>a</w:t>
      </w:r>
      <w:r w:rsidR="00B95A7B" w:rsidRPr="00F2484F">
        <w:rPr>
          <w:rFonts w:ascii="Arial" w:hAnsi="Arial" w:cs="Arial"/>
          <w:sz w:val="20"/>
          <w:szCs w:val="20"/>
        </w:rPr>
        <w:t xml:space="preserve"> debate on the status of the SANDF with specific focus on the following:</w:t>
      </w:r>
    </w:p>
    <w:p w:rsidR="00B95A7B" w:rsidRPr="00F2484F" w:rsidRDefault="00B95A7B" w:rsidP="00F2484F">
      <w:pPr>
        <w:pStyle w:val="ListParagraph"/>
        <w:numPr>
          <w:ilvl w:val="1"/>
          <w:numId w:val="7"/>
        </w:numPr>
        <w:ind w:right="54"/>
        <w:rPr>
          <w:rFonts w:ascii="Arial" w:hAnsi="Arial" w:cs="Arial"/>
          <w:sz w:val="20"/>
          <w:szCs w:val="20"/>
        </w:rPr>
      </w:pPr>
      <w:r w:rsidRPr="00F2484F">
        <w:rPr>
          <w:rFonts w:ascii="Arial" w:hAnsi="Arial" w:cs="Arial"/>
          <w:sz w:val="20"/>
          <w:szCs w:val="20"/>
        </w:rPr>
        <w:t>The desired roles and functions for the SANDF.</w:t>
      </w:r>
    </w:p>
    <w:p w:rsidR="00B95A7B" w:rsidRPr="00F2484F" w:rsidRDefault="00B95A7B" w:rsidP="00F2484F">
      <w:pPr>
        <w:pStyle w:val="ListParagraph"/>
        <w:numPr>
          <w:ilvl w:val="1"/>
          <w:numId w:val="7"/>
        </w:numPr>
        <w:ind w:right="54"/>
        <w:rPr>
          <w:rFonts w:ascii="Arial" w:hAnsi="Arial" w:cs="Arial"/>
          <w:sz w:val="20"/>
          <w:szCs w:val="20"/>
        </w:rPr>
      </w:pPr>
      <w:r w:rsidRPr="00F2484F">
        <w:rPr>
          <w:rFonts w:ascii="Arial" w:hAnsi="Arial" w:cs="Arial"/>
          <w:sz w:val="20"/>
          <w:szCs w:val="20"/>
        </w:rPr>
        <w:t xml:space="preserve">The appropriate funding of the SANDF to fulfil </w:t>
      </w:r>
      <w:r w:rsidR="00AD262D" w:rsidRPr="00F2484F">
        <w:rPr>
          <w:rFonts w:ascii="Arial" w:hAnsi="Arial" w:cs="Arial"/>
          <w:sz w:val="20"/>
          <w:szCs w:val="20"/>
        </w:rPr>
        <w:t>its desired roles and functions.</w:t>
      </w:r>
    </w:p>
    <w:p w:rsidR="00B95A7B" w:rsidRPr="00F2484F" w:rsidRDefault="00B95A7B" w:rsidP="00F2484F">
      <w:pPr>
        <w:pStyle w:val="ListParagraph"/>
        <w:numPr>
          <w:ilvl w:val="1"/>
          <w:numId w:val="7"/>
        </w:numPr>
        <w:ind w:right="54"/>
        <w:rPr>
          <w:rFonts w:ascii="Arial" w:hAnsi="Arial" w:cs="Arial"/>
          <w:sz w:val="20"/>
          <w:szCs w:val="20"/>
        </w:rPr>
      </w:pPr>
      <w:r w:rsidRPr="00F2484F">
        <w:rPr>
          <w:rFonts w:ascii="Arial" w:hAnsi="Arial" w:cs="Arial"/>
          <w:sz w:val="20"/>
          <w:szCs w:val="20"/>
        </w:rPr>
        <w:t>The reduced level of force readiness of the SANDF, specifically as it relates to its conventional role</w:t>
      </w:r>
      <w:r w:rsidR="00056C45" w:rsidRPr="00F2484F">
        <w:rPr>
          <w:rFonts w:ascii="Arial" w:hAnsi="Arial" w:cs="Arial"/>
          <w:sz w:val="20"/>
          <w:szCs w:val="20"/>
        </w:rPr>
        <w:t xml:space="preserve"> and its </w:t>
      </w:r>
      <w:r w:rsidR="00437576" w:rsidRPr="00F2484F">
        <w:rPr>
          <w:rFonts w:ascii="Arial" w:hAnsi="Arial" w:cs="Arial"/>
          <w:sz w:val="20"/>
          <w:szCs w:val="20"/>
        </w:rPr>
        <w:t xml:space="preserve">ability to fulfil its </w:t>
      </w:r>
      <w:r w:rsidR="00056C45" w:rsidRPr="00F2484F">
        <w:rPr>
          <w:rFonts w:ascii="Arial" w:hAnsi="Arial" w:cs="Arial"/>
          <w:sz w:val="20"/>
          <w:szCs w:val="20"/>
        </w:rPr>
        <w:t>Constitutional mandate</w:t>
      </w:r>
      <w:r w:rsidRPr="00F2484F">
        <w:rPr>
          <w:rFonts w:ascii="Arial" w:hAnsi="Arial" w:cs="Arial"/>
          <w:sz w:val="20"/>
          <w:szCs w:val="20"/>
        </w:rPr>
        <w:t>.</w:t>
      </w:r>
    </w:p>
    <w:p w:rsidR="00B95A7B" w:rsidRPr="00F2484F" w:rsidRDefault="00B95A7B" w:rsidP="00F2484F">
      <w:pPr>
        <w:pStyle w:val="ListParagraph"/>
        <w:numPr>
          <w:ilvl w:val="1"/>
          <w:numId w:val="7"/>
        </w:numPr>
        <w:ind w:right="54"/>
        <w:rPr>
          <w:rFonts w:ascii="Arial" w:hAnsi="Arial" w:cs="Arial"/>
          <w:sz w:val="20"/>
          <w:szCs w:val="20"/>
        </w:rPr>
      </w:pPr>
      <w:r w:rsidRPr="00F2484F">
        <w:rPr>
          <w:rFonts w:ascii="Arial" w:hAnsi="Arial" w:cs="Arial"/>
          <w:sz w:val="20"/>
          <w:szCs w:val="20"/>
        </w:rPr>
        <w:t xml:space="preserve">The medium to long-term acquisition and maintenance of prime mission equipment </w:t>
      </w:r>
      <w:r w:rsidR="00056C45" w:rsidRPr="00F2484F">
        <w:rPr>
          <w:rFonts w:ascii="Arial" w:hAnsi="Arial" w:cs="Arial"/>
          <w:sz w:val="20"/>
          <w:szCs w:val="20"/>
        </w:rPr>
        <w:t xml:space="preserve">and logistical support </w:t>
      </w:r>
      <w:r w:rsidR="00437576" w:rsidRPr="00F2484F">
        <w:rPr>
          <w:rFonts w:ascii="Arial" w:hAnsi="Arial" w:cs="Arial"/>
          <w:sz w:val="20"/>
          <w:szCs w:val="20"/>
        </w:rPr>
        <w:t xml:space="preserve">equipment </w:t>
      </w:r>
      <w:r w:rsidRPr="00F2484F">
        <w:rPr>
          <w:rFonts w:ascii="Arial" w:hAnsi="Arial" w:cs="Arial"/>
          <w:sz w:val="20"/>
          <w:szCs w:val="20"/>
        </w:rPr>
        <w:t>to meet the Force’s conventional operational requirement.</w:t>
      </w:r>
    </w:p>
    <w:p w:rsidR="00056C45" w:rsidRPr="00F2484F" w:rsidRDefault="00056C45" w:rsidP="00F2484F">
      <w:pPr>
        <w:pStyle w:val="ListParagraph"/>
        <w:ind w:left="1440" w:right="54"/>
        <w:rPr>
          <w:rFonts w:ascii="Arial" w:hAnsi="Arial" w:cs="Arial"/>
          <w:sz w:val="20"/>
          <w:szCs w:val="20"/>
        </w:rPr>
      </w:pPr>
    </w:p>
    <w:p w:rsidR="00B95A7B" w:rsidRPr="00F2484F" w:rsidRDefault="00B95A7B" w:rsidP="00F2484F">
      <w:pPr>
        <w:pStyle w:val="ListParagraph"/>
        <w:suppressAutoHyphens/>
        <w:autoSpaceDN w:val="0"/>
        <w:ind w:left="0" w:right="54"/>
        <w:contextualSpacing w:val="0"/>
        <w:textAlignment w:val="baseline"/>
        <w:rPr>
          <w:rFonts w:ascii="Arial" w:hAnsi="Arial" w:cs="Arial"/>
          <w:sz w:val="20"/>
          <w:szCs w:val="20"/>
        </w:rPr>
      </w:pPr>
      <w:r w:rsidRPr="00F2484F">
        <w:rPr>
          <w:rFonts w:ascii="Arial" w:hAnsi="Arial" w:cs="Arial"/>
          <w:b/>
          <w:sz w:val="20"/>
          <w:szCs w:val="20"/>
        </w:rPr>
        <w:t xml:space="preserve">Report </w:t>
      </w:r>
      <w:r w:rsidR="004E164D" w:rsidRPr="00F2484F">
        <w:rPr>
          <w:rFonts w:ascii="Arial" w:hAnsi="Arial" w:cs="Arial"/>
          <w:b/>
          <w:sz w:val="20"/>
          <w:szCs w:val="20"/>
        </w:rPr>
        <w:t>to be considered.</w:t>
      </w:r>
    </w:p>
    <w:p w:rsidR="00B95A7B" w:rsidRPr="00F2484F" w:rsidRDefault="00B95A7B" w:rsidP="00F2484F">
      <w:pPr>
        <w:rPr>
          <w:rFonts w:ascii="Arial" w:hAnsi="Arial" w:cs="Arial"/>
          <w:sz w:val="20"/>
          <w:szCs w:val="20"/>
        </w:rPr>
      </w:pPr>
    </w:p>
    <w:sectPr w:rsidR="00B95A7B" w:rsidRPr="00F2484F" w:rsidSect="00B95A7B">
      <w:footerReference w:type="even" r:id="rId9"/>
      <w:footerReference w:type="default" r:id="rId10"/>
      <w:endnotePr>
        <w:numFmt w:val="decimal"/>
      </w:endnotePr>
      <w:pgSz w:w="12240" w:h="15840"/>
      <w:pgMar w:top="1440" w:right="1183"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72C" w:rsidRDefault="0062472C" w:rsidP="00B95A7B">
      <w:r>
        <w:separator/>
      </w:r>
    </w:p>
  </w:endnote>
  <w:endnote w:type="continuationSeparator" w:id="0">
    <w:p w:rsidR="0062472C" w:rsidRDefault="0062472C" w:rsidP="00B95A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80"/>
    <w:family w:val="auto"/>
    <w:notTrueType/>
    <w:pitch w:val="default"/>
    <w:sig w:usb0="00000003" w:usb1="08070000" w:usb2="00000010" w:usb3="00000000" w:csb0="00020001" w:csb1="00000000"/>
  </w:font>
  <w:font w:name="TimesNewRomanPSMT">
    <w:panose1 w:val="00000000000000000000"/>
    <w:charset w:val="80"/>
    <w:family w:val="auto"/>
    <w:notTrueType/>
    <w:pitch w:val="default"/>
    <w:sig w:usb0="00000003" w:usb1="08070000" w:usb2="00000010" w:usb3="00000000" w:csb0="00020001" w:csb1="00000000"/>
  </w:font>
  <w:font w:name="+mj-e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07" w:rsidRDefault="00314915" w:rsidP="00B95A7B">
    <w:pPr>
      <w:pStyle w:val="Footer"/>
      <w:framePr w:wrap="around" w:vAnchor="text" w:hAnchor="margin" w:xAlign="right" w:y="1"/>
      <w:rPr>
        <w:rStyle w:val="PageNumber"/>
      </w:rPr>
    </w:pPr>
    <w:r>
      <w:rPr>
        <w:rStyle w:val="PageNumber"/>
      </w:rPr>
      <w:fldChar w:fldCharType="begin"/>
    </w:r>
    <w:r w:rsidR="00770E07">
      <w:rPr>
        <w:rStyle w:val="PageNumber"/>
      </w:rPr>
      <w:instrText xml:space="preserve">PAGE  </w:instrText>
    </w:r>
    <w:r>
      <w:rPr>
        <w:rStyle w:val="PageNumber"/>
      </w:rPr>
      <w:fldChar w:fldCharType="end"/>
    </w:r>
  </w:p>
  <w:p w:rsidR="00770E07" w:rsidRDefault="00770E07" w:rsidP="00B95A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672656"/>
      <w:docPartObj>
        <w:docPartGallery w:val="Page Numbers (Bottom of Page)"/>
        <w:docPartUnique/>
      </w:docPartObj>
    </w:sdtPr>
    <w:sdtEndPr>
      <w:rPr>
        <w:noProof/>
      </w:rPr>
    </w:sdtEndPr>
    <w:sdtContent>
      <w:p w:rsidR="00770E07" w:rsidRDefault="00314915">
        <w:pPr>
          <w:pStyle w:val="Footer"/>
          <w:jc w:val="right"/>
        </w:pPr>
        <w:r>
          <w:fldChar w:fldCharType="begin"/>
        </w:r>
        <w:r w:rsidR="00770E07">
          <w:instrText xml:space="preserve"> PAGE   \* MERGEFORMAT </w:instrText>
        </w:r>
        <w:r>
          <w:fldChar w:fldCharType="separate"/>
        </w:r>
        <w:r w:rsidR="00F2484F">
          <w:rPr>
            <w:noProof/>
          </w:rPr>
          <w:t>1</w:t>
        </w:r>
        <w:r>
          <w:rPr>
            <w:noProof/>
          </w:rPr>
          <w:fldChar w:fldCharType="end"/>
        </w:r>
      </w:p>
    </w:sdtContent>
  </w:sdt>
  <w:p w:rsidR="00770E07" w:rsidRDefault="00770E07" w:rsidP="00B95A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72C" w:rsidRDefault="0062472C" w:rsidP="00B95A7B">
      <w:r>
        <w:separator/>
      </w:r>
    </w:p>
  </w:footnote>
  <w:footnote w:type="continuationSeparator" w:id="0">
    <w:p w:rsidR="0062472C" w:rsidRDefault="0062472C" w:rsidP="00B95A7B">
      <w:r>
        <w:continuationSeparator/>
      </w:r>
    </w:p>
  </w:footnote>
  <w:footnote w:id="1">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The White Paper on Defence. Defence in a democracy. May 1996. p. 6.  </w:t>
      </w:r>
    </w:p>
  </w:footnote>
  <w:footnote w:id="2">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1998. Chapter 9 – Force Structure</w:t>
      </w:r>
    </w:p>
  </w:footnote>
  <w:footnote w:id="3">
    <w:p w:rsidR="00770E07" w:rsidRPr="002D0261" w:rsidRDefault="00770E07" w:rsidP="006C4E6A">
      <w:pPr>
        <w:pStyle w:val="FootnoteText"/>
        <w:rPr>
          <w:rStyle w:val="FootnoteReference"/>
        </w:rPr>
      </w:pPr>
      <w:r w:rsidRPr="002D0261">
        <w:rPr>
          <w:rStyle w:val="FootnoteReference"/>
        </w:rPr>
        <w:footnoteRef/>
      </w:r>
      <w:r w:rsidRPr="002D0261">
        <w:rPr>
          <w:rStyle w:val="FootnoteReference"/>
        </w:rPr>
        <w:t xml:space="preserve"> South African Defence Review 1998. p. 5. </w:t>
      </w:r>
    </w:p>
  </w:footnote>
  <w:footnote w:id="4">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1998. p. 53 </w:t>
      </w:r>
    </w:p>
  </w:footnote>
  <w:footnote w:id="5">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1998. p. 70</w:t>
      </w:r>
    </w:p>
  </w:footnote>
  <w:footnote w:id="6">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2015. p. v. </w:t>
      </w:r>
    </w:p>
  </w:footnote>
  <w:footnote w:id="7">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2015p. 9-8</w:t>
      </w:r>
    </w:p>
  </w:footnote>
  <w:footnote w:id="8">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2015. p. 14-7</w:t>
      </w:r>
    </w:p>
  </w:footnote>
  <w:footnote w:id="9">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2015. p. 14-10</w:t>
      </w:r>
    </w:p>
  </w:footnote>
  <w:footnote w:id="10">
    <w:p w:rsidR="00770E07" w:rsidRPr="002D0261" w:rsidRDefault="00770E07" w:rsidP="00E71A93">
      <w:pPr>
        <w:pStyle w:val="FootnoteText"/>
        <w:jc w:val="both"/>
        <w:rPr>
          <w:rStyle w:val="FootnoteReference"/>
        </w:rPr>
      </w:pPr>
      <w:r w:rsidRPr="002D0261">
        <w:rPr>
          <w:rStyle w:val="FootnoteReference"/>
        </w:rPr>
        <w:footnoteRef/>
      </w:r>
      <w:r w:rsidRPr="002D0261">
        <w:rPr>
          <w:rStyle w:val="FootnoteReference"/>
        </w:rPr>
        <w:t xml:space="preserve"> Jansen van Rensburg, J.L. 2007. A comparative overview of the organisational culture in the Department of Defence. Politeia, Vol 122, No 2 2007. pp 122 144. </w:t>
      </w:r>
    </w:p>
  </w:footnote>
  <w:footnote w:id="11">
    <w:p w:rsidR="00770E07" w:rsidRPr="002D0261" w:rsidRDefault="00770E07" w:rsidP="00E71A93">
      <w:pPr>
        <w:pStyle w:val="FootnoteText"/>
        <w:jc w:val="both"/>
        <w:rPr>
          <w:rStyle w:val="FootnoteReference"/>
        </w:rPr>
      </w:pPr>
      <w:r w:rsidRPr="002D0261">
        <w:rPr>
          <w:rStyle w:val="FootnoteReference"/>
        </w:rPr>
        <w:footnoteRef/>
      </w:r>
      <w:r w:rsidRPr="002D0261">
        <w:rPr>
          <w:rStyle w:val="FootnoteReference"/>
        </w:rPr>
        <w:t xml:space="preserve"> Manganyi, C. 2015.  Repealing the Termination of Integration Act, No 44 of 2001: Defence Laws Repeal and Amendment Bill Proposal. 07 September 2015. Research Unit. Parliament of the RSA.</w:t>
      </w:r>
    </w:p>
  </w:footnote>
  <w:footnote w:id="12">
    <w:p w:rsidR="00770E07" w:rsidRPr="002D0261" w:rsidRDefault="00770E07" w:rsidP="00E71A93">
      <w:pPr>
        <w:pStyle w:val="FootnoteText"/>
        <w:jc w:val="both"/>
        <w:rPr>
          <w:rStyle w:val="FootnoteReference"/>
        </w:rPr>
      </w:pPr>
      <w:r w:rsidRPr="002D0261">
        <w:rPr>
          <w:rStyle w:val="FootnoteReference"/>
        </w:rPr>
        <w:footnoteRef/>
      </w:r>
      <w:r w:rsidRPr="002D0261">
        <w:rPr>
          <w:rStyle w:val="FootnoteReference"/>
        </w:rPr>
        <w:t xml:space="preserve"> See for instance W.K. Janse van Rensburg , 2020.  An Overview of the South Africa Military Integration Process and Matters Related to the Khoisan Self Defence Units, 5 November 2020. Research Unit. Parliament of the RSA</w:t>
      </w:r>
    </w:p>
  </w:footnote>
  <w:footnote w:id="13">
    <w:p w:rsidR="00770E07" w:rsidRPr="002D0261" w:rsidRDefault="00770E07" w:rsidP="00E71A93">
      <w:pPr>
        <w:pStyle w:val="FootnoteText"/>
        <w:jc w:val="both"/>
        <w:rPr>
          <w:rStyle w:val="FootnoteReference"/>
        </w:rPr>
      </w:pPr>
      <w:r w:rsidRPr="002D0261">
        <w:rPr>
          <w:rStyle w:val="FootnoteReference"/>
        </w:rPr>
        <w:footnoteRef/>
      </w:r>
      <w:r w:rsidRPr="002D0261">
        <w:rPr>
          <w:rStyle w:val="FootnoteReference"/>
        </w:rPr>
        <w:t xml:space="preserve">  The White Paper on Defence. Defence in a democracy. May 1996. p. 3. </w:t>
      </w:r>
    </w:p>
  </w:footnote>
  <w:footnote w:id="14">
    <w:p w:rsidR="00770E07" w:rsidRPr="002D0261" w:rsidRDefault="00770E07" w:rsidP="00E71A93">
      <w:pPr>
        <w:pStyle w:val="FootnoteText"/>
        <w:jc w:val="both"/>
        <w:rPr>
          <w:rStyle w:val="FootnoteReference"/>
        </w:rPr>
      </w:pPr>
      <w:r w:rsidRPr="002D0261">
        <w:rPr>
          <w:rStyle w:val="FootnoteReference"/>
        </w:rPr>
        <w:footnoteRef/>
      </w:r>
      <w:r w:rsidRPr="002D0261">
        <w:rPr>
          <w:rStyle w:val="FootnoteReference"/>
        </w:rPr>
        <w:t xml:space="preserve"> White Paper 1996, p. 25.</w:t>
      </w:r>
    </w:p>
  </w:footnote>
  <w:footnote w:id="15">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White Paper 1996, p. 26.</w:t>
      </w:r>
    </w:p>
  </w:footnote>
  <w:footnote w:id="16">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Consolidated Oversight Report of the Portfolio Committee on Defence and Military Veterans to selected military bases in the Western Cape.  27 August to 30  October 2019 p. 5</w:t>
      </w:r>
    </w:p>
  </w:footnote>
  <w:footnote w:id="17">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Consolidated Oversight Report of the Portfolio Committee on Defence and Military Veterans to selected military bases in the Western Cape.  27 August to 30  October 2019 p. 17</w:t>
      </w:r>
    </w:p>
  </w:footnote>
  <w:footnote w:id="18">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IDFSC, 2010. Recommendations made by the Interim National Defence Force Service Commission in The Final Report.  November 2010. p.7 </w:t>
      </w:r>
    </w:p>
  </w:footnote>
  <w:footnote w:id="19">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IDFSC. 2018. PowerPoint Presentation on the Recommendations of the Interim Defence Force Service Commission (IDFSC) to the JSCD on 8 June 2018. p. 25. </w:t>
      </w:r>
    </w:p>
  </w:footnote>
  <w:footnote w:id="20">
    <w:p w:rsidR="00770E07" w:rsidRPr="002D0261" w:rsidRDefault="00770E07" w:rsidP="008D308C">
      <w:pPr>
        <w:pStyle w:val="FootnoteText"/>
        <w:rPr>
          <w:rStyle w:val="FootnoteReference"/>
        </w:rPr>
      </w:pPr>
      <w:r w:rsidRPr="002D0261">
        <w:rPr>
          <w:rStyle w:val="FootnoteReference"/>
        </w:rPr>
        <w:footnoteRef/>
      </w:r>
      <w:r w:rsidRPr="002D0261">
        <w:rPr>
          <w:rStyle w:val="FootnoteReference"/>
        </w:rPr>
        <w:t xml:space="preserve"> South African Defence Review 1998 p. 9 and 122.</w:t>
      </w:r>
    </w:p>
  </w:footnote>
  <w:footnote w:id="21">
    <w:p w:rsidR="00770E07" w:rsidRPr="002D0261" w:rsidRDefault="00770E07" w:rsidP="008D308C">
      <w:pPr>
        <w:pStyle w:val="FootnoteText"/>
        <w:rPr>
          <w:rStyle w:val="FootnoteReference"/>
        </w:rPr>
      </w:pPr>
      <w:r w:rsidRPr="002D0261">
        <w:rPr>
          <w:rStyle w:val="FootnoteReference"/>
        </w:rPr>
        <w:footnoteRef/>
      </w:r>
      <w:r w:rsidRPr="002D0261">
        <w:rPr>
          <w:rStyle w:val="FootnoteReference"/>
        </w:rPr>
        <w:t xml:space="preserve"> South African Defence Review 2015. p. 1-7</w:t>
      </w:r>
    </w:p>
  </w:footnote>
  <w:footnote w:id="22">
    <w:p w:rsidR="00770E07" w:rsidRPr="002D0261" w:rsidRDefault="00770E07" w:rsidP="008D308C">
      <w:pPr>
        <w:pStyle w:val="FootnoteText"/>
        <w:rPr>
          <w:rStyle w:val="FootnoteReference"/>
        </w:rPr>
      </w:pPr>
      <w:r w:rsidRPr="002D0261">
        <w:rPr>
          <w:rStyle w:val="FootnoteReference"/>
        </w:rPr>
        <w:footnoteRef/>
      </w:r>
      <w:r w:rsidRPr="002D0261">
        <w:rPr>
          <w:rStyle w:val="FootnoteReference"/>
        </w:rPr>
        <w:t xml:space="preserve"> South African Defence Review 2015. p. 11-4</w:t>
      </w:r>
    </w:p>
  </w:footnote>
  <w:footnote w:id="23">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Excluding Auxiliary services which had 1 African female, and 234 males with 162 being African, 26 Coloured, and 45 white. Defence Review 1998: 95.</w:t>
      </w:r>
    </w:p>
  </w:footnote>
  <w:footnote w:id="24">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It appears that the figures for the Coloured and Indian populations have been switched around in this Annual Report.</w:t>
      </w:r>
    </w:p>
  </w:footnote>
  <w:footnote w:id="25">
    <w:p w:rsidR="00770E07" w:rsidRPr="002D0261" w:rsidRDefault="00770E07" w:rsidP="00E271D1">
      <w:pPr>
        <w:pStyle w:val="Footer"/>
        <w:rPr>
          <w:rStyle w:val="FootnoteReference"/>
        </w:rPr>
      </w:pPr>
      <w:r w:rsidRPr="002D0261">
        <w:rPr>
          <w:rStyle w:val="FootnoteReference"/>
        </w:rPr>
        <w:footnoteRef/>
      </w:r>
      <w:r w:rsidRPr="002D0261">
        <w:rPr>
          <w:rStyle w:val="FootnoteReference"/>
        </w:rPr>
        <w:t xml:space="preserve"> DOD Annual Report FY2018/19. p. 153.</w:t>
      </w:r>
    </w:p>
  </w:footnote>
  <w:footnote w:id="26">
    <w:p w:rsidR="00770E07" w:rsidRPr="002D0261" w:rsidRDefault="00770E07" w:rsidP="00E271D1">
      <w:pPr>
        <w:pStyle w:val="Footer"/>
        <w:rPr>
          <w:rStyle w:val="FootnoteReference"/>
        </w:rPr>
      </w:pPr>
      <w:r w:rsidRPr="002D0261">
        <w:rPr>
          <w:rStyle w:val="FootnoteReference"/>
        </w:rPr>
        <w:footnoteRef/>
      </w:r>
      <w:r w:rsidRPr="002D0261">
        <w:rPr>
          <w:rStyle w:val="FootnoteReference"/>
        </w:rPr>
        <w:t xml:space="preserve"> DOD Annual Report FY2018/19. p. 164.</w:t>
      </w:r>
    </w:p>
  </w:footnote>
  <w:footnote w:id="27">
    <w:p w:rsidR="00770E07" w:rsidRPr="002D0261" w:rsidRDefault="00770E07" w:rsidP="00E271D1">
      <w:pPr>
        <w:pStyle w:val="Footer"/>
        <w:rPr>
          <w:rStyle w:val="FootnoteReference"/>
        </w:rPr>
      </w:pPr>
      <w:r w:rsidRPr="002D0261">
        <w:rPr>
          <w:rStyle w:val="FootnoteReference"/>
        </w:rPr>
        <w:footnoteRef/>
      </w:r>
      <w:r w:rsidRPr="002D0261">
        <w:rPr>
          <w:rStyle w:val="FootnoteReference"/>
        </w:rPr>
        <w:t xml:space="preserve"> DOD Annual Report FY2018/19. p. 165</w:t>
      </w:r>
    </w:p>
  </w:footnote>
  <w:footnote w:id="28">
    <w:p w:rsidR="00770E07" w:rsidRPr="002D0261" w:rsidRDefault="00770E07" w:rsidP="00E271D1">
      <w:pPr>
        <w:pStyle w:val="Footer"/>
        <w:rPr>
          <w:rStyle w:val="FootnoteReference"/>
        </w:rPr>
      </w:pPr>
      <w:r w:rsidRPr="002D0261">
        <w:rPr>
          <w:rStyle w:val="FootnoteReference"/>
        </w:rPr>
        <w:footnoteRef/>
      </w:r>
      <w:r w:rsidRPr="002D0261">
        <w:rPr>
          <w:rStyle w:val="FootnoteReference"/>
        </w:rPr>
        <w:t xml:space="preserve"> It appears that the figures for the Coloured and Indian populations have been switched around in this Annual Report.</w:t>
      </w:r>
    </w:p>
  </w:footnote>
  <w:footnote w:id="29">
    <w:p w:rsidR="00770E07" w:rsidRPr="002D0261" w:rsidRDefault="00770E07" w:rsidP="00E271D1">
      <w:pPr>
        <w:pStyle w:val="Footer"/>
        <w:rPr>
          <w:rStyle w:val="FootnoteReference"/>
        </w:rPr>
      </w:pPr>
      <w:r w:rsidRPr="002D0261">
        <w:rPr>
          <w:rStyle w:val="FootnoteReference"/>
        </w:rPr>
        <w:footnoteRef/>
      </w:r>
      <w:r w:rsidRPr="002D0261">
        <w:rPr>
          <w:rStyle w:val="FootnoteReference"/>
        </w:rPr>
        <w:t xml:space="preserve"> DOD Annual Report FY2019/20. p. 173. </w:t>
      </w:r>
    </w:p>
  </w:footnote>
  <w:footnote w:id="30">
    <w:p w:rsidR="00770E07" w:rsidRPr="002D0261" w:rsidRDefault="00770E07" w:rsidP="00E271D1">
      <w:pPr>
        <w:pStyle w:val="Footer"/>
        <w:rPr>
          <w:rStyle w:val="FootnoteReference"/>
        </w:rPr>
      </w:pPr>
      <w:r w:rsidRPr="002D0261">
        <w:rPr>
          <w:rStyle w:val="FootnoteReference"/>
        </w:rPr>
        <w:footnoteRef/>
      </w:r>
      <w:r w:rsidRPr="002D0261">
        <w:rPr>
          <w:rStyle w:val="FootnoteReference"/>
        </w:rPr>
        <w:t xml:space="preserve"> DOD Annual Report FY2019/20. p. 187.</w:t>
      </w:r>
    </w:p>
  </w:footnote>
  <w:footnote w:id="31">
    <w:p w:rsidR="00770E07" w:rsidRPr="002D0261" w:rsidRDefault="00770E07" w:rsidP="00E271D1">
      <w:pPr>
        <w:pStyle w:val="Footer"/>
        <w:rPr>
          <w:rStyle w:val="FootnoteReference"/>
        </w:rPr>
      </w:pPr>
      <w:r w:rsidRPr="002D0261">
        <w:rPr>
          <w:rStyle w:val="FootnoteReference"/>
        </w:rPr>
        <w:footnoteRef/>
      </w:r>
      <w:r w:rsidRPr="002D0261">
        <w:rPr>
          <w:rStyle w:val="FootnoteReference"/>
        </w:rPr>
        <w:t xml:space="preserve"> DOD Annual Report FY2019/20. p. 185</w:t>
      </w:r>
    </w:p>
  </w:footnote>
  <w:footnote w:id="32">
    <w:p w:rsidR="00770E07" w:rsidRPr="00406B61" w:rsidRDefault="00770E07" w:rsidP="002D0261">
      <w:pPr>
        <w:pStyle w:val="FootnoteText"/>
        <w:rPr>
          <w:rStyle w:val="FootnoteReference"/>
        </w:rPr>
      </w:pPr>
      <w:r w:rsidRPr="002D0261">
        <w:rPr>
          <w:rStyle w:val="FootnoteReference"/>
        </w:rPr>
        <w:footnoteRef/>
      </w:r>
      <w:r w:rsidRPr="002D0261">
        <w:rPr>
          <w:rStyle w:val="FootnoteReference"/>
        </w:rPr>
        <w:t xml:space="preserve"> </w:t>
      </w:r>
      <w:r w:rsidRPr="00406B61">
        <w:rPr>
          <w:rStyle w:val="FootnoteReference"/>
        </w:rPr>
        <w:t>DOD Annual Report FY2020/21. p. 129</w:t>
      </w:r>
    </w:p>
  </w:footnote>
  <w:footnote w:id="33">
    <w:p w:rsidR="00770E07" w:rsidRPr="00406B61" w:rsidRDefault="00770E07" w:rsidP="002D0261">
      <w:pPr>
        <w:pStyle w:val="FootnoteText"/>
        <w:rPr>
          <w:rStyle w:val="FootnoteReference"/>
        </w:rPr>
      </w:pPr>
      <w:r w:rsidRPr="00406B61">
        <w:rPr>
          <w:rStyle w:val="FootnoteReference"/>
        </w:rPr>
        <w:footnoteRef/>
      </w:r>
      <w:r w:rsidRPr="00406B61">
        <w:rPr>
          <w:rStyle w:val="FootnoteReference"/>
        </w:rPr>
        <w:t xml:space="preserve"> DOD Annual Report FY2019/20. p. 187.</w:t>
      </w:r>
    </w:p>
  </w:footnote>
  <w:footnote w:id="34">
    <w:p w:rsidR="00770E07" w:rsidRPr="00406B61" w:rsidRDefault="00770E07" w:rsidP="002D0261">
      <w:pPr>
        <w:pStyle w:val="FootnoteText"/>
        <w:rPr>
          <w:rStyle w:val="FootnoteReference"/>
        </w:rPr>
      </w:pPr>
      <w:r w:rsidRPr="00406B61">
        <w:rPr>
          <w:rStyle w:val="FootnoteReference"/>
        </w:rPr>
        <w:footnoteRef/>
      </w:r>
      <w:r w:rsidRPr="00406B61">
        <w:rPr>
          <w:rStyle w:val="FootnoteReference"/>
        </w:rPr>
        <w:t xml:space="preserve"> DOD Annual Report FY2020/21. p. 141</w:t>
      </w:r>
    </w:p>
  </w:footnote>
  <w:footnote w:id="35">
    <w:p w:rsidR="00770E07" w:rsidRPr="00406B61" w:rsidRDefault="00770E07" w:rsidP="002D0261">
      <w:pPr>
        <w:pStyle w:val="FootnoteText"/>
        <w:rPr>
          <w:rStyle w:val="FootnoteReference"/>
        </w:rPr>
      </w:pPr>
      <w:r w:rsidRPr="00406B61">
        <w:rPr>
          <w:rStyle w:val="FootnoteReference"/>
        </w:rPr>
        <w:footnoteRef/>
      </w:r>
      <w:r w:rsidRPr="00406B61">
        <w:rPr>
          <w:rStyle w:val="FootnoteReference"/>
        </w:rPr>
        <w:t xml:space="preserve"> The figures for the Coloured and Indian populations have also been switched around in this Annual Report.</w:t>
      </w:r>
    </w:p>
  </w:footnote>
  <w:footnote w:id="36">
    <w:p w:rsidR="00770E07" w:rsidRPr="00406B61" w:rsidRDefault="00770E07" w:rsidP="00406B61">
      <w:pPr>
        <w:pStyle w:val="FootnoteText"/>
        <w:rPr>
          <w:rStyle w:val="FootnoteReference"/>
        </w:rPr>
      </w:pPr>
      <w:r w:rsidRPr="00406B61">
        <w:rPr>
          <w:rStyle w:val="FootnoteReference"/>
        </w:rPr>
        <w:footnoteRef/>
      </w:r>
      <w:r w:rsidRPr="00406B61">
        <w:rPr>
          <w:rStyle w:val="FootnoteReference"/>
        </w:rPr>
        <w:t xml:space="preserve"> Presentation to the JSCD on 6 May 2022 by the Chief Director Transformation Management on 6 May 2021, entitled Gender Parity &amp; Youth Development</w:t>
      </w:r>
    </w:p>
  </w:footnote>
  <w:footnote w:id="37">
    <w:p w:rsidR="00770E07" w:rsidRPr="002D0261" w:rsidRDefault="00770E07" w:rsidP="00385CF1">
      <w:pPr>
        <w:pStyle w:val="FootnoteText"/>
        <w:rPr>
          <w:rStyle w:val="FootnoteReference"/>
        </w:rPr>
      </w:pPr>
      <w:r w:rsidRPr="002D0261">
        <w:rPr>
          <w:rStyle w:val="FootnoteReference"/>
        </w:rPr>
        <w:footnoteRef/>
      </w:r>
      <w:r w:rsidRPr="002D0261">
        <w:rPr>
          <w:rStyle w:val="FootnoteReference"/>
        </w:rPr>
        <w:t xml:space="preserve"> South African Defence Review 2015. p. 11-2</w:t>
      </w:r>
    </w:p>
  </w:footnote>
  <w:footnote w:id="38">
    <w:p w:rsidR="00770E07" w:rsidRPr="00406B61" w:rsidRDefault="00770E07" w:rsidP="00385CF1">
      <w:pPr>
        <w:pStyle w:val="FootnoteText"/>
        <w:rPr>
          <w:rStyle w:val="FootnoteReference"/>
        </w:rPr>
      </w:pPr>
      <w:r w:rsidRPr="00406B61">
        <w:rPr>
          <w:rStyle w:val="FootnoteReference"/>
        </w:rPr>
        <w:footnoteRef/>
      </w:r>
      <w:r w:rsidRPr="00406B61">
        <w:rPr>
          <w:rStyle w:val="FootnoteReference"/>
        </w:rPr>
        <w:t xml:space="preserve"> DOD. 2021. DOD Annual Report for 202</w:t>
      </w:r>
      <w:r w:rsidRPr="00406B61">
        <w:rPr>
          <w:rStyle w:val="FootnoteReference"/>
          <w:rFonts w:eastAsia="+mj-ea"/>
        </w:rPr>
        <w:t xml:space="preserve"> Gender Parity &amp; Youth Development</w:t>
      </w:r>
      <w:r w:rsidRPr="00406B61">
        <w:rPr>
          <w:rStyle w:val="FootnoteReference"/>
        </w:rPr>
        <w:t>0/21. P. 141</w:t>
      </w:r>
    </w:p>
  </w:footnote>
  <w:footnote w:id="39">
    <w:p w:rsidR="00770E07" w:rsidRPr="00406B61" w:rsidRDefault="00770E07" w:rsidP="002D0261">
      <w:pPr>
        <w:pStyle w:val="FootnoteText"/>
        <w:rPr>
          <w:rStyle w:val="FootnoteReference"/>
        </w:rPr>
      </w:pPr>
      <w:r w:rsidRPr="00406B61">
        <w:rPr>
          <w:rStyle w:val="FootnoteReference"/>
        </w:rPr>
        <w:footnoteRef/>
      </w:r>
      <w:r w:rsidRPr="00406B61">
        <w:rPr>
          <w:rStyle w:val="FootnoteReference"/>
        </w:rPr>
        <w:t xml:space="preserve"> Defence Review 1998, p. 161.</w:t>
      </w:r>
    </w:p>
  </w:footnote>
  <w:footnote w:id="40">
    <w:p w:rsidR="00770E07" w:rsidRPr="00406B61" w:rsidRDefault="00770E07" w:rsidP="002D0261">
      <w:pPr>
        <w:pStyle w:val="FootnoteText"/>
        <w:rPr>
          <w:rStyle w:val="FootnoteReference"/>
        </w:rPr>
      </w:pPr>
      <w:r w:rsidRPr="00406B61">
        <w:rPr>
          <w:rStyle w:val="FootnoteReference"/>
        </w:rPr>
        <w:footnoteRef/>
      </w:r>
      <w:r w:rsidRPr="00406B61">
        <w:rPr>
          <w:rStyle w:val="FootnoteReference"/>
        </w:rPr>
        <w:t xml:space="preserve"> Defence Review 2015. P. 11-1.</w:t>
      </w:r>
    </w:p>
  </w:footnote>
  <w:footnote w:id="41">
    <w:p w:rsidR="00770E07" w:rsidRPr="002D0261" w:rsidRDefault="00770E07" w:rsidP="002D0261">
      <w:pPr>
        <w:pStyle w:val="FootnoteText"/>
        <w:rPr>
          <w:rStyle w:val="FootnoteReference"/>
        </w:rPr>
      </w:pPr>
      <w:r w:rsidRPr="00406B61">
        <w:rPr>
          <w:rStyle w:val="FootnoteReference"/>
        </w:rPr>
        <w:footnoteRef/>
      </w:r>
      <w:r w:rsidRPr="00406B61">
        <w:rPr>
          <w:rStyle w:val="FootnoteReference"/>
        </w:rPr>
        <w:t xml:space="preserve"> IDFSC. 2018</w:t>
      </w:r>
      <w:r w:rsidRPr="002D0261">
        <w:rPr>
          <w:rStyle w:val="FootnoteReference"/>
        </w:rPr>
        <w:t xml:space="preserve">. PowerPoint Presentation on the Recommendations of the Interim Defence Force Service Commission (IDFSC) to the JSCD on 8 June 2018. </w:t>
      </w:r>
    </w:p>
  </w:footnote>
  <w:footnote w:id="42">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DFSC, 2022. Consolidated and Categorised Recommendations by the Defence Force Service Commission. March 2022. </w:t>
      </w:r>
    </w:p>
  </w:footnote>
  <w:footnote w:id="43">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1998 p. 64</w:t>
      </w:r>
    </w:p>
  </w:footnote>
  <w:footnote w:id="44">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p. ix. </w:t>
      </w:r>
    </w:p>
  </w:footnote>
  <w:footnote w:id="45">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National Treasury, 2022, Estimates of National Expenditure, p. 405.</w:t>
      </w:r>
    </w:p>
  </w:footnote>
  <w:footnote w:id="46">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South African Defence Review 2015. p. 9-7.</w:t>
      </w:r>
    </w:p>
  </w:footnote>
  <w:footnote w:id="47">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SANDF Human Resources Division, 2022, Letter CHR/DHRS&amp;P/R/504/3/1</w:t>
      </w:r>
    </w:p>
  </w:footnote>
  <w:footnote w:id="48">
    <w:p w:rsidR="00770E07" w:rsidRPr="00845416" w:rsidRDefault="00770E07">
      <w:pPr>
        <w:pStyle w:val="FootnoteText"/>
        <w:rPr>
          <w:lang w:val="en-US"/>
        </w:rPr>
      </w:pPr>
      <w:r w:rsidRPr="009238D7">
        <w:rPr>
          <w:rStyle w:val="FootnoteReference"/>
          <w:sz w:val="18"/>
        </w:rPr>
        <w:footnoteRef/>
      </w:r>
      <w:r w:rsidRPr="009238D7">
        <w:rPr>
          <w:sz w:val="18"/>
        </w:rPr>
        <w:t xml:space="preserve"> In the 2023 Estimates of National Expenditure, National Treasury provided additional ring-fenced funds for the midlife upgrades of SA Navy vessels over the medium-term.</w:t>
      </w:r>
    </w:p>
  </w:footnote>
  <w:footnote w:id="49">
    <w:p w:rsidR="00770E07" w:rsidRPr="002D0261" w:rsidRDefault="00770E07" w:rsidP="002D0261">
      <w:pPr>
        <w:pStyle w:val="FootnoteText"/>
        <w:rPr>
          <w:rStyle w:val="FootnoteReference"/>
        </w:rPr>
      </w:pPr>
      <w:r w:rsidRPr="002D0261">
        <w:rPr>
          <w:rStyle w:val="FootnoteReference"/>
        </w:rPr>
        <w:footnoteRef/>
      </w:r>
      <w:r w:rsidRPr="002D0261">
        <w:rPr>
          <w:rStyle w:val="FootnoteReference"/>
        </w:rPr>
        <w:t xml:space="preserve"> DOD, 2017. Annual Report FY2016.17. p 181.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53F"/>
    <w:multiLevelType w:val="hybridMultilevel"/>
    <w:tmpl w:val="92E4A15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C3A13CA"/>
    <w:multiLevelType w:val="hybridMultilevel"/>
    <w:tmpl w:val="B3A0B8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BE05F1A"/>
    <w:multiLevelType w:val="hybridMultilevel"/>
    <w:tmpl w:val="85E2AB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F4427A3"/>
    <w:multiLevelType w:val="hybridMultilevel"/>
    <w:tmpl w:val="BC56E5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5B01065D"/>
    <w:multiLevelType w:val="hybridMultilevel"/>
    <w:tmpl w:val="77267A9C"/>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1B05CD6"/>
    <w:multiLevelType w:val="hybridMultilevel"/>
    <w:tmpl w:val="91A4A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5164B51"/>
    <w:multiLevelType w:val="hybridMultilevel"/>
    <w:tmpl w:val="51A48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3B47E3"/>
    <w:multiLevelType w:val="hybridMultilevel"/>
    <w:tmpl w:val="E50CA6A2"/>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54" w:hanging="360"/>
      </w:pPr>
      <w:rPr>
        <w:rFonts w:ascii="Courier New" w:hAnsi="Courier New" w:cs="Courier New" w:hint="default"/>
      </w:rPr>
    </w:lvl>
    <w:lvl w:ilvl="2" w:tplc="1C090005" w:tentative="1">
      <w:start w:val="1"/>
      <w:numFmt w:val="bullet"/>
      <w:lvlText w:val=""/>
      <w:lvlJc w:val="left"/>
      <w:pPr>
        <w:ind w:left="666" w:hanging="360"/>
      </w:pPr>
      <w:rPr>
        <w:rFonts w:ascii="Wingdings" w:hAnsi="Wingdings" w:hint="default"/>
      </w:rPr>
    </w:lvl>
    <w:lvl w:ilvl="3" w:tplc="1C090001" w:tentative="1">
      <w:start w:val="1"/>
      <w:numFmt w:val="bullet"/>
      <w:lvlText w:val=""/>
      <w:lvlJc w:val="left"/>
      <w:pPr>
        <w:ind w:left="1386" w:hanging="360"/>
      </w:pPr>
      <w:rPr>
        <w:rFonts w:ascii="Symbol" w:hAnsi="Symbol" w:hint="default"/>
      </w:rPr>
    </w:lvl>
    <w:lvl w:ilvl="4" w:tplc="1C090003" w:tentative="1">
      <w:start w:val="1"/>
      <w:numFmt w:val="bullet"/>
      <w:lvlText w:val="o"/>
      <w:lvlJc w:val="left"/>
      <w:pPr>
        <w:ind w:left="2106" w:hanging="360"/>
      </w:pPr>
      <w:rPr>
        <w:rFonts w:ascii="Courier New" w:hAnsi="Courier New" w:cs="Courier New" w:hint="default"/>
      </w:rPr>
    </w:lvl>
    <w:lvl w:ilvl="5" w:tplc="1C090005" w:tentative="1">
      <w:start w:val="1"/>
      <w:numFmt w:val="bullet"/>
      <w:lvlText w:val=""/>
      <w:lvlJc w:val="left"/>
      <w:pPr>
        <w:ind w:left="2826" w:hanging="360"/>
      </w:pPr>
      <w:rPr>
        <w:rFonts w:ascii="Wingdings" w:hAnsi="Wingdings" w:hint="default"/>
      </w:rPr>
    </w:lvl>
    <w:lvl w:ilvl="6" w:tplc="1C090001" w:tentative="1">
      <w:start w:val="1"/>
      <w:numFmt w:val="bullet"/>
      <w:lvlText w:val=""/>
      <w:lvlJc w:val="left"/>
      <w:pPr>
        <w:ind w:left="3546" w:hanging="360"/>
      </w:pPr>
      <w:rPr>
        <w:rFonts w:ascii="Symbol" w:hAnsi="Symbol" w:hint="default"/>
      </w:rPr>
    </w:lvl>
    <w:lvl w:ilvl="7" w:tplc="1C090003" w:tentative="1">
      <w:start w:val="1"/>
      <w:numFmt w:val="bullet"/>
      <w:lvlText w:val="o"/>
      <w:lvlJc w:val="left"/>
      <w:pPr>
        <w:ind w:left="4266" w:hanging="360"/>
      </w:pPr>
      <w:rPr>
        <w:rFonts w:ascii="Courier New" w:hAnsi="Courier New" w:cs="Courier New" w:hint="default"/>
      </w:rPr>
    </w:lvl>
    <w:lvl w:ilvl="8" w:tplc="1C090005" w:tentative="1">
      <w:start w:val="1"/>
      <w:numFmt w:val="bullet"/>
      <w:lvlText w:val=""/>
      <w:lvlJc w:val="left"/>
      <w:pPr>
        <w:ind w:left="4986" w:hanging="360"/>
      </w:pPr>
      <w:rPr>
        <w:rFonts w:ascii="Wingdings" w:hAnsi="Wingdings" w:hint="default"/>
      </w:rPr>
    </w:lvl>
  </w:abstractNum>
  <w:abstractNum w:abstractNumId="8">
    <w:nsid w:val="65CD2C53"/>
    <w:multiLevelType w:val="hybridMultilevel"/>
    <w:tmpl w:val="38CC3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7765667"/>
    <w:multiLevelType w:val="hybridMultilevel"/>
    <w:tmpl w:val="172083A4"/>
    <w:lvl w:ilvl="0" w:tplc="3F1CA33E">
      <w:start w:val="2"/>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E9D4062"/>
    <w:multiLevelType w:val="hybridMultilevel"/>
    <w:tmpl w:val="69C04BDC"/>
    <w:lvl w:ilvl="0" w:tplc="1C090001">
      <w:start w:val="1"/>
      <w:numFmt w:val="bullet"/>
      <w:lvlText w:val=""/>
      <w:lvlJc w:val="left"/>
      <w:pPr>
        <w:ind w:left="1288" w:hanging="360"/>
      </w:pPr>
      <w:rPr>
        <w:rFonts w:ascii="Symbol" w:hAnsi="Symbol" w:hint="default"/>
      </w:rPr>
    </w:lvl>
    <w:lvl w:ilvl="1" w:tplc="1C090003" w:tentative="1">
      <w:start w:val="1"/>
      <w:numFmt w:val="bullet"/>
      <w:lvlText w:val="o"/>
      <w:lvlJc w:val="left"/>
      <w:pPr>
        <w:ind w:left="2008" w:hanging="360"/>
      </w:pPr>
      <w:rPr>
        <w:rFonts w:ascii="Courier New" w:hAnsi="Courier New" w:cs="Courier New" w:hint="default"/>
      </w:rPr>
    </w:lvl>
    <w:lvl w:ilvl="2" w:tplc="1C090005" w:tentative="1">
      <w:start w:val="1"/>
      <w:numFmt w:val="bullet"/>
      <w:lvlText w:val=""/>
      <w:lvlJc w:val="left"/>
      <w:pPr>
        <w:ind w:left="2728" w:hanging="360"/>
      </w:pPr>
      <w:rPr>
        <w:rFonts w:ascii="Wingdings" w:hAnsi="Wingdings" w:hint="default"/>
      </w:rPr>
    </w:lvl>
    <w:lvl w:ilvl="3" w:tplc="1C090001" w:tentative="1">
      <w:start w:val="1"/>
      <w:numFmt w:val="bullet"/>
      <w:lvlText w:val=""/>
      <w:lvlJc w:val="left"/>
      <w:pPr>
        <w:ind w:left="3448" w:hanging="360"/>
      </w:pPr>
      <w:rPr>
        <w:rFonts w:ascii="Symbol" w:hAnsi="Symbol" w:hint="default"/>
      </w:rPr>
    </w:lvl>
    <w:lvl w:ilvl="4" w:tplc="1C090003" w:tentative="1">
      <w:start w:val="1"/>
      <w:numFmt w:val="bullet"/>
      <w:lvlText w:val="o"/>
      <w:lvlJc w:val="left"/>
      <w:pPr>
        <w:ind w:left="4168" w:hanging="360"/>
      </w:pPr>
      <w:rPr>
        <w:rFonts w:ascii="Courier New" w:hAnsi="Courier New" w:cs="Courier New" w:hint="default"/>
      </w:rPr>
    </w:lvl>
    <w:lvl w:ilvl="5" w:tplc="1C090005" w:tentative="1">
      <w:start w:val="1"/>
      <w:numFmt w:val="bullet"/>
      <w:lvlText w:val=""/>
      <w:lvlJc w:val="left"/>
      <w:pPr>
        <w:ind w:left="4888" w:hanging="360"/>
      </w:pPr>
      <w:rPr>
        <w:rFonts w:ascii="Wingdings" w:hAnsi="Wingdings" w:hint="default"/>
      </w:rPr>
    </w:lvl>
    <w:lvl w:ilvl="6" w:tplc="1C090001" w:tentative="1">
      <w:start w:val="1"/>
      <w:numFmt w:val="bullet"/>
      <w:lvlText w:val=""/>
      <w:lvlJc w:val="left"/>
      <w:pPr>
        <w:ind w:left="5608" w:hanging="360"/>
      </w:pPr>
      <w:rPr>
        <w:rFonts w:ascii="Symbol" w:hAnsi="Symbol" w:hint="default"/>
      </w:rPr>
    </w:lvl>
    <w:lvl w:ilvl="7" w:tplc="1C090003" w:tentative="1">
      <w:start w:val="1"/>
      <w:numFmt w:val="bullet"/>
      <w:lvlText w:val="o"/>
      <w:lvlJc w:val="left"/>
      <w:pPr>
        <w:ind w:left="6328" w:hanging="360"/>
      </w:pPr>
      <w:rPr>
        <w:rFonts w:ascii="Courier New" w:hAnsi="Courier New" w:cs="Courier New" w:hint="default"/>
      </w:rPr>
    </w:lvl>
    <w:lvl w:ilvl="8" w:tplc="1C090005" w:tentative="1">
      <w:start w:val="1"/>
      <w:numFmt w:val="bullet"/>
      <w:lvlText w:val=""/>
      <w:lvlJc w:val="left"/>
      <w:pPr>
        <w:ind w:left="7048" w:hanging="360"/>
      </w:pPr>
      <w:rPr>
        <w:rFonts w:ascii="Wingdings" w:hAnsi="Wingdings" w:hint="default"/>
      </w:rPr>
    </w:lvl>
  </w:abstractNum>
  <w:abstractNum w:abstractNumId="11">
    <w:nsid w:val="7AFC6E23"/>
    <w:multiLevelType w:val="hybridMultilevel"/>
    <w:tmpl w:val="E49E1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11"/>
  </w:num>
  <w:num w:numId="6">
    <w:abstractNumId w:val="1"/>
  </w:num>
  <w:num w:numId="7">
    <w:abstractNumId w:val="4"/>
  </w:num>
  <w:num w:numId="8">
    <w:abstractNumId w:val="0"/>
  </w:num>
  <w:num w:numId="9">
    <w:abstractNumId w:val="8"/>
  </w:num>
  <w:num w:numId="10">
    <w:abstractNumId w:val="3"/>
  </w:num>
  <w:num w:numId="11">
    <w:abstractNumId w:val="6"/>
  </w:num>
  <w:num w:numId="12">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B95A7B"/>
    <w:rsid w:val="00000A66"/>
    <w:rsid w:val="000422B8"/>
    <w:rsid w:val="0005066A"/>
    <w:rsid w:val="00056C45"/>
    <w:rsid w:val="00080EE7"/>
    <w:rsid w:val="00081714"/>
    <w:rsid w:val="000B0EEB"/>
    <w:rsid w:val="000C59B8"/>
    <w:rsid w:val="000D2868"/>
    <w:rsid w:val="000F3B69"/>
    <w:rsid w:val="000F65AA"/>
    <w:rsid w:val="00117B53"/>
    <w:rsid w:val="00117E34"/>
    <w:rsid w:val="00127C38"/>
    <w:rsid w:val="001335E4"/>
    <w:rsid w:val="00133FAE"/>
    <w:rsid w:val="00164DE0"/>
    <w:rsid w:val="001D3838"/>
    <w:rsid w:val="00225D2B"/>
    <w:rsid w:val="0024700B"/>
    <w:rsid w:val="002573F4"/>
    <w:rsid w:val="00285C2A"/>
    <w:rsid w:val="002A10D7"/>
    <w:rsid w:val="002B0F1D"/>
    <w:rsid w:val="002D0261"/>
    <w:rsid w:val="00314915"/>
    <w:rsid w:val="003213BA"/>
    <w:rsid w:val="00330FE4"/>
    <w:rsid w:val="00367F1C"/>
    <w:rsid w:val="00383751"/>
    <w:rsid w:val="00385CF1"/>
    <w:rsid w:val="00406B61"/>
    <w:rsid w:val="00416F25"/>
    <w:rsid w:val="00416FEA"/>
    <w:rsid w:val="00421E3C"/>
    <w:rsid w:val="00422D99"/>
    <w:rsid w:val="00437576"/>
    <w:rsid w:val="00450FD7"/>
    <w:rsid w:val="00460E9D"/>
    <w:rsid w:val="004659BE"/>
    <w:rsid w:val="004667D0"/>
    <w:rsid w:val="004B2931"/>
    <w:rsid w:val="004C67EF"/>
    <w:rsid w:val="004E164D"/>
    <w:rsid w:val="0051735C"/>
    <w:rsid w:val="0052287E"/>
    <w:rsid w:val="00523263"/>
    <w:rsid w:val="00530EA4"/>
    <w:rsid w:val="005403A9"/>
    <w:rsid w:val="00550AA0"/>
    <w:rsid w:val="0056049C"/>
    <w:rsid w:val="00560C20"/>
    <w:rsid w:val="0056207F"/>
    <w:rsid w:val="00572783"/>
    <w:rsid w:val="00573DC6"/>
    <w:rsid w:val="005913DE"/>
    <w:rsid w:val="00593157"/>
    <w:rsid w:val="00595B51"/>
    <w:rsid w:val="005C63A3"/>
    <w:rsid w:val="005D04D9"/>
    <w:rsid w:val="005D54FC"/>
    <w:rsid w:val="005E0553"/>
    <w:rsid w:val="005F3445"/>
    <w:rsid w:val="00616352"/>
    <w:rsid w:val="00617536"/>
    <w:rsid w:val="006200DF"/>
    <w:rsid w:val="00622C6B"/>
    <w:rsid w:val="0062472C"/>
    <w:rsid w:val="00660225"/>
    <w:rsid w:val="00672B0E"/>
    <w:rsid w:val="006833F1"/>
    <w:rsid w:val="006B6DB1"/>
    <w:rsid w:val="006C4E6A"/>
    <w:rsid w:val="007318A3"/>
    <w:rsid w:val="007652A5"/>
    <w:rsid w:val="00770E07"/>
    <w:rsid w:val="00777877"/>
    <w:rsid w:val="007A500A"/>
    <w:rsid w:val="007B23F8"/>
    <w:rsid w:val="007B6E25"/>
    <w:rsid w:val="007C4A09"/>
    <w:rsid w:val="00835867"/>
    <w:rsid w:val="00845416"/>
    <w:rsid w:val="00845BEA"/>
    <w:rsid w:val="00850A3F"/>
    <w:rsid w:val="00851C96"/>
    <w:rsid w:val="008850E9"/>
    <w:rsid w:val="008851E4"/>
    <w:rsid w:val="008934CC"/>
    <w:rsid w:val="008A359C"/>
    <w:rsid w:val="008A4895"/>
    <w:rsid w:val="008D308C"/>
    <w:rsid w:val="008D4066"/>
    <w:rsid w:val="008D4FDE"/>
    <w:rsid w:val="008D6AF1"/>
    <w:rsid w:val="00904E97"/>
    <w:rsid w:val="00906F8C"/>
    <w:rsid w:val="009238D7"/>
    <w:rsid w:val="009410FF"/>
    <w:rsid w:val="009B115B"/>
    <w:rsid w:val="009C0256"/>
    <w:rsid w:val="009C3199"/>
    <w:rsid w:val="009E5B02"/>
    <w:rsid w:val="00A04C7B"/>
    <w:rsid w:val="00A05BD5"/>
    <w:rsid w:val="00A70731"/>
    <w:rsid w:val="00A70DC2"/>
    <w:rsid w:val="00A71D07"/>
    <w:rsid w:val="00AB28E0"/>
    <w:rsid w:val="00AB69C5"/>
    <w:rsid w:val="00AD262D"/>
    <w:rsid w:val="00AE132F"/>
    <w:rsid w:val="00B21723"/>
    <w:rsid w:val="00B2731F"/>
    <w:rsid w:val="00B3053F"/>
    <w:rsid w:val="00B346E1"/>
    <w:rsid w:val="00B3622F"/>
    <w:rsid w:val="00B43731"/>
    <w:rsid w:val="00B45164"/>
    <w:rsid w:val="00B523A8"/>
    <w:rsid w:val="00B52DB3"/>
    <w:rsid w:val="00B569AF"/>
    <w:rsid w:val="00B57E2E"/>
    <w:rsid w:val="00B64DBF"/>
    <w:rsid w:val="00B82DB5"/>
    <w:rsid w:val="00B912A2"/>
    <w:rsid w:val="00B95A7B"/>
    <w:rsid w:val="00BF0935"/>
    <w:rsid w:val="00C13A77"/>
    <w:rsid w:val="00C2524F"/>
    <w:rsid w:val="00C6362C"/>
    <w:rsid w:val="00C80BB8"/>
    <w:rsid w:val="00CB28E7"/>
    <w:rsid w:val="00CE02E4"/>
    <w:rsid w:val="00CF7E94"/>
    <w:rsid w:val="00D31F76"/>
    <w:rsid w:val="00D96E00"/>
    <w:rsid w:val="00DC3E63"/>
    <w:rsid w:val="00DD7E97"/>
    <w:rsid w:val="00DF4BF8"/>
    <w:rsid w:val="00E1063F"/>
    <w:rsid w:val="00E271D1"/>
    <w:rsid w:val="00E3402C"/>
    <w:rsid w:val="00E47A63"/>
    <w:rsid w:val="00E71A93"/>
    <w:rsid w:val="00E80D93"/>
    <w:rsid w:val="00E81618"/>
    <w:rsid w:val="00E826CF"/>
    <w:rsid w:val="00E8649D"/>
    <w:rsid w:val="00E8756A"/>
    <w:rsid w:val="00EB30F0"/>
    <w:rsid w:val="00F0462B"/>
    <w:rsid w:val="00F215EA"/>
    <w:rsid w:val="00F2484F"/>
    <w:rsid w:val="00F40661"/>
    <w:rsid w:val="00F93826"/>
    <w:rsid w:val="00FC48AA"/>
    <w:rsid w:val="00FD2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7B"/>
    <w:pPr>
      <w:ind w:left="720"/>
      <w:contextualSpacing/>
    </w:pPr>
  </w:style>
  <w:style w:type="paragraph" w:styleId="Footer">
    <w:name w:val="footer"/>
    <w:basedOn w:val="Normal"/>
    <w:link w:val="FooterChar"/>
    <w:uiPriority w:val="99"/>
    <w:rsid w:val="00B95A7B"/>
    <w:pPr>
      <w:tabs>
        <w:tab w:val="center" w:pos="4320"/>
        <w:tab w:val="right" w:pos="8640"/>
      </w:tabs>
    </w:pPr>
  </w:style>
  <w:style w:type="character" w:customStyle="1" w:styleId="FooterChar">
    <w:name w:val="Footer Char"/>
    <w:basedOn w:val="DefaultParagraphFont"/>
    <w:link w:val="Footer"/>
    <w:uiPriority w:val="99"/>
    <w:rsid w:val="00B95A7B"/>
    <w:rPr>
      <w:rFonts w:ascii="Times New Roman" w:eastAsia="Times New Roman" w:hAnsi="Times New Roman" w:cs="Times New Roman"/>
      <w:sz w:val="24"/>
      <w:szCs w:val="24"/>
      <w:lang w:val="en-GB"/>
    </w:rPr>
  </w:style>
  <w:style w:type="character" w:styleId="PageNumber">
    <w:name w:val="page number"/>
    <w:basedOn w:val="DefaultParagraphFont"/>
    <w:rsid w:val="00B95A7B"/>
  </w:style>
  <w:style w:type="paragraph" w:customStyle="1" w:styleId="Default">
    <w:name w:val="Default"/>
    <w:rsid w:val="00B95A7B"/>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B95A7B"/>
    <w:pPr>
      <w:spacing w:line="241" w:lineRule="atLeast"/>
    </w:pPr>
    <w:rPr>
      <w:rFonts w:ascii="Arial" w:hAnsi="Arial" w:cs="Arial"/>
      <w:color w:val="auto"/>
    </w:rPr>
  </w:style>
  <w:style w:type="character" w:customStyle="1" w:styleId="A12">
    <w:name w:val="A12"/>
    <w:uiPriority w:val="99"/>
    <w:rsid w:val="00B95A7B"/>
    <w:rPr>
      <w:color w:val="000000"/>
      <w:sz w:val="28"/>
      <w:szCs w:val="28"/>
    </w:rPr>
  </w:style>
  <w:style w:type="character" w:customStyle="1" w:styleId="A9">
    <w:name w:val="A9"/>
    <w:uiPriority w:val="99"/>
    <w:rsid w:val="00B95A7B"/>
    <w:rPr>
      <w:color w:val="000000"/>
      <w:sz w:val="20"/>
      <w:szCs w:val="20"/>
    </w:rPr>
  </w:style>
  <w:style w:type="paragraph" w:customStyle="1" w:styleId="Pa4">
    <w:name w:val="Pa4"/>
    <w:basedOn w:val="Default"/>
    <w:next w:val="Default"/>
    <w:uiPriority w:val="99"/>
    <w:rsid w:val="00B95A7B"/>
    <w:pPr>
      <w:spacing w:line="241" w:lineRule="atLeast"/>
    </w:pPr>
    <w:rPr>
      <w:rFonts w:ascii="Arial" w:hAnsi="Arial" w:cs="Arial"/>
      <w:color w:val="auto"/>
    </w:rPr>
  </w:style>
  <w:style w:type="character" w:styleId="CommentReference">
    <w:name w:val="annotation reference"/>
    <w:basedOn w:val="DefaultParagraphFont"/>
    <w:uiPriority w:val="99"/>
    <w:semiHidden/>
    <w:unhideWhenUsed/>
    <w:rsid w:val="00B95A7B"/>
    <w:rPr>
      <w:sz w:val="16"/>
      <w:szCs w:val="16"/>
    </w:rPr>
  </w:style>
  <w:style w:type="paragraph" w:styleId="CommentText">
    <w:name w:val="annotation text"/>
    <w:basedOn w:val="Normal"/>
    <w:link w:val="CommentTextChar"/>
    <w:uiPriority w:val="99"/>
    <w:semiHidden/>
    <w:unhideWhenUsed/>
    <w:rsid w:val="00B95A7B"/>
    <w:rPr>
      <w:sz w:val="20"/>
      <w:szCs w:val="20"/>
    </w:rPr>
  </w:style>
  <w:style w:type="character" w:customStyle="1" w:styleId="CommentTextChar">
    <w:name w:val="Comment Text Char"/>
    <w:basedOn w:val="DefaultParagraphFont"/>
    <w:link w:val="CommentText"/>
    <w:uiPriority w:val="99"/>
    <w:semiHidden/>
    <w:rsid w:val="00B95A7B"/>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uiPriority w:val="99"/>
    <w:semiHidden/>
    <w:rsid w:val="00B95A7B"/>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B95A7B"/>
    <w:rPr>
      <w:b/>
      <w:bCs/>
    </w:rPr>
  </w:style>
  <w:style w:type="paragraph" w:styleId="BalloonText">
    <w:name w:val="Balloon Text"/>
    <w:basedOn w:val="Normal"/>
    <w:link w:val="BalloonTextChar"/>
    <w:uiPriority w:val="99"/>
    <w:semiHidden/>
    <w:unhideWhenUsed/>
    <w:rsid w:val="00B95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A7B"/>
    <w:rPr>
      <w:rFonts w:ascii="Segoe UI" w:eastAsia="Times New Roman" w:hAnsi="Segoe UI" w:cs="Segoe UI"/>
      <w:sz w:val="18"/>
      <w:szCs w:val="18"/>
      <w:lang w:val="en-GB"/>
    </w:rPr>
  </w:style>
  <w:style w:type="table" w:styleId="TableGrid">
    <w:name w:val="Table Grid"/>
    <w:basedOn w:val="TableNormal"/>
    <w:uiPriority w:val="39"/>
    <w:rsid w:val="00B95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95A7B"/>
    <w:rPr>
      <w:sz w:val="20"/>
      <w:szCs w:val="20"/>
    </w:rPr>
  </w:style>
  <w:style w:type="character" w:customStyle="1" w:styleId="FootnoteTextChar">
    <w:name w:val="Footnote Text Char"/>
    <w:basedOn w:val="DefaultParagraphFont"/>
    <w:link w:val="FootnoteText"/>
    <w:uiPriority w:val="99"/>
    <w:semiHidden/>
    <w:rsid w:val="00B95A7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B95A7B"/>
    <w:rPr>
      <w:vertAlign w:val="superscript"/>
    </w:rPr>
  </w:style>
  <w:style w:type="paragraph" w:styleId="EndnoteText">
    <w:name w:val="endnote text"/>
    <w:basedOn w:val="Normal"/>
    <w:link w:val="EndnoteTextChar"/>
    <w:uiPriority w:val="99"/>
    <w:unhideWhenUsed/>
    <w:rsid w:val="00B95A7B"/>
    <w:rPr>
      <w:sz w:val="20"/>
      <w:szCs w:val="20"/>
    </w:rPr>
  </w:style>
  <w:style w:type="character" w:customStyle="1" w:styleId="EndnoteTextChar">
    <w:name w:val="Endnote Text Char"/>
    <w:basedOn w:val="DefaultParagraphFont"/>
    <w:link w:val="EndnoteText"/>
    <w:uiPriority w:val="99"/>
    <w:rsid w:val="00B95A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B95A7B"/>
    <w:rPr>
      <w:vertAlign w:val="superscript"/>
    </w:rPr>
  </w:style>
  <w:style w:type="paragraph" w:styleId="NormalWeb">
    <w:name w:val="Normal (Web)"/>
    <w:basedOn w:val="Normal"/>
    <w:uiPriority w:val="99"/>
    <w:semiHidden/>
    <w:unhideWhenUsed/>
    <w:rsid w:val="00E3402C"/>
    <w:pPr>
      <w:spacing w:before="100" w:beforeAutospacing="1" w:after="100" w:afterAutospacing="1"/>
    </w:pPr>
    <w:rPr>
      <w:lang w:val="en-ZA" w:eastAsia="en-ZA"/>
    </w:rPr>
  </w:style>
  <w:style w:type="paragraph" w:styleId="Header">
    <w:name w:val="header"/>
    <w:basedOn w:val="Normal"/>
    <w:link w:val="HeaderChar"/>
    <w:uiPriority w:val="99"/>
    <w:unhideWhenUsed/>
    <w:rsid w:val="00616352"/>
    <w:pPr>
      <w:tabs>
        <w:tab w:val="center" w:pos="4513"/>
        <w:tab w:val="right" w:pos="9026"/>
      </w:tabs>
    </w:pPr>
  </w:style>
  <w:style w:type="character" w:customStyle="1" w:styleId="HeaderChar">
    <w:name w:val="Header Char"/>
    <w:basedOn w:val="DefaultParagraphFont"/>
    <w:link w:val="Header"/>
    <w:uiPriority w:val="99"/>
    <w:rsid w:val="0061635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349642961">
      <w:bodyDiv w:val="1"/>
      <w:marLeft w:val="0"/>
      <w:marRight w:val="0"/>
      <w:marTop w:val="0"/>
      <w:marBottom w:val="0"/>
      <w:divBdr>
        <w:top w:val="none" w:sz="0" w:space="0" w:color="auto"/>
        <w:left w:val="none" w:sz="0" w:space="0" w:color="auto"/>
        <w:bottom w:val="none" w:sz="0" w:space="0" w:color="auto"/>
        <w:right w:val="none" w:sz="0" w:space="0" w:color="auto"/>
      </w:divBdr>
    </w:div>
    <w:div w:id="393552722">
      <w:bodyDiv w:val="1"/>
      <w:marLeft w:val="0"/>
      <w:marRight w:val="0"/>
      <w:marTop w:val="0"/>
      <w:marBottom w:val="0"/>
      <w:divBdr>
        <w:top w:val="none" w:sz="0" w:space="0" w:color="auto"/>
        <w:left w:val="none" w:sz="0" w:space="0" w:color="auto"/>
        <w:bottom w:val="none" w:sz="0" w:space="0" w:color="auto"/>
        <w:right w:val="none" w:sz="0" w:space="0" w:color="auto"/>
      </w:divBdr>
      <w:divsChild>
        <w:div w:id="75634365">
          <w:marLeft w:val="274"/>
          <w:marRight w:val="0"/>
          <w:marTop w:val="150"/>
          <w:marBottom w:val="0"/>
          <w:divBdr>
            <w:top w:val="none" w:sz="0" w:space="0" w:color="auto"/>
            <w:left w:val="none" w:sz="0" w:space="0" w:color="auto"/>
            <w:bottom w:val="none" w:sz="0" w:space="0" w:color="auto"/>
            <w:right w:val="none" w:sz="0" w:space="0" w:color="auto"/>
          </w:divBdr>
        </w:div>
        <w:div w:id="1794907881">
          <w:marLeft w:val="274"/>
          <w:marRight w:val="0"/>
          <w:marTop w:val="150"/>
          <w:marBottom w:val="0"/>
          <w:divBdr>
            <w:top w:val="none" w:sz="0" w:space="0" w:color="auto"/>
            <w:left w:val="none" w:sz="0" w:space="0" w:color="auto"/>
            <w:bottom w:val="none" w:sz="0" w:space="0" w:color="auto"/>
            <w:right w:val="none" w:sz="0" w:space="0" w:color="auto"/>
          </w:divBdr>
        </w:div>
        <w:div w:id="1999796810">
          <w:marLeft w:val="274"/>
          <w:marRight w:val="0"/>
          <w:marTop w:val="150"/>
          <w:marBottom w:val="0"/>
          <w:divBdr>
            <w:top w:val="none" w:sz="0" w:space="0" w:color="auto"/>
            <w:left w:val="none" w:sz="0" w:space="0" w:color="auto"/>
            <w:bottom w:val="none" w:sz="0" w:space="0" w:color="auto"/>
            <w:right w:val="none" w:sz="0" w:space="0" w:color="auto"/>
          </w:divBdr>
        </w:div>
      </w:divsChild>
    </w:div>
    <w:div w:id="570433384">
      <w:bodyDiv w:val="1"/>
      <w:marLeft w:val="0"/>
      <w:marRight w:val="0"/>
      <w:marTop w:val="0"/>
      <w:marBottom w:val="0"/>
      <w:divBdr>
        <w:top w:val="none" w:sz="0" w:space="0" w:color="auto"/>
        <w:left w:val="none" w:sz="0" w:space="0" w:color="auto"/>
        <w:bottom w:val="none" w:sz="0" w:space="0" w:color="auto"/>
        <w:right w:val="none" w:sz="0" w:space="0" w:color="auto"/>
      </w:divBdr>
      <w:divsChild>
        <w:div w:id="1391658112">
          <w:marLeft w:val="446"/>
          <w:marRight w:val="0"/>
          <w:marTop w:val="0"/>
          <w:marBottom w:val="0"/>
          <w:divBdr>
            <w:top w:val="none" w:sz="0" w:space="0" w:color="auto"/>
            <w:left w:val="none" w:sz="0" w:space="0" w:color="auto"/>
            <w:bottom w:val="none" w:sz="0" w:space="0" w:color="auto"/>
            <w:right w:val="none" w:sz="0" w:space="0" w:color="auto"/>
          </w:divBdr>
        </w:div>
      </w:divsChild>
    </w:div>
    <w:div w:id="683630443">
      <w:bodyDiv w:val="1"/>
      <w:marLeft w:val="0"/>
      <w:marRight w:val="0"/>
      <w:marTop w:val="0"/>
      <w:marBottom w:val="0"/>
      <w:divBdr>
        <w:top w:val="none" w:sz="0" w:space="0" w:color="auto"/>
        <w:left w:val="none" w:sz="0" w:space="0" w:color="auto"/>
        <w:bottom w:val="none" w:sz="0" w:space="0" w:color="auto"/>
        <w:right w:val="none" w:sz="0" w:space="0" w:color="auto"/>
      </w:divBdr>
      <w:divsChild>
        <w:div w:id="683939473">
          <w:marLeft w:val="1166"/>
          <w:marRight w:val="0"/>
          <w:marTop w:val="0"/>
          <w:marBottom w:val="0"/>
          <w:divBdr>
            <w:top w:val="none" w:sz="0" w:space="0" w:color="auto"/>
            <w:left w:val="none" w:sz="0" w:space="0" w:color="auto"/>
            <w:bottom w:val="none" w:sz="0" w:space="0" w:color="auto"/>
            <w:right w:val="none" w:sz="0" w:space="0" w:color="auto"/>
          </w:divBdr>
        </w:div>
        <w:div w:id="947464499">
          <w:marLeft w:val="1166"/>
          <w:marRight w:val="0"/>
          <w:marTop w:val="0"/>
          <w:marBottom w:val="0"/>
          <w:divBdr>
            <w:top w:val="none" w:sz="0" w:space="0" w:color="auto"/>
            <w:left w:val="none" w:sz="0" w:space="0" w:color="auto"/>
            <w:bottom w:val="none" w:sz="0" w:space="0" w:color="auto"/>
            <w:right w:val="none" w:sz="0" w:space="0" w:color="auto"/>
          </w:divBdr>
        </w:div>
        <w:div w:id="1009017219">
          <w:marLeft w:val="1166"/>
          <w:marRight w:val="0"/>
          <w:marTop w:val="0"/>
          <w:marBottom w:val="0"/>
          <w:divBdr>
            <w:top w:val="none" w:sz="0" w:space="0" w:color="auto"/>
            <w:left w:val="none" w:sz="0" w:space="0" w:color="auto"/>
            <w:bottom w:val="none" w:sz="0" w:space="0" w:color="auto"/>
            <w:right w:val="none" w:sz="0" w:space="0" w:color="auto"/>
          </w:divBdr>
        </w:div>
      </w:divsChild>
    </w:div>
    <w:div w:id="853031729">
      <w:bodyDiv w:val="1"/>
      <w:marLeft w:val="0"/>
      <w:marRight w:val="0"/>
      <w:marTop w:val="0"/>
      <w:marBottom w:val="0"/>
      <w:divBdr>
        <w:top w:val="none" w:sz="0" w:space="0" w:color="auto"/>
        <w:left w:val="none" w:sz="0" w:space="0" w:color="auto"/>
        <w:bottom w:val="none" w:sz="0" w:space="0" w:color="auto"/>
        <w:right w:val="none" w:sz="0" w:space="0" w:color="auto"/>
      </w:divBdr>
    </w:div>
    <w:div w:id="914247783">
      <w:bodyDiv w:val="1"/>
      <w:marLeft w:val="0"/>
      <w:marRight w:val="0"/>
      <w:marTop w:val="0"/>
      <w:marBottom w:val="0"/>
      <w:divBdr>
        <w:top w:val="none" w:sz="0" w:space="0" w:color="auto"/>
        <w:left w:val="none" w:sz="0" w:space="0" w:color="auto"/>
        <w:bottom w:val="none" w:sz="0" w:space="0" w:color="auto"/>
        <w:right w:val="none" w:sz="0" w:space="0" w:color="auto"/>
      </w:divBdr>
      <w:divsChild>
        <w:div w:id="2104105887">
          <w:marLeft w:val="274"/>
          <w:marRight w:val="0"/>
          <w:marTop w:val="0"/>
          <w:marBottom w:val="0"/>
          <w:divBdr>
            <w:top w:val="none" w:sz="0" w:space="0" w:color="auto"/>
            <w:left w:val="none" w:sz="0" w:space="0" w:color="auto"/>
            <w:bottom w:val="none" w:sz="0" w:space="0" w:color="auto"/>
            <w:right w:val="none" w:sz="0" w:space="0" w:color="auto"/>
          </w:divBdr>
        </w:div>
      </w:divsChild>
    </w:div>
    <w:div w:id="993947656">
      <w:bodyDiv w:val="1"/>
      <w:marLeft w:val="0"/>
      <w:marRight w:val="0"/>
      <w:marTop w:val="0"/>
      <w:marBottom w:val="0"/>
      <w:divBdr>
        <w:top w:val="none" w:sz="0" w:space="0" w:color="auto"/>
        <w:left w:val="none" w:sz="0" w:space="0" w:color="auto"/>
        <w:bottom w:val="none" w:sz="0" w:space="0" w:color="auto"/>
        <w:right w:val="none" w:sz="0" w:space="0" w:color="auto"/>
      </w:divBdr>
      <w:divsChild>
        <w:div w:id="2047095960">
          <w:marLeft w:val="274"/>
          <w:marRight w:val="0"/>
          <w:marTop w:val="150"/>
          <w:marBottom w:val="0"/>
          <w:divBdr>
            <w:top w:val="none" w:sz="0" w:space="0" w:color="auto"/>
            <w:left w:val="none" w:sz="0" w:space="0" w:color="auto"/>
            <w:bottom w:val="none" w:sz="0" w:space="0" w:color="auto"/>
            <w:right w:val="none" w:sz="0" w:space="0" w:color="auto"/>
          </w:divBdr>
        </w:div>
      </w:divsChild>
    </w:div>
    <w:div w:id="1268194648">
      <w:bodyDiv w:val="1"/>
      <w:marLeft w:val="0"/>
      <w:marRight w:val="0"/>
      <w:marTop w:val="0"/>
      <w:marBottom w:val="0"/>
      <w:divBdr>
        <w:top w:val="none" w:sz="0" w:space="0" w:color="auto"/>
        <w:left w:val="none" w:sz="0" w:space="0" w:color="auto"/>
        <w:bottom w:val="none" w:sz="0" w:space="0" w:color="auto"/>
        <w:right w:val="none" w:sz="0" w:space="0" w:color="auto"/>
      </w:divBdr>
    </w:div>
    <w:div w:id="1494955795">
      <w:bodyDiv w:val="1"/>
      <w:marLeft w:val="0"/>
      <w:marRight w:val="0"/>
      <w:marTop w:val="0"/>
      <w:marBottom w:val="0"/>
      <w:divBdr>
        <w:top w:val="none" w:sz="0" w:space="0" w:color="auto"/>
        <w:left w:val="none" w:sz="0" w:space="0" w:color="auto"/>
        <w:bottom w:val="none" w:sz="0" w:space="0" w:color="auto"/>
        <w:right w:val="none" w:sz="0" w:space="0" w:color="auto"/>
      </w:divBdr>
      <w:divsChild>
        <w:div w:id="873275880">
          <w:marLeft w:val="274"/>
          <w:marRight w:val="0"/>
          <w:marTop w:val="150"/>
          <w:marBottom w:val="0"/>
          <w:divBdr>
            <w:top w:val="none" w:sz="0" w:space="0" w:color="auto"/>
            <w:left w:val="none" w:sz="0" w:space="0" w:color="auto"/>
            <w:bottom w:val="none" w:sz="0" w:space="0" w:color="auto"/>
            <w:right w:val="none" w:sz="0" w:space="0" w:color="auto"/>
          </w:divBdr>
        </w:div>
      </w:divsChild>
    </w:div>
    <w:div w:id="1862232682">
      <w:bodyDiv w:val="1"/>
      <w:marLeft w:val="0"/>
      <w:marRight w:val="0"/>
      <w:marTop w:val="0"/>
      <w:marBottom w:val="0"/>
      <w:divBdr>
        <w:top w:val="none" w:sz="0" w:space="0" w:color="auto"/>
        <w:left w:val="none" w:sz="0" w:space="0" w:color="auto"/>
        <w:bottom w:val="none" w:sz="0" w:space="0" w:color="auto"/>
        <w:right w:val="none" w:sz="0" w:space="0" w:color="auto"/>
      </w:divBdr>
    </w:div>
    <w:div w:id="19597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C46C-A1D9-497E-989E-72B836E9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7261</Words>
  <Characters>41392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cp:lastPrinted>2022-09-13T08:02:00Z</cp:lastPrinted>
  <dcterms:created xsi:type="dcterms:W3CDTF">2023-04-03T07:36:00Z</dcterms:created>
  <dcterms:modified xsi:type="dcterms:W3CDTF">2023-04-03T07:36:00Z</dcterms:modified>
</cp:coreProperties>
</file>